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60228" w:rsidRPr="00F76BAE" w:rsidTr="0069339F">
        <w:trPr>
          <w:trHeight w:val="844"/>
        </w:trPr>
        <w:tc>
          <w:tcPr>
            <w:tcW w:w="976" w:type="dxa"/>
            <w:tcBorders>
              <w:bottom w:val="single" w:sz="12" w:space="0" w:color="auto"/>
            </w:tcBorders>
          </w:tcPr>
          <w:p w:rsidR="00860228" w:rsidRPr="00F76BAE" w:rsidRDefault="00860228" w:rsidP="00F76BAE">
            <w:pPr>
              <w:keepNext/>
              <w:suppressLineNumbers/>
              <w:suppressAutoHyphens/>
              <w:rPr>
                <w:kern w:val="22"/>
              </w:rPr>
            </w:pPr>
            <w:bookmarkStart w:id="0" w:name="_Hlk43184510"/>
            <w:r w:rsidRPr="00F76BAE">
              <w:rPr>
                <w:noProof/>
                <w:kern w:val="22"/>
                <w:lang w:val="fr-CA" w:eastAsia="fr-CA"/>
              </w:rPr>
              <w:drawing>
                <wp:anchor distT="0" distB="0" distL="114300" distR="114300" simplePos="0" relativeHeight="251658752"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860228" w:rsidRPr="00F76BAE" w:rsidRDefault="006C72FA" w:rsidP="00F76BAE">
            <w:pPr>
              <w:keepNext/>
              <w:suppressLineNumbers/>
              <w:suppressAutoHyphens/>
              <w:rPr>
                <w:kern w:val="22"/>
              </w:rPr>
            </w:pPr>
            <w:r w:rsidRPr="006C72FA">
              <w:rPr>
                <w:noProof/>
                <w:lang w:val="fr-CA" w:eastAsia="fr-CA"/>
              </w:rPr>
              <w:drawing>
                <wp:inline distT="0" distB="0" distL="0" distR="0">
                  <wp:extent cx="593090" cy="342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3090" cy="3429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860228" w:rsidRPr="00F76BAE" w:rsidRDefault="00860228" w:rsidP="00F76BAE">
            <w:pPr>
              <w:keepNext/>
              <w:suppressLineNumbers/>
              <w:suppressAutoHyphens/>
              <w:jc w:val="right"/>
              <w:rPr>
                <w:rFonts w:ascii="Arial" w:hAnsi="Arial" w:cs="Arial"/>
                <w:b/>
                <w:kern w:val="22"/>
                <w:sz w:val="32"/>
                <w:szCs w:val="32"/>
              </w:rPr>
            </w:pPr>
            <w:r w:rsidRPr="00F76BAE">
              <w:rPr>
                <w:rFonts w:ascii="Arial" w:hAnsi="Arial" w:cs="Arial"/>
                <w:b/>
                <w:kern w:val="22"/>
                <w:sz w:val="32"/>
                <w:szCs w:val="32"/>
              </w:rPr>
              <w:t>CBD</w:t>
            </w:r>
          </w:p>
        </w:tc>
      </w:tr>
    </w:tbl>
    <w:tbl>
      <w:tblPr>
        <w:tblW w:w="10207" w:type="dxa"/>
        <w:tblInd w:w="-318" w:type="dxa"/>
        <w:tblLook w:val="04A0" w:firstRow="1" w:lastRow="0" w:firstColumn="1" w:lastColumn="0" w:noHBand="0" w:noVBand="1"/>
      </w:tblPr>
      <w:tblGrid>
        <w:gridCol w:w="6117"/>
        <w:gridCol w:w="4090"/>
      </w:tblGrid>
      <w:tr w:rsidR="004F6661" w:rsidRPr="00F76BAE" w:rsidTr="007A1072">
        <w:tc>
          <w:tcPr>
            <w:tcW w:w="6117" w:type="dxa"/>
            <w:tcBorders>
              <w:top w:val="single" w:sz="12" w:space="0" w:color="auto"/>
              <w:bottom w:val="single" w:sz="36" w:space="0" w:color="auto"/>
            </w:tcBorders>
            <w:vAlign w:val="center"/>
          </w:tcPr>
          <w:p w:rsidR="004F6661" w:rsidRPr="00F76BAE" w:rsidRDefault="006C72FA" w:rsidP="00F76BAE">
            <w:pPr>
              <w:suppressLineNumbers/>
              <w:suppressAutoHyphens/>
              <w:rPr>
                <w:kern w:val="22"/>
              </w:rPr>
            </w:pPr>
            <w:r w:rsidRPr="006C72FA">
              <w:rPr>
                <w:noProof/>
                <w:kern w:val="22"/>
                <w:lang w:val="fr-CA" w:eastAsia="fr-CA"/>
              </w:rPr>
              <w:drawing>
                <wp:inline distT="0" distB="0" distL="0" distR="0">
                  <wp:extent cx="2356485" cy="941705"/>
                  <wp:effectExtent l="19050" t="0" r="5715" b="0"/>
                  <wp:docPr id="2"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srcRect/>
                          <a:stretch>
                            <a:fillRect/>
                          </a:stretch>
                        </pic:blipFill>
                        <pic:spPr bwMode="auto">
                          <a:xfrm>
                            <a:off x="0" y="0"/>
                            <a:ext cx="2356485" cy="94170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4F6661" w:rsidRPr="001D35D1" w:rsidRDefault="004F6661" w:rsidP="00F76BAE">
            <w:pPr>
              <w:suppressLineNumbers/>
              <w:suppressAutoHyphens/>
              <w:ind w:left="1321"/>
              <w:jc w:val="left"/>
              <w:rPr>
                <w:snapToGrid w:val="0"/>
                <w:kern w:val="22"/>
                <w:szCs w:val="22"/>
                <w:lang w:val="fr-CA"/>
              </w:rPr>
            </w:pPr>
            <w:proofErr w:type="spellStart"/>
            <w:r w:rsidRPr="001D35D1">
              <w:rPr>
                <w:snapToGrid w:val="0"/>
                <w:kern w:val="22"/>
                <w:szCs w:val="22"/>
                <w:lang w:val="fr-CA"/>
              </w:rPr>
              <w:t>Distr</w:t>
            </w:r>
            <w:proofErr w:type="spellEnd"/>
            <w:r w:rsidRPr="001D35D1">
              <w:rPr>
                <w:snapToGrid w:val="0"/>
                <w:kern w:val="22"/>
                <w:szCs w:val="22"/>
                <w:lang w:val="fr-CA"/>
              </w:rPr>
              <w:t>.</w:t>
            </w:r>
          </w:p>
          <w:p w:rsidR="004F6661" w:rsidRPr="001D35D1" w:rsidRDefault="006C72FA" w:rsidP="00F76BAE">
            <w:pPr>
              <w:suppressLineNumbers/>
              <w:suppressAutoHyphens/>
              <w:ind w:left="1321"/>
              <w:jc w:val="left"/>
              <w:rPr>
                <w:snapToGrid w:val="0"/>
                <w:kern w:val="22"/>
                <w:szCs w:val="22"/>
                <w:lang w:val="fr-CA"/>
              </w:rPr>
            </w:pPr>
            <w:r w:rsidRPr="005879DC">
              <w:rPr>
                <w:snapToGrid w:val="0"/>
                <w:kern w:val="22"/>
                <w:szCs w:val="22"/>
                <w:lang w:val="fr-CA"/>
              </w:rPr>
              <w:t>GÉNÉRALE</w:t>
            </w:r>
          </w:p>
          <w:p w:rsidR="004F6661" w:rsidRPr="001D35D1" w:rsidRDefault="004F6661" w:rsidP="00F76BAE">
            <w:pPr>
              <w:suppressLineNumbers/>
              <w:suppressAutoHyphens/>
              <w:ind w:left="1321"/>
              <w:jc w:val="left"/>
              <w:rPr>
                <w:snapToGrid w:val="0"/>
                <w:kern w:val="22"/>
                <w:szCs w:val="22"/>
                <w:lang w:val="fr-CA"/>
              </w:rPr>
            </w:pPr>
          </w:p>
          <w:p w:rsidR="004F6661" w:rsidRPr="001D35D1" w:rsidRDefault="004F6661" w:rsidP="00F76BAE">
            <w:pPr>
              <w:suppressLineNumbers/>
              <w:suppressAutoHyphens/>
              <w:ind w:left="1321"/>
              <w:jc w:val="left"/>
              <w:rPr>
                <w:snapToGrid w:val="0"/>
                <w:kern w:val="22"/>
                <w:szCs w:val="22"/>
                <w:lang w:val="fr-CA"/>
              </w:rPr>
            </w:pPr>
            <w:r w:rsidRPr="001D35D1">
              <w:rPr>
                <w:snapToGrid w:val="0"/>
                <w:kern w:val="22"/>
                <w:szCs w:val="22"/>
                <w:lang w:val="fr-CA"/>
              </w:rPr>
              <w:t>CBD/SBI/3/15</w:t>
            </w:r>
          </w:p>
          <w:p w:rsidR="004F6661" w:rsidRPr="001D35D1" w:rsidRDefault="006C72FA" w:rsidP="00F76BAE">
            <w:pPr>
              <w:suppressLineNumbers/>
              <w:suppressAutoHyphens/>
              <w:ind w:left="1321"/>
              <w:jc w:val="left"/>
              <w:rPr>
                <w:snapToGrid w:val="0"/>
                <w:kern w:val="22"/>
                <w:szCs w:val="22"/>
                <w:lang w:val="fr-CA"/>
              </w:rPr>
            </w:pPr>
            <w:r w:rsidRPr="005879DC">
              <w:rPr>
                <w:snapToGrid w:val="0"/>
                <w:kern w:val="22"/>
                <w:szCs w:val="22"/>
                <w:lang w:val="fr-CA"/>
              </w:rPr>
              <w:t>13 juillet 2020</w:t>
            </w:r>
          </w:p>
          <w:p w:rsidR="004F6661" w:rsidRPr="001D35D1" w:rsidRDefault="004F6661" w:rsidP="00F76BAE">
            <w:pPr>
              <w:suppressLineNumbers/>
              <w:suppressAutoHyphens/>
              <w:ind w:left="1321"/>
              <w:jc w:val="left"/>
              <w:rPr>
                <w:snapToGrid w:val="0"/>
                <w:kern w:val="22"/>
                <w:szCs w:val="22"/>
                <w:lang w:val="fr-CA"/>
              </w:rPr>
            </w:pPr>
          </w:p>
          <w:p w:rsidR="006C72FA" w:rsidRPr="005879DC" w:rsidRDefault="006C72FA" w:rsidP="006C72FA">
            <w:pPr>
              <w:ind w:left="1289"/>
              <w:rPr>
                <w:snapToGrid w:val="0"/>
                <w:kern w:val="22"/>
                <w:szCs w:val="22"/>
                <w:lang w:val="fr-CA"/>
              </w:rPr>
            </w:pPr>
            <w:r w:rsidRPr="005879DC">
              <w:rPr>
                <w:snapToGrid w:val="0"/>
                <w:kern w:val="22"/>
                <w:szCs w:val="22"/>
                <w:lang w:val="fr-CA"/>
              </w:rPr>
              <w:t>FRANÇAIS</w:t>
            </w:r>
          </w:p>
          <w:p w:rsidR="004F6661" w:rsidRPr="00F76BAE" w:rsidRDefault="006C72FA" w:rsidP="006C72FA">
            <w:pPr>
              <w:suppressLineNumbers/>
              <w:suppressAutoHyphens/>
              <w:ind w:left="1321"/>
              <w:jc w:val="left"/>
              <w:rPr>
                <w:kern w:val="22"/>
                <w:szCs w:val="22"/>
              </w:rPr>
            </w:pPr>
            <w:r w:rsidRPr="005879DC">
              <w:rPr>
                <w:snapToGrid w:val="0"/>
                <w:kern w:val="22"/>
                <w:szCs w:val="22"/>
                <w:lang w:val="fr-CA"/>
              </w:rPr>
              <w:t>ORIGINAL : ANGLAIS</w:t>
            </w:r>
          </w:p>
        </w:tc>
      </w:tr>
    </w:tbl>
    <w:p w:rsidR="006C72FA" w:rsidRPr="005879DC" w:rsidRDefault="006C72FA" w:rsidP="006C72FA">
      <w:pPr>
        <w:ind w:left="284" w:hanging="284"/>
        <w:jc w:val="left"/>
        <w:rPr>
          <w:rFonts w:eastAsia="Malgun Gothic"/>
          <w:caps/>
          <w:snapToGrid w:val="0"/>
          <w:kern w:val="22"/>
          <w:lang w:val="fr-CA"/>
        </w:rPr>
      </w:pPr>
      <w:r w:rsidRPr="005879DC">
        <w:rPr>
          <w:rFonts w:eastAsia="Malgun Gothic"/>
          <w:caps/>
          <w:snapToGrid w:val="0"/>
          <w:kern w:val="22"/>
          <w:lang w:val="fr-CA"/>
        </w:rPr>
        <w:t xml:space="preserve">ORGANE SUBSIDIAIRE CHARGÉ DE </w:t>
      </w:r>
    </w:p>
    <w:p w:rsidR="004F6661" w:rsidRPr="00F76BAE" w:rsidRDefault="006C72FA" w:rsidP="006C72FA">
      <w:pPr>
        <w:pStyle w:val="meetingname"/>
        <w:suppressLineNumbers/>
        <w:suppressAutoHyphens/>
        <w:ind w:left="0" w:right="4398" w:firstLine="0"/>
        <w:rPr>
          <w:kern w:val="22"/>
        </w:rPr>
      </w:pPr>
      <w:r w:rsidRPr="005879DC">
        <w:rPr>
          <w:rFonts w:eastAsia="Malgun Gothic"/>
          <w:snapToGrid w:val="0"/>
          <w:kern w:val="22"/>
          <w:lang w:val="fr-CA"/>
        </w:rPr>
        <w:t>L</w:t>
      </w:r>
      <w:r w:rsidR="0069339F">
        <w:rPr>
          <w:rFonts w:eastAsia="Malgun Gothic"/>
          <w:snapToGrid w:val="0"/>
          <w:kern w:val="22"/>
          <w:lang w:val="fr-CA"/>
        </w:rPr>
        <w:t>’</w:t>
      </w:r>
      <w:r w:rsidRPr="005879DC">
        <w:rPr>
          <w:rFonts w:eastAsia="Malgun Gothic"/>
          <w:snapToGrid w:val="0"/>
          <w:kern w:val="22"/>
          <w:lang w:val="fr-CA"/>
        </w:rPr>
        <w:t>APPLICATION</w:t>
      </w:r>
    </w:p>
    <w:p w:rsidR="004F6661" w:rsidRPr="00F76BAE" w:rsidRDefault="006C72FA" w:rsidP="00C50A3D">
      <w:pPr>
        <w:suppressLineNumbers/>
        <w:suppressAutoHyphens/>
        <w:rPr>
          <w:snapToGrid w:val="0"/>
          <w:kern w:val="22"/>
          <w:szCs w:val="22"/>
          <w:lang w:eastAsia="nb-NO"/>
        </w:rPr>
      </w:pPr>
      <w:r w:rsidRPr="005879DC">
        <w:rPr>
          <w:snapToGrid w:val="0"/>
          <w:kern w:val="22"/>
          <w:szCs w:val="22"/>
          <w:lang w:val="fr-CA" w:eastAsia="nb-NO"/>
        </w:rPr>
        <w:t>Troisième réunion</w:t>
      </w:r>
    </w:p>
    <w:p w:rsidR="004F6661" w:rsidRPr="00F76BAE" w:rsidRDefault="006C72FA">
      <w:pPr>
        <w:suppressLineNumbers/>
        <w:suppressAutoHyphens/>
        <w:rPr>
          <w:snapToGrid w:val="0"/>
          <w:kern w:val="22"/>
          <w:szCs w:val="22"/>
          <w:lang w:eastAsia="nb-NO"/>
        </w:rPr>
      </w:pPr>
      <w:r>
        <w:rPr>
          <w:snapToGrid w:val="0"/>
          <w:kern w:val="22"/>
          <w:szCs w:val="22"/>
          <w:lang w:eastAsia="nb-NO"/>
        </w:rPr>
        <w:t>Lieu et dates à confirmer</w:t>
      </w:r>
    </w:p>
    <w:p w:rsidR="004F6661" w:rsidRPr="001D35D1" w:rsidRDefault="006C72FA">
      <w:pPr>
        <w:pStyle w:val="Header"/>
        <w:suppressLineNumbers/>
        <w:tabs>
          <w:tab w:val="clear" w:pos="4320"/>
          <w:tab w:val="clear" w:pos="8640"/>
        </w:tabs>
        <w:suppressAutoHyphens/>
        <w:rPr>
          <w:snapToGrid w:val="0"/>
          <w:kern w:val="22"/>
          <w:szCs w:val="22"/>
          <w:lang w:val="fr-CA"/>
        </w:rPr>
      </w:pPr>
      <w:r w:rsidRPr="005879DC">
        <w:rPr>
          <w:snapToGrid w:val="0"/>
          <w:kern w:val="22"/>
          <w:szCs w:val="22"/>
          <w:lang w:val="fr-CA"/>
        </w:rPr>
        <w:t>Point 13 de l</w:t>
      </w:r>
      <w:r w:rsidR="0069339F">
        <w:rPr>
          <w:snapToGrid w:val="0"/>
          <w:kern w:val="22"/>
          <w:szCs w:val="22"/>
          <w:lang w:val="fr-CA"/>
        </w:rPr>
        <w:t>’</w:t>
      </w:r>
      <w:r w:rsidRPr="005879DC">
        <w:rPr>
          <w:snapToGrid w:val="0"/>
          <w:kern w:val="22"/>
          <w:szCs w:val="22"/>
          <w:lang w:val="fr-CA"/>
        </w:rPr>
        <w:t>ordre du jour provisoire</w:t>
      </w:r>
      <w:r w:rsidRPr="005879DC">
        <w:rPr>
          <w:rStyle w:val="FootnoteReference"/>
          <w:snapToGrid w:val="0"/>
          <w:kern w:val="22"/>
          <w:szCs w:val="22"/>
          <w:lang w:val="fr-CA"/>
        </w:rPr>
        <w:t xml:space="preserve"> </w:t>
      </w:r>
      <w:r w:rsidR="004F6661" w:rsidRPr="001D35D1">
        <w:rPr>
          <w:rStyle w:val="FootnoteReference"/>
          <w:snapToGrid w:val="0"/>
          <w:kern w:val="22"/>
          <w:szCs w:val="22"/>
          <w:lang w:val="fr-CA"/>
        </w:rPr>
        <w:footnoteReference w:customMarkFollows="1" w:id="1"/>
        <w:t>*</w:t>
      </w:r>
    </w:p>
    <w:p w:rsidR="004F6661" w:rsidRPr="001D35D1" w:rsidRDefault="006C72FA" w:rsidP="00F76BAE">
      <w:pPr>
        <w:suppressLineNumbers/>
        <w:suppressAutoHyphens/>
        <w:spacing w:before="240" w:after="120"/>
        <w:jc w:val="center"/>
        <w:rPr>
          <w:rStyle w:val="Heading1Char"/>
          <w:kern w:val="22"/>
          <w:szCs w:val="22"/>
          <w:lang w:val="fr-CA"/>
        </w:rPr>
      </w:pPr>
      <w:r w:rsidRPr="005879DC">
        <w:rPr>
          <w:b/>
          <w:lang w:val="fr-CA"/>
        </w:rPr>
        <w:t>MÉCANISME MULTILATÉRAL MONDIAL DE PARTAGE DES AVANTAGES (ARTICLE 10) DU PROTOCOLE DE NAGOYA</w:t>
      </w:r>
    </w:p>
    <w:p w:rsidR="004F6661" w:rsidRPr="00F76BAE" w:rsidRDefault="006C72FA" w:rsidP="00F76BAE">
      <w:pPr>
        <w:pStyle w:val="Heading3"/>
        <w:suppressLineNumbers/>
        <w:suppressAutoHyphens/>
        <w:rPr>
          <w:kern w:val="22"/>
          <w:szCs w:val="22"/>
        </w:rPr>
      </w:pPr>
      <w:bookmarkStart w:id="1" w:name="_Toc503433358"/>
      <w:bookmarkStart w:id="2" w:name="_Toc26277618"/>
      <w:r w:rsidRPr="005879DC">
        <w:rPr>
          <w:kern w:val="22"/>
          <w:szCs w:val="22"/>
          <w:lang w:val="fr-CA"/>
        </w:rPr>
        <w:t xml:space="preserve">Note </w:t>
      </w:r>
      <w:bookmarkEnd w:id="1"/>
      <w:bookmarkEnd w:id="2"/>
      <w:r w:rsidRPr="005879DC">
        <w:rPr>
          <w:kern w:val="22"/>
          <w:szCs w:val="22"/>
          <w:lang w:val="fr-CA"/>
        </w:rPr>
        <w:t>de la Secrétaire exécutive</w:t>
      </w:r>
    </w:p>
    <w:p w:rsidR="004F6661" w:rsidRPr="00F76BAE" w:rsidRDefault="004F6661" w:rsidP="00F76BAE">
      <w:pPr>
        <w:pStyle w:val="Heading1longmultiline"/>
        <w:numPr>
          <w:ilvl w:val="0"/>
          <w:numId w:val="13"/>
        </w:numPr>
        <w:suppressLineNumbers/>
        <w:tabs>
          <w:tab w:val="clear" w:pos="720"/>
          <w:tab w:val="left" w:pos="284"/>
        </w:tabs>
        <w:suppressAutoHyphens/>
        <w:spacing w:before="120"/>
        <w:ind w:left="0" w:firstLine="0"/>
        <w:jc w:val="center"/>
        <w:rPr>
          <w:kern w:val="22"/>
          <w:szCs w:val="22"/>
        </w:rPr>
      </w:pPr>
      <w:bookmarkStart w:id="3" w:name="_Toc26277619"/>
      <w:r w:rsidRPr="00F76BAE">
        <w:rPr>
          <w:kern w:val="22"/>
          <w:szCs w:val="22"/>
        </w:rPr>
        <w:t>Introduction</w:t>
      </w:r>
      <w:bookmarkEnd w:id="3"/>
    </w:p>
    <w:bookmarkEnd w:id="0"/>
    <w:p w:rsidR="004F6661" w:rsidRPr="001D35D1" w:rsidRDefault="006C72FA" w:rsidP="00F76BAE">
      <w:pPr>
        <w:pStyle w:val="Para1"/>
        <w:numPr>
          <w:ilvl w:val="0"/>
          <w:numId w:val="2"/>
        </w:numPr>
        <w:suppressLineNumbers/>
        <w:tabs>
          <w:tab w:val="clear" w:pos="360"/>
          <w:tab w:val="left" w:pos="720"/>
        </w:tabs>
        <w:suppressAutoHyphens/>
        <w:spacing w:before="0"/>
        <w:rPr>
          <w:kern w:val="22"/>
          <w:szCs w:val="22"/>
          <w:lang w:val="fr-CA"/>
        </w:rPr>
      </w:pPr>
      <w:r w:rsidRPr="005879DC">
        <w:rPr>
          <w:kern w:val="22"/>
          <w:lang w:val="fr-CA"/>
        </w:rPr>
        <w:t>L</w:t>
      </w:r>
      <w:r w:rsidR="0069339F">
        <w:rPr>
          <w:kern w:val="22"/>
          <w:lang w:val="fr-CA"/>
        </w:rPr>
        <w:t>’</w:t>
      </w:r>
      <w:r w:rsidRPr="005879DC">
        <w:rPr>
          <w:kern w:val="22"/>
          <w:lang w:val="fr-CA"/>
        </w:rPr>
        <w:t>article 10 du Protocole de Nagoya sur l</w:t>
      </w:r>
      <w:r w:rsidR="0069339F">
        <w:rPr>
          <w:kern w:val="22"/>
          <w:lang w:val="fr-CA"/>
        </w:rPr>
        <w:t>’</w:t>
      </w:r>
      <w:r w:rsidRPr="005879DC">
        <w:rPr>
          <w:kern w:val="22"/>
          <w:lang w:val="fr-CA"/>
        </w:rPr>
        <w:t>accès aux ressources génétiques et le partage juste et équitable des avantages découlant de leur utilisation se lit comme suit :</w:t>
      </w:r>
    </w:p>
    <w:p w:rsidR="004F6661" w:rsidRPr="001D35D1" w:rsidRDefault="006C72FA" w:rsidP="00F76BAE">
      <w:pPr>
        <w:pStyle w:val="Para1"/>
        <w:suppressLineNumbers/>
        <w:suppressAutoHyphens/>
        <w:ind w:left="720"/>
        <w:rPr>
          <w:snapToGrid/>
          <w:kern w:val="22"/>
          <w:szCs w:val="22"/>
          <w:lang w:val="fr-CA"/>
        </w:rPr>
      </w:pPr>
      <w:r w:rsidRPr="005879DC">
        <w:rPr>
          <w:lang w:val="fr-CA"/>
        </w:rPr>
        <w:t>Les Parties considèrent la nécessité et les modalités d</w:t>
      </w:r>
      <w:r w:rsidR="0069339F">
        <w:rPr>
          <w:lang w:val="fr-CA"/>
        </w:rPr>
        <w:t>’</w:t>
      </w:r>
      <w:r w:rsidRPr="005879DC">
        <w:rPr>
          <w:lang w:val="fr-CA"/>
        </w:rPr>
        <w:t>un mécanisme multilatéral mondial de partage des avantages pour traiter le partage juste et équitable des avantages résultant de l</w:t>
      </w:r>
      <w:r w:rsidR="0069339F">
        <w:rPr>
          <w:lang w:val="fr-CA"/>
        </w:rPr>
        <w:t>’</w:t>
      </w:r>
      <w:r w:rsidRPr="005879DC">
        <w:rPr>
          <w:lang w:val="fr-CA"/>
        </w:rPr>
        <w:t>utilisation des ressources génétiques et des connaissances traditionnelles associées aux ressources génétiques qui se trouvent dans des situations transfrontières ou pour lesquelles il n</w:t>
      </w:r>
      <w:r w:rsidR="0069339F">
        <w:rPr>
          <w:lang w:val="fr-CA"/>
        </w:rPr>
        <w:t>’</w:t>
      </w:r>
      <w:r w:rsidRPr="005879DC">
        <w:rPr>
          <w:lang w:val="fr-CA"/>
        </w:rPr>
        <w:t>est pas possible d</w:t>
      </w:r>
      <w:r w:rsidR="0069339F">
        <w:rPr>
          <w:lang w:val="fr-CA"/>
        </w:rPr>
        <w:t>’</w:t>
      </w:r>
      <w:r w:rsidRPr="005879DC">
        <w:rPr>
          <w:lang w:val="fr-CA"/>
        </w:rPr>
        <w:t>accorder ou d</w:t>
      </w:r>
      <w:r w:rsidR="0069339F">
        <w:rPr>
          <w:lang w:val="fr-CA"/>
        </w:rPr>
        <w:t>’</w:t>
      </w:r>
      <w:r w:rsidRPr="005879DC">
        <w:rPr>
          <w:lang w:val="fr-CA"/>
        </w:rPr>
        <w:t>obtenir le consentement préalable donné en connaissance de cause. Les avantages partagés par les utilisateurs de ressources génétiques et de connaissances traditionnelles associées aux ressources génétiques par l</w:t>
      </w:r>
      <w:r w:rsidR="0069339F">
        <w:rPr>
          <w:lang w:val="fr-CA"/>
        </w:rPr>
        <w:t>’</w:t>
      </w:r>
      <w:r w:rsidRPr="005879DC">
        <w:rPr>
          <w:lang w:val="fr-CA"/>
        </w:rPr>
        <w:t>intermédiaire de ce mécanisme sont utilisés pour soutenir la conservation de la diversité biologique et l</w:t>
      </w:r>
      <w:r w:rsidR="0069339F">
        <w:rPr>
          <w:lang w:val="fr-CA"/>
        </w:rPr>
        <w:t>’</w:t>
      </w:r>
      <w:r w:rsidRPr="005879DC">
        <w:rPr>
          <w:lang w:val="fr-CA"/>
        </w:rPr>
        <w:t>utilisation durable de ses éléments constitutifs</w:t>
      </w:r>
      <w:r w:rsidR="004F6661" w:rsidRPr="001D35D1">
        <w:rPr>
          <w:snapToGrid/>
          <w:kern w:val="22"/>
          <w:szCs w:val="22"/>
          <w:lang w:val="fr-CA"/>
        </w:rPr>
        <w:t>.</w:t>
      </w:r>
    </w:p>
    <w:p w:rsidR="004F6661" w:rsidRPr="001D35D1" w:rsidRDefault="006C72FA" w:rsidP="00F76BAE">
      <w:pPr>
        <w:pStyle w:val="Para1"/>
        <w:numPr>
          <w:ilvl w:val="0"/>
          <w:numId w:val="2"/>
        </w:numPr>
        <w:suppressLineNumbers/>
        <w:tabs>
          <w:tab w:val="clear" w:pos="360"/>
          <w:tab w:val="left" w:pos="720"/>
        </w:tabs>
        <w:suppressAutoHyphens/>
        <w:spacing w:before="0"/>
        <w:rPr>
          <w:kern w:val="22"/>
          <w:szCs w:val="22"/>
          <w:lang w:val="fr-CA"/>
        </w:rPr>
      </w:pPr>
      <w:r w:rsidRPr="005879DC">
        <w:rPr>
          <w:lang w:val="fr-CA"/>
        </w:rPr>
        <w:t>La Conférence des Parties siégeant en tant que Réunion des Parties au Protocole de Nagoya sur l</w:t>
      </w:r>
      <w:r w:rsidR="0069339F">
        <w:rPr>
          <w:lang w:val="fr-CA"/>
        </w:rPr>
        <w:t>’</w:t>
      </w:r>
      <w:r w:rsidRPr="005879DC">
        <w:rPr>
          <w:lang w:val="fr-CA"/>
        </w:rPr>
        <w:t>accès et le partage des avantages a considéré la nécessité et les modalités d</w:t>
      </w:r>
      <w:r w:rsidR="0069339F">
        <w:rPr>
          <w:lang w:val="fr-CA"/>
        </w:rPr>
        <w:t>’</w:t>
      </w:r>
      <w:r w:rsidRPr="005879DC">
        <w:rPr>
          <w:lang w:val="fr-CA"/>
        </w:rPr>
        <w:t>un mécanisme multilatéral mondial de partage des avantages (article 10) à ses première, deuxième et troisième réunions, où elle a adopté les décisions </w:t>
      </w:r>
      <w:hyperlink r:id="rId15" w:history="1">
        <w:r w:rsidRPr="005879DC">
          <w:rPr>
            <w:rStyle w:val="Hyperlink"/>
            <w:lang w:val="fr-CA"/>
          </w:rPr>
          <w:t>NP</w:t>
        </w:r>
        <w:r w:rsidR="0069339F">
          <w:rPr>
            <w:rStyle w:val="Hyperlink"/>
            <w:lang w:val="fr-CA"/>
          </w:rPr>
          <w:noBreakHyphen/>
        </w:r>
        <w:r w:rsidRPr="005879DC">
          <w:rPr>
            <w:rStyle w:val="Hyperlink"/>
            <w:lang w:val="fr-CA"/>
          </w:rPr>
          <w:t>1/10</w:t>
        </w:r>
      </w:hyperlink>
      <w:r w:rsidRPr="005879DC">
        <w:rPr>
          <w:lang w:val="fr-CA"/>
        </w:rPr>
        <w:t xml:space="preserve"> </w:t>
      </w:r>
      <w:r w:rsidRPr="005879DC">
        <w:rPr>
          <w:kern w:val="22"/>
          <w:lang w:val="fr-CA"/>
        </w:rPr>
        <w:t xml:space="preserve">, </w:t>
      </w:r>
      <w:hyperlink r:id="rId16" w:history="1">
        <w:r w:rsidRPr="005879DC">
          <w:rPr>
            <w:rStyle w:val="Hyperlink"/>
            <w:lang w:val="fr-CA"/>
          </w:rPr>
          <w:t>NP</w:t>
        </w:r>
        <w:r w:rsidR="0069339F">
          <w:rPr>
            <w:rStyle w:val="Hyperlink"/>
            <w:lang w:val="fr-CA"/>
          </w:rPr>
          <w:noBreakHyphen/>
        </w:r>
        <w:r w:rsidRPr="005879DC">
          <w:rPr>
            <w:rStyle w:val="Hyperlink"/>
            <w:lang w:val="fr-CA"/>
          </w:rPr>
          <w:t>2/10</w:t>
        </w:r>
      </w:hyperlink>
      <w:r w:rsidRPr="005879DC">
        <w:rPr>
          <w:lang w:val="fr-CA"/>
        </w:rPr>
        <w:t xml:space="preserve"> </w:t>
      </w:r>
      <w:r w:rsidRPr="005879DC">
        <w:rPr>
          <w:kern w:val="22"/>
          <w:lang w:val="fr-CA"/>
        </w:rPr>
        <w:t>et</w:t>
      </w:r>
      <w:r w:rsidRPr="005879DC">
        <w:rPr>
          <w:lang w:val="fr-CA"/>
        </w:rPr>
        <w:t xml:space="preserve"> </w:t>
      </w:r>
      <w:hyperlink r:id="rId17" w:history="1">
        <w:r w:rsidRPr="005879DC">
          <w:rPr>
            <w:rStyle w:val="Hyperlink"/>
            <w:lang w:val="fr-CA"/>
          </w:rPr>
          <w:t>NP</w:t>
        </w:r>
        <w:r w:rsidR="0069339F">
          <w:rPr>
            <w:rStyle w:val="Hyperlink"/>
            <w:lang w:val="fr-CA"/>
          </w:rPr>
          <w:noBreakHyphen/>
        </w:r>
        <w:r w:rsidRPr="005879DC">
          <w:rPr>
            <w:rStyle w:val="Hyperlink"/>
            <w:lang w:val="fr-CA"/>
          </w:rPr>
          <w:t>3/13</w:t>
        </w:r>
      </w:hyperlink>
      <w:r w:rsidRPr="005879DC">
        <w:rPr>
          <w:lang w:val="fr-CA"/>
        </w:rPr>
        <w:t xml:space="preserve"> </w:t>
      </w:r>
      <w:r w:rsidRPr="005879DC">
        <w:rPr>
          <w:kern w:val="22"/>
          <w:lang w:val="fr-CA"/>
        </w:rPr>
        <w:t xml:space="preserve"> respectivement. Dans la décision </w:t>
      </w:r>
      <w:hyperlink r:id="rId18" w:history="1">
        <w:r w:rsidRPr="005879DC">
          <w:rPr>
            <w:rFonts w:cs="Angsana New"/>
            <w:kern w:val="22"/>
            <w:lang w:val="fr-CA"/>
          </w:rPr>
          <w:t>NP</w:t>
        </w:r>
        <w:r w:rsidR="0069339F">
          <w:rPr>
            <w:rFonts w:cs="Angsana New"/>
            <w:kern w:val="22"/>
            <w:lang w:val="fr-CA"/>
          </w:rPr>
          <w:noBreakHyphen/>
        </w:r>
        <w:r w:rsidRPr="005879DC">
          <w:rPr>
            <w:rFonts w:cs="Angsana New"/>
            <w:kern w:val="22"/>
            <w:lang w:val="fr-CA"/>
          </w:rPr>
          <w:t>3/13</w:t>
        </w:r>
      </w:hyperlink>
      <w:r w:rsidRPr="005879DC">
        <w:rPr>
          <w:lang w:val="fr-CA"/>
        </w:rPr>
        <w:t>, les Parties e</w:t>
      </w:r>
      <w:r w:rsidRPr="005879DC">
        <w:rPr>
          <w:iCs/>
          <w:lang w:val="fr-CA"/>
        </w:rPr>
        <w:t>stiment</w:t>
      </w:r>
      <w:r w:rsidRPr="005879DC">
        <w:rPr>
          <w:i/>
          <w:iCs/>
          <w:lang w:val="fr-CA"/>
        </w:rPr>
        <w:t xml:space="preserve"> </w:t>
      </w:r>
      <w:r w:rsidRPr="005879DC">
        <w:rPr>
          <w:lang w:val="fr-CA"/>
        </w:rPr>
        <w:t>que plus d</w:t>
      </w:r>
      <w:r w:rsidR="0069339F">
        <w:rPr>
          <w:lang w:val="fr-CA"/>
        </w:rPr>
        <w:t>’</w:t>
      </w:r>
      <w:r w:rsidRPr="005879DC">
        <w:rPr>
          <w:lang w:val="fr-CA"/>
        </w:rPr>
        <w:t>informations sur des cas spécifiques relatifs aux ressources génétiques et aux connaissances traditionnelles associées à des ressources génétiques dans des situations transfrontières ou pour lesquelles il n</w:t>
      </w:r>
      <w:r w:rsidR="0069339F">
        <w:rPr>
          <w:lang w:val="fr-CA"/>
        </w:rPr>
        <w:t>’</w:t>
      </w:r>
      <w:r w:rsidRPr="005879DC">
        <w:rPr>
          <w:lang w:val="fr-CA"/>
        </w:rPr>
        <w:t>est pas possible d</w:t>
      </w:r>
      <w:r w:rsidR="0069339F">
        <w:rPr>
          <w:lang w:val="fr-CA"/>
        </w:rPr>
        <w:t>’</w:t>
      </w:r>
      <w:r>
        <w:rPr>
          <w:lang w:val="fr-CA"/>
        </w:rPr>
        <w:t>octroyer</w:t>
      </w:r>
      <w:r w:rsidRPr="005879DC">
        <w:rPr>
          <w:lang w:val="fr-CA"/>
        </w:rPr>
        <w:t xml:space="preserve"> ou d</w:t>
      </w:r>
      <w:r w:rsidR="0069339F">
        <w:rPr>
          <w:lang w:val="fr-CA"/>
        </w:rPr>
        <w:t>’</w:t>
      </w:r>
      <w:r w:rsidRPr="005879DC">
        <w:rPr>
          <w:lang w:val="fr-CA"/>
        </w:rPr>
        <w:t>obtenir un consentement préalable en connaissance de cause, accompagnées d</w:t>
      </w:r>
      <w:r w:rsidR="0069339F">
        <w:rPr>
          <w:lang w:val="fr-CA"/>
        </w:rPr>
        <w:t>’</w:t>
      </w:r>
      <w:r w:rsidRPr="005879DC">
        <w:rPr>
          <w:lang w:val="fr-CA"/>
        </w:rPr>
        <w:t>une explication sur les raisons pour lesquelles ces cas ne peuvent pas être couverts au titre de l</w:t>
      </w:r>
      <w:r w:rsidR="0069339F">
        <w:rPr>
          <w:lang w:val="fr-CA"/>
        </w:rPr>
        <w:t>’</w:t>
      </w:r>
      <w:r w:rsidRPr="005879DC">
        <w:rPr>
          <w:lang w:val="fr-CA"/>
        </w:rPr>
        <w:t>approche bilatérale du Protocole de Nagoya ainsi que des options pour aborder ces cas, y compris par le biais d</w:t>
      </w:r>
      <w:r w:rsidR="0069339F">
        <w:rPr>
          <w:lang w:val="fr-CA"/>
        </w:rPr>
        <w:t>’</w:t>
      </w:r>
      <w:r w:rsidRPr="005879DC">
        <w:rPr>
          <w:lang w:val="fr-CA"/>
        </w:rPr>
        <w:t>un mécanisme multilatéral mondial de partage des avantages, seraient utiles dans l</w:t>
      </w:r>
      <w:r w:rsidR="0069339F">
        <w:rPr>
          <w:lang w:val="fr-CA"/>
        </w:rPr>
        <w:t>’</w:t>
      </w:r>
      <w:r w:rsidRPr="005879DC">
        <w:rPr>
          <w:lang w:val="fr-CA"/>
        </w:rPr>
        <w:t>examen de l</w:t>
      </w:r>
      <w:r w:rsidR="0069339F">
        <w:rPr>
          <w:lang w:val="fr-CA"/>
        </w:rPr>
        <w:t>’</w:t>
      </w:r>
      <w:r w:rsidRPr="005879DC">
        <w:rPr>
          <w:lang w:val="fr-CA"/>
        </w:rPr>
        <w:t>article 10</w:t>
      </w:r>
      <w:r w:rsidR="004F6661" w:rsidRPr="001D35D1">
        <w:rPr>
          <w:kern w:val="22"/>
          <w:szCs w:val="22"/>
          <w:lang w:val="fr-CA"/>
        </w:rPr>
        <w:t>.</w:t>
      </w:r>
    </w:p>
    <w:p w:rsidR="004F6661" w:rsidRPr="001D35D1" w:rsidRDefault="006C72FA" w:rsidP="00F76BAE">
      <w:pPr>
        <w:pStyle w:val="Para1"/>
        <w:numPr>
          <w:ilvl w:val="0"/>
          <w:numId w:val="2"/>
        </w:numPr>
        <w:suppressLineNumbers/>
        <w:tabs>
          <w:tab w:val="clear" w:pos="360"/>
          <w:tab w:val="left" w:pos="720"/>
        </w:tabs>
        <w:suppressAutoHyphens/>
        <w:spacing w:before="0"/>
        <w:rPr>
          <w:kern w:val="22"/>
          <w:szCs w:val="22"/>
          <w:lang w:val="fr-CA"/>
        </w:rPr>
      </w:pPr>
      <w:r w:rsidRPr="005879DC">
        <w:rPr>
          <w:kern w:val="22"/>
          <w:lang w:val="fr-CA"/>
        </w:rPr>
        <w:t>Afin de faciliter cet examen, la Réunion des Parties au Protocole a invité les Parties, les autres gouvernements, les peuples autochtones et les communautés locales, les parties prenantes et les organisations concernées à soumettre à la Secrétaire exécutive : a) des informations sur des cas spécifiques qui pourraient appuyer le besoin d</w:t>
      </w:r>
      <w:r w:rsidR="0069339F">
        <w:rPr>
          <w:kern w:val="22"/>
          <w:lang w:val="fr-CA"/>
        </w:rPr>
        <w:t>’</w:t>
      </w:r>
      <w:r w:rsidRPr="005879DC">
        <w:rPr>
          <w:kern w:val="22"/>
          <w:lang w:val="fr-CA"/>
        </w:rPr>
        <w:t>un mécanisme multilatéral mondial de partage des avantages qui ne sont pas couverts au titre de l</w:t>
      </w:r>
      <w:r w:rsidR="0069339F">
        <w:rPr>
          <w:kern w:val="22"/>
          <w:lang w:val="fr-CA"/>
        </w:rPr>
        <w:t>’</w:t>
      </w:r>
      <w:r w:rsidRPr="005879DC">
        <w:rPr>
          <w:kern w:val="22"/>
          <w:lang w:val="fr-CA"/>
        </w:rPr>
        <w:t>approche bilatérale, accompagnés des raisons pour lesquelles ces cas ne peuvent pas être couverts au titre de l</w:t>
      </w:r>
      <w:r w:rsidR="0069339F">
        <w:rPr>
          <w:kern w:val="22"/>
          <w:lang w:val="fr-CA"/>
        </w:rPr>
        <w:t>’</w:t>
      </w:r>
      <w:r w:rsidRPr="005879DC">
        <w:rPr>
          <w:kern w:val="22"/>
          <w:lang w:val="fr-CA"/>
        </w:rPr>
        <w:t xml:space="preserve">approche bilatérale établie dans le Protocole de Nagoya </w:t>
      </w:r>
      <w:r w:rsidRPr="005879DC">
        <w:rPr>
          <w:lang w:val="fr-CA"/>
        </w:rPr>
        <w:t>et b) des options pour de possibles modalités pour aborder ces cas, y compris par le biais d</w:t>
      </w:r>
      <w:r w:rsidR="0069339F">
        <w:rPr>
          <w:lang w:val="fr-CA"/>
        </w:rPr>
        <w:t>’</w:t>
      </w:r>
      <w:r w:rsidRPr="005879DC">
        <w:rPr>
          <w:lang w:val="fr-CA"/>
        </w:rPr>
        <w:t>un mécanisme multilatéral mondial de partage des avantages</w:t>
      </w:r>
      <w:r w:rsidRPr="005879DC">
        <w:rPr>
          <w:kern w:val="22"/>
          <w:lang w:val="fr-CA"/>
        </w:rPr>
        <w:t xml:space="preserve"> (décision NP</w:t>
      </w:r>
      <w:r w:rsidR="0069339F">
        <w:rPr>
          <w:kern w:val="22"/>
          <w:lang w:val="fr-CA"/>
        </w:rPr>
        <w:noBreakHyphen/>
      </w:r>
      <w:r w:rsidRPr="005879DC">
        <w:rPr>
          <w:kern w:val="22"/>
          <w:lang w:val="fr-CA"/>
        </w:rPr>
        <w:t>3/13, par. 4)</w:t>
      </w:r>
      <w:r w:rsidR="004F6661" w:rsidRPr="001D35D1">
        <w:rPr>
          <w:kern w:val="22"/>
          <w:szCs w:val="22"/>
          <w:lang w:val="fr-CA"/>
        </w:rPr>
        <w:t>.</w:t>
      </w:r>
    </w:p>
    <w:p w:rsidR="004F6661" w:rsidRPr="001D35D1" w:rsidRDefault="00F619EB" w:rsidP="00F76BAE">
      <w:pPr>
        <w:pStyle w:val="Para1"/>
        <w:numPr>
          <w:ilvl w:val="0"/>
          <w:numId w:val="2"/>
        </w:numPr>
        <w:suppressLineNumbers/>
        <w:tabs>
          <w:tab w:val="clear" w:pos="360"/>
          <w:tab w:val="left" w:pos="720"/>
        </w:tabs>
        <w:suppressAutoHyphens/>
        <w:spacing w:before="0"/>
        <w:rPr>
          <w:kern w:val="22"/>
          <w:szCs w:val="22"/>
          <w:lang w:val="fr-CA"/>
        </w:rPr>
      </w:pPr>
      <w:r w:rsidRPr="005879DC">
        <w:rPr>
          <w:rFonts w:eastAsiaTheme="minorHAnsi"/>
          <w:lang w:val="fr-CA"/>
        </w:rPr>
        <w:lastRenderedPageBreak/>
        <w:t xml:space="preserve">La </w:t>
      </w:r>
      <w:r>
        <w:rPr>
          <w:rFonts w:eastAsiaTheme="minorHAnsi"/>
          <w:lang w:val="fr-CA"/>
        </w:rPr>
        <w:t xml:space="preserve">Conférence des Parties siégeant en tant que Réunion des Parties au Protocole </w:t>
      </w:r>
      <w:r w:rsidRPr="005879DC">
        <w:rPr>
          <w:rFonts w:eastAsiaTheme="minorHAnsi"/>
          <w:lang w:val="fr-CA"/>
        </w:rPr>
        <w:t>a prié la Secrétaire exécutive de compiler et de synthétiser les informations reçues (</w:t>
      </w:r>
      <w:r w:rsidRPr="005879DC">
        <w:rPr>
          <w:snapToGrid/>
          <w:kern w:val="22"/>
          <w:lang w:val="fr-CA"/>
        </w:rPr>
        <w:t>décision NP</w:t>
      </w:r>
      <w:r w:rsidR="0069339F">
        <w:rPr>
          <w:snapToGrid/>
          <w:kern w:val="22"/>
          <w:lang w:val="fr-CA"/>
        </w:rPr>
        <w:noBreakHyphen/>
      </w:r>
      <w:r w:rsidRPr="005879DC">
        <w:rPr>
          <w:snapToGrid/>
          <w:kern w:val="22"/>
          <w:lang w:val="fr-CA"/>
        </w:rPr>
        <w:t>3/13, par. 5)</w:t>
      </w:r>
      <w:r w:rsidR="004F6661" w:rsidRPr="001D35D1">
        <w:rPr>
          <w:snapToGrid/>
          <w:kern w:val="22"/>
          <w:szCs w:val="22"/>
          <w:lang w:val="fr-CA"/>
        </w:rPr>
        <w:t>.</w:t>
      </w:r>
    </w:p>
    <w:p w:rsidR="004F6661" w:rsidRPr="001D35D1" w:rsidRDefault="00A82EF3" w:rsidP="00F76BAE">
      <w:pPr>
        <w:pStyle w:val="Para1"/>
        <w:numPr>
          <w:ilvl w:val="0"/>
          <w:numId w:val="2"/>
        </w:numPr>
        <w:suppressLineNumbers/>
        <w:tabs>
          <w:tab w:val="clear" w:pos="360"/>
          <w:tab w:val="left" w:pos="720"/>
        </w:tabs>
        <w:suppressAutoHyphens/>
        <w:spacing w:before="0"/>
        <w:rPr>
          <w:kern w:val="22"/>
          <w:szCs w:val="22"/>
          <w:lang w:val="fr-CA"/>
        </w:rPr>
      </w:pPr>
      <w:r w:rsidRPr="005879DC">
        <w:rPr>
          <w:snapToGrid/>
          <w:kern w:val="22"/>
          <w:lang w:val="fr-CA"/>
        </w:rPr>
        <w:t>Par le biais de la notification 2019</w:t>
      </w:r>
      <w:r w:rsidR="0069339F">
        <w:rPr>
          <w:snapToGrid/>
          <w:kern w:val="22"/>
          <w:lang w:val="fr-CA"/>
        </w:rPr>
        <w:noBreakHyphen/>
      </w:r>
      <w:r w:rsidRPr="005879DC">
        <w:rPr>
          <w:snapToGrid/>
          <w:kern w:val="22"/>
          <w:lang w:val="fr-CA"/>
        </w:rPr>
        <w:t>024 du 25 février 2019, la Secrétaire exécutive a invité la soumission d</w:t>
      </w:r>
      <w:r w:rsidR="0069339F">
        <w:rPr>
          <w:snapToGrid/>
          <w:kern w:val="22"/>
          <w:lang w:val="fr-CA"/>
        </w:rPr>
        <w:t>’</w:t>
      </w:r>
      <w:r w:rsidRPr="005879DC">
        <w:rPr>
          <w:snapToGrid/>
          <w:kern w:val="22"/>
          <w:lang w:val="fr-CA"/>
        </w:rPr>
        <w:t>informations en application de la décision NP</w:t>
      </w:r>
      <w:r w:rsidR="0069339F">
        <w:rPr>
          <w:snapToGrid/>
          <w:kern w:val="22"/>
          <w:lang w:val="fr-CA"/>
        </w:rPr>
        <w:noBreakHyphen/>
      </w:r>
      <w:r w:rsidRPr="005879DC">
        <w:rPr>
          <w:snapToGrid/>
          <w:kern w:val="22"/>
          <w:lang w:val="fr-CA"/>
        </w:rPr>
        <w:t>3/13. L</w:t>
      </w:r>
      <w:r w:rsidR="0069339F">
        <w:rPr>
          <w:snapToGrid/>
          <w:kern w:val="22"/>
          <w:lang w:val="fr-CA"/>
        </w:rPr>
        <w:t>’</w:t>
      </w:r>
      <w:r w:rsidRPr="005879DC">
        <w:rPr>
          <w:snapToGrid/>
          <w:kern w:val="22"/>
          <w:lang w:val="fr-CA"/>
        </w:rPr>
        <w:t xml:space="preserve">échéance pour la soumission a été prolongée par le biais de la </w:t>
      </w:r>
      <w:r w:rsidRPr="005879DC">
        <w:rPr>
          <w:noProof/>
          <w:snapToGrid/>
          <w:kern w:val="22"/>
          <w:lang w:val="fr-CA"/>
        </w:rPr>
        <w:t>notification 2019</w:t>
      </w:r>
      <w:r w:rsidR="0069339F">
        <w:rPr>
          <w:noProof/>
          <w:snapToGrid/>
          <w:kern w:val="22"/>
          <w:lang w:val="fr-CA"/>
        </w:rPr>
        <w:noBreakHyphen/>
      </w:r>
      <w:r w:rsidRPr="005879DC">
        <w:rPr>
          <w:noProof/>
          <w:snapToGrid/>
          <w:kern w:val="22"/>
          <w:lang w:val="fr-CA"/>
        </w:rPr>
        <w:t>059 du 15 juillet 2019. Des informations ont été reçues de six Parties au Protocole de Nagoya : Bélarus, Éthiopie, Guinée</w:t>
      </w:r>
      <w:r w:rsidR="0069339F">
        <w:rPr>
          <w:noProof/>
          <w:snapToGrid/>
          <w:kern w:val="22"/>
          <w:lang w:val="fr-CA"/>
        </w:rPr>
        <w:noBreakHyphen/>
      </w:r>
      <w:r w:rsidRPr="005879DC">
        <w:rPr>
          <w:noProof/>
          <w:snapToGrid/>
          <w:kern w:val="22"/>
          <w:lang w:val="fr-CA"/>
        </w:rPr>
        <w:t>Bissau, Inde, Madagascar et Mexique. Des informations ont également été reçues de trois non</w:t>
      </w:r>
      <w:r w:rsidR="0069339F">
        <w:rPr>
          <w:noProof/>
          <w:snapToGrid/>
          <w:kern w:val="22"/>
          <w:lang w:val="fr-CA"/>
        </w:rPr>
        <w:noBreakHyphen/>
      </w:r>
      <w:r w:rsidRPr="005879DC">
        <w:rPr>
          <w:noProof/>
          <w:snapToGrid/>
          <w:kern w:val="22"/>
          <w:lang w:val="fr-CA"/>
        </w:rPr>
        <w:t>Parties au Protocole : Australie, Iran (République islamique d</w:t>
      </w:r>
      <w:r w:rsidR="0069339F">
        <w:rPr>
          <w:noProof/>
          <w:snapToGrid/>
          <w:kern w:val="22"/>
          <w:lang w:val="fr-CA"/>
        </w:rPr>
        <w:t>’</w:t>
      </w:r>
      <w:r w:rsidRPr="005879DC">
        <w:rPr>
          <w:noProof/>
          <w:snapToGrid/>
          <w:kern w:val="22"/>
          <w:lang w:val="fr-CA"/>
        </w:rPr>
        <w:t>) et Nigéria. Par ailleurs, des soumissions ont été reçues de quatre organisations et parties prenantes :</w:t>
      </w:r>
      <w:r>
        <w:rPr>
          <w:noProof/>
          <w:snapToGrid/>
          <w:kern w:val="22"/>
          <w:lang w:val="fr-CA"/>
        </w:rPr>
        <w:t xml:space="preserve"> </w:t>
      </w:r>
      <w:r w:rsidRPr="005879DC">
        <w:rPr>
          <w:noProof/>
          <w:snapToGrid/>
          <w:kern w:val="22"/>
          <w:lang w:val="fr-CA"/>
        </w:rPr>
        <w:t xml:space="preserve">Union africaine, </w:t>
      </w:r>
      <w:r w:rsidRPr="005879DC">
        <w:rPr>
          <w:rStyle w:val="preferred"/>
          <w:noProof/>
          <w:lang w:val="fr-CA"/>
        </w:rPr>
        <w:t xml:space="preserve">Traité </w:t>
      </w:r>
      <w:r w:rsidRPr="005879DC">
        <w:rPr>
          <w:rStyle w:val="Emphasis"/>
          <w:i w:val="0"/>
          <w:noProof/>
          <w:lang w:val="fr-CA"/>
        </w:rPr>
        <w:t>international</w:t>
      </w:r>
      <w:r w:rsidRPr="005879DC">
        <w:rPr>
          <w:rStyle w:val="preferred"/>
          <w:noProof/>
          <w:lang w:val="fr-CA"/>
        </w:rPr>
        <w:t xml:space="preserve"> sur les ressources phytogénétiques pour l</w:t>
      </w:r>
      <w:r w:rsidR="0069339F">
        <w:rPr>
          <w:rStyle w:val="preferred"/>
          <w:noProof/>
          <w:lang w:val="fr-CA"/>
        </w:rPr>
        <w:t>’</w:t>
      </w:r>
      <w:r w:rsidRPr="005879DC">
        <w:rPr>
          <w:rStyle w:val="preferred"/>
          <w:noProof/>
          <w:lang w:val="fr-CA"/>
        </w:rPr>
        <w:t>alimentation et l</w:t>
      </w:r>
      <w:r w:rsidR="0069339F">
        <w:rPr>
          <w:rStyle w:val="preferred"/>
          <w:noProof/>
          <w:lang w:val="fr-CA"/>
        </w:rPr>
        <w:t>’</w:t>
      </w:r>
      <w:r w:rsidRPr="005879DC">
        <w:rPr>
          <w:rStyle w:val="Emphasis"/>
          <w:i w:val="0"/>
          <w:noProof/>
          <w:lang w:val="fr-CA"/>
        </w:rPr>
        <w:t>agriculture (ITPGRFA, ci</w:t>
      </w:r>
      <w:r w:rsidR="0069339F">
        <w:rPr>
          <w:rStyle w:val="Emphasis"/>
          <w:i w:val="0"/>
          <w:noProof/>
          <w:lang w:val="fr-CA"/>
        </w:rPr>
        <w:noBreakHyphen/>
      </w:r>
      <w:r w:rsidRPr="005879DC">
        <w:rPr>
          <w:rStyle w:val="Emphasis"/>
          <w:i w:val="0"/>
          <w:noProof/>
          <w:lang w:val="fr-CA"/>
        </w:rPr>
        <w:t>après « </w:t>
      </w:r>
      <w:r>
        <w:rPr>
          <w:rStyle w:val="Emphasis"/>
          <w:i w:val="0"/>
          <w:noProof/>
          <w:lang w:val="fr-CA"/>
        </w:rPr>
        <w:t>T</w:t>
      </w:r>
      <w:r w:rsidRPr="005879DC">
        <w:rPr>
          <w:rStyle w:val="Emphasis"/>
          <w:i w:val="0"/>
          <w:noProof/>
          <w:lang w:val="fr-CA"/>
        </w:rPr>
        <w:t>raité international »), chercheurs de la</w:t>
      </w:r>
      <w:r w:rsidRPr="005879DC">
        <w:rPr>
          <w:noProof/>
          <w:kern w:val="22"/>
          <w:lang w:val="fr-CA"/>
        </w:rPr>
        <w:t xml:space="preserve"> Kerala Agricultural University et de l</w:t>
      </w:r>
      <w:r w:rsidR="0069339F">
        <w:rPr>
          <w:noProof/>
          <w:kern w:val="22"/>
          <w:lang w:val="fr-CA"/>
        </w:rPr>
        <w:t>’</w:t>
      </w:r>
      <w:r w:rsidRPr="005879DC">
        <w:rPr>
          <w:noProof/>
          <w:kern w:val="22"/>
          <w:lang w:val="fr-CA"/>
        </w:rPr>
        <w:t>Ashoka Trust for Research in Ecology and the Environment</w:t>
      </w:r>
      <w:r w:rsidRPr="005879DC">
        <w:rPr>
          <w:rStyle w:val="Emphasis"/>
          <w:i w:val="0"/>
          <w:noProof/>
          <w:lang w:val="fr-CA"/>
        </w:rPr>
        <w:t xml:space="preserve"> (Université agricole de Kerala et Fonds Ashoka pour la recherche en écologie et en environnement, ci</w:t>
      </w:r>
      <w:r w:rsidR="0069339F">
        <w:rPr>
          <w:rStyle w:val="Emphasis"/>
          <w:i w:val="0"/>
          <w:noProof/>
          <w:lang w:val="fr-CA"/>
        </w:rPr>
        <w:noBreakHyphen/>
      </w:r>
      <w:r w:rsidRPr="005879DC">
        <w:rPr>
          <w:rStyle w:val="Emphasis"/>
          <w:i w:val="0"/>
          <w:noProof/>
          <w:lang w:val="fr-CA"/>
        </w:rPr>
        <w:t>après « chercheurs</w:t>
      </w:r>
      <w:r w:rsidRPr="005879DC">
        <w:rPr>
          <w:rStyle w:val="Emphasis"/>
          <w:i w:val="0"/>
          <w:lang w:val="fr-CA"/>
        </w:rPr>
        <w:t> »), et</w:t>
      </w:r>
      <w:r w:rsidRPr="005879DC">
        <w:rPr>
          <w:snapToGrid/>
          <w:kern w:val="22"/>
          <w:lang w:val="fr-CA"/>
        </w:rPr>
        <w:t xml:space="preserve"> Société péruvienne du droit environnemental (SPDA). Le texte intégral de toutes les soumissions est disponible en ligne.</w:t>
      </w:r>
      <w:r w:rsidRPr="005879DC">
        <w:rPr>
          <w:rFonts w:cs="Angsana New"/>
          <w:kern w:val="22"/>
          <w:vertAlign w:val="superscript"/>
          <w:lang w:val="fr-CA"/>
        </w:rPr>
        <w:footnoteReference w:id="2"/>
      </w:r>
    </w:p>
    <w:p w:rsidR="004F6661" w:rsidRPr="001D35D1" w:rsidRDefault="00A82EF3" w:rsidP="00F76BAE">
      <w:pPr>
        <w:pStyle w:val="Para1"/>
        <w:numPr>
          <w:ilvl w:val="0"/>
          <w:numId w:val="2"/>
        </w:numPr>
        <w:suppressLineNumbers/>
        <w:tabs>
          <w:tab w:val="clear" w:pos="360"/>
          <w:tab w:val="left" w:pos="720"/>
        </w:tabs>
        <w:suppressAutoHyphens/>
        <w:spacing w:before="0"/>
        <w:rPr>
          <w:kern w:val="22"/>
          <w:szCs w:val="22"/>
          <w:lang w:val="fr-CA"/>
        </w:rPr>
      </w:pPr>
      <w:bookmarkStart w:id="4" w:name="_Ref48827108"/>
      <w:r w:rsidRPr="005879DC">
        <w:rPr>
          <w:snapToGrid/>
          <w:kern w:val="22"/>
          <w:lang w:val="fr-CA"/>
        </w:rPr>
        <w:t>Dans la décision NP</w:t>
      </w:r>
      <w:r w:rsidR="0069339F">
        <w:rPr>
          <w:snapToGrid/>
          <w:kern w:val="22"/>
          <w:lang w:val="fr-CA"/>
        </w:rPr>
        <w:noBreakHyphen/>
      </w:r>
      <w:r w:rsidRPr="005879DC">
        <w:rPr>
          <w:snapToGrid/>
          <w:kern w:val="22"/>
          <w:lang w:val="fr-CA"/>
        </w:rPr>
        <w:t xml:space="preserve">3/13, la Secrétaire exécutive a également été priée de commander </w:t>
      </w:r>
      <w:r w:rsidRPr="005879DC">
        <w:rPr>
          <w:rFonts w:eastAsiaTheme="minorHAnsi"/>
          <w:szCs w:val="22"/>
          <w:lang w:val="fr-CA"/>
        </w:rPr>
        <w:t>une étude évaluée par des pairs visant à recenser des cas spécifiques relatifs aux ressources génétiques et aux connaissances traditionnelles associées à des ressources génétiques dans des situations transfrontières ou pour lesquelles il s</w:t>
      </w:r>
      <w:r w:rsidR="0069339F">
        <w:rPr>
          <w:rFonts w:eastAsiaTheme="minorHAnsi"/>
          <w:szCs w:val="22"/>
          <w:lang w:val="fr-CA"/>
        </w:rPr>
        <w:t>’</w:t>
      </w:r>
      <w:r w:rsidRPr="005879DC">
        <w:rPr>
          <w:rFonts w:eastAsiaTheme="minorHAnsi"/>
          <w:szCs w:val="22"/>
          <w:lang w:val="fr-CA"/>
        </w:rPr>
        <w:t>avère impossible d</w:t>
      </w:r>
      <w:r w:rsidR="0069339F">
        <w:rPr>
          <w:rFonts w:eastAsiaTheme="minorHAnsi"/>
          <w:szCs w:val="22"/>
          <w:lang w:val="fr-CA"/>
        </w:rPr>
        <w:t>’</w:t>
      </w:r>
      <w:r w:rsidRPr="005879DC">
        <w:rPr>
          <w:rFonts w:eastAsiaTheme="minorHAnsi"/>
          <w:szCs w:val="22"/>
          <w:lang w:val="fr-CA"/>
        </w:rPr>
        <w:t>octroyer ou d</w:t>
      </w:r>
      <w:r w:rsidR="0069339F">
        <w:rPr>
          <w:rFonts w:eastAsiaTheme="minorHAnsi"/>
          <w:szCs w:val="22"/>
          <w:lang w:val="fr-CA"/>
        </w:rPr>
        <w:t>’</w:t>
      </w:r>
      <w:r w:rsidRPr="005879DC">
        <w:rPr>
          <w:rFonts w:eastAsiaTheme="minorHAnsi"/>
          <w:szCs w:val="22"/>
          <w:lang w:val="fr-CA"/>
        </w:rPr>
        <w:t>obtenir un consentement préalable en connaissance de cause (par. 5 a)). L</w:t>
      </w:r>
      <w:r w:rsidR="0069339F">
        <w:rPr>
          <w:rFonts w:eastAsiaTheme="minorHAnsi"/>
          <w:szCs w:val="22"/>
          <w:lang w:val="fr-CA"/>
        </w:rPr>
        <w:t>’</w:t>
      </w:r>
      <w:r w:rsidRPr="005879DC">
        <w:rPr>
          <w:rFonts w:eastAsiaTheme="minorHAnsi"/>
          <w:szCs w:val="22"/>
          <w:lang w:val="fr-CA"/>
        </w:rPr>
        <w:t>étude évaluée par des pairs</w:t>
      </w:r>
      <w:r>
        <w:rPr>
          <w:rFonts w:eastAsiaTheme="minorHAnsi"/>
          <w:szCs w:val="22"/>
          <w:lang w:val="fr-CA"/>
        </w:rPr>
        <w:t>,</w:t>
      </w:r>
      <w:r w:rsidRPr="005879DC">
        <w:rPr>
          <w:rFonts w:eastAsiaTheme="minorHAnsi"/>
          <w:szCs w:val="22"/>
          <w:lang w:val="fr-CA"/>
        </w:rPr>
        <w:t xml:space="preserve"> </w:t>
      </w:r>
      <w:r w:rsidRPr="005879DC">
        <w:rPr>
          <w:snapToGrid/>
          <w:kern w:val="22"/>
          <w:lang w:val="fr-CA"/>
        </w:rPr>
        <w:t>menée à bien grâce à l</w:t>
      </w:r>
      <w:r w:rsidR="0069339F">
        <w:rPr>
          <w:snapToGrid/>
          <w:kern w:val="22"/>
          <w:lang w:val="fr-CA"/>
        </w:rPr>
        <w:t>’</w:t>
      </w:r>
      <w:r w:rsidRPr="005879DC">
        <w:rPr>
          <w:snapToGrid/>
          <w:kern w:val="22"/>
          <w:lang w:val="fr-CA"/>
        </w:rPr>
        <w:t>appui financier de l</w:t>
      </w:r>
      <w:r w:rsidR="0069339F">
        <w:rPr>
          <w:snapToGrid/>
          <w:kern w:val="22"/>
          <w:lang w:val="fr-CA"/>
        </w:rPr>
        <w:t>’</w:t>
      </w:r>
      <w:r w:rsidRPr="005879DC">
        <w:rPr>
          <w:snapToGrid/>
          <w:kern w:val="22"/>
          <w:lang w:val="fr-CA"/>
        </w:rPr>
        <w:t>Afrique du Sud, de la Belg</w:t>
      </w:r>
      <w:r>
        <w:rPr>
          <w:snapToGrid/>
          <w:kern w:val="22"/>
          <w:lang w:val="fr-CA"/>
        </w:rPr>
        <w:t>ique, et de l</w:t>
      </w:r>
      <w:r w:rsidR="0069339F">
        <w:rPr>
          <w:snapToGrid/>
          <w:kern w:val="22"/>
          <w:lang w:val="fr-CA"/>
        </w:rPr>
        <w:t>’</w:t>
      </w:r>
      <w:r>
        <w:rPr>
          <w:snapToGrid/>
          <w:kern w:val="22"/>
          <w:lang w:val="fr-CA"/>
        </w:rPr>
        <w:t>Union européenne, a été publiée pour la troisième réunion de l</w:t>
      </w:r>
      <w:r w:rsidR="0069339F">
        <w:rPr>
          <w:snapToGrid/>
          <w:kern w:val="22"/>
          <w:lang w:val="fr-CA"/>
        </w:rPr>
        <w:t>’</w:t>
      </w:r>
      <w:r>
        <w:rPr>
          <w:snapToGrid/>
          <w:kern w:val="22"/>
          <w:lang w:val="fr-CA"/>
        </w:rPr>
        <w:t>Organe subsidiaire chargé de l</w:t>
      </w:r>
      <w:r w:rsidR="0069339F">
        <w:rPr>
          <w:snapToGrid/>
          <w:kern w:val="22"/>
          <w:lang w:val="fr-CA"/>
        </w:rPr>
        <w:t>’</w:t>
      </w:r>
      <w:r>
        <w:rPr>
          <w:snapToGrid/>
          <w:kern w:val="22"/>
          <w:lang w:val="fr-CA"/>
        </w:rPr>
        <w:t xml:space="preserve">application </w:t>
      </w:r>
      <w:r>
        <w:rPr>
          <w:rFonts w:eastAsiaTheme="minorHAnsi"/>
          <w:szCs w:val="22"/>
          <w:lang w:val="fr-CA"/>
        </w:rPr>
        <w:t>(</w:t>
      </w:r>
      <w:r w:rsidRPr="005879DC">
        <w:rPr>
          <w:snapToGrid/>
          <w:kern w:val="22"/>
          <w:lang w:val="fr-CA"/>
        </w:rPr>
        <w:t>CBD/SBI</w:t>
      </w:r>
      <w:r w:rsidRPr="005879DC">
        <w:rPr>
          <w:noProof/>
          <w:snapToGrid/>
          <w:kern w:val="22"/>
          <w:lang w:val="fr-CA"/>
        </w:rPr>
        <w:t>/3/15/Add.1</w:t>
      </w:r>
      <w:r>
        <w:rPr>
          <w:noProof/>
          <w:snapToGrid/>
          <w:kern w:val="22"/>
          <w:lang w:val="fr-CA"/>
        </w:rPr>
        <w:t>)</w:t>
      </w:r>
      <w:r w:rsidRPr="005879DC">
        <w:rPr>
          <w:noProof/>
          <w:snapToGrid/>
          <w:kern w:val="22"/>
          <w:lang w:val="fr-CA"/>
        </w:rPr>
        <w:t>.</w:t>
      </w:r>
      <w:bookmarkEnd w:id="4"/>
    </w:p>
    <w:p w:rsidR="00A04050" w:rsidRPr="001D35D1" w:rsidRDefault="000509D6" w:rsidP="00F76BAE">
      <w:pPr>
        <w:pStyle w:val="Para1"/>
        <w:numPr>
          <w:ilvl w:val="0"/>
          <w:numId w:val="2"/>
        </w:numPr>
        <w:suppressLineNumbers/>
        <w:tabs>
          <w:tab w:val="clear" w:pos="360"/>
          <w:tab w:val="left" w:pos="720"/>
        </w:tabs>
        <w:suppressAutoHyphens/>
        <w:spacing w:before="0"/>
        <w:rPr>
          <w:kern w:val="22"/>
          <w:szCs w:val="22"/>
          <w:lang w:val="fr-CA"/>
        </w:rPr>
      </w:pPr>
      <w:r w:rsidRPr="005879DC">
        <w:rPr>
          <w:kern w:val="22"/>
          <w:lang w:val="fr-CA"/>
        </w:rPr>
        <w:t>Les Parties au Protocole ont demandé à l</w:t>
      </w:r>
      <w:r w:rsidR="0069339F">
        <w:rPr>
          <w:kern w:val="22"/>
          <w:lang w:val="fr-CA"/>
        </w:rPr>
        <w:t>’</w:t>
      </w:r>
      <w:r w:rsidRPr="005879DC">
        <w:rPr>
          <w:kern w:val="22"/>
          <w:lang w:val="fr-CA"/>
        </w:rPr>
        <w:t>Organe subsidiaire chargé de l</w:t>
      </w:r>
      <w:r w:rsidR="0069339F">
        <w:rPr>
          <w:kern w:val="22"/>
          <w:lang w:val="fr-CA"/>
        </w:rPr>
        <w:t>’</w:t>
      </w:r>
      <w:r w:rsidRPr="005879DC">
        <w:rPr>
          <w:kern w:val="22"/>
          <w:lang w:val="fr-CA"/>
        </w:rPr>
        <w:t>application d</w:t>
      </w:r>
      <w:r w:rsidR="0069339F">
        <w:rPr>
          <w:kern w:val="22"/>
          <w:lang w:val="fr-CA"/>
        </w:rPr>
        <w:t>’</w:t>
      </w:r>
      <w:r w:rsidRPr="005879DC">
        <w:rPr>
          <w:kern w:val="22"/>
          <w:lang w:val="fr-CA"/>
        </w:rPr>
        <w:t>examiner l</w:t>
      </w:r>
      <w:r w:rsidR="0069339F">
        <w:rPr>
          <w:kern w:val="22"/>
          <w:lang w:val="fr-CA"/>
        </w:rPr>
        <w:t>’</w:t>
      </w:r>
      <w:r w:rsidRPr="005879DC">
        <w:rPr>
          <w:kern w:val="22"/>
          <w:lang w:val="fr-CA"/>
        </w:rPr>
        <w:t>étude et la synthèse en vue d</w:t>
      </w:r>
      <w:r w:rsidR="0069339F">
        <w:rPr>
          <w:kern w:val="22"/>
          <w:lang w:val="fr-CA"/>
        </w:rPr>
        <w:t>’</w:t>
      </w:r>
      <w:r w:rsidRPr="005879DC">
        <w:rPr>
          <w:kern w:val="22"/>
          <w:lang w:val="fr-CA"/>
        </w:rPr>
        <w:t>identifier : a) d</w:t>
      </w:r>
      <w:r w:rsidR="0069339F">
        <w:rPr>
          <w:kern w:val="22"/>
          <w:lang w:val="fr-CA"/>
        </w:rPr>
        <w:t>’</w:t>
      </w:r>
      <w:r w:rsidRPr="005879DC">
        <w:rPr>
          <w:kern w:val="22"/>
          <w:lang w:val="fr-CA"/>
        </w:rPr>
        <w:t>éventuels cas spécifiques qui ne peuvent être abordés par l</w:t>
      </w:r>
      <w:r w:rsidR="0069339F">
        <w:rPr>
          <w:kern w:val="22"/>
          <w:lang w:val="fr-CA"/>
        </w:rPr>
        <w:t>’</w:t>
      </w:r>
      <w:r w:rsidRPr="005879DC">
        <w:rPr>
          <w:kern w:val="22"/>
          <w:lang w:val="fr-CA"/>
        </w:rPr>
        <w:t>intermédiaire de l</w:t>
      </w:r>
      <w:r w:rsidR="0069339F">
        <w:rPr>
          <w:kern w:val="22"/>
          <w:lang w:val="fr-CA"/>
        </w:rPr>
        <w:t>’</w:t>
      </w:r>
      <w:r w:rsidRPr="005879DC">
        <w:rPr>
          <w:kern w:val="22"/>
          <w:lang w:val="fr-CA"/>
        </w:rPr>
        <w:t>approche bilatérale; et b) si recensés, des options pour aborder ces cas, y compris un mécanisme multilatéral mondial de partage des avantages, et de faire une recommandation à la Conférence des Parties siégeant en tant que Réunion des Parties au Protocole de</w:t>
      </w:r>
      <w:r>
        <w:rPr>
          <w:kern w:val="22"/>
          <w:lang w:val="fr-CA"/>
        </w:rPr>
        <w:t xml:space="preserve"> Nagoya à sa quatrième réunion</w:t>
      </w:r>
      <w:r w:rsidR="008F6207" w:rsidRPr="001D35D1">
        <w:rPr>
          <w:kern w:val="22"/>
          <w:szCs w:val="22"/>
          <w:lang w:val="fr-CA"/>
        </w:rPr>
        <w:t>.</w:t>
      </w:r>
    </w:p>
    <w:p w:rsidR="004F6661" w:rsidRPr="001D35D1" w:rsidRDefault="000509D6" w:rsidP="00F76BAE">
      <w:pPr>
        <w:pStyle w:val="Para1"/>
        <w:numPr>
          <w:ilvl w:val="0"/>
          <w:numId w:val="2"/>
        </w:numPr>
        <w:suppressLineNumbers/>
        <w:tabs>
          <w:tab w:val="clear" w:pos="360"/>
          <w:tab w:val="left" w:pos="720"/>
        </w:tabs>
        <w:suppressAutoHyphens/>
        <w:spacing w:before="0"/>
        <w:rPr>
          <w:noProof/>
          <w:snapToGrid/>
          <w:kern w:val="22"/>
          <w:szCs w:val="22"/>
          <w:lang w:val="fr-CA"/>
        </w:rPr>
      </w:pPr>
      <w:r w:rsidRPr="005879DC">
        <w:rPr>
          <w:snapToGrid/>
          <w:kern w:val="22"/>
          <w:lang w:val="fr-CA"/>
        </w:rPr>
        <w:t xml:space="preserve">Par conséquent, la </w:t>
      </w:r>
      <w:r w:rsidRPr="005879DC">
        <w:rPr>
          <w:noProof/>
          <w:snapToGrid/>
          <w:kern w:val="22"/>
          <w:lang w:val="fr-CA"/>
        </w:rPr>
        <w:t xml:space="preserve">section II </w:t>
      </w:r>
      <w:r>
        <w:rPr>
          <w:noProof/>
          <w:snapToGrid/>
          <w:kern w:val="22"/>
          <w:lang w:val="fr-CA"/>
        </w:rPr>
        <w:t>ci</w:t>
      </w:r>
      <w:r w:rsidR="0069339F">
        <w:rPr>
          <w:noProof/>
          <w:snapToGrid/>
          <w:kern w:val="22"/>
          <w:lang w:val="fr-CA"/>
        </w:rPr>
        <w:noBreakHyphen/>
      </w:r>
      <w:r>
        <w:rPr>
          <w:noProof/>
          <w:snapToGrid/>
          <w:kern w:val="22"/>
          <w:lang w:val="fr-CA"/>
        </w:rPr>
        <w:t>dessous</w:t>
      </w:r>
      <w:r w:rsidRPr="005879DC">
        <w:rPr>
          <w:noProof/>
          <w:snapToGrid/>
          <w:kern w:val="22"/>
          <w:lang w:val="fr-CA"/>
        </w:rPr>
        <w:t xml:space="preserve"> synthétise les information soumises en vertu du paragraphe 4 de la décision NP</w:t>
      </w:r>
      <w:r w:rsidR="0069339F">
        <w:rPr>
          <w:noProof/>
          <w:snapToGrid/>
          <w:kern w:val="22"/>
          <w:lang w:val="fr-CA"/>
        </w:rPr>
        <w:noBreakHyphen/>
      </w:r>
      <w:r w:rsidRPr="005879DC">
        <w:rPr>
          <w:noProof/>
          <w:snapToGrid/>
          <w:kern w:val="22"/>
          <w:lang w:val="fr-CA"/>
        </w:rPr>
        <w:t>3/13, et la section III propose certains éléments de recommandation pour la considération de l</w:t>
      </w:r>
      <w:r w:rsidR="0069339F">
        <w:rPr>
          <w:noProof/>
          <w:snapToGrid/>
          <w:kern w:val="22"/>
          <w:lang w:val="fr-CA"/>
        </w:rPr>
        <w:t>’</w:t>
      </w:r>
      <w:r w:rsidRPr="005879DC">
        <w:rPr>
          <w:noProof/>
          <w:snapToGrid/>
          <w:kern w:val="22"/>
          <w:lang w:val="fr-CA"/>
        </w:rPr>
        <w:t>Organe subsidiaire chargé de l</w:t>
      </w:r>
      <w:r w:rsidR="0069339F">
        <w:rPr>
          <w:noProof/>
          <w:snapToGrid/>
          <w:kern w:val="22"/>
          <w:lang w:val="fr-CA"/>
        </w:rPr>
        <w:t>’</w:t>
      </w:r>
      <w:r w:rsidRPr="005879DC">
        <w:rPr>
          <w:noProof/>
          <w:snapToGrid/>
          <w:kern w:val="22"/>
          <w:lang w:val="fr-CA"/>
        </w:rPr>
        <w:t>application, tenant compte de l</w:t>
      </w:r>
      <w:r w:rsidR="0069339F">
        <w:rPr>
          <w:noProof/>
          <w:snapToGrid/>
          <w:kern w:val="22"/>
          <w:lang w:val="fr-CA"/>
        </w:rPr>
        <w:t>’</w:t>
      </w:r>
      <w:r w:rsidRPr="005879DC">
        <w:rPr>
          <w:noProof/>
          <w:snapToGrid/>
          <w:kern w:val="22"/>
          <w:lang w:val="fr-CA"/>
        </w:rPr>
        <w:t>étude mentionnée au paragraphe 6 ci</w:t>
      </w:r>
      <w:r w:rsidR="0069339F">
        <w:rPr>
          <w:noProof/>
          <w:snapToGrid/>
          <w:kern w:val="22"/>
          <w:lang w:val="fr-CA"/>
        </w:rPr>
        <w:noBreakHyphen/>
      </w:r>
      <w:r w:rsidRPr="005879DC">
        <w:rPr>
          <w:noProof/>
          <w:snapToGrid/>
          <w:kern w:val="22"/>
          <w:lang w:val="fr-CA"/>
        </w:rPr>
        <w:t>dessus</w:t>
      </w:r>
      <w:r>
        <w:rPr>
          <w:noProof/>
          <w:snapToGrid/>
          <w:kern w:val="22"/>
          <w:lang w:val="fr-CA"/>
        </w:rPr>
        <w:t>.</w:t>
      </w:r>
    </w:p>
    <w:p w:rsidR="004F6661" w:rsidRPr="001D35D1" w:rsidRDefault="0012044E" w:rsidP="00F76BAE">
      <w:pPr>
        <w:pStyle w:val="Heading1longmultiline"/>
        <w:numPr>
          <w:ilvl w:val="0"/>
          <w:numId w:val="13"/>
        </w:numPr>
        <w:suppressLineNumbers/>
        <w:tabs>
          <w:tab w:val="clear" w:pos="720"/>
          <w:tab w:val="left" w:pos="426"/>
        </w:tabs>
        <w:suppressAutoHyphens/>
        <w:spacing w:before="120"/>
        <w:ind w:left="0" w:firstLine="0"/>
        <w:jc w:val="center"/>
        <w:rPr>
          <w:noProof/>
          <w:kern w:val="22"/>
          <w:szCs w:val="22"/>
          <w:lang w:val="fr-CA"/>
        </w:rPr>
      </w:pPr>
      <w:bookmarkStart w:id="5" w:name="START"/>
      <w:bookmarkStart w:id="6" w:name="_Toc26277620"/>
      <w:bookmarkEnd w:id="5"/>
      <w:r w:rsidRPr="005879DC">
        <w:rPr>
          <w:noProof/>
          <w:kern w:val="22"/>
          <w:szCs w:val="22"/>
          <w:lang w:val="fr-CA"/>
        </w:rPr>
        <w:t>synthèse des points de vue et des informations</w:t>
      </w:r>
      <w:bookmarkEnd w:id="6"/>
    </w:p>
    <w:p w:rsidR="004F6661" w:rsidRPr="001D35D1" w:rsidRDefault="0012044E"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noProof/>
          <w:snapToGrid/>
          <w:kern w:val="22"/>
          <w:lang w:val="fr-CA"/>
        </w:rPr>
        <w:t xml:space="preserve">La synthèse </w:t>
      </w:r>
      <w:r>
        <w:rPr>
          <w:noProof/>
          <w:snapToGrid/>
          <w:kern w:val="22"/>
          <w:lang w:val="fr-CA"/>
        </w:rPr>
        <w:t>consiste de quatre sous</w:t>
      </w:r>
      <w:r w:rsidR="0069339F">
        <w:rPr>
          <w:noProof/>
          <w:snapToGrid/>
          <w:kern w:val="22"/>
          <w:lang w:val="fr-CA"/>
        </w:rPr>
        <w:noBreakHyphen/>
      </w:r>
      <w:r>
        <w:rPr>
          <w:noProof/>
          <w:snapToGrid/>
          <w:kern w:val="22"/>
          <w:lang w:val="fr-CA"/>
        </w:rPr>
        <w:t>sections : a</w:t>
      </w:r>
      <w:r w:rsidRPr="005879DC">
        <w:rPr>
          <w:noProof/>
          <w:snapToGrid/>
          <w:kern w:val="22"/>
          <w:lang w:val="fr-CA"/>
        </w:rPr>
        <w:t>) vues générales sur la nécessité d</w:t>
      </w:r>
      <w:r w:rsidR="0069339F">
        <w:rPr>
          <w:noProof/>
          <w:snapToGrid/>
          <w:kern w:val="22"/>
          <w:lang w:val="fr-CA"/>
        </w:rPr>
        <w:t>’</w:t>
      </w:r>
      <w:r w:rsidRPr="005879DC">
        <w:rPr>
          <w:noProof/>
          <w:snapToGrid/>
          <w:kern w:val="22"/>
          <w:lang w:val="fr-CA"/>
        </w:rPr>
        <w:t>un mécanisme multilatéral mondial de partage des avantages, y compris les avantages et les désavantages</w:t>
      </w:r>
      <w:r>
        <w:rPr>
          <w:noProof/>
          <w:snapToGrid/>
          <w:kern w:val="22"/>
          <w:lang w:val="fr-CA"/>
        </w:rPr>
        <w:t>; b</w:t>
      </w:r>
      <w:r w:rsidRPr="005879DC">
        <w:rPr>
          <w:noProof/>
          <w:snapToGrid/>
          <w:kern w:val="22"/>
          <w:lang w:val="fr-CA"/>
        </w:rPr>
        <w:t>) cas spécifiques qui pourraient appuyer la nécessité</w:t>
      </w:r>
      <w:r w:rsidRPr="005879DC">
        <w:rPr>
          <w:snapToGrid/>
          <w:kern w:val="22"/>
          <w:lang w:val="fr-CA"/>
        </w:rPr>
        <w:t xml:space="preserve"> d</w:t>
      </w:r>
      <w:r w:rsidR="0069339F">
        <w:rPr>
          <w:snapToGrid/>
          <w:kern w:val="22"/>
          <w:lang w:val="fr-CA"/>
        </w:rPr>
        <w:t>’</w:t>
      </w:r>
      <w:r w:rsidRPr="005879DC">
        <w:rPr>
          <w:snapToGrid/>
          <w:kern w:val="22"/>
          <w:lang w:val="fr-CA"/>
        </w:rPr>
        <w:t xml:space="preserve">un mécanisme multilatéral mondial de partage des avantages qui ne sont pas couverts au titre </w:t>
      </w:r>
      <w:r>
        <w:rPr>
          <w:snapToGrid/>
          <w:kern w:val="22"/>
          <w:lang w:val="fr-CA"/>
        </w:rPr>
        <w:t>de l</w:t>
      </w:r>
      <w:r w:rsidR="0069339F">
        <w:rPr>
          <w:snapToGrid/>
          <w:kern w:val="22"/>
          <w:lang w:val="fr-CA"/>
        </w:rPr>
        <w:t>’</w:t>
      </w:r>
      <w:r>
        <w:rPr>
          <w:snapToGrid/>
          <w:kern w:val="22"/>
          <w:lang w:val="fr-CA"/>
        </w:rPr>
        <w:t>approche bilatérale, accompagnés des raisons pour lesquelles de tels cas ne peuvent être couverts au titre de l</w:t>
      </w:r>
      <w:r w:rsidR="0069339F">
        <w:rPr>
          <w:snapToGrid/>
          <w:kern w:val="22"/>
          <w:lang w:val="fr-CA"/>
        </w:rPr>
        <w:t>’</w:t>
      </w:r>
      <w:r>
        <w:rPr>
          <w:snapToGrid/>
          <w:kern w:val="22"/>
          <w:lang w:val="fr-CA"/>
        </w:rPr>
        <w:t>approche bilatérale établie dans le Protocole de Nagoya; c</w:t>
      </w:r>
      <w:r w:rsidRPr="005879DC">
        <w:rPr>
          <w:snapToGrid/>
          <w:kern w:val="22"/>
          <w:lang w:val="fr-CA"/>
        </w:rPr>
        <w:t>) options pour de possibles modalités pour aborder ces cas, y compris au moyen d</w:t>
      </w:r>
      <w:r w:rsidR="0069339F">
        <w:rPr>
          <w:snapToGrid/>
          <w:kern w:val="22"/>
          <w:lang w:val="fr-CA"/>
        </w:rPr>
        <w:t>’</w:t>
      </w:r>
      <w:r w:rsidRPr="005879DC">
        <w:rPr>
          <w:snapToGrid/>
          <w:kern w:val="22"/>
          <w:lang w:val="fr-CA"/>
        </w:rPr>
        <w:t>un mécanisme multilatéral mondia</w:t>
      </w:r>
      <w:r>
        <w:rPr>
          <w:snapToGrid/>
          <w:kern w:val="22"/>
          <w:lang w:val="fr-CA"/>
        </w:rPr>
        <w:t>l de partage des avantages; et d</w:t>
      </w:r>
      <w:r w:rsidRPr="005879DC">
        <w:rPr>
          <w:snapToGrid/>
          <w:kern w:val="22"/>
          <w:lang w:val="fr-CA"/>
        </w:rPr>
        <w:t>) informations pertinentes additionnelles reçues par le biais des soumissions</w:t>
      </w:r>
      <w:r>
        <w:rPr>
          <w:snapToGrid/>
          <w:kern w:val="22"/>
          <w:lang w:val="fr-CA"/>
        </w:rPr>
        <w:t>.</w:t>
      </w:r>
    </w:p>
    <w:p w:rsidR="00C91AEF" w:rsidRPr="001D35D1" w:rsidRDefault="0012044E" w:rsidP="00F76BAE">
      <w:pPr>
        <w:pStyle w:val="Heading2"/>
        <w:numPr>
          <w:ilvl w:val="0"/>
          <w:numId w:val="12"/>
        </w:numPr>
        <w:suppressLineNumbers/>
        <w:tabs>
          <w:tab w:val="clear" w:pos="720"/>
        </w:tabs>
        <w:suppressAutoHyphens/>
        <w:ind w:left="1260" w:hanging="540"/>
        <w:jc w:val="left"/>
        <w:rPr>
          <w:i w:val="0"/>
          <w:kern w:val="22"/>
          <w:szCs w:val="22"/>
          <w:lang w:val="fr-CA"/>
        </w:rPr>
      </w:pPr>
      <w:r w:rsidRPr="005879DC">
        <w:rPr>
          <w:i w:val="0"/>
          <w:kern w:val="22"/>
          <w:szCs w:val="22"/>
          <w:lang w:val="fr-CA"/>
        </w:rPr>
        <w:t>Vues générales sur la nécessité d</w:t>
      </w:r>
      <w:r w:rsidR="0069339F">
        <w:rPr>
          <w:i w:val="0"/>
          <w:kern w:val="22"/>
          <w:szCs w:val="22"/>
          <w:lang w:val="fr-CA"/>
        </w:rPr>
        <w:t>’</w:t>
      </w:r>
      <w:r w:rsidRPr="005879DC">
        <w:rPr>
          <w:i w:val="0"/>
          <w:kern w:val="22"/>
          <w:szCs w:val="22"/>
          <w:lang w:val="fr-CA"/>
        </w:rPr>
        <w:t xml:space="preserve">un mécanisme multilatéral mondial de partage des </w:t>
      </w:r>
      <w:proofErr w:type="gramStart"/>
      <w:r w:rsidRPr="005879DC">
        <w:rPr>
          <w:i w:val="0"/>
          <w:kern w:val="22"/>
          <w:szCs w:val="22"/>
          <w:lang w:val="fr-CA"/>
        </w:rPr>
        <w:t>avantages</w:t>
      </w:r>
      <w:proofErr w:type="gramEnd"/>
      <w:r w:rsidRPr="005879DC">
        <w:rPr>
          <w:i w:val="0"/>
          <w:kern w:val="22"/>
          <w:szCs w:val="22"/>
          <w:lang w:val="fr-CA"/>
        </w:rPr>
        <w:t>, y compris les avantages et les désavantages</w:t>
      </w:r>
    </w:p>
    <w:p w:rsidR="004F6661" w:rsidRPr="001D35D1" w:rsidRDefault="0012044E"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snapToGrid/>
          <w:kern w:val="22"/>
          <w:szCs w:val="22"/>
          <w:lang w:val="fr-CA"/>
        </w:rPr>
        <w:t xml:space="preserve">Certaines Parties et </w:t>
      </w:r>
      <w:r w:rsidRPr="005879DC">
        <w:rPr>
          <w:noProof/>
          <w:snapToGrid/>
          <w:kern w:val="22"/>
          <w:szCs w:val="22"/>
          <w:lang w:val="fr-CA"/>
        </w:rPr>
        <w:t>non</w:t>
      </w:r>
      <w:r w:rsidR="0069339F">
        <w:rPr>
          <w:noProof/>
          <w:snapToGrid/>
          <w:kern w:val="22"/>
          <w:szCs w:val="22"/>
          <w:lang w:val="fr-CA"/>
        </w:rPr>
        <w:noBreakHyphen/>
      </w:r>
      <w:r w:rsidRPr="005879DC">
        <w:rPr>
          <w:noProof/>
          <w:snapToGrid/>
          <w:kern w:val="22"/>
          <w:szCs w:val="22"/>
          <w:lang w:val="fr-CA"/>
        </w:rPr>
        <w:t>Parties ont indiqué</w:t>
      </w:r>
      <w:r w:rsidRPr="005879DC">
        <w:rPr>
          <w:snapToGrid/>
          <w:kern w:val="22"/>
          <w:szCs w:val="22"/>
          <w:lang w:val="fr-CA"/>
        </w:rPr>
        <w:t xml:space="preserve"> que, jusqu</w:t>
      </w:r>
      <w:r w:rsidR="0069339F">
        <w:rPr>
          <w:snapToGrid/>
          <w:kern w:val="22"/>
          <w:szCs w:val="22"/>
          <w:lang w:val="fr-CA"/>
        </w:rPr>
        <w:t>’</w:t>
      </w:r>
      <w:r w:rsidRPr="005879DC">
        <w:rPr>
          <w:snapToGrid/>
          <w:kern w:val="22"/>
          <w:szCs w:val="22"/>
          <w:lang w:val="fr-CA"/>
        </w:rPr>
        <w:t>à présent, elles n</w:t>
      </w:r>
      <w:r w:rsidR="0069339F">
        <w:rPr>
          <w:snapToGrid/>
          <w:kern w:val="22"/>
          <w:szCs w:val="22"/>
          <w:lang w:val="fr-CA"/>
        </w:rPr>
        <w:t>’</w:t>
      </w:r>
      <w:r w:rsidRPr="005879DC">
        <w:rPr>
          <w:snapToGrid/>
          <w:kern w:val="22"/>
          <w:szCs w:val="22"/>
          <w:lang w:val="fr-CA"/>
        </w:rPr>
        <w:t>avaient rencontré aucun obstacle à l</w:t>
      </w:r>
      <w:r w:rsidR="0069339F">
        <w:rPr>
          <w:snapToGrid/>
          <w:kern w:val="22"/>
          <w:szCs w:val="22"/>
          <w:lang w:val="fr-CA"/>
        </w:rPr>
        <w:t>’</w:t>
      </w:r>
      <w:r w:rsidRPr="005879DC">
        <w:rPr>
          <w:snapToGrid/>
          <w:kern w:val="22"/>
          <w:szCs w:val="22"/>
          <w:lang w:val="fr-CA"/>
        </w:rPr>
        <w:t>approche bilatérale,</w:t>
      </w:r>
      <w:r w:rsidRPr="005879DC">
        <w:rPr>
          <w:kern w:val="22"/>
          <w:szCs w:val="22"/>
          <w:vertAlign w:val="superscript"/>
          <w:lang w:val="fr-CA"/>
        </w:rPr>
        <w:t xml:space="preserve"> </w:t>
      </w:r>
      <w:r w:rsidRPr="005879DC">
        <w:rPr>
          <w:kern w:val="22"/>
          <w:szCs w:val="22"/>
          <w:vertAlign w:val="superscript"/>
          <w:lang w:val="fr-CA"/>
        </w:rPr>
        <w:footnoteReference w:id="3"/>
      </w:r>
      <w:r w:rsidRPr="005879DC">
        <w:rPr>
          <w:snapToGrid/>
          <w:kern w:val="22"/>
          <w:szCs w:val="22"/>
          <w:lang w:val="fr-CA"/>
        </w:rPr>
        <w:t xml:space="preserve"> qu</w:t>
      </w:r>
      <w:r w:rsidR="0069339F">
        <w:rPr>
          <w:snapToGrid/>
          <w:kern w:val="22"/>
          <w:szCs w:val="22"/>
          <w:lang w:val="fr-CA"/>
        </w:rPr>
        <w:t>’</w:t>
      </w:r>
      <w:r w:rsidRPr="005879DC">
        <w:rPr>
          <w:snapToGrid/>
          <w:kern w:val="22"/>
          <w:szCs w:val="22"/>
          <w:lang w:val="fr-CA"/>
        </w:rPr>
        <w:t>elles n</w:t>
      </w:r>
      <w:r w:rsidR="0069339F">
        <w:rPr>
          <w:snapToGrid/>
          <w:kern w:val="22"/>
          <w:szCs w:val="22"/>
          <w:lang w:val="fr-CA"/>
        </w:rPr>
        <w:t>’</w:t>
      </w:r>
      <w:r w:rsidRPr="005879DC">
        <w:rPr>
          <w:snapToGrid/>
          <w:kern w:val="22"/>
          <w:szCs w:val="22"/>
          <w:lang w:val="fr-CA"/>
        </w:rPr>
        <w:t>avaient eu, à ce jour, à faire face à aucune situation où le consentement préalable en connaissance de cause ne pouvait être obtenu pour une ressource biologique,</w:t>
      </w:r>
      <w:r w:rsidRPr="005879DC">
        <w:rPr>
          <w:snapToGrid/>
          <w:kern w:val="22"/>
          <w:szCs w:val="22"/>
          <w:vertAlign w:val="superscript"/>
          <w:lang w:val="fr-CA"/>
        </w:rPr>
        <w:t xml:space="preserve"> </w:t>
      </w:r>
      <w:r w:rsidRPr="005879DC">
        <w:rPr>
          <w:snapToGrid/>
          <w:kern w:val="22"/>
          <w:szCs w:val="22"/>
          <w:vertAlign w:val="superscript"/>
          <w:lang w:val="fr-CA"/>
        </w:rPr>
        <w:footnoteReference w:id="4"/>
      </w:r>
      <w:r w:rsidRPr="005879DC">
        <w:rPr>
          <w:snapToGrid/>
          <w:kern w:val="22"/>
          <w:szCs w:val="22"/>
          <w:lang w:val="fr-CA"/>
        </w:rPr>
        <w:t xml:space="preserve"> ou qu</w:t>
      </w:r>
      <w:r w:rsidR="0069339F">
        <w:rPr>
          <w:snapToGrid/>
          <w:kern w:val="22"/>
          <w:szCs w:val="22"/>
          <w:lang w:val="fr-CA"/>
        </w:rPr>
        <w:t>’</w:t>
      </w:r>
      <w:r w:rsidRPr="005879DC">
        <w:rPr>
          <w:snapToGrid/>
          <w:kern w:val="22"/>
          <w:szCs w:val="22"/>
          <w:lang w:val="fr-CA"/>
        </w:rPr>
        <w:t>elles n</w:t>
      </w:r>
      <w:r w:rsidR="0069339F">
        <w:rPr>
          <w:snapToGrid/>
          <w:kern w:val="22"/>
          <w:szCs w:val="22"/>
          <w:lang w:val="fr-CA"/>
        </w:rPr>
        <w:t>’</w:t>
      </w:r>
      <w:r w:rsidRPr="005879DC">
        <w:rPr>
          <w:snapToGrid/>
          <w:kern w:val="22"/>
          <w:szCs w:val="22"/>
          <w:lang w:val="fr-CA"/>
        </w:rPr>
        <w:t>avaient jamais eu besoin d</w:t>
      </w:r>
      <w:r w:rsidR="0069339F">
        <w:rPr>
          <w:snapToGrid/>
          <w:kern w:val="22"/>
          <w:szCs w:val="22"/>
          <w:lang w:val="fr-CA"/>
        </w:rPr>
        <w:t>’</w:t>
      </w:r>
      <w:r w:rsidRPr="005879DC">
        <w:rPr>
          <w:snapToGrid/>
          <w:kern w:val="22"/>
          <w:szCs w:val="22"/>
          <w:lang w:val="fr-CA"/>
        </w:rPr>
        <w:t xml:space="preserve">appliquer un mécanisme multilatéral pour la partage des </w:t>
      </w:r>
      <w:r w:rsidRPr="005879DC">
        <w:rPr>
          <w:snapToGrid/>
          <w:kern w:val="22"/>
          <w:szCs w:val="22"/>
          <w:lang w:val="fr-CA"/>
        </w:rPr>
        <w:lastRenderedPageBreak/>
        <w:t>avantages entre les fournisseurs et les utilisateurs de ressources génétiques.</w:t>
      </w:r>
      <w:r w:rsidRPr="005879DC">
        <w:rPr>
          <w:kern w:val="22"/>
          <w:vertAlign w:val="superscript"/>
          <w:lang w:val="fr-CA"/>
        </w:rPr>
        <w:footnoteReference w:id="5"/>
      </w:r>
      <w:r w:rsidRPr="005879DC">
        <w:rPr>
          <w:snapToGrid/>
          <w:kern w:val="22"/>
          <w:szCs w:val="22"/>
          <w:lang w:val="fr-CA"/>
        </w:rPr>
        <w:t xml:space="preserve"> À cet égard, deux Parties et une non</w:t>
      </w:r>
      <w:r w:rsidR="0069339F">
        <w:rPr>
          <w:snapToGrid/>
          <w:kern w:val="22"/>
          <w:szCs w:val="22"/>
          <w:lang w:val="fr-CA"/>
        </w:rPr>
        <w:noBreakHyphen/>
      </w:r>
      <w:r w:rsidRPr="005879DC">
        <w:rPr>
          <w:snapToGrid/>
          <w:kern w:val="22"/>
          <w:szCs w:val="22"/>
          <w:lang w:val="fr-CA"/>
        </w:rPr>
        <w:t>Partie</w:t>
      </w:r>
      <w:r w:rsidRPr="005879DC">
        <w:rPr>
          <w:kern w:val="22"/>
          <w:vertAlign w:val="superscript"/>
          <w:lang w:val="fr-CA"/>
        </w:rPr>
        <w:footnoteReference w:id="6"/>
      </w:r>
      <w:r w:rsidRPr="005879DC">
        <w:rPr>
          <w:snapToGrid/>
          <w:kern w:val="22"/>
          <w:szCs w:val="22"/>
          <w:lang w:val="fr-CA"/>
        </w:rPr>
        <w:t xml:space="preserve"> </w:t>
      </w:r>
      <w:r>
        <w:rPr>
          <w:snapToGrid/>
          <w:kern w:val="22"/>
          <w:szCs w:val="22"/>
          <w:lang w:val="fr-CA"/>
        </w:rPr>
        <w:t>ont indiqué qu</w:t>
      </w:r>
      <w:r w:rsidR="0069339F">
        <w:rPr>
          <w:snapToGrid/>
          <w:kern w:val="22"/>
          <w:szCs w:val="22"/>
          <w:lang w:val="fr-CA"/>
        </w:rPr>
        <w:t>’</w:t>
      </w:r>
      <w:r>
        <w:rPr>
          <w:snapToGrid/>
          <w:kern w:val="22"/>
          <w:szCs w:val="22"/>
          <w:lang w:val="fr-CA"/>
        </w:rPr>
        <w:t>elles ont</w:t>
      </w:r>
      <w:r w:rsidRPr="005879DC">
        <w:rPr>
          <w:snapToGrid/>
          <w:kern w:val="22"/>
          <w:szCs w:val="22"/>
          <w:lang w:val="fr-CA"/>
        </w:rPr>
        <w:t xml:space="preserve"> recours à des conditions convenues d</w:t>
      </w:r>
      <w:r w:rsidR="0069339F">
        <w:rPr>
          <w:snapToGrid/>
          <w:kern w:val="22"/>
          <w:szCs w:val="22"/>
          <w:lang w:val="fr-CA"/>
        </w:rPr>
        <w:t>’</w:t>
      </w:r>
      <w:r w:rsidRPr="005879DC">
        <w:rPr>
          <w:snapToGrid/>
          <w:kern w:val="22"/>
          <w:szCs w:val="22"/>
          <w:lang w:val="fr-CA"/>
        </w:rPr>
        <w:t>un commun accord ou à des accords de transfert de matériel pour gérer l</w:t>
      </w:r>
      <w:r w:rsidR="0069339F">
        <w:rPr>
          <w:snapToGrid/>
          <w:kern w:val="22"/>
          <w:szCs w:val="22"/>
          <w:lang w:val="fr-CA"/>
        </w:rPr>
        <w:t>’</w:t>
      </w:r>
      <w:r w:rsidRPr="005879DC">
        <w:rPr>
          <w:snapToGrid/>
          <w:kern w:val="22"/>
          <w:szCs w:val="22"/>
          <w:lang w:val="fr-CA"/>
        </w:rPr>
        <w:t>accès aux ressources génétiques et le partage des avantages en découlant au titre du système bilatéral.</w:t>
      </w:r>
    </w:p>
    <w:p w:rsidR="004F6661" w:rsidRPr="001D35D1" w:rsidRDefault="00A9267B" w:rsidP="00F76BAE">
      <w:pPr>
        <w:pStyle w:val="Para1"/>
        <w:numPr>
          <w:ilvl w:val="0"/>
          <w:numId w:val="2"/>
        </w:numPr>
        <w:suppressLineNumbers/>
        <w:tabs>
          <w:tab w:val="clear" w:pos="360"/>
          <w:tab w:val="num" w:pos="709"/>
        </w:tabs>
        <w:suppressAutoHyphens/>
        <w:spacing w:before="0"/>
        <w:rPr>
          <w:kern w:val="22"/>
          <w:szCs w:val="22"/>
          <w:lang w:val="fr-CA"/>
        </w:rPr>
      </w:pPr>
      <w:r w:rsidRPr="005879DC">
        <w:rPr>
          <w:snapToGrid/>
          <w:kern w:val="22"/>
          <w:szCs w:val="22"/>
          <w:lang w:val="fr-CA"/>
        </w:rPr>
        <w:t>Une Partie</w:t>
      </w:r>
      <w:r w:rsidRPr="005879DC">
        <w:rPr>
          <w:rStyle w:val="FootnoteReference"/>
          <w:snapToGrid/>
          <w:kern w:val="22"/>
          <w:szCs w:val="22"/>
          <w:lang w:val="fr-CA"/>
        </w:rPr>
        <w:footnoteReference w:id="7"/>
      </w:r>
      <w:r w:rsidRPr="005879DC">
        <w:rPr>
          <w:snapToGrid/>
          <w:kern w:val="22"/>
          <w:szCs w:val="22"/>
          <w:lang w:val="fr-CA"/>
        </w:rPr>
        <w:t xml:space="preserve"> a déclaré que la simple existence de ressources génétiques et de leurs connaissances traditionnelles associées dans des situations transfrontières n</w:t>
      </w:r>
      <w:r w:rsidR="0069339F">
        <w:rPr>
          <w:snapToGrid/>
          <w:kern w:val="22"/>
          <w:szCs w:val="22"/>
          <w:lang w:val="fr-CA"/>
        </w:rPr>
        <w:t>’</w:t>
      </w:r>
      <w:r w:rsidRPr="005879DC">
        <w:rPr>
          <w:snapToGrid/>
          <w:kern w:val="22"/>
          <w:szCs w:val="22"/>
          <w:lang w:val="fr-CA"/>
        </w:rPr>
        <w:t>appuie pas la nécessité d</w:t>
      </w:r>
      <w:r w:rsidR="0069339F">
        <w:rPr>
          <w:snapToGrid/>
          <w:kern w:val="22"/>
          <w:szCs w:val="22"/>
          <w:lang w:val="fr-CA"/>
        </w:rPr>
        <w:t>’</w:t>
      </w:r>
      <w:r w:rsidRPr="005879DC">
        <w:rPr>
          <w:snapToGrid/>
          <w:kern w:val="22"/>
          <w:szCs w:val="22"/>
          <w:lang w:val="fr-CA"/>
        </w:rPr>
        <w:t xml:space="preserve">un mécanisme multilatéral mondial de partage des avantages. La Partie a par ailleurs ajouté que même si des ressources génétiques sont trouvées </w:t>
      </w:r>
      <w:r w:rsidRPr="000C6E6F">
        <w:rPr>
          <w:snapToGrid/>
          <w:kern w:val="22"/>
          <w:szCs w:val="22"/>
          <w:lang w:val="fr-CA"/>
        </w:rPr>
        <w:t>in situ</w:t>
      </w:r>
      <w:r w:rsidRPr="005879DC">
        <w:rPr>
          <w:snapToGrid/>
          <w:kern w:val="22"/>
          <w:szCs w:val="22"/>
          <w:lang w:val="fr-CA"/>
        </w:rPr>
        <w:t xml:space="preserve"> sur le territoire de deux pays ou plus, le mécanisme par défaut pour le partage des avantages devrait être l</w:t>
      </w:r>
      <w:r w:rsidR="0069339F">
        <w:rPr>
          <w:snapToGrid/>
          <w:kern w:val="22"/>
          <w:szCs w:val="22"/>
          <w:lang w:val="fr-CA"/>
        </w:rPr>
        <w:t>’</w:t>
      </w:r>
      <w:r w:rsidRPr="005879DC">
        <w:rPr>
          <w:snapToGrid/>
          <w:kern w:val="22"/>
          <w:szCs w:val="22"/>
          <w:lang w:val="fr-CA"/>
        </w:rPr>
        <w:t>approche bilatérale par la coopération entre les pays en question</w:t>
      </w:r>
      <w:r>
        <w:rPr>
          <w:snapToGrid/>
          <w:kern w:val="22"/>
          <w:szCs w:val="22"/>
          <w:lang w:val="fr-CA"/>
        </w:rPr>
        <w:t>.</w:t>
      </w:r>
    </w:p>
    <w:p w:rsidR="004F6661" w:rsidRPr="001D35D1" w:rsidRDefault="007A4562" w:rsidP="00F76BAE">
      <w:pPr>
        <w:pStyle w:val="Para1"/>
        <w:numPr>
          <w:ilvl w:val="0"/>
          <w:numId w:val="2"/>
        </w:numPr>
        <w:suppressLineNumbers/>
        <w:tabs>
          <w:tab w:val="clear" w:pos="360"/>
          <w:tab w:val="num" w:pos="709"/>
        </w:tabs>
        <w:suppressAutoHyphens/>
        <w:spacing w:before="0"/>
        <w:rPr>
          <w:noProof/>
          <w:snapToGrid/>
          <w:kern w:val="22"/>
          <w:szCs w:val="22"/>
          <w:lang w:val="fr-CA"/>
        </w:rPr>
      </w:pPr>
      <w:r w:rsidRPr="005879DC">
        <w:rPr>
          <w:kern w:val="22"/>
          <w:szCs w:val="22"/>
          <w:lang w:val="fr-CA"/>
        </w:rPr>
        <w:t xml:space="preserve">Une </w:t>
      </w:r>
      <w:r w:rsidRPr="005879DC">
        <w:rPr>
          <w:noProof/>
          <w:kern w:val="22"/>
          <w:szCs w:val="22"/>
          <w:lang w:val="fr-CA"/>
        </w:rPr>
        <w:t>non</w:t>
      </w:r>
      <w:r w:rsidR="0069339F">
        <w:rPr>
          <w:noProof/>
          <w:kern w:val="22"/>
          <w:szCs w:val="22"/>
          <w:lang w:val="fr-CA"/>
        </w:rPr>
        <w:noBreakHyphen/>
      </w:r>
      <w:r w:rsidRPr="005879DC">
        <w:rPr>
          <w:noProof/>
          <w:kern w:val="22"/>
          <w:szCs w:val="22"/>
          <w:lang w:val="fr-CA"/>
        </w:rPr>
        <w:t>Partie</w:t>
      </w:r>
      <w:r w:rsidRPr="005879DC">
        <w:rPr>
          <w:rStyle w:val="FootnoteReference"/>
          <w:noProof/>
          <w:kern w:val="22"/>
          <w:lang w:val="fr-CA"/>
        </w:rPr>
        <w:footnoteReference w:id="8"/>
      </w:r>
      <w:r w:rsidRPr="005879DC">
        <w:rPr>
          <w:noProof/>
          <w:kern w:val="22"/>
          <w:szCs w:val="22"/>
          <w:lang w:val="fr-CA"/>
        </w:rPr>
        <w:t xml:space="preserve"> s</w:t>
      </w:r>
      <w:r w:rsidR="0069339F">
        <w:rPr>
          <w:noProof/>
          <w:kern w:val="22"/>
          <w:szCs w:val="22"/>
          <w:lang w:val="fr-CA"/>
        </w:rPr>
        <w:t>’</w:t>
      </w:r>
      <w:r w:rsidRPr="005879DC">
        <w:rPr>
          <w:noProof/>
          <w:kern w:val="22"/>
          <w:szCs w:val="22"/>
          <w:lang w:val="fr-CA"/>
        </w:rPr>
        <w:t>est dite préoccupée quant à la mise en œuvre d</w:t>
      </w:r>
      <w:r w:rsidR="0069339F">
        <w:rPr>
          <w:noProof/>
          <w:kern w:val="22"/>
          <w:szCs w:val="22"/>
          <w:lang w:val="fr-CA"/>
        </w:rPr>
        <w:t>’</w:t>
      </w:r>
      <w:r w:rsidRPr="005879DC">
        <w:rPr>
          <w:noProof/>
          <w:kern w:val="22"/>
          <w:szCs w:val="22"/>
          <w:lang w:val="fr-CA"/>
        </w:rPr>
        <w:t>un mécanisme multilatéral mo</w:t>
      </w:r>
      <w:r>
        <w:rPr>
          <w:noProof/>
          <w:kern w:val="22"/>
          <w:szCs w:val="22"/>
          <w:lang w:val="fr-CA"/>
        </w:rPr>
        <w:t xml:space="preserve">ndial de partage des avantages qui, à son avis, </w:t>
      </w:r>
      <w:r w:rsidRPr="005879DC">
        <w:rPr>
          <w:noProof/>
          <w:kern w:val="22"/>
          <w:szCs w:val="22"/>
          <w:lang w:val="fr-CA"/>
        </w:rPr>
        <w:t>irait à l</w:t>
      </w:r>
      <w:r w:rsidR="0069339F">
        <w:rPr>
          <w:noProof/>
          <w:kern w:val="22"/>
          <w:szCs w:val="22"/>
          <w:lang w:val="fr-CA"/>
        </w:rPr>
        <w:t>’</w:t>
      </w:r>
      <w:r w:rsidRPr="005879DC">
        <w:rPr>
          <w:noProof/>
          <w:kern w:val="22"/>
          <w:szCs w:val="22"/>
          <w:lang w:val="fr-CA"/>
        </w:rPr>
        <w:t>encontre du modèle bilatéral du Protocole de Nagoya et passerait outre la relation établie entre les utilisateurs et les fournisseurs. L</w:t>
      </w:r>
      <w:r w:rsidR="0069339F">
        <w:rPr>
          <w:noProof/>
          <w:kern w:val="22"/>
          <w:szCs w:val="22"/>
          <w:lang w:val="fr-CA"/>
        </w:rPr>
        <w:t>’</w:t>
      </w:r>
      <w:r w:rsidRPr="005879DC">
        <w:rPr>
          <w:noProof/>
          <w:kern w:val="22"/>
          <w:szCs w:val="22"/>
          <w:lang w:val="fr-CA"/>
        </w:rPr>
        <w:t>exigence pour toutes les Parties d</w:t>
      </w:r>
      <w:r w:rsidR="0069339F">
        <w:rPr>
          <w:noProof/>
          <w:kern w:val="22"/>
          <w:szCs w:val="22"/>
          <w:lang w:val="fr-CA"/>
        </w:rPr>
        <w:t>’</w:t>
      </w:r>
      <w:r w:rsidRPr="005879DC">
        <w:rPr>
          <w:noProof/>
          <w:kern w:val="22"/>
          <w:szCs w:val="22"/>
          <w:lang w:val="fr-CA"/>
        </w:rPr>
        <w:t xml:space="preserve">adopter une telle approche quelques que soient les circonstances nationales </w:t>
      </w:r>
      <w:r>
        <w:rPr>
          <w:noProof/>
          <w:kern w:val="22"/>
          <w:szCs w:val="22"/>
          <w:lang w:val="fr-CA"/>
        </w:rPr>
        <w:t>compromettrait</w:t>
      </w:r>
      <w:r w:rsidRPr="005879DC">
        <w:rPr>
          <w:noProof/>
          <w:kern w:val="22"/>
          <w:szCs w:val="22"/>
          <w:lang w:val="fr-CA"/>
        </w:rPr>
        <w:t xml:space="preserve"> la capacité des pays jouissant d</w:t>
      </w:r>
      <w:r w:rsidR="0069339F">
        <w:rPr>
          <w:noProof/>
          <w:kern w:val="22"/>
          <w:szCs w:val="22"/>
          <w:lang w:val="fr-CA"/>
        </w:rPr>
        <w:t>’</w:t>
      </w:r>
      <w:r w:rsidRPr="005879DC">
        <w:rPr>
          <w:noProof/>
          <w:kern w:val="22"/>
          <w:szCs w:val="22"/>
          <w:lang w:val="fr-CA"/>
        </w:rPr>
        <w:t>un droit souverain sur des ressources de choisir quelles ressources seraient incluses et dans quelle situa</w:t>
      </w:r>
      <w:r>
        <w:rPr>
          <w:noProof/>
          <w:kern w:val="22"/>
          <w:szCs w:val="22"/>
          <w:lang w:val="fr-CA"/>
        </w:rPr>
        <w:t>tion.</w:t>
      </w:r>
    </w:p>
    <w:p w:rsidR="004F6661" w:rsidRPr="001D35D1" w:rsidRDefault="005F0A6D"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noProof/>
          <w:snapToGrid/>
          <w:kern w:val="22"/>
          <w:szCs w:val="22"/>
          <w:lang w:val="fr-CA"/>
        </w:rPr>
        <w:t>La même non</w:t>
      </w:r>
      <w:r w:rsidR="0069339F">
        <w:rPr>
          <w:noProof/>
          <w:snapToGrid/>
          <w:kern w:val="22"/>
          <w:szCs w:val="22"/>
          <w:lang w:val="fr-CA"/>
        </w:rPr>
        <w:noBreakHyphen/>
      </w:r>
      <w:r w:rsidRPr="005879DC">
        <w:rPr>
          <w:noProof/>
          <w:snapToGrid/>
          <w:kern w:val="22"/>
          <w:szCs w:val="22"/>
          <w:lang w:val="fr-CA"/>
        </w:rPr>
        <w:t>Partie</w:t>
      </w:r>
      <w:r w:rsidRPr="005879DC">
        <w:rPr>
          <w:rStyle w:val="FootnoteReference"/>
          <w:snapToGrid/>
          <w:kern w:val="22"/>
          <w:szCs w:val="22"/>
          <w:lang w:val="fr-CA"/>
        </w:rPr>
        <w:footnoteReference w:id="9"/>
      </w:r>
      <w:r w:rsidRPr="005879DC">
        <w:rPr>
          <w:snapToGrid/>
          <w:kern w:val="22"/>
          <w:szCs w:val="22"/>
          <w:lang w:val="fr-CA"/>
        </w:rPr>
        <w:t xml:space="preserve"> a </w:t>
      </w:r>
      <w:r>
        <w:rPr>
          <w:snapToGrid/>
          <w:kern w:val="22"/>
          <w:szCs w:val="22"/>
          <w:lang w:val="fr-CA"/>
        </w:rPr>
        <w:t>noté l</w:t>
      </w:r>
      <w:r w:rsidR="0069339F">
        <w:rPr>
          <w:snapToGrid/>
          <w:kern w:val="22"/>
          <w:szCs w:val="22"/>
          <w:lang w:val="fr-CA"/>
        </w:rPr>
        <w:t>’</w:t>
      </w:r>
      <w:r>
        <w:rPr>
          <w:snapToGrid/>
          <w:kern w:val="22"/>
          <w:szCs w:val="22"/>
          <w:lang w:val="fr-CA"/>
        </w:rPr>
        <w:t>existence de</w:t>
      </w:r>
      <w:r w:rsidRPr="005879DC">
        <w:rPr>
          <w:snapToGrid/>
          <w:kern w:val="22"/>
          <w:szCs w:val="22"/>
          <w:lang w:val="fr-CA"/>
        </w:rPr>
        <w:t xml:space="preserve"> scénarios qui pourraient éventuellement bénéficier d</w:t>
      </w:r>
      <w:r w:rsidR="0069339F">
        <w:rPr>
          <w:snapToGrid/>
          <w:kern w:val="22"/>
          <w:szCs w:val="22"/>
          <w:lang w:val="fr-CA"/>
        </w:rPr>
        <w:t>’</w:t>
      </w:r>
      <w:r w:rsidRPr="005879DC">
        <w:rPr>
          <w:snapToGrid/>
          <w:kern w:val="22"/>
          <w:szCs w:val="22"/>
          <w:lang w:val="fr-CA"/>
        </w:rPr>
        <w:t>un mécanisme multilatéral mondial de partage des avantages, mais que ces exemples ne justifieraient pas la poursuite de l</w:t>
      </w:r>
      <w:r w:rsidR="0069339F">
        <w:rPr>
          <w:snapToGrid/>
          <w:kern w:val="22"/>
          <w:szCs w:val="22"/>
          <w:lang w:val="fr-CA"/>
        </w:rPr>
        <w:t>’</w:t>
      </w:r>
      <w:r w:rsidRPr="005879DC">
        <w:rPr>
          <w:snapToGrid/>
          <w:kern w:val="22"/>
          <w:szCs w:val="22"/>
          <w:lang w:val="fr-CA"/>
        </w:rPr>
        <w:t>examen d</w:t>
      </w:r>
      <w:r w:rsidR="0069339F">
        <w:rPr>
          <w:snapToGrid/>
          <w:kern w:val="22"/>
          <w:szCs w:val="22"/>
          <w:lang w:val="fr-CA"/>
        </w:rPr>
        <w:t>’</w:t>
      </w:r>
      <w:r w:rsidRPr="005879DC">
        <w:rPr>
          <w:snapToGrid/>
          <w:kern w:val="22"/>
          <w:szCs w:val="22"/>
          <w:lang w:val="fr-CA"/>
        </w:rPr>
        <w:t>un mécanisme mondial par le Protocole à l</w:t>
      </w:r>
      <w:r w:rsidR="0069339F">
        <w:rPr>
          <w:snapToGrid/>
          <w:kern w:val="22"/>
          <w:szCs w:val="22"/>
          <w:lang w:val="fr-CA"/>
        </w:rPr>
        <w:t>’</w:t>
      </w:r>
      <w:r w:rsidRPr="005879DC">
        <w:rPr>
          <w:snapToGrid/>
          <w:kern w:val="22"/>
          <w:szCs w:val="22"/>
          <w:lang w:val="fr-CA"/>
        </w:rPr>
        <w:t>heure actuelle, puisque d</w:t>
      </w:r>
      <w:r w:rsidR="0069339F">
        <w:rPr>
          <w:snapToGrid/>
          <w:kern w:val="22"/>
          <w:szCs w:val="22"/>
          <w:lang w:val="fr-CA"/>
        </w:rPr>
        <w:t>’</w:t>
      </w:r>
      <w:r w:rsidRPr="005879DC">
        <w:rPr>
          <w:snapToGrid/>
          <w:kern w:val="22"/>
          <w:szCs w:val="22"/>
          <w:lang w:val="fr-CA"/>
        </w:rPr>
        <w:t>autres options pour aborder ces scénarios existent ou sont à l</w:t>
      </w:r>
      <w:r w:rsidR="0069339F">
        <w:rPr>
          <w:snapToGrid/>
          <w:kern w:val="22"/>
          <w:szCs w:val="22"/>
          <w:lang w:val="fr-CA"/>
        </w:rPr>
        <w:t>’</w:t>
      </w:r>
      <w:r w:rsidRPr="005879DC">
        <w:rPr>
          <w:snapToGrid/>
          <w:kern w:val="22"/>
          <w:szCs w:val="22"/>
          <w:lang w:val="fr-CA"/>
        </w:rPr>
        <w:t>étude, telles que la reconnaissance d</w:t>
      </w:r>
      <w:r w:rsidR="0069339F">
        <w:rPr>
          <w:snapToGrid/>
          <w:kern w:val="22"/>
          <w:szCs w:val="22"/>
          <w:lang w:val="fr-CA"/>
        </w:rPr>
        <w:t>’</w:t>
      </w:r>
      <w:r w:rsidRPr="005879DC">
        <w:rPr>
          <w:snapToGrid/>
          <w:kern w:val="22"/>
          <w:szCs w:val="22"/>
          <w:lang w:val="fr-CA"/>
        </w:rPr>
        <w:t>instruments internationaux d</w:t>
      </w:r>
      <w:r w:rsidR="0069339F">
        <w:rPr>
          <w:snapToGrid/>
          <w:kern w:val="22"/>
          <w:szCs w:val="22"/>
          <w:lang w:val="fr-CA"/>
        </w:rPr>
        <w:t>’</w:t>
      </w:r>
      <w:r w:rsidRPr="005879DC">
        <w:rPr>
          <w:snapToGrid/>
          <w:kern w:val="22"/>
          <w:szCs w:val="22"/>
          <w:lang w:val="fr-CA"/>
        </w:rPr>
        <w:t>accès et de partage des avantages spécialisés, comme énoncé à l</w:t>
      </w:r>
      <w:r w:rsidR="0069339F">
        <w:rPr>
          <w:snapToGrid/>
          <w:kern w:val="22"/>
          <w:szCs w:val="22"/>
          <w:lang w:val="fr-CA"/>
        </w:rPr>
        <w:t>’</w:t>
      </w:r>
      <w:r w:rsidRPr="005879DC">
        <w:rPr>
          <w:snapToGrid/>
          <w:kern w:val="22"/>
          <w:szCs w:val="22"/>
          <w:lang w:val="fr-CA"/>
        </w:rPr>
        <w:t>article 4 du Protocole.</w:t>
      </w:r>
      <w:r w:rsidRPr="005879DC">
        <w:rPr>
          <w:rStyle w:val="FootnoteReference"/>
          <w:snapToGrid/>
          <w:kern w:val="22"/>
          <w:szCs w:val="22"/>
          <w:lang w:val="fr-CA"/>
        </w:rPr>
        <w:footnoteReference w:id="10"/>
      </w:r>
    </w:p>
    <w:p w:rsidR="005F0A6D" w:rsidRPr="005879DC" w:rsidRDefault="005F0A6D" w:rsidP="005F0A6D">
      <w:pPr>
        <w:pStyle w:val="Para1"/>
        <w:numPr>
          <w:ilvl w:val="0"/>
          <w:numId w:val="2"/>
        </w:numPr>
        <w:tabs>
          <w:tab w:val="clear" w:pos="360"/>
          <w:tab w:val="num" w:pos="709"/>
        </w:tabs>
        <w:spacing w:before="0"/>
        <w:rPr>
          <w:snapToGrid/>
          <w:kern w:val="22"/>
          <w:szCs w:val="22"/>
          <w:lang w:val="fr-CA"/>
        </w:rPr>
      </w:pPr>
      <w:r w:rsidRPr="005879DC">
        <w:rPr>
          <w:snapToGrid/>
          <w:kern w:val="22"/>
          <w:szCs w:val="22"/>
          <w:lang w:val="fr-CA"/>
        </w:rPr>
        <w:t>Deux Parties</w:t>
      </w:r>
      <w:r w:rsidRPr="005879DC">
        <w:rPr>
          <w:rStyle w:val="FootnoteReference"/>
          <w:snapToGrid/>
          <w:kern w:val="22"/>
          <w:szCs w:val="22"/>
          <w:lang w:val="fr-CA"/>
        </w:rPr>
        <w:footnoteReference w:id="11"/>
      </w:r>
      <w:r w:rsidRPr="005879DC">
        <w:rPr>
          <w:snapToGrid/>
          <w:kern w:val="22"/>
          <w:szCs w:val="22"/>
          <w:lang w:val="fr-CA"/>
        </w:rPr>
        <w:t xml:space="preserve"> ont souligné la nécessité de poursuivre l</w:t>
      </w:r>
      <w:r w:rsidR="0069339F">
        <w:rPr>
          <w:snapToGrid/>
          <w:kern w:val="22"/>
          <w:szCs w:val="22"/>
          <w:lang w:val="fr-CA"/>
        </w:rPr>
        <w:t>’</w:t>
      </w:r>
      <w:r w:rsidRPr="005879DC">
        <w:rPr>
          <w:snapToGrid/>
          <w:kern w:val="22"/>
          <w:szCs w:val="22"/>
          <w:lang w:val="fr-CA"/>
        </w:rPr>
        <w:t>étude et de tenir des consultations sur la nécessité et la mise en œuvre d</w:t>
      </w:r>
      <w:r w:rsidR="0069339F">
        <w:rPr>
          <w:snapToGrid/>
          <w:kern w:val="22"/>
          <w:szCs w:val="22"/>
          <w:lang w:val="fr-CA"/>
        </w:rPr>
        <w:t>’</w:t>
      </w:r>
      <w:r w:rsidRPr="005879DC">
        <w:rPr>
          <w:snapToGrid/>
          <w:kern w:val="22"/>
          <w:szCs w:val="22"/>
          <w:lang w:val="fr-CA"/>
        </w:rPr>
        <w:t>un mécanisme multilatéral mondial de partage des avantages.</w:t>
      </w:r>
    </w:p>
    <w:p w:rsidR="001C5C23" w:rsidRPr="001D35D1" w:rsidRDefault="005F0A6D" w:rsidP="005F0A6D">
      <w:pPr>
        <w:pStyle w:val="Para1"/>
        <w:numPr>
          <w:ilvl w:val="0"/>
          <w:numId w:val="2"/>
        </w:numPr>
        <w:suppressLineNumbers/>
        <w:tabs>
          <w:tab w:val="clear" w:pos="360"/>
          <w:tab w:val="num" w:pos="709"/>
        </w:tabs>
        <w:suppressAutoHyphens/>
        <w:spacing w:before="0"/>
        <w:rPr>
          <w:snapToGrid/>
          <w:kern w:val="22"/>
          <w:szCs w:val="22"/>
          <w:lang w:val="fr-CA"/>
        </w:rPr>
      </w:pPr>
      <w:r w:rsidRPr="005879DC">
        <w:rPr>
          <w:snapToGrid/>
          <w:kern w:val="22"/>
          <w:szCs w:val="22"/>
          <w:lang w:val="fr-CA"/>
        </w:rPr>
        <w:t>Dans leurs soumissions,</w:t>
      </w:r>
      <w:r w:rsidRPr="005879DC">
        <w:rPr>
          <w:rStyle w:val="FootnoteReference"/>
          <w:snapToGrid/>
          <w:kern w:val="22"/>
          <w:szCs w:val="22"/>
          <w:lang w:val="fr-CA"/>
        </w:rPr>
        <w:t xml:space="preserve"> </w:t>
      </w:r>
      <w:r w:rsidRPr="005879DC">
        <w:rPr>
          <w:rStyle w:val="FootnoteReference"/>
          <w:snapToGrid/>
          <w:kern w:val="22"/>
          <w:szCs w:val="22"/>
          <w:lang w:val="fr-CA"/>
        </w:rPr>
        <w:footnoteReference w:id="12"/>
      </w:r>
      <w:r w:rsidRPr="005879DC">
        <w:rPr>
          <w:snapToGrid/>
          <w:kern w:val="22"/>
          <w:szCs w:val="22"/>
          <w:lang w:val="fr-CA"/>
        </w:rPr>
        <w:t xml:space="preserve"> plusieurs Parties au Protocole de Nagoya, organisations et parties prenantes ont fait ressortir la nécessité d</w:t>
      </w:r>
      <w:r w:rsidR="0069339F">
        <w:rPr>
          <w:snapToGrid/>
          <w:kern w:val="22"/>
          <w:szCs w:val="22"/>
          <w:lang w:val="fr-CA"/>
        </w:rPr>
        <w:t>’</w:t>
      </w:r>
      <w:r w:rsidRPr="005879DC">
        <w:rPr>
          <w:snapToGrid/>
          <w:kern w:val="22"/>
          <w:szCs w:val="22"/>
          <w:lang w:val="fr-CA"/>
        </w:rPr>
        <w:t>un mécanisme multilatéral mondial de partage des avantages et ont fait connaître leurs points de vue sur les avantages d</w:t>
      </w:r>
      <w:r w:rsidR="0069339F">
        <w:rPr>
          <w:snapToGrid/>
          <w:kern w:val="22"/>
          <w:szCs w:val="22"/>
          <w:lang w:val="fr-CA"/>
        </w:rPr>
        <w:t>’</w:t>
      </w:r>
      <w:r w:rsidRPr="005879DC">
        <w:rPr>
          <w:snapToGrid/>
          <w:kern w:val="22"/>
          <w:szCs w:val="22"/>
          <w:lang w:val="fr-CA"/>
        </w:rPr>
        <w:t>un tel mécanisme</w:t>
      </w:r>
      <w:r w:rsidR="001C5C23" w:rsidRPr="001D35D1">
        <w:rPr>
          <w:snapToGrid/>
          <w:kern w:val="22"/>
          <w:szCs w:val="22"/>
          <w:lang w:val="fr-CA"/>
        </w:rPr>
        <w:t>.</w:t>
      </w:r>
    </w:p>
    <w:p w:rsidR="005F0A6D" w:rsidRPr="005879DC" w:rsidRDefault="005F0A6D" w:rsidP="005F0A6D">
      <w:pPr>
        <w:pStyle w:val="Para1"/>
        <w:numPr>
          <w:ilvl w:val="0"/>
          <w:numId w:val="2"/>
        </w:numPr>
        <w:tabs>
          <w:tab w:val="clear" w:pos="360"/>
          <w:tab w:val="num" w:pos="709"/>
        </w:tabs>
        <w:spacing w:before="0"/>
        <w:rPr>
          <w:snapToGrid/>
          <w:kern w:val="22"/>
          <w:szCs w:val="22"/>
          <w:lang w:val="fr-CA"/>
        </w:rPr>
      </w:pPr>
      <w:r w:rsidRPr="005879DC">
        <w:rPr>
          <w:snapToGrid/>
          <w:kern w:val="22"/>
          <w:szCs w:val="22"/>
          <w:lang w:val="fr-CA"/>
        </w:rPr>
        <w:t>Une organisation</w:t>
      </w:r>
      <w:r w:rsidRPr="005879DC">
        <w:rPr>
          <w:rStyle w:val="FootnoteReference"/>
          <w:snapToGrid/>
          <w:kern w:val="22"/>
          <w:szCs w:val="22"/>
          <w:lang w:val="fr-CA"/>
        </w:rPr>
        <w:footnoteReference w:id="13"/>
      </w:r>
      <w:r w:rsidRPr="005879DC">
        <w:rPr>
          <w:snapToGrid/>
          <w:kern w:val="22"/>
          <w:szCs w:val="22"/>
          <w:lang w:val="fr-CA"/>
        </w:rPr>
        <w:t xml:space="preserve"> a fait valoir que l</w:t>
      </w:r>
      <w:r w:rsidR="0069339F">
        <w:rPr>
          <w:snapToGrid/>
          <w:kern w:val="22"/>
          <w:szCs w:val="22"/>
          <w:lang w:val="fr-CA"/>
        </w:rPr>
        <w:t>’</w:t>
      </w:r>
      <w:r w:rsidRPr="005879DC">
        <w:rPr>
          <w:snapToGrid/>
          <w:kern w:val="22"/>
          <w:szCs w:val="22"/>
          <w:lang w:val="fr-CA"/>
        </w:rPr>
        <w:t>établissement d</w:t>
      </w:r>
      <w:r w:rsidR="0069339F">
        <w:rPr>
          <w:snapToGrid/>
          <w:kern w:val="22"/>
          <w:szCs w:val="22"/>
          <w:lang w:val="fr-CA"/>
        </w:rPr>
        <w:t>’</w:t>
      </w:r>
      <w:r w:rsidRPr="005879DC">
        <w:rPr>
          <w:snapToGrid/>
          <w:kern w:val="22"/>
          <w:szCs w:val="22"/>
          <w:lang w:val="fr-CA"/>
        </w:rPr>
        <w:t>un mécanisme multilatéral mondial de partage des avantages pourrait :</w:t>
      </w:r>
    </w:p>
    <w:p w:rsidR="005F0A6D" w:rsidRPr="005879DC" w:rsidRDefault="005F0A6D" w:rsidP="005F0A6D">
      <w:pPr>
        <w:pStyle w:val="Para1"/>
        <w:numPr>
          <w:ilvl w:val="0"/>
          <w:numId w:val="14"/>
        </w:numPr>
        <w:spacing w:before="60" w:after="60"/>
        <w:ind w:left="0" w:firstLine="810"/>
        <w:rPr>
          <w:kern w:val="22"/>
          <w:szCs w:val="22"/>
          <w:lang w:val="fr-CA"/>
        </w:rPr>
      </w:pPr>
      <w:r w:rsidRPr="005879DC">
        <w:rPr>
          <w:kern w:val="22"/>
          <w:szCs w:val="22"/>
          <w:lang w:val="fr-CA"/>
        </w:rPr>
        <w:t>Aider à assurer que les avantages découlant de l</w:t>
      </w:r>
      <w:r w:rsidR="0069339F">
        <w:rPr>
          <w:kern w:val="22"/>
          <w:szCs w:val="22"/>
          <w:lang w:val="fr-CA"/>
        </w:rPr>
        <w:t>’</w:t>
      </w:r>
      <w:r w:rsidRPr="005879DC">
        <w:rPr>
          <w:kern w:val="22"/>
          <w:szCs w:val="22"/>
          <w:lang w:val="fr-CA"/>
        </w:rPr>
        <w:t>utilisation de ressources génétiques à l</w:t>
      </w:r>
      <w:r w:rsidR="0069339F">
        <w:rPr>
          <w:kern w:val="22"/>
          <w:szCs w:val="22"/>
          <w:lang w:val="fr-CA"/>
        </w:rPr>
        <w:t>’</w:t>
      </w:r>
      <w:r w:rsidRPr="005879DC">
        <w:rPr>
          <w:kern w:val="22"/>
          <w:szCs w:val="22"/>
          <w:lang w:val="fr-CA"/>
        </w:rPr>
        <w:t>extérieur de l</w:t>
      </w:r>
      <w:r w:rsidR="0069339F">
        <w:rPr>
          <w:kern w:val="22"/>
          <w:szCs w:val="22"/>
          <w:lang w:val="fr-CA"/>
        </w:rPr>
        <w:t>’</w:t>
      </w:r>
      <w:r w:rsidRPr="005879DC">
        <w:rPr>
          <w:kern w:val="22"/>
          <w:szCs w:val="22"/>
          <w:lang w:val="fr-CA"/>
        </w:rPr>
        <w:t>habituel modèle bilatéral d</w:t>
      </w:r>
      <w:r w:rsidR="0069339F">
        <w:rPr>
          <w:kern w:val="22"/>
          <w:szCs w:val="22"/>
          <w:lang w:val="fr-CA"/>
        </w:rPr>
        <w:t>’</w:t>
      </w:r>
      <w:r w:rsidRPr="005879DC">
        <w:rPr>
          <w:kern w:val="22"/>
          <w:szCs w:val="22"/>
          <w:lang w:val="fr-CA"/>
        </w:rPr>
        <w:t xml:space="preserve">accès et de partage des avantages </w:t>
      </w:r>
      <w:r>
        <w:rPr>
          <w:kern w:val="22"/>
          <w:szCs w:val="22"/>
          <w:lang w:val="fr-CA"/>
        </w:rPr>
        <w:t>contribu</w:t>
      </w:r>
      <w:r w:rsidRPr="005879DC">
        <w:rPr>
          <w:kern w:val="22"/>
          <w:szCs w:val="22"/>
          <w:lang w:val="fr-CA"/>
        </w:rPr>
        <w:t>ent à la réalisation des deux premiers objectifs de la Convention;</w:t>
      </w:r>
    </w:p>
    <w:p w:rsidR="005F0A6D" w:rsidRPr="005879DC" w:rsidRDefault="005F0A6D" w:rsidP="005F0A6D">
      <w:pPr>
        <w:pStyle w:val="Para1"/>
        <w:numPr>
          <w:ilvl w:val="0"/>
          <w:numId w:val="14"/>
        </w:numPr>
        <w:spacing w:before="60" w:after="60"/>
        <w:ind w:left="0" w:firstLine="810"/>
        <w:rPr>
          <w:kern w:val="22"/>
          <w:szCs w:val="22"/>
          <w:lang w:val="fr-CA"/>
        </w:rPr>
      </w:pPr>
      <w:r w:rsidRPr="005879DC">
        <w:rPr>
          <w:kern w:val="22"/>
          <w:szCs w:val="22"/>
          <w:lang w:val="fr-CA"/>
        </w:rPr>
        <w:t>Aider les Parties à s</w:t>
      </w:r>
      <w:r w:rsidR="0069339F">
        <w:rPr>
          <w:kern w:val="22"/>
          <w:szCs w:val="22"/>
          <w:lang w:val="fr-CA"/>
        </w:rPr>
        <w:t>’</w:t>
      </w:r>
      <w:r w:rsidRPr="005879DC">
        <w:rPr>
          <w:kern w:val="22"/>
          <w:szCs w:val="22"/>
          <w:lang w:val="fr-CA"/>
        </w:rPr>
        <w:t>acquitter de leur obligation au titre de l</w:t>
      </w:r>
      <w:r w:rsidR="0069339F">
        <w:rPr>
          <w:kern w:val="22"/>
          <w:szCs w:val="22"/>
          <w:lang w:val="fr-CA"/>
        </w:rPr>
        <w:t>’</w:t>
      </w:r>
      <w:r w:rsidRPr="005879DC">
        <w:rPr>
          <w:kern w:val="22"/>
          <w:szCs w:val="22"/>
          <w:lang w:val="fr-CA"/>
        </w:rPr>
        <w:t>article</w:t>
      </w:r>
      <w:r w:rsidRPr="005879DC">
        <w:rPr>
          <w:lang w:val="fr-CA"/>
        </w:rPr>
        <w:t> </w:t>
      </w:r>
      <w:r w:rsidRPr="005879DC">
        <w:rPr>
          <w:kern w:val="22"/>
          <w:szCs w:val="22"/>
          <w:lang w:val="fr-CA"/>
        </w:rPr>
        <w:t xml:space="preserve">9 du Protocole, à savoir encourager les utilisateurs et les fournisseurs à </w:t>
      </w:r>
      <w:r w:rsidRPr="005879DC">
        <w:rPr>
          <w:lang w:val="fr-CA"/>
        </w:rPr>
        <w:t xml:space="preserve">affecter </w:t>
      </w:r>
      <w:r w:rsidRPr="005879DC">
        <w:rPr>
          <w:noProof/>
          <w:lang w:val="fr-CA"/>
        </w:rPr>
        <w:t>les avantages découlant de l</w:t>
      </w:r>
      <w:r w:rsidR="0069339F">
        <w:rPr>
          <w:noProof/>
          <w:lang w:val="fr-CA"/>
        </w:rPr>
        <w:t>’</w:t>
      </w:r>
      <w:r w:rsidRPr="005879DC">
        <w:rPr>
          <w:noProof/>
          <w:lang w:val="fr-CA"/>
        </w:rPr>
        <w:t>utilisation des ressources génétiques à la conservation de la diversité biologique et à l</w:t>
      </w:r>
      <w:r w:rsidR="0069339F">
        <w:rPr>
          <w:noProof/>
          <w:lang w:val="fr-CA"/>
        </w:rPr>
        <w:t>’</w:t>
      </w:r>
      <w:r w:rsidRPr="005879DC">
        <w:rPr>
          <w:noProof/>
          <w:lang w:val="fr-CA"/>
        </w:rPr>
        <w:t>utilisation durable de ses éléments constitutifs;</w:t>
      </w:r>
    </w:p>
    <w:p w:rsidR="005F0A6D" w:rsidRPr="005879DC" w:rsidRDefault="005F0A6D" w:rsidP="005F0A6D">
      <w:pPr>
        <w:pStyle w:val="Para1"/>
        <w:numPr>
          <w:ilvl w:val="0"/>
          <w:numId w:val="14"/>
        </w:numPr>
        <w:spacing w:before="60" w:after="60"/>
        <w:ind w:left="0" w:firstLine="810"/>
        <w:rPr>
          <w:kern w:val="22"/>
          <w:szCs w:val="22"/>
          <w:lang w:val="fr-CA"/>
        </w:rPr>
      </w:pPr>
      <w:r w:rsidRPr="005879DC">
        <w:rPr>
          <w:kern w:val="22"/>
          <w:szCs w:val="22"/>
          <w:lang w:val="fr-CA"/>
        </w:rPr>
        <w:lastRenderedPageBreak/>
        <w:t>Aider les Parties à s</w:t>
      </w:r>
      <w:r w:rsidR="0069339F">
        <w:rPr>
          <w:kern w:val="22"/>
          <w:szCs w:val="22"/>
          <w:lang w:val="fr-CA"/>
        </w:rPr>
        <w:t>’</w:t>
      </w:r>
      <w:r w:rsidRPr="005879DC">
        <w:rPr>
          <w:kern w:val="22"/>
          <w:szCs w:val="22"/>
          <w:lang w:val="fr-CA"/>
        </w:rPr>
        <w:t>acquitter de (certaines) de leurs obligations au titre de l</w:t>
      </w:r>
      <w:r w:rsidR="0069339F">
        <w:rPr>
          <w:kern w:val="22"/>
          <w:szCs w:val="22"/>
          <w:lang w:val="fr-CA"/>
        </w:rPr>
        <w:t>’</w:t>
      </w:r>
      <w:r w:rsidRPr="005879DC">
        <w:rPr>
          <w:kern w:val="22"/>
          <w:szCs w:val="22"/>
          <w:lang w:val="fr-CA"/>
        </w:rPr>
        <w:t>article 11 du Protocole à des coûts de transaction raisonnables et sans devoir traiter chaque situation au cas par cas;</w:t>
      </w:r>
    </w:p>
    <w:p w:rsidR="005F0A6D" w:rsidRPr="005879DC" w:rsidRDefault="005F0A6D" w:rsidP="005F0A6D">
      <w:pPr>
        <w:pStyle w:val="Para1"/>
        <w:numPr>
          <w:ilvl w:val="0"/>
          <w:numId w:val="14"/>
        </w:numPr>
        <w:spacing w:before="60" w:after="60"/>
        <w:ind w:left="0" w:firstLine="810"/>
        <w:rPr>
          <w:kern w:val="22"/>
          <w:szCs w:val="22"/>
          <w:lang w:val="fr-CA"/>
        </w:rPr>
      </w:pPr>
      <w:r w:rsidRPr="005879DC">
        <w:rPr>
          <w:kern w:val="22"/>
          <w:szCs w:val="22"/>
          <w:lang w:val="fr-CA"/>
        </w:rPr>
        <w:t>Fournir aux utilisateurs une certitude juridique accrue concernant l</w:t>
      </w:r>
      <w:r w:rsidR="0069339F">
        <w:rPr>
          <w:kern w:val="22"/>
          <w:szCs w:val="22"/>
          <w:lang w:val="fr-CA"/>
        </w:rPr>
        <w:t>’</w:t>
      </w:r>
      <w:r w:rsidRPr="005879DC">
        <w:rPr>
          <w:kern w:val="22"/>
          <w:szCs w:val="22"/>
          <w:lang w:val="fr-CA"/>
        </w:rPr>
        <w:t>utilisation de ressources génétiques, en particulier de celles qui doivent provenir d</w:t>
      </w:r>
      <w:r w:rsidR="0069339F">
        <w:rPr>
          <w:kern w:val="22"/>
          <w:szCs w:val="22"/>
          <w:lang w:val="fr-CA"/>
        </w:rPr>
        <w:t>’</w:t>
      </w:r>
      <w:r w:rsidRPr="005879DC">
        <w:rPr>
          <w:kern w:val="22"/>
          <w:szCs w:val="22"/>
          <w:lang w:val="fr-CA"/>
        </w:rPr>
        <w:t>un large éventail de</w:t>
      </w:r>
      <w:r>
        <w:rPr>
          <w:kern w:val="22"/>
          <w:szCs w:val="22"/>
          <w:lang w:val="fr-CA"/>
        </w:rPr>
        <w:t xml:space="preserve"> fournisseurs et/ou de sources;</w:t>
      </w:r>
    </w:p>
    <w:p w:rsidR="00230923" w:rsidRPr="001D35D1" w:rsidRDefault="005F0A6D" w:rsidP="005F0A6D">
      <w:pPr>
        <w:pStyle w:val="Para1"/>
        <w:numPr>
          <w:ilvl w:val="0"/>
          <w:numId w:val="14"/>
        </w:numPr>
        <w:suppressLineNumbers/>
        <w:suppressAutoHyphens/>
        <w:spacing w:before="0"/>
        <w:ind w:left="0" w:firstLine="851"/>
        <w:rPr>
          <w:snapToGrid/>
          <w:kern w:val="22"/>
          <w:szCs w:val="22"/>
          <w:lang w:val="fr-CA"/>
        </w:rPr>
      </w:pPr>
      <w:r w:rsidRPr="005879DC">
        <w:rPr>
          <w:kern w:val="22"/>
          <w:szCs w:val="22"/>
          <w:lang w:val="fr-CA"/>
        </w:rPr>
        <w:t>Servir d</w:t>
      </w:r>
      <w:r w:rsidR="0069339F">
        <w:rPr>
          <w:kern w:val="22"/>
          <w:szCs w:val="22"/>
          <w:lang w:val="fr-CA"/>
        </w:rPr>
        <w:t>’</w:t>
      </w:r>
      <w:r w:rsidRPr="005879DC">
        <w:rPr>
          <w:kern w:val="22"/>
          <w:szCs w:val="22"/>
          <w:lang w:val="fr-CA"/>
        </w:rPr>
        <w:t>intermédiaire pour le partage des avantages par les utilisateurs qui ne sont soumis à aucune obligation contractuelle de partage, mais qui néanmoins souhaitent appuyer la conservation et l</w:t>
      </w:r>
      <w:r w:rsidR="0069339F">
        <w:rPr>
          <w:kern w:val="22"/>
          <w:szCs w:val="22"/>
          <w:lang w:val="fr-CA"/>
        </w:rPr>
        <w:t>’</w:t>
      </w:r>
      <w:r w:rsidRPr="005879DC">
        <w:rPr>
          <w:kern w:val="22"/>
          <w:szCs w:val="22"/>
          <w:lang w:val="fr-CA"/>
        </w:rPr>
        <w:t>utilisation durable</w:t>
      </w:r>
      <w:r w:rsidR="00230923" w:rsidRPr="001D35D1">
        <w:rPr>
          <w:kern w:val="22"/>
          <w:szCs w:val="22"/>
          <w:lang w:val="fr-CA"/>
        </w:rPr>
        <w:t>.</w:t>
      </w:r>
    </w:p>
    <w:p w:rsidR="00230923" w:rsidRPr="001D35D1" w:rsidRDefault="005F0A6D"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snapToGrid/>
          <w:kern w:val="22"/>
          <w:szCs w:val="22"/>
          <w:lang w:val="fr-CA"/>
        </w:rPr>
        <w:t>Il a été noté qu</w:t>
      </w:r>
      <w:r w:rsidR="0069339F">
        <w:rPr>
          <w:snapToGrid/>
          <w:kern w:val="22"/>
          <w:szCs w:val="22"/>
          <w:lang w:val="fr-CA"/>
        </w:rPr>
        <w:t>’</w:t>
      </w:r>
      <w:r w:rsidRPr="005879DC">
        <w:rPr>
          <w:snapToGrid/>
          <w:kern w:val="22"/>
          <w:szCs w:val="22"/>
          <w:lang w:val="fr-CA"/>
        </w:rPr>
        <w:t>un mécanisme multilatéral mondial de partage des avantages faciliterait l</w:t>
      </w:r>
      <w:r w:rsidR="0069339F">
        <w:rPr>
          <w:snapToGrid/>
          <w:kern w:val="22"/>
          <w:szCs w:val="22"/>
          <w:lang w:val="fr-CA"/>
        </w:rPr>
        <w:t>’</w:t>
      </w:r>
      <w:r w:rsidRPr="005879DC">
        <w:rPr>
          <w:snapToGrid/>
          <w:kern w:val="22"/>
          <w:szCs w:val="22"/>
          <w:lang w:val="fr-CA"/>
        </w:rPr>
        <w:t>échange transfrontières de ressources génétiques par l</w:t>
      </w:r>
      <w:r w:rsidR="0069339F">
        <w:rPr>
          <w:snapToGrid/>
          <w:kern w:val="22"/>
          <w:szCs w:val="22"/>
          <w:lang w:val="fr-CA"/>
        </w:rPr>
        <w:t>’</w:t>
      </w:r>
      <w:r w:rsidRPr="005879DC">
        <w:rPr>
          <w:snapToGrid/>
          <w:kern w:val="22"/>
          <w:szCs w:val="22"/>
          <w:lang w:val="fr-CA"/>
        </w:rPr>
        <w:t>élaboration d</w:t>
      </w:r>
      <w:r w:rsidR="0069339F">
        <w:rPr>
          <w:snapToGrid/>
          <w:kern w:val="22"/>
          <w:szCs w:val="22"/>
          <w:lang w:val="fr-CA"/>
        </w:rPr>
        <w:t>’</w:t>
      </w:r>
      <w:r w:rsidRPr="005879DC">
        <w:rPr>
          <w:snapToGrid/>
          <w:kern w:val="22"/>
          <w:szCs w:val="22"/>
          <w:lang w:val="fr-CA"/>
        </w:rPr>
        <w:t>un système d</w:t>
      </w:r>
      <w:r w:rsidR="0069339F">
        <w:rPr>
          <w:snapToGrid/>
          <w:kern w:val="22"/>
          <w:szCs w:val="22"/>
          <w:lang w:val="fr-CA"/>
        </w:rPr>
        <w:t>’</w:t>
      </w:r>
      <w:r w:rsidRPr="005879DC">
        <w:rPr>
          <w:snapToGrid/>
          <w:kern w:val="22"/>
          <w:szCs w:val="22"/>
          <w:lang w:val="fr-CA"/>
        </w:rPr>
        <w:t xml:space="preserve">accès libre pour les ressources génétiques, </w:t>
      </w:r>
      <w:r w:rsidRPr="005879DC">
        <w:rPr>
          <w:noProof/>
          <w:snapToGrid/>
          <w:kern w:val="22"/>
          <w:szCs w:val="22"/>
          <w:lang w:val="fr-CA"/>
        </w:rPr>
        <w:t>où celles</w:t>
      </w:r>
      <w:r w:rsidR="0069339F">
        <w:rPr>
          <w:noProof/>
          <w:snapToGrid/>
          <w:kern w:val="22"/>
          <w:szCs w:val="22"/>
          <w:lang w:val="fr-CA"/>
        </w:rPr>
        <w:noBreakHyphen/>
      </w:r>
      <w:r w:rsidRPr="005879DC">
        <w:rPr>
          <w:noProof/>
          <w:snapToGrid/>
          <w:kern w:val="22"/>
          <w:szCs w:val="22"/>
          <w:lang w:val="fr-CA"/>
        </w:rPr>
        <w:t>ci pourraient</w:t>
      </w:r>
      <w:r w:rsidRPr="005879DC">
        <w:rPr>
          <w:snapToGrid/>
          <w:kern w:val="22"/>
          <w:szCs w:val="22"/>
          <w:lang w:val="fr-CA"/>
        </w:rPr>
        <w:t xml:space="preserve"> être facilement accessibles tout en </w:t>
      </w:r>
      <w:r>
        <w:rPr>
          <w:snapToGrid/>
          <w:kern w:val="22"/>
          <w:szCs w:val="22"/>
          <w:lang w:val="fr-CA"/>
        </w:rPr>
        <w:t>assuran</w:t>
      </w:r>
      <w:r w:rsidRPr="005879DC">
        <w:rPr>
          <w:snapToGrid/>
          <w:kern w:val="22"/>
          <w:szCs w:val="22"/>
          <w:lang w:val="fr-CA"/>
        </w:rPr>
        <w:t>t le partage des avantages.</w:t>
      </w:r>
      <w:r w:rsidRPr="005879DC">
        <w:rPr>
          <w:rStyle w:val="FootnoteReference"/>
          <w:snapToGrid/>
          <w:kern w:val="22"/>
          <w:szCs w:val="22"/>
          <w:lang w:val="fr-CA"/>
        </w:rPr>
        <w:footnoteReference w:id="14"/>
      </w:r>
    </w:p>
    <w:p w:rsidR="007725FC" w:rsidRPr="001D35D1" w:rsidRDefault="009E6231" w:rsidP="00F76BAE">
      <w:pPr>
        <w:pStyle w:val="ListParagraph"/>
        <w:keepNext/>
        <w:keepLines/>
        <w:numPr>
          <w:ilvl w:val="0"/>
          <w:numId w:val="12"/>
        </w:numPr>
        <w:suppressLineNumbers/>
        <w:suppressAutoHyphens/>
        <w:spacing w:before="120" w:after="120" w:line="240" w:lineRule="auto"/>
        <w:ind w:left="986" w:hanging="357"/>
        <w:outlineLvl w:val="1"/>
        <w:rPr>
          <w:rFonts w:ascii="Times New Roman" w:hAnsi="Times New Roman"/>
          <w:b/>
          <w:kern w:val="22"/>
          <w:lang w:val="fr-CA"/>
        </w:rPr>
      </w:pPr>
      <w:r w:rsidRPr="005879DC">
        <w:rPr>
          <w:rFonts w:ascii="Times New Roman" w:hAnsi="Times New Roman"/>
          <w:b/>
          <w:kern w:val="22"/>
          <w:lang w:val="fr-CA"/>
        </w:rPr>
        <w:t>Cas spécifiques qui pourraient appuyer la nécessité d</w:t>
      </w:r>
      <w:r w:rsidR="0069339F">
        <w:rPr>
          <w:rFonts w:ascii="Times New Roman" w:hAnsi="Times New Roman"/>
          <w:b/>
          <w:kern w:val="22"/>
          <w:lang w:val="fr-CA"/>
        </w:rPr>
        <w:t>’</w:t>
      </w:r>
      <w:r w:rsidRPr="005879DC">
        <w:rPr>
          <w:rFonts w:ascii="Times New Roman" w:hAnsi="Times New Roman"/>
          <w:b/>
          <w:kern w:val="22"/>
          <w:lang w:val="fr-CA"/>
        </w:rPr>
        <w:t>un mécanisme multilatéral mondial de partage des avantages qui ne sont pas couverts au titre de l</w:t>
      </w:r>
      <w:r w:rsidR="0069339F">
        <w:rPr>
          <w:rFonts w:ascii="Times New Roman" w:hAnsi="Times New Roman"/>
          <w:b/>
          <w:kern w:val="22"/>
          <w:lang w:val="fr-CA"/>
        </w:rPr>
        <w:t>’</w:t>
      </w:r>
      <w:r w:rsidRPr="005879DC">
        <w:rPr>
          <w:rFonts w:ascii="Times New Roman" w:hAnsi="Times New Roman"/>
          <w:b/>
          <w:kern w:val="22"/>
          <w:lang w:val="fr-CA"/>
        </w:rPr>
        <w:t>approche bilatérale, accompagnés d</w:t>
      </w:r>
      <w:r w:rsidR="0069339F">
        <w:rPr>
          <w:rFonts w:ascii="Times New Roman" w:hAnsi="Times New Roman"/>
          <w:b/>
          <w:kern w:val="22"/>
          <w:lang w:val="fr-CA"/>
        </w:rPr>
        <w:t>’</w:t>
      </w:r>
      <w:r w:rsidRPr="005879DC">
        <w:rPr>
          <w:rFonts w:ascii="Times New Roman" w:hAnsi="Times New Roman"/>
          <w:b/>
          <w:kern w:val="22"/>
          <w:lang w:val="fr-CA"/>
        </w:rPr>
        <w:t>une explication précisant pourquoi de tels cas ne peuvent pas être couverts au titre de l</w:t>
      </w:r>
      <w:r w:rsidR="0069339F">
        <w:rPr>
          <w:rFonts w:ascii="Times New Roman" w:hAnsi="Times New Roman"/>
          <w:b/>
          <w:kern w:val="22"/>
          <w:lang w:val="fr-CA"/>
        </w:rPr>
        <w:t>’</w:t>
      </w:r>
      <w:r w:rsidRPr="005879DC">
        <w:rPr>
          <w:rFonts w:ascii="Times New Roman" w:hAnsi="Times New Roman"/>
          <w:b/>
          <w:kern w:val="22"/>
          <w:lang w:val="fr-CA"/>
        </w:rPr>
        <w:t>approche bilatérale énoncée dans le Protocole de Nagoya</w:t>
      </w:r>
    </w:p>
    <w:p w:rsidR="007725FC" w:rsidRPr="001D35D1" w:rsidRDefault="00F353C9"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snapToGrid/>
          <w:kern w:val="22"/>
          <w:lang w:val="fr-CA"/>
        </w:rPr>
        <w:t>Plusieurs Parties et une organisation</w:t>
      </w:r>
      <w:r w:rsidRPr="005879DC">
        <w:rPr>
          <w:rStyle w:val="FootnoteReference"/>
          <w:snapToGrid/>
          <w:kern w:val="22"/>
          <w:lang w:val="fr-CA"/>
        </w:rPr>
        <w:footnoteReference w:id="15"/>
      </w:r>
      <w:r w:rsidRPr="005879DC">
        <w:rPr>
          <w:snapToGrid/>
          <w:kern w:val="22"/>
          <w:lang w:val="fr-CA"/>
        </w:rPr>
        <w:t xml:space="preserve"> ont recensé des cas spécifiques qui pourraient appuyer la nécessité d</w:t>
      </w:r>
      <w:r w:rsidR="0069339F">
        <w:rPr>
          <w:snapToGrid/>
          <w:kern w:val="22"/>
          <w:lang w:val="fr-CA"/>
        </w:rPr>
        <w:t>’</w:t>
      </w:r>
      <w:r w:rsidRPr="005879DC">
        <w:rPr>
          <w:snapToGrid/>
          <w:kern w:val="22"/>
          <w:lang w:val="fr-CA"/>
        </w:rPr>
        <w:t>un mécanisme multilatéral mondial de partage des avantages qui ne sont pas couverts au titre de l</w:t>
      </w:r>
      <w:r w:rsidR="0069339F">
        <w:rPr>
          <w:snapToGrid/>
          <w:kern w:val="22"/>
          <w:lang w:val="fr-CA"/>
        </w:rPr>
        <w:t>’</w:t>
      </w:r>
      <w:r w:rsidRPr="005879DC">
        <w:rPr>
          <w:snapToGrid/>
          <w:kern w:val="22"/>
          <w:lang w:val="fr-CA"/>
        </w:rPr>
        <w:t xml:space="preserve">approche bilatérale énoncée dans le Protocole de Nagoya, et certaines ont </w:t>
      </w:r>
      <w:r>
        <w:rPr>
          <w:snapToGrid/>
          <w:kern w:val="22"/>
          <w:lang w:val="fr-CA"/>
        </w:rPr>
        <w:t>précisé</w:t>
      </w:r>
      <w:r w:rsidRPr="005879DC">
        <w:rPr>
          <w:snapToGrid/>
          <w:kern w:val="22"/>
          <w:lang w:val="fr-CA"/>
        </w:rPr>
        <w:t xml:space="preserve"> pourquoi de tels cas ne peuvent pas être couverts au titre de l</w:t>
      </w:r>
      <w:r w:rsidR="0069339F">
        <w:rPr>
          <w:snapToGrid/>
          <w:kern w:val="22"/>
          <w:lang w:val="fr-CA"/>
        </w:rPr>
        <w:t>’</w:t>
      </w:r>
      <w:r w:rsidRPr="005879DC">
        <w:rPr>
          <w:snapToGrid/>
          <w:kern w:val="22"/>
          <w:lang w:val="fr-CA"/>
        </w:rPr>
        <w:t>approche bilatérale</w:t>
      </w:r>
      <w:r w:rsidRPr="001D35D1">
        <w:rPr>
          <w:snapToGrid/>
          <w:kern w:val="22"/>
          <w:szCs w:val="22"/>
          <w:lang w:val="fr-CA"/>
        </w:rPr>
        <w:t>.</w:t>
      </w:r>
    </w:p>
    <w:p w:rsidR="004F6661" w:rsidRPr="001D35D1" w:rsidRDefault="00F353C9"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snapToGrid/>
          <w:kern w:val="22"/>
          <w:lang w:val="fr-CA"/>
        </w:rPr>
        <w:t xml:space="preserve">Les cas et explications </w:t>
      </w:r>
      <w:r>
        <w:rPr>
          <w:snapToGrid/>
          <w:kern w:val="22"/>
          <w:lang w:val="fr-CA"/>
        </w:rPr>
        <w:t>figurant ci</w:t>
      </w:r>
      <w:r w:rsidR="0069339F">
        <w:rPr>
          <w:snapToGrid/>
          <w:kern w:val="22"/>
          <w:lang w:val="fr-CA"/>
        </w:rPr>
        <w:noBreakHyphen/>
      </w:r>
      <w:r>
        <w:rPr>
          <w:snapToGrid/>
          <w:kern w:val="22"/>
          <w:lang w:val="fr-CA"/>
        </w:rPr>
        <w:t>après ont été soumis.</w:t>
      </w:r>
    </w:p>
    <w:p w:rsidR="004F6661" w:rsidRPr="001D35D1" w:rsidRDefault="00976A52" w:rsidP="00F76BAE">
      <w:pPr>
        <w:pStyle w:val="Heading3"/>
        <w:suppressLineNumbers/>
        <w:tabs>
          <w:tab w:val="left" w:pos="284"/>
        </w:tabs>
        <w:suppressAutoHyphens/>
        <w:rPr>
          <w:i w:val="0"/>
          <w:iCs w:val="0"/>
          <w:kern w:val="22"/>
          <w:szCs w:val="22"/>
          <w:lang w:val="fr-CA"/>
        </w:rPr>
      </w:pPr>
      <w:r w:rsidRPr="001D35D1">
        <w:rPr>
          <w:kern w:val="22"/>
          <w:szCs w:val="22"/>
          <w:lang w:val="fr-CA"/>
        </w:rPr>
        <w:t>1.</w:t>
      </w:r>
      <w:r w:rsidRPr="001D35D1">
        <w:rPr>
          <w:kern w:val="22"/>
          <w:szCs w:val="22"/>
          <w:lang w:val="fr-CA"/>
        </w:rPr>
        <w:tab/>
      </w:r>
      <w:r w:rsidR="00A35828" w:rsidRPr="005879DC">
        <w:rPr>
          <w:kern w:val="22"/>
          <w:lang w:val="fr-CA"/>
        </w:rPr>
        <w:t>Cas spécifiques liés à des ressources génétiques</w:t>
      </w:r>
    </w:p>
    <w:p w:rsidR="004F6661" w:rsidRPr="001D35D1" w:rsidRDefault="00A35828" w:rsidP="00F76BAE">
      <w:pPr>
        <w:pStyle w:val="Para1"/>
        <w:numPr>
          <w:ilvl w:val="0"/>
          <w:numId w:val="2"/>
        </w:numPr>
        <w:suppressLineNumbers/>
        <w:tabs>
          <w:tab w:val="clear" w:pos="360"/>
          <w:tab w:val="num" w:pos="709"/>
        </w:tabs>
        <w:suppressAutoHyphens/>
        <w:spacing w:before="0"/>
        <w:rPr>
          <w:snapToGrid/>
          <w:kern w:val="22"/>
          <w:szCs w:val="22"/>
          <w:lang w:val="fr-CA"/>
        </w:rPr>
      </w:pPr>
      <w:bookmarkStart w:id="7" w:name="_Ref50471951"/>
      <w:r w:rsidRPr="005971ED">
        <w:rPr>
          <w:i/>
          <w:snapToGrid/>
          <w:kern w:val="22"/>
          <w:lang w:val="fr-CA"/>
        </w:rPr>
        <w:t>Pays partageant le même écosystème ou les mêmes espèces, ressources génétiques transfrontalières, organismes vivant dans des rivières ou autres eaux partagées par plus d</w:t>
      </w:r>
      <w:r w:rsidR="0069339F">
        <w:rPr>
          <w:i/>
          <w:snapToGrid/>
          <w:kern w:val="22"/>
          <w:lang w:val="fr-CA"/>
        </w:rPr>
        <w:t>’</w:t>
      </w:r>
      <w:r w:rsidRPr="005971ED">
        <w:rPr>
          <w:i/>
          <w:snapToGrid/>
          <w:kern w:val="22"/>
          <w:lang w:val="fr-CA"/>
        </w:rPr>
        <w:t>un pays;</w:t>
      </w:r>
      <w:r w:rsidRPr="005971ED">
        <w:rPr>
          <w:rStyle w:val="FootnoteReference"/>
          <w:i/>
          <w:snapToGrid/>
          <w:kern w:val="22"/>
          <w:lang w:val="fr-CA"/>
        </w:rPr>
        <w:t xml:space="preserve"> </w:t>
      </w:r>
      <w:r w:rsidRPr="005971ED">
        <w:rPr>
          <w:rStyle w:val="FootnoteReference"/>
          <w:i/>
          <w:snapToGrid/>
          <w:kern w:val="22"/>
          <w:lang w:val="fr-CA"/>
        </w:rPr>
        <w:footnoteReference w:id="16"/>
      </w:r>
      <w:r w:rsidRPr="005971ED">
        <w:rPr>
          <w:i/>
          <w:snapToGrid/>
          <w:kern w:val="22"/>
          <w:lang w:val="fr-CA"/>
        </w:rPr>
        <w:t xml:space="preserve"> ressources génétiques détenues par des peuples autochtones ou des communautés locales situés dans des pays différents</w:t>
      </w:r>
      <w:r w:rsidRPr="005879DC">
        <w:rPr>
          <w:i/>
          <w:snapToGrid/>
          <w:kern w:val="22"/>
          <w:lang w:val="fr-CA"/>
        </w:rPr>
        <w:t>.</w:t>
      </w:r>
      <w:r w:rsidRPr="005879DC">
        <w:rPr>
          <w:rStyle w:val="FootnoteReference"/>
          <w:snapToGrid/>
          <w:kern w:val="22"/>
          <w:lang w:val="fr-CA"/>
        </w:rPr>
        <w:footnoteReference w:id="17"/>
      </w:r>
      <w:r w:rsidRPr="005879DC">
        <w:rPr>
          <w:i/>
          <w:snapToGrid/>
          <w:kern w:val="22"/>
          <w:lang w:val="fr-CA"/>
        </w:rPr>
        <w:t xml:space="preserve"> </w:t>
      </w:r>
      <w:r w:rsidRPr="005879DC">
        <w:rPr>
          <w:snapToGrid/>
          <w:kern w:val="22"/>
          <w:lang w:val="fr-CA"/>
        </w:rPr>
        <w:t>Une organisation</w:t>
      </w:r>
      <w:r w:rsidRPr="005879DC">
        <w:rPr>
          <w:rStyle w:val="FootnoteReference"/>
          <w:snapToGrid/>
          <w:kern w:val="22"/>
          <w:lang w:val="fr-CA"/>
        </w:rPr>
        <w:footnoteReference w:id="18"/>
      </w:r>
      <w:r w:rsidRPr="005879DC">
        <w:rPr>
          <w:i/>
          <w:snapToGrid/>
          <w:kern w:val="22"/>
          <w:lang w:val="fr-CA"/>
        </w:rPr>
        <w:t xml:space="preserve"> </w:t>
      </w:r>
      <w:r>
        <w:rPr>
          <w:snapToGrid/>
          <w:kern w:val="22"/>
          <w:lang w:val="fr-CA"/>
        </w:rPr>
        <w:t>a indiqué</w:t>
      </w:r>
      <w:r w:rsidRPr="005879DC">
        <w:rPr>
          <w:snapToGrid/>
          <w:kern w:val="22"/>
          <w:lang w:val="fr-CA"/>
        </w:rPr>
        <w:t xml:space="preserve"> que dans la plupart de ces situations, il </w:t>
      </w:r>
      <w:r>
        <w:rPr>
          <w:snapToGrid/>
          <w:kern w:val="22"/>
          <w:lang w:val="fr-CA"/>
        </w:rPr>
        <w:t>était</w:t>
      </w:r>
      <w:r w:rsidRPr="005879DC">
        <w:rPr>
          <w:snapToGrid/>
          <w:kern w:val="22"/>
          <w:lang w:val="fr-CA"/>
        </w:rPr>
        <w:t xml:space="preserve"> peu pratique d</w:t>
      </w:r>
      <w:r w:rsidR="0069339F">
        <w:rPr>
          <w:snapToGrid/>
          <w:kern w:val="22"/>
          <w:lang w:val="fr-CA"/>
        </w:rPr>
        <w:t>’</w:t>
      </w:r>
      <w:r w:rsidRPr="005879DC">
        <w:rPr>
          <w:snapToGrid/>
          <w:kern w:val="22"/>
          <w:lang w:val="fr-CA"/>
        </w:rPr>
        <w:t>obtenir un consentement préalable en connaissance de cause et de négocier des conditions mutuellement convenues avec tous les fournisseurs réels et éventuels. Conclure un accord d</w:t>
      </w:r>
      <w:r w:rsidR="0069339F">
        <w:rPr>
          <w:snapToGrid/>
          <w:kern w:val="22"/>
          <w:lang w:val="fr-CA"/>
        </w:rPr>
        <w:t>’</w:t>
      </w:r>
      <w:r w:rsidRPr="005879DC">
        <w:rPr>
          <w:snapToGrid/>
          <w:kern w:val="22"/>
          <w:lang w:val="fr-CA"/>
        </w:rPr>
        <w:t>accès et de partage des avantages avec un fournisseur seulement ne serait ni juste ni équitable, car un tel accord bilatéral n</w:t>
      </w:r>
      <w:r w:rsidR="0069339F">
        <w:rPr>
          <w:snapToGrid/>
          <w:kern w:val="22"/>
          <w:lang w:val="fr-CA"/>
        </w:rPr>
        <w:t>’</w:t>
      </w:r>
      <w:r w:rsidRPr="005879DC">
        <w:rPr>
          <w:snapToGrid/>
          <w:kern w:val="22"/>
          <w:lang w:val="fr-CA"/>
        </w:rPr>
        <w:t>indemniserait pas les autres gardiens des mêmes ressources, qui doivent alors assumer les coûts de la protection des écosystèmes, ressources et connaissances partagés sans en bénéficier équitablement. L</w:t>
      </w:r>
      <w:r w:rsidR="0069339F">
        <w:rPr>
          <w:snapToGrid/>
          <w:kern w:val="22"/>
          <w:lang w:val="fr-CA"/>
        </w:rPr>
        <w:t>’</w:t>
      </w:r>
      <w:r w:rsidRPr="005879DC">
        <w:rPr>
          <w:snapToGrid/>
          <w:kern w:val="22"/>
          <w:lang w:val="fr-CA"/>
        </w:rPr>
        <w:t>organisation</w:t>
      </w:r>
      <w:r>
        <w:rPr>
          <w:snapToGrid/>
          <w:kern w:val="22"/>
          <w:lang w:val="fr-CA"/>
        </w:rPr>
        <w:t xml:space="preserve"> a</w:t>
      </w:r>
      <w:r w:rsidRPr="005879DC">
        <w:rPr>
          <w:snapToGrid/>
          <w:kern w:val="22"/>
          <w:lang w:val="fr-CA"/>
        </w:rPr>
        <w:t xml:space="preserve"> également </w:t>
      </w:r>
      <w:r>
        <w:rPr>
          <w:snapToGrid/>
          <w:kern w:val="22"/>
          <w:lang w:val="fr-CA"/>
        </w:rPr>
        <w:t>noté</w:t>
      </w:r>
      <w:r w:rsidRPr="005879DC">
        <w:rPr>
          <w:snapToGrid/>
          <w:kern w:val="22"/>
          <w:lang w:val="fr-CA"/>
        </w:rPr>
        <w:t xml:space="preserve"> que l</w:t>
      </w:r>
      <w:r w:rsidR="0069339F">
        <w:rPr>
          <w:snapToGrid/>
          <w:kern w:val="22"/>
          <w:lang w:val="fr-CA"/>
        </w:rPr>
        <w:t>’</w:t>
      </w:r>
      <w:r w:rsidRPr="005879DC">
        <w:rPr>
          <w:snapToGrid/>
          <w:kern w:val="22"/>
          <w:lang w:val="fr-CA"/>
        </w:rPr>
        <w:t xml:space="preserve">article 11 du Protocole de </w:t>
      </w:r>
      <w:r w:rsidRPr="005879DC">
        <w:rPr>
          <w:noProof/>
          <w:snapToGrid/>
          <w:kern w:val="22"/>
          <w:lang w:val="fr-CA"/>
        </w:rPr>
        <w:t xml:space="preserve">Nagoya prévoit que </w:t>
      </w:r>
      <w:r w:rsidRPr="005879DC">
        <w:rPr>
          <w:noProof/>
          <w:lang w:val="fr-CA"/>
        </w:rPr>
        <w:t>les Parties concernées s</w:t>
      </w:r>
      <w:r w:rsidR="0069339F">
        <w:rPr>
          <w:noProof/>
          <w:lang w:val="fr-CA"/>
        </w:rPr>
        <w:t>’</w:t>
      </w:r>
      <w:r w:rsidRPr="005879DC">
        <w:rPr>
          <w:noProof/>
          <w:lang w:val="fr-CA"/>
        </w:rPr>
        <w:t>efforcent de coopérer</w:t>
      </w:r>
      <w:r w:rsidRPr="005879DC">
        <w:rPr>
          <w:noProof/>
          <w:snapToGrid/>
          <w:kern w:val="22"/>
          <w:lang w:val="fr-CA"/>
        </w:rPr>
        <w:t xml:space="preserve"> </w:t>
      </w:r>
      <w:r w:rsidRPr="005879DC">
        <w:rPr>
          <w:noProof/>
          <w:lang w:val="fr-CA"/>
        </w:rPr>
        <w:t>lorsque les mêmes ressources génétiques et/ou les mêmes connaissances traditionnelles associées à des ressources génétiques sont situées sur le territoire de plus d</w:t>
      </w:r>
      <w:r w:rsidR="0069339F">
        <w:rPr>
          <w:noProof/>
          <w:lang w:val="fr-CA"/>
        </w:rPr>
        <w:t>’</w:t>
      </w:r>
      <w:r w:rsidRPr="005879DC">
        <w:rPr>
          <w:noProof/>
          <w:lang w:val="fr-CA"/>
        </w:rPr>
        <w:t xml:space="preserve">une Partie. La </w:t>
      </w:r>
      <w:r>
        <w:rPr>
          <w:noProof/>
          <w:lang w:val="fr-CA"/>
        </w:rPr>
        <w:t>coopération transfrontières pourrait</w:t>
      </w:r>
      <w:r w:rsidRPr="005879DC">
        <w:rPr>
          <w:noProof/>
          <w:lang w:val="fr-CA"/>
        </w:rPr>
        <w:t xml:space="preserve"> s</w:t>
      </w:r>
      <w:r w:rsidR="0069339F">
        <w:rPr>
          <w:noProof/>
          <w:lang w:val="fr-CA"/>
        </w:rPr>
        <w:t>’</w:t>
      </w:r>
      <w:r w:rsidRPr="005879DC">
        <w:rPr>
          <w:noProof/>
          <w:lang w:val="fr-CA"/>
        </w:rPr>
        <w:t>avérer difficile pour des raisons politiques ou autres. L</w:t>
      </w:r>
      <w:r w:rsidR="0069339F">
        <w:rPr>
          <w:noProof/>
          <w:lang w:val="fr-CA"/>
        </w:rPr>
        <w:t>’</w:t>
      </w:r>
      <w:r w:rsidRPr="005879DC">
        <w:rPr>
          <w:noProof/>
          <w:lang w:val="fr-CA"/>
        </w:rPr>
        <w:t>établissement d</w:t>
      </w:r>
      <w:r w:rsidR="0069339F">
        <w:rPr>
          <w:noProof/>
          <w:lang w:val="fr-CA"/>
        </w:rPr>
        <w:t>’</w:t>
      </w:r>
      <w:r w:rsidRPr="005879DC">
        <w:rPr>
          <w:noProof/>
          <w:lang w:val="fr-CA"/>
        </w:rPr>
        <w:t>un mécanisme multilatéral mondial de partage des avantages aiderait les Parties à s</w:t>
      </w:r>
      <w:r w:rsidR="0069339F">
        <w:rPr>
          <w:noProof/>
          <w:lang w:val="fr-CA"/>
        </w:rPr>
        <w:t>’</w:t>
      </w:r>
      <w:r w:rsidRPr="005879DC">
        <w:rPr>
          <w:noProof/>
          <w:lang w:val="fr-CA"/>
        </w:rPr>
        <w:t>acquitter de (certaines de) leurs obligations au titre de l</w:t>
      </w:r>
      <w:r w:rsidR="0069339F">
        <w:rPr>
          <w:noProof/>
          <w:lang w:val="fr-CA"/>
        </w:rPr>
        <w:t>’</w:t>
      </w:r>
      <w:r w:rsidRPr="005879DC">
        <w:rPr>
          <w:noProof/>
          <w:lang w:val="fr-CA"/>
        </w:rPr>
        <w:t xml:space="preserve">article 11 à un coût de transaction raisonnable et sans devoir traiter chaque situation au cas pas cas. La même organisation </w:t>
      </w:r>
      <w:r>
        <w:rPr>
          <w:noProof/>
          <w:lang w:val="fr-CA"/>
        </w:rPr>
        <w:t xml:space="preserve">a </w:t>
      </w:r>
      <w:r w:rsidRPr="005879DC">
        <w:rPr>
          <w:noProof/>
          <w:lang w:val="fr-CA"/>
        </w:rPr>
        <w:t xml:space="preserve">par ailleurs </w:t>
      </w:r>
      <w:r>
        <w:rPr>
          <w:noProof/>
          <w:lang w:val="fr-CA"/>
        </w:rPr>
        <w:t>précisé</w:t>
      </w:r>
      <w:r w:rsidRPr="005879DC">
        <w:rPr>
          <w:noProof/>
          <w:lang w:val="fr-CA"/>
        </w:rPr>
        <w:t xml:space="preserve"> que les difficultés de nature pratique associées aux efforts visant à conclure de multiples accords d</w:t>
      </w:r>
      <w:r w:rsidR="0069339F">
        <w:rPr>
          <w:noProof/>
          <w:lang w:val="fr-CA"/>
        </w:rPr>
        <w:t>’</w:t>
      </w:r>
      <w:r w:rsidRPr="005879DC">
        <w:rPr>
          <w:noProof/>
          <w:lang w:val="fr-CA"/>
        </w:rPr>
        <w:t>accès et de partage des avantages avec de</w:t>
      </w:r>
      <w:r>
        <w:rPr>
          <w:noProof/>
          <w:lang w:val="fr-CA"/>
        </w:rPr>
        <w:t xml:space="preserve"> multiples détenteurs</w:t>
      </w:r>
      <w:r w:rsidRPr="005879DC">
        <w:rPr>
          <w:noProof/>
          <w:lang w:val="fr-CA"/>
        </w:rPr>
        <w:t xml:space="preserve"> de droits dans de multiples jurisdictions signifient que l</w:t>
      </w:r>
      <w:r w:rsidR="0069339F">
        <w:rPr>
          <w:noProof/>
          <w:lang w:val="fr-CA"/>
        </w:rPr>
        <w:t>’</w:t>
      </w:r>
      <w:r w:rsidRPr="005879DC">
        <w:rPr>
          <w:noProof/>
          <w:lang w:val="fr-CA"/>
        </w:rPr>
        <w:t>application de l</w:t>
      </w:r>
      <w:r w:rsidR="0069339F">
        <w:rPr>
          <w:noProof/>
          <w:lang w:val="fr-CA"/>
        </w:rPr>
        <w:t>’</w:t>
      </w:r>
      <w:r w:rsidRPr="005879DC">
        <w:rPr>
          <w:noProof/>
          <w:lang w:val="fr-CA"/>
        </w:rPr>
        <w:t>approche bilatérale à de telles situations s</w:t>
      </w:r>
      <w:r w:rsidR="0069339F">
        <w:rPr>
          <w:noProof/>
          <w:lang w:val="fr-CA"/>
        </w:rPr>
        <w:t>’</w:t>
      </w:r>
      <w:r w:rsidRPr="005879DC">
        <w:rPr>
          <w:noProof/>
          <w:lang w:val="fr-CA"/>
        </w:rPr>
        <w:t xml:space="preserve">avérerait probablement </w:t>
      </w:r>
      <w:r>
        <w:rPr>
          <w:noProof/>
          <w:lang w:val="fr-CA"/>
        </w:rPr>
        <w:t>excessivement coûteuse</w:t>
      </w:r>
      <w:r w:rsidRPr="005879DC">
        <w:rPr>
          <w:noProof/>
          <w:lang w:val="fr-CA"/>
        </w:rPr>
        <w:t xml:space="preserve"> et/ou injuste</w:t>
      </w:r>
      <w:r w:rsidR="00AA5F81" w:rsidRPr="001D35D1">
        <w:rPr>
          <w:snapToGrid/>
          <w:kern w:val="22"/>
          <w:szCs w:val="22"/>
          <w:lang w:val="fr-CA"/>
        </w:rPr>
        <w:t>.</w:t>
      </w:r>
      <w:bookmarkEnd w:id="7"/>
    </w:p>
    <w:tbl>
      <w:tblPr>
        <w:tblStyle w:val="TableGrid"/>
        <w:tblW w:w="0" w:type="auto"/>
        <w:jc w:val="center"/>
        <w:tblLook w:val="04A0" w:firstRow="1" w:lastRow="0" w:firstColumn="1" w:lastColumn="0" w:noHBand="0" w:noVBand="1"/>
      </w:tblPr>
      <w:tblGrid>
        <w:gridCol w:w="9472"/>
      </w:tblGrid>
      <w:tr w:rsidR="00CF22FF" w:rsidRPr="001D35D1" w:rsidTr="00F76BAE">
        <w:trPr>
          <w:jc w:val="center"/>
        </w:trPr>
        <w:tc>
          <w:tcPr>
            <w:tcW w:w="9472" w:type="dxa"/>
          </w:tcPr>
          <w:p w:rsidR="00CF22FF" w:rsidRPr="001D35D1" w:rsidRDefault="007A17F1" w:rsidP="00F76BAE">
            <w:pPr>
              <w:pStyle w:val="Para1"/>
              <w:suppressLineNumbers/>
              <w:suppressAutoHyphens/>
              <w:spacing w:before="0"/>
              <w:rPr>
                <w:snapToGrid/>
                <w:kern w:val="22"/>
                <w:szCs w:val="22"/>
                <w:lang w:val="fr-CA"/>
              </w:rPr>
            </w:pPr>
            <w:r w:rsidRPr="005879DC">
              <w:rPr>
                <w:snapToGrid/>
                <w:kern w:val="22"/>
                <w:lang w:val="fr-CA"/>
              </w:rPr>
              <w:lastRenderedPageBreak/>
              <w:t>E</w:t>
            </w:r>
            <w:r>
              <w:rPr>
                <w:snapToGrid/>
                <w:kern w:val="22"/>
                <w:lang w:val="fr-CA"/>
              </w:rPr>
              <w:t>xemple de cas réel de l</w:t>
            </w:r>
            <w:r w:rsidR="0069339F">
              <w:rPr>
                <w:snapToGrid/>
                <w:kern w:val="22"/>
                <w:lang w:val="fr-CA"/>
              </w:rPr>
              <w:t>’</w:t>
            </w:r>
            <w:r w:rsidRPr="005879DC">
              <w:rPr>
                <w:snapToGrid/>
                <w:kern w:val="22"/>
                <w:lang w:val="fr-CA"/>
              </w:rPr>
              <w:t>Afrique du Sud</w:t>
            </w:r>
            <w:r>
              <w:rPr>
                <w:snapToGrid/>
                <w:kern w:val="22"/>
                <w:lang w:val="fr-CA"/>
              </w:rPr>
              <w:t> :</w:t>
            </w:r>
            <w:r w:rsidRPr="005879DC">
              <w:rPr>
                <w:rStyle w:val="FootnoteReference"/>
                <w:snapToGrid/>
                <w:kern w:val="22"/>
                <w:lang w:val="fr-CA"/>
              </w:rPr>
              <w:footnoteReference w:id="19"/>
            </w:r>
            <w:r w:rsidR="00E97E8D">
              <w:rPr>
                <w:snapToGrid/>
                <w:kern w:val="22"/>
                <w:lang w:val="fr-CA"/>
              </w:rPr>
              <w:t xml:space="preserve"> Une entreprise basée </w:t>
            </w:r>
            <w:r w:rsidR="00E97E8D">
              <w:rPr>
                <w:noProof/>
                <w:snapToGrid/>
                <w:kern w:val="22"/>
                <w:lang w:val="fr-CA"/>
              </w:rPr>
              <w:t>aux É</w:t>
            </w:r>
            <w:r w:rsidRPr="005879DC">
              <w:rPr>
                <w:noProof/>
                <w:snapToGrid/>
                <w:kern w:val="22"/>
                <w:lang w:val="fr-CA"/>
              </w:rPr>
              <w:t>tats</w:t>
            </w:r>
            <w:r w:rsidR="0069339F">
              <w:rPr>
                <w:noProof/>
                <w:snapToGrid/>
                <w:kern w:val="22"/>
                <w:lang w:val="fr-CA"/>
              </w:rPr>
              <w:noBreakHyphen/>
            </w:r>
            <w:r w:rsidRPr="005879DC">
              <w:rPr>
                <w:noProof/>
                <w:snapToGrid/>
                <w:kern w:val="22"/>
                <w:lang w:val="fr-CA"/>
              </w:rPr>
              <w:t>Unis d</w:t>
            </w:r>
            <w:r w:rsidR="0069339F">
              <w:rPr>
                <w:noProof/>
                <w:snapToGrid/>
                <w:kern w:val="22"/>
                <w:lang w:val="fr-CA"/>
              </w:rPr>
              <w:t>’</w:t>
            </w:r>
            <w:r w:rsidRPr="005879DC">
              <w:rPr>
                <w:noProof/>
                <w:snapToGrid/>
                <w:kern w:val="22"/>
                <w:lang w:val="fr-CA"/>
              </w:rPr>
              <w:t>Amérique</w:t>
            </w:r>
            <w:r w:rsidRPr="005879DC">
              <w:rPr>
                <w:snapToGrid/>
                <w:kern w:val="22"/>
                <w:lang w:val="fr-CA"/>
              </w:rPr>
              <w:t xml:space="preserve"> recueille des matières premières provenant de baobabs dans de multiples pays africains et fabrique un produit hydrolysé à base de baobab qu</w:t>
            </w:r>
            <w:r w:rsidR="0069339F">
              <w:rPr>
                <w:snapToGrid/>
                <w:kern w:val="22"/>
                <w:lang w:val="fr-CA"/>
              </w:rPr>
              <w:t>’</w:t>
            </w:r>
            <w:r w:rsidRPr="005879DC">
              <w:rPr>
                <w:snapToGrid/>
                <w:kern w:val="22"/>
                <w:lang w:val="fr-CA"/>
              </w:rPr>
              <w:t>elle vend à des clients en Afrique du Sud (qui est également un État de l</w:t>
            </w:r>
            <w:r w:rsidR="0069339F">
              <w:rPr>
                <w:snapToGrid/>
                <w:kern w:val="22"/>
                <w:lang w:val="fr-CA"/>
              </w:rPr>
              <w:t>’</w:t>
            </w:r>
            <w:r w:rsidRPr="005879DC">
              <w:rPr>
                <w:snapToGrid/>
                <w:kern w:val="22"/>
                <w:lang w:val="fr-CA"/>
              </w:rPr>
              <w:t>aire de répartition et un fournisseur). Ce scénario très complexe nécessiterait un mécanisme multilatéral mondial de partage des avantages pour réaliser un partage juste et équitable des avantages</w:t>
            </w:r>
            <w:r>
              <w:rPr>
                <w:snapToGrid/>
                <w:kern w:val="22"/>
                <w:lang w:val="fr-CA"/>
              </w:rPr>
              <w:t>.</w:t>
            </w:r>
          </w:p>
        </w:tc>
      </w:tr>
    </w:tbl>
    <w:p w:rsidR="004F6661" w:rsidRPr="001D35D1" w:rsidRDefault="005971ED" w:rsidP="00F76BAE">
      <w:pPr>
        <w:pStyle w:val="Para1"/>
        <w:numPr>
          <w:ilvl w:val="0"/>
          <w:numId w:val="2"/>
        </w:numPr>
        <w:suppressLineNumbers/>
        <w:tabs>
          <w:tab w:val="clear" w:pos="360"/>
          <w:tab w:val="num" w:pos="709"/>
        </w:tabs>
        <w:suppressAutoHyphens/>
        <w:rPr>
          <w:noProof/>
          <w:snapToGrid/>
          <w:kern w:val="22"/>
          <w:szCs w:val="22"/>
          <w:lang w:val="fr-CA"/>
        </w:rPr>
      </w:pPr>
      <w:r w:rsidRPr="005879DC">
        <w:rPr>
          <w:i/>
          <w:snapToGrid/>
          <w:kern w:val="22"/>
          <w:lang w:val="fr-CA"/>
        </w:rPr>
        <w:t>Pays partageant des organismes cosmopolites; ressources génétiques pour l</w:t>
      </w:r>
      <w:r w:rsidR="0069339F">
        <w:rPr>
          <w:i/>
          <w:snapToGrid/>
          <w:kern w:val="22"/>
          <w:lang w:val="fr-CA"/>
        </w:rPr>
        <w:t>’</w:t>
      </w:r>
      <w:r w:rsidRPr="005879DC">
        <w:rPr>
          <w:i/>
          <w:snapToGrid/>
          <w:kern w:val="22"/>
          <w:lang w:val="fr-CA"/>
        </w:rPr>
        <w:t>alimentation et l</w:t>
      </w:r>
      <w:r w:rsidR="0069339F">
        <w:rPr>
          <w:i/>
          <w:snapToGrid/>
          <w:kern w:val="22"/>
          <w:lang w:val="fr-CA"/>
        </w:rPr>
        <w:t>’</w:t>
      </w:r>
      <w:r w:rsidRPr="005879DC">
        <w:rPr>
          <w:i/>
          <w:snapToGrid/>
          <w:kern w:val="22"/>
          <w:lang w:val="fr-CA"/>
        </w:rPr>
        <w:t>agriculture avec un degré élevé d</w:t>
      </w:r>
      <w:r w:rsidR="0069339F">
        <w:rPr>
          <w:i/>
          <w:snapToGrid/>
          <w:kern w:val="22"/>
          <w:lang w:val="fr-CA"/>
        </w:rPr>
        <w:t>’</w:t>
      </w:r>
      <w:r w:rsidRPr="005879DC">
        <w:rPr>
          <w:i/>
          <w:snapToGrid/>
          <w:kern w:val="22"/>
          <w:lang w:val="fr-CA"/>
        </w:rPr>
        <w:t>interdépendance mondiale; et utilisation d</w:t>
      </w:r>
      <w:r w:rsidR="0069339F">
        <w:rPr>
          <w:i/>
          <w:snapToGrid/>
          <w:kern w:val="22"/>
          <w:lang w:val="fr-CA"/>
        </w:rPr>
        <w:t>’</w:t>
      </w:r>
      <w:r w:rsidRPr="005879DC">
        <w:rPr>
          <w:i/>
          <w:snapToGrid/>
          <w:kern w:val="22"/>
          <w:lang w:val="fr-CA"/>
        </w:rPr>
        <w:t>éléments génétiques partagés par de nombreux génomes.</w:t>
      </w:r>
      <w:r w:rsidRPr="005879DC">
        <w:rPr>
          <w:rStyle w:val="FootnoteReference"/>
          <w:snapToGrid/>
          <w:kern w:val="22"/>
          <w:lang w:val="fr-CA"/>
        </w:rPr>
        <w:footnoteReference w:id="20"/>
      </w:r>
      <w:r w:rsidRPr="005879DC">
        <w:rPr>
          <w:snapToGrid/>
          <w:kern w:val="22"/>
          <w:lang w:val="fr-CA"/>
        </w:rPr>
        <w:t xml:space="preserve"> Les raisons avancées par la soumission expliquant pourquoi ce cas spécifique ne peut pas être adéquatement couvert par l</w:t>
      </w:r>
      <w:r w:rsidR="0069339F">
        <w:rPr>
          <w:snapToGrid/>
          <w:kern w:val="22"/>
          <w:lang w:val="fr-CA"/>
        </w:rPr>
        <w:t>’</w:t>
      </w:r>
      <w:r w:rsidRPr="005879DC">
        <w:rPr>
          <w:snapToGrid/>
          <w:kern w:val="22"/>
          <w:lang w:val="fr-CA"/>
        </w:rPr>
        <w:t>approche bilatérale sont semblables à celles</w:t>
      </w:r>
      <w:r>
        <w:rPr>
          <w:snapToGrid/>
          <w:kern w:val="22"/>
          <w:lang w:val="fr-CA"/>
        </w:rPr>
        <w:t xml:space="preserve"> susmentionnées au paragraphe </w:t>
      </w:r>
      <w:r>
        <w:rPr>
          <w:noProof/>
          <w:snapToGrid/>
          <w:kern w:val="22"/>
          <w:lang w:val="fr-CA"/>
        </w:rPr>
        <w:t>20 ci</w:t>
      </w:r>
      <w:r w:rsidR="0069339F">
        <w:rPr>
          <w:noProof/>
          <w:snapToGrid/>
          <w:kern w:val="22"/>
          <w:lang w:val="fr-CA"/>
        </w:rPr>
        <w:noBreakHyphen/>
      </w:r>
      <w:r>
        <w:rPr>
          <w:noProof/>
          <w:snapToGrid/>
          <w:kern w:val="22"/>
          <w:lang w:val="fr-CA"/>
        </w:rPr>
        <w:t>dessus.</w:t>
      </w:r>
    </w:p>
    <w:tbl>
      <w:tblPr>
        <w:tblStyle w:val="TableGrid"/>
        <w:tblW w:w="0" w:type="auto"/>
        <w:jc w:val="center"/>
        <w:tblLook w:val="04A0" w:firstRow="1" w:lastRow="0" w:firstColumn="1" w:lastColumn="0" w:noHBand="0" w:noVBand="1"/>
      </w:tblPr>
      <w:tblGrid>
        <w:gridCol w:w="9476"/>
      </w:tblGrid>
      <w:tr w:rsidR="00ED25C4" w:rsidRPr="001D35D1" w:rsidTr="00F76BAE">
        <w:trPr>
          <w:jc w:val="center"/>
        </w:trPr>
        <w:tc>
          <w:tcPr>
            <w:tcW w:w="9476" w:type="dxa"/>
          </w:tcPr>
          <w:p w:rsidR="00ED25C4" w:rsidRPr="001D35D1" w:rsidRDefault="005971ED" w:rsidP="00F76BAE">
            <w:pPr>
              <w:pStyle w:val="Para1"/>
              <w:suppressLineNumbers/>
              <w:suppressAutoHyphens/>
              <w:rPr>
                <w:snapToGrid/>
                <w:kern w:val="22"/>
                <w:szCs w:val="22"/>
                <w:lang w:val="fr-CA"/>
              </w:rPr>
            </w:pPr>
            <w:r w:rsidRPr="005879DC">
              <w:rPr>
                <w:snapToGrid/>
                <w:kern w:val="22"/>
                <w:lang w:val="fr-CA"/>
              </w:rPr>
              <w:t>Exemple de cas réel fourni :</w:t>
            </w:r>
            <w:r w:rsidRPr="005879DC">
              <w:rPr>
                <w:rStyle w:val="FootnoteReference"/>
                <w:snapToGrid/>
                <w:kern w:val="22"/>
                <w:lang w:val="fr-CA"/>
              </w:rPr>
              <w:t xml:space="preserve"> </w:t>
            </w:r>
            <w:r w:rsidRPr="005879DC">
              <w:rPr>
                <w:rStyle w:val="FootnoteReference"/>
                <w:snapToGrid/>
                <w:kern w:val="22"/>
                <w:lang w:val="fr-CA"/>
              </w:rPr>
              <w:footnoteReference w:id="21"/>
            </w:r>
            <w:r w:rsidRPr="005879DC">
              <w:rPr>
                <w:snapToGrid/>
                <w:kern w:val="22"/>
                <w:lang w:val="fr-CA"/>
              </w:rPr>
              <w:t xml:space="preserve"> Un chercheur basé dans l</w:t>
            </w:r>
            <w:r w:rsidR="0069339F">
              <w:rPr>
                <w:snapToGrid/>
                <w:kern w:val="22"/>
                <w:lang w:val="fr-CA"/>
              </w:rPr>
              <w:t>’</w:t>
            </w:r>
            <w:r w:rsidRPr="005879DC">
              <w:rPr>
                <w:snapToGrid/>
                <w:kern w:val="22"/>
                <w:lang w:val="fr-CA"/>
              </w:rPr>
              <w:t>Union européenne a contacté l</w:t>
            </w:r>
            <w:r w:rsidR="0069339F">
              <w:rPr>
                <w:snapToGrid/>
                <w:kern w:val="22"/>
                <w:lang w:val="fr-CA"/>
              </w:rPr>
              <w:t>’</w:t>
            </w:r>
            <w:r w:rsidRPr="005879DC">
              <w:rPr>
                <w:snapToGrid/>
                <w:kern w:val="22"/>
                <w:lang w:val="fr-CA"/>
              </w:rPr>
              <w:t>autorité nationale compétente pour recueillir des échantillons de mousses présentes dans le monde entier. De très petits échantillons seront prélevés dans de nombreux pays et les travaux de recherche auront recours au séquençage des gènes. Si des séquences de gènes identiques trouvées dans un certain nombre de ces échantillons sont utilisées plus tard à des fins commerciales, les obligations de partage des avantages devraient être acquittées au moyen d</w:t>
            </w:r>
            <w:r w:rsidR="0069339F">
              <w:rPr>
                <w:snapToGrid/>
                <w:kern w:val="22"/>
                <w:lang w:val="fr-CA"/>
              </w:rPr>
              <w:t>’</w:t>
            </w:r>
            <w:r w:rsidRPr="005879DC">
              <w:rPr>
                <w:snapToGrid/>
                <w:kern w:val="22"/>
                <w:lang w:val="fr-CA"/>
              </w:rPr>
              <w:t>un mécanisme multilatéral mondial de partage des avantages</w:t>
            </w:r>
            <w:r w:rsidR="00ED25C4" w:rsidRPr="001D35D1">
              <w:rPr>
                <w:snapToGrid/>
                <w:kern w:val="22"/>
                <w:szCs w:val="22"/>
                <w:lang w:val="fr-CA"/>
              </w:rPr>
              <w:t>.</w:t>
            </w:r>
          </w:p>
        </w:tc>
      </w:tr>
    </w:tbl>
    <w:p w:rsidR="004F6661" w:rsidRPr="001D35D1" w:rsidRDefault="005971ED" w:rsidP="00F76BAE">
      <w:pPr>
        <w:pStyle w:val="Para1"/>
        <w:numPr>
          <w:ilvl w:val="0"/>
          <w:numId w:val="2"/>
        </w:numPr>
        <w:suppressLineNumbers/>
        <w:tabs>
          <w:tab w:val="clear" w:pos="360"/>
          <w:tab w:val="num" w:pos="709"/>
        </w:tabs>
        <w:suppressAutoHyphens/>
        <w:rPr>
          <w:snapToGrid/>
          <w:kern w:val="22"/>
          <w:szCs w:val="22"/>
          <w:lang w:val="fr-CA"/>
        </w:rPr>
      </w:pPr>
      <w:r w:rsidRPr="005879DC">
        <w:rPr>
          <w:i/>
          <w:snapToGrid/>
          <w:kern w:val="22"/>
          <w:lang w:val="fr-CA"/>
        </w:rPr>
        <w:t>Ressources génétiques dans les collections ex situ soumises à l</w:t>
      </w:r>
      <w:r w:rsidR="0069339F">
        <w:rPr>
          <w:i/>
          <w:snapToGrid/>
          <w:kern w:val="22"/>
          <w:lang w:val="fr-CA"/>
        </w:rPr>
        <w:t>’</w:t>
      </w:r>
      <w:r w:rsidRPr="005879DC">
        <w:rPr>
          <w:i/>
          <w:snapToGrid/>
          <w:kern w:val="22"/>
          <w:lang w:val="fr-CA"/>
        </w:rPr>
        <w:t>accès et à l</w:t>
      </w:r>
      <w:r w:rsidR="0069339F">
        <w:rPr>
          <w:i/>
          <w:snapToGrid/>
          <w:kern w:val="22"/>
          <w:lang w:val="fr-CA"/>
        </w:rPr>
        <w:t>’</w:t>
      </w:r>
      <w:r w:rsidRPr="005879DC">
        <w:rPr>
          <w:i/>
          <w:snapToGrid/>
          <w:kern w:val="22"/>
          <w:lang w:val="fr-CA"/>
        </w:rPr>
        <w:t>utilisation et/ou dont l</w:t>
      </w:r>
      <w:r w:rsidR="0069339F">
        <w:rPr>
          <w:i/>
          <w:snapToGrid/>
          <w:kern w:val="22"/>
          <w:lang w:val="fr-CA"/>
        </w:rPr>
        <w:t>’</w:t>
      </w:r>
      <w:r w:rsidRPr="005879DC">
        <w:rPr>
          <w:i/>
          <w:snapToGrid/>
          <w:kern w:val="22"/>
          <w:lang w:val="fr-CA"/>
        </w:rPr>
        <w:t xml:space="preserve">origine est inconnue ou </w:t>
      </w:r>
      <w:r w:rsidRPr="005879DC">
        <w:rPr>
          <w:i/>
          <w:noProof/>
          <w:snapToGrid/>
          <w:kern w:val="22"/>
          <w:lang w:val="fr-CA"/>
        </w:rPr>
        <w:t>non traçable</w:t>
      </w:r>
      <w:r w:rsidRPr="005879DC">
        <w:rPr>
          <w:i/>
          <w:snapToGrid/>
          <w:kern w:val="22"/>
          <w:lang w:val="fr-CA"/>
        </w:rPr>
        <w:t>.</w:t>
      </w:r>
      <w:r w:rsidRPr="005879DC">
        <w:rPr>
          <w:rStyle w:val="FootnoteReference"/>
          <w:snapToGrid/>
          <w:kern w:val="22"/>
          <w:lang w:val="fr-CA"/>
        </w:rPr>
        <w:t xml:space="preserve"> </w:t>
      </w:r>
      <w:r w:rsidRPr="005879DC">
        <w:rPr>
          <w:rStyle w:val="FootnoteReference"/>
          <w:snapToGrid/>
          <w:kern w:val="22"/>
          <w:lang w:val="fr-CA"/>
        </w:rPr>
        <w:footnoteReference w:id="22"/>
      </w:r>
      <w:r w:rsidRPr="005879DC">
        <w:rPr>
          <w:i/>
          <w:snapToGrid/>
          <w:kern w:val="22"/>
          <w:lang w:val="fr-CA"/>
        </w:rPr>
        <w:t xml:space="preserve"> </w:t>
      </w:r>
      <w:r w:rsidRPr="005879DC">
        <w:rPr>
          <w:snapToGrid/>
          <w:kern w:val="22"/>
          <w:lang w:val="fr-CA"/>
        </w:rPr>
        <w:t>Une organisation</w:t>
      </w:r>
      <w:r w:rsidRPr="005879DC">
        <w:rPr>
          <w:rStyle w:val="FootnoteReference"/>
          <w:snapToGrid/>
          <w:kern w:val="22"/>
          <w:lang w:val="fr-CA"/>
        </w:rPr>
        <w:footnoteReference w:id="23"/>
      </w:r>
      <w:r w:rsidRPr="005879DC">
        <w:rPr>
          <w:snapToGrid/>
          <w:kern w:val="22"/>
          <w:lang w:val="fr-CA"/>
        </w:rPr>
        <w:t xml:space="preserve"> a fait valoir que les collections ex situ peuvent uniquement octroyer un accès légitime assorti d</w:t>
      </w:r>
      <w:r w:rsidR="0069339F">
        <w:rPr>
          <w:snapToGrid/>
          <w:kern w:val="22"/>
          <w:lang w:val="fr-CA"/>
        </w:rPr>
        <w:t>’</w:t>
      </w:r>
      <w:r w:rsidRPr="005879DC">
        <w:rPr>
          <w:snapToGrid/>
          <w:kern w:val="22"/>
          <w:lang w:val="fr-CA"/>
        </w:rPr>
        <w:t>un partage juste et équitable des avantages si elles sont en mesure d</w:t>
      </w:r>
      <w:r w:rsidR="0069339F">
        <w:rPr>
          <w:snapToGrid/>
          <w:kern w:val="22"/>
          <w:lang w:val="fr-CA"/>
        </w:rPr>
        <w:t>’</w:t>
      </w:r>
      <w:r w:rsidRPr="005879DC">
        <w:rPr>
          <w:snapToGrid/>
          <w:kern w:val="22"/>
          <w:lang w:val="fr-CA"/>
        </w:rPr>
        <w:t>identifier le pays ou la communauté fournisseur d</w:t>
      </w:r>
      <w:r w:rsidR="0069339F">
        <w:rPr>
          <w:snapToGrid/>
          <w:kern w:val="22"/>
          <w:lang w:val="fr-CA"/>
        </w:rPr>
        <w:t>’</w:t>
      </w:r>
      <w:r w:rsidRPr="005879DC">
        <w:rPr>
          <w:snapToGrid/>
          <w:kern w:val="22"/>
          <w:lang w:val="fr-CA"/>
        </w:rPr>
        <w:t xml:space="preserve">origine qui devrait recevoir les bénéfices. Lorsque le fournisseur est inconnu, </w:t>
      </w:r>
      <w:r w:rsidRPr="005879DC">
        <w:rPr>
          <w:noProof/>
          <w:snapToGrid/>
          <w:kern w:val="22"/>
          <w:lang w:val="fr-CA"/>
        </w:rPr>
        <w:t>l</w:t>
      </w:r>
      <w:r w:rsidR="0069339F">
        <w:rPr>
          <w:noProof/>
          <w:snapToGrid/>
          <w:kern w:val="22"/>
          <w:lang w:val="fr-CA"/>
        </w:rPr>
        <w:t>’</w:t>
      </w:r>
      <w:r w:rsidRPr="005879DC">
        <w:rPr>
          <w:noProof/>
          <w:snapToGrid/>
          <w:kern w:val="22"/>
          <w:lang w:val="fr-CA"/>
        </w:rPr>
        <w:t>approche bilatérale se solde par des résultats injustes et inéquitables, ce qui dissuade les investissements dans la recherche</w:t>
      </w:r>
      <w:r w:rsidR="0069339F">
        <w:rPr>
          <w:noProof/>
          <w:snapToGrid/>
          <w:kern w:val="22"/>
          <w:lang w:val="fr-CA"/>
        </w:rPr>
        <w:noBreakHyphen/>
      </w:r>
      <w:r w:rsidRPr="005879DC">
        <w:rPr>
          <w:noProof/>
          <w:snapToGrid/>
          <w:kern w:val="22"/>
          <w:lang w:val="fr-CA"/>
        </w:rPr>
        <w:t>développement portant sur des ressources pour lesquelles des exigences en matières d</w:t>
      </w:r>
      <w:r w:rsidR="0069339F">
        <w:rPr>
          <w:noProof/>
          <w:snapToGrid/>
          <w:kern w:val="22"/>
          <w:lang w:val="fr-CA"/>
        </w:rPr>
        <w:t>’</w:t>
      </w:r>
      <w:r w:rsidRPr="005879DC">
        <w:rPr>
          <w:noProof/>
          <w:snapToGrid/>
          <w:kern w:val="22"/>
          <w:lang w:val="fr-CA"/>
        </w:rPr>
        <w:t>accès</w:t>
      </w:r>
      <w:r w:rsidRPr="005879DC">
        <w:rPr>
          <w:snapToGrid/>
          <w:kern w:val="22"/>
          <w:lang w:val="fr-CA"/>
        </w:rPr>
        <w:t xml:space="preserve"> et de partage des avantages sont applicables. La même soumission</w:t>
      </w:r>
      <w:r w:rsidRPr="005879DC">
        <w:rPr>
          <w:rStyle w:val="FootnoteReference"/>
          <w:snapToGrid/>
          <w:kern w:val="22"/>
          <w:lang w:val="fr-CA"/>
        </w:rPr>
        <w:footnoteReference w:id="24"/>
      </w:r>
      <w:r w:rsidRPr="005879DC">
        <w:rPr>
          <w:snapToGrid/>
          <w:kern w:val="22"/>
          <w:lang w:val="fr-CA"/>
        </w:rPr>
        <w:t xml:space="preserve"> a indiqué que de nombreuses collections ex situ détiennent des informations et des spécimens recueillis il y a longtemps, </w:t>
      </w:r>
      <w:r>
        <w:rPr>
          <w:snapToGrid/>
          <w:kern w:val="22"/>
          <w:lang w:val="fr-CA"/>
        </w:rPr>
        <w:t xml:space="preserve">provenant </w:t>
      </w:r>
      <w:r w:rsidRPr="005879DC">
        <w:rPr>
          <w:snapToGrid/>
          <w:kern w:val="22"/>
          <w:lang w:val="fr-CA"/>
        </w:rPr>
        <w:t>parfois de plusieurs pays, sans documentation adéquate quant à leur source ou origine. Un mécanisme multilatéral mondial de partage des avantages peut aider à assurer le partage des avantages découlant de l</w:t>
      </w:r>
      <w:r w:rsidR="0069339F">
        <w:rPr>
          <w:snapToGrid/>
          <w:kern w:val="22"/>
          <w:lang w:val="fr-CA"/>
        </w:rPr>
        <w:t>’</w:t>
      </w:r>
      <w:r w:rsidRPr="005879DC">
        <w:rPr>
          <w:snapToGrid/>
          <w:kern w:val="22"/>
          <w:lang w:val="fr-CA"/>
        </w:rPr>
        <w:t>utilisation commerciale de telles informations et spécimens lorsque l</w:t>
      </w:r>
      <w:r w:rsidR="0069339F">
        <w:rPr>
          <w:snapToGrid/>
          <w:kern w:val="22"/>
          <w:lang w:val="fr-CA"/>
        </w:rPr>
        <w:t>’</w:t>
      </w:r>
      <w:r w:rsidRPr="005879DC">
        <w:rPr>
          <w:snapToGrid/>
          <w:kern w:val="22"/>
          <w:lang w:val="fr-CA"/>
        </w:rPr>
        <w:t>approche bilatérale ne peut pas être utilisée</w:t>
      </w:r>
      <w:r w:rsidR="00AA5F81" w:rsidRPr="001D35D1">
        <w:rPr>
          <w:snapToGrid/>
          <w:kern w:val="22"/>
          <w:szCs w:val="22"/>
          <w:lang w:val="fr-CA"/>
        </w:rPr>
        <w:t>.</w:t>
      </w:r>
    </w:p>
    <w:tbl>
      <w:tblPr>
        <w:tblStyle w:val="TableGrid"/>
        <w:tblW w:w="0" w:type="auto"/>
        <w:jc w:val="center"/>
        <w:tblLook w:val="04A0" w:firstRow="1" w:lastRow="0" w:firstColumn="1" w:lastColumn="0" w:noHBand="0" w:noVBand="1"/>
      </w:tblPr>
      <w:tblGrid>
        <w:gridCol w:w="9351"/>
      </w:tblGrid>
      <w:tr w:rsidR="00AC06EE" w:rsidRPr="001D35D1" w:rsidTr="00F76BAE">
        <w:trPr>
          <w:jc w:val="center"/>
        </w:trPr>
        <w:tc>
          <w:tcPr>
            <w:tcW w:w="9351" w:type="dxa"/>
          </w:tcPr>
          <w:p w:rsidR="00BB79A7" w:rsidRPr="001D35D1" w:rsidRDefault="005971ED" w:rsidP="006F0AD1">
            <w:pPr>
              <w:pStyle w:val="Para1"/>
              <w:suppressLineNumbers/>
              <w:suppressAutoHyphens/>
              <w:ind w:left="32"/>
              <w:rPr>
                <w:snapToGrid/>
                <w:kern w:val="22"/>
                <w:szCs w:val="22"/>
                <w:lang w:val="fr-CA"/>
              </w:rPr>
            </w:pPr>
            <w:r w:rsidRPr="005879DC">
              <w:rPr>
                <w:snapToGrid/>
                <w:kern w:val="22"/>
                <w:lang w:val="fr-CA"/>
              </w:rPr>
              <w:t>Exemple de cas réel fourni :</w:t>
            </w:r>
            <w:r w:rsidRPr="005879DC">
              <w:rPr>
                <w:rStyle w:val="FootnoteReference"/>
                <w:snapToGrid/>
                <w:kern w:val="22"/>
                <w:lang w:val="fr-CA"/>
              </w:rPr>
              <w:t xml:space="preserve"> </w:t>
            </w:r>
            <w:r w:rsidRPr="005879DC">
              <w:rPr>
                <w:rStyle w:val="FootnoteReference"/>
                <w:snapToGrid/>
                <w:kern w:val="22"/>
                <w:lang w:val="fr-CA"/>
              </w:rPr>
              <w:footnoteReference w:id="25"/>
            </w:r>
            <w:r w:rsidRPr="005879DC">
              <w:rPr>
                <w:snapToGrid/>
                <w:kern w:val="22"/>
                <w:lang w:val="fr-CA"/>
              </w:rPr>
              <w:t xml:space="preserve"> La </w:t>
            </w:r>
            <w:r w:rsidRPr="005879DC">
              <w:rPr>
                <w:i/>
                <w:noProof/>
                <w:snapToGrid/>
                <w:kern w:val="22"/>
                <w:lang w:val="fr-CA"/>
              </w:rPr>
              <w:t>National Biological Resource Centre Culture Collection</w:t>
            </w:r>
            <w:r w:rsidRPr="005879DC">
              <w:rPr>
                <w:snapToGrid/>
                <w:kern w:val="22"/>
                <w:lang w:val="fr-CA"/>
              </w:rPr>
              <w:t xml:space="preserve"> (collection de cultures du Centre national de ressources biologiques) du Japon est une collection de cultures de microorganismes. Il est connu que les microorganismes possèdent des caractéristiques similaires, même s</w:t>
            </w:r>
            <w:r w:rsidR="0069339F">
              <w:rPr>
                <w:snapToGrid/>
                <w:kern w:val="22"/>
                <w:lang w:val="fr-CA"/>
              </w:rPr>
              <w:t>’</w:t>
            </w:r>
            <w:r w:rsidRPr="005879DC">
              <w:rPr>
                <w:snapToGrid/>
                <w:kern w:val="22"/>
                <w:lang w:val="fr-CA"/>
              </w:rPr>
              <w:t xml:space="preserve">ils proviennent de multiples pays. </w:t>
            </w:r>
            <w:r w:rsidR="006F0AD1">
              <w:rPr>
                <w:snapToGrid/>
                <w:kern w:val="22"/>
                <w:lang w:val="fr-CA"/>
              </w:rPr>
              <w:t>L</w:t>
            </w:r>
            <w:r w:rsidRPr="005879DC">
              <w:rPr>
                <w:snapToGrid/>
                <w:kern w:val="22"/>
                <w:lang w:val="fr-CA"/>
              </w:rPr>
              <w:t>es souches bactériennes déposées dans cette collection publique de cultures sont distribuées à des tierces parties sur demande. Dans cette situation, il n</w:t>
            </w:r>
            <w:r w:rsidR="0069339F">
              <w:rPr>
                <w:snapToGrid/>
                <w:kern w:val="22"/>
                <w:lang w:val="fr-CA"/>
              </w:rPr>
              <w:t>’</w:t>
            </w:r>
            <w:r w:rsidRPr="005879DC">
              <w:rPr>
                <w:snapToGrid/>
                <w:kern w:val="22"/>
                <w:lang w:val="fr-CA"/>
              </w:rPr>
              <w:t xml:space="preserve">existe </w:t>
            </w:r>
            <w:r>
              <w:rPr>
                <w:snapToGrid/>
                <w:kern w:val="22"/>
                <w:lang w:val="fr-CA"/>
              </w:rPr>
              <w:t>à l</w:t>
            </w:r>
            <w:r w:rsidR="0069339F">
              <w:rPr>
                <w:snapToGrid/>
                <w:kern w:val="22"/>
                <w:lang w:val="fr-CA"/>
              </w:rPr>
              <w:t>’</w:t>
            </w:r>
            <w:r>
              <w:rPr>
                <w:snapToGrid/>
                <w:kern w:val="22"/>
                <w:lang w:val="fr-CA"/>
              </w:rPr>
              <w:t>heure actuelle</w:t>
            </w:r>
            <w:r w:rsidRPr="005879DC">
              <w:rPr>
                <w:snapToGrid/>
                <w:kern w:val="22"/>
                <w:lang w:val="fr-CA"/>
              </w:rPr>
              <w:t xml:space="preserve"> aucune garantie de partage des avantages si les ressources sont destinées à une utilisation commerciale. Un mécanisme multilatéral mondial de partage des avantages ferait en sorte que certains avantages puissent être partagés et utilisés pour soutenir la conservation et l</w:t>
            </w:r>
            <w:r w:rsidR="0069339F">
              <w:rPr>
                <w:snapToGrid/>
                <w:kern w:val="22"/>
                <w:lang w:val="fr-CA"/>
              </w:rPr>
              <w:t>’</w:t>
            </w:r>
            <w:r w:rsidRPr="005879DC">
              <w:rPr>
                <w:snapToGrid/>
                <w:kern w:val="22"/>
                <w:lang w:val="fr-CA"/>
              </w:rPr>
              <w:t xml:space="preserve">utilisation </w:t>
            </w:r>
            <w:r w:rsidRPr="005879DC">
              <w:rPr>
                <w:snapToGrid/>
                <w:kern w:val="22"/>
                <w:lang w:val="fr-CA"/>
              </w:rPr>
              <w:lastRenderedPageBreak/>
              <w:t>durable</w:t>
            </w:r>
            <w:r w:rsidR="00BB79A7" w:rsidRPr="001D35D1">
              <w:rPr>
                <w:snapToGrid/>
                <w:kern w:val="22"/>
                <w:szCs w:val="22"/>
                <w:lang w:val="fr-CA"/>
              </w:rPr>
              <w:t>.</w:t>
            </w:r>
          </w:p>
        </w:tc>
      </w:tr>
    </w:tbl>
    <w:p w:rsidR="004F6661" w:rsidRPr="001D35D1" w:rsidRDefault="00E77E79" w:rsidP="00F76BAE">
      <w:pPr>
        <w:pStyle w:val="Para1"/>
        <w:numPr>
          <w:ilvl w:val="0"/>
          <w:numId w:val="2"/>
        </w:numPr>
        <w:suppressLineNumbers/>
        <w:tabs>
          <w:tab w:val="clear" w:pos="360"/>
          <w:tab w:val="num" w:pos="709"/>
        </w:tabs>
        <w:suppressAutoHyphens/>
        <w:rPr>
          <w:snapToGrid/>
          <w:kern w:val="22"/>
          <w:szCs w:val="22"/>
          <w:lang w:val="fr-CA"/>
        </w:rPr>
      </w:pPr>
      <w:r w:rsidRPr="005879DC">
        <w:rPr>
          <w:i/>
          <w:snapToGrid/>
          <w:kern w:val="22"/>
          <w:lang w:val="fr-CA"/>
        </w:rPr>
        <w:lastRenderedPageBreak/>
        <w:t xml:space="preserve">Zones situées </w:t>
      </w:r>
      <w:r w:rsidRPr="005879DC">
        <w:rPr>
          <w:i/>
          <w:noProof/>
          <w:snapToGrid/>
          <w:kern w:val="22"/>
          <w:lang w:val="fr-CA"/>
        </w:rPr>
        <w:t>au</w:t>
      </w:r>
      <w:r w:rsidR="0069339F">
        <w:rPr>
          <w:i/>
          <w:noProof/>
          <w:snapToGrid/>
          <w:kern w:val="22"/>
          <w:lang w:val="fr-CA"/>
        </w:rPr>
        <w:noBreakHyphen/>
      </w:r>
      <w:r w:rsidRPr="005879DC">
        <w:rPr>
          <w:i/>
          <w:noProof/>
          <w:snapToGrid/>
          <w:kern w:val="22"/>
          <w:lang w:val="fr-CA"/>
        </w:rPr>
        <w:t>delà des limites des juridictions nationales, y compris les hautes mers, les grands fonds marins et l</w:t>
      </w:r>
      <w:r w:rsidR="0069339F">
        <w:rPr>
          <w:i/>
          <w:noProof/>
          <w:snapToGrid/>
          <w:kern w:val="22"/>
          <w:lang w:val="fr-CA"/>
        </w:rPr>
        <w:t>’</w:t>
      </w:r>
      <w:r w:rsidRPr="005879DC">
        <w:rPr>
          <w:i/>
          <w:noProof/>
          <w:snapToGrid/>
          <w:kern w:val="22"/>
          <w:lang w:val="fr-CA"/>
        </w:rPr>
        <w:t>Antarctique.</w:t>
      </w:r>
      <w:r w:rsidRPr="005879DC">
        <w:rPr>
          <w:rStyle w:val="FootnoteReference"/>
          <w:noProof/>
          <w:snapToGrid/>
          <w:kern w:val="22"/>
          <w:lang w:val="fr-CA"/>
        </w:rPr>
        <w:footnoteReference w:id="26"/>
      </w:r>
      <w:r w:rsidRPr="005879DC">
        <w:rPr>
          <w:noProof/>
          <w:snapToGrid/>
          <w:kern w:val="22"/>
          <w:lang w:val="fr-CA"/>
        </w:rPr>
        <w:t xml:space="preserve"> Une organisation</w:t>
      </w:r>
      <w:r w:rsidRPr="005879DC">
        <w:rPr>
          <w:rStyle w:val="FootnoteReference"/>
          <w:noProof/>
          <w:snapToGrid/>
          <w:kern w:val="22"/>
          <w:lang w:val="fr-CA"/>
        </w:rPr>
        <w:footnoteReference w:id="27"/>
      </w:r>
      <w:r w:rsidRPr="005879DC">
        <w:rPr>
          <w:noProof/>
          <w:snapToGrid/>
          <w:kern w:val="22"/>
          <w:lang w:val="fr-CA"/>
        </w:rPr>
        <w:t xml:space="preserve"> a indiqué que dans ces zones il n</w:t>
      </w:r>
      <w:r w:rsidR="0069339F">
        <w:rPr>
          <w:noProof/>
          <w:snapToGrid/>
          <w:kern w:val="22"/>
          <w:lang w:val="fr-CA"/>
        </w:rPr>
        <w:t>’</w:t>
      </w:r>
      <w:r w:rsidRPr="005879DC">
        <w:rPr>
          <w:noProof/>
          <w:snapToGrid/>
          <w:kern w:val="22"/>
          <w:lang w:val="fr-CA"/>
        </w:rPr>
        <w:t>existe aucun droit souverain d</w:t>
      </w:r>
      <w:r w:rsidR="0069339F">
        <w:rPr>
          <w:noProof/>
          <w:snapToGrid/>
          <w:kern w:val="22"/>
          <w:lang w:val="fr-CA"/>
        </w:rPr>
        <w:t>’</w:t>
      </w:r>
      <w:r w:rsidRPr="005879DC">
        <w:rPr>
          <w:noProof/>
          <w:snapToGrid/>
          <w:kern w:val="22"/>
          <w:lang w:val="fr-CA"/>
        </w:rPr>
        <w:t>octroi du consentement préalable en connaissance de cause.</w:t>
      </w:r>
      <w:r w:rsidRPr="005879DC">
        <w:rPr>
          <w:i/>
          <w:noProof/>
          <w:snapToGrid/>
          <w:kern w:val="22"/>
          <w:lang w:val="fr-CA"/>
        </w:rPr>
        <w:t xml:space="preserve"> </w:t>
      </w:r>
      <w:r w:rsidRPr="005879DC">
        <w:rPr>
          <w:noProof/>
          <w:snapToGrid/>
          <w:kern w:val="22"/>
          <w:lang w:val="fr-CA"/>
        </w:rPr>
        <w:t>Indépendamment des éventuels résultats des négociations en cours concernant les règles d</w:t>
      </w:r>
      <w:r w:rsidR="0069339F">
        <w:rPr>
          <w:noProof/>
          <w:snapToGrid/>
          <w:kern w:val="22"/>
          <w:lang w:val="fr-CA"/>
        </w:rPr>
        <w:t>’</w:t>
      </w:r>
      <w:r w:rsidRPr="005879DC">
        <w:rPr>
          <w:noProof/>
          <w:snapToGrid/>
          <w:kern w:val="22"/>
          <w:lang w:val="fr-CA"/>
        </w:rPr>
        <w:t>accès et de partage des avantages pour la biodiversité au</w:t>
      </w:r>
      <w:r w:rsidR="0069339F">
        <w:rPr>
          <w:noProof/>
          <w:snapToGrid/>
          <w:kern w:val="22"/>
          <w:lang w:val="fr-CA"/>
        </w:rPr>
        <w:noBreakHyphen/>
      </w:r>
      <w:r w:rsidRPr="005879DC">
        <w:rPr>
          <w:noProof/>
          <w:snapToGrid/>
          <w:kern w:val="22"/>
          <w:lang w:val="fr-CA"/>
        </w:rPr>
        <w:t>delà des limites des juridictions nationales, une approche bilatérale ne peut pas s</w:t>
      </w:r>
      <w:r w:rsidR="0069339F">
        <w:rPr>
          <w:noProof/>
          <w:snapToGrid/>
          <w:kern w:val="22"/>
          <w:lang w:val="fr-CA"/>
        </w:rPr>
        <w:t>’</w:t>
      </w:r>
      <w:r w:rsidRPr="005879DC">
        <w:rPr>
          <w:noProof/>
          <w:snapToGrid/>
          <w:kern w:val="22"/>
          <w:lang w:val="fr-CA"/>
        </w:rPr>
        <w:t>appliquer ici. L</w:t>
      </w:r>
      <w:r w:rsidR="0069339F">
        <w:rPr>
          <w:noProof/>
          <w:snapToGrid/>
          <w:kern w:val="22"/>
          <w:lang w:val="fr-CA"/>
        </w:rPr>
        <w:t>’</w:t>
      </w:r>
      <w:r w:rsidRPr="005879DC">
        <w:rPr>
          <w:noProof/>
          <w:snapToGrid/>
          <w:kern w:val="22"/>
          <w:lang w:val="fr-CA"/>
        </w:rPr>
        <w:t>hypothèse est que si les ressources génétiques de ces zones peuvent être utilisées sans aucune obligation de partage des avantages, elles tendront à décourager les investissements dans la recherche</w:t>
      </w:r>
      <w:r w:rsidR="0069339F">
        <w:rPr>
          <w:noProof/>
          <w:snapToGrid/>
          <w:kern w:val="22"/>
          <w:lang w:val="fr-CA"/>
        </w:rPr>
        <w:noBreakHyphen/>
      </w:r>
      <w:r w:rsidRPr="005879DC">
        <w:rPr>
          <w:noProof/>
          <w:snapToGrid/>
          <w:kern w:val="22"/>
          <w:lang w:val="fr-CA"/>
        </w:rPr>
        <w:t>développement de ressources</w:t>
      </w:r>
      <w:r w:rsidRPr="005879DC">
        <w:rPr>
          <w:snapToGrid/>
          <w:kern w:val="22"/>
          <w:lang w:val="fr-CA"/>
        </w:rPr>
        <w:t xml:space="preserve"> obtenues au titre de l</w:t>
      </w:r>
      <w:r w:rsidR="0069339F">
        <w:rPr>
          <w:snapToGrid/>
          <w:kern w:val="22"/>
          <w:lang w:val="fr-CA"/>
        </w:rPr>
        <w:t>’</w:t>
      </w:r>
      <w:r w:rsidRPr="005879DC">
        <w:rPr>
          <w:snapToGrid/>
          <w:kern w:val="22"/>
          <w:lang w:val="fr-CA"/>
        </w:rPr>
        <w:t>approche bilatérale. La même soumission a suggéré que l</w:t>
      </w:r>
      <w:r w:rsidR="0069339F">
        <w:rPr>
          <w:snapToGrid/>
          <w:kern w:val="22"/>
          <w:lang w:val="fr-CA"/>
        </w:rPr>
        <w:t>’</w:t>
      </w:r>
      <w:r w:rsidRPr="005879DC">
        <w:rPr>
          <w:snapToGrid/>
          <w:kern w:val="22"/>
          <w:lang w:val="fr-CA"/>
        </w:rPr>
        <w:t>inclusion de ces zones dans un mécanisme multilatéral mondial de partage des avantages serait une manière rentable de maximiser l</w:t>
      </w:r>
      <w:r w:rsidR="0069339F">
        <w:rPr>
          <w:snapToGrid/>
          <w:kern w:val="22"/>
          <w:lang w:val="fr-CA"/>
        </w:rPr>
        <w:t>’</w:t>
      </w:r>
      <w:r w:rsidRPr="005879DC">
        <w:rPr>
          <w:snapToGrid/>
          <w:kern w:val="22"/>
          <w:lang w:val="fr-CA"/>
        </w:rPr>
        <w:t xml:space="preserve">impact de la conservation en réduisant les </w:t>
      </w:r>
      <w:r>
        <w:rPr>
          <w:snapToGrid/>
          <w:kern w:val="22"/>
          <w:lang w:val="fr-CA"/>
        </w:rPr>
        <w:t>coûts</w:t>
      </w:r>
      <w:r w:rsidRPr="005879DC">
        <w:rPr>
          <w:snapToGrid/>
          <w:kern w:val="22"/>
          <w:lang w:val="fr-CA"/>
        </w:rPr>
        <w:t xml:space="preserve"> administratifs</w:t>
      </w:r>
      <w:r w:rsidR="00AA5F81" w:rsidRPr="001D35D1">
        <w:rPr>
          <w:snapToGrid/>
          <w:kern w:val="22"/>
          <w:szCs w:val="22"/>
          <w:lang w:val="fr-CA"/>
        </w:rPr>
        <w:t>.</w:t>
      </w:r>
    </w:p>
    <w:p w:rsidR="004F6661" w:rsidRPr="001D35D1" w:rsidRDefault="00E77E79" w:rsidP="00F76BAE">
      <w:pPr>
        <w:pStyle w:val="Para1"/>
        <w:numPr>
          <w:ilvl w:val="0"/>
          <w:numId w:val="2"/>
        </w:numPr>
        <w:suppressLineNumbers/>
        <w:tabs>
          <w:tab w:val="clear" w:pos="360"/>
          <w:tab w:val="num" w:pos="709"/>
        </w:tabs>
        <w:suppressAutoHyphens/>
        <w:rPr>
          <w:snapToGrid/>
          <w:kern w:val="22"/>
          <w:szCs w:val="22"/>
          <w:lang w:val="fr-CA"/>
        </w:rPr>
      </w:pPr>
      <w:r w:rsidRPr="005879DC">
        <w:rPr>
          <w:i/>
          <w:snapToGrid/>
          <w:kern w:val="22"/>
          <w:lang w:val="fr-CA"/>
        </w:rPr>
        <w:t xml:space="preserve">Espèces migratoires, y compris les espèces qui migrent de zones situées dans les limites des juridictions nationales vers des zones </w:t>
      </w:r>
      <w:r w:rsidRPr="005879DC">
        <w:rPr>
          <w:i/>
          <w:noProof/>
          <w:snapToGrid/>
          <w:kern w:val="22"/>
          <w:lang w:val="fr-CA"/>
        </w:rPr>
        <w:t>situées au</w:t>
      </w:r>
      <w:r w:rsidR="0069339F">
        <w:rPr>
          <w:i/>
          <w:noProof/>
          <w:snapToGrid/>
          <w:kern w:val="22"/>
          <w:lang w:val="fr-CA"/>
        </w:rPr>
        <w:noBreakHyphen/>
      </w:r>
      <w:r w:rsidRPr="005879DC">
        <w:rPr>
          <w:i/>
          <w:noProof/>
          <w:snapToGrid/>
          <w:kern w:val="22"/>
          <w:lang w:val="fr-CA"/>
        </w:rPr>
        <w:t>delà des limites</w:t>
      </w:r>
      <w:r w:rsidRPr="005879DC">
        <w:rPr>
          <w:i/>
          <w:snapToGrid/>
          <w:kern w:val="22"/>
          <w:lang w:val="fr-CA"/>
        </w:rPr>
        <w:t xml:space="preserve"> des juridictions nationales.</w:t>
      </w:r>
      <w:r w:rsidRPr="005879DC">
        <w:rPr>
          <w:rStyle w:val="FootnoteReference"/>
          <w:snapToGrid/>
          <w:kern w:val="22"/>
          <w:lang w:val="fr-CA"/>
        </w:rPr>
        <w:footnoteReference w:id="28"/>
      </w:r>
      <w:r w:rsidRPr="005879DC">
        <w:rPr>
          <w:i/>
          <w:snapToGrid/>
          <w:kern w:val="22"/>
          <w:lang w:val="fr-CA"/>
        </w:rPr>
        <w:t xml:space="preserve"> </w:t>
      </w:r>
      <w:r w:rsidRPr="005879DC">
        <w:rPr>
          <w:snapToGrid/>
          <w:kern w:val="22"/>
          <w:lang w:val="fr-CA"/>
        </w:rPr>
        <w:t>Une organisation</w:t>
      </w:r>
      <w:r w:rsidRPr="005879DC">
        <w:rPr>
          <w:rStyle w:val="FootnoteReference"/>
          <w:snapToGrid/>
          <w:kern w:val="22"/>
          <w:lang w:val="fr-CA"/>
        </w:rPr>
        <w:footnoteReference w:id="29"/>
      </w:r>
      <w:r w:rsidRPr="005879DC">
        <w:rPr>
          <w:snapToGrid/>
          <w:kern w:val="22"/>
          <w:lang w:val="fr-CA"/>
        </w:rPr>
        <w:t xml:space="preserve"> a précisé qu</w:t>
      </w:r>
      <w:r w:rsidR="0069339F">
        <w:rPr>
          <w:snapToGrid/>
          <w:kern w:val="22"/>
          <w:lang w:val="fr-CA"/>
        </w:rPr>
        <w:t>’</w:t>
      </w:r>
      <w:r w:rsidRPr="005879DC">
        <w:rPr>
          <w:snapToGrid/>
          <w:kern w:val="22"/>
          <w:lang w:val="fr-CA"/>
        </w:rPr>
        <w:t xml:space="preserve">en plus des raisons mentionnées </w:t>
      </w:r>
      <w:r w:rsidRPr="00E77E79">
        <w:rPr>
          <w:snapToGrid/>
          <w:kern w:val="22"/>
          <w:lang w:val="fr-CA"/>
        </w:rPr>
        <w:t>au pa</w:t>
      </w:r>
      <w:r>
        <w:rPr>
          <w:snapToGrid/>
          <w:kern w:val="22"/>
          <w:lang w:val="fr-CA"/>
        </w:rPr>
        <w:t>ragraphe 24 a) de sa soumission</w:t>
      </w:r>
      <w:r w:rsidRPr="005879DC">
        <w:rPr>
          <w:snapToGrid/>
          <w:kern w:val="22"/>
          <w:lang w:val="fr-CA"/>
        </w:rPr>
        <w:t>,</w:t>
      </w:r>
      <w:r w:rsidRPr="005879DC">
        <w:rPr>
          <w:i/>
          <w:snapToGrid/>
          <w:kern w:val="22"/>
          <w:lang w:val="fr-CA"/>
        </w:rPr>
        <w:t xml:space="preserve"> </w:t>
      </w:r>
      <w:r w:rsidRPr="005879DC">
        <w:rPr>
          <w:snapToGrid/>
          <w:kern w:val="22"/>
          <w:lang w:val="fr-CA"/>
        </w:rPr>
        <w:t>l</w:t>
      </w:r>
      <w:r w:rsidR="0069339F">
        <w:rPr>
          <w:snapToGrid/>
          <w:kern w:val="22"/>
          <w:lang w:val="fr-CA"/>
        </w:rPr>
        <w:t>’</w:t>
      </w:r>
      <w:r w:rsidRPr="005879DC">
        <w:rPr>
          <w:snapToGrid/>
          <w:kern w:val="22"/>
          <w:lang w:val="fr-CA"/>
        </w:rPr>
        <w:t>approche bilatérale est particulièrement inappropriée pour les espèces migratoires, car la même population se retrouve sous différentes juridictions, ou aucune, à différents moments de l</w:t>
      </w:r>
      <w:r w:rsidR="0069339F">
        <w:rPr>
          <w:snapToGrid/>
          <w:kern w:val="22"/>
          <w:lang w:val="fr-CA"/>
        </w:rPr>
        <w:t>’</w:t>
      </w:r>
      <w:r w:rsidRPr="005879DC">
        <w:rPr>
          <w:snapToGrid/>
          <w:kern w:val="22"/>
          <w:lang w:val="fr-CA"/>
        </w:rPr>
        <w:t>année</w:t>
      </w:r>
      <w:r w:rsidRPr="001D35D1">
        <w:rPr>
          <w:i/>
          <w:snapToGrid/>
          <w:kern w:val="22"/>
          <w:szCs w:val="22"/>
          <w:lang w:val="fr-CA"/>
        </w:rPr>
        <w:t>.</w:t>
      </w:r>
    </w:p>
    <w:p w:rsidR="004F6661" w:rsidRPr="001D35D1" w:rsidRDefault="00E76819" w:rsidP="00F76BAE">
      <w:pPr>
        <w:pStyle w:val="Para1"/>
        <w:numPr>
          <w:ilvl w:val="0"/>
          <w:numId w:val="2"/>
        </w:numPr>
        <w:suppressLineNumbers/>
        <w:tabs>
          <w:tab w:val="clear" w:pos="360"/>
          <w:tab w:val="num" w:pos="709"/>
        </w:tabs>
        <w:suppressAutoHyphens/>
        <w:rPr>
          <w:snapToGrid/>
          <w:kern w:val="22"/>
          <w:szCs w:val="22"/>
          <w:lang w:val="fr-CA"/>
        </w:rPr>
      </w:pPr>
      <w:r w:rsidRPr="005879DC">
        <w:rPr>
          <w:i/>
          <w:snapToGrid/>
          <w:kern w:val="22"/>
          <w:lang w:val="fr-CA"/>
        </w:rPr>
        <w:t>Ressources génétiques obtenues de pays qui n</w:t>
      </w:r>
      <w:r w:rsidR="0069339F">
        <w:rPr>
          <w:i/>
          <w:snapToGrid/>
          <w:kern w:val="22"/>
          <w:lang w:val="fr-CA"/>
        </w:rPr>
        <w:t>’</w:t>
      </w:r>
      <w:r w:rsidRPr="005879DC">
        <w:rPr>
          <w:i/>
          <w:snapToGrid/>
          <w:kern w:val="22"/>
          <w:lang w:val="fr-CA"/>
        </w:rPr>
        <w:t>exigent pas un consentement préalable en connaissance de cause pour octroyer l</w:t>
      </w:r>
      <w:r w:rsidR="0069339F">
        <w:rPr>
          <w:i/>
          <w:snapToGrid/>
          <w:kern w:val="22"/>
          <w:lang w:val="fr-CA"/>
        </w:rPr>
        <w:t>’</w:t>
      </w:r>
      <w:r w:rsidRPr="005879DC">
        <w:rPr>
          <w:i/>
          <w:snapToGrid/>
          <w:kern w:val="22"/>
          <w:lang w:val="fr-CA"/>
        </w:rPr>
        <w:t>accès</w:t>
      </w:r>
      <w:r w:rsidRPr="005879DC">
        <w:rPr>
          <w:snapToGrid/>
          <w:kern w:val="22"/>
          <w:lang w:val="fr-CA"/>
        </w:rPr>
        <w:t>, et par conséquent n</w:t>
      </w:r>
      <w:r w:rsidR="0069339F">
        <w:rPr>
          <w:snapToGrid/>
          <w:kern w:val="22"/>
          <w:lang w:val="fr-CA"/>
        </w:rPr>
        <w:t>’</w:t>
      </w:r>
      <w:r w:rsidRPr="005879DC">
        <w:rPr>
          <w:snapToGrid/>
          <w:kern w:val="22"/>
          <w:lang w:val="fr-CA"/>
        </w:rPr>
        <w:t>offrent aucune possibilité de négocier des conditions mutuellement convenues et de partager les bénéfices.</w:t>
      </w:r>
      <w:r w:rsidRPr="005879DC">
        <w:rPr>
          <w:rStyle w:val="FootnoteReference"/>
          <w:snapToGrid/>
          <w:kern w:val="22"/>
          <w:lang w:val="fr-CA"/>
        </w:rPr>
        <w:t xml:space="preserve"> </w:t>
      </w:r>
      <w:r w:rsidRPr="005879DC">
        <w:rPr>
          <w:rStyle w:val="FootnoteReference"/>
          <w:snapToGrid/>
          <w:kern w:val="22"/>
          <w:lang w:val="fr-CA"/>
        </w:rPr>
        <w:footnoteReference w:id="30"/>
      </w:r>
      <w:r w:rsidRPr="005879DC">
        <w:rPr>
          <w:snapToGrid/>
          <w:kern w:val="22"/>
          <w:lang w:val="fr-CA"/>
        </w:rPr>
        <w:t xml:space="preserve"> Selon l</w:t>
      </w:r>
      <w:r w:rsidR="0069339F">
        <w:rPr>
          <w:snapToGrid/>
          <w:kern w:val="22"/>
          <w:lang w:val="fr-CA"/>
        </w:rPr>
        <w:t>’</w:t>
      </w:r>
      <w:r w:rsidRPr="005879DC">
        <w:rPr>
          <w:snapToGrid/>
          <w:kern w:val="22"/>
          <w:lang w:val="fr-CA"/>
        </w:rPr>
        <w:t>explication donnée par une organisation,</w:t>
      </w:r>
      <w:r w:rsidRPr="005879DC">
        <w:rPr>
          <w:rStyle w:val="FootnoteReference"/>
          <w:snapToGrid/>
          <w:kern w:val="22"/>
          <w:lang w:val="fr-CA"/>
        </w:rPr>
        <w:t xml:space="preserve"> </w:t>
      </w:r>
      <w:r w:rsidRPr="005879DC">
        <w:rPr>
          <w:rStyle w:val="FootnoteReference"/>
          <w:snapToGrid/>
          <w:kern w:val="22"/>
          <w:lang w:val="fr-CA"/>
        </w:rPr>
        <w:footnoteReference w:id="31"/>
      </w:r>
      <w:r w:rsidRPr="005879DC">
        <w:rPr>
          <w:snapToGrid/>
          <w:kern w:val="22"/>
          <w:lang w:val="fr-CA"/>
        </w:rPr>
        <w:t xml:space="preserve"> les pays ont le droit souverain de contourner l</w:t>
      </w:r>
      <w:r w:rsidR="0069339F">
        <w:rPr>
          <w:snapToGrid/>
          <w:kern w:val="22"/>
          <w:lang w:val="fr-CA"/>
        </w:rPr>
        <w:t>’</w:t>
      </w:r>
      <w:r w:rsidRPr="005879DC">
        <w:rPr>
          <w:snapToGrid/>
          <w:kern w:val="22"/>
          <w:lang w:val="fr-CA"/>
        </w:rPr>
        <w:t>approche bilatérale en octroyant l</w:t>
      </w:r>
      <w:r w:rsidR="0069339F">
        <w:rPr>
          <w:snapToGrid/>
          <w:kern w:val="22"/>
          <w:lang w:val="fr-CA"/>
        </w:rPr>
        <w:t>’</w:t>
      </w:r>
      <w:r w:rsidRPr="005879DC">
        <w:rPr>
          <w:snapToGrid/>
          <w:kern w:val="22"/>
          <w:lang w:val="fr-CA"/>
        </w:rPr>
        <w:t>accès à leurs ressources sans aucun processus officiel d</w:t>
      </w:r>
      <w:r w:rsidR="0069339F">
        <w:rPr>
          <w:snapToGrid/>
          <w:kern w:val="22"/>
          <w:lang w:val="fr-CA"/>
        </w:rPr>
        <w:t>’</w:t>
      </w:r>
      <w:r w:rsidRPr="005879DC">
        <w:rPr>
          <w:snapToGrid/>
          <w:kern w:val="22"/>
          <w:lang w:val="fr-CA"/>
        </w:rPr>
        <w:t>obtention d</w:t>
      </w:r>
      <w:r w:rsidR="0069339F">
        <w:rPr>
          <w:snapToGrid/>
          <w:kern w:val="22"/>
          <w:lang w:val="fr-CA"/>
        </w:rPr>
        <w:t>’</w:t>
      </w:r>
      <w:r w:rsidRPr="005879DC">
        <w:rPr>
          <w:snapToGrid/>
          <w:kern w:val="22"/>
          <w:lang w:val="fr-CA"/>
        </w:rPr>
        <w:t>un consentement préalable en connaissance de cause. L</w:t>
      </w:r>
      <w:r w:rsidR="0069339F">
        <w:rPr>
          <w:snapToGrid/>
          <w:kern w:val="22"/>
          <w:lang w:val="fr-CA"/>
        </w:rPr>
        <w:t>’</w:t>
      </w:r>
      <w:r w:rsidRPr="005879DC">
        <w:rPr>
          <w:snapToGrid/>
          <w:kern w:val="22"/>
          <w:lang w:val="fr-CA"/>
        </w:rPr>
        <w:t>octroi de l</w:t>
      </w:r>
      <w:r w:rsidR="0069339F">
        <w:rPr>
          <w:snapToGrid/>
          <w:kern w:val="22"/>
          <w:lang w:val="fr-CA"/>
        </w:rPr>
        <w:t>’</w:t>
      </w:r>
      <w:r w:rsidRPr="005879DC">
        <w:rPr>
          <w:snapToGrid/>
          <w:kern w:val="22"/>
          <w:lang w:val="fr-CA"/>
        </w:rPr>
        <w:t>accès à des ressources génétiques sans aucune exigence de partage des avantages a pour effet de dissuader les utilisateurs de faire des demandes d</w:t>
      </w:r>
      <w:r w:rsidR="0069339F">
        <w:rPr>
          <w:snapToGrid/>
          <w:kern w:val="22"/>
          <w:lang w:val="fr-CA"/>
        </w:rPr>
        <w:t>’</w:t>
      </w:r>
      <w:r w:rsidRPr="005879DC">
        <w:rPr>
          <w:snapToGrid/>
          <w:kern w:val="22"/>
          <w:lang w:val="fr-CA"/>
        </w:rPr>
        <w:t>accès à des pays qui de leur côté exigent un consentement préalable en connaissance de cause et des conditions mutuellement convenues. En fournissant un tel accès aux ressources génétiques, les pays compromettent non seulement le partage juste et équitable des avantages mais également l</w:t>
      </w:r>
      <w:r w:rsidR="0069339F">
        <w:rPr>
          <w:snapToGrid/>
          <w:kern w:val="22"/>
          <w:lang w:val="fr-CA"/>
        </w:rPr>
        <w:t>’</w:t>
      </w:r>
      <w:r w:rsidRPr="005879DC">
        <w:rPr>
          <w:snapToGrid/>
          <w:kern w:val="22"/>
          <w:lang w:val="fr-CA"/>
        </w:rPr>
        <w:t>utilisation durable et la conservation</w:t>
      </w:r>
      <w:r w:rsidR="00AA5F81" w:rsidRPr="001D35D1">
        <w:rPr>
          <w:snapToGrid/>
          <w:kern w:val="22"/>
          <w:szCs w:val="22"/>
          <w:lang w:val="fr-CA"/>
        </w:rPr>
        <w:t>.</w:t>
      </w:r>
    </w:p>
    <w:p w:rsidR="004F6661" w:rsidRPr="001D35D1" w:rsidRDefault="00B42FB3" w:rsidP="00F76BAE">
      <w:pPr>
        <w:pStyle w:val="Para1"/>
        <w:numPr>
          <w:ilvl w:val="0"/>
          <w:numId w:val="2"/>
        </w:numPr>
        <w:suppressLineNumbers/>
        <w:tabs>
          <w:tab w:val="clear" w:pos="360"/>
          <w:tab w:val="num" w:pos="709"/>
        </w:tabs>
        <w:suppressAutoHyphens/>
        <w:rPr>
          <w:i/>
          <w:snapToGrid/>
          <w:kern w:val="22"/>
          <w:szCs w:val="22"/>
          <w:lang w:val="fr-CA"/>
        </w:rPr>
      </w:pPr>
      <w:r w:rsidRPr="005879DC">
        <w:rPr>
          <w:i/>
          <w:snapToGrid/>
          <w:kern w:val="22"/>
          <w:lang w:val="fr-CA"/>
        </w:rPr>
        <w:t>Ressources génétiques accessibles avant l</w:t>
      </w:r>
      <w:r w:rsidR="0069339F">
        <w:rPr>
          <w:i/>
          <w:snapToGrid/>
          <w:kern w:val="22"/>
          <w:lang w:val="fr-CA"/>
        </w:rPr>
        <w:t>’</w:t>
      </w:r>
      <w:r w:rsidRPr="005879DC">
        <w:rPr>
          <w:i/>
          <w:snapToGrid/>
          <w:kern w:val="22"/>
          <w:lang w:val="fr-CA"/>
        </w:rPr>
        <w:t>entrée en vigueur du Protocole de Nagoya.</w:t>
      </w:r>
      <w:r w:rsidRPr="005879DC">
        <w:rPr>
          <w:snapToGrid/>
          <w:kern w:val="22"/>
          <w:lang w:val="fr-CA"/>
        </w:rPr>
        <w:t xml:space="preserve"> Une Partie</w:t>
      </w:r>
      <w:r w:rsidRPr="005879DC">
        <w:rPr>
          <w:rStyle w:val="FootnoteReference"/>
          <w:i/>
          <w:snapToGrid/>
          <w:kern w:val="22"/>
          <w:lang w:val="fr-CA"/>
        </w:rPr>
        <w:footnoteReference w:id="32"/>
      </w:r>
      <w:r w:rsidRPr="005879DC">
        <w:rPr>
          <w:snapToGrid/>
          <w:kern w:val="22"/>
          <w:lang w:val="fr-CA"/>
        </w:rPr>
        <w:t xml:space="preserve"> a proposé que les pays fournisseurs potentiels identifiés pour ces cas spécifiques pourraient être considérés au titre d</w:t>
      </w:r>
      <w:r w:rsidR="0069339F">
        <w:rPr>
          <w:snapToGrid/>
          <w:kern w:val="22"/>
          <w:lang w:val="fr-CA"/>
        </w:rPr>
        <w:t>’</w:t>
      </w:r>
      <w:r w:rsidRPr="005879DC">
        <w:rPr>
          <w:snapToGrid/>
          <w:kern w:val="22"/>
          <w:lang w:val="fr-CA"/>
        </w:rPr>
        <w:t>un mécanisme multilatéral mondial de partage des avantages</w:t>
      </w:r>
      <w:r w:rsidR="00AA5F81" w:rsidRPr="001D35D1">
        <w:rPr>
          <w:iCs/>
          <w:snapToGrid/>
          <w:kern w:val="22"/>
          <w:szCs w:val="22"/>
          <w:lang w:val="fr-CA"/>
        </w:rPr>
        <w:t>.</w:t>
      </w:r>
    </w:p>
    <w:p w:rsidR="004F6661" w:rsidRPr="001D35D1" w:rsidRDefault="00B42FB3" w:rsidP="00F76BAE">
      <w:pPr>
        <w:pStyle w:val="Para1"/>
        <w:numPr>
          <w:ilvl w:val="0"/>
          <w:numId w:val="2"/>
        </w:numPr>
        <w:suppressLineNumbers/>
        <w:tabs>
          <w:tab w:val="clear" w:pos="360"/>
          <w:tab w:val="num" w:pos="709"/>
        </w:tabs>
        <w:suppressAutoHyphens/>
        <w:rPr>
          <w:snapToGrid/>
          <w:kern w:val="22"/>
          <w:szCs w:val="22"/>
          <w:lang w:val="fr-CA"/>
        </w:rPr>
      </w:pPr>
      <w:r w:rsidRPr="005879DC">
        <w:rPr>
          <w:i/>
          <w:snapToGrid/>
          <w:kern w:val="22"/>
          <w:lang w:val="fr-CA"/>
        </w:rPr>
        <w:t>Cas où aucun accès physique n</w:t>
      </w:r>
      <w:r w:rsidR="0069339F">
        <w:rPr>
          <w:i/>
          <w:snapToGrid/>
          <w:kern w:val="22"/>
          <w:lang w:val="fr-CA"/>
        </w:rPr>
        <w:t>’</w:t>
      </w:r>
      <w:r w:rsidRPr="005879DC">
        <w:rPr>
          <w:i/>
          <w:snapToGrid/>
          <w:kern w:val="22"/>
          <w:lang w:val="fr-CA"/>
        </w:rPr>
        <w:t xml:space="preserve">est nécessaire pour obtenir une ressource génétique ou ses dérivés </w:t>
      </w:r>
      <w:r w:rsidRPr="005879DC">
        <w:rPr>
          <w:snapToGrid/>
          <w:kern w:val="22"/>
          <w:lang w:val="fr-CA"/>
        </w:rPr>
        <w:t>(par ex. à partir de bases de données ou de la production synthétique de composants biochimiques).</w:t>
      </w:r>
      <w:r w:rsidRPr="005879DC">
        <w:rPr>
          <w:rStyle w:val="FootnoteReference"/>
          <w:snapToGrid/>
          <w:kern w:val="22"/>
          <w:lang w:val="fr-CA"/>
        </w:rPr>
        <w:footnoteReference w:id="33"/>
      </w:r>
      <w:r w:rsidRPr="005879DC">
        <w:rPr>
          <w:snapToGrid/>
          <w:kern w:val="22"/>
          <w:lang w:val="fr-CA"/>
        </w:rPr>
        <w:t xml:space="preserve"> Une organisation</w:t>
      </w:r>
      <w:r w:rsidRPr="005879DC">
        <w:rPr>
          <w:rStyle w:val="FootnoteReference"/>
          <w:snapToGrid/>
          <w:kern w:val="22"/>
          <w:lang w:val="fr-CA"/>
        </w:rPr>
        <w:footnoteReference w:id="34"/>
      </w:r>
      <w:r w:rsidRPr="005879DC">
        <w:rPr>
          <w:snapToGrid/>
          <w:kern w:val="22"/>
          <w:lang w:val="fr-CA"/>
        </w:rPr>
        <w:t xml:space="preserve"> observe dans sa soumission que la technologie moderne fait en sorte qu</w:t>
      </w:r>
      <w:r w:rsidR="0069339F">
        <w:rPr>
          <w:snapToGrid/>
          <w:kern w:val="22"/>
          <w:lang w:val="fr-CA"/>
        </w:rPr>
        <w:t>’</w:t>
      </w:r>
      <w:r w:rsidRPr="005879DC">
        <w:rPr>
          <w:snapToGrid/>
          <w:kern w:val="22"/>
          <w:lang w:val="fr-CA"/>
        </w:rPr>
        <w:t>il est de plus en plus facile et de moins en moins coûteux d</w:t>
      </w:r>
      <w:r w:rsidR="0069339F">
        <w:rPr>
          <w:snapToGrid/>
          <w:kern w:val="22"/>
          <w:lang w:val="fr-CA"/>
        </w:rPr>
        <w:t>’</w:t>
      </w:r>
      <w:r w:rsidRPr="005879DC">
        <w:rPr>
          <w:snapToGrid/>
          <w:kern w:val="22"/>
          <w:lang w:val="fr-CA"/>
        </w:rPr>
        <w:t xml:space="preserve">optimiser les fonctions génétiques en ayant uniquement recours à des données puis en commandant des séquences sur mesure auprès de </w:t>
      </w:r>
      <w:r w:rsidRPr="005879DC">
        <w:rPr>
          <w:noProof/>
          <w:snapToGrid/>
          <w:kern w:val="22"/>
          <w:lang w:val="fr-CA"/>
        </w:rPr>
        <w:t>biofonderies,</w:t>
      </w:r>
      <w:r w:rsidRPr="005879DC">
        <w:rPr>
          <w:snapToGrid/>
          <w:kern w:val="22"/>
          <w:lang w:val="fr-CA"/>
        </w:rPr>
        <w:t xml:space="preserve"> contournant ainsi les accords bilatéraux d</w:t>
      </w:r>
      <w:r w:rsidR="0069339F">
        <w:rPr>
          <w:snapToGrid/>
          <w:kern w:val="22"/>
          <w:lang w:val="fr-CA"/>
        </w:rPr>
        <w:t>’</w:t>
      </w:r>
      <w:r w:rsidRPr="005879DC">
        <w:rPr>
          <w:snapToGrid/>
          <w:kern w:val="22"/>
          <w:lang w:val="fr-CA"/>
        </w:rPr>
        <w:t>accès et de partage des avantages. De tels produits synthétiques représentent néanmoins, à un certain niveau, « des avantages découlant de l</w:t>
      </w:r>
      <w:r w:rsidR="0069339F">
        <w:rPr>
          <w:snapToGrid/>
          <w:kern w:val="22"/>
          <w:lang w:val="fr-CA"/>
        </w:rPr>
        <w:t>’</w:t>
      </w:r>
      <w:r w:rsidRPr="005879DC">
        <w:rPr>
          <w:snapToGrid/>
          <w:kern w:val="22"/>
          <w:lang w:val="fr-CA"/>
        </w:rPr>
        <w:t>utilisation de ressources génétiques » et les profits générés par cette utilisation peuvent contribuer à la conservation et à l</w:t>
      </w:r>
      <w:r w:rsidR="0069339F">
        <w:rPr>
          <w:snapToGrid/>
          <w:kern w:val="22"/>
          <w:lang w:val="fr-CA"/>
        </w:rPr>
        <w:t>’</w:t>
      </w:r>
      <w:r w:rsidRPr="005879DC">
        <w:rPr>
          <w:snapToGrid/>
          <w:kern w:val="22"/>
          <w:lang w:val="fr-CA"/>
        </w:rPr>
        <w:t>utilisation durable s</w:t>
      </w:r>
      <w:r w:rsidR="0069339F">
        <w:rPr>
          <w:snapToGrid/>
          <w:kern w:val="22"/>
          <w:lang w:val="fr-CA"/>
        </w:rPr>
        <w:t>’</w:t>
      </w:r>
      <w:r w:rsidRPr="005879DC">
        <w:rPr>
          <w:snapToGrid/>
          <w:kern w:val="22"/>
          <w:lang w:val="fr-CA"/>
        </w:rPr>
        <w:t xml:space="preserve">ils sont </w:t>
      </w:r>
      <w:r w:rsidRPr="005879DC">
        <w:rPr>
          <w:snapToGrid/>
          <w:kern w:val="22"/>
          <w:lang w:val="fr-CA"/>
        </w:rPr>
        <w:lastRenderedPageBreak/>
        <w:t>partagés de manière juste et équitable au moyen d</w:t>
      </w:r>
      <w:r w:rsidR="0069339F">
        <w:rPr>
          <w:snapToGrid/>
          <w:kern w:val="22"/>
          <w:lang w:val="fr-CA"/>
        </w:rPr>
        <w:t>’</w:t>
      </w:r>
      <w:r w:rsidRPr="005879DC">
        <w:rPr>
          <w:snapToGrid/>
          <w:kern w:val="22"/>
          <w:lang w:val="fr-CA"/>
        </w:rPr>
        <w:t>un mécanisme multilatéral mondial de partage des avantages</w:t>
      </w:r>
      <w:r w:rsidR="00AA5F81" w:rsidRPr="001D35D1">
        <w:rPr>
          <w:snapToGrid/>
          <w:kern w:val="22"/>
          <w:szCs w:val="22"/>
          <w:lang w:val="fr-CA"/>
        </w:rPr>
        <w:t>.</w:t>
      </w:r>
    </w:p>
    <w:tbl>
      <w:tblPr>
        <w:tblStyle w:val="TableGrid"/>
        <w:tblW w:w="0" w:type="auto"/>
        <w:jc w:val="center"/>
        <w:tblLook w:val="04A0" w:firstRow="1" w:lastRow="0" w:firstColumn="1" w:lastColumn="0" w:noHBand="0" w:noVBand="1"/>
      </w:tblPr>
      <w:tblGrid>
        <w:gridCol w:w="9452"/>
      </w:tblGrid>
      <w:tr w:rsidR="00692CF6" w:rsidRPr="001D35D1" w:rsidTr="00F76BAE">
        <w:trPr>
          <w:jc w:val="center"/>
        </w:trPr>
        <w:tc>
          <w:tcPr>
            <w:tcW w:w="9452" w:type="dxa"/>
          </w:tcPr>
          <w:p w:rsidR="00692CF6" w:rsidRPr="001D35D1" w:rsidRDefault="00B42FB3" w:rsidP="00F76BAE">
            <w:pPr>
              <w:pStyle w:val="Para1"/>
              <w:suppressLineNumbers/>
              <w:suppressAutoHyphens/>
              <w:rPr>
                <w:snapToGrid/>
                <w:spacing w:val="-4"/>
                <w:kern w:val="22"/>
                <w:szCs w:val="22"/>
                <w:lang w:val="fr-CA"/>
              </w:rPr>
            </w:pPr>
            <w:r w:rsidRPr="005879DC">
              <w:rPr>
                <w:snapToGrid/>
                <w:kern w:val="22"/>
                <w:lang w:val="fr-CA"/>
              </w:rPr>
              <w:t xml:space="preserve">Cas réel de la grenouille à flèches </w:t>
            </w:r>
            <w:r w:rsidRPr="005879DC">
              <w:rPr>
                <w:noProof/>
                <w:snapToGrid/>
                <w:kern w:val="22"/>
                <w:lang w:val="fr-CA"/>
              </w:rPr>
              <w:t>empoisonnées (</w:t>
            </w:r>
            <w:r w:rsidRPr="005879DC">
              <w:rPr>
                <w:i/>
                <w:iCs/>
                <w:noProof/>
                <w:snapToGrid/>
                <w:kern w:val="22"/>
                <w:lang w:val="fr-CA"/>
              </w:rPr>
              <w:t>Epipedobates anthonyi</w:t>
            </w:r>
            <w:r w:rsidRPr="005879DC">
              <w:rPr>
                <w:noProof/>
                <w:snapToGrid/>
                <w:kern w:val="22"/>
                <w:lang w:val="fr-CA"/>
              </w:rPr>
              <w:t>)</w:t>
            </w:r>
            <w:r w:rsidRPr="005879DC">
              <w:rPr>
                <w:rStyle w:val="FootnoteReference"/>
                <w:noProof/>
                <w:snapToGrid/>
                <w:kern w:val="22"/>
                <w:lang w:val="fr-CA"/>
              </w:rPr>
              <w:t> </w:t>
            </w:r>
            <w:r w:rsidRPr="005879DC">
              <w:rPr>
                <w:noProof/>
                <w:snapToGrid/>
                <w:kern w:val="22"/>
                <w:lang w:val="fr-CA"/>
              </w:rPr>
              <w:t>:</w:t>
            </w:r>
            <w:r w:rsidRPr="005879DC">
              <w:rPr>
                <w:rStyle w:val="FootnoteReference"/>
                <w:noProof/>
                <w:snapToGrid/>
                <w:kern w:val="22"/>
                <w:lang w:val="fr-CA"/>
              </w:rPr>
              <w:footnoteReference w:id="35"/>
            </w:r>
            <w:r w:rsidRPr="005879DC">
              <w:rPr>
                <w:snapToGrid/>
                <w:kern w:val="22"/>
                <w:lang w:val="fr-CA"/>
              </w:rPr>
              <w:t xml:space="preserve"> L</w:t>
            </w:r>
            <w:r w:rsidR="0069339F">
              <w:rPr>
                <w:snapToGrid/>
                <w:kern w:val="22"/>
                <w:lang w:val="fr-CA"/>
              </w:rPr>
              <w:t>’</w:t>
            </w:r>
            <w:r w:rsidRPr="005879DC">
              <w:rPr>
                <w:snapToGrid/>
                <w:kern w:val="22"/>
                <w:lang w:val="fr-CA"/>
              </w:rPr>
              <w:t>espèce est end</w:t>
            </w:r>
            <w:r>
              <w:rPr>
                <w:snapToGrid/>
                <w:kern w:val="22"/>
                <w:lang w:val="fr-CA"/>
              </w:rPr>
              <w:t>émique à l</w:t>
            </w:r>
            <w:r w:rsidR="0069339F">
              <w:rPr>
                <w:snapToGrid/>
                <w:kern w:val="22"/>
                <w:lang w:val="fr-CA"/>
              </w:rPr>
              <w:t>’</w:t>
            </w:r>
            <w:r>
              <w:rPr>
                <w:snapToGrid/>
                <w:kern w:val="22"/>
                <w:lang w:val="fr-CA"/>
              </w:rPr>
              <w:t>Équateur et au Pérou. C</w:t>
            </w:r>
            <w:r w:rsidRPr="005879DC">
              <w:rPr>
                <w:snapToGrid/>
                <w:kern w:val="22"/>
                <w:lang w:val="fr-CA"/>
              </w:rPr>
              <w:t>ependant l</w:t>
            </w:r>
            <w:r w:rsidR="0069339F">
              <w:rPr>
                <w:snapToGrid/>
                <w:kern w:val="22"/>
                <w:lang w:val="fr-CA"/>
              </w:rPr>
              <w:t>’</w:t>
            </w:r>
            <w:r w:rsidRPr="005879DC">
              <w:rPr>
                <w:snapToGrid/>
                <w:kern w:val="22"/>
                <w:lang w:val="fr-CA"/>
              </w:rPr>
              <w:t>objet de la demande d</w:t>
            </w:r>
            <w:r w:rsidR="0069339F">
              <w:rPr>
                <w:snapToGrid/>
                <w:kern w:val="22"/>
                <w:lang w:val="fr-CA"/>
              </w:rPr>
              <w:t>’</w:t>
            </w:r>
            <w:r w:rsidRPr="005879DC">
              <w:rPr>
                <w:snapToGrid/>
                <w:kern w:val="22"/>
                <w:lang w:val="fr-CA"/>
              </w:rPr>
              <w:t xml:space="preserve">accès </w:t>
            </w:r>
            <w:r w:rsidRPr="005879DC">
              <w:rPr>
                <w:noProof/>
                <w:snapToGrid/>
                <w:kern w:val="22"/>
                <w:lang w:val="fr-CA"/>
              </w:rPr>
              <w:t>des laboratoires Abbott</w:t>
            </w:r>
            <w:r w:rsidRPr="005879DC">
              <w:rPr>
                <w:snapToGrid/>
                <w:kern w:val="22"/>
                <w:lang w:val="fr-CA"/>
              </w:rPr>
              <w:t xml:space="preserve"> ne concernait pas la matière biologique, mais une structure moléculaire transmise par impression. Les informations obtenues ne constituaient pas une séquence et n</w:t>
            </w:r>
            <w:r w:rsidR="0069339F">
              <w:rPr>
                <w:snapToGrid/>
                <w:kern w:val="22"/>
                <w:lang w:val="fr-CA"/>
              </w:rPr>
              <w:t>’</w:t>
            </w:r>
            <w:r w:rsidRPr="005879DC">
              <w:rPr>
                <w:snapToGrid/>
                <w:kern w:val="22"/>
                <w:lang w:val="fr-CA"/>
              </w:rPr>
              <w:t>étaient même pas transmises sous forme numérique</w:t>
            </w:r>
            <w:r w:rsidR="00AC06EE" w:rsidRPr="001D35D1">
              <w:rPr>
                <w:snapToGrid/>
                <w:spacing w:val="-4"/>
                <w:kern w:val="22"/>
                <w:szCs w:val="22"/>
                <w:lang w:val="fr-CA"/>
              </w:rPr>
              <w:t>.</w:t>
            </w:r>
          </w:p>
        </w:tc>
      </w:tr>
    </w:tbl>
    <w:p w:rsidR="004F6661" w:rsidRPr="001D35D1" w:rsidRDefault="00371031" w:rsidP="00F76BAE">
      <w:pPr>
        <w:pStyle w:val="Para1"/>
        <w:numPr>
          <w:ilvl w:val="0"/>
          <w:numId w:val="2"/>
        </w:numPr>
        <w:suppressLineNumbers/>
        <w:tabs>
          <w:tab w:val="clear" w:pos="360"/>
          <w:tab w:val="num" w:pos="709"/>
        </w:tabs>
        <w:suppressAutoHyphens/>
        <w:rPr>
          <w:i/>
          <w:snapToGrid/>
          <w:kern w:val="22"/>
          <w:szCs w:val="22"/>
          <w:lang w:val="fr-CA"/>
        </w:rPr>
      </w:pPr>
      <w:r w:rsidRPr="005879DC">
        <w:rPr>
          <w:i/>
          <w:snapToGrid/>
          <w:kern w:val="22"/>
          <w:lang w:val="fr-CA"/>
        </w:rPr>
        <w:t>Utilisations de l</w:t>
      </w:r>
      <w:r w:rsidR="0069339F">
        <w:rPr>
          <w:i/>
          <w:snapToGrid/>
          <w:kern w:val="22"/>
          <w:lang w:val="fr-CA"/>
        </w:rPr>
        <w:t>’</w:t>
      </w:r>
      <w:r w:rsidRPr="005879DC">
        <w:rPr>
          <w:i/>
          <w:snapToGrid/>
          <w:kern w:val="22"/>
          <w:lang w:val="fr-CA"/>
        </w:rPr>
        <w:t>information de séquençage numérique sur les ressources génétique</w:t>
      </w:r>
      <w:r w:rsidRPr="005879DC">
        <w:rPr>
          <w:rStyle w:val="FootnoteReference"/>
          <w:snapToGrid/>
          <w:kern w:val="22"/>
          <w:lang w:val="fr-CA"/>
        </w:rPr>
        <w:footnoteReference w:id="36"/>
      </w:r>
      <w:r w:rsidRPr="005879DC">
        <w:rPr>
          <w:snapToGrid/>
          <w:kern w:val="22"/>
          <w:lang w:val="fr-CA"/>
        </w:rPr>
        <w:t xml:space="preserve"> dans les cas où il s</w:t>
      </w:r>
      <w:r w:rsidR="0069339F">
        <w:rPr>
          <w:snapToGrid/>
          <w:kern w:val="22"/>
          <w:lang w:val="fr-CA"/>
        </w:rPr>
        <w:t>’</w:t>
      </w:r>
      <w:r w:rsidRPr="005879DC">
        <w:rPr>
          <w:snapToGrid/>
          <w:kern w:val="22"/>
          <w:lang w:val="fr-CA"/>
        </w:rPr>
        <w:t>avère impossible d</w:t>
      </w:r>
      <w:r w:rsidR="0069339F">
        <w:rPr>
          <w:snapToGrid/>
          <w:kern w:val="22"/>
          <w:lang w:val="fr-CA"/>
        </w:rPr>
        <w:t>’</w:t>
      </w:r>
      <w:r>
        <w:rPr>
          <w:snapToGrid/>
          <w:kern w:val="22"/>
          <w:lang w:val="fr-CA"/>
        </w:rPr>
        <w:t>accorder</w:t>
      </w:r>
      <w:r w:rsidRPr="005879DC">
        <w:rPr>
          <w:snapToGrid/>
          <w:kern w:val="22"/>
          <w:lang w:val="fr-CA"/>
        </w:rPr>
        <w:t xml:space="preserve"> ou d</w:t>
      </w:r>
      <w:r w:rsidR="0069339F">
        <w:rPr>
          <w:snapToGrid/>
          <w:kern w:val="22"/>
          <w:lang w:val="fr-CA"/>
        </w:rPr>
        <w:t>’</w:t>
      </w:r>
      <w:r w:rsidRPr="005879DC">
        <w:rPr>
          <w:snapToGrid/>
          <w:kern w:val="22"/>
          <w:lang w:val="fr-CA"/>
        </w:rPr>
        <w:t>obtenir un consentement préalable en connaissance de cause, ou lorsqu</w:t>
      </w:r>
      <w:r w:rsidR="0069339F">
        <w:rPr>
          <w:snapToGrid/>
          <w:kern w:val="22"/>
          <w:lang w:val="fr-CA"/>
        </w:rPr>
        <w:t>’</w:t>
      </w:r>
      <w:r w:rsidRPr="005879DC">
        <w:rPr>
          <w:snapToGrid/>
          <w:kern w:val="22"/>
          <w:lang w:val="fr-CA"/>
        </w:rPr>
        <w:t>un suivi de l</w:t>
      </w:r>
      <w:r w:rsidR="0069339F">
        <w:rPr>
          <w:snapToGrid/>
          <w:kern w:val="22"/>
          <w:lang w:val="fr-CA"/>
        </w:rPr>
        <w:t>’</w:t>
      </w:r>
      <w:r w:rsidRPr="005879DC">
        <w:rPr>
          <w:snapToGrid/>
          <w:kern w:val="22"/>
          <w:lang w:val="fr-CA"/>
        </w:rPr>
        <w:t>utilisation et de la conformité avec une approche bilatérale d</w:t>
      </w:r>
      <w:r w:rsidR="0069339F">
        <w:rPr>
          <w:snapToGrid/>
          <w:kern w:val="22"/>
          <w:lang w:val="fr-CA"/>
        </w:rPr>
        <w:t>’</w:t>
      </w:r>
      <w:r w:rsidRPr="005879DC">
        <w:rPr>
          <w:snapToGrid/>
          <w:kern w:val="22"/>
          <w:lang w:val="fr-CA"/>
        </w:rPr>
        <w:t>accès et de partage des avantages présenterait d</w:t>
      </w:r>
      <w:r w:rsidR="0069339F">
        <w:rPr>
          <w:snapToGrid/>
          <w:kern w:val="22"/>
          <w:lang w:val="fr-CA"/>
        </w:rPr>
        <w:t>’</w:t>
      </w:r>
      <w:r w:rsidRPr="005879DC">
        <w:rPr>
          <w:snapToGrid/>
          <w:kern w:val="22"/>
          <w:lang w:val="fr-CA"/>
        </w:rPr>
        <w:t>importantes difficultés de nature pratique, par exemple lorsque des séquences et des fragments de séquences ont été obtenus d</w:t>
      </w:r>
      <w:r w:rsidR="0069339F">
        <w:rPr>
          <w:snapToGrid/>
          <w:kern w:val="22"/>
          <w:lang w:val="fr-CA"/>
        </w:rPr>
        <w:t>’</w:t>
      </w:r>
      <w:r w:rsidRPr="005879DC">
        <w:rPr>
          <w:snapToGrid/>
          <w:kern w:val="22"/>
          <w:lang w:val="fr-CA"/>
        </w:rPr>
        <w:t>un grand nombre d</w:t>
      </w:r>
      <w:r w:rsidR="0069339F">
        <w:rPr>
          <w:snapToGrid/>
          <w:kern w:val="22"/>
          <w:lang w:val="fr-CA"/>
        </w:rPr>
        <w:t>’</w:t>
      </w:r>
      <w:r w:rsidRPr="005879DC">
        <w:rPr>
          <w:snapToGrid/>
          <w:kern w:val="22"/>
          <w:lang w:val="fr-CA"/>
        </w:rPr>
        <w:t>organismes prélevés dans divers sites. La soumission explique que l</w:t>
      </w:r>
      <w:r w:rsidR="0069339F">
        <w:rPr>
          <w:snapToGrid/>
          <w:kern w:val="22"/>
          <w:lang w:val="fr-CA"/>
        </w:rPr>
        <w:t>’</w:t>
      </w:r>
      <w:r w:rsidRPr="005879DC">
        <w:rPr>
          <w:snapToGrid/>
          <w:kern w:val="22"/>
          <w:lang w:val="fr-CA"/>
        </w:rPr>
        <w:t>utilisation d</w:t>
      </w:r>
      <w:r w:rsidR="0069339F">
        <w:rPr>
          <w:snapToGrid/>
          <w:kern w:val="22"/>
          <w:lang w:val="fr-CA"/>
        </w:rPr>
        <w:t>’</w:t>
      </w:r>
      <w:r w:rsidRPr="005879DC">
        <w:rPr>
          <w:snapToGrid/>
          <w:kern w:val="22"/>
          <w:lang w:val="fr-CA"/>
        </w:rPr>
        <w:t>informations de séquençage numérique obtenues à partir de ressources accessibles au titre de l</w:t>
      </w:r>
      <w:r w:rsidR="0069339F">
        <w:rPr>
          <w:snapToGrid/>
          <w:kern w:val="22"/>
          <w:lang w:val="fr-CA"/>
        </w:rPr>
        <w:t>’</w:t>
      </w:r>
      <w:r w:rsidRPr="005879DC">
        <w:rPr>
          <w:snapToGrid/>
          <w:kern w:val="22"/>
          <w:lang w:val="fr-CA"/>
        </w:rPr>
        <w:t>approche bilatérale peut être contrôlée au moyen de conditions mutuellement convenues, mais au détriment des futurs utilisateurs non impliqués dans les accords (par ex. les chercheurs tiers) qui seront soumis à des restrictions quant à l</w:t>
      </w:r>
      <w:r w:rsidR="0069339F">
        <w:rPr>
          <w:snapToGrid/>
          <w:kern w:val="22"/>
          <w:lang w:val="fr-CA"/>
        </w:rPr>
        <w:t>’</w:t>
      </w:r>
      <w:r w:rsidRPr="005879DC">
        <w:rPr>
          <w:snapToGrid/>
          <w:kern w:val="22"/>
          <w:lang w:val="fr-CA"/>
        </w:rPr>
        <w:t>accès aux informations et à leur utilisation. L</w:t>
      </w:r>
      <w:r w:rsidR="0069339F">
        <w:rPr>
          <w:snapToGrid/>
          <w:kern w:val="22"/>
          <w:lang w:val="fr-CA"/>
        </w:rPr>
        <w:t>’</w:t>
      </w:r>
      <w:r w:rsidRPr="005879DC">
        <w:rPr>
          <w:snapToGrid/>
          <w:kern w:val="22"/>
          <w:lang w:val="fr-CA"/>
        </w:rPr>
        <w:t>un des plus grands avantages de l</w:t>
      </w:r>
      <w:r w:rsidR="0069339F">
        <w:rPr>
          <w:snapToGrid/>
          <w:kern w:val="22"/>
          <w:lang w:val="fr-CA"/>
        </w:rPr>
        <w:t>’</w:t>
      </w:r>
      <w:r w:rsidRPr="005879DC">
        <w:rPr>
          <w:snapToGrid/>
          <w:kern w:val="22"/>
          <w:lang w:val="fr-CA"/>
        </w:rPr>
        <w:t>accès libre à l</w:t>
      </w:r>
      <w:r w:rsidR="0069339F">
        <w:rPr>
          <w:snapToGrid/>
          <w:kern w:val="22"/>
          <w:lang w:val="fr-CA"/>
        </w:rPr>
        <w:t>’</w:t>
      </w:r>
      <w:r w:rsidRPr="005879DC">
        <w:rPr>
          <w:snapToGrid/>
          <w:kern w:val="22"/>
          <w:lang w:val="fr-CA"/>
        </w:rPr>
        <w:t>information de séquençage numérique – à savoir que de vastes ensembles de données partagées créent un contexte permettant d</w:t>
      </w:r>
      <w:r w:rsidR="0069339F">
        <w:rPr>
          <w:snapToGrid/>
          <w:kern w:val="22"/>
          <w:lang w:val="fr-CA"/>
        </w:rPr>
        <w:t>’</w:t>
      </w:r>
      <w:r w:rsidRPr="005879DC">
        <w:rPr>
          <w:snapToGrid/>
          <w:kern w:val="22"/>
          <w:lang w:val="fr-CA"/>
        </w:rPr>
        <w:t>identifier des éléments génétiques fonctionnels ou de découvrir des mutations utiles – est particulièrement vulnérable au contrôle bilatéral sur l</w:t>
      </w:r>
      <w:r w:rsidR="0069339F">
        <w:rPr>
          <w:snapToGrid/>
          <w:kern w:val="22"/>
          <w:lang w:val="fr-CA"/>
        </w:rPr>
        <w:t>’</w:t>
      </w:r>
      <w:r w:rsidRPr="005879DC">
        <w:rPr>
          <w:snapToGrid/>
          <w:kern w:val="22"/>
          <w:lang w:val="fr-CA"/>
        </w:rPr>
        <w:t>accès à l</w:t>
      </w:r>
      <w:r w:rsidR="0069339F">
        <w:rPr>
          <w:snapToGrid/>
          <w:kern w:val="22"/>
          <w:lang w:val="fr-CA"/>
        </w:rPr>
        <w:t>’</w:t>
      </w:r>
      <w:r w:rsidRPr="005879DC">
        <w:rPr>
          <w:snapToGrid/>
          <w:kern w:val="22"/>
          <w:lang w:val="fr-CA"/>
        </w:rPr>
        <w:t>information de séquençage numérique à cause des difficultés pratiques associées à l</w:t>
      </w:r>
      <w:r w:rsidR="0069339F">
        <w:rPr>
          <w:snapToGrid/>
          <w:kern w:val="22"/>
          <w:lang w:val="fr-CA"/>
        </w:rPr>
        <w:t>’</w:t>
      </w:r>
      <w:r w:rsidRPr="005879DC">
        <w:rPr>
          <w:snapToGrid/>
          <w:kern w:val="22"/>
          <w:lang w:val="fr-CA"/>
        </w:rPr>
        <w:t>obtention du consentement préalable en connaissance de cause d</w:t>
      </w:r>
      <w:r w:rsidR="0069339F">
        <w:rPr>
          <w:snapToGrid/>
          <w:kern w:val="22"/>
          <w:lang w:val="fr-CA"/>
        </w:rPr>
        <w:t>’</w:t>
      </w:r>
      <w:r w:rsidRPr="005879DC">
        <w:rPr>
          <w:snapToGrid/>
          <w:kern w:val="22"/>
          <w:lang w:val="fr-CA"/>
        </w:rPr>
        <w:t>un grand nombre de fournisseurs</w:t>
      </w:r>
      <w:r w:rsidR="00AA5F81" w:rsidRPr="001D35D1">
        <w:rPr>
          <w:snapToGrid/>
          <w:spacing w:val="-2"/>
          <w:kern w:val="22"/>
          <w:szCs w:val="22"/>
          <w:lang w:val="fr-CA"/>
        </w:rPr>
        <w:t>.</w:t>
      </w:r>
    </w:p>
    <w:p w:rsidR="004F6661" w:rsidRPr="001D35D1" w:rsidRDefault="00371031" w:rsidP="00F76BAE">
      <w:pPr>
        <w:pStyle w:val="Para1"/>
        <w:numPr>
          <w:ilvl w:val="0"/>
          <w:numId w:val="2"/>
        </w:numPr>
        <w:suppressLineNumbers/>
        <w:tabs>
          <w:tab w:val="clear" w:pos="360"/>
          <w:tab w:val="num" w:pos="709"/>
        </w:tabs>
        <w:suppressAutoHyphens/>
        <w:rPr>
          <w:snapToGrid/>
          <w:kern w:val="22"/>
          <w:szCs w:val="22"/>
          <w:lang w:val="fr-CA"/>
        </w:rPr>
      </w:pPr>
      <w:r w:rsidRPr="005879DC">
        <w:rPr>
          <w:i/>
          <w:snapToGrid/>
          <w:kern w:val="22"/>
          <w:lang w:val="fr-CA"/>
        </w:rPr>
        <w:t xml:space="preserve">Ressources génétiques </w:t>
      </w:r>
      <w:r>
        <w:rPr>
          <w:i/>
          <w:snapToGrid/>
          <w:kern w:val="22"/>
          <w:lang w:val="fr-CA"/>
        </w:rPr>
        <w:t>dont le</w:t>
      </w:r>
      <w:r w:rsidRPr="005879DC">
        <w:rPr>
          <w:i/>
          <w:snapToGrid/>
          <w:kern w:val="22"/>
          <w:lang w:val="fr-CA"/>
        </w:rPr>
        <w:t xml:space="preserve"> pays d</w:t>
      </w:r>
      <w:r w:rsidR="0069339F">
        <w:rPr>
          <w:i/>
          <w:snapToGrid/>
          <w:kern w:val="22"/>
          <w:lang w:val="fr-CA"/>
        </w:rPr>
        <w:t>’</w:t>
      </w:r>
      <w:r w:rsidRPr="005879DC">
        <w:rPr>
          <w:i/>
          <w:snapToGrid/>
          <w:kern w:val="22"/>
          <w:lang w:val="fr-CA"/>
        </w:rPr>
        <w:t>origine ne peut être identifié après des efforts raisonnables.</w:t>
      </w:r>
      <w:r w:rsidRPr="005879DC">
        <w:rPr>
          <w:snapToGrid/>
          <w:kern w:val="22"/>
          <w:lang w:val="fr-CA"/>
        </w:rPr>
        <w:t xml:space="preserve"> De l</w:t>
      </w:r>
      <w:r w:rsidR="0069339F">
        <w:rPr>
          <w:snapToGrid/>
          <w:kern w:val="22"/>
          <w:lang w:val="fr-CA"/>
        </w:rPr>
        <w:t>’</w:t>
      </w:r>
      <w:r w:rsidRPr="005879DC">
        <w:rPr>
          <w:snapToGrid/>
          <w:kern w:val="22"/>
          <w:lang w:val="fr-CA"/>
        </w:rPr>
        <w:t>avis d</w:t>
      </w:r>
      <w:r w:rsidR="0069339F">
        <w:rPr>
          <w:snapToGrid/>
          <w:kern w:val="22"/>
          <w:lang w:val="fr-CA"/>
        </w:rPr>
        <w:t>’</w:t>
      </w:r>
      <w:r w:rsidRPr="005879DC">
        <w:rPr>
          <w:snapToGrid/>
          <w:kern w:val="22"/>
          <w:lang w:val="fr-CA"/>
        </w:rPr>
        <w:t>une Partie,</w:t>
      </w:r>
      <w:r w:rsidRPr="005879DC">
        <w:rPr>
          <w:rStyle w:val="FootnoteReference"/>
          <w:iCs/>
          <w:snapToGrid/>
          <w:kern w:val="22"/>
          <w:lang w:val="fr-CA"/>
        </w:rPr>
        <w:t xml:space="preserve"> </w:t>
      </w:r>
      <w:r w:rsidRPr="005879DC">
        <w:rPr>
          <w:rStyle w:val="FootnoteReference"/>
          <w:iCs/>
          <w:snapToGrid/>
          <w:kern w:val="22"/>
          <w:lang w:val="fr-CA"/>
        </w:rPr>
        <w:footnoteReference w:id="37"/>
      </w:r>
      <w:r w:rsidRPr="005879DC">
        <w:rPr>
          <w:iCs/>
          <w:snapToGrid/>
          <w:kern w:val="22"/>
          <w:lang w:val="fr-CA"/>
        </w:rPr>
        <w:t xml:space="preserve"> la nécessité d</w:t>
      </w:r>
      <w:r w:rsidR="0069339F">
        <w:rPr>
          <w:iCs/>
          <w:snapToGrid/>
          <w:kern w:val="22"/>
          <w:lang w:val="fr-CA"/>
        </w:rPr>
        <w:t>’</w:t>
      </w:r>
      <w:r w:rsidRPr="005879DC">
        <w:rPr>
          <w:iCs/>
          <w:snapToGrid/>
          <w:kern w:val="22"/>
          <w:lang w:val="fr-CA"/>
        </w:rPr>
        <w:t>un mécanisme multilatéral mondial de partage des avantages interviendrait dans des situations où les pays d</w:t>
      </w:r>
      <w:r w:rsidR="0069339F">
        <w:rPr>
          <w:iCs/>
          <w:snapToGrid/>
          <w:kern w:val="22"/>
          <w:lang w:val="fr-CA"/>
        </w:rPr>
        <w:t>’</w:t>
      </w:r>
      <w:r w:rsidRPr="005879DC">
        <w:rPr>
          <w:iCs/>
          <w:snapToGrid/>
          <w:kern w:val="22"/>
          <w:lang w:val="fr-CA"/>
        </w:rPr>
        <w:t>origine ne peuvent être identifiés après que des efforts raisonnables aient été déployés</w:t>
      </w:r>
      <w:r w:rsidR="00AA5F81" w:rsidRPr="001D35D1">
        <w:rPr>
          <w:iCs/>
          <w:snapToGrid/>
          <w:kern w:val="22"/>
          <w:szCs w:val="22"/>
          <w:lang w:val="fr-CA"/>
        </w:rPr>
        <w:t>.</w:t>
      </w:r>
    </w:p>
    <w:tbl>
      <w:tblPr>
        <w:tblStyle w:val="TableGrid"/>
        <w:tblW w:w="0" w:type="auto"/>
        <w:jc w:val="center"/>
        <w:tblLook w:val="04A0" w:firstRow="1" w:lastRow="0" w:firstColumn="1" w:lastColumn="0" w:noHBand="0" w:noVBand="1"/>
      </w:tblPr>
      <w:tblGrid>
        <w:gridCol w:w="9320"/>
      </w:tblGrid>
      <w:tr w:rsidR="00E03BEE" w:rsidRPr="001D35D1" w:rsidTr="00F76BAE">
        <w:trPr>
          <w:jc w:val="center"/>
        </w:trPr>
        <w:tc>
          <w:tcPr>
            <w:tcW w:w="9320" w:type="dxa"/>
          </w:tcPr>
          <w:p w:rsidR="00E03BEE" w:rsidRPr="001D35D1" w:rsidRDefault="00371031" w:rsidP="00F76BAE">
            <w:pPr>
              <w:pStyle w:val="Para1"/>
              <w:suppressLineNumbers/>
              <w:suppressAutoHyphens/>
              <w:rPr>
                <w:snapToGrid/>
                <w:kern w:val="22"/>
                <w:szCs w:val="22"/>
                <w:lang w:val="fr-CA"/>
              </w:rPr>
            </w:pPr>
            <w:r w:rsidRPr="005879DC">
              <w:rPr>
                <w:snapToGrid/>
                <w:kern w:val="22"/>
                <w:lang w:val="fr-CA"/>
              </w:rPr>
              <w:t>Exemple de cas réel fourni :</w:t>
            </w:r>
            <w:r w:rsidRPr="005879DC">
              <w:rPr>
                <w:rStyle w:val="FootnoteReference"/>
                <w:snapToGrid/>
                <w:kern w:val="22"/>
                <w:lang w:val="fr-CA"/>
              </w:rPr>
              <w:t xml:space="preserve"> </w:t>
            </w:r>
            <w:r w:rsidRPr="005879DC">
              <w:rPr>
                <w:rStyle w:val="FootnoteReference"/>
                <w:snapToGrid/>
                <w:kern w:val="22"/>
                <w:lang w:val="fr-CA"/>
              </w:rPr>
              <w:footnoteReference w:id="38"/>
            </w:r>
            <w:r w:rsidRPr="005879DC">
              <w:rPr>
                <w:snapToGrid/>
                <w:kern w:val="22"/>
                <w:lang w:val="fr-CA"/>
              </w:rPr>
              <w:t xml:space="preserve"> Une entreprise de matériel génétique basée dans l</w:t>
            </w:r>
            <w:r w:rsidR="0069339F">
              <w:rPr>
                <w:snapToGrid/>
                <w:kern w:val="22"/>
                <w:lang w:val="fr-CA"/>
              </w:rPr>
              <w:t>’</w:t>
            </w:r>
            <w:r w:rsidRPr="005879DC">
              <w:rPr>
                <w:snapToGrid/>
                <w:kern w:val="22"/>
                <w:lang w:val="fr-CA"/>
              </w:rPr>
              <w:t>Union européenne achète des graines de divers pays à des fins horticoles. Une fois que les graines ont été plantées dans le pays utilisateur, dont certaines peuvent provenir de multiples pays, et une fois que des plantes identiques parviennent à maturité, on peut y avoir accès à partir du pays utilisateur à des fins commerciales. Dans un tel cas, le partage juste et équitable des avantages nécessite un mécanisme multilatéral mondial de partage des avantages</w:t>
            </w:r>
            <w:r w:rsidR="00E03BEE" w:rsidRPr="001D35D1">
              <w:rPr>
                <w:snapToGrid/>
                <w:kern w:val="22"/>
                <w:szCs w:val="22"/>
                <w:lang w:val="fr-CA"/>
              </w:rPr>
              <w:t>.</w:t>
            </w:r>
          </w:p>
        </w:tc>
      </w:tr>
    </w:tbl>
    <w:p w:rsidR="004F6661" w:rsidRPr="001D35D1" w:rsidRDefault="009155E5" w:rsidP="00F76BAE">
      <w:pPr>
        <w:pStyle w:val="Heading3"/>
        <w:suppressLineNumbers/>
        <w:tabs>
          <w:tab w:val="left" w:pos="284"/>
        </w:tabs>
        <w:suppressAutoHyphens/>
        <w:rPr>
          <w:i w:val="0"/>
          <w:iCs w:val="0"/>
          <w:kern w:val="22"/>
          <w:szCs w:val="22"/>
          <w:lang w:val="fr-CA"/>
        </w:rPr>
      </w:pPr>
      <w:r w:rsidRPr="001D35D1">
        <w:rPr>
          <w:kern w:val="22"/>
          <w:szCs w:val="22"/>
          <w:lang w:val="fr-CA"/>
        </w:rPr>
        <w:t>2.</w:t>
      </w:r>
      <w:r w:rsidRPr="001D35D1">
        <w:rPr>
          <w:kern w:val="22"/>
          <w:szCs w:val="22"/>
          <w:lang w:val="fr-CA"/>
        </w:rPr>
        <w:tab/>
      </w:r>
      <w:r w:rsidR="00F35178" w:rsidRPr="005879DC">
        <w:rPr>
          <w:kern w:val="22"/>
          <w:lang w:val="fr-CA"/>
        </w:rPr>
        <w:t>Cas spécifiques liés aux connaissances traditionnelles associées à des ressources génétiques</w:t>
      </w:r>
    </w:p>
    <w:p w:rsidR="004F6661" w:rsidRPr="001D35D1" w:rsidRDefault="00CB3AAE" w:rsidP="00F76BAE">
      <w:pPr>
        <w:pStyle w:val="Para1"/>
        <w:numPr>
          <w:ilvl w:val="0"/>
          <w:numId w:val="2"/>
        </w:numPr>
        <w:suppressLineNumbers/>
        <w:tabs>
          <w:tab w:val="clear" w:pos="360"/>
          <w:tab w:val="num" w:pos="709"/>
        </w:tabs>
        <w:suppressAutoHyphens/>
        <w:rPr>
          <w:snapToGrid/>
          <w:spacing w:val="-2"/>
          <w:kern w:val="22"/>
          <w:szCs w:val="22"/>
          <w:lang w:val="fr-CA"/>
        </w:rPr>
      </w:pPr>
      <w:r w:rsidRPr="005879DC">
        <w:rPr>
          <w:i/>
          <w:snapToGrid/>
          <w:kern w:val="22"/>
          <w:lang w:val="fr-CA"/>
        </w:rPr>
        <w:t>Connaissances traditionnelles associées à des ressources génétiques partagées par des peuples autochtones ou des communautés locales situés dans différents pays.</w:t>
      </w:r>
      <w:r w:rsidRPr="005879DC">
        <w:rPr>
          <w:rStyle w:val="FootnoteReference"/>
          <w:snapToGrid/>
          <w:kern w:val="22"/>
          <w:lang w:val="fr-CA"/>
        </w:rPr>
        <w:t xml:space="preserve"> </w:t>
      </w:r>
      <w:r w:rsidRPr="005879DC">
        <w:rPr>
          <w:rStyle w:val="FootnoteReference"/>
          <w:snapToGrid/>
          <w:kern w:val="22"/>
          <w:lang w:val="fr-CA"/>
        </w:rPr>
        <w:footnoteReference w:id="39"/>
      </w:r>
      <w:r w:rsidRPr="005879DC">
        <w:rPr>
          <w:snapToGrid/>
          <w:kern w:val="22"/>
          <w:lang w:val="fr-CA"/>
        </w:rPr>
        <w:t xml:space="preserve"> Une organisation</w:t>
      </w:r>
      <w:r w:rsidRPr="005879DC">
        <w:rPr>
          <w:rStyle w:val="FootnoteReference"/>
          <w:snapToGrid/>
          <w:kern w:val="22"/>
          <w:lang w:val="fr-CA"/>
        </w:rPr>
        <w:footnoteReference w:id="40"/>
      </w:r>
      <w:r w:rsidRPr="005879DC">
        <w:rPr>
          <w:snapToGrid/>
          <w:kern w:val="22"/>
          <w:lang w:val="fr-CA"/>
        </w:rPr>
        <w:t xml:space="preserve"> a expliqué qu</w:t>
      </w:r>
      <w:r w:rsidR="0069339F">
        <w:rPr>
          <w:snapToGrid/>
          <w:kern w:val="22"/>
          <w:lang w:val="fr-CA"/>
        </w:rPr>
        <w:t>’</w:t>
      </w:r>
      <w:r w:rsidRPr="005879DC">
        <w:rPr>
          <w:snapToGrid/>
          <w:kern w:val="22"/>
          <w:lang w:val="fr-CA"/>
        </w:rPr>
        <w:t>à cause des difficultés pratiques associées à la conclusion de multiples accords d</w:t>
      </w:r>
      <w:r w:rsidR="0069339F">
        <w:rPr>
          <w:snapToGrid/>
          <w:kern w:val="22"/>
          <w:lang w:val="fr-CA"/>
        </w:rPr>
        <w:t>’</w:t>
      </w:r>
      <w:r w:rsidRPr="005879DC">
        <w:rPr>
          <w:snapToGrid/>
          <w:kern w:val="22"/>
          <w:lang w:val="fr-CA"/>
        </w:rPr>
        <w:t>accès et de partage des avantages avec de</w:t>
      </w:r>
      <w:r>
        <w:rPr>
          <w:snapToGrid/>
          <w:kern w:val="22"/>
          <w:lang w:val="fr-CA"/>
        </w:rPr>
        <w:t xml:space="preserve"> multiples détenteurs</w:t>
      </w:r>
      <w:r w:rsidRPr="005879DC">
        <w:rPr>
          <w:snapToGrid/>
          <w:kern w:val="22"/>
          <w:lang w:val="fr-CA"/>
        </w:rPr>
        <w:t xml:space="preserve"> de droits dans de multiples juridictions, l</w:t>
      </w:r>
      <w:r w:rsidR="0069339F">
        <w:rPr>
          <w:snapToGrid/>
          <w:kern w:val="22"/>
          <w:lang w:val="fr-CA"/>
        </w:rPr>
        <w:t>’</w:t>
      </w:r>
      <w:r w:rsidRPr="005879DC">
        <w:rPr>
          <w:snapToGrid/>
          <w:kern w:val="22"/>
          <w:lang w:val="fr-CA"/>
        </w:rPr>
        <w:t>application de l</w:t>
      </w:r>
      <w:r w:rsidR="0069339F">
        <w:rPr>
          <w:snapToGrid/>
          <w:kern w:val="22"/>
          <w:lang w:val="fr-CA"/>
        </w:rPr>
        <w:t>’</w:t>
      </w:r>
      <w:r w:rsidRPr="005879DC">
        <w:rPr>
          <w:snapToGrid/>
          <w:kern w:val="22"/>
          <w:lang w:val="fr-CA"/>
        </w:rPr>
        <w:t>approche bilatérale dans de telles situations s</w:t>
      </w:r>
      <w:r w:rsidR="0069339F">
        <w:rPr>
          <w:snapToGrid/>
          <w:kern w:val="22"/>
          <w:lang w:val="fr-CA"/>
        </w:rPr>
        <w:t>’</w:t>
      </w:r>
      <w:r w:rsidRPr="005879DC">
        <w:rPr>
          <w:snapToGrid/>
          <w:kern w:val="22"/>
          <w:lang w:val="fr-CA"/>
        </w:rPr>
        <w:t>avérerait probablement excessivement coûteuse et/ou injuste</w:t>
      </w:r>
      <w:r w:rsidR="00AA5F81" w:rsidRPr="001D35D1">
        <w:rPr>
          <w:snapToGrid/>
          <w:spacing w:val="-2"/>
          <w:kern w:val="22"/>
          <w:szCs w:val="22"/>
          <w:lang w:val="fr-CA"/>
        </w:rPr>
        <w:t>.</w:t>
      </w:r>
    </w:p>
    <w:p w:rsidR="004F6661" w:rsidRPr="001D35D1" w:rsidRDefault="005E2FB8" w:rsidP="00F76BAE">
      <w:pPr>
        <w:pStyle w:val="Para1"/>
        <w:numPr>
          <w:ilvl w:val="0"/>
          <w:numId w:val="2"/>
        </w:numPr>
        <w:suppressLineNumbers/>
        <w:tabs>
          <w:tab w:val="clear" w:pos="360"/>
          <w:tab w:val="num" w:pos="709"/>
        </w:tabs>
        <w:suppressAutoHyphens/>
        <w:rPr>
          <w:noProof/>
          <w:kern w:val="22"/>
          <w:szCs w:val="22"/>
          <w:lang w:val="fr-CA"/>
        </w:rPr>
      </w:pPr>
      <w:r w:rsidRPr="005879DC">
        <w:rPr>
          <w:i/>
          <w:snapToGrid/>
          <w:kern w:val="22"/>
          <w:lang w:val="fr-CA"/>
        </w:rPr>
        <w:t>Connaissances traditionnelles accessibles à tous d</w:t>
      </w:r>
      <w:r w:rsidR="0069339F">
        <w:rPr>
          <w:i/>
          <w:snapToGrid/>
          <w:kern w:val="22"/>
          <w:lang w:val="fr-CA"/>
        </w:rPr>
        <w:t>’</w:t>
      </w:r>
      <w:r w:rsidRPr="005879DC">
        <w:rPr>
          <w:i/>
          <w:snapToGrid/>
          <w:kern w:val="22"/>
          <w:lang w:val="fr-CA"/>
        </w:rPr>
        <w:t>origine inconnue assujetties à l</w:t>
      </w:r>
      <w:r w:rsidR="0069339F">
        <w:rPr>
          <w:i/>
          <w:snapToGrid/>
          <w:kern w:val="22"/>
          <w:lang w:val="fr-CA"/>
        </w:rPr>
        <w:t>’</w:t>
      </w:r>
      <w:r w:rsidRPr="005879DC">
        <w:rPr>
          <w:i/>
          <w:snapToGrid/>
          <w:kern w:val="22"/>
          <w:lang w:val="fr-CA"/>
        </w:rPr>
        <w:t>accès et à l</w:t>
      </w:r>
      <w:r w:rsidR="0069339F">
        <w:rPr>
          <w:i/>
          <w:snapToGrid/>
          <w:kern w:val="22"/>
          <w:lang w:val="fr-CA"/>
        </w:rPr>
        <w:t>’</w:t>
      </w:r>
      <w:r w:rsidRPr="005879DC">
        <w:rPr>
          <w:i/>
          <w:snapToGrid/>
          <w:kern w:val="22"/>
          <w:lang w:val="fr-CA"/>
        </w:rPr>
        <w:t xml:space="preserve">utilisation; connaissances traditionnelles largement disséminées; situations où les détenteurs originaux </w:t>
      </w:r>
      <w:r w:rsidRPr="005879DC">
        <w:rPr>
          <w:i/>
          <w:snapToGrid/>
          <w:kern w:val="22"/>
          <w:lang w:val="fr-CA"/>
        </w:rPr>
        <w:lastRenderedPageBreak/>
        <w:t>de connaissances traditionnelles ne sont plus également les détenteurs des ressources associées;</w:t>
      </w:r>
      <w:r w:rsidRPr="005879DC">
        <w:rPr>
          <w:rStyle w:val="FootnoteReference"/>
          <w:snapToGrid/>
          <w:kern w:val="22"/>
          <w:lang w:val="fr-CA"/>
        </w:rPr>
        <w:footnoteReference w:id="41"/>
      </w:r>
      <w:r w:rsidRPr="005879DC">
        <w:rPr>
          <w:snapToGrid/>
          <w:kern w:val="22"/>
          <w:lang w:val="fr-CA"/>
        </w:rPr>
        <w:t xml:space="preserve"> et </w:t>
      </w:r>
      <w:r w:rsidRPr="005879DC">
        <w:rPr>
          <w:i/>
          <w:snapToGrid/>
          <w:kern w:val="22"/>
          <w:lang w:val="fr-CA"/>
        </w:rPr>
        <w:t>connaissances traditionnelles dans des collections ex situ assujetties à l</w:t>
      </w:r>
      <w:r w:rsidR="0069339F">
        <w:rPr>
          <w:i/>
          <w:snapToGrid/>
          <w:kern w:val="22"/>
          <w:lang w:val="fr-CA"/>
        </w:rPr>
        <w:t>’</w:t>
      </w:r>
      <w:r w:rsidRPr="005879DC">
        <w:rPr>
          <w:i/>
          <w:snapToGrid/>
          <w:kern w:val="22"/>
          <w:lang w:val="fr-CA"/>
        </w:rPr>
        <w:t>accès et à l</w:t>
      </w:r>
      <w:r w:rsidR="0069339F">
        <w:rPr>
          <w:i/>
          <w:snapToGrid/>
          <w:kern w:val="22"/>
          <w:lang w:val="fr-CA"/>
        </w:rPr>
        <w:t>’</w:t>
      </w:r>
      <w:r w:rsidRPr="005879DC">
        <w:rPr>
          <w:i/>
          <w:snapToGrid/>
          <w:kern w:val="22"/>
          <w:lang w:val="fr-CA"/>
        </w:rPr>
        <w:t>utilisation et dont l</w:t>
      </w:r>
      <w:r w:rsidR="0069339F">
        <w:rPr>
          <w:i/>
          <w:snapToGrid/>
          <w:kern w:val="22"/>
          <w:lang w:val="fr-CA"/>
        </w:rPr>
        <w:t>’</w:t>
      </w:r>
      <w:r w:rsidRPr="005879DC">
        <w:rPr>
          <w:i/>
          <w:snapToGrid/>
          <w:kern w:val="22"/>
          <w:lang w:val="fr-CA"/>
        </w:rPr>
        <w:t xml:space="preserve">origine est inconnue </w:t>
      </w:r>
      <w:r w:rsidRPr="005879DC">
        <w:rPr>
          <w:i/>
          <w:noProof/>
          <w:snapToGrid/>
          <w:kern w:val="22"/>
          <w:lang w:val="fr-CA"/>
        </w:rPr>
        <w:t xml:space="preserve">ou </w:t>
      </w:r>
      <w:r>
        <w:rPr>
          <w:i/>
          <w:noProof/>
          <w:snapToGrid/>
          <w:kern w:val="22"/>
          <w:lang w:val="fr-CA"/>
        </w:rPr>
        <w:t>non traçable</w:t>
      </w:r>
      <w:r w:rsidRPr="005879DC">
        <w:rPr>
          <w:i/>
          <w:noProof/>
          <w:snapToGrid/>
          <w:kern w:val="22"/>
          <w:lang w:val="fr-CA"/>
        </w:rPr>
        <w:t>.</w:t>
      </w:r>
      <w:r w:rsidRPr="005879DC">
        <w:rPr>
          <w:rStyle w:val="FootnoteReference"/>
          <w:noProof/>
          <w:snapToGrid/>
          <w:kern w:val="22"/>
          <w:lang w:val="fr-CA"/>
        </w:rPr>
        <w:footnoteReference w:id="42"/>
      </w:r>
      <w:r w:rsidRPr="005879DC">
        <w:rPr>
          <w:noProof/>
          <w:snapToGrid/>
          <w:kern w:val="22"/>
          <w:lang w:val="fr-CA"/>
        </w:rPr>
        <w:t xml:space="preserve"> Dans</w:t>
      </w:r>
      <w:r w:rsidRPr="005879DC">
        <w:rPr>
          <w:snapToGrid/>
          <w:kern w:val="22"/>
          <w:lang w:val="fr-CA"/>
        </w:rPr>
        <w:t xml:space="preserve"> sa soumission, une organisation</w:t>
      </w:r>
      <w:r w:rsidRPr="005879DC">
        <w:rPr>
          <w:rStyle w:val="FootnoteReference"/>
          <w:snapToGrid/>
          <w:kern w:val="22"/>
          <w:lang w:val="fr-CA"/>
        </w:rPr>
        <w:footnoteReference w:id="43"/>
      </w:r>
      <w:r w:rsidRPr="005879DC">
        <w:rPr>
          <w:snapToGrid/>
          <w:kern w:val="22"/>
          <w:lang w:val="fr-CA"/>
        </w:rPr>
        <w:t xml:space="preserve"> a indiqué que les utilisateurs de connaissances traditionnelles accessibles à tous d</w:t>
      </w:r>
      <w:r w:rsidR="0069339F">
        <w:rPr>
          <w:snapToGrid/>
          <w:kern w:val="22"/>
          <w:lang w:val="fr-CA"/>
        </w:rPr>
        <w:t>’</w:t>
      </w:r>
      <w:r w:rsidRPr="005879DC">
        <w:rPr>
          <w:snapToGrid/>
          <w:kern w:val="22"/>
          <w:lang w:val="fr-CA"/>
        </w:rPr>
        <w:t>origine inconnue ont un avantage injuste s</w:t>
      </w:r>
      <w:r w:rsidR="0069339F">
        <w:rPr>
          <w:snapToGrid/>
          <w:kern w:val="22"/>
          <w:lang w:val="fr-CA"/>
        </w:rPr>
        <w:t>’</w:t>
      </w:r>
      <w:r w:rsidRPr="005879DC">
        <w:rPr>
          <w:snapToGrid/>
          <w:kern w:val="22"/>
          <w:lang w:val="fr-CA"/>
        </w:rPr>
        <w:t>ils ne sont pas obligés d</w:t>
      </w:r>
      <w:r w:rsidR="0069339F">
        <w:rPr>
          <w:snapToGrid/>
          <w:kern w:val="22"/>
          <w:lang w:val="fr-CA"/>
        </w:rPr>
        <w:t>’</w:t>
      </w:r>
      <w:r w:rsidRPr="005879DC">
        <w:rPr>
          <w:snapToGrid/>
          <w:kern w:val="22"/>
          <w:lang w:val="fr-CA"/>
        </w:rPr>
        <w:t>en partager les bénéfices. L</w:t>
      </w:r>
      <w:r w:rsidR="0069339F">
        <w:rPr>
          <w:snapToGrid/>
          <w:kern w:val="22"/>
          <w:lang w:val="fr-CA"/>
        </w:rPr>
        <w:t>’</w:t>
      </w:r>
      <w:r w:rsidRPr="005879DC">
        <w:rPr>
          <w:snapToGrid/>
          <w:kern w:val="22"/>
          <w:lang w:val="fr-CA"/>
        </w:rPr>
        <w:t>approche bilatérale n</w:t>
      </w:r>
      <w:r w:rsidR="0069339F">
        <w:rPr>
          <w:snapToGrid/>
          <w:kern w:val="22"/>
          <w:lang w:val="fr-CA"/>
        </w:rPr>
        <w:t>’</w:t>
      </w:r>
      <w:r w:rsidRPr="005879DC">
        <w:rPr>
          <w:snapToGrid/>
          <w:kern w:val="22"/>
          <w:lang w:val="fr-CA"/>
        </w:rPr>
        <w:t>est pas applicable dans ce cas, car aucun titulaire de droits n</w:t>
      </w:r>
      <w:r w:rsidR="0069339F">
        <w:rPr>
          <w:snapToGrid/>
          <w:kern w:val="22"/>
          <w:lang w:val="fr-CA"/>
        </w:rPr>
        <w:t>’</w:t>
      </w:r>
      <w:r w:rsidRPr="005879DC">
        <w:rPr>
          <w:snapToGrid/>
          <w:kern w:val="22"/>
          <w:lang w:val="fr-CA"/>
        </w:rPr>
        <w:t>existe pour fournir un consentement préalable en connaissance de cause et conclure des conditions mutuellement convenues. Pour ce qui est des connaissances traditionnelles largement disséminées, les raisons données par la soumission pour expliquer pourquoi ce cas spécifique ne peut pas être couvert par l</w:t>
      </w:r>
      <w:r w:rsidR="0069339F">
        <w:rPr>
          <w:snapToGrid/>
          <w:kern w:val="22"/>
          <w:lang w:val="fr-CA"/>
        </w:rPr>
        <w:t>’</w:t>
      </w:r>
      <w:r w:rsidRPr="005879DC">
        <w:rPr>
          <w:snapToGrid/>
          <w:kern w:val="22"/>
          <w:lang w:val="fr-CA"/>
        </w:rPr>
        <w:t>approche bilatérale sont semblables à cel</w:t>
      </w:r>
      <w:r>
        <w:rPr>
          <w:snapToGrid/>
          <w:kern w:val="22"/>
          <w:lang w:val="fr-CA"/>
        </w:rPr>
        <w:t>les mentionnées au paragraphe 20</w:t>
      </w:r>
      <w:r w:rsidRPr="005879DC">
        <w:rPr>
          <w:snapToGrid/>
          <w:kern w:val="22"/>
          <w:lang w:val="fr-CA"/>
        </w:rPr>
        <w:t xml:space="preserve"> </w:t>
      </w:r>
      <w:r w:rsidRPr="005879DC">
        <w:rPr>
          <w:noProof/>
          <w:snapToGrid/>
          <w:kern w:val="22"/>
          <w:lang w:val="fr-CA"/>
        </w:rPr>
        <w:t>ci</w:t>
      </w:r>
      <w:r w:rsidR="0069339F">
        <w:rPr>
          <w:noProof/>
          <w:snapToGrid/>
          <w:kern w:val="22"/>
          <w:lang w:val="fr-CA"/>
        </w:rPr>
        <w:noBreakHyphen/>
      </w:r>
      <w:r w:rsidRPr="005879DC">
        <w:rPr>
          <w:noProof/>
          <w:snapToGrid/>
          <w:kern w:val="22"/>
          <w:lang w:val="fr-CA"/>
        </w:rPr>
        <w:t>dessus. S</w:t>
      </w:r>
      <w:r w:rsidR="0069339F">
        <w:rPr>
          <w:noProof/>
          <w:snapToGrid/>
          <w:kern w:val="22"/>
          <w:lang w:val="fr-CA"/>
        </w:rPr>
        <w:t>’</w:t>
      </w:r>
      <w:r w:rsidRPr="005879DC">
        <w:rPr>
          <w:noProof/>
          <w:snapToGrid/>
          <w:kern w:val="22"/>
          <w:lang w:val="fr-CA"/>
        </w:rPr>
        <w:t>agissant de</w:t>
      </w:r>
      <w:r>
        <w:rPr>
          <w:noProof/>
          <w:snapToGrid/>
          <w:kern w:val="22"/>
          <w:lang w:val="fr-CA"/>
        </w:rPr>
        <w:t>s</w:t>
      </w:r>
      <w:r w:rsidRPr="005879DC">
        <w:rPr>
          <w:noProof/>
          <w:snapToGrid/>
          <w:kern w:val="22"/>
          <w:lang w:val="fr-CA"/>
        </w:rPr>
        <w:t xml:space="preserve"> connaissances traditionnelles dans des collections ex situ, la même organisation</w:t>
      </w:r>
      <w:r w:rsidRPr="005879DC">
        <w:rPr>
          <w:rStyle w:val="FootnoteReference"/>
          <w:noProof/>
          <w:snapToGrid/>
          <w:kern w:val="22"/>
          <w:lang w:val="fr-CA"/>
        </w:rPr>
        <w:footnoteReference w:id="44"/>
      </w:r>
      <w:r w:rsidRPr="005879DC">
        <w:rPr>
          <w:noProof/>
          <w:snapToGrid/>
          <w:kern w:val="22"/>
          <w:lang w:val="fr-CA"/>
        </w:rPr>
        <w:t xml:space="preserve"> explique que les collections ex situ peuvent uniquement </w:t>
      </w:r>
      <w:r>
        <w:rPr>
          <w:noProof/>
          <w:snapToGrid/>
          <w:kern w:val="22"/>
          <w:lang w:val="fr-CA"/>
        </w:rPr>
        <w:t>accorder</w:t>
      </w:r>
      <w:r w:rsidRPr="005879DC">
        <w:rPr>
          <w:noProof/>
          <w:snapToGrid/>
          <w:kern w:val="22"/>
          <w:lang w:val="fr-CA"/>
        </w:rPr>
        <w:t xml:space="preserve"> un accès légitime accompagné d</w:t>
      </w:r>
      <w:r w:rsidR="0069339F">
        <w:rPr>
          <w:noProof/>
          <w:snapToGrid/>
          <w:kern w:val="22"/>
          <w:lang w:val="fr-CA"/>
        </w:rPr>
        <w:t>’</w:t>
      </w:r>
      <w:r w:rsidRPr="005879DC">
        <w:rPr>
          <w:noProof/>
          <w:snapToGrid/>
          <w:kern w:val="22"/>
          <w:lang w:val="fr-CA"/>
        </w:rPr>
        <w:t>un partage juste et équitable des avantages si elles sont en mesure d</w:t>
      </w:r>
      <w:r w:rsidR="0069339F">
        <w:rPr>
          <w:noProof/>
          <w:snapToGrid/>
          <w:kern w:val="22"/>
          <w:lang w:val="fr-CA"/>
        </w:rPr>
        <w:t>’</w:t>
      </w:r>
      <w:r w:rsidRPr="005879DC">
        <w:rPr>
          <w:noProof/>
          <w:snapToGrid/>
          <w:kern w:val="22"/>
          <w:lang w:val="fr-CA"/>
        </w:rPr>
        <w:t>identifier le pays ou la communauté fournisseur original qui devrait recevoir les bénéfices. Lorsque le fournisseur est inconnu, l</w:t>
      </w:r>
      <w:r w:rsidR="0069339F">
        <w:rPr>
          <w:noProof/>
          <w:snapToGrid/>
          <w:kern w:val="22"/>
          <w:lang w:val="fr-CA"/>
        </w:rPr>
        <w:t>’</w:t>
      </w:r>
      <w:r w:rsidRPr="005879DC">
        <w:rPr>
          <w:noProof/>
          <w:snapToGrid/>
          <w:kern w:val="22"/>
          <w:lang w:val="fr-CA"/>
        </w:rPr>
        <w:t>approche bilatérale entraîne des résultats injustes et inéquitables, ce qui décourage les investissements dans la recherche</w:t>
      </w:r>
      <w:r w:rsidR="0069339F">
        <w:rPr>
          <w:noProof/>
          <w:snapToGrid/>
          <w:kern w:val="22"/>
          <w:lang w:val="fr-CA"/>
        </w:rPr>
        <w:noBreakHyphen/>
      </w:r>
      <w:r w:rsidRPr="005879DC">
        <w:rPr>
          <w:noProof/>
          <w:snapToGrid/>
          <w:kern w:val="22"/>
          <w:lang w:val="fr-CA"/>
        </w:rPr>
        <w:t>développement entourant les ressources pour lesquelles les exigences d</w:t>
      </w:r>
      <w:r w:rsidR="0069339F">
        <w:rPr>
          <w:noProof/>
          <w:snapToGrid/>
          <w:kern w:val="22"/>
          <w:lang w:val="fr-CA"/>
        </w:rPr>
        <w:t>’</w:t>
      </w:r>
      <w:r w:rsidRPr="005879DC">
        <w:rPr>
          <w:noProof/>
          <w:snapToGrid/>
          <w:kern w:val="22"/>
          <w:lang w:val="fr-CA"/>
        </w:rPr>
        <w:t>accès et de partage des avantages s</w:t>
      </w:r>
      <w:r w:rsidR="0069339F">
        <w:rPr>
          <w:noProof/>
          <w:snapToGrid/>
          <w:kern w:val="22"/>
          <w:lang w:val="fr-CA"/>
        </w:rPr>
        <w:t>’</w:t>
      </w:r>
      <w:r w:rsidRPr="005879DC">
        <w:rPr>
          <w:noProof/>
          <w:snapToGrid/>
          <w:kern w:val="22"/>
          <w:lang w:val="fr-CA"/>
        </w:rPr>
        <w:t>appliquent</w:t>
      </w:r>
      <w:r>
        <w:rPr>
          <w:noProof/>
          <w:snapToGrid/>
          <w:kern w:val="22"/>
          <w:lang w:val="fr-CA"/>
        </w:rPr>
        <w:t>.</w:t>
      </w:r>
    </w:p>
    <w:p w:rsidR="004F6661" w:rsidRPr="001D35D1" w:rsidRDefault="005C06C3" w:rsidP="00F76BAE">
      <w:pPr>
        <w:pStyle w:val="Heading2"/>
        <w:numPr>
          <w:ilvl w:val="0"/>
          <w:numId w:val="12"/>
        </w:numPr>
        <w:suppressLineNumbers/>
        <w:tabs>
          <w:tab w:val="clear" w:pos="720"/>
        </w:tabs>
        <w:suppressAutoHyphens/>
        <w:ind w:left="1260" w:hanging="540"/>
        <w:jc w:val="left"/>
        <w:rPr>
          <w:i w:val="0"/>
          <w:kern w:val="22"/>
          <w:szCs w:val="22"/>
          <w:lang w:val="fr-CA"/>
        </w:rPr>
      </w:pPr>
      <w:r w:rsidRPr="005879DC">
        <w:rPr>
          <w:i w:val="0"/>
          <w:kern w:val="22"/>
          <w:szCs w:val="22"/>
          <w:lang w:val="fr-CA"/>
        </w:rPr>
        <w:t>Options de possibles modalités pour aborder ces cas, y compris au moyen d</w:t>
      </w:r>
      <w:r w:rsidR="0069339F">
        <w:rPr>
          <w:i w:val="0"/>
          <w:kern w:val="22"/>
          <w:szCs w:val="22"/>
          <w:lang w:val="fr-CA"/>
        </w:rPr>
        <w:t>’</w:t>
      </w:r>
      <w:r w:rsidRPr="005879DC">
        <w:rPr>
          <w:i w:val="0"/>
          <w:kern w:val="22"/>
          <w:szCs w:val="22"/>
          <w:lang w:val="fr-CA"/>
        </w:rPr>
        <w:t>un mécanisme multilatéral mondial de partage des avantages</w:t>
      </w:r>
    </w:p>
    <w:p w:rsidR="005C06C3" w:rsidRPr="005879DC" w:rsidRDefault="005C06C3" w:rsidP="005C06C3">
      <w:pPr>
        <w:pStyle w:val="Para1"/>
        <w:numPr>
          <w:ilvl w:val="0"/>
          <w:numId w:val="2"/>
        </w:numPr>
        <w:tabs>
          <w:tab w:val="clear" w:pos="360"/>
          <w:tab w:val="left" w:pos="720"/>
        </w:tabs>
        <w:spacing w:before="0"/>
        <w:rPr>
          <w:kern w:val="22"/>
          <w:szCs w:val="22"/>
          <w:lang w:val="fr-CA"/>
        </w:rPr>
      </w:pPr>
      <w:r w:rsidRPr="005879DC">
        <w:rPr>
          <w:kern w:val="22"/>
          <w:szCs w:val="22"/>
          <w:lang w:val="fr-CA"/>
        </w:rPr>
        <w:t>Quelles que soient les modalités exactes éventuellement convenues, le point de vue exprimé dans une soumission</w:t>
      </w:r>
      <w:r w:rsidRPr="005879DC">
        <w:rPr>
          <w:kern w:val="22"/>
          <w:szCs w:val="22"/>
          <w:vertAlign w:val="superscript"/>
          <w:lang w:val="fr-CA"/>
        </w:rPr>
        <w:footnoteReference w:id="45"/>
      </w:r>
      <w:r w:rsidRPr="005879DC">
        <w:rPr>
          <w:kern w:val="22"/>
          <w:szCs w:val="22"/>
          <w:lang w:val="fr-CA"/>
        </w:rPr>
        <w:t xml:space="preserve"> est qu</w:t>
      </w:r>
      <w:r w:rsidR="0069339F">
        <w:rPr>
          <w:kern w:val="22"/>
          <w:szCs w:val="22"/>
          <w:lang w:val="fr-CA"/>
        </w:rPr>
        <w:t>’</w:t>
      </w:r>
      <w:r w:rsidRPr="005879DC">
        <w:rPr>
          <w:kern w:val="22"/>
          <w:szCs w:val="22"/>
          <w:lang w:val="fr-CA"/>
        </w:rPr>
        <w:t>un mécanisme multilatéral mondial de partage des avantages devrait, à tout le moins :</w:t>
      </w:r>
    </w:p>
    <w:p w:rsidR="005C06C3" w:rsidRPr="005879DC" w:rsidRDefault="005C06C3" w:rsidP="005C06C3">
      <w:pPr>
        <w:pStyle w:val="Para1"/>
        <w:numPr>
          <w:ilvl w:val="0"/>
          <w:numId w:val="18"/>
        </w:numPr>
        <w:tabs>
          <w:tab w:val="left" w:pos="720"/>
        </w:tabs>
        <w:spacing w:before="60" w:after="60"/>
        <w:ind w:left="0" w:firstLine="720"/>
        <w:rPr>
          <w:kern w:val="22"/>
          <w:lang w:val="fr-CA"/>
        </w:rPr>
      </w:pPr>
      <w:r w:rsidRPr="005879DC">
        <w:rPr>
          <w:kern w:val="22"/>
          <w:lang w:val="fr-CA"/>
        </w:rPr>
        <w:t>Faire en sorte que tous les utilisateurs de ressources génétiques et des connaissances traditionnelles associées qui génèrent des bénéfices monétaires contribuent de manière juste et équitable à la conservation et à l</w:t>
      </w:r>
      <w:r w:rsidR="0069339F">
        <w:rPr>
          <w:kern w:val="22"/>
          <w:lang w:val="fr-CA"/>
        </w:rPr>
        <w:t>’</w:t>
      </w:r>
      <w:r w:rsidRPr="005879DC">
        <w:rPr>
          <w:kern w:val="22"/>
          <w:lang w:val="fr-CA"/>
        </w:rPr>
        <w:t>utilisation durable de la diversité bi</w:t>
      </w:r>
      <w:r>
        <w:rPr>
          <w:kern w:val="22"/>
          <w:lang w:val="fr-CA"/>
        </w:rPr>
        <w:t>ologique;</w:t>
      </w:r>
    </w:p>
    <w:p w:rsidR="005C06C3" w:rsidRPr="005879DC" w:rsidRDefault="005C06C3" w:rsidP="005C06C3">
      <w:pPr>
        <w:pStyle w:val="Para1"/>
        <w:numPr>
          <w:ilvl w:val="0"/>
          <w:numId w:val="18"/>
        </w:numPr>
        <w:tabs>
          <w:tab w:val="left" w:pos="720"/>
        </w:tabs>
        <w:spacing w:before="60" w:after="60"/>
        <w:ind w:left="0" w:firstLine="720"/>
        <w:rPr>
          <w:kern w:val="22"/>
          <w:lang w:val="fr-CA"/>
        </w:rPr>
      </w:pPr>
      <w:r w:rsidRPr="005879DC">
        <w:rPr>
          <w:kern w:val="22"/>
          <w:lang w:val="fr-CA"/>
        </w:rPr>
        <w:t>Ne pas compromettre les droits souverains des États de réglementer l</w:t>
      </w:r>
      <w:r w:rsidR="0069339F">
        <w:rPr>
          <w:kern w:val="22"/>
          <w:lang w:val="fr-CA"/>
        </w:rPr>
        <w:t>’</w:t>
      </w:r>
      <w:r w:rsidRPr="005879DC">
        <w:rPr>
          <w:kern w:val="22"/>
          <w:lang w:val="fr-CA"/>
        </w:rPr>
        <w:t>accès à leurs ressources;</w:t>
      </w:r>
    </w:p>
    <w:p w:rsidR="004F6661" w:rsidRPr="001D35D1" w:rsidRDefault="005C06C3" w:rsidP="005C06C3">
      <w:pPr>
        <w:pStyle w:val="Para1"/>
        <w:numPr>
          <w:ilvl w:val="0"/>
          <w:numId w:val="18"/>
        </w:numPr>
        <w:suppressLineNumbers/>
        <w:tabs>
          <w:tab w:val="left" w:pos="720"/>
        </w:tabs>
        <w:suppressAutoHyphens/>
        <w:spacing w:before="60" w:after="60"/>
        <w:ind w:left="0" w:firstLine="720"/>
        <w:rPr>
          <w:kern w:val="22"/>
          <w:szCs w:val="22"/>
          <w:lang w:val="fr-CA"/>
        </w:rPr>
      </w:pPr>
      <w:r w:rsidRPr="005879DC">
        <w:rPr>
          <w:kern w:val="22"/>
          <w:lang w:val="fr-CA"/>
        </w:rPr>
        <w:t>Fournir un canal clair, convenu et supervisé à l</w:t>
      </w:r>
      <w:r w:rsidR="0069339F">
        <w:rPr>
          <w:kern w:val="22"/>
          <w:lang w:val="fr-CA"/>
        </w:rPr>
        <w:t>’</w:t>
      </w:r>
      <w:r w:rsidRPr="005879DC">
        <w:rPr>
          <w:kern w:val="22"/>
          <w:lang w:val="fr-CA"/>
        </w:rPr>
        <w:t>échelle mondiale aux utilisateurs</w:t>
      </w:r>
      <w:r>
        <w:rPr>
          <w:kern w:val="22"/>
          <w:lang w:val="fr-CA"/>
        </w:rPr>
        <w:t>,</w:t>
      </w:r>
      <w:r w:rsidRPr="005879DC">
        <w:rPr>
          <w:kern w:val="22"/>
          <w:lang w:val="fr-CA"/>
        </w:rPr>
        <w:t xml:space="preserve"> leur permettant de partager les avantages découlant de l</w:t>
      </w:r>
      <w:r w:rsidR="0069339F">
        <w:rPr>
          <w:kern w:val="22"/>
          <w:lang w:val="fr-CA"/>
        </w:rPr>
        <w:t>’</w:t>
      </w:r>
      <w:r w:rsidRPr="005879DC">
        <w:rPr>
          <w:kern w:val="22"/>
          <w:lang w:val="fr-CA"/>
        </w:rPr>
        <w:t>utilisation de ressources génétiques accessibles en dehors de l</w:t>
      </w:r>
      <w:r w:rsidR="0069339F">
        <w:rPr>
          <w:kern w:val="22"/>
          <w:lang w:val="fr-CA"/>
        </w:rPr>
        <w:t>’</w:t>
      </w:r>
      <w:r w:rsidRPr="005879DC">
        <w:rPr>
          <w:kern w:val="22"/>
          <w:lang w:val="fr-CA"/>
        </w:rPr>
        <w:t>approche bilatérale d</w:t>
      </w:r>
      <w:r w:rsidR="0069339F">
        <w:rPr>
          <w:kern w:val="22"/>
          <w:lang w:val="fr-CA"/>
        </w:rPr>
        <w:t>’</w:t>
      </w:r>
      <w:r w:rsidRPr="005879DC">
        <w:rPr>
          <w:kern w:val="22"/>
          <w:lang w:val="fr-CA"/>
        </w:rPr>
        <w:t>accès et de partage des avantages par défaut établie au titre de la Conven</w:t>
      </w:r>
      <w:r>
        <w:rPr>
          <w:kern w:val="22"/>
          <w:lang w:val="fr-CA"/>
        </w:rPr>
        <w:t>tion et du Protocole de Nagoya</w:t>
      </w:r>
      <w:r w:rsidR="004F6661" w:rsidRPr="001D35D1">
        <w:rPr>
          <w:kern w:val="22"/>
          <w:szCs w:val="22"/>
          <w:lang w:val="fr-CA"/>
        </w:rPr>
        <w:t>.</w:t>
      </w:r>
    </w:p>
    <w:p w:rsidR="004F6661" w:rsidRPr="001D35D1" w:rsidRDefault="001E7DC7" w:rsidP="00F76BAE">
      <w:pPr>
        <w:pStyle w:val="Para1"/>
        <w:numPr>
          <w:ilvl w:val="0"/>
          <w:numId w:val="2"/>
        </w:numPr>
        <w:suppressLineNumbers/>
        <w:tabs>
          <w:tab w:val="clear" w:pos="360"/>
          <w:tab w:val="left" w:pos="720"/>
        </w:tabs>
        <w:suppressAutoHyphens/>
        <w:spacing w:before="0"/>
        <w:rPr>
          <w:snapToGrid/>
          <w:kern w:val="22"/>
          <w:szCs w:val="22"/>
          <w:lang w:val="fr-CA"/>
        </w:rPr>
      </w:pPr>
      <w:r>
        <w:rPr>
          <w:kern w:val="22"/>
          <w:szCs w:val="22"/>
          <w:lang w:val="fr-CA"/>
        </w:rPr>
        <w:t>Plusieurs</w:t>
      </w:r>
      <w:r w:rsidRPr="005879DC">
        <w:rPr>
          <w:kern w:val="22"/>
          <w:szCs w:val="22"/>
          <w:lang w:val="fr-CA"/>
        </w:rPr>
        <w:t xml:space="preserve"> Parties et organisations</w:t>
      </w:r>
      <w:r w:rsidRPr="005879DC">
        <w:rPr>
          <w:rStyle w:val="FootnoteReference"/>
          <w:kern w:val="22"/>
          <w:szCs w:val="22"/>
          <w:lang w:val="fr-CA"/>
        </w:rPr>
        <w:footnoteReference w:id="46"/>
      </w:r>
      <w:r w:rsidRPr="005879DC">
        <w:rPr>
          <w:kern w:val="22"/>
          <w:szCs w:val="22"/>
          <w:lang w:val="fr-CA"/>
        </w:rPr>
        <w:t xml:space="preserve"> ont donné des options de possibles modalités pour aborder les cas qui ne sont pas couverts au titre de l</w:t>
      </w:r>
      <w:r w:rsidR="0069339F">
        <w:rPr>
          <w:kern w:val="22"/>
          <w:szCs w:val="22"/>
          <w:lang w:val="fr-CA"/>
        </w:rPr>
        <w:t>’</w:t>
      </w:r>
      <w:r w:rsidRPr="005879DC">
        <w:rPr>
          <w:kern w:val="22"/>
          <w:szCs w:val="22"/>
          <w:lang w:val="fr-CA"/>
        </w:rPr>
        <w:t>approche bilatérale établie dans le Protocole de Nagoya par le biais d</w:t>
      </w:r>
      <w:r w:rsidR="0069339F">
        <w:rPr>
          <w:kern w:val="22"/>
          <w:szCs w:val="22"/>
          <w:lang w:val="fr-CA"/>
        </w:rPr>
        <w:t>’</w:t>
      </w:r>
      <w:r w:rsidRPr="005879DC">
        <w:rPr>
          <w:kern w:val="22"/>
          <w:szCs w:val="22"/>
          <w:lang w:val="fr-CA"/>
        </w:rPr>
        <w:t xml:space="preserve">un mécanisme multilatéral mondial de partage des avantages, </w:t>
      </w:r>
      <w:r>
        <w:rPr>
          <w:kern w:val="22"/>
          <w:szCs w:val="22"/>
          <w:lang w:val="fr-CA"/>
        </w:rPr>
        <w:t>comme indiqué ci</w:t>
      </w:r>
      <w:r w:rsidR="0069339F">
        <w:rPr>
          <w:kern w:val="22"/>
          <w:szCs w:val="22"/>
          <w:lang w:val="fr-CA"/>
        </w:rPr>
        <w:noBreakHyphen/>
      </w:r>
      <w:r>
        <w:rPr>
          <w:kern w:val="22"/>
          <w:szCs w:val="22"/>
          <w:lang w:val="fr-CA"/>
        </w:rPr>
        <w:t>après.</w:t>
      </w:r>
    </w:p>
    <w:p w:rsidR="004F6661" w:rsidRPr="001D35D1" w:rsidRDefault="003B5EC8" w:rsidP="00F76BAE">
      <w:pPr>
        <w:pStyle w:val="Heading3"/>
        <w:suppressLineNumbers/>
        <w:suppressAutoHyphens/>
        <w:ind w:left="1418" w:hanging="709"/>
        <w:jc w:val="left"/>
        <w:rPr>
          <w:i w:val="0"/>
          <w:iCs w:val="0"/>
          <w:kern w:val="22"/>
          <w:szCs w:val="22"/>
          <w:lang w:val="fr-CA"/>
        </w:rPr>
      </w:pPr>
      <w:r w:rsidRPr="001D35D1">
        <w:rPr>
          <w:kern w:val="22"/>
          <w:szCs w:val="22"/>
          <w:lang w:val="fr-CA"/>
        </w:rPr>
        <w:t>1.</w:t>
      </w:r>
      <w:r w:rsidRPr="001D35D1">
        <w:rPr>
          <w:kern w:val="22"/>
          <w:szCs w:val="22"/>
          <w:lang w:val="fr-CA"/>
        </w:rPr>
        <w:tab/>
      </w:r>
      <w:r w:rsidR="001E7DC7" w:rsidRPr="005879DC">
        <w:rPr>
          <w:kern w:val="22"/>
          <w:lang w:val="fr-CA"/>
        </w:rPr>
        <w:t>Sources de financement et modalités d</w:t>
      </w:r>
      <w:r w:rsidR="0069339F">
        <w:rPr>
          <w:kern w:val="22"/>
          <w:lang w:val="fr-CA"/>
        </w:rPr>
        <w:t>’</w:t>
      </w:r>
      <w:r w:rsidR="001E7DC7" w:rsidRPr="005879DC">
        <w:rPr>
          <w:kern w:val="22"/>
          <w:lang w:val="fr-CA"/>
        </w:rPr>
        <w:t>utilisation de fonds provenant d</w:t>
      </w:r>
      <w:r w:rsidR="0069339F">
        <w:rPr>
          <w:kern w:val="22"/>
          <w:lang w:val="fr-CA"/>
        </w:rPr>
        <w:t>’</w:t>
      </w:r>
      <w:r w:rsidR="001E7DC7" w:rsidRPr="005879DC">
        <w:rPr>
          <w:kern w:val="22"/>
          <w:lang w:val="fr-CA"/>
        </w:rPr>
        <w:t>un mécanisme multilatéral mondial de partage des avantages</w:t>
      </w:r>
    </w:p>
    <w:p w:rsidR="004F6661" w:rsidRPr="001D35D1" w:rsidRDefault="001E7DC7" w:rsidP="00F76BAE">
      <w:pPr>
        <w:pStyle w:val="Para1"/>
        <w:numPr>
          <w:ilvl w:val="0"/>
          <w:numId w:val="2"/>
        </w:numPr>
        <w:suppressLineNumbers/>
        <w:tabs>
          <w:tab w:val="clear" w:pos="360"/>
          <w:tab w:val="left" w:pos="720"/>
        </w:tabs>
        <w:suppressAutoHyphens/>
        <w:spacing w:before="0"/>
        <w:rPr>
          <w:snapToGrid/>
          <w:kern w:val="22"/>
          <w:szCs w:val="22"/>
          <w:lang w:val="fr-CA"/>
        </w:rPr>
      </w:pPr>
      <w:r w:rsidRPr="005879DC">
        <w:rPr>
          <w:kern w:val="22"/>
          <w:lang w:val="fr-CA"/>
        </w:rPr>
        <w:t>Le but premier d</w:t>
      </w:r>
      <w:r w:rsidR="0069339F">
        <w:rPr>
          <w:kern w:val="22"/>
          <w:lang w:val="fr-CA"/>
        </w:rPr>
        <w:t>’</w:t>
      </w:r>
      <w:r w:rsidRPr="005879DC">
        <w:rPr>
          <w:kern w:val="22"/>
          <w:lang w:val="fr-CA"/>
        </w:rPr>
        <w:t>un mécanisme multilatéral mondial de partage des avantages pourrait être de recevoir les bénéfices monétaires partagés par les utilisateurs de ressources génétiques et des connaissances traditionnelles associées qui ont obtenu un accès dans des situations où l</w:t>
      </w:r>
      <w:r w:rsidR="0069339F">
        <w:rPr>
          <w:kern w:val="22"/>
          <w:lang w:val="fr-CA"/>
        </w:rPr>
        <w:t>’</w:t>
      </w:r>
      <w:r w:rsidRPr="005879DC">
        <w:rPr>
          <w:kern w:val="22"/>
          <w:lang w:val="fr-CA"/>
        </w:rPr>
        <w:t>approche bilatérale n</w:t>
      </w:r>
      <w:r w:rsidR="0069339F">
        <w:rPr>
          <w:kern w:val="22"/>
          <w:lang w:val="fr-CA"/>
        </w:rPr>
        <w:t>’</w:t>
      </w:r>
      <w:r w:rsidRPr="005879DC">
        <w:rPr>
          <w:kern w:val="22"/>
          <w:lang w:val="fr-CA"/>
        </w:rPr>
        <w:t>est pas applicable</w:t>
      </w:r>
      <w:r w:rsidR="00AA0A06">
        <w:rPr>
          <w:kern w:val="22"/>
          <w:lang w:val="fr-CA"/>
        </w:rPr>
        <w:t>.</w:t>
      </w:r>
      <w:r w:rsidRPr="005879DC">
        <w:rPr>
          <w:rStyle w:val="FootnoteReference"/>
          <w:kern w:val="22"/>
          <w:lang w:val="fr-CA"/>
        </w:rPr>
        <w:footnoteReference w:id="47"/>
      </w:r>
    </w:p>
    <w:p w:rsidR="008C778B" w:rsidRPr="005879DC" w:rsidRDefault="008C778B" w:rsidP="008C778B">
      <w:pPr>
        <w:pStyle w:val="Para1"/>
        <w:numPr>
          <w:ilvl w:val="0"/>
          <w:numId w:val="2"/>
        </w:numPr>
        <w:tabs>
          <w:tab w:val="left" w:pos="720"/>
        </w:tabs>
        <w:spacing w:before="60" w:after="60"/>
        <w:rPr>
          <w:snapToGrid/>
          <w:kern w:val="22"/>
          <w:szCs w:val="22"/>
          <w:lang w:val="fr-CA"/>
        </w:rPr>
      </w:pPr>
      <w:r w:rsidRPr="005879DC">
        <w:rPr>
          <w:kern w:val="22"/>
          <w:szCs w:val="22"/>
          <w:lang w:val="fr-CA"/>
        </w:rPr>
        <w:lastRenderedPageBreak/>
        <w:t>Un mécanisme multilatéral mondial de partage des avantages pourrait être p</w:t>
      </w:r>
      <w:r w:rsidR="009D12CE">
        <w:rPr>
          <w:kern w:val="22"/>
          <w:szCs w:val="22"/>
          <w:lang w:val="fr-CA"/>
        </w:rPr>
        <w:t>r</w:t>
      </w:r>
      <w:r w:rsidRPr="005879DC">
        <w:rPr>
          <w:kern w:val="22"/>
          <w:szCs w:val="22"/>
          <w:lang w:val="fr-CA"/>
        </w:rPr>
        <w:t>incipalement financé par les utilisateurs de ressources génétiques et des connaissances traditionnelles associées dans des situations transfrontières et lorsqu</w:t>
      </w:r>
      <w:r w:rsidR="0069339F">
        <w:rPr>
          <w:kern w:val="22"/>
          <w:szCs w:val="22"/>
          <w:lang w:val="fr-CA"/>
        </w:rPr>
        <w:t>’</w:t>
      </w:r>
      <w:r w:rsidRPr="005879DC">
        <w:rPr>
          <w:kern w:val="22"/>
          <w:szCs w:val="22"/>
          <w:lang w:val="fr-CA"/>
        </w:rPr>
        <w:t>il est impossible d</w:t>
      </w:r>
      <w:r w:rsidR="0069339F">
        <w:rPr>
          <w:kern w:val="22"/>
          <w:szCs w:val="22"/>
          <w:lang w:val="fr-CA"/>
        </w:rPr>
        <w:t>’</w:t>
      </w:r>
      <w:r>
        <w:rPr>
          <w:kern w:val="22"/>
          <w:szCs w:val="22"/>
          <w:lang w:val="fr-CA"/>
        </w:rPr>
        <w:t>accorder</w:t>
      </w:r>
      <w:r w:rsidRPr="005879DC">
        <w:rPr>
          <w:kern w:val="22"/>
          <w:szCs w:val="22"/>
          <w:lang w:val="fr-CA"/>
        </w:rPr>
        <w:t xml:space="preserve"> un consentement préalable en connaissance de cause,</w:t>
      </w:r>
      <w:r w:rsidRPr="005879DC">
        <w:rPr>
          <w:rStyle w:val="FootnoteReference"/>
          <w:kern w:val="22"/>
          <w:lang w:val="fr-CA"/>
        </w:rPr>
        <w:footnoteReference w:id="48"/>
      </w:r>
      <w:r w:rsidRPr="005879DC">
        <w:rPr>
          <w:kern w:val="22"/>
          <w:szCs w:val="22"/>
          <w:lang w:val="fr-CA"/>
        </w:rPr>
        <w:t xml:space="preserve"> mais devrait également être ouvert aux contributions volontaires des gouvernements, particuliers, organisations et autres sources</w:t>
      </w:r>
      <w:r w:rsidR="00AA0A06">
        <w:rPr>
          <w:kern w:val="22"/>
          <w:szCs w:val="22"/>
          <w:lang w:val="fr-CA"/>
        </w:rPr>
        <w:t>.</w:t>
      </w:r>
      <w:r w:rsidRPr="005879DC">
        <w:rPr>
          <w:rStyle w:val="FootnoteReference"/>
          <w:snapToGrid/>
          <w:kern w:val="22"/>
          <w:szCs w:val="22"/>
          <w:lang w:val="fr-CA"/>
        </w:rPr>
        <w:footnoteReference w:id="49"/>
      </w:r>
    </w:p>
    <w:p w:rsidR="008C778B" w:rsidRPr="001D35D1" w:rsidRDefault="008C778B" w:rsidP="008C778B">
      <w:pPr>
        <w:pStyle w:val="Para1"/>
        <w:numPr>
          <w:ilvl w:val="0"/>
          <w:numId w:val="2"/>
        </w:numPr>
        <w:suppressLineNumbers/>
        <w:tabs>
          <w:tab w:val="clear" w:pos="360"/>
          <w:tab w:val="left" w:pos="720"/>
        </w:tabs>
        <w:suppressAutoHyphens/>
        <w:spacing w:before="0"/>
        <w:rPr>
          <w:snapToGrid/>
          <w:kern w:val="22"/>
          <w:szCs w:val="22"/>
          <w:lang w:val="fr-CA"/>
        </w:rPr>
      </w:pPr>
      <w:r w:rsidRPr="005879DC">
        <w:rPr>
          <w:snapToGrid/>
          <w:kern w:val="22"/>
          <w:szCs w:val="22"/>
          <w:lang w:val="fr-CA"/>
        </w:rPr>
        <w:t>Les fonds recueillis par le biais d</w:t>
      </w:r>
      <w:r w:rsidR="0069339F">
        <w:rPr>
          <w:snapToGrid/>
          <w:kern w:val="22"/>
          <w:szCs w:val="22"/>
          <w:lang w:val="fr-CA"/>
        </w:rPr>
        <w:t>’</w:t>
      </w:r>
      <w:r w:rsidRPr="005879DC">
        <w:rPr>
          <w:snapToGrid/>
          <w:kern w:val="22"/>
          <w:szCs w:val="22"/>
          <w:lang w:val="fr-CA"/>
        </w:rPr>
        <w:t>un mécanisme multilatéral mondial de partage des avantages pourraient être utilisés pour</w:t>
      </w:r>
      <w:r>
        <w:rPr>
          <w:snapToGrid/>
          <w:kern w:val="22"/>
          <w:szCs w:val="22"/>
          <w:lang w:val="fr-CA"/>
        </w:rPr>
        <w:t> :</w:t>
      </w:r>
      <w:r w:rsidRPr="005879DC">
        <w:rPr>
          <w:snapToGrid/>
          <w:kern w:val="22"/>
          <w:szCs w:val="22"/>
          <w:lang w:val="fr-CA"/>
        </w:rPr>
        <w:t xml:space="preserve"> financer des projets locaux dans le monde entier qui renforcent la conservation et l</w:t>
      </w:r>
      <w:r w:rsidR="0069339F">
        <w:rPr>
          <w:snapToGrid/>
          <w:kern w:val="22"/>
          <w:szCs w:val="22"/>
          <w:lang w:val="fr-CA"/>
        </w:rPr>
        <w:t>’</w:t>
      </w:r>
      <w:r w:rsidRPr="005879DC">
        <w:rPr>
          <w:snapToGrid/>
          <w:kern w:val="22"/>
          <w:szCs w:val="22"/>
          <w:lang w:val="fr-CA"/>
        </w:rPr>
        <w:t>utilisation durable de la biodiversité;</w:t>
      </w:r>
      <w:r w:rsidRPr="005879DC">
        <w:rPr>
          <w:rStyle w:val="FootnoteReference"/>
          <w:kern w:val="22"/>
          <w:lang w:val="fr-CA"/>
        </w:rPr>
        <w:footnoteReference w:id="50"/>
      </w:r>
      <w:r w:rsidRPr="005879DC">
        <w:rPr>
          <w:snapToGrid/>
          <w:kern w:val="22"/>
          <w:szCs w:val="22"/>
          <w:lang w:val="fr-CA"/>
        </w:rPr>
        <w:t xml:space="preserve"> soutenir les priorités mondiales en matière de diversité biologique, telles qu</w:t>
      </w:r>
      <w:r w:rsidR="0069339F">
        <w:rPr>
          <w:snapToGrid/>
          <w:kern w:val="22"/>
          <w:szCs w:val="22"/>
          <w:lang w:val="fr-CA"/>
        </w:rPr>
        <w:t>’</w:t>
      </w:r>
      <w:r w:rsidRPr="005879DC">
        <w:rPr>
          <w:snapToGrid/>
          <w:kern w:val="22"/>
          <w:szCs w:val="22"/>
          <w:lang w:val="fr-CA"/>
        </w:rPr>
        <w:t>identifiées par la science;</w:t>
      </w:r>
      <w:r w:rsidRPr="005879DC">
        <w:rPr>
          <w:rStyle w:val="FootnoteReference"/>
          <w:kern w:val="22"/>
          <w:szCs w:val="22"/>
          <w:lang w:val="fr-CA"/>
        </w:rPr>
        <w:footnoteReference w:id="51"/>
      </w:r>
      <w:r w:rsidRPr="005879DC">
        <w:rPr>
          <w:snapToGrid/>
          <w:kern w:val="22"/>
          <w:szCs w:val="22"/>
          <w:lang w:val="fr-CA"/>
        </w:rPr>
        <w:t xml:space="preserve"> la mise en œuvre des Objectifs d</w:t>
      </w:r>
      <w:r w:rsidR="0069339F">
        <w:rPr>
          <w:snapToGrid/>
          <w:kern w:val="22"/>
          <w:szCs w:val="22"/>
          <w:lang w:val="fr-CA"/>
        </w:rPr>
        <w:t>’</w:t>
      </w:r>
      <w:r w:rsidRPr="005879DC">
        <w:rPr>
          <w:snapToGrid/>
          <w:kern w:val="22"/>
          <w:szCs w:val="22"/>
          <w:lang w:val="fr-CA"/>
        </w:rPr>
        <w:t>Aichi pour la biodiversité,</w:t>
      </w:r>
      <w:r w:rsidRPr="005879DC">
        <w:rPr>
          <w:rStyle w:val="FootnoteReference"/>
          <w:kern w:val="22"/>
          <w:szCs w:val="22"/>
          <w:lang w:val="fr-CA"/>
        </w:rPr>
        <w:footnoteReference w:id="52"/>
      </w:r>
      <w:r w:rsidRPr="005879DC">
        <w:rPr>
          <w:snapToGrid/>
          <w:kern w:val="22"/>
          <w:szCs w:val="22"/>
          <w:lang w:val="fr-CA"/>
        </w:rPr>
        <w:t xml:space="preserve"> la création de capacités et le transfert de technologie,</w:t>
      </w:r>
      <w:r w:rsidRPr="005879DC">
        <w:rPr>
          <w:rStyle w:val="FootnoteReference"/>
          <w:kern w:val="22"/>
          <w:szCs w:val="22"/>
          <w:lang w:val="fr-CA"/>
        </w:rPr>
        <w:footnoteReference w:id="53"/>
      </w:r>
      <w:r w:rsidRPr="005879DC">
        <w:rPr>
          <w:snapToGrid/>
          <w:kern w:val="22"/>
          <w:szCs w:val="22"/>
          <w:lang w:val="fr-CA"/>
        </w:rPr>
        <w:t xml:space="preserve"> ou </w:t>
      </w:r>
      <w:r>
        <w:rPr>
          <w:snapToGrid/>
          <w:kern w:val="22"/>
          <w:szCs w:val="22"/>
          <w:lang w:val="fr-CA"/>
        </w:rPr>
        <w:t xml:space="preserve">la création </w:t>
      </w:r>
      <w:r w:rsidRPr="005879DC">
        <w:rPr>
          <w:snapToGrid/>
          <w:kern w:val="22"/>
          <w:szCs w:val="22"/>
          <w:lang w:val="fr-CA"/>
        </w:rPr>
        <w:t>de réseaux et d</w:t>
      </w:r>
      <w:r w:rsidR="0069339F">
        <w:rPr>
          <w:snapToGrid/>
          <w:kern w:val="22"/>
          <w:szCs w:val="22"/>
          <w:lang w:val="fr-CA"/>
        </w:rPr>
        <w:t>’</w:t>
      </w:r>
      <w:r w:rsidRPr="005879DC">
        <w:rPr>
          <w:snapToGrid/>
          <w:kern w:val="22"/>
          <w:szCs w:val="22"/>
          <w:lang w:val="fr-CA"/>
        </w:rPr>
        <w:t>échanges entre les utilisateurs</w:t>
      </w:r>
      <w:r w:rsidR="00AA0A06">
        <w:rPr>
          <w:snapToGrid/>
          <w:kern w:val="22"/>
          <w:szCs w:val="22"/>
          <w:lang w:val="fr-CA"/>
        </w:rPr>
        <w:t>.</w:t>
      </w:r>
      <w:r w:rsidRPr="005879DC">
        <w:rPr>
          <w:rStyle w:val="FootnoteReference"/>
          <w:kern w:val="22"/>
          <w:szCs w:val="22"/>
          <w:lang w:val="fr-CA"/>
        </w:rPr>
        <w:footnoteReference w:id="54"/>
      </w:r>
    </w:p>
    <w:p w:rsidR="004F6661" w:rsidRPr="001D35D1" w:rsidRDefault="00AA0A06" w:rsidP="00F76BAE">
      <w:pPr>
        <w:pStyle w:val="Para1"/>
        <w:numPr>
          <w:ilvl w:val="0"/>
          <w:numId w:val="2"/>
        </w:numPr>
        <w:suppressLineNumbers/>
        <w:tabs>
          <w:tab w:val="clear" w:pos="360"/>
          <w:tab w:val="left" w:pos="720"/>
        </w:tabs>
        <w:suppressAutoHyphens/>
        <w:spacing w:before="0"/>
        <w:rPr>
          <w:snapToGrid/>
          <w:kern w:val="22"/>
          <w:szCs w:val="22"/>
          <w:lang w:val="fr-CA"/>
        </w:rPr>
      </w:pPr>
      <w:r w:rsidRPr="005879DC">
        <w:rPr>
          <w:kern w:val="22"/>
          <w:lang w:val="fr-CA"/>
        </w:rPr>
        <w:t>Les décisions concernant la manière d</w:t>
      </w:r>
      <w:r w:rsidR="0069339F">
        <w:rPr>
          <w:kern w:val="22"/>
          <w:lang w:val="fr-CA"/>
        </w:rPr>
        <w:t>’</w:t>
      </w:r>
      <w:r w:rsidRPr="005879DC">
        <w:rPr>
          <w:kern w:val="22"/>
          <w:lang w:val="fr-CA"/>
        </w:rPr>
        <w:t>allouer et d</w:t>
      </w:r>
      <w:r w:rsidR="0069339F">
        <w:rPr>
          <w:kern w:val="22"/>
          <w:lang w:val="fr-CA"/>
        </w:rPr>
        <w:t>’</w:t>
      </w:r>
      <w:r w:rsidRPr="005879DC">
        <w:rPr>
          <w:kern w:val="22"/>
          <w:lang w:val="fr-CA"/>
        </w:rPr>
        <w:t>utiliser les revenus d</w:t>
      </w:r>
      <w:r w:rsidR="0069339F">
        <w:rPr>
          <w:kern w:val="22"/>
          <w:lang w:val="fr-CA"/>
        </w:rPr>
        <w:t>’</w:t>
      </w:r>
      <w:r w:rsidRPr="005879DC">
        <w:rPr>
          <w:kern w:val="22"/>
          <w:lang w:val="fr-CA"/>
        </w:rPr>
        <w:t>un mécanisme multilatéral mondial de partage des avantages p</w:t>
      </w:r>
      <w:r>
        <w:rPr>
          <w:kern w:val="22"/>
          <w:lang w:val="fr-CA"/>
        </w:rPr>
        <w:t xml:space="preserve">ourraient </w:t>
      </w:r>
      <w:r w:rsidRPr="005879DC">
        <w:rPr>
          <w:kern w:val="22"/>
          <w:lang w:val="fr-CA"/>
        </w:rPr>
        <w:t xml:space="preserve">être </w:t>
      </w:r>
      <w:r>
        <w:rPr>
          <w:kern w:val="22"/>
          <w:lang w:val="fr-CA"/>
        </w:rPr>
        <w:t>prises</w:t>
      </w:r>
      <w:r w:rsidRPr="005879DC">
        <w:rPr>
          <w:kern w:val="22"/>
          <w:lang w:val="fr-CA"/>
        </w:rPr>
        <w:t xml:space="preserve"> par un organe directeur international indépendant constitué selon</w:t>
      </w:r>
      <w:r w:rsidR="000F73CD" w:rsidRPr="005879DC">
        <w:rPr>
          <w:kern w:val="22"/>
          <w:lang w:val="fr-CA"/>
        </w:rPr>
        <w:t xml:space="preserve"> </w:t>
      </w:r>
      <w:r w:rsidR="000F73CD">
        <w:rPr>
          <w:kern w:val="22"/>
          <w:lang w:val="fr-CA"/>
        </w:rPr>
        <w:t xml:space="preserve">la </w:t>
      </w:r>
      <w:r w:rsidR="000F73CD" w:rsidRPr="005879DC">
        <w:rPr>
          <w:kern w:val="22"/>
          <w:lang w:val="fr-CA"/>
        </w:rPr>
        <w:t>formule</w:t>
      </w:r>
      <w:r w:rsidR="000F73CD">
        <w:rPr>
          <w:kern w:val="22"/>
          <w:lang w:val="fr-CA"/>
        </w:rPr>
        <w:t xml:space="preserve"> </w:t>
      </w:r>
      <w:r w:rsidRPr="005879DC">
        <w:rPr>
          <w:kern w:val="22"/>
          <w:lang w:val="fr-CA"/>
        </w:rPr>
        <w:t>habituelle de l</w:t>
      </w:r>
      <w:r w:rsidR="0069339F">
        <w:rPr>
          <w:kern w:val="22"/>
          <w:lang w:val="fr-CA"/>
        </w:rPr>
        <w:t>’</w:t>
      </w:r>
      <w:r w:rsidRPr="000F73CD">
        <w:rPr>
          <w:kern w:val="22"/>
          <w:lang w:val="fr-CA"/>
        </w:rPr>
        <w:t>ONU</w:t>
      </w:r>
      <w:r w:rsidRPr="005879DC">
        <w:rPr>
          <w:kern w:val="22"/>
          <w:lang w:val="fr-CA"/>
        </w:rPr>
        <w:t xml:space="preserve"> équilibrée sur le plan régional</w:t>
      </w:r>
      <w:r w:rsidRPr="005879DC">
        <w:rPr>
          <w:rStyle w:val="FootnoteReference"/>
          <w:kern w:val="22"/>
          <w:lang w:val="fr-CA"/>
        </w:rPr>
        <w:footnoteReference w:id="55"/>
      </w:r>
      <w:r w:rsidRPr="005879DC">
        <w:rPr>
          <w:kern w:val="22"/>
          <w:lang w:val="fr-CA"/>
        </w:rPr>
        <w:t xml:space="preserve"> ou par le Secrétariat de la Convention.</w:t>
      </w:r>
      <w:r w:rsidRPr="005879DC">
        <w:rPr>
          <w:rStyle w:val="FootnoteReference"/>
          <w:kern w:val="22"/>
          <w:lang w:val="fr-CA"/>
        </w:rPr>
        <w:footnoteReference w:id="56"/>
      </w:r>
      <w:r w:rsidRPr="005879DC">
        <w:rPr>
          <w:kern w:val="22"/>
          <w:lang w:val="fr-CA"/>
        </w:rPr>
        <w:t xml:space="preserve"> Une soumission </w:t>
      </w:r>
      <w:r w:rsidR="000F73CD">
        <w:rPr>
          <w:kern w:val="22"/>
          <w:lang w:val="fr-CA"/>
        </w:rPr>
        <w:t>suggère que</w:t>
      </w:r>
      <w:r w:rsidRPr="005879DC">
        <w:rPr>
          <w:kern w:val="22"/>
          <w:lang w:val="fr-CA"/>
        </w:rPr>
        <w:t xml:space="preserve"> des avis scientifiques indépendants, émanant possiblement de la </w:t>
      </w:r>
      <w:r w:rsidRPr="005879DC">
        <w:rPr>
          <w:rStyle w:val="preferred"/>
          <w:lang w:val="fr-CA"/>
        </w:rPr>
        <w:t xml:space="preserve">Plateforme intergouvernementale </w:t>
      </w:r>
      <w:r w:rsidRPr="005879DC">
        <w:rPr>
          <w:rStyle w:val="preferred"/>
          <w:noProof/>
          <w:lang w:val="fr-CA"/>
        </w:rPr>
        <w:t>science</w:t>
      </w:r>
      <w:r w:rsidR="0069339F">
        <w:rPr>
          <w:rStyle w:val="preferred"/>
          <w:noProof/>
          <w:lang w:val="fr-CA"/>
        </w:rPr>
        <w:noBreakHyphen/>
      </w:r>
      <w:r w:rsidRPr="005879DC">
        <w:rPr>
          <w:rStyle w:val="preferred"/>
          <w:noProof/>
          <w:lang w:val="fr-CA"/>
        </w:rPr>
        <w:t>politique sur la biodiversité et les services écosystémiques</w:t>
      </w:r>
      <w:r>
        <w:rPr>
          <w:rStyle w:val="preferred"/>
          <w:noProof/>
          <w:lang w:val="fr-CA"/>
        </w:rPr>
        <w:t xml:space="preserve"> (IPBES)</w:t>
      </w:r>
      <w:r w:rsidRPr="005879DC">
        <w:rPr>
          <w:rStyle w:val="preferred"/>
          <w:noProof/>
          <w:lang w:val="fr-CA"/>
        </w:rPr>
        <w:t xml:space="preserve">, </w:t>
      </w:r>
      <w:r w:rsidR="000F73CD">
        <w:rPr>
          <w:rStyle w:val="preferred"/>
          <w:noProof/>
          <w:lang w:val="fr-CA"/>
        </w:rPr>
        <w:t>pourraient éventuellement être</w:t>
      </w:r>
      <w:r w:rsidRPr="005879DC">
        <w:rPr>
          <w:rStyle w:val="preferred"/>
          <w:noProof/>
          <w:lang w:val="fr-CA"/>
        </w:rPr>
        <w:t xml:space="preserve"> fournis à l</w:t>
      </w:r>
      <w:r w:rsidR="0069339F">
        <w:rPr>
          <w:rStyle w:val="preferred"/>
          <w:noProof/>
          <w:lang w:val="fr-CA"/>
        </w:rPr>
        <w:t>’</w:t>
      </w:r>
      <w:r w:rsidRPr="005879DC">
        <w:rPr>
          <w:rStyle w:val="preferred"/>
          <w:noProof/>
          <w:lang w:val="fr-CA"/>
        </w:rPr>
        <w:t xml:space="preserve">organe directeur </w:t>
      </w:r>
      <w:r w:rsidR="000F73CD">
        <w:rPr>
          <w:rStyle w:val="preferred"/>
          <w:noProof/>
          <w:lang w:val="fr-CA"/>
        </w:rPr>
        <w:t>quant aux</w:t>
      </w:r>
      <w:r w:rsidRPr="005879DC">
        <w:rPr>
          <w:rStyle w:val="preferred"/>
          <w:noProof/>
          <w:lang w:val="fr-CA"/>
        </w:rPr>
        <w:t xml:space="preserve"> priorités de financement</w:t>
      </w:r>
      <w:r w:rsidRPr="005879DC">
        <w:rPr>
          <w:rStyle w:val="preferred"/>
          <w:lang w:val="fr-CA"/>
        </w:rPr>
        <w:t xml:space="preserve"> devant être appuyées</w:t>
      </w:r>
      <w:r>
        <w:rPr>
          <w:rStyle w:val="preferred"/>
          <w:lang w:val="fr-CA"/>
        </w:rPr>
        <w:t>.</w:t>
      </w:r>
      <w:r w:rsidRPr="005879DC">
        <w:rPr>
          <w:rStyle w:val="FootnoteReference"/>
          <w:kern w:val="22"/>
          <w:lang w:val="fr-CA"/>
        </w:rPr>
        <w:footnoteReference w:id="57"/>
      </w:r>
    </w:p>
    <w:p w:rsidR="004F6661" w:rsidRPr="00F76BAE" w:rsidRDefault="000F73CD" w:rsidP="00F76BAE">
      <w:pPr>
        <w:pStyle w:val="Para1"/>
        <w:numPr>
          <w:ilvl w:val="0"/>
          <w:numId w:val="2"/>
        </w:numPr>
        <w:suppressLineNumbers/>
        <w:tabs>
          <w:tab w:val="clear" w:pos="360"/>
          <w:tab w:val="left" w:pos="720"/>
        </w:tabs>
        <w:suppressAutoHyphens/>
        <w:spacing w:before="0"/>
        <w:rPr>
          <w:snapToGrid/>
          <w:kern w:val="22"/>
          <w:szCs w:val="22"/>
        </w:rPr>
      </w:pPr>
      <w:r w:rsidRPr="005879DC">
        <w:rPr>
          <w:snapToGrid/>
          <w:kern w:val="22"/>
          <w:szCs w:val="22"/>
          <w:lang w:val="fr-CA"/>
        </w:rPr>
        <w:t>Un mécanisme multilatéral mondial de partage des avantages pourrait avoir des modalités mixtes pour différentes catégories de ressources. Les exemples fournis comprennent :</w:t>
      </w:r>
    </w:p>
    <w:p w:rsidR="004F6661" w:rsidRPr="001D35D1" w:rsidRDefault="000F73CD" w:rsidP="00F76BAE">
      <w:pPr>
        <w:pStyle w:val="Para1"/>
        <w:numPr>
          <w:ilvl w:val="0"/>
          <w:numId w:val="29"/>
        </w:numPr>
        <w:suppressLineNumbers/>
        <w:tabs>
          <w:tab w:val="left" w:pos="720"/>
        </w:tabs>
        <w:suppressAutoHyphens/>
        <w:spacing w:before="0"/>
        <w:ind w:left="0" w:firstLine="720"/>
        <w:rPr>
          <w:kern w:val="22"/>
          <w:szCs w:val="22"/>
          <w:lang w:val="fr-CA"/>
        </w:rPr>
      </w:pPr>
      <w:r w:rsidRPr="005879DC">
        <w:rPr>
          <w:kern w:val="22"/>
          <w:szCs w:val="22"/>
          <w:lang w:val="fr-CA"/>
        </w:rPr>
        <w:t xml:space="preserve">Le Traité international, au titre duquel certaines espèces sont énumérées dans une annexe et </w:t>
      </w:r>
      <w:r>
        <w:rPr>
          <w:kern w:val="22"/>
          <w:szCs w:val="22"/>
          <w:lang w:val="fr-CA"/>
        </w:rPr>
        <w:t>relèvent du</w:t>
      </w:r>
      <w:r w:rsidRPr="005879DC">
        <w:rPr>
          <w:kern w:val="22"/>
          <w:szCs w:val="22"/>
          <w:lang w:val="fr-CA"/>
        </w:rPr>
        <w:t xml:space="preserve"> mécanisme multilatéral mondial de partage des avantages</w:t>
      </w:r>
      <w:r>
        <w:rPr>
          <w:kern w:val="22"/>
          <w:szCs w:val="22"/>
          <w:lang w:val="fr-CA"/>
        </w:rPr>
        <w:t>,</w:t>
      </w:r>
      <w:r w:rsidRPr="005879DC">
        <w:rPr>
          <w:kern w:val="22"/>
          <w:szCs w:val="22"/>
          <w:lang w:val="fr-CA"/>
        </w:rPr>
        <w:t xml:space="preserve"> appuyé par une entente normalisée de partage des avantages</w:t>
      </w:r>
      <w:r>
        <w:rPr>
          <w:kern w:val="22"/>
          <w:szCs w:val="22"/>
          <w:lang w:val="fr-CA"/>
        </w:rPr>
        <w:t>;</w:t>
      </w:r>
    </w:p>
    <w:p w:rsidR="004F6661" w:rsidRPr="001D35D1" w:rsidRDefault="000F73CD" w:rsidP="00F76BAE">
      <w:pPr>
        <w:pStyle w:val="Para1"/>
        <w:numPr>
          <w:ilvl w:val="0"/>
          <w:numId w:val="29"/>
        </w:numPr>
        <w:suppressLineNumbers/>
        <w:tabs>
          <w:tab w:val="left" w:pos="720"/>
        </w:tabs>
        <w:suppressAutoHyphens/>
        <w:spacing w:before="0"/>
        <w:ind w:left="0" w:firstLine="720"/>
        <w:rPr>
          <w:kern w:val="22"/>
          <w:szCs w:val="22"/>
          <w:lang w:val="fr-CA"/>
        </w:rPr>
      </w:pPr>
      <w:r w:rsidRPr="005879DC">
        <w:rPr>
          <w:kern w:val="22"/>
          <w:lang w:val="fr-CA"/>
        </w:rPr>
        <w:t>L</w:t>
      </w:r>
      <w:r w:rsidR="0069339F">
        <w:rPr>
          <w:kern w:val="22"/>
          <w:lang w:val="fr-CA"/>
        </w:rPr>
        <w:t>’</w:t>
      </w:r>
      <w:r w:rsidRPr="005879DC">
        <w:rPr>
          <w:kern w:val="22"/>
          <w:lang w:val="fr-CA"/>
        </w:rPr>
        <w:t xml:space="preserve">affectation de fonds à des régions ou secteurs particuliers, </w:t>
      </w:r>
      <w:r>
        <w:rPr>
          <w:kern w:val="22"/>
          <w:lang w:val="fr-CA"/>
        </w:rPr>
        <w:t>répartissant</w:t>
      </w:r>
      <w:r w:rsidRPr="005879DC">
        <w:rPr>
          <w:kern w:val="22"/>
          <w:lang w:val="fr-CA"/>
        </w:rPr>
        <w:t xml:space="preserve"> les bénéfices entre un fournisseur spécifique et le mécanisme multilatéral mondial de partage des avantages dans certaines circonstances, et établissant un mécanisme d</w:t>
      </w:r>
      <w:r w:rsidR="0069339F">
        <w:rPr>
          <w:kern w:val="22"/>
          <w:lang w:val="fr-CA"/>
        </w:rPr>
        <w:t>’</w:t>
      </w:r>
      <w:r w:rsidRPr="005879DC">
        <w:rPr>
          <w:kern w:val="22"/>
          <w:lang w:val="fr-CA"/>
        </w:rPr>
        <w:t>échange d</w:t>
      </w:r>
      <w:r w:rsidR="0069339F">
        <w:rPr>
          <w:kern w:val="22"/>
          <w:lang w:val="fr-CA"/>
        </w:rPr>
        <w:t>’</w:t>
      </w:r>
      <w:r w:rsidRPr="005879DC">
        <w:rPr>
          <w:kern w:val="22"/>
          <w:lang w:val="fr-CA"/>
        </w:rPr>
        <w:t>information pour le partage des bénéfices non</w:t>
      </w:r>
      <w:r w:rsidR="009D12CE">
        <w:rPr>
          <w:kern w:val="22"/>
          <w:lang w:val="fr-CA"/>
        </w:rPr>
        <w:t xml:space="preserve"> </w:t>
      </w:r>
      <w:r w:rsidRPr="005879DC">
        <w:rPr>
          <w:kern w:val="22"/>
          <w:lang w:val="fr-CA"/>
        </w:rPr>
        <w:t>monétaires.</w:t>
      </w:r>
      <w:r w:rsidRPr="005879DC">
        <w:rPr>
          <w:rStyle w:val="FootnoteReference"/>
          <w:kern w:val="22"/>
          <w:lang w:val="fr-CA"/>
        </w:rPr>
        <w:footnoteReference w:id="58"/>
      </w:r>
    </w:p>
    <w:p w:rsidR="004F6661" w:rsidRPr="001D35D1" w:rsidRDefault="000F73CD" w:rsidP="00F76BAE">
      <w:pPr>
        <w:pStyle w:val="Para1"/>
        <w:numPr>
          <w:ilvl w:val="0"/>
          <w:numId w:val="2"/>
        </w:numPr>
        <w:suppressLineNumbers/>
        <w:tabs>
          <w:tab w:val="clear" w:pos="360"/>
          <w:tab w:val="left" w:pos="720"/>
        </w:tabs>
        <w:suppressAutoHyphens/>
        <w:spacing w:before="0"/>
        <w:rPr>
          <w:snapToGrid/>
          <w:kern w:val="22"/>
          <w:szCs w:val="22"/>
          <w:lang w:val="fr-CA"/>
        </w:rPr>
      </w:pPr>
      <w:r w:rsidRPr="005879DC">
        <w:rPr>
          <w:kern w:val="22"/>
          <w:szCs w:val="22"/>
          <w:lang w:val="fr-CA"/>
        </w:rPr>
        <w:t>Un mécanisme multilatéral mondial de partage des avantages doté de modalités de partage des avantages normalisées convenues peut réduire les coûts associés à la négociation de conditions mutuellement convenues, même au titre du système bilatéral, en fournissant une référence établie d</w:t>
      </w:r>
      <w:r w:rsidR="0069339F">
        <w:rPr>
          <w:kern w:val="22"/>
          <w:szCs w:val="22"/>
          <w:lang w:val="fr-CA"/>
        </w:rPr>
        <w:t>’</w:t>
      </w:r>
      <w:r w:rsidRPr="005879DC">
        <w:rPr>
          <w:kern w:val="22"/>
          <w:szCs w:val="22"/>
          <w:lang w:val="fr-CA"/>
        </w:rPr>
        <w:t>un commun accord à l</w:t>
      </w:r>
      <w:r w:rsidR="0069339F">
        <w:rPr>
          <w:kern w:val="22"/>
          <w:szCs w:val="22"/>
          <w:lang w:val="fr-CA"/>
        </w:rPr>
        <w:t>’</w:t>
      </w:r>
      <w:r w:rsidRPr="005879DC">
        <w:rPr>
          <w:kern w:val="22"/>
          <w:szCs w:val="22"/>
          <w:lang w:val="fr-CA"/>
        </w:rPr>
        <w:t>échelle internationale;</w:t>
      </w:r>
      <w:r w:rsidRPr="005879DC">
        <w:rPr>
          <w:rStyle w:val="FootnoteReference"/>
          <w:snapToGrid/>
          <w:kern w:val="22"/>
          <w:szCs w:val="22"/>
          <w:lang w:val="fr-CA"/>
        </w:rPr>
        <w:footnoteReference w:id="59"/>
      </w:r>
    </w:p>
    <w:p w:rsidR="004F6661" w:rsidRPr="001D35D1" w:rsidRDefault="00A33321" w:rsidP="00F76BAE">
      <w:pPr>
        <w:pStyle w:val="Heading3"/>
        <w:suppressLineNumbers/>
        <w:suppressAutoHyphens/>
        <w:rPr>
          <w:kern w:val="22"/>
          <w:szCs w:val="22"/>
          <w:lang w:val="fr-CA"/>
        </w:rPr>
      </w:pPr>
      <w:r w:rsidRPr="001D35D1">
        <w:rPr>
          <w:i w:val="0"/>
          <w:iCs w:val="0"/>
          <w:kern w:val="22"/>
          <w:szCs w:val="22"/>
          <w:lang w:val="fr-CA"/>
        </w:rPr>
        <w:lastRenderedPageBreak/>
        <w:t>2.</w:t>
      </w:r>
      <w:r w:rsidRPr="001D35D1">
        <w:rPr>
          <w:kern w:val="22"/>
          <w:szCs w:val="22"/>
          <w:lang w:val="fr-CA"/>
        </w:rPr>
        <w:tab/>
      </w:r>
      <w:r w:rsidR="000F73CD" w:rsidRPr="005879DC">
        <w:rPr>
          <w:kern w:val="22"/>
          <w:lang w:val="fr-CA"/>
        </w:rPr>
        <w:t>Structure et dispositions institutionnelles d</w:t>
      </w:r>
      <w:r w:rsidR="0069339F">
        <w:rPr>
          <w:kern w:val="22"/>
          <w:lang w:val="fr-CA"/>
        </w:rPr>
        <w:t>’</w:t>
      </w:r>
      <w:r w:rsidR="000F73CD" w:rsidRPr="005879DC">
        <w:rPr>
          <w:kern w:val="22"/>
          <w:lang w:val="fr-CA"/>
        </w:rPr>
        <w:t>un mécanisme multilatéral mondial de partage des avantages</w:t>
      </w:r>
    </w:p>
    <w:p w:rsidR="004F6661" w:rsidRPr="001D35D1" w:rsidRDefault="005E19A7" w:rsidP="00F76BAE">
      <w:pPr>
        <w:pStyle w:val="Para1"/>
        <w:numPr>
          <w:ilvl w:val="0"/>
          <w:numId w:val="2"/>
        </w:numPr>
        <w:suppressLineNumbers/>
        <w:tabs>
          <w:tab w:val="clear" w:pos="360"/>
          <w:tab w:val="left" w:pos="720"/>
        </w:tabs>
        <w:suppressAutoHyphens/>
        <w:spacing w:before="0"/>
        <w:rPr>
          <w:kern w:val="22"/>
          <w:szCs w:val="22"/>
          <w:lang w:val="fr-CA"/>
        </w:rPr>
      </w:pPr>
      <w:r w:rsidRPr="005879DC">
        <w:rPr>
          <w:kern w:val="22"/>
          <w:szCs w:val="22"/>
          <w:lang w:val="fr-CA"/>
        </w:rPr>
        <w:t>Un mécanisme multilatéral mondial de partage des avantages vise à compléter le système bilatéral, et non à le remplacer, et son concept doit donc respecter la souveraineté nationale</w:t>
      </w:r>
      <w:r>
        <w:rPr>
          <w:kern w:val="22"/>
          <w:szCs w:val="22"/>
          <w:lang w:val="fr-CA"/>
        </w:rPr>
        <w:t>.</w:t>
      </w:r>
      <w:r w:rsidRPr="005879DC">
        <w:rPr>
          <w:rStyle w:val="FootnoteReference"/>
          <w:kern w:val="22"/>
          <w:szCs w:val="22"/>
          <w:lang w:val="fr-CA"/>
        </w:rPr>
        <w:t xml:space="preserve"> </w:t>
      </w:r>
      <w:r w:rsidRPr="005879DC">
        <w:rPr>
          <w:rStyle w:val="FootnoteReference"/>
          <w:kern w:val="22"/>
          <w:szCs w:val="22"/>
          <w:lang w:val="fr-CA"/>
        </w:rPr>
        <w:footnoteReference w:id="60"/>
      </w:r>
    </w:p>
    <w:p w:rsidR="004F6661" w:rsidRPr="001D35D1" w:rsidRDefault="005E19A7" w:rsidP="00F76BAE">
      <w:pPr>
        <w:pStyle w:val="Para1"/>
        <w:numPr>
          <w:ilvl w:val="0"/>
          <w:numId w:val="2"/>
        </w:numPr>
        <w:suppressLineNumbers/>
        <w:tabs>
          <w:tab w:val="clear" w:pos="360"/>
          <w:tab w:val="left" w:pos="720"/>
        </w:tabs>
        <w:suppressAutoHyphens/>
        <w:spacing w:before="0"/>
        <w:rPr>
          <w:kern w:val="22"/>
          <w:szCs w:val="22"/>
          <w:lang w:val="fr-CA"/>
        </w:rPr>
      </w:pPr>
      <w:r w:rsidRPr="005879DC">
        <w:rPr>
          <w:snapToGrid/>
          <w:kern w:val="22"/>
          <w:szCs w:val="22"/>
          <w:lang w:val="fr-CA"/>
        </w:rPr>
        <w:t>Un mécanisme multilatéral mondial de partage des avantages devrait de préférence être établi au titre de la Convention,</w:t>
      </w:r>
      <w:r w:rsidRPr="005879DC">
        <w:rPr>
          <w:rStyle w:val="FootnoteReference"/>
          <w:snapToGrid/>
          <w:kern w:val="22"/>
          <w:szCs w:val="22"/>
          <w:lang w:val="fr-CA"/>
        </w:rPr>
        <w:t xml:space="preserve"> </w:t>
      </w:r>
      <w:r w:rsidRPr="005879DC">
        <w:rPr>
          <w:rStyle w:val="FootnoteReference"/>
          <w:snapToGrid/>
          <w:kern w:val="22"/>
          <w:szCs w:val="22"/>
          <w:lang w:val="fr-CA"/>
        </w:rPr>
        <w:footnoteReference w:id="61"/>
      </w:r>
      <w:r w:rsidRPr="005879DC">
        <w:rPr>
          <w:snapToGrid/>
          <w:kern w:val="22"/>
          <w:szCs w:val="22"/>
          <w:lang w:val="fr-CA"/>
        </w:rPr>
        <w:t xml:space="preserve"> plutôt que du Protocole de Nagoya, et devrait être ouvert à tous les fournisseurs et utilisateurs de ressources génétiques et des connaissances traditionnelles qui leurs sont associées, qu</w:t>
      </w:r>
      <w:r w:rsidR="0069339F">
        <w:rPr>
          <w:snapToGrid/>
          <w:kern w:val="22"/>
          <w:szCs w:val="22"/>
          <w:lang w:val="fr-CA"/>
        </w:rPr>
        <w:t>’</w:t>
      </w:r>
      <w:r w:rsidRPr="005879DC">
        <w:rPr>
          <w:snapToGrid/>
          <w:kern w:val="22"/>
          <w:szCs w:val="22"/>
          <w:lang w:val="fr-CA"/>
        </w:rPr>
        <w:t>ils soient ou non Parties à la Convention et/ou au Protocole, ou sous la juridiction de Parties à la Convention et/ou au Protocole</w:t>
      </w:r>
      <w:r>
        <w:rPr>
          <w:snapToGrid/>
          <w:kern w:val="22"/>
          <w:szCs w:val="22"/>
          <w:lang w:val="fr-CA"/>
        </w:rPr>
        <w:t>.</w:t>
      </w:r>
      <w:r w:rsidRPr="005879DC">
        <w:rPr>
          <w:rStyle w:val="FootnoteReference"/>
          <w:snapToGrid/>
          <w:kern w:val="22"/>
          <w:szCs w:val="22"/>
          <w:lang w:val="fr-CA"/>
        </w:rPr>
        <w:t xml:space="preserve"> </w:t>
      </w:r>
      <w:r w:rsidRPr="005879DC">
        <w:rPr>
          <w:rStyle w:val="FootnoteReference"/>
          <w:snapToGrid/>
          <w:kern w:val="22"/>
          <w:szCs w:val="22"/>
          <w:lang w:val="fr-CA"/>
        </w:rPr>
        <w:footnoteReference w:id="62"/>
      </w:r>
    </w:p>
    <w:p w:rsidR="004F6661" w:rsidRPr="001D35D1" w:rsidRDefault="005E19A7" w:rsidP="00F76BAE">
      <w:pPr>
        <w:pStyle w:val="Para1"/>
        <w:numPr>
          <w:ilvl w:val="0"/>
          <w:numId w:val="2"/>
        </w:numPr>
        <w:suppressLineNumbers/>
        <w:tabs>
          <w:tab w:val="clear" w:pos="360"/>
          <w:tab w:val="left" w:pos="720"/>
        </w:tabs>
        <w:suppressAutoHyphens/>
        <w:spacing w:before="0"/>
        <w:rPr>
          <w:kern w:val="22"/>
          <w:szCs w:val="22"/>
          <w:lang w:val="fr-CA"/>
        </w:rPr>
      </w:pPr>
      <w:r w:rsidRPr="005879DC">
        <w:rPr>
          <w:kern w:val="22"/>
          <w:lang w:val="fr-CA"/>
        </w:rPr>
        <w:t>La disposition institutionnelle pour l</w:t>
      </w:r>
      <w:r w:rsidR="0069339F">
        <w:rPr>
          <w:kern w:val="22"/>
          <w:lang w:val="fr-CA"/>
        </w:rPr>
        <w:t>’</w:t>
      </w:r>
      <w:r w:rsidRPr="005879DC">
        <w:rPr>
          <w:kern w:val="22"/>
          <w:lang w:val="fr-CA"/>
        </w:rPr>
        <w:t>administration d</w:t>
      </w:r>
      <w:r w:rsidR="0069339F">
        <w:rPr>
          <w:kern w:val="22"/>
          <w:lang w:val="fr-CA"/>
        </w:rPr>
        <w:t>’</w:t>
      </w:r>
      <w:r w:rsidRPr="005879DC">
        <w:rPr>
          <w:kern w:val="22"/>
          <w:lang w:val="fr-CA"/>
        </w:rPr>
        <w:t>un mécanisme multilatéral mondial de partage des avantages est envisagée pour maintenir les coûts administratifs aussi réduits que possible, afin que la plus grande part des revenus puisse être canalisée en faveur de l</w:t>
      </w:r>
      <w:r w:rsidR="0069339F">
        <w:rPr>
          <w:kern w:val="22"/>
          <w:lang w:val="fr-CA"/>
        </w:rPr>
        <w:t>’</w:t>
      </w:r>
      <w:r w:rsidRPr="005879DC">
        <w:rPr>
          <w:kern w:val="22"/>
          <w:lang w:val="fr-CA"/>
        </w:rPr>
        <w:t>utilisation durable et de la conservation de la biodiversité</w:t>
      </w:r>
      <w:r>
        <w:rPr>
          <w:kern w:val="22"/>
          <w:lang w:val="fr-CA"/>
        </w:rPr>
        <w:t>.</w:t>
      </w:r>
      <w:r w:rsidRPr="005879DC">
        <w:rPr>
          <w:rStyle w:val="FootnoteReference"/>
          <w:kern w:val="22"/>
          <w:szCs w:val="22"/>
          <w:lang w:val="fr-CA"/>
        </w:rPr>
        <w:t xml:space="preserve"> </w:t>
      </w:r>
      <w:r w:rsidRPr="005879DC">
        <w:rPr>
          <w:rStyle w:val="FootnoteReference"/>
          <w:kern w:val="22"/>
          <w:szCs w:val="22"/>
          <w:lang w:val="fr-CA"/>
        </w:rPr>
        <w:footnoteReference w:id="63"/>
      </w:r>
    </w:p>
    <w:p w:rsidR="004F6661" w:rsidRPr="001D35D1" w:rsidRDefault="005E19A7" w:rsidP="00F76BAE">
      <w:pPr>
        <w:pStyle w:val="Para1"/>
        <w:numPr>
          <w:ilvl w:val="0"/>
          <w:numId w:val="2"/>
        </w:numPr>
        <w:suppressLineNumbers/>
        <w:tabs>
          <w:tab w:val="clear" w:pos="360"/>
          <w:tab w:val="left" w:pos="720"/>
        </w:tabs>
        <w:suppressAutoHyphens/>
        <w:spacing w:before="0"/>
        <w:rPr>
          <w:kern w:val="22"/>
          <w:szCs w:val="22"/>
          <w:lang w:val="fr-CA"/>
        </w:rPr>
      </w:pPr>
      <w:r>
        <w:rPr>
          <w:snapToGrid/>
          <w:kern w:val="22"/>
          <w:szCs w:val="22"/>
          <w:lang w:val="fr-CA"/>
        </w:rPr>
        <w:t>D</w:t>
      </w:r>
      <w:r w:rsidRPr="005879DC">
        <w:rPr>
          <w:snapToGrid/>
          <w:kern w:val="22"/>
          <w:szCs w:val="22"/>
          <w:lang w:val="fr-CA"/>
        </w:rPr>
        <w:t>es mesures</w:t>
      </w:r>
      <w:r>
        <w:rPr>
          <w:snapToGrid/>
          <w:kern w:val="22"/>
          <w:szCs w:val="22"/>
          <w:lang w:val="fr-CA"/>
        </w:rPr>
        <w:t xml:space="preserve"> d</w:t>
      </w:r>
      <w:r w:rsidR="0069339F">
        <w:rPr>
          <w:snapToGrid/>
          <w:kern w:val="22"/>
          <w:szCs w:val="22"/>
          <w:lang w:val="fr-CA"/>
        </w:rPr>
        <w:t>’</w:t>
      </w:r>
      <w:r>
        <w:rPr>
          <w:snapToGrid/>
          <w:kern w:val="22"/>
          <w:szCs w:val="22"/>
          <w:lang w:val="fr-CA"/>
        </w:rPr>
        <w:t xml:space="preserve">exécution et de conformité pour </w:t>
      </w:r>
      <w:r w:rsidRPr="005879DC">
        <w:rPr>
          <w:snapToGrid/>
          <w:kern w:val="22"/>
          <w:szCs w:val="22"/>
          <w:lang w:val="fr-CA"/>
        </w:rPr>
        <w:t xml:space="preserve">un mécanisme multilatéral mondial de partage des avantages doivent être élaborées. Un point de contrôle approprié pourrait être </w:t>
      </w:r>
      <w:r>
        <w:rPr>
          <w:snapToGrid/>
          <w:kern w:val="22"/>
          <w:szCs w:val="22"/>
          <w:lang w:val="fr-CA"/>
        </w:rPr>
        <w:t xml:space="preserve">le </w:t>
      </w:r>
      <w:r w:rsidRPr="005879DC">
        <w:rPr>
          <w:snapToGrid/>
          <w:kern w:val="22"/>
          <w:szCs w:val="22"/>
          <w:lang w:val="fr-CA"/>
        </w:rPr>
        <w:t>moment de l</w:t>
      </w:r>
      <w:r w:rsidR="0069339F">
        <w:rPr>
          <w:snapToGrid/>
          <w:kern w:val="22"/>
          <w:szCs w:val="22"/>
          <w:lang w:val="fr-CA"/>
        </w:rPr>
        <w:t>’</w:t>
      </w:r>
      <w:r w:rsidRPr="005879DC">
        <w:rPr>
          <w:snapToGrid/>
          <w:kern w:val="22"/>
          <w:szCs w:val="22"/>
          <w:lang w:val="fr-CA"/>
        </w:rPr>
        <w:t>autorisation de mise s</w:t>
      </w:r>
      <w:r>
        <w:rPr>
          <w:snapToGrid/>
          <w:kern w:val="22"/>
          <w:szCs w:val="22"/>
          <w:lang w:val="fr-CA"/>
        </w:rPr>
        <w:t>ur le marché national, lorsque l</w:t>
      </w:r>
      <w:r w:rsidRPr="005879DC">
        <w:rPr>
          <w:snapToGrid/>
          <w:kern w:val="22"/>
          <w:szCs w:val="22"/>
          <w:lang w:val="fr-CA"/>
        </w:rPr>
        <w:t>es utilisateurs qui ont obtenu l</w:t>
      </w:r>
      <w:r w:rsidR="0069339F">
        <w:rPr>
          <w:snapToGrid/>
          <w:kern w:val="22"/>
          <w:szCs w:val="22"/>
          <w:lang w:val="fr-CA"/>
        </w:rPr>
        <w:t>’</w:t>
      </w:r>
      <w:r w:rsidRPr="005879DC">
        <w:rPr>
          <w:snapToGrid/>
          <w:kern w:val="22"/>
          <w:szCs w:val="22"/>
          <w:lang w:val="fr-CA"/>
        </w:rPr>
        <w:t>accès sans conclure de conditions bilatérales mutuellement convenues pourraient être obligés d</w:t>
      </w:r>
      <w:r w:rsidR="0069339F">
        <w:rPr>
          <w:snapToGrid/>
          <w:kern w:val="22"/>
          <w:szCs w:val="22"/>
          <w:lang w:val="fr-CA"/>
        </w:rPr>
        <w:t>’</w:t>
      </w:r>
      <w:r w:rsidRPr="005879DC">
        <w:rPr>
          <w:snapToGrid/>
          <w:kern w:val="22"/>
          <w:szCs w:val="22"/>
          <w:lang w:val="fr-CA"/>
        </w:rPr>
        <w:t>accepter une obligation de partage des avantages en échange de la permission de vendre leurs produits sur un marché particulier.</w:t>
      </w:r>
      <w:r w:rsidRPr="005879DC">
        <w:rPr>
          <w:rStyle w:val="FootnoteReference"/>
          <w:snapToGrid/>
          <w:kern w:val="22"/>
          <w:szCs w:val="22"/>
          <w:lang w:val="fr-CA"/>
        </w:rPr>
        <w:t xml:space="preserve"> </w:t>
      </w:r>
      <w:r w:rsidRPr="005879DC">
        <w:rPr>
          <w:rStyle w:val="FootnoteReference"/>
          <w:snapToGrid/>
          <w:kern w:val="22"/>
          <w:szCs w:val="22"/>
          <w:lang w:val="fr-CA"/>
        </w:rPr>
        <w:footnoteReference w:id="64"/>
      </w:r>
    </w:p>
    <w:p w:rsidR="004F6661" w:rsidRPr="001D35D1" w:rsidRDefault="005E19A7" w:rsidP="00F76BAE">
      <w:pPr>
        <w:pStyle w:val="Heading2"/>
        <w:numPr>
          <w:ilvl w:val="0"/>
          <w:numId w:val="12"/>
        </w:numPr>
        <w:suppressLineNumbers/>
        <w:tabs>
          <w:tab w:val="clear" w:pos="720"/>
          <w:tab w:val="left" w:pos="426"/>
        </w:tabs>
        <w:suppressAutoHyphens/>
        <w:ind w:left="0" w:firstLine="0"/>
        <w:rPr>
          <w:i w:val="0"/>
          <w:kern w:val="22"/>
          <w:szCs w:val="22"/>
          <w:lang w:val="fr-CA"/>
        </w:rPr>
      </w:pPr>
      <w:r w:rsidRPr="005879DC">
        <w:rPr>
          <w:i w:val="0"/>
          <w:kern w:val="22"/>
          <w:szCs w:val="22"/>
          <w:lang w:val="fr-CA"/>
        </w:rPr>
        <w:t>Informations additionnelles pertinentes soumises en vert</w:t>
      </w:r>
      <w:r>
        <w:rPr>
          <w:i w:val="0"/>
          <w:kern w:val="22"/>
          <w:szCs w:val="22"/>
          <w:lang w:val="fr-CA"/>
        </w:rPr>
        <w:t>u de la dé</w:t>
      </w:r>
      <w:r w:rsidRPr="005879DC">
        <w:rPr>
          <w:i w:val="0"/>
          <w:kern w:val="22"/>
          <w:szCs w:val="22"/>
          <w:lang w:val="fr-CA"/>
        </w:rPr>
        <w:t>cision NP</w:t>
      </w:r>
      <w:r w:rsidR="0069339F">
        <w:rPr>
          <w:i w:val="0"/>
          <w:kern w:val="22"/>
          <w:szCs w:val="22"/>
          <w:lang w:val="fr-CA"/>
        </w:rPr>
        <w:noBreakHyphen/>
      </w:r>
      <w:r w:rsidRPr="005879DC">
        <w:rPr>
          <w:i w:val="0"/>
          <w:kern w:val="22"/>
          <w:szCs w:val="22"/>
          <w:lang w:val="fr-CA"/>
        </w:rPr>
        <w:t>3/13</w:t>
      </w:r>
    </w:p>
    <w:p w:rsidR="004F6661" w:rsidRPr="001D35D1" w:rsidRDefault="005E19A7"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snapToGrid/>
          <w:kern w:val="22"/>
          <w:szCs w:val="22"/>
          <w:lang w:val="fr-CA"/>
        </w:rPr>
        <w:t>En réponse à l</w:t>
      </w:r>
      <w:r w:rsidR="0069339F">
        <w:rPr>
          <w:snapToGrid/>
          <w:kern w:val="22"/>
          <w:szCs w:val="22"/>
          <w:lang w:val="fr-CA"/>
        </w:rPr>
        <w:t>’</w:t>
      </w:r>
      <w:r w:rsidRPr="005879DC">
        <w:rPr>
          <w:snapToGrid/>
          <w:kern w:val="22"/>
          <w:szCs w:val="22"/>
          <w:lang w:val="fr-CA"/>
        </w:rPr>
        <w:t>invitation de soumiss</w:t>
      </w:r>
      <w:r>
        <w:rPr>
          <w:snapToGrid/>
          <w:kern w:val="22"/>
          <w:szCs w:val="22"/>
          <w:lang w:val="fr-CA"/>
        </w:rPr>
        <w:t>i</w:t>
      </w:r>
      <w:r w:rsidRPr="005879DC">
        <w:rPr>
          <w:snapToGrid/>
          <w:kern w:val="22"/>
          <w:szCs w:val="22"/>
          <w:lang w:val="fr-CA"/>
        </w:rPr>
        <w:t>on d</w:t>
      </w:r>
      <w:r w:rsidR="0069339F">
        <w:rPr>
          <w:snapToGrid/>
          <w:kern w:val="22"/>
          <w:szCs w:val="22"/>
          <w:lang w:val="fr-CA"/>
        </w:rPr>
        <w:t>’</w:t>
      </w:r>
      <w:r w:rsidRPr="005879DC">
        <w:rPr>
          <w:snapToGrid/>
          <w:kern w:val="22"/>
          <w:szCs w:val="22"/>
          <w:lang w:val="fr-CA"/>
        </w:rPr>
        <w:t xml:space="preserve">informations, le secrétariat du </w:t>
      </w:r>
      <w:r w:rsidRPr="005879DC">
        <w:rPr>
          <w:rStyle w:val="preferred"/>
          <w:lang w:val="fr-CA"/>
        </w:rPr>
        <w:t xml:space="preserve">Traité international sur les ressources </w:t>
      </w:r>
      <w:r w:rsidRPr="005879DC">
        <w:rPr>
          <w:rStyle w:val="preferred"/>
          <w:noProof/>
          <w:lang w:val="fr-CA"/>
        </w:rPr>
        <w:t>phytogénétiques</w:t>
      </w:r>
      <w:r w:rsidRPr="005879DC">
        <w:rPr>
          <w:rStyle w:val="preferred"/>
          <w:lang w:val="fr-CA"/>
        </w:rPr>
        <w:t xml:space="preserve"> pour l</w:t>
      </w:r>
      <w:r w:rsidR="0069339F">
        <w:rPr>
          <w:rStyle w:val="preferred"/>
          <w:lang w:val="fr-CA"/>
        </w:rPr>
        <w:t>’</w:t>
      </w:r>
      <w:r w:rsidRPr="005879DC">
        <w:rPr>
          <w:rStyle w:val="preferred"/>
          <w:lang w:val="fr-CA"/>
        </w:rPr>
        <w:t>alimentation et l</w:t>
      </w:r>
      <w:r w:rsidR="0069339F">
        <w:rPr>
          <w:rStyle w:val="preferred"/>
          <w:lang w:val="fr-CA"/>
        </w:rPr>
        <w:t>’</w:t>
      </w:r>
      <w:r w:rsidRPr="005879DC">
        <w:rPr>
          <w:rStyle w:val="preferred"/>
          <w:lang w:val="fr-CA"/>
        </w:rPr>
        <w:t xml:space="preserve">agriculture </w:t>
      </w:r>
      <w:r w:rsidRPr="005879DC">
        <w:rPr>
          <w:snapToGrid/>
          <w:kern w:val="22"/>
          <w:szCs w:val="22"/>
          <w:lang w:val="fr-CA"/>
        </w:rPr>
        <w:t>a fourni des mises à jour sur les activités et processus au titre du Traité international qui sont pertinents pour l</w:t>
      </w:r>
      <w:r w:rsidR="0069339F">
        <w:rPr>
          <w:snapToGrid/>
          <w:kern w:val="22"/>
          <w:szCs w:val="22"/>
          <w:lang w:val="fr-CA"/>
        </w:rPr>
        <w:t>’</w:t>
      </w:r>
      <w:r w:rsidRPr="005879DC">
        <w:rPr>
          <w:snapToGrid/>
          <w:kern w:val="22"/>
          <w:szCs w:val="22"/>
          <w:lang w:val="fr-CA"/>
        </w:rPr>
        <w:t>examen en cours de l</w:t>
      </w:r>
      <w:r w:rsidR="0069339F">
        <w:rPr>
          <w:snapToGrid/>
          <w:kern w:val="22"/>
          <w:szCs w:val="22"/>
          <w:lang w:val="fr-CA"/>
        </w:rPr>
        <w:t>’</w:t>
      </w:r>
      <w:r w:rsidRPr="005879DC">
        <w:rPr>
          <w:snapToGrid/>
          <w:kern w:val="22"/>
          <w:szCs w:val="22"/>
          <w:lang w:val="fr-CA"/>
        </w:rPr>
        <w:t>article</w:t>
      </w:r>
      <w:r>
        <w:rPr>
          <w:snapToGrid/>
          <w:kern w:val="22"/>
          <w:szCs w:val="22"/>
          <w:lang w:val="fr-CA"/>
        </w:rPr>
        <w:t> 10 du Protocole de Nagoya par s</w:t>
      </w:r>
      <w:r w:rsidRPr="005879DC">
        <w:rPr>
          <w:snapToGrid/>
          <w:kern w:val="22"/>
          <w:szCs w:val="22"/>
          <w:lang w:val="fr-CA"/>
        </w:rPr>
        <w:t>es Parties et d</w:t>
      </w:r>
      <w:r w:rsidR="0069339F">
        <w:rPr>
          <w:snapToGrid/>
          <w:kern w:val="22"/>
          <w:szCs w:val="22"/>
          <w:lang w:val="fr-CA"/>
        </w:rPr>
        <w:t>’</w:t>
      </w:r>
      <w:r w:rsidRPr="005879DC">
        <w:rPr>
          <w:snapToGrid/>
          <w:kern w:val="22"/>
          <w:szCs w:val="22"/>
          <w:lang w:val="fr-CA"/>
        </w:rPr>
        <w:t>un mécanisme multilatéral mondial de partage des avantages.</w:t>
      </w:r>
    </w:p>
    <w:p w:rsidR="004F6661" w:rsidRPr="001D35D1" w:rsidRDefault="005E19A7"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kern w:val="22"/>
          <w:lang w:val="fr-CA"/>
        </w:rPr>
        <w:t>En 2013, l</w:t>
      </w:r>
      <w:r w:rsidR="0069339F">
        <w:rPr>
          <w:kern w:val="22"/>
          <w:lang w:val="fr-CA"/>
        </w:rPr>
        <w:t>’</w:t>
      </w:r>
      <w:r w:rsidRPr="005879DC">
        <w:rPr>
          <w:kern w:val="22"/>
          <w:lang w:val="fr-CA"/>
        </w:rPr>
        <w:t>organe directeur du Traité international a lancé un processus visant à renforcer le Système multilatéral en établissant un Groupe de travail spécial à composition non limitée qui a pour tâche, notamment, d</w:t>
      </w:r>
      <w:r w:rsidR="0069339F">
        <w:rPr>
          <w:kern w:val="22"/>
          <w:lang w:val="fr-CA"/>
        </w:rPr>
        <w:t>’</w:t>
      </w:r>
      <w:r w:rsidRPr="005879DC">
        <w:rPr>
          <w:kern w:val="22"/>
          <w:lang w:val="fr-CA"/>
        </w:rPr>
        <w:t>élaborer des mesures pour augmenter les paiements basés sur l</w:t>
      </w:r>
      <w:r w:rsidR="0069339F">
        <w:rPr>
          <w:kern w:val="22"/>
          <w:lang w:val="fr-CA"/>
        </w:rPr>
        <w:t>’</w:t>
      </w:r>
      <w:proofErr w:type="spellStart"/>
      <w:r w:rsidRPr="005879DC">
        <w:rPr>
          <w:kern w:val="22"/>
          <w:lang w:val="fr-CA"/>
        </w:rPr>
        <w:t>utlisation</w:t>
      </w:r>
      <w:proofErr w:type="spellEnd"/>
      <w:r w:rsidRPr="005879DC">
        <w:rPr>
          <w:kern w:val="22"/>
          <w:lang w:val="fr-CA"/>
        </w:rPr>
        <w:t xml:space="preserve"> et les contributions au Fonds de partage des avantages de manière durable et prévisible à long terme. Le Groupe de travail a examiné, entre autres questions, des révisions à l</w:t>
      </w:r>
      <w:r w:rsidR="0069339F">
        <w:rPr>
          <w:kern w:val="22"/>
          <w:lang w:val="fr-CA"/>
        </w:rPr>
        <w:t>’</w:t>
      </w:r>
      <w:r w:rsidRPr="005879DC">
        <w:rPr>
          <w:kern w:val="22"/>
          <w:lang w:val="fr-CA"/>
        </w:rPr>
        <w:t xml:space="preserve">Accord type de </w:t>
      </w:r>
      <w:proofErr w:type="spellStart"/>
      <w:r w:rsidRPr="005879DC">
        <w:rPr>
          <w:kern w:val="22"/>
          <w:lang w:val="fr-CA"/>
        </w:rPr>
        <w:t>tranfert</w:t>
      </w:r>
      <w:proofErr w:type="spellEnd"/>
      <w:r w:rsidRPr="005879DC">
        <w:rPr>
          <w:kern w:val="22"/>
          <w:lang w:val="fr-CA"/>
        </w:rPr>
        <w:t xml:space="preserve"> de matériel ainsi que d</w:t>
      </w:r>
      <w:r w:rsidR="0069339F">
        <w:rPr>
          <w:kern w:val="22"/>
          <w:lang w:val="fr-CA"/>
        </w:rPr>
        <w:t>’</w:t>
      </w:r>
      <w:r w:rsidRPr="005879DC">
        <w:rPr>
          <w:kern w:val="22"/>
          <w:lang w:val="fr-CA"/>
        </w:rPr>
        <w:t>éventuelles modifications à la couverture du Système multilatéral. Étant donné que l</w:t>
      </w:r>
      <w:r w:rsidR="0069339F">
        <w:rPr>
          <w:kern w:val="22"/>
          <w:lang w:val="fr-CA"/>
        </w:rPr>
        <w:t>’</w:t>
      </w:r>
      <w:r w:rsidRPr="005879DC">
        <w:rPr>
          <w:kern w:val="22"/>
          <w:lang w:val="fr-CA"/>
        </w:rPr>
        <w:t xml:space="preserve">interdépendance des pays en matière de ressources </w:t>
      </w:r>
      <w:r w:rsidRPr="005879DC">
        <w:rPr>
          <w:noProof/>
          <w:kern w:val="22"/>
          <w:lang w:val="fr-CA"/>
        </w:rPr>
        <w:t>phytogénétiques</w:t>
      </w:r>
      <w:r w:rsidRPr="005879DC">
        <w:rPr>
          <w:kern w:val="22"/>
          <w:lang w:val="fr-CA"/>
        </w:rPr>
        <w:t xml:space="preserve"> représente l</w:t>
      </w:r>
      <w:r w:rsidR="0069339F">
        <w:rPr>
          <w:kern w:val="22"/>
          <w:lang w:val="fr-CA"/>
        </w:rPr>
        <w:t>’</w:t>
      </w:r>
      <w:r w:rsidRPr="005879DC">
        <w:rPr>
          <w:kern w:val="22"/>
          <w:lang w:val="fr-CA"/>
        </w:rPr>
        <w:t>un des arguments clés pour le Système multilatéral du Traité international, la base pour l</w:t>
      </w:r>
      <w:r w:rsidR="0069339F">
        <w:rPr>
          <w:kern w:val="22"/>
          <w:lang w:val="fr-CA"/>
        </w:rPr>
        <w:t>’</w:t>
      </w:r>
      <w:r w:rsidRPr="005879DC">
        <w:rPr>
          <w:kern w:val="22"/>
          <w:lang w:val="fr-CA"/>
        </w:rPr>
        <w:t>examen de son renforcement inclut une estimation entièrement actualisée de cette interdépendance, comme indiqué dans une récente étude.</w:t>
      </w:r>
      <w:r w:rsidRPr="005879DC">
        <w:rPr>
          <w:rStyle w:val="FootnoteReference"/>
          <w:kern w:val="22"/>
          <w:lang w:val="fr-CA"/>
        </w:rPr>
        <w:footnoteReference w:id="65"/>
      </w:r>
    </w:p>
    <w:p w:rsidR="004F6661" w:rsidRPr="001D35D1" w:rsidRDefault="005E19A7"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snapToGrid/>
          <w:kern w:val="22"/>
          <w:szCs w:val="22"/>
          <w:lang w:val="fr-CA"/>
        </w:rPr>
        <w:t>Au cours de l</w:t>
      </w:r>
      <w:r w:rsidR="0069339F">
        <w:rPr>
          <w:snapToGrid/>
          <w:kern w:val="22"/>
          <w:szCs w:val="22"/>
          <w:lang w:val="fr-CA"/>
        </w:rPr>
        <w:t>’</w:t>
      </w:r>
      <w:r w:rsidRPr="005879DC">
        <w:rPr>
          <w:snapToGrid/>
          <w:kern w:val="22"/>
          <w:szCs w:val="22"/>
          <w:lang w:val="fr-CA"/>
        </w:rPr>
        <w:t>exercice biennal 2018</w:t>
      </w:r>
      <w:r w:rsidR="0069339F">
        <w:rPr>
          <w:snapToGrid/>
          <w:kern w:val="22"/>
          <w:szCs w:val="22"/>
          <w:lang w:val="fr-CA"/>
        </w:rPr>
        <w:noBreakHyphen/>
      </w:r>
      <w:r w:rsidRPr="005879DC">
        <w:rPr>
          <w:snapToGrid/>
          <w:kern w:val="22"/>
          <w:szCs w:val="22"/>
          <w:lang w:val="fr-CA"/>
        </w:rPr>
        <w:t>2019, le Groupe de travail a examiné, entre autres, des critères et des options pour l</w:t>
      </w:r>
      <w:r w:rsidR="0069339F">
        <w:rPr>
          <w:snapToGrid/>
          <w:kern w:val="22"/>
          <w:szCs w:val="22"/>
          <w:lang w:val="fr-CA"/>
        </w:rPr>
        <w:t>’</w:t>
      </w:r>
      <w:r w:rsidRPr="005879DC">
        <w:rPr>
          <w:snapToGrid/>
          <w:kern w:val="22"/>
          <w:szCs w:val="22"/>
          <w:lang w:val="fr-CA"/>
        </w:rPr>
        <w:t>éventuelle adaptation de la couverture du Système multilatéral et des mesures de soutien pour faciliter la mise en œuvre de la possible expansion de la couverture du Système multilatéral. Le Groupe de travail a examiné un éventuel processus pour réviser : l</w:t>
      </w:r>
      <w:r w:rsidR="0069339F">
        <w:rPr>
          <w:snapToGrid/>
          <w:kern w:val="22"/>
          <w:szCs w:val="22"/>
          <w:lang w:val="fr-CA"/>
        </w:rPr>
        <w:t>’</w:t>
      </w:r>
      <w:r w:rsidRPr="005879DC">
        <w:rPr>
          <w:snapToGrid/>
          <w:kern w:val="22"/>
          <w:szCs w:val="22"/>
          <w:lang w:val="fr-CA"/>
        </w:rPr>
        <w:t>état des ratifications de l</w:t>
      </w:r>
      <w:r w:rsidR="0069339F">
        <w:rPr>
          <w:snapToGrid/>
          <w:kern w:val="22"/>
          <w:szCs w:val="22"/>
          <w:lang w:val="fr-CA"/>
        </w:rPr>
        <w:t>’</w:t>
      </w:r>
      <w:r w:rsidRPr="005879DC">
        <w:rPr>
          <w:snapToGrid/>
          <w:kern w:val="22"/>
          <w:szCs w:val="22"/>
          <w:lang w:val="fr-CA"/>
        </w:rPr>
        <w:t xml:space="preserve">Annexe I modifiée au Traité international (à savoir, les cultures et fourrages couverts par le Système multilatéral); le niveau des </w:t>
      </w:r>
      <w:r w:rsidRPr="005879DC">
        <w:rPr>
          <w:kern w:val="22"/>
          <w:lang w:val="fr-CA"/>
        </w:rPr>
        <w:t>revenus basés sur l</w:t>
      </w:r>
      <w:r w:rsidR="0069339F">
        <w:rPr>
          <w:kern w:val="22"/>
          <w:lang w:val="fr-CA"/>
        </w:rPr>
        <w:t>’</w:t>
      </w:r>
      <w:r w:rsidRPr="005879DC">
        <w:rPr>
          <w:kern w:val="22"/>
          <w:lang w:val="fr-CA"/>
        </w:rPr>
        <w:t>ut</w:t>
      </w:r>
      <w:r>
        <w:rPr>
          <w:kern w:val="22"/>
          <w:lang w:val="fr-CA"/>
        </w:rPr>
        <w:t>i</w:t>
      </w:r>
      <w:r w:rsidRPr="005879DC">
        <w:rPr>
          <w:kern w:val="22"/>
          <w:lang w:val="fr-CA"/>
        </w:rPr>
        <w:t>lisation dégagés par le Fonds de partage des avantages</w:t>
      </w:r>
      <w:r>
        <w:rPr>
          <w:kern w:val="22"/>
          <w:lang w:val="fr-CA"/>
        </w:rPr>
        <w:t xml:space="preserve">; </w:t>
      </w:r>
      <w:r w:rsidRPr="005879DC">
        <w:rPr>
          <w:kern w:val="22"/>
          <w:lang w:val="fr-CA"/>
        </w:rPr>
        <w:t>et l</w:t>
      </w:r>
      <w:r w:rsidR="0069339F">
        <w:rPr>
          <w:kern w:val="22"/>
          <w:lang w:val="fr-CA"/>
        </w:rPr>
        <w:t>’</w:t>
      </w:r>
      <w:r w:rsidRPr="005879DC">
        <w:rPr>
          <w:kern w:val="22"/>
          <w:lang w:val="fr-CA"/>
        </w:rPr>
        <w:t xml:space="preserve">accès au matériel </w:t>
      </w:r>
      <w:r>
        <w:rPr>
          <w:kern w:val="22"/>
          <w:lang w:val="fr-CA"/>
        </w:rPr>
        <w:t xml:space="preserve">et sa disponibilité </w:t>
      </w:r>
      <w:r w:rsidRPr="005879DC">
        <w:rPr>
          <w:kern w:val="22"/>
          <w:lang w:val="fr-CA"/>
        </w:rPr>
        <w:t>au sein du Système multilatéral</w:t>
      </w:r>
      <w:r>
        <w:rPr>
          <w:kern w:val="22"/>
          <w:lang w:val="fr-CA"/>
        </w:rPr>
        <w:t>.</w:t>
      </w:r>
    </w:p>
    <w:p w:rsidR="00653BC8" w:rsidRPr="001D35D1" w:rsidRDefault="009C78DD" w:rsidP="00F76BAE">
      <w:pPr>
        <w:pStyle w:val="Para1"/>
        <w:numPr>
          <w:ilvl w:val="0"/>
          <w:numId w:val="2"/>
        </w:numPr>
        <w:suppressLineNumbers/>
        <w:tabs>
          <w:tab w:val="clear" w:pos="360"/>
          <w:tab w:val="num" w:pos="709"/>
        </w:tabs>
        <w:suppressAutoHyphens/>
        <w:spacing w:before="0"/>
        <w:rPr>
          <w:snapToGrid/>
          <w:kern w:val="22"/>
          <w:szCs w:val="22"/>
          <w:lang w:val="fr-CA"/>
        </w:rPr>
      </w:pPr>
      <w:r w:rsidRPr="005879DC">
        <w:rPr>
          <w:snapToGrid/>
          <w:kern w:val="22"/>
          <w:szCs w:val="22"/>
          <w:lang w:val="fr-CA"/>
        </w:rPr>
        <w:lastRenderedPageBreak/>
        <w:t>À sa huitième session de novembre 2019, l</w:t>
      </w:r>
      <w:r w:rsidR="0069339F">
        <w:rPr>
          <w:snapToGrid/>
          <w:kern w:val="22"/>
          <w:szCs w:val="22"/>
          <w:lang w:val="fr-CA"/>
        </w:rPr>
        <w:t>’</w:t>
      </w:r>
      <w:r w:rsidRPr="005879DC">
        <w:rPr>
          <w:snapToGrid/>
          <w:kern w:val="22"/>
          <w:szCs w:val="22"/>
          <w:lang w:val="fr-CA"/>
        </w:rPr>
        <w:t>organe directe</w:t>
      </w:r>
      <w:r>
        <w:rPr>
          <w:snapToGrid/>
          <w:kern w:val="22"/>
          <w:szCs w:val="22"/>
          <w:lang w:val="fr-CA"/>
        </w:rPr>
        <w:t>ur du Traité international n</w:t>
      </w:r>
      <w:r w:rsidR="0069339F">
        <w:rPr>
          <w:snapToGrid/>
          <w:kern w:val="22"/>
          <w:szCs w:val="22"/>
          <w:lang w:val="fr-CA"/>
        </w:rPr>
        <w:t>’</w:t>
      </w:r>
      <w:r>
        <w:rPr>
          <w:snapToGrid/>
          <w:kern w:val="22"/>
          <w:szCs w:val="22"/>
          <w:lang w:val="fr-CA"/>
        </w:rPr>
        <w:t>a</w:t>
      </w:r>
      <w:r w:rsidRPr="005879DC">
        <w:rPr>
          <w:snapToGrid/>
          <w:kern w:val="22"/>
          <w:szCs w:val="22"/>
          <w:lang w:val="fr-CA"/>
        </w:rPr>
        <w:t xml:space="preserve"> pas</w:t>
      </w:r>
      <w:r>
        <w:rPr>
          <w:snapToGrid/>
          <w:kern w:val="22"/>
          <w:szCs w:val="22"/>
          <w:lang w:val="fr-CA"/>
        </w:rPr>
        <w:t xml:space="preserve"> réussi à parvenir</w:t>
      </w:r>
      <w:r w:rsidRPr="005879DC">
        <w:rPr>
          <w:snapToGrid/>
          <w:kern w:val="22"/>
          <w:szCs w:val="22"/>
          <w:lang w:val="fr-CA"/>
        </w:rPr>
        <w:t xml:space="preserve"> à un consensus sur le renforcement du Système multilatéral. Il a encouragé des consultations officieuses entre les Parties contractantes et en particulier des consultations nationales entre les secteurs et les parties prenantes concernées. Certaines Parties contractantes </w:t>
      </w:r>
      <w:r w:rsidR="00975C1B">
        <w:rPr>
          <w:snapToGrid/>
          <w:kern w:val="22"/>
          <w:szCs w:val="22"/>
          <w:lang w:val="fr-CA"/>
        </w:rPr>
        <w:t>ont souhaité</w:t>
      </w:r>
      <w:r w:rsidRPr="005879DC">
        <w:rPr>
          <w:snapToGrid/>
          <w:kern w:val="22"/>
          <w:szCs w:val="22"/>
          <w:lang w:val="fr-CA"/>
        </w:rPr>
        <w:t xml:space="preserve"> que l</w:t>
      </w:r>
      <w:r w:rsidR="0069339F">
        <w:rPr>
          <w:snapToGrid/>
          <w:kern w:val="22"/>
          <w:szCs w:val="22"/>
          <w:lang w:val="fr-CA"/>
        </w:rPr>
        <w:t>’</w:t>
      </w:r>
      <w:r w:rsidRPr="005879DC">
        <w:rPr>
          <w:snapToGrid/>
          <w:kern w:val="22"/>
          <w:szCs w:val="22"/>
          <w:lang w:val="fr-CA"/>
        </w:rPr>
        <w:t>organe directeur, à sa neuvième session, examine comment mener à bien des travaux ultérieurs sur le renforcement du Système multilatéral, notant le besoin d</w:t>
      </w:r>
      <w:r w:rsidR="0069339F">
        <w:rPr>
          <w:snapToGrid/>
          <w:kern w:val="22"/>
          <w:szCs w:val="22"/>
          <w:lang w:val="fr-CA"/>
        </w:rPr>
        <w:t>’</w:t>
      </w:r>
      <w:r w:rsidRPr="005879DC">
        <w:rPr>
          <w:snapToGrid/>
          <w:kern w:val="22"/>
          <w:szCs w:val="22"/>
          <w:lang w:val="fr-CA"/>
        </w:rPr>
        <w:t>examiner les résultats des débats pertinents au titre de la Convention sur la diversité biologique</w:t>
      </w:r>
      <w:r w:rsidR="00580DF9" w:rsidRPr="001D35D1">
        <w:rPr>
          <w:snapToGrid/>
          <w:kern w:val="22"/>
          <w:szCs w:val="22"/>
          <w:lang w:val="fr-CA"/>
        </w:rPr>
        <w:t>.</w:t>
      </w:r>
    </w:p>
    <w:p w:rsidR="004F6661" w:rsidRPr="00F76BAE" w:rsidRDefault="004A0FA5" w:rsidP="00F76BAE">
      <w:pPr>
        <w:pStyle w:val="Heading1longmultiline"/>
        <w:numPr>
          <w:ilvl w:val="0"/>
          <w:numId w:val="13"/>
        </w:numPr>
        <w:suppressLineNumbers/>
        <w:tabs>
          <w:tab w:val="clear" w:pos="720"/>
          <w:tab w:val="left" w:pos="426"/>
        </w:tabs>
        <w:suppressAutoHyphens/>
        <w:spacing w:before="120"/>
        <w:ind w:left="0" w:firstLine="0"/>
        <w:jc w:val="center"/>
        <w:rPr>
          <w:kern w:val="22"/>
          <w:szCs w:val="22"/>
        </w:rPr>
      </w:pPr>
      <w:r w:rsidRPr="005879DC">
        <w:rPr>
          <w:kern w:val="22"/>
          <w:szCs w:val="22"/>
          <w:lang w:val="fr-CA"/>
        </w:rPr>
        <w:t>éléments</w:t>
      </w:r>
      <w:r>
        <w:rPr>
          <w:kern w:val="22"/>
          <w:szCs w:val="22"/>
          <w:lang w:val="fr-CA"/>
        </w:rPr>
        <w:t xml:space="preserve"> suggérés</w:t>
      </w:r>
      <w:r w:rsidRPr="005879DC">
        <w:rPr>
          <w:kern w:val="22"/>
          <w:szCs w:val="22"/>
          <w:lang w:val="fr-CA"/>
        </w:rPr>
        <w:t xml:space="preserve"> </w:t>
      </w:r>
      <w:r>
        <w:rPr>
          <w:kern w:val="22"/>
          <w:szCs w:val="22"/>
          <w:lang w:val="fr-CA"/>
        </w:rPr>
        <w:t>d</w:t>
      </w:r>
      <w:r w:rsidR="0069339F">
        <w:rPr>
          <w:kern w:val="22"/>
          <w:szCs w:val="22"/>
          <w:lang w:val="fr-CA"/>
        </w:rPr>
        <w:t>’</w:t>
      </w:r>
      <w:r>
        <w:rPr>
          <w:kern w:val="22"/>
          <w:szCs w:val="22"/>
          <w:lang w:val="fr-CA"/>
        </w:rPr>
        <w:t>une recommandation</w:t>
      </w:r>
    </w:p>
    <w:p w:rsidR="004F6661" w:rsidRPr="001D35D1" w:rsidRDefault="00D60D24" w:rsidP="00F76BAE">
      <w:pPr>
        <w:pStyle w:val="Para1"/>
        <w:numPr>
          <w:ilvl w:val="0"/>
          <w:numId w:val="2"/>
        </w:numPr>
        <w:suppressLineNumbers/>
        <w:tabs>
          <w:tab w:val="clear" w:pos="360"/>
          <w:tab w:val="num" w:pos="709"/>
        </w:tabs>
        <w:suppressAutoHyphens/>
        <w:spacing w:before="0"/>
        <w:rPr>
          <w:kern w:val="22"/>
          <w:szCs w:val="22"/>
          <w:lang w:val="fr-CA"/>
        </w:rPr>
      </w:pPr>
      <w:r w:rsidRPr="005879DC">
        <w:rPr>
          <w:kern w:val="22"/>
          <w:lang w:val="fr-CA"/>
        </w:rPr>
        <w:t>L</w:t>
      </w:r>
      <w:r w:rsidR="0069339F">
        <w:rPr>
          <w:kern w:val="22"/>
          <w:lang w:val="fr-CA"/>
        </w:rPr>
        <w:t>’</w:t>
      </w:r>
      <w:r w:rsidRPr="005879DC">
        <w:rPr>
          <w:kern w:val="22"/>
          <w:lang w:val="fr-CA"/>
        </w:rPr>
        <w:t>Organe subsidiaire chargé de l</w:t>
      </w:r>
      <w:r w:rsidR="0069339F">
        <w:rPr>
          <w:kern w:val="22"/>
          <w:lang w:val="fr-CA"/>
        </w:rPr>
        <w:t>’</w:t>
      </w:r>
      <w:r w:rsidRPr="005879DC">
        <w:rPr>
          <w:kern w:val="22"/>
          <w:lang w:val="fr-CA"/>
        </w:rPr>
        <w:t>application pourrait souhaiter examiner la synthèse des points de vue</w:t>
      </w:r>
      <w:r>
        <w:rPr>
          <w:kern w:val="22"/>
          <w:lang w:val="fr-CA"/>
        </w:rPr>
        <w:t xml:space="preserve"> (</w:t>
      </w:r>
      <w:r>
        <w:rPr>
          <w:noProof/>
          <w:kern w:val="22"/>
          <w:lang w:val="fr-CA"/>
        </w:rPr>
        <w:t>section II ci</w:t>
      </w:r>
      <w:r w:rsidR="0069339F">
        <w:rPr>
          <w:noProof/>
          <w:kern w:val="22"/>
          <w:lang w:val="fr-CA"/>
        </w:rPr>
        <w:noBreakHyphen/>
      </w:r>
      <w:r>
        <w:rPr>
          <w:noProof/>
          <w:kern w:val="22"/>
          <w:lang w:val="fr-CA"/>
        </w:rPr>
        <w:t>dessus</w:t>
      </w:r>
      <w:r w:rsidRPr="005879DC">
        <w:rPr>
          <w:noProof/>
          <w:kern w:val="22"/>
          <w:lang w:val="fr-CA"/>
        </w:rPr>
        <w:t>) et l</w:t>
      </w:r>
      <w:r w:rsidR="0069339F">
        <w:rPr>
          <w:noProof/>
          <w:kern w:val="22"/>
          <w:lang w:val="fr-CA"/>
        </w:rPr>
        <w:t>’</w:t>
      </w:r>
      <w:r w:rsidRPr="005879DC">
        <w:rPr>
          <w:noProof/>
          <w:kern w:val="22"/>
          <w:lang w:val="fr-CA"/>
        </w:rPr>
        <w:t>étude évaluée par des pairs commandée en application d</w:t>
      </w:r>
      <w:r>
        <w:rPr>
          <w:noProof/>
          <w:kern w:val="22"/>
          <w:lang w:val="fr-CA"/>
        </w:rPr>
        <w:t>e la décision NP</w:t>
      </w:r>
      <w:r w:rsidR="0069339F">
        <w:rPr>
          <w:noProof/>
          <w:kern w:val="22"/>
          <w:lang w:val="fr-CA"/>
        </w:rPr>
        <w:noBreakHyphen/>
      </w:r>
      <w:r>
        <w:rPr>
          <w:noProof/>
          <w:kern w:val="22"/>
          <w:lang w:val="fr-CA"/>
        </w:rPr>
        <w:t>3/13 (</w:t>
      </w:r>
      <w:r w:rsidRPr="005879DC">
        <w:rPr>
          <w:noProof/>
          <w:kern w:val="22"/>
          <w:lang w:val="fr-CA"/>
        </w:rPr>
        <w:t>CBD/SBI/3/15/Add.1), en vue de recenser : a) des cas spécifiques, le cas échéant, qui ne peuvent être abordés par le biais de</w:t>
      </w:r>
      <w:r w:rsidRPr="005879DC">
        <w:rPr>
          <w:kern w:val="22"/>
          <w:lang w:val="fr-CA"/>
        </w:rPr>
        <w:t xml:space="preserve"> l</w:t>
      </w:r>
      <w:r w:rsidR="0069339F">
        <w:rPr>
          <w:kern w:val="22"/>
          <w:lang w:val="fr-CA"/>
        </w:rPr>
        <w:t>’</w:t>
      </w:r>
      <w:r w:rsidRPr="005879DC">
        <w:rPr>
          <w:kern w:val="22"/>
          <w:lang w:val="fr-CA"/>
        </w:rPr>
        <w:t>approche bilatérale; et b) s</w:t>
      </w:r>
      <w:r w:rsidR="0069339F">
        <w:rPr>
          <w:kern w:val="22"/>
          <w:lang w:val="fr-CA"/>
        </w:rPr>
        <w:t>’</w:t>
      </w:r>
      <w:r w:rsidRPr="005879DC">
        <w:rPr>
          <w:kern w:val="22"/>
          <w:lang w:val="fr-CA"/>
        </w:rPr>
        <w:t xml:space="preserve">ils sont recensés, des options pour aborder ces cas, y compris un éventuel mécanisme multilatéral mondial de partage des avantages, et de faire une recommandation à la Conférence des Parties siégeant en tant que Réunion des Parties au Protocole de Nagoya à sa quatrième </w:t>
      </w:r>
      <w:r w:rsidR="009D12CE">
        <w:rPr>
          <w:kern w:val="22"/>
          <w:lang w:val="fr-CA"/>
        </w:rPr>
        <w:t>ré</w:t>
      </w:r>
      <w:r>
        <w:rPr>
          <w:kern w:val="22"/>
          <w:lang w:val="fr-CA"/>
        </w:rPr>
        <w:t>union</w:t>
      </w:r>
      <w:r w:rsidRPr="001D35D1">
        <w:rPr>
          <w:kern w:val="22"/>
          <w:szCs w:val="22"/>
          <w:lang w:val="fr-CA"/>
        </w:rPr>
        <w:t>.</w:t>
      </w:r>
    </w:p>
    <w:p w:rsidR="004F6661" w:rsidRPr="001D35D1" w:rsidRDefault="00D60D24" w:rsidP="00F76BAE">
      <w:pPr>
        <w:pStyle w:val="Para1"/>
        <w:numPr>
          <w:ilvl w:val="0"/>
          <w:numId w:val="2"/>
        </w:numPr>
        <w:suppressLineNumbers/>
        <w:tabs>
          <w:tab w:val="clear" w:pos="360"/>
          <w:tab w:val="left" w:pos="720"/>
        </w:tabs>
        <w:suppressAutoHyphens/>
        <w:spacing w:before="0"/>
        <w:rPr>
          <w:kern w:val="22"/>
          <w:szCs w:val="22"/>
          <w:lang w:val="fr-CA"/>
        </w:rPr>
      </w:pPr>
      <w:r w:rsidRPr="005879DC">
        <w:rPr>
          <w:kern w:val="22"/>
          <w:lang w:val="fr-CA"/>
        </w:rPr>
        <w:t>L</w:t>
      </w:r>
      <w:r w:rsidR="0069339F">
        <w:rPr>
          <w:kern w:val="22"/>
          <w:lang w:val="fr-CA"/>
        </w:rPr>
        <w:t>’</w:t>
      </w:r>
      <w:r w:rsidRPr="005879DC">
        <w:rPr>
          <w:kern w:val="22"/>
          <w:lang w:val="fr-CA"/>
        </w:rPr>
        <w:t>Organe subsidiaire chargé de l</w:t>
      </w:r>
      <w:r w:rsidR="0069339F">
        <w:rPr>
          <w:kern w:val="22"/>
          <w:lang w:val="fr-CA"/>
        </w:rPr>
        <w:t>’</w:t>
      </w:r>
      <w:r w:rsidRPr="005879DC">
        <w:rPr>
          <w:kern w:val="22"/>
          <w:lang w:val="fr-CA"/>
        </w:rPr>
        <w:t>application pourrait souhaiter recommander que la Conférence des Parties siégeant en tant que Réunion des Parties au Protocole de Nagoya adopte une décision s</w:t>
      </w:r>
      <w:r w:rsidR="0069339F">
        <w:rPr>
          <w:kern w:val="22"/>
          <w:lang w:val="fr-CA"/>
        </w:rPr>
        <w:t>’</w:t>
      </w:r>
      <w:r w:rsidRPr="005879DC">
        <w:rPr>
          <w:kern w:val="22"/>
          <w:lang w:val="fr-CA"/>
        </w:rPr>
        <w:t>alignant sur ce qui suit :</w:t>
      </w:r>
    </w:p>
    <w:p w:rsidR="004F6661" w:rsidRPr="001D35D1" w:rsidRDefault="00D60D24" w:rsidP="00F76BAE">
      <w:pPr>
        <w:pStyle w:val="Para1"/>
        <w:suppressLineNumbers/>
        <w:suppressAutoHyphens/>
        <w:kinsoku w:val="0"/>
        <w:overflowPunct w:val="0"/>
        <w:autoSpaceDE w:val="0"/>
        <w:autoSpaceDN w:val="0"/>
        <w:snapToGrid w:val="0"/>
        <w:spacing w:before="0"/>
        <w:ind w:firstLine="720"/>
        <w:rPr>
          <w:i/>
          <w:iCs/>
          <w:kern w:val="22"/>
          <w:szCs w:val="22"/>
          <w:lang w:val="fr-CA"/>
        </w:rPr>
      </w:pPr>
      <w:r w:rsidRPr="005879DC">
        <w:rPr>
          <w:i/>
          <w:iCs/>
          <w:kern w:val="22"/>
          <w:lang w:val="fr-CA"/>
        </w:rPr>
        <w:t>La Conférence des Parties siégeant en tant que Réunion des Parties au Protocole de Nagoya</w:t>
      </w:r>
      <w:r>
        <w:rPr>
          <w:i/>
          <w:iCs/>
          <w:kern w:val="22"/>
          <w:lang w:val="fr-CA"/>
        </w:rPr>
        <w:t>,</w:t>
      </w:r>
    </w:p>
    <w:p w:rsidR="00D60D24" w:rsidRPr="005879DC" w:rsidRDefault="00D60D24" w:rsidP="00D60D24">
      <w:pPr>
        <w:pStyle w:val="Para1"/>
        <w:suppressLineNumbers/>
        <w:suppressAutoHyphens/>
        <w:kinsoku w:val="0"/>
        <w:overflowPunct w:val="0"/>
        <w:autoSpaceDE w:val="0"/>
        <w:autoSpaceDN w:val="0"/>
        <w:snapToGrid w:val="0"/>
        <w:ind w:firstLine="567"/>
        <w:rPr>
          <w:iCs/>
          <w:kern w:val="22"/>
          <w:szCs w:val="22"/>
          <w:lang w:val="fr-CA"/>
        </w:rPr>
      </w:pPr>
      <w:r w:rsidRPr="005879DC">
        <w:rPr>
          <w:i/>
          <w:iCs/>
          <w:kern w:val="22"/>
          <w:szCs w:val="22"/>
          <w:lang w:val="fr-CA"/>
        </w:rPr>
        <w:t>Rappelant</w:t>
      </w:r>
      <w:r w:rsidRPr="005879DC">
        <w:rPr>
          <w:iCs/>
          <w:kern w:val="22"/>
          <w:szCs w:val="22"/>
          <w:lang w:val="fr-CA"/>
        </w:rPr>
        <w:t xml:space="preserve"> les droits souverains des États sur leurs ressources naturelles et l</w:t>
      </w:r>
      <w:r w:rsidR="0069339F">
        <w:rPr>
          <w:iCs/>
          <w:kern w:val="22"/>
          <w:szCs w:val="22"/>
          <w:lang w:val="fr-CA"/>
        </w:rPr>
        <w:t>’</w:t>
      </w:r>
      <w:r w:rsidRPr="005879DC">
        <w:rPr>
          <w:iCs/>
          <w:kern w:val="22"/>
          <w:szCs w:val="22"/>
          <w:lang w:val="fr-CA"/>
        </w:rPr>
        <w:t>autorité des gouvernements nationaux de déterminer l</w:t>
      </w:r>
      <w:r w:rsidR="0069339F">
        <w:rPr>
          <w:iCs/>
          <w:kern w:val="22"/>
          <w:szCs w:val="22"/>
          <w:lang w:val="fr-CA"/>
        </w:rPr>
        <w:t>’</w:t>
      </w:r>
      <w:r w:rsidRPr="005879DC">
        <w:rPr>
          <w:iCs/>
          <w:kern w:val="22"/>
          <w:szCs w:val="22"/>
          <w:lang w:val="fr-CA"/>
        </w:rPr>
        <w:t>accès aux ressources génétiques, comme reconnu au paragraphe 1 de l</w:t>
      </w:r>
      <w:r w:rsidR="0069339F">
        <w:rPr>
          <w:iCs/>
          <w:kern w:val="22"/>
          <w:szCs w:val="22"/>
          <w:lang w:val="fr-CA"/>
        </w:rPr>
        <w:t>’</w:t>
      </w:r>
      <w:r w:rsidRPr="005879DC">
        <w:rPr>
          <w:iCs/>
          <w:kern w:val="22"/>
          <w:szCs w:val="22"/>
          <w:lang w:val="fr-CA"/>
        </w:rPr>
        <w:t>article 15 de la Convention,</w:t>
      </w:r>
    </w:p>
    <w:p w:rsidR="00D60D24" w:rsidRPr="005879DC" w:rsidRDefault="00D60D24" w:rsidP="00D60D24">
      <w:pPr>
        <w:pStyle w:val="Para1"/>
        <w:suppressLineNumbers/>
        <w:tabs>
          <w:tab w:val="left" w:pos="720"/>
        </w:tabs>
        <w:suppressAutoHyphens/>
        <w:kinsoku w:val="0"/>
        <w:overflowPunct w:val="0"/>
        <w:autoSpaceDE w:val="0"/>
        <w:autoSpaceDN w:val="0"/>
        <w:snapToGrid w:val="0"/>
        <w:ind w:firstLine="567"/>
        <w:rPr>
          <w:iCs/>
          <w:noProof/>
          <w:kern w:val="22"/>
          <w:szCs w:val="22"/>
          <w:lang w:val="fr-CA"/>
        </w:rPr>
      </w:pPr>
      <w:r w:rsidRPr="005879DC">
        <w:rPr>
          <w:i/>
          <w:iCs/>
          <w:kern w:val="22"/>
          <w:szCs w:val="22"/>
          <w:lang w:val="fr-CA"/>
        </w:rPr>
        <w:t xml:space="preserve">Rappelant également </w:t>
      </w:r>
      <w:r w:rsidRPr="005879DC">
        <w:rPr>
          <w:iCs/>
          <w:kern w:val="22"/>
          <w:szCs w:val="22"/>
          <w:lang w:val="fr-CA"/>
        </w:rPr>
        <w:t xml:space="preserve">la reconnaissance, comme </w:t>
      </w:r>
      <w:r w:rsidRPr="005879DC">
        <w:rPr>
          <w:iCs/>
          <w:noProof/>
          <w:kern w:val="22"/>
          <w:szCs w:val="22"/>
          <w:lang w:val="fr-CA"/>
        </w:rPr>
        <w:t>précisé dans le préambule au Protocole de Nagoya, qu</w:t>
      </w:r>
      <w:r w:rsidR="0069339F">
        <w:rPr>
          <w:iCs/>
          <w:noProof/>
          <w:kern w:val="22"/>
          <w:szCs w:val="22"/>
          <w:lang w:val="fr-CA"/>
        </w:rPr>
        <w:t>’</w:t>
      </w:r>
      <w:r w:rsidRPr="005879DC">
        <w:rPr>
          <w:iCs/>
          <w:noProof/>
          <w:kern w:val="22"/>
          <w:szCs w:val="22"/>
          <w:lang w:val="fr-CA"/>
        </w:rPr>
        <w:t xml:space="preserve">une </w:t>
      </w:r>
      <w:r w:rsidRPr="005879DC">
        <w:rPr>
          <w:noProof/>
          <w:lang w:val="fr-CA"/>
        </w:rPr>
        <w:t>solution novatrice est nécessaire relativement au partage juste et équitable des avantages découlant de l</w:t>
      </w:r>
      <w:r w:rsidR="0069339F">
        <w:rPr>
          <w:noProof/>
          <w:lang w:val="fr-CA"/>
        </w:rPr>
        <w:t>’</w:t>
      </w:r>
      <w:r w:rsidRPr="005879DC">
        <w:rPr>
          <w:noProof/>
          <w:lang w:val="fr-CA"/>
        </w:rPr>
        <w:t>utilisation des ressources génétiques et des connaissances traditionnelles associées aux ressources génétiques dans des situations transfrontalières ou pour lesquelles il n</w:t>
      </w:r>
      <w:r w:rsidR="0069339F">
        <w:rPr>
          <w:noProof/>
          <w:lang w:val="fr-CA"/>
        </w:rPr>
        <w:t>’</w:t>
      </w:r>
      <w:r w:rsidRPr="005879DC">
        <w:rPr>
          <w:noProof/>
          <w:lang w:val="fr-CA"/>
        </w:rPr>
        <w:t>est pas possible d</w:t>
      </w:r>
      <w:r w:rsidR="0069339F">
        <w:rPr>
          <w:noProof/>
          <w:lang w:val="fr-CA"/>
        </w:rPr>
        <w:t>’</w:t>
      </w:r>
      <w:r w:rsidRPr="005879DC">
        <w:rPr>
          <w:noProof/>
          <w:lang w:val="fr-CA"/>
        </w:rPr>
        <w:t>accorder ou d</w:t>
      </w:r>
      <w:r w:rsidR="0069339F">
        <w:rPr>
          <w:noProof/>
          <w:lang w:val="fr-CA"/>
        </w:rPr>
        <w:t>’</w:t>
      </w:r>
      <w:r w:rsidRPr="005879DC">
        <w:rPr>
          <w:noProof/>
          <w:lang w:val="fr-CA"/>
        </w:rPr>
        <w:t>obtenir le consentement préalable donné en connaissance de cause,</w:t>
      </w:r>
    </w:p>
    <w:p w:rsidR="00D60D24" w:rsidRPr="005879DC" w:rsidRDefault="00D60D24" w:rsidP="00D60D24">
      <w:pPr>
        <w:pStyle w:val="Para1"/>
        <w:suppressLineNumbers/>
        <w:tabs>
          <w:tab w:val="left" w:pos="720"/>
        </w:tabs>
        <w:suppressAutoHyphens/>
        <w:kinsoku w:val="0"/>
        <w:overflowPunct w:val="0"/>
        <w:autoSpaceDE w:val="0"/>
        <w:autoSpaceDN w:val="0"/>
        <w:snapToGrid w:val="0"/>
        <w:ind w:firstLine="567"/>
        <w:rPr>
          <w:iCs/>
          <w:noProof/>
          <w:kern w:val="22"/>
          <w:szCs w:val="22"/>
          <w:lang w:val="fr-CA"/>
        </w:rPr>
      </w:pPr>
      <w:r w:rsidRPr="005879DC">
        <w:rPr>
          <w:i/>
          <w:noProof/>
          <w:kern w:val="22"/>
          <w:szCs w:val="22"/>
          <w:lang w:val="fr-CA"/>
        </w:rPr>
        <w:t>Rappelant par ailleurs</w:t>
      </w:r>
      <w:r w:rsidRPr="005879DC">
        <w:rPr>
          <w:noProof/>
          <w:kern w:val="22"/>
          <w:szCs w:val="22"/>
          <w:lang w:val="fr-CA"/>
        </w:rPr>
        <w:t xml:space="preserve"> l</w:t>
      </w:r>
      <w:r w:rsidR="0069339F">
        <w:rPr>
          <w:noProof/>
          <w:kern w:val="22"/>
          <w:szCs w:val="22"/>
          <w:lang w:val="fr-CA"/>
        </w:rPr>
        <w:t>’</w:t>
      </w:r>
      <w:r w:rsidRPr="005879DC">
        <w:rPr>
          <w:noProof/>
          <w:kern w:val="22"/>
          <w:szCs w:val="22"/>
          <w:lang w:val="fr-CA"/>
        </w:rPr>
        <w:t xml:space="preserve">article 11 du Protocole de Nagoya qui stipule que </w:t>
      </w:r>
      <w:r w:rsidRPr="005879DC">
        <w:rPr>
          <w:noProof/>
          <w:lang w:val="fr-CA"/>
        </w:rPr>
        <w:t>lorsque les mêmes ressources génétiques sont situées sur le territoire de plus d</w:t>
      </w:r>
      <w:r w:rsidR="0069339F">
        <w:rPr>
          <w:noProof/>
          <w:lang w:val="fr-CA"/>
        </w:rPr>
        <w:t>’</w:t>
      </w:r>
      <w:r w:rsidRPr="005879DC">
        <w:rPr>
          <w:noProof/>
          <w:lang w:val="fr-CA"/>
        </w:rPr>
        <w:t>une Partie et lorsque les mêmes connaissances traditionnelles associées à des ressources génétiques sont partagées par des communautés autochtones et locales différentes dans plusieurs Parties, ces Parties s</w:t>
      </w:r>
      <w:r w:rsidR="0069339F">
        <w:rPr>
          <w:noProof/>
          <w:lang w:val="fr-CA"/>
        </w:rPr>
        <w:t>’</w:t>
      </w:r>
      <w:r w:rsidRPr="005879DC">
        <w:rPr>
          <w:noProof/>
          <w:lang w:val="fr-CA"/>
        </w:rPr>
        <w:t>efforcent de coopérer en vue de réaliser l</w:t>
      </w:r>
      <w:r w:rsidR="0069339F">
        <w:rPr>
          <w:noProof/>
          <w:lang w:val="fr-CA"/>
        </w:rPr>
        <w:t>’</w:t>
      </w:r>
      <w:r w:rsidRPr="005879DC">
        <w:rPr>
          <w:noProof/>
          <w:lang w:val="fr-CA"/>
        </w:rPr>
        <w:t>objectif du Protocole,</w:t>
      </w:r>
      <w:r w:rsidRPr="005879DC">
        <w:rPr>
          <w:iCs/>
          <w:noProof/>
          <w:kern w:val="22"/>
          <w:szCs w:val="22"/>
          <w:lang w:val="fr-CA"/>
        </w:rPr>
        <w:t xml:space="preserve"> </w:t>
      </w:r>
    </w:p>
    <w:p w:rsidR="004F6661" w:rsidRPr="001D35D1" w:rsidRDefault="00D60D24" w:rsidP="00D60D24">
      <w:pPr>
        <w:suppressLineNumbers/>
        <w:suppressAutoHyphens/>
        <w:spacing w:after="120"/>
        <w:ind w:firstLine="720"/>
        <w:rPr>
          <w:kern w:val="22"/>
          <w:szCs w:val="22"/>
          <w:lang w:val="fr-CA"/>
        </w:rPr>
      </w:pPr>
      <w:r w:rsidRPr="005879DC">
        <w:rPr>
          <w:i/>
          <w:iCs/>
          <w:kern w:val="22"/>
          <w:lang w:val="fr-CA"/>
        </w:rPr>
        <w:t>Reconnaissant</w:t>
      </w:r>
      <w:r w:rsidRPr="005879DC">
        <w:rPr>
          <w:iCs/>
          <w:kern w:val="22"/>
          <w:lang w:val="fr-CA"/>
        </w:rPr>
        <w:t xml:space="preserve"> le processus de négociation en cours concernant un instrument international juridiquement contraignant au titre de la</w:t>
      </w:r>
      <w:r w:rsidRPr="005879DC">
        <w:rPr>
          <w:i/>
          <w:iCs/>
          <w:kern w:val="22"/>
          <w:lang w:val="fr-CA"/>
        </w:rPr>
        <w:t xml:space="preserve"> </w:t>
      </w:r>
      <w:r w:rsidRPr="005879DC">
        <w:rPr>
          <w:rStyle w:val="Emphasis"/>
          <w:i w:val="0"/>
          <w:lang w:val="fr-CA"/>
        </w:rPr>
        <w:t>Convention des Nations Unies sur le droit de la mer portant sur la conservation et l</w:t>
      </w:r>
      <w:r w:rsidR="0069339F">
        <w:rPr>
          <w:rStyle w:val="Emphasis"/>
          <w:i w:val="0"/>
          <w:lang w:val="fr-CA"/>
        </w:rPr>
        <w:t>’</w:t>
      </w:r>
      <w:r w:rsidRPr="005879DC">
        <w:rPr>
          <w:rStyle w:val="Emphasis"/>
          <w:i w:val="0"/>
          <w:lang w:val="fr-CA"/>
        </w:rPr>
        <w:t>utilisation durable de la diversité biologique marine dans les zones situées au</w:t>
      </w:r>
      <w:r w:rsidR="0069339F">
        <w:rPr>
          <w:rStyle w:val="Emphasis"/>
          <w:i w:val="0"/>
          <w:lang w:val="fr-CA"/>
        </w:rPr>
        <w:noBreakHyphen/>
      </w:r>
      <w:r w:rsidRPr="005879DC">
        <w:rPr>
          <w:rStyle w:val="Emphasis"/>
          <w:i w:val="0"/>
          <w:lang w:val="fr-CA"/>
        </w:rPr>
        <w:t>delà des limites des juridictions nationales,</w:t>
      </w:r>
      <w:r w:rsidRPr="005879DC">
        <w:rPr>
          <w:i/>
          <w:iCs/>
          <w:kern w:val="22"/>
          <w:lang w:val="fr-CA"/>
        </w:rPr>
        <w:t xml:space="preserve"> </w:t>
      </w:r>
      <w:r w:rsidRPr="005879DC">
        <w:rPr>
          <w:iCs/>
          <w:kern w:val="22"/>
          <w:lang w:val="fr-CA"/>
        </w:rPr>
        <w:t>qui devrait également aborder l</w:t>
      </w:r>
      <w:r w:rsidR="0069339F">
        <w:rPr>
          <w:iCs/>
          <w:kern w:val="22"/>
          <w:lang w:val="fr-CA"/>
        </w:rPr>
        <w:t>’</w:t>
      </w:r>
      <w:r w:rsidRPr="005879DC">
        <w:rPr>
          <w:iCs/>
          <w:kern w:val="22"/>
          <w:lang w:val="fr-CA"/>
        </w:rPr>
        <w:t>accès et le partage des avantages découlant de l</w:t>
      </w:r>
      <w:r w:rsidR="0069339F">
        <w:rPr>
          <w:iCs/>
          <w:kern w:val="22"/>
          <w:lang w:val="fr-CA"/>
        </w:rPr>
        <w:t>’</w:t>
      </w:r>
      <w:r w:rsidRPr="005879DC">
        <w:rPr>
          <w:iCs/>
          <w:kern w:val="22"/>
          <w:lang w:val="fr-CA"/>
        </w:rPr>
        <w:t>utilisation de ressources génétiques dans les zones situées au</w:t>
      </w:r>
      <w:r w:rsidR="0069339F">
        <w:rPr>
          <w:iCs/>
          <w:kern w:val="22"/>
          <w:lang w:val="fr-CA"/>
        </w:rPr>
        <w:noBreakHyphen/>
      </w:r>
      <w:r w:rsidRPr="005879DC">
        <w:rPr>
          <w:iCs/>
          <w:kern w:val="22"/>
          <w:lang w:val="fr-CA"/>
        </w:rPr>
        <w:t>delà des limites des juridictions nationales</w:t>
      </w:r>
      <w:r w:rsidR="004F6661" w:rsidRPr="001D35D1">
        <w:rPr>
          <w:kern w:val="22"/>
          <w:szCs w:val="22"/>
          <w:lang w:val="fr-CA"/>
        </w:rPr>
        <w:t>,</w:t>
      </w:r>
    </w:p>
    <w:p w:rsidR="00D60D24" w:rsidRPr="005879DC" w:rsidRDefault="003B1FF2" w:rsidP="00D60D24">
      <w:pPr>
        <w:pStyle w:val="Para1"/>
        <w:suppressLineNumbers/>
        <w:tabs>
          <w:tab w:val="left" w:pos="720"/>
        </w:tabs>
        <w:suppressAutoHyphens/>
        <w:kinsoku w:val="0"/>
        <w:overflowPunct w:val="0"/>
        <w:autoSpaceDE w:val="0"/>
        <w:autoSpaceDN w:val="0"/>
        <w:snapToGrid w:val="0"/>
        <w:ind w:firstLine="567"/>
        <w:rPr>
          <w:iCs/>
          <w:kern w:val="22"/>
          <w:szCs w:val="22"/>
          <w:lang w:val="fr-CA"/>
        </w:rPr>
      </w:pPr>
      <w:r w:rsidRPr="001D35D1">
        <w:rPr>
          <w:iCs/>
          <w:kern w:val="22"/>
          <w:szCs w:val="22"/>
          <w:lang w:val="fr-CA"/>
        </w:rPr>
        <w:t>1</w:t>
      </w:r>
      <w:r w:rsidR="004F6661" w:rsidRPr="001D35D1">
        <w:rPr>
          <w:iCs/>
          <w:kern w:val="22"/>
          <w:szCs w:val="22"/>
          <w:lang w:val="fr-CA"/>
        </w:rPr>
        <w:t>.</w:t>
      </w:r>
      <w:r w:rsidR="004F6661" w:rsidRPr="001D35D1">
        <w:rPr>
          <w:iCs/>
          <w:kern w:val="22"/>
          <w:szCs w:val="22"/>
          <w:lang w:val="fr-CA"/>
        </w:rPr>
        <w:tab/>
      </w:r>
      <w:r w:rsidR="00D60D24" w:rsidRPr="005879DC">
        <w:rPr>
          <w:i/>
          <w:iCs/>
          <w:kern w:val="22"/>
          <w:szCs w:val="22"/>
          <w:lang w:val="fr-CA"/>
        </w:rPr>
        <w:t>Prend note</w:t>
      </w:r>
      <w:r w:rsidR="00D60D24" w:rsidRPr="005879DC">
        <w:rPr>
          <w:iCs/>
          <w:kern w:val="22"/>
          <w:szCs w:val="22"/>
          <w:lang w:val="fr-CA"/>
        </w:rPr>
        <w:t xml:space="preserve"> des soumissions de points de vue et d</w:t>
      </w:r>
      <w:r w:rsidR="0069339F">
        <w:rPr>
          <w:iCs/>
          <w:kern w:val="22"/>
          <w:szCs w:val="22"/>
          <w:lang w:val="fr-CA"/>
        </w:rPr>
        <w:t>’</w:t>
      </w:r>
      <w:r w:rsidR="00D60D24" w:rsidRPr="005879DC">
        <w:rPr>
          <w:iCs/>
          <w:kern w:val="22"/>
          <w:szCs w:val="22"/>
          <w:lang w:val="fr-CA"/>
        </w:rPr>
        <w:t>informations et de l</w:t>
      </w:r>
      <w:r w:rsidR="0069339F">
        <w:rPr>
          <w:iCs/>
          <w:kern w:val="22"/>
          <w:szCs w:val="22"/>
          <w:lang w:val="fr-CA"/>
        </w:rPr>
        <w:t>’</w:t>
      </w:r>
      <w:r w:rsidR="00D60D24" w:rsidRPr="005879DC">
        <w:rPr>
          <w:iCs/>
          <w:kern w:val="22"/>
          <w:szCs w:val="22"/>
          <w:lang w:val="fr-CA"/>
        </w:rPr>
        <w:t>étude évaluée par des pairs commandée par la Secrétaire exécutive pour recenser des cas spécifiques de ressources génétiques et de connaissances traditionnelles associées à des ressources génétiques dans des situations transfrontières, ou pour lesquels il n</w:t>
      </w:r>
      <w:r w:rsidR="0069339F">
        <w:rPr>
          <w:iCs/>
          <w:kern w:val="22"/>
          <w:szCs w:val="22"/>
          <w:lang w:val="fr-CA"/>
        </w:rPr>
        <w:t>’</w:t>
      </w:r>
      <w:r w:rsidR="00D60D24" w:rsidRPr="005879DC">
        <w:rPr>
          <w:iCs/>
          <w:kern w:val="22"/>
          <w:szCs w:val="22"/>
          <w:lang w:val="fr-CA"/>
        </w:rPr>
        <w:t>est pas possible d</w:t>
      </w:r>
      <w:r w:rsidR="0069339F">
        <w:rPr>
          <w:iCs/>
          <w:kern w:val="22"/>
          <w:szCs w:val="22"/>
          <w:lang w:val="fr-CA"/>
        </w:rPr>
        <w:t>’</w:t>
      </w:r>
      <w:r w:rsidR="00D60D24" w:rsidRPr="005879DC">
        <w:rPr>
          <w:iCs/>
          <w:kern w:val="22"/>
          <w:szCs w:val="22"/>
          <w:lang w:val="fr-CA"/>
        </w:rPr>
        <w:t>accorder ou d</w:t>
      </w:r>
      <w:r w:rsidR="0069339F">
        <w:rPr>
          <w:iCs/>
          <w:kern w:val="22"/>
          <w:szCs w:val="22"/>
          <w:lang w:val="fr-CA"/>
        </w:rPr>
        <w:t>’</w:t>
      </w:r>
      <w:r w:rsidR="00D60D24" w:rsidRPr="005879DC">
        <w:rPr>
          <w:iCs/>
          <w:kern w:val="22"/>
          <w:szCs w:val="22"/>
          <w:lang w:val="fr-CA"/>
        </w:rPr>
        <w:t>obtenir un consentement préalable en connaissance de cause;</w:t>
      </w:r>
    </w:p>
    <w:p w:rsidR="00D60D24" w:rsidRPr="005879DC" w:rsidRDefault="00D60D24" w:rsidP="00D60D24">
      <w:pPr>
        <w:pStyle w:val="Para1"/>
        <w:suppressLineNumbers/>
        <w:tabs>
          <w:tab w:val="left" w:pos="720"/>
        </w:tabs>
        <w:suppressAutoHyphens/>
        <w:kinsoku w:val="0"/>
        <w:overflowPunct w:val="0"/>
        <w:autoSpaceDE w:val="0"/>
        <w:autoSpaceDN w:val="0"/>
        <w:snapToGrid w:val="0"/>
        <w:ind w:firstLine="567"/>
        <w:rPr>
          <w:iCs/>
          <w:kern w:val="22"/>
          <w:szCs w:val="22"/>
          <w:lang w:val="fr-CA"/>
        </w:rPr>
      </w:pPr>
      <w:r w:rsidRPr="005879DC">
        <w:rPr>
          <w:iCs/>
          <w:kern w:val="22"/>
          <w:szCs w:val="22"/>
          <w:lang w:val="fr-CA"/>
        </w:rPr>
        <w:t>2.</w:t>
      </w:r>
      <w:r w:rsidRPr="005879DC">
        <w:rPr>
          <w:iCs/>
          <w:kern w:val="22"/>
          <w:szCs w:val="22"/>
          <w:lang w:val="fr-CA"/>
        </w:rPr>
        <w:tab/>
      </w:r>
      <w:r w:rsidRPr="005879DC">
        <w:rPr>
          <w:i/>
          <w:iCs/>
          <w:kern w:val="22"/>
          <w:szCs w:val="22"/>
          <w:lang w:val="fr-CA"/>
        </w:rPr>
        <w:t>Estime que</w:t>
      </w:r>
      <w:r w:rsidRPr="005879DC">
        <w:rPr>
          <w:kern w:val="22"/>
          <w:szCs w:val="22"/>
          <w:lang w:val="fr-CA"/>
        </w:rPr>
        <w:t xml:space="preserve"> les cas recensés dans les soumissions ainsi que l</w:t>
      </w:r>
      <w:r w:rsidR="0069339F">
        <w:rPr>
          <w:kern w:val="22"/>
          <w:szCs w:val="22"/>
          <w:lang w:val="fr-CA"/>
        </w:rPr>
        <w:t>’</w:t>
      </w:r>
      <w:r w:rsidRPr="005879DC">
        <w:rPr>
          <w:kern w:val="22"/>
          <w:szCs w:val="22"/>
          <w:lang w:val="fr-CA"/>
        </w:rPr>
        <w:t xml:space="preserve">étude évaluée par des pairs sont instructifs, et </w:t>
      </w:r>
      <w:r w:rsidRPr="005879DC">
        <w:rPr>
          <w:i/>
          <w:kern w:val="22"/>
          <w:szCs w:val="22"/>
          <w:lang w:val="fr-CA"/>
        </w:rPr>
        <w:t>décide</w:t>
      </w:r>
      <w:r w:rsidRPr="005879DC">
        <w:rPr>
          <w:kern w:val="22"/>
          <w:szCs w:val="22"/>
          <w:lang w:val="fr-CA"/>
        </w:rPr>
        <w:t xml:space="preserve"> de procéder à l</w:t>
      </w:r>
      <w:r w:rsidR="0069339F">
        <w:rPr>
          <w:kern w:val="22"/>
          <w:szCs w:val="22"/>
          <w:lang w:val="fr-CA"/>
        </w:rPr>
        <w:t>’</w:t>
      </w:r>
      <w:r w:rsidRPr="005879DC">
        <w:rPr>
          <w:kern w:val="22"/>
          <w:szCs w:val="22"/>
          <w:lang w:val="fr-CA"/>
        </w:rPr>
        <w:t>exploration de modalités potentielles pour un mécanisme multilatéral mondial de partage des avantages;</w:t>
      </w:r>
    </w:p>
    <w:p w:rsidR="004F6661" w:rsidRPr="001D35D1" w:rsidRDefault="00D60D24" w:rsidP="00D60D24">
      <w:pPr>
        <w:pStyle w:val="Para1"/>
        <w:suppressLineNumbers/>
        <w:tabs>
          <w:tab w:val="left" w:pos="720"/>
        </w:tabs>
        <w:suppressAutoHyphens/>
        <w:kinsoku w:val="0"/>
        <w:overflowPunct w:val="0"/>
        <w:autoSpaceDE w:val="0"/>
        <w:autoSpaceDN w:val="0"/>
        <w:snapToGrid w:val="0"/>
        <w:spacing w:before="0"/>
        <w:ind w:firstLine="720"/>
        <w:rPr>
          <w:iCs/>
          <w:kern w:val="22"/>
          <w:szCs w:val="22"/>
          <w:lang w:val="fr-CA"/>
        </w:rPr>
      </w:pPr>
      <w:r w:rsidRPr="005879DC">
        <w:rPr>
          <w:iCs/>
          <w:kern w:val="22"/>
          <w:szCs w:val="22"/>
          <w:lang w:val="fr-CA"/>
        </w:rPr>
        <w:lastRenderedPageBreak/>
        <w:t>3.</w:t>
      </w:r>
      <w:r w:rsidRPr="005879DC">
        <w:rPr>
          <w:iCs/>
          <w:kern w:val="22"/>
          <w:szCs w:val="22"/>
          <w:lang w:val="fr-CA"/>
        </w:rPr>
        <w:tab/>
      </w:r>
      <w:r w:rsidRPr="005879DC">
        <w:rPr>
          <w:i/>
          <w:iCs/>
          <w:kern w:val="22"/>
          <w:szCs w:val="22"/>
          <w:lang w:val="fr-CA"/>
        </w:rPr>
        <w:t>Invite</w:t>
      </w:r>
      <w:r w:rsidRPr="005879DC">
        <w:rPr>
          <w:iCs/>
          <w:kern w:val="22"/>
          <w:szCs w:val="22"/>
          <w:lang w:val="fr-CA"/>
        </w:rPr>
        <w:t xml:space="preserve"> les Parties, les autres gouvernements, les peuples autochtones et les communautés locales, l</w:t>
      </w:r>
      <w:r>
        <w:rPr>
          <w:iCs/>
          <w:kern w:val="22"/>
          <w:szCs w:val="22"/>
          <w:lang w:val="fr-CA"/>
        </w:rPr>
        <w:t>es parties prenantes concernées</w:t>
      </w:r>
      <w:r w:rsidRPr="005879DC">
        <w:rPr>
          <w:iCs/>
          <w:kern w:val="22"/>
          <w:szCs w:val="22"/>
          <w:lang w:val="fr-CA"/>
        </w:rPr>
        <w:t xml:space="preserve"> et les organisations à présenter à la Secrétaire exécutive des points de vue et des informations sur les éventuelles modalités d</w:t>
      </w:r>
      <w:r w:rsidR="0069339F">
        <w:rPr>
          <w:iCs/>
          <w:kern w:val="22"/>
          <w:szCs w:val="22"/>
          <w:lang w:val="fr-CA"/>
        </w:rPr>
        <w:t>’</w:t>
      </w:r>
      <w:r w:rsidRPr="005879DC">
        <w:rPr>
          <w:iCs/>
          <w:kern w:val="22"/>
          <w:szCs w:val="22"/>
          <w:lang w:val="fr-CA"/>
        </w:rPr>
        <w:t>un mécanisme multilatéral mondial de partage des avantages, y compris des options de modes de participation, de partage des avantages, et de gouvernance, ainsi que des options de coopération pour aborder les situations énoncées à l</w:t>
      </w:r>
      <w:r w:rsidR="0069339F">
        <w:rPr>
          <w:iCs/>
          <w:kern w:val="22"/>
          <w:szCs w:val="22"/>
          <w:lang w:val="fr-CA"/>
        </w:rPr>
        <w:t>’</w:t>
      </w:r>
      <w:r w:rsidRPr="005879DC">
        <w:rPr>
          <w:iCs/>
          <w:kern w:val="22"/>
          <w:szCs w:val="22"/>
          <w:lang w:val="fr-CA"/>
        </w:rPr>
        <w:t>article 11 du Protocole de Nagoya;</w:t>
      </w:r>
    </w:p>
    <w:p w:rsidR="00D60D24" w:rsidRPr="005879DC" w:rsidRDefault="006E4E5D" w:rsidP="00D60D24">
      <w:pPr>
        <w:pStyle w:val="Para1"/>
        <w:suppressLineNumbers/>
        <w:tabs>
          <w:tab w:val="left" w:pos="720"/>
        </w:tabs>
        <w:suppressAutoHyphens/>
        <w:kinsoku w:val="0"/>
        <w:overflowPunct w:val="0"/>
        <w:autoSpaceDE w:val="0"/>
        <w:autoSpaceDN w:val="0"/>
        <w:snapToGrid w:val="0"/>
        <w:ind w:firstLine="567"/>
        <w:rPr>
          <w:iCs/>
          <w:kern w:val="22"/>
          <w:szCs w:val="22"/>
          <w:lang w:val="fr-CA"/>
        </w:rPr>
      </w:pPr>
      <w:r w:rsidRPr="001D35D1">
        <w:rPr>
          <w:iCs/>
          <w:kern w:val="22"/>
          <w:szCs w:val="22"/>
          <w:lang w:val="fr-CA"/>
        </w:rPr>
        <w:t>4</w:t>
      </w:r>
      <w:r w:rsidR="004F6661" w:rsidRPr="001D35D1">
        <w:rPr>
          <w:iCs/>
          <w:kern w:val="22"/>
          <w:szCs w:val="22"/>
          <w:lang w:val="fr-CA"/>
        </w:rPr>
        <w:t>.</w:t>
      </w:r>
      <w:r w:rsidR="004F6661" w:rsidRPr="001D35D1">
        <w:rPr>
          <w:iCs/>
          <w:kern w:val="22"/>
          <w:szCs w:val="22"/>
          <w:lang w:val="fr-CA"/>
        </w:rPr>
        <w:tab/>
      </w:r>
      <w:r w:rsidR="00D60D24" w:rsidRPr="005879DC">
        <w:rPr>
          <w:i/>
          <w:iCs/>
          <w:kern w:val="22"/>
          <w:szCs w:val="22"/>
          <w:lang w:val="fr-CA"/>
        </w:rPr>
        <w:t>Décide</w:t>
      </w:r>
      <w:r w:rsidR="00D60D24" w:rsidRPr="005879DC">
        <w:rPr>
          <w:i/>
          <w:kern w:val="22"/>
          <w:szCs w:val="22"/>
          <w:lang w:val="fr-CA"/>
        </w:rPr>
        <w:t xml:space="preserve"> </w:t>
      </w:r>
      <w:r w:rsidR="00D60D24" w:rsidRPr="005879DC">
        <w:rPr>
          <w:kern w:val="22"/>
          <w:szCs w:val="22"/>
          <w:lang w:val="fr-CA"/>
        </w:rPr>
        <w:t>d</w:t>
      </w:r>
      <w:r w:rsidR="0069339F">
        <w:rPr>
          <w:kern w:val="22"/>
          <w:szCs w:val="22"/>
          <w:lang w:val="fr-CA"/>
        </w:rPr>
        <w:t>’</w:t>
      </w:r>
      <w:r w:rsidR="00D60D24" w:rsidRPr="005879DC">
        <w:rPr>
          <w:kern w:val="22"/>
          <w:szCs w:val="22"/>
          <w:lang w:val="fr-CA"/>
        </w:rPr>
        <w:t>établir un groupe spécial d</w:t>
      </w:r>
      <w:r w:rsidR="0069339F">
        <w:rPr>
          <w:kern w:val="22"/>
          <w:szCs w:val="22"/>
          <w:lang w:val="fr-CA"/>
        </w:rPr>
        <w:t>’</w:t>
      </w:r>
      <w:r w:rsidR="00D60D24" w:rsidRPr="005879DC">
        <w:rPr>
          <w:kern w:val="22"/>
          <w:szCs w:val="22"/>
          <w:lang w:val="fr-CA"/>
        </w:rPr>
        <w:t>experts techniques, doté du mandat énoncé dans l</w:t>
      </w:r>
      <w:r w:rsidR="0069339F">
        <w:rPr>
          <w:kern w:val="22"/>
          <w:szCs w:val="22"/>
          <w:lang w:val="fr-CA"/>
        </w:rPr>
        <w:t>’</w:t>
      </w:r>
      <w:r w:rsidR="00D60D24" w:rsidRPr="005879DC">
        <w:rPr>
          <w:kern w:val="22"/>
          <w:szCs w:val="22"/>
          <w:lang w:val="fr-CA"/>
        </w:rPr>
        <w:t>annexe à la présente décision, afin d</w:t>
      </w:r>
      <w:r w:rsidR="0069339F">
        <w:rPr>
          <w:kern w:val="22"/>
          <w:szCs w:val="22"/>
          <w:lang w:val="fr-CA"/>
        </w:rPr>
        <w:t>’</w:t>
      </w:r>
      <w:r w:rsidR="00D60D24" w:rsidRPr="005879DC">
        <w:rPr>
          <w:kern w:val="22"/>
          <w:szCs w:val="22"/>
          <w:lang w:val="fr-CA"/>
        </w:rPr>
        <w:t>examiner les possibles modalités d</w:t>
      </w:r>
      <w:r w:rsidR="0069339F">
        <w:rPr>
          <w:kern w:val="22"/>
          <w:szCs w:val="22"/>
          <w:lang w:val="fr-CA"/>
        </w:rPr>
        <w:t>’</w:t>
      </w:r>
      <w:r w:rsidR="00D60D24" w:rsidRPr="005879DC">
        <w:rPr>
          <w:kern w:val="22"/>
          <w:szCs w:val="22"/>
          <w:lang w:val="fr-CA"/>
        </w:rPr>
        <w:t>un mécanisme multilatéral mondial de partage des avantages en application de l</w:t>
      </w:r>
      <w:r w:rsidR="0069339F">
        <w:rPr>
          <w:kern w:val="22"/>
          <w:szCs w:val="22"/>
          <w:lang w:val="fr-CA"/>
        </w:rPr>
        <w:t>’</w:t>
      </w:r>
      <w:r w:rsidR="00D60D24" w:rsidRPr="005879DC">
        <w:rPr>
          <w:kern w:val="22"/>
          <w:szCs w:val="22"/>
          <w:lang w:val="fr-CA"/>
        </w:rPr>
        <w:t>article 10 du Protocole de Nagoya, et de soumettre son rapport à l</w:t>
      </w:r>
      <w:r w:rsidR="0069339F">
        <w:rPr>
          <w:kern w:val="22"/>
          <w:szCs w:val="22"/>
          <w:lang w:val="fr-CA"/>
        </w:rPr>
        <w:t>’</w:t>
      </w:r>
      <w:r w:rsidR="00D60D24" w:rsidRPr="005879DC">
        <w:rPr>
          <w:kern w:val="22"/>
          <w:szCs w:val="22"/>
          <w:lang w:val="fr-CA"/>
        </w:rPr>
        <w:t>Organe subsidiaire chargé de l</w:t>
      </w:r>
      <w:r w:rsidR="0069339F">
        <w:rPr>
          <w:kern w:val="22"/>
          <w:szCs w:val="22"/>
          <w:lang w:val="fr-CA"/>
        </w:rPr>
        <w:t>’</w:t>
      </w:r>
      <w:r w:rsidR="00D60D24" w:rsidRPr="005879DC">
        <w:rPr>
          <w:kern w:val="22"/>
          <w:szCs w:val="22"/>
          <w:lang w:val="fr-CA"/>
        </w:rPr>
        <w:t>application pour examen à sa quatrième réunion;</w:t>
      </w:r>
    </w:p>
    <w:p w:rsidR="00791D26" w:rsidRPr="001D35D1" w:rsidRDefault="00D60D24" w:rsidP="00D60D24">
      <w:pPr>
        <w:pStyle w:val="Para1"/>
        <w:suppressLineNumbers/>
        <w:tabs>
          <w:tab w:val="left" w:pos="720"/>
        </w:tabs>
        <w:suppressAutoHyphens/>
        <w:kinsoku w:val="0"/>
        <w:overflowPunct w:val="0"/>
        <w:autoSpaceDE w:val="0"/>
        <w:autoSpaceDN w:val="0"/>
        <w:snapToGrid w:val="0"/>
        <w:spacing w:before="0"/>
        <w:ind w:firstLine="720"/>
        <w:rPr>
          <w:i/>
          <w:kern w:val="22"/>
          <w:szCs w:val="22"/>
          <w:lang w:val="fr-CA"/>
        </w:rPr>
      </w:pPr>
      <w:r w:rsidRPr="005879DC">
        <w:rPr>
          <w:iCs/>
          <w:kern w:val="22"/>
          <w:szCs w:val="22"/>
          <w:lang w:val="fr-CA"/>
        </w:rPr>
        <w:t>5.</w:t>
      </w:r>
      <w:r w:rsidRPr="005879DC">
        <w:rPr>
          <w:iCs/>
          <w:kern w:val="22"/>
          <w:szCs w:val="22"/>
          <w:lang w:val="fr-CA"/>
        </w:rPr>
        <w:tab/>
      </w:r>
      <w:r w:rsidRPr="005879DC">
        <w:rPr>
          <w:i/>
          <w:iCs/>
          <w:kern w:val="22"/>
          <w:szCs w:val="22"/>
          <w:lang w:val="fr-CA"/>
        </w:rPr>
        <w:t>Demande</w:t>
      </w:r>
      <w:r w:rsidRPr="005879DC">
        <w:rPr>
          <w:iCs/>
          <w:kern w:val="22"/>
          <w:szCs w:val="22"/>
          <w:lang w:val="fr-CA"/>
        </w:rPr>
        <w:t xml:space="preserve"> à l</w:t>
      </w:r>
      <w:r w:rsidR="0069339F">
        <w:rPr>
          <w:iCs/>
          <w:kern w:val="22"/>
          <w:szCs w:val="22"/>
          <w:lang w:val="fr-CA"/>
        </w:rPr>
        <w:t>’</w:t>
      </w:r>
      <w:r w:rsidRPr="005879DC">
        <w:rPr>
          <w:iCs/>
          <w:kern w:val="22"/>
          <w:szCs w:val="22"/>
          <w:lang w:val="fr-CA"/>
        </w:rPr>
        <w:t>Organe subsidiaire chargé de l</w:t>
      </w:r>
      <w:r w:rsidR="0069339F">
        <w:rPr>
          <w:iCs/>
          <w:kern w:val="22"/>
          <w:szCs w:val="22"/>
          <w:lang w:val="fr-CA"/>
        </w:rPr>
        <w:t>’</w:t>
      </w:r>
      <w:r w:rsidRPr="005879DC">
        <w:rPr>
          <w:iCs/>
          <w:kern w:val="22"/>
          <w:szCs w:val="22"/>
          <w:lang w:val="fr-CA"/>
        </w:rPr>
        <w:t>application d</w:t>
      </w:r>
      <w:r w:rsidR="0069339F">
        <w:rPr>
          <w:iCs/>
          <w:kern w:val="22"/>
          <w:szCs w:val="22"/>
          <w:lang w:val="fr-CA"/>
        </w:rPr>
        <w:t>’</w:t>
      </w:r>
      <w:r w:rsidRPr="005879DC">
        <w:rPr>
          <w:iCs/>
          <w:kern w:val="22"/>
          <w:szCs w:val="22"/>
          <w:lang w:val="fr-CA"/>
        </w:rPr>
        <w:t>examiner le rapport du groupe spécial d</w:t>
      </w:r>
      <w:r w:rsidR="0069339F">
        <w:rPr>
          <w:iCs/>
          <w:kern w:val="22"/>
          <w:szCs w:val="22"/>
          <w:lang w:val="fr-CA"/>
        </w:rPr>
        <w:t>’</w:t>
      </w:r>
      <w:r w:rsidRPr="005879DC">
        <w:rPr>
          <w:iCs/>
          <w:kern w:val="22"/>
          <w:szCs w:val="22"/>
          <w:lang w:val="fr-CA"/>
        </w:rPr>
        <w:t>experts techniques susmentionné au paragraphe 4 et de faire des recommandations à la Conférence des Parties siégeant en tant que Réunion des Parties au Protocole de Nagoya, pour examen à sa cinquième réunion</w:t>
      </w:r>
      <w:r w:rsidR="00C769EC" w:rsidRPr="001D35D1">
        <w:rPr>
          <w:iCs/>
          <w:kern w:val="22"/>
          <w:szCs w:val="22"/>
          <w:lang w:val="fr-CA"/>
        </w:rPr>
        <w:t>;</w:t>
      </w:r>
    </w:p>
    <w:p w:rsidR="00D60D24" w:rsidRPr="005879DC" w:rsidRDefault="00791D26" w:rsidP="00D60D24">
      <w:pPr>
        <w:pStyle w:val="Para1"/>
        <w:suppressLineNumbers/>
        <w:tabs>
          <w:tab w:val="left" w:pos="720"/>
        </w:tabs>
        <w:suppressAutoHyphens/>
        <w:kinsoku w:val="0"/>
        <w:overflowPunct w:val="0"/>
        <w:autoSpaceDE w:val="0"/>
        <w:autoSpaceDN w:val="0"/>
        <w:snapToGrid w:val="0"/>
        <w:ind w:firstLine="567"/>
        <w:rPr>
          <w:iCs/>
          <w:kern w:val="22"/>
          <w:szCs w:val="22"/>
          <w:lang w:val="fr-CA"/>
        </w:rPr>
      </w:pPr>
      <w:r w:rsidRPr="001D35D1">
        <w:rPr>
          <w:iCs/>
          <w:kern w:val="22"/>
          <w:szCs w:val="22"/>
          <w:lang w:val="fr-CA"/>
        </w:rPr>
        <w:t>6.</w:t>
      </w:r>
      <w:r w:rsidR="00563ECA" w:rsidRPr="001D35D1">
        <w:rPr>
          <w:iCs/>
          <w:kern w:val="22"/>
          <w:szCs w:val="22"/>
          <w:lang w:val="fr-CA"/>
        </w:rPr>
        <w:tab/>
      </w:r>
      <w:r w:rsidR="00D60D24" w:rsidRPr="005879DC">
        <w:rPr>
          <w:i/>
          <w:iCs/>
          <w:kern w:val="22"/>
          <w:szCs w:val="22"/>
          <w:lang w:val="fr-CA"/>
        </w:rPr>
        <w:t>Prie</w:t>
      </w:r>
      <w:r w:rsidR="00D60D24" w:rsidRPr="005879DC">
        <w:rPr>
          <w:kern w:val="22"/>
          <w:szCs w:val="22"/>
          <w:lang w:val="fr-CA"/>
        </w:rPr>
        <w:t xml:space="preserve"> la Secrétaire exécutive de faciliter les travaux du groupe spécial d</w:t>
      </w:r>
      <w:r w:rsidR="0069339F">
        <w:rPr>
          <w:kern w:val="22"/>
          <w:szCs w:val="22"/>
          <w:lang w:val="fr-CA"/>
        </w:rPr>
        <w:t>’</w:t>
      </w:r>
      <w:r w:rsidR="00D60D24" w:rsidRPr="005879DC">
        <w:rPr>
          <w:kern w:val="22"/>
          <w:szCs w:val="22"/>
          <w:lang w:val="fr-CA"/>
        </w:rPr>
        <w:t>experts techniques mentionné au paragraphe 4, notamment :</w:t>
      </w:r>
    </w:p>
    <w:p w:rsidR="00D60D24" w:rsidRPr="005879DC" w:rsidRDefault="00D60D24" w:rsidP="00D60D24">
      <w:pPr>
        <w:pStyle w:val="Para1"/>
        <w:suppressLineNumbers/>
        <w:tabs>
          <w:tab w:val="left" w:pos="720"/>
        </w:tabs>
        <w:suppressAutoHyphens/>
        <w:kinsoku w:val="0"/>
        <w:overflowPunct w:val="0"/>
        <w:autoSpaceDE w:val="0"/>
        <w:autoSpaceDN w:val="0"/>
        <w:snapToGrid w:val="0"/>
        <w:ind w:firstLine="567"/>
        <w:rPr>
          <w:iCs/>
          <w:noProof/>
          <w:kern w:val="22"/>
          <w:szCs w:val="22"/>
          <w:lang w:val="fr-CA"/>
        </w:rPr>
      </w:pPr>
      <w:bookmarkStart w:id="8" w:name="_Hlk44400819"/>
      <w:r w:rsidRPr="005879DC">
        <w:rPr>
          <w:iCs/>
          <w:kern w:val="22"/>
          <w:szCs w:val="22"/>
          <w:lang w:val="fr-CA"/>
        </w:rPr>
        <w:t>a)</w:t>
      </w:r>
      <w:r w:rsidRPr="005879DC">
        <w:rPr>
          <w:iCs/>
          <w:kern w:val="22"/>
          <w:szCs w:val="22"/>
          <w:lang w:val="fr-CA"/>
        </w:rPr>
        <w:tab/>
        <w:t>En préparant une synthèse des points de vue et des informations dont il est ques</w:t>
      </w:r>
      <w:r>
        <w:rPr>
          <w:iCs/>
          <w:kern w:val="22"/>
          <w:szCs w:val="22"/>
          <w:lang w:val="fr-CA"/>
        </w:rPr>
        <w:t xml:space="preserve">tion au </w:t>
      </w:r>
      <w:r>
        <w:rPr>
          <w:iCs/>
          <w:noProof/>
          <w:kern w:val="22"/>
          <w:szCs w:val="22"/>
          <w:lang w:val="fr-CA"/>
        </w:rPr>
        <w:t>paragraphe 3 ci</w:t>
      </w:r>
      <w:r w:rsidR="0069339F">
        <w:rPr>
          <w:iCs/>
          <w:noProof/>
          <w:kern w:val="22"/>
          <w:szCs w:val="22"/>
          <w:lang w:val="fr-CA"/>
        </w:rPr>
        <w:noBreakHyphen/>
      </w:r>
      <w:r>
        <w:rPr>
          <w:iCs/>
          <w:noProof/>
          <w:kern w:val="22"/>
          <w:szCs w:val="22"/>
          <w:lang w:val="fr-CA"/>
        </w:rPr>
        <w:t>dessus;</w:t>
      </w:r>
    </w:p>
    <w:bookmarkEnd w:id="8"/>
    <w:p w:rsidR="00D60D24" w:rsidRPr="005879DC" w:rsidRDefault="00D60D24" w:rsidP="00D60D24">
      <w:pPr>
        <w:pStyle w:val="Para1"/>
        <w:tabs>
          <w:tab w:val="left" w:pos="720"/>
        </w:tabs>
        <w:spacing w:before="60" w:after="60"/>
        <w:ind w:firstLine="567"/>
        <w:rPr>
          <w:iCs/>
          <w:kern w:val="22"/>
          <w:szCs w:val="22"/>
          <w:lang w:val="fr-CA"/>
        </w:rPr>
      </w:pPr>
      <w:r w:rsidRPr="005879DC">
        <w:rPr>
          <w:iCs/>
          <w:kern w:val="22"/>
          <w:szCs w:val="22"/>
          <w:lang w:val="fr-CA"/>
        </w:rPr>
        <w:t>b)</w:t>
      </w:r>
      <w:r w:rsidRPr="005879DC">
        <w:rPr>
          <w:iCs/>
          <w:kern w:val="22"/>
          <w:szCs w:val="22"/>
          <w:lang w:val="fr-CA"/>
        </w:rPr>
        <w:tab/>
        <w:t xml:space="preserve">En établissant un forum en ligne pour examiner la synthèse des points de vue </w:t>
      </w:r>
      <w:r>
        <w:rPr>
          <w:iCs/>
          <w:kern w:val="22"/>
          <w:szCs w:val="22"/>
          <w:lang w:val="fr-CA"/>
        </w:rPr>
        <w:t xml:space="preserve">et des informations précités; </w:t>
      </w:r>
    </w:p>
    <w:p w:rsidR="008A269F" w:rsidRPr="001D35D1" w:rsidRDefault="00D60D24" w:rsidP="00D60D24">
      <w:pPr>
        <w:pStyle w:val="Para1"/>
        <w:suppressLineNumbers/>
        <w:tabs>
          <w:tab w:val="left" w:pos="720"/>
        </w:tabs>
        <w:suppressAutoHyphens/>
        <w:kinsoku w:val="0"/>
        <w:overflowPunct w:val="0"/>
        <w:autoSpaceDE w:val="0"/>
        <w:autoSpaceDN w:val="0"/>
        <w:snapToGrid w:val="0"/>
        <w:spacing w:before="0"/>
        <w:ind w:firstLine="567"/>
        <w:rPr>
          <w:iCs/>
          <w:kern w:val="22"/>
          <w:szCs w:val="22"/>
          <w:lang w:val="fr-CA"/>
        </w:rPr>
      </w:pPr>
      <w:r w:rsidRPr="005879DC">
        <w:rPr>
          <w:kern w:val="22"/>
          <w:lang w:val="fr-CA"/>
        </w:rPr>
        <w:t>c)</w:t>
      </w:r>
      <w:r w:rsidRPr="005879DC">
        <w:rPr>
          <w:kern w:val="22"/>
          <w:lang w:val="fr-CA"/>
        </w:rPr>
        <w:tab/>
        <w:t>En élaborant un rapport de synthèse sur les résultats du forum en ligne et en le soumettant au groupe spécial d</w:t>
      </w:r>
      <w:r w:rsidR="0069339F">
        <w:rPr>
          <w:kern w:val="22"/>
          <w:lang w:val="fr-CA"/>
        </w:rPr>
        <w:t>’</w:t>
      </w:r>
      <w:r w:rsidRPr="005879DC">
        <w:rPr>
          <w:kern w:val="22"/>
          <w:lang w:val="fr-CA"/>
        </w:rPr>
        <w:t>experts techniques</w:t>
      </w:r>
      <w:r w:rsidR="00D77E64" w:rsidRPr="001D35D1">
        <w:rPr>
          <w:kern w:val="22"/>
          <w:szCs w:val="22"/>
          <w:lang w:val="fr-CA"/>
        </w:rPr>
        <w:t>.</w:t>
      </w:r>
    </w:p>
    <w:p w:rsidR="009B6C5D" w:rsidRPr="001D35D1" w:rsidRDefault="009B6C5D" w:rsidP="00F76BAE">
      <w:pPr>
        <w:suppressLineNumbers/>
        <w:suppressAutoHyphens/>
        <w:jc w:val="left"/>
        <w:rPr>
          <w:iCs/>
          <w:snapToGrid w:val="0"/>
          <w:kern w:val="22"/>
          <w:szCs w:val="22"/>
          <w:lang w:val="fr-CA"/>
        </w:rPr>
      </w:pPr>
    </w:p>
    <w:p w:rsidR="001D35D1" w:rsidRDefault="001D35D1">
      <w:pPr>
        <w:jc w:val="left"/>
        <w:rPr>
          <w:i/>
          <w:snapToGrid w:val="0"/>
          <w:kern w:val="22"/>
          <w:szCs w:val="22"/>
          <w:lang w:val="fr-CA"/>
        </w:rPr>
      </w:pPr>
      <w:r>
        <w:rPr>
          <w:i/>
          <w:kern w:val="22"/>
          <w:szCs w:val="22"/>
          <w:lang w:val="fr-CA"/>
        </w:rPr>
        <w:br w:type="page"/>
      </w:r>
    </w:p>
    <w:p w:rsidR="00A6109C" w:rsidRPr="001D35D1" w:rsidRDefault="00A6109C" w:rsidP="00C50A3D">
      <w:pPr>
        <w:pStyle w:val="Para1"/>
        <w:suppressLineNumbers/>
        <w:tabs>
          <w:tab w:val="left" w:pos="720"/>
        </w:tabs>
        <w:suppressAutoHyphens/>
        <w:kinsoku w:val="0"/>
        <w:overflowPunct w:val="0"/>
        <w:autoSpaceDE w:val="0"/>
        <w:autoSpaceDN w:val="0"/>
        <w:snapToGrid w:val="0"/>
        <w:jc w:val="center"/>
        <w:rPr>
          <w:i/>
          <w:kern w:val="22"/>
          <w:szCs w:val="22"/>
          <w:lang w:val="fr-CA"/>
        </w:rPr>
      </w:pPr>
      <w:r w:rsidRPr="001D35D1">
        <w:rPr>
          <w:i/>
          <w:kern w:val="22"/>
          <w:szCs w:val="22"/>
          <w:lang w:val="fr-CA"/>
        </w:rPr>
        <w:lastRenderedPageBreak/>
        <w:t>Annex</w:t>
      </w:r>
      <w:r w:rsidR="000B2742" w:rsidRPr="001D35D1">
        <w:rPr>
          <w:i/>
          <w:kern w:val="22"/>
          <w:szCs w:val="22"/>
          <w:lang w:val="fr-CA"/>
        </w:rPr>
        <w:t>e</w:t>
      </w:r>
    </w:p>
    <w:p w:rsidR="00C70F13" w:rsidRPr="001D35D1" w:rsidRDefault="000B2742" w:rsidP="00F76BAE">
      <w:pPr>
        <w:pStyle w:val="Heading1"/>
        <w:suppressLineNumbers/>
        <w:tabs>
          <w:tab w:val="clear" w:pos="720"/>
        </w:tabs>
        <w:suppressAutoHyphens/>
        <w:spacing w:before="120"/>
        <w:rPr>
          <w:iCs/>
          <w:kern w:val="22"/>
          <w:szCs w:val="22"/>
          <w:lang w:val="fr-CA"/>
        </w:rPr>
      </w:pPr>
      <w:r w:rsidRPr="005879DC">
        <w:rPr>
          <w:kern w:val="22"/>
          <w:lang w:val="fr-CA"/>
        </w:rPr>
        <w:t>mandat du groupe spécial d</w:t>
      </w:r>
      <w:r w:rsidR="0069339F">
        <w:rPr>
          <w:kern w:val="22"/>
          <w:lang w:val="fr-CA"/>
        </w:rPr>
        <w:t>’</w:t>
      </w:r>
      <w:r w:rsidRPr="005879DC">
        <w:rPr>
          <w:kern w:val="22"/>
          <w:lang w:val="fr-CA"/>
        </w:rPr>
        <w:t>experts techniques sur un mécanisme m</w:t>
      </w:r>
      <w:bookmarkStart w:id="9" w:name="_GoBack"/>
      <w:bookmarkEnd w:id="9"/>
      <w:r w:rsidRPr="005879DC">
        <w:rPr>
          <w:kern w:val="22"/>
          <w:lang w:val="fr-CA"/>
        </w:rPr>
        <w:t>ultilatéral m</w:t>
      </w:r>
      <w:r>
        <w:rPr>
          <w:kern w:val="22"/>
          <w:lang w:val="fr-CA"/>
        </w:rPr>
        <w:t>ondial de partage des avantages</w:t>
      </w:r>
    </w:p>
    <w:p w:rsidR="000B2742" w:rsidRPr="005879DC" w:rsidRDefault="000B2742" w:rsidP="000B2742">
      <w:pPr>
        <w:pStyle w:val="Para1"/>
        <w:numPr>
          <w:ilvl w:val="0"/>
          <w:numId w:val="28"/>
        </w:numPr>
        <w:suppressLineNumbers/>
        <w:tabs>
          <w:tab w:val="clear" w:pos="360"/>
          <w:tab w:val="left" w:pos="720"/>
        </w:tabs>
        <w:suppressAutoHyphens/>
        <w:kinsoku w:val="0"/>
        <w:overflowPunct w:val="0"/>
        <w:autoSpaceDE w:val="0"/>
        <w:autoSpaceDN w:val="0"/>
        <w:snapToGrid w:val="0"/>
        <w:rPr>
          <w:iCs/>
          <w:kern w:val="22"/>
          <w:szCs w:val="22"/>
          <w:lang w:val="fr-CA"/>
        </w:rPr>
      </w:pPr>
      <w:r w:rsidRPr="005879DC">
        <w:rPr>
          <w:iCs/>
          <w:kern w:val="22"/>
          <w:szCs w:val="22"/>
          <w:lang w:val="fr-CA"/>
        </w:rPr>
        <w:t>Le Groupe spécial d</w:t>
      </w:r>
      <w:r w:rsidR="0069339F">
        <w:rPr>
          <w:iCs/>
          <w:kern w:val="22"/>
          <w:szCs w:val="22"/>
          <w:lang w:val="fr-CA"/>
        </w:rPr>
        <w:t>’</w:t>
      </w:r>
      <w:r w:rsidRPr="005879DC">
        <w:rPr>
          <w:iCs/>
          <w:kern w:val="22"/>
          <w:szCs w:val="22"/>
          <w:lang w:val="fr-CA"/>
        </w:rPr>
        <w:t>experts techniques recensera les possibles modalités d</w:t>
      </w:r>
      <w:r w:rsidR="0069339F">
        <w:rPr>
          <w:iCs/>
          <w:kern w:val="22"/>
          <w:szCs w:val="22"/>
          <w:lang w:val="fr-CA"/>
        </w:rPr>
        <w:t>’</w:t>
      </w:r>
      <w:r w:rsidRPr="005879DC">
        <w:rPr>
          <w:iCs/>
          <w:kern w:val="22"/>
          <w:szCs w:val="22"/>
          <w:lang w:val="fr-CA"/>
        </w:rPr>
        <w:t>un mécanisme multilatéral mondial de partage des avantages, en tenant compte :</w:t>
      </w:r>
    </w:p>
    <w:p w:rsidR="000B2742" w:rsidRPr="005879DC" w:rsidRDefault="000B2742" w:rsidP="000B2742">
      <w:pPr>
        <w:pStyle w:val="Para1"/>
        <w:suppressLineNumbers/>
        <w:tabs>
          <w:tab w:val="left" w:pos="720"/>
        </w:tabs>
        <w:suppressAutoHyphens/>
        <w:kinsoku w:val="0"/>
        <w:overflowPunct w:val="0"/>
        <w:autoSpaceDE w:val="0"/>
        <w:autoSpaceDN w:val="0"/>
        <w:snapToGrid w:val="0"/>
        <w:ind w:firstLine="709"/>
        <w:rPr>
          <w:iCs/>
          <w:kern w:val="22"/>
          <w:szCs w:val="22"/>
          <w:lang w:val="fr-CA"/>
        </w:rPr>
      </w:pPr>
      <w:r w:rsidRPr="005879DC">
        <w:rPr>
          <w:iCs/>
          <w:kern w:val="22"/>
          <w:szCs w:val="22"/>
          <w:lang w:val="fr-CA"/>
        </w:rPr>
        <w:t>a)</w:t>
      </w:r>
      <w:r w:rsidRPr="005879DC">
        <w:rPr>
          <w:iCs/>
          <w:kern w:val="22"/>
          <w:szCs w:val="22"/>
          <w:lang w:val="fr-CA"/>
        </w:rPr>
        <w:tab/>
        <w:t>Des</w:t>
      </w:r>
      <w:r>
        <w:rPr>
          <w:iCs/>
          <w:kern w:val="22"/>
          <w:szCs w:val="22"/>
          <w:lang w:val="fr-CA"/>
        </w:rPr>
        <w:t xml:space="preserve"> résultats du forum en ligne;</w:t>
      </w:r>
    </w:p>
    <w:p w:rsidR="000B2742" w:rsidRPr="005879DC" w:rsidRDefault="000B2742" w:rsidP="000B2742">
      <w:pPr>
        <w:pStyle w:val="Para1"/>
        <w:suppressLineNumbers/>
        <w:tabs>
          <w:tab w:val="left" w:pos="720"/>
        </w:tabs>
        <w:suppressAutoHyphens/>
        <w:kinsoku w:val="0"/>
        <w:overflowPunct w:val="0"/>
        <w:autoSpaceDE w:val="0"/>
        <w:autoSpaceDN w:val="0"/>
        <w:snapToGrid w:val="0"/>
        <w:ind w:firstLine="709"/>
        <w:rPr>
          <w:iCs/>
          <w:kern w:val="22"/>
          <w:szCs w:val="22"/>
          <w:lang w:val="fr-CA"/>
        </w:rPr>
      </w:pPr>
      <w:r w:rsidRPr="005879DC">
        <w:rPr>
          <w:iCs/>
          <w:kern w:val="22"/>
          <w:szCs w:val="22"/>
          <w:lang w:val="fr-CA"/>
        </w:rPr>
        <w:t>b)</w:t>
      </w:r>
      <w:r w:rsidRPr="005879DC">
        <w:rPr>
          <w:iCs/>
          <w:kern w:val="22"/>
          <w:szCs w:val="22"/>
          <w:lang w:val="fr-CA"/>
        </w:rPr>
        <w:tab/>
        <w:t>De la nécessité de faire en sorte que de telles modalités étayent les approches de partage des avantages établies au titre de la Convention et du Protocole de Nagoya et qu</w:t>
      </w:r>
      <w:r w:rsidR="0069339F">
        <w:rPr>
          <w:iCs/>
          <w:kern w:val="22"/>
          <w:szCs w:val="22"/>
          <w:lang w:val="fr-CA"/>
        </w:rPr>
        <w:t>’</w:t>
      </w:r>
      <w:r w:rsidRPr="005879DC">
        <w:rPr>
          <w:iCs/>
          <w:kern w:val="22"/>
          <w:szCs w:val="22"/>
          <w:lang w:val="fr-CA"/>
        </w:rPr>
        <w:t>elles soient complémentaires à d</w:t>
      </w:r>
      <w:r w:rsidR="0069339F">
        <w:rPr>
          <w:iCs/>
          <w:kern w:val="22"/>
          <w:szCs w:val="22"/>
          <w:lang w:val="fr-CA"/>
        </w:rPr>
        <w:t>’</w:t>
      </w:r>
      <w:r w:rsidRPr="005879DC">
        <w:rPr>
          <w:iCs/>
          <w:kern w:val="22"/>
          <w:szCs w:val="22"/>
          <w:lang w:val="fr-CA"/>
        </w:rPr>
        <w:t>autres mécanismes au titre d</w:t>
      </w:r>
      <w:r w:rsidR="0069339F">
        <w:rPr>
          <w:iCs/>
          <w:kern w:val="22"/>
          <w:szCs w:val="22"/>
          <w:lang w:val="fr-CA"/>
        </w:rPr>
        <w:t>’</w:t>
      </w:r>
      <w:r w:rsidRPr="005879DC">
        <w:rPr>
          <w:iCs/>
          <w:kern w:val="22"/>
          <w:szCs w:val="22"/>
          <w:lang w:val="fr-CA"/>
        </w:rPr>
        <w:t>instruments internationaux spécialisés d</w:t>
      </w:r>
      <w:r w:rsidR="0069339F">
        <w:rPr>
          <w:iCs/>
          <w:kern w:val="22"/>
          <w:szCs w:val="22"/>
          <w:lang w:val="fr-CA"/>
        </w:rPr>
        <w:t>’</w:t>
      </w:r>
      <w:r w:rsidRPr="005879DC">
        <w:rPr>
          <w:iCs/>
          <w:kern w:val="22"/>
          <w:szCs w:val="22"/>
          <w:lang w:val="fr-CA"/>
        </w:rPr>
        <w:t>accès</w:t>
      </w:r>
      <w:r>
        <w:rPr>
          <w:iCs/>
          <w:kern w:val="22"/>
          <w:szCs w:val="22"/>
          <w:lang w:val="fr-CA"/>
        </w:rPr>
        <w:t xml:space="preserve"> et de partage des avantages.</w:t>
      </w:r>
    </w:p>
    <w:p w:rsidR="000B2742" w:rsidRPr="005879DC" w:rsidRDefault="000B2742" w:rsidP="000B2742">
      <w:pPr>
        <w:pStyle w:val="Para1"/>
        <w:suppressLineNumbers/>
        <w:tabs>
          <w:tab w:val="left" w:pos="720"/>
        </w:tabs>
        <w:suppressAutoHyphens/>
        <w:kinsoku w:val="0"/>
        <w:overflowPunct w:val="0"/>
        <w:autoSpaceDE w:val="0"/>
        <w:autoSpaceDN w:val="0"/>
        <w:snapToGrid w:val="0"/>
        <w:rPr>
          <w:iCs/>
          <w:kern w:val="22"/>
          <w:szCs w:val="22"/>
          <w:lang w:val="fr-CA"/>
        </w:rPr>
      </w:pPr>
      <w:r w:rsidRPr="005879DC">
        <w:rPr>
          <w:iCs/>
          <w:kern w:val="22"/>
          <w:szCs w:val="22"/>
          <w:lang w:val="fr-CA"/>
        </w:rPr>
        <w:t>2.</w:t>
      </w:r>
      <w:r w:rsidRPr="005879DC">
        <w:rPr>
          <w:iCs/>
          <w:kern w:val="22"/>
          <w:szCs w:val="22"/>
          <w:lang w:val="fr-CA"/>
        </w:rPr>
        <w:tab/>
        <w:t>Le Groupe spécial d</w:t>
      </w:r>
      <w:r w:rsidR="0069339F">
        <w:rPr>
          <w:iCs/>
          <w:kern w:val="22"/>
          <w:szCs w:val="22"/>
          <w:lang w:val="fr-CA"/>
        </w:rPr>
        <w:t>’</w:t>
      </w:r>
      <w:r w:rsidRPr="005879DC">
        <w:rPr>
          <w:iCs/>
          <w:kern w:val="22"/>
          <w:szCs w:val="22"/>
          <w:lang w:val="fr-CA"/>
        </w:rPr>
        <w:t>experts techniques recensera également des options de modes de participation au mécanisme, de partage des avantages et de gouvernance, ainsi que des options de coopération pour aborder les cas visés à l</w:t>
      </w:r>
      <w:r w:rsidR="0069339F">
        <w:rPr>
          <w:iCs/>
          <w:kern w:val="22"/>
          <w:szCs w:val="22"/>
          <w:lang w:val="fr-CA"/>
        </w:rPr>
        <w:t>’</w:t>
      </w:r>
      <w:r w:rsidRPr="005879DC">
        <w:rPr>
          <w:iCs/>
          <w:kern w:val="22"/>
          <w:szCs w:val="22"/>
          <w:lang w:val="fr-CA"/>
        </w:rPr>
        <w:t>article 11 du Protocole de Nagoya.</w:t>
      </w:r>
    </w:p>
    <w:p w:rsidR="00A034C9" w:rsidRPr="005879DC" w:rsidRDefault="000B2742" w:rsidP="00A034C9">
      <w:pPr>
        <w:pStyle w:val="Para1"/>
        <w:suppressLineNumbers/>
        <w:tabs>
          <w:tab w:val="left" w:pos="720"/>
        </w:tabs>
        <w:suppressAutoHyphens/>
        <w:kinsoku w:val="0"/>
        <w:overflowPunct w:val="0"/>
        <w:autoSpaceDE w:val="0"/>
        <w:autoSpaceDN w:val="0"/>
        <w:snapToGrid w:val="0"/>
        <w:rPr>
          <w:iCs/>
          <w:kern w:val="22"/>
          <w:szCs w:val="22"/>
          <w:lang w:val="fr-CA"/>
        </w:rPr>
      </w:pPr>
      <w:r w:rsidRPr="005879DC">
        <w:rPr>
          <w:iCs/>
          <w:kern w:val="22"/>
          <w:szCs w:val="22"/>
          <w:lang w:val="fr-CA"/>
        </w:rPr>
        <w:t>3.</w:t>
      </w:r>
      <w:r w:rsidRPr="005879DC">
        <w:rPr>
          <w:iCs/>
          <w:kern w:val="22"/>
          <w:szCs w:val="22"/>
          <w:lang w:val="fr-CA"/>
        </w:rPr>
        <w:tab/>
      </w:r>
      <w:r w:rsidR="00A034C9" w:rsidRPr="005879DC">
        <w:rPr>
          <w:iCs/>
          <w:kern w:val="22"/>
          <w:szCs w:val="22"/>
          <w:lang w:val="fr-CA"/>
        </w:rPr>
        <w:t>Le Groupe spéci</w:t>
      </w:r>
      <w:r w:rsidR="00A034C9">
        <w:rPr>
          <w:iCs/>
          <w:kern w:val="22"/>
          <w:szCs w:val="22"/>
          <w:lang w:val="fr-CA"/>
        </w:rPr>
        <w:t>al d</w:t>
      </w:r>
      <w:r w:rsidR="0069339F">
        <w:rPr>
          <w:iCs/>
          <w:kern w:val="22"/>
          <w:szCs w:val="22"/>
          <w:lang w:val="fr-CA"/>
        </w:rPr>
        <w:t>’</w:t>
      </w:r>
      <w:r w:rsidR="00A034C9">
        <w:rPr>
          <w:iCs/>
          <w:kern w:val="22"/>
          <w:szCs w:val="22"/>
          <w:lang w:val="fr-CA"/>
        </w:rPr>
        <w:t>experts techniques :</w:t>
      </w:r>
    </w:p>
    <w:p w:rsidR="00A034C9" w:rsidRPr="005879DC" w:rsidRDefault="00A034C9" w:rsidP="00A034C9">
      <w:pPr>
        <w:pStyle w:val="Para1"/>
        <w:numPr>
          <w:ilvl w:val="1"/>
          <w:numId w:val="28"/>
        </w:numPr>
        <w:suppressLineNumbers/>
        <w:tabs>
          <w:tab w:val="left" w:pos="720"/>
        </w:tabs>
        <w:suppressAutoHyphens/>
        <w:kinsoku w:val="0"/>
        <w:overflowPunct w:val="0"/>
        <w:autoSpaceDE w:val="0"/>
        <w:autoSpaceDN w:val="0"/>
        <w:snapToGrid w:val="0"/>
        <w:rPr>
          <w:iCs/>
          <w:kern w:val="22"/>
          <w:szCs w:val="22"/>
          <w:lang w:val="fr-CA"/>
        </w:rPr>
      </w:pPr>
      <w:r w:rsidRPr="005879DC">
        <w:rPr>
          <w:iCs/>
          <w:kern w:val="22"/>
          <w:szCs w:val="22"/>
          <w:lang w:val="fr-CA"/>
        </w:rPr>
        <w:t>Se réunira, sous réserve de la disponibilité des ressources financières, au moins une fois avant la quatrième réunion de l</w:t>
      </w:r>
      <w:r w:rsidR="0069339F">
        <w:rPr>
          <w:iCs/>
          <w:kern w:val="22"/>
          <w:szCs w:val="22"/>
          <w:lang w:val="fr-CA"/>
        </w:rPr>
        <w:t>’</w:t>
      </w:r>
      <w:r w:rsidRPr="005879DC">
        <w:rPr>
          <w:iCs/>
          <w:kern w:val="22"/>
          <w:szCs w:val="22"/>
          <w:lang w:val="fr-CA"/>
        </w:rPr>
        <w:t>Organe subsidiaire chargé de l</w:t>
      </w:r>
      <w:r w:rsidR="0069339F">
        <w:rPr>
          <w:iCs/>
          <w:kern w:val="22"/>
          <w:szCs w:val="22"/>
          <w:lang w:val="fr-CA"/>
        </w:rPr>
        <w:t>’</w:t>
      </w:r>
      <w:r w:rsidRPr="005879DC">
        <w:rPr>
          <w:iCs/>
          <w:kern w:val="22"/>
          <w:szCs w:val="22"/>
          <w:lang w:val="fr-CA"/>
        </w:rPr>
        <w:t>application;</w:t>
      </w:r>
    </w:p>
    <w:p w:rsidR="00A034C9" w:rsidRPr="005879DC" w:rsidRDefault="00A034C9" w:rsidP="00A034C9">
      <w:pPr>
        <w:pStyle w:val="Para1"/>
        <w:numPr>
          <w:ilvl w:val="1"/>
          <w:numId w:val="28"/>
        </w:numPr>
        <w:suppressLineNumbers/>
        <w:tabs>
          <w:tab w:val="left" w:pos="720"/>
        </w:tabs>
        <w:suppressAutoHyphens/>
        <w:kinsoku w:val="0"/>
        <w:overflowPunct w:val="0"/>
        <w:autoSpaceDE w:val="0"/>
        <w:autoSpaceDN w:val="0"/>
        <w:snapToGrid w:val="0"/>
        <w:rPr>
          <w:iCs/>
          <w:kern w:val="22"/>
          <w:szCs w:val="22"/>
          <w:lang w:val="fr-CA"/>
        </w:rPr>
      </w:pPr>
      <w:r w:rsidRPr="005879DC">
        <w:rPr>
          <w:iCs/>
          <w:kern w:val="22"/>
          <w:szCs w:val="22"/>
          <w:lang w:val="fr-CA"/>
        </w:rPr>
        <w:t>Comprendra des experts choisis en fonction de leur expertise sur les questions à l</w:t>
      </w:r>
      <w:r w:rsidR="0069339F">
        <w:rPr>
          <w:iCs/>
          <w:kern w:val="22"/>
          <w:szCs w:val="22"/>
          <w:lang w:val="fr-CA"/>
        </w:rPr>
        <w:t>’</w:t>
      </w:r>
      <w:r w:rsidRPr="005879DC">
        <w:rPr>
          <w:iCs/>
          <w:kern w:val="22"/>
          <w:szCs w:val="22"/>
          <w:lang w:val="fr-CA"/>
        </w:rPr>
        <w:t>étude, et</w:t>
      </w:r>
      <w:r>
        <w:rPr>
          <w:iCs/>
          <w:kern w:val="22"/>
          <w:szCs w:val="22"/>
          <w:lang w:val="fr-CA"/>
        </w:rPr>
        <w:t xml:space="preserve"> des participants représentant l</w:t>
      </w:r>
      <w:r w:rsidRPr="005879DC">
        <w:rPr>
          <w:iCs/>
          <w:kern w:val="22"/>
          <w:szCs w:val="22"/>
          <w:lang w:val="fr-CA"/>
        </w:rPr>
        <w:t xml:space="preserve">es </w:t>
      </w:r>
      <w:r>
        <w:rPr>
          <w:iCs/>
          <w:kern w:val="22"/>
          <w:szCs w:val="22"/>
          <w:lang w:val="fr-CA"/>
        </w:rPr>
        <w:t>peuples autochtones et l</w:t>
      </w:r>
      <w:r w:rsidRPr="005879DC">
        <w:rPr>
          <w:iCs/>
          <w:kern w:val="22"/>
          <w:szCs w:val="22"/>
          <w:lang w:val="fr-CA"/>
        </w:rPr>
        <w:t>es communautés locales;</w:t>
      </w:r>
    </w:p>
    <w:p w:rsidR="00A034C9" w:rsidRPr="005879DC" w:rsidRDefault="00A034C9" w:rsidP="00A034C9">
      <w:pPr>
        <w:pStyle w:val="Para1"/>
        <w:numPr>
          <w:ilvl w:val="1"/>
          <w:numId w:val="28"/>
        </w:numPr>
        <w:suppressLineNumbers/>
        <w:tabs>
          <w:tab w:val="left" w:pos="720"/>
        </w:tabs>
        <w:suppressAutoHyphens/>
        <w:kinsoku w:val="0"/>
        <w:overflowPunct w:val="0"/>
        <w:autoSpaceDE w:val="0"/>
        <w:autoSpaceDN w:val="0"/>
        <w:snapToGrid w:val="0"/>
        <w:rPr>
          <w:iCs/>
          <w:kern w:val="22"/>
          <w:szCs w:val="22"/>
          <w:lang w:val="fr-CA"/>
        </w:rPr>
      </w:pPr>
      <w:r w:rsidRPr="005879DC">
        <w:rPr>
          <w:kern w:val="22"/>
          <w:lang w:val="fr-CA"/>
        </w:rPr>
        <w:t>Soumettra ses résultats à l</w:t>
      </w:r>
      <w:r w:rsidR="0069339F">
        <w:rPr>
          <w:kern w:val="22"/>
          <w:lang w:val="fr-CA"/>
        </w:rPr>
        <w:t>’</w:t>
      </w:r>
      <w:r w:rsidRPr="005879DC">
        <w:rPr>
          <w:kern w:val="22"/>
          <w:lang w:val="fr-CA"/>
        </w:rPr>
        <w:t>Organe subsidiaire chargé de l</w:t>
      </w:r>
      <w:r w:rsidR="0069339F">
        <w:rPr>
          <w:kern w:val="22"/>
          <w:lang w:val="fr-CA"/>
        </w:rPr>
        <w:t>’</w:t>
      </w:r>
      <w:r w:rsidRPr="005879DC">
        <w:rPr>
          <w:kern w:val="22"/>
          <w:lang w:val="fr-CA"/>
        </w:rPr>
        <w:t>application pour examen à sa quatrième réunion;</w:t>
      </w:r>
    </w:p>
    <w:p w:rsidR="0033341A" w:rsidRPr="001D35D1" w:rsidRDefault="00A034C9" w:rsidP="00A034C9">
      <w:pPr>
        <w:pStyle w:val="Para1"/>
        <w:suppressLineNumbers/>
        <w:tabs>
          <w:tab w:val="left" w:pos="720"/>
        </w:tabs>
        <w:suppressAutoHyphens/>
        <w:kinsoku w:val="0"/>
        <w:overflowPunct w:val="0"/>
        <w:autoSpaceDE w:val="0"/>
        <w:autoSpaceDN w:val="0"/>
        <w:snapToGrid w:val="0"/>
        <w:rPr>
          <w:iCs/>
          <w:kern w:val="22"/>
          <w:szCs w:val="22"/>
          <w:lang w:val="fr-CA"/>
        </w:rPr>
      </w:pPr>
      <w:r w:rsidRPr="005879DC">
        <w:rPr>
          <w:iCs/>
          <w:kern w:val="22"/>
          <w:szCs w:val="22"/>
          <w:lang w:val="fr-CA"/>
        </w:rPr>
        <w:t>4.</w:t>
      </w:r>
      <w:r w:rsidRPr="005879DC">
        <w:rPr>
          <w:iCs/>
          <w:kern w:val="22"/>
          <w:szCs w:val="22"/>
          <w:lang w:val="fr-CA"/>
        </w:rPr>
        <w:tab/>
        <w:t>Le Groupe spécial d</w:t>
      </w:r>
      <w:r w:rsidR="0069339F">
        <w:rPr>
          <w:iCs/>
          <w:kern w:val="22"/>
          <w:szCs w:val="22"/>
          <w:lang w:val="fr-CA"/>
        </w:rPr>
        <w:t>’</w:t>
      </w:r>
      <w:r w:rsidRPr="005879DC">
        <w:rPr>
          <w:iCs/>
          <w:kern w:val="22"/>
          <w:szCs w:val="22"/>
          <w:lang w:val="fr-CA"/>
        </w:rPr>
        <w:t>experts techniques sera convoqué conformément à la procédure énoncée au paragraphe 4 de la section C de l</w:t>
      </w:r>
      <w:r w:rsidR="0069339F">
        <w:rPr>
          <w:iCs/>
          <w:kern w:val="22"/>
          <w:szCs w:val="22"/>
          <w:lang w:val="fr-CA"/>
        </w:rPr>
        <w:t>’</w:t>
      </w:r>
      <w:r w:rsidRPr="005879DC">
        <w:rPr>
          <w:iCs/>
          <w:kern w:val="22"/>
          <w:szCs w:val="22"/>
          <w:lang w:val="fr-CA"/>
        </w:rPr>
        <w:t xml:space="preserve">annexe à la décision </w:t>
      </w:r>
      <w:hyperlink r:id="rId19" w:history="1">
        <w:r>
          <w:rPr>
            <w:rStyle w:val="Hyperlink"/>
            <w:lang w:val="fr-CA"/>
          </w:rPr>
          <w:t>XIII/25</w:t>
        </w:r>
      </w:hyperlink>
      <w:r>
        <w:rPr>
          <w:lang w:val="fr-CA"/>
        </w:rPr>
        <w:t xml:space="preserve"> </w:t>
      </w:r>
      <w:r w:rsidRPr="005879DC">
        <w:rPr>
          <w:lang w:val="fr-CA"/>
        </w:rPr>
        <w:t>sur le mode de fonctionnement de l</w:t>
      </w:r>
      <w:r w:rsidR="0069339F">
        <w:rPr>
          <w:lang w:val="fr-CA"/>
        </w:rPr>
        <w:t>’</w:t>
      </w:r>
      <w:r w:rsidRPr="005879DC">
        <w:rPr>
          <w:lang w:val="fr-CA"/>
        </w:rPr>
        <w:t>Organe subsidiaire chargé de l</w:t>
      </w:r>
      <w:r w:rsidR="0069339F">
        <w:rPr>
          <w:lang w:val="fr-CA"/>
        </w:rPr>
        <w:t>’</w:t>
      </w:r>
      <w:r w:rsidRPr="005879DC">
        <w:rPr>
          <w:lang w:val="fr-CA"/>
        </w:rPr>
        <w:t>application, qui s</w:t>
      </w:r>
      <w:r w:rsidR="0069339F">
        <w:rPr>
          <w:lang w:val="fr-CA"/>
        </w:rPr>
        <w:t>’</w:t>
      </w:r>
      <w:r w:rsidRPr="005879DC">
        <w:rPr>
          <w:lang w:val="fr-CA"/>
        </w:rPr>
        <w:t>applique également,</w:t>
      </w:r>
      <w:r w:rsidRPr="005879DC">
        <w:rPr>
          <w:iCs/>
          <w:kern w:val="22"/>
          <w:szCs w:val="22"/>
          <w:lang w:val="fr-CA"/>
        </w:rPr>
        <w:t xml:space="preserve"> avec les modifications qui s</w:t>
      </w:r>
      <w:r w:rsidR="0069339F">
        <w:rPr>
          <w:iCs/>
          <w:kern w:val="22"/>
          <w:szCs w:val="22"/>
          <w:lang w:val="fr-CA"/>
        </w:rPr>
        <w:t>’</w:t>
      </w:r>
      <w:r w:rsidRPr="005879DC">
        <w:rPr>
          <w:iCs/>
          <w:kern w:val="22"/>
          <w:szCs w:val="22"/>
          <w:lang w:val="fr-CA"/>
        </w:rPr>
        <w:t>imposent, aux processus au tire du Protocole</w:t>
      </w:r>
      <w:r w:rsidR="0033323D">
        <w:rPr>
          <w:iCs/>
          <w:kern w:val="22"/>
          <w:szCs w:val="22"/>
          <w:lang w:val="fr-CA"/>
        </w:rPr>
        <w:t xml:space="preserve"> de Nagoya</w:t>
      </w:r>
      <w:r w:rsidR="00EF0B90">
        <w:rPr>
          <w:iCs/>
          <w:kern w:val="22"/>
          <w:szCs w:val="22"/>
          <w:lang w:val="fr-CA"/>
        </w:rPr>
        <w:t>.</w:t>
      </w:r>
    </w:p>
    <w:p w:rsidR="00D01CC0" w:rsidRPr="001D35D1" w:rsidRDefault="00D01CC0" w:rsidP="00F76BAE">
      <w:pPr>
        <w:pStyle w:val="Para1"/>
        <w:suppressLineNumbers/>
        <w:tabs>
          <w:tab w:val="left" w:pos="720"/>
        </w:tabs>
        <w:suppressAutoHyphens/>
        <w:kinsoku w:val="0"/>
        <w:overflowPunct w:val="0"/>
        <w:autoSpaceDE w:val="0"/>
        <w:autoSpaceDN w:val="0"/>
        <w:snapToGrid w:val="0"/>
        <w:spacing w:before="0" w:after="0"/>
        <w:rPr>
          <w:iCs/>
          <w:kern w:val="22"/>
          <w:szCs w:val="22"/>
          <w:lang w:val="fr-CA"/>
        </w:rPr>
      </w:pPr>
    </w:p>
    <w:p w:rsidR="00B3369F" w:rsidRPr="006C5F05" w:rsidRDefault="00BF5687" w:rsidP="00F76BAE">
      <w:pPr>
        <w:pStyle w:val="Para1"/>
        <w:suppressLineNumbers/>
        <w:tabs>
          <w:tab w:val="left" w:pos="720"/>
        </w:tabs>
        <w:suppressAutoHyphens/>
        <w:kinsoku w:val="0"/>
        <w:overflowPunct w:val="0"/>
        <w:autoSpaceDE w:val="0"/>
        <w:autoSpaceDN w:val="0"/>
        <w:snapToGrid w:val="0"/>
        <w:spacing w:before="0" w:after="0"/>
        <w:jc w:val="center"/>
        <w:rPr>
          <w:kern w:val="22"/>
          <w:szCs w:val="22"/>
        </w:rPr>
      </w:pPr>
      <w:r w:rsidRPr="00F76BAE">
        <w:rPr>
          <w:iCs/>
          <w:kern w:val="22"/>
          <w:szCs w:val="22"/>
        </w:rPr>
        <w:t>__________</w:t>
      </w:r>
    </w:p>
    <w:sectPr w:rsidR="00B3369F" w:rsidRPr="006C5F05" w:rsidSect="00270039">
      <w:headerReference w:type="even" r:id="rId20"/>
      <w:headerReference w:type="default" r:id="rId21"/>
      <w:footerReference w:type="even" r:id="rId22"/>
      <w:footerReference w:type="default" r:id="rId23"/>
      <w:pgSz w:w="12240" w:h="15840"/>
      <w:pgMar w:top="567" w:right="1389" w:bottom="1134" w:left="138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C663" w16cex:dateUtc="2020-06-24T16:32:00Z"/>
  <w16cex:commentExtensible w16cex:durableId="229DC635" w16cex:dateUtc="2020-06-24T16:31:00Z"/>
  <w16cex:commentExtensible w16cex:durableId="229DE730" w16cex:dateUtc="2020-06-24T1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32D" w:rsidRDefault="0060232D" w:rsidP="00CF1848">
      <w:r>
        <w:separator/>
      </w:r>
    </w:p>
  </w:endnote>
  <w:endnote w:type="continuationSeparator" w:id="0">
    <w:p w:rsidR="0060232D" w:rsidRDefault="0060232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9F" w:rsidRDefault="0069339F" w:rsidP="00F76BAE">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9F" w:rsidRDefault="0069339F" w:rsidP="00F76BAE">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32D" w:rsidRDefault="0060232D" w:rsidP="00CF1848">
      <w:r>
        <w:separator/>
      </w:r>
    </w:p>
  </w:footnote>
  <w:footnote w:type="continuationSeparator" w:id="0">
    <w:p w:rsidR="0060232D" w:rsidRDefault="0060232D" w:rsidP="00CF1848">
      <w:r>
        <w:continuationSeparator/>
      </w:r>
    </w:p>
  </w:footnote>
  <w:footnote w:id="1">
    <w:p w:rsidR="0069339F" w:rsidRPr="001D35D1" w:rsidRDefault="0069339F" w:rsidP="00F76BAE">
      <w:pPr>
        <w:pStyle w:val="FootnoteText"/>
        <w:suppressLineNumbers/>
        <w:suppressAutoHyphens/>
        <w:ind w:firstLine="0"/>
        <w:jc w:val="left"/>
        <w:rPr>
          <w:kern w:val="18"/>
          <w:szCs w:val="18"/>
          <w:lang w:val="fr-CA"/>
        </w:rPr>
      </w:pPr>
      <w:r w:rsidRPr="001D35D1">
        <w:rPr>
          <w:rStyle w:val="FootnoteReference"/>
          <w:kern w:val="18"/>
          <w:sz w:val="18"/>
          <w:szCs w:val="18"/>
          <w:lang w:val="fr-CA"/>
        </w:rPr>
        <w:t>*</w:t>
      </w:r>
      <w:r w:rsidRPr="001D35D1">
        <w:rPr>
          <w:kern w:val="18"/>
          <w:szCs w:val="18"/>
          <w:lang w:val="fr-CA"/>
        </w:rPr>
        <w:t>CBD/SBI/3/1.</w:t>
      </w:r>
    </w:p>
  </w:footnote>
  <w:footnote w:id="2">
    <w:p w:rsidR="0069339F" w:rsidRPr="00E25E02" w:rsidRDefault="0069339F" w:rsidP="00A82EF3">
      <w:pPr>
        <w:pStyle w:val="FootnoteText"/>
        <w:keepLines w:val="0"/>
        <w:suppressLineNumbers/>
        <w:suppressAutoHyphens/>
        <w:kinsoku w:val="0"/>
        <w:overflowPunct w:val="0"/>
        <w:autoSpaceDE w:val="0"/>
        <w:autoSpaceDN w:val="0"/>
        <w:adjustRightInd w:val="0"/>
        <w:snapToGrid w:val="0"/>
        <w:ind w:firstLine="0"/>
        <w:jc w:val="left"/>
        <w:rPr>
          <w:noProof/>
          <w:kern w:val="18"/>
          <w:szCs w:val="18"/>
          <w:lang w:val="fr-CA"/>
        </w:rPr>
      </w:pPr>
      <w:r w:rsidRPr="00E25E02">
        <w:rPr>
          <w:rStyle w:val="FootnoteReference"/>
          <w:noProof/>
          <w:kern w:val="18"/>
          <w:sz w:val="18"/>
          <w:szCs w:val="18"/>
          <w:lang w:val="fr-CA"/>
        </w:rPr>
        <w:footnoteRef/>
      </w:r>
      <w:r w:rsidRPr="00E25E02">
        <w:rPr>
          <w:lang w:val="fr-CA"/>
        </w:rPr>
        <w:t xml:space="preserve"> </w:t>
      </w:r>
      <w:hyperlink r:id="rId1" w:history="1">
        <w:r w:rsidRPr="00E25E02">
          <w:rPr>
            <w:rStyle w:val="Hyperlink"/>
            <w:lang w:val="fr-CA"/>
          </w:rPr>
          <w:t>https://www.cbd.int/abs/art10/2019</w:t>
        </w:r>
        <w:r>
          <w:rPr>
            <w:rStyle w:val="Hyperlink"/>
            <w:lang w:val="fr-CA"/>
          </w:rPr>
          <w:noBreakHyphen/>
        </w:r>
        <w:r w:rsidRPr="00E25E02">
          <w:rPr>
            <w:rStyle w:val="Hyperlink"/>
            <w:lang w:val="fr-CA"/>
          </w:rPr>
          <w:t>2020/submissions.shtml</w:t>
        </w:r>
      </w:hyperlink>
      <w:r w:rsidRPr="00E25E02">
        <w:rPr>
          <w:noProof/>
          <w:kern w:val="18"/>
          <w:szCs w:val="18"/>
          <w:lang w:val="fr-CA"/>
        </w:rPr>
        <w:t>.</w:t>
      </w:r>
    </w:p>
  </w:footnote>
  <w:footnote w:id="3">
    <w:p w:rsidR="0069339F" w:rsidRPr="00E25E02" w:rsidRDefault="0069339F" w:rsidP="0012044E">
      <w:pPr>
        <w:pStyle w:val="FootnoteText"/>
        <w:ind w:firstLine="0"/>
        <w:rPr>
          <w:lang w:val="fr-CA"/>
        </w:rPr>
      </w:pPr>
      <w:r w:rsidRPr="00E25E02">
        <w:rPr>
          <w:rStyle w:val="FootnoteReference"/>
          <w:sz w:val="18"/>
          <w:szCs w:val="18"/>
          <w:lang w:val="fr-CA"/>
        </w:rPr>
        <w:footnoteRef/>
      </w:r>
      <w:r w:rsidRPr="00E25E02">
        <w:rPr>
          <w:lang w:val="fr-CA"/>
        </w:rPr>
        <w:t xml:space="preserve"> République islamique d</w:t>
      </w:r>
      <w:r>
        <w:rPr>
          <w:lang w:val="fr-CA"/>
        </w:rPr>
        <w:t>’</w:t>
      </w:r>
      <w:r w:rsidRPr="00E25E02">
        <w:rPr>
          <w:lang w:val="fr-CA"/>
        </w:rPr>
        <w:t>Iran.</w:t>
      </w:r>
    </w:p>
  </w:footnote>
  <w:footnote w:id="4">
    <w:p w:rsidR="0069339F" w:rsidRPr="00E25E02" w:rsidRDefault="0069339F" w:rsidP="0012044E">
      <w:pPr>
        <w:pStyle w:val="FootnoteText"/>
        <w:ind w:firstLine="0"/>
        <w:rPr>
          <w:lang w:val="fr-CA"/>
        </w:rPr>
      </w:pPr>
      <w:r w:rsidRPr="00E25E02">
        <w:rPr>
          <w:rStyle w:val="FootnoteReference"/>
          <w:sz w:val="18"/>
          <w:szCs w:val="18"/>
          <w:lang w:val="fr-CA"/>
        </w:rPr>
        <w:footnoteRef/>
      </w:r>
      <w:r w:rsidRPr="00E25E02">
        <w:rPr>
          <w:szCs w:val="18"/>
          <w:lang w:val="fr-CA"/>
        </w:rPr>
        <w:t xml:space="preserve"> </w:t>
      </w:r>
      <w:r>
        <w:rPr>
          <w:lang w:val="fr-CA"/>
        </w:rPr>
        <w:t>Inde</w:t>
      </w:r>
      <w:r w:rsidRPr="00E25E02">
        <w:rPr>
          <w:lang w:val="fr-CA"/>
        </w:rPr>
        <w:t>.</w:t>
      </w:r>
    </w:p>
  </w:footnote>
  <w:footnote w:id="5">
    <w:p w:rsidR="0069339F" w:rsidRPr="00E25E02" w:rsidRDefault="0069339F" w:rsidP="0012044E">
      <w:pPr>
        <w:pStyle w:val="FootnoteText"/>
        <w:ind w:firstLine="0"/>
        <w:rPr>
          <w:noProof/>
          <w:lang w:val="fr-CA"/>
        </w:rPr>
      </w:pPr>
      <w:r w:rsidRPr="00E25E02">
        <w:rPr>
          <w:rStyle w:val="FootnoteReference"/>
          <w:sz w:val="18"/>
          <w:szCs w:val="18"/>
          <w:lang w:val="fr-CA"/>
        </w:rPr>
        <w:footnoteRef/>
      </w:r>
      <w:r>
        <w:rPr>
          <w:lang w:val="fr-CA"/>
        </w:rPr>
        <w:t xml:space="preserve"> </w:t>
      </w:r>
      <w:r>
        <w:rPr>
          <w:noProof/>
          <w:lang w:val="fr-CA"/>
        </w:rPr>
        <w:t>Bé</w:t>
      </w:r>
      <w:r w:rsidRPr="00E25E02">
        <w:rPr>
          <w:noProof/>
          <w:lang w:val="fr-CA"/>
        </w:rPr>
        <w:t>larus.</w:t>
      </w:r>
    </w:p>
  </w:footnote>
  <w:footnote w:id="6">
    <w:p w:rsidR="0069339F" w:rsidRPr="00E25E02" w:rsidRDefault="0069339F" w:rsidP="0012044E">
      <w:pPr>
        <w:pStyle w:val="FootnoteText"/>
        <w:ind w:firstLine="0"/>
        <w:rPr>
          <w:noProof/>
          <w:lang w:val="fr-CA"/>
        </w:rPr>
      </w:pPr>
      <w:r w:rsidRPr="00E25E02">
        <w:rPr>
          <w:rStyle w:val="FootnoteReference"/>
          <w:noProof/>
          <w:sz w:val="18"/>
          <w:szCs w:val="18"/>
          <w:lang w:val="fr-CA"/>
        </w:rPr>
        <w:footnoteRef/>
      </w:r>
      <w:r>
        <w:rPr>
          <w:noProof/>
          <w:lang w:val="fr-CA"/>
        </w:rPr>
        <w:t xml:space="preserve"> Bé</w:t>
      </w:r>
      <w:r w:rsidRPr="00E25E02">
        <w:rPr>
          <w:noProof/>
          <w:lang w:val="fr-CA"/>
        </w:rPr>
        <w:t>larus, Iran (</w:t>
      </w:r>
      <w:r>
        <w:rPr>
          <w:noProof/>
          <w:lang w:val="fr-CA"/>
        </w:rPr>
        <w:t>République islamique d’) Mexique</w:t>
      </w:r>
      <w:r w:rsidRPr="00E25E02">
        <w:rPr>
          <w:noProof/>
          <w:lang w:val="fr-CA"/>
        </w:rPr>
        <w:t>.</w:t>
      </w:r>
    </w:p>
  </w:footnote>
  <w:footnote w:id="7">
    <w:p w:rsidR="0069339F" w:rsidRPr="00E25E02" w:rsidRDefault="0069339F" w:rsidP="00A9267B">
      <w:pPr>
        <w:pStyle w:val="FootnoteText"/>
        <w:ind w:firstLine="0"/>
        <w:rPr>
          <w:noProof/>
          <w:lang w:val="fr-CA"/>
        </w:rPr>
      </w:pPr>
      <w:r w:rsidRPr="00E25E02">
        <w:rPr>
          <w:rStyle w:val="FootnoteReference"/>
          <w:noProof/>
          <w:sz w:val="18"/>
          <w:szCs w:val="18"/>
          <w:lang w:val="fr-CA"/>
        </w:rPr>
        <w:footnoteRef/>
      </w:r>
      <w:r>
        <w:rPr>
          <w:noProof/>
          <w:lang w:val="fr-CA"/>
        </w:rPr>
        <w:t xml:space="preserve"> Inde</w:t>
      </w:r>
      <w:r w:rsidRPr="00E25E02">
        <w:rPr>
          <w:noProof/>
          <w:lang w:val="fr-CA"/>
        </w:rPr>
        <w:t>.</w:t>
      </w:r>
    </w:p>
  </w:footnote>
  <w:footnote w:id="8">
    <w:p w:rsidR="0069339F" w:rsidRPr="00E25E02" w:rsidRDefault="0069339F" w:rsidP="007A4562">
      <w:pPr>
        <w:pStyle w:val="FootnoteText"/>
        <w:ind w:firstLine="0"/>
        <w:rPr>
          <w:noProof/>
          <w:lang w:val="fr-CA"/>
        </w:rPr>
      </w:pPr>
      <w:r w:rsidRPr="00E25E02">
        <w:rPr>
          <w:rStyle w:val="FootnoteReference"/>
          <w:noProof/>
          <w:sz w:val="18"/>
          <w:szCs w:val="18"/>
          <w:lang w:val="fr-CA"/>
        </w:rPr>
        <w:footnoteRef/>
      </w:r>
      <w:r>
        <w:rPr>
          <w:noProof/>
          <w:lang w:val="fr-CA"/>
        </w:rPr>
        <w:t xml:space="preserve"> Australie</w:t>
      </w:r>
      <w:r w:rsidRPr="00E25E02">
        <w:rPr>
          <w:noProof/>
          <w:lang w:val="fr-CA"/>
        </w:rPr>
        <w:t>.</w:t>
      </w:r>
    </w:p>
  </w:footnote>
  <w:footnote w:id="9">
    <w:p w:rsidR="0069339F" w:rsidRPr="00E25E02" w:rsidRDefault="0069339F" w:rsidP="005F0A6D">
      <w:pPr>
        <w:pStyle w:val="FootnoteText"/>
        <w:ind w:firstLine="0"/>
        <w:rPr>
          <w:noProof/>
          <w:lang w:val="fr-CA"/>
        </w:rPr>
      </w:pPr>
      <w:r w:rsidRPr="00E25E02">
        <w:rPr>
          <w:rStyle w:val="FootnoteReference"/>
          <w:noProof/>
          <w:sz w:val="18"/>
          <w:szCs w:val="18"/>
          <w:lang w:val="fr-CA"/>
        </w:rPr>
        <w:footnoteRef/>
      </w:r>
      <w:r>
        <w:rPr>
          <w:noProof/>
          <w:lang w:val="fr-CA"/>
        </w:rPr>
        <w:t xml:space="preserve"> Australie</w:t>
      </w:r>
      <w:r w:rsidRPr="00E25E02">
        <w:rPr>
          <w:noProof/>
          <w:lang w:val="fr-CA"/>
        </w:rPr>
        <w:t>.</w:t>
      </w:r>
    </w:p>
  </w:footnote>
  <w:footnote w:id="10">
    <w:p w:rsidR="0069339F" w:rsidRPr="00E25E02" w:rsidRDefault="0069339F" w:rsidP="005F0A6D">
      <w:pPr>
        <w:pStyle w:val="FootnoteText"/>
        <w:ind w:firstLine="0"/>
        <w:rPr>
          <w:noProof/>
          <w:lang w:val="fr-CA"/>
        </w:rPr>
      </w:pPr>
      <w:r w:rsidRPr="00E25E02">
        <w:rPr>
          <w:rStyle w:val="FootnoteReference"/>
          <w:noProof/>
          <w:sz w:val="18"/>
          <w:szCs w:val="18"/>
          <w:lang w:val="fr-CA"/>
        </w:rPr>
        <w:footnoteRef/>
      </w:r>
      <w:r w:rsidRPr="00E25E02">
        <w:rPr>
          <w:noProof/>
          <w:lang w:val="fr-CA"/>
        </w:rPr>
        <w:t xml:space="preserve"> </w:t>
      </w:r>
      <w:r>
        <w:rPr>
          <w:noProof/>
          <w:lang w:val="fr-CA"/>
        </w:rPr>
        <w:t>L’Australie a fourni des exemples spécifiques à la santé humaine, tels que les organismes infectieux, y compris les organismes qui infectent les humains, les animaux et les plantes, qui selon elle constituent un domaine où la couverture fournie par le Protocole de Nagoya pourrait être considérée comme insuffisante.  L’Australie a expliqué que cet exemple relève de la compétence de l’Organisation mondiale de la santé.</w:t>
      </w:r>
    </w:p>
  </w:footnote>
  <w:footnote w:id="11">
    <w:p w:rsidR="0069339F" w:rsidRPr="00E25E02" w:rsidRDefault="0069339F" w:rsidP="005F0A6D">
      <w:pPr>
        <w:pStyle w:val="FootnoteText"/>
        <w:ind w:firstLine="0"/>
        <w:rPr>
          <w:noProof/>
          <w:lang w:val="fr-CA"/>
        </w:rPr>
      </w:pPr>
      <w:r w:rsidRPr="00E25E02">
        <w:rPr>
          <w:rStyle w:val="FootnoteReference"/>
          <w:noProof/>
          <w:sz w:val="18"/>
          <w:szCs w:val="18"/>
          <w:lang w:val="fr-CA"/>
        </w:rPr>
        <w:footnoteRef/>
      </w:r>
      <w:r>
        <w:rPr>
          <w:noProof/>
          <w:lang w:val="fr-CA"/>
        </w:rPr>
        <w:t xml:space="preserve"> Bélarus, Guinée</w:t>
      </w:r>
      <w:r>
        <w:rPr>
          <w:noProof/>
          <w:lang w:val="fr-CA"/>
        </w:rPr>
        <w:noBreakHyphen/>
        <w:t>Bissau</w:t>
      </w:r>
      <w:r w:rsidRPr="00E25E02">
        <w:rPr>
          <w:noProof/>
          <w:lang w:val="fr-CA"/>
        </w:rPr>
        <w:t>.</w:t>
      </w:r>
    </w:p>
  </w:footnote>
  <w:footnote w:id="12">
    <w:p w:rsidR="0069339F" w:rsidRPr="00E25E02" w:rsidRDefault="0069339F" w:rsidP="005F0A6D">
      <w:pPr>
        <w:pStyle w:val="FootnoteText"/>
        <w:ind w:firstLine="0"/>
        <w:rPr>
          <w:lang w:val="fr-CA"/>
        </w:rPr>
      </w:pPr>
      <w:r w:rsidRPr="00E25E02">
        <w:rPr>
          <w:rStyle w:val="FootnoteReference"/>
          <w:noProof/>
          <w:sz w:val="18"/>
          <w:szCs w:val="18"/>
          <w:lang w:val="fr-CA"/>
        </w:rPr>
        <w:footnoteRef/>
      </w:r>
      <w:r w:rsidRPr="00E25E02">
        <w:rPr>
          <w:noProof/>
          <w:lang w:val="fr-CA"/>
        </w:rPr>
        <w:t xml:space="preserve"> </w:t>
      </w:r>
      <w:r>
        <w:rPr>
          <w:noProof/>
          <w:lang w:val="fr-CA"/>
        </w:rPr>
        <w:t>Guinée</w:t>
      </w:r>
      <w:r>
        <w:rPr>
          <w:noProof/>
          <w:lang w:val="fr-CA"/>
        </w:rPr>
        <w:noBreakHyphen/>
        <w:t>Bissau, chercheurs</w:t>
      </w:r>
      <w:r>
        <w:rPr>
          <w:lang w:val="fr-CA"/>
        </w:rPr>
        <w:t xml:space="preserve"> SPDA, Nigéria, Union africaine.</w:t>
      </w:r>
    </w:p>
  </w:footnote>
  <w:footnote w:id="13">
    <w:p w:rsidR="0069339F" w:rsidRPr="00E25E02" w:rsidRDefault="0069339F" w:rsidP="005F0A6D">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14">
    <w:p w:rsidR="0069339F" w:rsidRPr="00E25E02" w:rsidRDefault="0069339F" w:rsidP="005F0A6D">
      <w:pPr>
        <w:pStyle w:val="FootnoteText"/>
        <w:ind w:firstLine="0"/>
        <w:rPr>
          <w:lang w:val="fr-CA"/>
        </w:rPr>
      </w:pPr>
      <w:r w:rsidRPr="00E25E02">
        <w:rPr>
          <w:rStyle w:val="FootnoteReference"/>
          <w:lang w:val="fr-CA"/>
        </w:rPr>
        <w:footnoteRef/>
      </w:r>
      <w:r w:rsidRPr="00E25E02">
        <w:rPr>
          <w:lang w:val="fr-CA"/>
        </w:rPr>
        <w:t xml:space="preserve"> </w:t>
      </w:r>
      <w:r>
        <w:rPr>
          <w:lang w:val="fr-CA"/>
        </w:rPr>
        <w:t>Chercheurs</w:t>
      </w:r>
      <w:r w:rsidRPr="00E25E02">
        <w:rPr>
          <w:lang w:val="fr-CA"/>
        </w:rPr>
        <w:t>.</w:t>
      </w:r>
    </w:p>
  </w:footnote>
  <w:footnote w:id="15">
    <w:p w:rsidR="0069339F" w:rsidRPr="00E25E02" w:rsidRDefault="0069339F" w:rsidP="00F353C9">
      <w:pPr>
        <w:pStyle w:val="FootnoteText"/>
        <w:ind w:firstLine="0"/>
        <w:rPr>
          <w:lang w:val="fr-CA"/>
        </w:rPr>
      </w:pPr>
      <w:r w:rsidRPr="00E25E02">
        <w:rPr>
          <w:rStyle w:val="FootnoteReference"/>
          <w:sz w:val="18"/>
          <w:szCs w:val="18"/>
          <w:lang w:val="fr-CA"/>
        </w:rPr>
        <w:footnoteRef/>
      </w:r>
      <w:r>
        <w:rPr>
          <w:lang w:val="fr-CA"/>
        </w:rPr>
        <w:t xml:space="preserve"> Éthiopie, Inde</w:t>
      </w:r>
      <w:r w:rsidRPr="00E25E02">
        <w:rPr>
          <w:lang w:val="fr-CA"/>
        </w:rPr>
        <w:t>, Madagascar</w:t>
      </w:r>
      <w:r>
        <w:rPr>
          <w:lang w:val="fr-CA"/>
        </w:rPr>
        <w:t>,</w:t>
      </w:r>
      <w:r w:rsidRPr="00C73F37">
        <w:rPr>
          <w:lang w:val="fr-CA"/>
        </w:rPr>
        <w:t xml:space="preserve"> </w:t>
      </w:r>
      <w:r>
        <w:rPr>
          <w:lang w:val="fr-CA"/>
        </w:rPr>
        <w:t>Union africaine</w:t>
      </w:r>
      <w:r w:rsidRPr="00E25E02">
        <w:rPr>
          <w:lang w:val="fr-CA"/>
        </w:rPr>
        <w:t>.</w:t>
      </w:r>
    </w:p>
  </w:footnote>
  <w:footnote w:id="16">
    <w:p w:rsidR="0069339F" w:rsidRPr="00E25E02" w:rsidRDefault="0069339F" w:rsidP="00A35828">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lang w:val="fr-CA"/>
        </w:rPr>
        <w:t xml:space="preserve">Éthiopie, </w:t>
      </w:r>
      <w:r w:rsidRPr="00E25E02">
        <w:rPr>
          <w:lang w:val="fr-CA"/>
        </w:rPr>
        <w:t>Madagascar</w:t>
      </w:r>
      <w:r>
        <w:rPr>
          <w:lang w:val="fr-CA"/>
        </w:rPr>
        <w:t>,</w:t>
      </w:r>
      <w:r w:rsidRPr="00C73F37">
        <w:rPr>
          <w:lang w:val="fr-CA"/>
        </w:rPr>
        <w:t xml:space="preserve"> </w:t>
      </w:r>
      <w:r>
        <w:rPr>
          <w:lang w:val="fr-CA"/>
        </w:rPr>
        <w:t>SPDA, Union africaine.</w:t>
      </w:r>
    </w:p>
  </w:footnote>
  <w:footnote w:id="17">
    <w:p w:rsidR="0069339F" w:rsidRPr="00E25E02" w:rsidRDefault="0069339F" w:rsidP="00A35828">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 xml:space="preserve">Éthiopie, </w:t>
      </w:r>
      <w:r w:rsidRPr="00E25E02">
        <w:rPr>
          <w:lang w:val="fr-CA"/>
        </w:rPr>
        <w:t>Madagascar</w:t>
      </w:r>
      <w:r>
        <w:rPr>
          <w:lang w:val="fr-CA"/>
        </w:rPr>
        <w:t>,</w:t>
      </w:r>
      <w:r w:rsidRPr="00C73F37">
        <w:rPr>
          <w:lang w:val="fr-CA"/>
        </w:rPr>
        <w:t xml:space="preserve"> </w:t>
      </w:r>
      <w:r>
        <w:rPr>
          <w:lang w:val="fr-CA"/>
        </w:rPr>
        <w:t>Union africaine.</w:t>
      </w:r>
    </w:p>
  </w:footnote>
  <w:footnote w:id="18">
    <w:p w:rsidR="0069339F" w:rsidRPr="00E25E02" w:rsidRDefault="0069339F" w:rsidP="00A35828">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19">
    <w:p w:rsidR="0069339F" w:rsidRPr="00E25E02" w:rsidRDefault="0069339F" w:rsidP="007A17F1">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20">
    <w:p w:rsidR="0069339F" w:rsidRPr="00E25E02" w:rsidRDefault="0069339F" w:rsidP="005971ED">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21">
    <w:p w:rsidR="0069339F" w:rsidRPr="00E25E02" w:rsidRDefault="0069339F" w:rsidP="005971ED">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r>
        <w:rPr>
          <w:lang w:val="fr-CA"/>
        </w:rPr>
        <w:t xml:space="preserve"> La soumission de l’Union africaine contient également une </w:t>
      </w:r>
      <w:hyperlink r:id="rId2" w:history="1">
        <w:r w:rsidRPr="00E25E02">
          <w:rPr>
            <w:rStyle w:val="Hyperlink"/>
            <w:lang w:val="fr-CA"/>
          </w:rPr>
          <w:t>annex</w:t>
        </w:r>
      </w:hyperlink>
      <w:r w:rsidRPr="00B52FD8">
        <w:rPr>
          <w:rStyle w:val="Hyperlink"/>
          <w:lang w:val="fr-CA"/>
        </w:rPr>
        <w:t>e</w:t>
      </w:r>
      <w:r>
        <w:rPr>
          <w:lang w:val="fr-CA"/>
        </w:rPr>
        <w:t xml:space="preserve"> présentant des exemples tirés de la documentation préparée pour la deuxième réunion de l’Organe subsidiaire chargé de l’application (</w:t>
      </w:r>
      <w:hyperlink r:id="rId3" w:history="1">
        <w:r w:rsidRPr="001D35D1">
          <w:rPr>
            <w:rStyle w:val="Hyperlink"/>
            <w:lang w:val="fr-CA"/>
          </w:rPr>
          <w:t>CBD/SBI/2/5</w:t>
        </w:r>
      </w:hyperlink>
      <w:r w:rsidRPr="001D35D1">
        <w:rPr>
          <w:lang w:val="fr-CA"/>
        </w:rPr>
        <w:t>)</w:t>
      </w:r>
      <w:r>
        <w:rPr>
          <w:lang w:val="fr-CA"/>
        </w:rPr>
        <w:t xml:space="preserve"> et de l’étude exploratoire et recherche des faits sur l’information de séquençage numérique sur les ressources génétiques dans le contexte de la Convention sur la diversité biologique et du Protocole de Nagoya commandée par le Secrétariat de la Convention </w:t>
      </w:r>
      <w:r w:rsidRPr="00E25E02">
        <w:rPr>
          <w:lang w:val="fr-CA"/>
        </w:rPr>
        <w:t>(</w:t>
      </w:r>
      <w:hyperlink r:id="rId4" w:history="1">
        <w:r w:rsidRPr="00E25E02">
          <w:rPr>
            <w:rStyle w:val="Hyperlink"/>
            <w:lang w:val="fr-CA"/>
          </w:rPr>
          <w:t>CBD/DSI/AHTEG/2018/1/3</w:t>
        </w:r>
      </w:hyperlink>
      <w:r w:rsidRPr="001D35D1">
        <w:rPr>
          <w:lang w:val="fr-CA"/>
        </w:rPr>
        <w:t>).</w:t>
      </w:r>
    </w:p>
  </w:footnote>
  <w:footnote w:id="22">
    <w:p w:rsidR="0069339F" w:rsidRPr="00E25E02" w:rsidRDefault="0069339F" w:rsidP="005971ED">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Éthiopie, Inde, Union africaine</w:t>
      </w:r>
      <w:r w:rsidRPr="00E25E02">
        <w:rPr>
          <w:lang w:val="fr-CA"/>
        </w:rPr>
        <w:t>.</w:t>
      </w:r>
    </w:p>
  </w:footnote>
  <w:footnote w:id="23">
    <w:p w:rsidR="0069339F" w:rsidRPr="00E25E02" w:rsidRDefault="0069339F" w:rsidP="005971ED">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24">
    <w:p w:rsidR="0069339F" w:rsidRPr="00E25E02" w:rsidRDefault="0069339F" w:rsidP="005971ED">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25">
    <w:p w:rsidR="0069339F" w:rsidRPr="00E25E02" w:rsidRDefault="0069339F" w:rsidP="005971ED">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26">
    <w:p w:rsidR="0069339F" w:rsidRPr="00E25E02" w:rsidRDefault="0069339F" w:rsidP="00E77E79">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Éthiopie, Union africaine</w:t>
      </w:r>
      <w:r w:rsidRPr="00E25E02">
        <w:rPr>
          <w:lang w:val="fr-CA"/>
        </w:rPr>
        <w:t xml:space="preserve">. </w:t>
      </w:r>
    </w:p>
  </w:footnote>
  <w:footnote w:id="27">
    <w:p w:rsidR="0069339F" w:rsidRPr="00E25E02" w:rsidRDefault="0069339F" w:rsidP="00E77E79">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28">
    <w:p w:rsidR="0069339F" w:rsidRPr="00E25E02" w:rsidRDefault="0069339F" w:rsidP="00E77E79">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Éthiopie, Union africaine</w:t>
      </w:r>
      <w:r w:rsidRPr="00E25E02">
        <w:rPr>
          <w:lang w:val="fr-CA"/>
        </w:rPr>
        <w:t>.</w:t>
      </w:r>
    </w:p>
  </w:footnote>
  <w:footnote w:id="29">
    <w:p w:rsidR="0069339F" w:rsidRPr="00E25E02" w:rsidRDefault="0069339F" w:rsidP="00E77E79">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30">
    <w:p w:rsidR="0069339F" w:rsidRPr="00E25E02" w:rsidRDefault="0069339F" w:rsidP="00E76819">
      <w:pPr>
        <w:pStyle w:val="FootnoteText"/>
        <w:ind w:firstLine="0"/>
        <w:rPr>
          <w:lang w:val="fr-CA"/>
        </w:rPr>
      </w:pPr>
      <w:r w:rsidRPr="00E25E02">
        <w:rPr>
          <w:rStyle w:val="FootnoteReference"/>
          <w:sz w:val="18"/>
          <w:szCs w:val="18"/>
          <w:lang w:val="fr-CA"/>
        </w:rPr>
        <w:footnoteRef/>
      </w:r>
      <w:r>
        <w:rPr>
          <w:lang w:val="fr-CA"/>
        </w:rPr>
        <w:t xml:space="preserve"> Inde, Union africaine</w:t>
      </w:r>
      <w:r w:rsidRPr="00E25E02">
        <w:rPr>
          <w:lang w:val="fr-CA"/>
        </w:rPr>
        <w:t>.</w:t>
      </w:r>
    </w:p>
  </w:footnote>
  <w:footnote w:id="31">
    <w:p w:rsidR="0069339F" w:rsidRPr="00E25E02" w:rsidRDefault="0069339F" w:rsidP="00E76819">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32">
    <w:p w:rsidR="0069339F" w:rsidRPr="00E25E02" w:rsidRDefault="0069339F" w:rsidP="00B42FB3">
      <w:pPr>
        <w:pStyle w:val="FootnoteText"/>
        <w:ind w:firstLine="0"/>
        <w:rPr>
          <w:lang w:val="fr-CA"/>
        </w:rPr>
      </w:pPr>
      <w:r w:rsidRPr="00E25E02">
        <w:rPr>
          <w:rStyle w:val="FootnoteReference"/>
          <w:sz w:val="18"/>
          <w:szCs w:val="18"/>
          <w:lang w:val="fr-CA"/>
        </w:rPr>
        <w:footnoteRef/>
      </w:r>
      <w:r w:rsidRPr="00E25E02">
        <w:rPr>
          <w:lang w:val="fr-CA"/>
        </w:rPr>
        <w:t xml:space="preserve"> Madagascar.</w:t>
      </w:r>
    </w:p>
  </w:footnote>
  <w:footnote w:id="33">
    <w:p w:rsidR="0069339F" w:rsidRPr="00E25E02" w:rsidRDefault="0069339F" w:rsidP="00B42FB3">
      <w:pPr>
        <w:pStyle w:val="FootnoteText"/>
        <w:ind w:firstLine="0"/>
        <w:rPr>
          <w:lang w:val="fr-CA"/>
        </w:rPr>
      </w:pPr>
      <w:r w:rsidRPr="00E25E02">
        <w:rPr>
          <w:rStyle w:val="FootnoteReference"/>
          <w:sz w:val="18"/>
          <w:szCs w:val="18"/>
          <w:lang w:val="fr-CA"/>
        </w:rPr>
        <w:footnoteRef/>
      </w:r>
      <w:r>
        <w:rPr>
          <w:lang w:val="fr-CA"/>
        </w:rPr>
        <w:t xml:space="preserve"> Éthiopie</w:t>
      </w:r>
      <w:r w:rsidRPr="00E25E02">
        <w:rPr>
          <w:lang w:val="fr-CA"/>
        </w:rPr>
        <w:t>, SPDA</w:t>
      </w:r>
      <w:r>
        <w:rPr>
          <w:lang w:val="fr-CA"/>
        </w:rPr>
        <w:t>, Union africaine</w:t>
      </w:r>
      <w:r w:rsidRPr="00E25E02">
        <w:rPr>
          <w:lang w:val="fr-CA"/>
        </w:rPr>
        <w:t>.</w:t>
      </w:r>
    </w:p>
  </w:footnote>
  <w:footnote w:id="34">
    <w:p w:rsidR="0069339F" w:rsidRPr="00E25E02" w:rsidRDefault="0069339F" w:rsidP="00B42FB3">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35">
    <w:p w:rsidR="0069339F" w:rsidRPr="00E25E02" w:rsidRDefault="0069339F" w:rsidP="00B42FB3">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SPDA.</w:t>
      </w:r>
    </w:p>
  </w:footnote>
  <w:footnote w:id="36">
    <w:p w:rsidR="0069339F" w:rsidRPr="00E25E02" w:rsidRDefault="0069339F" w:rsidP="00371031">
      <w:pPr>
        <w:pStyle w:val="FootnoteText"/>
        <w:ind w:firstLine="0"/>
        <w:rPr>
          <w:lang w:val="fr-CA"/>
        </w:rPr>
      </w:pPr>
      <w:r w:rsidRPr="00E25E02">
        <w:rPr>
          <w:rStyle w:val="FootnoteReference"/>
          <w:sz w:val="18"/>
          <w:szCs w:val="18"/>
          <w:lang w:val="fr-CA"/>
        </w:rPr>
        <w:footnoteRef/>
      </w:r>
      <w:r>
        <w:rPr>
          <w:lang w:val="fr-CA"/>
        </w:rPr>
        <w:t xml:space="preserve"> Éthiopie</w:t>
      </w:r>
      <w:r w:rsidRPr="00E25E02">
        <w:rPr>
          <w:lang w:val="fr-CA"/>
        </w:rPr>
        <w:t>, Madagascar, SPDA</w:t>
      </w:r>
      <w:r>
        <w:rPr>
          <w:lang w:val="fr-CA"/>
        </w:rPr>
        <w:t>, Union africaine</w:t>
      </w:r>
      <w:r w:rsidRPr="00E25E02">
        <w:rPr>
          <w:lang w:val="fr-CA"/>
        </w:rPr>
        <w:t>.</w:t>
      </w:r>
    </w:p>
  </w:footnote>
  <w:footnote w:id="37">
    <w:p w:rsidR="0069339F" w:rsidRPr="00E25E02" w:rsidRDefault="0069339F" w:rsidP="00371031">
      <w:pPr>
        <w:pStyle w:val="FootnoteText"/>
        <w:ind w:firstLine="0"/>
        <w:rPr>
          <w:szCs w:val="18"/>
          <w:lang w:val="fr-CA"/>
        </w:rPr>
      </w:pPr>
      <w:r w:rsidRPr="00E25E02">
        <w:rPr>
          <w:rStyle w:val="FootnoteReference"/>
          <w:sz w:val="18"/>
          <w:szCs w:val="18"/>
          <w:lang w:val="fr-CA"/>
        </w:rPr>
        <w:footnoteRef/>
      </w:r>
      <w:r>
        <w:rPr>
          <w:szCs w:val="18"/>
          <w:lang w:val="fr-CA"/>
        </w:rPr>
        <w:t xml:space="preserve"> Inde</w:t>
      </w:r>
      <w:r w:rsidRPr="00E25E02">
        <w:rPr>
          <w:szCs w:val="18"/>
          <w:lang w:val="fr-CA"/>
        </w:rPr>
        <w:t>.</w:t>
      </w:r>
    </w:p>
  </w:footnote>
  <w:footnote w:id="38">
    <w:p w:rsidR="0069339F" w:rsidRPr="00E25E02" w:rsidRDefault="0069339F" w:rsidP="00371031">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39">
    <w:p w:rsidR="0069339F" w:rsidRPr="00E25E02" w:rsidRDefault="0069339F" w:rsidP="00CB3AAE">
      <w:pPr>
        <w:pStyle w:val="FootnoteText"/>
        <w:ind w:firstLine="0"/>
        <w:rPr>
          <w:lang w:val="fr-CA"/>
        </w:rPr>
      </w:pPr>
      <w:r w:rsidRPr="00E25E02">
        <w:rPr>
          <w:rStyle w:val="FootnoteReference"/>
          <w:sz w:val="18"/>
          <w:szCs w:val="18"/>
          <w:lang w:val="fr-CA"/>
        </w:rPr>
        <w:footnoteRef/>
      </w:r>
      <w:r w:rsidRPr="00E25E02">
        <w:rPr>
          <w:lang w:val="fr-CA"/>
        </w:rPr>
        <w:t xml:space="preserve"> </w:t>
      </w:r>
      <w:r>
        <w:rPr>
          <w:szCs w:val="18"/>
          <w:lang w:val="fr-CA"/>
        </w:rPr>
        <w:t>Éthiopie</w:t>
      </w:r>
      <w:r w:rsidRPr="00E25E02">
        <w:rPr>
          <w:lang w:val="fr-CA"/>
        </w:rPr>
        <w:t>, Madagascar</w:t>
      </w:r>
      <w:r>
        <w:rPr>
          <w:lang w:val="fr-CA"/>
        </w:rPr>
        <w:t>, Union africaine</w:t>
      </w:r>
      <w:r w:rsidRPr="00E25E02">
        <w:rPr>
          <w:lang w:val="fr-CA"/>
        </w:rPr>
        <w:t>.</w:t>
      </w:r>
    </w:p>
  </w:footnote>
  <w:footnote w:id="40">
    <w:p w:rsidR="0069339F" w:rsidRPr="00E25E02" w:rsidRDefault="0069339F" w:rsidP="00CB3AAE">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41">
    <w:p w:rsidR="0069339F" w:rsidRPr="00E25E02" w:rsidRDefault="0069339F" w:rsidP="005E2FB8">
      <w:pPr>
        <w:pStyle w:val="FootnoteText"/>
        <w:ind w:firstLine="0"/>
        <w:rPr>
          <w:lang w:val="fr-CA"/>
        </w:rPr>
      </w:pPr>
      <w:r w:rsidRPr="00E25E02">
        <w:rPr>
          <w:rStyle w:val="FootnoteReference"/>
          <w:sz w:val="16"/>
          <w:szCs w:val="16"/>
          <w:lang w:val="fr-CA"/>
        </w:rPr>
        <w:footnoteRef/>
      </w:r>
      <w:r w:rsidRPr="00E25E02">
        <w:rPr>
          <w:lang w:val="fr-CA"/>
        </w:rPr>
        <w:t xml:space="preserve"> </w:t>
      </w:r>
      <w:r>
        <w:rPr>
          <w:szCs w:val="18"/>
          <w:lang w:val="fr-CA"/>
        </w:rPr>
        <w:t xml:space="preserve">Éthiopie, </w:t>
      </w:r>
      <w:r>
        <w:rPr>
          <w:lang w:val="fr-CA"/>
        </w:rPr>
        <w:t>Union africaine</w:t>
      </w:r>
      <w:r w:rsidRPr="00E25E02">
        <w:rPr>
          <w:lang w:val="fr-CA"/>
        </w:rPr>
        <w:t>.</w:t>
      </w:r>
    </w:p>
  </w:footnote>
  <w:footnote w:id="42">
    <w:p w:rsidR="0069339F" w:rsidRPr="00E25E02" w:rsidRDefault="0069339F" w:rsidP="005E2FB8">
      <w:pPr>
        <w:pStyle w:val="FootnoteText"/>
        <w:ind w:firstLine="0"/>
        <w:rPr>
          <w:lang w:val="fr-CA"/>
        </w:rPr>
      </w:pPr>
      <w:r w:rsidRPr="00E25E02">
        <w:rPr>
          <w:rStyle w:val="FootnoteReference"/>
          <w:sz w:val="18"/>
          <w:szCs w:val="18"/>
          <w:lang w:val="fr-CA"/>
        </w:rPr>
        <w:footnoteRef/>
      </w:r>
      <w:r w:rsidRPr="00E25E02">
        <w:rPr>
          <w:lang w:val="fr-CA"/>
        </w:rPr>
        <w:t xml:space="preserve"> </w:t>
      </w:r>
      <w:r>
        <w:rPr>
          <w:szCs w:val="18"/>
          <w:lang w:val="fr-CA"/>
        </w:rPr>
        <w:t>Éthiopie</w:t>
      </w:r>
      <w:r>
        <w:rPr>
          <w:lang w:val="fr-CA"/>
        </w:rPr>
        <w:t>, Inde, Union africaine</w:t>
      </w:r>
      <w:r w:rsidRPr="00E25E02">
        <w:rPr>
          <w:lang w:val="fr-CA"/>
        </w:rPr>
        <w:t>.</w:t>
      </w:r>
    </w:p>
  </w:footnote>
  <w:footnote w:id="43">
    <w:p w:rsidR="0069339F" w:rsidRPr="00E25E02" w:rsidRDefault="0069339F" w:rsidP="005E2FB8">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Union africaine</w:t>
      </w:r>
      <w:r w:rsidRPr="00E25E02">
        <w:rPr>
          <w:lang w:val="fr-CA"/>
        </w:rPr>
        <w:t>.</w:t>
      </w:r>
    </w:p>
  </w:footnote>
  <w:footnote w:id="44">
    <w:p w:rsidR="0069339F" w:rsidRPr="00E25E02" w:rsidRDefault="0069339F" w:rsidP="005E2FB8">
      <w:pPr>
        <w:pStyle w:val="FootnoteText"/>
        <w:ind w:firstLine="0"/>
        <w:rPr>
          <w:lang w:val="fr-CA"/>
        </w:rPr>
      </w:pPr>
      <w:r w:rsidRPr="00E25E02">
        <w:rPr>
          <w:rStyle w:val="FootnoteReference"/>
          <w:sz w:val="18"/>
          <w:szCs w:val="18"/>
          <w:lang w:val="fr-CA"/>
        </w:rPr>
        <w:footnoteRef/>
      </w:r>
      <w:r w:rsidRPr="00E25E02">
        <w:rPr>
          <w:lang w:val="fr-CA"/>
        </w:rPr>
        <w:t xml:space="preserve"> </w:t>
      </w:r>
      <w:r>
        <w:rPr>
          <w:szCs w:val="18"/>
          <w:lang w:val="fr-CA"/>
        </w:rPr>
        <w:t>Union africaine</w:t>
      </w:r>
      <w:r w:rsidRPr="00E25E02">
        <w:rPr>
          <w:lang w:val="fr-CA"/>
        </w:rPr>
        <w:t>.</w:t>
      </w:r>
    </w:p>
  </w:footnote>
  <w:footnote w:id="45">
    <w:p w:rsidR="0069339F" w:rsidRPr="00E25E02" w:rsidRDefault="0069339F" w:rsidP="005C06C3">
      <w:pPr>
        <w:pStyle w:val="FootnoteText"/>
        <w:ind w:firstLine="0"/>
        <w:rPr>
          <w:lang w:val="fr-CA"/>
        </w:rPr>
      </w:pPr>
      <w:r w:rsidRPr="00E25E02">
        <w:rPr>
          <w:rStyle w:val="FootnoteReference"/>
          <w:sz w:val="18"/>
          <w:szCs w:val="18"/>
          <w:lang w:val="fr-CA"/>
        </w:rPr>
        <w:footnoteRef/>
      </w:r>
      <w:r w:rsidRPr="00E25E02">
        <w:rPr>
          <w:lang w:val="fr-CA"/>
        </w:rPr>
        <w:t xml:space="preserve"> </w:t>
      </w:r>
      <w:r>
        <w:rPr>
          <w:szCs w:val="18"/>
          <w:lang w:val="fr-CA"/>
        </w:rPr>
        <w:t>Union africaine</w:t>
      </w:r>
      <w:r w:rsidRPr="00E25E02">
        <w:rPr>
          <w:lang w:val="fr-CA"/>
        </w:rPr>
        <w:t>.</w:t>
      </w:r>
    </w:p>
  </w:footnote>
  <w:footnote w:id="46">
    <w:p w:rsidR="0069339F" w:rsidRPr="00E25E02" w:rsidRDefault="0069339F" w:rsidP="001E7DC7">
      <w:pPr>
        <w:pStyle w:val="FootnoteText"/>
        <w:keepLines w:val="0"/>
        <w:suppressLineNumbers/>
        <w:suppressAutoHyphens/>
        <w:kinsoku w:val="0"/>
        <w:overflowPunct w:val="0"/>
        <w:autoSpaceDE w:val="0"/>
        <w:autoSpaceDN w:val="0"/>
        <w:adjustRightInd w:val="0"/>
        <w:snapToGrid w:val="0"/>
        <w:ind w:firstLine="0"/>
        <w:jc w:val="left"/>
        <w:rPr>
          <w:noProof/>
          <w:kern w:val="18"/>
          <w:szCs w:val="18"/>
          <w:lang w:val="fr-CA"/>
        </w:rPr>
      </w:pPr>
      <w:r w:rsidRPr="00E25E02">
        <w:rPr>
          <w:rStyle w:val="FootnoteReference"/>
          <w:noProof/>
          <w:kern w:val="18"/>
          <w:sz w:val="18"/>
          <w:szCs w:val="18"/>
          <w:lang w:val="fr-CA"/>
        </w:rPr>
        <w:footnoteRef/>
      </w:r>
      <w:r w:rsidRPr="00E25E02">
        <w:rPr>
          <w:noProof/>
          <w:kern w:val="18"/>
          <w:szCs w:val="18"/>
          <w:lang w:val="fr-CA"/>
        </w:rPr>
        <w:t xml:space="preserve"> </w:t>
      </w:r>
      <w:r>
        <w:rPr>
          <w:szCs w:val="18"/>
          <w:lang w:val="fr-CA"/>
        </w:rPr>
        <w:t>Éthiopie</w:t>
      </w:r>
      <w:r w:rsidRPr="00E25E02">
        <w:rPr>
          <w:noProof/>
          <w:kern w:val="18"/>
          <w:szCs w:val="18"/>
          <w:lang w:val="fr-CA"/>
        </w:rPr>
        <w:t xml:space="preserve">, </w:t>
      </w:r>
      <w:r>
        <w:rPr>
          <w:noProof/>
          <w:kern w:val="18"/>
          <w:szCs w:val="18"/>
          <w:lang w:val="fr-CA"/>
        </w:rPr>
        <w:t>Guinée</w:t>
      </w:r>
      <w:r>
        <w:rPr>
          <w:noProof/>
          <w:kern w:val="18"/>
          <w:szCs w:val="18"/>
          <w:lang w:val="fr-CA"/>
        </w:rPr>
        <w:noBreakHyphen/>
        <w:t>Bissau, Madagascar, Nigé</w:t>
      </w:r>
      <w:r w:rsidRPr="00E25E02">
        <w:rPr>
          <w:noProof/>
          <w:kern w:val="18"/>
          <w:szCs w:val="18"/>
          <w:lang w:val="fr-CA"/>
        </w:rPr>
        <w:t>ria, SPDA.</w:t>
      </w:r>
    </w:p>
  </w:footnote>
  <w:footnote w:id="47">
    <w:p w:rsidR="0069339F" w:rsidRPr="00E25E02" w:rsidRDefault="0069339F" w:rsidP="001E7DC7">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Union africaine</w:t>
      </w:r>
      <w:r w:rsidRPr="00E25E02">
        <w:rPr>
          <w:szCs w:val="18"/>
          <w:lang w:val="fr-CA"/>
        </w:rPr>
        <w:t>.</w:t>
      </w:r>
    </w:p>
  </w:footnote>
  <w:footnote w:id="48">
    <w:p w:rsidR="0069339F" w:rsidRPr="00E25E02" w:rsidRDefault="0069339F" w:rsidP="008C778B">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Éthiopie, Union africaine</w:t>
      </w:r>
      <w:r w:rsidRPr="00E25E02">
        <w:rPr>
          <w:szCs w:val="18"/>
          <w:lang w:val="fr-CA"/>
        </w:rPr>
        <w:t>.</w:t>
      </w:r>
    </w:p>
  </w:footnote>
  <w:footnote w:id="49">
    <w:p w:rsidR="0069339F" w:rsidRPr="00E25E02" w:rsidRDefault="0069339F" w:rsidP="008C778B">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Union africaine</w:t>
      </w:r>
      <w:r w:rsidRPr="00E25E02">
        <w:rPr>
          <w:szCs w:val="18"/>
          <w:lang w:val="fr-CA"/>
        </w:rPr>
        <w:t>.</w:t>
      </w:r>
    </w:p>
  </w:footnote>
  <w:footnote w:id="50">
    <w:p w:rsidR="0069339F" w:rsidRPr="00E25E02" w:rsidRDefault="0069339F" w:rsidP="008C778B">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Éthiopie, Madagascar, Nigé</w:t>
      </w:r>
      <w:r w:rsidRPr="00E25E02">
        <w:rPr>
          <w:szCs w:val="18"/>
          <w:lang w:val="fr-CA"/>
        </w:rPr>
        <w:t>ria</w:t>
      </w:r>
      <w:r>
        <w:rPr>
          <w:szCs w:val="18"/>
          <w:lang w:val="fr-CA"/>
        </w:rPr>
        <w:t>, Union africaine</w:t>
      </w:r>
      <w:r w:rsidRPr="00E25E02">
        <w:rPr>
          <w:szCs w:val="18"/>
          <w:lang w:val="fr-CA"/>
        </w:rPr>
        <w:t>.</w:t>
      </w:r>
    </w:p>
  </w:footnote>
  <w:footnote w:id="51">
    <w:p w:rsidR="0069339F" w:rsidRPr="00E25E02" w:rsidRDefault="0069339F" w:rsidP="008C778B">
      <w:pPr>
        <w:pStyle w:val="FootnoteText"/>
        <w:keepLines w:val="0"/>
        <w:suppressLineNumbers/>
        <w:suppressAutoHyphens/>
        <w:kinsoku w:val="0"/>
        <w:overflowPunct w:val="0"/>
        <w:autoSpaceDE w:val="0"/>
        <w:autoSpaceDN w:val="0"/>
        <w:adjustRightInd w:val="0"/>
        <w:snapToGrid w:val="0"/>
        <w:ind w:firstLine="0"/>
        <w:jc w:val="left"/>
        <w:rPr>
          <w:noProof/>
          <w:kern w:val="18"/>
          <w:szCs w:val="18"/>
          <w:lang w:val="fr-CA"/>
        </w:rPr>
      </w:pPr>
      <w:r w:rsidRPr="00E25E02">
        <w:rPr>
          <w:rStyle w:val="FootnoteReference"/>
          <w:noProof/>
          <w:kern w:val="18"/>
          <w:sz w:val="18"/>
          <w:szCs w:val="18"/>
          <w:lang w:val="fr-CA"/>
        </w:rPr>
        <w:footnoteRef/>
      </w:r>
      <w:r w:rsidRPr="00E25E02">
        <w:rPr>
          <w:noProof/>
          <w:kern w:val="18"/>
          <w:szCs w:val="18"/>
          <w:lang w:val="fr-CA"/>
        </w:rPr>
        <w:t xml:space="preserve"> </w:t>
      </w:r>
      <w:r>
        <w:rPr>
          <w:szCs w:val="18"/>
          <w:lang w:val="fr-CA"/>
        </w:rPr>
        <w:t>Union africaine</w:t>
      </w:r>
      <w:r w:rsidRPr="00E25E02">
        <w:rPr>
          <w:noProof/>
          <w:kern w:val="18"/>
          <w:szCs w:val="18"/>
          <w:lang w:val="fr-CA"/>
        </w:rPr>
        <w:t>.</w:t>
      </w:r>
    </w:p>
  </w:footnote>
  <w:footnote w:id="52">
    <w:p w:rsidR="0069339F" w:rsidRPr="00E25E02" w:rsidRDefault="0069339F" w:rsidP="008C778B">
      <w:pPr>
        <w:pStyle w:val="FootnoteText"/>
        <w:ind w:firstLine="0"/>
        <w:rPr>
          <w:noProof/>
          <w:szCs w:val="18"/>
          <w:lang w:val="fr-CA"/>
        </w:rPr>
      </w:pPr>
      <w:r w:rsidRPr="00E25E02">
        <w:rPr>
          <w:rStyle w:val="FootnoteReference"/>
          <w:sz w:val="18"/>
          <w:szCs w:val="18"/>
          <w:lang w:val="fr-CA"/>
        </w:rPr>
        <w:footnoteRef/>
      </w:r>
      <w:r w:rsidRPr="00E25E02">
        <w:rPr>
          <w:szCs w:val="18"/>
          <w:lang w:val="fr-CA"/>
        </w:rPr>
        <w:t xml:space="preserve"> </w:t>
      </w:r>
      <w:r>
        <w:rPr>
          <w:noProof/>
          <w:szCs w:val="18"/>
          <w:lang w:val="fr-CA"/>
        </w:rPr>
        <w:t>Guinée</w:t>
      </w:r>
      <w:r>
        <w:rPr>
          <w:noProof/>
          <w:szCs w:val="18"/>
          <w:lang w:val="fr-CA"/>
        </w:rPr>
        <w:noBreakHyphen/>
        <w:t>Bissau</w:t>
      </w:r>
      <w:r w:rsidRPr="00E25E02">
        <w:rPr>
          <w:noProof/>
          <w:szCs w:val="18"/>
          <w:lang w:val="fr-CA"/>
        </w:rPr>
        <w:t>.</w:t>
      </w:r>
    </w:p>
  </w:footnote>
  <w:footnote w:id="53">
    <w:p w:rsidR="0069339F" w:rsidRPr="00E25E02" w:rsidRDefault="0069339F" w:rsidP="008C778B">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Madagasca</w:t>
      </w:r>
      <w:r>
        <w:rPr>
          <w:szCs w:val="18"/>
          <w:lang w:val="fr-CA"/>
        </w:rPr>
        <w:t>r, Nigé</w:t>
      </w:r>
      <w:r w:rsidRPr="00E25E02">
        <w:rPr>
          <w:szCs w:val="18"/>
          <w:lang w:val="fr-CA"/>
        </w:rPr>
        <w:t>ria.</w:t>
      </w:r>
    </w:p>
  </w:footnote>
  <w:footnote w:id="54">
    <w:p w:rsidR="0069339F" w:rsidRPr="00E25E02" w:rsidRDefault="0069339F" w:rsidP="008C778B">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Madagascar.</w:t>
      </w:r>
    </w:p>
  </w:footnote>
  <w:footnote w:id="55">
    <w:p w:rsidR="0069339F" w:rsidRPr="00E25E02" w:rsidRDefault="0069339F" w:rsidP="00AA0A06">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Union africaine</w:t>
      </w:r>
      <w:r w:rsidRPr="00E25E02">
        <w:rPr>
          <w:szCs w:val="18"/>
          <w:lang w:val="fr-CA"/>
        </w:rPr>
        <w:t>.</w:t>
      </w:r>
    </w:p>
  </w:footnote>
  <w:footnote w:id="56">
    <w:p w:rsidR="0069339F" w:rsidRPr="00E25E02" w:rsidRDefault="0069339F" w:rsidP="00AA0A06">
      <w:pPr>
        <w:pStyle w:val="FootnoteText"/>
        <w:ind w:firstLine="0"/>
        <w:rPr>
          <w:szCs w:val="18"/>
          <w:lang w:val="fr-CA"/>
        </w:rPr>
      </w:pPr>
      <w:r w:rsidRPr="00E25E02">
        <w:rPr>
          <w:rStyle w:val="FootnoteReference"/>
          <w:sz w:val="18"/>
          <w:szCs w:val="18"/>
          <w:lang w:val="fr-CA"/>
        </w:rPr>
        <w:footnoteRef/>
      </w:r>
      <w:r>
        <w:rPr>
          <w:szCs w:val="18"/>
          <w:lang w:val="fr-CA"/>
        </w:rPr>
        <w:t xml:space="preserve"> Éthiopie</w:t>
      </w:r>
      <w:r w:rsidRPr="00E25E02">
        <w:rPr>
          <w:szCs w:val="18"/>
          <w:lang w:val="fr-CA"/>
        </w:rPr>
        <w:t>.</w:t>
      </w:r>
    </w:p>
  </w:footnote>
  <w:footnote w:id="57">
    <w:p w:rsidR="0069339F" w:rsidRPr="00E25E02" w:rsidRDefault="0069339F" w:rsidP="00AA0A06">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Union africaine</w:t>
      </w:r>
      <w:r w:rsidRPr="00E25E02">
        <w:rPr>
          <w:szCs w:val="18"/>
          <w:lang w:val="fr-CA"/>
        </w:rPr>
        <w:t>.</w:t>
      </w:r>
    </w:p>
  </w:footnote>
  <w:footnote w:id="58">
    <w:p w:rsidR="0069339F" w:rsidRPr="00E25E02" w:rsidRDefault="0069339F" w:rsidP="000F73CD">
      <w:pPr>
        <w:pStyle w:val="FootnoteText"/>
        <w:ind w:firstLine="0"/>
        <w:rPr>
          <w:lang w:val="fr-CA"/>
        </w:rPr>
      </w:pPr>
      <w:r w:rsidRPr="00E25E02">
        <w:rPr>
          <w:rStyle w:val="FootnoteReference"/>
          <w:sz w:val="18"/>
          <w:szCs w:val="18"/>
          <w:lang w:val="fr-CA"/>
        </w:rPr>
        <w:footnoteRef/>
      </w:r>
      <w:r w:rsidRPr="00E25E02">
        <w:rPr>
          <w:lang w:val="fr-CA"/>
        </w:rPr>
        <w:t xml:space="preserve"> </w:t>
      </w:r>
      <w:r>
        <w:rPr>
          <w:szCs w:val="18"/>
          <w:lang w:val="fr-CA"/>
        </w:rPr>
        <w:t>Union africaine</w:t>
      </w:r>
      <w:r w:rsidRPr="00E25E02">
        <w:rPr>
          <w:lang w:val="fr-CA"/>
        </w:rPr>
        <w:t>.</w:t>
      </w:r>
    </w:p>
  </w:footnote>
  <w:footnote w:id="59">
    <w:p w:rsidR="0069339F" w:rsidRPr="00E25E02" w:rsidRDefault="0069339F" w:rsidP="000F73CD">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Union africaine</w:t>
      </w:r>
      <w:r w:rsidRPr="00E25E02">
        <w:rPr>
          <w:szCs w:val="18"/>
          <w:lang w:val="fr-CA"/>
        </w:rPr>
        <w:t>.</w:t>
      </w:r>
    </w:p>
  </w:footnote>
  <w:footnote w:id="60">
    <w:p w:rsidR="0069339F" w:rsidRPr="00E25E02" w:rsidRDefault="0069339F" w:rsidP="005E19A7">
      <w:pPr>
        <w:pStyle w:val="FootnoteText"/>
        <w:keepLines w:val="0"/>
        <w:suppressLineNumbers/>
        <w:suppressAutoHyphens/>
        <w:kinsoku w:val="0"/>
        <w:overflowPunct w:val="0"/>
        <w:autoSpaceDE w:val="0"/>
        <w:autoSpaceDN w:val="0"/>
        <w:adjustRightInd w:val="0"/>
        <w:snapToGrid w:val="0"/>
        <w:ind w:firstLine="0"/>
        <w:jc w:val="left"/>
        <w:rPr>
          <w:noProof/>
          <w:kern w:val="18"/>
          <w:szCs w:val="18"/>
          <w:lang w:val="fr-CA"/>
        </w:rPr>
      </w:pPr>
      <w:r w:rsidRPr="00E25E02">
        <w:rPr>
          <w:rStyle w:val="FootnoteReference"/>
          <w:noProof/>
          <w:kern w:val="18"/>
          <w:sz w:val="18"/>
          <w:szCs w:val="18"/>
          <w:lang w:val="fr-CA"/>
        </w:rPr>
        <w:footnoteRef/>
      </w:r>
      <w:r w:rsidRPr="00E25E02">
        <w:rPr>
          <w:noProof/>
          <w:kern w:val="18"/>
          <w:szCs w:val="18"/>
          <w:lang w:val="fr-CA"/>
        </w:rPr>
        <w:t xml:space="preserve"> </w:t>
      </w:r>
      <w:r>
        <w:rPr>
          <w:szCs w:val="18"/>
          <w:lang w:val="fr-CA"/>
        </w:rPr>
        <w:t>Union africaine</w:t>
      </w:r>
      <w:r w:rsidRPr="00E25E02">
        <w:rPr>
          <w:noProof/>
          <w:kern w:val="18"/>
          <w:szCs w:val="18"/>
          <w:lang w:val="fr-CA"/>
        </w:rPr>
        <w:t>.</w:t>
      </w:r>
    </w:p>
  </w:footnote>
  <w:footnote w:id="61">
    <w:p w:rsidR="0069339F" w:rsidRPr="00E25E02" w:rsidRDefault="0069339F" w:rsidP="005E19A7">
      <w:pPr>
        <w:pStyle w:val="FootnoteText"/>
        <w:ind w:firstLine="0"/>
        <w:rPr>
          <w:szCs w:val="18"/>
          <w:lang w:val="fr-CA"/>
        </w:rPr>
      </w:pPr>
      <w:r w:rsidRPr="00E25E02">
        <w:rPr>
          <w:rStyle w:val="FootnoteReference"/>
          <w:sz w:val="18"/>
          <w:szCs w:val="18"/>
          <w:lang w:val="fr-CA"/>
        </w:rPr>
        <w:footnoteRef/>
      </w:r>
      <w:r>
        <w:rPr>
          <w:szCs w:val="18"/>
          <w:lang w:val="fr-CA"/>
        </w:rPr>
        <w:t xml:space="preserve"> Éthiopie, Union africaine</w:t>
      </w:r>
      <w:r w:rsidRPr="00E25E02">
        <w:rPr>
          <w:szCs w:val="18"/>
          <w:lang w:val="fr-CA"/>
        </w:rPr>
        <w:t>.</w:t>
      </w:r>
    </w:p>
  </w:footnote>
  <w:footnote w:id="62">
    <w:p w:rsidR="0069339F" w:rsidRPr="00E25E02" w:rsidRDefault="0069339F" w:rsidP="005E19A7">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Union africaine</w:t>
      </w:r>
      <w:r w:rsidRPr="00E25E02">
        <w:rPr>
          <w:szCs w:val="18"/>
          <w:lang w:val="fr-CA"/>
        </w:rPr>
        <w:t>.</w:t>
      </w:r>
    </w:p>
  </w:footnote>
  <w:footnote w:id="63">
    <w:p w:rsidR="0069339F" w:rsidRPr="00E25E02" w:rsidRDefault="0069339F" w:rsidP="005E19A7">
      <w:pPr>
        <w:pStyle w:val="FootnoteText"/>
        <w:ind w:firstLine="0"/>
        <w:rPr>
          <w:szCs w:val="18"/>
          <w:lang w:val="fr-CA"/>
        </w:rPr>
      </w:pPr>
      <w:r w:rsidRPr="00E25E02">
        <w:rPr>
          <w:rStyle w:val="FootnoteReference"/>
          <w:sz w:val="18"/>
          <w:szCs w:val="18"/>
          <w:lang w:val="fr-CA"/>
        </w:rPr>
        <w:footnoteRef/>
      </w:r>
      <w:r w:rsidRPr="00E25E02">
        <w:rPr>
          <w:szCs w:val="18"/>
          <w:lang w:val="fr-CA"/>
        </w:rPr>
        <w:t xml:space="preserve"> </w:t>
      </w:r>
      <w:r>
        <w:rPr>
          <w:szCs w:val="18"/>
          <w:lang w:val="fr-CA"/>
        </w:rPr>
        <w:t>Union africaine</w:t>
      </w:r>
      <w:r w:rsidRPr="00E25E02">
        <w:rPr>
          <w:szCs w:val="18"/>
          <w:lang w:val="fr-CA"/>
        </w:rPr>
        <w:t>.</w:t>
      </w:r>
    </w:p>
  </w:footnote>
  <w:footnote w:id="64">
    <w:p w:rsidR="0069339F" w:rsidRPr="00E25E02" w:rsidRDefault="0069339F" w:rsidP="005E19A7">
      <w:pPr>
        <w:pStyle w:val="FootnoteText"/>
        <w:ind w:firstLine="0"/>
        <w:rPr>
          <w:lang w:val="fr-CA"/>
        </w:rPr>
      </w:pPr>
      <w:r w:rsidRPr="00E25E02">
        <w:rPr>
          <w:rStyle w:val="FootnoteReference"/>
          <w:sz w:val="18"/>
          <w:szCs w:val="18"/>
          <w:lang w:val="fr-CA"/>
        </w:rPr>
        <w:footnoteRef/>
      </w:r>
      <w:r w:rsidRPr="00E25E02">
        <w:rPr>
          <w:lang w:val="fr-CA"/>
        </w:rPr>
        <w:t xml:space="preserve"> </w:t>
      </w:r>
      <w:r>
        <w:rPr>
          <w:szCs w:val="18"/>
          <w:lang w:val="fr-CA"/>
        </w:rPr>
        <w:t>Union africaine</w:t>
      </w:r>
      <w:r w:rsidRPr="00E25E02">
        <w:rPr>
          <w:lang w:val="fr-CA"/>
        </w:rPr>
        <w:t>.</w:t>
      </w:r>
    </w:p>
  </w:footnote>
  <w:footnote w:id="65">
    <w:p w:rsidR="0069339F" w:rsidRPr="00E25E02" w:rsidRDefault="0069339F" w:rsidP="005E19A7">
      <w:pPr>
        <w:pStyle w:val="FootnoteText"/>
        <w:ind w:firstLine="0"/>
        <w:rPr>
          <w:lang w:val="fr-CA"/>
        </w:rPr>
      </w:pPr>
      <w:r w:rsidRPr="00E25E02">
        <w:rPr>
          <w:rStyle w:val="FootnoteReference"/>
          <w:sz w:val="18"/>
          <w:szCs w:val="18"/>
          <w:lang w:val="fr-CA"/>
        </w:rPr>
        <w:footnoteRef/>
      </w:r>
      <w:r w:rsidRPr="00E25E02">
        <w:rPr>
          <w:lang w:val="fr-CA"/>
        </w:rPr>
        <w:t xml:space="preserve"> </w:t>
      </w:r>
      <w:r>
        <w:rPr>
          <w:lang w:val="fr-CA"/>
        </w:rPr>
        <w:t>L’étude est disponible à l’adresse :</w:t>
      </w:r>
      <w:r w:rsidRPr="00E25E02">
        <w:rPr>
          <w:lang w:val="fr-CA"/>
        </w:rPr>
        <w:t xml:space="preserve"> </w:t>
      </w:r>
      <w:hyperlink r:id="rId5" w:history="1">
        <w:r w:rsidRPr="00E25E02">
          <w:rPr>
            <w:rStyle w:val="Hyperlink"/>
            <w:lang w:val="fr-CA"/>
          </w:rPr>
          <w:t>http://www.fao.org/3/a</w:t>
        </w:r>
        <w:r>
          <w:rPr>
            <w:rStyle w:val="Hyperlink"/>
            <w:lang w:val="fr-CA"/>
          </w:rPr>
          <w:noBreakHyphen/>
        </w:r>
        <w:r w:rsidRPr="00E25E02">
          <w:rPr>
            <w:rStyle w:val="Hyperlink"/>
            <w:lang w:val="fr-CA"/>
          </w:rPr>
          <w:t>bq533e.pdf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761496644"/>
      <w:placeholder>
        <w:docPart w:val="EF5BBC4FBC3140109EB912AA7838E437"/>
      </w:placeholder>
      <w:dataBinding w:prefixMappings="xmlns:ns0='http://purl.org/dc/elements/1.1/' xmlns:ns1='http://schemas.openxmlformats.org/package/2006/metadata/core-properties' " w:xpath="/ns1:coreProperties[1]/ns0:subject[1]" w:storeItemID="{6C3C8BC8-F283-45AE-878A-BAB7291924A1}"/>
      <w:text/>
    </w:sdtPr>
    <w:sdtEndPr/>
    <w:sdtContent>
      <w:p w:rsidR="0069339F" w:rsidRPr="00F76BAE" w:rsidRDefault="0069339F" w:rsidP="00F76BAE">
        <w:pPr>
          <w:pStyle w:val="Header"/>
          <w:keepLines/>
          <w:suppressLineNumbers/>
          <w:suppressAutoHyphens/>
          <w:ind w:right="4926"/>
          <w:jc w:val="left"/>
          <w:rPr>
            <w:noProof/>
          </w:rPr>
        </w:pPr>
        <w:r w:rsidRPr="00F76BAE">
          <w:rPr>
            <w:noProof/>
          </w:rPr>
          <w:t>CBD/SBI/3/15</w:t>
        </w:r>
      </w:p>
    </w:sdtContent>
  </w:sdt>
  <w:p w:rsidR="0069339F" w:rsidRPr="00F76BAE" w:rsidRDefault="0069339F" w:rsidP="00F76BAE">
    <w:pPr>
      <w:pStyle w:val="Header"/>
      <w:keepLines/>
      <w:suppressLineNumbers/>
      <w:suppressAutoHyphens/>
      <w:spacing w:after="240"/>
      <w:jc w:val="left"/>
      <w:rPr>
        <w:noProof/>
      </w:rPr>
    </w:pPr>
    <w:r w:rsidRPr="00F76BAE">
      <w:rPr>
        <w:noProof/>
      </w:rPr>
      <w:t xml:space="preserve">Page </w:t>
    </w:r>
    <w:r w:rsidRPr="00F76BAE">
      <w:rPr>
        <w:noProof/>
      </w:rPr>
      <w:fldChar w:fldCharType="begin"/>
    </w:r>
    <w:r w:rsidRPr="00F76BAE">
      <w:rPr>
        <w:noProof/>
      </w:rPr>
      <w:instrText xml:space="preserve"> PAGE   \* MERGEFORMAT </w:instrText>
    </w:r>
    <w:r w:rsidRPr="00F76BAE">
      <w:rPr>
        <w:noProof/>
      </w:rPr>
      <w:fldChar w:fldCharType="separate"/>
    </w:r>
    <w:r w:rsidR="000D4A59">
      <w:rPr>
        <w:noProof/>
      </w:rPr>
      <w:t>12</w:t>
    </w:r>
    <w:r w:rsidRPr="00F76BA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457029158"/>
      <w:placeholder>
        <w:docPart w:val="F301A28B81EC4171891CF3FB1BECA934"/>
      </w:placeholder>
      <w:dataBinding w:prefixMappings="xmlns:ns0='http://purl.org/dc/elements/1.1/' xmlns:ns1='http://schemas.openxmlformats.org/package/2006/metadata/core-properties' " w:xpath="/ns1:coreProperties[1]/ns0:subject[1]" w:storeItemID="{6C3C8BC8-F283-45AE-878A-BAB7291924A1}"/>
      <w:text/>
    </w:sdtPr>
    <w:sdtEndPr/>
    <w:sdtContent>
      <w:p w:rsidR="0069339F" w:rsidRPr="00F76BAE" w:rsidRDefault="0069339F" w:rsidP="00F76BAE">
        <w:pPr>
          <w:pStyle w:val="Header"/>
          <w:keepLines/>
          <w:suppressLineNumbers/>
          <w:tabs>
            <w:tab w:val="clear" w:pos="4320"/>
            <w:tab w:val="clear" w:pos="8640"/>
          </w:tabs>
          <w:suppressAutoHyphens/>
          <w:jc w:val="right"/>
          <w:rPr>
            <w:noProof/>
          </w:rPr>
        </w:pPr>
        <w:r w:rsidRPr="00F76BAE">
          <w:rPr>
            <w:noProof/>
          </w:rPr>
          <w:t>CBD/SBI/3/15</w:t>
        </w:r>
      </w:p>
    </w:sdtContent>
  </w:sdt>
  <w:p w:rsidR="0069339F" w:rsidRPr="00F76BAE" w:rsidRDefault="0069339F" w:rsidP="00F76BAE">
    <w:pPr>
      <w:pStyle w:val="Header"/>
      <w:keepLines/>
      <w:suppressLineNumbers/>
      <w:tabs>
        <w:tab w:val="clear" w:pos="4320"/>
        <w:tab w:val="clear" w:pos="8640"/>
      </w:tabs>
      <w:suppressAutoHyphens/>
      <w:spacing w:after="240"/>
      <w:jc w:val="right"/>
      <w:rPr>
        <w:noProof/>
      </w:rPr>
    </w:pPr>
    <w:r w:rsidRPr="00F76BAE">
      <w:rPr>
        <w:noProof/>
      </w:rPr>
      <w:t xml:space="preserve">Page </w:t>
    </w:r>
    <w:r w:rsidRPr="00F76BAE">
      <w:rPr>
        <w:noProof/>
      </w:rPr>
      <w:fldChar w:fldCharType="begin"/>
    </w:r>
    <w:r w:rsidRPr="00F76BAE">
      <w:rPr>
        <w:noProof/>
      </w:rPr>
      <w:instrText xml:space="preserve"> PAGE   \* MERGEFORMAT </w:instrText>
    </w:r>
    <w:r w:rsidRPr="00F76BAE">
      <w:rPr>
        <w:noProof/>
      </w:rPr>
      <w:fldChar w:fldCharType="separate"/>
    </w:r>
    <w:r w:rsidR="000D4A59">
      <w:rPr>
        <w:noProof/>
      </w:rPr>
      <w:t>11</w:t>
    </w:r>
    <w:r w:rsidRPr="00F76BA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0322E"/>
    <w:multiLevelType w:val="multilevel"/>
    <w:tmpl w:val="D1CC12B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32B5C"/>
    <w:multiLevelType w:val="hybridMultilevel"/>
    <w:tmpl w:val="3BA4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1EA55B4C"/>
    <w:multiLevelType w:val="hybridMultilevel"/>
    <w:tmpl w:val="FB00B8D8"/>
    <w:lvl w:ilvl="0" w:tplc="D2209936">
      <w:start w:val="1"/>
      <w:numFmt w:val="upperLetter"/>
      <w:lvlText w:val="%1."/>
      <w:lvlJc w:val="left"/>
      <w:pPr>
        <w:ind w:left="99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1256A4"/>
    <w:multiLevelType w:val="multilevel"/>
    <w:tmpl w:val="A0B4ACDC"/>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val="0"/>
        <w:iCs/>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2D6D33"/>
    <w:multiLevelType w:val="hybridMultilevel"/>
    <w:tmpl w:val="0DA02CF4"/>
    <w:lvl w:ilvl="0" w:tplc="81981720">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577819"/>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3D5E11C3"/>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30"/>
        </w:tabs>
        <w:ind w:left="243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pStyle w:val="Heading2GTI"/>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A1704B"/>
    <w:multiLevelType w:val="hybridMultilevel"/>
    <w:tmpl w:val="1556CD88"/>
    <w:lvl w:ilvl="0" w:tplc="0C0C0017">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442B4"/>
    <w:multiLevelType w:val="multilevel"/>
    <w:tmpl w:val="B55653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D84AB8"/>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D251810"/>
    <w:multiLevelType w:val="hybridMultilevel"/>
    <w:tmpl w:val="C278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21" w15:restartNumberingAfterBreak="0">
    <w:nsid w:val="6ABA1E82"/>
    <w:multiLevelType w:val="hybridMultilevel"/>
    <w:tmpl w:val="8E863EA2"/>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5216DE"/>
    <w:multiLevelType w:val="hybridMultilevel"/>
    <w:tmpl w:val="FE56BFB2"/>
    <w:lvl w:ilvl="0" w:tplc="0C0C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0401F"/>
    <w:multiLevelType w:val="hybridMultilevel"/>
    <w:tmpl w:val="A572B998"/>
    <w:lvl w:ilvl="0" w:tplc="0C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5"/>
  </w:num>
  <w:num w:numId="5">
    <w:abstractNumId w:val="13"/>
  </w:num>
  <w:num w:numId="6">
    <w:abstractNumId w:val="3"/>
  </w:num>
  <w:num w:numId="7">
    <w:abstractNumId w:val="0"/>
  </w:num>
  <w:num w:numId="8">
    <w:abstractNumId w:val="20"/>
  </w:num>
  <w:num w:numId="9">
    <w:abstractNumId w:val="17"/>
  </w:num>
  <w:num w:numId="10">
    <w:abstractNumId w:val="9"/>
  </w:num>
  <w:num w:numId="11">
    <w:abstractNumId w:val="10"/>
  </w:num>
  <w:num w:numId="12">
    <w:abstractNumId w:val="4"/>
  </w:num>
  <w:num w:numId="13">
    <w:abstractNumId w:val="18"/>
  </w:num>
  <w:num w:numId="14">
    <w:abstractNumId w:val="23"/>
  </w:num>
  <w:num w:numId="15">
    <w:abstractNumId w:val="16"/>
  </w:num>
  <w:num w:numId="16">
    <w:abstractNumId w:val="6"/>
  </w:num>
  <w:num w:numId="17">
    <w:abstractNumId w:val="7"/>
  </w:num>
  <w:num w:numId="18">
    <w:abstractNumId w:val="22"/>
  </w:num>
  <w:num w:numId="19">
    <w:abstractNumId w:val="5"/>
  </w:num>
  <w:num w:numId="20">
    <w:abstractNumId w:val="15"/>
  </w:num>
  <w:num w:numId="21">
    <w:abstractNumId w:val="15"/>
  </w:num>
  <w:num w:numId="22">
    <w:abstractNumId w:val="11"/>
  </w:num>
  <w:num w:numId="23">
    <w:abstractNumId w:val="15"/>
  </w:num>
  <w:num w:numId="24">
    <w:abstractNumId w:val="19"/>
  </w:num>
  <w:num w:numId="25">
    <w:abstractNumId w:val="2"/>
  </w:num>
  <w:num w:numId="26">
    <w:abstractNumId w:val="15"/>
  </w:num>
  <w:num w:numId="27">
    <w:abstractNumId w:val="21"/>
  </w:num>
  <w:num w:numId="28">
    <w:abstractNumId w:val="1"/>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1F3B"/>
    <w:rsid w:val="00004029"/>
    <w:rsid w:val="00010073"/>
    <w:rsid w:val="000119F7"/>
    <w:rsid w:val="000156F2"/>
    <w:rsid w:val="000175A7"/>
    <w:rsid w:val="0002441F"/>
    <w:rsid w:val="00027D58"/>
    <w:rsid w:val="0003044B"/>
    <w:rsid w:val="00030A22"/>
    <w:rsid w:val="0003430D"/>
    <w:rsid w:val="000344C4"/>
    <w:rsid w:val="00034CBD"/>
    <w:rsid w:val="000379C4"/>
    <w:rsid w:val="00045510"/>
    <w:rsid w:val="000456FC"/>
    <w:rsid w:val="0005006A"/>
    <w:rsid w:val="000509D6"/>
    <w:rsid w:val="0005223F"/>
    <w:rsid w:val="00056007"/>
    <w:rsid w:val="0005683A"/>
    <w:rsid w:val="0006347E"/>
    <w:rsid w:val="00072E2C"/>
    <w:rsid w:val="0008513D"/>
    <w:rsid w:val="00095529"/>
    <w:rsid w:val="000A129D"/>
    <w:rsid w:val="000A1B1B"/>
    <w:rsid w:val="000A6CB5"/>
    <w:rsid w:val="000A7B08"/>
    <w:rsid w:val="000B05B8"/>
    <w:rsid w:val="000B1D9B"/>
    <w:rsid w:val="000B1FA0"/>
    <w:rsid w:val="000B2742"/>
    <w:rsid w:val="000B7E94"/>
    <w:rsid w:val="000C1021"/>
    <w:rsid w:val="000C1F9D"/>
    <w:rsid w:val="000C367C"/>
    <w:rsid w:val="000C4658"/>
    <w:rsid w:val="000C4AC3"/>
    <w:rsid w:val="000C6D0E"/>
    <w:rsid w:val="000C7BBC"/>
    <w:rsid w:val="000D4A59"/>
    <w:rsid w:val="000D707B"/>
    <w:rsid w:val="000E2BB9"/>
    <w:rsid w:val="000E7753"/>
    <w:rsid w:val="000F033A"/>
    <w:rsid w:val="000F45D1"/>
    <w:rsid w:val="000F5503"/>
    <w:rsid w:val="000F73CD"/>
    <w:rsid w:val="0010143B"/>
    <w:rsid w:val="001015EB"/>
    <w:rsid w:val="001019FC"/>
    <w:rsid w:val="0010311B"/>
    <w:rsid w:val="001037EE"/>
    <w:rsid w:val="00105372"/>
    <w:rsid w:val="001079CB"/>
    <w:rsid w:val="00114682"/>
    <w:rsid w:val="00116C7D"/>
    <w:rsid w:val="0012044E"/>
    <w:rsid w:val="001216C7"/>
    <w:rsid w:val="001221D3"/>
    <w:rsid w:val="00131E7A"/>
    <w:rsid w:val="00140F27"/>
    <w:rsid w:val="001425DF"/>
    <w:rsid w:val="00144600"/>
    <w:rsid w:val="0014597A"/>
    <w:rsid w:val="0015048B"/>
    <w:rsid w:val="00154F3F"/>
    <w:rsid w:val="00162B94"/>
    <w:rsid w:val="00164A13"/>
    <w:rsid w:val="00167137"/>
    <w:rsid w:val="001739FB"/>
    <w:rsid w:val="00173E08"/>
    <w:rsid w:val="00175B5A"/>
    <w:rsid w:val="00177795"/>
    <w:rsid w:val="00180719"/>
    <w:rsid w:val="0018287F"/>
    <w:rsid w:val="00183350"/>
    <w:rsid w:val="001837A4"/>
    <w:rsid w:val="001852A2"/>
    <w:rsid w:val="0018600E"/>
    <w:rsid w:val="001870DF"/>
    <w:rsid w:val="00190410"/>
    <w:rsid w:val="0019198C"/>
    <w:rsid w:val="0019287A"/>
    <w:rsid w:val="001943A6"/>
    <w:rsid w:val="001A30D8"/>
    <w:rsid w:val="001A3322"/>
    <w:rsid w:val="001A383F"/>
    <w:rsid w:val="001A3AB2"/>
    <w:rsid w:val="001A6BD5"/>
    <w:rsid w:val="001A7B1B"/>
    <w:rsid w:val="001A7F04"/>
    <w:rsid w:val="001B2E65"/>
    <w:rsid w:val="001B6FB1"/>
    <w:rsid w:val="001C39AE"/>
    <w:rsid w:val="001C3A1B"/>
    <w:rsid w:val="001C400F"/>
    <w:rsid w:val="001C5C23"/>
    <w:rsid w:val="001D25EC"/>
    <w:rsid w:val="001D3534"/>
    <w:rsid w:val="001D35D1"/>
    <w:rsid w:val="001D4832"/>
    <w:rsid w:val="001D5A4E"/>
    <w:rsid w:val="001E4579"/>
    <w:rsid w:val="001E6096"/>
    <w:rsid w:val="001E76CD"/>
    <w:rsid w:val="001E7DC7"/>
    <w:rsid w:val="001F64A9"/>
    <w:rsid w:val="00204495"/>
    <w:rsid w:val="0020600E"/>
    <w:rsid w:val="00213366"/>
    <w:rsid w:val="00214033"/>
    <w:rsid w:val="002161FF"/>
    <w:rsid w:val="0022281A"/>
    <w:rsid w:val="00230923"/>
    <w:rsid w:val="00231530"/>
    <w:rsid w:val="00236419"/>
    <w:rsid w:val="00236436"/>
    <w:rsid w:val="002369F9"/>
    <w:rsid w:val="00241068"/>
    <w:rsid w:val="0024242B"/>
    <w:rsid w:val="00242657"/>
    <w:rsid w:val="002453E0"/>
    <w:rsid w:val="00247B63"/>
    <w:rsid w:val="00252DDA"/>
    <w:rsid w:val="00253A3F"/>
    <w:rsid w:val="00253C54"/>
    <w:rsid w:val="00261377"/>
    <w:rsid w:val="002666AF"/>
    <w:rsid w:val="00270039"/>
    <w:rsid w:val="00271D50"/>
    <w:rsid w:val="002742D1"/>
    <w:rsid w:val="00280987"/>
    <w:rsid w:val="002832AF"/>
    <w:rsid w:val="0028730E"/>
    <w:rsid w:val="00293359"/>
    <w:rsid w:val="00293F95"/>
    <w:rsid w:val="00295E33"/>
    <w:rsid w:val="00295F5C"/>
    <w:rsid w:val="002A0CE4"/>
    <w:rsid w:val="002A119C"/>
    <w:rsid w:val="002A29CD"/>
    <w:rsid w:val="002A3764"/>
    <w:rsid w:val="002A3E21"/>
    <w:rsid w:val="002A729C"/>
    <w:rsid w:val="002B0516"/>
    <w:rsid w:val="002B30F4"/>
    <w:rsid w:val="002B4D91"/>
    <w:rsid w:val="002B4ECA"/>
    <w:rsid w:val="002B6442"/>
    <w:rsid w:val="002C0AB5"/>
    <w:rsid w:val="002C3326"/>
    <w:rsid w:val="002C7AEB"/>
    <w:rsid w:val="002D0E1B"/>
    <w:rsid w:val="002D2D3D"/>
    <w:rsid w:val="002D547F"/>
    <w:rsid w:val="002D7B3A"/>
    <w:rsid w:val="002E07DE"/>
    <w:rsid w:val="002E3867"/>
    <w:rsid w:val="002F4567"/>
    <w:rsid w:val="002F5EC9"/>
    <w:rsid w:val="0030417B"/>
    <w:rsid w:val="00304236"/>
    <w:rsid w:val="00310E7D"/>
    <w:rsid w:val="00315BB9"/>
    <w:rsid w:val="00322924"/>
    <w:rsid w:val="00323564"/>
    <w:rsid w:val="00332AFF"/>
    <w:rsid w:val="0033323D"/>
    <w:rsid w:val="0033341A"/>
    <w:rsid w:val="00342CE7"/>
    <w:rsid w:val="00343359"/>
    <w:rsid w:val="00343FAA"/>
    <w:rsid w:val="003442C3"/>
    <w:rsid w:val="00353ED7"/>
    <w:rsid w:val="003564F9"/>
    <w:rsid w:val="003571E2"/>
    <w:rsid w:val="003576A3"/>
    <w:rsid w:val="0036397E"/>
    <w:rsid w:val="003646EE"/>
    <w:rsid w:val="00370BAC"/>
    <w:rsid w:val="00371031"/>
    <w:rsid w:val="00372CF8"/>
    <w:rsid w:val="00372F74"/>
    <w:rsid w:val="003752AF"/>
    <w:rsid w:val="003840C5"/>
    <w:rsid w:val="00387189"/>
    <w:rsid w:val="00390C1B"/>
    <w:rsid w:val="00393536"/>
    <w:rsid w:val="00395360"/>
    <w:rsid w:val="00396D2B"/>
    <w:rsid w:val="00397652"/>
    <w:rsid w:val="003A2E77"/>
    <w:rsid w:val="003A364C"/>
    <w:rsid w:val="003A44B4"/>
    <w:rsid w:val="003A6A38"/>
    <w:rsid w:val="003B1FF2"/>
    <w:rsid w:val="003B472C"/>
    <w:rsid w:val="003B5EC8"/>
    <w:rsid w:val="003B6333"/>
    <w:rsid w:val="003C4642"/>
    <w:rsid w:val="003C6C56"/>
    <w:rsid w:val="003C6E9C"/>
    <w:rsid w:val="003C7191"/>
    <w:rsid w:val="003D0FAD"/>
    <w:rsid w:val="003D50AC"/>
    <w:rsid w:val="003E0A7D"/>
    <w:rsid w:val="003E2AE5"/>
    <w:rsid w:val="003E33B0"/>
    <w:rsid w:val="003E3F90"/>
    <w:rsid w:val="003E6011"/>
    <w:rsid w:val="003E7DA8"/>
    <w:rsid w:val="003F6994"/>
    <w:rsid w:val="00400D3C"/>
    <w:rsid w:val="00402DC0"/>
    <w:rsid w:val="00404D92"/>
    <w:rsid w:val="004058A3"/>
    <w:rsid w:val="004073D6"/>
    <w:rsid w:val="00416588"/>
    <w:rsid w:val="00422942"/>
    <w:rsid w:val="0042357C"/>
    <w:rsid w:val="0042600D"/>
    <w:rsid w:val="00430D97"/>
    <w:rsid w:val="004333E7"/>
    <w:rsid w:val="00435C16"/>
    <w:rsid w:val="00436AC6"/>
    <w:rsid w:val="00437CDA"/>
    <w:rsid w:val="004401CB"/>
    <w:rsid w:val="004434A9"/>
    <w:rsid w:val="00451B0B"/>
    <w:rsid w:val="00452472"/>
    <w:rsid w:val="004644C2"/>
    <w:rsid w:val="00466964"/>
    <w:rsid w:val="00470856"/>
    <w:rsid w:val="004711BE"/>
    <w:rsid w:val="00473601"/>
    <w:rsid w:val="00474C63"/>
    <w:rsid w:val="00476BB0"/>
    <w:rsid w:val="00476BB9"/>
    <w:rsid w:val="004812B5"/>
    <w:rsid w:val="004825B9"/>
    <w:rsid w:val="00484594"/>
    <w:rsid w:val="0048511A"/>
    <w:rsid w:val="00485422"/>
    <w:rsid w:val="00485E99"/>
    <w:rsid w:val="00486A42"/>
    <w:rsid w:val="004904B9"/>
    <w:rsid w:val="00492E70"/>
    <w:rsid w:val="00493319"/>
    <w:rsid w:val="00494BEB"/>
    <w:rsid w:val="00495BCE"/>
    <w:rsid w:val="004A0FA5"/>
    <w:rsid w:val="004A247E"/>
    <w:rsid w:val="004A2763"/>
    <w:rsid w:val="004B3505"/>
    <w:rsid w:val="004C251A"/>
    <w:rsid w:val="004C5B38"/>
    <w:rsid w:val="004C6A46"/>
    <w:rsid w:val="004D0C68"/>
    <w:rsid w:val="004D1DF5"/>
    <w:rsid w:val="004E22E0"/>
    <w:rsid w:val="004E341A"/>
    <w:rsid w:val="004E5145"/>
    <w:rsid w:val="004E59A5"/>
    <w:rsid w:val="004E5D63"/>
    <w:rsid w:val="004E70AD"/>
    <w:rsid w:val="004F1344"/>
    <w:rsid w:val="004F1A03"/>
    <w:rsid w:val="004F2B43"/>
    <w:rsid w:val="004F393D"/>
    <w:rsid w:val="004F61E7"/>
    <w:rsid w:val="004F6661"/>
    <w:rsid w:val="004F68BE"/>
    <w:rsid w:val="004F79D1"/>
    <w:rsid w:val="004F7ED7"/>
    <w:rsid w:val="00514451"/>
    <w:rsid w:val="0052026D"/>
    <w:rsid w:val="00522B87"/>
    <w:rsid w:val="00523767"/>
    <w:rsid w:val="005270A0"/>
    <w:rsid w:val="00531C20"/>
    <w:rsid w:val="00533248"/>
    <w:rsid w:val="00534681"/>
    <w:rsid w:val="00537347"/>
    <w:rsid w:val="00540580"/>
    <w:rsid w:val="00542193"/>
    <w:rsid w:val="00547147"/>
    <w:rsid w:val="00550EA4"/>
    <w:rsid w:val="00550F37"/>
    <w:rsid w:val="005516B0"/>
    <w:rsid w:val="00551862"/>
    <w:rsid w:val="005526E3"/>
    <w:rsid w:val="00563ECA"/>
    <w:rsid w:val="00565EFA"/>
    <w:rsid w:val="0057284E"/>
    <w:rsid w:val="0057384D"/>
    <w:rsid w:val="00574FE1"/>
    <w:rsid w:val="00580DF9"/>
    <w:rsid w:val="00581ABC"/>
    <w:rsid w:val="005849B4"/>
    <w:rsid w:val="00587D17"/>
    <w:rsid w:val="00590AD0"/>
    <w:rsid w:val="005971ED"/>
    <w:rsid w:val="005977BF"/>
    <w:rsid w:val="005A2611"/>
    <w:rsid w:val="005A288A"/>
    <w:rsid w:val="005A549F"/>
    <w:rsid w:val="005B0299"/>
    <w:rsid w:val="005B6F4B"/>
    <w:rsid w:val="005C02BC"/>
    <w:rsid w:val="005C0493"/>
    <w:rsid w:val="005C06C3"/>
    <w:rsid w:val="005C2552"/>
    <w:rsid w:val="005C3407"/>
    <w:rsid w:val="005C64BE"/>
    <w:rsid w:val="005C6D60"/>
    <w:rsid w:val="005C74B0"/>
    <w:rsid w:val="005C76C4"/>
    <w:rsid w:val="005D1ACE"/>
    <w:rsid w:val="005D3785"/>
    <w:rsid w:val="005D3DB0"/>
    <w:rsid w:val="005D4132"/>
    <w:rsid w:val="005D56B4"/>
    <w:rsid w:val="005E19A7"/>
    <w:rsid w:val="005E2A01"/>
    <w:rsid w:val="005E2FB8"/>
    <w:rsid w:val="005E3C37"/>
    <w:rsid w:val="005F0062"/>
    <w:rsid w:val="005F0A6D"/>
    <w:rsid w:val="005F1969"/>
    <w:rsid w:val="0060149E"/>
    <w:rsid w:val="0060232D"/>
    <w:rsid w:val="00602420"/>
    <w:rsid w:val="00603C82"/>
    <w:rsid w:val="0060435D"/>
    <w:rsid w:val="006114CC"/>
    <w:rsid w:val="00612FDB"/>
    <w:rsid w:val="006140D0"/>
    <w:rsid w:val="00615E12"/>
    <w:rsid w:val="0061729F"/>
    <w:rsid w:val="00627C84"/>
    <w:rsid w:val="00632110"/>
    <w:rsid w:val="00632221"/>
    <w:rsid w:val="00634CFA"/>
    <w:rsid w:val="00637548"/>
    <w:rsid w:val="006379B9"/>
    <w:rsid w:val="006406CA"/>
    <w:rsid w:val="00641661"/>
    <w:rsid w:val="0064463D"/>
    <w:rsid w:val="00650DA2"/>
    <w:rsid w:val="00650E8D"/>
    <w:rsid w:val="00651A5B"/>
    <w:rsid w:val="00653BC8"/>
    <w:rsid w:val="006542C9"/>
    <w:rsid w:val="00655352"/>
    <w:rsid w:val="0065588C"/>
    <w:rsid w:val="00655C2A"/>
    <w:rsid w:val="00660CD3"/>
    <w:rsid w:val="00671AD6"/>
    <w:rsid w:val="006733B8"/>
    <w:rsid w:val="00675F63"/>
    <w:rsid w:val="00677BEC"/>
    <w:rsid w:val="006842A9"/>
    <w:rsid w:val="00684DB2"/>
    <w:rsid w:val="00691010"/>
    <w:rsid w:val="00692CF6"/>
    <w:rsid w:val="0069339F"/>
    <w:rsid w:val="00693FB0"/>
    <w:rsid w:val="0069546B"/>
    <w:rsid w:val="00697CFD"/>
    <w:rsid w:val="006A34A0"/>
    <w:rsid w:val="006B1361"/>
    <w:rsid w:val="006B2828"/>
    <w:rsid w:val="006B2A3D"/>
    <w:rsid w:val="006B3313"/>
    <w:rsid w:val="006B36BE"/>
    <w:rsid w:val="006B37E4"/>
    <w:rsid w:val="006C5281"/>
    <w:rsid w:val="006C5EDF"/>
    <w:rsid w:val="006C5F05"/>
    <w:rsid w:val="006C72FA"/>
    <w:rsid w:val="006C7334"/>
    <w:rsid w:val="006D54C0"/>
    <w:rsid w:val="006D61C6"/>
    <w:rsid w:val="006D75F4"/>
    <w:rsid w:val="006E263A"/>
    <w:rsid w:val="006E2C4E"/>
    <w:rsid w:val="006E4E5D"/>
    <w:rsid w:val="006E7EF7"/>
    <w:rsid w:val="006F0343"/>
    <w:rsid w:val="006F062F"/>
    <w:rsid w:val="006F0AD1"/>
    <w:rsid w:val="006F353A"/>
    <w:rsid w:val="006F36D2"/>
    <w:rsid w:val="006F6E77"/>
    <w:rsid w:val="006F7B89"/>
    <w:rsid w:val="00700EE4"/>
    <w:rsid w:val="0070104C"/>
    <w:rsid w:val="00701310"/>
    <w:rsid w:val="0070485D"/>
    <w:rsid w:val="00712C80"/>
    <w:rsid w:val="0071440D"/>
    <w:rsid w:val="00717BA0"/>
    <w:rsid w:val="00717D88"/>
    <w:rsid w:val="007259AE"/>
    <w:rsid w:val="00731B94"/>
    <w:rsid w:val="00733B41"/>
    <w:rsid w:val="00734E8F"/>
    <w:rsid w:val="00734E97"/>
    <w:rsid w:val="00741BA4"/>
    <w:rsid w:val="00744136"/>
    <w:rsid w:val="00745EE4"/>
    <w:rsid w:val="00751E9F"/>
    <w:rsid w:val="00754C22"/>
    <w:rsid w:val="007557C1"/>
    <w:rsid w:val="00756999"/>
    <w:rsid w:val="007577F8"/>
    <w:rsid w:val="007624A2"/>
    <w:rsid w:val="007644D6"/>
    <w:rsid w:val="0076524B"/>
    <w:rsid w:val="00765B2E"/>
    <w:rsid w:val="00765BF5"/>
    <w:rsid w:val="007725FC"/>
    <w:rsid w:val="00776AB8"/>
    <w:rsid w:val="00776F7D"/>
    <w:rsid w:val="0078052D"/>
    <w:rsid w:val="00780C8A"/>
    <w:rsid w:val="00786042"/>
    <w:rsid w:val="00787D21"/>
    <w:rsid w:val="00791D26"/>
    <w:rsid w:val="00793D7A"/>
    <w:rsid w:val="007942D3"/>
    <w:rsid w:val="00795216"/>
    <w:rsid w:val="0079534C"/>
    <w:rsid w:val="007A1072"/>
    <w:rsid w:val="007A17F1"/>
    <w:rsid w:val="007A1FDA"/>
    <w:rsid w:val="007A4562"/>
    <w:rsid w:val="007A7A73"/>
    <w:rsid w:val="007A7C8D"/>
    <w:rsid w:val="007B01FB"/>
    <w:rsid w:val="007B4206"/>
    <w:rsid w:val="007B5237"/>
    <w:rsid w:val="007C30CB"/>
    <w:rsid w:val="007C5D32"/>
    <w:rsid w:val="007C673B"/>
    <w:rsid w:val="007D2C40"/>
    <w:rsid w:val="007E09DA"/>
    <w:rsid w:val="007E2735"/>
    <w:rsid w:val="007E2B6B"/>
    <w:rsid w:val="007E3D36"/>
    <w:rsid w:val="007F182E"/>
    <w:rsid w:val="007F3467"/>
    <w:rsid w:val="007F3598"/>
    <w:rsid w:val="00800F35"/>
    <w:rsid w:val="00802E98"/>
    <w:rsid w:val="00814237"/>
    <w:rsid w:val="008160D1"/>
    <w:rsid w:val="00821596"/>
    <w:rsid w:val="008235DE"/>
    <w:rsid w:val="00823756"/>
    <w:rsid w:val="00824B8C"/>
    <w:rsid w:val="008274E1"/>
    <w:rsid w:val="00830CDC"/>
    <w:rsid w:val="00831158"/>
    <w:rsid w:val="00832376"/>
    <w:rsid w:val="008329D1"/>
    <w:rsid w:val="0083410D"/>
    <w:rsid w:val="00846571"/>
    <w:rsid w:val="00846842"/>
    <w:rsid w:val="00851E55"/>
    <w:rsid w:val="008543DF"/>
    <w:rsid w:val="00854659"/>
    <w:rsid w:val="00855F86"/>
    <w:rsid w:val="00860228"/>
    <w:rsid w:val="00860ADB"/>
    <w:rsid w:val="00864D8A"/>
    <w:rsid w:val="008653AE"/>
    <w:rsid w:val="00865B70"/>
    <w:rsid w:val="00872255"/>
    <w:rsid w:val="00872CBB"/>
    <w:rsid w:val="008731CA"/>
    <w:rsid w:val="0087634E"/>
    <w:rsid w:val="00876402"/>
    <w:rsid w:val="0087696C"/>
    <w:rsid w:val="00881C52"/>
    <w:rsid w:val="0088379E"/>
    <w:rsid w:val="008910D3"/>
    <w:rsid w:val="00895932"/>
    <w:rsid w:val="00897851"/>
    <w:rsid w:val="008A23D0"/>
    <w:rsid w:val="008A269F"/>
    <w:rsid w:val="008A2AA4"/>
    <w:rsid w:val="008A791D"/>
    <w:rsid w:val="008B0F95"/>
    <w:rsid w:val="008B11FD"/>
    <w:rsid w:val="008C41AD"/>
    <w:rsid w:val="008C4EE1"/>
    <w:rsid w:val="008C757A"/>
    <w:rsid w:val="008C778B"/>
    <w:rsid w:val="008C77B4"/>
    <w:rsid w:val="008C7C31"/>
    <w:rsid w:val="008D088A"/>
    <w:rsid w:val="008D34E1"/>
    <w:rsid w:val="008D41E8"/>
    <w:rsid w:val="008D5604"/>
    <w:rsid w:val="008D574B"/>
    <w:rsid w:val="008E0898"/>
    <w:rsid w:val="008E28E5"/>
    <w:rsid w:val="008E3189"/>
    <w:rsid w:val="008E4379"/>
    <w:rsid w:val="008E518F"/>
    <w:rsid w:val="008E59BB"/>
    <w:rsid w:val="008F2DF2"/>
    <w:rsid w:val="008F37AA"/>
    <w:rsid w:val="008F5EF1"/>
    <w:rsid w:val="008F6207"/>
    <w:rsid w:val="008F7318"/>
    <w:rsid w:val="00901BDA"/>
    <w:rsid w:val="0090742D"/>
    <w:rsid w:val="0090751B"/>
    <w:rsid w:val="0090757D"/>
    <w:rsid w:val="009109B1"/>
    <w:rsid w:val="00913E61"/>
    <w:rsid w:val="009155E5"/>
    <w:rsid w:val="0091572E"/>
    <w:rsid w:val="00927682"/>
    <w:rsid w:val="009300FE"/>
    <w:rsid w:val="0093061A"/>
    <w:rsid w:val="00931CEB"/>
    <w:rsid w:val="00934954"/>
    <w:rsid w:val="00940383"/>
    <w:rsid w:val="00945C56"/>
    <w:rsid w:val="0094602A"/>
    <w:rsid w:val="009505C9"/>
    <w:rsid w:val="00950629"/>
    <w:rsid w:val="00952BEB"/>
    <w:rsid w:val="00953118"/>
    <w:rsid w:val="00955E02"/>
    <w:rsid w:val="0095686B"/>
    <w:rsid w:val="009629FE"/>
    <w:rsid w:val="00966FF6"/>
    <w:rsid w:val="0096735B"/>
    <w:rsid w:val="00975704"/>
    <w:rsid w:val="00975A49"/>
    <w:rsid w:val="00975C1B"/>
    <w:rsid w:val="00975C86"/>
    <w:rsid w:val="00976A52"/>
    <w:rsid w:val="00981C55"/>
    <w:rsid w:val="00982DB8"/>
    <w:rsid w:val="009830EE"/>
    <w:rsid w:val="009837F1"/>
    <w:rsid w:val="009859A3"/>
    <w:rsid w:val="00987AD2"/>
    <w:rsid w:val="00994484"/>
    <w:rsid w:val="0099487E"/>
    <w:rsid w:val="00995D17"/>
    <w:rsid w:val="009A0821"/>
    <w:rsid w:val="009A363C"/>
    <w:rsid w:val="009A629A"/>
    <w:rsid w:val="009B0EC6"/>
    <w:rsid w:val="009B4A2E"/>
    <w:rsid w:val="009B66FD"/>
    <w:rsid w:val="009B6C5D"/>
    <w:rsid w:val="009B72A6"/>
    <w:rsid w:val="009C22E0"/>
    <w:rsid w:val="009C78DD"/>
    <w:rsid w:val="009D1029"/>
    <w:rsid w:val="009D12CE"/>
    <w:rsid w:val="009D3C6A"/>
    <w:rsid w:val="009D4F43"/>
    <w:rsid w:val="009D5BFC"/>
    <w:rsid w:val="009E3BBC"/>
    <w:rsid w:val="009E4346"/>
    <w:rsid w:val="009E6231"/>
    <w:rsid w:val="009E6D8B"/>
    <w:rsid w:val="009E781E"/>
    <w:rsid w:val="009F04ED"/>
    <w:rsid w:val="00A034C9"/>
    <w:rsid w:val="00A04050"/>
    <w:rsid w:val="00A072BB"/>
    <w:rsid w:val="00A144EA"/>
    <w:rsid w:val="00A15119"/>
    <w:rsid w:val="00A16046"/>
    <w:rsid w:val="00A1714B"/>
    <w:rsid w:val="00A20322"/>
    <w:rsid w:val="00A20C66"/>
    <w:rsid w:val="00A21A8C"/>
    <w:rsid w:val="00A22AFB"/>
    <w:rsid w:val="00A26111"/>
    <w:rsid w:val="00A26636"/>
    <w:rsid w:val="00A311E9"/>
    <w:rsid w:val="00A332C0"/>
    <w:rsid w:val="00A33321"/>
    <w:rsid w:val="00A35556"/>
    <w:rsid w:val="00A35828"/>
    <w:rsid w:val="00A368B1"/>
    <w:rsid w:val="00A4030E"/>
    <w:rsid w:val="00A4408F"/>
    <w:rsid w:val="00A46006"/>
    <w:rsid w:val="00A50D97"/>
    <w:rsid w:val="00A521FF"/>
    <w:rsid w:val="00A56C06"/>
    <w:rsid w:val="00A60551"/>
    <w:rsid w:val="00A6109C"/>
    <w:rsid w:val="00A62C2B"/>
    <w:rsid w:val="00A63A8A"/>
    <w:rsid w:val="00A7204D"/>
    <w:rsid w:val="00A7356A"/>
    <w:rsid w:val="00A749D3"/>
    <w:rsid w:val="00A8093D"/>
    <w:rsid w:val="00A80B20"/>
    <w:rsid w:val="00A810CE"/>
    <w:rsid w:val="00A82EF3"/>
    <w:rsid w:val="00A83311"/>
    <w:rsid w:val="00A83F09"/>
    <w:rsid w:val="00A85AC0"/>
    <w:rsid w:val="00A86382"/>
    <w:rsid w:val="00A9267B"/>
    <w:rsid w:val="00A92F09"/>
    <w:rsid w:val="00A934BD"/>
    <w:rsid w:val="00A93738"/>
    <w:rsid w:val="00A952C2"/>
    <w:rsid w:val="00AA0A06"/>
    <w:rsid w:val="00AA2B7E"/>
    <w:rsid w:val="00AA4250"/>
    <w:rsid w:val="00AA492E"/>
    <w:rsid w:val="00AA5F81"/>
    <w:rsid w:val="00AA6119"/>
    <w:rsid w:val="00AB0AA3"/>
    <w:rsid w:val="00AB32E9"/>
    <w:rsid w:val="00AB3E97"/>
    <w:rsid w:val="00AB67C1"/>
    <w:rsid w:val="00AB7A87"/>
    <w:rsid w:val="00AC06EE"/>
    <w:rsid w:val="00AC5BAD"/>
    <w:rsid w:val="00AD02DD"/>
    <w:rsid w:val="00AD288E"/>
    <w:rsid w:val="00AD6F21"/>
    <w:rsid w:val="00AE011F"/>
    <w:rsid w:val="00AE1ECD"/>
    <w:rsid w:val="00AE4138"/>
    <w:rsid w:val="00AF17C6"/>
    <w:rsid w:val="00AF2F1E"/>
    <w:rsid w:val="00AF4D1C"/>
    <w:rsid w:val="00B003AB"/>
    <w:rsid w:val="00B00575"/>
    <w:rsid w:val="00B0326C"/>
    <w:rsid w:val="00B047C2"/>
    <w:rsid w:val="00B066C6"/>
    <w:rsid w:val="00B078D6"/>
    <w:rsid w:val="00B1004E"/>
    <w:rsid w:val="00B1353A"/>
    <w:rsid w:val="00B15A40"/>
    <w:rsid w:val="00B2489D"/>
    <w:rsid w:val="00B27EB2"/>
    <w:rsid w:val="00B31372"/>
    <w:rsid w:val="00B3369F"/>
    <w:rsid w:val="00B3409F"/>
    <w:rsid w:val="00B3689D"/>
    <w:rsid w:val="00B41E3B"/>
    <w:rsid w:val="00B42FB3"/>
    <w:rsid w:val="00B44B30"/>
    <w:rsid w:val="00B46030"/>
    <w:rsid w:val="00B51BDC"/>
    <w:rsid w:val="00B57BD3"/>
    <w:rsid w:val="00B62CF9"/>
    <w:rsid w:val="00B733C9"/>
    <w:rsid w:val="00B75A6A"/>
    <w:rsid w:val="00B80BC9"/>
    <w:rsid w:val="00B847E6"/>
    <w:rsid w:val="00B86DFB"/>
    <w:rsid w:val="00B87C89"/>
    <w:rsid w:val="00B90893"/>
    <w:rsid w:val="00B909DD"/>
    <w:rsid w:val="00B91484"/>
    <w:rsid w:val="00B937D6"/>
    <w:rsid w:val="00B946C7"/>
    <w:rsid w:val="00B96D4F"/>
    <w:rsid w:val="00B97CA3"/>
    <w:rsid w:val="00B97F30"/>
    <w:rsid w:val="00BA031E"/>
    <w:rsid w:val="00BA0FF5"/>
    <w:rsid w:val="00BA10D9"/>
    <w:rsid w:val="00BA15A4"/>
    <w:rsid w:val="00BA1723"/>
    <w:rsid w:val="00BA4AF1"/>
    <w:rsid w:val="00BA4E32"/>
    <w:rsid w:val="00BA7C47"/>
    <w:rsid w:val="00BB122F"/>
    <w:rsid w:val="00BB1CB3"/>
    <w:rsid w:val="00BB61A5"/>
    <w:rsid w:val="00BB79A7"/>
    <w:rsid w:val="00BC35FE"/>
    <w:rsid w:val="00BC511C"/>
    <w:rsid w:val="00BC6CA1"/>
    <w:rsid w:val="00BD3C5B"/>
    <w:rsid w:val="00BD4894"/>
    <w:rsid w:val="00BD48CF"/>
    <w:rsid w:val="00BD6185"/>
    <w:rsid w:val="00BE163D"/>
    <w:rsid w:val="00BE6626"/>
    <w:rsid w:val="00BF0AEE"/>
    <w:rsid w:val="00BF3D1A"/>
    <w:rsid w:val="00BF42F6"/>
    <w:rsid w:val="00BF440C"/>
    <w:rsid w:val="00BF4BCA"/>
    <w:rsid w:val="00BF53EA"/>
    <w:rsid w:val="00BF5687"/>
    <w:rsid w:val="00BF7B55"/>
    <w:rsid w:val="00C003CF"/>
    <w:rsid w:val="00C041BE"/>
    <w:rsid w:val="00C0474D"/>
    <w:rsid w:val="00C12101"/>
    <w:rsid w:val="00C208F0"/>
    <w:rsid w:val="00C267CB"/>
    <w:rsid w:val="00C3295C"/>
    <w:rsid w:val="00C35749"/>
    <w:rsid w:val="00C364E1"/>
    <w:rsid w:val="00C40CF7"/>
    <w:rsid w:val="00C412AF"/>
    <w:rsid w:val="00C42D42"/>
    <w:rsid w:val="00C453C2"/>
    <w:rsid w:val="00C47463"/>
    <w:rsid w:val="00C50A3D"/>
    <w:rsid w:val="00C516F4"/>
    <w:rsid w:val="00C52716"/>
    <w:rsid w:val="00C5435B"/>
    <w:rsid w:val="00C60451"/>
    <w:rsid w:val="00C60D3B"/>
    <w:rsid w:val="00C6439B"/>
    <w:rsid w:val="00C65DCB"/>
    <w:rsid w:val="00C66A6A"/>
    <w:rsid w:val="00C7003D"/>
    <w:rsid w:val="00C709AE"/>
    <w:rsid w:val="00C70F13"/>
    <w:rsid w:val="00C75239"/>
    <w:rsid w:val="00C768C1"/>
    <w:rsid w:val="00C769EC"/>
    <w:rsid w:val="00C76DC8"/>
    <w:rsid w:val="00C77901"/>
    <w:rsid w:val="00C83A00"/>
    <w:rsid w:val="00C9161D"/>
    <w:rsid w:val="00C91AEF"/>
    <w:rsid w:val="00C96513"/>
    <w:rsid w:val="00C979E2"/>
    <w:rsid w:val="00CA05F3"/>
    <w:rsid w:val="00CA3DE9"/>
    <w:rsid w:val="00CB0C50"/>
    <w:rsid w:val="00CB3448"/>
    <w:rsid w:val="00CB3AAE"/>
    <w:rsid w:val="00CB3BD8"/>
    <w:rsid w:val="00CB4A1B"/>
    <w:rsid w:val="00CB77C4"/>
    <w:rsid w:val="00CC033B"/>
    <w:rsid w:val="00CC22EA"/>
    <w:rsid w:val="00CC3A92"/>
    <w:rsid w:val="00CC7439"/>
    <w:rsid w:val="00CD0BC3"/>
    <w:rsid w:val="00CD4B3F"/>
    <w:rsid w:val="00CE2C1D"/>
    <w:rsid w:val="00CE5DDB"/>
    <w:rsid w:val="00CF1848"/>
    <w:rsid w:val="00CF22FF"/>
    <w:rsid w:val="00D01CC0"/>
    <w:rsid w:val="00D046CD"/>
    <w:rsid w:val="00D06408"/>
    <w:rsid w:val="00D075B5"/>
    <w:rsid w:val="00D1083D"/>
    <w:rsid w:val="00D11141"/>
    <w:rsid w:val="00D118A7"/>
    <w:rsid w:val="00D16B1B"/>
    <w:rsid w:val="00D2018E"/>
    <w:rsid w:val="00D20D54"/>
    <w:rsid w:val="00D20DEC"/>
    <w:rsid w:val="00D21495"/>
    <w:rsid w:val="00D231CD"/>
    <w:rsid w:val="00D24133"/>
    <w:rsid w:val="00D27A66"/>
    <w:rsid w:val="00D3309A"/>
    <w:rsid w:val="00D375DB"/>
    <w:rsid w:val="00D42406"/>
    <w:rsid w:val="00D44CE0"/>
    <w:rsid w:val="00D465EA"/>
    <w:rsid w:val="00D46FD9"/>
    <w:rsid w:val="00D51094"/>
    <w:rsid w:val="00D52DB1"/>
    <w:rsid w:val="00D60D24"/>
    <w:rsid w:val="00D665D5"/>
    <w:rsid w:val="00D67B07"/>
    <w:rsid w:val="00D74851"/>
    <w:rsid w:val="00D76A18"/>
    <w:rsid w:val="00D77E64"/>
    <w:rsid w:val="00D816E0"/>
    <w:rsid w:val="00D840EB"/>
    <w:rsid w:val="00D8497E"/>
    <w:rsid w:val="00D87D72"/>
    <w:rsid w:val="00D94374"/>
    <w:rsid w:val="00D95E15"/>
    <w:rsid w:val="00D96849"/>
    <w:rsid w:val="00DA0251"/>
    <w:rsid w:val="00DA3FA9"/>
    <w:rsid w:val="00DA4476"/>
    <w:rsid w:val="00DA48C7"/>
    <w:rsid w:val="00DA6464"/>
    <w:rsid w:val="00DB4A68"/>
    <w:rsid w:val="00DB5CE1"/>
    <w:rsid w:val="00DB761C"/>
    <w:rsid w:val="00DC04C8"/>
    <w:rsid w:val="00DC5836"/>
    <w:rsid w:val="00DD0F17"/>
    <w:rsid w:val="00DD5209"/>
    <w:rsid w:val="00DD5F8C"/>
    <w:rsid w:val="00DD69FF"/>
    <w:rsid w:val="00DE0CB5"/>
    <w:rsid w:val="00DE3D49"/>
    <w:rsid w:val="00DE4B00"/>
    <w:rsid w:val="00DF2713"/>
    <w:rsid w:val="00DF3378"/>
    <w:rsid w:val="00DF55A9"/>
    <w:rsid w:val="00DF6180"/>
    <w:rsid w:val="00DF7E1B"/>
    <w:rsid w:val="00E03BEE"/>
    <w:rsid w:val="00E043C2"/>
    <w:rsid w:val="00E06537"/>
    <w:rsid w:val="00E07248"/>
    <w:rsid w:val="00E10D4E"/>
    <w:rsid w:val="00E1344C"/>
    <w:rsid w:val="00E1468E"/>
    <w:rsid w:val="00E15F44"/>
    <w:rsid w:val="00E26735"/>
    <w:rsid w:val="00E3326E"/>
    <w:rsid w:val="00E346A8"/>
    <w:rsid w:val="00E3484F"/>
    <w:rsid w:val="00E348A7"/>
    <w:rsid w:val="00E37C7F"/>
    <w:rsid w:val="00E43504"/>
    <w:rsid w:val="00E43CE4"/>
    <w:rsid w:val="00E4442E"/>
    <w:rsid w:val="00E44F26"/>
    <w:rsid w:val="00E45C07"/>
    <w:rsid w:val="00E460B8"/>
    <w:rsid w:val="00E47C13"/>
    <w:rsid w:val="00E502DF"/>
    <w:rsid w:val="00E506F3"/>
    <w:rsid w:val="00E52EC1"/>
    <w:rsid w:val="00E5573C"/>
    <w:rsid w:val="00E56F27"/>
    <w:rsid w:val="00E57B96"/>
    <w:rsid w:val="00E60715"/>
    <w:rsid w:val="00E649FD"/>
    <w:rsid w:val="00E66235"/>
    <w:rsid w:val="00E679F9"/>
    <w:rsid w:val="00E7270D"/>
    <w:rsid w:val="00E72D8E"/>
    <w:rsid w:val="00E74FBF"/>
    <w:rsid w:val="00E74FEA"/>
    <w:rsid w:val="00E7666E"/>
    <w:rsid w:val="00E76819"/>
    <w:rsid w:val="00E77E79"/>
    <w:rsid w:val="00E8042F"/>
    <w:rsid w:val="00E8257E"/>
    <w:rsid w:val="00E83C24"/>
    <w:rsid w:val="00E843F6"/>
    <w:rsid w:val="00E8588A"/>
    <w:rsid w:val="00E97E8D"/>
    <w:rsid w:val="00EA09AB"/>
    <w:rsid w:val="00EA13E0"/>
    <w:rsid w:val="00EA226E"/>
    <w:rsid w:val="00EA2EFA"/>
    <w:rsid w:val="00EA7C1C"/>
    <w:rsid w:val="00EB33F1"/>
    <w:rsid w:val="00EC2A32"/>
    <w:rsid w:val="00EC53AD"/>
    <w:rsid w:val="00EC6C31"/>
    <w:rsid w:val="00EC6EDC"/>
    <w:rsid w:val="00ED07DF"/>
    <w:rsid w:val="00ED25C4"/>
    <w:rsid w:val="00ED657F"/>
    <w:rsid w:val="00ED7304"/>
    <w:rsid w:val="00EE0DA0"/>
    <w:rsid w:val="00EE1593"/>
    <w:rsid w:val="00EE27EE"/>
    <w:rsid w:val="00EE58E4"/>
    <w:rsid w:val="00EF0B90"/>
    <w:rsid w:val="00EF234E"/>
    <w:rsid w:val="00F00E39"/>
    <w:rsid w:val="00F03401"/>
    <w:rsid w:val="00F03632"/>
    <w:rsid w:val="00F05196"/>
    <w:rsid w:val="00F07435"/>
    <w:rsid w:val="00F15725"/>
    <w:rsid w:val="00F158F2"/>
    <w:rsid w:val="00F16D46"/>
    <w:rsid w:val="00F20CE0"/>
    <w:rsid w:val="00F22A37"/>
    <w:rsid w:val="00F23E3B"/>
    <w:rsid w:val="00F25C9A"/>
    <w:rsid w:val="00F25F37"/>
    <w:rsid w:val="00F265F7"/>
    <w:rsid w:val="00F267EA"/>
    <w:rsid w:val="00F33C2C"/>
    <w:rsid w:val="00F35178"/>
    <w:rsid w:val="00F3534E"/>
    <w:rsid w:val="00F353C9"/>
    <w:rsid w:val="00F36839"/>
    <w:rsid w:val="00F36E7E"/>
    <w:rsid w:val="00F42055"/>
    <w:rsid w:val="00F427D6"/>
    <w:rsid w:val="00F436CA"/>
    <w:rsid w:val="00F43982"/>
    <w:rsid w:val="00F43EE5"/>
    <w:rsid w:val="00F47E5F"/>
    <w:rsid w:val="00F619EB"/>
    <w:rsid w:val="00F6334B"/>
    <w:rsid w:val="00F648D6"/>
    <w:rsid w:val="00F73018"/>
    <w:rsid w:val="00F749EA"/>
    <w:rsid w:val="00F76BAE"/>
    <w:rsid w:val="00F77688"/>
    <w:rsid w:val="00F778AD"/>
    <w:rsid w:val="00F77F22"/>
    <w:rsid w:val="00F80447"/>
    <w:rsid w:val="00F84459"/>
    <w:rsid w:val="00F94774"/>
    <w:rsid w:val="00F9553D"/>
    <w:rsid w:val="00F97761"/>
    <w:rsid w:val="00FA15EA"/>
    <w:rsid w:val="00FA16E3"/>
    <w:rsid w:val="00FA3D53"/>
    <w:rsid w:val="00FB3FD7"/>
    <w:rsid w:val="00FB466B"/>
    <w:rsid w:val="00FB66C5"/>
    <w:rsid w:val="00FC11A1"/>
    <w:rsid w:val="00FC3975"/>
    <w:rsid w:val="00FC4250"/>
    <w:rsid w:val="00FC57C2"/>
    <w:rsid w:val="00FC7CBC"/>
    <w:rsid w:val="00FD2B96"/>
    <w:rsid w:val="00FD3A1F"/>
    <w:rsid w:val="00FD3AA7"/>
    <w:rsid w:val="00FD7B15"/>
    <w:rsid w:val="00FE4126"/>
    <w:rsid w:val="00FE5D12"/>
    <w:rsid w:val="00FF49F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7F2E4BD2-26AE-48F2-B332-1EF99A5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551862"/>
    <w:pPr>
      <w:keepNext/>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551862"/>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2D0E1B"/>
    <w:rPr>
      <w:strike w:val="0"/>
      <w:dstrike w:val="0"/>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0">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A6119"/>
    <w:pPr>
      <w:tabs>
        <w:tab w:val="right" w:leader="dot" w:pos="9180"/>
      </w:tabs>
      <w:spacing w:before="120" w:after="120"/>
      <w:ind w:left="720" w:right="822" w:hanging="720"/>
      <w:jc w:val="left"/>
    </w:pPr>
    <w:rPr>
      <w:caps/>
    </w:rPr>
  </w:style>
  <w:style w:type="paragraph" w:styleId="TOC2">
    <w:name w:val="toc 2"/>
    <w:basedOn w:val="Normal"/>
    <w:next w:val="Normal"/>
    <w:autoRedefine/>
    <w:uiPriority w:val="39"/>
    <w:rsid w:val="00AA6119"/>
    <w:pPr>
      <w:tabs>
        <w:tab w:val="left" w:pos="1440"/>
        <w:tab w:val="right" w:leader="dot" w:pos="9180"/>
        <w:tab w:val="right" w:leader="dot" w:pos="9356"/>
      </w:tabs>
      <w:spacing w:before="120" w:after="120"/>
      <w:ind w:left="1440" w:right="822" w:hanging="720"/>
      <w:jc w:val="left"/>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72CF8"/>
    <w:rPr>
      <w:color w:val="0000FF"/>
      <w:u w:val="single"/>
    </w:rPr>
  </w:style>
  <w:style w:type="character" w:customStyle="1" w:styleId="Hyperlink1">
    <w:name w:val="Hyperlink1"/>
    <w:rsid w:val="00372CF8"/>
    <w:rPr>
      <w:color w:val="0000FF"/>
      <w:u w:val="single"/>
    </w:rPr>
  </w:style>
  <w:style w:type="paragraph" w:styleId="NormalWeb">
    <w:name w:val="Normal (Web)"/>
    <w:basedOn w:val="Normal"/>
    <w:rsid w:val="00372CF8"/>
    <w:pPr>
      <w:spacing w:before="100" w:beforeAutospacing="1" w:after="100" w:afterAutospacing="1"/>
      <w:jc w:val="left"/>
    </w:pPr>
    <w:rPr>
      <w:rFonts w:ascii="Verdana" w:hAnsi="Verdana" w:cs="Angsana New"/>
      <w:color w:val="000000"/>
      <w:sz w:val="18"/>
      <w:szCs w:val="18"/>
      <w:lang w:val="en-US"/>
    </w:rPr>
  </w:style>
  <w:style w:type="character" w:customStyle="1" w:styleId="BulletList">
    <w:name w:val="Bullet List"/>
    <w:basedOn w:val="DefaultParagraphFont"/>
    <w:rsid w:val="00372CF8"/>
  </w:style>
  <w:style w:type="paragraph" w:customStyle="1" w:styleId="FOOTNOTETEX">
    <w:name w:val="FOOTNOTE TEX"/>
    <w:rsid w:val="00372CF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endnoterefe">
    <w:name w:val="endnote refe"/>
    <w:rsid w:val="00372CF8"/>
    <w:rPr>
      <w:rFonts w:ascii="Courier New" w:hAnsi="Courier New"/>
      <w:noProof w:val="0"/>
      <w:sz w:val="20"/>
      <w:vertAlign w:val="superscript"/>
      <w:lang w:val="en-US"/>
    </w:rPr>
  </w:style>
  <w:style w:type="paragraph" w:customStyle="1" w:styleId="Style1">
    <w:name w:val="Style1"/>
    <w:basedOn w:val="BodyText2"/>
    <w:rsid w:val="00372CF8"/>
    <w:pPr>
      <w:numPr>
        <w:ilvl w:val="1"/>
        <w:numId w:val="7"/>
      </w:numPr>
      <w:tabs>
        <w:tab w:val="left" w:pos="1440"/>
      </w:tabs>
      <w:spacing w:before="120" w:after="120"/>
    </w:pPr>
    <w:rPr>
      <w:szCs w:val="20"/>
    </w:rPr>
  </w:style>
  <w:style w:type="paragraph" w:styleId="BodyText2">
    <w:name w:val="Body Text 2"/>
    <w:basedOn w:val="Normal"/>
    <w:link w:val="BodyText2Char"/>
    <w:rsid w:val="00372CF8"/>
    <w:rPr>
      <w:rFonts w:cs="Angsana New"/>
      <w:i/>
      <w:iCs/>
    </w:rPr>
  </w:style>
  <w:style w:type="character" w:customStyle="1" w:styleId="BodyText2Char">
    <w:name w:val="Body Text 2 Char"/>
    <w:basedOn w:val="DefaultParagraphFont"/>
    <w:link w:val="BodyText2"/>
    <w:rsid w:val="00372CF8"/>
    <w:rPr>
      <w:rFonts w:ascii="Times New Roman" w:eastAsia="Times New Roman" w:hAnsi="Times New Roman" w:cs="Angsana New"/>
      <w:i/>
      <w:iCs/>
      <w:sz w:val="22"/>
      <w:lang w:val="en-GB"/>
    </w:rPr>
  </w:style>
  <w:style w:type="paragraph" w:customStyle="1" w:styleId="subhead">
    <w:name w:val="subhead"/>
    <w:basedOn w:val="Normal"/>
    <w:next w:val="Para1"/>
    <w:rsid w:val="00372CF8"/>
    <w:pPr>
      <w:spacing w:before="120" w:after="120"/>
      <w:jc w:val="center"/>
    </w:pPr>
    <w:rPr>
      <w:rFonts w:cs="Angsana New"/>
      <w:i/>
      <w:szCs w:val="20"/>
    </w:rPr>
  </w:style>
  <w:style w:type="paragraph" w:customStyle="1" w:styleId="Heading-plain">
    <w:name w:val="Heading-plain"/>
    <w:basedOn w:val="Normal"/>
    <w:rsid w:val="00372CF8"/>
    <w:pPr>
      <w:spacing w:before="120" w:after="120"/>
      <w:jc w:val="center"/>
      <w:outlineLvl w:val="0"/>
    </w:pPr>
    <w:rPr>
      <w:rFonts w:cs="Angsana New"/>
      <w:i/>
      <w:szCs w:val="20"/>
    </w:rPr>
  </w:style>
  <w:style w:type="paragraph" w:customStyle="1" w:styleId="Activity">
    <w:name w:val="Activity"/>
    <w:basedOn w:val="Para1"/>
    <w:rsid w:val="00372CF8"/>
    <w:pPr>
      <w:autoSpaceDE w:val="0"/>
      <w:autoSpaceDN w:val="0"/>
      <w:spacing w:before="0"/>
      <w:ind w:firstLine="720"/>
    </w:pPr>
    <w:rPr>
      <w:rFonts w:cs="Angsana New"/>
      <w:b/>
      <w:bCs/>
      <w:snapToGrid/>
    </w:rPr>
  </w:style>
  <w:style w:type="paragraph" w:customStyle="1" w:styleId="bodytextnoindent">
    <w:name w:val="body text (no indent)"/>
    <w:basedOn w:val="Normal"/>
    <w:rsid w:val="00372CF8"/>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3">
    <w:name w:val="Body Text 3"/>
    <w:basedOn w:val="Normal"/>
    <w:link w:val="BodyText3Char"/>
    <w:rsid w:val="00372CF8"/>
    <w:pPr>
      <w:jc w:val="center"/>
    </w:pPr>
    <w:rPr>
      <w:rFonts w:cs="Angsana New"/>
      <w:sz w:val="28"/>
    </w:rPr>
  </w:style>
  <w:style w:type="character" w:customStyle="1" w:styleId="BodyText3Char">
    <w:name w:val="Body Text 3 Char"/>
    <w:basedOn w:val="DefaultParagraphFont"/>
    <w:link w:val="BodyText3"/>
    <w:rsid w:val="00372CF8"/>
    <w:rPr>
      <w:rFonts w:ascii="Times New Roman" w:eastAsia="Times New Roman" w:hAnsi="Times New Roman" w:cs="Angsana New"/>
      <w:sz w:val="28"/>
      <w:lang w:val="en-GB"/>
    </w:rPr>
  </w:style>
  <w:style w:type="paragraph" w:styleId="BodyTextIndent2">
    <w:name w:val="Body Text Indent 2"/>
    <w:basedOn w:val="Normal"/>
    <w:link w:val="BodyTextIndent2Char"/>
    <w:rsid w:val="00372CF8"/>
    <w:pPr>
      <w:ind w:firstLine="720"/>
    </w:pPr>
    <w:rPr>
      <w:rFonts w:cs="Angsana New"/>
    </w:rPr>
  </w:style>
  <w:style w:type="character" w:customStyle="1" w:styleId="BodyTextIndent2Char">
    <w:name w:val="Body Text Indent 2 Char"/>
    <w:basedOn w:val="DefaultParagraphFont"/>
    <w:link w:val="BodyTextIndent2"/>
    <w:rsid w:val="00372CF8"/>
    <w:rPr>
      <w:rFonts w:ascii="Times New Roman" w:eastAsia="Times New Roman" w:hAnsi="Times New Roman" w:cs="Angsana New"/>
      <w:sz w:val="22"/>
      <w:lang w:val="en-GB"/>
    </w:rPr>
  </w:style>
  <w:style w:type="paragraph" w:styleId="BodyTextIndent3">
    <w:name w:val="Body Text Indent 3"/>
    <w:basedOn w:val="Normal"/>
    <w:link w:val="BodyTextIndent3Char"/>
    <w:rsid w:val="00372CF8"/>
    <w:pPr>
      <w:ind w:firstLine="720"/>
    </w:pPr>
    <w:rPr>
      <w:rFonts w:cs="Angsana New"/>
    </w:rPr>
  </w:style>
  <w:style w:type="character" w:customStyle="1" w:styleId="BodyTextIndent3Char">
    <w:name w:val="Body Text Indent 3 Char"/>
    <w:basedOn w:val="DefaultParagraphFont"/>
    <w:link w:val="BodyTextIndent3"/>
    <w:rsid w:val="00372CF8"/>
    <w:rPr>
      <w:rFonts w:ascii="Times New Roman" w:eastAsia="Times New Roman" w:hAnsi="Times New Roman" w:cs="Angsana New"/>
      <w:sz w:val="22"/>
      <w:lang w:val="en-GB"/>
    </w:rPr>
  </w:style>
  <w:style w:type="paragraph" w:customStyle="1" w:styleId="Diagram">
    <w:name w:val="Diagram"/>
    <w:basedOn w:val="Normal"/>
    <w:rsid w:val="00372CF8"/>
    <w:pPr>
      <w:spacing w:before="120" w:after="120"/>
      <w:jc w:val="left"/>
    </w:pPr>
    <w:rPr>
      <w:rFonts w:cs="Angsana New"/>
      <w:b/>
      <w:i/>
      <w:lang w:val="en-CA"/>
    </w:rPr>
  </w:style>
  <w:style w:type="paragraph" w:customStyle="1" w:styleId="Heading0">
    <w:name w:val="Heading"/>
    <w:basedOn w:val="Heading1"/>
    <w:next w:val="Normal"/>
    <w:rsid w:val="00372CF8"/>
    <w:pPr>
      <w:ind w:left="1758" w:right="357" w:hanging="318"/>
    </w:pPr>
    <w:rPr>
      <w:rFonts w:cs="Angsana New"/>
      <w:bCs/>
      <w:caps w:val="0"/>
    </w:rPr>
  </w:style>
  <w:style w:type="paragraph" w:customStyle="1" w:styleId="Heading-plain0">
    <w:name w:val="Heading - plain"/>
    <w:basedOn w:val="Heading2"/>
    <w:next w:val="BodyText"/>
    <w:rsid w:val="00372CF8"/>
    <w:pPr>
      <w:tabs>
        <w:tab w:val="clear" w:pos="720"/>
        <w:tab w:val="left" w:pos="900"/>
      </w:tabs>
    </w:pPr>
    <w:rPr>
      <w:rFonts w:eastAsia="Batang"/>
      <w:b w:val="0"/>
      <w:bCs w:val="0"/>
      <w:szCs w:val="20"/>
    </w:rPr>
  </w:style>
  <w:style w:type="paragraph" w:customStyle="1" w:styleId="Heading1centred">
    <w:name w:val="Heading 1 (centred)"/>
    <w:basedOn w:val="Heading1"/>
    <w:next w:val="Para1"/>
    <w:rsid w:val="00372CF8"/>
    <w:pPr>
      <w:numPr>
        <w:numId w:val="6"/>
      </w:numPr>
      <w:ind w:left="0" w:right="403" w:firstLine="0"/>
    </w:pPr>
    <w:rPr>
      <w:rFonts w:cs="Angsana New"/>
    </w:rPr>
  </w:style>
  <w:style w:type="paragraph" w:customStyle="1" w:styleId="Heading2GTI">
    <w:name w:val="Heading 2 (GTI)"/>
    <w:basedOn w:val="Heading5"/>
    <w:rsid w:val="00372CF8"/>
    <w:pPr>
      <w:numPr>
        <w:numId w:val="3"/>
      </w:numPr>
      <w:ind w:left="720" w:hanging="720"/>
    </w:pPr>
    <w:rPr>
      <w:rFonts w:cs="Angsana New"/>
      <w:b/>
      <w:bCs w:val="0"/>
      <w:i w:val="0"/>
    </w:rPr>
  </w:style>
  <w:style w:type="paragraph" w:customStyle="1" w:styleId="Heading2-center">
    <w:name w:val="Heading 2-center"/>
    <w:basedOn w:val="Heading2"/>
    <w:rsid w:val="00372CF8"/>
    <w:pPr>
      <w:tabs>
        <w:tab w:val="left" w:pos="475"/>
        <w:tab w:val="num" w:pos="1004"/>
      </w:tabs>
      <w:spacing w:before="0" w:after="240" w:line="240" w:lineRule="exact"/>
      <w:ind w:left="1004" w:hanging="360"/>
    </w:pPr>
    <w:rPr>
      <w:rFonts w:cs="Angsana New"/>
      <w:b w:val="0"/>
      <w:bCs w:val="0"/>
      <w:i w:val="0"/>
      <w:iCs w:val="0"/>
      <w:u w:val="single"/>
    </w:rPr>
  </w:style>
  <w:style w:type="paragraph" w:customStyle="1" w:styleId="headingdecisionsectionmultiline">
    <w:name w:val="heading decision section multiline"/>
    <w:basedOn w:val="Heading-plain0"/>
    <w:rsid w:val="00372CF8"/>
    <w:pPr>
      <w:ind w:left="1724" w:right="720" w:hanging="284"/>
      <w:jc w:val="left"/>
    </w:pPr>
    <w:rPr>
      <w:b/>
      <w:bCs/>
      <w:i w:val="0"/>
      <w:iCs w:val="0"/>
    </w:rPr>
  </w:style>
  <w:style w:type="paragraph" w:customStyle="1" w:styleId="headingdecisionsectiononeline">
    <w:name w:val="heading decision section one line"/>
    <w:basedOn w:val="Heading-plain0"/>
    <w:rsid w:val="00372CF8"/>
    <w:rPr>
      <w:b/>
      <w:bCs/>
      <w:i w:val="0"/>
      <w:iCs w:val="0"/>
    </w:rPr>
  </w:style>
  <w:style w:type="paragraph" w:customStyle="1" w:styleId="Subhead1">
    <w:name w:val="Subhead1"/>
    <w:basedOn w:val="Normal"/>
    <w:rsid w:val="00372CF8"/>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cs="Angsana New"/>
      <w:sz w:val="20"/>
      <w:szCs w:val="20"/>
    </w:rPr>
  </w:style>
  <w:style w:type="paragraph" w:customStyle="1" w:styleId="Title-secondary">
    <w:name w:val="Title - secondary"/>
    <w:basedOn w:val="Title"/>
    <w:next w:val="Heading2"/>
    <w:rsid w:val="00372CF8"/>
    <w:pPr>
      <w:pBdr>
        <w:bottom w:val="none" w:sz="0" w:space="0" w:color="auto"/>
      </w:pBdr>
      <w:spacing w:before="120" w:after="0"/>
      <w:contextualSpacing w:val="0"/>
      <w:jc w:val="center"/>
    </w:pPr>
    <w:rPr>
      <w:rFonts w:ascii="Times New Roman" w:eastAsia="Times New Roman" w:hAnsi="Times New Roman" w:cs="Angsana New"/>
      <w:i/>
      <w:iCs/>
      <w:caps/>
      <w:color w:val="auto"/>
      <w:spacing w:val="0"/>
      <w:kern w:val="0"/>
      <w:sz w:val="22"/>
      <w:szCs w:val="24"/>
    </w:rPr>
  </w:style>
  <w:style w:type="character" w:customStyle="1" w:styleId="underline">
    <w:name w:val="underline"/>
    <w:rsid w:val="00372CF8"/>
    <w:rPr>
      <w:rFonts w:ascii="Courier" w:hAnsi="Courier"/>
      <w:sz w:val="20"/>
      <w:u w:val="single"/>
    </w:rPr>
  </w:style>
  <w:style w:type="paragraph" w:customStyle="1" w:styleId="Bodytextitalic">
    <w:name w:val="Body text italic"/>
    <w:basedOn w:val="BodyText"/>
    <w:rsid w:val="00372CF8"/>
    <w:rPr>
      <w:rFonts w:cs="Angsana New"/>
      <w:i/>
      <w:iCs w:val="0"/>
    </w:rPr>
  </w:style>
  <w:style w:type="paragraph" w:customStyle="1" w:styleId="boxbody">
    <w:name w:val="boxbody"/>
    <w:basedOn w:val="Normal"/>
    <w:rsid w:val="00372CF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2noletter">
    <w:name w:val="Heading 2 (no letter)"/>
    <w:basedOn w:val="Heading2"/>
    <w:rsid w:val="00372CF8"/>
    <w:pPr>
      <w:tabs>
        <w:tab w:val="clear" w:pos="720"/>
      </w:tabs>
    </w:pPr>
  </w:style>
  <w:style w:type="character" w:customStyle="1" w:styleId="Heading2CharChar">
    <w:name w:val="Heading 2 Char Char"/>
    <w:rsid w:val="00372CF8"/>
    <w:rPr>
      <w:rFonts w:ascii="Arial" w:hAnsi="Arial" w:cs="Arial"/>
      <w:b/>
      <w:bCs/>
      <w:i/>
      <w:iCs/>
      <w:noProof w:val="0"/>
      <w:sz w:val="28"/>
      <w:szCs w:val="28"/>
      <w:lang w:val="en-US" w:eastAsia="en-US" w:bidi="ar-SA"/>
    </w:rPr>
  </w:style>
  <w:style w:type="paragraph" w:customStyle="1" w:styleId="Heading-plainbold">
    <w:name w:val="Heading-plain bold"/>
    <w:basedOn w:val="BodyText"/>
    <w:rsid w:val="00372CF8"/>
    <w:pPr>
      <w:ind w:firstLine="0"/>
      <w:jc w:val="center"/>
    </w:pPr>
    <w:rPr>
      <w:rFonts w:cs="Angsana New"/>
      <w:b/>
      <w:bCs/>
      <w:i/>
      <w:iCs w:val="0"/>
    </w:rPr>
  </w:style>
  <w:style w:type="paragraph" w:customStyle="1" w:styleId="Heading-plainitalic">
    <w:name w:val="Heading-plain italic"/>
    <w:basedOn w:val="Heading-plainbold"/>
    <w:rsid w:val="00372CF8"/>
    <w:rPr>
      <w:b w:val="0"/>
      <w:bCs w:val="0"/>
    </w:rPr>
  </w:style>
  <w:style w:type="paragraph" w:customStyle="1" w:styleId="Para10">
    <w:name w:val="Para 1"/>
    <w:basedOn w:val="BodyText"/>
    <w:rsid w:val="00372CF8"/>
    <w:pPr>
      <w:ind w:firstLine="0"/>
    </w:pPr>
    <w:rPr>
      <w:rFonts w:eastAsia="MS Mincho" w:cs="Angsana New"/>
      <w:bCs/>
      <w:iCs w:val="0"/>
      <w:szCs w:val="22"/>
    </w:rPr>
  </w:style>
  <w:style w:type="character" w:customStyle="1" w:styleId="Para1Char">
    <w:name w:val="Para 1 Char"/>
    <w:rsid w:val="00372CF8"/>
    <w:rPr>
      <w:rFonts w:eastAsia="MS Mincho"/>
      <w:bCs/>
      <w:iCs/>
      <w:sz w:val="22"/>
      <w:szCs w:val="22"/>
      <w:lang w:val="en-GB" w:eastAsia="en-US" w:bidi="ar-SA"/>
    </w:rPr>
  </w:style>
  <w:style w:type="paragraph" w:customStyle="1" w:styleId="Para2rev">
    <w:name w:val="Para 2 (rev)"/>
    <w:basedOn w:val="Normal"/>
    <w:rsid w:val="00372CF8"/>
    <w:pPr>
      <w:tabs>
        <w:tab w:val="num" w:pos="720"/>
      </w:tabs>
      <w:spacing w:after="120"/>
      <w:ind w:left="720" w:hanging="360"/>
    </w:pPr>
    <w:rPr>
      <w:rFonts w:cs="Angsana New"/>
    </w:rPr>
  </w:style>
  <w:style w:type="paragraph" w:customStyle="1" w:styleId="Paraofficial">
    <w:name w:val="Para official"/>
    <w:basedOn w:val="Normal"/>
    <w:rsid w:val="00372CF8"/>
    <w:pPr>
      <w:framePr w:hSpace="187" w:vSpace="187" w:wrap="notBeside" w:vAnchor="text" w:hAnchor="text" w:y="1"/>
      <w:numPr>
        <w:numId w:val="8"/>
      </w:numPr>
      <w:spacing w:before="240" w:after="240"/>
      <w:jc w:val="left"/>
    </w:pPr>
    <w:rPr>
      <w:rFonts w:cs="Angsana New"/>
      <w:szCs w:val="20"/>
    </w:rPr>
  </w:style>
  <w:style w:type="paragraph" w:customStyle="1" w:styleId="Para1Char0">
    <w:name w:val="Para1 Char"/>
    <w:basedOn w:val="Normal"/>
    <w:rsid w:val="00372CF8"/>
    <w:pPr>
      <w:tabs>
        <w:tab w:val="num" w:pos="720"/>
      </w:tabs>
      <w:spacing w:before="120" w:after="120"/>
      <w:ind w:left="360"/>
    </w:pPr>
    <w:rPr>
      <w:rFonts w:cs="Angsana New"/>
      <w:snapToGrid w:val="0"/>
      <w:szCs w:val="18"/>
    </w:rPr>
  </w:style>
  <w:style w:type="paragraph" w:customStyle="1" w:styleId="Para1-Annex">
    <w:name w:val="Para1-Annex"/>
    <w:basedOn w:val="Normal"/>
    <w:rsid w:val="00372CF8"/>
    <w:pPr>
      <w:numPr>
        <w:numId w:val="9"/>
      </w:numPr>
      <w:spacing w:after="120"/>
    </w:pPr>
    <w:rPr>
      <w:szCs w:val="22"/>
      <w:lang w:val="en-US"/>
    </w:rPr>
  </w:style>
  <w:style w:type="paragraph" w:customStyle="1" w:styleId="para2">
    <w:name w:val="para2"/>
    <w:basedOn w:val="Normal"/>
    <w:rsid w:val="00372CF8"/>
    <w:pPr>
      <w:numPr>
        <w:numId w:val="10"/>
      </w:numPr>
      <w:spacing w:before="120" w:after="120"/>
    </w:pPr>
    <w:rPr>
      <w:rFonts w:cs="Angsana New"/>
      <w:szCs w:val="20"/>
    </w:rPr>
  </w:style>
  <w:style w:type="paragraph" w:customStyle="1" w:styleId="Para40">
    <w:name w:val="Para4"/>
    <w:basedOn w:val="Para3"/>
    <w:rsid w:val="00372CF8"/>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Para1"/>
    <w:rsid w:val="00372CF8"/>
    <w:pPr>
      <w:numPr>
        <w:numId w:val="11"/>
      </w:numPr>
      <w:tabs>
        <w:tab w:val="left" w:pos="720"/>
      </w:tabs>
      <w:spacing w:before="0" w:line="240" w:lineRule="exact"/>
    </w:pPr>
    <w:rPr>
      <w:rFonts w:cs="Angsana New"/>
      <w:snapToGrid/>
      <w:szCs w:val="20"/>
      <w:lang w:val="en-US"/>
    </w:rPr>
  </w:style>
  <w:style w:type="character" w:styleId="Strong">
    <w:name w:val="Strong"/>
    <w:qFormat/>
    <w:rsid w:val="00372CF8"/>
    <w:rPr>
      <w:b/>
      <w:bCs/>
    </w:rPr>
  </w:style>
  <w:style w:type="paragraph" w:customStyle="1" w:styleId="StyleBodyTextTimesNewRoman11ptCharChar">
    <w:name w:val="Style Body Text + Times New Roman 11 pt Char Char"/>
    <w:basedOn w:val="BodyText"/>
    <w:rsid w:val="00372CF8"/>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72CF8"/>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72CF8"/>
    <w:pPr>
      <w:tabs>
        <w:tab w:val="num" w:pos="360"/>
        <w:tab w:val="left" w:pos="720"/>
      </w:tabs>
      <w:spacing w:before="0"/>
    </w:pPr>
    <w:rPr>
      <w:rFonts w:cs="Angsana New"/>
      <w:szCs w:val="20"/>
    </w:rPr>
  </w:style>
  <w:style w:type="character" w:styleId="Emphasis">
    <w:name w:val="Emphasis"/>
    <w:uiPriority w:val="20"/>
    <w:qFormat/>
    <w:rsid w:val="00372CF8"/>
    <w:rPr>
      <w:i/>
      <w:iCs/>
    </w:rPr>
  </w:style>
  <w:style w:type="character" w:customStyle="1" w:styleId="DocumentMapChar">
    <w:name w:val="Document Map Char"/>
    <w:basedOn w:val="DefaultParagraphFont"/>
    <w:link w:val="DocumentMap"/>
    <w:semiHidden/>
    <w:rsid w:val="00372CF8"/>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372CF8"/>
    <w:pPr>
      <w:shd w:val="clear" w:color="auto" w:fill="000080"/>
    </w:pPr>
    <w:rPr>
      <w:rFonts w:ascii="Tahoma" w:hAnsi="Tahoma" w:cs="Tahoma"/>
      <w:sz w:val="20"/>
      <w:szCs w:val="20"/>
    </w:rPr>
  </w:style>
  <w:style w:type="paragraph" w:customStyle="1" w:styleId="Default">
    <w:name w:val="Default"/>
    <w:rsid w:val="00372CF8"/>
    <w:pPr>
      <w:autoSpaceDE w:val="0"/>
      <w:autoSpaceDN w:val="0"/>
      <w:adjustRightInd w:val="0"/>
    </w:pPr>
    <w:rPr>
      <w:rFonts w:ascii="Times New Roman" w:eastAsia="Times New Roman" w:hAnsi="Times New Roman" w:cs="Times New Roman"/>
      <w:color w:val="000000"/>
      <w:lang w:val="en-CA" w:eastAsia="en-CA"/>
    </w:rPr>
  </w:style>
  <w:style w:type="paragraph" w:customStyle="1" w:styleId="para11">
    <w:name w:val="para1"/>
    <w:basedOn w:val="Normal"/>
    <w:link w:val="para1Char1"/>
    <w:rsid w:val="00372CF8"/>
    <w:pPr>
      <w:spacing w:before="100" w:beforeAutospacing="1" w:after="100" w:afterAutospacing="1"/>
      <w:jc w:val="left"/>
    </w:pPr>
    <w:rPr>
      <w:sz w:val="24"/>
      <w:lang w:val="en-US"/>
    </w:rPr>
  </w:style>
  <w:style w:type="character" w:customStyle="1" w:styleId="para1Char1">
    <w:name w:val="para1 Char"/>
    <w:link w:val="para11"/>
    <w:rsid w:val="00372CF8"/>
    <w:rPr>
      <w:rFonts w:ascii="Times New Roman" w:eastAsia="Times New Roman" w:hAnsi="Times New Roman" w:cs="Times New Roman"/>
      <w:lang w:val="en-US"/>
    </w:rPr>
  </w:style>
  <w:style w:type="character" w:customStyle="1" w:styleId="CommentSubjectChar">
    <w:name w:val="Comment Subject Char"/>
    <w:basedOn w:val="CommentTextChar"/>
    <w:link w:val="CommentSubject"/>
    <w:uiPriority w:val="99"/>
    <w:semiHidden/>
    <w:rsid w:val="00372CF8"/>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72CF8"/>
    <w:pPr>
      <w:spacing w:after="0" w:line="240" w:lineRule="auto"/>
    </w:pPr>
    <w:rPr>
      <w:b/>
      <w:bCs/>
      <w:sz w:val="20"/>
      <w:szCs w:val="20"/>
    </w:rPr>
  </w:style>
  <w:style w:type="paragraph" w:customStyle="1" w:styleId="Decheadmuliline">
    <w:name w:val="Dec_head muliline"/>
    <w:basedOn w:val="BodyText"/>
    <w:next w:val="BodyText"/>
    <w:rsid w:val="00372CF8"/>
    <w:pPr>
      <w:ind w:firstLine="0"/>
      <w:jc w:val="center"/>
    </w:pPr>
    <w:rPr>
      <w:rFonts w:ascii="Times New Roman Bold" w:hAnsi="Times New Roman Bold"/>
      <w:b/>
      <w:bCs/>
      <w:i/>
    </w:rPr>
  </w:style>
  <w:style w:type="paragraph" w:styleId="ListParagraph">
    <w:name w:val="List Paragraph"/>
    <w:basedOn w:val="Normal"/>
    <w:link w:val="ListParagraphChar"/>
    <w:uiPriority w:val="34"/>
    <w:qFormat/>
    <w:rsid w:val="00372CF8"/>
    <w:pPr>
      <w:spacing w:after="200" w:line="276" w:lineRule="auto"/>
      <w:ind w:left="720"/>
      <w:jc w:val="left"/>
    </w:pPr>
    <w:rPr>
      <w:rFonts w:ascii="Calibri" w:eastAsia="Calibri" w:hAnsi="Calibri"/>
      <w:szCs w:val="22"/>
      <w:lang w:val="en-US"/>
    </w:rPr>
  </w:style>
  <w:style w:type="character" w:customStyle="1" w:styleId="ListParagraphChar">
    <w:name w:val="List Paragraph Char"/>
    <w:link w:val="ListParagraph"/>
    <w:uiPriority w:val="34"/>
    <w:locked/>
    <w:rsid w:val="00372CF8"/>
    <w:rPr>
      <w:rFonts w:ascii="Calibri" w:eastAsia="Calibri" w:hAnsi="Calibri" w:cs="Times New Roman"/>
      <w:sz w:val="22"/>
      <w:szCs w:val="22"/>
      <w:lang w:val="en-US"/>
    </w:rPr>
  </w:style>
  <w:style w:type="character" w:customStyle="1" w:styleId="UnresolvedMention1">
    <w:name w:val="Unresolved Mention1"/>
    <w:basedOn w:val="DefaultParagraphFont"/>
    <w:uiPriority w:val="99"/>
    <w:semiHidden/>
    <w:unhideWhenUsed/>
    <w:rsid w:val="00342CE7"/>
    <w:rPr>
      <w:color w:val="605E5C"/>
      <w:shd w:val="clear" w:color="auto" w:fill="E1DFDD"/>
    </w:rPr>
  </w:style>
  <w:style w:type="paragraph" w:styleId="HTMLPreformatted">
    <w:name w:val="HTML Preformatted"/>
    <w:basedOn w:val="Normal"/>
    <w:link w:val="HTMLPreformattedChar"/>
    <w:uiPriority w:val="99"/>
    <w:semiHidden/>
    <w:unhideWhenUsed/>
    <w:rsid w:val="00A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AF2F1E"/>
    <w:rPr>
      <w:rFonts w:ascii="Courier New" w:eastAsia="Times New Roman" w:hAnsi="Courier New" w:cs="Courier New"/>
      <w:sz w:val="20"/>
      <w:szCs w:val="20"/>
      <w:lang w:val="en-CA" w:eastAsia="en-CA"/>
    </w:rPr>
  </w:style>
  <w:style w:type="table" w:customStyle="1" w:styleId="GridTable1Light1">
    <w:name w:val="Grid Table 1 Light1"/>
    <w:basedOn w:val="TableNormal"/>
    <w:uiPriority w:val="46"/>
    <w:rsid w:val="00EA09AB"/>
    <w:rPr>
      <w:rFonts w:eastAsiaTheme="minorHAns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6109C"/>
    <w:rPr>
      <w:rFonts w:ascii="Times New Roman" w:eastAsia="Times New Roman" w:hAnsi="Times New Roman" w:cs="Times New Roman"/>
      <w:sz w:val="22"/>
      <w:lang w:val="en-GB"/>
    </w:rPr>
  </w:style>
  <w:style w:type="character" w:customStyle="1" w:styleId="preferred">
    <w:name w:val="preferred"/>
    <w:basedOn w:val="DefaultParagraphFont"/>
    <w:rsid w:val="00A8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5138">
      <w:bodyDiv w:val="1"/>
      <w:marLeft w:val="0"/>
      <w:marRight w:val="0"/>
      <w:marTop w:val="0"/>
      <w:marBottom w:val="0"/>
      <w:divBdr>
        <w:top w:val="none" w:sz="0" w:space="0" w:color="auto"/>
        <w:left w:val="none" w:sz="0" w:space="0" w:color="auto"/>
        <w:bottom w:val="none" w:sz="0" w:space="0" w:color="auto"/>
        <w:right w:val="none" w:sz="0" w:space="0" w:color="auto"/>
      </w:divBdr>
    </w:div>
    <w:div w:id="1395544046">
      <w:bodyDiv w:val="1"/>
      <w:marLeft w:val="0"/>
      <w:marRight w:val="0"/>
      <w:marTop w:val="0"/>
      <w:marBottom w:val="0"/>
      <w:divBdr>
        <w:top w:val="none" w:sz="0" w:space="0" w:color="auto"/>
        <w:left w:val="none" w:sz="0" w:space="0" w:color="auto"/>
        <w:bottom w:val="none" w:sz="0" w:space="0" w:color="auto"/>
        <w:right w:val="none" w:sz="0" w:space="0" w:color="auto"/>
      </w:divBdr>
    </w:div>
    <w:div w:id="209947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np-mop-03/np-mop-03-dec-13-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3-fr.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np-mop-02/np-mop-02-dec-10-fr.pdf"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np-mop-01/np-mop-01-dec-10-fr.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cop-13/cop-13-dec-25-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94a9/0e7c/026a895e41a01b3ef6cffbc9/sbi-02-05-fr.pdf" TargetMode="External"/><Relationship Id="rId2" Type="http://schemas.openxmlformats.org/officeDocument/2006/relationships/hyperlink" Target="https://www.cbd.int/abs/submissions/Art10/2019/African%20Union.pdf" TargetMode="External"/><Relationship Id="rId1" Type="http://schemas.openxmlformats.org/officeDocument/2006/relationships/hyperlink" Target="https://www.cbd.int/abs/art10/2019-2020/submissions.shtml" TargetMode="External"/><Relationship Id="rId5" Type="http://schemas.openxmlformats.org/officeDocument/2006/relationships/hyperlink" Target="http://www.fao.org/3/a-bq533e.pdf" TargetMode="External"/><Relationship Id="rId4" Type="http://schemas.openxmlformats.org/officeDocument/2006/relationships/hyperlink" Target="https://www.cbd.int/doc/c/079f/2dc5/2d20217d1cdacac787524d8e/dsi-ahteg-2018-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BBC4FBC3140109EB912AA7838E437"/>
        <w:category>
          <w:name w:val="General"/>
          <w:gallery w:val="placeholder"/>
        </w:category>
        <w:types>
          <w:type w:val="bbPlcHdr"/>
        </w:types>
        <w:behaviors>
          <w:behavior w:val="content"/>
        </w:behaviors>
        <w:guid w:val="{4F750F61-B9DE-4C6D-B1B1-91C36F8C144D}"/>
      </w:docPartPr>
      <w:docPartBody>
        <w:p w:rsidR="00104A61" w:rsidRDefault="00104A61">
          <w:r w:rsidRPr="008D7C56">
            <w:rPr>
              <w:rStyle w:val="PlaceholderText"/>
            </w:rPr>
            <w:t>[Subject]</w:t>
          </w:r>
        </w:p>
      </w:docPartBody>
    </w:docPart>
    <w:docPart>
      <w:docPartPr>
        <w:name w:val="F301A28B81EC4171891CF3FB1BECA934"/>
        <w:category>
          <w:name w:val="General"/>
          <w:gallery w:val="placeholder"/>
        </w:category>
        <w:types>
          <w:type w:val="bbPlcHdr"/>
        </w:types>
        <w:behaviors>
          <w:behavior w:val="content"/>
        </w:behaviors>
        <w:guid w:val="{AE96C8D5-3B70-4E9C-874E-A68FA9121F48}"/>
      </w:docPartPr>
      <w:docPartBody>
        <w:p w:rsidR="00104A61" w:rsidRDefault="00104A61">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A04D1"/>
    <w:rsid w:val="000A2300"/>
    <w:rsid w:val="00104A61"/>
    <w:rsid w:val="002369D7"/>
    <w:rsid w:val="002856DB"/>
    <w:rsid w:val="002B465A"/>
    <w:rsid w:val="002E0592"/>
    <w:rsid w:val="003834A0"/>
    <w:rsid w:val="00413893"/>
    <w:rsid w:val="0047488D"/>
    <w:rsid w:val="00531705"/>
    <w:rsid w:val="00543C1B"/>
    <w:rsid w:val="005560A5"/>
    <w:rsid w:val="005E2BD7"/>
    <w:rsid w:val="00604E87"/>
    <w:rsid w:val="00626233"/>
    <w:rsid w:val="00666654"/>
    <w:rsid w:val="00673842"/>
    <w:rsid w:val="0069509A"/>
    <w:rsid w:val="006F56AD"/>
    <w:rsid w:val="00720CCE"/>
    <w:rsid w:val="00733B5C"/>
    <w:rsid w:val="007C189B"/>
    <w:rsid w:val="007E57CD"/>
    <w:rsid w:val="00810A55"/>
    <w:rsid w:val="00840864"/>
    <w:rsid w:val="008D420E"/>
    <w:rsid w:val="0097325F"/>
    <w:rsid w:val="009D0F86"/>
    <w:rsid w:val="00C96DA4"/>
    <w:rsid w:val="00D667AA"/>
    <w:rsid w:val="00D72A79"/>
    <w:rsid w:val="00E44D4C"/>
    <w:rsid w:val="00F047E3"/>
    <w:rsid w:val="00FC4FD3"/>
    <w:rsid w:val="00FD62BC"/>
    <w:rsid w:val="00FE41B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0F86"/>
    <w:rPr>
      <w:color w:val="808080"/>
    </w:rPr>
  </w:style>
  <w:style w:type="paragraph" w:customStyle="1" w:styleId="482F4940FA5748459385EE586CA4D2FD">
    <w:name w:val="482F4940FA5748459385EE586CA4D2FD"/>
    <w:rsid w:val="002856DB"/>
    <w:pPr>
      <w:spacing w:after="160" w:line="259" w:lineRule="auto"/>
    </w:pPr>
  </w:style>
  <w:style w:type="paragraph" w:customStyle="1" w:styleId="BA64732792E8407287C8C5D0E7091D76">
    <w:name w:val="BA64732792E8407287C8C5D0E7091D76"/>
    <w:rsid w:val="002856DB"/>
    <w:pPr>
      <w:spacing w:after="160" w:line="259" w:lineRule="auto"/>
    </w:pPr>
  </w:style>
  <w:style w:type="paragraph" w:customStyle="1" w:styleId="01F2415F34904EECA0F63C81EBD4CD7B">
    <w:name w:val="01F2415F34904EECA0F63C81EBD4CD7B"/>
    <w:rsid w:val="00543C1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CB957E-AF3A-48C0-B224-853A30AD5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90CB6-F351-4AA8-929D-AC69F9A864C7}">
  <ds:schemaRefs>
    <ds:schemaRef ds:uri="http://schemas.microsoft.com/sharepoint/v3/contenttype/forms"/>
  </ds:schemaRefs>
</ds:datastoreItem>
</file>

<file path=customXml/itemProps4.xml><?xml version="1.0" encoding="utf-8"?>
<ds:datastoreItem xmlns:ds="http://schemas.openxmlformats.org/officeDocument/2006/customXml" ds:itemID="{8C869D49-1856-4555-81A8-5EEA28AC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1D69A8-F888-4B9E-93DC-DA79427F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13</Pages>
  <Words>6362</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Global multilateral benefit-sharing mechanism (Article 10) of the Nagoya Protocol</vt:lpstr>
    </vt:vector>
  </TitlesOfParts>
  <Company>SCBD</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CBD/SBI/3/15</dc:subject>
  <dc:creator>SCBD</dc:creator>
  <cp:keywords>Subsidiary Body on Implementation, third meeting, Convention on Biological Diversity</cp:keywords>
  <cp:lastModifiedBy>Xue He Yan</cp:lastModifiedBy>
  <cp:revision>42</cp:revision>
  <cp:lastPrinted>2020-02-21T16:26:00Z</cp:lastPrinted>
  <dcterms:created xsi:type="dcterms:W3CDTF">2020-09-09T21:08:00Z</dcterms:created>
  <dcterms:modified xsi:type="dcterms:W3CDTF">2020-09-10T13:54:00Z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