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C4F5F" w14:paraId="5FD772FB" w14:textId="77777777" w:rsidTr="008A1499">
        <w:trPr>
          <w:trHeight w:val="850"/>
        </w:trPr>
        <w:tc>
          <w:tcPr>
            <w:tcW w:w="975" w:type="dxa"/>
            <w:vAlign w:val="bottom"/>
          </w:tcPr>
          <w:p w14:paraId="4FF0B03E" w14:textId="2DD75783" w:rsidR="008A1499" w:rsidRPr="00BC4F5F" w:rsidRDefault="00E46EB8" w:rsidP="008A1499">
            <w:pPr>
              <w:pStyle w:val="AASmallLogo"/>
              <w:rPr>
                <w:lang w:val="es-ES_tradnl"/>
              </w:rPr>
            </w:pPr>
            <w:r w:rsidRPr="00BC4F5F">
              <w:rPr>
                <w:lang w:val="es-ES_tradnl"/>
              </w:rPr>
              <w:t xml:space="preserve"> </w:t>
            </w:r>
            <w:r w:rsidRPr="00BC4F5F">
              <w:rPr>
                <w:noProof/>
                <w:lang w:val="es-ES_tradnl"/>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C4F5F">
              <w:rPr>
                <w:lang w:val="es-ES_tradnl"/>
              </w:rPr>
              <w:t xml:space="preserve"> </w:t>
            </w:r>
          </w:p>
          <w:p w14:paraId="5FA60B5F" w14:textId="77777777" w:rsidR="008A1499" w:rsidRPr="00BC4F5F" w:rsidRDefault="008A1499" w:rsidP="008A1499">
            <w:pPr>
              <w:pStyle w:val="AASmallLogo"/>
              <w:rPr>
                <w:lang w:val="es-ES_tradnl"/>
              </w:rPr>
            </w:pPr>
          </w:p>
        </w:tc>
        <w:tc>
          <w:tcPr>
            <w:tcW w:w="1434" w:type="dxa"/>
            <w:noWrap/>
            <w:vAlign w:val="bottom"/>
          </w:tcPr>
          <w:p w14:paraId="000F14FB" w14:textId="2938A810" w:rsidR="008A1499" w:rsidRPr="00BC4F5F" w:rsidRDefault="003D0E72" w:rsidP="008A1499">
            <w:pPr>
              <w:pStyle w:val="AASmallLogo"/>
              <w:rPr>
                <w:lang w:val="es-ES_tradnl"/>
              </w:rPr>
            </w:pPr>
            <w:r w:rsidRPr="00BC4F5F">
              <w:rPr>
                <w:noProof/>
                <w:lang w:val="es-ES_tradnl" w:eastAsia="es-ES"/>
              </w:rPr>
              <w:drawing>
                <wp:inline distT="0" distB="0" distL="0" distR="0" wp14:anchorId="7D942B07" wp14:editId="384394BE">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BC4F5F">
              <w:rPr>
                <w:lang w:val="es-ES_tradnl"/>
              </w:rPr>
              <w:t xml:space="preserve"> </w:t>
            </w:r>
          </w:p>
          <w:p w14:paraId="5DA49003" w14:textId="77777777" w:rsidR="008A1499" w:rsidRPr="00BC4F5F" w:rsidRDefault="008A1499" w:rsidP="008A1499">
            <w:pPr>
              <w:pStyle w:val="AASmallLogo"/>
              <w:rPr>
                <w:lang w:val="es-ES_tradnl"/>
              </w:rPr>
            </w:pPr>
          </w:p>
        </w:tc>
        <w:tc>
          <w:tcPr>
            <w:tcW w:w="8073" w:type="dxa"/>
            <w:vAlign w:val="bottom"/>
          </w:tcPr>
          <w:p w14:paraId="0D35B117" w14:textId="273F4277" w:rsidR="008A1499" w:rsidRPr="00BC4F5F" w:rsidRDefault="00DF765C" w:rsidP="000E4EE5">
            <w:pPr>
              <w:pStyle w:val="ABSymbol"/>
              <w:rPr>
                <w:lang w:val="es-ES_tradnl"/>
              </w:rPr>
            </w:pPr>
            <w:r w:rsidRPr="00BC4F5F">
              <w:rPr>
                <w:sz w:val="40"/>
                <w:lang w:val="es-ES_tradnl"/>
              </w:rPr>
              <w:t>CBD</w:t>
            </w:r>
            <w:r w:rsidRPr="00BC4F5F">
              <w:rPr>
                <w:lang w:val="es-ES_tradnl"/>
              </w:rPr>
              <w:t>/COP/17/</w:t>
            </w:r>
            <w:r w:rsidR="00FE0085" w:rsidRPr="00BC4F5F">
              <w:rPr>
                <w:lang w:val="es-ES_tradnl"/>
              </w:rPr>
              <w:t>5</w:t>
            </w:r>
          </w:p>
        </w:tc>
      </w:tr>
    </w:tbl>
    <w:p w14:paraId="6762E6CA" w14:textId="77777777" w:rsidR="008A1499" w:rsidRPr="00BC4F5F"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C4F5F" w14:paraId="6534970E" w14:textId="77777777" w:rsidTr="008A1499">
        <w:trPr>
          <w:trHeight w:val="1814"/>
        </w:trPr>
        <w:tc>
          <w:tcPr>
            <w:tcW w:w="7370" w:type="dxa"/>
          </w:tcPr>
          <w:p w14:paraId="583CCAE4" w14:textId="7575B63B" w:rsidR="008A1499" w:rsidRPr="00BC4F5F" w:rsidRDefault="003D0E72" w:rsidP="008A1499">
            <w:pPr>
              <w:pStyle w:val="ACLargeLogo"/>
              <w:rPr>
                <w:lang w:val="es-ES_tradnl"/>
              </w:rPr>
            </w:pPr>
            <w:r w:rsidRPr="00BC4F5F">
              <w:rPr>
                <w:noProof/>
                <w:lang w:val="es-ES_tradnl" w:eastAsia="es-ES"/>
              </w:rPr>
              <w:drawing>
                <wp:inline distT="0" distB="0" distL="0" distR="0" wp14:anchorId="3FDCFC9B" wp14:editId="1BD393DD">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BC4F5F">
              <w:rPr>
                <w:lang w:val="es-ES_tradnl"/>
              </w:rPr>
              <w:t xml:space="preserve"> </w:t>
            </w:r>
          </w:p>
          <w:p w14:paraId="2F40822B" w14:textId="77777777" w:rsidR="008A1499" w:rsidRPr="00BC4F5F" w:rsidRDefault="008A1499" w:rsidP="008A1499">
            <w:pPr>
              <w:pStyle w:val="ACLargeLogo"/>
              <w:rPr>
                <w:lang w:val="es-ES_tradnl"/>
              </w:rPr>
            </w:pPr>
          </w:p>
        </w:tc>
        <w:tc>
          <w:tcPr>
            <w:tcW w:w="3112" w:type="dxa"/>
          </w:tcPr>
          <w:p w14:paraId="0C5DA3CB" w14:textId="5B3C0C4E" w:rsidR="00DF765C" w:rsidRPr="00BC4F5F" w:rsidRDefault="00DF765C" w:rsidP="00DF765C">
            <w:pPr>
              <w:pStyle w:val="AEDistrNormal"/>
              <w:rPr>
                <w:lang w:val="es-ES_tradnl"/>
              </w:rPr>
            </w:pPr>
            <w:r w:rsidRPr="00BC4F5F">
              <w:rPr>
                <w:lang w:val="es-ES_tradnl"/>
              </w:rPr>
              <w:t xml:space="preserve">Distr. </w:t>
            </w:r>
            <w:r w:rsidR="003D0E72" w:rsidRPr="00BC4F5F">
              <w:rPr>
                <w:lang w:val="es-ES_tradnl"/>
              </w:rPr>
              <w:t>g</w:t>
            </w:r>
            <w:r w:rsidRPr="00BC4F5F">
              <w:rPr>
                <w:lang w:val="es-ES_tradnl"/>
              </w:rPr>
              <w:t>eneral</w:t>
            </w:r>
          </w:p>
          <w:p w14:paraId="1F2F4C62" w14:textId="77777777" w:rsidR="003D0E72" w:rsidRPr="00BC4F5F" w:rsidRDefault="00775A94" w:rsidP="003D0E72">
            <w:pPr>
              <w:pStyle w:val="AEDistrNormal"/>
              <w:rPr>
                <w:lang w:val="es-ES_tradnl"/>
              </w:rPr>
            </w:pPr>
            <w:r w:rsidRPr="00BC4F5F">
              <w:rPr>
                <w:lang w:val="es-ES_tradnl"/>
              </w:rPr>
              <w:t xml:space="preserve">4 </w:t>
            </w:r>
            <w:r w:rsidR="003D0E72" w:rsidRPr="00BC4F5F">
              <w:rPr>
                <w:lang w:val="es-ES_tradnl"/>
              </w:rPr>
              <w:t>de septiembre de </w:t>
            </w:r>
            <w:r w:rsidRPr="00BC4F5F">
              <w:rPr>
                <w:lang w:val="es-ES_tradnl"/>
              </w:rPr>
              <w:t>2026</w:t>
            </w:r>
          </w:p>
          <w:p w14:paraId="302F9009" w14:textId="77777777" w:rsidR="003D0E72" w:rsidRPr="00BC4F5F" w:rsidRDefault="003D0E72" w:rsidP="003D0E72">
            <w:pPr>
              <w:pStyle w:val="AEDistrNormal"/>
              <w:rPr>
                <w:lang w:val="es-ES_tradnl"/>
              </w:rPr>
            </w:pPr>
            <w:r w:rsidRPr="00BC4F5F">
              <w:rPr>
                <w:lang w:val="es-ES_tradnl"/>
              </w:rPr>
              <w:t>Español</w:t>
            </w:r>
          </w:p>
          <w:p w14:paraId="50ABADBA" w14:textId="70403110" w:rsidR="008A1499" w:rsidRPr="00BC4F5F" w:rsidRDefault="00DF765C" w:rsidP="003D0E72">
            <w:pPr>
              <w:pStyle w:val="AEDistrNormal"/>
              <w:rPr>
                <w:lang w:val="es-ES_tradnl"/>
              </w:rPr>
            </w:pPr>
            <w:r w:rsidRPr="00BC4F5F">
              <w:rPr>
                <w:lang w:val="es-ES_tradnl"/>
              </w:rPr>
              <w:t xml:space="preserve">Original: </w:t>
            </w:r>
            <w:r w:rsidR="003D0E72" w:rsidRPr="00BC4F5F">
              <w:rPr>
                <w:lang w:val="es-ES_tradnl"/>
              </w:rPr>
              <w:t>inglés</w:t>
            </w:r>
          </w:p>
        </w:tc>
      </w:tr>
    </w:tbl>
    <w:p w14:paraId="2D93CFCD" w14:textId="77777777" w:rsidR="008A1499" w:rsidRPr="00BC4F5F"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C4F5F" w14:paraId="73A417EC" w14:textId="77777777" w:rsidTr="008A1499">
        <w:trPr>
          <w:trHeight w:val="57"/>
        </w:trPr>
        <w:tc>
          <w:tcPr>
            <w:tcW w:w="6094" w:type="dxa"/>
          </w:tcPr>
          <w:p w14:paraId="0E5CCE26" w14:textId="77777777" w:rsidR="003D0E72" w:rsidRPr="00BC4F5F" w:rsidRDefault="003D0E72" w:rsidP="003D0E72">
            <w:pPr>
              <w:pStyle w:val="AFCorN12Bold"/>
              <w:rPr>
                <w:lang w:val="es-ES_tradnl"/>
              </w:rPr>
            </w:pPr>
            <w:r w:rsidRPr="00BC4F5F">
              <w:rPr>
                <w:lang w:val="es-ES_tradnl"/>
              </w:rPr>
              <w:t xml:space="preserve">Conferencia de las Partes en el </w:t>
            </w:r>
            <w:r w:rsidRPr="00BC4F5F">
              <w:rPr>
                <w:lang w:val="es-ES_tradnl"/>
              </w:rPr>
              <w:br/>
              <w:t>Convenio sobre la Diversidad Biológica</w:t>
            </w:r>
          </w:p>
          <w:p w14:paraId="195D4B3E" w14:textId="238BC140" w:rsidR="003D0E72" w:rsidRPr="00BC4F5F" w:rsidRDefault="003D0E72" w:rsidP="003D0E72">
            <w:pPr>
              <w:pStyle w:val="AFCorNBold"/>
              <w:rPr>
                <w:lang w:val="es-ES_tradnl"/>
              </w:rPr>
            </w:pPr>
            <w:r w:rsidRPr="00BC4F5F">
              <w:rPr>
                <w:lang w:val="es-ES_tradnl"/>
              </w:rPr>
              <w:t>17ª reunión</w:t>
            </w:r>
          </w:p>
          <w:p w14:paraId="13D76109" w14:textId="2B1C4F49" w:rsidR="00DF765C" w:rsidRPr="00BC4F5F" w:rsidRDefault="003D0E72" w:rsidP="003D0E72">
            <w:pPr>
              <w:pStyle w:val="AFCorNNormal"/>
              <w:rPr>
                <w:lang w:val="es-ES_tradnl"/>
              </w:rPr>
            </w:pPr>
            <w:r w:rsidRPr="00BC4F5F">
              <w:rPr>
                <w:lang w:val="es-ES_tradnl"/>
              </w:rPr>
              <w:t xml:space="preserve">Ereván (Armenia), </w:t>
            </w:r>
            <w:r w:rsidRPr="00BC4F5F">
              <w:rPr>
                <w:snapToGrid w:val="0"/>
                <w:kern w:val="22"/>
                <w:lang w:val="es-ES_tradnl"/>
              </w:rPr>
              <w:t>19 a 30 de octubre de 2026</w:t>
            </w:r>
          </w:p>
          <w:p w14:paraId="48B24C71" w14:textId="116EDFA0" w:rsidR="00DF765C" w:rsidRPr="00BC4F5F" w:rsidRDefault="003D0E72" w:rsidP="00DF765C">
            <w:pPr>
              <w:pStyle w:val="AFCorNNormal"/>
              <w:rPr>
                <w:lang w:val="es-ES_tradnl"/>
              </w:rPr>
            </w:pPr>
            <w:r w:rsidRPr="00BC4F5F">
              <w:rPr>
                <w:lang w:val="es-ES_tradnl"/>
              </w:rPr>
              <w:t>Tema </w:t>
            </w:r>
            <w:r w:rsidR="00DF765C" w:rsidRPr="00BC4F5F">
              <w:rPr>
                <w:lang w:val="es-ES_tradnl"/>
              </w:rPr>
              <w:t xml:space="preserve">8 </w:t>
            </w:r>
            <w:r w:rsidRPr="00BC4F5F">
              <w:rPr>
                <w:lang w:val="es-ES_tradnl"/>
              </w:rPr>
              <w:t xml:space="preserve">del programa </w:t>
            </w:r>
            <w:r w:rsidR="00DF765C" w:rsidRPr="00BC4F5F">
              <w:rPr>
                <w:lang w:val="es-ES_tradnl"/>
              </w:rPr>
              <w:t>provisional</w:t>
            </w:r>
            <w:r w:rsidR="00DF765C" w:rsidRPr="00BC4F5F">
              <w:rPr>
                <w:rStyle w:val="Refdenotaalpie"/>
                <w:lang w:val="es-ES_tradnl"/>
              </w:rPr>
              <w:footnoteReference w:customMarkFollows="1" w:id="1"/>
              <w:t>*</w:t>
            </w:r>
          </w:p>
          <w:p w14:paraId="507E2E13" w14:textId="43DC3398" w:rsidR="008A1499" w:rsidRPr="00BC4F5F" w:rsidRDefault="003D0E72" w:rsidP="00DF765C">
            <w:pPr>
              <w:pStyle w:val="AFCorNBold"/>
              <w:spacing w:after="120"/>
              <w:rPr>
                <w:lang w:val="es-ES_tradnl"/>
              </w:rPr>
            </w:pPr>
            <w:r w:rsidRPr="00BC4F5F">
              <w:rPr>
                <w:lang w:val="es-ES_tradnl"/>
              </w:rPr>
              <w:t>Movilización de recursos y el mecanismo</w:t>
            </w:r>
            <w:r w:rsidR="000D7717" w:rsidRPr="00BC4F5F">
              <w:rPr>
                <w:lang w:val="es-ES_tradnl"/>
              </w:rPr>
              <w:br/>
            </w:r>
            <w:r w:rsidRPr="00BC4F5F">
              <w:rPr>
                <w:lang w:val="es-ES_tradnl"/>
              </w:rPr>
              <w:t>financiero</w:t>
            </w:r>
          </w:p>
        </w:tc>
        <w:tc>
          <w:tcPr>
            <w:tcW w:w="4388" w:type="dxa"/>
          </w:tcPr>
          <w:p w14:paraId="13BA7841" w14:textId="77777777" w:rsidR="008A1499" w:rsidRPr="00BC4F5F" w:rsidRDefault="008A1499" w:rsidP="008A1499">
            <w:pPr>
              <w:pStyle w:val="CBDNormal"/>
              <w:jc w:val="left"/>
              <w:rPr>
                <w:lang w:val="es-ES_tradnl"/>
              </w:rPr>
            </w:pPr>
          </w:p>
        </w:tc>
      </w:tr>
    </w:tbl>
    <w:p w14:paraId="7936AF6B" w14:textId="5710A8AF" w:rsidR="00C9161D" w:rsidRPr="00BC4F5F" w:rsidRDefault="00000000" w:rsidP="00A634F7">
      <w:pPr>
        <w:pStyle w:val="CBDTitle"/>
        <w:rPr>
          <w:caps/>
          <w:lang w:val="es-ES_tradnl"/>
        </w:rPr>
      </w:pPr>
      <w:sdt>
        <w:sdtPr>
          <w:rPr>
            <w:lang w:val="es-ES_tradnl"/>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3D0E72" w:rsidRPr="00BC4F5F">
            <w:rPr>
              <w:lang w:val="es-ES_tradnl"/>
            </w:rPr>
            <w:t>Movilización de recursos y el mecanismo financiero</w:t>
          </w:r>
        </w:sdtContent>
      </w:sdt>
    </w:p>
    <w:p w14:paraId="41F49149" w14:textId="2DD0AF34" w:rsidR="00F6586C" w:rsidRPr="00BC4F5F" w:rsidRDefault="0030169D" w:rsidP="00A111D1">
      <w:pPr>
        <w:pStyle w:val="CBDSubTitle"/>
        <w:rPr>
          <w:lang w:val="es-ES_tradnl"/>
        </w:rPr>
      </w:pPr>
      <w:r w:rsidRPr="00BC4F5F">
        <w:rPr>
          <w:lang w:val="es-ES_tradnl"/>
        </w:rPr>
        <w:t>Not</w:t>
      </w:r>
      <w:r w:rsidR="003D0E72" w:rsidRPr="00BC4F5F">
        <w:rPr>
          <w:lang w:val="es-ES_tradnl"/>
        </w:rPr>
        <w:t>a</w:t>
      </w:r>
      <w:r w:rsidRPr="00BC4F5F">
        <w:rPr>
          <w:lang w:val="es-ES_tradnl"/>
        </w:rPr>
        <w:t xml:space="preserve"> </w:t>
      </w:r>
      <w:r w:rsidR="003D0E72" w:rsidRPr="00BC4F5F">
        <w:rPr>
          <w:lang w:val="es-ES_tradnl"/>
        </w:rPr>
        <w:t>de</w:t>
      </w:r>
      <w:r w:rsidRPr="00BC4F5F">
        <w:rPr>
          <w:lang w:val="es-ES_tradnl"/>
        </w:rPr>
        <w:t xml:space="preserve"> </w:t>
      </w:r>
      <w:r w:rsidR="003D0E72" w:rsidRPr="00BC4F5F">
        <w:rPr>
          <w:lang w:val="es-ES_tradnl"/>
        </w:rPr>
        <w:t>la</w:t>
      </w:r>
      <w:r w:rsidRPr="00BC4F5F">
        <w:rPr>
          <w:lang w:val="es-ES_tradnl"/>
        </w:rPr>
        <w:t xml:space="preserve"> Secretar</w:t>
      </w:r>
      <w:r w:rsidR="003D0E72" w:rsidRPr="00BC4F5F">
        <w:rPr>
          <w:lang w:val="es-ES_tradnl"/>
        </w:rPr>
        <w:t>ía</w:t>
      </w:r>
    </w:p>
    <w:p w14:paraId="5E766945" w14:textId="73D45FD4" w:rsidR="00C9161D" w:rsidRPr="00BC4F5F" w:rsidRDefault="00A111D1" w:rsidP="00A111D1">
      <w:pPr>
        <w:pStyle w:val="CBDH1"/>
        <w:rPr>
          <w:lang w:val="es-ES_tradnl"/>
        </w:rPr>
      </w:pPr>
      <w:r w:rsidRPr="00BC4F5F">
        <w:rPr>
          <w:lang w:val="es-ES_tradnl"/>
        </w:rPr>
        <w:t>I.</w:t>
      </w:r>
      <w:r w:rsidRPr="00BC4F5F">
        <w:rPr>
          <w:lang w:val="es-ES_tradnl"/>
        </w:rPr>
        <w:tab/>
        <w:t>Introduc</w:t>
      </w:r>
      <w:r w:rsidR="00BC4F5F" w:rsidRPr="00BC4F5F">
        <w:rPr>
          <w:lang w:val="es-ES_tradnl"/>
        </w:rPr>
        <w:t>ción</w:t>
      </w:r>
    </w:p>
    <w:p w14:paraId="3AAB2077" w14:textId="1FF922DD" w:rsidR="00360D48" w:rsidRPr="00BC4F5F" w:rsidRDefault="00360D48" w:rsidP="00360D48">
      <w:pPr>
        <w:pStyle w:val="CBDNormalNumber"/>
        <w:rPr>
          <w:rFonts w:eastAsia="Times New Roman"/>
          <w:bCs/>
          <w:szCs w:val="24"/>
          <w:lang w:val="es-ES_tradnl"/>
        </w:rPr>
      </w:pPr>
      <w:r w:rsidRPr="00BC4F5F">
        <w:rPr>
          <w:lang w:val="es-ES_tradnl"/>
        </w:rPr>
        <w:t>En la presente nota se informa sobre las actividades entre períodos de sesiones relativas a la movilización de recursos (sección</w:t>
      </w:r>
      <w:r w:rsidR="00BC4F5F">
        <w:rPr>
          <w:lang w:val="es-ES_tradnl"/>
        </w:rPr>
        <w:t> </w:t>
      </w:r>
      <w:r w:rsidRPr="00BC4F5F">
        <w:rPr>
          <w:lang w:val="es-ES_tradnl"/>
        </w:rPr>
        <w:t>II) y el mecanismo financiero (sección</w:t>
      </w:r>
      <w:r w:rsidR="00BC4F5F">
        <w:rPr>
          <w:lang w:val="es-ES_tradnl"/>
        </w:rPr>
        <w:t> </w:t>
      </w:r>
      <w:r w:rsidRPr="00BC4F5F">
        <w:rPr>
          <w:lang w:val="es-ES_tradnl"/>
        </w:rPr>
        <w:t>III) realizadas por el Órgano Subsidiario sobre la Aplicación en sus reuniones sexta y séptima y por la Secretaría.</w:t>
      </w:r>
    </w:p>
    <w:p w14:paraId="52095AC2" w14:textId="77777777" w:rsidR="00360D48" w:rsidRPr="00BC4F5F" w:rsidRDefault="00360D48" w:rsidP="00360D48">
      <w:pPr>
        <w:pStyle w:val="CBDNormalNumber"/>
        <w:rPr>
          <w:rFonts w:eastAsia="Times New Roman"/>
          <w:bCs/>
          <w:szCs w:val="24"/>
          <w:lang w:val="es-ES_tradnl"/>
        </w:rPr>
      </w:pPr>
      <w:r w:rsidRPr="00BC4F5F">
        <w:rPr>
          <w:lang w:val="es-ES_tradnl"/>
        </w:rPr>
        <w:t>En ambas reuniones, el Órgano Subsidiario consideró la movilización de recursos y el mecanismo financiero como subtemas separados del programa y adoptó las recomendaciones </w:t>
      </w:r>
      <w:hyperlink r:id="rId15" w:history="1">
        <w:r w:rsidRPr="00BC4F5F">
          <w:rPr>
            <w:rStyle w:val="Hipervnculo"/>
            <w:lang w:val="es-ES_tradnl"/>
          </w:rPr>
          <w:t>6</w:t>
        </w:r>
        <w:r w:rsidRPr="00BC4F5F">
          <w:rPr>
            <w:rStyle w:val="Hipervnculo"/>
            <w:lang w:val="es-ES_tradnl"/>
          </w:rPr>
          <w:t>/</w:t>
        </w:r>
        <w:r w:rsidRPr="00BC4F5F">
          <w:rPr>
            <w:rStyle w:val="Hipervnculo"/>
            <w:lang w:val="es-ES_tradnl"/>
          </w:rPr>
          <w:t>1</w:t>
        </w:r>
      </w:hyperlink>
      <w:r w:rsidRPr="00BC4F5F">
        <w:rPr>
          <w:lang w:val="es-ES_tradnl"/>
        </w:rPr>
        <w:t xml:space="preserve"> y 7/2 sobre movilización de recursos y las recomendaciones </w:t>
      </w:r>
      <w:hyperlink r:id="rId16" w:history="1">
        <w:r w:rsidRPr="00BC4F5F">
          <w:rPr>
            <w:rStyle w:val="Hipervnculo"/>
            <w:lang w:val="es-ES_tradnl"/>
          </w:rPr>
          <w:t>6/</w:t>
        </w:r>
        <w:r w:rsidRPr="00BC4F5F">
          <w:rPr>
            <w:rStyle w:val="Hipervnculo"/>
            <w:lang w:val="es-ES_tradnl"/>
          </w:rPr>
          <w:t>2</w:t>
        </w:r>
      </w:hyperlink>
      <w:r w:rsidRPr="00BC4F5F">
        <w:rPr>
          <w:lang w:val="es-ES_tradnl"/>
        </w:rPr>
        <w:t xml:space="preserve"> y 7/3 sobre el mecanismo financiero. Los elementos de un proyecto de decisión incluido en esas recomendaciones se consolidaron en dos proyectos de decisión separados, uno para cada uno de los dos subtemas del programa, para su posterior consideración por la Conferencia de las Partes en su 17ª reunión. Los dos proyectos de decisión consolidados se incluirán en la recopilación de proyectos de decisión que figura en el documento CBD/COP/17/2.</w:t>
      </w:r>
    </w:p>
    <w:p w14:paraId="4BEBA309" w14:textId="77777777" w:rsidR="00360D48" w:rsidRPr="00BC4F5F" w:rsidRDefault="00360D48" w:rsidP="00360D48">
      <w:pPr>
        <w:pStyle w:val="CBDNormalNumber"/>
        <w:rPr>
          <w:rFonts w:eastAsia="Times New Roman"/>
          <w:bCs/>
          <w:szCs w:val="24"/>
          <w:lang w:val="es-ES_tradnl"/>
        </w:rPr>
      </w:pPr>
      <w:r w:rsidRPr="00BC4F5F">
        <w:rPr>
          <w:lang w:val="es-ES_tradnl"/>
        </w:rPr>
        <w:t xml:space="preserve">Como se explicará en la sección II.A </w:t>
      </w:r>
      <w:r w:rsidRPr="00BC4F5F">
        <w:rPr>
          <w:i/>
          <w:iCs/>
          <w:lang w:val="es-ES_tradnl"/>
        </w:rPr>
        <w:t>infra</w:t>
      </w:r>
      <w:r w:rsidRPr="00BC4F5F">
        <w:rPr>
          <w:lang w:val="es-ES_tradnl"/>
        </w:rPr>
        <w:t>, en la recomendación </w:t>
      </w:r>
      <w:hyperlink r:id="rId17" w:history="1">
        <w:r w:rsidRPr="00BC4F5F">
          <w:rPr>
            <w:rStyle w:val="Hipervnculo"/>
            <w:lang w:val="es-ES_tradnl"/>
          </w:rPr>
          <w:t>6</w:t>
        </w:r>
        <w:r w:rsidRPr="00BC4F5F">
          <w:rPr>
            <w:rStyle w:val="Hipervnculo"/>
            <w:lang w:val="es-ES_tradnl"/>
          </w:rPr>
          <w:t>/</w:t>
        </w:r>
        <w:r w:rsidRPr="00BC4F5F">
          <w:rPr>
            <w:rStyle w:val="Hipervnculo"/>
            <w:lang w:val="es-ES_tradnl"/>
          </w:rPr>
          <w:t>1</w:t>
        </w:r>
      </w:hyperlink>
      <w:r w:rsidRPr="00BC4F5F">
        <w:rPr>
          <w:lang w:val="es-ES_tradnl"/>
        </w:rPr>
        <w:t xml:space="preserve"> sobre movilización de recursos se incluyeron peticiones a la Secretaría que dieron lugar a una serie de propuestas de enmienda a los elementos de un proyecto de decisión que figura en esa recomendación. Las propuestas de enmienda, que se detallan en la sección IV </w:t>
      </w:r>
      <w:r w:rsidRPr="00BC4F5F">
        <w:rPr>
          <w:i/>
          <w:iCs/>
          <w:lang w:val="es-ES_tradnl"/>
        </w:rPr>
        <w:t>infra</w:t>
      </w:r>
      <w:r w:rsidRPr="00BC4F5F">
        <w:rPr>
          <w:lang w:val="es-ES_tradnl"/>
        </w:rPr>
        <w:t>, se incluirán en la recopilación de proyectos de decisión antes mencionada.</w:t>
      </w:r>
    </w:p>
    <w:p w14:paraId="29DA72F4" w14:textId="77777777" w:rsidR="00360D48" w:rsidRPr="00BC4F5F" w:rsidRDefault="00360D48" w:rsidP="00360D48">
      <w:pPr>
        <w:pStyle w:val="CBDH1"/>
        <w:rPr>
          <w:lang w:val="es-ES_tradnl"/>
        </w:rPr>
      </w:pPr>
      <w:r w:rsidRPr="00BC4F5F">
        <w:rPr>
          <w:lang w:val="es-ES_tradnl"/>
        </w:rPr>
        <w:t>II.</w:t>
      </w:r>
      <w:r w:rsidRPr="00BC4F5F">
        <w:rPr>
          <w:lang w:val="es-ES_tradnl"/>
        </w:rPr>
        <w:tab/>
        <w:t>Movilización de recursos</w:t>
      </w:r>
    </w:p>
    <w:p w14:paraId="3C78B695" w14:textId="5664AE77" w:rsidR="00360D48" w:rsidRPr="00BC4F5F" w:rsidRDefault="00360D48" w:rsidP="00360D48">
      <w:pPr>
        <w:pStyle w:val="CBDNormalNumber"/>
        <w:rPr>
          <w:lang w:val="es-ES_tradnl"/>
        </w:rPr>
      </w:pPr>
      <w:r w:rsidRPr="00BC4F5F">
        <w:rPr>
          <w:lang w:val="es-ES_tradnl"/>
        </w:rPr>
        <w:t>En su decisión </w:t>
      </w:r>
      <w:hyperlink r:id="rId18" w:history="1">
        <w:r w:rsidRPr="00BC4F5F">
          <w:rPr>
            <w:rStyle w:val="Hipervnculo"/>
            <w:lang w:val="es-ES_tradnl"/>
          </w:rPr>
          <w:t>16/</w:t>
        </w:r>
        <w:r w:rsidRPr="00BC4F5F">
          <w:rPr>
            <w:rStyle w:val="Hipervnculo"/>
            <w:lang w:val="es-ES_tradnl"/>
          </w:rPr>
          <w:t>3</w:t>
        </w:r>
        <w:r w:rsidRPr="00BC4F5F">
          <w:rPr>
            <w:rStyle w:val="Hipervnculo"/>
            <w:lang w:val="es-ES_tradnl"/>
          </w:rPr>
          <w:t>4</w:t>
        </w:r>
      </w:hyperlink>
      <w:r w:rsidRPr="00BC4F5F">
        <w:rPr>
          <w:lang w:val="es-ES_tradnl"/>
        </w:rPr>
        <w:t xml:space="preserve"> (párr.</w:t>
      </w:r>
      <w:r w:rsidR="00BC4F5F">
        <w:rPr>
          <w:lang w:val="es-ES_tradnl"/>
        </w:rPr>
        <w:t> </w:t>
      </w:r>
      <w:r w:rsidRPr="00BC4F5F">
        <w:rPr>
          <w:lang w:val="es-ES_tradnl"/>
        </w:rPr>
        <w:t>7), la Conferencia de las Partes adoptó la estrategia para la movilización de recursos para el período 2025-2030 y recordó su decisión de mantener bajo revisión la aplicación de la estrategia en cada una de sus reuniones, a partir de la presente reunión, mediante el balance mundial. También en la decisión 16/34 (párr.</w:t>
      </w:r>
      <w:r w:rsidR="00BC4F5F">
        <w:rPr>
          <w:lang w:val="es-ES_tradnl"/>
        </w:rPr>
        <w:t> </w:t>
      </w:r>
      <w:r w:rsidRPr="00BC4F5F">
        <w:rPr>
          <w:lang w:val="es-ES_tradnl"/>
        </w:rPr>
        <w:t xml:space="preserve">19), la Conferencia de las Partes decidió aplicar los artículos 21 y 39 del Convenio sobre la Diversidad Biológica y abordar el déficit de la financiación mundial de la biodiversidad para 2030 mediante a) el establecimiento del acuerdo </w:t>
      </w:r>
      <w:r w:rsidRPr="00BC4F5F">
        <w:rPr>
          <w:lang w:val="es-ES_tradnl"/>
        </w:rPr>
        <w:lastRenderedPageBreak/>
        <w:t xml:space="preserve">permanente para el mecanismo financiero previsto en el artículo 21; y b) la evaluación y mejora de la movilización de financiación de todas las fuentes. </w:t>
      </w:r>
    </w:p>
    <w:p w14:paraId="7E0157F4" w14:textId="77777777" w:rsidR="00360D48" w:rsidRPr="00BC4F5F" w:rsidRDefault="00360D48" w:rsidP="00360D48">
      <w:pPr>
        <w:pStyle w:val="CBDNormalNumber"/>
        <w:rPr>
          <w:lang w:val="es-ES_tradnl"/>
        </w:rPr>
      </w:pPr>
      <w:r w:rsidRPr="00BC4F5F">
        <w:rPr>
          <w:lang w:val="es-ES_tradnl"/>
        </w:rPr>
        <w:t>En los párrafos 22 y 23 de la misma decisión, la Conferencia de las Partes estableció los procesos para el período entre reuniones y las hojas de ruta que se extienden hasta su 19ª reunión para la puesta en práctica de las dos vías antes mencionadas. Varias tareas, detalladas a continuación, habrían de ser consideradas por el Órgano Subsidiario sobre la Aplicación antes de la 17ª reunión de la Conferencia de las Partes, y se formularon varias peticiones a la Secretaria Ejecutiva, que también se detallan a continuación, incluido que prestara apoyo a la consideración de esas tareas. En el resto de la presente sección se proporciona un informe sobre los progresos realizados en relación con las tareas y las peticiones.</w:t>
      </w:r>
    </w:p>
    <w:p w14:paraId="14982614" w14:textId="77777777" w:rsidR="00360D48" w:rsidRPr="00BC4F5F" w:rsidRDefault="00360D48" w:rsidP="00360D48">
      <w:pPr>
        <w:pStyle w:val="CBDH2"/>
        <w:rPr>
          <w:lang w:val="es-ES_tradnl"/>
        </w:rPr>
      </w:pPr>
      <w:r w:rsidRPr="00BC4F5F">
        <w:rPr>
          <w:lang w:val="es-ES_tradnl"/>
        </w:rPr>
        <w:t>A.</w:t>
      </w:r>
      <w:r w:rsidRPr="00BC4F5F">
        <w:rPr>
          <w:lang w:val="es-ES_tradnl"/>
        </w:rPr>
        <w:tab/>
        <w:t>Tareas asumidas por el Órgano Subsidiario sobre la Aplicación en su sexta reunión</w:t>
      </w:r>
    </w:p>
    <w:p w14:paraId="2BF97940" w14:textId="77777777" w:rsidR="00360D48" w:rsidRPr="00BC4F5F" w:rsidRDefault="00360D48" w:rsidP="00360D48">
      <w:pPr>
        <w:pStyle w:val="CBDNormalNumber"/>
        <w:numPr>
          <w:ilvl w:val="0"/>
          <w:numId w:val="51"/>
        </w:numPr>
        <w:rPr>
          <w:rFonts w:eastAsia="Times New Roman"/>
          <w:bCs/>
          <w:szCs w:val="24"/>
          <w:lang w:val="es-ES_tradnl"/>
        </w:rPr>
      </w:pPr>
      <w:r w:rsidRPr="00BC4F5F">
        <w:rPr>
          <w:lang w:val="es-ES_tradnl"/>
        </w:rPr>
        <w:t>En el apartado 26 b) de la decisión </w:t>
      </w:r>
      <w:hyperlink r:id="rId19" w:history="1">
        <w:r w:rsidRPr="00BC4F5F">
          <w:rPr>
            <w:rStyle w:val="Hipervnculo"/>
            <w:lang w:val="es-ES_tradnl"/>
          </w:rPr>
          <w:t>16/</w:t>
        </w:r>
        <w:r w:rsidRPr="00BC4F5F">
          <w:rPr>
            <w:rStyle w:val="Hipervnculo"/>
            <w:lang w:val="es-ES_tradnl"/>
          </w:rPr>
          <w:t>3</w:t>
        </w:r>
        <w:r w:rsidRPr="00BC4F5F">
          <w:rPr>
            <w:rStyle w:val="Hipervnculo"/>
            <w:lang w:val="es-ES_tradnl"/>
          </w:rPr>
          <w:t>4</w:t>
        </w:r>
      </w:hyperlink>
      <w:r w:rsidRPr="00BC4F5F">
        <w:rPr>
          <w:lang w:val="es-ES_tradnl"/>
        </w:rPr>
        <w:t>, la Conferencia de las Partes pidió a la Secretaria Ejecutiva que encargara la realización de estudios sobre los siguientes temas: a) la relación entre la sostenibilidad de la deuda y la aplicación del Convenio; b) cómo se había aplicado la orientación sobre salvaguardias en los mecanismos de financiación de la diversidad biológica adoptada en las decisiones </w:t>
      </w:r>
      <w:hyperlink r:id="rId20" w:history="1">
        <w:r w:rsidRPr="00BC4F5F">
          <w:rPr>
            <w:rStyle w:val="Hipervnculo"/>
            <w:lang w:val="es-ES_tradnl"/>
          </w:rPr>
          <w:t>XII</w:t>
        </w:r>
        <w:r w:rsidRPr="00BC4F5F">
          <w:rPr>
            <w:rStyle w:val="Hipervnculo"/>
            <w:lang w:val="es-ES_tradnl"/>
          </w:rPr>
          <w:t>/</w:t>
        </w:r>
        <w:r w:rsidRPr="00BC4F5F">
          <w:rPr>
            <w:rStyle w:val="Hipervnculo"/>
            <w:lang w:val="es-ES_tradnl"/>
          </w:rPr>
          <w:t>3</w:t>
        </w:r>
      </w:hyperlink>
      <w:r w:rsidRPr="00BC4F5F">
        <w:rPr>
          <w:lang w:val="es-ES_tradnl"/>
        </w:rPr>
        <w:t xml:space="preserve"> y </w:t>
      </w:r>
      <w:hyperlink r:id="rId21" w:history="1">
        <w:r w:rsidRPr="00BC4F5F">
          <w:rPr>
            <w:rStyle w:val="Hipervnculo"/>
            <w:lang w:val="es-ES_tradnl"/>
          </w:rPr>
          <w:t>14/</w:t>
        </w:r>
        <w:r w:rsidRPr="00BC4F5F">
          <w:rPr>
            <w:rStyle w:val="Hipervnculo"/>
            <w:lang w:val="es-ES_tradnl"/>
          </w:rPr>
          <w:t>1</w:t>
        </w:r>
        <w:r w:rsidRPr="00BC4F5F">
          <w:rPr>
            <w:rStyle w:val="Hipervnculo"/>
            <w:lang w:val="es-ES_tradnl"/>
          </w:rPr>
          <w:t>5</w:t>
        </w:r>
      </w:hyperlink>
      <w:r w:rsidRPr="00BC4F5F">
        <w:rPr>
          <w:lang w:val="es-ES_tradnl"/>
        </w:rPr>
        <w:t>, identificando buenas prácticas y lecciones aprendidas, así como oportunidades para mejorar la aplicación de la orientación; y c) la relación entre la financiación de la biodiversidad y financiación para el clima.</w:t>
      </w:r>
    </w:p>
    <w:p w14:paraId="1CAD57A1" w14:textId="77777777" w:rsidR="00360D48" w:rsidRPr="00BC4F5F" w:rsidRDefault="00360D48" w:rsidP="00360D48">
      <w:pPr>
        <w:pStyle w:val="CBDNormalNumber"/>
        <w:numPr>
          <w:ilvl w:val="0"/>
          <w:numId w:val="51"/>
        </w:numPr>
        <w:rPr>
          <w:rFonts w:eastAsia="Times New Roman"/>
          <w:bCs/>
          <w:szCs w:val="24"/>
          <w:lang w:val="es-ES_tradnl"/>
        </w:rPr>
      </w:pPr>
      <w:r w:rsidRPr="00BC4F5F">
        <w:rPr>
          <w:lang w:val="es-ES_tradnl"/>
        </w:rPr>
        <w:t>En su sexta reunión, el Órgano Subsidiario sobre la Aplicación examinó los proyectos de esos tres estudios y las conclusiones preliminares, y adoptó la recomendación </w:t>
      </w:r>
      <w:hyperlink r:id="rId22" w:history="1">
        <w:r w:rsidRPr="00BC4F5F">
          <w:rPr>
            <w:rStyle w:val="Hipervnculo"/>
            <w:lang w:val="es-ES_tradnl"/>
          </w:rPr>
          <w:t>6</w:t>
        </w:r>
        <w:r w:rsidRPr="00BC4F5F">
          <w:rPr>
            <w:rStyle w:val="Hipervnculo"/>
            <w:lang w:val="es-ES_tradnl"/>
          </w:rPr>
          <w:t>/</w:t>
        </w:r>
        <w:r w:rsidRPr="00BC4F5F">
          <w:rPr>
            <w:rStyle w:val="Hipervnculo"/>
            <w:lang w:val="es-ES_tradnl"/>
          </w:rPr>
          <w:t>1</w:t>
        </w:r>
      </w:hyperlink>
      <w:r w:rsidRPr="00BC4F5F">
        <w:rPr>
          <w:lang w:val="es-ES_tradnl"/>
        </w:rPr>
        <w:t xml:space="preserve">, que incluye elementos de un proyecto de decisión para su consideración por la Conferencia de las Partes en su 17ª reunión. </w:t>
      </w:r>
    </w:p>
    <w:p w14:paraId="41078AFD" w14:textId="4FD737F3" w:rsidR="00360D48" w:rsidRPr="00BC4F5F" w:rsidRDefault="00360D48" w:rsidP="00360D48">
      <w:pPr>
        <w:pStyle w:val="CBDNormalNumber"/>
        <w:numPr>
          <w:ilvl w:val="0"/>
          <w:numId w:val="51"/>
        </w:numPr>
        <w:rPr>
          <w:rFonts w:eastAsia="Times New Roman"/>
          <w:bCs/>
          <w:szCs w:val="24"/>
          <w:lang w:val="es-ES_tradnl"/>
        </w:rPr>
      </w:pPr>
      <w:r w:rsidRPr="00BC4F5F">
        <w:rPr>
          <w:lang w:val="es-ES_tradnl"/>
        </w:rPr>
        <w:t>En el párrafo 3 de esa recomendación, el Órgano Subsidiario pidió a la Secretaria Ejecutiva que: extendiera el plazo para la revisión por pares de los proyectos de estudios hasta el 20 de mayo de 2026; finalizara los estudios y los presentara a la Conferencia de las Partes para que los examinara en su 17ª reunión; e incluyera en el informe sobre los avances realizados que presentará a la 17ª reunión de la Conferencia de las Partes cualquier propuesta de enmienda al proyecto de decisión que surgiera de las conclusiones contenidas en las versiones finales de los estudios</w:t>
      </w:r>
      <w:r w:rsidRPr="00BC4F5F">
        <w:rPr>
          <w:rStyle w:val="Refdenotaalpie"/>
          <w:rFonts w:eastAsia="Times New Roman"/>
          <w:bCs/>
          <w:szCs w:val="24"/>
          <w:lang w:val="es-ES_tradnl"/>
        </w:rPr>
        <w:footnoteReference w:id="2"/>
      </w:r>
      <w:r w:rsidRPr="00BC4F5F">
        <w:rPr>
          <w:lang w:val="es-ES_tradnl"/>
        </w:rPr>
        <w:t>.</w:t>
      </w:r>
    </w:p>
    <w:p w14:paraId="596BDB09" w14:textId="77777777" w:rsidR="00360D48" w:rsidRPr="00BC4F5F" w:rsidRDefault="00360D48" w:rsidP="00360D48">
      <w:pPr>
        <w:pStyle w:val="CBDNormalNumber"/>
        <w:numPr>
          <w:ilvl w:val="0"/>
          <w:numId w:val="51"/>
        </w:numPr>
        <w:rPr>
          <w:rFonts w:eastAsia="Times New Roman"/>
          <w:bCs/>
          <w:szCs w:val="24"/>
          <w:lang w:val="es-ES_tradnl"/>
        </w:rPr>
      </w:pPr>
      <w:r w:rsidRPr="00BC4F5F">
        <w:rPr>
          <w:lang w:val="es-ES_tradnl"/>
        </w:rPr>
        <w:t>Con relación a esas peticiones: el plazo para la revisión por pares se extendió por medio de las notificaciones núms. </w:t>
      </w:r>
      <w:hyperlink r:id="rId23" w:history="1">
        <w:r w:rsidRPr="00BC4F5F">
          <w:rPr>
            <w:rStyle w:val="Hipervnculo"/>
            <w:lang w:val="es-ES_tradnl"/>
          </w:rPr>
          <w:t>202</w:t>
        </w:r>
        <w:r w:rsidRPr="00BC4F5F">
          <w:rPr>
            <w:rStyle w:val="Hipervnculo"/>
            <w:lang w:val="es-ES_tradnl"/>
          </w:rPr>
          <w:t>6</w:t>
        </w:r>
        <w:r w:rsidRPr="00BC4F5F">
          <w:rPr>
            <w:rStyle w:val="Hipervnculo"/>
            <w:lang w:val="es-ES_tradnl"/>
          </w:rPr>
          <w:t>-025</w:t>
        </w:r>
      </w:hyperlink>
      <w:r w:rsidRPr="00BC4F5F">
        <w:rPr>
          <w:lang w:val="es-ES_tradnl"/>
        </w:rPr>
        <w:t xml:space="preserve">, </w:t>
      </w:r>
      <w:hyperlink r:id="rId24" w:history="1">
        <w:r w:rsidRPr="00BC4F5F">
          <w:rPr>
            <w:rStyle w:val="Hipervnculo"/>
            <w:lang w:val="es-ES_tradnl"/>
          </w:rPr>
          <w:t>2026-</w:t>
        </w:r>
        <w:r w:rsidRPr="00BC4F5F">
          <w:rPr>
            <w:rStyle w:val="Hipervnculo"/>
            <w:lang w:val="es-ES_tradnl"/>
          </w:rPr>
          <w:t>0</w:t>
        </w:r>
        <w:r w:rsidRPr="00BC4F5F">
          <w:rPr>
            <w:rStyle w:val="Hipervnculo"/>
            <w:lang w:val="es-ES_tradnl"/>
          </w:rPr>
          <w:t>26</w:t>
        </w:r>
      </w:hyperlink>
      <w:r w:rsidRPr="00BC4F5F">
        <w:rPr>
          <w:lang w:val="es-ES_tradnl"/>
        </w:rPr>
        <w:t xml:space="preserve"> y </w:t>
      </w:r>
      <w:hyperlink r:id="rId25" w:history="1">
        <w:r w:rsidRPr="00BC4F5F">
          <w:rPr>
            <w:rStyle w:val="Hipervnculo"/>
            <w:lang w:val="es-ES_tradnl"/>
          </w:rPr>
          <w:t>202</w:t>
        </w:r>
        <w:r w:rsidRPr="00BC4F5F">
          <w:rPr>
            <w:rStyle w:val="Hipervnculo"/>
            <w:lang w:val="es-ES_tradnl"/>
          </w:rPr>
          <w:t>6</w:t>
        </w:r>
        <w:r w:rsidRPr="00BC4F5F">
          <w:rPr>
            <w:rStyle w:val="Hipervnculo"/>
            <w:lang w:val="es-ES_tradnl"/>
          </w:rPr>
          <w:t>-027</w:t>
        </w:r>
      </w:hyperlink>
      <w:r w:rsidRPr="00BC4F5F">
        <w:rPr>
          <w:lang w:val="es-ES_tradnl"/>
        </w:rPr>
        <w:t xml:space="preserve">; se recibieron con agradecimiento un total de 32 revisiones del estudio relacionado con la financiación para el clima, 30 revisiones del estudio relativo a la sostenibilidad de la deuda y 26 revisiones del estudio acerca de las salvaguardias; los tres estudios se revisaron en consecuencia y sus versiones finales estarán disponibles en la presente reunión como documentos de información; y, sobre la base de una revisión de las versiones finales de los estudios, en la sección IV </w:t>
      </w:r>
      <w:r w:rsidRPr="00BC4F5F">
        <w:rPr>
          <w:i/>
          <w:iCs/>
          <w:lang w:val="es-ES_tradnl"/>
        </w:rPr>
        <w:t>infra</w:t>
      </w:r>
      <w:r w:rsidRPr="00BC4F5F">
        <w:rPr>
          <w:lang w:val="es-ES_tradnl"/>
        </w:rPr>
        <w:t xml:space="preserve"> se proporcionan propuestas de enmienda al proyecto de decisión incluido en la recomendación </w:t>
      </w:r>
      <w:hyperlink r:id="rId26" w:history="1">
        <w:r w:rsidRPr="00BC4F5F">
          <w:rPr>
            <w:rStyle w:val="Hipervnculo"/>
            <w:lang w:val="es-ES_tradnl"/>
          </w:rPr>
          <w:t>6/</w:t>
        </w:r>
        <w:r w:rsidRPr="00BC4F5F">
          <w:rPr>
            <w:rStyle w:val="Hipervnculo"/>
            <w:lang w:val="es-ES_tradnl"/>
          </w:rPr>
          <w:t>1</w:t>
        </w:r>
      </w:hyperlink>
      <w:r w:rsidRPr="00BC4F5F">
        <w:rPr>
          <w:lang w:val="es-ES_tradnl"/>
        </w:rPr>
        <w:t xml:space="preserve"> que se incorporarán a la recopilación de proyectos de decisión antes mencionada.</w:t>
      </w:r>
    </w:p>
    <w:p w14:paraId="19BEBAEB" w14:textId="77777777" w:rsidR="00360D48" w:rsidRPr="00BC4F5F" w:rsidRDefault="00360D48" w:rsidP="00360D48">
      <w:pPr>
        <w:pStyle w:val="CBDH2"/>
        <w:rPr>
          <w:lang w:val="es-ES_tradnl"/>
        </w:rPr>
      </w:pPr>
      <w:r w:rsidRPr="00BC4F5F">
        <w:rPr>
          <w:lang w:val="es-ES_tradnl"/>
        </w:rPr>
        <w:t>B.</w:t>
      </w:r>
      <w:r w:rsidRPr="00BC4F5F">
        <w:rPr>
          <w:lang w:val="es-ES_tradnl"/>
        </w:rPr>
        <w:tab/>
        <w:t>Tareas asumidas por el Órgano Subsidiario sobre la Aplicación en su séptima reunión</w:t>
      </w:r>
    </w:p>
    <w:p w14:paraId="45158A42" w14:textId="0E8A329B" w:rsidR="00360D48" w:rsidRPr="00BC4F5F" w:rsidRDefault="00360D48" w:rsidP="00360D48">
      <w:pPr>
        <w:pStyle w:val="CBDNormalNumber"/>
        <w:rPr>
          <w:lang w:val="es-ES_tradnl"/>
        </w:rPr>
      </w:pPr>
      <w:r w:rsidRPr="00BC4F5F">
        <w:rPr>
          <w:lang w:val="es-ES_tradnl"/>
        </w:rPr>
        <w:t>En el párrafo 24 de la decisión </w:t>
      </w:r>
      <w:hyperlink r:id="rId27" w:history="1">
        <w:r w:rsidRPr="00BC4F5F">
          <w:rPr>
            <w:rStyle w:val="Hipervnculo"/>
            <w:lang w:val="es-ES_tradnl"/>
          </w:rPr>
          <w:t>16/3</w:t>
        </w:r>
        <w:r w:rsidRPr="00BC4F5F">
          <w:rPr>
            <w:rStyle w:val="Hipervnculo"/>
            <w:lang w:val="es-ES_tradnl"/>
          </w:rPr>
          <w:t>4</w:t>
        </w:r>
      </w:hyperlink>
      <w:r w:rsidRPr="00BC4F5F">
        <w:rPr>
          <w:lang w:val="es-ES_tradnl"/>
        </w:rPr>
        <w:t>, la Conferencia de las Partes pidió que el Órgano Subsidiario sobre la Aplicación considerara los elementos iniciales que se mencionan en las hojas de ruta previstas en los apartados 22 a) y 23 a) de la decisión, siguiera deliberando acerca de oportunidades para ampliar la base de contribuyentes y elaborara un proyecto de decisión, así como informara sobre los progresos realizados en la 17ª reunión. De conformidad con las peticiones, el Órgano Subsidiario, en su séptima reunión, consideró notas de la Secretaría que abarcaban esas tareas</w:t>
      </w:r>
      <w:r w:rsidRPr="00BC4F5F">
        <w:rPr>
          <w:rStyle w:val="Refdenotaalpie"/>
          <w:rFonts w:eastAsia="Times New Roman"/>
          <w:bCs/>
          <w:szCs w:val="24"/>
          <w:lang w:val="es-ES_tradnl"/>
        </w:rPr>
        <w:footnoteReference w:id="3"/>
      </w:r>
      <w:r w:rsidRPr="00BC4F5F">
        <w:rPr>
          <w:lang w:val="es-ES_tradnl"/>
        </w:rPr>
        <w:t>, así como las tareas restantes enumeradas en la decisión </w:t>
      </w:r>
      <w:hyperlink r:id="rId28" w:history="1">
        <w:r w:rsidRPr="00BC4F5F">
          <w:rPr>
            <w:rStyle w:val="Hipervnculo"/>
            <w:lang w:val="es-ES_tradnl"/>
          </w:rPr>
          <w:t>16/</w:t>
        </w:r>
        <w:r w:rsidRPr="00BC4F5F">
          <w:rPr>
            <w:rStyle w:val="Hipervnculo"/>
            <w:lang w:val="es-ES_tradnl"/>
          </w:rPr>
          <w:t>3</w:t>
        </w:r>
        <w:r w:rsidRPr="00BC4F5F">
          <w:rPr>
            <w:rStyle w:val="Hipervnculo"/>
            <w:lang w:val="es-ES_tradnl"/>
          </w:rPr>
          <w:t>4</w:t>
        </w:r>
      </w:hyperlink>
      <w:r w:rsidRPr="00BC4F5F">
        <w:rPr>
          <w:lang w:val="es-ES_tradnl"/>
        </w:rPr>
        <w:t xml:space="preserve"> relativas a:</w:t>
      </w:r>
    </w:p>
    <w:p w14:paraId="6665EB5A" w14:textId="6711DE0D" w:rsidR="00360D48" w:rsidRPr="00BC4F5F" w:rsidRDefault="00360D48" w:rsidP="00360D48">
      <w:pPr>
        <w:pStyle w:val="CBDNormalNumber"/>
        <w:numPr>
          <w:ilvl w:val="1"/>
          <w:numId w:val="7"/>
        </w:numPr>
        <w:rPr>
          <w:lang w:val="es-ES_tradnl"/>
        </w:rPr>
      </w:pPr>
      <w:r w:rsidRPr="00BC4F5F">
        <w:rPr>
          <w:lang w:val="es-ES_tradnl"/>
        </w:rPr>
        <w:lastRenderedPageBreak/>
        <w:t>Un resumen de las principales conclusiones que surjan de la revisión de la estrategia para la movilización de recursos (con relación al párr.</w:t>
      </w:r>
      <w:r w:rsidR="00100C05">
        <w:rPr>
          <w:lang w:val="es-ES_tradnl"/>
        </w:rPr>
        <w:t> </w:t>
      </w:r>
      <w:r w:rsidRPr="00BC4F5F">
        <w:rPr>
          <w:lang w:val="es-ES_tradnl"/>
        </w:rPr>
        <w:t>7 y el apartado</w:t>
      </w:r>
      <w:r w:rsidR="00100C05">
        <w:rPr>
          <w:lang w:val="es-ES_tradnl"/>
        </w:rPr>
        <w:t> </w:t>
      </w:r>
      <w:r w:rsidRPr="00BC4F5F">
        <w:rPr>
          <w:lang w:val="es-ES_tradnl"/>
        </w:rPr>
        <w:t>25 a) de la decisión </w:t>
      </w:r>
      <w:hyperlink r:id="rId29" w:history="1">
        <w:r w:rsidRPr="00BC4F5F">
          <w:rPr>
            <w:rStyle w:val="Hipervnculo"/>
            <w:lang w:val="es-ES_tradnl"/>
          </w:rPr>
          <w:t>16/3</w:t>
        </w:r>
        <w:r w:rsidRPr="00BC4F5F">
          <w:rPr>
            <w:rStyle w:val="Hipervnculo"/>
            <w:lang w:val="es-ES_tradnl"/>
          </w:rPr>
          <w:t>4</w:t>
        </w:r>
      </w:hyperlink>
      <w:r w:rsidRPr="00BC4F5F">
        <w:rPr>
          <w:lang w:val="es-ES_tradnl"/>
        </w:rPr>
        <w:t>);</w:t>
      </w:r>
    </w:p>
    <w:p w14:paraId="6F02D2AE" w14:textId="52A83861" w:rsidR="00360D48" w:rsidRPr="00BC4F5F" w:rsidRDefault="00360D48" w:rsidP="00360D48">
      <w:pPr>
        <w:pStyle w:val="CBDNormalNumber"/>
        <w:numPr>
          <w:ilvl w:val="1"/>
          <w:numId w:val="7"/>
        </w:numPr>
        <w:rPr>
          <w:lang w:val="es-ES_tradnl"/>
        </w:rPr>
      </w:pPr>
      <w:r w:rsidRPr="00BC4F5F">
        <w:rPr>
          <w:lang w:val="es-ES_tradnl"/>
        </w:rPr>
        <w:t>Los proyectos de elementos para elaborar más detalladamente los criterios para la estructura institucional encargada del funcionamiento del mecanismo financiero, teniendo en consideración la recopilación de opiniones que figura en el anexo II de la decisión </w:t>
      </w:r>
      <w:hyperlink r:id="rId30" w:history="1">
        <w:r w:rsidRPr="00BC4F5F">
          <w:rPr>
            <w:rStyle w:val="Hipervnculo"/>
            <w:lang w:val="es-ES_tradnl"/>
          </w:rPr>
          <w:t>16/3</w:t>
        </w:r>
        <w:r w:rsidRPr="00BC4F5F">
          <w:rPr>
            <w:rStyle w:val="Hipervnculo"/>
            <w:lang w:val="es-ES_tradnl"/>
          </w:rPr>
          <w:t>4</w:t>
        </w:r>
      </w:hyperlink>
      <w:r w:rsidRPr="00BC4F5F">
        <w:rPr>
          <w:lang w:val="es-ES_tradnl"/>
        </w:rPr>
        <w:t xml:space="preserve"> (con relación al apartado</w:t>
      </w:r>
      <w:r w:rsidR="00100C05">
        <w:rPr>
          <w:lang w:val="es-ES_tradnl"/>
        </w:rPr>
        <w:t> </w:t>
      </w:r>
      <w:r w:rsidRPr="00BC4F5F">
        <w:rPr>
          <w:lang w:val="es-ES_tradnl"/>
        </w:rPr>
        <w:t>22 a) y el párr.</w:t>
      </w:r>
      <w:r w:rsidR="00100C05">
        <w:rPr>
          <w:lang w:val="es-ES_tradnl"/>
        </w:rPr>
        <w:t> </w:t>
      </w:r>
      <w:r w:rsidRPr="00BC4F5F">
        <w:rPr>
          <w:lang w:val="es-ES_tradnl"/>
        </w:rPr>
        <w:t>24 de esa decisión);</w:t>
      </w:r>
    </w:p>
    <w:p w14:paraId="5A594822" w14:textId="6EA75001" w:rsidR="00360D48" w:rsidRPr="00BC4F5F" w:rsidRDefault="00360D48" w:rsidP="00360D48">
      <w:pPr>
        <w:pStyle w:val="CBDNormalNumber"/>
        <w:numPr>
          <w:ilvl w:val="1"/>
          <w:numId w:val="7"/>
        </w:numPr>
        <w:rPr>
          <w:lang w:val="es-ES_tradnl"/>
        </w:rPr>
      </w:pPr>
      <w:r w:rsidRPr="00BC4F5F">
        <w:rPr>
          <w:lang w:val="es-ES_tradnl"/>
        </w:rPr>
        <w:t>Los impedimentos identificados para la eficacia de la financiación mundial de la biodiversidad y los elementos para su ulterior mejora (con relación al apartado</w:t>
      </w:r>
      <w:r w:rsidR="00100C05">
        <w:rPr>
          <w:lang w:val="es-ES_tradnl"/>
        </w:rPr>
        <w:t> </w:t>
      </w:r>
      <w:r w:rsidRPr="00BC4F5F">
        <w:rPr>
          <w:lang w:val="es-ES_tradnl"/>
        </w:rPr>
        <w:t>23 a) y el párr.</w:t>
      </w:r>
      <w:r w:rsidR="00100C05">
        <w:rPr>
          <w:lang w:val="es-ES_tradnl"/>
        </w:rPr>
        <w:t> </w:t>
      </w:r>
      <w:r w:rsidRPr="00BC4F5F">
        <w:rPr>
          <w:lang w:val="es-ES_tradnl"/>
        </w:rPr>
        <w:t>24 de la decisión </w:t>
      </w:r>
      <w:hyperlink r:id="rId31" w:history="1">
        <w:r w:rsidRPr="00BC4F5F">
          <w:rPr>
            <w:rStyle w:val="Hipervnculo"/>
            <w:lang w:val="es-ES_tradnl"/>
          </w:rPr>
          <w:t>16/</w:t>
        </w:r>
        <w:r w:rsidRPr="00BC4F5F">
          <w:rPr>
            <w:rStyle w:val="Hipervnculo"/>
            <w:lang w:val="es-ES_tradnl"/>
          </w:rPr>
          <w:t>3</w:t>
        </w:r>
        <w:r w:rsidRPr="00BC4F5F">
          <w:rPr>
            <w:rStyle w:val="Hipervnculo"/>
            <w:lang w:val="es-ES_tradnl"/>
          </w:rPr>
          <w:t>4</w:t>
        </w:r>
      </w:hyperlink>
      <w:r w:rsidRPr="00BC4F5F">
        <w:rPr>
          <w:lang w:val="es-ES_tradnl"/>
        </w:rPr>
        <w:t>);</w:t>
      </w:r>
    </w:p>
    <w:p w14:paraId="2E3121FC" w14:textId="08392FF3" w:rsidR="00360D48" w:rsidRPr="00BC4F5F" w:rsidRDefault="00360D48" w:rsidP="00360D48">
      <w:pPr>
        <w:pStyle w:val="CBDNormalNumber"/>
        <w:numPr>
          <w:ilvl w:val="1"/>
          <w:numId w:val="7"/>
        </w:numPr>
        <w:rPr>
          <w:lang w:val="es-ES_tradnl"/>
        </w:rPr>
      </w:pPr>
      <w:r w:rsidRPr="00BC4F5F">
        <w:rPr>
          <w:lang w:val="es-ES_tradnl"/>
        </w:rPr>
        <w:t>Las propuestas relativas a la periodicidad más adecuada para emitir las notificaciones para actualizar la lista de Partes que son países desarrollados y otras Partes que asumen voluntariamente las obligaciones de las Partes que son países desarrollados, de conformidad con el artículo 20 2) del Convenio, y las oportunidades para ampliar la base de contribuyentes (con relación a los párrs.</w:t>
      </w:r>
      <w:r w:rsidR="00496ED5">
        <w:rPr>
          <w:lang w:val="es-ES_tradnl"/>
        </w:rPr>
        <w:t> </w:t>
      </w:r>
      <w:r w:rsidRPr="00BC4F5F">
        <w:rPr>
          <w:lang w:val="es-ES_tradnl"/>
        </w:rPr>
        <w:t>18 y 24 de la decisión 16/34).</w:t>
      </w:r>
    </w:p>
    <w:p w14:paraId="2DF18E06" w14:textId="77777777" w:rsidR="00360D48" w:rsidRPr="00BC4F5F" w:rsidRDefault="00360D48" w:rsidP="00360D48">
      <w:pPr>
        <w:pStyle w:val="CBDNormalNumber"/>
        <w:rPr>
          <w:lang w:val="es-ES_tradnl"/>
        </w:rPr>
      </w:pPr>
      <w:r w:rsidRPr="00BC4F5F">
        <w:rPr>
          <w:lang w:val="es-ES_tradnl"/>
        </w:rPr>
        <w:t>Con relación al apartado 25 b) de la decisión </w:t>
      </w:r>
      <w:hyperlink r:id="rId32" w:history="1">
        <w:r w:rsidRPr="00BC4F5F">
          <w:rPr>
            <w:rStyle w:val="Hipervnculo"/>
            <w:lang w:val="es-ES_tradnl"/>
          </w:rPr>
          <w:t>16</w:t>
        </w:r>
        <w:r w:rsidRPr="00BC4F5F">
          <w:rPr>
            <w:rStyle w:val="Hipervnculo"/>
            <w:lang w:val="es-ES_tradnl"/>
          </w:rPr>
          <w:t>/</w:t>
        </w:r>
        <w:r w:rsidRPr="00BC4F5F">
          <w:rPr>
            <w:rStyle w:val="Hipervnculo"/>
            <w:lang w:val="es-ES_tradnl"/>
          </w:rPr>
          <w:t>34</w:t>
        </w:r>
      </w:hyperlink>
      <w:r w:rsidRPr="00BC4F5F">
        <w:rPr>
          <w:lang w:val="es-ES_tradnl"/>
        </w:rPr>
        <w:t>, los resultados de un estudio destinado a reforzar el seguimiento de las distintas fuentes de financiación de la biodiversidad y la presentación de informes al respecto se proporcionaron en un documento de información presentado en la séptima reunión del Órgano Subsidiario</w:t>
      </w:r>
      <w:r w:rsidRPr="00BC4F5F">
        <w:rPr>
          <w:rStyle w:val="Refdenotaalpie"/>
          <w:rFonts w:eastAsia="Times New Roman"/>
          <w:bCs/>
          <w:szCs w:val="24"/>
          <w:lang w:val="es-ES_tradnl"/>
        </w:rPr>
        <w:footnoteReference w:id="4"/>
      </w:r>
      <w:r w:rsidRPr="00BC4F5F">
        <w:rPr>
          <w:lang w:val="es-ES_tradnl"/>
        </w:rPr>
        <w:t>. Las conclusiones pertinentes del estudio se reflejaron en un documento anterior al período de sesiones sobre los impedimentos identificados para la eficacia de la financiación mundial de la biodiversidad</w:t>
      </w:r>
      <w:r w:rsidRPr="00BC4F5F">
        <w:rPr>
          <w:rStyle w:val="Refdenotaalpie"/>
          <w:rFonts w:eastAsia="Times New Roman"/>
          <w:bCs/>
          <w:szCs w:val="24"/>
          <w:lang w:val="es-ES_tradnl"/>
        </w:rPr>
        <w:footnoteReference w:id="5"/>
      </w:r>
      <w:r w:rsidRPr="00BC4F5F">
        <w:rPr>
          <w:lang w:val="es-ES_tradnl"/>
        </w:rPr>
        <w:t>.</w:t>
      </w:r>
      <w:r w:rsidRPr="00BC4F5F">
        <w:rPr>
          <w:vertAlign w:val="superscript"/>
          <w:lang w:val="es-ES_tradnl"/>
        </w:rPr>
        <w:t xml:space="preserve"> </w:t>
      </w:r>
    </w:p>
    <w:p w14:paraId="26E24EFA" w14:textId="77777777" w:rsidR="00360D48" w:rsidRPr="00BC4F5F" w:rsidRDefault="00360D48" w:rsidP="00360D48">
      <w:pPr>
        <w:pStyle w:val="CBDNormalNumber"/>
        <w:rPr>
          <w:lang w:val="es-ES_tradnl"/>
        </w:rPr>
      </w:pPr>
      <w:r w:rsidRPr="00BC4F5F">
        <w:rPr>
          <w:lang w:val="es-ES_tradnl"/>
        </w:rPr>
        <w:t>Sobre la base de las consideraciones antes mencionadas, el Órgano Subsidiario, en su séptima reunión, adoptó la recomendación </w:t>
      </w:r>
      <w:hyperlink r:id="rId33" w:history="1">
        <w:r w:rsidRPr="00BC4F5F">
          <w:rPr>
            <w:rStyle w:val="Hipervnculo"/>
            <w:lang w:val="es-ES_tradnl"/>
          </w:rPr>
          <w:t>7/</w:t>
        </w:r>
        <w:r w:rsidRPr="00BC4F5F">
          <w:rPr>
            <w:rStyle w:val="Hipervnculo"/>
            <w:lang w:val="es-ES_tradnl"/>
          </w:rPr>
          <w:t>2</w:t>
        </w:r>
      </w:hyperlink>
      <w:r w:rsidRPr="00BC4F5F">
        <w:rPr>
          <w:lang w:val="es-ES_tradnl"/>
        </w:rPr>
        <w:t>, que incluye elementos de un proyecto de decisión para su consideración por la Conferencia de las Partes en su 17ª reunión.</w:t>
      </w:r>
    </w:p>
    <w:p w14:paraId="52FC9BA5" w14:textId="77777777" w:rsidR="00360D48" w:rsidRPr="00BC4F5F" w:rsidRDefault="00360D48" w:rsidP="00360D48">
      <w:pPr>
        <w:pStyle w:val="CBDNormalNumber"/>
        <w:rPr>
          <w:lang w:val="es-ES_tradnl"/>
        </w:rPr>
      </w:pPr>
      <w:r w:rsidRPr="00BC4F5F">
        <w:rPr>
          <w:lang w:val="es-ES_tradnl"/>
        </w:rPr>
        <w:t>En el párrafo 3 de esa recomendación, el Órgano Subsidiario pidió a la Secretaría que pusiera a disposición de la Conferencia de las Partes, en su 17ª reunión, la lista no exhaustiva de áreas de convergencia y divergencia relativa a las oportunidades para ampliar la base de contribuyentes identificada por los amigos de las copresidencias del grupo de contacto sobre movilización de recursos durante la séptima reunión del Órgano Subsidiario. Por consiguiente, esa lista se pondrá a disposición de la Conferencia de las Partes en su 17ª reunión como un documento de información.</w:t>
      </w:r>
    </w:p>
    <w:p w14:paraId="3FEBE614" w14:textId="77777777" w:rsidR="00360D48" w:rsidRPr="00BC4F5F" w:rsidRDefault="00360D48" w:rsidP="00360D48">
      <w:pPr>
        <w:pStyle w:val="CBDNormalNumber"/>
        <w:rPr>
          <w:lang w:val="es-ES_tradnl"/>
        </w:rPr>
      </w:pPr>
      <w:r w:rsidRPr="00BC4F5F">
        <w:rPr>
          <w:lang w:val="es-ES_tradnl"/>
        </w:rPr>
        <w:t>En el párrafo 2 de la recomendación 7/2, el Órgano Subsidiario pidió a la Secretaría que presentara un informe actualizado sobre los progresos realizados con respecto a las peticiones que figuran en la decisión </w:t>
      </w:r>
      <w:hyperlink r:id="rId34" w:history="1">
        <w:r w:rsidRPr="00BC4F5F">
          <w:rPr>
            <w:rStyle w:val="Hipervnculo"/>
            <w:lang w:val="es-ES_tradnl"/>
          </w:rPr>
          <w:t>16/</w:t>
        </w:r>
        <w:r w:rsidRPr="00BC4F5F">
          <w:rPr>
            <w:rStyle w:val="Hipervnculo"/>
            <w:lang w:val="es-ES_tradnl"/>
          </w:rPr>
          <w:t>3</w:t>
        </w:r>
        <w:r w:rsidRPr="00BC4F5F">
          <w:rPr>
            <w:rStyle w:val="Hipervnculo"/>
            <w:lang w:val="es-ES_tradnl"/>
          </w:rPr>
          <w:t>4</w:t>
        </w:r>
      </w:hyperlink>
      <w:r w:rsidRPr="00BC4F5F">
        <w:rPr>
          <w:lang w:val="es-ES_tradnl"/>
        </w:rPr>
        <w:t>. La presente sección atiende a esa petición.</w:t>
      </w:r>
    </w:p>
    <w:p w14:paraId="57E65EA3" w14:textId="77777777" w:rsidR="00360D48" w:rsidRPr="00BC4F5F" w:rsidRDefault="00360D48" w:rsidP="00360D48">
      <w:pPr>
        <w:pStyle w:val="CBDH2"/>
        <w:rPr>
          <w:lang w:val="es-ES_tradnl"/>
        </w:rPr>
      </w:pPr>
      <w:r w:rsidRPr="00BC4F5F">
        <w:rPr>
          <w:lang w:val="es-ES_tradnl"/>
        </w:rPr>
        <w:t>C.</w:t>
      </w:r>
      <w:r w:rsidRPr="00BC4F5F">
        <w:rPr>
          <w:lang w:val="es-ES_tradnl"/>
        </w:rPr>
        <w:tab/>
        <w:t>Otras peticiones que figuran en la decisión 16/34</w:t>
      </w:r>
    </w:p>
    <w:p w14:paraId="3BC97718" w14:textId="77777777" w:rsidR="00360D48" w:rsidRPr="00BC4F5F" w:rsidRDefault="00360D48" w:rsidP="00360D48">
      <w:pPr>
        <w:pStyle w:val="CBDNormalNumber"/>
        <w:rPr>
          <w:lang w:val="es-ES_tradnl"/>
        </w:rPr>
      </w:pPr>
      <w:r w:rsidRPr="00BC4F5F">
        <w:rPr>
          <w:lang w:val="es-ES_tradnl"/>
        </w:rPr>
        <w:t>En el apartado 26 a) de la decisión </w:t>
      </w:r>
      <w:hyperlink r:id="rId35" w:history="1">
        <w:r w:rsidRPr="00BC4F5F">
          <w:rPr>
            <w:rStyle w:val="Hipervnculo"/>
            <w:lang w:val="es-ES_tradnl"/>
          </w:rPr>
          <w:t>16</w:t>
        </w:r>
        <w:r w:rsidRPr="00BC4F5F">
          <w:rPr>
            <w:rStyle w:val="Hipervnculo"/>
            <w:lang w:val="es-ES_tradnl"/>
          </w:rPr>
          <w:t>/</w:t>
        </w:r>
        <w:r w:rsidRPr="00BC4F5F">
          <w:rPr>
            <w:rStyle w:val="Hipervnculo"/>
            <w:lang w:val="es-ES_tradnl"/>
          </w:rPr>
          <w:t>34</w:t>
        </w:r>
      </w:hyperlink>
      <w:r w:rsidRPr="00BC4F5F">
        <w:rPr>
          <w:lang w:val="es-ES_tradnl"/>
        </w:rPr>
        <w:t>, la Conferencia de las Partes pidió a la Secretaría que, en función de la disponibilidad de recursos financieros, facilitara un diálogo internacional con ministros de medio ambiente y de finanzas de países desarrollados y en desarrollo para acelerar el logro de la meta 19 del Marco Mundial de Biodiversidad de Kunming-Montreal.</w:t>
      </w:r>
    </w:p>
    <w:p w14:paraId="3AEAB26E" w14:textId="77777777" w:rsidR="00360D48" w:rsidRPr="00BC4F5F" w:rsidRDefault="00360D48" w:rsidP="00360D48">
      <w:pPr>
        <w:pStyle w:val="CBDNormalNumber"/>
        <w:rPr>
          <w:lang w:val="es-ES_tradnl"/>
        </w:rPr>
      </w:pPr>
      <w:r w:rsidRPr="00BC4F5F">
        <w:rPr>
          <w:lang w:val="es-ES_tradnl"/>
        </w:rPr>
        <w:t xml:space="preserve">De conformidad con esa petición y con el generoso apoyo financiero y logístico prestado por el Gobierno de Armenia en colaboración con la Coalición de Ministros de Finanzas para la Acción Climática y la Alianza de Acción para una Economía Verde (PAGE), está previsto que tenga lugar un diálogo de alto nivel entre ministros de finanzas y ministros de medio ambiente en Ereván el 27 de octubre de 2026 como parte de la serie de sesiones de alto nivel de la 17ª reunión de la Conferencia de las Partes. La serie de sesiones, que reunirá a ministros de finanzas y ministros de medio ambiente </w:t>
      </w:r>
      <w:r w:rsidRPr="00BC4F5F">
        <w:rPr>
          <w:lang w:val="es-ES_tradnl"/>
        </w:rPr>
        <w:lastRenderedPageBreak/>
        <w:t>para que puedan desarrollar un entendimiento compartido de la manera en que la financiación pública y la política fiscal pueden ajustarse a los objetivos nacionales y mundiales en materia de diversidad biológica, proporcionará un espacio para realizar un análisis franco de alto nivel de las siguientes cuestiones: la manera de reflejar los riesgos y oportunidades relacionados con la naturaleza en la planificación macrofiscal; el modo en que la presupuestación verde puede crear un margen fiscal para el desarrollo socioeconómico; y la manera en que los ministerios de finanzas y los ministerios de medio ambiente pueden colaborar en aras de su ejecución.</w:t>
      </w:r>
    </w:p>
    <w:p w14:paraId="58CBF037" w14:textId="2036E95C" w:rsidR="00360D48" w:rsidRPr="00BC4F5F" w:rsidRDefault="00360D48" w:rsidP="00360D48">
      <w:pPr>
        <w:pStyle w:val="CBDNormalNumber"/>
        <w:rPr>
          <w:lang w:val="es-ES_tradnl"/>
        </w:rPr>
      </w:pPr>
      <w:r w:rsidRPr="00BC4F5F">
        <w:rPr>
          <w:lang w:val="es-ES_tradnl"/>
        </w:rPr>
        <w:t>Desde la adopción de la decisión </w:t>
      </w:r>
      <w:hyperlink r:id="rId36" w:history="1">
        <w:r w:rsidRPr="00BC4F5F">
          <w:rPr>
            <w:rStyle w:val="Hipervnculo"/>
            <w:lang w:val="es-ES_tradnl"/>
          </w:rPr>
          <w:t>16/34</w:t>
        </w:r>
      </w:hyperlink>
      <w:r w:rsidRPr="00BC4F5F">
        <w:rPr>
          <w:lang w:val="es-ES_tradnl"/>
        </w:rPr>
        <w:t xml:space="preserve">, la Secretaría ha emprendido otras iniciativas a fin de responder a estas necesidades. La Secretaría inició una colaboración con la Coalición de Ministros de Finanzas para la Acción Climática y el Programa de las Naciones Unidas para el Medio Ambiente con miras a mantener ese tipo de diálogos paralelamente a las reuniones del Grupo del Banco Mundial y el Fondo Monetario Internacional (FMI), posiblemente a partir de las reuniones que se celebrarían en Bangkok en el tercer trimestre de 2026. Los primeros diálogos se diseñaron en torno a la próxima guía sobre la naturaleza, que está elaborando actualmente la Alianza de Acción para una Economía Verde (PAGE), con miras a brindar apoyo a los ministerios de finanzas en la incorporación de los riesgos y oportunidades relacionados con la naturaleza en la planificación macrofiscal. No obstante, pese a los esfuerzos de la Secretaría, no se pudo movilizar financiación para facilitar la reunión según lo previsto, a la hora planificada y con arreglo a las reuniones del Banco Mundial y el FMI en Bangkok. Sin embargo, en el momento de </w:t>
      </w:r>
      <w:r w:rsidR="00C13D8F">
        <w:rPr>
          <w:lang w:val="es-ES_tradnl"/>
        </w:rPr>
        <w:t>preparar</w:t>
      </w:r>
      <w:r w:rsidRPr="00BC4F5F">
        <w:rPr>
          <w:lang w:val="es-ES_tradnl"/>
        </w:rPr>
        <w:t xml:space="preserve"> el presente documento, estaba programada la celebración de una reunión entre los ministros de finanzas sobre financiación para la naturaleza mediante la colaboración con la Coalición de Ministros de Finanzas para la Acción Climática paralelamente a las reuniones en Bangkok.</w:t>
      </w:r>
    </w:p>
    <w:p w14:paraId="22CB480C" w14:textId="75A33394" w:rsidR="00360D48" w:rsidRPr="00BC4F5F" w:rsidRDefault="00360D48" w:rsidP="00360D48">
      <w:pPr>
        <w:pStyle w:val="CBDNormalNumber"/>
        <w:rPr>
          <w:lang w:val="es-ES_tradnl"/>
        </w:rPr>
      </w:pPr>
      <w:r w:rsidRPr="00BC4F5F">
        <w:rPr>
          <w:lang w:val="es-ES_tradnl"/>
        </w:rPr>
        <w:t>En el apartado 26 c) de la decisión </w:t>
      </w:r>
      <w:hyperlink r:id="rId37" w:history="1">
        <w:r w:rsidRPr="00BC4F5F">
          <w:rPr>
            <w:rStyle w:val="Hipervnculo"/>
            <w:lang w:val="es-ES_tradnl"/>
          </w:rPr>
          <w:t>16</w:t>
        </w:r>
        <w:r w:rsidRPr="00BC4F5F">
          <w:rPr>
            <w:rStyle w:val="Hipervnculo"/>
            <w:lang w:val="es-ES_tradnl"/>
          </w:rPr>
          <w:t>/</w:t>
        </w:r>
        <w:r w:rsidRPr="00BC4F5F">
          <w:rPr>
            <w:rStyle w:val="Hipervnculo"/>
            <w:lang w:val="es-ES_tradnl"/>
          </w:rPr>
          <w:t>34</w:t>
        </w:r>
      </w:hyperlink>
      <w:r w:rsidRPr="00BC4F5F">
        <w:rPr>
          <w:lang w:val="es-ES_tradnl"/>
        </w:rPr>
        <w:t>, se pidió a la Secretaria Ejecutiva que, en función de la disponibilidad de recursos financieros, incorporara una plataforma en el mecanismo de facilitación, en consonancia con la estrategia de gestión de conocimientos para apoyar la implementación del Marco, con la finalidad de intercambiar información acerca de mejores prácticas y lecciones aprendidas en la implementación del Marco, en particular para el objetivo D y las metas 14, 15, 18 y 19, y la aplicación de la estrategia para la movilización de recursos. El trabajo técnico a ese respecto ha concluido y, en relación con la invitación de presentar información pertinente, comunicada por medio de la notificación núm. </w:t>
      </w:r>
      <w:hyperlink r:id="rId38" w:history="1">
        <w:r w:rsidRPr="00BC4F5F">
          <w:rPr>
            <w:rStyle w:val="Hipervnculo"/>
            <w:lang w:val="es-ES_tradnl"/>
          </w:rPr>
          <w:t>2025</w:t>
        </w:r>
        <w:r w:rsidRPr="00BC4F5F">
          <w:rPr>
            <w:rStyle w:val="Hipervnculo"/>
            <w:lang w:val="es-ES_tradnl"/>
          </w:rPr>
          <w:t>-</w:t>
        </w:r>
        <w:r w:rsidRPr="00BC4F5F">
          <w:rPr>
            <w:rStyle w:val="Hipervnculo"/>
            <w:lang w:val="es-ES_tradnl"/>
          </w:rPr>
          <w:t>148</w:t>
        </w:r>
      </w:hyperlink>
      <w:r w:rsidRPr="00BC4F5F">
        <w:rPr>
          <w:lang w:val="es-ES_tradnl"/>
        </w:rPr>
        <w:t>, se habían recibido 20 aportaciones a fecha de 5 de agosto de 2026, las cuales estaban disponibles a través de la plataforma.</w:t>
      </w:r>
    </w:p>
    <w:p w14:paraId="6B97B492" w14:textId="77777777" w:rsidR="00360D48" w:rsidRPr="00BC4F5F" w:rsidRDefault="00360D48" w:rsidP="00360D48">
      <w:pPr>
        <w:pStyle w:val="CBDH1"/>
        <w:ind w:left="0" w:firstLine="0"/>
        <w:rPr>
          <w:lang w:val="es-ES_tradnl"/>
        </w:rPr>
      </w:pPr>
      <w:r w:rsidRPr="00BC4F5F">
        <w:rPr>
          <w:lang w:val="es-ES_tradnl"/>
        </w:rPr>
        <w:t>III.</w:t>
      </w:r>
      <w:r w:rsidRPr="00BC4F5F">
        <w:rPr>
          <w:lang w:val="es-ES_tradnl"/>
        </w:rPr>
        <w:tab/>
        <w:t>Mecanismo financiero</w:t>
      </w:r>
    </w:p>
    <w:p w14:paraId="35F7386E" w14:textId="65ADF6F2" w:rsidR="00360D48" w:rsidRPr="00BC4F5F" w:rsidRDefault="00360D48" w:rsidP="00360D48">
      <w:pPr>
        <w:pStyle w:val="CBDNormalNumber"/>
        <w:rPr>
          <w:lang w:val="es-ES_tradnl"/>
        </w:rPr>
      </w:pPr>
      <w:r w:rsidRPr="00BC4F5F">
        <w:rPr>
          <w:lang w:val="es-ES_tradnl"/>
        </w:rPr>
        <w:t>De conformidad con el artículo 21 del Convenio sobre Diversidad Biológica, el artículo 28 del Protocolo de Cartagena sobre Seguridad de la Biotecnología y el artículo 25 del Protocolo de Nagoya sobre Acceso a los Recursos Genéticos y Participación Justa y Equitativa en los Beneficios que se Deriven de su Utilización, así como con el memorando de entendimiento entre la Conferencia de las Partes y el Consejo del Fondo para el Medio Ambiente Mundial (FMAM) que figura en la decisión </w:t>
      </w:r>
      <w:hyperlink r:id="rId39" w:history="1">
        <w:r w:rsidRPr="00BC4F5F">
          <w:rPr>
            <w:rStyle w:val="Hipervnculo"/>
            <w:lang w:val="es-ES_tradnl"/>
          </w:rPr>
          <w:t>II</w:t>
        </w:r>
        <w:r w:rsidRPr="00BC4F5F">
          <w:rPr>
            <w:rStyle w:val="Hipervnculo"/>
            <w:lang w:val="es-ES_tradnl"/>
          </w:rPr>
          <w:t>I</w:t>
        </w:r>
        <w:r w:rsidRPr="00BC4F5F">
          <w:rPr>
            <w:rStyle w:val="Hipervnculo"/>
            <w:lang w:val="es-ES_tradnl"/>
          </w:rPr>
          <w:t>/8</w:t>
        </w:r>
      </w:hyperlink>
      <w:r w:rsidRPr="00BC4F5F">
        <w:rPr>
          <w:lang w:val="es-ES_tradnl"/>
        </w:rPr>
        <w:t>, la Conferencia de las Partes ha examinado periódicamente la aplicación de cuatro áreas temáticas relacionadas con el mecanismo financiero: a) rendición de cuentas basada en un informe del Consejo del F</w:t>
      </w:r>
      <w:r w:rsidR="00450CA0">
        <w:rPr>
          <w:lang w:val="es-ES_tradnl"/>
        </w:rPr>
        <w:t>M</w:t>
      </w:r>
      <w:r w:rsidRPr="00BC4F5F">
        <w:rPr>
          <w:lang w:val="es-ES_tradnl"/>
        </w:rPr>
        <w:t>AM; b) orientación sobre la política, la estrategia, las prioridades programáticas y los criterios de elegibilidad para el acceso a los recursos financieros y su utilización; c) examen periódico de la eficacia del mecanismo financiero; y d) determinación de las necesidades de financiación. Las orientaciones sobre la política, la estrategia, las prioridades programáticas y los criterios de elegibilidad para el acceso a los recursos financieros y su utilización han evolucionado para incluir un marco cuatrienal de prioridades programáticas orientado a la obtención de resultados, en previsión del próximo período de reposición del Fondo Fiduciario del FMAM, con base también en las contribuciones de los convenios relacionados con la diversidad biológica, y una unificación de la orientación existente determinada por la Conferencia de las Partes en sus reuniones anteriores, así como orientación adicional derivada de las negociaciones en curso del período de sesiones en el marco del Convenio y sus Protocolos.</w:t>
      </w:r>
    </w:p>
    <w:p w14:paraId="683CA34F" w14:textId="77777777" w:rsidR="00360D48" w:rsidRPr="00BC4F5F" w:rsidRDefault="00360D48" w:rsidP="00360D48">
      <w:pPr>
        <w:pStyle w:val="CBDH2"/>
        <w:rPr>
          <w:lang w:val="es-ES_tradnl"/>
        </w:rPr>
      </w:pPr>
      <w:r w:rsidRPr="00BC4F5F">
        <w:rPr>
          <w:lang w:val="es-ES_tradnl"/>
        </w:rPr>
        <w:lastRenderedPageBreak/>
        <w:t>A.</w:t>
      </w:r>
      <w:r w:rsidRPr="00BC4F5F">
        <w:rPr>
          <w:lang w:val="es-ES_tradnl"/>
        </w:rPr>
        <w:tab/>
        <w:t>Tareas asumidas por el Órgano Subsidiario sobre la Aplicación en su sexta reunión</w:t>
      </w:r>
    </w:p>
    <w:p w14:paraId="7951F53F" w14:textId="77777777" w:rsidR="00360D48" w:rsidRPr="00BC4F5F" w:rsidRDefault="00360D48" w:rsidP="00360D48">
      <w:pPr>
        <w:pStyle w:val="CBDNormalNumber"/>
        <w:rPr>
          <w:lang w:val="es-ES_tradnl"/>
        </w:rPr>
      </w:pPr>
      <w:r w:rsidRPr="00BC4F5F">
        <w:rPr>
          <w:lang w:val="es-ES_tradnl"/>
        </w:rPr>
        <w:t>De conformidad con los párrafos 25 y 30 de la decisión </w:t>
      </w:r>
      <w:hyperlink r:id="rId40" w:history="1">
        <w:r w:rsidRPr="00BC4F5F">
          <w:rPr>
            <w:rStyle w:val="Hipervnculo"/>
            <w:lang w:val="es-ES_tradnl"/>
          </w:rPr>
          <w:t>16</w:t>
        </w:r>
        <w:r w:rsidRPr="00BC4F5F">
          <w:rPr>
            <w:rStyle w:val="Hipervnculo"/>
            <w:lang w:val="es-ES_tradnl"/>
          </w:rPr>
          <w:t>/</w:t>
        </w:r>
        <w:r w:rsidRPr="00BC4F5F">
          <w:rPr>
            <w:rStyle w:val="Hipervnculo"/>
            <w:lang w:val="es-ES_tradnl"/>
          </w:rPr>
          <w:t>33</w:t>
        </w:r>
      </w:hyperlink>
      <w:r w:rsidRPr="00BC4F5F">
        <w:rPr>
          <w:lang w:val="es-ES_tradnl"/>
        </w:rPr>
        <w:t xml:space="preserve"> y sobre la base de la documentación elaborada por la Secretaría</w:t>
      </w:r>
      <w:r w:rsidRPr="00BC4F5F">
        <w:rPr>
          <w:rStyle w:val="Refdenotaalpie"/>
          <w:lang w:val="es-ES_tradnl"/>
        </w:rPr>
        <w:footnoteReference w:id="6"/>
      </w:r>
      <w:r w:rsidRPr="00BC4F5F">
        <w:rPr>
          <w:lang w:val="es-ES_tradnl"/>
        </w:rPr>
        <w:t>, el Órgano Subsidiario sobre la Aplicación consideró en su sexta reunión las áreas c) y d) que se han señalado antes y adoptó la recomendación </w:t>
      </w:r>
      <w:hyperlink r:id="rId41" w:history="1">
        <w:r w:rsidRPr="00BC4F5F">
          <w:rPr>
            <w:rStyle w:val="Hipervnculo"/>
            <w:lang w:val="es-ES_tradnl"/>
          </w:rPr>
          <w:t>6</w:t>
        </w:r>
        <w:r w:rsidRPr="00BC4F5F">
          <w:rPr>
            <w:rStyle w:val="Hipervnculo"/>
            <w:lang w:val="es-ES_tradnl"/>
          </w:rPr>
          <w:t>/</w:t>
        </w:r>
        <w:r w:rsidRPr="00BC4F5F">
          <w:rPr>
            <w:rStyle w:val="Hipervnculo"/>
            <w:lang w:val="es-ES_tradnl"/>
          </w:rPr>
          <w:t>2</w:t>
        </w:r>
      </w:hyperlink>
      <w:r w:rsidRPr="00BC4F5F">
        <w:rPr>
          <w:lang w:val="es-ES_tradnl"/>
        </w:rPr>
        <w:t>. Esa recomendación contiene elementos de un proyecto de decisión, incluido el mandato para una evaluación completa del monto de fondos que son necesarios para el décimo período de reposición del Fondo Fiduciario del FMAM (julio de 2030 a junio de 2034) (anexo I) y el mandato para el séptimo examen cuatrienal de la eficacia del mecanismo financiero (anexo II).</w:t>
      </w:r>
    </w:p>
    <w:p w14:paraId="583A7323" w14:textId="77777777" w:rsidR="00360D48" w:rsidRPr="00BC4F5F" w:rsidRDefault="00360D48" w:rsidP="00360D48">
      <w:pPr>
        <w:pStyle w:val="CBDH2"/>
        <w:rPr>
          <w:lang w:val="es-ES_tradnl"/>
        </w:rPr>
      </w:pPr>
      <w:r w:rsidRPr="00BC4F5F">
        <w:rPr>
          <w:lang w:val="es-ES_tradnl"/>
        </w:rPr>
        <w:t>B.</w:t>
      </w:r>
      <w:r w:rsidRPr="00BC4F5F">
        <w:rPr>
          <w:lang w:val="es-ES_tradnl"/>
        </w:rPr>
        <w:tab/>
        <w:t>Tareas asumidas por el Órgano Subsidiario sobre la Aplicación en su séptima reunión</w:t>
      </w:r>
    </w:p>
    <w:p w14:paraId="555FEC4A" w14:textId="77777777" w:rsidR="00360D48" w:rsidRPr="00BC4F5F" w:rsidRDefault="00360D48" w:rsidP="00360D48">
      <w:pPr>
        <w:pStyle w:val="CBDNormalNumber"/>
        <w:rPr>
          <w:lang w:val="es-ES_tradnl"/>
        </w:rPr>
      </w:pPr>
      <w:r w:rsidRPr="00BC4F5F">
        <w:rPr>
          <w:lang w:val="es-ES_tradnl"/>
        </w:rPr>
        <w:t>De conformidad con el párrafo 21 de la decisión </w:t>
      </w:r>
      <w:hyperlink r:id="rId42" w:history="1">
        <w:r w:rsidRPr="00BC4F5F">
          <w:rPr>
            <w:rStyle w:val="Hipervnculo"/>
            <w:lang w:val="es-ES_tradnl"/>
          </w:rPr>
          <w:t>16</w:t>
        </w:r>
        <w:r w:rsidRPr="00BC4F5F">
          <w:rPr>
            <w:rStyle w:val="Hipervnculo"/>
            <w:lang w:val="es-ES_tradnl"/>
          </w:rPr>
          <w:t>/</w:t>
        </w:r>
        <w:r w:rsidRPr="00BC4F5F">
          <w:rPr>
            <w:rStyle w:val="Hipervnculo"/>
            <w:lang w:val="es-ES_tradnl"/>
          </w:rPr>
          <w:t>33</w:t>
        </w:r>
      </w:hyperlink>
      <w:r w:rsidRPr="00BC4F5F">
        <w:rPr>
          <w:lang w:val="es-ES_tradnl"/>
        </w:rPr>
        <w:t xml:space="preserve"> y sobre la base de la documentación elaborada por la Secretaría, así como el proyecto preliminar del informe del FMAM para la 17ª reunión de la Conferencia de las Partes</w:t>
      </w:r>
      <w:r w:rsidRPr="00BC4F5F">
        <w:rPr>
          <w:rStyle w:val="Refdenotaalpie"/>
          <w:lang w:val="es-ES_tradnl"/>
        </w:rPr>
        <w:footnoteReference w:id="7"/>
      </w:r>
      <w:r w:rsidRPr="00BC4F5F">
        <w:rPr>
          <w:lang w:val="es-ES_tradnl"/>
        </w:rPr>
        <w:t>, el Órgano Subsidiario sobre la Aplicación consideró en su séptima reunión las áreas a) y b) detalladas anteriormente y adoptó la recomendación 7/3. Esa recomendación incluye elementos de un proyecto de decisión en el que se proporciona orientación al FMAM y se pide a la Secretaría que elabore un marco cuatrienal de prioridades programáticas de biodiversidad orientado a la obtención de resultados en relación con el uso de los recursos del FMAM para el período comprendido entre julio de 2030 y junio de 2034.</w:t>
      </w:r>
    </w:p>
    <w:p w14:paraId="5BF8C645" w14:textId="77777777" w:rsidR="00360D48" w:rsidRPr="00BC4F5F" w:rsidRDefault="00360D48" w:rsidP="00360D48">
      <w:pPr>
        <w:pStyle w:val="CBDNormalNumber"/>
        <w:rPr>
          <w:lang w:val="es-ES_tradnl"/>
        </w:rPr>
      </w:pPr>
      <w:r w:rsidRPr="00BC4F5F">
        <w:rPr>
          <w:lang w:val="es-ES_tradnl"/>
        </w:rPr>
        <w:t>El informe del Consejo del FMAM para la 17ª reunión de la Conferencia de las Partes figura en el documento </w:t>
      </w:r>
      <w:hyperlink r:id="rId43" w:history="1">
        <w:r w:rsidRPr="00BC4F5F">
          <w:rPr>
            <w:rStyle w:val="Hipervnculo"/>
            <w:lang w:val="es-ES_tradnl"/>
          </w:rPr>
          <w:t>CBD/COP/1</w:t>
        </w:r>
        <w:r w:rsidRPr="00BC4F5F">
          <w:rPr>
            <w:rStyle w:val="Hipervnculo"/>
            <w:lang w:val="es-ES_tradnl"/>
          </w:rPr>
          <w:t>7</w:t>
        </w:r>
        <w:r w:rsidRPr="00BC4F5F">
          <w:rPr>
            <w:rStyle w:val="Hipervnculo"/>
            <w:lang w:val="es-ES_tradnl"/>
          </w:rPr>
          <w:t>/5/Add.1</w:t>
        </w:r>
      </w:hyperlink>
      <w:r w:rsidRPr="00BC4F5F">
        <w:rPr>
          <w:lang w:val="es-ES_tradnl"/>
        </w:rPr>
        <w:t>.</w:t>
      </w:r>
    </w:p>
    <w:p w14:paraId="71DB3AC7" w14:textId="77777777" w:rsidR="00360D48" w:rsidRPr="00BC4F5F" w:rsidRDefault="00360D48" w:rsidP="00360D48">
      <w:pPr>
        <w:pStyle w:val="CBDH1"/>
        <w:rPr>
          <w:lang w:val="es-ES_tradnl"/>
        </w:rPr>
      </w:pPr>
      <w:r w:rsidRPr="00BC4F5F">
        <w:rPr>
          <w:lang w:val="es-ES_tradnl"/>
        </w:rPr>
        <w:t>IV.</w:t>
      </w:r>
      <w:r w:rsidRPr="00BC4F5F">
        <w:rPr>
          <w:lang w:val="es-ES_tradnl"/>
        </w:rPr>
        <w:tab/>
        <w:t>Propuestas de enmienda a los elementos de un proyecto de decisión que figura en la recomendación 6/1 del Órgano Subsidiario sobre la Aplicación</w:t>
      </w:r>
    </w:p>
    <w:p w14:paraId="026ACBD9" w14:textId="77777777" w:rsidR="00360D48" w:rsidRPr="00BC4F5F" w:rsidRDefault="00360D48" w:rsidP="00360D48">
      <w:pPr>
        <w:pStyle w:val="CBDNormalNumber"/>
        <w:rPr>
          <w:lang w:val="es-ES_tradnl"/>
        </w:rPr>
      </w:pPr>
      <w:r w:rsidRPr="00BC4F5F">
        <w:rPr>
          <w:lang w:val="es-ES_tradnl"/>
        </w:rPr>
        <w:t>Las propuestas de enmienda se aplicarían a los párrafos 5 a 8 del proyecto de decisión que figura en la recomendación </w:t>
      </w:r>
      <w:hyperlink r:id="rId44" w:history="1">
        <w:r w:rsidRPr="00BC4F5F">
          <w:rPr>
            <w:rStyle w:val="Hipervnculo"/>
            <w:lang w:val="es-ES_tradnl"/>
          </w:rPr>
          <w:t>6/</w:t>
        </w:r>
        <w:r w:rsidRPr="00BC4F5F">
          <w:rPr>
            <w:rStyle w:val="Hipervnculo"/>
            <w:lang w:val="es-ES_tradnl"/>
          </w:rPr>
          <w:t>1</w:t>
        </w:r>
      </w:hyperlink>
      <w:r w:rsidRPr="00BC4F5F">
        <w:rPr>
          <w:lang w:val="es-ES_tradnl"/>
        </w:rPr>
        <w:t xml:space="preserve"> sobre movilización de recursos. Los párrafos se reproducen a continuación con el texto de la recomendación </w:t>
      </w:r>
      <w:hyperlink r:id="rId45" w:history="1">
        <w:r w:rsidRPr="00BC4F5F">
          <w:rPr>
            <w:rStyle w:val="Hipervnculo"/>
            <w:lang w:val="es-ES_tradnl"/>
          </w:rPr>
          <w:t>6/</w:t>
        </w:r>
        <w:r w:rsidRPr="00BC4F5F">
          <w:rPr>
            <w:rStyle w:val="Hipervnculo"/>
            <w:lang w:val="es-ES_tradnl"/>
          </w:rPr>
          <w:t>1</w:t>
        </w:r>
      </w:hyperlink>
      <w:r w:rsidRPr="00BC4F5F">
        <w:rPr>
          <w:lang w:val="es-ES_tradnl"/>
        </w:rPr>
        <w:t xml:space="preserve"> con fondo en gris, el texto nuevo con fondo sin color y las eliminaciones tachadas. </w:t>
      </w:r>
    </w:p>
    <w:p w14:paraId="561AF881" w14:textId="77777777" w:rsidR="00360D48" w:rsidRPr="00BC4F5F" w:rsidRDefault="00360D48" w:rsidP="00360D48">
      <w:pPr>
        <w:pStyle w:val="CBDNormalNoNumber"/>
        <w:tabs>
          <w:tab w:val="clear" w:pos="567"/>
        </w:tabs>
        <w:ind w:left="1134" w:firstLine="567"/>
        <w:rPr>
          <w:rFonts w:eastAsiaTheme="minorHAnsi"/>
          <w:lang w:val="es-ES_tradnl"/>
        </w:rPr>
      </w:pPr>
      <w:r w:rsidRPr="00BC4F5F">
        <w:rPr>
          <w:highlight w:val="lightGray"/>
          <w:lang w:val="es-ES_tradnl"/>
        </w:rPr>
        <w:t>5.</w:t>
      </w:r>
      <w:r w:rsidRPr="00BC4F5F">
        <w:rPr>
          <w:b/>
          <w:highlight w:val="lightGray"/>
          <w:lang w:val="es-ES_tradnl"/>
        </w:rPr>
        <w:tab/>
      </w:r>
      <w:r w:rsidRPr="00BC4F5F">
        <w:rPr>
          <w:i/>
          <w:highlight w:val="lightGray"/>
          <w:lang w:val="es-ES_tradnl"/>
        </w:rPr>
        <w:t>Invita</w:t>
      </w:r>
      <w:r w:rsidRPr="00BC4F5F">
        <w:rPr>
          <w:highlight w:val="lightGray"/>
          <w:lang w:val="es-ES_tradnl"/>
        </w:rPr>
        <w:t xml:space="preserve"> a las Partes y a otros Gobiernos, según proceda y de conformidad con las circunstancias, prioridades y capacidades nacionales, en consonancia con la legislación nacional y conforme a la sección C del Marco,</w:t>
      </w:r>
      <w:r w:rsidRPr="00BC4F5F">
        <w:rPr>
          <w:lang w:val="es-ES_tradnl"/>
        </w:rPr>
        <w:t xml:space="preserve"> y teniendo en cuenta el carácter específico a cada contexto de la relación entre la sostenibilidad de la deuda y la aplicación del Convenio, </w:t>
      </w:r>
      <w:r w:rsidRPr="00450CA0">
        <w:rPr>
          <w:highlight w:val="lightGray"/>
          <w:lang w:val="es-ES_tradnl"/>
        </w:rPr>
        <w:t>a</w:t>
      </w:r>
      <w:r w:rsidRPr="00BC4F5F">
        <w:rPr>
          <w:shd w:val="clear" w:color="auto" w:fill="D9D9D9" w:themeFill="background1" w:themeFillShade="D9"/>
          <w:lang w:val="es-ES_tradnl"/>
        </w:rPr>
        <w:t>:</w:t>
      </w:r>
    </w:p>
    <w:p w14:paraId="63BC614D" w14:textId="72E0B0B6" w:rsidR="00360D48" w:rsidRPr="00BC4F5F" w:rsidRDefault="00360D48" w:rsidP="00360D48">
      <w:pPr>
        <w:pStyle w:val="CBDNormalNoNumber"/>
        <w:tabs>
          <w:tab w:val="clear" w:pos="567"/>
        </w:tabs>
        <w:ind w:left="1134" w:firstLine="567"/>
        <w:rPr>
          <w:lang w:val="es-ES_tradnl"/>
        </w:rPr>
      </w:pPr>
      <w:r w:rsidRPr="00BC4F5F">
        <w:rPr>
          <w:highlight w:val="lightGray"/>
          <w:lang w:val="es-ES_tradnl"/>
        </w:rPr>
        <w:t>a)</w:t>
      </w:r>
      <w:r w:rsidRPr="00BC4F5F">
        <w:rPr>
          <w:highlight w:val="lightGray"/>
          <w:lang w:val="es-ES_tradnl"/>
        </w:rPr>
        <w:tab/>
        <w:t xml:space="preserve">Evaluar </w:t>
      </w:r>
      <w:r w:rsidRPr="00BC4F5F">
        <w:rPr>
          <w:shd w:val="clear" w:color="auto" w:fill="FFFFFF" w:themeFill="background1"/>
          <w:lang w:val="es-ES_tradnl"/>
        </w:rPr>
        <w:t>la pertinencia y</w:t>
      </w:r>
      <w:r w:rsidRPr="00BC4F5F">
        <w:rPr>
          <w:b/>
          <w:shd w:val="clear" w:color="auto" w:fill="D9D9D9" w:themeFill="background1" w:themeFillShade="D9"/>
          <w:lang w:val="es-ES_tradnl"/>
        </w:rPr>
        <w:t xml:space="preserve"> </w:t>
      </w:r>
      <w:r w:rsidRPr="00BC4F5F">
        <w:rPr>
          <w:highlight w:val="lightGray"/>
          <w:lang w:val="es-ES_tradnl"/>
        </w:rPr>
        <w:t>las implicaciones de nuevas oportunidades para la aplicación de instrumentos relacionados con la deuda en la implementación de las estrategias y planes de acción nacionales en materia de biodiversidad, y explorar más oportunidades</w:t>
      </w:r>
      <w:r w:rsidRPr="00BC4F5F">
        <w:rPr>
          <w:lang w:val="es-ES_tradnl"/>
        </w:rPr>
        <w:t>, teniendo en cuenta, entre otras cuestiones, la sostenibilidad de la deuda, la situación fiscal y de mercado, la capacidad institucional, la gobernanza y el diseño de instrumento</w:t>
      </w:r>
      <w:r w:rsidR="00073D3C">
        <w:rPr>
          <w:lang w:val="es-ES_tradnl"/>
        </w:rPr>
        <w:t>s,</w:t>
      </w:r>
      <w:r w:rsidRPr="00BC4F5F">
        <w:rPr>
          <w:highlight w:val="lightGray"/>
          <w:lang w:val="es-ES_tradnl"/>
        </w:rPr>
        <w:t xml:space="preserve"> y cómo</w:t>
      </w:r>
      <w:r w:rsidRPr="00BC4F5F">
        <w:rPr>
          <w:lang w:val="es-ES_tradnl"/>
        </w:rPr>
        <w:t xml:space="preserve"> ese tipo de instrumentos</w:t>
      </w:r>
      <w:r w:rsidRPr="00450CA0">
        <w:rPr>
          <w:bCs/>
          <w:lang w:val="es-ES_tradnl"/>
        </w:rPr>
        <w:t xml:space="preserve"> </w:t>
      </w:r>
      <w:r w:rsidRPr="00BC4F5F">
        <w:rPr>
          <w:highlight w:val="lightGray"/>
          <w:lang w:val="es-ES_tradnl"/>
        </w:rPr>
        <w:t>podrían abordarse en los planes nacionales de financiación de la biodiversidad o instrumentos similares y marcos de planificación;</w:t>
      </w:r>
    </w:p>
    <w:p w14:paraId="4CEDC228" w14:textId="2B2AC6A7" w:rsidR="00360D48" w:rsidRPr="00BC4F5F" w:rsidRDefault="00360D48" w:rsidP="00360D48">
      <w:pPr>
        <w:pStyle w:val="CBDNormalNoNumber"/>
        <w:tabs>
          <w:tab w:val="clear" w:pos="567"/>
        </w:tabs>
        <w:ind w:left="1134" w:firstLine="567"/>
        <w:rPr>
          <w:lang w:val="es-ES_tradnl"/>
        </w:rPr>
      </w:pPr>
      <w:r w:rsidRPr="00BC4F5F">
        <w:rPr>
          <w:highlight w:val="lightGray"/>
          <w:lang w:val="es-ES_tradnl"/>
        </w:rPr>
        <w:t>b)</w:t>
      </w:r>
      <w:r w:rsidRPr="00BC4F5F">
        <w:rPr>
          <w:highlight w:val="lightGray"/>
          <w:lang w:val="es-ES_tradnl"/>
        </w:rPr>
        <w:tab/>
        <w:t>Intensificar</w:t>
      </w:r>
      <w:r w:rsidRPr="00BC4F5F">
        <w:rPr>
          <w:lang w:val="es-ES_tradnl"/>
        </w:rPr>
        <w:t xml:space="preserve">, cuando los riesgos fiscales y económicos relacionados con la diversidad biológica sean pertinentes a nivel nacional, </w:t>
      </w:r>
      <w:r w:rsidRPr="00BC4F5F">
        <w:rPr>
          <w:highlight w:val="lightGray"/>
          <w:lang w:val="es-ES_tradnl"/>
        </w:rPr>
        <w:t>la integración de</w:t>
      </w:r>
      <w:r w:rsidR="00450CA0">
        <w:rPr>
          <w:highlight w:val="lightGray"/>
          <w:lang w:val="es-ES_tradnl"/>
        </w:rPr>
        <w:t xml:space="preserve"> c</w:t>
      </w:r>
      <w:r w:rsidRPr="00BC4F5F">
        <w:rPr>
          <w:highlight w:val="lightGray"/>
          <w:lang w:val="es-ES_tradnl"/>
        </w:rPr>
        <w:t>onsideracione</w:t>
      </w:r>
      <w:r w:rsidR="00450CA0">
        <w:rPr>
          <w:highlight w:val="lightGray"/>
          <w:lang w:val="es-ES_tradnl"/>
        </w:rPr>
        <w:t xml:space="preserve">s </w:t>
      </w:r>
      <w:r w:rsidRPr="00BC4F5F">
        <w:rPr>
          <w:lang w:val="es-ES_tradnl"/>
        </w:rPr>
        <w:t xml:space="preserve">pertinentes </w:t>
      </w:r>
      <w:r w:rsidRPr="00BC4F5F">
        <w:rPr>
          <w:highlight w:val="lightGray"/>
          <w:lang w:val="es-ES_tradnl"/>
        </w:rPr>
        <w:t>relativas a la biodiversidad en las estrategias nacionales de gestión de la deuda</w:t>
      </w:r>
      <w:r w:rsidRPr="00BC4F5F">
        <w:rPr>
          <w:lang w:val="es-ES_tradnl"/>
        </w:rPr>
        <w:t xml:space="preserve"> y las evaluaciones nacionales en materia fiscal y de sostenibilidad de la deuda,</w:t>
      </w:r>
      <w:r w:rsidRPr="00BC4F5F">
        <w:rPr>
          <w:highlight w:val="lightGray"/>
          <w:lang w:val="es-ES_tradnl"/>
        </w:rPr>
        <w:t xml:space="preserve"> y explorar vías alternativas de gestión de la deuda que no den lugar a corrientes financieras perjudiciales para la biodiversidad;</w:t>
      </w:r>
    </w:p>
    <w:p w14:paraId="583E43AF" w14:textId="77777777" w:rsidR="00360D48" w:rsidRPr="00BC4F5F" w:rsidRDefault="00360D48" w:rsidP="00360D48">
      <w:pPr>
        <w:pStyle w:val="CBDNormalNoNumber"/>
        <w:tabs>
          <w:tab w:val="clear" w:pos="567"/>
        </w:tabs>
        <w:ind w:left="1134" w:firstLine="567"/>
        <w:rPr>
          <w:lang w:val="es-ES_tradnl"/>
        </w:rPr>
      </w:pPr>
      <w:r w:rsidRPr="00BC4F5F">
        <w:rPr>
          <w:highlight w:val="lightGray"/>
          <w:lang w:val="es-ES_tradnl"/>
        </w:rPr>
        <w:lastRenderedPageBreak/>
        <w:t>c)</w:t>
      </w:r>
      <w:r w:rsidRPr="00BC4F5F">
        <w:rPr>
          <w:highlight w:val="lightGray"/>
          <w:lang w:val="es-ES_tradnl"/>
        </w:rPr>
        <w:tab/>
        <w:t>Explorar otras oportunidades</w:t>
      </w:r>
      <w:r w:rsidRPr="00BC4F5F">
        <w:rPr>
          <w:lang w:val="es-ES_tradnl"/>
        </w:rPr>
        <w:t xml:space="preserve">, cuando sea pertinente, </w:t>
      </w:r>
      <w:r w:rsidRPr="00BC4F5F">
        <w:rPr>
          <w:highlight w:val="lightGray"/>
          <w:lang w:val="es-ES_tradnl"/>
        </w:rPr>
        <w:t xml:space="preserve">para aplicar instrumentos </w:t>
      </w:r>
      <w:r w:rsidRPr="00BC4F5F">
        <w:rPr>
          <w:strike/>
          <w:lang w:val="es-ES_tradnl"/>
        </w:rPr>
        <w:t xml:space="preserve">financieros </w:t>
      </w:r>
      <w:r w:rsidRPr="00BC4F5F">
        <w:rPr>
          <w:lang w:val="es-ES_tradnl"/>
        </w:rPr>
        <w:t xml:space="preserve">fiscales </w:t>
      </w:r>
      <w:r w:rsidRPr="00BC4F5F">
        <w:rPr>
          <w:highlight w:val="lightGray"/>
          <w:lang w:val="es-ES_tradnl"/>
        </w:rPr>
        <w:t>relacionados con la deuda</w:t>
      </w:r>
      <w:r w:rsidRPr="00BC4F5F">
        <w:rPr>
          <w:strike/>
          <w:lang w:val="es-ES_tradnl"/>
        </w:rPr>
        <w:t xml:space="preserve"> en favor de la biodiversidad,</w:t>
      </w:r>
      <w:r w:rsidRPr="00BC4F5F">
        <w:rPr>
          <w:lang w:val="es-ES_tradnl"/>
        </w:rPr>
        <w:t xml:space="preserve"> para apoyar la implementación del marco de biodiversidad</w:t>
      </w:r>
      <w:r w:rsidRPr="00BC4F5F">
        <w:rPr>
          <w:highlight w:val="lightGray"/>
          <w:lang w:val="es-ES_tradnl"/>
        </w:rPr>
        <w:t>, teniendo en cuenta los contextos y las circunstancias nacionales;</w:t>
      </w:r>
    </w:p>
    <w:p w14:paraId="67B77188" w14:textId="77777777" w:rsidR="00360D48" w:rsidRPr="00BC4F5F" w:rsidRDefault="00360D48" w:rsidP="00360D48">
      <w:pPr>
        <w:pStyle w:val="CBDNormalNoNumber"/>
        <w:tabs>
          <w:tab w:val="clear" w:pos="567"/>
        </w:tabs>
        <w:ind w:left="1134" w:firstLine="567"/>
        <w:rPr>
          <w:lang w:val="es-ES_tradnl"/>
        </w:rPr>
      </w:pPr>
      <w:r w:rsidRPr="00BC4F5F">
        <w:rPr>
          <w:highlight w:val="lightGray"/>
          <w:lang w:val="es-ES_tradnl"/>
        </w:rPr>
        <w:t>6.</w:t>
      </w:r>
      <w:r w:rsidRPr="00BC4F5F">
        <w:rPr>
          <w:b/>
          <w:highlight w:val="lightGray"/>
          <w:lang w:val="es-ES_tradnl"/>
        </w:rPr>
        <w:tab/>
      </w:r>
      <w:r w:rsidRPr="00BC4F5F">
        <w:rPr>
          <w:i/>
          <w:iCs/>
          <w:highlight w:val="lightGray"/>
          <w:lang w:val="es-ES_tradnl"/>
        </w:rPr>
        <w:t>Alienta</w:t>
      </w:r>
      <w:r w:rsidRPr="00BC4F5F">
        <w:rPr>
          <w:highlight w:val="lightGray"/>
          <w:lang w:val="es-ES_tradnl"/>
        </w:rPr>
        <w:t xml:space="preserve"> a las organizaciones e iniciativas internacionales o regionales pertinentes, como la Iniciativa de Financiación de la Biodiversidad del Programa de las Naciones Unidas para el Desarrollo, a apoyar las actividades descritas en el párrafo 5 anterior, entre otras cosas, mediante la identificación de buenas prácticas y lecciones aprendidas</w:t>
      </w:r>
      <w:r w:rsidRPr="00BC4F5F">
        <w:rPr>
          <w:lang w:val="es-ES_tradnl"/>
        </w:rPr>
        <w:t xml:space="preserve"> y la prestación de apoyo a las iniciativas destinadas a aumentar su visibilidad</w:t>
      </w:r>
      <w:r w:rsidRPr="00BC4F5F">
        <w:rPr>
          <w:shd w:val="clear" w:color="auto" w:fill="F2F2F2" w:themeFill="background1" w:themeFillShade="F2"/>
          <w:lang w:val="es-ES_tradnl"/>
        </w:rPr>
        <w:t>;</w:t>
      </w:r>
    </w:p>
    <w:p w14:paraId="038B49E6" w14:textId="77777777" w:rsidR="00360D48" w:rsidRPr="00BC4F5F" w:rsidRDefault="00360D48" w:rsidP="00360D48">
      <w:pPr>
        <w:pStyle w:val="CBDNormalNoNumber"/>
        <w:shd w:val="clear" w:color="auto" w:fill="D9D9D9" w:themeFill="background1" w:themeFillShade="D9"/>
        <w:tabs>
          <w:tab w:val="clear" w:pos="567"/>
        </w:tabs>
        <w:ind w:left="1134" w:firstLine="567"/>
        <w:rPr>
          <w:lang w:val="es-ES_tradnl"/>
        </w:rPr>
      </w:pPr>
      <w:r w:rsidRPr="00BC4F5F">
        <w:rPr>
          <w:lang w:val="es-ES_tradnl"/>
        </w:rPr>
        <w:t>7.</w:t>
      </w:r>
      <w:r w:rsidRPr="00BC4F5F">
        <w:rPr>
          <w:i/>
          <w:lang w:val="es-ES_tradnl"/>
        </w:rPr>
        <w:tab/>
        <w:t>Invita</w:t>
      </w:r>
      <w:r w:rsidRPr="00BC4F5F">
        <w:rPr>
          <w:lang w:val="es-ES_tradnl"/>
        </w:rPr>
        <w:t xml:space="preserve"> 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p>
    <w:p w14:paraId="119EA7B7" w14:textId="77777777" w:rsidR="00360D48" w:rsidRPr="00BC4F5F" w:rsidRDefault="00360D48" w:rsidP="00360D48">
      <w:pPr>
        <w:pStyle w:val="CBDNormalNoNumber"/>
        <w:tabs>
          <w:tab w:val="clear" w:pos="567"/>
        </w:tabs>
        <w:ind w:left="1134" w:firstLine="567"/>
        <w:rPr>
          <w:i/>
          <w:iCs/>
          <w:lang w:val="es-ES_tradnl"/>
        </w:rPr>
      </w:pPr>
      <w:r w:rsidRPr="00BC4F5F">
        <w:rPr>
          <w:shd w:val="clear" w:color="auto" w:fill="D9D9D9" w:themeFill="background1" w:themeFillShade="D9"/>
          <w:lang w:val="es-ES_tradnl"/>
        </w:rPr>
        <w:t>a)</w:t>
      </w:r>
      <w:r w:rsidRPr="00BC4F5F">
        <w:rPr>
          <w:shd w:val="clear" w:color="auto" w:fill="D9D9D9" w:themeFill="background1" w:themeFillShade="D9"/>
          <w:lang w:val="es-ES_tradnl"/>
        </w:rPr>
        <w:tab/>
        <w:t>Tener en cuenta las directrices voluntarias sobre salvaguardias en los mecanismos de financiación de la biodiversidad</w:t>
      </w:r>
      <w:r w:rsidRPr="00BC4F5F">
        <w:rPr>
          <w:rStyle w:val="Refdenotaalpie"/>
          <w:shd w:val="clear" w:color="auto" w:fill="D9D9D9" w:themeFill="background1" w:themeFillShade="D9"/>
          <w:lang w:val="es-ES_tradnl"/>
        </w:rPr>
        <w:footnoteReference w:id="8"/>
      </w:r>
      <w:r w:rsidRPr="00BC4F5F">
        <w:rPr>
          <w:shd w:val="clear" w:color="auto" w:fill="D9D9D9" w:themeFill="background1" w:themeFillShade="D9"/>
          <w:lang w:val="es-ES_tradnl"/>
        </w:rPr>
        <w:t xml:space="preserve"> al seleccionar, diseñar y aplicar mecanismos de financiación de la biodiversidad, y al elaborar salvaguardias específicas de cada instrumento para ellos, con miras a aprovechar efectivamente sus efectos positivos y evitar o mitigar los efectos negativos</w:t>
      </w:r>
      <w:r w:rsidRPr="00BC4F5F">
        <w:rPr>
          <w:lang w:val="es-ES_tradnl"/>
        </w:rPr>
        <w:t>, al tiempo que se promueven la coherencia y las sinergias con los marcos y normas de salvaguardias existentes que utilizan las instituciones financieras nacionales e internacionales, y teniendo en cuenta, según proceda, las iniciativas y herramientas no gubernamentales pertinentes</w:t>
      </w:r>
      <w:r w:rsidRPr="00BC4F5F">
        <w:rPr>
          <w:shd w:val="clear" w:color="auto" w:fill="D9D9D9" w:themeFill="background1" w:themeFillShade="D9"/>
          <w:lang w:val="es-ES_tradnl"/>
        </w:rPr>
        <w:t>;</w:t>
      </w:r>
    </w:p>
    <w:p w14:paraId="0E94E2F0" w14:textId="77777777" w:rsidR="00360D48" w:rsidRPr="00BC4F5F" w:rsidRDefault="00360D48" w:rsidP="00360D48">
      <w:pPr>
        <w:pStyle w:val="CBDNormalNoNumber"/>
        <w:tabs>
          <w:tab w:val="clear" w:pos="567"/>
        </w:tabs>
        <w:ind w:left="1134" w:firstLine="567"/>
        <w:rPr>
          <w:i/>
          <w:iCs/>
          <w:lang w:val="es-ES_tradnl"/>
        </w:rPr>
      </w:pPr>
      <w:r w:rsidRPr="00BC4F5F">
        <w:rPr>
          <w:shd w:val="clear" w:color="auto" w:fill="D9D9D9" w:themeFill="background1" w:themeFillShade="D9"/>
          <w:lang w:val="es-ES_tradnl"/>
        </w:rPr>
        <w:t>b)</w:t>
      </w:r>
      <w:r w:rsidRPr="00BC4F5F">
        <w:rPr>
          <w:shd w:val="clear" w:color="auto" w:fill="D9D9D9" w:themeFill="background1" w:themeFillShade="D9"/>
          <w:lang w:val="es-ES_tradnl"/>
        </w:rPr>
        <w:tab/>
        <w:t>Tener en cuenta las directrices voluntarias sobre salvaguardias en los mecanismos de financiación de la biodiversidad en el contexto de la revisión y armonización en curso de las normas de salvaguardia, según proceda</w:t>
      </w:r>
      <w:r w:rsidRPr="00BC4F5F">
        <w:rPr>
          <w:lang w:val="es-ES_tradnl"/>
        </w:rPr>
        <w:t>, incluido por medio de la armonización con los marcos jurídicos y reglamentarios pertinentes de carácter nacional, con miras a facilitar su aplicación efectiva a nivel nacional y local</w:t>
      </w:r>
      <w:r w:rsidRPr="00BC4F5F">
        <w:rPr>
          <w:shd w:val="clear" w:color="auto" w:fill="D9D9D9" w:themeFill="background1" w:themeFillShade="D9"/>
          <w:lang w:val="es-ES_tradnl"/>
        </w:rPr>
        <w:t>;</w:t>
      </w:r>
    </w:p>
    <w:p w14:paraId="00D2C14C" w14:textId="77777777" w:rsidR="00360D48" w:rsidRPr="00BC4F5F" w:rsidRDefault="00360D48" w:rsidP="00360D48">
      <w:pPr>
        <w:pStyle w:val="CBDNormalNoNumber"/>
        <w:shd w:val="clear" w:color="auto" w:fill="D9D9D9" w:themeFill="background1" w:themeFillShade="D9"/>
        <w:tabs>
          <w:tab w:val="clear" w:pos="567"/>
        </w:tabs>
        <w:ind w:left="1134" w:firstLine="567"/>
        <w:rPr>
          <w:i/>
          <w:iCs/>
          <w:lang w:val="es-ES_tradnl"/>
        </w:rPr>
      </w:pPr>
      <w:r w:rsidRPr="00BC4F5F">
        <w:rPr>
          <w:lang w:val="es-ES_tradnl"/>
        </w:rPr>
        <w:t>c)</w:t>
      </w:r>
      <w:r w:rsidRPr="00BC4F5F">
        <w:rPr>
          <w:lang w:val="es-ES_tradnl"/>
        </w:rPr>
        <w:tab/>
        <w:t>Proporcionar creación y desarrollo de capacidad, y reforzarlos, para la aplicación efectiva de las normas de salvaguardia, según proceda;</w:t>
      </w:r>
    </w:p>
    <w:p w14:paraId="304E2540" w14:textId="77777777" w:rsidR="00360D48" w:rsidRPr="00BC4F5F" w:rsidRDefault="00360D48" w:rsidP="00360D48">
      <w:pPr>
        <w:pStyle w:val="CBDNormalNoNumber"/>
        <w:shd w:val="clear" w:color="auto" w:fill="D9D9D9" w:themeFill="background1" w:themeFillShade="D9"/>
        <w:tabs>
          <w:tab w:val="clear" w:pos="567"/>
        </w:tabs>
        <w:ind w:left="1134" w:firstLine="567"/>
        <w:rPr>
          <w:lang w:val="es-ES_tradnl"/>
        </w:rPr>
      </w:pPr>
      <w:r w:rsidRPr="00BC4F5F">
        <w:rPr>
          <w:lang w:val="es-ES_tradnl"/>
        </w:rPr>
        <w:t>d)</w:t>
      </w:r>
      <w:r w:rsidRPr="00BC4F5F">
        <w:rPr>
          <w:lang w:val="es-ES_tradnl"/>
        </w:rPr>
        <w:tab/>
        <w:t>Compartir estudios de casos, buenas prácticas y lecciones aprendidas pertinentes y materiales de orientación conexos a través del mecanismo de facilitación del Convenio;</w:t>
      </w:r>
    </w:p>
    <w:p w14:paraId="40F7DB46" w14:textId="77777777" w:rsidR="00360D48" w:rsidRPr="00BC4F5F" w:rsidRDefault="00360D48" w:rsidP="00360D48">
      <w:pPr>
        <w:pStyle w:val="CBDNormalNoNumber"/>
        <w:shd w:val="clear" w:color="auto" w:fill="D9D9D9" w:themeFill="background1" w:themeFillShade="D9"/>
        <w:tabs>
          <w:tab w:val="clear" w:pos="567"/>
        </w:tabs>
        <w:ind w:left="1134" w:firstLine="567"/>
        <w:rPr>
          <w:lang w:val="es-ES_tradnl"/>
        </w:rPr>
      </w:pPr>
      <w:r w:rsidRPr="00BC4F5F">
        <w:rPr>
          <w:lang w:val="es-ES_tradnl"/>
        </w:rPr>
        <w:t>8.</w:t>
      </w:r>
      <w:r w:rsidRPr="00BC4F5F">
        <w:rPr>
          <w:lang w:val="es-ES_tradnl"/>
        </w:rPr>
        <w:tab/>
      </w:r>
      <w:r w:rsidRPr="00BC4F5F">
        <w:rPr>
          <w:i/>
          <w:lang w:val="es-ES_tradnl"/>
        </w:rPr>
        <w:t>Invita</w:t>
      </w:r>
      <w:r w:rsidRPr="00BC4F5F">
        <w:rPr>
          <w:lang w:val="es-ES_tradnl"/>
        </w:rPr>
        <w:t xml:space="preserve"> a las Partes, según proceda y de conformidad con las circunstancias, prioridades y capacidades nacionales, en consonancia con la legislación nacional, y a otros gobiernos de todos los niveles, los órganos rectores de los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p>
    <w:p w14:paraId="7FA3D54B" w14:textId="77777777" w:rsidR="00360D48" w:rsidRPr="00BC4F5F" w:rsidRDefault="00360D48" w:rsidP="00360D48">
      <w:pPr>
        <w:pStyle w:val="CBDNormalNoNumber"/>
        <w:shd w:val="clear" w:color="auto" w:fill="D9D9D9" w:themeFill="background1" w:themeFillShade="D9"/>
        <w:tabs>
          <w:tab w:val="clear" w:pos="567"/>
        </w:tabs>
        <w:ind w:left="1134" w:firstLine="567"/>
        <w:rPr>
          <w:lang w:val="es-ES_tradnl"/>
        </w:rPr>
      </w:pPr>
      <w:r w:rsidRPr="00BC4F5F">
        <w:rPr>
          <w:lang w:val="es-ES_tradnl"/>
        </w:rPr>
        <w:t>a)</w:t>
      </w:r>
      <w:r w:rsidRPr="00BC4F5F">
        <w:rPr>
          <w:lang w:val="es-ES_tradnl"/>
        </w:rPr>
        <w:tab/>
        <w:t>El aprovechamiento de las oportunidades emergentes para generar o ampliar las sinergias entre la biodiversidad y las medidas relacionadas con la financiación para el clima;</w:t>
      </w:r>
    </w:p>
    <w:p w14:paraId="4B3AA411" w14:textId="77777777" w:rsidR="00360D48" w:rsidRPr="00BC4F5F" w:rsidRDefault="00360D48" w:rsidP="00360D48">
      <w:pPr>
        <w:pStyle w:val="CBDNormalNoNumber"/>
        <w:shd w:val="clear" w:color="auto" w:fill="D9D9D9" w:themeFill="background1" w:themeFillShade="D9"/>
        <w:tabs>
          <w:tab w:val="clear" w:pos="567"/>
        </w:tabs>
        <w:ind w:left="1134" w:firstLine="567"/>
        <w:rPr>
          <w:lang w:val="es-ES_tradnl"/>
        </w:rPr>
      </w:pPr>
      <w:r w:rsidRPr="00BC4F5F">
        <w:rPr>
          <w:lang w:val="es-ES_tradnl"/>
        </w:rPr>
        <w:t>b)</w:t>
      </w:r>
      <w:r w:rsidRPr="00BC4F5F">
        <w:rPr>
          <w:lang w:val="es-ES_tradnl"/>
        </w:rPr>
        <w:tab/>
        <w:t>La integración o una mayor integración de consideraciones relativas a la biodiversidad en los mecanismos y las políticas internacionales y nacionales de financiación para el clima, mediante lo siguiente:</w:t>
      </w:r>
    </w:p>
    <w:p w14:paraId="23B509E7" w14:textId="77777777" w:rsidR="00360D48" w:rsidRPr="00BC4F5F" w:rsidRDefault="00360D48" w:rsidP="00360D48">
      <w:pPr>
        <w:pStyle w:val="CBDNormalNoNumber"/>
        <w:shd w:val="clear" w:color="auto" w:fill="D9D9D9" w:themeFill="background1" w:themeFillShade="D9"/>
        <w:tabs>
          <w:tab w:val="clear" w:pos="567"/>
        </w:tabs>
        <w:ind w:left="2268" w:hanging="567"/>
        <w:rPr>
          <w:lang w:val="es-ES_tradnl"/>
        </w:rPr>
      </w:pPr>
      <w:r w:rsidRPr="00BC4F5F">
        <w:rPr>
          <w:lang w:val="es-ES_tradnl"/>
        </w:rPr>
        <w:t>i)</w:t>
      </w:r>
      <w:r w:rsidRPr="00BC4F5F">
        <w:rPr>
          <w:lang w:val="es-ES_tradnl"/>
        </w:rPr>
        <w:tab/>
        <w:t>El fortalecimiento de la coordinación intersectorial a nivel nacional;</w:t>
      </w:r>
    </w:p>
    <w:p w14:paraId="7349A1B4" w14:textId="77777777" w:rsidR="00360D48" w:rsidRPr="00BC4F5F" w:rsidRDefault="00360D48" w:rsidP="00360D48">
      <w:pPr>
        <w:pStyle w:val="CBDNormalNoNumber"/>
        <w:shd w:val="clear" w:color="auto" w:fill="D9D9D9" w:themeFill="background1" w:themeFillShade="D9"/>
        <w:tabs>
          <w:tab w:val="clear" w:pos="567"/>
        </w:tabs>
        <w:ind w:left="2268" w:hanging="567"/>
        <w:rPr>
          <w:lang w:val="es-ES_tradnl"/>
        </w:rPr>
      </w:pPr>
      <w:r w:rsidRPr="00BC4F5F">
        <w:rPr>
          <w:lang w:val="es-ES_tradnl"/>
        </w:rPr>
        <w:lastRenderedPageBreak/>
        <w:t>ii)</w:t>
      </w:r>
      <w:r w:rsidRPr="00BC4F5F">
        <w:rPr>
          <w:lang w:val="es-ES_tradnl"/>
        </w:rPr>
        <w:tab/>
        <w:t>La aplicación y promoción de políticas de salvaguardia sociales y ambientales que reduzcan y prevengan los posibles efectos perjudiciales que pudieran tener en la biodiversidad los programas, proyectos y actividades relacionados con el clima;</w:t>
      </w:r>
    </w:p>
    <w:p w14:paraId="6ACD7ED5" w14:textId="77777777" w:rsidR="00360D48" w:rsidRPr="00BC4F5F" w:rsidRDefault="00360D48" w:rsidP="00360D48">
      <w:pPr>
        <w:pStyle w:val="CBDNormalNoNumber"/>
        <w:shd w:val="clear" w:color="auto" w:fill="D9D9D9" w:themeFill="background1" w:themeFillShade="D9"/>
        <w:tabs>
          <w:tab w:val="clear" w:pos="567"/>
        </w:tabs>
        <w:ind w:left="2268" w:hanging="567"/>
        <w:rPr>
          <w:lang w:val="es-ES_tradnl"/>
        </w:rPr>
      </w:pPr>
      <w:r w:rsidRPr="00BC4F5F">
        <w:rPr>
          <w:lang w:val="es-ES_tradnl"/>
        </w:rPr>
        <w:t>iii)</w:t>
      </w:r>
      <w:r w:rsidRPr="00BC4F5F">
        <w:rPr>
          <w:lang w:val="es-ES_tradnl"/>
        </w:rPr>
        <w:tab/>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Convenio;</w:t>
      </w:r>
    </w:p>
    <w:p w14:paraId="6887A8BD" w14:textId="77777777" w:rsidR="00360D48" w:rsidRPr="00BC4F5F" w:rsidRDefault="00360D48" w:rsidP="00360D48">
      <w:pPr>
        <w:pStyle w:val="CBDNormalNoNumber"/>
        <w:tabs>
          <w:tab w:val="clear" w:pos="567"/>
        </w:tabs>
        <w:ind w:left="2268" w:hanging="567"/>
        <w:rPr>
          <w:lang w:val="es-ES_tradnl"/>
        </w:rPr>
      </w:pPr>
      <w:r w:rsidRPr="00BC4F5F">
        <w:rPr>
          <w:lang w:val="es-ES_tradnl"/>
        </w:rPr>
        <w:t>iv)</w:t>
      </w:r>
      <w:r w:rsidRPr="00BC4F5F">
        <w:rPr>
          <w:lang w:val="es-ES_tradnl"/>
        </w:rPr>
        <w:tab/>
        <w:t>La elaboración y aplicación, durante las etapas de planificación y preparación del proyecto, según proceda, de indicadores, parámetros de medición y enfoques de presentación de informes compatibles para evaluar los resultados y los beneficios secundarios para la diversidad biológica en el marco de las políticas, los programas y los proyectos de financiación para el clima;</w:t>
      </w:r>
    </w:p>
    <w:p w14:paraId="37614223" w14:textId="21712E55" w:rsidR="00360D48" w:rsidRPr="00BC4F5F" w:rsidRDefault="00360D48" w:rsidP="00360D48">
      <w:pPr>
        <w:pStyle w:val="CBDNormalNoNumber"/>
        <w:tabs>
          <w:tab w:val="clear" w:pos="567"/>
        </w:tabs>
        <w:ind w:left="1701" w:hanging="567"/>
        <w:rPr>
          <w:lang w:val="es-ES_tradnl"/>
        </w:rPr>
      </w:pPr>
      <w:r w:rsidRPr="00BC4F5F">
        <w:rPr>
          <w:shd w:val="clear" w:color="auto" w:fill="D9D9D9" w:themeFill="background1" w:themeFillShade="D9"/>
          <w:lang w:val="es-ES_tradnl"/>
        </w:rPr>
        <w:t>c)</w:t>
      </w:r>
      <w:r w:rsidRPr="00BC4F5F">
        <w:rPr>
          <w:shd w:val="clear" w:color="auto" w:fill="D9D9D9" w:themeFill="background1" w:themeFillShade="D9"/>
          <w:lang w:val="es-ES_tradnl"/>
        </w:rPr>
        <w:tab/>
        <w:t>La profundización significativa de la comprensión y la transparencia de la contabilidad y la presentación de informes en relación con las contribuciones financieras como parte de los esfuerzos por optimizar los beneficios secundarios y las sinergias,</w:t>
      </w:r>
      <w:r w:rsidRPr="00BC4F5F">
        <w:rPr>
          <w:lang w:val="es-ES_tradnl"/>
        </w:rPr>
        <w:t xml:space="preserve"> incluido, según proceda, mediante la mejora de la compatibilidad de los sistemas de seguimiento de la financiación de la diversidad biológica y la financiación para el clima y evitando el doble cómputo, </w:t>
      </w:r>
      <w:r w:rsidRPr="00BC4F5F">
        <w:rPr>
          <w:shd w:val="clear" w:color="auto" w:fill="D9D9D9" w:themeFill="background1" w:themeFillShade="D9"/>
          <w:lang w:val="es-ES_tradnl"/>
        </w:rPr>
        <w:t>de conformidad con el ámbito de aplicación de los respectivos acuerdos ambientales multilaterales.</w:t>
      </w:r>
    </w:p>
    <w:p w14:paraId="29330CA3" w14:textId="77777777" w:rsidR="00360D48" w:rsidRPr="00BC4F5F" w:rsidRDefault="00360D48" w:rsidP="00360D48">
      <w:pPr>
        <w:pStyle w:val="CBDNormalNumber"/>
        <w:numPr>
          <w:ilvl w:val="0"/>
          <w:numId w:val="0"/>
        </w:numPr>
        <w:tabs>
          <w:tab w:val="clear" w:pos="567"/>
        </w:tabs>
        <w:ind w:left="1134" w:firstLine="567"/>
        <w:jc w:val="center"/>
        <w:rPr>
          <w:lang w:val="es-ES_tradnl"/>
        </w:rPr>
      </w:pPr>
      <w:r w:rsidRPr="00BC4F5F">
        <w:rPr>
          <w:lang w:val="es-ES_tradnl"/>
        </w:rPr>
        <w:t>__________</w:t>
      </w:r>
    </w:p>
    <w:sectPr w:rsidR="00360D48" w:rsidRPr="00BC4F5F" w:rsidSect="00AC34C4">
      <w:headerReference w:type="even" r:id="rId46"/>
      <w:headerReference w:type="default" r:id="rId47"/>
      <w:footerReference w:type="even" r:id="rId48"/>
      <w:footerReference w:type="default" r:id="rId49"/>
      <w:headerReference w:type="first" r:id="rId5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1A162" w14:textId="77777777" w:rsidR="00373973" w:rsidRPr="00866063" w:rsidRDefault="00373973" w:rsidP="00CF1848">
      <w:r w:rsidRPr="00866063">
        <w:separator/>
      </w:r>
    </w:p>
  </w:endnote>
  <w:endnote w:type="continuationSeparator" w:id="0">
    <w:p w14:paraId="7BB8E8B8" w14:textId="77777777" w:rsidR="00373973" w:rsidRPr="00866063" w:rsidRDefault="0037397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64E9D" w14:textId="77777777" w:rsidR="00373973" w:rsidRPr="00866063" w:rsidRDefault="00373973" w:rsidP="00CF1848">
      <w:r w:rsidRPr="00866063">
        <w:separator/>
      </w:r>
    </w:p>
  </w:footnote>
  <w:footnote w:type="continuationSeparator" w:id="0">
    <w:p w14:paraId="41393348" w14:textId="77777777" w:rsidR="00373973" w:rsidRPr="00866063" w:rsidRDefault="00373973" w:rsidP="00CF1848">
      <w:r w:rsidRPr="00866063">
        <w:continuationSeparator/>
      </w:r>
    </w:p>
  </w:footnote>
  <w:footnote w:id="1">
    <w:p w14:paraId="4CAA5AE7" w14:textId="6F54E5C8" w:rsidR="00DF765C" w:rsidRPr="00360D48" w:rsidRDefault="00DF765C" w:rsidP="00DF765C">
      <w:pPr>
        <w:pStyle w:val="Textonotapie"/>
        <w:rPr>
          <w:lang w:val="es-ES"/>
        </w:rPr>
      </w:pPr>
      <w:r w:rsidRPr="00360D48">
        <w:rPr>
          <w:rStyle w:val="Refdenotaalpie"/>
          <w:lang w:val="es-ES"/>
        </w:rPr>
        <w:t>*</w:t>
      </w:r>
      <w:r w:rsidRPr="00360D48">
        <w:rPr>
          <w:lang w:val="es-ES"/>
        </w:rPr>
        <w:t xml:space="preserve"> </w:t>
      </w:r>
      <w:hyperlink r:id="rId1" w:history="1">
        <w:r w:rsidRPr="00BC4F5F">
          <w:rPr>
            <w:rStyle w:val="Hipervnculo"/>
            <w:lang w:val="es-ES"/>
          </w:rPr>
          <w:t>CBD/COP</w:t>
        </w:r>
        <w:r w:rsidRPr="00BC4F5F">
          <w:rPr>
            <w:rStyle w:val="Hipervnculo"/>
            <w:lang w:val="es-ES"/>
          </w:rPr>
          <w:t>/</w:t>
        </w:r>
        <w:r w:rsidRPr="00BC4F5F">
          <w:rPr>
            <w:rStyle w:val="Hipervnculo"/>
            <w:lang w:val="es-ES"/>
          </w:rPr>
          <w:t>17</w:t>
        </w:r>
        <w:r w:rsidRPr="00BC4F5F">
          <w:rPr>
            <w:rStyle w:val="Hipervnculo"/>
            <w:lang w:val="es-ES"/>
          </w:rPr>
          <w:t>/</w:t>
        </w:r>
        <w:r w:rsidRPr="00BC4F5F">
          <w:rPr>
            <w:rStyle w:val="Hipervnculo"/>
            <w:lang w:val="es-ES"/>
          </w:rPr>
          <w:t>1</w:t>
        </w:r>
        <w:r w:rsidR="00FF5EFC" w:rsidRPr="00BC4F5F">
          <w:rPr>
            <w:rStyle w:val="Hipervnculo"/>
            <w:lang w:val="es-ES"/>
          </w:rPr>
          <w:t>/Rev.1</w:t>
        </w:r>
      </w:hyperlink>
      <w:r w:rsidRPr="00360D48">
        <w:rPr>
          <w:lang w:val="es-ES"/>
        </w:rPr>
        <w:t>.</w:t>
      </w:r>
    </w:p>
  </w:footnote>
  <w:footnote w:id="2">
    <w:p w14:paraId="26788D7A" w14:textId="77777777" w:rsidR="00360D48" w:rsidRPr="00360D48" w:rsidRDefault="00360D48" w:rsidP="00360D48">
      <w:pPr>
        <w:pStyle w:val="Textonotapie"/>
        <w:rPr>
          <w:lang w:val="es-ES"/>
        </w:rPr>
      </w:pPr>
      <w:r>
        <w:rPr>
          <w:rStyle w:val="Refdenotaalpie"/>
        </w:rPr>
        <w:footnoteRef/>
      </w:r>
      <w:r w:rsidRPr="00360D48">
        <w:rPr>
          <w:lang w:val="es-ES"/>
        </w:rPr>
        <w:t xml:space="preserve"> Los párrafos pertinentes del proyecto de decisión se dejaron en suspenso a la espera de que se completaran los tres estudios.</w:t>
      </w:r>
    </w:p>
  </w:footnote>
  <w:footnote w:id="3">
    <w:p w14:paraId="79D84700" w14:textId="77777777" w:rsidR="00360D48" w:rsidRPr="00360D48" w:rsidRDefault="00360D48" w:rsidP="00360D48">
      <w:pPr>
        <w:pStyle w:val="Textonotapie"/>
        <w:rPr>
          <w:lang w:val="es-ES"/>
        </w:rPr>
      </w:pPr>
      <w:r>
        <w:rPr>
          <w:rStyle w:val="Refdenotaalpie"/>
        </w:rPr>
        <w:footnoteRef/>
      </w:r>
      <w:r w:rsidRPr="00360D48">
        <w:rPr>
          <w:lang w:val="es-ES"/>
        </w:rPr>
        <w:t xml:space="preserve"> Véanse el documento </w:t>
      </w:r>
      <w:hyperlink r:id="rId2" w:history="1">
        <w:r w:rsidRPr="00360D48">
          <w:rPr>
            <w:rStyle w:val="Hipervnculo"/>
            <w:lang w:val="es-ES"/>
          </w:rPr>
          <w:t>CBD/S</w:t>
        </w:r>
        <w:r w:rsidRPr="00360D48">
          <w:rPr>
            <w:rStyle w:val="Hipervnculo"/>
            <w:lang w:val="es-ES"/>
          </w:rPr>
          <w:t>B</w:t>
        </w:r>
        <w:r w:rsidRPr="00360D48">
          <w:rPr>
            <w:rStyle w:val="Hipervnculo"/>
            <w:lang w:val="es-ES"/>
          </w:rPr>
          <w:t>I/7/3</w:t>
        </w:r>
      </w:hyperlink>
      <w:r w:rsidRPr="00360D48">
        <w:rPr>
          <w:lang w:val="es-ES"/>
        </w:rPr>
        <w:t xml:space="preserve"> y los anexos que en él figuran, así como los documentos de información relacionados.</w:t>
      </w:r>
    </w:p>
  </w:footnote>
  <w:footnote w:id="4">
    <w:p w14:paraId="7928C85A" w14:textId="77777777" w:rsidR="00360D48" w:rsidRPr="00360D48" w:rsidRDefault="00360D48" w:rsidP="00360D48">
      <w:pPr>
        <w:pStyle w:val="Textonotapie"/>
        <w:rPr>
          <w:lang w:val="es-ES"/>
        </w:rPr>
      </w:pPr>
      <w:r>
        <w:rPr>
          <w:rStyle w:val="Refdenotaalpie"/>
        </w:rPr>
        <w:footnoteRef/>
      </w:r>
      <w:r w:rsidRPr="00360D48">
        <w:rPr>
          <w:lang w:val="es-ES"/>
        </w:rPr>
        <w:t xml:space="preserve"> </w:t>
      </w:r>
      <w:hyperlink r:id="rId3" w:history="1">
        <w:r w:rsidRPr="00360D48">
          <w:rPr>
            <w:rStyle w:val="Hipervnculo"/>
            <w:lang w:val="es-ES"/>
          </w:rPr>
          <w:t>CBD/SBI/7/I</w:t>
        </w:r>
        <w:r w:rsidRPr="00360D48">
          <w:rPr>
            <w:rStyle w:val="Hipervnculo"/>
            <w:lang w:val="es-ES"/>
          </w:rPr>
          <w:t>N</w:t>
        </w:r>
        <w:r w:rsidRPr="00360D48">
          <w:rPr>
            <w:rStyle w:val="Hipervnculo"/>
            <w:lang w:val="es-ES"/>
          </w:rPr>
          <w:t>F/20</w:t>
        </w:r>
      </w:hyperlink>
      <w:r w:rsidRPr="00360D48">
        <w:rPr>
          <w:lang w:val="es-ES"/>
        </w:rPr>
        <w:t>. Dada su pertinencia para el marco de seguimiento para el Marco Mundial de Biodiversidad de Kunming-Montreal, el estudio se examinó en el contexto de la actualización de los metadatos de los indicadores de cabecera y se proporcionó en la 28ª reunión del Órgano Subsidiario de Asesoramiento Científico, Técnico y Tecnológico como documento de referencia.</w:t>
      </w:r>
    </w:p>
  </w:footnote>
  <w:footnote w:id="5">
    <w:p w14:paraId="2C9B208E" w14:textId="77777777" w:rsidR="00360D48" w:rsidRPr="00B54070" w:rsidRDefault="00360D48" w:rsidP="00360D48">
      <w:pPr>
        <w:pStyle w:val="Textonotapie"/>
      </w:pPr>
      <w:r>
        <w:rPr>
          <w:rStyle w:val="Refdenotaalpie"/>
        </w:rPr>
        <w:footnoteRef/>
      </w:r>
      <w:r w:rsidRPr="00B54070">
        <w:t xml:space="preserve"> </w:t>
      </w:r>
      <w:hyperlink r:id="rId4" w:history="1">
        <w:r w:rsidRPr="00B54070">
          <w:rPr>
            <w:rStyle w:val="Hipervnculo"/>
          </w:rPr>
          <w:t>CBD/SBI/7</w:t>
        </w:r>
        <w:r w:rsidRPr="00B54070">
          <w:rPr>
            <w:rStyle w:val="Hipervnculo"/>
          </w:rPr>
          <w:t>/</w:t>
        </w:r>
        <w:r w:rsidRPr="00B54070">
          <w:rPr>
            <w:rStyle w:val="Hipervnculo"/>
          </w:rPr>
          <w:t>3/Add.4</w:t>
        </w:r>
      </w:hyperlink>
      <w:r w:rsidRPr="00B54070">
        <w:t>.</w:t>
      </w:r>
    </w:p>
  </w:footnote>
  <w:footnote w:id="6">
    <w:p w14:paraId="563CA4CD" w14:textId="77777777" w:rsidR="00360D48" w:rsidRPr="00B54070" w:rsidRDefault="00360D48" w:rsidP="00360D48">
      <w:pPr>
        <w:pStyle w:val="Textonotapie"/>
      </w:pPr>
      <w:r>
        <w:rPr>
          <w:rStyle w:val="Refdenotaalpie"/>
        </w:rPr>
        <w:footnoteRef/>
      </w:r>
      <w:r w:rsidRPr="00B54070">
        <w:t xml:space="preserve"> CBD/SBI/6/3/Rev.1.</w:t>
      </w:r>
    </w:p>
  </w:footnote>
  <w:footnote w:id="7">
    <w:p w14:paraId="6F8B35AB" w14:textId="77777777" w:rsidR="00360D48" w:rsidRPr="00B54070" w:rsidRDefault="00360D48" w:rsidP="00360D48">
      <w:pPr>
        <w:pStyle w:val="Textonotapie"/>
        <w:jc w:val="both"/>
      </w:pPr>
      <w:r>
        <w:rPr>
          <w:rStyle w:val="Refdenotaalpie"/>
        </w:rPr>
        <w:footnoteRef/>
      </w:r>
      <w:r w:rsidRPr="00B54070">
        <w:t xml:space="preserve"> Véanse </w:t>
      </w:r>
      <w:hyperlink r:id="rId5" w:history="1">
        <w:r w:rsidRPr="00B54070">
          <w:rPr>
            <w:rStyle w:val="Hipervnculo"/>
          </w:rPr>
          <w:t>CBD/S</w:t>
        </w:r>
        <w:r w:rsidRPr="00B54070">
          <w:rPr>
            <w:rStyle w:val="Hipervnculo"/>
          </w:rPr>
          <w:t>B</w:t>
        </w:r>
        <w:r w:rsidRPr="00B54070">
          <w:rPr>
            <w:rStyle w:val="Hipervnculo"/>
          </w:rPr>
          <w:t>I/7/4</w:t>
        </w:r>
      </w:hyperlink>
      <w:r w:rsidRPr="00B54070">
        <w:t xml:space="preserve">, </w:t>
      </w:r>
      <w:hyperlink r:id="rId6" w:history="1">
        <w:r w:rsidRPr="00B54070">
          <w:rPr>
            <w:rStyle w:val="Hipervnculo"/>
          </w:rPr>
          <w:t>CBD/S</w:t>
        </w:r>
        <w:r w:rsidRPr="00B54070">
          <w:rPr>
            <w:rStyle w:val="Hipervnculo"/>
          </w:rPr>
          <w:t>B</w:t>
        </w:r>
        <w:r w:rsidRPr="00B54070">
          <w:rPr>
            <w:rStyle w:val="Hipervnculo"/>
          </w:rPr>
          <w:t>I/7/4/Add.1</w:t>
        </w:r>
      </w:hyperlink>
      <w:r w:rsidRPr="00B54070">
        <w:t xml:space="preserve"> y </w:t>
      </w:r>
      <w:hyperlink r:id="rId7" w:history="1">
        <w:r w:rsidRPr="00B54070">
          <w:rPr>
            <w:rStyle w:val="Hipervnculo"/>
          </w:rPr>
          <w:t>CBD/SBI/</w:t>
        </w:r>
        <w:r w:rsidRPr="00B54070">
          <w:rPr>
            <w:rStyle w:val="Hipervnculo"/>
          </w:rPr>
          <w:t>7</w:t>
        </w:r>
        <w:r w:rsidRPr="00B54070">
          <w:rPr>
            <w:rStyle w:val="Hipervnculo"/>
          </w:rPr>
          <w:t>/INF/13</w:t>
        </w:r>
      </w:hyperlink>
      <w:r w:rsidRPr="00B54070">
        <w:t xml:space="preserve">. </w:t>
      </w:r>
    </w:p>
  </w:footnote>
  <w:footnote w:id="8">
    <w:p w14:paraId="4A96E239" w14:textId="77777777" w:rsidR="00360D48" w:rsidRPr="00E71C4C" w:rsidRDefault="00360D48" w:rsidP="00360D48">
      <w:pPr>
        <w:pStyle w:val="Textonotapie"/>
      </w:pPr>
      <w:r>
        <w:rPr>
          <w:rStyle w:val="Refdenotaalpie"/>
          <w:highlight w:val="lightGray"/>
        </w:rPr>
        <w:footnoteRef/>
      </w:r>
      <w:r>
        <w:rPr>
          <w:highlight w:val="lightGray"/>
        </w:rPr>
        <w:t xml:space="preserve"> Decisión </w:t>
      </w:r>
      <w:hyperlink r:id="rId8" w:history="1">
        <w:r>
          <w:rPr>
            <w:rStyle w:val="Hipervnculo"/>
            <w:highlight w:val="lightGray"/>
          </w:rPr>
          <w:t>XI</w:t>
        </w:r>
        <w:r>
          <w:rPr>
            <w:rStyle w:val="Hipervnculo"/>
            <w:highlight w:val="lightGray"/>
          </w:rPr>
          <w:t>I</w:t>
        </w:r>
        <w:r>
          <w:rPr>
            <w:rStyle w:val="Hipervnculo"/>
            <w:highlight w:val="lightGray"/>
          </w:rPr>
          <w:t>/3</w:t>
        </w:r>
      </w:hyperlink>
      <w:r>
        <w:rPr>
          <w:highlight w:val="lightGray"/>
        </w:rPr>
        <w:t>,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784696E" w:rsidR="00534681" w:rsidRPr="00866063" w:rsidRDefault="00B57F27" w:rsidP="007C4951">
        <w:pPr>
          <w:pStyle w:val="Encabezado"/>
          <w:spacing w:after="240"/>
          <w:rPr>
            <w:szCs w:val="20"/>
          </w:rPr>
        </w:pPr>
        <w:r w:rsidRPr="00866063">
          <w:rPr>
            <w:szCs w:val="20"/>
          </w:rPr>
          <w:t>CBD</w:t>
        </w:r>
        <w:r w:rsidR="006F4A9E">
          <w:rPr>
            <w:szCs w:val="20"/>
          </w:rPr>
          <w:t>/COP</w:t>
        </w:r>
        <w:r>
          <w:rPr>
            <w:szCs w:val="20"/>
          </w:rPr>
          <w:t>/17/5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6DCD678A" w:rsidR="009505C9" w:rsidRPr="00866063" w:rsidRDefault="006F4A9E" w:rsidP="007C4951">
        <w:pPr>
          <w:pStyle w:val="Encabezado"/>
          <w:spacing w:after="240"/>
          <w:jc w:val="right"/>
        </w:pPr>
        <w:r>
          <w:t>CBD/COP/17/5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Encabezado"/>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8B8"/>
    <w:multiLevelType w:val="hybridMultilevel"/>
    <w:tmpl w:val="C866711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2406272"/>
    <w:multiLevelType w:val="hybridMultilevel"/>
    <w:tmpl w:val="3662D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543A8"/>
    <w:multiLevelType w:val="hybridMultilevel"/>
    <w:tmpl w:val="0B4A7502"/>
    <w:lvl w:ilvl="0" w:tplc="ECE4959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9"/>
  </w:num>
  <w:num w:numId="11" w16cid:durableId="177493619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30928730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82648079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13867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84202509">
    <w:abstractNumId w:val="0"/>
  </w:num>
  <w:num w:numId="51" w16cid:durableId="8050021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568271470">
    <w:abstractNumId w:val="1"/>
  </w:num>
  <w:num w:numId="53" w16cid:durableId="90290606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B60"/>
    <w:rsid w:val="00000BE4"/>
    <w:rsid w:val="0000210F"/>
    <w:rsid w:val="000023F2"/>
    <w:rsid w:val="00002AC0"/>
    <w:rsid w:val="00003410"/>
    <w:rsid w:val="00003463"/>
    <w:rsid w:val="00003CC2"/>
    <w:rsid w:val="00003DAC"/>
    <w:rsid w:val="00003FE7"/>
    <w:rsid w:val="0000404C"/>
    <w:rsid w:val="00004119"/>
    <w:rsid w:val="0000425A"/>
    <w:rsid w:val="00004302"/>
    <w:rsid w:val="00004E28"/>
    <w:rsid w:val="0000506D"/>
    <w:rsid w:val="0000572E"/>
    <w:rsid w:val="0000575D"/>
    <w:rsid w:val="00006348"/>
    <w:rsid w:val="000063FD"/>
    <w:rsid w:val="00006CF2"/>
    <w:rsid w:val="00006F05"/>
    <w:rsid w:val="000071A4"/>
    <w:rsid w:val="0000761A"/>
    <w:rsid w:val="00010018"/>
    <w:rsid w:val="00010050"/>
    <w:rsid w:val="00010D1C"/>
    <w:rsid w:val="0001163B"/>
    <w:rsid w:val="00011DE9"/>
    <w:rsid w:val="00012387"/>
    <w:rsid w:val="000129F0"/>
    <w:rsid w:val="00013542"/>
    <w:rsid w:val="000137B0"/>
    <w:rsid w:val="00014095"/>
    <w:rsid w:val="00014B48"/>
    <w:rsid w:val="00014D4F"/>
    <w:rsid w:val="00015945"/>
    <w:rsid w:val="000160DA"/>
    <w:rsid w:val="0001611B"/>
    <w:rsid w:val="00016148"/>
    <w:rsid w:val="000167F8"/>
    <w:rsid w:val="00016EB5"/>
    <w:rsid w:val="00016EF3"/>
    <w:rsid w:val="00017A2E"/>
    <w:rsid w:val="00017BC0"/>
    <w:rsid w:val="00021483"/>
    <w:rsid w:val="00021EE0"/>
    <w:rsid w:val="0002315B"/>
    <w:rsid w:val="0002328C"/>
    <w:rsid w:val="0002391D"/>
    <w:rsid w:val="0002397C"/>
    <w:rsid w:val="00023B2F"/>
    <w:rsid w:val="000241FE"/>
    <w:rsid w:val="000249F2"/>
    <w:rsid w:val="00024FF9"/>
    <w:rsid w:val="00025092"/>
    <w:rsid w:val="00025B8B"/>
    <w:rsid w:val="00026AB9"/>
    <w:rsid w:val="000271E0"/>
    <w:rsid w:val="00027DAC"/>
    <w:rsid w:val="00027DB2"/>
    <w:rsid w:val="00030461"/>
    <w:rsid w:val="00030582"/>
    <w:rsid w:val="0003061F"/>
    <w:rsid w:val="00030749"/>
    <w:rsid w:val="00030822"/>
    <w:rsid w:val="00030A03"/>
    <w:rsid w:val="00030C46"/>
    <w:rsid w:val="000317B0"/>
    <w:rsid w:val="00032029"/>
    <w:rsid w:val="000324FD"/>
    <w:rsid w:val="00032671"/>
    <w:rsid w:val="00032971"/>
    <w:rsid w:val="00032B28"/>
    <w:rsid w:val="00032BCB"/>
    <w:rsid w:val="00032CF4"/>
    <w:rsid w:val="00033301"/>
    <w:rsid w:val="00033760"/>
    <w:rsid w:val="00033A60"/>
    <w:rsid w:val="00034022"/>
    <w:rsid w:val="0003472C"/>
    <w:rsid w:val="000366FF"/>
    <w:rsid w:val="000374BB"/>
    <w:rsid w:val="000376BC"/>
    <w:rsid w:val="000401DD"/>
    <w:rsid w:val="00040302"/>
    <w:rsid w:val="00040376"/>
    <w:rsid w:val="000403EF"/>
    <w:rsid w:val="00040674"/>
    <w:rsid w:val="00042496"/>
    <w:rsid w:val="0004253C"/>
    <w:rsid w:val="000428B7"/>
    <w:rsid w:val="00042DE1"/>
    <w:rsid w:val="000435DE"/>
    <w:rsid w:val="00044130"/>
    <w:rsid w:val="00044131"/>
    <w:rsid w:val="00044335"/>
    <w:rsid w:val="000453E4"/>
    <w:rsid w:val="000464CB"/>
    <w:rsid w:val="000467A9"/>
    <w:rsid w:val="00046E1D"/>
    <w:rsid w:val="00046F1B"/>
    <w:rsid w:val="000472E3"/>
    <w:rsid w:val="00047630"/>
    <w:rsid w:val="000476CE"/>
    <w:rsid w:val="000476D7"/>
    <w:rsid w:val="00047E52"/>
    <w:rsid w:val="00047F14"/>
    <w:rsid w:val="000501AB"/>
    <w:rsid w:val="000513FE"/>
    <w:rsid w:val="0005178A"/>
    <w:rsid w:val="000518CC"/>
    <w:rsid w:val="00051A93"/>
    <w:rsid w:val="00052F37"/>
    <w:rsid w:val="0005410B"/>
    <w:rsid w:val="00054708"/>
    <w:rsid w:val="00054846"/>
    <w:rsid w:val="0005484E"/>
    <w:rsid w:val="000552CF"/>
    <w:rsid w:val="00055414"/>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2DCE"/>
    <w:rsid w:val="000634AB"/>
    <w:rsid w:val="000637AB"/>
    <w:rsid w:val="00063A1C"/>
    <w:rsid w:val="0006439B"/>
    <w:rsid w:val="00064CA5"/>
    <w:rsid w:val="00065B57"/>
    <w:rsid w:val="0006610A"/>
    <w:rsid w:val="00066BB4"/>
    <w:rsid w:val="00067012"/>
    <w:rsid w:val="0006709D"/>
    <w:rsid w:val="000673BE"/>
    <w:rsid w:val="00070231"/>
    <w:rsid w:val="00070600"/>
    <w:rsid w:val="00070895"/>
    <w:rsid w:val="00070E32"/>
    <w:rsid w:val="0007171B"/>
    <w:rsid w:val="00071C69"/>
    <w:rsid w:val="00071ED4"/>
    <w:rsid w:val="00072AE7"/>
    <w:rsid w:val="00072CDE"/>
    <w:rsid w:val="00073D3C"/>
    <w:rsid w:val="00074653"/>
    <w:rsid w:val="00074654"/>
    <w:rsid w:val="00074688"/>
    <w:rsid w:val="00074B11"/>
    <w:rsid w:val="000753DB"/>
    <w:rsid w:val="000762C8"/>
    <w:rsid w:val="000763F4"/>
    <w:rsid w:val="00076643"/>
    <w:rsid w:val="0007762C"/>
    <w:rsid w:val="0007764A"/>
    <w:rsid w:val="00077A25"/>
    <w:rsid w:val="000800E7"/>
    <w:rsid w:val="0008028F"/>
    <w:rsid w:val="00080ED5"/>
    <w:rsid w:val="00081331"/>
    <w:rsid w:val="000815D6"/>
    <w:rsid w:val="00081749"/>
    <w:rsid w:val="000819FF"/>
    <w:rsid w:val="00082838"/>
    <w:rsid w:val="00082C93"/>
    <w:rsid w:val="00082CA8"/>
    <w:rsid w:val="00082FB5"/>
    <w:rsid w:val="00082FF4"/>
    <w:rsid w:val="000835FD"/>
    <w:rsid w:val="0008395B"/>
    <w:rsid w:val="00083C2A"/>
    <w:rsid w:val="00083F78"/>
    <w:rsid w:val="00084789"/>
    <w:rsid w:val="000848FD"/>
    <w:rsid w:val="00084BCE"/>
    <w:rsid w:val="00084E04"/>
    <w:rsid w:val="00085D8C"/>
    <w:rsid w:val="00087F95"/>
    <w:rsid w:val="00090F05"/>
    <w:rsid w:val="00090F44"/>
    <w:rsid w:val="00091420"/>
    <w:rsid w:val="00091C6D"/>
    <w:rsid w:val="000921D3"/>
    <w:rsid w:val="000924E9"/>
    <w:rsid w:val="00092E2C"/>
    <w:rsid w:val="0009309B"/>
    <w:rsid w:val="0009314D"/>
    <w:rsid w:val="000933E0"/>
    <w:rsid w:val="000940A5"/>
    <w:rsid w:val="000948AD"/>
    <w:rsid w:val="00094A9D"/>
    <w:rsid w:val="00095A34"/>
    <w:rsid w:val="000962F1"/>
    <w:rsid w:val="00096330"/>
    <w:rsid w:val="00096584"/>
    <w:rsid w:val="00096711"/>
    <w:rsid w:val="00096C66"/>
    <w:rsid w:val="00096F6B"/>
    <w:rsid w:val="000975A8"/>
    <w:rsid w:val="000A1659"/>
    <w:rsid w:val="000A1C55"/>
    <w:rsid w:val="000A2445"/>
    <w:rsid w:val="000A248F"/>
    <w:rsid w:val="000A2D65"/>
    <w:rsid w:val="000A3640"/>
    <w:rsid w:val="000A390F"/>
    <w:rsid w:val="000A4443"/>
    <w:rsid w:val="000A490B"/>
    <w:rsid w:val="000A55D5"/>
    <w:rsid w:val="000A588E"/>
    <w:rsid w:val="000A6272"/>
    <w:rsid w:val="000A62F2"/>
    <w:rsid w:val="000A64CF"/>
    <w:rsid w:val="000A6A0F"/>
    <w:rsid w:val="000A6E72"/>
    <w:rsid w:val="000A6FD3"/>
    <w:rsid w:val="000A718A"/>
    <w:rsid w:val="000A71CE"/>
    <w:rsid w:val="000A7F06"/>
    <w:rsid w:val="000B0218"/>
    <w:rsid w:val="000B2CBD"/>
    <w:rsid w:val="000B304F"/>
    <w:rsid w:val="000B4263"/>
    <w:rsid w:val="000B50F5"/>
    <w:rsid w:val="000B5894"/>
    <w:rsid w:val="000B6689"/>
    <w:rsid w:val="000B7101"/>
    <w:rsid w:val="000B73BC"/>
    <w:rsid w:val="000C0302"/>
    <w:rsid w:val="000C06D2"/>
    <w:rsid w:val="000C0DAD"/>
    <w:rsid w:val="000C1F9C"/>
    <w:rsid w:val="000C2371"/>
    <w:rsid w:val="000C33B6"/>
    <w:rsid w:val="000C3FDD"/>
    <w:rsid w:val="000C402A"/>
    <w:rsid w:val="000C4408"/>
    <w:rsid w:val="000C49A2"/>
    <w:rsid w:val="000C4CFD"/>
    <w:rsid w:val="000C4DA4"/>
    <w:rsid w:val="000C4E18"/>
    <w:rsid w:val="000C5432"/>
    <w:rsid w:val="000C56A8"/>
    <w:rsid w:val="000C5EE9"/>
    <w:rsid w:val="000C6247"/>
    <w:rsid w:val="000C63BC"/>
    <w:rsid w:val="000C6431"/>
    <w:rsid w:val="000C6542"/>
    <w:rsid w:val="000C6795"/>
    <w:rsid w:val="000C6C03"/>
    <w:rsid w:val="000C72C6"/>
    <w:rsid w:val="000D0E7B"/>
    <w:rsid w:val="000D0F68"/>
    <w:rsid w:val="000D1571"/>
    <w:rsid w:val="000D1843"/>
    <w:rsid w:val="000D1ED7"/>
    <w:rsid w:val="000D1FF0"/>
    <w:rsid w:val="000D23E2"/>
    <w:rsid w:val="000D2D54"/>
    <w:rsid w:val="000D3329"/>
    <w:rsid w:val="000D38B0"/>
    <w:rsid w:val="000D3AA2"/>
    <w:rsid w:val="000D3DC1"/>
    <w:rsid w:val="000D49F3"/>
    <w:rsid w:val="000D4BB2"/>
    <w:rsid w:val="000D4BBA"/>
    <w:rsid w:val="000D4C4F"/>
    <w:rsid w:val="000D4CF7"/>
    <w:rsid w:val="000D5238"/>
    <w:rsid w:val="000D5D6D"/>
    <w:rsid w:val="000D5EA1"/>
    <w:rsid w:val="000D64D1"/>
    <w:rsid w:val="000D6553"/>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48B"/>
    <w:rsid w:val="000E5AA9"/>
    <w:rsid w:val="000E5AFE"/>
    <w:rsid w:val="000E630D"/>
    <w:rsid w:val="000E673A"/>
    <w:rsid w:val="000E688E"/>
    <w:rsid w:val="000E6E0E"/>
    <w:rsid w:val="000E6F3A"/>
    <w:rsid w:val="000E7653"/>
    <w:rsid w:val="000E791B"/>
    <w:rsid w:val="000E7946"/>
    <w:rsid w:val="000E7A91"/>
    <w:rsid w:val="000F00D7"/>
    <w:rsid w:val="000F08A3"/>
    <w:rsid w:val="000F0B15"/>
    <w:rsid w:val="000F1046"/>
    <w:rsid w:val="000F26BB"/>
    <w:rsid w:val="000F3607"/>
    <w:rsid w:val="000F43DA"/>
    <w:rsid w:val="000F444C"/>
    <w:rsid w:val="000F4E71"/>
    <w:rsid w:val="000F5510"/>
    <w:rsid w:val="000F5762"/>
    <w:rsid w:val="000F5B46"/>
    <w:rsid w:val="000F6175"/>
    <w:rsid w:val="000F6259"/>
    <w:rsid w:val="000F6614"/>
    <w:rsid w:val="000F66F6"/>
    <w:rsid w:val="000F68CD"/>
    <w:rsid w:val="000F6945"/>
    <w:rsid w:val="000F73A3"/>
    <w:rsid w:val="000F74F5"/>
    <w:rsid w:val="000F78FC"/>
    <w:rsid w:val="000F7933"/>
    <w:rsid w:val="000F7EE2"/>
    <w:rsid w:val="000F7FD3"/>
    <w:rsid w:val="00100762"/>
    <w:rsid w:val="00100A73"/>
    <w:rsid w:val="00100B77"/>
    <w:rsid w:val="00100C05"/>
    <w:rsid w:val="001015EA"/>
    <w:rsid w:val="00101BDB"/>
    <w:rsid w:val="00102907"/>
    <w:rsid w:val="0010292B"/>
    <w:rsid w:val="00103037"/>
    <w:rsid w:val="00103414"/>
    <w:rsid w:val="00103C37"/>
    <w:rsid w:val="00103E29"/>
    <w:rsid w:val="00103E57"/>
    <w:rsid w:val="001041DE"/>
    <w:rsid w:val="00104BBE"/>
    <w:rsid w:val="00105372"/>
    <w:rsid w:val="001054A6"/>
    <w:rsid w:val="00105C7C"/>
    <w:rsid w:val="00105D07"/>
    <w:rsid w:val="00105DB8"/>
    <w:rsid w:val="001061AB"/>
    <w:rsid w:val="001065B9"/>
    <w:rsid w:val="00106CD2"/>
    <w:rsid w:val="00106ED5"/>
    <w:rsid w:val="00106F7D"/>
    <w:rsid w:val="001078A1"/>
    <w:rsid w:val="001079DD"/>
    <w:rsid w:val="00107E34"/>
    <w:rsid w:val="001103FF"/>
    <w:rsid w:val="00110B5B"/>
    <w:rsid w:val="00110E16"/>
    <w:rsid w:val="001117DA"/>
    <w:rsid w:val="00111866"/>
    <w:rsid w:val="00111A62"/>
    <w:rsid w:val="00111DBB"/>
    <w:rsid w:val="0011208C"/>
    <w:rsid w:val="00113467"/>
    <w:rsid w:val="00113D84"/>
    <w:rsid w:val="00114017"/>
    <w:rsid w:val="001147DC"/>
    <w:rsid w:val="00114A07"/>
    <w:rsid w:val="00114AF3"/>
    <w:rsid w:val="001152FA"/>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1B99"/>
    <w:rsid w:val="00121E51"/>
    <w:rsid w:val="001222D1"/>
    <w:rsid w:val="001229DD"/>
    <w:rsid w:val="00122D47"/>
    <w:rsid w:val="001236E0"/>
    <w:rsid w:val="00123A3E"/>
    <w:rsid w:val="001250B1"/>
    <w:rsid w:val="0012655C"/>
    <w:rsid w:val="00126571"/>
    <w:rsid w:val="00126E41"/>
    <w:rsid w:val="00127431"/>
    <w:rsid w:val="00127489"/>
    <w:rsid w:val="00130340"/>
    <w:rsid w:val="00130833"/>
    <w:rsid w:val="00130A70"/>
    <w:rsid w:val="00130CB1"/>
    <w:rsid w:val="00130EF1"/>
    <w:rsid w:val="0013111D"/>
    <w:rsid w:val="001312AD"/>
    <w:rsid w:val="00131C4C"/>
    <w:rsid w:val="00131E7A"/>
    <w:rsid w:val="0013320A"/>
    <w:rsid w:val="0013323E"/>
    <w:rsid w:val="001333E1"/>
    <w:rsid w:val="00133B66"/>
    <w:rsid w:val="00133DB7"/>
    <w:rsid w:val="001342BF"/>
    <w:rsid w:val="00134846"/>
    <w:rsid w:val="00135044"/>
    <w:rsid w:val="001350DA"/>
    <w:rsid w:val="00135FA0"/>
    <w:rsid w:val="0013672C"/>
    <w:rsid w:val="00136C7F"/>
    <w:rsid w:val="0013784E"/>
    <w:rsid w:val="001379F8"/>
    <w:rsid w:val="00137A20"/>
    <w:rsid w:val="00137CF4"/>
    <w:rsid w:val="001402EB"/>
    <w:rsid w:val="00140752"/>
    <w:rsid w:val="00140820"/>
    <w:rsid w:val="00140939"/>
    <w:rsid w:val="00140B09"/>
    <w:rsid w:val="00141AE5"/>
    <w:rsid w:val="00142180"/>
    <w:rsid w:val="001429C9"/>
    <w:rsid w:val="001438B7"/>
    <w:rsid w:val="00143910"/>
    <w:rsid w:val="00143934"/>
    <w:rsid w:val="00143FDA"/>
    <w:rsid w:val="00144525"/>
    <w:rsid w:val="001448EF"/>
    <w:rsid w:val="00145988"/>
    <w:rsid w:val="00146CD2"/>
    <w:rsid w:val="001471AA"/>
    <w:rsid w:val="001474FF"/>
    <w:rsid w:val="00147804"/>
    <w:rsid w:val="00147FB5"/>
    <w:rsid w:val="0015015F"/>
    <w:rsid w:val="001501D2"/>
    <w:rsid w:val="001503D3"/>
    <w:rsid w:val="00151046"/>
    <w:rsid w:val="001519F1"/>
    <w:rsid w:val="00151DE3"/>
    <w:rsid w:val="00152943"/>
    <w:rsid w:val="00152D47"/>
    <w:rsid w:val="00154040"/>
    <w:rsid w:val="001542A8"/>
    <w:rsid w:val="0015479F"/>
    <w:rsid w:val="001547C4"/>
    <w:rsid w:val="00154B29"/>
    <w:rsid w:val="00154E5D"/>
    <w:rsid w:val="00155382"/>
    <w:rsid w:val="001556E1"/>
    <w:rsid w:val="0015579A"/>
    <w:rsid w:val="0015613E"/>
    <w:rsid w:val="0015667A"/>
    <w:rsid w:val="0015669D"/>
    <w:rsid w:val="001573F5"/>
    <w:rsid w:val="001579D1"/>
    <w:rsid w:val="00161308"/>
    <w:rsid w:val="00161B84"/>
    <w:rsid w:val="00161E9A"/>
    <w:rsid w:val="0016211C"/>
    <w:rsid w:val="001623C3"/>
    <w:rsid w:val="001629B8"/>
    <w:rsid w:val="0016325B"/>
    <w:rsid w:val="00163AFA"/>
    <w:rsid w:val="00163EA8"/>
    <w:rsid w:val="001643BC"/>
    <w:rsid w:val="00164534"/>
    <w:rsid w:val="0016464C"/>
    <w:rsid w:val="00164FBD"/>
    <w:rsid w:val="00165F8B"/>
    <w:rsid w:val="001668BC"/>
    <w:rsid w:val="00166969"/>
    <w:rsid w:val="00166E2C"/>
    <w:rsid w:val="001672EE"/>
    <w:rsid w:val="00167AC2"/>
    <w:rsid w:val="00167C84"/>
    <w:rsid w:val="00167FD5"/>
    <w:rsid w:val="00170FF3"/>
    <w:rsid w:val="00171139"/>
    <w:rsid w:val="00171329"/>
    <w:rsid w:val="0017164B"/>
    <w:rsid w:val="00171677"/>
    <w:rsid w:val="00171A4E"/>
    <w:rsid w:val="00171D66"/>
    <w:rsid w:val="00172AF6"/>
    <w:rsid w:val="00173330"/>
    <w:rsid w:val="001739CB"/>
    <w:rsid w:val="0017413A"/>
    <w:rsid w:val="001759DA"/>
    <w:rsid w:val="00175C0D"/>
    <w:rsid w:val="00176245"/>
    <w:rsid w:val="00176736"/>
    <w:rsid w:val="00176CEE"/>
    <w:rsid w:val="0017790A"/>
    <w:rsid w:val="00177D41"/>
    <w:rsid w:val="00177FD3"/>
    <w:rsid w:val="0018095D"/>
    <w:rsid w:val="00180DC7"/>
    <w:rsid w:val="0018118C"/>
    <w:rsid w:val="00181336"/>
    <w:rsid w:val="00181693"/>
    <w:rsid w:val="001820EA"/>
    <w:rsid w:val="001823C9"/>
    <w:rsid w:val="00183BBD"/>
    <w:rsid w:val="00183FF5"/>
    <w:rsid w:val="00184083"/>
    <w:rsid w:val="00184DC8"/>
    <w:rsid w:val="001850E0"/>
    <w:rsid w:val="0018537C"/>
    <w:rsid w:val="001853FD"/>
    <w:rsid w:val="001854E0"/>
    <w:rsid w:val="001864F6"/>
    <w:rsid w:val="00186DD8"/>
    <w:rsid w:val="00187137"/>
    <w:rsid w:val="00187221"/>
    <w:rsid w:val="001877F9"/>
    <w:rsid w:val="001879EF"/>
    <w:rsid w:val="00190135"/>
    <w:rsid w:val="001902E3"/>
    <w:rsid w:val="001908D7"/>
    <w:rsid w:val="00190AD2"/>
    <w:rsid w:val="00190D8D"/>
    <w:rsid w:val="00190F5F"/>
    <w:rsid w:val="00191667"/>
    <w:rsid w:val="00191A2E"/>
    <w:rsid w:val="001927F6"/>
    <w:rsid w:val="00193428"/>
    <w:rsid w:val="00193AC7"/>
    <w:rsid w:val="00193B7B"/>
    <w:rsid w:val="00193E15"/>
    <w:rsid w:val="00194013"/>
    <w:rsid w:val="00194215"/>
    <w:rsid w:val="0019437E"/>
    <w:rsid w:val="00194AED"/>
    <w:rsid w:val="001950E9"/>
    <w:rsid w:val="001951CB"/>
    <w:rsid w:val="0019530E"/>
    <w:rsid w:val="001955D4"/>
    <w:rsid w:val="00195612"/>
    <w:rsid w:val="00195652"/>
    <w:rsid w:val="001957C4"/>
    <w:rsid w:val="00195A29"/>
    <w:rsid w:val="00195C71"/>
    <w:rsid w:val="00195D29"/>
    <w:rsid w:val="00195FD7"/>
    <w:rsid w:val="001966F0"/>
    <w:rsid w:val="00196846"/>
    <w:rsid w:val="00196B51"/>
    <w:rsid w:val="00196FEC"/>
    <w:rsid w:val="00197AD0"/>
    <w:rsid w:val="001A0581"/>
    <w:rsid w:val="001A0BCF"/>
    <w:rsid w:val="001A2E99"/>
    <w:rsid w:val="001A3477"/>
    <w:rsid w:val="001A35EC"/>
    <w:rsid w:val="001A40A4"/>
    <w:rsid w:val="001A4109"/>
    <w:rsid w:val="001A4CF9"/>
    <w:rsid w:val="001A5EB5"/>
    <w:rsid w:val="001A610F"/>
    <w:rsid w:val="001A6622"/>
    <w:rsid w:val="001A6807"/>
    <w:rsid w:val="001A6B25"/>
    <w:rsid w:val="001A6FAC"/>
    <w:rsid w:val="001A78AA"/>
    <w:rsid w:val="001B02BC"/>
    <w:rsid w:val="001B0981"/>
    <w:rsid w:val="001B13FE"/>
    <w:rsid w:val="001B1D0E"/>
    <w:rsid w:val="001B2001"/>
    <w:rsid w:val="001B208C"/>
    <w:rsid w:val="001B24E0"/>
    <w:rsid w:val="001B24EF"/>
    <w:rsid w:val="001B2637"/>
    <w:rsid w:val="001B278B"/>
    <w:rsid w:val="001B2ECF"/>
    <w:rsid w:val="001B37E3"/>
    <w:rsid w:val="001B3E01"/>
    <w:rsid w:val="001B4234"/>
    <w:rsid w:val="001B561E"/>
    <w:rsid w:val="001B5703"/>
    <w:rsid w:val="001B650F"/>
    <w:rsid w:val="001B6582"/>
    <w:rsid w:val="001B6599"/>
    <w:rsid w:val="001B716F"/>
    <w:rsid w:val="001B7201"/>
    <w:rsid w:val="001B748E"/>
    <w:rsid w:val="001B749F"/>
    <w:rsid w:val="001C1142"/>
    <w:rsid w:val="001C1EC9"/>
    <w:rsid w:val="001C221A"/>
    <w:rsid w:val="001C222A"/>
    <w:rsid w:val="001C2D69"/>
    <w:rsid w:val="001C320A"/>
    <w:rsid w:val="001C33F6"/>
    <w:rsid w:val="001C3725"/>
    <w:rsid w:val="001C3A8E"/>
    <w:rsid w:val="001C3B15"/>
    <w:rsid w:val="001C4F55"/>
    <w:rsid w:val="001C522A"/>
    <w:rsid w:val="001C528D"/>
    <w:rsid w:val="001C5BB8"/>
    <w:rsid w:val="001C5D22"/>
    <w:rsid w:val="001C5E4D"/>
    <w:rsid w:val="001C62FA"/>
    <w:rsid w:val="001C7903"/>
    <w:rsid w:val="001C7B3D"/>
    <w:rsid w:val="001C7C22"/>
    <w:rsid w:val="001C7FD2"/>
    <w:rsid w:val="001D0302"/>
    <w:rsid w:val="001D0550"/>
    <w:rsid w:val="001D0BDD"/>
    <w:rsid w:val="001D0CE3"/>
    <w:rsid w:val="001D1161"/>
    <w:rsid w:val="001D1648"/>
    <w:rsid w:val="001D16AB"/>
    <w:rsid w:val="001D17E3"/>
    <w:rsid w:val="001D1BC1"/>
    <w:rsid w:val="001D1CDB"/>
    <w:rsid w:val="001D1E16"/>
    <w:rsid w:val="001D2DEA"/>
    <w:rsid w:val="001D34BC"/>
    <w:rsid w:val="001D35DA"/>
    <w:rsid w:val="001D3C61"/>
    <w:rsid w:val="001D3F7C"/>
    <w:rsid w:val="001D3FE8"/>
    <w:rsid w:val="001D42CC"/>
    <w:rsid w:val="001D48FD"/>
    <w:rsid w:val="001D5546"/>
    <w:rsid w:val="001D5551"/>
    <w:rsid w:val="001D55CD"/>
    <w:rsid w:val="001D56EE"/>
    <w:rsid w:val="001D57DF"/>
    <w:rsid w:val="001D5DF9"/>
    <w:rsid w:val="001D605B"/>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5A24"/>
    <w:rsid w:val="001E64CD"/>
    <w:rsid w:val="001E683C"/>
    <w:rsid w:val="001E6905"/>
    <w:rsid w:val="001E6A7C"/>
    <w:rsid w:val="001E6AA5"/>
    <w:rsid w:val="001E6E83"/>
    <w:rsid w:val="001E7387"/>
    <w:rsid w:val="001E76DF"/>
    <w:rsid w:val="001E76FE"/>
    <w:rsid w:val="001E7AD2"/>
    <w:rsid w:val="001E7DC2"/>
    <w:rsid w:val="001F0BC3"/>
    <w:rsid w:val="001F19EA"/>
    <w:rsid w:val="001F203A"/>
    <w:rsid w:val="001F21D3"/>
    <w:rsid w:val="001F231C"/>
    <w:rsid w:val="001F236D"/>
    <w:rsid w:val="001F26E9"/>
    <w:rsid w:val="001F2F18"/>
    <w:rsid w:val="001F475D"/>
    <w:rsid w:val="001F4D54"/>
    <w:rsid w:val="001F5289"/>
    <w:rsid w:val="001F60AA"/>
    <w:rsid w:val="001F6675"/>
    <w:rsid w:val="001F679F"/>
    <w:rsid w:val="001F69D3"/>
    <w:rsid w:val="001F6AB8"/>
    <w:rsid w:val="001F70C8"/>
    <w:rsid w:val="001F73BF"/>
    <w:rsid w:val="00201F34"/>
    <w:rsid w:val="00202047"/>
    <w:rsid w:val="00202229"/>
    <w:rsid w:val="0020225A"/>
    <w:rsid w:val="00202313"/>
    <w:rsid w:val="0020312E"/>
    <w:rsid w:val="002035DB"/>
    <w:rsid w:val="00203A0B"/>
    <w:rsid w:val="002040C4"/>
    <w:rsid w:val="00204100"/>
    <w:rsid w:val="00204ED7"/>
    <w:rsid w:val="0020575E"/>
    <w:rsid w:val="002058E4"/>
    <w:rsid w:val="002058FE"/>
    <w:rsid w:val="00205CBC"/>
    <w:rsid w:val="0020656F"/>
    <w:rsid w:val="00206843"/>
    <w:rsid w:val="00206D2A"/>
    <w:rsid w:val="00206DDF"/>
    <w:rsid w:val="00206EBE"/>
    <w:rsid w:val="002075B1"/>
    <w:rsid w:val="002075B2"/>
    <w:rsid w:val="00210534"/>
    <w:rsid w:val="002108F0"/>
    <w:rsid w:val="002108F2"/>
    <w:rsid w:val="00210B0C"/>
    <w:rsid w:val="00210B6A"/>
    <w:rsid w:val="00211AC2"/>
    <w:rsid w:val="00211BE0"/>
    <w:rsid w:val="002126BB"/>
    <w:rsid w:val="0021434A"/>
    <w:rsid w:val="00214683"/>
    <w:rsid w:val="00214D8C"/>
    <w:rsid w:val="00214DE4"/>
    <w:rsid w:val="00214F44"/>
    <w:rsid w:val="002153EB"/>
    <w:rsid w:val="002172A2"/>
    <w:rsid w:val="0021763B"/>
    <w:rsid w:val="0022070A"/>
    <w:rsid w:val="00220788"/>
    <w:rsid w:val="002208D8"/>
    <w:rsid w:val="00220A53"/>
    <w:rsid w:val="002214BC"/>
    <w:rsid w:val="00221572"/>
    <w:rsid w:val="002216B4"/>
    <w:rsid w:val="00221BEE"/>
    <w:rsid w:val="00221E8B"/>
    <w:rsid w:val="0022213F"/>
    <w:rsid w:val="00222173"/>
    <w:rsid w:val="002225E2"/>
    <w:rsid w:val="00222A19"/>
    <w:rsid w:val="00222BC4"/>
    <w:rsid w:val="00222BF7"/>
    <w:rsid w:val="00222E17"/>
    <w:rsid w:val="00222EB4"/>
    <w:rsid w:val="00223002"/>
    <w:rsid w:val="00224668"/>
    <w:rsid w:val="00224B4D"/>
    <w:rsid w:val="00224C0D"/>
    <w:rsid w:val="00225182"/>
    <w:rsid w:val="00225286"/>
    <w:rsid w:val="0022530F"/>
    <w:rsid w:val="0022546C"/>
    <w:rsid w:val="002257BB"/>
    <w:rsid w:val="00226623"/>
    <w:rsid w:val="002267E9"/>
    <w:rsid w:val="00226810"/>
    <w:rsid w:val="00226B93"/>
    <w:rsid w:val="00226D96"/>
    <w:rsid w:val="002279F2"/>
    <w:rsid w:val="00227F6A"/>
    <w:rsid w:val="00230E20"/>
    <w:rsid w:val="002310B3"/>
    <w:rsid w:val="002311BB"/>
    <w:rsid w:val="002314BD"/>
    <w:rsid w:val="00231E96"/>
    <w:rsid w:val="002322D6"/>
    <w:rsid w:val="00232746"/>
    <w:rsid w:val="00232845"/>
    <w:rsid w:val="00233CCD"/>
    <w:rsid w:val="00233E63"/>
    <w:rsid w:val="00234304"/>
    <w:rsid w:val="00234A20"/>
    <w:rsid w:val="00234B01"/>
    <w:rsid w:val="00235534"/>
    <w:rsid w:val="002358E0"/>
    <w:rsid w:val="00236602"/>
    <w:rsid w:val="0023680D"/>
    <w:rsid w:val="00236B27"/>
    <w:rsid w:val="00236CDC"/>
    <w:rsid w:val="00237BD4"/>
    <w:rsid w:val="00237D29"/>
    <w:rsid w:val="00237E2C"/>
    <w:rsid w:val="002401F8"/>
    <w:rsid w:val="00240890"/>
    <w:rsid w:val="00240C3C"/>
    <w:rsid w:val="0024127D"/>
    <w:rsid w:val="0024134B"/>
    <w:rsid w:val="002415F2"/>
    <w:rsid w:val="0024181A"/>
    <w:rsid w:val="002418E1"/>
    <w:rsid w:val="00241916"/>
    <w:rsid w:val="002420C7"/>
    <w:rsid w:val="002420E2"/>
    <w:rsid w:val="002424AB"/>
    <w:rsid w:val="0024296B"/>
    <w:rsid w:val="0024329F"/>
    <w:rsid w:val="00243383"/>
    <w:rsid w:val="002433D1"/>
    <w:rsid w:val="00243C3E"/>
    <w:rsid w:val="0024424F"/>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197"/>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2"/>
    <w:rsid w:val="00264028"/>
    <w:rsid w:val="0026412A"/>
    <w:rsid w:val="00264BBE"/>
    <w:rsid w:val="00265560"/>
    <w:rsid w:val="00265862"/>
    <w:rsid w:val="00265F14"/>
    <w:rsid w:val="0026604E"/>
    <w:rsid w:val="002669A8"/>
    <w:rsid w:val="00266B11"/>
    <w:rsid w:val="00266C6D"/>
    <w:rsid w:val="00267C9B"/>
    <w:rsid w:val="00267E20"/>
    <w:rsid w:val="00267FE1"/>
    <w:rsid w:val="00270043"/>
    <w:rsid w:val="002703F1"/>
    <w:rsid w:val="00270511"/>
    <w:rsid w:val="002707EA"/>
    <w:rsid w:val="002711DF"/>
    <w:rsid w:val="002725F4"/>
    <w:rsid w:val="00272A7D"/>
    <w:rsid w:val="00272B5E"/>
    <w:rsid w:val="00272B72"/>
    <w:rsid w:val="00272C47"/>
    <w:rsid w:val="00273552"/>
    <w:rsid w:val="002738BF"/>
    <w:rsid w:val="002741D2"/>
    <w:rsid w:val="00274AC9"/>
    <w:rsid w:val="00274D1C"/>
    <w:rsid w:val="00275014"/>
    <w:rsid w:val="0027554F"/>
    <w:rsid w:val="002760D4"/>
    <w:rsid w:val="00276430"/>
    <w:rsid w:val="00276630"/>
    <w:rsid w:val="0027678C"/>
    <w:rsid w:val="00276AC2"/>
    <w:rsid w:val="00276EB6"/>
    <w:rsid w:val="00277243"/>
    <w:rsid w:val="0027779D"/>
    <w:rsid w:val="00277E3C"/>
    <w:rsid w:val="00280C12"/>
    <w:rsid w:val="00280CF7"/>
    <w:rsid w:val="002811D0"/>
    <w:rsid w:val="002815E9"/>
    <w:rsid w:val="00281BF7"/>
    <w:rsid w:val="00281DA3"/>
    <w:rsid w:val="00283058"/>
    <w:rsid w:val="002833DB"/>
    <w:rsid w:val="002834D1"/>
    <w:rsid w:val="00283689"/>
    <w:rsid w:val="00283F4C"/>
    <w:rsid w:val="00284CA0"/>
    <w:rsid w:val="002855C2"/>
    <w:rsid w:val="00285633"/>
    <w:rsid w:val="002864B9"/>
    <w:rsid w:val="002869FA"/>
    <w:rsid w:val="00286C3A"/>
    <w:rsid w:val="00287208"/>
    <w:rsid w:val="002873F6"/>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12E5"/>
    <w:rsid w:val="002A216E"/>
    <w:rsid w:val="002A238A"/>
    <w:rsid w:val="002A30C2"/>
    <w:rsid w:val="002A45FC"/>
    <w:rsid w:val="002A46D4"/>
    <w:rsid w:val="002A55A2"/>
    <w:rsid w:val="002A5E67"/>
    <w:rsid w:val="002A62D1"/>
    <w:rsid w:val="002A6D1C"/>
    <w:rsid w:val="002A70D6"/>
    <w:rsid w:val="002A7432"/>
    <w:rsid w:val="002A7C75"/>
    <w:rsid w:val="002B12A2"/>
    <w:rsid w:val="002B3FCF"/>
    <w:rsid w:val="002B463D"/>
    <w:rsid w:val="002B4EBD"/>
    <w:rsid w:val="002B521E"/>
    <w:rsid w:val="002B5A1B"/>
    <w:rsid w:val="002B5D5E"/>
    <w:rsid w:val="002B5DDD"/>
    <w:rsid w:val="002B61D3"/>
    <w:rsid w:val="002B6AE2"/>
    <w:rsid w:val="002B7DAB"/>
    <w:rsid w:val="002C0281"/>
    <w:rsid w:val="002C06FF"/>
    <w:rsid w:val="002C09F5"/>
    <w:rsid w:val="002C0AB5"/>
    <w:rsid w:val="002C0CC2"/>
    <w:rsid w:val="002C0F84"/>
    <w:rsid w:val="002C0FEA"/>
    <w:rsid w:val="002C1304"/>
    <w:rsid w:val="002C1B4E"/>
    <w:rsid w:val="002C2251"/>
    <w:rsid w:val="002C4029"/>
    <w:rsid w:val="002C5528"/>
    <w:rsid w:val="002C5A00"/>
    <w:rsid w:val="002C5EF4"/>
    <w:rsid w:val="002C63E3"/>
    <w:rsid w:val="002C6618"/>
    <w:rsid w:val="002C6957"/>
    <w:rsid w:val="002C6AC3"/>
    <w:rsid w:val="002C7D60"/>
    <w:rsid w:val="002D0135"/>
    <w:rsid w:val="002D0585"/>
    <w:rsid w:val="002D0DA4"/>
    <w:rsid w:val="002D1628"/>
    <w:rsid w:val="002D21C4"/>
    <w:rsid w:val="002D2562"/>
    <w:rsid w:val="002D26E6"/>
    <w:rsid w:val="002D300A"/>
    <w:rsid w:val="002D386D"/>
    <w:rsid w:val="002D3BC4"/>
    <w:rsid w:val="002D42EB"/>
    <w:rsid w:val="002D5732"/>
    <w:rsid w:val="002D573A"/>
    <w:rsid w:val="002D621C"/>
    <w:rsid w:val="002D642F"/>
    <w:rsid w:val="002D6E47"/>
    <w:rsid w:val="002D70BA"/>
    <w:rsid w:val="002D7218"/>
    <w:rsid w:val="002D7F8F"/>
    <w:rsid w:val="002E0240"/>
    <w:rsid w:val="002E1949"/>
    <w:rsid w:val="002E1B1D"/>
    <w:rsid w:val="002E1D58"/>
    <w:rsid w:val="002E20A0"/>
    <w:rsid w:val="002E297E"/>
    <w:rsid w:val="002E371B"/>
    <w:rsid w:val="002E3B47"/>
    <w:rsid w:val="002E4227"/>
    <w:rsid w:val="002E435D"/>
    <w:rsid w:val="002E4D3B"/>
    <w:rsid w:val="002E5565"/>
    <w:rsid w:val="002E5DCF"/>
    <w:rsid w:val="002E6399"/>
    <w:rsid w:val="002E669F"/>
    <w:rsid w:val="002E691B"/>
    <w:rsid w:val="002E72E2"/>
    <w:rsid w:val="002E7812"/>
    <w:rsid w:val="002F00D7"/>
    <w:rsid w:val="002F0590"/>
    <w:rsid w:val="002F090E"/>
    <w:rsid w:val="002F0AA3"/>
    <w:rsid w:val="002F0AE3"/>
    <w:rsid w:val="002F13DA"/>
    <w:rsid w:val="002F1E28"/>
    <w:rsid w:val="002F243C"/>
    <w:rsid w:val="002F2872"/>
    <w:rsid w:val="002F3454"/>
    <w:rsid w:val="002F3777"/>
    <w:rsid w:val="002F459D"/>
    <w:rsid w:val="002F4843"/>
    <w:rsid w:val="002F541C"/>
    <w:rsid w:val="002F5577"/>
    <w:rsid w:val="002F625E"/>
    <w:rsid w:val="002F66B3"/>
    <w:rsid w:val="002F689C"/>
    <w:rsid w:val="002F6AA3"/>
    <w:rsid w:val="002F6FCC"/>
    <w:rsid w:val="002F7BA1"/>
    <w:rsid w:val="00300215"/>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5A1"/>
    <w:rsid w:val="00306738"/>
    <w:rsid w:val="00306990"/>
    <w:rsid w:val="00307599"/>
    <w:rsid w:val="00307951"/>
    <w:rsid w:val="0031044A"/>
    <w:rsid w:val="00310485"/>
    <w:rsid w:val="00310EC2"/>
    <w:rsid w:val="00311487"/>
    <w:rsid w:val="00311DBC"/>
    <w:rsid w:val="00312120"/>
    <w:rsid w:val="00312432"/>
    <w:rsid w:val="003128C1"/>
    <w:rsid w:val="0031345E"/>
    <w:rsid w:val="003135CC"/>
    <w:rsid w:val="00313981"/>
    <w:rsid w:val="00313A98"/>
    <w:rsid w:val="00313BF6"/>
    <w:rsid w:val="00314415"/>
    <w:rsid w:val="003147C5"/>
    <w:rsid w:val="00314E7B"/>
    <w:rsid w:val="003153EB"/>
    <w:rsid w:val="003165CE"/>
    <w:rsid w:val="0031693A"/>
    <w:rsid w:val="00316998"/>
    <w:rsid w:val="003169F1"/>
    <w:rsid w:val="00316A12"/>
    <w:rsid w:val="00316EF0"/>
    <w:rsid w:val="00317454"/>
    <w:rsid w:val="0031767F"/>
    <w:rsid w:val="00317E94"/>
    <w:rsid w:val="00321118"/>
    <w:rsid w:val="003218FF"/>
    <w:rsid w:val="00321985"/>
    <w:rsid w:val="00321B1A"/>
    <w:rsid w:val="00322DC5"/>
    <w:rsid w:val="0032328B"/>
    <w:rsid w:val="00323512"/>
    <w:rsid w:val="00323AC3"/>
    <w:rsid w:val="00323F82"/>
    <w:rsid w:val="003240DE"/>
    <w:rsid w:val="003249B2"/>
    <w:rsid w:val="00324A56"/>
    <w:rsid w:val="00324A8A"/>
    <w:rsid w:val="00324E56"/>
    <w:rsid w:val="00324F78"/>
    <w:rsid w:val="00325F57"/>
    <w:rsid w:val="00326376"/>
    <w:rsid w:val="003270A3"/>
    <w:rsid w:val="00327102"/>
    <w:rsid w:val="00330352"/>
    <w:rsid w:val="00330901"/>
    <w:rsid w:val="00330C15"/>
    <w:rsid w:val="003313FA"/>
    <w:rsid w:val="0033149D"/>
    <w:rsid w:val="0033192D"/>
    <w:rsid w:val="00332A8B"/>
    <w:rsid w:val="00332E15"/>
    <w:rsid w:val="00332FB5"/>
    <w:rsid w:val="00333056"/>
    <w:rsid w:val="00333638"/>
    <w:rsid w:val="00333738"/>
    <w:rsid w:val="00333F0F"/>
    <w:rsid w:val="00334206"/>
    <w:rsid w:val="00334AE4"/>
    <w:rsid w:val="00334C7D"/>
    <w:rsid w:val="00335114"/>
    <w:rsid w:val="003355CD"/>
    <w:rsid w:val="003361A8"/>
    <w:rsid w:val="00336273"/>
    <w:rsid w:val="00336B5A"/>
    <w:rsid w:val="00336F79"/>
    <w:rsid w:val="00337532"/>
    <w:rsid w:val="003377CF"/>
    <w:rsid w:val="00337BDD"/>
    <w:rsid w:val="00337D3C"/>
    <w:rsid w:val="0034072E"/>
    <w:rsid w:val="00340C44"/>
    <w:rsid w:val="0034195E"/>
    <w:rsid w:val="003424BD"/>
    <w:rsid w:val="003441E6"/>
    <w:rsid w:val="00344C0C"/>
    <w:rsid w:val="00345035"/>
    <w:rsid w:val="00345086"/>
    <w:rsid w:val="00345A13"/>
    <w:rsid w:val="00345B22"/>
    <w:rsid w:val="00346164"/>
    <w:rsid w:val="003462C2"/>
    <w:rsid w:val="0034641F"/>
    <w:rsid w:val="003467B1"/>
    <w:rsid w:val="00346B77"/>
    <w:rsid w:val="00346D6C"/>
    <w:rsid w:val="0034756C"/>
    <w:rsid w:val="00347C7D"/>
    <w:rsid w:val="00350B34"/>
    <w:rsid w:val="00350E70"/>
    <w:rsid w:val="00351205"/>
    <w:rsid w:val="00352D8B"/>
    <w:rsid w:val="003534B2"/>
    <w:rsid w:val="00353566"/>
    <w:rsid w:val="00353727"/>
    <w:rsid w:val="0035384C"/>
    <w:rsid w:val="00353881"/>
    <w:rsid w:val="00353CF2"/>
    <w:rsid w:val="00354312"/>
    <w:rsid w:val="003543E3"/>
    <w:rsid w:val="00354F7A"/>
    <w:rsid w:val="00356038"/>
    <w:rsid w:val="003565BB"/>
    <w:rsid w:val="00356FB1"/>
    <w:rsid w:val="00357C74"/>
    <w:rsid w:val="00357F7B"/>
    <w:rsid w:val="0036029B"/>
    <w:rsid w:val="00360BE0"/>
    <w:rsid w:val="00360D48"/>
    <w:rsid w:val="00361794"/>
    <w:rsid w:val="00361E58"/>
    <w:rsid w:val="00361F7C"/>
    <w:rsid w:val="0036254F"/>
    <w:rsid w:val="00362DA3"/>
    <w:rsid w:val="003630EF"/>
    <w:rsid w:val="0036326E"/>
    <w:rsid w:val="00363676"/>
    <w:rsid w:val="00363E40"/>
    <w:rsid w:val="00363E91"/>
    <w:rsid w:val="00363F8A"/>
    <w:rsid w:val="00365598"/>
    <w:rsid w:val="0036595B"/>
    <w:rsid w:val="00365A0A"/>
    <w:rsid w:val="003660DF"/>
    <w:rsid w:val="00366E5C"/>
    <w:rsid w:val="00366ED5"/>
    <w:rsid w:val="00366F2C"/>
    <w:rsid w:val="003672E1"/>
    <w:rsid w:val="00367E43"/>
    <w:rsid w:val="00367EF3"/>
    <w:rsid w:val="00370150"/>
    <w:rsid w:val="0037056E"/>
    <w:rsid w:val="00370EA1"/>
    <w:rsid w:val="00371429"/>
    <w:rsid w:val="0037237A"/>
    <w:rsid w:val="00372D0D"/>
    <w:rsid w:val="00372F74"/>
    <w:rsid w:val="00373973"/>
    <w:rsid w:val="00374B90"/>
    <w:rsid w:val="0037512A"/>
    <w:rsid w:val="00375492"/>
    <w:rsid w:val="00375E38"/>
    <w:rsid w:val="00375E64"/>
    <w:rsid w:val="00376374"/>
    <w:rsid w:val="003766C1"/>
    <w:rsid w:val="00376E4C"/>
    <w:rsid w:val="0037741C"/>
    <w:rsid w:val="00377726"/>
    <w:rsid w:val="003778F4"/>
    <w:rsid w:val="00377F45"/>
    <w:rsid w:val="003802DA"/>
    <w:rsid w:val="00380512"/>
    <w:rsid w:val="0038074B"/>
    <w:rsid w:val="00380864"/>
    <w:rsid w:val="00382132"/>
    <w:rsid w:val="00382F09"/>
    <w:rsid w:val="00382F0C"/>
    <w:rsid w:val="00383530"/>
    <w:rsid w:val="003837AF"/>
    <w:rsid w:val="003838C6"/>
    <w:rsid w:val="00383AF1"/>
    <w:rsid w:val="00383E28"/>
    <w:rsid w:val="00383EA4"/>
    <w:rsid w:val="00383F5A"/>
    <w:rsid w:val="003844DF"/>
    <w:rsid w:val="00384D1A"/>
    <w:rsid w:val="00385144"/>
    <w:rsid w:val="003851E1"/>
    <w:rsid w:val="003851F1"/>
    <w:rsid w:val="0038561E"/>
    <w:rsid w:val="003862B6"/>
    <w:rsid w:val="00386A51"/>
    <w:rsid w:val="00386C8D"/>
    <w:rsid w:val="0038731A"/>
    <w:rsid w:val="00387CD3"/>
    <w:rsid w:val="00387EDE"/>
    <w:rsid w:val="00390560"/>
    <w:rsid w:val="003905AA"/>
    <w:rsid w:val="00390A54"/>
    <w:rsid w:val="00390A7A"/>
    <w:rsid w:val="00390B1B"/>
    <w:rsid w:val="00391405"/>
    <w:rsid w:val="00391A07"/>
    <w:rsid w:val="00391BF8"/>
    <w:rsid w:val="00392682"/>
    <w:rsid w:val="003929FB"/>
    <w:rsid w:val="00392B68"/>
    <w:rsid w:val="00392BFD"/>
    <w:rsid w:val="00392D47"/>
    <w:rsid w:val="00394AB5"/>
    <w:rsid w:val="00395842"/>
    <w:rsid w:val="00396821"/>
    <w:rsid w:val="00396C10"/>
    <w:rsid w:val="0039705B"/>
    <w:rsid w:val="00397838"/>
    <w:rsid w:val="00397E0A"/>
    <w:rsid w:val="003A011A"/>
    <w:rsid w:val="003A06B5"/>
    <w:rsid w:val="003A07C0"/>
    <w:rsid w:val="003A0870"/>
    <w:rsid w:val="003A1061"/>
    <w:rsid w:val="003A2109"/>
    <w:rsid w:val="003A2401"/>
    <w:rsid w:val="003A2802"/>
    <w:rsid w:val="003A2EE1"/>
    <w:rsid w:val="003A31CF"/>
    <w:rsid w:val="003A3228"/>
    <w:rsid w:val="003A35CE"/>
    <w:rsid w:val="003A36CC"/>
    <w:rsid w:val="003A36EE"/>
    <w:rsid w:val="003A4069"/>
    <w:rsid w:val="003A4540"/>
    <w:rsid w:val="003A454D"/>
    <w:rsid w:val="003A511A"/>
    <w:rsid w:val="003A5149"/>
    <w:rsid w:val="003A5518"/>
    <w:rsid w:val="003A57C9"/>
    <w:rsid w:val="003A5BDA"/>
    <w:rsid w:val="003A612C"/>
    <w:rsid w:val="003A6376"/>
    <w:rsid w:val="003A6E2E"/>
    <w:rsid w:val="003A7B7E"/>
    <w:rsid w:val="003A7CA8"/>
    <w:rsid w:val="003A7E78"/>
    <w:rsid w:val="003B0A72"/>
    <w:rsid w:val="003B0E66"/>
    <w:rsid w:val="003B1811"/>
    <w:rsid w:val="003B1A65"/>
    <w:rsid w:val="003B1ACB"/>
    <w:rsid w:val="003B2570"/>
    <w:rsid w:val="003B26D3"/>
    <w:rsid w:val="003B2766"/>
    <w:rsid w:val="003B2796"/>
    <w:rsid w:val="003B2C82"/>
    <w:rsid w:val="003B2D77"/>
    <w:rsid w:val="003B2E0D"/>
    <w:rsid w:val="003B3AE4"/>
    <w:rsid w:val="003B3FF4"/>
    <w:rsid w:val="003B478B"/>
    <w:rsid w:val="003B4997"/>
    <w:rsid w:val="003B6022"/>
    <w:rsid w:val="003B61E0"/>
    <w:rsid w:val="003B6712"/>
    <w:rsid w:val="003B7320"/>
    <w:rsid w:val="003C01B3"/>
    <w:rsid w:val="003C03BA"/>
    <w:rsid w:val="003C06CC"/>
    <w:rsid w:val="003C0CD2"/>
    <w:rsid w:val="003C1125"/>
    <w:rsid w:val="003C1810"/>
    <w:rsid w:val="003C1B57"/>
    <w:rsid w:val="003C32CC"/>
    <w:rsid w:val="003C3479"/>
    <w:rsid w:val="003C3BD9"/>
    <w:rsid w:val="003C4320"/>
    <w:rsid w:val="003C44A1"/>
    <w:rsid w:val="003C46A7"/>
    <w:rsid w:val="003C4820"/>
    <w:rsid w:val="003C48A3"/>
    <w:rsid w:val="003C5582"/>
    <w:rsid w:val="003C600F"/>
    <w:rsid w:val="003C6B48"/>
    <w:rsid w:val="003C7205"/>
    <w:rsid w:val="003C729B"/>
    <w:rsid w:val="003C72DF"/>
    <w:rsid w:val="003C743F"/>
    <w:rsid w:val="003C7451"/>
    <w:rsid w:val="003C7912"/>
    <w:rsid w:val="003C7916"/>
    <w:rsid w:val="003C79D4"/>
    <w:rsid w:val="003C7E27"/>
    <w:rsid w:val="003D0E72"/>
    <w:rsid w:val="003D1763"/>
    <w:rsid w:val="003D197D"/>
    <w:rsid w:val="003D1C66"/>
    <w:rsid w:val="003D2845"/>
    <w:rsid w:val="003D29AE"/>
    <w:rsid w:val="003D2BB8"/>
    <w:rsid w:val="003D2D1B"/>
    <w:rsid w:val="003D35F4"/>
    <w:rsid w:val="003D5B51"/>
    <w:rsid w:val="003D60BD"/>
    <w:rsid w:val="003D66CF"/>
    <w:rsid w:val="003D67A0"/>
    <w:rsid w:val="003D6AC8"/>
    <w:rsid w:val="003D7F01"/>
    <w:rsid w:val="003D7F4B"/>
    <w:rsid w:val="003E0E17"/>
    <w:rsid w:val="003E0E53"/>
    <w:rsid w:val="003E1074"/>
    <w:rsid w:val="003E15A4"/>
    <w:rsid w:val="003E1AA1"/>
    <w:rsid w:val="003E1C05"/>
    <w:rsid w:val="003E20F2"/>
    <w:rsid w:val="003E2639"/>
    <w:rsid w:val="003E3006"/>
    <w:rsid w:val="003E3448"/>
    <w:rsid w:val="003E37CA"/>
    <w:rsid w:val="003E3D80"/>
    <w:rsid w:val="003E3F55"/>
    <w:rsid w:val="003E3FAE"/>
    <w:rsid w:val="003E4046"/>
    <w:rsid w:val="003E4109"/>
    <w:rsid w:val="003E4367"/>
    <w:rsid w:val="003E5207"/>
    <w:rsid w:val="003E5259"/>
    <w:rsid w:val="003E56D1"/>
    <w:rsid w:val="003E57B9"/>
    <w:rsid w:val="003E59B9"/>
    <w:rsid w:val="003E76FB"/>
    <w:rsid w:val="003E7780"/>
    <w:rsid w:val="003E78A4"/>
    <w:rsid w:val="003E7F69"/>
    <w:rsid w:val="003F0EE7"/>
    <w:rsid w:val="003F1440"/>
    <w:rsid w:val="003F1C2B"/>
    <w:rsid w:val="003F209B"/>
    <w:rsid w:val="003F2694"/>
    <w:rsid w:val="003F4801"/>
    <w:rsid w:val="003F543D"/>
    <w:rsid w:val="003F5D1B"/>
    <w:rsid w:val="003F6701"/>
    <w:rsid w:val="003F69D7"/>
    <w:rsid w:val="003F7224"/>
    <w:rsid w:val="003F7A85"/>
    <w:rsid w:val="003F7E35"/>
    <w:rsid w:val="003F7EA8"/>
    <w:rsid w:val="003F7F53"/>
    <w:rsid w:val="004002BD"/>
    <w:rsid w:val="00400513"/>
    <w:rsid w:val="0040099E"/>
    <w:rsid w:val="00401149"/>
    <w:rsid w:val="004011C9"/>
    <w:rsid w:val="0040176C"/>
    <w:rsid w:val="00401787"/>
    <w:rsid w:val="004019BD"/>
    <w:rsid w:val="004021F3"/>
    <w:rsid w:val="0040236A"/>
    <w:rsid w:val="00402693"/>
    <w:rsid w:val="00402A3A"/>
    <w:rsid w:val="00402E4F"/>
    <w:rsid w:val="00402FEB"/>
    <w:rsid w:val="00403708"/>
    <w:rsid w:val="00403CE9"/>
    <w:rsid w:val="00404714"/>
    <w:rsid w:val="00404AC9"/>
    <w:rsid w:val="00404BD7"/>
    <w:rsid w:val="00406AB2"/>
    <w:rsid w:val="00406DC4"/>
    <w:rsid w:val="004074AD"/>
    <w:rsid w:val="004075A8"/>
    <w:rsid w:val="004108E1"/>
    <w:rsid w:val="00410B41"/>
    <w:rsid w:val="004110E6"/>
    <w:rsid w:val="0041149E"/>
    <w:rsid w:val="00411DAE"/>
    <w:rsid w:val="004121F1"/>
    <w:rsid w:val="00412778"/>
    <w:rsid w:val="0041330F"/>
    <w:rsid w:val="00413A97"/>
    <w:rsid w:val="00413B63"/>
    <w:rsid w:val="00413E4D"/>
    <w:rsid w:val="00414993"/>
    <w:rsid w:val="00415CDA"/>
    <w:rsid w:val="00415CFF"/>
    <w:rsid w:val="0041620C"/>
    <w:rsid w:val="004162AF"/>
    <w:rsid w:val="00416AD4"/>
    <w:rsid w:val="00416C2B"/>
    <w:rsid w:val="00420DDD"/>
    <w:rsid w:val="00420E8E"/>
    <w:rsid w:val="00421337"/>
    <w:rsid w:val="004217AB"/>
    <w:rsid w:val="004224A2"/>
    <w:rsid w:val="004230AC"/>
    <w:rsid w:val="004232E9"/>
    <w:rsid w:val="0042380E"/>
    <w:rsid w:val="00423C51"/>
    <w:rsid w:val="00423F61"/>
    <w:rsid w:val="00424CD0"/>
    <w:rsid w:val="00425542"/>
    <w:rsid w:val="00426719"/>
    <w:rsid w:val="0042750D"/>
    <w:rsid w:val="00427812"/>
    <w:rsid w:val="00427D21"/>
    <w:rsid w:val="00427E90"/>
    <w:rsid w:val="0043002F"/>
    <w:rsid w:val="00430670"/>
    <w:rsid w:val="004312FC"/>
    <w:rsid w:val="00432244"/>
    <w:rsid w:val="00432FB6"/>
    <w:rsid w:val="00433870"/>
    <w:rsid w:val="0043443E"/>
    <w:rsid w:val="00434A22"/>
    <w:rsid w:val="00434BA4"/>
    <w:rsid w:val="00434E92"/>
    <w:rsid w:val="004359BF"/>
    <w:rsid w:val="00435C1A"/>
    <w:rsid w:val="00435D43"/>
    <w:rsid w:val="00436E47"/>
    <w:rsid w:val="004376EC"/>
    <w:rsid w:val="004379EE"/>
    <w:rsid w:val="0044019B"/>
    <w:rsid w:val="004405F3"/>
    <w:rsid w:val="004409F8"/>
    <w:rsid w:val="00441332"/>
    <w:rsid w:val="0044151C"/>
    <w:rsid w:val="00441728"/>
    <w:rsid w:val="00441ABF"/>
    <w:rsid w:val="00441AC6"/>
    <w:rsid w:val="00442045"/>
    <w:rsid w:val="00442628"/>
    <w:rsid w:val="00442D9B"/>
    <w:rsid w:val="00442E2C"/>
    <w:rsid w:val="00442F12"/>
    <w:rsid w:val="00443883"/>
    <w:rsid w:val="004438C2"/>
    <w:rsid w:val="00444152"/>
    <w:rsid w:val="00444569"/>
    <w:rsid w:val="00444AB3"/>
    <w:rsid w:val="00444C0A"/>
    <w:rsid w:val="004450FA"/>
    <w:rsid w:val="0044558C"/>
    <w:rsid w:val="0044569E"/>
    <w:rsid w:val="004461B2"/>
    <w:rsid w:val="00446EE2"/>
    <w:rsid w:val="0044759D"/>
    <w:rsid w:val="00447618"/>
    <w:rsid w:val="00447F4A"/>
    <w:rsid w:val="0045000B"/>
    <w:rsid w:val="004500BF"/>
    <w:rsid w:val="004501DA"/>
    <w:rsid w:val="004502F3"/>
    <w:rsid w:val="004503F9"/>
    <w:rsid w:val="00450489"/>
    <w:rsid w:val="0045052A"/>
    <w:rsid w:val="00450CA0"/>
    <w:rsid w:val="00450E94"/>
    <w:rsid w:val="004518BA"/>
    <w:rsid w:val="00451B34"/>
    <w:rsid w:val="00452936"/>
    <w:rsid w:val="00452D52"/>
    <w:rsid w:val="00452E98"/>
    <w:rsid w:val="0045347A"/>
    <w:rsid w:val="00453626"/>
    <w:rsid w:val="00453850"/>
    <w:rsid w:val="00453B38"/>
    <w:rsid w:val="004541E0"/>
    <w:rsid w:val="004546A6"/>
    <w:rsid w:val="00454C60"/>
    <w:rsid w:val="00454E5B"/>
    <w:rsid w:val="004551B2"/>
    <w:rsid w:val="00455310"/>
    <w:rsid w:val="00455AF2"/>
    <w:rsid w:val="004562AB"/>
    <w:rsid w:val="0045639B"/>
    <w:rsid w:val="004568D7"/>
    <w:rsid w:val="00456F67"/>
    <w:rsid w:val="0045797B"/>
    <w:rsid w:val="004604DF"/>
    <w:rsid w:val="004605D3"/>
    <w:rsid w:val="00460B40"/>
    <w:rsid w:val="004611C8"/>
    <w:rsid w:val="004612A4"/>
    <w:rsid w:val="00461444"/>
    <w:rsid w:val="004616D6"/>
    <w:rsid w:val="00461AC3"/>
    <w:rsid w:val="0046208E"/>
    <w:rsid w:val="0046224F"/>
    <w:rsid w:val="00462272"/>
    <w:rsid w:val="0046274E"/>
    <w:rsid w:val="004633C2"/>
    <w:rsid w:val="004644C2"/>
    <w:rsid w:val="00464CC7"/>
    <w:rsid w:val="0046526C"/>
    <w:rsid w:val="00465432"/>
    <w:rsid w:val="00465A95"/>
    <w:rsid w:val="00466769"/>
    <w:rsid w:val="00466824"/>
    <w:rsid w:val="00466C4A"/>
    <w:rsid w:val="00466F1C"/>
    <w:rsid w:val="004675DC"/>
    <w:rsid w:val="00467B32"/>
    <w:rsid w:val="00467F9C"/>
    <w:rsid w:val="004703C3"/>
    <w:rsid w:val="00470635"/>
    <w:rsid w:val="0047082B"/>
    <w:rsid w:val="00470E20"/>
    <w:rsid w:val="00471528"/>
    <w:rsid w:val="004729D1"/>
    <w:rsid w:val="00472B4B"/>
    <w:rsid w:val="00473751"/>
    <w:rsid w:val="0047380F"/>
    <w:rsid w:val="00473AE2"/>
    <w:rsid w:val="0047463C"/>
    <w:rsid w:val="00474877"/>
    <w:rsid w:val="00474A0D"/>
    <w:rsid w:val="0047561D"/>
    <w:rsid w:val="00476013"/>
    <w:rsid w:val="0047683A"/>
    <w:rsid w:val="00480048"/>
    <w:rsid w:val="00481073"/>
    <w:rsid w:val="0048131D"/>
    <w:rsid w:val="004816A0"/>
    <w:rsid w:val="004816D8"/>
    <w:rsid w:val="00481B8F"/>
    <w:rsid w:val="00481C87"/>
    <w:rsid w:val="00481EC4"/>
    <w:rsid w:val="00481FAC"/>
    <w:rsid w:val="004826A3"/>
    <w:rsid w:val="004829DF"/>
    <w:rsid w:val="00482A3A"/>
    <w:rsid w:val="00483159"/>
    <w:rsid w:val="004832C8"/>
    <w:rsid w:val="00483405"/>
    <w:rsid w:val="004835F3"/>
    <w:rsid w:val="00483C34"/>
    <w:rsid w:val="0048499F"/>
    <w:rsid w:val="00484C2F"/>
    <w:rsid w:val="00484F8A"/>
    <w:rsid w:val="004851C0"/>
    <w:rsid w:val="00485B53"/>
    <w:rsid w:val="004860DD"/>
    <w:rsid w:val="00486305"/>
    <w:rsid w:val="00486644"/>
    <w:rsid w:val="004866A4"/>
    <w:rsid w:val="004866CD"/>
    <w:rsid w:val="00487859"/>
    <w:rsid w:val="00487C6D"/>
    <w:rsid w:val="004901C5"/>
    <w:rsid w:val="004902F1"/>
    <w:rsid w:val="004902FC"/>
    <w:rsid w:val="00490C35"/>
    <w:rsid w:val="004912C3"/>
    <w:rsid w:val="004917B4"/>
    <w:rsid w:val="004918C9"/>
    <w:rsid w:val="00491CF6"/>
    <w:rsid w:val="00491F68"/>
    <w:rsid w:val="0049250F"/>
    <w:rsid w:val="004929DF"/>
    <w:rsid w:val="00492A01"/>
    <w:rsid w:val="00493B78"/>
    <w:rsid w:val="004942DE"/>
    <w:rsid w:val="004948A4"/>
    <w:rsid w:val="0049490D"/>
    <w:rsid w:val="00494C2D"/>
    <w:rsid w:val="004950DB"/>
    <w:rsid w:val="00495368"/>
    <w:rsid w:val="00495AA7"/>
    <w:rsid w:val="00496159"/>
    <w:rsid w:val="00496ED5"/>
    <w:rsid w:val="00497851"/>
    <w:rsid w:val="004A0129"/>
    <w:rsid w:val="004A0420"/>
    <w:rsid w:val="004A04A5"/>
    <w:rsid w:val="004A0722"/>
    <w:rsid w:val="004A0F51"/>
    <w:rsid w:val="004A1BC3"/>
    <w:rsid w:val="004A1C02"/>
    <w:rsid w:val="004A2A7B"/>
    <w:rsid w:val="004A3734"/>
    <w:rsid w:val="004A400C"/>
    <w:rsid w:val="004A668C"/>
    <w:rsid w:val="004A6C33"/>
    <w:rsid w:val="004A7662"/>
    <w:rsid w:val="004B0B3E"/>
    <w:rsid w:val="004B0F37"/>
    <w:rsid w:val="004B19B2"/>
    <w:rsid w:val="004B1B4C"/>
    <w:rsid w:val="004B1C42"/>
    <w:rsid w:val="004B252A"/>
    <w:rsid w:val="004B2A3B"/>
    <w:rsid w:val="004B3226"/>
    <w:rsid w:val="004B4056"/>
    <w:rsid w:val="004B478C"/>
    <w:rsid w:val="004B5EED"/>
    <w:rsid w:val="004B65A7"/>
    <w:rsid w:val="004B6D23"/>
    <w:rsid w:val="004B6F8B"/>
    <w:rsid w:val="004C0E2E"/>
    <w:rsid w:val="004C1785"/>
    <w:rsid w:val="004C1D05"/>
    <w:rsid w:val="004C1DE6"/>
    <w:rsid w:val="004C300A"/>
    <w:rsid w:val="004C3DDF"/>
    <w:rsid w:val="004C3ED9"/>
    <w:rsid w:val="004C4AB8"/>
    <w:rsid w:val="004C4B15"/>
    <w:rsid w:val="004C4CBB"/>
    <w:rsid w:val="004C4F7D"/>
    <w:rsid w:val="004C68B5"/>
    <w:rsid w:val="004C70F3"/>
    <w:rsid w:val="004C71BA"/>
    <w:rsid w:val="004C735B"/>
    <w:rsid w:val="004C78A4"/>
    <w:rsid w:val="004C7C52"/>
    <w:rsid w:val="004C7F1A"/>
    <w:rsid w:val="004D001B"/>
    <w:rsid w:val="004D0148"/>
    <w:rsid w:val="004D070D"/>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574D"/>
    <w:rsid w:val="004D6157"/>
    <w:rsid w:val="004D6206"/>
    <w:rsid w:val="004D66DF"/>
    <w:rsid w:val="004D6CA1"/>
    <w:rsid w:val="004D6F71"/>
    <w:rsid w:val="004D7FDE"/>
    <w:rsid w:val="004E0522"/>
    <w:rsid w:val="004E05A2"/>
    <w:rsid w:val="004E07BB"/>
    <w:rsid w:val="004E0C8E"/>
    <w:rsid w:val="004E146E"/>
    <w:rsid w:val="004E1D2E"/>
    <w:rsid w:val="004E1DBC"/>
    <w:rsid w:val="004E1DC1"/>
    <w:rsid w:val="004E1F53"/>
    <w:rsid w:val="004E275C"/>
    <w:rsid w:val="004E285D"/>
    <w:rsid w:val="004E2DFB"/>
    <w:rsid w:val="004E313F"/>
    <w:rsid w:val="004E31BC"/>
    <w:rsid w:val="004E41AC"/>
    <w:rsid w:val="004E42EB"/>
    <w:rsid w:val="004E437D"/>
    <w:rsid w:val="004E4837"/>
    <w:rsid w:val="004E4AB7"/>
    <w:rsid w:val="004E4CB3"/>
    <w:rsid w:val="004E5233"/>
    <w:rsid w:val="004E6017"/>
    <w:rsid w:val="004E7184"/>
    <w:rsid w:val="004E762D"/>
    <w:rsid w:val="004E778C"/>
    <w:rsid w:val="004E7A26"/>
    <w:rsid w:val="004E7D7D"/>
    <w:rsid w:val="004F0074"/>
    <w:rsid w:val="004F0522"/>
    <w:rsid w:val="004F09A4"/>
    <w:rsid w:val="004F14BE"/>
    <w:rsid w:val="004F2E63"/>
    <w:rsid w:val="004F4833"/>
    <w:rsid w:val="004F49D1"/>
    <w:rsid w:val="004F4A02"/>
    <w:rsid w:val="004F53D8"/>
    <w:rsid w:val="004F594A"/>
    <w:rsid w:val="004F5C2E"/>
    <w:rsid w:val="004F6123"/>
    <w:rsid w:val="004F666F"/>
    <w:rsid w:val="004F69A9"/>
    <w:rsid w:val="004F69E2"/>
    <w:rsid w:val="004F6D14"/>
    <w:rsid w:val="004F6F4D"/>
    <w:rsid w:val="004F729A"/>
    <w:rsid w:val="004F7D32"/>
    <w:rsid w:val="00500110"/>
    <w:rsid w:val="00500E04"/>
    <w:rsid w:val="00500F71"/>
    <w:rsid w:val="00501279"/>
    <w:rsid w:val="005014E4"/>
    <w:rsid w:val="005033F9"/>
    <w:rsid w:val="00503DE4"/>
    <w:rsid w:val="00504A44"/>
    <w:rsid w:val="00504A97"/>
    <w:rsid w:val="00504D17"/>
    <w:rsid w:val="00504D9B"/>
    <w:rsid w:val="0050551E"/>
    <w:rsid w:val="005055DF"/>
    <w:rsid w:val="00505C85"/>
    <w:rsid w:val="005064F5"/>
    <w:rsid w:val="005069C9"/>
    <w:rsid w:val="0050720D"/>
    <w:rsid w:val="00507FB1"/>
    <w:rsid w:val="0051006C"/>
    <w:rsid w:val="0051033B"/>
    <w:rsid w:val="00510394"/>
    <w:rsid w:val="00510A4F"/>
    <w:rsid w:val="005117A1"/>
    <w:rsid w:val="00511D5F"/>
    <w:rsid w:val="00511F62"/>
    <w:rsid w:val="0051246B"/>
    <w:rsid w:val="00512D4B"/>
    <w:rsid w:val="00512F4A"/>
    <w:rsid w:val="00512FE0"/>
    <w:rsid w:val="00513ADE"/>
    <w:rsid w:val="00514066"/>
    <w:rsid w:val="00514A4B"/>
    <w:rsid w:val="00514DC9"/>
    <w:rsid w:val="005151C8"/>
    <w:rsid w:val="005159DB"/>
    <w:rsid w:val="00516D30"/>
    <w:rsid w:val="005172A7"/>
    <w:rsid w:val="00517678"/>
    <w:rsid w:val="00520461"/>
    <w:rsid w:val="0052048A"/>
    <w:rsid w:val="00520DA1"/>
    <w:rsid w:val="00520EA5"/>
    <w:rsid w:val="0052125C"/>
    <w:rsid w:val="0052170D"/>
    <w:rsid w:val="005225CB"/>
    <w:rsid w:val="00522A15"/>
    <w:rsid w:val="00522AF3"/>
    <w:rsid w:val="00523A9C"/>
    <w:rsid w:val="00523B44"/>
    <w:rsid w:val="00523D1B"/>
    <w:rsid w:val="00523E9D"/>
    <w:rsid w:val="00523F57"/>
    <w:rsid w:val="00524C20"/>
    <w:rsid w:val="005256D0"/>
    <w:rsid w:val="00525FE2"/>
    <w:rsid w:val="005265EE"/>
    <w:rsid w:val="005269E5"/>
    <w:rsid w:val="0052757C"/>
    <w:rsid w:val="0052773C"/>
    <w:rsid w:val="00527E07"/>
    <w:rsid w:val="005303CB"/>
    <w:rsid w:val="0053062B"/>
    <w:rsid w:val="00530B43"/>
    <w:rsid w:val="00530BDE"/>
    <w:rsid w:val="00532FC0"/>
    <w:rsid w:val="0053314D"/>
    <w:rsid w:val="00533A6D"/>
    <w:rsid w:val="00533BCA"/>
    <w:rsid w:val="00533BE0"/>
    <w:rsid w:val="0053428F"/>
    <w:rsid w:val="005344EE"/>
    <w:rsid w:val="00534681"/>
    <w:rsid w:val="005348A5"/>
    <w:rsid w:val="00534946"/>
    <w:rsid w:val="00534CDD"/>
    <w:rsid w:val="00534EA2"/>
    <w:rsid w:val="005354C1"/>
    <w:rsid w:val="005356D2"/>
    <w:rsid w:val="005359AC"/>
    <w:rsid w:val="00535D5B"/>
    <w:rsid w:val="00535E30"/>
    <w:rsid w:val="00535F07"/>
    <w:rsid w:val="0053609C"/>
    <w:rsid w:val="005368D1"/>
    <w:rsid w:val="00536B6E"/>
    <w:rsid w:val="00536FE4"/>
    <w:rsid w:val="005370DF"/>
    <w:rsid w:val="005370ED"/>
    <w:rsid w:val="005373B2"/>
    <w:rsid w:val="00540347"/>
    <w:rsid w:val="005406DC"/>
    <w:rsid w:val="00541337"/>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0F14"/>
    <w:rsid w:val="0055140D"/>
    <w:rsid w:val="00551ACA"/>
    <w:rsid w:val="00552680"/>
    <w:rsid w:val="00553049"/>
    <w:rsid w:val="0055349D"/>
    <w:rsid w:val="00553853"/>
    <w:rsid w:val="00553D33"/>
    <w:rsid w:val="00554491"/>
    <w:rsid w:val="0055450C"/>
    <w:rsid w:val="00555365"/>
    <w:rsid w:val="00557252"/>
    <w:rsid w:val="0055725F"/>
    <w:rsid w:val="0056014A"/>
    <w:rsid w:val="00560289"/>
    <w:rsid w:val="005602CC"/>
    <w:rsid w:val="0056068E"/>
    <w:rsid w:val="005608AC"/>
    <w:rsid w:val="00560BC2"/>
    <w:rsid w:val="00561239"/>
    <w:rsid w:val="00561513"/>
    <w:rsid w:val="00561683"/>
    <w:rsid w:val="00561BA2"/>
    <w:rsid w:val="00561D93"/>
    <w:rsid w:val="0056270C"/>
    <w:rsid w:val="00563442"/>
    <w:rsid w:val="0056348E"/>
    <w:rsid w:val="005634F5"/>
    <w:rsid w:val="00564058"/>
    <w:rsid w:val="00564BB2"/>
    <w:rsid w:val="0056570B"/>
    <w:rsid w:val="00565769"/>
    <w:rsid w:val="00565B42"/>
    <w:rsid w:val="00566606"/>
    <w:rsid w:val="00566847"/>
    <w:rsid w:val="00566900"/>
    <w:rsid w:val="00566A6D"/>
    <w:rsid w:val="00567432"/>
    <w:rsid w:val="00567914"/>
    <w:rsid w:val="00570369"/>
    <w:rsid w:val="005709B9"/>
    <w:rsid w:val="00570E44"/>
    <w:rsid w:val="00571218"/>
    <w:rsid w:val="0057131B"/>
    <w:rsid w:val="005715E0"/>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519"/>
    <w:rsid w:val="0058071F"/>
    <w:rsid w:val="00580A98"/>
    <w:rsid w:val="00580FA3"/>
    <w:rsid w:val="005815A4"/>
    <w:rsid w:val="00581925"/>
    <w:rsid w:val="005819D9"/>
    <w:rsid w:val="00581B36"/>
    <w:rsid w:val="00582427"/>
    <w:rsid w:val="005824D2"/>
    <w:rsid w:val="00582B4A"/>
    <w:rsid w:val="00582D4B"/>
    <w:rsid w:val="00582DBC"/>
    <w:rsid w:val="005838D5"/>
    <w:rsid w:val="00584C6D"/>
    <w:rsid w:val="00585043"/>
    <w:rsid w:val="0058504C"/>
    <w:rsid w:val="00585C0D"/>
    <w:rsid w:val="00586634"/>
    <w:rsid w:val="005867D5"/>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2B5F"/>
    <w:rsid w:val="00593757"/>
    <w:rsid w:val="00593990"/>
    <w:rsid w:val="005939EB"/>
    <w:rsid w:val="00593EDE"/>
    <w:rsid w:val="0059417C"/>
    <w:rsid w:val="00595154"/>
    <w:rsid w:val="005951BB"/>
    <w:rsid w:val="0059528C"/>
    <w:rsid w:val="005954BC"/>
    <w:rsid w:val="00595D58"/>
    <w:rsid w:val="005964B9"/>
    <w:rsid w:val="005964D7"/>
    <w:rsid w:val="0059677A"/>
    <w:rsid w:val="0059707F"/>
    <w:rsid w:val="00597668"/>
    <w:rsid w:val="00597F00"/>
    <w:rsid w:val="005A0960"/>
    <w:rsid w:val="005A0D8A"/>
    <w:rsid w:val="005A116F"/>
    <w:rsid w:val="005A13DB"/>
    <w:rsid w:val="005A1721"/>
    <w:rsid w:val="005A195D"/>
    <w:rsid w:val="005A1C0B"/>
    <w:rsid w:val="005A2688"/>
    <w:rsid w:val="005A2832"/>
    <w:rsid w:val="005A2D59"/>
    <w:rsid w:val="005A2F7D"/>
    <w:rsid w:val="005A328C"/>
    <w:rsid w:val="005A3406"/>
    <w:rsid w:val="005A3514"/>
    <w:rsid w:val="005A358C"/>
    <w:rsid w:val="005A39AB"/>
    <w:rsid w:val="005A3D01"/>
    <w:rsid w:val="005A45C1"/>
    <w:rsid w:val="005A4830"/>
    <w:rsid w:val="005A4E4E"/>
    <w:rsid w:val="005A58B6"/>
    <w:rsid w:val="005A5B2B"/>
    <w:rsid w:val="005A6467"/>
    <w:rsid w:val="005A66AB"/>
    <w:rsid w:val="005A6ECA"/>
    <w:rsid w:val="005A7D46"/>
    <w:rsid w:val="005B00BA"/>
    <w:rsid w:val="005B00E5"/>
    <w:rsid w:val="005B0166"/>
    <w:rsid w:val="005B02F1"/>
    <w:rsid w:val="005B0575"/>
    <w:rsid w:val="005B0701"/>
    <w:rsid w:val="005B0900"/>
    <w:rsid w:val="005B0BA2"/>
    <w:rsid w:val="005B1459"/>
    <w:rsid w:val="005B155B"/>
    <w:rsid w:val="005B20FD"/>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905"/>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3BB"/>
    <w:rsid w:val="005C5A9A"/>
    <w:rsid w:val="005C5BA6"/>
    <w:rsid w:val="005C5D65"/>
    <w:rsid w:val="005C5F12"/>
    <w:rsid w:val="005C5FA6"/>
    <w:rsid w:val="005C6253"/>
    <w:rsid w:val="005C62C8"/>
    <w:rsid w:val="005C6C94"/>
    <w:rsid w:val="005C7592"/>
    <w:rsid w:val="005C7890"/>
    <w:rsid w:val="005C7C5E"/>
    <w:rsid w:val="005C7D1F"/>
    <w:rsid w:val="005D08B7"/>
    <w:rsid w:val="005D1004"/>
    <w:rsid w:val="005D178D"/>
    <w:rsid w:val="005D19EE"/>
    <w:rsid w:val="005D1CBF"/>
    <w:rsid w:val="005D20CB"/>
    <w:rsid w:val="005D2938"/>
    <w:rsid w:val="005D2A41"/>
    <w:rsid w:val="005D3121"/>
    <w:rsid w:val="005D3AA8"/>
    <w:rsid w:val="005D3B48"/>
    <w:rsid w:val="005D40DD"/>
    <w:rsid w:val="005D446D"/>
    <w:rsid w:val="005D4C43"/>
    <w:rsid w:val="005D4FED"/>
    <w:rsid w:val="005D5179"/>
    <w:rsid w:val="005D5285"/>
    <w:rsid w:val="005D5303"/>
    <w:rsid w:val="005D535D"/>
    <w:rsid w:val="005D563D"/>
    <w:rsid w:val="005D58A9"/>
    <w:rsid w:val="005D6440"/>
    <w:rsid w:val="005D7058"/>
    <w:rsid w:val="005E1046"/>
    <w:rsid w:val="005E27A6"/>
    <w:rsid w:val="005E4C69"/>
    <w:rsid w:val="005E511A"/>
    <w:rsid w:val="005E553A"/>
    <w:rsid w:val="005E615A"/>
    <w:rsid w:val="005E6188"/>
    <w:rsid w:val="005E64B2"/>
    <w:rsid w:val="005E6914"/>
    <w:rsid w:val="005E6A19"/>
    <w:rsid w:val="005E6C17"/>
    <w:rsid w:val="005E70AE"/>
    <w:rsid w:val="005E76DA"/>
    <w:rsid w:val="005E77CB"/>
    <w:rsid w:val="005F0979"/>
    <w:rsid w:val="005F0AA6"/>
    <w:rsid w:val="005F0C2A"/>
    <w:rsid w:val="005F1341"/>
    <w:rsid w:val="005F13AA"/>
    <w:rsid w:val="005F1446"/>
    <w:rsid w:val="005F2616"/>
    <w:rsid w:val="005F26F5"/>
    <w:rsid w:val="005F2A75"/>
    <w:rsid w:val="005F2DD6"/>
    <w:rsid w:val="005F2E16"/>
    <w:rsid w:val="005F39C1"/>
    <w:rsid w:val="005F3BB2"/>
    <w:rsid w:val="005F424E"/>
    <w:rsid w:val="005F43D6"/>
    <w:rsid w:val="005F508D"/>
    <w:rsid w:val="005F53CD"/>
    <w:rsid w:val="005F54B8"/>
    <w:rsid w:val="005F5F8F"/>
    <w:rsid w:val="005F6207"/>
    <w:rsid w:val="005F63B4"/>
    <w:rsid w:val="005F650C"/>
    <w:rsid w:val="005F6717"/>
    <w:rsid w:val="005F6F35"/>
    <w:rsid w:val="00600111"/>
    <w:rsid w:val="00600A53"/>
    <w:rsid w:val="00600E3A"/>
    <w:rsid w:val="0060199A"/>
    <w:rsid w:val="00601B4A"/>
    <w:rsid w:val="006023DE"/>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4BC"/>
    <w:rsid w:val="00620CA8"/>
    <w:rsid w:val="006213FC"/>
    <w:rsid w:val="00621606"/>
    <w:rsid w:val="00621AC0"/>
    <w:rsid w:val="00621C50"/>
    <w:rsid w:val="00622525"/>
    <w:rsid w:val="006228F7"/>
    <w:rsid w:val="006229DD"/>
    <w:rsid w:val="00622D83"/>
    <w:rsid w:val="006237B3"/>
    <w:rsid w:val="0062462E"/>
    <w:rsid w:val="00624C7C"/>
    <w:rsid w:val="006256DE"/>
    <w:rsid w:val="00625782"/>
    <w:rsid w:val="00625E3A"/>
    <w:rsid w:val="00625F35"/>
    <w:rsid w:val="006264C5"/>
    <w:rsid w:val="00626AEA"/>
    <w:rsid w:val="00626EA9"/>
    <w:rsid w:val="00627137"/>
    <w:rsid w:val="0062748B"/>
    <w:rsid w:val="006300D6"/>
    <w:rsid w:val="00630109"/>
    <w:rsid w:val="00630EB5"/>
    <w:rsid w:val="0063120F"/>
    <w:rsid w:val="006313FC"/>
    <w:rsid w:val="00631AF7"/>
    <w:rsid w:val="00631CA6"/>
    <w:rsid w:val="00631E51"/>
    <w:rsid w:val="0063227B"/>
    <w:rsid w:val="006329B1"/>
    <w:rsid w:val="00632A61"/>
    <w:rsid w:val="00632AFC"/>
    <w:rsid w:val="00633158"/>
    <w:rsid w:val="006333EB"/>
    <w:rsid w:val="00633440"/>
    <w:rsid w:val="00634019"/>
    <w:rsid w:val="00634A29"/>
    <w:rsid w:val="00634A93"/>
    <w:rsid w:val="00634F35"/>
    <w:rsid w:val="0063507E"/>
    <w:rsid w:val="00635663"/>
    <w:rsid w:val="00636B2C"/>
    <w:rsid w:val="00636D98"/>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647"/>
    <w:rsid w:val="00645A2A"/>
    <w:rsid w:val="00645D17"/>
    <w:rsid w:val="00645E87"/>
    <w:rsid w:val="00645F05"/>
    <w:rsid w:val="0064644B"/>
    <w:rsid w:val="006469AB"/>
    <w:rsid w:val="006476BA"/>
    <w:rsid w:val="006478BF"/>
    <w:rsid w:val="00647CA4"/>
    <w:rsid w:val="00650307"/>
    <w:rsid w:val="00650A25"/>
    <w:rsid w:val="0065176B"/>
    <w:rsid w:val="006518BF"/>
    <w:rsid w:val="00651F77"/>
    <w:rsid w:val="0065224E"/>
    <w:rsid w:val="0065245A"/>
    <w:rsid w:val="006527D8"/>
    <w:rsid w:val="0065377C"/>
    <w:rsid w:val="00653BA6"/>
    <w:rsid w:val="006541E0"/>
    <w:rsid w:val="006541EE"/>
    <w:rsid w:val="006543B5"/>
    <w:rsid w:val="006544A8"/>
    <w:rsid w:val="00654B24"/>
    <w:rsid w:val="00655061"/>
    <w:rsid w:val="00655A21"/>
    <w:rsid w:val="00655BCD"/>
    <w:rsid w:val="00656977"/>
    <w:rsid w:val="00656A73"/>
    <w:rsid w:val="00656B3E"/>
    <w:rsid w:val="00656D1A"/>
    <w:rsid w:val="00656F98"/>
    <w:rsid w:val="006576BA"/>
    <w:rsid w:val="0065774C"/>
    <w:rsid w:val="006603C0"/>
    <w:rsid w:val="00660AE0"/>
    <w:rsid w:val="00660B19"/>
    <w:rsid w:val="00660EB3"/>
    <w:rsid w:val="00660FF8"/>
    <w:rsid w:val="00661029"/>
    <w:rsid w:val="00661318"/>
    <w:rsid w:val="00662101"/>
    <w:rsid w:val="00662537"/>
    <w:rsid w:val="00662695"/>
    <w:rsid w:val="00662B06"/>
    <w:rsid w:val="00662D1D"/>
    <w:rsid w:val="00662D66"/>
    <w:rsid w:val="00662FC2"/>
    <w:rsid w:val="00663140"/>
    <w:rsid w:val="00664990"/>
    <w:rsid w:val="00665037"/>
    <w:rsid w:val="006651EA"/>
    <w:rsid w:val="006656B7"/>
    <w:rsid w:val="00665729"/>
    <w:rsid w:val="0066588A"/>
    <w:rsid w:val="0066606A"/>
    <w:rsid w:val="0066657D"/>
    <w:rsid w:val="006665D1"/>
    <w:rsid w:val="00666779"/>
    <w:rsid w:val="0066695D"/>
    <w:rsid w:val="00666B64"/>
    <w:rsid w:val="00666EF1"/>
    <w:rsid w:val="00666F17"/>
    <w:rsid w:val="006675E6"/>
    <w:rsid w:val="006676B5"/>
    <w:rsid w:val="0066772A"/>
    <w:rsid w:val="0066792A"/>
    <w:rsid w:val="006706C3"/>
    <w:rsid w:val="006708A6"/>
    <w:rsid w:val="00670C28"/>
    <w:rsid w:val="00670D1E"/>
    <w:rsid w:val="006723AA"/>
    <w:rsid w:val="00672C4E"/>
    <w:rsid w:val="00672FA1"/>
    <w:rsid w:val="0067306D"/>
    <w:rsid w:val="006730FA"/>
    <w:rsid w:val="00673AE3"/>
    <w:rsid w:val="00674366"/>
    <w:rsid w:val="00674537"/>
    <w:rsid w:val="00674867"/>
    <w:rsid w:val="00674F55"/>
    <w:rsid w:val="006750B4"/>
    <w:rsid w:val="0067572B"/>
    <w:rsid w:val="006757DA"/>
    <w:rsid w:val="00675FF1"/>
    <w:rsid w:val="00677996"/>
    <w:rsid w:val="006779DC"/>
    <w:rsid w:val="00677BE9"/>
    <w:rsid w:val="006807C9"/>
    <w:rsid w:val="00680ED3"/>
    <w:rsid w:val="00682053"/>
    <w:rsid w:val="00682966"/>
    <w:rsid w:val="006829EA"/>
    <w:rsid w:val="00682A9D"/>
    <w:rsid w:val="00682C5E"/>
    <w:rsid w:val="00683100"/>
    <w:rsid w:val="00683302"/>
    <w:rsid w:val="006835D2"/>
    <w:rsid w:val="0068376E"/>
    <w:rsid w:val="006838D5"/>
    <w:rsid w:val="00684BC4"/>
    <w:rsid w:val="00684D67"/>
    <w:rsid w:val="00684DFA"/>
    <w:rsid w:val="00685F62"/>
    <w:rsid w:val="00686289"/>
    <w:rsid w:val="00686852"/>
    <w:rsid w:val="0068775B"/>
    <w:rsid w:val="006877A3"/>
    <w:rsid w:val="00687B91"/>
    <w:rsid w:val="006902EF"/>
    <w:rsid w:val="00690A4B"/>
    <w:rsid w:val="00691A8E"/>
    <w:rsid w:val="00692E89"/>
    <w:rsid w:val="00692EEC"/>
    <w:rsid w:val="006935F4"/>
    <w:rsid w:val="00693F47"/>
    <w:rsid w:val="00694C42"/>
    <w:rsid w:val="00695413"/>
    <w:rsid w:val="0069594D"/>
    <w:rsid w:val="0069686A"/>
    <w:rsid w:val="00696AD4"/>
    <w:rsid w:val="00696D5A"/>
    <w:rsid w:val="0069713B"/>
    <w:rsid w:val="00697AD1"/>
    <w:rsid w:val="00697AD9"/>
    <w:rsid w:val="00697C65"/>
    <w:rsid w:val="006A04BB"/>
    <w:rsid w:val="006A0956"/>
    <w:rsid w:val="006A0C72"/>
    <w:rsid w:val="006A0D57"/>
    <w:rsid w:val="006A15E5"/>
    <w:rsid w:val="006A17BA"/>
    <w:rsid w:val="006A1EEA"/>
    <w:rsid w:val="006A2A83"/>
    <w:rsid w:val="006A2CD9"/>
    <w:rsid w:val="006A2EE6"/>
    <w:rsid w:val="006A30C7"/>
    <w:rsid w:val="006A347B"/>
    <w:rsid w:val="006A4712"/>
    <w:rsid w:val="006A49BC"/>
    <w:rsid w:val="006A5063"/>
    <w:rsid w:val="006A53DD"/>
    <w:rsid w:val="006A565F"/>
    <w:rsid w:val="006A5A62"/>
    <w:rsid w:val="006A6BEB"/>
    <w:rsid w:val="006A702C"/>
    <w:rsid w:val="006A703F"/>
    <w:rsid w:val="006A73C1"/>
    <w:rsid w:val="006A7C74"/>
    <w:rsid w:val="006B00DA"/>
    <w:rsid w:val="006B0449"/>
    <w:rsid w:val="006B1050"/>
    <w:rsid w:val="006B1A25"/>
    <w:rsid w:val="006B2290"/>
    <w:rsid w:val="006B25CA"/>
    <w:rsid w:val="006B2702"/>
    <w:rsid w:val="006B279E"/>
    <w:rsid w:val="006B2859"/>
    <w:rsid w:val="006B2A38"/>
    <w:rsid w:val="006B397B"/>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881"/>
    <w:rsid w:val="006C0EE3"/>
    <w:rsid w:val="006C208D"/>
    <w:rsid w:val="006C2FF4"/>
    <w:rsid w:val="006C306E"/>
    <w:rsid w:val="006C3427"/>
    <w:rsid w:val="006C356F"/>
    <w:rsid w:val="006C35A8"/>
    <w:rsid w:val="006C3702"/>
    <w:rsid w:val="006C3B25"/>
    <w:rsid w:val="006C54E9"/>
    <w:rsid w:val="006C5724"/>
    <w:rsid w:val="006C5E4B"/>
    <w:rsid w:val="006C5E61"/>
    <w:rsid w:val="006C5EEE"/>
    <w:rsid w:val="006C660C"/>
    <w:rsid w:val="006C74A1"/>
    <w:rsid w:val="006C76F6"/>
    <w:rsid w:val="006C77F2"/>
    <w:rsid w:val="006C79E1"/>
    <w:rsid w:val="006D0423"/>
    <w:rsid w:val="006D0433"/>
    <w:rsid w:val="006D0AF5"/>
    <w:rsid w:val="006D0DE2"/>
    <w:rsid w:val="006D154A"/>
    <w:rsid w:val="006D17BF"/>
    <w:rsid w:val="006D1B9C"/>
    <w:rsid w:val="006D363A"/>
    <w:rsid w:val="006D434B"/>
    <w:rsid w:val="006D456F"/>
    <w:rsid w:val="006D4E72"/>
    <w:rsid w:val="006D4EF9"/>
    <w:rsid w:val="006D5364"/>
    <w:rsid w:val="006D57D3"/>
    <w:rsid w:val="006D57FC"/>
    <w:rsid w:val="006D645E"/>
    <w:rsid w:val="006D693E"/>
    <w:rsid w:val="006D69BA"/>
    <w:rsid w:val="006D7269"/>
    <w:rsid w:val="006D78F8"/>
    <w:rsid w:val="006D7A03"/>
    <w:rsid w:val="006E0790"/>
    <w:rsid w:val="006E0826"/>
    <w:rsid w:val="006E1242"/>
    <w:rsid w:val="006E13D8"/>
    <w:rsid w:val="006E1438"/>
    <w:rsid w:val="006E1938"/>
    <w:rsid w:val="006E1DBC"/>
    <w:rsid w:val="006E20BC"/>
    <w:rsid w:val="006E2376"/>
    <w:rsid w:val="006E2F52"/>
    <w:rsid w:val="006E331C"/>
    <w:rsid w:val="006E5382"/>
    <w:rsid w:val="006E5413"/>
    <w:rsid w:val="006E5F77"/>
    <w:rsid w:val="006E60A3"/>
    <w:rsid w:val="006E686D"/>
    <w:rsid w:val="006E70A8"/>
    <w:rsid w:val="006E7922"/>
    <w:rsid w:val="006E7BE6"/>
    <w:rsid w:val="006F066B"/>
    <w:rsid w:val="006F2125"/>
    <w:rsid w:val="006F2257"/>
    <w:rsid w:val="006F2483"/>
    <w:rsid w:val="006F2959"/>
    <w:rsid w:val="006F2F2F"/>
    <w:rsid w:val="006F3967"/>
    <w:rsid w:val="006F39BE"/>
    <w:rsid w:val="006F403E"/>
    <w:rsid w:val="006F478A"/>
    <w:rsid w:val="006F4A9E"/>
    <w:rsid w:val="006F5914"/>
    <w:rsid w:val="006F5A6B"/>
    <w:rsid w:val="006F5E1E"/>
    <w:rsid w:val="006F6BA7"/>
    <w:rsid w:val="006F6F9B"/>
    <w:rsid w:val="006F71DD"/>
    <w:rsid w:val="006F782D"/>
    <w:rsid w:val="006F79EC"/>
    <w:rsid w:val="006F7E4A"/>
    <w:rsid w:val="00700258"/>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2DF"/>
    <w:rsid w:val="007127A9"/>
    <w:rsid w:val="00712B2D"/>
    <w:rsid w:val="00713E40"/>
    <w:rsid w:val="00714AC7"/>
    <w:rsid w:val="00714C48"/>
    <w:rsid w:val="00714D71"/>
    <w:rsid w:val="00715461"/>
    <w:rsid w:val="00715D2A"/>
    <w:rsid w:val="00716C5D"/>
    <w:rsid w:val="00717D88"/>
    <w:rsid w:val="00720485"/>
    <w:rsid w:val="007204C6"/>
    <w:rsid w:val="00720FD7"/>
    <w:rsid w:val="00721101"/>
    <w:rsid w:val="00721406"/>
    <w:rsid w:val="007214FE"/>
    <w:rsid w:val="0072168E"/>
    <w:rsid w:val="007217AB"/>
    <w:rsid w:val="00722EBD"/>
    <w:rsid w:val="007232EB"/>
    <w:rsid w:val="0072346F"/>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19D1"/>
    <w:rsid w:val="00731EF6"/>
    <w:rsid w:val="0073282A"/>
    <w:rsid w:val="0073298F"/>
    <w:rsid w:val="00733557"/>
    <w:rsid w:val="0073416F"/>
    <w:rsid w:val="00734266"/>
    <w:rsid w:val="0073451B"/>
    <w:rsid w:val="00735779"/>
    <w:rsid w:val="00735A5B"/>
    <w:rsid w:val="00735B31"/>
    <w:rsid w:val="00735C8F"/>
    <w:rsid w:val="00736A35"/>
    <w:rsid w:val="00737A89"/>
    <w:rsid w:val="00737E04"/>
    <w:rsid w:val="00737E1C"/>
    <w:rsid w:val="007409F6"/>
    <w:rsid w:val="00740C74"/>
    <w:rsid w:val="00741D2C"/>
    <w:rsid w:val="00741EDF"/>
    <w:rsid w:val="007422BE"/>
    <w:rsid w:val="0074230C"/>
    <w:rsid w:val="0074252A"/>
    <w:rsid w:val="007426C4"/>
    <w:rsid w:val="0074308C"/>
    <w:rsid w:val="00743135"/>
    <w:rsid w:val="0074337A"/>
    <w:rsid w:val="00743CBC"/>
    <w:rsid w:val="00743E34"/>
    <w:rsid w:val="00744246"/>
    <w:rsid w:val="007447A5"/>
    <w:rsid w:val="00744D80"/>
    <w:rsid w:val="00745242"/>
    <w:rsid w:val="00746C5B"/>
    <w:rsid w:val="00746DA6"/>
    <w:rsid w:val="00746FE7"/>
    <w:rsid w:val="00750EEB"/>
    <w:rsid w:val="00750F8A"/>
    <w:rsid w:val="007510DB"/>
    <w:rsid w:val="00751485"/>
    <w:rsid w:val="00752351"/>
    <w:rsid w:val="007523F7"/>
    <w:rsid w:val="0075258C"/>
    <w:rsid w:val="00752C52"/>
    <w:rsid w:val="007542D3"/>
    <w:rsid w:val="00754842"/>
    <w:rsid w:val="00755407"/>
    <w:rsid w:val="00755A92"/>
    <w:rsid w:val="00755C14"/>
    <w:rsid w:val="00756324"/>
    <w:rsid w:val="00756A8C"/>
    <w:rsid w:val="00756B28"/>
    <w:rsid w:val="007573D3"/>
    <w:rsid w:val="007575F6"/>
    <w:rsid w:val="00760A2C"/>
    <w:rsid w:val="00761355"/>
    <w:rsid w:val="007613BC"/>
    <w:rsid w:val="00761773"/>
    <w:rsid w:val="00761C57"/>
    <w:rsid w:val="00761DF4"/>
    <w:rsid w:val="00762161"/>
    <w:rsid w:val="00762393"/>
    <w:rsid w:val="007632A6"/>
    <w:rsid w:val="00763515"/>
    <w:rsid w:val="00763599"/>
    <w:rsid w:val="007649CB"/>
    <w:rsid w:val="00764ABC"/>
    <w:rsid w:val="00764CE4"/>
    <w:rsid w:val="00764D8D"/>
    <w:rsid w:val="00764E65"/>
    <w:rsid w:val="00764EC6"/>
    <w:rsid w:val="00764F75"/>
    <w:rsid w:val="0076512C"/>
    <w:rsid w:val="0076552F"/>
    <w:rsid w:val="00765F4B"/>
    <w:rsid w:val="00766E76"/>
    <w:rsid w:val="007676FA"/>
    <w:rsid w:val="0077262E"/>
    <w:rsid w:val="007729F2"/>
    <w:rsid w:val="00772CB9"/>
    <w:rsid w:val="00772DF3"/>
    <w:rsid w:val="007732B4"/>
    <w:rsid w:val="00773C5A"/>
    <w:rsid w:val="007744D4"/>
    <w:rsid w:val="00774CC4"/>
    <w:rsid w:val="00774E8A"/>
    <w:rsid w:val="007750A3"/>
    <w:rsid w:val="00775A85"/>
    <w:rsid w:val="00775A94"/>
    <w:rsid w:val="00775FCD"/>
    <w:rsid w:val="007763D6"/>
    <w:rsid w:val="00776686"/>
    <w:rsid w:val="0077716F"/>
    <w:rsid w:val="00777813"/>
    <w:rsid w:val="0077790C"/>
    <w:rsid w:val="0077792D"/>
    <w:rsid w:val="00777A6B"/>
    <w:rsid w:val="007800BC"/>
    <w:rsid w:val="00780711"/>
    <w:rsid w:val="00780ADD"/>
    <w:rsid w:val="00780EDE"/>
    <w:rsid w:val="00780F9A"/>
    <w:rsid w:val="00781027"/>
    <w:rsid w:val="00781E4A"/>
    <w:rsid w:val="00782D8C"/>
    <w:rsid w:val="00783806"/>
    <w:rsid w:val="007844EB"/>
    <w:rsid w:val="00785913"/>
    <w:rsid w:val="00786056"/>
    <w:rsid w:val="007860A3"/>
    <w:rsid w:val="007862CC"/>
    <w:rsid w:val="00786463"/>
    <w:rsid w:val="007864A1"/>
    <w:rsid w:val="007864C9"/>
    <w:rsid w:val="007874AE"/>
    <w:rsid w:val="00790D26"/>
    <w:rsid w:val="00791212"/>
    <w:rsid w:val="007913F2"/>
    <w:rsid w:val="00791F27"/>
    <w:rsid w:val="00792316"/>
    <w:rsid w:val="00792944"/>
    <w:rsid w:val="00792A42"/>
    <w:rsid w:val="00792A70"/>
    <w:rsid w:val="0079387C"/>
    <w:rsid w:val="007942D3"/>
    <w:rsid w:val="00794FB2"/>
    <w:rsid w:val="007954E5"/>
    <w:rsid w:val="0079572C"/>
    <w:rsid w:val="00795E50"/>
    <w:rsid w:val="0079691C"/>
    <w:rsid w:val="007969B3"/>
    <w:rsid w:val="00796D29"/>
    <w:rsid w:val="00796DA6"/>
    <w:rsid w:val="007972D2"/>
    <w:rsid w:val="0079782B"/>
    <w:rsid w:val="0079782D"/>
    <w:rsid w:val="00797ACE"/>
    <w:rsid w:val="007A0284"/>
    <w:rsid w:val="007A0CB4"/>
    <w:rsid w:val="007A1172"/>
    <w:rsid w:val="007A1A53"/>
    <w:rsid w:val="007A1E08"/>
    <w:rsid w:val="007A2A30"/>
    <w:rsid w:val="007A2F75"/>
    <w:rsid w:val="007A4403"/>
    <w:rsid w:val="007A4A58"/>
    <w:rsid w:val="007A4B88"/>
    <w:rsid w:val="007A4D35"/>
    <w:rsid w:val="007A4DB3"/>
    <w:rsid w:val="007A5EDA"/>
    <w:rsid w:val="007A6915"/>
    <w:rsid w:val="007A69A4"/>
    <w:rsid w:val="007A69AF"/>
    <w:rsid w:val="007A6B64"/>
    <w:rsid w:val="007B0166"/>
    <w:rsid w:val="007B01B8"/>
    <w:rsid w:val="007B0528"/>
    <w:rsid w:val="007B1230"/>
    <w:rsid w:val="007B202D"/>
    <w:rsid w:val="007B2099"/>
    <w:rsid w:val="007B24BC"/>
    <w:rsid w:val="007B2D19"/>
    <w:rsid w:val="007B2E08"/>
    <w:rsid w:val="007B3689"/>
    <w:rsid w:val="007B3CF9"/>
    <w:rsid w:val="007B4CC8"/>
    <w:rsid w:val="007B4F98"/>
    <w:rsid w:val="007B518A"/>
    <w:rsid w:val="007B54E4"/>
    <w:rsid w:val="007B58F3"/>
    <w:rsid w:val="007B5E2A"/>
    <w:rsid w:val="007B5FF2"/>
    <w:rsid w:val="007B6C09"/>
    <w:rsid w:val="007B7105"/>
    <w:rsid w:val="007B7697"/>
    <w:rsid w:val="007B7741"/>
    <w:rsid w:val="007B7D2D"/>
    <w:rsid w:val="007B7F2C"/>
    <w:rsid w:val="007C030F"/>
    <w:rsid w:val="007C07EC"/>
    <w:rsid w:val="007C083D"/>
    <w:rsid w:val="007C1493"/>
    <w:rsid w:val="007C1F31"/>
    <w:rsid w:val="007C1FC0"/>
    <w:rsid w:val="007C28C7"/>
    <w:rsid w:val="007C2E75"/>
    <w:rsid w:val="007C3651"/>
    <w:rsid w:val="007C4951"/>
    <w:rsid w:val="007C5757"/>
    <w:rsid w:val="007C5837"/>
    <w:rsid w:val="007C5AF6"/>
    <w:rsid w:val="007C5F77"/>
    <w:rsid w:val="007C6E46"/>
    <w:rsid w:val="007C70F9"/>
    <w:rsid w:val="007C7109"/>
    <w:rsid w:val="007C76AC"/>
    <w:rsid w:val="007C7F0A"/>
    <w:rsid w:val="007D05DC"/>
    <w:rsid w:val="007D0710"/>
    <w:rsid w:val="007D0EF1"/>
    <w:rsid w:val="007D1A26"/>
    <w:rsid w:val="007D2098"/>
    <w:rsid w:val="007D277F"/>
    <w:rsid w:val="007D2A91"/>
    <w:rsid w:val="007D2B49"/>
    <w:rsid w:val="007D36B4"/>
    <w:rsid w:val="007D39C7"/>
    <w:rsid w:val="007D3BD0"/>
    <w:rsid w:val="007D412A"/>
    <w:rsid w:val="007D4376"/>
    <w:rsid w:val="007D4646"/>
    <w:rsid w:val="007D4B2D"/>
    <w:rsid w:val="007D5A6D"/>
    <w:rsid w:val="007D5FB7"/>
    <w:rsid w:val="007D67C0"/>
    <w:rsid w:val="007D6D6B"/>
    <w:rsid w:val="007D73E7"/>
    <w:rsid w:val="007D76B3"/>
    <w:rsid w:val="007D76E0"/>
    <w:rsid w:val="007D7F30"/>
    <w:rsid w:val="007E08C5"/>
    <w:rsid w:val="007E09DA"/>
    <w:rsid w:val="007E0CA1"/>
    <w:rsid w:val="007E0F23"/>
    <w:rsid w:val="007E0F8A"/>
    <w:rsid w:val="007E130D"/>
    <w:rsid w:val="007E1D8E"/>
    <w:rsid w:val="007E1F4D"/>
    <w:rsid w:val="007E2241"/>
    <w:rsid w:val="007E241E"/>
    <w:rsid w:val="007E2FA5"/>
    <w:rsid w:val="007E3442"/>
    <w:rsid w:val="007E3ED0"/>
    <w:rsid w:val="007E4394"/>
    <w:rsid w:val="007E4541"/>
    <w:rsid w:val="007E454F"/>
    <w:rsid w:val="007E4F27"/>
    <w:rsid w:val="007E5528"/>
    <w:rsid w:val="007E5D28"/>
    <w:rsid w:val="007E5FD8"/>
    <w:rsid w:val="007E60BE"/>
    <w:rsid w:val="007E67F7"/>
    <w:rsid w:val="007E6938"/>
    <w:rsid w:val="007E6CAC"/>
    <w:rsid w:val="007E6F32"/>
    <w:rsid w:val="007E707C"/>
    <w:rsid w:val="007E70FC"/>
    <w:rsid w:val="007E7147"/>
    <w:rsid w:val="007E74B5"/>
    <w:rsid w:val="007E7583"/>
    <w:rsid w:val="007E7999"/>
    <w:rsid w:val="007F068F"/>
    <w:rsid w:val="007F11A8"/>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989"/>
    <w:rsid w:val="00800F66"/>
    <w:rsid w:val="008018A4"/>
    <w:rsid w:val="00801927"/>
    <w:rsid w:val="00801FAD"/>
    <w:rsid w:val="0080238D"/>
    <w:rsid w:val="00802B9F"/>
    <w:rsid w:val="00802FD7"/>
    <w:rsid w:val="0080339C"/>
    <w:rsid w:val="00803810"/>
    <w:rsid w:val="00804169"/>
    <w:rsid w:val="008044A5"/>
    <w:rsid w:val="00804669"/>
    <w:rsid w:val="00804B11"/>
    <w:rsid w:val="00805DFC"/>
    <w:rsid w:val="008066ED"/>
    <w:rsid w:val="00806829"/>
    <w:rsid w:val="00807DC3"/>
    <w:rsid w:val="00810A99"/>
    <w:rsid w:val="00810D5C"/>
    <w:rsid w:val="00810F59"/>
    <w:rsid w:val="008110B0"/>
    <w:rsid w:val="0081157C"/>
    <w:rsid w:val="00811F21"/>
    <w:rsid w:val="008121E0"/>
    <w:rsid w:val="00812AA8"/>
    <w:rsid w:val="008130D6"/>
    <w:rsid w:val="008136B3"/>
    <w:rsid w:val="00813AEA"/>
    <w:rsid w:val="0081407C"/>
    <w:rsid w:val="0081428F"/>
    <w:rsid w:val="008142E8"/>
    <w:rsid w:val="0081466A"/>
    <w:rsid w:val="008147CA"/>
    <w:rsid w:val="00814A45"/>
    <w:rsid w:val="00814F1F"/>
    <w:rsid w:val="0081533F"/>
    <w:rsid w:val="008153C5"/>
    <w:rsid w:val="00815901"/>
    <w:rsid w:val="008178B6"/>
    <w:rsid w:val="008178B8"/>
    <w:rsid w:val="008200A8"/>
    <w:rsid w:val="008200E2"/>
    <w:rsid w:val="008202E5"/>
    <w:rsid w:val="00820399"/>
    <w:rsid w:val="00820561"/>
    <w:rsid w:val="00820577"/>
    <w:rsid w:val="008215AA"/>
    <w:rsid w:val="008215F9"/>
    <w:rsid w:val="00821747"/>
    <w:rsid w:val="00821FB1"/>
    <w:rsid w:val="00822020"/>
    <w:rsid w:val="00822627"/>
    <w:rsid w:val="00822E1F"/>
    <w:rsid w:val="00823746"/>
    <w:rsid w:val="00823A71"/>
    <w:rsid w:val="00824A1C"/>
    <w:rsid w:val="00825186"/>
    <w:rsid w:val="008259E3"/>
    <w:rsid w:val="00825CB7"/>
    <w:rsid w:val="00825FB6"/>
    <w:rsid w:val="00826821"/>
    <w:rsid w:val="00826A67"/>
    <w:rsid w:val="00826BFD"/>
    <w:rsid w:val="00826C05"/>
    <w:rsid w:val="00826C44"/>
    <w:rsid w:val="0082712B"/>
    <w:rsid w:val="0082769C"/>
    <w:rsid w:val="008278A1"/>
    <w:rsid w:val="008278DA"/>
    <w:rsid w:val="00827AAD"/>
    <w:rsid w:val="00827FED"/>
    <w:rsid w:val="0083009C"/>
    <w:rsid w:val="008305AC"/>
    <w:rsid w:val="00830D1F"/>
    <w:rsid w:val="008310CB"/>
    <w:rsid w:val="00831B03"/>
    <w:rsid w:val="008327CA"/>
    <w:rsid w:val="00832D13"/>
    <w:rsid w:val="00833003"/>
    <w:rsid w:val="0083300A"/>
    <w:rsid w:val="00833AD8"/>
    <w:rsid w:val="00833BAE"/>
    <w:rsid w:val="00834069"/>
    <w:rsid w:val="008340C9"/>
    <w:rsid w:val="0083473B"/>
    <w:rsid w:val="00835029"/>
    <w:rsid w:val="0083508D"/>
    <w:rsid w:val="00835A09"/>
    <w:rsid w:val="00835AA1"/>
    <w:rsid w:val="008360AD"/>
    <w:rsid w:val="008368C2"/>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91D"/>
    <w:rsid w:val="00845C03"/>
    <w:rsid w:val="00845C05"/>
    <w:rsid w:val="00845FEE"/>
    <w:rsid w:val="00846228"/>
    <w:rsid w:val="00846421"/>
    <w:rsid w:val="00846C95"/>
    <w:rsid w:val="00847190"/>
    <w:rsid w:val="008471B2"/>
    <w:rsid w:val="00847DE6"/>
    <w:rsid w:val="008500A7"/>
    <w:rsid w:val="00850E55"/>
    <w:rsid w:val="00850F5D"/>
    <w:rsid w:val="0085100E"/>
    <w:rsid w:val="0085181A"/>
    <w:rsid w:val="00851CA2"/>
    <w:rsid w:val="00851F5E"/>
    <w:rsid w:val="008520FF"/>
    <w:rsid w:val="00852609"/>
    <w:rsid w:val="00852625"/>
    <w:rsid w:val="00852A49"/>
    <w:rsid w:val="00852A66"/>
    <w:rsid w:val="0085313A"/>
    <w:rsid w:val="00853ACB"/>
    <w:rsid w:val="00854311"/>
    <w:rsid w:val="00854C11"/>
    <w:rsid w:val="008551CE"/>
    <w:rsid w:val="008553E5"/>
    <w:rsid w:val="0085586B"/>
    <w:rsid w:val="00856112"/>
    <w:rsid w:val="00856616"/>
    <w:rsid w:val="008569F2"/>
    <w:rsid w:val="0085732E"/>
    <w:rsid w:val="00857B45"/>
    <w:rsid w:val="00857C57"/>
    <w:rsid w:val="00857F61"/>
    <w:rsid w:val="008604FD"/>
    <w:rsid w:val="0086095B"/>
    <w:rsid w:val="008609F0"/>
    <w:rsid w:val="0086106A"/>
    <w:rsid w:val="00861529"/>
    <w:rsid w:val="00861F0E"/>
    <w:rsid w:val="00862444"/>
    <w:rsid w:val="00862624"/>
    <w:rsid w:val="008630B8"/>
    <w:rsid w:val="0086341A"/>
    <w:rsid w:val="00863546"/>
    <w:rsid w:val="00863863"/>
    <w:rsid w:val="00865B74"/>
    <w:rsid w:val="00865E63"/>
    <w:rsid w:val="00865FB2"/>
    <w:rsid w:val="00866063"/>
    <w:rsid w:val="00866727"/>
    <w:rsid w:val="0086723D"/>
    <w:rsid w:val="0086760C"/>
    <w:rsid w:val="008678A7"/>
    <w:rsid w:val="00867B10"/>
    <w:rsid w:val="00870288"/>
    <w:rsid w:val="008703F1"/>
    <w:rsid w:val="00870483"/>
    <w:rsid w:val="008706CF"/>
    <w:rsid w:val="008708BD"/>
    <w:rsid w:val="00870DFA"/>
    <w:rsid w:val="008710B3"/>
    <w:rsid w:val="008713FD"/>
    <w:rsid w:val="00871850"/>
    <w:rsid w:val="00872596"/>
    <w:rsid w:val="00872618"/>
    <w:rsid w:val="00872A84"/>
    <w:rsid w:val="00872FA8"/>
    <w:rsid w:val="00873026"/>
    <w:rsid w:val="00873EB1"/>
    <w:rsid w:val="008740CB"/>
    <w:rsid w:val="00874690"/>
    <w:rsid w:val="008751AA"/>
    <w:rsid w:val="00875A82"/>
    <w:rsid w:val="008760C4"/>
    <w:rsid w:val="00877A24"/>
    <w:rsid w:val="00880002"/>
    <w:rsid w:val="008810BD"/>
    <w:rsid w:val="00881245"/>
    <w:rsid w:val="0088168B"/>
    <w:rsid w:val="00881A24"/>
    <w:rsid w:val="00881E1B"/>
    <w:rsid w:val="008830E4"/>
    <w:rsid w:val="008838F5"/>
    <w:rsid w:val="00883D98"/>
    <w:rsid w:val="00883DBE"/>
    <w:rsid w:val="00883FE9"/>
    <w:rsid w:val="0088400E"/>
    <w:rsid w:val="008850EA"/>
    <w:rsid w:val="008856FC"/>
    <w:rsid w:val="00885DCA"/>
    <w:rsid w:val="00885DCF"/>
    <w:rsid w:val="008864EF"/>
    <w:rsid w:val="008866E2"/>
    <w:rsid w:val="008868F4"/>
    <w:rsid w:val="008873D0"/>
    <w:rsid w:val="0088788F"/>
    <w:rsid w:val="00890620"/>
    <w:rsid w:val="0089114E"/>
    <w:rsid w:val="00891372"/>
    <w:rsid w:val="00893CAB"/>
    <w:rsid w:val="008945BB"/>
    <w:rsid w:val="00895724"/>
    <w:rsid w:val="00896105"/>
    <w:rsid w:val="00896114"/>
    <w:rsid w:val="0089656D"/>
    <w:rsid w:val="008974F0"/>
    <w:rsid w:val="00897837"/>
    <w:rsid w:val="008A036C"/>
    <w:rsid w:val="008A0742"/>
    <w:rsid w:val="008A0E61"/>
    <w:rsid w:val="008A1301"/>
    <w:rsid w:val="008A1499"/>
    <w:rsid w:val="008A1509"/>
    <w:rsid w:val="008A175F"/>
    <w:rsid w:val="008A19D7"/>
    <w:rsid w:val="008A1AA7"/>
    <w:rsid w:val="008A1E43"/>
    <w:rsid w:val="008A27DC"/>
    <w:rsid w:val="008A2853"/>
    <w:rsid w:val="008A2E99"/>
    <w:rsid w:val="008A3549"/>
    <w:rsid w:val="008A533B"/>
    <w:rsid w:val="008A5600"/>
    <w:rsid w:val="008A5B90"/>
    <w:rsid w:val="008A690E"/>
    <w:rsid w:val="008A6C81"/>
    <w:rsid w:val="008A6CF2"/>
    <w:rsid w:val="008A70CE"/>
    <w:rsid w:val="008A7149"/>
    <w:rsid w:val="008B012A"/>
    <w:rsid w:val="008B0B23"/>
    <w:rsid w:val="008B0D39"/>
    <w:rsid w:val="008B1BE1"/>
    <w:rsid w:val="008B2376"/>
    <w:rsid w:val="008B28DB"/>
    <w:rsid w:val="008B2A96"/>
    <w:rsid w:val="008B2D12"/>
    <w:rsid w:val="008B2DA6"/>
    <w:rsid w:val="008B2E95"/>
    <w:rsid w:val="008B3391"/>
    <w:rsid w:val="008B3479"/>
    <w:rsid w:val="008B3756"/>
    <w:rsid w:val="008B3803"/>
    <w:rsid w:val="008B3DAD"/>
    <w:rsid w:val="008B4472"/>
    <w:rsid w:val="008B471C"/>
    <w:rsid w:val="008B472D"/>
    <w:rsid w:val="008B6016"/>
    <w:rsid w:val="008B61DB"/>
    <w:rsid w:val="008B70F5"/>
    <w:rsid w:val="008B7BE4"/>
    <w:rsid w:val="008B7D7A"/>
    <w:rsid w:val="008C03BA"/>
    <w:rsid w:val="008C03F4"/>
    <w:rsid w:val="008C0680"/>
    <w:rsid w:val="008C0F1F"/>
    <w:rsid w:val="008C111D"/>
    <w:rsid w:val="008C1F01"/>
    <w:rsid w:val="008C224F"/>
    <w:rsid w:val="008C2A01"/>
    <w:rsid w:val="008C33D2"/>
    <w:rsid w:val="008C3B13"/>
    <w:rsid w:val="008C3DBA"/>
    <w:rsid w:val="008C40C5"/>
    <w:rsid w:val="008C5162"/>
    <w:rsid w:val="008C575F"/>
    <w:rsid w:val="008C59A6"/>
    <w:rsid w:val="008C5B4F"/>
    <w:rsid w:val="008C6579"/>
    <w:rsid w:val="008C663C"/>
    <w:rsid w:val="008C69BA"/>
    <w:rsid w:val="008C6A9E"/>
    <w:rsid w:val="008C6C34"/>
    <w:rsid w:val="008C6CB4"/>
    <w:rsid w:val="008C6D23"/>
    <w:rsid w:val="008C7201"/>
    <w:rsid w:val="008C721E"/>
    <w:rsid w:val="008C79EA"/>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343"/>
    <w:rsid w:val="008D59B5"/>
    <w:rsid w:val="008D5B71"/>
    <w:rsid w:val="008D5E0B"/>
    <w:rsid w:val="008D6120"/>
    <w:rsid w:val="008D7967"/>
    <w:rsid w:val="008D79A0"/>
    <w:rsid w:val="008E03D9"/>
    <w:rsid w:val="008E06D6"/>
    <w:rsid w:val="008E0D39"/>
    <w:rsid w:val="008E11B2"/>
    <w:rsid w:val="008E16B4"/>
    <w:rsid w:val="008E1EA5"/>
    <w:rsid w:val="008E23FF"/>
    <w:rsid w:val="008E28FC"/>
    <w:rsid w:val="008E2B14"/>
    <w:rsid w:val="008E30CC"/>
    <w:rsid w:val="008E3A16"/>
    <w:rsid w:val="008E4363"/>
    <w:rsid w:val="008E4423"/>
    <w:rsid w:val="008E480D"/>
    <w:rsid w:val="008E51D3"/>
    <w:rsid w:val="008E53AA"/>
    <w:rsid w:val="008E5403"/>
    <w:rsid w:val="008E5DC6"/>
    <w:rsid w:val="008E6054"/>
    <w:rsid w:val="008E67E8"/>
    <w:rsid w:val="008E6DA3"/>
    <w:rsid w:val="008E7183"/>
    <w:rsid w:val="008E71DC"/>
    <w:rsid w:val="008E745B"/>
    <w:rsid w:val="008F0020"/>
    <w:rsid w:val="008F008E"/>
    <w:rsid w:val="008F04BF"/>
    <w:rsid w:val="008F118B"/>
    <w:rsid w:val="008F1241"/>
    <w:rsid w:val="008F1463"/>
    <w:rsid w:val="008F179F"/>
    <w:rsid w:val="008F1AC7"/>
    <w:rsid w:val="008F1B9A"/>
    <w:rsid w:val="008F1D97"/>
    <w:rsid w:val="008F21FA"/>
    <w:rsid w:val="008F3196"/>
    <w:rsid w:val="008F35BF"/>
    <w:rsid w:val="008F3AFD"/>
    <w:rsid w:val="008F403D"/>
    <w:rsid w:val="008F420F"/>
    <w:rsid w:val="008F44DB"/>
    <w:rsid w:val="008F4914"/>
    <w:rsid w:val="008F49C3"/>
    <w:rsid w:val="008F5004"/>
    <w:rsid w:val="008F63CC"/>
    <w:rsid w:val="008F708D"/>
    <w:rsid w:val="008F79DB"/>
    <w:rsid w:val="00900521"/>
    <w:rsid w:val="00900747"/>
    <w:rsid w:val="0090141E"/>
    <w:rsid w:val="00901700"/>
    <w:rsid w:val="00901879"/>
    <w:rsid w:val="00901D63"/>
    <w:rsid w:val="009025D9"/>
    <w:rsid w:val="00902C5B"/>
    <w:rsid w:val="0090317F"/>
    <w:rsid w:val="009032B3"/>
    <w:rsid w:val="009041FB"/>
    <w:rsid w:val="009047DB"/>
    <w:rsid w:val="00904980"/>
    <w:rsid w:val="00904D84"/>
    <w:rsid w:val="00905097"/>
    <w:rsid w:val="0090574A"/>
    <w:rsid w:val="00906731"/>
    <w:rsid w:val="00906DE7"/>
    <w:rsid w:val="00906E17"/>
    <w:rsid w:val="00906F64"/>
    <w:rsid w:val="00907142"/>
    <w:rsid w:val="009071F9"/>
    <w:rsid w:val="00907505"/>
    <w:rsid w:val="009100FC"/>
    <w:rsid w:val="0091071A"/>
    <w:rsid w:val="00910739"/>
    <w:rsid w:val="00912618"/>
    <w:rsid w:val="00912CD6"/>
    <w:rsid w:val="0091416B"/>
    <w:rsid w:val="00914305"/>
    <w:rsid w:val="00914BCA"/>
    <w:rsid w:val="009153FC"/>
    <w:rsid w:val="0091547C"/>
    <w:rsid w:val="00916436"/>
    <w:rsid w:val="00916465"/>
    <w:rsid w:val="00916552"/>
    <w:rsid w:val="00916BDB"/>
    <w:rsid w:val="00916E05"/>
    <w:rsid w:val="009170FE"/>
    <w:rsid w:val="0091773E"/>
    <w:rsid w:val="009177A0"/>
    <w:rsid w:val="0092085C"/>
    <w:rsid w:val="00920DC1"/>
    <w:rsid w:val="009215CD"/>
    <w:rsid w:val="009217E0"/>
    <w:rsid w:val="00922D23"/>
    <w:rsid w:val="0092352F"/>
    <w:rsid w:val="00923BC6"/>
    <w:rsid w:val="00923DF6"/>
    <w:rsid w:val="009246E3"/>
    <w:rsid w:val="00924EE7"/>
    <w:rsid w:val="00925006"/>
    <w:rsid w:val="0092515D"/>
    <w:rsid w:val="00925422"/>
    <w:rsid w:val="00925ED9"/>
    <w:rsid w:val="00925FCC"/>
    <w:rsid w:val="00926707"/>
    <w:rsid w:val="00926B84"/>
    <w:rsid w:val="009277EB"/>
    <w:rsid w:val="00927900"/>
    <w:rsid w:val="009305DC"/>
    <w:rsid w:val="00930805"/>
    <w:rsid w:val="00930BA1"/>
    <w:rsid w:val="00930E29"/>
    <w:rsid w:val="00931078"/>
    <w:rsid w:val="009311A7"/>
    <w:rsid w:val="00931403"/>
    <w:rsid w:val="0093169E"/>
    <w:rsid w:val="00931D29"/>
    <w:rsid w:val="0093383F"/>
    <w:rsid w:val="009339A7"/>
    <w:rsid w:val="00933AEF"/>
    <w:rsid w:val="009340CD"/>
    <w:rsid w:val="0093413C"/>
    <w:rsid w:val="009346B6"/>
    <w:rsid w:val="0093538D"/>
    <w:rsid w:val="0093542E"/>
    <w:rsid w:val="0093621C"/>
    <w:rsid w:val="0093716C"/>
    <w:rsid w:val="00937191"/>
    <w:rsid w:val="009379B2"/>
    <w:rsid w:val="00937F35"/>
    <w:rsid w:val="00940010"/>
    <w:rsid w:val="009402BD"/>
    <w:rsid w:val="00940724"/>
    <w:rsid w:val="00940964"/>
    <w:rsid w:val="00940E01"/>
    <w:rsid w:val="00941B40"/>
    <w:rsid w:val="00941C14"/>
    <w:rsid w:val="00941E66"/>
    <w:rsid w:val="009425BF"/>
    <w:rsid w:val="009426F7"/>
    <w:rsid w:val="009433DD"/>
    <w:rsid w:val="00944CE3"/>
    <w:rsid w:val="00945187"/>
    <w:rsid w:val="009455ED"/>
    <w:rsid w:val="00945F29"/>
    <w:rsid w:val="009468FD"/>
    <w:rsid w:val="00947461"/>
    <w:rsid w:val="00947A11"/>
    <w:rsid w:val="00947A3E"/>
    <w:rsid w:val="009500C4"/>
    <w:rsid w:val="009505C9"/>
    <w:rsid w:val="00950752"/>
    <w:rsid w:val="00950A58"/>
    <w:rsid w:val="00950FB0"/>
    <w:rsid w:val="00951729"/>
    <w:rsid w:val="009518B3"/>
    <w:rsid w:val="00951FBE"/>
    <w:rsid w:val="00952C99"/>
    <w:rsid w:val="00952CA9"/>
    <w:rsid w:val="00952FEC"/>
    <w:rsid w:val="00953652"/>
    <w:rsid w:val="00953C54"/>
    <w:rsid w:val="0095460E"/>
    <w:rsid w:val="00955176"/>
    <w:rsid w:val="009557C9"/>
    <w:rsid w:val="00955953"/>
    <w:rsid w:val="00955B19"/>
    <w:rsid w:val="00955DDA"/>
    <w:rsid w:val="00955EDC"/>
    <w:rsid w:val="00956419"/>
    <w:rsid w:val="00956B27"/>
    <w:rsid w:val="00956C78"/>
    <w:rsid w:val="00957340"/>
    <w:rsid w:val="00957E0E"/>
    <w:rsid w:val="0096012A"/>
    <w:rsid w:val="00960669"/>
    <w:rsid w:val="0096073C"/>
    <w:rsid w:val="00960AC7"/>
    <w:rsid w:val="00960C19"/>
    <w:rsid w:val="009612E9"/>
    <w:rsid w:val="009615E7"/>
    <w:rsid w:val="00961A47"/>
    <w:rsid w:val="00961B15"/>
    <w:rsid w:val="009620CD"/>
    <w:rsid w:val="009624BD"/>
    <w:rsid w:val="00962AAB"/>
    <w:rsid w:val="00962C3A"/>
    <w:rsid w:val="00963366"/>
    <w:rsid w:val="009639EA"/>
    <w:rsid w:val="00963AC8"/>
    <w:rsid w:val="00964321"/>
    <w:rsid w:val="0096517F"/>
    <w:rsid w:val="00966424"/>
    <w:rsid w:val="009666F5"/>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D08"/>
    <w:rsid w:val="00973F0A"/>
    <w:rsid w:val="00974C4C"/>
    <w:rsid w:val="00974D81"/>
    <w:rsid w:val="009754BC"/>
    <w:rsid w:val="009755CD"/>
    <w:rsid w:val="00975634"/>
    <w:rsid w:val="00975A6E"/>
    <w:rsid w:val="00975C64"/>
    <w:rsid w:val="009763DE"/>
    <w:rsid w:val="009769AB"/>
    <w:rsid w:val="00976A03"/>
    <w:rsid w:val="00976ED6"/>
    <w:rsid w:val="0098065F"/>
    <w:rsid w:val="00981188"/>
    <w:rsid w:val="00982403"/>
    <w:rsid w:val="00982A08"/>
    <w:rsid w:val="00982EE1"/>
    <w:rsid w:val="009836B1"/>
    <w:rsid w:val="00983CAF"/>
    <w:rsid w:val="00984120"/>
    <w:rsid w:val="00984F4E"/>
    <w:rsid w:val="00985208"/>
    <w:rsid w:val="009853E6"/>
    <w:rsid w:val="00985871"/>
    <w:rsid w:val="00985AAA"/>
    <w:rsid w:val="00986370"/>
    <w:rsid w:val="00986DF3"/>
    <w:rsid w:val="009870F4"/>
    <w:rsid w:val="00987638"/>
    <w:rsid w:val="00987BB4"/>
    <w:rsid w:val="009902C7"/>
    <w:rsid w:val="0099078E"/>
    <w:rsid w:val="009908F3"/>
    <w:rsid w:val="00991D5E"/>
    <w:rsid w:val="00992546"/>
    <w:rsid w:val="00992A99"/>
    <w:rsid w:val="00992C93"/>
    <w:rsid w:val="00992D72"/>
    <w:rsid w:val="009934DB"/>
    <w:rsid w:val="0099392E"/>
    <w:rsid w:val="00993B68"/>
    <w:rsid w:val="00993CF4"/>
    <w:rsid w:val="00993FCD"/>
    <w:rsid w:val="00994347"/>
    <w:rsid w:val="00995245"/>
    <w:rsid w:val="009956C6"/>
    <w:rsid w:val="009957D5"/>
    <w:rsid w:val="00995DB8"/>
    <w:rsid w:val="0099601F"/>
    <w:rsid w:val="0099616C"/>
    <w:rsid w:val="00996F28"/>
    <w:rsid w:val="00997993"/>
    <w:rsid w:val="00997B48"/>
    <w:rsid w:val="00997D37"/>
    <w:rsid w:val="00997F0D"/>
    <w:rsid w:val="009A0D65"/>
    <w:rsid w:val="009A0E73"/>
    <w:rsid w:val="009A0FAB"/>
    <w:rsid w:val="009A1390"/>
    <w:rsid w:val="009A2635"/>
    <w:rsid w:val="009A29D7"/>
    <w:rsid w:val="009A3637"/>
    <w:rsid w:val="009A381B"/>
    <w:rsid w:val="009A391D"/>
    <w:rsid w:val="009A444E"/>
    <w:rsid w:val="009A453C"/>
    <w:rsid w:val="009A4687"/>
    <w:rsid w:val="009A4A54"/>
    <w:rsid w:val="009A5342"/>
    <w:rsid w:val="009A72DF"/>
    <w:rsid w:val="009B04B3"/>
    <w:rsid w:val="009B07DF"/>
    <w:rsid w:val="009B21C2"/>
    <w:rsid w:val="009B234B"/>
    <w:rsid w:val="009B25B0"/>
    <w:rsid w:val="009B2E74"/>
    <w:rsid w:val="009B2ED7"/>
    <w:rsid w:val="009B3285"/>
    <w:rsid w:val="009B37E5"/>
    <w:rsid w:val="009B3FAB"/>
    <w:rsid w:val="009B4C7D"/>
    <w:rsid w:val="009B5008"/>
    <w:rsid w:val="009B5D6F"/>
    <w:rsid w:val="009B60BD"/>
    <w:rsid w:val="009B6690"/>
    <w:rsid w:val="009B683C"/>
    <w:rsid w:val="009B692E"/>
    <w:rsid w:val="009B6C73"/>
    <w:rsid w:val="009B6F33"/>
    <w:rsid w:val="009B724C"/>
    <w:rsid w:val="009B7DBC"/>
    <w:rsid w:val="009B7F57"/>
    <w:rsid w:val="009C0829"/>
    <w:rsid w:val="009C12E9"/>
    <w:rsid w:val="009C2351"/>
    <w:rsid w:val="009C2678"/>
    <w:rsid w:val="009C27A8"/>
    <w:rsid w:val="009C281E"/>
    <w:rsid w:val="009C2B39"/>
    <w:rsid w:val="009C2DE6"/>
    <w:rsid w:val="009C348C"/>
    <w:rsid w:val="009C4464"/>
    <w:rsid w:val="009C4908"/>
    <w:rsid w:val="009C4B2D"/>
    <w:rsid w:val="009C4D22"/>
    <w:rsid w:val="009C500D"/>
    <w:rsid w:val="009C5D45"/>
    <w:rsid w:val="009C68A5"/>
    <w:rsid w:val="009C69AB"/>
    <w:rsid w:val="009C7768"/>
    <w:rsid w:val="009C7F98"/>
    <w:rsid w:val="009D020D"/>
    <w:rsid w:val="009D065B"/>
    <w:rsid w:val="009D0A3D"/>
    <w:rsid w:val="009D0A6F"/>
    <w:rsid w:val="009D0CAB"/>
    <w:rsid w:val="009D1035"/>
    <w:rsid w:val="009D120A"/>
    <w:rsid w:val="009D19CA"/>
    <w:rsid w:val="009D1EEF"/>
    <w:rsid w:val="009D1EFC"/>
    <w:rsid w:val="009D1F7D"/>
    <w:rsid w:val="009D3D8B"/>
    <w:rsid w:val="009D4690"/>
    <w:rsid w:val="009D4971"/>
    <w:rsid w:val="009D5224"/>
    <w:rsid w:val="009D55B9"/>
    <w:rsid w:val="009D5B67"/>
    <w:rsid w:val="009D5F18"/>
    <w:rsid w:val="009D6356"/>
    <w:rsid w:val="009D66DB"/>
    <w:rsid w:val="009D6C0F"/>
    <w:rsid w:val="009D787F"/>
    <w:rsid w:val="009E0095"/>
    <w:rsid w:val="009E0219"/>
    <w:rsid w:val="009E1944"/>
    <w:rsid w:val="009E19CA"/>
    <w:rsid w:val="009E1C14"/>
    <w:rsid w:val="009E1E0F"/>
    <w:rsid w:val="009E1FA2"/>
    <w:rsid w:val="009E2242"/>
    <w:rsid w:val="009E25F7"/>
    <w:rsid w:val="009E26BC"/>
    <w:rsid w:val="009E3402"/>
    <w:rsid w:val="009E3738"/>
    <w:rsid w:val="009E37D3"/>
    <w:rsid w:val="009E381D"/>
    <w:rsid w:val="009E49D4"/>
    <w:rsid w:val="009E4B03"/>
    <w:rsid w:val="009E4FE6"/>
    <w:rsid w:val="009E5884"/>
    <w:rsid w:val="009E606B"/>
    <w:rsid w:val="009E69B3"/>
    <w:rsid w:val="009E74F3"/>
    <w:rsid w:val="009E754E"/>
    <w:rsid w:val="009E7684"/>
    <w:rsid w:val="009E7893"/>
    <w:rsid w:val="009F005E"/>
    <w:rsid w:val="009F1930"/>
    <w:rsid w:val="009F1F35"/>
    <w:rsid w:val="009F1FC1"/>
    <w:rsid w:val="009F201B"/>
    <w:rsid w:val="009F20BE"/>
    <w:rsid w:val="009F24A0"/>
    <w:rsid w:val="009F3A3F"/>
    <w:rsid w:val="009F3E0B"/>
    <w:rsid w:val="009F455A"/>
    <w:rsid w:val="009F494D"/>
    <w:rsid w:val="009F4B01"/>
    <w:rsid w:val="009F5557"/>
    <w:rsid w:val="009F55D7"/>
    <w:rsid w:val="009F5B74"/>
    <w:rsid w:val="009F5E6E"/>
    <w:rsid w:val="009F6221"/>
    <w:rsid w:val="009F62A4"/>
    <w:rsid w:val="009F634D"/>
    <w:rsid w:val="009F7300"/>
    <w:rsid w:val="009F79C7"/>
    <w:rsid w:val="009F7CCF"/>
    <w:rsid w:val="00A003A7"/>
    <w:rsid w:val="00A0068E"/>
    <w:rsid w:val="00A01DF8"/>
    <w:rsid w:val="00A02160"/>
    <w:rsid w:val="00A0275A"/>
    <w:rsid w:val="00A03293"/>
    <w:rsid w:val="00A0329A"/>
    <w:rsid w:val="00A03543"/>
    <w:rsid w:val="00A036A1"/>
    <w:rsid w:val="00A0382E"/>
    <w:rsid w:val="00A03F05"/>
    <w:rsid w:val="00A03F98"/>
    <w:rsid w:val="00A04306"/>
    <w:rsid w:val="00A044E0"/>
    <w:rsid w:val="00A04544"/>
    <w:rsid w:val="00A04AE9"/>
    <w:rsid w:val="00A04C1B"/>
    <w:rsid w:val="00A04F6D"/>
    <w:rsid w:val="00A05C91"/>
    <w:rsid w:val="00A063A8"/>
    <w:rsid w:val="00A06D27"/>
    <w:rsid w:val="00A06EC0"/>
    <w:rsid w:val="00A10017"/>
    <w:rsid w:val="00A103EE"/>
    <w:rsid w:val="00A103FC"/>
    <w:rsid w:val="00A10559"/>
    <w:rsid w:val="00A108A7"/>
    <w:rsid w:val="00A10DED"/>
    <w:rsid w:val="00A10EC2"/>
    <w:rsid w:val="00A111D1"/>
    <w:rsid w:val="00A112B4"/>
    <w:rsid w:val="00A11B68"/>
    <w:rsid w:val="00A128BC"/>
    <w:rsid w:val="00A12940"/>
    <w:rsid w:val="00A12B0A"/>
    <w:rsid w:val="00A12C04"/>
    <w:rsid w:val="00A12F4E"/>
    <w:rsid w:val="00A13AE9"/>
    <w:rsid w:val="00A14AB2"/>
    <w:rsid w:val="00A15F60"/>
    <w:rsid w:val="00A16524"/>
    <w:rsid w:val="00A16C31"/>
    <w:rsid w:val="00A16E4E"/>
    <w:rsid w:val="00A17C7F"/>
    <w:rsid w:val="00A202A5"/>
    <w:rsid w:val="00A206CA"/>
    <w:rsid w:val="00A208FA"/>
    <w:rsid w:val="00A210BA"/>
    <w:rsid w:val="00A216B4"/>
    <w:rsid w:val="00A221EC"/>
    <w:rsid w:val="00A22336"/>
    <w:rsid w:val="00A22438"/>
    <w:rsid w:val="00A22C41"/>
    <w:rsid w:val="00A22CBF"/>
    <w:rsid w:val="00A22F95"/>
    <w:rsid w:val="00A2369A"/>
    <w:rsid w:val="00A23B36"/>
    <w:rsid w:val="00A243FD"/>
    <w:rsid w:val="00A25B35"/>
    <w:rsid w:val="00A26361"/>
    <w:rsid w:val="00A278C2"/>
    <w:rsid w:val="00A279AF"/>
    <w:rsid w:val="00A30125"/>
    <w:rsid w:val="00A306CA"/>
    <w:rsid w:val="00A30BC0"/>
    <w:rsid w:val="00A30E12"/>
    <w:rsid w:val="00A3107A"/>
    <w:rsid w:val="00A31548"/>
    <w:rsid w:val="00A322E8"/>
    <w:rsid w:val="00A331F5"/>
    <w:rsid w:val="00A335B4"/>
    <w:rsid w:val="00A337CD"/>
    <w:rsid w:val="00A33842"/>
    <w:rsid w:val="00A34AD9"/>
    <w:rsid w:val="00A35A8C"/>
    <w:rsid w:val="00A35E62"/>
    <w:rsid w:val="00A36B87"/>
    <w:rsid w:val="00A37058"/>
    <w:rsid w:val="00A40B1D"/>
    <w:rsid w:val="00A41225"/>
    <w:rsid w:val="00A41DC0"/>
    <w:rsid w:val="00A4233C"/>
    <w:rsid w:val="00A426F0"/>
    <w:rsid w:val="00A42C03"/>
    <w:rsid w:val="00A43DDC"/>
    <w:rsid w:val="00A44936"/>
    <w:rsid w:val="00A44FDB"/>
    <w:rsid w:val="00A4512A"/>
    <w:rsid w:val="00A463C3"/>
    <w:rsid w:val="00A47593"/>
    <w:rsid w:val="00A50268"/>
    <w:rsid w:val="00A502F5"/>
    <w:rsid w:val="00A503BA"/>
    <w:rsid w:val="00A5043E"/>
    <w:rsid w:val="00A50DF1"/>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6FF3"/>
    <w:rsid w:val="00A67031"/>
    <w:rsid w:val="00A670E4"/>
    <w:rsid w:val="00A670ED"/>
    <w:rsid w:val="00A6716D"/>
    <w:rsid w:val="00A67BE4"/>
    <w:rsid w:val="00A70252"/>
    <w:rsid w:val="00A70916"/>
    <w:rsid w:val="00A70ACA"/>
    <w:rsid w:val="00A70E19"/>
    <w:rsid w:val="00A716C2"/>
    <w:rsid w:val="00A716FD"/>
    <w:rsid w:val="00A727FA"/>
    <w:rsid w:val="00A72E7C"/>
    <w:rsid w:val="00A7388A"/>
    <w:rsid w:val="00A749B6"/>
    <w:rsid w:val="00A74C4A"/>
    <w:rsid w:val="00A7508F"/>
    <w:rsid w:val="00A7529E"/>
    <w:rsid w:val="00A75460"/>
    <w:rsid w:val="00A7631B"/>
    <w:rsid w:val="00A76829"/>
    <w:rsid w:val="00A76989"/>
    <w:rsid w:val="00A76DF3"/>
    <w:rsid w:val="00A77261"/>
    <w:rsid w:val="00A77322"/>
    <w:rsid w:val="00A77912"/>
    <w:rsid w:val="00A77E0E"/>
    <w:rsid w:val="00A77FF5"/>
    <w:rsid w:val="00A804CA"/>
    <w:rsid w:val="00A80812"/>
    <w:rsid w:val="00A80899"/>
    <w:rsid w:val="00A80987"/>
    <w:rsid w:val="00A80F60"/>
    <w:rsid w:val="00A8136D"/>
    <w:rsid w:val="00A81C6F"/>
    <w:rsid w:val="00A81E52"/>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1ED7"/>
    <w:rsid w:val="00A92030"/>
    <w:rsid w:val="00A927D6"/>
    <w:rsid w:val="00A928B1"/>
    <w:rsid w:val="00A933B1"/>
    <w:rsid w:val="00A93A45"/>
    <w:rsid w:val="00A93CCB"/>
    <w:rsid w:val="00A943F9"/>
    <w:rsid w:val="00A94530"/>
    <w:rsid w:val="00A95022"/>
    <w:rsid w:val="00A95164"/>
    <w:rsid w:val="00A95B1C"/>
    <w:rsid w:val="00A9656F"/>
    <w:rsid w:val="00A966C8"/>
    <w:rsid w:val="00A96D88"/>
    <w:rsid w:val="00A97075"/>
    <w:rsid w:val="00AA007B"/>
    <w:rsid w:val="00AA0DC7"/>
    <w:rsid w:val="00AA1062"/>
    <w:rsid w:val="00AA133F"/>
    <w:rsid w:val="00AA1A8E"/>
    <w:rsid w:val="00AA1C91"/>
    <w:rsid w:val="00AA2130"/>
    <w:rsid w:val="00AA218A"/>
    <w:rsid w:val="00AA2930"/>
    <w:rsid w:val="00AA2B83"/>
    <w:rsid w:val="00AA2C59"/>
    <w:rsid w:val="00AA2CCF"/>
    <w:rsid w:val="00AA3532"/>
    <w:rsid w:val="00AA3539"/>
    <w:rsid w:val="00AA361C"/>
    <w:rsid w:val="00AA4593"/>
    <w:rsid w:val="00AA5A66"/>
    <w:rsid w:val="00AA5EA4"/>
    <w:rsid w:val="00AA6519"/>
    <w:rsid w:val="00AA652F"/>
    <w:rsid w:val="00AA69CD"/>
    <w:rsid w:val="00AA6F92"/>
    <w:rsid w:val="00AA75FB"/>
    <w:rsid w:val="00AA781D"/>
    <w:rsid w:val="00AA7F0B"/>
    <w:rsid w:val="00AA7F19"/>
    <w:rsid w:val="00AB02D0"/>
    <w:rsid w:val="00AB0740"/>
    <w:rsid w:val="00AB096E"/>
    <w:rsid w:val="00AB0999"/>
    <w:rsid w:val="00AB0DDF"/>
    <w:rsid w:val="00AB0E6E"/>
    <w:rsid w:val="00AB1693"/>
    <w:rsid w:val="00AB197A"/>
    <w:rsid w:val="00AB1A41"/>
    <w:rsid w:val="00AB1D6E"/>
    <w:rsid w:val="00AB2342"/>
    <w:rsid w:val="00AB4C86"/>
    <w:rsid w:val="00AB515F"/>
    <w:rsid w:val="00AB53EA"/>
    <w:rsid w:val="00AB575E"/>
    <w:rsid w:val="00AB6840"/>
    <w:rsid w:val="00AB6934"/>
    <w:rsid w:val="00AB6A39"/>
    <w:rsid w:val="00AB724E"/>
    <w:rsid w:val="00AB7C5F"/>
    <w:rsid w:val="00AC04B5"/>
    <w:rsid w:val="00AC078F"/>
    <w:rsid w:val="00AC0A2A"/>
    <w:rsid w:val="00AC114A"/>
    <w:rsid w:val="00AC1466"/>
    <w:rsid w:val="00AC1662"/>
    <w:rsid w:val="00AC16F3"/>
    <w:rsid w:val="00AC1E5B"/>
    <w:rsid w:val="00AC2AA9"/>
    <w:rsid w:val="00AC2B9A"/>
    <w:rsid w:val="00AC2EA8"/>
    <w:rsid w:val="00AC34C4"/>
    <w:rsid w:val="00AC36EB"/>
    <w:rsid w:val="00AC3F8F"/>
    <w:rsid w:val="00AC3FEC"/>
    <w:rsid w:val="00AC402B"/>
    <w:rsid w:val="00AC4ADF"/>
    <w:rsid w:val="00AC4BDB"/>
    <w:rsid w:val="00AC4EFB"/>
    <w:rsid w:val="00AC519D"/>
    <w:rsid w:val="00AC609A"/>
    <w:rsid w:val="00AC6579"/>
    <w:rsid w:val="00AC7260"/>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0B06"/>
    <w:rsid w:val="00AE1234"/>
    <w:rsid w:val="00AE12B5"/>
    <w:rsid w:val="00AE1E44"/>
    <w:rsid w:val="00AE2435"/>
    <w:rsid w:val="00AE2DDC"/>
    <w:rsid w:val="00AE32B9"/>
    <w:rsid w:val="00AE338F"/>
    <w:rsid w:val="00AE3518"/>
    <w:rsid w:val="00AE3912"/>
    <w:rsid w:val="00AE3A1C"/>
    <w:rsid w:val="00AE3AD7"/>
    <w:rsid w:val="00AE3BA6"/>
    <w:rsid w:val="00AE3F58"/>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179"/>
    <w:rsid w:val="00AF1C8D"/>
    <w:rsid w:val="00AF2013"/>
    <w:rsid w:val="00AF252D"/>
    <w:rsid w:val="00AF2812"/>
    <w:rsid w:val="00AF2BF7"/>
    <w:rsid w:val="00AF3145"/>
    <w:rsid w:val="00AF31D6"/>
    <w:rsid w:val="00AF3546"/>
    <w:rsid w:val="00AF37C1"/>
    <w:rsid w:val="00AF42DE"/>
    <w:rsid w:val="00AF4939"/>
    <w:rsid w:val="00AF52CB"/>
    <w:rsid w:val="00AF5814"/>
    <w:rsid w:val="00AF59AE"/>
    <w:rsid w:val="00AF59DC"/>
    <w:rsid w:val="00AF5A30"/>
    <w:rsid w:val="00AF5A43"/>
    <w:rsid w:val="00AF5A9B"/>
    <w:rsid w:val="00AF5B65"/>
    <w:rsid w:val="00AF5E5E"/>
    <w:rsid w:val="00AF632A"/>
    <w:rsid w:val="00AF6659"/>
    <w:rsid w:val="00AF6FF4"/>
    <w:rsid w:val="00AF7CF0"/>
    <w:rsid w:val="00B00016"/>
    <w:rsid w:val="00B00079"/>
    <w:rsid w:val="00B0038C"/>
    <w:rsid w:val="00B004BC"/>
    <w:rsid w:val="00B00C6D"/>
    <w:rsid w:val="00B019F0"/>
    <w:rsid w:val="00B01D1B"/>
    <w:rsid w:val="00B01D3F"/>
    <w:rsid w:val="00B024D7"/>
    <w:rsid w:val="00B0250E"/>
    <w:rsid w:val="00B02C85"/>
    <w:rsid w:val="00B03EC6"/>
    <w:rsid w:val="00B04533"/>
    <w:rsid w:val="00B0485B"/>
    <w:rsid w:val="00B04F68"/>
    <w:rsid w:val="00B050AC"/>
    <w:rsid w:val="00B06DB3"/>
    <w:rsid w:val="00B071BE"/>
    <w:rsid w:val="00B07A12"/>
    <w:rsid w:val="00B07E8C"/>
    <w:rsid w:val="00B07F29"/>
    <w:rsid w:val="00B10A44"/>
    <w:rsid w:val="00B10B30"/>
    <w:rsid w:val="00B1128D"/>
    <w:rsid w:val="00B11CD3"/>
    <w:rsid w:val="00B11E04"/>
    <w:rsid w:val="00B12A3A"/>
    <w:rsid w:val="00B130CD"/>
    <w:rsid w:val="00B13524"/>
    <w:rsid w:val="00B13542"/>
    <w:rsid w:val="00B135C2"/>
    <w:rsid w:val="00B153AD"/>
    <w:rsid w:val="00B157C9"/>
    <w:rsid w:val="00B166DB"/>
    <w:rsid w:val="00B1677F"/>
    <w:rsid w:val="00B16841"/>
    <w:rsid w:val="00B17FB2"/>
    <w:rsid w:val="00B20174"/>
    <w:rsid w:val="00B20572"/>
    <w:rsid w:val="00B205C4"/>
    <w:rsid w:val="00B20782"/>
    <w:rsid w:val="00B20A4E"/>
    <w:rsid w:val="00B20C78"/>
    <w:rsid w:val="00B210A8"/>
    <w:rsid w:val="00B21CF4"/>
    <w:rsid w:val="00B2212D"/>
    <w:rsid w:val="00B22308"/>
    <w:rsid w:val="00B22A28"/>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268"/>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3F9E"/>
    <w:rsid w:val="00B44094"/>
    <w:rsid w:val="00B4444C"/>
    <w:rsid w:val="00B44956"/>
    <w:rsid w:val="00B4567E"/>
    <w:rsid w:val="00B45C47"/>
    <w:rsid w:val="00B46CC2"/>
    <w:rsid w:val="00B47883"/>
    <w:rsid w:val="00B479AE"/>
    <w:rsid w:val="00B479DF"/>
    <w:rsid w:val="00B5026D"/>
    <w:rsid w:val="00B50E0B"/>
    <w:rsid w:val="00B50F9B"/>
    <w:rsid w:val="00B50FA5"/>
    <w:rsid w:val="00B5122C"/>
    <w:rsid w:val="00B51340"/>
    <w:rsid w:val="00B5173D"/>
    <w:rsid w:val="00B519AE"/>
    <w:rsid w:val="00B51B6E"/>
    <w:rsid w:val="00B5248A"/>
    <w:rsid w:val="00B53007"/>
    <w:rsid w:val="00B53488"/>
    <w:rsid w:val="00B53D82"/>
    <w:rsid w:val="00B5445D"/>
    <w:rsid w:val="00B54A7B"/>
    <w:rsid w:val="00B54D75"/>
    <w:rsid w:val="00B555EB"/>
    <w:rsid w:val="00B56071"/>
    <w:rsid w:val="00B56426"/>
    <w:rsid w:val="00B56786"/>
    <w:rsid w:val="00B56AB1"/>
    <w:rsid w:val="00B56C67"/>
    <w:rsid w:val="00B571A7"/>
    <w:rsid w:val="00B579AB"/>
    <w:rsid w:val="00B57A5B"/>
    <w:rsid w:val="00B57B34"/>
    <w:rsid w:val="00B57CA4"/>
    <w:rsid w:val="00B57CF6"/>
    <w:rsid w:val="00B57F27"/>
    <w:rsid w:val="00B60011"/>
    <w:rsid w:val="00B60154"/>
    <w:rsid w:val="00B601D7"/>
    <w:rsid w:val="00B6023D"/>
    <w:rsid w:val="00B6037F"/>
    <w:rsid w:val="00B60385"/>
    <w:rsid w:val="00B604A0"/>
    <w:rsid w:val="00B606FB"/>
    <w:rsid w:val="00B60AA6"/>
    <w:rsid w:val="00B60FAB"/>
    <w:rsid w:val="00B61372"/>
    <w:rsid w:val="00B6198E"/>
    <w:rsid w:val="00B61B83"/>
    <w:rsid w:val="00B62169"/>
    <w:rsid w:val="00B622FA"/>
    <w:rsid w:val="00B625AE"/>
    <w:rsid w:val="00B62E56"/>
    <w:rsid w:val="00B6339D"/>
    <w:rsid w:val="00B63AA0"/>
    <w:rsid w:val="00B63C5A"/>
    <w:rsid w:val="00B63F6E"/>
    <w:rsid w:val="00B63F8C"/>
    <w:rsid w:val="00B64596"/>
    <w:rsid w:val="00B6487E"/>
    <w:rsid w:val="00B65C50"/>
    <w:rsid w:val="00B65C84"/>
    <w:rsid w:val="00B661B0"/>
    <w:rsid w:val="00B66CA2"/>
    <w:rsid w:val="00B67CD9"/>
    <w:rsid w:val="00B67EC5"/>
    <w:rsid w:val="00B70207"/>
    <w:rsid w:val="00B7037F"/>
    <w:rsid w:val="00B70A15"/>
    <w:rsid w:val="00B716C4"/>
    <w:rsid w:val="00B7189B"/>
    <w:rsid w:val="00B72B5F"/>
    <w:rsid w:val="00B7337E"/>
    <w:rsid w:val="00B7359C"/>
    <w:rsid w:val="00B737DF"/>
    <w:rsid w:val="00B73EF5"/>
    <w:rsid w:val="00B742C9"/>
    <w:rsid w:val="00B74332"/>
    <w:rsid w:val="00B743F7"/>
    <w:rsid w:val="00B744F0"/>
    <w:rsid w:val="00B74692"/>
    <w:rsid w:val="00B75006"/>
    <w:rsid w:val="00B75530"/>
    <w:rsid w:val="00B75839"/>
    <w:rsid w:val="00B75941"/>
    <w:rsid w:val="00B76FD1"/>
    <w:rsid w:val="00B80A4D"/>
    <w:rsid w:val="00B8147E"/>
    <w:rsid w:val="00B82E05"/>
    <w:rsid w:val="00B84C31"/>
    <w:rsid w:val="00B84F38"/>
    <w:rsid w:val="00B85862"/>
    <w:rsid w:val="00B859FC"/>
    <w:rsid w:val="00B85B3F"/>
    <w:rsid w:val="00B86118"/>
    <w:rsid w:val="00B86587"/>
    <w:rsid w:val="00B8687E"/>
    <w:rsid w:val="00B87208"/>
    <w:rsid w:val="00B87B05"/>
    <w:rsid w:val="00B904CC"/>
    <w:rsid w:val="00B907F8"/>
    <w:rsid w:val="00B9092B"/>
    <w:rsid w:val="00B90BD9"/>
    <w:rsid w:val="00B90DAC"/>
    <w:rsid w:val="00B9198A"/>
    <w:rsid w:val="00B91E6C"/>
    <w:rsid w:val="00B927E3"/>
    <w:rsid w:val="00B92C25"/>
    <w:rsid w:val="00B930DF"/>
    <w:rsid w:val="00B93513"/>
    <w:rsid w:val="00B93522"/>
    <w:rsid w:val="00B94CC3"/>
    <w:rsid w:val="00B94E6C"/>
    <w:rsid w:val="00B94EB4"/>
    <w:rsid w:val="00B95765"/>
    <w:rsid w:val="00B95B31"/>
    <w:rsid w:val="00B96657"/>
    <w:rsid w:val="00B9726B"/>
    <w:rsid w:val="00B972B5"/>
    <w:rsid w:val="00B9774C"/>
    <w:rsid w:val="00B979ED"/>
    <w:rsid w:val="00BA00C6"/>
    <w:rsid w:val="00BA04C3"/>
    <w:rsid w:val="00BA0702"/>
    <w:rsid w:val="00BA0935"/>
    <w:rsid w:val="00BA0A18"/>
    <w:rsid w:val="00BA0AE6"/>
    <w:rsid w:val="00BA22CE"/>
    <w:rsid w:val="00BA2A99"/>
    <w:rsid w:val="00BA2FCA"/>
    <w:rsid w:val="00BA35BC"/>
    <w:rsid w:val="00BA38EF"/>
    <w:rsid w:val="00BA3B7C"/>
    <w:rsid w:val="00BA3FC0"/>
    <w:rsid w:val="00BA41D8"/>
    <w:rsid w:val="00BA4598"/>
    <w:rsid w:val="00BA4683"/>
    <w:rsid w:val="00BA498A"/>
    <w:rsid w:val="00BA521B"/>
    <w:rsid w:val="00BA6157"/>
    <w:rsid w:val="00BA62B4"/>
    <w:rsid w:val="00BA72C4"/>
    <w:rsid w:val="00BA7AD6"/>
    <w:rsid w:val="00BA7ED1"/>
    <w:rsid w:val="00BA7F62"/>
    <w:rsid w:val="00BB0158"/>
    <w:rsid w:val="00BB0806"/>
    <w:rsid w:val="00BB0906"/>
    <w:rsid w:val="00BB0D6F"/>
    <w:rsid w:val="00BB0E50"/>
    <w:rsid w:val="00BB0ECE"/>
    <w:rsid w:val="00BB0EDA"/>
    <w:rsid w:val="00BB0FB8"/>
    <w:rsid w:val="00BB1C14"/>
    <w:rsid w:val="00BB218B"/>
    <w:rsid w:val="00BB2321"/>
    <w:rsid w:val="00BB2372"/>
    <w:rsid w:val="00BB2618"/>
    <w:rsid w:val="00BB2925"/>
    <w:rsid w:val="00BB29D3"/>
    <w:rsid w:val="00BB2B55"/>
    <w:rsid w:val="00BB2D48"/>
    <w:rsid w:val="00BB2EC1"/>
    <w:rsid w:val="00BB3809"/>
    <w:rsid w:val="00BB3E8C"/>
    <w:rsid w:val="00BB4606"/>
    <w:rsid w:val="00BB4AC4"/>
    <w:rsid w:val="00BB4C1D"/>
    <w:rsid w:val="00BB4DE1"/>
    <w:rsid w:val="00BB5576"/>
    <w:rsid w:val="00BB5DED"/>
    <w:rsid w:val="00BB5EFF"/>
    <w:rsid w:val="00BB5F83"/>
    <w:rsid w:val="00BB5FE3"/>
    <w:rsid w:val="00BB6B75"/>
    <w:rsid w:val="00BB7818"/>
    <w:rsid w:val="00BC055F"/>
    <w:rsid w:val="00BC0728"/>
    <w:rsid w:val="00BC0942"/>
    <w:rsid w:val="00BC1032"/>
    <w:rsid w:val="00BC1C43"/>
    <w:rsid w:val="00BC2B38"/>
    <w:rsid w:val="00BC2F26"/>
    <w:rsid w:val="00BC4169"/>
    <w:rsid w:val="00BC4932"/>
    <w:rsid w:val="00BC495B"/>
    <w:rsid w:val="00BC4DF8"/>
    <w:rsid w:val="00BC4F5F"/>
    <w:rsid w:val="00BC50B7"/>
    <w:rsid w:val="00BC55EC"/>
    <w:rsid w:val="00BC6164"/>
    <w:rsid w:val="00BC643C"/>
    <w:rsid w:val="00BC698F"/>
    <w:rsid w:val="00BC6AD3"/>
    <w:rsid w:val="00BC7EE0"/>
    <w:rsid w:val="00BC7F60"/>
    <w:rsid w:val="00BD0795"/>
    <w:rsid w:val="00BD0B65"/>
    <w:rsid w:val="00BD0D66"/>
    <w:rsid w:val="00BD11A1"/>
    <w:rsid w:val="00BD11BA"/>
    <w:rsid w:val="00BD1609"/>
    <w:rsid w:val="00BD1B98"/>
    <w:rsid w:val="00BD2609"/>
    <w:rsid w:val="00BD3454"/>
    <w:rsid w:val="00BD3E8A"/>
    <w:rsid w:val="00BD4E95"/>
    <w:rsid w:val="00BD4FC3"/>
    <w:rsid w:val="00BD5268"/>
    <w:rsid w:val="00BD5845"/>
    <w:rsid w:val="00BD5FB0"/>
    <w:rsid w:val="00BD75D2"/>
    <w:rsid w:val="00BD782D"/>
    <w:rsid w:val="00BD7C99"/>
    <w:rsid w:val="00BD7D0F"/>
    <w:rsid w:val="00BE0485"/>
    <w:rsid w:val="00BE0DEE"/>
    <w:rsid w:val="00BE162A"/>
    <w:rsid w:val="00BE1804"/>
    <w:rsid w:val="00BE1BE0"/>
    <w:rsid w:val="00BE2657"/>
    <w:rsid w:val="00BE3EB5"/>
    <w:rsid w:val="00BE429D"/>
    <w:rsid w:val="00BE4722"/>
    <w:rsid w:val="00BE48B8"/>
    <w:rsid w:val="00BE4C18"/>
    <w:rsid w:val="00BE4CBB"/>
    <w:rsid w:val="00BE5260"/>
    <w:rsid w:val="00BE5A99"/>
    <w:rsid w:val="00BE5E08"/>
    <w:rsid w:val="00BE5E2A"/>
    <w:rsid w:val="00BE64A2"/>
    <w:rsid w:val="00BE6CCD"/>
    <w:rsid w:val="00BE70F7"/>
    <w:rsid w:val="00BE7321"/>
    <w:rsid w:val="00BF02B0"/>
    <w:rsid w:val="00BF0C97"/>
    <w:rsid w:val="00BF11C6"/>
    <w:rsid w:val="00BF132D"/>
    <w:rsid w:val="00BF1736"/>
    <w:rsid w:val="00BF1C7C"/>
    <w:rsid w:val="00BF1E2B"/>
    <w:rsid w:val="00BF1F3D"/>
    <w:rsid w:val="00BF1F98"/>
    <w:rsid w:val="00BF209B"/>
    <w:rsid w:val="00BF2373"/>
    <w:rsid w:val="00BF26D4"/>
    <w:rsid w:val="00BF2715"/>
    <w:rsid w:val="00BF30D2"/>
    <w:rsid w:val="00BF3606"/>
    <w:rsid w:val="00BF3AD2"/>
    <w:rsid w:val="00BF4009"/>
    <w:rsid w:val="00BF4575"/>
    <w:rsid w:val="00BF46D7"/>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22D"/>
    <w:rsid w:val="00C0494A"/>
    <w:rsid w:val="00C04DA7"/>
    <w:rsid w:val="00C04F95"/>
    <w:rsid w:val="00C051FB"/>
    <w:rsid w:val="00C061D7"/>
    <w:rsid w:val="00C06230"/>
    <w:rsid w:val="00C0625B"/>
    <w:rsid w:val="00C0637A"/>
    <w:rsid w:val="00C06396"/>
    <w:rsid w:val="00C06EB0"/>
    <w:rsid w:val="00C07294"/>
    <w:rsid w:val="00C07DF1"/>
    <w:rsid w:val="00C11AC9"/>
    <w:rsid w:val="00C11C8D"/>
    <w:rsid w:val="00C12D2F"/>
    <w:rsid w:val="00C13239"/>
    <w:rsid w:val="00C13D8F"/>
    <w:rsid w:val="00C13FDF"/>
    <w:rsid w:val="00C14F65"/>
    <w:rsid w:val="00C15AC9"/>
    <w:rsid w:val="00C15F98"/>
    <w:rsid w:val="00C167B3"/>
    <w:rsid w:val="00C167B5"/>
    <w:rsid w:val="00C16B40"/>
    <w:rsid w:val="00C200D5"/>
    <w:rsid w:val="00C20423"/>
    <w:rsid w:val="00C209B2"/>
    <w:rsid w:val="00C20D77"/>
    <w:rsid w:val="00C21125"/>
    <w:rsid w:val="00C2113E"/>
    <w:rsid w:val="00C21E76"/>
    <w:rsid w:val="00C2229B"/>
    <w:rsid w:val="00C22453"/>
    <w:rsid w:val="00C224D4"/>
    <w:rsid w:val="00C2281C"/>
    <w:rsid w:val="00C22821"/>
    <w:rsid w:val="00C229CB"/>
    <w:rsid w:val="00C2385E"/>
    <w:rsid w:val="00C23C9B"/>
    <w:rsid w:val="00C23D2F"/>
    <w:rsid w:val="00C23D4A"/>
    <w:rsid w:val="00C26553"/>
    <w:rsid w:val="00C26764"/>
    <w:rsid w:val="00C2730B"/>
    <w:rsid w:val="00C2780A"/>
    <w:rsid w:val="00C27EB7"/>
    <w:rsid w:val="00C30343"/>
    <w:rsid w:val="00C303AE"/>
    <w:rsid w:val="00C305C0"/>
    <w:rsid w:val="00C30D75"/>
    <w:rsid w:val="00C31833"/>
    <w:rsid w:val="00C31D03"/>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1D6"/>
    <w:rsid w:val="00C376AA"/>
    <w:rsid w:val="00C37EF9"/>
    <w:rsid w:val="00C40874"/>
    <w:rsid w:val="00C4102A"/>
    <w:rsid w:val="00C4118B"/>
    <w:rsid w:val="00C41885"/>
    <w:rsid w:val="00C41C64"/>
    <w:rsid w:val="00C41F1F"/>
    <w:rsid w:val="00C427FE"/>
    <w:rsid w:val="00C43365"/>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CCA"/>
    <w:rsid w:val="00C47F13"/>
    <w:rsid w:val="00C500EF"/>
    <w:rsid w:val="00C50478"/>
    <w:rsid w:val="00C50889"/>
    <w:rsid w:val="00C511D4"/>
    <w:rsid w:val="00C513F2"/>
    <w:rsid w:val="00C5160C"/>
    <w:rsid w:val="00C51C10"/>
    <w:rsid w:val="00C51CF9"/>
    <w:rsid w:val="00C51F3E"/>
    <w:rsid w:val="00C51FFB"/>
    <w:rsid w:val="00C522BA"/>
    <w:rsid w:val="00C52305"/>
    <w:rsid w:val="00C53641"/>
    <w:rsid w:val="00C53768"/>
    <w:rsid w:val="00C537A2"/>
    <w:rsid w:val="00C53827"/>
    <w:rsid w:val="00C53B91"/>
    <w:rsid w:val="00C53CA8"/>
    <w:rsid w:val="00C53DA4"/>
    <w:rsid w:val="00C540EB"/>
    <w:rsid w:val="00C54D81"/>
    <w:rsid w:val="00C560EB"/>
    <w:rsid w:val="00C564E1"/>
    <w:rsid w:val="00C56507"/>
    <w:rsid w:val="00C56CCF"/>
    <w:rsid w:val="00C56D8D"/>
    <w:rsid w:val="00C57065"/>
    <w:rsid w:val="00C5723D"/>
    <w:rsid w:val="00C57E20"/>
    <w:rsid w:val="00C6076F"/>
    <w:rsid w:val="00C60D3A"/>
    <w:rsid w:val="00C60E30"/>
    <w:rsid w:val="00C61360"/>
    <w:rsid w:val="00C613C3"/>
    <w:rsid w:val="00C614C6"/>
    <w:rsid w:val="00C6153F"/>
    <w:rsid w:val="00C623FE"/>
    <w:rsid w:val="00C6274A"/>
    <w:rsid w:val="00C6374F"/>
    <w:rsid w:val="00C638D8"/>
    <w:rsid w:val="00C639F5"/>
    <w:rsid w:val="00C63EA4"/>
    <w:rsid w:val="00C64296"/>
    <w:rsid w:val="00C64596"/>
    <w:rsid w:val="00C647E4"/>
    <w:rsid w:val="00C6488F"/>
    <w:rsid w:val="00C64FC6"/>
    <w:rsid w:val="00C6515A"/>
    <w:rsid w:val="00C65D6D"/>
    <w:rsid w:val="00C668C2"/>
    <w:rsid w:val="00C6696B"/>
    <w:rsid w:val="00C66D1B"/>
    <w:rsid w:val="00C66E0F"/>
    <w:rsid w:val="00C670AC"/>
    <w:rsid w:val="00C673EB"/>
    <w:rsid w:val="00C67695"/>
    <w:rsid w:val="00C67D4F"/>
    <w:rsid w:val="00C67E29"/>
    <w:rsid w:val="00C704BE"/>
    <w:rsid w:val="00C70853"/>
    <w:rsid w:val="00C708D6"/>
    <w:rsid w:val="00C70A41"/>
    <w:rsid w:val="00C70BF4"/>
    <w:rsid w:val="00C7113A"/>
    <w:rsid w:val="00C712DE"/>
    <w:rsid w:val="00C71433"/>
    <w:rsid w:val="00C71A21"/>
    <w:rsid w:val="00C725E3"/>
    <w:rsid w:val="00C735D1"/>
    <w:rsid w:val="00C74418"/>
    <w:rsid w:val="00C7442C"/>
    <w:rsid w:val="00C7461C"/>
    <w:rsid w:val="00C74890"/>
    <w:rsid w:val="00C74CDE"/>
    <w:rsid w:val="00C74D07"/>
    <w:rsid w:val="00C75520"/>
    <w:rsid w:val="00C75D1A"/>
    <w:rsid w:val="00C76050"/>
    <w:rsid w:val="00C761F5"/>
    <w:rsid w:val="00C76B49"/>
    <w:rsid w:val="00C76B68"/>
    <w:rsid w:val="00C76C1E"/>
    <w:rsid w:val="00C76C98"/>
    <w:rsid w:val="00C774F5"/>
    <w:rsid w:val="00C77F03"/>
    <w:rsid w:val="00C801E0"/>
    <w:rsid w:val="00C811B2"/>
    <w:rsid w:val="00C813DE"/>
    <w:rsid w:val="00C81E6C"/>
    <w:rsid w:val="00C82194"/>
    <w:rsid w:val="00C8234E"/>
    <w:rsid w:val="00C826E7"/>
    <w:rsid w:val="00C8342A"/>
    <w:rsid w:val="00C8358D"/>
    <w:rsid w:val="00C83644"/>
    <w:rsid w:val="00C837EF"/>
    <w:rsid w:val="00C84023"/>
    <w:rsid w:val="00C84EFF"/>
    <w:rsid w:val="00C85618"/>
    <w:rsid w:val="00C858E1"/>
    <w:rsid w:val="00C87EB3"/>
    <w:rsid w:val="00C904CE"/>
    <w:rsid w:val="00C909E2"/>
    <w:rsid w:val="00C9161D"/>
    <w:rsid w:val="00C91A97"/>
    <w:rsid w:val="00C92120"/>
    <w:rsid w:val="00C92233"/>
    <w:rsid w:val="00C925A8"/>
    <w:rsid w:val="00C92B27"/>
    <w:rsid w:val="00C92C6F"/>
    <w:rsid w:val="00C93164"/>
    <w:rsid w:val="00C94090"/>
    <w:rsid w:val="00C945E9"/>
    <w:rsid w:val="00C94B0F"/>
    <w:rsid w:val="00C94E83"/>
    <w:rsid w:val="00C94F52"/>
    <w:rsid w:val="00C95A7D"/>
    <w:rsid w:val="00C95B76"/>
    <w:rsid w:val="00C9656B"/>
    <w:rsid w:val="00C96A5E"/>
    <w:rsid w:val="00C96C9F"/>
    <w:rsid w:val="00C97740"/>
    <w:rsid w:val="00C97792"/>
    <w:rsid w:val="00C97A18"/>
    <w:rsid w:val="00CA0772"/>
    <w:rsid w:val="00CA0C10"/>
    <w:rsid w:val="00CA0C1D"/>
    <w:rsid w:val="00CA189D"/>
    <w:rsid w:val="00CA19D8"/>
    <w:rsid w:val="00CA2614"/>
    <w:rsid w:val="00CA2777"/>
    <w:rsid w:val="00CA2C3B"/>
    <w:rsid w:val="00CA3EA7"/>
    <w:rsid w:val="00CA4B26"/>
    <w:rsid w:val="00CA5000"/>
    <w:rsid w:val="00CA5F70"/>
    <w:rsid w:val="00CA6459"/>
    <w:rsid w:val="00CA6565"/>
    <w:rsid w:val="00CA6971"/>
    <w:rsid w:val="00CA7630"/>
    <w:rsid w:val="00CA76C6"/>
    <w:rsid w:val="00CA7C70"/>
    <w:rsid w:val="00CA7FBD"/>
    <w:rsid w:val="00CB029E"/>
    <w:rsid w:val="00CB02E6"/>
    <w:rsid w:val="00CB0429"/>
    <w:rsid w:val="00CB05E4"/>
    <w:rsid w:val="00CB0A80"/>
    <w:rsid w:val="00CB0BDB"/>
    <w:rsid w:val="00CB0CAA"/>
    <w:rsid w:val="00CB110D"/>
    <w:rsid w:val="00CB2D04"/>
    <w:rsid w:val="00CB2F07"/>
    <w:rsid w:val="00CB33F5"/>
    <w:rsid w:val="00CB360E"/>
    <w:rsid w:val="00CB37C6"/>
    <w:rsid w:val="00CB3F6D"/>
    <w:rsid w:val="00CB51C9"/>
    <w:rsid w:val="00CB5918"/>
    <w:rsid w:val="00CB7306"/>
    <w:rsid w:val="00CB76BA"/>
    <w:rsid w:val="00CC0101"/>
    <w:rsid w:val="00CC02B8"/>
    <w:rsid w:val="00CC04AD"/>
    <w:rsid w:val="00CC0609"/>
    <w:rsid w:val="00CC1355"/>
    <w:rsid w:val="00CC1740"/>
    <w:rsid w:val="00CC1AAF"/>
    <w:rsid w:val="00CC1BCA"/>
    <w:rsid w:val="00CC2984"/>
    <w:rsid w:val="00CC450A"/>
    <w:rsid w:val="00CC4763"/>
    <w:rsid w:val="00CC4E03"/>
    <w:rsid w:val="00CC606B"/>
    <w:rsid w:val="00CC6E42"/>
    <w:rsid w:val="00CC7108"/>
    <w:rsid w:val="00CC7452"/>
    <w:rsid w:val="00CD096A"/>
    <w:rsid w:val="00CD0C33"/>
    <w:rsid w:val="00CD0CFB"/>
    <w:rsid w:val="00CD1114"/>
    <w:rsid w:val="00CD1131"/>
    <w:rsid w:val="00CD1539"/>
    <w:rsid w:val="00CD165D"/>
    <w:rsid w:val="00CD1E3A"/>
    <w:rsid w:val="00CD2C8A"/>
    <w:rsid w:val="00CD3090"/>
    <w:rsid w:val="00CD3DBE"/>
    <w:rsid w:val="00CD405D"/>
    <w:rsid w:val="00CD5A89"/>
    <w:rsid w:val="00CD5E0D"/>
    <w:rsid w:val="00CD63C3"/>
    <w:rsid w:val="00CD6CEF"/>
    <w:rsid w:val="00CD74A1"/>
    <w:rsid w:val="00CD754E"/>
    <w:rsid w:val="00CD7E25"/>
    <w:rsid w:val="00CD7FBD"/>
    <w:rsid w:val="00CE0162"/>
    <w:rsid w:val="00CE034F"/>
    <w:rsid w:val="00CE062E"/>
    <w:rsid w:val="00CE32C4"/>
    <w:rsid w:val="00CE381C"/>
    <w:rsid w:val="00CE3CD3"/>
    <w:rsid w:val="00CE3CFC"/>
    <w:rsid w:val="00CE4773"/>
    <w:rsid w:val="00CE4BB0"/>
    <w:rsid w:val="00CE5252"/>
    <w:rsid w:val="00CE5475"/>
    <w:rsid w:val="00CE5C0E"/>
    <w:rsid w:val="00CE5FD1"/>
    <w:rsid w:val="00CE629E"/>
    <w:rsid w:val="00CE6608"/>
    <w:rsid w:val="00CE6E38"/>
    <w:rsid w:val="00CE72C4"/>
    <w:rsid w:val="00CE77D8"/>
    <w:rsid w:val="00CE7974"/>
    <w:rsid w:val="00CE7B7F"/>
    <w:rsid w:val="00CF017B"/>
    <w:rsid w:val="00CF0371"/>
    <w:rsid w:val="00CF09E6"/>
    <w:rsid w:val="00CF0B2A"/>
    <w:rsid w:val="00CF0C69"/>
    <w:rsid w:val="00CF1031"/>
    <w:rsid w:val="00CF13CE"/>
    <w:rsid w:val="00CF1632"/>
    <w:rsid w:val="00CF1848"/>
    <w:rsid w:val="00CF22C1"/>
    <w:rsid w:val="00CF2BB2"/>
    <w:rsid w:val="00CF303A"/>
    <w:rsid w:val="00CF3B1D"/>
    <w:rsid w:val="00CF4123"/>
    <w:rsid w:val="00CF4AA1"/>
    <w:rsid w:val="00CF5BE3"/>
    <w:rsid w:val="00CF60F9"/>
    <w:rsid w:val="00CF62EF"/>
    <w:rsid w:val="00CF66D1"/>
    <w:rsid w:val="00CF6844"/>
    <w:rsid w:val="00CF71EF"/>
    <w:rsid w:val="00CF7246"/>
    <w:rsid w:val="00D0004A"/>
    <w:rsid w:val="00D000E0"/>
    <w:rsid w:val="00D01099"/>
    <w:rsid w:val="00D024C5"/>
    <w:rsid w:val="00D026A1"/>
    <w:rsid w:val="00D027F7"/>
    <w:rsid w:val="00D0290E"/>
    <w:rsid w:val="00D02B9B"/>
    <w:rsid w:val="00D037D6"/>
    <w:rsid w:val="00D03E92"/>
    <w:rsid w:val="00D04B9A"/>
    <w:rsid w:val="00D04D62"/>
    <w:rsid w:val="00D04DEB"/>
    <w:rsid w:val="00D05A33"/>
    <w:rsid w:val="00D05EE1"/>
    <w:rsid w:val="00D05F0D"/>
    <w:rsid w:val="00D06182"/>
    <w:rsid w:val="00D061F1"/>
    <w:rsid w:val="00D07C62"/>
    <w:rsid w:val="00D07D97"/>
    <w:rsid w:val="00D07FED"/>
    <w:rsid w:val="00D113DC"/>
    <w:rsid w:val="00D11503"/>
    <w:rsid w:val="00D115A4"/>
    <w:rsid w:val="00D1188D"/>
    <w:rsid w:val="00D12044"/>
    <w:rsid w:val="00D12076"/>
    <w:rsid w:val="00D121B5"/>
    <w:rsid w:val="00D12AD8"/>
    <w:rsid w:val="00D12E1D"/>
    <w:rsid w:val="00D12F15"/>
    <w:rsid w:val="00D131C6"/>
    <w:rsid w:val="00D1341F"/>
    <w:rsid w:val="00D139B2"/>
    <w:rsid w:val="00D14329"/>
    <w:rsid w:val="00D143FF"/>
    <w:rsid w:val="00D1450E"/>
    <w:rsid w:val="00D14C55"/>
    <w:rsid w:val="00D15596"/>
    <w:rsid w:val="00D15801"/>
    <w:rsid w:val="00D15886"/>
    <w:rsid w:val="00D15C42"/>
    <w:rsid w:val="00D1656F"/>
    <w:rsid w:val="00D16C94"/>
    <w:rsid w:val="00D16D90"/>
    <w:rsid w:val="00D16DC7"/>
    <w:rsid w:val="00D17051"/>
    <w:rsid w:val="00D170D1"/>
    <w:rsid w:val="00D170D9"/>
    <w:rsid w:val="00D171F3"/>
    <w:rsid w:val="00D1731A"/>
    <w:rsid w:val="00D17418"/>
    <w:rsid w:val="00D17A30"/>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1B28"/>
    <w:rsid w:val="00D31BA6"/>
    <w:rsid w:val="00D32B05"/>
    <w:rsid w:val="00D32D88"/>
    <w:rsid w:val="00D32FE3"/>
    <w:rsid w:val="00D3367B"/>
    <w:rsid w:val="00D33E65"/>
    <w:rsid w:val="00D33EFC"/>
    <w:rsid w:val="00D34E19"/>
    <w:rsid w:val="00D359A6"/>
    <w:rsid w:val="00D35AD0"/>
    <w:rsid w:val="00D36204"/>
    <w:rsid w:val="00D36526"/>
    <w:rsid w:val="00D366AE"/>
    <w:rsid w:val="00D37857"/>
    <w:rsid w:val="00D37957"/>
    <w:rsid w:val="00D37F17"/>
    <w:rsid w:val="00D37F85"/>
    <w:rsid w:val="00D37F94"/>
    <w:rsid w:val="00D402C1"/>
    <w:rsid w:val="00D40AA5"/>
    <w:rsid w:val="00D40DBC"/>
    <w:rsid w:val="00D40E91"/>
    <w:rsid w:val="00D4168B"/>
    <w:rsid w:val="00D41B93"/>
    <w:rsid w:val="00D41C68"/>
    <w:rsid w:val="00D41F10"/>
    <w:rsid w:val="00D424C7"/>
    <w:rsid w:val="00D43721"/>
    <w:rsid w:val="00D44A67"/>
    <w:rsid w:val="00D44C52"/>
    <w:rsid w:val="00D44CAA"/>
    <w:rsid w:val="00D44DEA"/>
    <w:rsid w:val="00D4525D"/>
    <w:rsid w:val="00D46A39"/>
    <w:rsid w:val="00D46E16"/>
    <w:rsid w:val="00D479FB"/>
    <w:rsid w:val="00D47B82"/>
    <w:rsid w:val="00D506F2"/>
    <w:rsid w:val="00D50AED"/>
    <w:rsid w:val="00D50CD5"/>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AE5"/>
    <w:rsid w:val="00D62E09"/>
    <w:rsid w:val="00D63481"/>
    <w:rsid w:val="00D63736"/>
    <w:rsid w:val="00D63826"/>
    <w:rsid w:val="00D645A4"/>
    <w:rsid w:val="00D64864"/>
    <w:rsid w:val="00D64CB6"/>
    <w:rsid w:val="00D65596"/>
    <w:rsid w:val="00D65A17"/>
    <w:rsid w:val="00D660F0"/>
    <w:rsid w:val="00D6664E"/>
    <w:rsid w:val="00D66D52"/>
    <w:rsid w:val="00D66FE0"/>
    <w:rsid w:val="00D67129"/>
    <w:rsid w:val="00D701CE"/>
    <w:rsid w:val="00D70A9F"/>
    <w:rsid w:val="00D71219"/>
    <w:rsid w:val="00D72F3B"/>
    <w:rsid w:val="00D732BE"/>
    <w:rsid w:val="00D73B27"/>
    <w:rsid w:val="00D73B9F"/>
    <w:rsid w:val="00D74314"/>
    <w:rsid w:val="00D74BCF"/>
    <w:rsid w:val="00D75CA6"/>
    <w:rsid w:val="00D76139"/>
    <w:rsid w:val="00D763AF"/>
    <w:rsid w:val="00D764C7"/>
    <w:rsid w:val="00D769DF"/>
    <w:rsid w:val="00D76A18"/>
    <w:rsid w:val="00D76D0B"/>
    <w:rsid w:val="00D772CC"/>
    <w:rsid w:val="00D77552"/>
    <w:rsid w:val="00D77A82"/>
    <w:rsid w:val="00D8003F"/>
    <w:rsid w:val="00D80849"/>
    <w:rsid w:val="00D81186"/>
    <w:rsid w:val="00D81B53"/>
    <w:rsid w:val="00D82E8F"/>
    <w:rsid w:val="00D83654"/>
    <w:rsid w:val="00D840AF"/>
    <w:rsid w:val="00D844B7"/>
    <w:rsid w:val="00D84930"/>
    <w:rsid w:val="00D84B55"/>
    <w:rsid w:val="00D84BDB"/>
    <w:rsid w:val="00D84E3A"/>
    <w:rsid w:val="00D855A9"/>
    <w:rsid w:val="00D85600"/>
    <w:rsid w:val="00D858AD"/>
    <w:rsid w:val="00D865E5"/>
    <w:rsid w:val="00D86705"/>
    <w:rsid w:val="00D8691F"/>
    <w:rsid w:val="00D86F93"/>
    <w:rsid w:val="00D870AE"/>
    <w:rsid w:val="00D872EA"/>
    <w:rsid w:val="00D87603"/>
    <w:rsid w:val="00D87C68"/>
    <w:rsid w:val="00D87D47"/>
    <w:rsid w:val="00D87D8B"/>
    <w:rsid w:val="00D87E11"/>
    <w:rsid w:val="00D9035F"/>
    <w:rsid w:val="00D90B56"/>
    <w:rsid w:val="00D90C46"/>
    <w:rsid w:val="00D91568"/>
    <w:rsid w:val="00D91ABE"/>
    <w:rsid w:val="00D91ECC"/>
    <w:rsid w:val="00D92561"/>
    <w:rsid w:val="00D92FA5"/>
    <w:rsid w:val="00D93DD7"/>
    <w:rsid w:val="00D93E04"/>
    <w:rsid w:val="00D94006"/>
    <w:rsid w:val="00D95A86"/>
    <w:rsid w:val="00D95C44"/>
    <w:rsid w:val="00D96065"/>
    <w:rsid w:val="00D961B0"/>
    <w:rsid w:val="00D96676"/>
    <w:rsid w:val="00D96CBC"/>
    <w:rsid w:val="00D96CC5"/>
    <w:rsid w:val="00DA0592"/>
    <w:rsid w:val="00DA0681"/>
    <w:rsid w:val="00DA0891"/>
    <w:rsid w:val="00DA0A03"/>
    <w:rsid w:val="00DA0A5A"/>
    <w:rsid w:val="00DA1497"/>
    <w:rsid w:val="00DA2468"/>
    <w:rsid w:val="00DA24BF"/>
    <w:rsid w:val="00DA2716"/>
    <w:rsid w:val="00DA34C0"/>
    <w:rsid w:val="00DA35AE"/>
    <w:rsid w:val="00DA38ED"/>
    <w:rsid w:val="00DA4423"/>
    <w:rsid w:val="00DA56EE"/>
    <w:rsid w:val="00DA596E"/>
    <w:rsid w:val="00DA5E4D"/>
    <w:rsid w:val="00DA61A3"/>
    <w:rsid w:val="00DA6490"/>
    <w:rsid w:val="00DA64F2"/>
    <w:rsid w:val="00DA65C7"/>
    <w:rsid w:val="00DA76EE"/>
    <w:rsid w:val="00DA7CC7"/>
    <w:rsid w:val="00DA7D34"/>
    <w:rsid w:val="00DA7D88"/>
    <w:rsid w:val="00DA7EA9"/>
    <w:rsid w:val="00DB0C5A"/>
    <w:rsid w:val="00DB1A3F"/>
    <w:rsid w:val="00DB21E8"/>
    <w:rsid w:val="00DB2770"/>
    <w:rsid w:val="00DB320B"/>
    <w:rsid w:val="00DB45B6"/>
    <w:rsid w:val="00DB4E11"/>
    <w:rsid w:val="00DB59D9"/>
    <w:rsid w:val="00DB5B31"/>
    <w:rsid w:val="00DB5E0F"/>
    <w:rsid w:val="00DB6412"/>
    <w:rsid w:val="00DB6A83"/>
    <w:rsid w:val="00DB6E4C"/>
    <w:rsid w:val="00DB6F26"/>
    <w:rsid w:val="00DB700D"/>
    <w:rsid w:val="00DB7181"/>
    <w:rsid w:val="00DB76AC"/>
    <w:rsid w:val="00DB7D0C"/>
    <w:rsid w:val="00DB7D57"/>
    <w:rsid w:val="00DB7E5F"/>
    <w:rsid w:val="00DB7FB0"/>
    <w:rsid w:val="00DC0146"/>
    <w:rsid w:val="00DC05D1"/>
    <w:rsid w:val="00DC0932"/>
    <w:rsid w:val="00DC0952"/>
    <w:rsid w:val="00DC12E5"/>
    <w:rsid w:val="00DC1340"/>
    <w:rsid w:val="00DC13D5"/>
    <w:rsid w:val="00DC143A"/>
    <w:rsid w:val="00DC1DF5"/>
    <w:rsid w:val="00DC2241"/>
    <w:rsid w:val="00DC2947"/>
    <w:rsid w:val="00DC3C2B"/>
    <w:rsid w:val="00DC59CC"/>
    <w:rsid w:val="00DC64EA"/>
    <w:rsid w:val="00DC6711"/>
    <w:rsid w:val="00DC6DF6"/>
    <w:rsid w:val="00DC74D9"/>
    <w:rsid w:val="00DC753C"/>
    <w:rsid w:val="00DC7ECF"/>
    <w:rsid w:val="00DD03DF"/>
    <w:rsid w:val="00DD0915"/>
    <w:rsid w:val="00DD10E9"/>
    <w:rsid w:val="00DD118C"/>
    <w:rsid w:val="00DD12F9"/>
    <w:rsid w:val="00DD199F"/>
    <w:rsid w:val="00DD234F"/>
    <w:rsid w:val="00DD296F"/>
    <w:rsid w:val="00DD30DB"/>
    <w:rsid w:val="00DD33FE"/>
    <w:rsid w:val="00DD34B3"/>
    <w:rsid w:val="00DD4329"/>
    <w:rsid w:val="00DD4AA1"/>
    <w:rsid w:val="00DD69BC"/>
    <w:rsid w:val="00DD736C"/>
    <w:rsid w:val="00DE001C"/>
    <w:rsid w:val="00DE0076"/>
    <w:rsid w:val="00DE07F2"/>
    <w:rsid w:val="00DE0E4E"/>
    <w:rsid w:val="00DE1368"/>
    <w:rsid w:val="00DE178D"/>
    <w:rsid w:val="00DE1792"/>
    <w:rsid w:val="00DE1832"/>
    <w:rsid w:val="00DE19E2"/>
    <w:rsid w:val="00DE2B7E"/>
    <w:rsid w:val="00DE337B"/>
    <w:rsid w:val="00DE3E37"/>
    <w:rsid w:val="00DE3EF7"/>
    <w:rsid w:val="00DE40A5"/>
    <w:rsid w:val="00DE41DB"/>
    <w:rsid w:val="00DE5691"/>
    <w:rsid w:val="00DE57E8"/>
    <w:rsid w:val="00DE5BD1"/>
    <w:rsid w:val="00DE5F4F"/>
    <w:rsid w:val="00DE65B2"/>
    <w:rsid w:val="00DE6AEB"/>
    <w:rsid w:val="00DE6E58"/>
    <w:rsid w:val="00DE73E0"/>
    <w:rsid w:val="00DE746E"/>
    <w:rsid w:val="00DE765C"/>
    <w:rsid w:val="00DF0371"/>
    <w:rsid w:val="00DF0482"/>
    <w:rsid w:val="00DF05B4"/>
    <w:rsid w:val="00DF07E7"/>
    <w:rsid w:val="00DF133E"/>
    <w:rsid w:val="00DF1590"/>
    <w:rsid w:val="00DF1BDB"/>
    <w:rsid w:val="00DF266B"/>
    <w:rsid w:val="00DF2F2D"/>
    <w:rsid w:val="00DF2F9A"/>
    <w:rsid w:val="00DF322A"/>
    <w:rsid w:val="00DF3601"/>
    <w:rsid w:val="00DF3F0D"/>
    <w:rsid w:val="00DF40C9"/>
    <w:rsid w:val="00DF4208"/>
    <w:rsid w:val="00DF461C"/>
    <w:rsid w:val="00DF4B77"/>
    <w:rsid w:val="00DF59B2"/>
    <w:rsid w:val="00DF65A8"/>
    <w:rsid w:val="00DF65DA"/>
    <w:rsid w:val="00DF6B6A"/>
    <w:rsid w:val="00DF7051"/>
    <w:rsid w:val="00DF765C"/>
    <w:rsid w:val="00DF77D2"/>
    <w:rsid w:val="00DF7EE7"/>
    <w:rsid w:val="00E004FD"/>
    <w:rsid w:val="00E00A20"/>
    <w:rsid w:val="00E01994"/>
    <w:rsid w:val="00E01C87"/>
    <w:rsid w:val="00E0250B"/>
    <w:rsid w:val="00E02F94"/>
    <w:rsid w:val="00E03133"/>
    <w:rsid w:val="00E045DF"/>
    <w:rsid w:val="00E05CFD"/>
    <w:rsid w:val="00E06566"/>
    <w:rsid w:val="00E068B7"/>
    <w:rsid w:val="00E076D8"/>
    <w:rsid w:val="00E078E9"/>
    <w:rsid w:val="00E07AEF"/>
    <w:rsid w:val="00E07B23"/>
    <w:rsid w:val="00E07B7E"/>
    <w:rsid w:val="00E07BC6"/>
    <w:rsid w:val="00E1025C"/>
    <w:rsid w:val="00E10ACD"/>
    <w:rsid w:val="00E10F92"/>
    <w:rsid w:val="00E115A9"/>
    <w:rsid w:val="00E13399"/>
    <w:rsid w:val="00E133C8"/>
    <w:rsid w:val="00E134BF"/>
    <w:rsid w:val="00E13A7E"/>
    <w:rsid w:val="00E13B49"/>
    <w:rsid w:val="00E14550"/>
    <w:rsid w:val="00E14791"/>
    <w:rsid w:val="00E150E5"/>
    <w:rsid w:val="00E15BBE"/>
    <w:rsid w:val="00E15C51"/>
    <w:rsid w:val="00E165FF"/>
    <w:rsid w:val="00E16CDD"/>
    <w:rsid w:val="00E171A6"/>
    <w:rsid w:val="00E179FA"/>
    <w:rsid w:val="00E17CF8"/>
    <w:rsid w:val="00E2034D"/>
    <w:rsid w:val="00E2053B"/>
    <w:rsid w:val="00E205F1"/>
    <w:rsid w:val="00E209BB"/>
    <w:rsid w:val="00E20DDE"/>
    <w:rsid w:val="00E20E19"/>
    <w:rsid w:val="00E210A6"/>
    <w:rsid w:val="00E21919"/>
    <w:rsid w:val="00E21DD1"/>
    <w:rsid w:val="00E227DA"/>
    <w:rsid w:val="00E23353"/>
    <w:rsid w:val="00E23F63"/>
    <w:rsid w:val="00E2474A"/>
    <w:rsid w:val="00E24806"/>
    <w:rsid w:val="00E2480A"/>
    <w:rsid w:val="00E24DB7"/>
    <w:rsid w:val="00E24F79"/>
    <w:rsid w:val="00E25011"/>
    <w:rsid w:val="00E2547D"/>
    <w:rsid w:val="00E25B1B"/>
    <w:rsid w:val="00E269A7"/>
    <w:rsid w:val="00E26AC4"/>
    <w:rsid w:val="00E26B29"/>
    <w:rsid w:val="00E271AE"/>
    <w:rsid w:val="00E274FB"/>
    <w:rsid w:val="00E278E2"/>
    <w:rsid w:val="00E30378"/>
    <w:rsid w:val="00E31AA8"/>
    <w:rsid w:val="00E32B08"/>
    <w:rsid w:val="00E331DE"/>
    <w:rsid w:val="00E3388E"/>
    <w:rsid w:val="00E338B4"/>
    <w:rsid w:val="00E338D1"/>
    <w:rsid w:val="00E338FC"/>
    <w:rsid w:val="00E33C86"/>
    <w:rsid w:val="00E33FE5"/>
    <w:rsid w:val="00E34299"/>
    <w:rsid w:val="00E34388"/>
    <w:rsid w:val="00E3543B"/>
    <w:rsid w:val="00E35CFB"/>
    <w:rsid w:val="00E35EFD"/>
    <w:rsid w:val="00E35FF8"/>
    <w:rsid w:val="00E363A7"/>
    <w:rsid w:val="00E36A9A"/>
    <w:rsid w:val="00E36CCD"/>
    <w:rsid w:val="00E37111"/>
    <w:rsid w:val="00E372F6"/>
    <w:rsid w:val="00E37CF6"/>
    <w:rsid w:val="00E37D15"/>
    <w:rsid w:val="00E40304"/>
    <w:rsid w:val="00E4040B"/>
    <w:rsid w:val="00E40AFF"/>
    <w:rsid w:val="00E40B48"/>
    <w:rsid w:val="00E40BD9"/>
    <w:rsid w:val="00E40D73"/>
    <w:rsid w:val="00E411C6"/>
    <w:rsid w:val="00E414E6"/>
    <w:rsid w:val="00E41B52"/>
    <w:rsid w:val="00E41C6E"/>
    <w:rsid w:val="00E41D27"/>
    <w:rsid w:val="00E41D5F"/>
    <w:rsid w:val="00E42824"/>
    <w:rsid w:val="00E43013"/>
    <w:rsid w:val="00E4302E"/>
    <w:rsid w:val="00E43C5F"/>
    <w:rsid w:val="00E43DA4"/>
    <w:rsid w:val="00E4406C"/>
    <w:rsid w:val="00E4438C"/>
    <w:rsid w:val="00E44CD9"/>
    <w:rsid w:val="00E44DB7"/>
    <w:rsid w:val="00E4540E"/>
    <w:rsid w:val="00E45C0B"/>
    <w:rsid w:val="00E45F6E"/>
    <w:rsid w:val="00E46EB8"/>
    <w:rsid w:val="00E5004C"/>
    <w:rsid w:val="00E503DE"/>
    <w:rsid w:val="00E50660"/>
    <w:rsid w:val="00E50A2E"/>
    <w:rsid w:val="00E50B4F"/>
    <w:rsid w:val="00E50DDB"/>
    <w:rsid w:val="00E50E00"/>
    <w:rsid w:val="00E50E98"/>
    <w:rsid w:val="00E51468"/>
    <w:rsid w:val="00E519A4"/>
    <w:rsid w:val="00E523A7"/>
    <w:rsid w:val="00E524AE"/>
    <w:rsid w:val="00E52791"/>
    <w:rsid w:val="00E52874"/>
    <w:rsid w:val="00E530D6"/>
    <w:rsid w:val="00E5310B"/>
    <w:rsid w:val="00E53E42"/>
    <w:rsid w:val="00E54068"/>
    <w:rsid w:val="00E54215"/>
    <w:rsid w:val="00E54283"/>
    <w:rsid w:val="00E549E3"/>
    <w:rsid w:val="00E54E9D"/>
    <w:rsid w:val="00E55AE2"/>
    <w:rsid w:val="00E55DE5"/>
    <w:rsid w:val="00E565B9"/>
    <w:rsid w:val="00E56868"/>
    <w:rsid w:val="00E57440"/>
    <w:rsid w:val="00E576F0"/>
    <w:rsid w:val="00E61AE0"/>
    <w:rsid w:val="00E61AE7"/>
    <w:rsid w:val="00E61CBB"/>
    <w:rsid w:val="00E61F77"/>
    <w:rsid w:val="00E61FC7"/>
    <w:rsid w:val="00E62147"/>
    <w:rsid w:val="00E62391"/>
    <w:rsid w:val="00E634FB"/>
    <w:rsid w:val="00E63A0B"/>
    <w:rsid w:val="00E63F5B"/>
    <w:rsid w:val="00E6445E"/>
    <w:rsid w:val="00E64A70"/>
    <w:rsid w:val="00E64BC7"/>
    <w:rsid w:val="00E64CDF"/>
    <w:rsid w:val="00E656B2"/>
    <w:rsid w:val="00E656F6"/>
    <w:rsid w:val="00E66235"/>
    <w:rsid w:val="00E6678E"/>
    <w:rsid w:val="00E66E9F"/>
    <w:rsid w:val="00E67690"/>
    <w:rsid w:val="00E677D4"/>
    <w:rsid w:val="00E67CF5"/>
    <w:rsid w:val="00E70FA4"/>
    <w:rsid w:val="00E718CD"/>
    <w:rsid w:val="00E71C4C"/>
    <w:rsid w:val="00E7209D"/>
    <w:rsid w:val="00E72EEB"/>
    <w:rsid w:val="00E73233"/>
    <w:rsid w:val="00E73466"/>
    <w:rsid w:val="00E743AF"/>
    <w:rsid w:val="00E75012"/>
    <w:rsid w:val="00E75599"/>
    <w:rsid w:val="00E7617D"/>
    <w:rsid w:val="00E766D9"/>
    <w:rsid w:val="00E77028"/>
    <w:rsid w:val="00E777B6"/>
    <w:rsid w:val="00E77A17"/>
    <w:rsid w:val="00E77ACB"/>
    <w:rsid w:val="00E77BA9"/>
    <w:rsid w:val="00E80020"/>
    <w:rsid w:val="00E802A2"/>
    <w:rsid w:val="00E80B7A"/>
    <w:rsid w:val="00E81110"/>
    <w:rsid w:val="00E81C4E"/>
    <w:rsid w:val="00E81FFE"/>
    <w:rsid w:val="00E8208D"/>
    <w:rsid w:val="00E8240E"/>
    <w:rsid w:val="00E82550"/>
    <w:rsid w:val="00E825A7"/>
    <w:rsid w:val="00E829D7"/>
    <w:rsid w:val="00E82DB9"/>
    <w:rsid w:val="00E82FF9"/>
    <w:rsid w:val="00E83435"/>
    <w:rsid w:val="00E839E6"/>
    <w:rsid w:val="00E83A38"/>
    <w:rsid w:val="00E83C24"/>
    <w:rsid w:val="00E83D69"/>
    <w:rsid w:val="00E843F0"/>
    <w:rsid w:val="00E846A3"/>
    <w:rsid w:val="00E84723"/>
    <w:rsid w:val="00E8563C"/>
    <w:rsid w:val="00E861FE"/>
    <w:rsid w:val="00E864E9"/>
    <w:rsid w:val="00E8670A"/>
    <w:rsid w:val="00E86C8C"/>
    <w:rsid w:val="00E875CA"/>
    <w:rsid w:val="00E87617"/>
    <w:rsid w:val="00E8781A"/>
    <w:rsid w:val="00E87DC1"/>
    <w:rsid w:val="00E904AF"/>
    <w:rsid w:val="00E90E1A"/>
    <w:rsid w:val="00E90EE6"/>
    <w:rsid w:val="00E91297"/>
    <w:rsid w:val="00E915F1"/>
    <w:rsid w:val="00E9177A"/>
    <w:rsid w:val="00E91FDB"/>
    <w:rsid w:val="00E92171"/>
    <w:rsid w:val="00E92523"/>
    <w:rsid w:val="00E92C22"/>
    <w:rsid w:val="00E9318D"/>
    <w:rsid w:val="00E93658"/>
    <w:rsid w:val="00E93CFD"/>
    <w:rsid w:val="00E93F3E"/>
    <w:rsid w:val="00E942BB"/>
    <w:rsid w:val="00E9456E"/>
    <w:rsid w:val="00E94E34"/>
    <w:rsid w:val="00E951A3"/>
    <w:rsid w:val="00E95414"/>
    <w:rsid w:val="00E9587E"/>
    <w:rsid w:val="00E966E8"/>
    <w:rsid w:val="00E96C1C"/>
    <w:rsid w:val="00E97035"/>
    <w:rsid w:val="00EA0D95"/>
    <w:rsid w:val="00EA10CA"/>
    <w:rsid w:val="00EA1E29"/>
    <w:rsid w:val="00EA243A"/>
    <w:rsid w:val="00EA249C"/>
    <w:rsid w:val="00EA2582"/>
    <w:rsid w:val="00EA3417"/>
    <w:rsid w:val="00EA355D"/>
    <w:rsid w:val="00EA35A6"/>
    <w:rsid w:val="00EA35D1"/>
    <w:rsid w:val="00EA403A"/>
    <w:rsid w:val="00EA409D"/>
    <w:rsid w:val="00EA40E3"/>
    <w:rsid w:val="00EA43B2"/>
    <w:rsid w:val="00EA4407"/>
    <w:rsid w:val="00EA48D8"/>
    <w:rsid w:val="00EA4DF5"/>
    <w:rsid w:val="00EA5088"/>
    <w:rsid w:val="00EA57E6"/>
    <w:rsid w:val="00EA5ED6"/>
    <w:rsid w:val="00EA6A57"/>
    <w:rsid w:val="00EA70B5"/>
    <w:rsid w:val="00EA70F7"/>
    <w:rsid w:val="00EA76CC"/>
    <w:rsid w:val="00EA79B7"/>
    <w:rsid w:val="00EB007A"/>
    <w:rsid w:val="00EB05CC"/>
    <w:rsid w:val="00EB066E"/>
    <w:rsid w:val="00EB103C"/>
    <w:rsid w:val="00EB134C"/>
    <w:rsid w:val="00EB2714"/>
    <w:rsid w:val="00EB327B"/>
    <w:rsid w:val="00EB3ECE"/>
    <w:rsid w:val="00EB4614"/>
    <w:rsid w:val="00EB48E5"/>
    <w:rsid w:val="00EB5590"/>
    <w:rsid w:val="00EB6B66"/>
    <w:rsid w:val="00EB70AC"/>
    <w:rsid w:val="00EB70C1"/>
    <w:rsid w:val="00EB79D6"/>
    <w:rsid w:val="00EC0CA9"/>
    <w:rsid w:val="00EC0E87"/>
    <w:rsid w:val="00EC0E92"/>
    <w:rsid w:val="00EC1B87"/>
    <w:rsid w:val="00EC1E6F"/>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568"/>
    <w:rsid w:val="00EC7EDE"/>
    <w:rsid w:val="00ED026D"/>
    <w:rsid w:val="00ED0709"/>
    <w:rsid w:val="00ED09D1"/>
    <w:rsid w:val="00ED1107"/>
    <w:rsid w:val="00ED1739"/>
    <w:rsid w:val="00ED326A"/>
    <w:rsid w:val="00ED35C8"/>
    <w:rsid w:val="00ED36B5"/>
    <w:rsid w:val="00ED38FD"/>
    <w:rsid w:val="00ED3E8A"/>
    <w:rsid w:val="00ED4C6E"/>
    <w:rsid w:val="00ED4DDF"/>
    <w:rsid w:val="00ED511A"/>
    <w:rsid w:val="00ED5C11"/>
    <w:rsid w:val="00ED741B"/>
    <w:rsid w:val="00ED7B67"/>
    <w:rsid w:val="00ED7DF7"/>
    <w:rsid w:val="00ED7ECA"/>
    <w:rsid w:val="00EE00F5"/>
    <w:rsid w:val="00EE01C5"/>
    <w:rsid w:val="00EE0379"/>
    <w:rsid w:val="00EE05FA"/>
    <w:rsid w:val="00EE0B86"/>
    <w:rsid w:val="00EE0D09"/>
    <w:rsid w:val="00EE19A2"/>
    <w:rsid w:val="00EE20FD"/>
    <w:rsid w:val="00EE242B"/>
    <w:rsid w:val="00EE24FC"/>
    <w:rsid w:val="00EE25FB"/>
    <w:rsid w:val="00EE264A"/>
    <w:rsid w:val="00EE2FC0"/>
    <w:rsid w:val="00EE3BAE"/>
    <w:rsid w:val="00EE3E27"/>
    <w:rsid w:val="00EE4048"/>
    <w:rsid w:val="00EE4E4D"/>
    <w:rsid w:val="00EE4EF6"/>
    <w:rsid w:val="00EE4FE0"/>
    <w:rsid w:val="00EE51CF"/>
    <w:rsid w:val="00EE5262"/>
    <w:rsid w:val="00EE52A1"/>
    <w:rsid w:val="00EE5540"/>
    <w:rsid w:val="00EE643E"/>
    <w:rsid w:val="00EE6620"/>
    <w:rsid w:val="00EE70E8"/>
    <w:rsid w:val="00EE7517"/>
    <w:rsid w:val="00EE7E54"/>
    <w:rsid w:val="00EF0BB4"/>
    <w:rsid w:val="00EF159A"/>
    <w:rsid w:val="00EF1971"/>
    <w:rsid w:val="00EF1A0E"/>
    <w:rsid w:val="00EF1FA9"/>
    <w:rsid w:val="00EF25CE"/>
    <w:rsid w:val="00EF3A74"/>
    <w:rsid w:val="00EF3F9F"/>
    <w:rsid w:val="00EF3FA4"/>
    <w:rsid w:val="00EF46C5"/>
    <w:rsid w:val="00EF46C9"/>
    <w:rsid w:val="00EF470D"/>
    <w:rsid w:val="00EF5408"/>
    <w:rsid w:val="00EF5690"/>
    <w:rsid w:val="00EF6FC5"/>
    <w:rsid w:val="00EF7E5D"/>
    <w:rsid w:val="00F0009E"/>
    <w:rsid w:val="00F00D92"/>
    <w:rsid w:val="00F00ED2"/>
    <w:rsid w:val="00F00F97"/>
    <w:rsid w:val="00F0136B"/>
    <w:rsid w:val="00F01C1D"/>
    <w:rsid w:val="00F0217A"/>
    <w:rsid w:val="00F022FC"/>
    <w:rsid w:val="00F02514"/>
    <w:rsid w:val="00F0286E"/>
    <w:rsid w:val="00F028EE"/>
    <w:rsid w:val="00F04760"/>
    <w:rsid w:val="00F04EB4"/>
    <w:rsid w:val="00F05703"/>
    <w:rsid w:val="00F05979"/>
    <w:rsid w:val="00F05D18"/>
    <w:rsid w:val="00F06215"/>
    <w:rsid w:val="00F063C2"/>
    <w:rsid w:val="00F06441"/>
    <w:rsid w:val="00F07162"/>
    <w:rsid w:val="00F077F5"/>
    <w:rsid w:val="00F07D29"/>
    <w:rsid w:val="00F07F0F"/>
    <w:rsid w:val="00F1005F"/>
    <w:rsid w:val="00F1077A"/>
    <w:rsid w:val="00F11321"/>
    <w:rsid w:val="00F13564"/>
    <w:rsid w:val="00F13EFC"/>
    <w:rsid w:val="00F13F58"/>
    <w:rsid w:val="00F13F5E"/>
    <w:rsid w:val="00F141F7"/>
    <w:rsid w:val="00F144E2"/>
    <w:rsid w:val="00F1576F"/>
    <w:rsid w:val="00F162CE"/>
    <w:rsid w:val="00F162CF"/>
    <w:rsid w:val="00F16655"/>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3E4C"/>
    <w:rsid w:val="00F2421D"/>
    <w:rsid w:val="00F243D1"/>
    <w:rsid w:val="00F2557A"/>
    <w:rsid w:val="00F2688E"/>
    <w:rsid w:val="00F26B6F"/>
    <w:rsid w:val="00F26C51"/>
    <w:rsid w:val="00F26F5C"/>
    <w:rsid w:val="00F271EC"/>
    <w:rsid w:val="00F27814"/>
    <w:rsid w:val="00F278E9"/>
    <w:rsid w:val="00F30224"/>
    <w:rsid w:val="00F30B2D"/>
    <w:rsid w:val="00F30E6F"/>
    <w:rsid w:val="00F30FE4"/>
    <w:rsid w:val="00F31AE4"/>
    <w:rsid w:val="00F32661"/>
    <w:rsid w:val="00F32709"/>
    <w:rsid w:val="00F333DE"/>
    <w:rsid w:val="00F33A37"/>
    <w:rsid w:val="00F34473"/>
    <w:rsid w:val="00F347FD"/>
    <w:rsid w:val="00F34927"/>
    <w:rsid w:val="00F34A2C"/>
    <w:rsid w:val="00F34D33"/>
    <w:rsid w:val="00F350CE"/>
    <w:rsid w:val="00F353FD"/>
    <w:rsid w:val="00F35408"/>
    <w:rsid w:val="00F35AAC"/>
    <w:rsid w:val="00F35CB4"/>
    <w:rsid w:val="00F360BC"/>
    <w:rsid w:val="00F36ADF"/>
    <w:rsid w:val="00F36DEC"/>
    <w:rsid w:val="00F37530"/>
    <w:rsid w:val="00F37D28"/>
    <w:rsid w:val="00F40988"/>
    <w:rsid w:val="00F41BBE"/>
    <w:rsid w:val="00F420C5"/>
    <w:rsid w:val="00F421C0"/>
    <w:rsid w:val="00F4232B"/>
    <w:rsid w:val="00F4237A"/>
    <w:rsid w:val="00F4292F"/>
    <w:rsid w:val="00F42C08"/>
    <w:rsid w:val="00F435D5"/>
    <w:rsid w:val="00F439DA"/>
    <w:rsid w:val="00F447FB"/>
    <w:rsid w:val="00F44883"/>
    <w:rsid w:val="00F448C7"/>
    <w:rsid w:val="00F44912"/>
    <w:rsid w:val="00F44C11"/>
    <w:rsid w:val="00F45330"/>
    <w:rsid w:val="00F46102"/>
    <w:rsid w:val="00F470F1"/>
    <w:rsid w:val="00F473CE"/>
    <w:rsid w:val="00F476FE"/>
    <w:rsid w:val="00F47CF3"/>
    <w:rsid w:val="00F47D64"/>
    <w:rsid w:val="00F50294"/>
    <w:rsid w:val="00F504DE"/>
    <w:rsid w:val="00F508F0"/>
    <w:rsid w:val="00F50958"/>
    <w:rsid w:val="00F50CD2"/>
    <w:rsid w:val="00F51A84"/>
    <w:rsid w:val="00F51F95"/>
    <w:rsid w:val="00F52098"/>
    <w:rsid w:val="00F5224E"/>
    <w:rsid w:val="00F52301"/>
    <w:rsid w:val="00F5295A"/>
    <w:rsid w:val="00F52FD6"/>
    <w:rsid w:val="00F53193"/>
    <w:rsid w:val="00F5327E"/>
    <w:rsid w:val="00F5357E"/>
    <w:rsid w:val="00F537F2"/>
    <w:rsid w:val="00F5462E"/>
    <w:rsid w:val="00F54D8A"/>
    <w:rsid w:val="00F54E67"/>
    <w:rsid w:val="00F55080"/>
    <w:rsid w:val="00F55081"/>
    <w:rsid w:val="00F55FBE"/>
    <w:rsid w:val="00F561DB"/>
    <w:rsid w:val="00F56326"/>
    <w:rsid w:val="00F5647A"/>
    <w:rsid w:val="00F5679E"/>
    <w:rsid w:val="00F57951"/>
    <w:rsid w:val="00F57E9F"/>
    <w:rsid w:val="00F60098"/>
    <w:rsid w:val="00F6069D"/>
    <w:rsid w:val="00F60CFB"/>
    <w:rsid w:val="00F60ED9"/>
    <w:rsid w:val="00F615BC"/>
    <w:rsid w:val="00F615E2"/>
    <w:rsid w:val="00F61E32"/>
    <w:rsid w:val="00F624C0"/>
    <w:rsid w:val="00F62B87"/>
    <w:rsid w:val="00F62FCF"/>
    <w:rsid w:val="00F63795"/>
    <w:rsid w:val="00F638FC"/>
    <w:rsid w:val="00F63FC8"/>
    <w:rsid w:val="00F6478E"/>
    <w:rsid w:val="00F64A1B"/>
    <w:rsid w:val="00F656D0"/>
    <w:rsid w:val="00F6586C"/>
    <w:rsid w:val="00F65A16"/>
    <w:rsid w:val="00F6600B"/>
    <w:rsid w:val="00F665A6"/>
    <w:rsid w:val="00F6661C"/>
    <w:rsid w:val="00F6686C"/>
    <w:rsid w:val="00F66D8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05"/>
    <w:rsid w:val="00F7644E"/>
    <w:rsid w:val="00F764C0"/>
    <w:rsid w:val="00F76636"/>
    <w:rsid w:val="00F76883"/>
    <w:rsid w:val="00F7697C"/>
    <w:rsid w:val="00F77950"/>
    <w:rsid w:val="00F77E96"/>
    <w:rsid w:val="00F77F65"/>
    <w:rsid w:val="00F800CD"/>
    <w:rsid w:val="00F80300"/>
    <w:rsid w:val="00F807F2"/>
    <w:rsid w:val="00F81526"/>
    <w:rsid w:val="00F81A72"/>
    <w:rsid w:val="00F81B95"/>
    <w:rsid w:val="00F8259B"/>
    <w:rsid w:val="00F838ED"/>
    <w:rsid w:val="00F83A5A"/>
    <w:rsid w:val="00F83BE1"/>
    <w:rsid w:val="00F83CC7"/>
    <w:rsid w:val="00F84186"/>
    <w:rsid w:val="00F847D6"/>
    <w:rsid w:val="00F855C5"/>
    <w:rsid w:val="00F85EE4"/>
    <w:rsid w:val="00F85EFA"/>
    <w:rsid w:val="00F85EFF"/>
    <w:rsid w:val="00F8638B"/>
    <w:rsid w:val="00F8640E"/>
    <w:rsid w:val="00F865D8"/>
    <w:rsid w:val="00F86669"/>
    <w:rsid w:val="00F86946"/>
    <w:rsid w:val="00F86F74"/>
    <w:rsid w:val="00F870B5"/>
    <w:rsid w:val="00F87144"/>
    <w:rsid w:val="00F8756D"/>
    <w:rsid w:val="00F878EC"/>
    <w:rsid w:val="00F87C4E"/>
    <w:rsid w:val="00F9038B"/>
    <w:rsid w:val="00F912DD"/>
    <w:rsid w:val="00F918AD"/>
    <w:rsid w:val="00F91C6A"/>
    <w:rsid w:val="00F92A63"/>
    <w:rsid w:val="00F92AC4"/>
    <w:rsid w:val="00F93149"/>
    <w:rsid w:val="00F934D6"/>
    <w:rsid w:val="00F9363C"/>
    <w:rsid w:val="00F943C9"/>
    <w:rsid w:val="00F94611"/>
    <w:rsid w:val="00F946F9"/>
    <w:rsid w:val="00F94774"/>
    <w:rsid w:val="00F94CB8"/>
    <w:rsid w:val="00F95562"/>
    <w:rsid w:val="00F95AFB"/>
    <w:rsid w:val="00F95E52"/>
    <w:rsid w:val="00F9742D"/>
    <w:rsid w:val="00F97989"/>
    <w:rsid w:val="00FA03AF"/>
    <w:rsid w:val="00FA03C6"/>
    <w:rsid w:val="00FA0DFB"/>
    <w:rsid w:val="00FA13E6"/>
    <w:rsid w:val="00FA1627"/>
    <w:rsid w:val="00FA1FB0"/>
    <w:rsid w:val="00FA21EC"/>
    <w:rsid w:val="00FA2607"/>
    <w:rsid w:val="00FA2791"/>
    <w:rsid w:val="00FA31B2"/>
    <w:rsid w:val="00FA3453"/>
    <w:rsid w:val="00FA3F23"/>
    <w:rsid w:val="00FA451B"/>
    <w:rsid w:val="00FA4A91"/>
    <w:rsid w:val="00FA55F5"/>
    <w:rsid w:val="00FA58A5"/>
    <w:rsid w:val="00FA5F89"/>
    <w:rsid w:val="00FA643A"/>
    <w:rsid w:val="00FA663B"/>
    <w:rsid w:val="00FA6A89"/>
    <w:rsid w:val="00FA6CC0"/>
    <w:rsid w:val="00FA6E60"/>
    <w:rsid w:val="00FA7000"/>
    <w:rsid w:val="00FA70AD"/>
    <w:rsid w:val="00FB028A"/>
    <w:rsid w:val="00FB07AB"/>
    <w:rsid w:val="00FB1AE5"/>
    <w:rsid w:val="00FB1DC7"/>
    <w:rsid w:val="00FB2186"/>
    <w:rsid w:val="00FB2E4B"/>
    <w:rsid w:val="00FB30CA"/>
    <w:rsid w:val="00FB3A18"/>
    <w:rsid w:val="00FB4671"/>
    <w:rsid w:val="00FB4811"/>
    <w:rsid w:val="00FB4AFF"/>
    <w:rsid w:val="00FB4E50"/>
    <w:rsid w:val="00FB4E99"/>
    <w:rsid w:val="00FB506D"/>
    <w:rsid w:val="00FB5BFE"/>
    <w:rsid w:val="00FB5D2C"/>
    <w:rsid w:val="00FB6976"/>
    <w:rsid w:val="00FB69A6"/>
    <w:rsid w:val="00FB6BA8"/>
    <w:rsid w:val="00FB758A"/>
    <w:rsid w:val="00FB77D2"/>
    <w:rsid w:val="00FC01A8"/>
    <w:rsid w:val="00FC0FEA"/>
    <w:rsid w:val="00FC1188"/>
    <w:rsid w:val="00FC125D"/>
    <w:rsid w:val="00FC1668"/>
    <w:rsid w:val="00FC1D48"/>
    <w:rsid w:val="00FC1EDA"/>
    <w:rsid w:val="00FC251F"/>
    <w:rsid w:val="00FC2568"/>
    <w:rsid w:val="00FC2ABA"/>
    <w:rsid w:val="00FC2C13"/>
    <w:rsid w:val="00FC306A"/>
    <w:rsid w:val="00FC3BCA"/>
    <w:rsid w:val="00FC44F4"/>
    <w:rsid w:val="00FC4C2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5CEE"/>
    <w:rsid w:val="00FD6DFE"/>
    <w:rsid w:val="00FE0085"/>
    <w:rsid w:val="00FE03F8"/>
    <w:rsid w:val="00FE073C"/>
    <w:rsid w:val="00FE0A4B"/>
    <w:rsid w:val="00FE0CAC"/>
    <w:rsid w:val="00FE0EA6"/>
    <w:rsid w:val="00FE123C"/>
    <w:rsid w:val="00FE18D4"/>
    <w:rsid w:val="00FE1FB8"/>
    <w:rsid w:val="00FE2204"/>
    <w:rsid w:val="00FE2C71"/>
    <w:rsid w:val="00FE3239"/>
    <w:rsid w:val="00FE3D78"/>
    <w:rsid w:val="00FE3DB8"/>
    <w:rsid w:val="00FE4FA0"/>
    <w:rsid w:val="00FE4FAE"/>
    <w:rsid w:val="00FE59C4"/>
    <w:rsid w:val="00FE5B2A"/>
    <w:rsid w:val="00FE5CCF"/>
    <w:rsid w:val="00FE62C9"/>
    <w:rsid w:val="00FE680A"/>
    <w:rsid w:val="00FE695E"/>
    <w:rsid w:val="00FE6A63"/>
    <w:rsid w:val="00FE6B9F"/>
    <w:rsid w:val="00FE7F9B"/>
    <w:rsid w:val="00FF04C2"/>
    <w:rsid w:val="00FF1264"/>
    <w:rsid w:val="00FF14C2"/>
    <w:rsid w:val="00FF1BF8"/>
    <w:rsid w:val="00FF201F"/>
    <w:rsid w:val="00FF24AB"/>
    <w:rsid w:val="00FF294A"/>
    <w:rsid w:val="00FF2E52"/>
    <w:rsid w:val="00FF309B"/>
    <w:rsid w:val="00FF4359"/>
    <w:rsid w:val="00FF48AA"/>
    <w:rsid w:val="00FF4E4B"/>
    <w:rsid w:val="00FF50C3"/>
    <w:rsid w:val="00FF5423"/>
    <w:rsid w:val="00FF5EFC"/>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9B5B6F75-ECA8-45FD-8A88-9F8435AF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unhideWhenUsed/>
    <w:rsid w:val="00866063"/>
    <w:rPr>
      <w:sz w:val="16"/>
      <w:szCs w:val="16"/>
      <w:lang w:val="en-GB"/>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meetings/SBI-06" TargetMode="External"/><Relationship Id="rId39" Type="http://schemas.openxmlformats.org/officeDocument/2006/relationships/hyperlink" Target="https://www.cbd.int/decisions/cop?m=cop-03" TargetMode="External"/><Relationship Id="rId21" Type="http://schemas.openxmlformats.org/officeDocument/2006/relationships/hyperlink" Target="https://www.cbd.int/decisions/?id=13648"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notifications/2026-02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recommendations/sbi/?m=sbi-06"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recommendations/sbi/?m=sbi-06"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SBI-0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uments/CBD/COP/17/5/ADD1"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notifications/2026-027" TargetMode="External"/><Relationship Id="rId33" Type="http://schemas.openxmlformats.org/officeDocument/2006/relationships/hyperlink" Target="https://www.cbd.int/recommendations/sbi/?m=sbi-07" TargetMode="External"/><Relationship Id="rId38" Type="http://schemas.openxmlformats.org/officeDocument/2006/relationships/hyperlink" Target="https://www.cbd.int/doc/notifications/2025/ntf-2025-148-mainstreaming-en.pdf" TargetMode="External"/><Relationship Id="rId46" Type="http://schemas.openxmlformats.org/officeDocument/2006/relationships/header" Target="header1.xml"/><Relationship Id="rId20" Type="http://schemas.openxmlformats.org/officeDocument/2006/relationships/hyperlink" Target="https://www.cbd.int/decision/cop?id=13366" TargetMode="External"/><Relationship Id="rId41" Type="http://schemas.openxmlformats.org/officeDocument/2006/relationships/hyperlink" Target="https://www.cbd.int/recommendations/sbi/?m=sbi-06"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recommendations/sbi/?m=sbi-06" TargetMode="External"/><Relationship Id="rId23" Type="http://schemas.openxmlformats.org/officeDocument/2006/relationships/hyperlink" Target="https://www.cbd.int/notifications/2026-02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2" TargetMode="External"/><Relationship Id="rId3" Type="http://schemas.openxmlformats.org/officeDocument/2006/relationships/hyperlink" Target="https://www.cbd.int/documents/CBD/SBI/7/INF/20"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uments/CBD/SBI/7/3"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SBI/7/4/Add.1" TargetMode="External"/><Relationship Id="rId5" Type="http://schemas.openxmlformats.org/officeDocument/2006/relationships/hyperlink" Target="https://www.cbd.int/documents/CBD/SBI/7/4" TargetMode="External"/><Relationship Id="rId4" Type="http://schemas.openxmlformats.org/officeDocument/2006/relationships/hyperlink" Target="https://www.cbd.int/documents/CBD/SBI/7/3/ADD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1555"/>
    <w:rsid w:val="00032B28"/>
    <w:rsid w:val="00036008"/>
    <w:rsid w:val="00066899"/>
    <w:rsid w:val="00076DC6"/>
    <w:rsid w:val="000A52AC"/>
    <w:rsid w:val="000B33ED"/>
    <w:rsid w:val="000C402A"/>
    <w:rsid w:val="000F6175"/>
    <w:rsid w:val="00117C0D"/>
    <w:rsid w:val="00122D47"/>
    <w:rsid w:val="001474FF"/>
    <w:rsid w:val="001519F1"/>
    <w:rsid w:val="00154B29"/>
    <w:rsid w:val="0015613E"/>
    <w:rsid w:val="001672EE"/>
    <w:rsid w:val="001C5868"/>
    <w:rsid w:val="001E6A7C"/>
    <w:rsid w:val="001F6AB8"/>
    <w:rsid w:val="00210B0C"/>
    <w:rsid w:val="00281065"/>
    <w:rsid w:val="00282A58"/>
    <w:rsid w:val="00294B9C"/>
    <w:rsid w:val="002B7DAB"/>
    <w:rsid w:val="002C3718"/>
    <w:rsid w:val="002D7F8F"/>
    <w:rsid w:val="002E396B"/>
    <w:rsid w:val="002E5CB2"/>
    <w:rsid w:val="002F5577"/>
    <w:rsid w:val="00316A12"/>
    <w:rsid w:val="00320ACA"/>
    <w:rsid w:val="00337532"/>
    <w:rsid w:val="00340DEC"/>
    <w:rsid w:val="00347C7D"/>
    <w:rsid w:val="003545C8"/>
    <w:rsid w:val="00396A8B"/>
    <w:rsid w:val="003B26D3"/>
    <w:rsid w:val="003B2E0D"/>
    <w:rsid w:val="003C49B3"/>
    <w:rsid w:val="003E05B7"/>
    <w:rsid w:val="003E1AA1"/>
    <w:rsid w:val="003F2979"/>
    <w:rsid w:val="003F407B"/>
    <w:rsid w:val="0040099E"/>
    <w:rsid w:val="00406921"/>
    <w:rsid w:val="00415CFF"/>
    <w:rsid w:val="00423E56"/>
    <w:rsid w:val="00430CDC"/>
    <w:rsid w:val="0043156A"/>
    <w:rsid w:val="00433FFD"/>
    <w:rsid w:val="004508CE"/>
    <w:rsid w:val="00460968"/>
    <w:rsid w:val="0047561D"/>
    <w:rsid w:val="004A0F51"/>
    <w:rsid w:val="004D1BD5"/>
    <w:rsid w:val="004E7184"/>
    <w:rsid w:val="00505C85"/>
    <w:rsid w:val="005069C9"/>
    <w:rsid w:val="00523D1B"/>
    <w:rsid w:val="00534901"/>
    <w:rsid w:val="00557DCA"/>
    <w:rsid w:val="00564BB2"/>
    <w:rsid w:val="0057089D"/>
    <w:rsid w:val="005709B9"/>
    <w:rsid w:val="00582DBC"/>
    <w:rsid w:val="00585C0D"/>
    <w:rsid w:val="005A116F"/>
    <w:rsid w:val="005A478C"/>
    <w:rsid w:val="005B6800"/>
    <w:rsid w:val="005C2561"/>
    <w:rsid w:val="005C4078"/>
    <w:rsid w:val="005C7D1F"/>
    <w:rsid w:val="005D5179"/>
    <w:rsid w:val="005F508D"/>
    <w:rsid w:val="00601B27"/>
    <w:rsid w:val="00611561"/>
    <w:rsid w:val="00615DFB"/>
    <w:rsid w:val="0061761A"/>
    <w:rsid w:val="00623EB3"/>
    <w:rsid w:val="00645D17"/>
    <w:rsid w:val="006541E0"/>
    <w:rsid w:val="006676B5"/>
    <w:rsid w:val="0066782A"/>
    <w:rsid w:val="006704C4"/>
    <w:rsid w:val="0067306D"/>
    <w:rsid w:val="006B2702"/>
    <w:rsid w:val="006D456F"/>
    <w:rsid w:val="006F403E"/>
    <w:rsid w:val="006F7040"/>
    <w:rsid w:val="007214FE"/>
    <w:rsid w:val="00722EBD"/>
    <w:rsid w:val="00723AB4"/>
    <w:rsid w:val="00730624"/>
    <w:rsid w:val="00737E04"/>
    <w:rsid w:val="00737FC4"/>
    <w:rsid w:val="00747449"/>
    <w:rsid w:val="007571F7"/>
    <w:rsid w:val="00773761"/>
    <w:rsid w:val="00774CC4"/>
    <w:rsid w:val="007824B8"/>
    <w:rsid w:val="007874AE"/>
    <w:rsid w:val="0079296C"/>
    <w:rsid w:val="007972D2"/>
    <w:rsid w:val="007A0545"/>
    <w:rsid w:val="007A4385"/>
    <w:rsid w:val="007A5EDA"/>
    <w:rsid w:val="007B7647"/>
    <w:rsid w:val="007C1B40"/>
    <w:rsid w:val="007D4376"/>
    <w:rsid w:val="007D7C6C"/>
    <w:rsid w:val="007F25F2"/>
    <w:rsid w:val="00811324"/>
    <w:rsid w:val="00820D31"/>
    <w:rsid w:val="00854AF2"/>
    <w:rsid w:val="00867F8B"/>
    <w:rsid w:val="00883BD9"/>
    <w:rsid w:val="00892575"/>
    <w:rsid w:val="008C3FEB"/>
    <w:rsid w:val="008D25E1"/>
    <w:rsid w:val="008E16B4"/>
    <w:rsid w:val="008E28FC"/>
    <w:rsid w:val="008E5DC6"/>
    <w:rsid w:val="0090366C"/>
    <w:rsid w:val="00914ACA"/>
    <w:rsid w:val="00920C87"/>
    <w:rsid w:val="00931D29"/>
    <w:rsid w:val="009345D1"/>
    <w:rsid w:val="00937191"/>
    <w:rsid w:val="009455ED"/>
    <w:rsid w:val="00952C99"/>
    <w:rsid w:val="0096720F"/>
    <w:rsid w:val="00981188"/>
    <w:rsid w:val="0098270E"/>
    <w:rsid w:val="00987638"/>
    <w:rsid w:val="0099601F"/>
    <w:rsid w:val="009B37E5"/>
    <w:rsid w:val="009B6C73"/>
    <w:rsid w:val="009C2678"/>
    <w:rsid w:val="009C348C"/>
    <w:rsid w:val="009D1800"/>
    <w:rsid w:val="009D4971"/>
    <w:rsid w:val="009E1944"/>
    <w:rsid w:val="009E2D2A"/>
    <w:rsid w:val="009E73F9"/>
    <w:rsid w:val="00A044E0"/>
    <w:rsid w:val="00A13AE9"/>
    <w:rsid w:val="00A450B7"/>
    <w:rsid w:val="00A46899"/>
    <w:rsid w:val="00A61743"/>
    <w:rsid w:val="00A618BA"/>
    <w:rsid w:val="00A667C8"/>
    <w:rsid w:val="00A84BAF"/>
    <w:rsid w:val="00A942AE"/>
    <w:rsid w:val="00A96D88"/>
    <w:rsid w:val="00AA137B"/>
    <w:rsid w:val="00AA388B"/>
    <w:rsid w:val="00AB34ED"/>
    <w:rsid w:val="00AC3C54"/>
    <w:rsid w:val="00AC3FEC"/>
    <w:rsid w:val="00AD29A3"/>
    <w:rsid w:val="00AD761F"/>
    <w:rsid w:val="00AF3145"/>
    <w:rsid w:val="00B00C6D"/>
    <w:rsid w:val="00B07E8C"/>
    <w:rsid w:val="00B35F45"/>
    <w:rsid w:val="00B37C2C"/>
    <w:rsid w:val="00B423E6"/>
    <w:rsid w:val="00B43AF7"/>
    <w:rsid w:val="00B56426"/>
    <w:rsid w:val="00B57CF6"/>
    <w:rsid w:val="00B60011"/>
    <w:rsid w:val="00B6690C"/>
    <w:rsid w:val="00B7359C"/>
    <w:rsid w:val="00B90159"/>
    <w:rsid w:val="00B9726B"/>
    <w:rsid w:val="00BB0EDA"/>
    <w:rsid w:val="00BB3809"/>
    <w:rsid w:val="00BB7EB2"/>
    <w:rsid w:val="00BE4CBB"/>
    <w:rsid w:val="00C361DB"/>
    <w:rsid w:val="00C639F5"/>
    <w:rsid w:val="00C70A41"/>
    <w:rsid w:val="00C811B2"/>
    <w:rsid w:val="00C85159"/>
    <w:rsid w:val="00CB3F6D"/>
    <w:rsid w:val="00CC1355"/>
    <w:rsid w:val="00CC6E42"/>
    <w:rsid w:val="00CE1F46"/>
    <w:rsid w:val="00CF13CE"/>
    <w:rsid w:val="00CF34B2"/>
    <w:rsid w:val="00D115A4"/>
    <w:rsid w:val="00D12E1D"/>
    <w:rsid w:val="00D16EBF"/>
    <w:rsid w:val="00D40953"/>
    <w:rsid w:val="00D54ACB"/>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EF3CDF"/>
    <w:rsid w:val="00F141F7"/>
    <w:rsid w:val="00F320A7"/>
    <w:rsid w:val="00F537F2"/>
    <w:rsid w:val="00F61E32"/>
    <w:rsid w:val="00F62B87"/>
    <w:rsid w:val="00F73097"/>
    <w:rsid w:val="00F77950"/>
    <w:rsid w:val="00F842AB"/>
    <w:rsid w:val="00F868CB"/>
    <w:rsid w:val="00F87195"/>
    <w:rsid w:val="00FA5A1F"/>
    <w:rsid w:val="00FC6240"/>
    <w:rsid w:val="00FC7766"/>
    <w:rsid w:val="00FE123C"/>
    <w:rsid w:val="00FE4FA0"/>
    <w:rsid w:val="00FF0FA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876024-DBCD-490F-8EB9-86F0D8C15310}"/>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65</TotalTime>
  <Pages>7</Pages>
  <Words>3962</Words>
  <Characters>21797</Characters>
  <Application>Microsoft Office Word</Application>
  <DocSecurity>0</DocSecurity>
  <Lines>181</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Movilización de recursos y el mecanismo financiero</vt:lpstr>
      <vt:lpstr>Resource mobilization and financial mechanism</vt:lpstr>
    </vt:vector>
  </TitlesOfParts>
  <Company>SCBD</Company>
  <LinksUpToDate>false</LinksUpToDate>
  <CharactersWithSpaces>25708</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 y el mecanismo financiero</dc:title>
  <dc:subject>CBD/COP/17/5</dc:subject>
  <dc:creator>Secretariat of the Convention on Biological Diversity</dc:creator>
  <cp:keywords>Convention on Biological Diversity</cp:keywords>
  <dc:description/>
  <cp:lastModifiedBy>Jesús Morales Aragón</cp:lastModifiedBy>
  <cp:revision>18</cp:revision>
  <cp:lastPrinted>2026-06-09T23:19:00Z</cp:lastPrinted>
  <dcterms:created xsi:type="dcterms:W3CDTF">2026-09-09T17:35:00Z</dcterms:created>
  <dcterms:modified xsi:type="dcterms:W3CDTF">2026-09-14T14:14:00Z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