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6913E9" w14:paraId="5D9D2DAC" w14:textId="77777777" w:rsidTr="001065E9">
        <w:trPr>
          <w:trHeight w:val="850"/>
        </w:trPr>
        <w:tc>
          <w:tcPr>
            <w:tcW w:w="975" w:type="dxa"/>
            <w:vAlign w:val="bottom"/>
          </w:tcPr>
          <w:p w14:paraId="74993E7F" w14:textId="77777777" w:rsidR="005012FC" w:rsidRPr="006913E9" w:rsidRDefault="005012FC" w:rsidP="005012FC">
            <w:pPr>
              <w:pStyle w:val="AASmallLogo"/>
              <w:rPr>
                <w:lang w:val="fr-FR"/>
              </w:rPr>
            </w:pPr>
            <w:r w:rsidRPr="006913E9">
              <w:rPr>
                <w:noProof/>
                <w:lang w:val="fr-FR" w:eastAsia="en-CA"/>
                <w14:ligatures w14:val="standardContextual"/>
              </w:rPr>
              <w:drawing>
                <wp:inline distT="0" distB="0" distL="0" distR="0" wp14:anchorId="55A1E726" wp14:editId="7A435C2A">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6913E9">
              <w:rPr>
                <w:lang w:val="fr-FR"/>
              </w:rPr>
              <w:t xml:space="preserve"> </w:t>
            </w:r>
          </w:p>
          <w:p w14:paraId="35FF81E7" w14:textId="77777777" w:rsidR="001065E9" w:rsidRPr="006913E9" w:rsidRDefault="001065E9" w:rsidP="005012FC">
            <w:pPr>
              <w:pStyle w:val="AASmallLogo"/>
              <w:rPr>
                <w:lang w:val="fr-FR"/>
              </w:rPr>
            </w:pPr>
          </w:p>
        </w:tc>
        <w:tc>
          <w:tcPr>
            <w:tcW w:w="1434" w:type="dxa"/>
            <w:noWrap/>
            <w:vAlign w:val="bottom"/>
          </w:tcPr>
          <w:p w14:paraId="262746D2" w14:textId="011EB730" w:rsidR="005012FC" w:rsidRPr="006913E9" w:rsidRDefault="006913E9" w:rsidP="005012FC">
            <w:pPr>
              <w:pStyle w:val="AASmallLogo"/>
              <w:rPr>
                <w:lang w:val="fr-FR"/>
              </w:rPr>
            </w:pPr>
            <w:r w:rsidRPr="006913E9">
              <w:rPr>
                <w:noProof/>
                <w:lang w:val="fr-FR" w:eastAsia="fr-FR"/>
              </w:rPr>
              <w:drawing>
                <wp:inline distT="0" distB="0" distL="0" distR="0" wp14:anchorId="12666C48" wp14:editId="7E54B057">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5012FC" w:rsidRPr="006913E9">
              <w:rPr>
                <w:lang w:val="fr-FR"/>
              </w:rPr>
              <w:t xml:space="preserve"> </w:t>
            </w:r>
          </w:p>
          <w:p w14:paraId="4BD4C034" w14:textId="77777777" w:rsidR="001065E9" w:rsidRPr="006913E9" w:rsidRDefault="001065E9" w:rsidP="005012FC">
            <w:pPr>
              <w:pStyle w:val="AASmallLogo"/>
              <w:rPr>
                <w:lang w:val="fr-FR"/>
              </w:rPr>
            </w:pPr>
          </w:p>
        </w:tc>
        <w:tc>
          <w:tcPr>
            <w:tcW w:w="8073" w:type="dxa"/>
            <w:vAlign w:val="bottom"/>
          </w:tcPr>
          <w:p w14:paraId="3BDE6388" w14:textId="309F1D04" w:rsidR="001065E9" w:rsidRPr="006913E9" w:rsidRDefault="009C0BBB" w:rsidP="00DF78C4">
            <w:pPr>
              <w:pStyle w:val="ABSymbol"/>
              <w:rPr>
                <w:lang w:val="fr-FR"/>
              </w:rPr>
            </w:pPr>
            <w:r w:rsidRPr="006913E9">
              <w:rPr>
                <w:sz w:val="40"/>
                <w:lang w:val="fr-FR"/>
              </w:rPr>
              <w:t>CBD</w:t>
            </w:r>
            <w:r w:rsidR="005012FC" w:rsidRPr="006913E9">
              <w:rPr>
                <w:lang w:val="fr-FR"/>
              </w:rPr>
              <w:t>/</w:t>
            </w:r>
            <w:r w:rsidRPr="006913E9">
              <w:rPr>
                <w:lang w:val="fr-FR"/>
              </w:rPr>
              <w:t>SB</w:t>
            </w:r>
            <w:r w:rsidR="00023B83" w:rsidRPr="006913E9">
              <w:rPr>
                <w:lang w:val="fr-FR"/>
              </w:rPr>
              <w:t>8J</w:t>
            </w:r>
            <w:r w:rsidR="005012FC" w:rsidRPr="006913E9">
              <w:rPr>
                <w:lang w:val="fr-FR"/>
              </w:rPr>
              <w:t>/</w:t>
            </w:r>
            <w:r w:rsidR="00023B83" w:rsidRPr="006913E9">
              <w:rPr>
                <w:lang w:val="fr-FR"/>
              </w:rPr>
              <w:t>1</w:t>
            </w:r>
            <w:r w:rsidRPr="006913E9">
              <w:rPr>
                <w:lang w:val="fr-FR"/>
              </w:rPr>
              <w:t>/</w:t>
            </w:r>
            <w:r w:rsidR="00E3382C" w:rsidRPr="006913E9">
              <w:rPr>
                <w:lang w:val="fr-FR"/>
              </w:rPr>
              <w:t>7</w:t>
            </w:r>
          </w:p>
        </w:tc>
      </w:tr>
    </w:tbl>
    <w:p w14:paraId="71EE1472" w14:textId="77777777" w:rsidR="009F67EB" w:rsidRPr="006913E9" w:rsidRDefault="009F67EB" w:rsidP="001065E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6913E9" w14:paraId="0D4A8C71" w14:textId="77777777" w:rsidTr="001065E9">
        <w:trPr>
          <w:trHeight w:val="1814"/>
        </w:trPr>
        <w:tc>
          <w:tcPr>
            <w:tcW w:w="7370" w:type="dxa"/>
          </w:tcPr>
          <w:p w14:paraId="55934802" w14:textId="33E48D21" w:rsidR="005012FC" w:rsidRPr="006913E9" w:rsidRDefault="006913E9" w:rsidP="005012FC">
            <w:pPr>
              <w:pStyle w:val="ACLargeLogo"/>
              <w:rPr>
                <w:lang w:val="fr-FR"/>
              </w:rPr>
            </w:pPr>
            <w:r w:rsidRPr="006913E9">
              <w:rPr>
                <w:noProof/>
                <w:lang w:val="fr-FR" w:eastAsia="fr-FR"/>
              </w:rPr>
              <w:drawing>
                <wp:inline distT="0" distB="0" distL="0" distR="0" wp14:anchorId="62070114" wp14:editId="41C15127">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5012FC" w:rsidRPr="006913E9">
              <w:rPr>
                <w:lang w:val="fr-FR"/>
              </w:rPr>
              <w:t xml:space="preserve"> </w:t>
            </w:r>
          </w:p>
          <w:p w14:paraId="0E3E5277" w14:textId="77777777" w:rsidR="001065E9" w:rsidRPr="006913E9" w:rsidRDefault="001065E9" w:rsidP="005012FC">
            <w:pPr>
              <w:pStyle w:val="ACLargeLogo"/>
              <w:rPr>
                <w:lang w:val="fr-FR"/>
              </w:rPr>
            </w:pPr>
          </w:p>
        </w:tc>
        <w:tc>
          <w:tcPr>
            <w:tcW w:w="3112" w:type="dxa"/>
          </w:tcPr>
          <w:p w14:paraId="07EE5BA0" w14:textId="0C1AEED7" w:rsidR="005012FC" w:rsidRPr="006913E9" w:rsidRDefault="005012FC" w:rsidP="005012FC">
            <w:pPr>
              <w:pStyle w:val="AEDistrNormal"/>
              <w:rPr>
                <w:lang w:val="fr-FR"/>
              </w:rPr>
            </w:pPr>
            <w:proofErr w:type="spellStart"/>
            <w:r w:rsidRPr="006913E9">
              <w:rPr>
                <w:lang w:val="fr-FR"/>
              </w:rPr>
              <w:t>Distr</w:t>
            </w:r>
            <w:proofErr w:type="spellEnd"/>
            <w:r w:rsidRPr="006913E9">
              <w:rPr>
                <w:lang w:val="fr-FR"/>
              </w:rPr>
              <w:t>.</w:t>
            </w:r>
            <w:r w:rsidR="006913E9" w:rsidRPr="006913E9">
              <w:rPr>
                <w:lang w:val="fr-FR"/>
              </w:rPr>
              <w:t xml:space="preserve"> générale</w:t>
            </w:r>
          </w:p>
          <w:p w14:paraId="5E3DCC09" w14:textId="78089704" w:rsidR="005012FC" w:rsidRPr="006913E9" w:rsidRDefault="00BD05F4" w:rsidP="005012FC">
            <w:pPr>
              <w:pStyle w:val="AEDistrNormal"/>
              <w:rPr>
                <w:lang w:val="fr-FR"/>
              </w:rPr>
            </w:pPr>
            <w:r w:rsidRPr="006913E9">
              <w:rPr>
                <w:lang w:val="fr-FR"/>
              </w:rPr>
              <w:t>5</w:t>
            </w:r>
            <w:r w:rsidR="006913E9">
              <w:rPr>
                <w:lang w:val="fr-FR"/>
              </w:rPr>
              <w:t> août</w:t>
            </w:r>
            <w:r w:rsidR="00233F12">
              <w:rPr>
                <w:lang w:val="fr-FR"/>
              </w:rPr>
              <w:t> </w:t>
            </w:r>
            <w:r w:rsidR="003B3B5F" w:rsidRPr="006913E9">
              <w:rPr>
                <w:lang w:val="fr-FR"/>
              </w:rPr>
              <w:t>2025</w:t>
            </w:r>
          </w:p>
          <w:p w14:paraId="03C956FB" w14:textId="4108F62E" w:rsidR="005012FC" w:rsidRPr="006913E9" w:rsidRDefault="006913E9" w:rsidP="005012FC">
            <w:pPr>
              <w:pStyle w:val="AEDistrNormal"/>
              <w:rPr>
                <w:lang w:val="fr-FR"/>
              </w:rPr>
            </w:pPr>
            <w:r>
              <w:rPr>
                <w:lang w:val="fr-FR"/>
              </w:rPr>
              <w:t>Français</w:t>
            </w:r>
          </w:p>
          <w:p w14:paraId="5E1A8943" w14:textId="718D18CB" w:rsidR="005012FC" w:rsidRPr="006913E9" w:rsidRDefault="005012FC" w:rsidP="005012FC">
            <w:pPr>
              <w:pStyle w:val="AEDistrNormal"/>
              <w:rPr>
                <w:lang w:val="fr-FR"/>
              </w:rPr>
            </w:pPr>
            <w:r w:rsidRPr="006913E9">
              <w:rPr>
                <w:lang w:val="fr-FR"/>
              </w:rPr>
              <w:t>Original</w:t>
            </w:r>
            <w:r w:rsidR="006913E9">
              <w:rPr>
                <w:lang w:val="fr-FR"/>
              </w:rPr>
              <w:t> </w:t>
            </w:r>
            <w:r w:rsidRPr="006913E9">
              <w:rPr>
                <w:lang w:val="fr-FR"/>
              </w:rPr>
              <w:t xml:space="preserve">: </w:t>
            </w:r>
            <w:r w:rsidR="006913E9">
              <w:rPr>
                <w:lang w:val="fr-FR"/>
              </w:rPr>
              <w:t>anglais</w:t>
            </w:r>
            <w:r w:rsidRPr="006913E9">
              <w:rPr>
                <w:lang w:val="fr-FR"/>
              </w:rPr>
              <w:t xml:space="preserve"> </w:t>
            </w:r>
          </w:p>
          <w:p w14:paraId="3B10C461" w14:textId="77777777" w:rsidR="001065E9" w:rsidRPr="006913E9" w:rsidRDefault="001065E9" w:rsidP="005012FC">
            <w:pPr>
              <w:pStyle w:val="AEDistrNormal6pt"/>
              <w:rPr>
                <w:lang w:val="fr-FR"/>
              </w:rPr>
            </w:pPr>
          </w:p>
        </w:tc>
      </w:tr>
    </w:tbl>
    <w:p w14:paraId="7FFA7E4C" w14:textId="77777777" w:rsidR="001065E9" w:rsidRPr="006913E9" w:rsidRDefault="001065E9" w:rsidP="001065E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6913E9" w14:paraId="76DDD3C3" w14:textId="77777777" w:rsidTr="001065E9">
        <w:trPr>
          <w:trHeight w:val="57"/>
        </w:trPr>
        <w:tc>
          <w:tcPr>
            <w:tcW w:w="6094" w:type="dxa"/>
          </w:tcPr>
          <w:p w14:paraId="47CC331A" w14:textId="5A2C6BA9" w:rsidR="005012FC" w:rsidRPr="006913E9" w:rsidRDefault="000D2E15" w:rsidP="005012FC">
            <w:pPr>
              <w:pStyle w:val="AFCorN12Bold"/>
              <w:rPr>
                <w:lang w:val="fr-FR"/>
              </w:rPr>
            </w:pPr>
            <w:r>
              <w:rPr>
                <w:lang w:val="fr-FR"/>
              </w:rPr>
              <w:t>Organe subsidiaire chargé du suivi de l’article</w:t>
            </w:r>
            <w:r w:rsidR="00233F12">
              <w:rPr>
                <w:lang w:val="fr-FR"/>
              </w:rPr>
              <w:t> </w:t>
            </w:r>
            <w:r>
              <w:rPr>
                <w:lang w:val="fr-FR"/>
              </w:rPr>
              <w:t>8 j) et des autres dispositions de la Convention sur la diversité biologique relatives aux peuples autochtones et communautés locales</w:t>
            </w:r>
          </w:p>
          <w:p w14:paraId="7FD15245" w14:textId="373037EE" w:rsidR="005012FC" w:rsidRPr="006913E9" w:rsidRDefault="000D2E15" w:rsidP="005012FC">
            <w:pPr>
              <w:pStyle w:val="AFCorNBold"/>
              <w:rPr>
                <w:lang w:val="fr-FR"/>
              </w:rPr>
            </w:pPr>
            <w:r>
              <w:rPr>
                <w:lang w:val="fr-FR"/>
              </w:rPr>
              <w:t>Première réunion</w:t>
            </w:r>
          </w:p>
          <w:p w14:paraId="1C4E1B80" w14:textId="7AA99BFA" w:rsidR="005012FC" w:rsidRPr="006913E9" w:rsidRDefault="00962822" w:rsidP="005012FC">
            <w:pPr>
              <w:pStyle w:val="AFCorNNormal"/>
              <w:rPr>
                <w:lang w:val="fr-FR"/>
              </w:rPr>
            </w:pPr>
            <w:r w:rsidRPr="006913E9">
              <w:rPr>
                <w:lang w:val="fr-FR"/>
              </w:rPr>
              <w:t xml:space="preserve">Panama, </w:t>
            </w:r>
            <w:r w:rsidR="001A5A37" w:rsidRPr="006913E9">
              <w:rPr>
                <w:lang w:val="fr-FR"/>
              </w:rPr>
              <w:t>2</w:t>
            </w:r>
            <w:r w:rsidR="00023B83" w:rsidRPr="006913E9">
              <w:rPr>
                <w:lang w:val="fr-FR"/>
              </w:rPr>
              <w:t>7</w:t>
            </w:r>
            <w:r w:rsidR="001A5A37" w:rsidRPr="006913E9">
              <w:rPr>
                <w:lang w:val="fr-FR"/>
              </w:rPr>
              <w:t>–</w:t>
            </w:r>
            <w:r w:rsidR="00023B83" w:rsidRPr="006913E9">
              <w:rPr>
                <w:lang w:val="fr-FR"/>
              </w:rPr>
              <w:t>30</w:t>
            </w:r>
            <w:r w:rsidR="000D2E15">
              <w:rPr>
                <w:lang w:val="fr-FR"/>
              </w:rPr>
              <w:t> octobre </w:t>
            </w:r>
            <w:r w:rsidR="001A5A37" w:rsidRPr="006913E9">
              <w:rPr>
                <w:lang w:val="fr-FR"/>
              </w:rPr>
              <w:t>2025</w:t>
            </w:r>
            <w:r w:rsidR="005012FC" w:rsidRPr="006913E9">
              <w:rPr>
                <w:lang w:val="fr-FR"/>
              </w:rPr>
              <w:t xml:space="preserve"> </w:t>
            </w:r>
          </w:p>
          <w:p w14:paraId="7B81CFD8" w14:textId="0AB7D39F" w:rsidR="005012FC" w:rsidRPr="006913E9" w:rsidRDefault="000D2E15" w:rsidP="005012FC">
            <w:pPr>
              <w:pStyle w:val="AFCorNNormal"/>
              <w:rPr>
                <w:lang w:val="fr-FR"/>
              </w:rPr>
            </w:pPr>
            <w:r>
              <w:rPr>
                <w:lang w:val="fr-FR"/>
              </w:rPr>
              <w:t>Point </w:t>
            </w:r>
            <w:r w:rsidR="00653FDD" w:rsidRPr="006913E9">
              <w:rPr>
                <w:lang w:val="fr-FR"/>
              </w:rPr>
              <w:t>7</w:t>
            </w:r>
            <w:r w:rsidR="005012FC" w:rsidRPr="006913E9">
              <w:rPr>
                <w:lang w:val="fr-FR"/>
              </w:rPr>
              <w:t xml:space="preserve"> </w:t>
            </w:r>
            <w:r>
              <w:rPr>
                <w:lang w:val="fr-FR"/>
              </w:rPr>
              <w:t>de l’ordre du jour provisoire</w:t>
            </w:r>
            <w:r w:rsidR="001A7228" w:rsidRPr="006913E9">
              <w:rPr>
                <w:rStyle w:val="Appelnotedebasdep"/>
                <w:lang w:val="fr-FR"/>
              </w:rPr>
              <w:footnoteReference w:customMarkFollows="1" w:id="1"/>
              <w:t>*</w:t>
            </w:r>
          </w:p>
          <w:p w14:paraId="3E0F8336" w14:textId="46794A66" w:rsidR="001065E9" w:rsidRPr="006913E9" w:rsidRDefault="000D2E15" w:rsidP="003C4ACE">
            <w:pPr>
              <w:pStyle w:val="AFCorNBold"/>
              <w:spacing w:after="120"/>
              <w:rPr>
                <w:lang w:val="fr-FR"/>
              </w:rPr>
            </w:pPr>
            <w:r>
              <w:rPr>
                <w:lang w:val="fr-FR"/>
              </w:rPr>
              <w:t>Recommandations de l’Instance permanente                       sur les questions autochtones</w:t>
            </w:r>
          </w:p>
        </w:tc>
        <w:tc>
          <w:tcPr>
            <w:tcW w:w="4388" w:type="dxa"/>
          </w:tcPr>
          <w:p w14:paraId="74297E43" w14:textId="77777777" w:rsidR="001065E9" w:rsidRPr="006913E9" w:rsidRDefault="001065E9" w:rsidP="001065E9">
            <w:pPr>
              <w:pStyle w:val="CBDNormal"/>
              <w:jc w:val="left"/>
              <w:rPr>
                <w:lang w:val="fr-FR"/>
              </w:rPr>
            </w:pPr>
          </w:p>
        </w:tc>
      </w:tr>
    </w:tbl>
    <w:p w14:paraId="3711D0C2" w14:textId="42607F88" w:rsidR="001065E9" w:rsidRPr="006913E9" w:rsidRDefault="00000000" w:rsidP="003B142D">
      <w:pPr>
        <w:pStyle w:val="CBDTitle"/>
        <w:rPr>
          <w:lang w:val="fr-FR"/>
        </w:rPr>
      </w:pPr>
      <w:sdt>
        <w:sdtPr>
          <w:rPr>
            <w:rFonts w:ascii="Times New Roman Bold" w:eastAsia="DengXian Light" w:hAnsi="Times New Roman Bold"/>
            <w:bCs/>
            <w:spacing w:val="5"/>
            <w:kern w:val="28"/>
            <w:szCs w:val="28"/>
            <w:lang w:val="fr-FR"/>
          </w:rPr>
          <w:alias w:val="Title"/>
          <w:tag w:val=""/>
          <w:id w:val="-591865594"/>
          <w:placeholder>
            <w:docPart w:val="36629AF8693D459A947E5F2108154078"/>
          </w:placeholder>
          <w:dataBinding w:prefixMappings="xmlns:ns0='http://purl.org/dc/elements/1.1/' xmlns:ns1='http://schemas.openxmlformats.org/package/2006/metadata/core-properties' " w:xpath="/ns1:coreProperties[1]/ns0:title[1]" w:storeItemID="{6C3C8BC8-F283-45AE-878A-BAB7291924A1}"/>
          <w:text/>
        </w:sdtPr>
        <w:sdtContent>
          <w:r w:rsidR="000D2E15">
            <w:rPr>
              <w:rFonts w:ascii="Times New Roman Bold" w:eastAsia="DengXian Light" w:hAnsi="Times New Roman Bold"/>
              <w:bCs/>
              <w:spacing w:val="5"/>
              <w:kern w:val="28"/>
              <w:szCs w:val="28"/>
              <w:lang w:val="fr-FR"/>
            </w:rPr>
            <w:t>Recommandations de l’Instance permanente sur les questions autochtones</w:t>
          </w:r>
        </w:sdtContent>
      </w:sdt>
      <w:r w:rsidR="006935DA" w:rsidRPr="006913E9">
        <w:rPr>
          <w:lang w:val="fr-FR"/>
        </w:rPr>
        <w:t xml:space="preserve"> </w:t>
      </w:r>
    </w:p>
    <w:p w14:paraId="1A1C9DBC" w14:textId="47FF4374" w:rsidR="006935DA" w:rsidRPr="006913E9" w:rsidRDefault="006935DA" w:rsidP="003C4ACE">
      <w:pPr>
        <w:pStyle w:val="CBDSubTitle"/>
        <w:rPr>
          <w:lang w:val="fr-FR"/>
        </w:rPr>
      </w:pPr>
      <w:r w:rsidRPr="006913E9">
        <w:rPr>
          <w:lang w:val="fr-FR"/>
        </w:rPr>
        <w:t xml:space="preserve">Note </w:t>
      </w:r>
      <w:r w:rsidR="000D2E15">
        <w:rPr>
          <w:lang w:val="fr-FR"/>
        </w:rPr>
        <w:t>du</w:t>
      </w:r>
      <w:r w:rsidRPr="006913E9">
        <w:rPr>
          <w:lang w:val="fr-FR"/>
        </w:rPr>
        <w:t xml:space="preserve"> Secr</w:t>
      </w:r>
      <w:r w:rsidR="000D2E15">
        <w:rPr>
          <w:lang w:val="fr-FR"/>
        </w:rPr>
        <w:t>é</w:t>
      </w:r>
      <w:r w:rsidRPr="006913E9">
        <w:rPr>
          <w:lang w:val="fr-FR"/>
        </w:rPr>
        <w:t>tariat</w:t>
      </w:r>
    </w:p>
    <w:p w14:paraId="56DBE733" w14:textId="5475A523" w:rsidR="006935DA" w:rsidRPr="006913E9" w:rsidRDefault="00E01EC0" w:rsidP="003C4ACE">
      <w:pPr>
        <w:pStyle w:val="CBDH1"/>
        <w:rPr>
          <w:lang w:val="fr-FR" w:eastAsia="zh-CN"/>
        </w:rPr>
      </w:pPr>
      <w:r w:rsidRPr="006913E9">
        <w:rPr>
          <w:lang w:val="fr-FR" w:eastAsia="zh-CN"/>
        </w:rPr>
        <w:t>I.</w:t>
      </w:r>
      <w:r w:rsidRPr="006913E9">
        <w:rPr>
          <w:lang w:val="fr-FR" w:eastAsia="zh-CN"/>
        </w:rPr>
        <w:tab/>
      </w:r>
      <w:r w:rsidR="006935DA" w:rsidRPr="006913E9">
        <w:rPr>
          <w:lang w:val="fr-FR" w:eastAsia="zh-CN"/>
        </w:rPr>
        <w:t>Introduction</w:t>
      </w:r>
    </w:p>
    <w:p w14:paraId="0D49BA60" w14:textId="12E82FC0" w:rsidR="006021A6" w:rsidRPr="006913E9" w:rsidRDefault="000D2E15" w:rsidP="003C4ACE">
      <w:pPr>
        <w:pStyle w:val="CBDNormalNumber"/>
        <w:rPr>
          <w:snapToGrid w:val="0"/>
          <w:szCs w:val="18"/>
          <w:lang w:val="fr-FR"/>
        </w:rPr>
      </w:pPr>
      <w:r>
        <w:rPr>
          <w:noProof/>
          <w:snapToGrid w:val="0"/>
          <w:lang w:val="fr-FR"/>
        </w:rPr>
        <w:t>Conformément aux pratiques du Groupe de travail spécial intersessions à composition non limitée sur l’article 8 j) et les dispositions connexes de la Convention, qu’il remplace, l’Organe subsidiaire chargé du suivi de l’article</w:t>
      </w:r>
      <w:r w:rsidR="00233F12">
        <w:rPr>
          <w:noProof/>
          <w:snapToGrid w:val="0"/>
          <w:lang w:val="fr-FR"/>
        </w:rPr>
        <w:t> </w:t>
      </w:r>
      <w:r>
        <w:rPr>
          <w:noProof/>
          <w:snapToGrid w:val="0"/>
          <w:lang w:val="fr-FR"/>
        </w:rPr>
        <w:t xml:space="preserve">8 j) et des autres dispositions de la Convention sur la diversité biologique relatives aux peuples autochtones et communautés locales étudiera régulièrement les recommandations émanant de l’Instance permanente </w:t>
      </w:r>
      <w:r w:rsidR="00233F12">
        <w:rPr>
          <w:noProof/>
          <w:snapToGrid w:val="0"/>
          <w:lang w:val="fr-FR"/>
        </w:rPr>
        <w:t>s</w:t>
      </w:r>
      <w:r>
        <w:rPr>
          <w:noProof/>
          <w:snapToGrid w:val="0"/>
          <w:lang w:val="fr-FR"/>
        </w:rPr>
        <w:t xml:space="preserve">ur les questions autochtones qui présentent un intérêt pour la Convention et proposera ensuite des recommandations pour examen par la Conférence des Parties. Il s’ensuit que les recommandations qui présentent un intérêt pour la Convention et qui ont été adoptées par l’Instance permanente lors de ses vingt-troisième et vingt-quatrième </w:t>
      </w:r>
      <w:r w:rsidR="00CC4239">
        <w:rPr>
          <w:noProof/>
          <w:snapToGrid w:val="0"/>
          <w:lang w:val="fr-FR"/>
        </w:rPr>
        <w:t>sessions</w:t>
      </w:r>
      <w:r>
        <w:rPr>
          <w:noProof/>
          <w:snapToGrid w:val="0"/>
          <w:lang w:val="fr-FR"/>
        </w:rPr>
        <w:t xml:space="preserve"> </w:t>
      </w:r>
      <w:r w:rsidR="00CC4239">
        <w:rPr>
          <w:noProof/>
          <w:snapToGrid w:val="0"/>
          <w:lang w:val="fr-FR"/>
        </w:rPr>
        <w:t>sont abordées à la section II ci-dessous.</w:t>
      </w:r>
    </w:p>
    <w:p w14:paraId="43C94583" w14:textId="3E10A743" w:rsidR="006935DA" w:rsidRPr="006913E9" w:rsidRDefault="00E01EC0" w:rsidP="003C4ACE">
      <w:pPr>
        <w:pStyle w:val="CBDH1"/>
        <w:rPr>
          <w:lang w:val="fr-FR" w:eastAsia="zh-CN"/>
        </w:rPr>
      </w:pPr>
      <w:r w:rsidRPr="006913E9">
        <w:rPr>
          <w:lang w:val="fr-FR" w:eastAsia="zh-CN"/>
        </w:rPr>
        <w:t>II.</w:t>
      </w:r>
      <w:r w:rsidRPr="006913E9">
        <w:rPr>
          <w:lang w:val="fr-FR" w:eastAsia="zh-CN"/>
        </w:rPr>
        <w:tab/>
      </w:r>
      <w:r w:rsidR="00CC4239">
        <w:rPr>
          <w:lang w:val="fr-FR" w:eastAsia="zh-CN"/>
        </w:rPr>
        <w:t>Dernières recommandations de l’Instance permanente sur les questions autochtones présentant un intérêt pour la Convention</w:t>
      </w:r>
    </w:p>
    <w:p w14:paraId="1B7C852A" w14:textId="0EE82A39" w:rsidR="006935DA" w:rsidRPr="006913E9" w:rsidRDefault="00CC4239" w:rsidP="003C4ACE">
      <w:pPr>
        <w:pStyle w:val="CBDNormalNumber"/>
        <w:rPr>
          <w:rStyle w:val="Accentuation"/>
          <w:b/>
          <w:i w:val="0"/>
          <w:iCs w:val="0"/>
          <w:sz w:val="28"/>
          <w:lang w:val="fr-FR"/>
        </w:rPr>
      </w:pPr>
      <w:r>
        <w:rPr>
          <w:rStyle w:val="Accentuation"/>
          <w:rFonts w:eastAsiaTheme="majorEastAsia"/>
          <w:i w:val="0"/>
          <w:iCs w:val="0"/>
          <w:lang w:val="fr-FR"/>
        </w:rPr>
        <w:t>Sur la période</w:t>
      </w:r>
      <w:r w:rsidR="00233F12">
        <w:rPr>
          <w:rStyle w:val="Accentuation"/>
          <w:rFonts w:eastAsiaTheme="majorEastAsia"/>
          <w:i w:val="0"/>
          <w:iCs w:val="0"/>
          <w:lang w:val="fr-FR"/>
        </w:rPr>
        <w:t> </w:t>
      </w:r>
      <w:r w:rsidR="006935DA" w:rsidRPr="006913E9">
        <w:rPr>
          <w:rStyle w:val="Accentuation"/>
          <w:rFonts w:eastAsiaTheme="majorEastAsia"/>
          <w:i w:val="0"/>
          <w:iCs w:val="0"/>
          <w:lang w:val="fr-FR"/>
        </w:rPr>
        <w:t>2024</w:t>
      </w:r>
      <w:r w:rsidR="009D62F8" w:rsidRPr="006913E9">
        <w:rPr>
          <w:rStyle w:val="Accentuation"/>
          <w:rFonts w:eastAsiaTheme="majorEastAsia"/>
          <w:i w:val="0"/>
          <w:iCs w:val="0"/>
          <w:lang w:val="fr-FR"/>
        </w:rPr>
        <w:t>–</w:t>
      </w:r>
      <w:r w:rsidR="006935DA" w:rsidRPr="006913E9">
        <w:rPr>
          <w:rStyle w:val="Accentuation"/>
          <w:rFonts w:eastAsiaTheme="majorEastAsia"/>
          <w:i w:val="0"/>
          <w:iCs w:val="0"/>
          <w:lang w:val="fr-FR"/>
        </w:rPr>
        <w:t xml:space="preserve">2025, </w:t>
      </w:r>
      <w:r>
        <w:rPr>
          <w:rStyle w:val="Accentuation"/>
          <w:rFonts w:eastAsiaTheme="majorEastAsia"/>
          <w:i w:val="0"/>
          <w:iCs w:val="0"/>
          <w:lang w:val="fr-FR"/>
        </w:rPr>
        <w:t xml:space="preserve">l’Instance permanente a adopté une série de recommandations présentant un intérêt pour la mise en œuvre de la Convention et du Cadre mondial de la biodiversité de Kunming-Montréal, tel que résumé ci-dessous. </w:t>
      </w:r>
      <w:r w:rsidR="006769BA">
        <w:rPr>
          <w:rStyle w:val="Accentuation"/>
          <w:rFonts w:eastAsiaTheme="majorEastAsia"/>
          <w:i w:val="0"/>
          <w:iCs w:val="0"/>
          <w:lang w:val="fr-FR"/>
        </w:rPr>
        <w:t>Lorsqu’il y a lieu</w:t>
      </w:r>
      <w:r>
        <w:rPr>
          <w:rStyle w:val="Accentuation"/>
          <w:rFonts w:eastAsiaTheme="majorEastAsia"/>
          <w:i w:val="0"/>
          <w:iCs w:val="0"/>
          <w:lang w:val="fr-FR"/>
        </w:rPr>
        <w:t>, il est fait référence aux évolutions et aux activités prévues au titre de la Convention qui répondent ou sont en lien avec ces recommandations.</w:t>
      </w:r>
    </w:p>
    <w:p w14:paraId="130D562E" w14:textId="5012DC2B" w:rsidR="006935DA" w:rsidRPr="006913E9" w:rsidRDefault="00E01EC0" w:rsidP="003C4ACE">
      <w:pPr>
        <w:pStyle w:val="CBDH2"/>
        <w:jc w:val="left"/>
        <w:rPr>
          <w:lang w:val="fr-FR" w:eastAsia="zh-CN"/>
        </w:rPr>
      </w:pPr>
      <w:bookmarkStart w:id="0" w:name="_Hlk202377432"/>
      <w:r w:rsidRPr="006913E9">
        <w:rPr>
          <w:lang w:val="fr-FR" w:eastAsia="zh-CN"/>
        </w:rPr>
        <w:lastRenderedPageBreak/>
        <w:t>A.</w:t>
      </w:r>
      <w:r w:rsidRPr="006913E9">
        <w:rPr>
          <w:lang w:val="fr-FR" w:eastAsia="zh-CN"/>
        </w:rPr>
        <w:tab/>
      </w:r>
      <w:r w:rsidR="00CC4239">
        <w:rPr>
          <w:lang w:val="fr-FR" w:eastAsia="zh-CN"/>
        </w:rPr>
        <w:t>Recommandations issues de la vingt-troisième session de l’Instance permanente sur les questions autochtones</w:t>
      </w:r>
    </w:p>
    <w:bookmarkEnd w:id="0"/>
    <w:p w14:paraId="01AFE5DA" w14:textId="09C94F89" w:rsidR="006935DA" w:rsidRPr="006913E9" w:rsidRDefault="00110F33" w:rsidP="003C4ACE">
      <w:pPr>
        <w:pStyle w:val="CBDNormalNumber"/>
        <w:rPr>
          <w:rStyle w:val="Accentuation"/>
          <w:rFonts w:eastAsiaTheme="majorEastAsia"/>
          <w:b/>
          <w:i w:val="0"/>
          <w:iCs w:val="0"/>
          <w:sz w:val="24"/>
          <w:lang w:val="fr-FR"/>
        </w:rPr>
      </w:pPr>
      <w:r>
        <w:rPr>
          <w:rStyle w:val="Accentuation"/>
          <w:rFonts w:eastAsiaTheme="majorEastAsia"/>
          <w:i w:val="0"/>
          <w:iCs w:val="0"/>
          <w:lang w:val="fr-FR"/>
        </w:rPr>
        <w:t xml:space="preserve">Lors de sa vingt-troisième session, en 2024, l’Instance permanente a adopté plusieurs recommandations présentant un intérêt pour la Convention, tel que souligné dans les paragraphes 49, </w:t>
      </w:r>
      <w:r w:rsidR="006935DA" w:rsidRPr="006913E9">
        <w:rPr>
          <w:rStyle w:val="Accentuation"/>
          <w:rFonts w:eastAsiaTheme="majorEastAsia"/>
          <w:i w:val="0"/>
          <w:iCs w:val="0"/>
          <w:lang w:val="fr-FR"/>
        </w:rPr>
        <w:t xml:space="preserve">53, 80, </w:t>
      </w:r>
      <w:r w:rsidR="007F01D3" w:rsidRPr="006913E9">
        <w:rPr>
          <w:rStyle w:val="Accentuation"/>
          <w:rFonts w:eastAsiaTheme="majorEastAsia"/>
          <w:i w:val="0"/>
          <w:iCs w:val="0"/>
          <w:lang w:val="fr-FR"/>
        </w:rPr>
        <w:t xml:space="preserve">119, </w:t>
      </w:r>
      <w:r w:rsidR="006935DA" w:rsidRPr="006913E9">
        <w:rPr>
          <w:rStyle w:val="Accentuation"/>
          <w:rFonts w:eastAsiaTheme="majorEastAsia"/>
          <w:i w:val="0"/>
          <w:iCs w:val="0"/>
          <w:lang w:val="fr-FR"/>
        </w:rPr>
        <w:t xml:space="preserve">120, 126 </w:t>
      </w:r>
      <w:r>
        <w:rPr>
          <w:rStyle w:val="Accentuation"/>
          <w:rFonts w:eastAsiaTheme="majorEastAsia"/>
          <w:i w:val="0"/>
          <w:iCs w:val="0"/>
          <w:lang w:val="fr-FR"/>
        </w:rPr>
        <w:t>et</w:t>
      </w:r>
      <w:r w:rsidR="006935DA" w:rsidRPr="006913E9">
        <w:rPr>
          <w:rStyle w:val="Accentuation"/>
          <w:rFonts w:eastAsiaTheme="majorEastAsia"/>
          <w:i w:val="0"/>
          <w:iCs w:val="0"/>
          <w:lang w:val="fr-FR"/>
        </w:rPr>
        <w:t xml:space="preserve"> 135 </w:t>
      </w:r>
      <w:r>
        <w:rPr>
          <w:rStyle w:val="Accentuation"/>
          <w:rFonts w:eastAsiaTheme="majorEastAsia"/>
          <w:i w:val="0"/>
          <w:iCs w:val="0"/>
          <w:lang w:val="fr-FR"/>
        </w:rPr>
        <w:t>du rapport de cette vingt-troisième session</w:t>
      </w:r>
      <w:r w:rsidR="00685B42" w:rsidRPr="006913E9">
        <w:rPr>
          <w:rStyle w:val="Appelnotedebasdep"/>
          <w:rFonts w:eastAsiaTheme="majorEastAsia"/>
          <w:lang w:val="fr-FR"/>
        </w:rPr>
        <w:footnoteReference w:id="2"/>
      </w:r>
      <w:r>
        <w:rPr>
          <w:rStyle w:val="Accentuation"/>
          <w:rFonts w:eastAsiaTheme="majorEastAsia"/>
          <w:i w:val="0"/>
          <w:iCs w:val="0"/>
          <w:lang w:val="fr-FR"/>
        </w:rPr>
        <w:t>.</w:t>
      </w:r>
      <w:r w:rsidR="006935DA" w:rsidRPr="006913E9">
        <w:rPr>
          <w:rStyle w:val="Accentuation"/>
          <w:rFonts w:eastAsiaTheme="majorEastAsia"/>
          <w:i w:val="0"/>
          <w:iCs w:val="0"/>
          <w:lang w:val="fr-FR"/>
        </w:rPr>
        <w:t xml:space="preserve"> </w:t>
      </w:r>
    </w:p>
    <w:p w14:paraId="54118614" w14:textId="526D884C" w:rsidR="006935DA" w:rsidRPr="006913E9" w:rsidRDefault="00110F33" w:rsidP="003C4ACE">
      <w:pPr>
        <w:pStyle w:val="CBDNormalNumber"/>
        <w:rPr>
          <w:rStyle w:val="Accentuation"/>
          <w:rFonts w:eastAsiaTheme="majorEastAsia"/>
          <w:i w:val="0"/>
          <w:iCs w:val="0"/>
          <w:lang w:val="fr-FR"/>
        </w:rPr>
      </w:pPr>
      <w:r>
        <w:rPr>
          <w:rStyle w:val="Accentuation"/>
          <w:rFonts w:eastAsiaTheme="majorEastAsia"/>
          <w:i w:val="0"/>
          <w:iCs w:val="0"/>
          <w:szCs w:val="24"/>
          <w:lang w:val="fr-FR"/>
        </w:rPr>
        <w:t>Les paragraphes</w:t>
      </w:r>
      <w:r w:rsidR="00233F12">
        <w:rPr>
          <w:rStyle w:val="Accentuation"/>
          <w:rFonts w:eastAsiaTheme="majorEastAsia"/>
          <w:i w:val="0"/>
          <w:iCs w:val="0"/>
          <w:szCs w:val="24"/>
          <w:lang w:val="fr-FR"/>
        </w:rPr>
        <w:t> </w:t>
      </w:r>
      <w:r w:rsidR="006935DA" w:rsidRPr="006913E9">
        <w:rPr>
          <w:rStyle w:val="Accentuation"/>
          <w:rFonts w:eastAsiaTheme="majorEastAsia"/>
          <w:i w:val="0"/>
          <w:iCs w:val="0"/>
          <w:szCs w:val="24"/>
          <w:lang w:val="fr-FR"/>
        </w:rPr>
        <w:t xml:space="preserve">49, 53, 80 </w:t>
      </w:r>
      <w:r>
        <w:rPr>
          <w:rStyle w:val="Accentuation"/>
          <w:rFonts w:eastAsiaTheme="majorEastAsia"/>
          <w:i w:val="0"/>
          <w:iCs w:val="0"/>
          <w:szCs w:val="24"/>
          <w:lang w:val="fr-FR"/>
        </w:rPr>
        <w:t>et</w:t>
      </w:r>
      <w:r w:rsidR="006935DA" w:rsidRPr="006913E9">
        <w:rPr>
          <w:rStyle w:val="Accentuation"/>
          <w:rFonts w:eastAsiaTheme="majorEastAsia"/>
          <w:i w:val="0"/>
          <w:iCs w:val="0"/>
          <w:szCs w:val="24"/>
          <w:lang w:val="fr-FR"/>
        </w:rPr>
        <w:t xml:space="preserve"> 126 </w:t>
      </w:r>
      <w:r>
        <w:rPr>
          <w:rStyle w:val="Accentuation"/>
          <w:rFonts w:eastAsiaTheme="majorEastAsia"/>
          <w:i w:val="0"/>
          <w:iCs w:val="0"/>
          <w:szCs w:val="24"/>
          <w:lang w:val="fr-FR"/>
        </w:rPr>
        <w:t xml:space="preserve">du rapport de l’Instance permanente portent en particulier sur </w:t>
      </w:r>
      <w:r w:rsidR="00C6556E">
        <w:rPr>
          <w:rStyle w:val="Accentuation"/>
          <w:rFonts w:eastAsiaTheme="majorEastAsia"/>
          <w:i w:val="0"/>
          <w:iCs w:val="0"/>
          <w:szCs w:val="24"/>
          <w:lang w:val="fr-FR"/>
        </w:rPr>
        <w:t>la facilitation</w:t>
      </w:r>
      <w:r>
        <w:rPr>
          <w:rStyle w:val="Accentuation"/>
          <w:rFonts w:eastAsiaTheme="majorEastAsia"/>
          <w:i w:val="0"/>
          <w:iCs w:val="0"/>
          <w:szCs w:val="24"/>
          <w:lang w:val="fr-FR"/>
        </w:rPr>
        <w:t xml:space="preserve"> de l’accès direct </w:t>
      </w:r>
      <w:r w:rsidR="00C6556E">
        <w:rPr>
          <w:rStyle w:val="Accentuation"/>
          <w:rFonts w:eastAsiaTheme="majorEastAsia"/>
          <w:i w:val="0"/>
          <w:iCs w:val="0"/>
          <w:szCs w:val="24"/>
          <w:lang w:val="fr-FR"/>
        </w:rPr>
        <w:t>au</w:t>
      </w:r>
      <w:r>
        <w:rPr>
          <w:rStyle w:val="Accentuation"/>
          <w:rFonts w:eastAsiaTheme="majorEastAsia"/>
          <w:i w:val="0"/>
          <w:iCs w:val="0"/>
          <w:szCs w:val="24"/>
          <w:lang w:val="fr-FR"/>
        </w:rPr>
        <w:t xml:space="preserve"> financement</w:t>
      </w:r>
      <w:r w:rsidR="006769BA">
        <w:rPr>
          <w:rStyle w:val="Accentuation"/>
          <w:rFonts w:eastAsiaTheme="majorEastAsia"/>
          <w:i w:val="0"/>
          <w:iCs w:val="0"/>
          <w:szCs w:val="24"/>
          <w:lang w:val="fr-FR"/>
        </w:rPr>
        <w:t xml:space="preserve"> en faveur </w:t>
      </w:r>
      <w:r w:rsidR="006769BA">
        <w:rPr>
          <w:rStyle w:val="Accentuation"/>
          <w:rFonts w:eastAsiaTheme="majorEastAsia"/>
          <w:i w:val="0"/>
          <w:iCs w:val="0"/>
          <w:szCs w:val="24"/>
          <w:lang w:val="fr-FR"/>
        </w:rPr>
        <w:t>des peuples autochtones</w:t>
      </w:r>
      <w:r w:rsidR="006769BA">
        <w:rPr>
          <w:rStyle w:val="Accentuation"/>
          <w:rFonts w:eastAsiaTheme="majorEastAsia"/>
          <w:i w:val="0"/>
          <w:iCs w:val="0"/>
          <w:szCs w:val="24"/>
          <w:lang w:val="fr-FR"/>
        </w:rPr>
        <w:t>,</w:t>
      </w:r>
      <w:r>
        <w:rPr>
          <w:rStyle w:val="Accentuation"/>
          <w:rFonts w:eastAsiaTheme="majorEastAsia"/>
          <w:i w:val="0"/>
          <w:iCs w:val="0"/>
          <w:szCs w:val="24"/>
          <w:lang w:val="fr-FR"/>
        </w:rPr>
        <w:t xml:space="preserve"> au sein des mécanismes relatifs à la diversité biologique</w:t>
      </w:r>
      <w:r w:rsidR="006769BA">
        <w:rPr>
          <w:rStyle w:val="Accentuation"/>
          <w:rFonts w:eastAsiaTheme="majorEastAsia"/>
          <w:i w:val="0"/>
          <w:iCs w:val="0"/>
          <w:szCs w:val="24"/>
          <w:lang w:val="fr-FR"/>
        </w:rPr>
        <w:t>,</w:t>
      </w:r>
      <w:r>
        <w:rPr>
          <w:rStyle w:val="Accentuation"/>
          <w:rFonts w:eastAsiaTheme="majorEastAsia"/>
          <w:i w:val="0"/>
          <w:iCs w:val="0"/>
          <w:szCs w:val="24"/>
          <w:lang w:val="fr-FR"/>
        </w:rPr>
        <w:t xml:space="preserve"> et y figurent comme suit :</w:t>
      </w:r>
    </w:p>
    <w:p w14:paraId="3F519BB6" w14:textId="23448F9F" w:rsidR="006935DA" w:rsidRPr="006913E9" w:rsidRDefault="006935DA" w:rsidP="003C4ACE">
      <w:pPr>
        <w:pStyle w:val="CBDNormalNoNumber"/>
        <w:tabs>
          <w:tab w:val="clear" w:pos="567"/>
          <w:tab w:val="clear" w:pos="1134"/>
        </w:tabs>
        <w:ind w:left="1134"/>
        <w:rPr>
          <w:rStyle w:val="Accentuation"/>
          <w:i w:val="0"/>
          <w:iCs w:val="0"/>
          <w:lang w:val="fr-FR"/>
        </w:rPr>
      </w:pPr>
      <w:bookmarkStart w:id="1" w:name="_Hlk205543789"/>
      <w:r w:rsidRPr="006913E9">
        <w:rPr>
          <w:rStyle w:val="Accentuation"/>
          <w:rFonts w:eastAsiaTheme="majorEastAsia"/>
          <w:i w:val="0"/>
          <w:iCs w:val="0"/>
          <w:szCs w:val="24"/>
          <w:lang w:val="fr-FR"/>
        </w:rPr>
        <w:t>49.</w:t>
      </w:r>
      <w:r w:rsidR="00D078E8" w:rsidRPr="006913E9">
        <w:rPr>
          <w:rStyle w:val="Accentuation"/>
          <w:rFonts w:eastAsiaTheme="majorEastAsia"/>
          <w:i w:val="0"/>
          <w:iCs w:val="0"/>
          <w:szCs w:val="24"/>
          <w:lang w:val="fr-FR"/>
        </w:rPr>
        <w:tab/>
      </w:r>
      <w:r w:rsidR="00110F33">
        <w:rPr>
          <w:rStyle w:val="Accentuation"/>
          <w:rFonts w:eastAsiaTheme="majorEastAsia"/>
          <w:i w:val="0"/>
          <w:iCs w:val="0"/>
          <w:szCs w:val="24"/>
          <w:lang w:val="fr-FR"/>
        </w:rPr>
        <w:t>L’Instance permanente demande au Fonds pour l’environnement mondial, au Fonds vert pour le climat, au Fonds pour l’application du Cadre mondial de la biodiversité, récemment créé, au Fonds de partenariat pour la réduction des émissions de carbone forestier et au Fonds pour l’adaptation, dirigé localement, entre autres, de mettre en place, en limitant les organisations intermédiaires, un mécanisme qui permettrait aux peuples autochtones d’accéder plus facilement et directement aux financements, selon des modalités flexibles et des critères transparents qui correspondent à leurs besoins.</w:t>
      </w:r>
    </w:p>
    <w:p w14:paraId="38CF7BEB" w14:textId="41DC57BF" w:rsidR="006935DA" w:rsidRPr="006913E9" w:rsidRDefault="006935DA" w:rsidP="003C4ACE">
      <w:pPr>
        <w:pStyle w:val="CBDNormalNoNumber"/>
        <w:tabs>
          <w:tab w:val="clear" w:pos="567"/>
          <w:tab w:val="clear" w:pos="1134"/>
        </w:tabs>
        <w:ind w:left="1134"/>
        <w:rPr>
          <w:rStyle w:val="Accentuation"/>
          <w:i w:val="0"/>
          <w:iCs w:val="0"/>
          <w:lang w:val="fr-FR"/>
        </w:rPr>
      </w:pPr>
      <w:r w:rsidRPr="006913E9">
        <w:rPr>
          <w:rStyle w:val="Accentuation"/>
          <w:i w:val="0"/>
          <w:iCs w:val="0"/>
          <w:lang w:val="fr-FR"/>
        </w:rPr>
        <w:t>53.</w:t>
      </w:r>
      <w:r w:rsidR="00D078E8" w:rsidRPr="006913E9">
        <w:rPr>
          <w:rStyle w:val="Accentuation"/>
          <w:i w:val="0"/>
          <w:iCs w:val="0"/>
          <w:lang w:val="fr-FR"/>
        </w:rPr>
        <w:tab/>
      </w:r>
      <w:r w:rsidR="00C6556E">
        <w:rPr>
          <w:rStyle w:val="Accentuation"/>
          <w:i w:val="0"/>
          <w:iCs w:val="0"/>
          <w:lang w:val="fr-FR"/>
        </w:rPr>
        <w:t>L’Instance permanente est préoccupée par les préjudices et les injustices causés dans certains cas par les marchés du carbone et les crédits biodiversité sur les terres et territoires des peuples autochtones et sur la biodiversité. Elle demande instamment au secrétariat de la Convention-cadre des Nations Unies sur les changements climatiques, au Secrétariat de la Convention sur la diversité biologique, au Fonds monétaire international et à la Banque mondiale d’exiger que les projets soient d’une grande intégrité et qu’ils imposent clairement de rendre des comptes en matière d’émissions de carbone et de biodiversité, et qu’ils présentent des avantages mesurables pour les peuples autochtones. Elle invite ces entités à lui rendre compte, à sa session de 2025, des mesures qu’elles auront prises.</w:t>
      </w:r>
    </w:p>
    <w:p w14:paraId="0AD1C84E" w14:textId="4CB62AC0" w:rsidR="006935DA" w:rsidRPr="006913E9" w:rsidRDefault="006935DA" w:rsidP="003C4ACE">
      <w:pPr>
        <w:pStyle w:val="CBDNormalNoNumber"/>
        <w:tabs>
          <w:tab w:val="clear" w:pos="567"/>
          <w:tab w:val="clear" w:pos="1134"/>
        </w:tabs>
        <w:ind w:left="1134"/>
        <w:rPr>
          <w:rStyle w:val="Accentuation"/>
          <w:i w:val="0"/>
          <w:iCs w:val="0"/>
          <w:lang w:val="fr-FR"/>
        </w:rPr>
      </w:pPr>
      <w:r w:rsidRPr="006913E9">
        <w:rPr>
          <w:rStyle w:val="Accentuation"/>
          <w:i w:val="0"/>
          <w:iCs w:val="0"/>
          <w:lang w:val="fr-FR"/>
        </w:rPr>
        <w:t>80.</w:t>
      </w:r>
      <w:r w:rsidR="00D078E8" w:rsidRPr="006913E9">
        <w:rPr>
          <w:rStyle w:val="Accentuation"/>
          <w:i w:val="0"/>
          <w:iCs w:val="0"/>
          <w:lang w:val="fr-FR"/>
        </w:rPr>
        <w:tab/>
      </w:r>
      <w:r w:rsidR="00C6556E">
        <w:rPr>
          <w:rStyle w:val="Accentuation"/>
          <w:i w:val="0"/>
          <w:iCs w:val="0"/>
          <w:lang w:val="fr-FR"/>
        </w:rPr>
        <w:t xml:space="preserve">L’Instance permanente souligne qu’il importe de créer des financements directs et accessibles pour les peuples autochtones africains afin de mettre en œuvre les trois Conventions de Rio (la Convention-cadre des Nations Unies sur les changements climatiques, la Convention sur la diversité biologique et la Convention des Nations Unies sur la lutte contre la désertification dans les pays gravement touchés par la sécheresse et/ou la désertification, en particulier en Afrique) et d’atteindre les objectifs de développement durable, comme le précise l’étude transmise dans la note du Secrétariat intitulée « Financer l’avenir : ressources financières nécessaires aux peuples autochtones pour mieux agir en faveur de la biodiversité, du climat et de la protection de la Terre nourricière » </w:t>
      </w:r>
      <w:r w:rsidRPr="006913E9">
        <w:rPr>
          <w:rStyle w:val="Accentuation"/>
          <w:i w:val="0"/>
          <w:iCs w:val="0"/>
          <w:lang w:val="fr-FR"/>
        </w:rPr>
        <w:t>(E/C.19/2024/7).</w:t>
      </w:r>
    </w:p>
    <w:p w14:paraId="2CFE1B53" w14:textId="206C17C0" w:rsidR="006935DA" w:rsidRPr="006913E9" w:rsidRDefault="006935DA" w:rsidP="003C4ACE">
      <w:pPr>
        <w:pStyle w:val="CBDNormalNoNumber"/>
        <w:tabs>
          <w:tab w:val="clear" w:pos="567"/>
          <w:tab w:val="clear" w:pos="1134"/>
        </w:tabs>
        <w:ind w:left="1134"/>
        <w:rPr>
          <w:rStyle w:val="Accentuation"/>
          <w:i w:val="0"/>
          <w:iCs w:val="0"/>
          <w:lang w:val="fr-FR"/>
        </w:rPr>
      </w:pPr>
      <w:r w:rsidRPr="006913E9">
        <w:rPr>
          <w:rStyle w:val="Accentuation"/>
          <w:i w:val="0"/>
          <w:iCs w:val="0"/>
          <w:lang w:val="fr-FR"/>
        </w:rPr>
        <w:t>126.</w:t>
      </w:r>
      <w:r w:rsidR="00D078E8" w:rsidRPr="006913E9">
        <w:rPr>
          <w:rStyle w:val="Accentuation"/>
          <w:i w:val="0"/>
          <w:iCs w:val="0"/>
          <w:lang w:val="fr-FR"/>
        </w:rPr>
        <w:tab/>
      </w:r>
      <w:r w:rsidR="00B53653">
        <w:rPr>
          <w:rStyle w:val="Accentuation"/>
          <w:i w:val="0"/>
          <w:iCs w:val="0"/>
          <w:lang w:val="fr-FR"/>
        </w:rPr>
        <w:t>Les peuples autochtones, qui détiennent les droits sur leurs terres, leurs territoires et leurs ressources, ont des connaissances qui sont essentielles pour le développement durable, en particulier pour les mécanismes internationaux pertinents et les Conférences des Parties, notamment à la Convention-cadre des Nations Unies sur les changements climatiques, à la Convention sur la diversité biologique et à la Convention des Nations Unies sur la lutte contre la désertification dans les pays gravement touchés par la sécheresse et/ou la désertification, en particulier en Afrique. L’Instance se félicite de l’étude transmise dans la note du Secrétariat intitulée « Financer l’avenir : ressources financières nécessaires aux peuples autochtones pour mieux agir en faveur de la biodiversité, du climat et de la protection de la Terre nourricière »</w:t>
      </w:r>
      <w:r w:rsidR="00B53653" w:rsidRPr="006913E9">
        <w:rPr>
          <w:rStyle w:val="Accentuation"/>
          <w:i w:val="0"/>
          <w:iCs w:val="0"/>
          <w:lang w:val="fr-FR"/>
        </w:rPr>
        <w:t xml:space="preserve"> </w:t>
      </w:r>
      <w:r w:rsidRPr="006913E9">
        <w:rPr>
          <w:rStyle w:val="Accentuation"/>
          <w:i w:val="0"/>
          <w:iCs w:val="0"/>
          <w:lang w:val="fr-FR"/>
        </w:rPr>
        <w:t>(E/C.19/2024/7).</w:t>
      </w:r>
    </w:p>
    <w:bookmarkEnd w:id="1"/>
    <w:p w14:paraId="789479E8" w14:textId="27DAAE3E" w:rsidR="003C780C" w:rsidRPr="006913E9" w:rsidRDefault="003C780C" w:rsidP="003C780C">
      <w:pPr>
        <w:pStyle w:val="CBDNormalNumber"/>
        <w:rPr>
          <w:rStyle w:val="Accentuation"/>
          <w:rFonts w:eastAsiaTheme="majorEastAsia"/>
          <w:i w:val="0"/>
          <w:iCs w:val="0"/>
          <w:lang w:val="fr-FR"/>
        </w:rPr>
      </w:pPr>
      <w:r w:rsidRPr="003C780C">
        <w:rPr>
          <w:rStyle w:val="Accentuation"/>
          <w:rFonts w:eastAsiaTheme="majorEastAsia"/>
          <w:i w:val="0"/>
          <w:iCs w:val="0"/>
          <w:lang w:val="fr-FR"/>
        </w:rPr>
        <w:t>Au titre du point 3 de l’ordre du jour de la présente réunion, un dialogue approfondi se tiendra sur le thème suivant : «</w:t>
      </w:r>
      <w:r w:rsidR="00233F12">
        <w:rPr>
          <w:rStyle w:val="Accentuation"/>
          <w:rFonts w:eastAsiaTheme="majorEastAsia"/>
          <w:i w:val="0"/>
          <w:iCs w:val="0"/>
          <w:lang w:val="fr-FR"/>
        </w:rPr>
        <w:t> </w:t>
      </w:r>
      <w:r w:rsidRPr="003C780C">
        <w:rPr>
          <w:rStyle w:val="Accentuation"/>
          <w:rFonts w:eastAsiaTheme="majorEastAsia"/>
          <w:i w:val="0"/>
          <w:iCs w:val="0"/>
          <w:lang w:val="fr-FR"/>
        </w:rPr>
        <w:t>Stratégies de mobilisation des ressources pour assurer la disponibilité et l’accessibilité des</w:t>
      </w:r>
      <w:r>
        <w:rPr>
          <w:rStyle w:val="Accentuation"/>
          <w:rFonts w:eastAsiaTheme="majorEastAsia"/>
          <w:i w:val="0"/>
          <w:iCs w:val="0"/>
          <w:lang w:val="fr-FR"/>
        </w:rPr>
        <w:t xml:space="preserve"> </w:t>
      </w:r>
      <w:r w:rsidRPr="003C780C">
        <w:rPr>
          <w:rStyle w:val="Accentuation"/>
          <w:rFonts w:eastAsiaTheme="majorEastAsia"/>
          <w:i w:val="0"/>
          <w:iCs w:val="0"/>
          <w:lang w:val="fr-FR"/>
        </w:rPr>
        <w:t>ressources financières et des financements, ainsi que d</w:t>
      </w:r>
      <w:r w:rsidR="00233F12">
        <w:rPr>
          <w:rStyle w:val="Accentuation"/>
          <w:rFonts w:eastAsiaTheme="majorEastAsia"/>
          <w:i w:val="0"/>
          <w:iCs w:val="0"/>
          <w:lang w:val="fr-FR"/>
        </w:rPr>
        <w:t>’</w:t>
      </w:r>
      <w:r w:rsidRPr="003C780C">
        <w:rPr>
          <w:rStyle w:val="Accentuation"/>
          <w:rFonts w:eastAsiaTheme="majorEastAsia"/>
          <w:i w:val="0"/>
          <w:iCs w:val="0"/>
          <w:lang w:val="fr-FR"/>
        </w:rPr>
        <w:t>autres moyens de mise en œuvre, notamment</w:t>
      </w:r>
      <w:r>
        <w:rPr>
          <w:rStyle w:val="Accentuation"/>
          <w:rFonts w:eastAsiaTheme="majorEastAsia"/>
          <w:i w:val="0"/>
          <w:iCs w:val="0"/>
          <w:lang w:val="fr-FR"/>
        </w:rPr>
        <w:t xml:space="preserve"> </w:t>
      </w:r>
      <w:r w:rsidRPr="003C780C">
        <w:rPr>
          <w:rStyle w:val="Accentuation"/>
          <w:rFonts w:eastAsiaTheme="majorEastAsia"/>
          <w:i w:val="0"/>
          <w:iCs w:val="0"/>
          <w:lang w:val="fr-FR"/>
        </w:rPr>
        <w:t>le renforcement des capacités, le développement et l</w:t>
      </w:r>
      <w:r w:rsidR="00233F12">
        <w:rPr>
          <w:rStyle w:val="Accentuation"/>
          <w:rFonts w:eastAsiaTheme="majorEastAsia"/>
          <w:i w:val="0"/>
          <w:iCs w:val="0"/>
          <w:lang w:val="fr-FR"/>
        </w:rPr>
        <w:t>’</w:t>
      </w:r>
      <w:r w:rsidRPr="003C780C">
        <w:rPr>
          <w:rStyle w:val="Accentuation"/>
          <w:rFonts w:eastAsiaTheme="majorEastAsia"/>
          <w:i w:val="0"/>
          <w:iCs w:val="0"/>
          <w:lang w:val="fr-FR"/>
        </w:rPr>
        <w:t xml:space="preserve">appui technique en faveur </w:t>
      </w:r>
      <w:r w:rsidRPr="003C780C">
        <w:rPr>
          <w:rStyle w:val="Accentuation"/>
          <w:rFonts w:eastAsiaTheme="majorEastAsia"/>
          <w:i w:val="0"/>
          <w:iCs w:val="0"/>
          <w:lang w:val="fr-FR"/>
        </w:rPr>
        <w:lastRenderedPageBreak/>
        <w:t>des peuples</w:t>
      </w:r>
      <w:r>
        <w:rPr>
          <w:rStyle w:val="Accentuation"/>
          <w:rFonts w:eastAsiaTheme="majorEastAsia"/>
          <w:i w:val="0"/>
          <w:iCs w:val="0"/>
          <w:lang w:val="fr-FR"/>
        </w:rPr>
        <w:t xml:space="preserve"> </w:t>
      </w:r>
      <w:r w:rsidRPr="003C780C">
        <w:rPr>
          <w:rStyle w:val="Accentuation"/>
          <w:rFonts w:eastAsiaTheme="majorEastAsia"/>
          <w:i w:val="0"/>
          <w:iCs w:val="0"/>
          <w:lang w:val="fr-FR"/>
        </w:rPr>
        <w:t>autochtones et communautés locales, y compris les femmes et les jeunes, afin de favoriser la pleine</w:t>
      </w:r>
      <w:r>
        <w:rPr>
          <w:rStyle w:val="Accentuation"/>
          <w:rFonts w:eastAsiaTheme="majorEastAsia"/>
          <w:i w:val="0"/>
          <w:iCs w:val="0"/>
          <w:lang w:val="fr-FR"/>
        </w:rPr>
        <w:t xml:space="preserve"> </w:t>
      </w:r>
      <w:r w:rsidRPr="003C780C">
        <w:rPr>
          <w:rStyle w:val="Accentuation"/>
          <w:rFonts w:eastAsiaTheme="majorEastAsia"/>
          <w:i w:val="0"/>
          <w:iCs w:val="0"/>
          <w:lang w:val="fr-FR"/>
        </w:rPr>
        <w:t>mise en œuvre du Cadre mondial de la biodiversité de Kunming-Montréal</w:t>
      </w:r>
      <w:r>
        <w:rPr>
          <w:rStyle w:val="Accentuation"/>
          <w:rFonts w:eastAsiaTheme="majorEastAsia"/>
          <w:i w:val="0"/>
          <w:iCs w:val="0"/>
          <w:lang w:val="fr-FR"/>
        </w:rPr>
        <w:t> »</w:t>
      </w:r>
      <w:r w:rsidRPr="006913E9">
        <w:rPr>
          <w:rStyle w:val="Accentuation"/>
          <w:rFonts w:eastAsiaTheme="majorEastAsia"/>
          <w:i w:val="0"/>
          <w:iCs w:val="0"/>
          <w:lang w:val="fr-FR"/>
        </w:rPr>
        <w:t xml:space="preserve"> </w:t>
      </w:r>
    </w:p>
    <w:p w14:paraId="4324028E" w14:textId="0D0FAFFA" w:rsidR="006935DA" w:rsidRPr="004A78CC" w:rsidRDefault="004A78CC" w:rsidP="004A78CC">
      <w:pPr>
        <w:pStyle w:val="CBDNormalNumber"/>
        <w:rPr>
          <w:rStyle w:val="Accentuation"/>
          <w:rFonts w:eastAsiaTheme="majorEastAsia"/>
          <w:i w:val="0"/>
          <w:iCs w:val="0"/>
          <w:lang w:val="fr-FR"/>
        </w:rPr>
      </w:pPr>
      <w:r w:rsidRPr="004A78CC">
        <w:rPr>
          <w:rStyle w:val="Accentuation"/>
          <w:rFonts w:eastAsiaTheme="majorEastAsia"/>
          <w:i w:val="0"/>
          <w:iCs w:val="0"/>
          <w:lang w:val="fr-FR"/>
        </w:rPr>
        <w:t>Dans sa décision</w:t>
      </w:r>
      <w:r w:rsidR="00233F12">
        <w:rPr>
          <w:lang w:val="fr-FR"/>
        </w:rPr>
        <w:t> </w:t>
      </w:r>
      <w:hyperlink r:id="rId14" w:history="1">
        <w:r w:rsidR="00D450C2" w:rsidRPr="004A78CC">
          <w:rPr>
            <w:rStyle w:val="Lienhypertexte"/>
            <w:lang w:val="fr-FR"/>
          </w:rPr>
          <w:t>1</w:t>
        </w:r>
        <w:r w:rsidR="00D450C2" w:rsidRPr="004A78CC">
          <w:rPr>
            <w:rStyle w:val="Lienhypertexte"/>
            <w:lang w:val="fr-FR"/>
          </w:rPr>
          <w:t>6</w:t>
        </w:r>
        <w:r w:rsidR="00D450C2" w:rsidRPr="004A78CC">
          <w:rPr>
            <w:rStyle w:val="Lienhypertexte"/>
            <w:lang w:val="fr-FR"/>
          </w:rPr>
          <w:t>/4</w:t>
        </w:r>
      </w:hyperlink>
      <w:r w:rsidR="00C97920" w:rsidRPr="004A78CC">
        <w:rPr>
          <w:lang w:val="fr-FR"/>
        </w:rPr>
        <w:t>,</w:t>
      </w:r>
      <w:r w:rsidR="00FA0B02" w:rsidRPr="004A78CC">
        <w:rPr>
          <w:lang w:val="fr-FR"/>
        </w:rPr>
        <w:t xml:space="preserve"> </w:t>
      </w:r>
      <w:r w:rsidRPr="004A78CC">
        <w:rPr>
          <w:rStyle w:val="Accentuation"/>
          <w:rFonts w:eastAsiaTheme="majorEastAsia"/>
          <w:i w:val="0"/>
          <w:iCs w:val="0"/>
          <w:lang w:val="fr-FR"/>
        </w:rPr>
        <w:t xml:space="preserve">la Conférence des Parties a adopté un programme de travail sur l’article 8 j) et les autres dispositions de la Convention relatives aux peuples autochtones et communautés locales à l’horizon 2030. Au titre de l’élément 8 du programme de travail, concernant l’accès, y compris direct, au financement en faveur des peuples autochtones et communautés locales aux fins de la conservation, de la restauration et de l’utilisation durable de la biodiversité, la Conférence des Parties </w:t>
      </w:r>
      <w:r w:rsidR="006769BA">
        <w:rPr>
          <w:rStyle w:val="Accentuation"/>
          <w:rFonts w:eastAsiaTheme="majorEastAsia"/>
          <w:i w:val="0"/>
          <w:iCs w:val="0"/>
          <w:lang w:val="fr-FR"/>
        </w:rPr>
        <w:t>est convenue des</w:t>
      </w:r>
      <w:r w:rsidRPr="004A78CC">
        <w:rPr>
          <w:rStyle w:val="Accentuation"/>
          <w:rFonts w:eastAsiaTheme="majorEastAsia"/>
          <w:i w:val="0"/>
          <w:iCs w:val="0"/>
          <w:lang w:val="fr-FR"/>
        </w:rPr>
        <w:t xml:space="preserve"> tâches suivantes : appuyer la mobilisation de ressources financières en faveur des peuples autochtones et communautés locales, conformément à la stratégie de mobilisation des ressources pour la période</w:t>
      </w:r>
      <w:r w:rsidR="00233F12">
        <w:rPr>
          <w:rStyle w:val="Accentuation"/>
          <w:rFonts w:eastAsiaTheme="majorEastAsia"/>
          <w:i w:val="0"/>
          <w:iCs w:val="0"/>
          <w:lang w:val="fr-FR"/>
        </w:rPr>
        <w:t> </w:t>
      </w:r>
      <w:r w:rsidRPr="004A78CC">
        <w:rPr>
          <w:rStyle w:val="Accentuation"/>
          <w:rFonts w:eastAsiaTheme="majorEastAsia"/>
          <w:i w:val="0"/>
          <w:iCs w:val="0"/>
          <w:lang w:val="fr-FR"/>
        </w:rPr>
        <w:t>2025-2030 et dans les limites de son champ d’application</w:t>
      </w:r>
      <w:r w:rsidR="00B50D69" w:rsidRPr="004A78CC">
        <w:rPr>
          <w:rStyle w:val="Accentuation"/>
          <w:rFonts w:eastAsiaTheme="majorEastAsia"/>
          <w:i w:val="0"/>
          <w:iCs w:val="0"/>
          <w:lang w:val="fr-FR"/>
        </w:rPr>
        <w:t xml:space="preserve"> </w:t>
      </w:r>
      <w:r w:rsidR="00BE7D97" w:rsidRPr="004A78CC">
        <w:rPr>
          <w:lang w:val="fr-FR"/>
        </w:rPr>
        <w:t>(</w:t>
      </w:r>
      <w:r w:rsidRPr="004A78CC">
        <w:rPr>
          <w:rStyle w:val="Accentuation"/>
          <w:rFonts w:eastAsiaTheme="majorEastAsia"/>
          <w:i w:val="0"/>
          <w:iCs w:val="0"/>
          <w:lang w:val="fr-FR"/>
        </w:rPr>
        <w:t>tâche</w:t>
      </w:r>
      <w:r w:rsidR="00233F12">
        <w:rPr>
          <w:rStyle w:val="Accentuation"/>
          <w:rFonts w:eastAsiaTheme="majorEastAsia"/>
          <w:i w:val="0"/>
          <w:iCs w:val="0"/>
          <w:lang w:val="fr-FR"/>
        </w:rPr>
        <w:t> </w:t>
      </w:r>
      <w:r w:rsidR="00BE7D97" w:rsidRPr="004A78CC">
        <w:rPr>
          <w:rStyle w:val="Accentuation"/>
          <w:rFonts w:eastAsiaTheme="majorEastAsia"/>
          <w:i w:val="0"/>
          <w:iCs w:val="0"/>
          <w:lang w:val="fr-FR"/>
        </w:rPr>
        <w:t>8.1</w:t>
      </w:r>
      <w:r w:rsidR="00BE7D97" w:rsidRPr="004A78CC">
        <w:rPr>
          <w:lang w:val="fr-FR"/>
        </w:rPr>
        <w:t>)</w:t>
      </w:r>
      <w:r w:rsidRPr="004A78CC">
        <w:rPr>
          <w:lang w:val="fr-FR"/>
        </w:rPr>
        <w:t> </w:t>
      </w:r>
      <w:r w:rsidR="00B2114D" w:rsidRPr="004A78CC">
        <w:rPr>
          <w:rStyle w:val="Accentuation"/>
          <w:rFonts w:eastAsiaTheme="majorEastAsia"/>
          <w:i w:val="0"/>
          <w:iCs w:val="0"/>
          <w:lang w:val="fr-FR"/>
        </w:rPr>
        <w:t>;</w:t>
      </w:r>
      <w:r w:rsidR="001F5572" w:rsidRPr="004A78CC">
        <w:rPr>
          <w:rStyle w:val="Accentuation"/>
          <w:rFonts w:eastAsiaTheme="majorEastAsia"/>
          <w:i w:val="0"/>
          <w:iCs w:val="0"/>
          <w:lang w:val="fr-FR"/>
        </w:rPr>
        <w:t xml:space="preserve"> </w:t>
      </w:r>
      <w:r w:rsidRPr="004A78CC">
        <w:rPr>
          <w:rStyle w:val="Accentuation"/>
          <w:rFonts w:eastAsiaTheme="majorEastAsia"/>
          <w:i w:val="0"/>
          <w:iCs w:val="0"/>
          <w:lang w:val="fr-FR"/>
        </w:rPr>
        <w:t xml:space="preserve">et </w:t>
      </w:r>
      <w:r w:rsidR="00233F12">
        <w:rPr>
          <w:rStyle w:val="Accentuation"/>
          <w:rFonts w:eastAsiaTheme="majorEastAsia"/>
          <w:i w:val="0"/>
          <w:iCs w:val="0"/>
          <w:lang w:val="fr-FR"/>
        </w:rPr>
        <w:t>r</w:t>
      </w:r>
      <w:r w:rsidRPr="004A78CC">
        <w:rPr>
          <w:rStyle w:val="Accentuation"/>
          <w:rFonts w:eastAsiaTheme="majorEastAsia"/>
          <w:i w:val="0"/>
          <w:iCs w:val="0"/>
          <w:lang w:val="fr-FR"/>
        </w:rPr>
        <w:t>ecenser les lacunes, promouvoir les bonnes pratiques et étudier plus avant les possibilités d’étoffer ou d’améliorer les politiques et mécanismes existants et autres initiatives et mesures approprié</w:t>
      </w:r>
      <w:r w:rsidR="00233F12">
        <w:rPr>
          <w:rStyle w:val="Accentuation"/>
          <w:rFonts w:eastAsiaTheme="majorEastAsia"/>
          <w:i w:val="0"/>
          <w:iCs w:val="0"/>
          <w:lang w:val="fr-FR"/>
        </w:rPr>
        <w:t>e</w:t>
      </w:r>
      <w:r w:rsidRPr="004A78CC">
        <w:rPr>
          <w:rStyle w:val="Accentuation"/>
          <w:rFonts w:eastAsiaTheme="majorEastAsia"/>
          <w:i w:val="0"/>
          <w:iCs w:val="0"/>
          <w:lang w:val="fr-FR"/>
        </w:rPr>
        <w:t>s afin d’améliorer l’accès, y compris l’accès direct, des peuples autochtones et communautés locales au financement pour les initiatives collectives de conservation et d’utilisation durable de la biodiversité, en particulier les initiatives menées par les femmes et</w:t>
      </w:r>
      <w:r>
        <w:rPr>
          <w:rStyle w:val="Accentuation"/>
          <w:rFonts w:eastAsiaTheme="majorEastAsia"/>
          <w:i w:val="0"/>
          <w:iCs w:val="0"/>
          <w:lang w:val="fr-FR"/>
        </w:rPr>
        <w:t xml:space="preserve"> </w:t>
      </w:r>
      <w:r w:rsidRPr="004A78CC">
        <w:rPr>
          <w:rStyle w:val="Accentuation"/>
          <w:rFonts w:eastAsiaTheme="majorEastAsia"/>
          <w:i w:val="0"/>
          <w:iCs w:val="0"/>
          <w:lang w:val="fr-FR"/>
        </w:rPr>
        <w:t>les jeunes</w:t>
      </w:r>
      <w:r>
        <w:rPr>
          <w:rStyle w:val="Accentuation"/>
          <w:rFonts w:eastAsiaTheme="majorEastAsia"/>
          <w:i w:val="0"/>
          <w:iCs w:val="0"/>
          <w:lang w:val="fr-FR"/>
        </w:rPr>
        <w:t xml:space="preserve"> </w:t>
      </w:r>
      <w:r w:rsidR="00BE7D97" w:rsidRPr="004A78CC">
        <w:rPr>
          <w:rStyle w:val="Accentuation"/>
          <w:rFonts w:eastAsiaTheme="majorEastAsia"/>
          <w:i w:val="0"/>
          <w:iCs w:val="0"/>
          <w:lang w:val="fr-FR"/>
        </w:rPr>
        <w:t>(</w:t>
      </w:r>
      <w:r>
        <w:rPr>
          <w:rStyle w:val="Accentuation"/>
          <w:rFonts w:eastAsiaTheme="majorEastAsia"/>
          <w:i w:val="0"/>
          <w:iCs w:val="0"/>
          <w:lang w:val="fr-FR"/>
        </w:rPr>
        <w:t>tâche</w:t>
      </w:r>
      <w:r w:rsidR="00233F12">
        <w:rPr>
          <w:rStyle w:val="Accentuation"/>
          <w:rFonts w:eastAsiaTheme="majorEastAsia"/>
          <w:i w:val="0"/>
          <w:iCs w:val="0"/>
          <w:lang w:val="fr-FR"/>
        </w:rPr>
        <w:t> </w:t>
      </w:r>
      <w:r w:rsidR="00BE7D97" w:rsidRPr="004A78CC">
        <w:rPr>
          <w:rStyle w:val="Accentuation"/>
          <w:rFonts w:eastAsiaTheme="majorEastAsia"/>
          <w:i w:val="0"/>
          <w:iCs w:val="0"/>
          <w:lang w:val="fr-FR"/>
        </w:rPr>
        <w:t>8.2)</w:t>
      </w:r>
      <w:r w:rsidR="006935DA" w:rsidRPr="004A78CC">
        <w:rPr>
          <w:rStyle w:val="Accentuation"/>
          <w:rFonts w:eastAsiaTheme="majorEastAsia"/>
          <w:i w:val="0"/>
          <w:iCs w:val="0"/>
          <w:lang w:val="fr-FR"/>
        </w:rPr>
        <w:t xml:space="preserve">. </w:t>
      </w:r>
      <w:r>
        <w:rPr>
          <w:rStyle w:val="Accentuation"/>
          <w:rFonts w:eastAsiaTheme="majorEastAsia"/>
          <w:i w:val="0"/>
          <w:iCs w:val="0"/>
          <w:lang w:val="fr-FR"/>
        </w:rPr>
        <w:t>Le dialogue approfondi mentionné ci-dessus vise également à éclairer la mise en œuvre de la tâche 8.2.</w:t>
      </w:r>
    </w:p>
    <w:p w14:paraId="5782D0A2" w14:textId="6312BC16" w:rsidR="006935DA" w:rsidRPr="006913E9" w:rsidRDefault="004A78CC" w:rsidP="003C4ACE">
      <w:pPr>
        <w:pStyle w:val="CBDNormalNumber"/>
        <w:rPr>
          <w:rStyle w:val="Accentuation"/>
          <w:rFonts w:eastAsiaTheme="majorEastAsia"/>
          <w:i w:val="0"/>
          <w:iCs w:val="0"/>
          <w:lang w:val="fr-FR"/>
        </w:rPr>
      </w:pPr>
      <w:r>
        <w:rPr>
          <w:rStyle w:val="Accentuation"/>
          <w:rFonts w:eastAsiaTheme="majorEastAsia"/>
          <w:i w:val="0"/>
          <w:iCs w:val="0"/>
          <w:lang w:val="fr-FR"/>
        </w:rPr>
        <w:t>Dans sa décision</w:t>
      </w:r>
      <w:r w:rsidR="00D31CF4" w:rsidRPr="006913E9">
        <w:rPr>
          <w:lang w:val="fr-FR"/>
        </w:rPr>
        <w:t xml:space="preserve"> </w:t>
      </w:r>
      <w:hyperlink r:id="rId15" w:history="1">
        <w:r w:rsidR="00D31CF4" w:rsidRPr="006913E9">
          <w:rPr>
            <w:rStyle w:val="Lienhypertexte"/>
            <w:lang w:val="fr-FR"/>
          </w:rPr>
          <w:t>16/</w:t>
        </w:r>
        <w:r w:rsidR="00D31CF4" w:rsidRPr="006913E9">
          <w:rPr>
            <w:rStyle w:val="Lienhypertexte"/>
            <w:lang w:val="fr-FR"/>
          </w:rPr>
          <w:t>3</w:t>
        </w:r>
        <w:r w:rsidR="00D31CF4" w:rsidRPr="006913E9">
          <w:rPr>
            <w:rStyle w:val="Lienhypertexte"/>
            <w:lang w:val="fr-FR"/>
          </w:rPr>
          <w:t>4</w:t>
        </w:r>
      </w:hyperlink>
      <w:r w:rsidR="00C97920" w:rsidRPr="006913E9">
        <w:rPr>
          <w:lang w:val="fr-FR"/>
        </w:rPr>
        <w:t>,</w:t>
      </w:r>
      <w:r>
        <w:rPr>
          <w:lang w:val="fr-FR"/>
        </w:rPr>
        <w:t xml:space="preserve"> la Conférence des Parties a adopté une stratégie de mobilisation des ressources pour la période</w:t>
      </w:r>
      <w:r w:rsidR="00233F12">
        <w:rPr>
          <w:lang w:val="fr-FR"/>
        </w:rPr>
        <w:t> </w:t>
      </w:r>
      <w:r w:rsidR="001470B0" w:rsidRPr="006913E9">
        <w:rPr>
          <w:lang w:val="fr-FR"/>
        </w:rPr>
        <w:t>2025–2030</w:t>
      </w:r>
      <w:r w:rsidR="006935DA" w:rsidRPr="006913E9">
        <w:rPr>
          <w:lang w:val="fr-FR"/>
        </w:rPr>
        <w:t xml:space="preserve">, </w:t>
      </w:r>
      <w:r>
        <w:rPr>
          <w:lang w:val="fr-FR"/>
        </w:rPr>
        <w:t xml:space="preserve">dans laquelle sont mis en avant une grande variété d’instruments, de mécanismes et d’institutions sur lesquels s’appuyer pour mobiliser les ressources nécessaires à la mise en œuvre du Cadre. La stratégie inclut </w:t>
      </w:r>
      <w:r w:rsidR="007740DF">
        <w:rPr>
          <w:lang w:val="fr-FR"/>
        </w:rPr>
        <w:t>les finances publiques des gouvernements nationaux et sous-régionaux, des sources privées et philanthropiques, des banques de développement multilatérales, des financements mixtes et des approches de financement innovants. Dans sa décision </w:t>
      </w:r>
      <w:hyperlink r:id="rId16" w:history="1">
        <w:r w:rsidR="004E7286" w:rsidRPr="006913E9">
          <w:rPr>
            <w:rStyle w:val="Lienhypertexte"/>
            <w:rFonts w:eastAsiaTheme="majorEastAsia"/>
            <w:lang w:val="fr-FR"/>
          </w:rPr>
          <w:t>16</w:t>
        </w:r>
        <w:r w:rsidR="004E7286" w:rsidRPr="006913E9">
          <w:rPr>
            <w:rStyle w:val="Lienhypertexte"/>
            <w:rFonts w:eastAsiaTheme="majorEastAsia"/>
            <w:lang w:val="fr-FR"/>
          </w:rPr>
          <w:t>/</w:t>
        </w:r>
        <w:r w:rsidR="004E7286" w:rsidRPr="006913E9">
          <w:rPr>
            <w:rStyle w:val="Lienhypertexte"/>
            <w:rFonts w:eastAsiaTheme="majorEastAsia"/>
            <w:lang w:val="fr-FR"/>
          </w:rPr>
          <w:t>33</w:t>
        </w:r>
      </w:hyperlink>
      <w:r w:rsidR="00C97920" w:rsidRPr="006913E9">
        <w:rPr>
          <w:rStyle w:val="Accentuation"/>
          <w:rFonts w:eastAsiaTheme="majorEastAsia"/>
          <w:i w:val="0"/>
          <w:iCs w:val="0"/>
          <w:lang w:val="fr-FR"/>
        </w:rPr>
        <w:t>,</w:t>
      </w:r>
      <w:r w:rsidR="007E52C1" w:rsidRPr="006913E9">
        <w:rPr>
          <w:rStyle w:val="Accentuation"/>
          <w:rFonts w:eastAsiaTheme="majorEastAsia"/>
          <w:i w:val="0"/>
          <w:iCs w:val="0"/>
          <w:lang w:val="fr-FR"/>
        </w:rPr>
        <w:t xml:space="preserve"> </w:t>
      </w:r>
      <w:r w:rsidR="007740DF">
        <w:rPr>
          <w:rStyle w:val="Accentuation"/>
          <w:rFonts w:eastAsiaTheme="majorEastAsia"/>
          <w:i w:val="0"/>
          <w:iCs w:val="0"/>
          <w:lang w:val="fr-FR"/>
        </w:rPr>
        <w:t>la Conférence des Parties a encouragé le Fonds pour l’environnement mondial à continuer d’explorer d’éventuelles possibilités de maximiser la contribution de ses programmes intégrés à la mise en œuvre du Cadre de la biodiversité de Kunming-Montréal, notamment en apportant un appui ciblé aux peuples autochtones et communautés locales, aux femmes et aux jeunes.</w:t>
      </w:r>
    </w:p>
    <w:p w14:paraId="508AC8E4" w14:textId="2DDECC5C" w:rsidR="006935DA" w:rsidRPr="006913E9" w:rsidRDefault="00A64D3B" w:rsidP="003C4ACE">
      <w:pPr>
        <w:pStyle w:val="CBDNormalNumber"/>
        <w:rPr>
          <w:rStyle w:val="Accentuation"/>
          <w:rFonts w:eastAsiaTheme="majorEastAsia"/>
          <w:i w:val="0"/>
          <w:iCs w:val="0"/>
          <w:lang w:val="fr-FR"/>
        </w:rPr>
      </w:pPr>
      <w:r>
        <w:rPr>
          <w:rStyle w:val="Accentuation"/>
          <w:rFonts w:eastAsiaTheme="majorEastAsia"/>
          <w:i w:val="0"/>
          <w:iCs w:val="0"/>
          <w:lang w:val="fr-FR"/>
        </w:rPr>
        <w:t>Les paragraphes</w:t>
      </w:r>
      <w:r w:rsidR="00233F12">
        <w:rPr>
          <w:rStyle w:val="Accentuation"/>
          <w:rFonts w:eastAsiaTheme="majorEastAsia"/>
          <w:i w:val="0"/>
          <w:iCs w:val="0"/>
          <w:lang w:val="fr-FR"/>
        </w:rPr>
        <w:t> </w:t>
      </w:r>
      <w:r w:rsidR="006935DA" w:rsidRPr="006913E9">
        <w:rPr>
          <w:noProof/>
          <w:snapToGrid w:val="0"/>
          <w:lang w:val="fr-FR"/>
        </w:rPr>
        <w:t>119</w:t>
      </w:r>
      <w:r w:rsidR="006935DA" w:rsidRPr="006913E9">
        <w:rPr>
          <w:rStyle w:val="Accentuation"/>
          <w:rFonts w:eastAsiaTheme="majorEastAsia"/>
          <w:i w:val="0"/>
          <w:iCs w:val="0"/>
          <w:lang w:val="fr-FR"/>
        </w:rPr>
        <w:t xml:space="preserve"> </w:t>
      </w:r>
      <w:r>
        <w:rPr>
          <w:rStyle w:val="Accentuation"/>
          <w:rFonts w:eastAsiaTheme="majorEastAsia"/>
          <w:i w:val="0"/>
          <w:iCs w:val="0"/>
          <w:lang w:val="fr-FR"/>
        </w:rPr>
        <w:t>et</w:t>
      </w:r>
      <w:r w:rsidR="006935DA" w:rsidRPr="006913E9">
        <w:rPr>
          <w:rStyle w:val="Accentuation"/>
          <w:rFonts w:eastAsiaTheme="majorEastAsia"/>
          <w:i w:val="0"/>
          <w:iCs w:val="0"/>
          <w:lang w:val="fr-FR"/>
        </w:rPr>
        <w:t xml:space="preserve"> 120 </w:t>
      </w:r>
      <w:r>
        <w:rPr>
          <w:rStyle w:val="Accentuation"/>
          <w:rFonts w:eastAsiaTheme="majorEastAsia"/>
          <w:i w:val="0"/>
          <w:iCs w:val="0"/>
          <w:lang w:val="fr-FR"/>
        </w:rPr>
        <w:t>du rapport de l’Instance permanente portent en particulier sur la terminologie et la garantie des droits des peuples autochtones</w:t>
      </w:r>
      <w:r w:rsidR="006769BA">
        <w:rPr>
          <w:rStyle w:val="Accentuation"/>
          <w:rFonts w:eastAsiaTheme="majorEastAsia"/>
          <w:i w:val="0"/>
          <w:iCs w:val="0"/>
          <w:lang w:val="fr-FR"/>
        </w:rPr>
        <w:t>,</w:t>
      </w:r>
      <w:r>
        <w:rPr>
          <w:rStyle w:val="Accentuation"/>
          <w:rFonts w:eastAsiaTheme="majorEastAsia"/>
          <w:i w:val="0"/>
          <w:iCs w:val="0"/>
          <w:lang w:val="fr-FR"/>
        </w:rPr>
        <w:t xml:space="preserve"> et y figurent comme suit :</w:t>
      </w:r>
    </w:p>
    <w:p w14:paraId="7749BE33" w14:textId="73C7FD8B" w:rsidR="006935DA" w:rsidRPr="006913E9" w:rsidRDefault="006935DA" w:rsidP="003C4ACE">
      <w:pPr>
        <w:pStyle w:val="CBDNormalNoNumber"/>
        <w:tabs>
          <w:tab w:val="clear" w:pos="567"/>
          <w:tab w:val="clear" w:pos="1134"/>
        </w:tabs>
        <w:ind w:left="1134"/>
        <w:rPr>
          <w:rStyle w:val="Accentuation"/>
          <w:rFonts w:eastAsiaTheme="majorEastAsia"/>
          <w:i w:val="0"/>
          <w:iCs w:val="0"/>
          <w:lang w:val="fr-FR"/>
        </w:rPr>
      </w:pPr>
      <w:r w:rsidRPr="006913E9">
        <w:rPr>
          <w:rStyle w:val="Accentuation"/>
          <w:rFonts w:eastAsiaTheme="majorEastAsia"/>
          <w:i w:val="0"/>
          <w:iCs w:val="0"/>
          <w:lang w:val="fr-FR"/>
        </w:rPr>
        <w:t>119.</w:t>
      </w:r>
      <w:r w:rsidR="004021CD" w:rsidRPr="006913E9">
        <w:rPr>
          <w:rStyle w:val="Accentuation"/>
          <w:rFonts w:eastAsiaTheme="majorEastAsia"/>
          <w:i w:val="0"/>
          <w:iCs w:val="0"/>
          <w:lang w:val="fr-FR"/>
        </w:rPr>
        <w:tab/>
      </w:r>
      <w:r w:rsidR="00A64D3B">
        <w:rPr>
          <w:rStyle w:val="Accentuation"/>
          <w:rFonts w:eastAsiaTheme="majorEastAsia"/>
          <w:i w:val="0"/>
          <w:iCs w:val="0"/>
          <w:lang w:val="fr-FR"/>
        </w:rPr>
        <w:t>L’Instance permanente réaffirme qu’elle a demandé instamment à toutes les entités des Nations Unies et aux États parties aux traités relatifs à l’environnement, à la biodiversité et au climat, de ne plus utiliser l’expression « communautés locales » en lien avec les peuples autochtones, et de faire la distinction entre ces termes, dans les processus en cours, les politiques et les nouveaux accords internationaux à tous les niveaux.</w:t>
      </w:r>
      <w:r w:rsidRPr="006913E9">
        <w:rPr>
          <w:rStyle w:val="Accentuation"/>
          <w:rFonts w:eastAsiaTheme="majorEastAsia"/>
          <w:lang w:val="fr-FR"/>
        </w:rPr>
        <w:t xml:space="preserve"> </w:t>
      </w:r>
    </w:p>
    <w:p w14:paraId="63128F87" w14:textId="3EB16FCE" w:rsidR="006935DA" w:rsidRPr="006913E9" w:rsidRDefault="006935DA" w:rsidP="003C4ACE">
      <w:pPr>
        <w:pStyle w:val="CBDNormalNoNumber"/>
        <w:tabs>
          <w:tab w:val="clear" w:pos="567"/>
          <w:tab w:val="clear" w:pos="1134"/>
        </w:tabs>
        <w:ind w:left="1134"/>
        <w:rPr>
          <w:rStyle w:val="Accentuation"/>
          <w:rFonts w:eastAsiaTheme="majorEastAsia"/>
          <w:i w:val="0"/>
          <w:iCs w:val="0"/>
          <w:lang w:val="fr-FR"/>
        </w:rPr>
      </w:pPr>
      <w:r w:rsidRPr="006913E9">
        <w:rPr>
          <w:rStyle w:val="Accentuation"/>
          <w:rFonts w:eastAsiaTheme="majorEastAsia"/>
          <w:i w:val="0"/>
          <w:iCs w:val="0"/>
          <w:lang w:val="fr-FR"/>
        </w:rPr>
        <w:t>120.</w:t>
      </w:r>
      <w:r w:rsidR="004021CD" w:rsidRPr="006913E9">
        <w:rPr>
          <w:rStyle w:val="Accentuation"/>
          <w:rFonts w:eastAsiaTheme="majorEastAsia"/>
          <w:i w:val="0"/>
          <w:iCs w:val="0"/>
          <w:lang w:val="fr-FR"/>
        </w:rPr>
        <w:tab/>
      </w:r>
      <w:r w:rsidR="00A64D3B">
        <w:rPr>
          <w:rStyle w:val="Accentuation"/>
          <w:rFonts w:eastAsiaTheme="majorEastAsia"/>
          <w:i w:val="0"/>
          <w:iCs w:val="0"/>
          <w:lang w:val="fr-FR"/>
        </w:rPr>
        <w:t>L’Instance permanente encourage les parties à la Convention sur la diversité biologique à veiller à ce que des progrès soient accomplis en ce qui concerne les dispositions institutionnelles garantissant des approches fondées sur les droits humains du Cadre mondial de la biodiversité de Kunming-Montréal, avec la participation pleine et effective des peuples autochtones. En outre, elle engage la Conférence des Parties à demander à ses organes subsidiaires compétents de convoquer une réunion d’un groupe d’experts ad hoc, avec la participation d’experts des trois mécanismes des Nations Unies relatifs aux peuples autochtones, afin qu’ils examinent l’amalgame qui est fait entre les peuples autochtones et d’autres groupes de la société et déterminent quelles mesures prendre pour éviter un tel amalgame.</w:t>
      </w:r>
    </w:p>
    <w:p w14:paraId="2AE0FD9A" w14:textId="1864D1B7" w:rsidR="00B66F32" w:rsidRPr="006913E9" w:rsidRDefault="00A631CF" w:rsidP="003C4ACE">
      <w:pPr>
        <w:pStyle w:val="CBDNormalNumber"/>
        <w:rPr>
          <w:rStyle w:val="Accentuation"/>
          <w:rFonts w:eastAsiaTheme="majorEastAsia"/>
          <w:i w:val="0"/>
          <w:iCs w:val="0"/>
          <w:lang w:val="fr-FR"/>
        </w:rPr>
      </w:pPr>
      <w:r>
        <w:rPr>
          <w:rStyle w:val="Accentuation"/>
          <w:rFonts w:eastAsiaTheme="majorEastAsia"/>
          <w:i w:val="0"/>
          <w:iCs w:val="0"/>
          <w:lang w:val="fr-FR"/>
        </w:rPr>
        <w:t>Dans sa décision </w:t>
      </w:r>
      <w:hyperlink r:id="rId17" w:history="1">
        <w:r w:rsidR="00F77619" w:rsidRPr="006913E9">
          <w:rPr>
            <w:rStyle w:val="Lienhypertexte"/>
            <w:rFonts w:eastAsiaTheme="majorEastAsia"/>
            <w:lang w:val="fr-FR"/>
          </w:rPr>
          <w:t>XII</w:t>
        </w:r>
        <w:r w:rsidR="00F77619" w:rsidRPr="006913E9">
          <w:rPr>
            <w:rStyle w:val="Lienhypertexte"/>
            <w:rFonts w:eastAsiaTheme="majorEastAsia"/>
            <w:lang w:val="fr-FR"/>
          </w:rPr>
          <w:t>/</w:t>
        </w:r>
        <w:r w:rsidR="00F77619" w:rsidRPr="006913E9">
          <w:rPr>
            <w:rStyle w:val="Lienhypertexte"/>
            <w:rFonts w:eastAsiaTheme="majorEastAsia"/>
            <w:lang w:val="fr-FR"/>
          </w:rPr>
          <w:t>1</w:t>
        </w:r>
        <w:r w:rsidR="00F77619" w:rsidRPr="006913E9">
          <w:rPr>
            <w:rStyle w:val="Lienhypertexte"/>
            <w:rFonts w:eastAsiaTheme="majorEastAsia"/>
            <w:lang w:val="fr-FR"/>
          </w:rPr>
          <w:t>2</w:t>
        </w:r>
      </w:hyperlink>
      <w:r w:rsidR="00DF7C20" w:rsidRPr="006913E9">
        <w:rPr>
          <w:rStyle w:val="Accentuation"/>
          <w:rFonts w:eastAsiaTheme="majorEastAsia"/>
          <w:i w:val="0"/>
          <w:iCs w:val="0"/>
          <w:lang w:val="fr-FR"/>
        </w:rPr>
        <w:t>,</w:t>
      </w:r>
      <w:r w:rsidR="009E4E12" w:rsidRPr="006913E9">
        <w:rPr>
          <w:rStyle w:val="Accentuation"/>
          <w:rFonts w:eastAsiaTheme="majorEastAsia"/>
          <w:i w:val="0"/>
          <w:iCs w:val="0"/>
          <w:lang w:val="fr-FR"/>
        </w:rPr>
        <w:t xml:space="preserve"> </w:t>
      </w:r>
      <w:r>
        <w:rPr>
          <w:rStyle w:val="Accentuation"/>
          <w:rFonts w:eastAsiaTheme="majorEastAsia"/>
          <w:i w:val="0"/>
          <w:iCs w:val="0"/>
          <w:lang w:val="fr-FR"/>
        </w:rPr>
        <w:t xml:space="preserve">la Conférence des Parties a décidé d’utiliser l’expression « peuples autochtones et communautés locales » dans les futures décisions et documents secondaires </w:t>
      </w:r>
      <w:r w:rsidR="00A44DB2">
        <w:rPr>
          <w:rStyle w:val="Accentuation"/>
          <w:rFonts w:eastAsiaTheme="majorEastAsia"/>
          <w:i w:val="0"/>
          <w:iCs w:val="0"/>
          <w:lang w:val="fr-FR"/>
        </w:rPr>
        <w:t xml:space="preserve">relevant de la Convention, sans que cela n’affecte en rien le sens juridique de l’article 8 j) et </w:t>
      </w:r>
      <w:r w:rsidR="006769BA">
        <w:rPr>
          <w:rStyle w:val="Accentuation"/>
          <w:rFonts w:eastAsiaTheme="majorEastAsia"/>
          <w:i w:val="0"/>
          <w:iCs w:val="0"/>
          <w:lang w:val="fr-FR"/>
        </w:rPr>
        <w:t>d</w:t>
      </w:r>
      <w:r w:rsidR="00A44DB2">
        <w:rPr>
          <w:rStyle w:val="Accentuation"/>
          <w:rFonts w:eastAsiaTheme="majorEastAsia"/>
          <w:i w:val="0"/>
          <w:iCs w:val="0"/>
          <w:lang w:val="fr-FR"/>
        </w:rPr>
        <w:t>es dispositions connexes. Dans sa décision</w:t>
      </w:r>
      <w:r w:rsidR="00233F12">
        <w:rPr>
          <w:rStyle w:val="Accentuation"/>
          <w:rFonts w:eastAsiaTheme="majorEastAsia"/>
          <w:i w:val="0"/>
          <w:iCs w:val="0"/>
          <w:lang w:val="fr-FR"/>
        </w:rPr>
        <w:t> </w:t>
      </w:r>
      <w:hyperlink r:id="rId18" w:history="1">
        <w:r w:rsidR="00130990" w:rsidRPr="006913E9">
          <w:rPr>
            <w:rStyle w:val="Lienhypertexte"/>
            <w:rFonts w:eastAsiaTheme="majorEastAsia"/>
            <w:lang w:val="fr-FR"/>
          </w:rPr>
          <w:t>14/</w:t>
        </w:r>
        <w:r w:rsidR="00130990" w:rsidRPr="006913E9">
          <w:rPr>
            <w:rStyle w:val="Lienhypertexte"/>
            <w:rFonts w:eastAsiaTheme="majorEastAsia"/>
            <w:lang w:val="fr-FR"/>
          </w:rPr>
          <w:t>1</w:t>
        </w:r>
        <w:r w:rsidR="00130990" w:rsidRPr="006913E9">
          <w:rPr>
            <w:rStyle w:val="Lienhypertexte"/>
            <w:rFonts w:eastAsiaTheme="majorEastAsia"/>
            <w:lang w:val="fr-FR"/>
          </w:rPr>
          <w:t>3</w:t>
        </w:r>
      </w:hyperlink>
      <w:r w:rsidR="00DF7C20" w:rsidRPr="006913E9">
        <w:rPr>
          <w:rStyle w:val="Accentuation"/>
          <w:rFonts w:eastAsiaTheme="majorEastAsia"/>
          <w:i w:val="0"/>
          <w:iCs w:val="0"/>
          <w:lang w:val="fr-FR"/>
        </w:rPr>
        <w:t>,</w:t>
      </w:r>
      <w:r w:rsidR="00130990" w:rsidRPr="006913E9">
        <w:rPr>
          <w:rStyle w:val="Accentuation"/>
          <w:rFonts w:eastAsiaTheme="majorEastAsia"/>
          <w:i w:val="0"/>
          <w:iCs w:val="0"/>
          <w:lang w:val="fr-FR"/>
        </w:rPr>
        <w:t xml:space="preserve"> </w:t>
      </w:r>
      <w:r w:rsidR="00A44DB2">
        <w:rPr>
          <w:rStyle w:val="Accentuation"/>
          <w:rFonts w:eastAsiaTheme="majorEastAsia"/>
          <w:i w:val="0"/>
          <w:iCs w:val="0"/>
          <w:lang w:val="fr-FR"/>
        </w:rPr>
        <w:t xml:space="preserve">elle a adopté </w:t>
      </w:r>
      <w:r w:rsidR="001E4971">
        <w:rPr>
          <w:rStyle w:val="Accentuation"/>
          <w:rFonts w:eastAsiaTheme="majorEastAsia"/>
          <w:i w:val="0"/>
          <w:iCs w:val="0"/>
          <w:lang w:val="fr-FR"/>
        </w:rPr>
        <w:t xml:space="preserve">le Glossaire facultatif des principaux termes et concepts utilisés dans le contexte de l’article 8 j) et des dispositions connexes, dans lequel est utilisé le terme « peuples autochtones et communautés locales ». Dans la même décision, la Conférence des </w:t>
      </w:r>
      <w:r w:rsidR="001E4971">
        <w:rPr>
          <w:rStyle w:val="Accentuation"/>
          <w:rFonts w:eastAsiaTheme="majorEastAsia"/>
          <w:i w:val="0"/>
          <w:iCs w:val="0"/>
          <w:lang w:val="fr-FR"/>
        </w:rPr>
        <w:lastRenderedPageBreak/>
        <w:t>Parties a insist</w:t>
      </w:r>
      <w:r w:rsidR="00233F12">
        <w:rPr>
          <w:rStyle w:val="Accentuation"/>
          <w:rFonts w:eastAsiaTheme="majorEastAsia"/>
          <w:i w:val="0"/>
          <w:iCs w:val="0"/>
          <w:lang w:val="fr-FR"/>
        </w:rPr>
        <w:t>é</w:t>
      </w:r>
      <w:r w:rsidR="001E4971">
        <w:rPr>
          <w:rStyle w:val="Accentuation"/>
          <w:rFonts w:eastAsiaTheme="majorEastAsia"/>
          <w:i w:val="0"/>
          <w:iCs w:val="0"/>
          <w:lang w:val="fr-FR"/>
        </w:rPr>
        <w:t xml:space="preserve"> sur le fait que l’utilisation du glossaire ne portait pas préjudice à la terminologie de la Convention et que ce dernier ne pouvait pas être interprété par les Parties dans le sens d’un changement de droits ou d’obligations au titre de la Convention. Il est noté dans le glossaire que les termes « communautés autochtones et locales » et « peuples autochtones et communautés locales » ne sont pas définis dans la Convention et qu’aucune définition universelle de « peuples autochtones » n’a été adoptée dans la Déclaration des Nations Unies sur les droits des peuples autochtones.</w:t>
      </w:r>
    </w:p>
    <w:p w14:paraId="29D7EFA6" w14:textId="349DCACF" w:rsidR="006935DA" w:rsidRPr="006913E9" w:rsidRDefault="00620E09" w:rsidP="003C4ACE">
      <w:pPr>
        <w:pStyle w:val="CBDNormalNumber"/>
        <w:rPr>
          <w:rFonts w:eastAsiaTheme="majorEastAsia"/>
          <w:lang w:val="fr-FR"/>
        </w:rPr>
      </w:pPr>
      <w:r>
        <w:rPr>
          <w:rFonts w:eastAsiaTheme="majorEastAsia"/>
          <w:lang w:val="fr-FR"/>
        </w:rPr>
        <w:t>La tâche</w:t>
      </w:r>
      <w:r w:rsidR="00233F12">
        <w:rPr>
          <w:rFonts w:eastAsiaTheme="majorEastAsia"/>
          <w:lang w:val="fr-FR"/>
        </w:rPr>
        <w:t> </w:t>
      </w:r>
      <w:r w:rsidR="00A64630" w:rsidRPr="006913E9">
        <w:rPr>
          <w:rFonts w:eastAsiaTheme="majorEastAsia"/>
          <w:lang w:val="fr-FR"/>
        </w:rPr>
        <w:t xml:space="preserve">5.4 </w:t>
      </w:r>
      <w:r>
        <w:rPr>
          <w:rFonts w:eastAsiaTheme="majorEastAsia"/>
          <w:lang w:val="fr-FR"/>
        </w:rPr>
        <w:t xml:space="preserve">du programme de travail sur l’article 8 j) prévoit de réviser et mettre à jour, s’il y a lieu, le </w:t>
      </w:r>
      <w:r w:rsidR="00CA38B0">
        <w:rPr>
          <w:rFonts w:eastAsiaTheme="majorEastAsia"/>
          <w:lang w:val="fr-FR"/>
        </w:rPr>
        <w:t>Glossaire, à la lumière de l’adoption du Cadre. Il en résulte que l’Organe subsidiaire étudiera un processus permettant de réviser et mettre à jour le Glossaire au titre du point 5 c) de l’ordre du jour de la présente réunion.</w:t>
      </w:r>
    </w:p>
    <w:p w14:paraId="5C118B6B" w14:textId="3749A702" w:rsidR="006935DA" w:rsidRPr="006913E9" w:rsidRDefault="00CA38B0" w:rsidP="003C4ACE">
      <w:pPr>
        <w:pStyle w:val="CBDNormalNumber"/>
        <w:rPr>
          <w:rFonts w:eastAsiaTheme="majorEastAsia"/>
          <w:lang w:val="fr-FR"/>
        </w:rPr>
      </w:pPr>
      <w:r>
        <w:rPr>
          <w:rFonts w:eastAsiaTheme="majorEastAsia"/>
          <w:lang w:val="fr-FR"/>
        </w:rPr>
        <w:t>Le paragraphe </w:t>
      </w:r>
      <w:r w:rsidR="006935DA" w:rsidRPr="006913E9">
        <w:rPr>
          <w:rFonts w:eastAsiaTheme="majorEastAsia"/>
          <w:lang w:val="fr-FR"/>
        </w:rPr>
        <w:t xml:space="preserve">135 </w:t>
      </w:r>
      <w:r>
        <w:rPr>
          <w:rFonts w:eastAsiaTheme="majorEastAsia"/>
          <w:lang w:val="fr-FR"/>
        </w:rPr>
        <w:t xml:space="preserve">du rapport de l’Instance permanente </w:t>
      </w:r>
      <w:r w:rsidR="00C0558B">
        <w:rPr>
          <w:rFonts w:eastAsiaTheme="majorEastAsia"/>
          <w:lang w:val="fr-FR"/>
        </w:rPr>
        <w:t>porte en particulier sur le renforcement des cadres juridiques relatifs aux droits des peuples autochtones en matière de terres</w:t>
      </w:r>
      <w:r w:rsidR="007077E7">
        <w:rPr>
          <w:rFonts w:eastAsiaTheme="majorEastAsia"/>
          <w:lang w:val="fr-FR"/>
        </w:rPr>
        <w:t xml:space="preserve"> et</w:t>
      </w:r>
      <w:r w:rsidR="00C0558B">
        <w:rPr>
          <w:rFonts w:eastAsiaTheme="majorEastAsia"/>
          <w:lang w:val="fr-FR"/>
        </w:rPr>
        <w:t xml:space="preserve"> de territoires</w:t>
      </w:r>
      <w:r w:rsidR="007077E7">
        <w:rPr>
          <w:rFonts w:eastAsiaTheme="majorEastAsia"/>
          <w:lang w:val="fr-FR"/>
        </w:rPr>
        <w:t>,</w:t>
      </w:r>
      <w:r w:rsidR="00C0558B">
        <w:rPr>
          <w:rFonts w:eastAsiaTheme="majorEastAsia"/>
          <w:lang w:val="fr-FR"/>
        </w:rPr>
        <w:t xml:space="preserve"> et y figure comme suit :</w:t>
      </w:r>
    </w:p>
    <w:p w14:paraId="281E7917" w14:textId="2AE7AF7B" w:rsidR="006935DA" w:rsidRPr="006913E9" w:rsidRDefault="006935DA" w:rsidP="003C4ACE">
      <w:pPr>
        <w:pStyle w:val="CBDNormalNoNumber"/>
        <w:tabs>
          <w:tab w:val="clear" w:pos="567"/>
          <w:tab w:val="clear" w:pos="1134"/>
        </w:tabs>
        <w:ind w:left="1134"/>
        <w:rPr>
          <w:rStyle w:val="Accentuation"/>
          <w:rFonts w:eastAsiaTheme="majorEastAsia"/>
          <w:i w:val="0"/>
          <w:iCs w:val="0"/>
          <w:lang w:val="fr-FR"/>
        </w:rPr>
      </w:pPr>
      <w:r w:rsidRPr="006913E9">
        <w:rPr>
          <w:rStyle w:val="Accentuation"/>
          <w:rFonts w:eastAsiaTheme="majorEastAsia"/>
          <w:i w:val="0"/>
          <w:iCs w:val="0"/>
          <w:lang w:val="fr-FR"/>
        </w:rPr>
        <w:t>135.</w:t>
      </w:r>
      <w:r w:rsidR="00F84838" w:rsidRPr="006913E9">
        <w:rPr>
          <w:rStyle w:val="Accentuation"/>
          <w:rFonts w:eastAsiaTheme="majorEastAsia"/>
          <w:i w:val="0"/>
          <w:iCs w:val="0"/>
          <w:lang w:val="fr-FR"/>
        </w:rPr>
        <w:tab/>
      </w:r>
      <w:r w:rsidR="00C0558B">
        <w:rPr>
          <w:rStyle w:val="Accentuation"/>
          <w:rFonts w:eastAsiaTheme="majorEastAsia"/>
          <w:i w:val="0"/>
          <w:iCs w:val="0"/>
          <w:lang w:val="fr-FR"/>
        </w:rPr>
        <w:t>L’Instance permanente recommande aux États Membres de renforcer et de mettre en œuvre des cadres juridiques et institutionnels qui reconnaissent et protègent les droits des peuples autochtones en matière de terres, de territoires et de ressources, et qui garantissent leur participation aux processus décisionnels. Ces cadres devraient être conformes aux normes de la Déclaration des Nations Unies sur les droits des peuples autochtones et à la Convention de 1989 de l’Organisation internationale du Travail relative aux peuples indigènes et tribaux (n</w:t>
      </w:r>
      <w:r w:rsidR="00C0558B">
        <w:rPr>
          <w:rStyle w:val="Accentuation"/>
          <w:rFonts w:eastAsiaTheme="majorEastAsia"/>
          <w:i w:val="0"/>
          <w:iCs w:val="0"/>
          <w:vertAlign w:val="superscript"/>
          <w:lang w:val="fr-FR"/>
        </w:rPr>
        <w:t>o</w:t>
      </w:r>
      <w:r w:rsidR="00C0558B">
        <w:rPr>
          <w:rStyle w:val="Accentuation"/>
          <w:rFonts w:eastAsiaTheme="majorEastAsia"/>
          <w:i w:val="0"/>
          <w:iCs w:val="0"/>
          <w:lang w:val="fr-FR"/>
        </w:rPr>
        <w:t> 169), de manière à garantir le consentement libre, préalable et éclairé des peuples autochtones lorsque des programmes et des projets relatifs au développement, à l’environnement, à la biodiversité et aux changements climatiques sont menés sur leurs terres et territoires.</w:t>
      </w:r>
    </w:p>
    <w:p w14:paraId="34182C71" w14:textId="2BD8D5DB" w:rsidR="006935DA" w:rsidRPr="006913E9" w:rsidRDefault="00812D72" w:rsidP="003C4ACE">
      <w:pPr>
        <w:pStyle w:val="CBDNormalNumber"/>
        <w:rPr>
          <w:rStyle w:val="Accentuation"/>
          <w:rFonts w:eastAsiaTheme="majorEastAsia"/>
          <w:i w:val="0"/>
          <w:iCs w:val="0"/>
          <w:lang w:val="fr-FR"/>
        </w:rPr>
      </w:pPr>
      <w:r>
        <w:rPr>
          <w:rFonts w:eastAsiaTheme="majorEastAsia"/>
          <w:lang w:val="fr-FR"/>
        </w:rPr>
        <w:t>L’élément </w:t>
      </w:r>
      <w:r w:rsidR="00FF3D35" w:rsidRPr="006913E9">
        <w:rPr>
          <w:rFonts w:eastAsiaTheme="majorEastAsia"/>
          <w:lang w:val="fr-FR"/>
        </w:rPr>
        <w:t xml:space="preserve">1 </w:t>
      </w:r>
      <w:r>
        <w:rPr>
          <w:rFonts w:eastAsiaTheme="majorEastAsia"/>
          <w:lang w:val="fr-FR"/>
        </w:rPr>
        <w:t xml:space="preserve">du programme de travail sur l’article 8 j) </w:t>
      </w:r>
      <w:r w:rsidR="007077E7">
        <w:rPr>
          <w:rFonts w:eastAsiaTheme="majorEastAsia"/>
          <w:lang w:val="fr-FR"/>
        </w:rPr>
        <w:t>traite de</w:t>
      </w:r>
      <w:r>
        <w:rPr>
          <w:rFonts w:eastAsiaTheme="majorEastAsia"/>
          <w:lang w:val="fr-FR"/>
        </w:rPr>
        <w:t xml:space="preserve"> la conservation et </w:t>
      </w:r>
      <w:r w:rsidR="007077E7">
        <w:rPr>
          <w:rFonts w:eastAsiaTheme="majorEastAsia"/>
          <w:lang w:val="fr-FR"/>
        </w:rPr>
        <w:t xml:space="preserve">de </w:t>
      </w:r>
      <w:r>
        <w:rPr>
          <w:rFonts w:eastAsiaTheme="majorEastAsia"/>
          <w:lang w:val="fr-FR"/>
        </w:rPr>
        <w:t xml:space="preserve">la restauration de la diversité biologique. </w:t>
      </w:r>
      <w:r w:rsidR="00E55A75">
        <w:rPr>
          <w:rFonts w:eastAsiaTheme="majorEastAsia"/>
          <w:lang w:val="fr-FR"/>
        </w:rPr>
        <w:t>La tâche 1.1 prévoit d’élaborer des lignes directrices en vue de renforcer le cadre légal et politique de la mise en œuvre des cibles 2 et 3 du Cadre, y compris sur les territoires autochtones et traditionnels. La tâche 1.2 prévoit également de concevoir des lignes directrices relatives à l’inclusion et la prise en compte des terres traditionnelles et de l’utilisation traditionnelle des ressources dans les processus d’aménagement du territoire et des évaluations d’impact environnemental. Il s’en suit que l’Organe subsidiaire étudiera les projets de lignes directrices relatifs à ces deux tâches au titre des alinéas</w:t>
      </w:r>
      <w:r w:rsidR="00233F12">
        <w:rPr>
          <w:rFonts w:eastAsiaTheme="majorEastAsia"/>
          <w:lang w:val="fr-FR"/>
        </w:rPr>
        <w:t> </w:t>
      </w:r>
      <w:r w:rsidR="00E55A75">
        <w:rPr>
          <w:rFonts w:eastAsiaTheme="majorEastAsia"/>
          <w:lang w:val="fr-FR"/>
        </w:rPr>
        <w:t>5 a) et b) de l’ordre du jour de la présente réunion.</w:t>
      </w:r>
    </w:p>
    <w:p w14:paraId="1E6DB0A9" w14:textId="30C52C00" w:rsidR="006935DA" w:rsidRPr="006913E9" w:rsidRDefault="00E01EC0" w:rsidP="003C4ACE">
      <w:pPr>
        <w:pStyle w:val="CBDH2"/>
        <w:jc w:val="left"/>
        <w:rPr>
          <w:rStyle w:val="Accentuation"/>
          <w:rFonts w:asciiTheme="majorBidi" w:eastAsiaTheme="minorEastAsia" w:hAnsiTheme="majorBidi" w:cstheme="minorBidi"/>
          <w:b w:val="0"/>
          <w:bCs/>
          <w:i w:val="0"/>
          <w:iCs w:val="0"/>
          <w:sz w:val="28"/>
          <w:lang w:val="fr-FR" w:eastAsia="zh-CN"/>
        </w:rPr>
      </w:pPr>
      <w:r w:rsidRPr="006913E9">
        <w:rPr>
          <w:lang w:val="fr-FR" w:eastAsia="zh-CN"/>
        </w:rPr>
        <w:t>B.</w:t>
      </w:r>
      <w:r w:rsidRPr="006913E9">
        <w:rPr>
          <w:lang w:val="fr-FR" w:eastAsia="zh-CN"/>
        </w:rPr>
        <w:tab/>
      </w:r>
      <w:r w:rsidR="00E55A75">
        <w:rPr>
          <w:lang w:val="fr-FR" w:eastAsia="zh-CN"/>
        </w:rPr>
        <w:t>Recommandations issues de la vingt-quatrième session de l’Instance permanente sur les questions autochtones</w:t>
      </w:r>
    </w:p>
    <w:p w14:paraId="7FDE2256" w14:textId="41E1B518" w:rsidR="00D735B5" w:rsidRPr="006913E9" w:rsidRDefault="00ED1E32" w:rsidP="003C4ACE">
      <w:pPr>
        <w:pStyle w:val="CBDNormalNumber"/>
        <w:rPr>
          <w:rFonts w:eastAsiaTheme="majorEastAsia"/>
          <w:lang w:val="fr-FR"/>
        </w:rPr>
      </w:pPr>
      <w:r>
        <w:rPr>
          <w:rStyle w:val="Accentuation"/>
          <w:rFonts w:eastAsiaTheme="majorEastAsia"/>
          <w:i w:val="0"/>
          <w:iCs w:val="0"/>
          <w:lang w:val="fr-FR"/>
        </w:rPr>
        <w:t xml:space="preserve">Lors de sa vingt-quatrième session, en 2025, l’Instance permanente a adopté </w:t>
      </w:r>
      <w:r w:rsidR="009F36CB">
        <w:rPr>
          <w:rStyle w:val="Accentuation"/>
          <w:rFonts w:eastAsiaTheme="majorEastAsia"/>
          <w:i w:val="0"/>
          <w:iCs w:val="0"/>
          <w:lang w:val="fr-FR"/>
        </w:rPr>
        <w:t>quelques</w:t>
      </w:r>
      <w:r>
        <w:rPr>
          <w:rStyle w:val="Accentuation"/>
          <w:rFonts w:eastAsiaTheme="majorEastAsia"/>
          <w:i w:val="0"/>
          <w:iCs w:val="0"/>
          <w:lang w:val="fr-FR"/>
        </w:rPr>
        <w:t xml:space="preserve"> recommandations présentant un intérêt pour la Convention, tel que souligné dans les paragraphes </w:t>
      </w:r>
      <w:r w:rsidR="006935DA" w:rsidRPr="006913E9">
        <w:rPr>
          <w:rFonts w:eastAsiaTheme="majorEastAsia"/>
          <w:lang w:val="fr-FR"/>
        </w:rPr>
        <w:t>20</w:t>
      </w:r>
      <w:r w:rsidR="009F36CB">
        <w:rPr>
          <w:rFonts w:eastAsiaTheme="majorEastAsia"/>
          <w:lang w:val="fr-FR"/>
        </w:rPr>
        <w:t xml:space="preserve"> et</w:t>
      </w:r>
      <w:r w:rsidR="006935DA" w:rsidRPr="006913E9">
        <w:rPr>
          <w:rFonts w:eastAsiaTheme="majorEastAsia"/>
          <w:lang w:val="fr-FR"/>
        </w:rPr>
        <w:t xml:space="preserve"> 78 </w:t>
      </w:r>
      <w:r>
        <w:rPr>
          <w:rFonts w:eastAsiaTheme="majorEastAsia"/>
          <w:lang w:val="fr-FR"/>
        </w:rPr>
        <w:t xml:space="preserve">du rapport de </w:t>
      </w:r>
      <w:r w:rsidR="007846D5">
        <w:rPr>
          <w:rFonts w:eastAsiaTheme="majorEastAsia"/>
          <w:lang w:val="fr-FR"/>
        </w:rPr>
        <w:t>cette</w:t>
      </w:r>
      <w:r>
        <w:rPr>
          <w:rFonts w:eastAsiaTheme="majorEastAsia"/>
          <w:lang w:val="fr-FR"/>
        </w:rPr>
        <w:t xml:space="preserve"> vingt-quatrième session</w:t>
      </w:r>
      <w:r w:rsidR="00110AA7" w:rsidRPr="006913E9">
        <w:rPr>
          <w:rStyle w:val="Appelnotedebasdep"/>
          <w:rFonts w:eastAsiaTheme="majorEastAsia"/>
          <w:lang w:val="fr-FR"/>
        </w:rPr>
        <w:footnoteReference w:id="3"/>
      </w:r>
      <w:r>
        <w:rPr>
          <w:rFonts w:eastAsiaTheme="majorEastAsia"/>
          <w:lang w:val="fr-FR"/>
        </w:rPr>
        <w:t>.</w:t>
      </w:r>
    </w:p>
    <w:p w14:paraId="5038C969" w14:textId="168D2A68" w:rsidR="006935DA" w:rsidRPr="006913E9" w:rsidRDefault="007846D5" w:rsidP="003C4ACE">
      <w:pPr>
        <w:pStyle w:val="CBDNormalNumber"/>
        <w:rPr>
          <w:rFonts w:eastAsiaTheme="majorEastAsia"/>
          <w:lang w:val="fr-FR"/>
        </w:rPr>
      </w:pPr>
      <w:r>
        <w:rPr>
          <w:rFonts w:eastAsiaTheme="majorEastAsia"/>
          <w:lang w:val="fr-FR"/>
        </w:rPr>
        <w:t>Les paragraphes </w:t>
      </w:r>
      <w:r w:rsidR="006935DA" w:rsidRPr="006913E9">
        <w:rPr>
          <w:rFonts w:eastAsiaTheme="majorEastAsia"/>
          <w:lang w:val="fr-FR"/>
        </w:rPr>
        <w:t xml:space="preserve">20 </w:t>
      </w:r>
      <w:r>
        <w:rPr>
          <w:rFonts w:eastAsiaTheme="majorEastAsia"/>
          <w:lang w:val="fr-FR"/>
        </w:rPr>
        <w:t>et</w:t>
      </w:r>
      <w:r w:rsidR="006935DA" w:rsidRPr="006913E9">
        <w:rPr>
          <w:rFonts w:eastAsiaTheme="majorEastAsia"/>
          <w:lang w:val="fr-FR"/>
        </w:rPr>
        <w:t xml:space="preserve"> 78 </w:t>
      </w:r>
      <w:r>
        <w:rPr>
          <w:rFonts w:eastAsiaTheme="majorEastAsia"/>
          <w:lang w:val="fr-FR"/>
        </w:rPr>
        <w:t>du rapport de la vingt-quatrième session de l’Instance permanente portent en particulier sur les mécanismes participatifs dédiés aux peuples autochtones créés par l’Organe subsidiaire et sur la prise en compte du Plan d’action mondial sur la biodiversité et la santé, et y figurent comme suit :</w:t>
      </w:r>
    </w:p>
    <w:p w14:paraId="2D939D62" w14:textId="1D00906F" w:rsidR="006935DA" w:rsidRPr="006913E9" w:rsidRDefault="006935DA" w:rsidP="007846D5">
      <w:pPr>
        <w:pStyle w:val="CBDNormalNoNumber"/>
        <w:tabs>
          <w:tab w:val="clear" w:pos="567"/>
          <w:tab w:val="clear" w:pos="1134"/>
        </w:tabs>
        <w:ind w:left="1134"/>
        <w:rPr>
          <w:rStyle w:val="Accentuation"/>
          <w:i w:val="0"/>
          <w:iCs w:val="0"/>
          <w:lang w:val="fr-FR"/>
        </w:rPr>
      </w:pPr>
      <w:r w:rsidRPr="006913E9">
        <w:rPr>
          <w:rStyle w:val="Accentuation"/>
          <w:i w:val="0"/>
          <w:iCs w:val="0"/>
          <w:lang w:val="fr-FR"/>
        </w:rPr>
        <w:t>20.</w:t>
      </w:r>
      <w:r w:rsidR="00C13C79" w:rsidRPr="006913E9">
        <w:rPr>
          <w:rStyle w:val="Accentuation"/>
          <w:i w:val="0"/>
          <w:iCs w:val="0"/>
          <w:lang w:val="fr-FR"/>
        </w:rPr>
        <w:tab/>
      </w:r>
      <w:r w:rsidR="007846D5" w:rsidRPr="007846D5">
        <w:rPr>
          <w:rStyle w:val="Accentuation"/>
          <w:i w:val="0"/>
          <w:iCs w:val="0"/>
          <w:lang w:val="fr-FR"/>
        </w:rPr>
        <w:t>L’Instance permanente accueille avec satisfaction la création de l’Organe</w:t>
      </w:r>
      <w:r w:rsidR="007846D5">
        <w:rPr>
          <w:rStyle w:val="Accentuation"/>
          <w:i w:val="0"/>
          <w:iCs w:val="0"/>
          <w:lang w:val="fr-FR"/>
        </w:rPr>
        <w:t xml:space="preserve"> </w:t>
      </w:r>
      <w:r w:rsidR="007846D5" w:rsidRPr="007846D5">
        <w:rPr>
          <w:rStyle w:val="Accentuation"/>
          <w:i w:val="0"/>
          <w:iCs w:val="0"/>
          <w:lang w:val="fr-FR"/>
        </w:rPr>
        <w:t>subsidiaire chargé de l’article</w:t>
      </w:r>
      <w:r w:rsidR="00233F12">
        <w:rPr>
          <w:rStyle w:val="Accentuation"/>
          <w:i w:val="0"/>
          <w:iCs w:val="0"/>
          <w:lang w:val="fr-FR"/>
        </w:rPr>
        <w:t> </w:t>
      </w:r>
      <w:r w:rsidR="007846D5" w:rsidRPr="007846D5">
        <w:rPr>
          <w:rStyle w:val="Accentuation"/>
          <w:i w:val="0"/>
          <w:iCs w:val="0"/>
          <w:lang w:val="fr-FR"/>
        </w:rPr>
        <w:t>8</w:t>
      </w:r>
      <w:r w:rsidR="00233F12">
        <w:rPr>
          <w:rStyle w:val="Accentuation"/>
          <w:i w:val="0"/>
          <w:iCs w:val="0"/>
          <w:lang w:val="fr-FR"/>
        </w:rPr>
        <w:t> </w:t>
      </w:r>
      <w:r w:rsidR="007846D5" w:rsidRPr="007846D5">
        <w:rPr>
          <w:rStyle w:val="Accentuation"/>
          <w:i w:val="0"/>
          <w:iCs w:val="0"/>
          <w:lang w:val="fr-FR"/>
        </w:rPr>
        <w:t>j) et des autres dispositions de la Convention sur la</w:t>
      </w:r>
      <w:r w:rsidR="007846D5">
        <w:rPr>
          <w:rStyle w:val="Accentuation"/>
          <w:i w:val="0"/>
          <w:iCs w:val="0"/>
          <w:lang w:val="fr-FR"/>
        </w:rPr>
        <w:t xml:space="preserve"> </w:t>
      </w:r>
      <w:r w:rsidR="007846D5" w:rsidRPr="007846D5">
        <w:rPr>
          <w:rStyle w:val="Accentuation"/>
          <w:i w:val="0"/>
          <w:iCs w:val="0"/>
          <w:lang w:val="fr-FR"/>
        </w:rPr>
        <w:t>diversité biologique relatives aux peuples autochtones et aux communautés locales</w:t>
      </w:r>
      <w:r w:rsidR="007846D5">
        <w:rPr>
          <w:rStyle w:val="Accentuation"/>
          <w:i w:val="0"/>
          <w:iCs w:val="0"/>
          <w:lang w:val="fr-FR"/>
        </w:rPr>
        <w:t xml:space="preserve"> </w:t>
      </w:r>
      <w:r w:rsidR="007846D5" w:rsidRPr="007846D5">
        <w:rPr>
          <w:rStyle w:val="Accentuation"/>
          <w:i w:val="0"/>
          <w:iCs w:val="0"/>
          <w:lang w:val="fr-FR"/>
        </w:rPr>
        <w:t>(décision</w:t>
      </w:r>
      <w:r w:rsidR="00233F12">
        <w:rPr>
          <w:rStyle w:val="Accentuation"/>
          <w:i w:val="0"/>
          <w:iCs w:val="0"/>
          <w:lang w:val="fr-FR"/>
        </w:rPr>
        <w:t> </w:t>
      </w:r>
      <w:r w:rsidR="007846D5" w:rsidRPr="007846D5">
        <w:rPr>
          <w:rStyle w:val="Accentuation"/>
          <w:i w:val="0"/>
          <w:iCs w:val="0"/>
          <w:lang w:val="fr-FR"/>
        </w:rPr>
        <w:t>16/5) et l’adoption du nouveau programme de travail connexe (décision</w:t>
      </w:r>
      <w:r w:rsidR="00233F12">
        <w:rPr>
          <w:rStyle w:val="Accentuation"/>
          <w:i w:val="0"/>
          <w:iCs w:val="0"/>
          <w:lang w:val="fr-FR"/>
        </w:rPr>
        <w:t> </w:t>
      </w:r>
      <w:r w:rsidR="007846D5" w:rsidRPr="007846D5">
        <w:rPr>
          <w:rStyle w:val="Accentuation"/>
          <w:i w:val="0"/>
          <w:iCs w:val="0"/>
          <w:lang w:val="fr-FR"/>
        </w:rPr>
        <w:t>16/4) lors de la seizième réunion de la Conférence des Parties à la Convention sur la</w:t>
      </w:r>
      <w:r w:rsidR="007846D5">
        <w:rPr>
          <w:rStyle w:val="Accentuation"/>
          <w:i w:val="0"/>
          <w:iCs w:val="0"/>
          <w:lang w:val="fr-FR"/>
        </w:rPr>
        <w:t xml:space="preserve"> </w:t>
      </w:r>
      <w:r w:rsidR="007846D5" w:rsidRPr="007846D5">
        <w:rPr>
          <w:rStyle w:val="Accentuation"/>
          <w:i w:val="0"/>
          <w:iCs w:val="0"/>
          <w:lang w:val="fr-FR"/>
        </w:rPr>
        <w:t>diversité biologique. Elle demande instamment qu’il soit donné suite à la décision</w:t>
      </w:r>
      <w:r w:rsidR="007846D5">
        <w:rPr>
          <w:rStyle w:val="Accentuation"/>
          <w:i w:val="0"/>
          <w:iCs w:val="0"/>
          <w:lang w:val="fr-FR"/>
        </w:rPr>
        <w:t xml:space="preserve"> </w:t>
      </w:r>
      <w:r w:rsidR="007846D5" w:rsidRPr="007846D5">
        <w:rPr>
          <w:rStyle w:val="Accentuation"/>
          <w:i w:val="0"/>
          <w:iCs w:val="0"/>
          <w:lang w:val="fr-FR"/>
        </w:rPr>
        <w:t xml:space="preserve">tendant à ce que l’on continue d’accorder la priorité aux </w:t>
      </w:r>
      <w:r w:rsidR="007846D5" w:rsidRPr="007846D5">
        <w:rPr>
          <w:rStyle w:val="Accentuation"/>
          <w:i w:val="0"/>
          <w:iCs w:val="0"/>
          <w:lang w:val="fr-FR"/>
        </w:rPr>
        <w:lastRenderedPageBreak/>
        <w:t>connaissances traditionnelles</w:t>
      </w:r>
      <w:r w:rsidR="007846D5">
        <w:rPr>
          <w:rStyle w:val="Accentuation"/>
          <w:i w:val="0"/>
          <w:iCs w:val="0"/>
          <w:lang w:val="fr-FR"/>
        </w:rPr>
        <w:t xml:space="preserve"> </w:t>
      </w:r>
      <w:r w:rsidR="007846D5" w:rsidRPr="007846D5">
        <w:rPr>
          <w:rStyle w:val="Accentuation"/>
          <w:i w:val="0"/>
          <w:iCs w:val="0"/>
          <w:lang w:val="fr-FR"/>
        </w:rPr>
        <w:t>des peuples autochtones dans la mise en œuvre de la Convention et du Cadre mondial</w:t>
      </w:r>
      <w:r w:rsidR="007846D5">
        <w:rPr>
          <w:rStyle w:val="Accentuation"/>
          <w:i w:val="0"/>
          <w:iCs w:val="0"/>
          <w:lang w:val="fr-FR"/>
        </w:rPr>
        <w:t xml:space="preserve"> </w:t>
      </w:r>
      <w:r w:rsidR="007846D5" w:rsidRPr="007846D5">
        <w:rPr>
          <w:rStyle w:val="Accentuation"/>
          <w:i w:val="0"/>
          <w:iCs w:val="0"/>
          <w:lang w:val="fr-FR"/>
        </w:rPr>
        <w:t>de la biodiversité de Kunming-Montréal. L’Instance permanente constate également</w:t>
      </w:r>
      <w:r w:rsidR="007846D5">
        <w:rPr>
          <w:rStyle w:val="Accentuation"/>
          <w:i w:val="0"/>
          <w:iCs w:val="0"/>
          <w:lang w:val="fr-FR"/>
        </w:rPr>
        <w:t xml:space="preserve"> </w:t>
      </w:r>
      <w:r w:rsidR="007846D5" w:rsidRPr="007846D5">
        <w:rPr>
          <w:rStyle w:val="Accentuation"/>
          <w:i w:val="0"/>
          <w:iCs w:val="0"/>
          <w:lang w:val="fr-FR"/>
        </w:rPr>
        <w:t>que le Plan d’action mondial sur la biodiversité et la santé (décision 16/19) s’appuie</w:t>
      </w:r>
      <w:r w:rsidR="007846D5">
        <w:rPr>
          <w:rStyle w:val="Accentuation"/>
          <w:i w:val="0"/>
          <w:iCs w:val="0"/>
          <w:lang w:val="fr-FR"/>
        </w:rPr>
        <w:t xml:space="preserve"> </w:t>
      </w:r>
      <w:r w:rsidR="007846D5" w:rsidRPr="007846D5">
        <w:rPr>
          <w:rStyle w:val="Accentuation"/>
          <w:i w:val="0"/>
          <w:iCs w:val="0"/>
          <w:lang w:val="fr-FR"/>
        </w:rPr>
        <w:t>sur les résultats de l’étude consacrée aux déterminants autochtones de la santé dans</w:t>
      </w:r>
      <w:r w:rsidR="007846D5">
        <w:rPr>
          <w:rStyle w:val="Accentuation"/>
          <w:i w:val="0"/>
          <w:iCs w:val="0"/>
          <w:lang w:val="fr-FR"/>
        </w:rPr>
        <w:t xml:space="preserve"> </w:t>
      </w:r>
      <w:r w:rsidR="007846D5" w:rsidRPr="007846D5">
        <w:rPr>
          <w:rStyle w:val="Accentuation"/>
          <w:i w:val="0"/>
          <w:iCs w:val="0"/>
          <w:lang w:val="fr-FR"/>
        </w:rPr>
        <w:t>le Programme de développement durable à l’horizon</w:t>
      </w:r>
      <w:r w:rsidR="00233F12">
        <w:rPr>
          <w:rStyle w:val="Accentuation"/>
          <w:i w:val="0"/>
          <w:iCs w:val="0"/>
          <w:lang w:val="fr-FR"/>
        </w:rPr>
        <w:t> </w:t>
      </w:r>
      <w:r w:rsidR="007846D5" w:rsidRPr="007846D5">
        <w:rPr>
          <w:rStyle w:val="Accentuation"/>
          <w:i w:val="0"/>
          <w:iCs w:val="0"/>
          <w:lang w:val="fr-FR"/>
        </w:rPr>
        <w:t xml:space="preserve">2030 </w:t>
      </w:r>
      <w:r w:rsidR="00EA11DE" w:rsidRPr="006913E9">
        <w:rPr>
          <w:lang w:val="fr-FR"/>
        </w:rPr>
        <w:t>(E/C.19/2023/5)</w:t>
      </w:r>
      <w:r w:rsidR="002B7B5D" w:rsidRPr="006913E9">
        <w:rPr>
          <w:rStyle w:val="Accentuation"/>
          <w:i w:val="0"/>
          <w:iCs w:val="0"/>
          <w:lang w:val="fr-FR"/>
        </w:rPr>
        <w:t>.</w:t>
      </w:r>
    </w:p>
    <w:p w14:paraId="13098315" w14:textId="7234D87C" w:rsidR="006935DA" w:rsidRPr="006913E9" w:rsidRDefault="006935DA" w:rsidP="007846D5">
      <w:pPr>
        <w:pStyle w:val="CBDNormalNoNumber"/>
        <w:tabs>
          <w:tab w:val="clear" w:pos="567"/>
          <w:tab w:val="clear" w:pos="1134"/>
        </w:tabs>
        <w:ind w:left="1134"/>
        <w:rPr>
          <w:rStyle w:val="Accentuation"/>
          <w:rFonts w:eastAsiaTheme="majorEastAsia"/>
          <w:i w:val="0"/>
          <w:iCs w:val="0"/>
          <w:lang w:val="fr-FR"/>
        </w:rPr>
      </w:pPr>
      <w:r w:rsidRPr="006913E9">
        <w:rPr>
          <w:rStyle w:val="Accentuation"/>
          <w:rFonts w:eastAsiaTheme="majorEastAsia"/>
          <w:i w:val="0"/>
          <w:iCs w:val="0"/>
          <w:lang w:val="fr-FR"/>
        </w:rPr>
        <w:t>78.</w:t>
      </w:r>
      <w:r w:rsidR="00C13C79" w:rsidRPr="006913E9">
        <w:rPr>
          <w:rStyle w:val="Accentuation"/>
          <w:rFonts w:eastAsiaTheme="majorEastAsia"/>
          <w:i w:val="0"/>
          <w:iCs w:val="0"/>
          <w:lang w:val="fr-FR"/>
        </w:rPr>
        <w:tab/>
      </w:r>
      <w:r w:rsidR="007846D5" w:rsidRPr="007846D5">
        <w:rPr>
          <w:rStyle w:val="Accentuation"/>
          <w:rFonts w:eastAsiaTheme="majorEastAsia"/>
          <w:i w:val="0"/>
          <w:iCs w:val="0"/>
          <w:lang w:val="fr-FR"/>
        </w:rPr>
        <w:t>L’Instance permanente demande instamment aux États Membres et à l’Organe</w:t>
      </w:r>
      <w:r w:rsidR="007846D5">
        <w:rPr>
          <w:rStyle w:val="Accentuation"/>
          <w:rFonts w:eastAsiaTheme="majorEastAsia"/>
          <w:i w:val="0"/>
          <w:iCs w:val="0"/>
          <w:lang w:val="fr-FR"/>
        </w:rPr>
        <w:t xml:space="preserve"> </w:t>
      </w:r>
      <w:r w:rsidR="007846D5" w:rsidRPr="007846D5">
        <w:rPr>
          <w:rStyle w:val="Accentuation"/>
          <w:rFonts w:eastAsiaTheme="majorEastAsia"/>
          <w:i w:val="0"/>
          <w:iCs w:val="0"/>
          <w:lang w:val="fr-FR"/>
        </w:rPr>
        <w:t>subsidiaire permanent chargé de l’article 8</w:t>
      </w:r>
      <w:r w:rsidR="00233F12">
        <w:rPr>
          <w:rStyle w:val="Accentuation"/>
          <w:rFonts w:eastAsiaTheme="majorEastAsia"/>
          <w:i w:val="0"/>
          <w:iCs w:val="0"/>
          <w:lang w:val="fr-FR"/>
        </w:rPr>
        <w:t> </w:t>
      </w:r>
      <w:r w:rsidR="007846D5" w:rsidRPr="007846D5">
        <w:rPr>
          <w:rStyle w:val="Accentuation"/>
          <w:rFonts w:eastAsiaTheme="majorEastAsia"/>
          <w:i w:val="0"/>
          <w:iCs w:val="0"/>
          <w:lang w:val="fr-FR"/>
        </w:rPr>
        <w:t>j) qui relève du secrétariat de la</w:t>
      </w:r>
      <w:r w:rsidR="007846D5">
        <w:rPr>
          <w:rStyle w:val="Accentuation"/>
          <w:rFonts w:eastAsiaTheme="majorEastAsia"/>
          <w:i w:val="0"/>
          <w:iCs w:val="0"/>
          <w:lang w:val="fr-FR"/>
        </w:rPr>
        <w:t xml:space="preserve"> </w:t>
      </w:r>
      <w:r w:rsidR="007846D5" w:rsidRPr="007846D5">
        <w:rPr>
          <w:rStyle w:val="Accentuation"/>
          <w:rFonts w:eastAsiaTheme="majorEastAsia"/>
          <w:i w:val="0"/>
          <w:iCs w:val="0"/>
          <w:lang w:val="fr-FR"/>
        </w:rPr>
        <w:t>Convention sur la diversité biologique de veiller à ce que des dirigeants autochtones</w:t>
      </w:r>
      <w:r w:rsidR="007846D5">
        <w:rPr>
          <w:rStyle w:val="Accentuation"/>
          <w:rFonts w:eastAsiaTheme="majorEastAsia"/>
          <w:i w:val="0"/>
          <w:iCs w:val="0"/>
          <w:lang w:val="fr-FR"/>
        </w:rPr>
        <w:t xml:space="preserve"> </w:t>
      </w:r>
      <w:r w:rsidR="007846D5" w:rsidRPr="007846D5">
        <w:rPr>
          <w:rStyle w:val="Accentuation"/>
          <w:rFonts w:eastAsiaTheme="majorEastAsia"/>
          <w:i w:val="0"/>
          <w:iCs w:val="0"/>
          <w:lang w:val="fr-FR"/>
        </w:rPr>
        <w:t>issus des sept régions socioculturelles prennent part, à tous les niveaux, aux travaux</w:t>
      </w:r>
      <w:r w:rsidR="007846D5">
        <w:rPr>
          <w:rStyle w:val="Accentuation"/>
          <w:rFonts w:eastAsiaTheme="majorEastAsia"/>
          <w:i w:val="0"/>
          <w:iCs w:val="0"/>
          <w:lang w:val="fr-FR"/>
        </w:rPr>
        <w:t xml:space="preserve"> </w:t>
      </w:r>
      <w:r w:rsidR="007846D5" w:rsidRPr="007846D5">
        <w:rPr>
          <w:rStyle w:val="Accentuation"/>
          <w:rFonts w:eastAsiaTheme="majorEastAsia"/>
          <w:i w:val="0"/>
          <w:iCs w:val="0"/>
          <w:lang w:val="fr-FR"/>
        </w:rPr>
        <w:t>afférents au nouveau programme de travail de l’Organe, notamment en tant que</w:t>
      </w:r>
      <w:r w:rsidR="007846D5">
        <w:rPr>
          <w:rStyle w:val="Accentuation"/>
          <w:rFonts w:eastAsiaTheme="majorEastAsia"/>
          <w:i w:val="0"/>
          <w:iCs w:val="0"/>
          <w:lang w:val="fr-FR"/>
        </w:rPr>
        <w:t xml:space="preserve"> </w:t>
      </w:r>
      <w:r w:rsidR="007846D5" w:rsidRPr="007846D5">
        <w:rPr>
          <w:rStyle w:val="Accentuation"/>
          <w:rFonts w:eastAsiaTheme="majorEastAsia"/>
          <w:i w:val="0"/>
          <w:iCs w:val="0"/>
          <w:lang w:val="fr-FR"/>
        </w:rPr>
        <w:t>coprésidents, responsables de groupes de travail, membres de groupes d’experts ou</w:t>
      </w:r>
      <w:r w:rsidR="007846D5">
        <w:rPr>
          <w:rStyle w:val="Accentuation"/>
          <w:rFonts w:eastAsiaTheme="majorEastAsia"/>
          <w:i w:val="0"/>
          <w:iCs w:val="0"/>
          <w:lang w:val="fr-FR"/>
        </w:rPr>
        <w:t xml:space="preserve"> </w:t>
      </w:r>
      <w:r w:rsidR="007846D5" w:rsidRPr="007846D5">
        <w:rPr>
          <w:rStyle w:val="Accentuation"/>
          <w:rFonts w:eastAsiaTheme="majorEastAsia"/>
          <w:i w:val="0"/>
          <w:iCs w:val="0"/>
          <w:lang w:val="fr-FR"/>
        </w:rPr>
        <w:t>membres du Bureau. Elle exhorte de nouveau les entités des Nations Unies et les</w:t>
      </w:r>
      <w:r w:rsidR="007846D5">
        <w:rPr>
          <w:rStyle w:val="Accentuation"/>
          <w:rFonts w:eastAsiaTheme="majorEastAsia"/>
          <w:i w:val="0"/>
          <w:iCs w:val="0"/>
          <w:lang w:val="fr-FR"/>
        </w:rPr>
        <w:t xml:space="preserve"> </w:t>
      </w:r>
      <w:r w:rsidR="007846D5" w:rsidRPr="007846D5">
        <w:rPr>
          <w:rStyle w:val="Accentuation"/>
          <w:rFonts w:eastAsiaTheme="majorEastAsia"/>
          <w:i w:val="0"/>
          <w:iCs w:val="0"/>
          <w:lang w:val="fr-FR"/>
        </w:rPr>
        <w:t>Parties aux accords sur la biodiversité et le climat à reconnaître les identités distinctes</w:t>
      </w:r>
      <w:r w:rsidR="007846D5">
        <w:rPr>
          <w:rStyle w:val="Accentuation"/>
          <w:rFonts w:eastAsiaTheme="majorEastAsia"/>
          <w:i w:val="0"/>
          <w:iCs w:val="0"/>
          <w:lang w:val="fr-FR"/>
        </w:rPr>
        <w:t xml:space="preserve"> </w:t>
      </w:r>
      <w:r w:rsidR="007846D5" w:rsidRPr="007846D5">
        <w:rPr>
          <w:rStyle w:val="Accentuation"/>
          <w:rFonts w:eastAsiaTheme="majorEastAsia"/>
          <w:i w:val="0"/>
          <w:iCs w:val="0"/>
          <w:lang w:val="fr-FR"/>
        </w:rPr>
        <w:t>et les droits particuliers des peuples autochtones. Elle encourage l’emploi d’une</w:t>
      </w:r>
      <w:r w:rsidR="007846D5">
        <w:rPr>
          <w:rStyle w:val="Accentuation"/>
          <w:rFonts w:eastAsiaTheme="majorEastAsia"/>
          <w:i w:val="0"/>
          <w:iCs w:val="0"/>
          <w:lang w:val="fr-FR"/>
        </w:rPr>
        <w:t xml:space="preserve"> </w:t>
      </w:r>
      <w:r w:rsidR="007846D5" w:rsidRPr="007846D5">
        <w:rPr>
          <w:rStyle w:val="Accentuation"/>
          <w:rFonts w:eastAsiaTheme="majorEastAsia"/>
          <w:i w:val="0"/>
          <w:iCs w:val="0"/>
          <w:lang w:val="fr-FR"/>
        </w:rPr>
        <w:t>terminologie précise et différenciée et recommande de ne pas combiner les termes</w:t>
      </w:r>
      <w:r w:rsidR="007846D5">
        <w:rPr>
          <w:rStyle w:val="Accentuation"/>
          <w:rFonts w:eastAsiaTheme="majorEastAsia"/>
          <w:i w:val="0"/>
          <w:iCs w:val="0"/>
          <w:lang w:val="fr-FR"/>
        </w:rPr>
        <w:t xml:space="preserve"> </w:t>
      </w:r>
      <w:r w:rsidR="007846D5" w:rsidRPr="007846D5">
        <w:rPr>
          <w:rStyle w:val="Accentuation"/>
          <w:rFonts w:eastAsiaTheme="majorEastAsia"/>
          <w:i w:val="0"/>
          <w:iCs w:val="0"/>
          <w:lang w:val="fr-FR"/>
        </w:rPr>
        <w:t>«</w:t>
      </w:r>
      <w:r w:rsidR="00233F12">
        <w:rPr>
          <w:rStyle w:val="Accentuation"/>
          <w:rFonts w:eastAsiaTheme="majorEastAsia"/>
          <w:i w:val="0"/>
          <w:iCs w:val="0"/>
          <w:lang w:val="fr-FR"/>
        </w:rPr>
        <w:t> </w:t>
      </w:r>
      <w:r w:rsidR="007846D5" w:rsidRPr="007846D5">
        <w:rPr>
          <w:rStyle w:val="Accentuation"/>
          <w:rFonts w:eastAsiaTheme="majorEastAsia"/>
          <w:i w:val="0"/>
          <w:iCs w:val="0"/>
          <w:lang w:val="fr-FR"/>
        </w:rPr>
        <w:t>peuples autochtones</w:t>
      </w:r>
      <w:r w:rsidR="00233F12">
        <w:rPr>
          <w:rStyle w:val="Accentuation"/>
          <w:rFonts w:eastAsiaTheme="majorEastAsia"/>
          <w:i w:val="0"/>
          <w:iCs w:val="0"/>
          <w:lang w:val="fr-FR"/>
        </w:rPr>
        <w:t> </w:t>
      </w:r>
      <w:r w:rsidR="007846D5" w:rsidRPr="007846D5">
        <w:rPr>
          <w:rStyle w:val="Accentuation"/>
          <w:rFonts w:eastAsiaTheme="majorEastAsia"/>
          <w:i w:val="0"/>
          <w:iCs w:val="0"/>
          <w:lang w:val="fr-FR"/>
        </w:rPr>
        <w:t>» et «</w:t>
      </w:r>
      <w:r w:rsidR="00233F12">
        <w:rPr>
          <w:rStyle w:val="Accentuation"/>
          <w:rFonts w:eastAsiaTheme="majorEastAsia"/>
          <w:i w:val="0"/>
          <w:iCs w:val="0"/>
          <w:lang w:val="fr-FR"/>
        </w:rPr>
        <w:t> </w:t>
      </w:r>
      <w:r w:rsidR="007846D5" w:rsidRPr="007846D5">
        <w:rPr>
          <w:rStyle w:val="Accentuation"/>
          <w:rFonts w:eastAsiaTheme="majorEastAsia"/>
          <w:i w:val="0"/>
          <w:iCs w:val="0"/>
          <w:lang w:val="fr-FR"/>
        </w:rPr>
        <w:t>communautés locales</w:t>
      </w:r>
      <w:r w:rsidR="00233F12">
        <w:rPr>
          <w:rStyle w:val="Accentuation"/>
          <w:rFonts w:eastAsiaTheme="majorEastAsia"/>
          <w:i w:val="0"/>
          <w:iCs w:val="0"/>
          <w:lang w:val="fr-FR"/>
        </w:rPr>
        <w:t> </w:t>
      </w:r>
      <w:r w:rsidR="007846D5" w:rsidRPr="007846D5">
        <w:rPr>
          <w:rStyle w:val="Accentuation"/>
          <w:rFonts w:eastAsiaTheme="majorEastAsia"/>
          <w:i w:val="0"/>
          <w:iCs w:val="0"/>
          <w:lang w:val="fr-FR"/>
        </w:rPr>
        <w:t>» ni de les utiliser de manière</w:t>
      </w:r>
      <w:r w:rsidR="007846D5">
        <w:rPr>
          <w:rStyle w:val="Accentuation"/>
          <w:rFonts w:eastAsiaTheme="majorEastAsia"/>
          <w:i w:val="0"/>
          <w:iCs w:val="0"/>
          <w:lang w:val="fr-FR"/>
        </w:rPr>
        <w:t xml:space="preserve"> </w:t>
      </w:r>
      <w:r w:rsidR="007846D5" w:rsidRPr="007846D5">
        <w:rPr>
          <w:rStyle w:val="Accentuation"/>
          <w:rFonts w:eastAsiaTheme="majorEastAsia"/>
          <w:i w:val="0"/>
          <w:iCs w:val="0"/>
          <w:lang w:val="fr-FR"/>
        </w:rPr>
        <w:t>interchangeable comme s’il s’agissait d’une même catégorie.</w:t>
      </w:r>
    </w:p>
    <w:p w14:paraId="3B2730AD" w14:textId="40C0F49F" w:rsidR="00F25FBF" w:rsidRPr="006913E9" w:rsidRDefault="005F04A9" w:rsidP="00A86C45">
      <w:pPr>
        <w:pStyle w:val="CBDNormalNumber"/>
        <w:rPr>
          <w:rStyle w:val="Accentuation"/>
          <w:rFonts w:eastAsiaTheme="majorEastAsia"/>
          <w:i w:val="0"/>
          <w:iCs w:val="0"/>
          <w:lang w:val="fr-FR"/>
        </w:rPr>
        <w:sectPr w:rsidR="00F25FBF" w:rsidRPr="006913E9" w:rsidSect="00DF78C4">
          <w:headerReference w:type="even" r:id="rId19"/>
          <w:headerReference w:type="default" r:id="rId20"/>
          <w:footerReference w:type="even" r:id="rId21"/>
          <w:footerReference w:type="default" r:id="rId22"/>
          <w:pgSz w:w="12240" w:h="15840"/>
          <w:pgMar w:top="1134" w:right="1440" w:bottom="1134" w:left="1440" w:header="709" w:footer="709" w:gutter="0"/>
          <w:cols w:space="708"/>
          <w:titlePg/>
          <w:docGrid w:linePitch="360"/>
        </w:sectPr>
      </w:pPr>
      <w:r>
        <w:rPr>
          <w:rStyle w:val="Accentuation"/>
          <w:rFonts w:eastAsiaTheme="majorEastAsia"/>
          <w:i w:val="0"/>
          <w:iCs w:val="0"/>
          <w:lang w:val="fr-FR"/>
        </w:rPr>
        <w:t>Dans sa décision</w:t>
      </w:r>
      <w:r w:rsidR="00233F12">
        <w:rPr>
          <w:rStyle w:val="Accentuation"/>
          <w:rFonts w:eastAsiaTheme="majorEastAsia"/>
          <w:i w:val="0"/>
          <w:iCs w:val="0"/>
          <w:lang w:val="fr-FR"/>
        </w:rPr>
        <w:t> </w:t>
      </w:r>
      <w:hyperlink r:id="rId23" w:history="1">
        <w:r w:rsidR="003A4703" w:rsidRPr="006913E9">
          <w:rPr>
            <w:rStyle w:val="Lienhypertexte"/>
            <w:rFonts w:eastAsiaTheme="majorEastAsia"/>
            <w:lang w:val="fr-FR"/>
          </w:rPr>
          <w:t>1</w:t>
        </w:r>
        <w:r w:rsidR="003A4703" w:rsidRPr="006913E9">
          <w:rPr>
            <w:rStyle w:val="Lienhypertexte"/>
            <w:rFonts w:eastAsiaTheme="majorEastAsia"/>
            <w:lang w:val="fr-FR"/>
          </w:rPr>
          <w:t>6</w:t>
        </w:r>
        <w:r w:rsidR="003A4703" w:rsidRPr="006913E9">
          <w:rPr>
            <w:rStyle w:val="Lienhypertexte"/>
            <w:rFonts w:eastAsiaTheme="majorEastAsia"/>
            <w:lang w:val="fr-FR"/>
          </w:rPr>
          <w:t>/5</w:t>
        </w:r>
      </w:hyperlink>
      <w:r w:rsidR="005E7FE0" w:rsidRPr="006913E9">
        <w:rPr>
          <w:rStyle w:val="Accentuation"/>
          <w:rFonts w:eastAsiaTheme="majorEastAsia"/>
          <w:i w:val="0"/>
          <w:iCs w:val="0"/>
          <w:lang w:val="fr-FR"/>
        </w:rPr>
        <w:t>,</w:t>
      </w:r>
      <w:r w:rsidR="00DF6600" w:rsidRPr="006913E9">
        <w:rPr>
          <w:rStyle w:val="Accentuation"/>
          <w:rFonts w:eastAsiaTheme="majorEastAsia"/>
          <w:i w:val="0"/>
          <w:iCs w:val="0"/>
          <w:lang w:val="fr-FR"/>
        </w:rPr>
        <w:t xml:space="preserve"> </w:t>
      </w:r>
      <w:r w:rsidR="00AD66E6">
        <w:rPr>
          <w:rStyle w:val="Accentuation"/>
          <w:rFonts w:eastAsiaTheme="majorEastAsia"/>
          <w:i w:val="0"/>
          <w:iCs w:val="0"/>
          <w:lang w:val="fr-FR"/>
        </w:rPr>
        <w:t xml:space="preserve">la Conférence des Parties a </w:t>
      </w:r>
      <w:r w:rsidR="007077E7">
        <w:rPr>
          <w:rStyle w:val="Accentuation"/>
          <w:rFonts w:eastAsiaTheme="majorEastAsia"/>
          <w:i w:val="0"/>
          <w:iCs w:val="0"/>
          <w:lang w:val="fr-FR"/>
        </w:rPr>
        <w:t>prié</w:t>
      </w:r>
      <w:r w:rsidR="00AD66E6">
        <w:rPr>
          <w:rStyle w:val="Accentuation"/>
          <w:rFonts w:eastAsiaTheme="majorEastAsia"/>
          <w:i w:val="0"/>
          <w:iCs w:val="0"/>
          <w:lang w:val="fr-FR"/>
        </w:rPr>
        <w:t xml:space="preserve"> l’Organe subsidiaire chargé du suivi de l’article 8 j) d’élaborer plus avant et de finaliser son mode de fonctionnement lors de la présente réunion, pour examen à la dix-septième réunion de la Conférence des Parties en vue de son adoption. Il est attendu que les discussions à ce sujet, qui se tiendront au titre du point 4 de l’ordre du jour, contribueront à la mise en œuvre de la tâche 6.1 du programme de travail qui vise à mettre en œuvre et à élaborer plus avant les mécanismes de participation renforcée utilisés par le Groupe de travail.</w:t>
      </w:r>
      <w:r w:rsidR="00263DCD" w:rsidRPr="006913E9">
        <w:rPr>
          <w:rStyle w:val="Accentuation"/>
          <w:rFonts w:eastAsiaTheme="majorEastAsia"/>
          <w:i w:val="0"/>
          <w:iCs w:val="0"/>
          <w:lang w:val="fr-FR"/>
        </w:rPr>
        <w:t xml:space="preserve"> </w:t>
      </w:r>
    </w:p>
    <w:p w14:paraId="0ACC263E" w14:textId="2F4AB255" w:rsidR="006935DA" w:rsidRPr="006913E9" w:rsidRDefault="00E01EC0" w:rsidP="003C4ACE">
      <w:pPr>
        <w:pStyle w:val="CBDH1"/>
        <w:rPr>
          <w:lang w:val="fr-FR" w:eastAsia="zh-CN"/>
        </w:rPr>
      </w:pPr>
      <w:r w:rsidRPr="006913E9">
        <w:rPr>
          <w:lang w:val="fr-FR" w:eastAsia="zh-CN"/>
        </w:rPr>
        <w:t>I</w:t>
      </w:r>
      <w:r w:rsidR="00DC193E" w:rsidRPr="006913E9">
        <w:rPr>
          <w:lang w:val="fr-FR" w:eastAsia="zh-CN"/>
        </w:rPr>
        <w:t>II</w:t>
      </w:r>
      <w:r w:rsidRPr="006913E9">
        <w:rPr>
          <w:lang w:val="fr-FR" w:eastAsia="zh-CN"/>
        </w:rPr>
        <w:t>.</w:t>
      </w:r>
      <w:r w:rsidRPr="006913E9">
        <w:rPr>
          <w:lang w:val="fr-FR" w:eastAsia="zh-CN"/>
        </w:rPr>
        <w:tab/>
      </w:r>
      <w:r w:rsidR="006935DA" w:rsidRPr="006913E9">
        <w:rPr>
          <w:lang w:val="fr-FR" w:eastAsia="zh-CN"/>
        </w:rPr>
        <w:t>Recomm</w:t>
      </w:r>
      <w:r w:rsidR="00AD66E6">
        <w:rPr>
          <w:lang w:val="fr-FR" w:eastAsia="zh-CN"/>
        </w:rPr>
        <w:t>a</w:t>
      </w:r>
      <w:r w:rsidR="006935DA" w:rsidRPr="006913E9">
        <w:rPr>
          <w:lang w:val="fr-FR" w:eastAsia="zh-CN"/>
        </w:rPr>
        <w:t xml:space="preserve">ndations </w:t>
      </w:r>
    </w:p>
    <w:p w14:paraId="54E3DD4F" w14:textId="7A958402" w:rsidR="006935DA" w:rsidRPr="006913E9" w:rsidRDefault="009C3D89" w:rsidP="003C4ACE">
      <w:pPr>
        <w:pStyle w:val="CBDNormalNumber"/>
        <w:keepNext/>
        <w:rPr>
          <w:rFonts w:eastAsia="Malgun Gothic"/>
          <w:snapToGrid w:val="0"/>
          <w:szCs w:val="18"/>
          <w:lang w:val="fr-FR" w:eastAsia="x-none"/>
        </w:rPr>
      </w:pPr>
      <w:r>
        <w:rPr>
          <w:rStyle w:val="Accentuation"/>
          <w:rFonts w:eastAsiaTheme="majorEastAsia"/>
          <w:i w:val="0"/>
          <w:iCs w:val="0"/>
          <w:lang w:val="fr-FR"/>
        </w:rPr>
        <w:t>L’Organe subsidiaire chargé du suivi de l’article 8 j) souhaitera peut-être recommander que, à sa dix-septième réunion, la Conférence des Parties adopte une décision sur le modèle suivant :</w:t>
      </w:r>
    </w:p>
    <w:p w14:paraId="44AE06CB" w14:textId="3C633E94" w:rsidR="006935DA" w:rsidRPr="006913E9" w:rsidRDefault="009C3D89" w:rsidP="003C4ACE">
      <w:pPr>
        <w:pStyle w:val="CBDNormalNoNumber"/>
        <w:keepNext/>
        <w:ind w:firstLine="567"/>
        <w:rPr>
          <w:i/>
          <w:iCs/>
          <w:lang w:val="fr-FR" w:eastAsia="zh-CN"/>
        </w:rPr>
      </w:pPr>
      <w:r>
        <w:rPr>
          <w:i/>
          <w:iCs/>
          <w:lang w:val="fr-FR" w:eastAsia="zh-CN"/>
        </w:rPr>
        <w:t>La Conférence des Parties</w:t>
      </w:r>
      <w:r w:rsidR="006935DA" w:rsidRPr="006913E9">
        <w:rPr>
          <w:lang w:val="fr-FR" w:eastAsia="zh-CN"/>
        </w:rPr>
        <w:t>,</w:t>
      </w:r>
    </w:p>
    <w:p w14:paraId="634761E6" w14:textId="0C4971F6" w:rsidR="006935DA" w:rsidRPr="006913E9" w:rsidRDefault="009C3D89" w:rsidP="003C4ACE">
      <w:pPr>
        <w:pStyle w:val="CBDNormalNoNumber"/>
        <w:ind w:firstLine="567"/>
        <w:rPr>
          <w:lang w:val="fr-FR" w:eastAsia="zh-CN"/>
        </w:rPr>
      </w:pPr>
      <w:r>
        <w:rPr>
          <w:i/>
          <w:iCs/>
          <w:lang w:val="fr-FR" w:eastAsia="zh-CN"/>
        </w:rPr>
        <w:t xml:space="preserve">Ayant étudié </w:t>
      </w:r>
      <w:r>
        <w:rPr>
          <w:lang w:val="fr-FR" w:eastAsia="zh-CN"/>
        </w:rPr>
        <w:t>la note du Secrétariat de la Convention sur la diversité biologique</w:t>
      </w:r>
      <w:r w:rsidR="00887C19" w:rsidRPr="006913E9">
        <w:rPr>
          <w:rStyle w:val="Appelnotedebasdep"/>
          <w:lang w:val="fr-FR" w:eastAsia="zh-CN"/>
        </w:rPr>
        <w:footnoteReference w:id="4"/>
      </w:r>
      <w:r>
        <w:rPr>
          <w:lang w:val="fr-FR" w:eastAsia="zh-CN"/>
        </w:rPr>
        <w:t xml:space="preserve"> relative aux recommandations de l’Instance permanente sur les questions autochtones</w:t>
      </w:r>
      <w:r w:rsidR="006935DA" w:rsidRPr="006913E9">
        <w:rPr>
          <w:vertAlign w:val="superscript"/>
          <w:lang w:val="fr-FR" w:eastAsia="zh-CN"/>
        </w:rPr>
        <w:footnoteReference w:id="5"/>
      </w:r>
      <w:r>
        <w:rPr>
          <w:lang w:val="fr-FR" w:eastAsia="zh-CN"/>
        </w:rPr>
        <w:t>,</w:t>
      </w:r>
    </w:p>
    <w:p w14:paraId="4483B1AF" w14:textId="33BDB29B" w:rsidR="006935DA" w:rsidRPr="006913E9" w:rsidRDefault="006935DA" w:rsidP="003C4ACE">
      <w:pPr>
        <w:pStyle w:val="CBDNormalNoNumber"/>
        <w:ind w:firstLine="567"/>
        <w:rPr>
          <w:lang w:val="fr-FR" w:eastAsia="zh-CN"/>
        </w:rPr>
      </w:pPr>
      <w:r w:rsidRPr="006913E9">
        <w:rPr>
          <w:lang w:val="fr-FR" w:eastAsia="zh-CN"/>
        </w:rPr>
        <w:t>1.</w:t>
      </w:r>
      <w:r w:rsidRPr="006913E9">
        <w:rPr>
          <w:lang w:val="fr-FR" w:eastAsia="zh-CN"/>
        </w:rPr>
        <w:tab/>
      </w:r>
      <w:bookmarkStart w:id="2" w:name="_Hlk205546151"/>
      <w:r w:rsidR="009C3D89">
        <w:rPr>
          <w:i/>
          <w:iCs/>
          <w:lang w:val="fr-FR" w:eastAsia="zh-CN"/>
        </w:rPr>
        <w:t>Prend note</w:t>
      </w:r>
      <w:r w:rsidR="009C3D89">
        <w:rPr>
          <w:lang w:val="fr-FR" w:eastAsia="zh-CN"/>
        </w:rPr>
        <w:t xml:space="preserve"> des recommandations émanant des vingt-troisième et </w:t>
      </w:r>
      <w:proofErr w:type="gramStart"/>
      <w:r w:rsidR="009C3D89">
        <w:rPr>
          <w:lang w:val="fr-FR" w:eastAsia="zh-CN"/>
        </w:rPr>
        <w:t>vingt-quatrième sessions</w:t>
      </w:r>
      <w:proofErr w:type="gramEnd"/>
      <w:r w:rsidR="009C3D89">
        <w:rPr>
          <w:lang w:val="fr-FR" w:eastAsia="zh-CN"/>
        </w:rPr>
        <w:t xml:space="preserve"> de l’Instance permanente sur les questions autochtones ;</w:t>
      </w:r>
      <w:bookmarkEnd w:id="2"/>
    </w:p>
    <w:p w14:paraId="610DF9A4" w14:textId="493E1E41" w:rsidR="001065E9" w:rsidRPr="006913E9" w:rsidRDefault="006935DA" w:rsidP="003C4ACE">
      <w:pPr>
        <w:pStyle w:val="CBDNormalNoNumber"/>
        <w:ind w:firstLine="567"/>
        <w:rPr>
          <w:lang w:val="fr-FR" w:eastAsia="zh-CN"/>
        </w:rPr>
      </w:pPr>
      <w:r w:rsidRPr="006913E9">
        <w:rPr>
          <w:lang w:val="fr-FR" w:eastAsia="zh-CN"/>
        </w:rPr>
        <w:t>2.</w:t>
      </w:r>
      <w:r w:rsidRPr="006913E9">
        <w:rPr>
          <w:lang w:val="fr-FR" w:eastAsia="zh-CN"/>
        </w:rPr>
        <w:tab/>
      </w:r>
      <w:r w:rsidR="007077E7">
        <w:rPr>
          <w:i/>
          <w:iCs/>
          <w:lang w:val="fr-FR" w:eastAsia="zh-CN"/>
        </w:rPr>
        <w:t>Prie</w:t>
      </w:r>
      <w:r w:rsidR="009C3D89">
        <w:rPr>
          <w:lang w:val="fr-FR" w:eastAsia="zh-CN"/>
        </w:rPr>
        <w:t xml:space="preserve"> la Secrétaire exécutive de la Convention de continuer à informer l’Instance permanente sur les questions autochtones de l’évolution de</w:t>
      </w:r>
      <w:r w:rsidR="007077E7">
        <w:rPr>
          <w:lang w:val="fr-FR" w:eastAsia="zh-CN"/>
        </w:rPr>
        <w:t xml:space="preserve"> leurs</w:t>
      </w:r>
      <w:r w:rsidR="009C3D89">
        <w:rPr>
          <w:lang w:val="fr-FR" w:eastAsia="zh-CN"/>
        </w:rPr>
        <w:t xml:space="preserve"> intérêts partagés et de </w:t>
      </w:r>
      <w:r w:rsidR="007077E7">
        <w:rPr>
          <w:lang w:val="fr-FR" w:eastAsia="zh-CN"/>
        </w:rPr>
        <w:t>tenir</w:t>
      </w:r>
      <w:r w:rsidR="009C3D89">
        <w:rPr>
          <w:lang w:val="fr-FR" w:eastAsia="zh-CN"/>
        </w:rPr>
        <w:t xml:space="preserve"> l’Instance permanente </w:t>
      </w:r>
      <w:r w:rsidR="007077E7">
        <w:rPr>
          <w:lang w:val="fr-FR" w:eastAsia="zh-CN"/>
        </w:rPr>
        <w:t>informée</w:t>
      </w:r>
      <w:r w:rsidR="009C3D89">
        <w:rPr>
          <w:lang w:val="fr-FR" w:eastAsia="zh-CN"/>
        </w:rPr>
        <w:t xml:space="preserve"> des activités entreprises au titre de la Convention qui sont en lien avec </w:t>
      </w:r>
      <w:r w:rsidR="00E47CE9">
        <w:rPr>
          <w:lang w:val="fr-FR" w:eastAsia="zh-CN"/>
        </w:rPr>
        <w:t>s</w:t>
      </w:r>
      <w:r w:rsidR="009C3D89">
        <w:rPr>
          <w:lang w:val="fr-FR" w:eastAsia="zh-CN"/>
        </w:rPr>
        <w:t>es recommandations susmentionnées.</w:t>
      </w:r>
    </w:p>
    <w:p w14:paraId="702EFCB7" w14:textId="77777777" w:rsidR="001065E9" w:rsidRPr="006913E9" w:rsidRDefault="003D5897" w:rsidP="003D5897">
      <w:pPr>
        <w:jc w:val="center"/>
        <w:rPr>
          <w:lang w:val="fr-FR"/>
        </w:rPr>
      </w:pPr>
      <w:r w:rsidRPr="006913E9">
        <w:rPr>
          <w:lang w:val="fr-FR"/>
        </w:rPr>
        <w:t>__________</w:t>
      </w:r>
    </w:p>
    <w:sectPr w:rsidR="001065E9" w:rsidRPr="006913E9" w:rsidSect="00B577BD">
      <w:footnotePr>
        <w:numRestart w:val="eachSect"/>
      </w:footnotePr>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BBAF5" w14:textId="77777777" w:rsidR="00926B2D" w:rsidRDefault="00926B2D" w:rsidP="001A7228">
      <w:r>
        <w:separator/>
      </w:r>
    </w:p>
  </w:endnote>
  <w:endnote w:type="continuationSeparator" w:id="0">
    <w:p w14:paraId="140B7FDF" w14:textId="77777777" w:rsidR="00926B2D" w:rsidRDefault="00926B2D"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2A7BB" w14:textId="77777777" w:rsidR="00DF78C4" w:rsidRPr="00DF78C4" w:rsidRDefault="00DF78C4" w:rsidP="00DF78C4">
    <w:pPr>
      <w:pStyle w:val="Pieddepage"/>
    </w:pPr>
    <w:r>
      <w:fldChar w:fldCharType="begin"/>
    </w:r>
    <w:r>
      <w:instrText xml:space="preserve"> PAGE </w:instrText>
    </w:r>
    <w:r>
      <w:fldChar w:fldCharType="separate"/>
    </w:r>
    <w:r w:rsidR="003D5897">
      <w:rPr>
        <w:noProof/>
      </w:rPr>
      <w:t>2</w:t>
    </w:r>
    <w:r>
      <w:fldChar w:fldCharType="end"/>
    </w:r>
    <w:r>
      <w:t>/</w:t>
    </w:r>
    <w:fldSimple w:instr=" NUMPAGES \* MERGEFORMAT ">
      <w:r w:rsidR="003D5897">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9C0D2" w14:textId="77777777" w:rsidR="00DF78C4" w:rsidRPr="00DF78C4" w:rsidRDefault="00DF78C4" w:rsidP="00DF78C4">
    <w:pPr>
      <w:pStyle w:val="CBDFooter"/>
      <w:jc w:val="right"/>
    </w:pPr>
    <w:r>
      <w:fldChar w:fldCharType="begin"/>
    </w:r>
    <w:r>
      <w:instrText xml:space="preserve"> PAGE \* MERGEFORMAT </w:instrText>
    </w:r>
    <w:r>
      <w:fldChar w:fldCharType="separate"/>
    </w:r>
    <w:r w:rsidR="003D5897">
      <w:rPr>
        <w:noProof/>
      </w:rPr>
      <w:t>3</w:t>
    </w:r>
    <w:r>
      <w:fldChar w:fldCharType="end"/>
    </w:r>
    <w:r>
      <w:t>/</w:t>
    </w:r>
    <w:fldSimple w:instr=" NUMPAGES \* MERGEFORMAT ">
      <w:r w:rsidR="003D5897">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8D227" w14:textId="77777777" w:rsidR="00926B2D" w:rsidRDefault="00926B2D" w:rsidP="001A7228">
      <w:r>
        <w:separator/>
      </w:r>
    </w:p>
  </w:footnote>
  <w:footnote w:type="continuationSeparator" w:id="0">
    <w:p w14:paraId="4E24FF76" w14:textId="77777777" w:rsidR="00926B2D" w:rsidRDefault="00926B2D" w:rsidP="001A7228">
      <w:r>
        <w:continuationSeparator/>
      </w:r>
    </w:p>
  </w:footnote>
  <w:footnote w:id="1">
    <w:p w14:paraId="688F5E09" w14:textId="109561A5" w:rsidR="001A7228" w:rsidRPr="00BC21C1" w:rsidRDefault="001A7228">
      <w:pPr>
        <w:pStyle w:val="Notedebasdepage"/>
        <w:rPr>
          <w:lang w:val="pt-PT"/>
        </w:rPr>
      </w:pPr>
      <w:r w:rsidRPr="003C4ACE">
        <w:rPr>
          <w:rStyle w:val="Appelnotedebasdep"/>
          <w:lang w:val="pt-PT"/>
        </w:rPr>
        <w:t>*</w:t>
      </w:r>
      <w:r w:rsidRPr="003C4ACE">
        <w:rPr>
          <w:lang w:val="pt-PT"/>
        </w:rPr>
        <w:t xml:space="preserve"> </w:t>
      </w:r>
      <w:hyperlink r:id="rId1" w:history="1">
        <w:r w:rsidRPr="003C4ACE">
          <w:rPr>
            <w:rStyle w:val="Lienhypertexte"/>
            <w:lang w:val="pt-PT"/>
          </w:rPr>
          <w:t>CBD/SB</w:t>
        </w:r>
        <w:r w:rsidR="00023B83" w:rsidRPr="003C4ACE">
          <w:rPr>
            <w:rStyle w:val="Lienhypertexte"/>
            <w:lang w:val="pt-PT"/>
          </w:rPr>
          <w:t>8J</w:t>
        </w:r>
        <w:r w:rsidRPr="003C4ACE">
          <w:rPr>
            <w:rStyle w:val="Lienhypertexte"/>
            <w:lang w:val="pt-PT"/>
          </w:rPr>
          <w:t>/</w:t>
        </w:r>
        <w:r w:rsidR="00023B83" w:rsidRPr="003C4ACE">
          <w:rPr>
            <w:rStyle w:val="Lienhypertexte"/>
            <w:lang w:val="pt-PT"/>
          </w:rPr>
          <w:t>1</w:t>
        </w:r>
        <w:r w:rsidRPr="003C4ACE">
          <w:rPr>
            <w:rStyle w:val="Lienhypertexte"/>
            <w:lang w:val="pt-PT"/>
          </w:rPr>
          <w:t>/1</w:t>
        </w:r>
        <w:r w:rsidR="00893423" w:rsidRPr="003C4ACE">
          <w:rPr>
            <w:rStyle w:val="Lienhypertexte"/>
            <w:lang w:val="pt-PT"/>
          </w:rPr>
          <w:t>/Rev.1</w:t>
        </w:r>
      </w:hyperlink>
      <w:r w:rsidRPr="003C4ACE">
        <w:rPr>
          <w:lang w:val="pt-PT"/>
        </w:rPr>
        <w:t>.</w:t>
      </w:r>
    </w:p>
  </w:footnote>
  <w:footnote w:id="2">
    <w:p w14:paraId="2B601AF2" w14:textId="0B889E7D" w:rsidR="00685B42" w:rsidRPr="00BC21C1" w:rsidRDefault="00685B42">
      <w:pPr>
        <w:pStyle w:val="Notedebasdepage"/>
        <w:rPr>
          <w:lang w:val="pt-PT"/>
        </w:rPr>
      </w:pPr>
      <w:r>
        <w:rPr>
          <w:rStyle w:val="Appelnotedebasdep"/>
        </w:rPr>
        <w:footnoteRef/>
      </w:r>
      <w:r w:rsidRPr="00BC21C1">
        <w:rPr>
          <w:lang w:val="pt-PT"/>
        </w:rPr>
        <w:t xml:space="preserve"> </w:t>
      </w:r>
      <w:hyperlink r:id="rId2" w:history="1">
        <w:r w:rsidR="005E4E6E" w:rsidRPr="00822285">
          <w:rPr>
            <w:rStyle w:val="Lienhypertexte"/>
            <w:lang w:val="pt-PT"/>
          </w:rPr>
          <w:t>E/2024/43-E/C.19/2024/8</w:t>
        </w:r>
      </w:hyperlink>
      <w:r w:rsidR="004F08F2" w:rsidRPr="003C4ACE">
        <w:rPr>
          <w:lang w:val="es-ES"/>
        </w:rPr>
        <w:t>.</w:t>
      </w:r>
    </w:p>
  </w:footnote>
  <w:footnote w:id="3">
    <w:p w14:paraId="03D42ADE" w14:textId="571A8A26" w:rsidR="00110AA7" w:rsidRPr="00887C19" w:rsidRDefault="00110AA7">
      <w:pPr>
        <w:pStyle w:val="Notedebasdepage"/>
        <w:rPr>
          <w:lang w:val="en-US"/>
        </w:rPr>
      </w:pPr>
      <w:r>
        <w:rPr>
          <w:rStyle w:val="Appelnotedebasdep"/>
        </w:rPr>
        <w:footnoteRef/>
      </w:r>
      <w:r w:rsidRPr="00887C19">
        <w:rPr>
          <w:lang w:val="en-US"/>
        </w:rPr>
        <w:t xml:space="preserve"> </w:t>
      </w:r>
      <w:hyperlink r:id="rId3" w:history="1">
        <w:r w:rsidR="008E1F15" w:rsidRPr="00887C19">
          <w:rPr>
            <w:rStyle w:val="Lienhypertexte"/>
            <w:lang w:val="en-US"/>
          </w:rPr>
          <w:t>E/2025/4</w:t>
        </w:r>
        <w:r w:rsidR="008E1F15" w:rsidRPr="00887C19">
          <w:rPr>
            <w:rStyle w:val="Lienhypertexte"/>
            <w:lang w:val="en-US"/>
          </w:rPr>
          <w:t>3</w:t>
        </w:r>
        <w:r w:rsidR="008E1F15" w:rsidRPr="00887C19">
          <w:rPr>
            <w:rStyle w:val="Lienhypertexte"/>
            <w:lang w:val="en-US"/>
          </w:rPr>
          <w:t>-E/C.19/2025/8</w:t>
        </w:r>
      </w:hyperlink>
      <w:r w:rsidR="004F08F2" w:rsidRPr="003C4ACE">
        <w:rPr>
          <w:lang w:val="en-US"/>
        </w:rPr>
        <w:t>.</w:t>
      </w:r>
    </w:p>
  </w:footnote>
  <w:footnote w:id="4">
    <w:p w14:paraId="494FF203" w14:textId="4018F817" w:rsidR="00887C19" w:rsidRPr="00C17027" w:rsidRDefault="00887C19" w:rsidP="00887C19">
      <w:pPr>
        <w:pStyle w:val="Notedebasdepage"/>
        <w:rPr>
          <w:lang w:val="fr-FR"/>
        </w:rPr>
      </w:pPr>
      <w:r w:rsidRPr="00C17027">
        <w:rPr>
          <w:rStyle w:val="Appelnotedebasdep"/>
          <w:lang w:val="fr-FR"/>
        </w:rPr>
        <w:footnoteRef/>
      </w:r>
      <w:r w:rsidRPr="00C17027">
        <w:rPr>
          <w:lang w:val="fr-FR"/>
        </w:rPr>
        <w:t xml:space="preserve"> </w:t>
      </w:r>
      <w:r w:rsidR="00C17027" w:rsidRPr="00C17027">
        <w:rPr>
          <w:lang w:val="fr-FR"/>
        </w:rPr>
        <w:t>Nations Unies</w:t>
      </w:r>
      <w:r w:rsidRPr="00C17027">
        <w:rPr>
          <w:lang w:val="fr-FR"/>
        </w:rPr>
        <w:t xml:space="preserve">, </w:t>
      </w:r>
      <w:r w:rsidR="00C17027" w:rsidRPr="00C17027">
        <w:rPr>
          <w:i/>
          <w:iCs/>
          <w:lang w:val="fr-FR"/>
        </w:rPr>
        <w:t>Recueil des Traités</w:t>
      </w:r>
      <w:r w:rsidRPr="00C17027">
        <w:rPr>
          <w:lang w:val="fr-FR"/>
        </w:rPr>
        <w:t xml:space="preserve">, vol. 1760, </w:t>
      </w:r>
      <w:r w:rsidR="00C17027" w:rsidRPr="00C17027">
        <w:rPr>
          <w:lang w:val="fr-FR"/>
        </w:rPr>
        <w:t>n</w:t>
      </w:r>
      <w:r w:rsidRPr="00C17027">
        <w:rPr>
          <w:lang w:val="fr-FR"/>
        </w:rPr>
        <w:t>o.</w:t>
      </w:r>
      <w:r w:rsidR="00233F12">
        <w:rPr>
          <w:lang w:val="fr-FR"/>
        </w:rPr>
        <w:t> </w:t>
      </w:r>
      <w:r w:rsidRPr="00C17027">
        <w:rPr>
          <w:lang w:val="fr-FR"/>
        </w:rPr>
        <w:t>30619.</w:t>
      </w:r>
    </w:p>
  </w:footnote>
  <w:footnote w:id="5">
    <w:p w14:paraId="35335328" w14:textId="14068D6B" w:rsidR="006935DA" w:rsidRPr="003C4ACE" w:rsidRDefault="006935DA" w:rsidP="006935DA">
      <w:pPr>
        <w:pStyle w:val="Notedebasdepage"/>
        <w:rPr>
          <w:lang w:val="en-US"/>
        </w:rPr>
      </w:pPr>
      <w:r w:rsidRPr="00C17027">
        <w:rPr>
          <w:rStyle w:val="Appelnotedebasdep"/>
          <w:lang w:val="fr-FR"/>
        </w:rPr>
        <w:footnoteRef/>
      </w:r>
      <w:r w:rsidRPr="00C17027">
        <w:rPr>
          <w:lang w:val="fr-FR"/>
        </w:rPr>
        <w:t xml:space="preserve"> </w:t>
      </w:r>
      <w:r w:rsidRPr="00C17027">
        <w:rPr>
          <w:szCs w:val="18"/>
          <w:lang w:val="fr-FR"/>
        </w:rPr>
        <w:t>CBD/SB8J/1/</w:t>
      </w:r>
      <w:r w:rsidR="00DD2767" w:rsidRPr="00C17027">
        <w:rPr>
          <w:szCs w:val="18"/>
          <w:lang w:val="fr-FR"/>
        </w:rPr>
        <w:t>7</w:t>
      </w:r>
      <w:r w:rsidR="004F08F2" w:rsidRPr="00C17027">
        <w:rPr>
          <w:szCs w:val="18"/>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1B530" w14:textId="025D548C" w:rsidR="00DF78C4" w:rsidRPr="00DF78C4" w:rsidRDefault="00DF78C4" w:rsidP="00DF78C4">
    <w:pPr>
      <w:pStyle w:val="CBDHeader"/>
      <w:rPr>
        <w:lang w:val="en-US"/>
      </w:rPr>
    </w:pPr>
    <w:r>
      <w:rPr>
        <w:lang w:val="en-US"/>
      </w:rPr>
      <w:t>CBD/SB</w:t>
    </w:r>
    <w:r w:rsidR="00023B83">
      <w:rPr>
        <w:lang w:val="en-US"/>
      </w:rPr>
      <w:t>8J</w:t>
    </w:r>
    <w:r>
      <w:rPr>
        <w:lang w:val="en-US"/>
      </w:rPr>
      <w:t>/</w:t>
    </w:r>
    <w:r w:rsidR="00023B83">
      <w:rPr>
        <w:lang w:val="en-US"/>
      </w:rPr>
      <w:t>1</w:t>
    </w:r>
    <w:r>
      <w:rPr>
        <w:lang w:val="en-US"/>
      </w:rPr>
      <w:t>/</w:t>
    </w:r>
    <w:r w:rsidR="00E01EC0">
      <w:rPr>
        <w:lang w:val="en-US"/>
      </w:rPr>
      <w:t>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EC005" w14:textId="61C2FDF4" w:rsidR="00DF78C4" w:rsidRPr="00DF78C4" w:rsidRDefault="00DF78C4" w:rsidP="00DF78C4">
    <w:pPr>
      <w:pStyle w:val="CBDHeader"/>
      <w:jc w:val="right"/>
      <w:rPr>
        <w:lang w:val="en-US"/>
      </w:rPr>
    </w:pPr>
    <w:r>
      <w:rPr>
        <w:lang w:val="en-US"/>
      </w:rPr>
      <w:t>CBD/SB</w:t>
    </w:r>
    <w:r w:rsidR="00023B83">
      <w:rPr>
        <w:lang w:val="en-US"/>
      </w:rPr>
      <w:t>8J</w:t>
    </w:r>
    <w:r>
      <w:rPr>
        <w:lang w:val="en-US"/>
      </w:rPr>
      <w:t>/</w:t>
    </w:r>
    <w:r w:rsidR="00023B83">
      <w:rPr>
        <w:lang w:val="en-US"/>
      </w:rPr>
      <w:t>1</w:t>
    </w:r>
    <w:r>
      <w:rPr>
        <w:lang w:val="en-US"/>
      </w:rPr>
      <w:t>/</w:t>
    </w:r>
    <w:r w:rsidR="00781638">
      <w:rPr>
        <w:lang w:val="en-US"/>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6BE63CA"/>
    <w:multiLevelType w:val="hybridMultilevel"/>
    <w:tmpl w:val="8BD8795A"/>
    <w:lvl w:ilvl="0" w:tplc="1C94BC06">
      <w:start w:val="1"/>
      <w:numFmt w:val="decimal"/>
      <w:lvlText w:val="%1."/>
      <w:lvlJc w:val="left"/>
      <w:pPr>
        <w:ind w:left="927" w:hanging="360"/>
      </w:pPr>
      <w:rPr>
        <w:rFonts w:hint="default"/>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10AA6FC5"/>
    <w:multiLevelType w:val="hybridMultilevel"/>
    <w:tmpl w:val="0F881850"/>
    <w:lvl w:ilvl="0" w:tplc="82683D4A">
      <w:start w:val="1"/>
      <w:numFmt w:val="lowerLetter"/>
      <w:lvlText w:val="(%1)"/>
      <w:lvlJc w:val="left"/>
      <w:pPr>
        <w:ind w:left="1440" w:hanging="360"/>
      </w:pPr>
      <w:rPr>
        <w:rFonts w:hint="default"/>
      </w:rPr>
    </w:lvl>
    <w:lvl w:ilvl="1" w:tplc="FFFFFFFF">
      <w:start w:val="1"/>
      <w:numFmt w:val="lowerLetter"/>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2BEF3384"/>
    <w:multiLevelType w:val="hybridMultilevel"/>
    <w:tmpl w:val="9940DB64"/>
    <w:lvl w:ilvl="0" w:tplc="174AD4EE">
      <w:start w:val="1"/>
      <w:numFmt w:val="upperRoman"/>
      <w:lvlText w:val="%1."/>
      <w:lvlJc w:val="left"/>
      <w:pPr>
        <w:ind w:left="1080" w:hanging="720"/>
      </w:pPr>
      <w:rPr>
        <w:rFonts w:asciiTheme="majorBidi" w:hAnsiTheme="majorBidi" w:cstheme="majorBidi"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EAF626B"/>
    <w:multiLevelType w:val="hybridMultilevel"/>
    <w:tmpl w:val="DDD48DC6"/>
    <w:lvl w:ilvl="0" w:tplc="56DCD250">
      <w:start w:val="1"/>
      <w:numFmt w:val="decimal"/>
      <w:lvlText w:val="%1."/>
      <w:lvlJc w:val="left"/>
      <w:pPr>
        <w:ind w:left="927" w:hanging="360"/>
      </w:pPr>
      <w:rPr>
        <w:rFonts w:hint="default"/>
        <w:i w:val="0"/>
        <w:iCs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5D943BEE"/>
    <w:multiLevelType w:val="multilevel"/>
    <w:tmpl w:val="222A08B4"/>
    <w:numStyleLink w:val="ListCBD"/>
  </w:abstractNum>
  <w:abstractNum w:abstractNumId="16"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1617564182">
    <w:abstractNumId w:val="17"/>
  </w:num>
  <w:num w:numId="2" w16cid:durableId="818422579">
    <w:abstractNumId w:val="9"/>
  </w:num>
  <w:num w:numId="3" w16cid:durableId="636305811">
    <w:abstractNumId w:val="7"/>
  </w:num>
  <w:num w:numId="4" w16cid:durableId="1577397687">
    <w:abstractNumId w:val="6"/>
  </w:num>
  <w:num w:numId="5" w16cid:durableId="804077862">
    <w:abstractNumId w:val="5"/>
  </w:num>
  <w:num w:numId="6" w16cid:durableId="438573988">
    <w:abstractNumId w:val="4"/>
  </w:num>
  <w:num w:numId="7" w16cid:durableId="978926347">
    <w:abstractNumId w:val="13"/>
  </w:num>
  <w:num w:numId="8" w16cid:durableId="898511921">
    <w:abstractNumId w:val="16"/>
  </w:num>
  <w:num w:numId="9" w16cid:durableId="913976616">
    <w:abstractNumId w:val="15"/>
  </w:num>
  <w:num w:numId="10" w16cid:durableId="647436048">
    <w:abstractNumId w:val="8"/>
  </w:num>
  <w:num w:numId="11" w16cid:durableId="1037966277">
    <w:abstractNumId w:val="3"/>
  </w:num>
  <w:num w:numId="12" w16cid:durableId="705064197">
    <w:abstractNumId w:val="2"/>
  </w:num>
  <w:num w:numId="13" w16cid:durableId="1196429978">
    <w:abstractNumId w:val="1"/>
  </w:num>
  <w:num w:numId="14" w16cid:durableId="1115058521">
    <w:abstractNumId w:val="0"/>
  </w:num>
  <w:num w:numId="15" w16cid:durableId="402945166">
    <w:abstractNumId w:val="12"/>
  </w:num>
  <w:num w:numId="16" w16cid:durableId="1777210746">
    <w:abstractNumId w:val="14"/>
  </w:num>
  <w:num w:numId="17" w16cid:durableId="797647872">
    <w:abstractNumId w:val="11"/>
  </w:num>
  <w:num w:numId="18" w16cid:durableId="1235899507">
    <w:abstractNumId w:val="10"/>
  </w:num>
  <w:num w:numId="19" w16cid:durableId="1801268931">
    <w:abstractNumId w:val="15"/>
  </w:num>
  <w:num w:numId="20" w16cid:durableId="127405910">
    <w:abstractNumId w:val="15"/>
  </w:num>
  <w:num w:numId="21" w16cid:durableId="1499535002">
    <w:abstractNumId w:val="15"/>
  </w:num>
  <w:num w:numId="22" w16cid:durableId="592133775">
    <w:abstractNumId w:val="15"/>
  </w:num>
  <w:num w:numId="23" w16cid:durableId="699597638">
    <w:abstractNumId w:val="15"/>
  </w:num>
  <w:num w:numId="24" w16cid:durableId="1773938144">
    <w:abstractNumId w:val="15"/>
  </w:num>
  <w:num w:numId="25" w16cid:durableId="1206411632">
    <w:abstractNumId w:val="15"/>
  </w:num>
  <w:num w:numId="26" w16cid:durableId="645739838">
    <w:abstractNumId w:val="15"/>
  </w:num>
  <w:num w:numId="27" w16cid:durableId="527958947">
    <w:abstractNumId w:val="15"/>
  </w:num>
  <w:num w:numId="28" w16cid:durableId="768358171">
    <w:abstractNumId w:val="15"/>
  </w:num>
  <w:num w:numId="29" w16cid:durableId="1366516274">
    <w:abstractNumId w:val="15"/>
  </w:num>
  <w:num w:numId="30" w16cid:durableId="1637031967">
    <w:abstractNumId w:val="15"/>
  </w:num>
  <w:num w:numId="31" w16cid:durableId="48848514">
    <w:abstractNumId w:val="15"/>
  </w:num>
  <w:num w:numId="32" w16cid:durableId="867446244">
    <w:abstractNumId w:val="15"/>
  </w:num>
  <w:num w:numId="33" w16cid:durableId="2005937458">
    <w:abstractNumId w:val="15"/>
  </w:num>
  <w:num w:numId="34" w16cid:durableId="897666885">
    <w:abstractNumId w:val="15"/>
  </w:num>
  <w:num w:numId="35" w16cid:durableId="1735278040">
    <w:abstractNumId w:val="15"/>
  </w:num>
  <w:num w:numId="36" w16cid:durableId="1082023286">
    <w:abstractNumId w:val="15"/>
  </w:num>
  <w:num w:numId="37" w16cid:durableId="344089864">
    <w:abstractNumId w:val="15"/>
  </w:num>
  <w:num w:numId="38" w16cid:durableId="29569595">
    <w:abstractNumId w:val="15"/>
  </w:num>
  <w:num w:numId="39" w16cid:durableId="222721167">
    <w:abstractNumId w:val="15"/>
  </w:num>
  <w:num w:numId="40" w16cid:durableId="910776627">
    <w:abstractNumId w:val="15"/>
  </w:num>
  <w:num w:numId="41" w16cid:durableId="957569615">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LW0MLe0MLMwNjUzN7FU0lEKTi0uzszPAymwqAUAzpIicywAAAA="/>
  </w:docVars>
  <w:rsids>
    <w:rsidRoot w:val="006935DA"/>
    <w:rsid w:val="00002935"/>
    <w:rsid w:val="000066B0"/>
    <w:rsid w:val="00023B83"/>
    <w:rsid w:val="00027B1E"/>
    <w:rsid w:val="00036D8C"/>
    <w:rsid w:val="0004134E"/>
    <w:rsid w:val="000424A9"/>
    <w:rsid w:val="000435D8"/>
    <w:rsid w:val="00047560"/>
    <w:rsid w:val="00052ABB"/>
    <w:rsid w:val="000558EA"/>
    <w:rsid w:val="00055D85"/>
    <w:rsid w:val="00056299"/>
    <w:rsid w:val="000568D1"/>
    <w:rsid w:val="0007522B"/>
    <w:rsid w:val="00076254"/>
    <w:rsid w:val="00083579"/>
    <w:rsid w:val="000849A3"/>
    <w:rsid w:val="0008600D"/>
    <w:rsid w:val="00094B32"/>
    <w:rsid w:val="00095335"/>
    <w:rsid w:val="00096CB0"/>
    <w:rsid w:val="0009728D"/>
    <w:rsid w:val="000A06CA"/>
    <w:rsid w:val="000A1CCD"/>
    <w:rsid w:val="000B49CE"/>
    <w:rsid w:val="000C18A0"/>
    <w:rsid w:val="000C227B"/>
    <w:rsid w:val="000C51EC"/>
    <w:rsid w:val="000D2E15"/>
    <w:rsid w:val="000D3855"/>
    <w:rsid w:val="000D54F9"/>
    <w:rsid w:val="000D5C27"/>
    <w:rsid w:val="000E4B90"/>
    <w:rsid w:val="000F0793"/>
    <w:rsid w:val="000F1A60"/>
    <w:rsid w:val="000F2720"/>
    <w:rsid w:val="000F7949"/>
    <w:rsid w:val="001065E9"/>
    <w:rsid w:val="00110AA7"/>
    <w:rsid w:val="00110F33"/>
    <w:rsid w:val="001119B9"/>
    <w:rsid w:val="001144A1"/>
    <w:rsid w:val="0011503F"/>
    <w:rsid w:val="001234A7"/>
    <w:rsid w:val="00130990"/>
    <w:rsid w:val="0013212D"/>
    <w:rsid w:val="00133B5B"/>
    <w:rsid w:val="00137EFC"/>
    <w:rsid w:val="00146F37"/>
    <w:rsid w:val="001470B0"/>
    <w:rsid w:val="00151867"/>
    <w:rsid w:val="001541DD"/>
    <w:rsid w:val="00155DB6"/>
    <w:rsid w:val="00156CCF"/>
    <w:rsid w:val="0016745C"/>
    <w:rsid w:val="00173B8C"/>
    <w:rsid w:val="00176508"/>
    <w:rsid w:val="00195ED7"/>
    <w:rsid w:val="001A5A37"/>
    <w:rsid w:val="001A6182"/>
    <w:rsid w:val="001A7228"/>
    <w:rsid w:val="001B1057"/>
    <w:rsid w:val="001B1B66"/>
    <w:rsid w:val="001B3EEC"/>
    <w:rsid w:val="001B5E54"/>
    <w:rsid w:val="001B613A"/>
    <w:rsid w:val="001C20F9"/>
    <w:rsid w:val="001D7B8B"/>
    <w:rsid w:val="001E4971"/>
    <w:rsid w:val="001E5103"/>
    <w:rsid w:val="001F0201"/>
    <w:rsid w:val="001F2E8E"/>
    <w:rsid w:val="001F5572"/>
    <w:rsid w:val="001F696A"/>
    <w:rsid w:val="00215129"/>
    <w:rsid w:val="00220E35"/>
    <w:rsid w:val="00222A48"/>
    <w:rsid w:val="00226650"/>
    <w:rsid w:val="00233042"/>
    <w:rsid w:val="0023333B"/>
    <w:rsid w:val="00233F12"/>
    <w:rsid w:val="00241E3F"/>
    <w:rsid w:val="00242A02"/>
    <w:rsid w:val="00243E31"/>
    <w:rsid w:val="002528EA"/>
    <w:rsid w:val="00256E56"/>
    <w:rsid w:val="00257796"/>
    <w:rsid w:val="0026132C"/>
    <w:rsid w:val="00262052"/>
    <w:rsid w:val="00263DCD"/>
    <w:rsid w:val="002667A8"/>
    <w:rsid w:val="002730EB"/>
    <w:rsid w:val="0027354A"/>
    <w:rsid w:val="002826F7"/>
    <w:rsid w:val="002856E3"/>
    <w:rsid w:val="00286DBE"/>
    <w:rsid w:val="00292FF6"/>
    <w:rsid w:val="002957AE"/>
    <w:rsid w:val="002A15DE"/>
    <w:rsid w:val="002A2ECB"/>
    <w:rsid w:val="002B7B5D"/>
    <w:rsid w:val="002C00C2"/>
    <w:rsid w:val="002C39FB"/>
    <w:rsid w:val="002C3DF4"/>
    <w:rsid w:val="002C49C9"/>
    <w:rsid w:val="002D004E"/>
    <w:rsid w:val="002D110B"/>
    <w:rsid w:val="002D3943"/>
    <w:rsid w:val="002E5026"/>
    <w:rsid w:val="002F04DC"/>
    <w:rsid w:val="002F4EC2"/>
    <w:rsid w:val="003015A5"/>
    <w:rsid w:val="003020DD"/>
    <w:rsid w:val="003021A7"/>
    <w:rsid w:val="00303553"/>
    <w:rsid w:val="00307B41"/>
    <w:rsid w:val="003101CB"/>
    <w:rsid w:val="00317840"/>
    <w:rsid w:val="0032056A"/>
    <w:rsid w:val="00322BC9"/>
    <w:rsid w:val="00323DC6"/>
    <w:rsid w:val="003245C8"/>
    <w:rsid w:val="003259C2"/>
    <w:rsid w:val="00327DAB"/>
    <w:rsid w:val="00343F97"/>
    <w:rsid w:val="00351351"/>
    <w:rsid w:val="0036731A"/>
    <w:rsid w:val="003725B4"/>
    <w:rsid w:val="00373186"/>
    <w:rsid w:val="00374184"/>
    <w:rsid w:val="0037555E"/>
    <w:rsid w:val="00376EFA"/>
    <w:rsid w:val="00377216"/>
    <w:rsid w:val="00381569"/>
    <w:rsid w:val="00387DD4"/>
    <w:rsid w:val="00391469"/>
    <w:rsid w:val="00395F05"/>
    <w:rsid w:val="003A4703"/>
    <w:rsid w:val="003A5208"/>
    <w:rsid w:val="003B142B"/>
    <w:rsid w:val="003B142D"/>
    <w:rsid w:val="003B3B5F"/>
    <w:rsid w:val="003B3F92"/>
    <w:rsid w:val="003B4990"/>
    <w:rsid w:val="003C4ACE"/>
    <w:rsid w:val="003C780C"/>
    <w:rsid w:val="003D0D46"/>
    <w:rsid w:val="003D0DE9"/>
    <w:rsid w:val="003D23F9"/>
    <w:rsid w:val="003D41FA"/>
    <w:rsid w:val="003D5897"/>
    <w:rsid w:val="003D7D3C"/>
    <w:rsid w:val="003E5CE1"/>
    <w:rsid w:val="003E7907"/>
    <w:rsid w:val="003E7E6F"/>
    <w:rsid w:val="00400E35"/>
    <w:rsid w:val="00401B8E"/>
    <w:rsid w:val="004021CD"/>
    <w:rsid w:val="00403EDD"/>
    <w:rsid w:val="00414611"/>
    <w:rsid w:val="004177A3"/>
    <w:rsid w:val="004313E0"/>
    <w:rsid w:val="00434A75"/>
    <w:rsid w:val="00442B17"/>
    <w:rsid w:val="00443B52"/>
    <w:rsid w:val="00444883"/>
    <w:rsid w:val="004504D9"/>
    <w:rsid w:val="00464DF8"/>
    <w:rsid w:val="004654ED"/>
    <w:rsid w:val="00480336"/>
    <w:rsid w:val="0048194B"/>
    <w:rsid w:val="00494154"/>
    <w:rsid w:val="004A78CC"/>
    <w:rsid w:val="004B2089"/>
    <w:rsid w:val="004B2A0F"/>
    <w:rsid w:val="004B37E5"/>
    <w:rsid w:val="004C2328"/>
    <w:rsid w:val="004C2983"/>
    <w:rsid w:val="004C5C28"/>
    <w:rsid w:val="004C6F5C"/>
    <w:rsid w:val="004D2AC8"/>
    <w:rsid w:val="004E1EB7"/>
    <w:rsid w:val="004E40AD"/>
    <w:rsid w:val="004E7286"/>
    <w:rsid w:val="004F08F2"/>
    <w:rsid w:val="004F3FF7"/>
    <w:rsid w:val="0050126F"/>
    <w:rsid w:val="005012FC"/>
    <w:rsid w:val="00505040"/>
    <w:rsid w:val="00513B54"/>
    <w:rsid w:val="0051543F"/>
    <w:rsid w:val="00517A28"/>
    <w:rsid w:val="00525DE3"/>
    <w:rsid w:val="00532D87"/>
    <w:rsid w:val="00535EDC"/>
    <w:rsid w:val="00536CBE"/>
    <w:rsid w:val="00542713"/>
    <w:rsid w:val="0054643A"/>
    <w:rsid w:val="005505B6"/>
    <w:rsid w:val="00551801"/>
    <w:rsid w:val="005573A0"/>
    <w:rsid w:val="00565FF4"/>
    <w:rsid w:val="0056780E"/>
    <w:rsid w:val="005733E9"/>
    <w:rsid w:val="00580A87"/>
    <w:rsid w:val="00583956"/>
    <w:rsid w:val="00584877"/>
    <w:rsid w:val="00586E33"/>
    <w:rsid w:val="00591480"/>
    <w:rsid w:val="00591800"/>
    <w:rsid w:val="0059264B"/>
    <w:rsid w:val="0059791B"/>
    <w:rsid w:val="005A7949"/>
    <w:rsid w:val="005B60E6"/>
    <w:rsid w:val="005C353B"/>
    <w:rsid w:val="005C48A3"/>
    <w:rsid w:val="005D4BC8"/>
    <w:rsid w:val="005D766A"/>
    <w:rsid w:val="005E4E6E"/>
    <w:rsid w:val="005E7FE0"/>
    <w:rsid w:val="005F04A9"/>
    <w:rsid w:val="005F7EFF"/>
    <w:rsid w:val="006021A6"/>
    <w:rsid w:val="0060759A"/>
    <w:rsid w:val="00611DB0"/>
    <w:rsid w:val="006162BC"/>
    <w:rsid w:val="00617C53"/>
    <w:rsid w:val="00620778"/>
    <w:rsid w:val="00620E09"/>
    <w:rsid w:val="006238BD"/>
    <w:rsid w:val="0062625B"/>
    <w:rsid w:val="00633F31"/>
    <w:rsid w:val="00635B15"/>
    <w:rsid w:val="006401FD"/>
    <w:rsid w:val="00653F6D"/>
    <w:rsid w:val="00653FDD"/>
    <w:rsid w:val="00662142"/>
    <w:rsid w:val="006722EE"/>
    <w:rsid w:val="0067290D"/>
    <w:rsid w:val="00672EF7"/>
    <w:rsid w:val="006769BA"/>
    <w:rsid w:val="006776B2"/>
    <w:rsid w:val="0068130F"/>
    <w:rsid w:val="00685B42"/>
    <w:rsid w:val="006913E9"/>
    <w:rsid w:val="006935DA"/>
    <w:rsid w:val="006A1A31"/>
    <w:rsid w:val="006A607A"/>
    <w:rsid w:val="006A696D"/>
    <w:rsid w:val="006B62CD"/>
    <w:rsid w:val="006B6D3E"/>
    <w:rsid w:val="006B7633"/>
    <w:rsid w:val="006C7240"/>
    <w:rsid w:val="006C73BA"/>
    <w:rsid w:val="006D01B5"/>
    <w:rsid w:val="006D0DD2"/>
    <w:rsid w:val="006D259A"/>
    <w:rsid w:val="006E1173"/>
    <w:rsid w:val="006E34AC"/>
    <w:rsid w:val="006E422E"/>
    <w:rsid w:val="00705427"/>
    <w:rsid w:val="00705838"/>
    <w:rsid w:val="007077E7"/>
    <w:rsid w:val="0071380A"/>
    <w:rsid w:val="00715100"/>
    <w:rsid w:val="007161A1"/>
    <w:rsid w:val="00716FD5"/>
    <w:rsid w:val="007432FC"/>
    <w:rsid w:val="007519AD"/>
    <w:rsid w:val="007538FB"/>
    <w:rsid w:val="00756B77"/>
    <w:rsid w:val="0076550D"/>
    <w:rsid w:val="007740DF"/>
    <w:rsid w:val="00780756"/>
    <w:rsid w:val="00781638"/>
    <w:rsid w:val="007846D5"/>
    <w:rsid w:val="00786DD5"/>
    <w:rsid w:val="00792693"/>
    <w:rsid w:val="00795131"/>
    <w:rsid w:val="007B48E5"/>
    <w:rsid w:val="007D55FB"/>
    <w:rsid w:val="007E52C1"/>
    <w:rsid w:val="007E619A"/>
    <w:rsid w:val="007F01D3"/>
    <w:rsid w:val="007F144C"/>
    <w:rsid w:val="007F2C48"/>
    <w:rsid w:val="00801F9A"/>
    <w:rsid w:val="00802E8D"/>
    <w:rsid w:val="00803147"/>
    <w:rsid w:val="00803863"/>
    <w:rsid w:val="00810F1C"/>
    <w:rsid w:val="00812D72"/>
    <w:rsid w:val="00816A97"/>
    <w:rsid w:val="00822285"/>
    <w:rsid w:val="00822E78"/>
    <w:rsid w:val="00833146"/>
    <w:rsid w:val="00833B2C"/>
    <w:rsid w:val="00842395"/>
    <w:rsid w:val="00853F5A"/>
    <w:rsid w:val="00860BEC"/>
    <w:rsid w:val="00870D85"/>
    <w:rsid w:val="00876F86"/>
    <w:rsid w:val="00887C19"/>
    <w:rsid w:val="00890241"/>
    <w:rsid w:val="00890614"/>
    <w:rsid w:val="008922B3"/>
    <w:rsid w:val="00893423"/>
    <w:rsid w:val="008943F6"/>
    <w:rsid w:val="008A6494"/>
    <w:rsid w:val="008B611A"/>
    <w:rsid w:val="008C55F7"/>
    <w:rsid w:val="008C7628"/>
    <w:rsid w:val="008D4E7C"/>
    <w:rsid w:val="008E1F15"/>
    <w:rsid w:val="008E3A90"/>
    <w:rsid w:val="008E7CFF"/>
    <w:rsid w:val="008F655C"/>
    <w:rsid w:val="00903876"/>
    <w:rsid w:val="00906A40"/>
    <w:rsid w:val="009102D0"/>
    <w:rsid w:val="00910F5B"/>
    <w:rsid w:val="009215F6"/>
    <w:rsid w:val="00923FC3"/>
    <w:rsid w:val="00924621"/>
    <w:rsid w:val="00924F29"/>
    <w:rsid w:val="00925594"/>
    <w:rsid w:val="00926B2D"/>
    <w:rsid w:val="009324B6"/>
    <w:rsid w:val="00936EF7"/>
    <w:rsid w:val="00945D29"/>
    <w:rsid w:val="00946622"/>
    <w:rsid w:val="00953841"/>
    <w:rsid w:val="00953C9D"/>
    <w:rsid w:val="00956E3B"/>
    <w:rsid w:val="0095725A"/>
    <w:rsid w:val="009572BA"/>
    <w:rsid w:val="00962822"/>
    <w:rsid w:val="00964025"/>
    <w:rsid w:val="00972D4C"/>
    <w:rsid w:val="00976562"/>
    <w:rsid w:val="0097700C"/>
    <w:rsid w:val="00982580"/>
    <w:rsid w:val="00994A8C"/>
    <w:rsid w:val="009A3D73"/>
    <w:rsid w:val="009A6947"/>
    <w:rsid w:val="009A70A8"/>
    <w:rsid w:val="009B2B0F"/>
    <w:rsid w:val="009B47A1"/>
    <w:rsid w:val="009B58D3"/>
    <w:rsid w:val="009C0BBB"/>
    <w:rsid w:val="009C22E7"/>
    <w:rsid w:val="009C37FF"/>
    <w:rsid w:val="009C3D89"/>
    <w:rsid w:val="009C5CCD"/>
    <w:rsid w:val="009C62A4"/>
    <w:rsid w:val="009D225D"/>
    <w:rsid w:val="009D2946"/>
    <w:rsid w:val="009D62F8"/>
    <w:rsid w:val="009D64AA"/>
    <w:rsid w:val="009E1F04"/>
    <w:rsid w:val="009E4E12"/>
    <w:rsid w:val="009F09D8"/>
    <w:rsid w:val="009F36CB"/>
    <w:rsid w:val="009F59A3"/>
    <w:rsid w:val="009F605D"/>
    <w:rsid w:val="009F67EB"/>
    <w:rsid w:val="00A02F63"/>
    <w:rsid w:val="00A05F19"/>
    <w:rsid w:val="00A134CE"/>
    <w:rsid w:val="00A21B32"/>
    <w:rsid w:val="00A336E7"/>
    <w:rsid w:val="00A338B0"/>
    <w:rsid w:val="00A363EF"/>
    <w:rsid w:val="00A41EC2"/>
    <w:rsid w:val="00A44B1F"/>
    <w:rsid w:val="00A44DB2"/>
    <w:rsid w:val="00A555C5"/>
    <w:rsid w:val="00A57C96"/>
    <w:rsid w:val="00A631CF"/>
    <w:rsid w:val="00A64630"/>
    <w:rsid w:val="00A64D3B"/>
    <w:rsid w:val="00A705CB"/>
    <w:rsid w:val="00A7544C"/>
    <w:rsid w:val="00A76246"/>
    <w:rsid w:val="00A80DFC"/>
    <w:rsid w:val="00A8182C"/>
    <w:rsid w:val="00A8255B"/>
    <w:rsid w:val="00A84FAB"/>
    <w:rsid w:val="00A86C45"/>
    <w:rsid w:val="00A87DC3"/>
    <w:rsid w:val="00A929D9"/>
    <w:rsid w:val="00A92CFD"/>
    <w:rsid w:val="00AA50DD"/>
    <w:rsid w:val="00AB69C8"/>
    <w:rsid w:val="00AC4E10"/>
    <w:rsid w:val="00AC6BAF"/>
    <w:rsid w:val="00AD0177"/>
    <w:rsid w:val="00AD66E6"/>
    <w:rsid w:val="00AE4A0B"/>
    <w:rsid w:val="00AE5E74"/>
    <w:rsid w:val="00AE7427"/>
    <w:rsid w:val="00AF4BB2"/>
    <w:rsid w:val="00B14E38"/>
    <w:rsid w:val="00B2114D"/>
    <w:rsid w:val="00B2563F"/>
    <w:rsid w:val="00B26F14"/>
    <w:rsid w:val="00B340FF"/>
    <w:rsid w:val="00B35937"/>
    <w:rsid w:val="00B36149"/>
    <w:rsid w:val="00B402B7"/>
    <w:rsid w:val="00B40336"/>
    <w:rsid w:val="00B50D69"/>
    <w:rsid w:val="00B53133"/>
    <w:rsid w:val="00B53653"/>
    <w:rsid w:val="00B54BA9"/>
    <w:rsid w:val="00B577BD"/>
    <w:rsid w:val="00B6189C"/>
    <w:rsid w:val="00B629E0"/>
    <w:rsid w:val="00B64030"/>
    <w:rsid w:val="00B66F32"/>
    <w:rsid w:val="00B73517"/>
    <w:rsid w:val="00B73F3B"/>
    <w:rsid w:val="00B74911"/>
    <w:rsid w:val="00B77172"/>
    <w:rsid w:val="00B846F5"/>
    <w:rsid w:val="00BA00C2"/>
    <w:rsid w:val="00BA53A8"/>
    <w:rsid w:val="00BB2E2F"/>
    <w:rsid w:val="00BB6DFC"/>
    <w:rsid w:val="00BC21C1"/>
    <w:rsid w:val="00BC77F3"/>
    <w:rsid w:val="00BD05F4"/>
    <w:rsid w:val="00BD1A93"/>
    <w:rsid w:val="00BD639B"/>
    <w:rsid w:val="00BE0C5B"/>
    <w:rsid w:val="00BE5754"/>
    <w:rsid w:val="00BE789D"/>
    <w:rsid w:val="00BE7D97"/>
    <w:rsid w:val="00BF1790"/>
    <w:rsid w:val="00BF1825"/>
    <w:rsid w:val="00BF4BB2"/>
    <w:rsid w:val="00C0558B"/>
    <w:rsid w:val="00C100F3"/>
    <w:rsid w:val="00C13C79"/>
    <w:rsid w:val="00C15171"/>
    <w:rsid w:val="00C17027"/>
    <w:rsid w:val="00C251D7"/>
    <w:rsid w:val="00C25E53"/>
    <w:rsid w:val="00C27440"/>
    <w:rsid w:val="00C2796B"/>
    <w:rsid w:val="00C3566F"/>
    <w:rsid w:val="00C40706"/>
    <w:rsid w:val="00C46EFD"/>
    <w:rsid w:val="00C5191F"/>
    <w:rsid w:val="00C54C3E"/>
    <w:rsid w:val="00C60678"/>
    <w:rsid w:val="00C609EF"/>
    <w:rsid w:val="00C6556E"/>
    <w:rsid w:val="00C71CCE"/>
    <w:rsid w:val="00C71D08"/>
    <w:rsid w:val="00C72CC9"/>
    <w:rsid w:val="00C73E3B"/>
    <w:rsid w:val="00C7620C"/>
    <w:rsid w:val="00C84B95"/>
    <w:rsid w:val="00C85CB3"/>
    <w:rsid w:val="00C906EE"/>
    <w:rsid w:val="00C94E99"/>
    <w:rsid w:val="00C96329"/>
    <w:rsid w:val="00C972BF"/>
    <w:rsid w:val="00C97920"/>
    <w:rsid w:val="00CA38B0"/>
    <w:rsid w:val="00CA39FA"/>
    <w:rsid w:val="00CA54A5"/>
    <w:rsid w:val="00CA6502"/>
    <w:rsid w:val="00CB14CC"/>
    <w:rsid w:val="00CB156F"/>
    <w:rsid w:val="00CB330A"/>
    <w:rsid w:val="00CC2643"/>
    <w:rsid w:val="00CC4239"/>
    <w:rsid w:val="00CC5414"/>
    <w:rsid w:val="00CC54D3"/>
    <w:rsid w:val="00CC5E84"/>
    <w:rsid w:val="00CD4C88"/>
    <w:rsid w:val="00CD78E0"/>
    <w:rsid w:val="00CE4DB6"/>
    <w:rsid w:val="00CF5E08"/>
    <w:rsid w:val="00D006C1"/>
    <w:rsid w:val="00D02F55"/>
    <w:rsid w:val="00D05DDC"/>
    <w:rsid w:val="00D078E8"/>
    <w:rsid w:val="00D12653"/>
    <w:rsid w:val="00D127C5"/>
    <w:rsid w:val="00D12925"/>
    <w:rsid w:val="00D13F09"/>
    <w:rsid w:val="00D14C70"/>
    <w:rsid w:val="00D30A54"/>
    <w:rsid w:val="00D31A54"/>
    <w:rsid w:val="00D31CF4"/>
    <w:rsid w:val="00D37557"/>
    <w:rsid w:val="00D42B37"/>
    <w:rsid w:val="00D443B1"/>
    <w:rsid w:val="00D447BE"/>
    <w:rsid w:val="00D450C2"/>
    <w:rsid w:val="00D5159B"/>
    <w:rsid w:val="00D55D77"/>
    <w:rsid w:val="00D55F34"/>
    <w:rsid w:val="00D565A1"/>
    <w:rsid w:val="00D568D3"/>
    <w:rsid w:val="00D57181"/>
    <w:rsid w:val="00D616BA"/>
    <w:rsid w:val="00D62AAE"/>
    <w:rsid w:val="00D672CD"/>
    <w:rsid w:val="00D71351"/>
    <w:rsid w:val="00D719E5"/>
    <w:rsid w:val="00D735B5"/>
    <w:rsid w:val="00D741E2"/>
    <w:rsid w:val="00D81041"/>
    <w:rsid w:val="00D87141"/>
    <w:rsid w:val="00D95E1B"/>
    <w:rsid w:val="00D962B4"/>
    <w:rsid w:val="00DA0578"/>
    <w:rsid w:val="00DA2373"/>
    <w:rsid w:val="00DA27DA"/>
    <w:rsid w:val="00DB014C"/>
    <w:rsid w:val="00DC193E"/>
    <w:rsid w:val="00DC2AEB"/>
    <w:rsid w:val="00DD2767"/>
    <w:rsid w:val="00DD35E3"/>
    <w:rsid w:val="00DD5278"/>
    <w:rsid w:val="00DF4100"/>
    <w:rsid w:val="00DF6600"/>
    <w:rsid w:val="00DF78C4"/>
    <w:rsid w:val="00DF7C20"/>
    <w:rsid w:val="00E004E9"/>
    <w:rsid w:val="00E01273"/>
    <w:rsid w:val="00E016B2"/>
    <w:rsid w:val="00E01EC0"/>
    <w:rsid w:val="00E02FE2"/>
    <w:rsid w:val="00E0589B"/>
    <w:rsid w:val="00E07A7D"/>
    <w:rsid w:val="00E17EA5"/>
    <w:rsid w:val="00E262D3"/>
    <w:rsid w:val="00E2671E"/>
    <w:rsid w:val="00E31785"/>
    <w:rsid w:val="00E3382C"/>
    <w:rsid w:val="00E4456D"/>
    <w:rsid w:val="00E47CE9"/>
    <w:rsid w:val="00E51F60"/>
    <w:rsid w:val="00E534BE"/>
    <w:rsid w:val="00E540FF"/>
    <w:rsid w:val="00E55A75"/>
    <w:rsid w:val="00E56F9D"/>
    <w:rsid w:val="00E62828"/>
    <w:rsid w:val="00E6487E"/>
    <w:rsid w:val="00E81706"/>
    <w:rsid w:val="00E855A0"/>
    <w:rsid w:val="00E90BC7"/>
    <w:rsid w:val="00EA11DE"/>
    <w:rsid w:val="00EA38F5"/>
    <w:rsid w:val="00EB2BE8"/>
    <w:rsid w:val="00EB3DED"/>
    <w:rsid w:val="00EB4872"/>
    <w:rsid w:val="00EB5C3A"/>
    <w:rsid w:val="00EB5C93"/>
    <w:rsid w:val="00EC0FAB"/>
    <w:rsid w:val="00EC2F88"/>
    <w:rsid w:val="00EC63CE"/>
    <w:rsid w:val="00ED1590"/>
    <w:rsid w:val="00ED1E32"/>
    <w:rsid w:val="00ED4C13"/>
    <w:rsid w:val="00EE2EF4"/>
    <w:rsid w:val="00EF2947"/>
    <w:rsid w:val="00EF3E09"/>
    <w:rsid w:val="00F0368E"/>
    <w:rsid w:val="00F04FC5"/>
    <w:rsid w:val="00F15771"/>
    <w:rsid w:val="00F24ADB"/>
    <w:rsid w:val="00F25FBF"/>
    <w:rsid w:val="00F44451"/>
    <w:rsid w:val="00F450E9"/>
    <w:rsid w:val="00F5394A"/>
    <w:rsid w:val="00F542B4"/>
    <w:rsid w:val="00F60BF0"/>
    <w:rsid w:val="00F70BBA"/>
    <w:rsid w:val="00F71161"/>
    <w:rsid w:val="00F76E78"/>
    <w:rsid w:val="00F77619"/>
    <w:rsid w:val="00F80835"/>
    <w:rsid w:val="00F84838"/>
    <w:rsid w:val="00F86A25"/>
    <w:rsid w:val="00F905C3"/>
    <w:rsid w:val="00FA0B02"/>
    <w:rsid w:val="00FA439A"/>
    <w:rsid w:val="00FA6194"/>
    <w:rsid w:val="00FA7B57"/>
    <w:rsid w:val="00FB0DD2"/>
    <w:rsid w:val="00FB2CA8"/>
    <w:rsid w:val="00FB7DB0"/>
    <w:rsid w:val="00FB7DC2"/>
    <w:rsid w:val="00FC101A"/>
    <w:rsid w:val="00FC6895"/>
    <w:rsid w:val="00FD05EF"/>
    <w:rsid w:val="00FE0FF3"/>
    <w:rsid w:val="00FE2EF2"/>
    <w:rsid w:val="00FE5BF4"/>
    <w:rsid w:val="00FE75AF"/>
    <w:rsid w:val="00FF11F5"/>
    <w:rsid w:val="00FF3D35"/>
    <w:rsid w:val="00FF6D90"/>
    <w:rsid w:val="00FF797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AB80CF"/>
  <w15:chartTrackingRefBased/>
  <w15:docId w15:val="{ADB23612-A998-4D46-BBED-DD58E3482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Titre1">
    <w:name w:val="heading 1"/>
    <w:basedOn w:val="Normal"/>
    <w:next w:val="Titre2"/>
    <w:link w:val="Titre1C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6B6D3E"/>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6B6D3E"/>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6B6D3E"/>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6B6D3E"/>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B6D3E"/>
    <w:rPr>
      <w:rFonts w:ascii="Times New Roman" w:eastAsiaTheme="majorEastAsia" w:hAnsi="Times New Roman" w:cstheme="majorBidi"/>
      <w:b/>
      <w:bCs/>
      <w:sz w:val="28"/>
      <w:szCs w:val="32"/>
      <w:lang w:val="en-GB"/>
    </w:rPr>
  </w:style>
  <w:style w:type="character" w:customStyle="1" w:styleId="Titre2Car">
    <w:name w:val="Titre 2 Car"/>
    <w:basedOn w:val="Policepardfaut"/>
    <w:link w:val="Titre2"/>
    <w:uiPriority w:val="9"/>
    <w:rsid w:val="006B6D3E"/>
    <w:rPr>
      <w:rFonts w:ascii="Times New Roman Bold" w:eastAsiaTheme="majorEastAsia" w:hAnsi="Times New Roman Bold" w:cstheme="majorBidi"/>
      <w:b/>
      <w:kern w:val="0"/>
      <w:szCs w:val="26"/>
      <w:lang w:val="en-GB"/>
      <w14:ligatures w14:val="none"/>
    </w:rPr>
  </w:style>
  <w:style w:type="character" w:customStyle="1" w:styleId="Titre3Car">
    <w:name w:val="Titre 3 Car"/>
    <w:basedOn w:val="Policepardfaut"/>
    <w:link w:val="Titre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Titre4Car">
    <w:name w:val="Titre 4 Car"/>
    <w:basedOn w:val="Policepardfaut"/>
    <w:link w:val="Titre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Titre5Car">
    <w:name w:val="Titre 5 Car"/>
    <w:basedOn w:val="Policepardfaut"/>
    <w:link w:val="Titre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Titre6Car">
    <w:name w:val="Titre 6 Car"/>
    <w:basedOn w:val="Policepardfaut"/>
    <w:link w:val="Titre6"/>
    <w:semiHidden/>
    <w:rsid w:val="006B6D3E"/>
    <w:rPr>
      <w:rFonts w:ascii="Times New Roman" w:eastAsia="SimSun" w:hAnsi="Times New Roman" w:cs="Times New Roman"/>
      <w:bCs/>
      <w:kern w:val="0"/>
      <w:szCs w:val="22"/>
      <w:lang w:val="en-GB"/>
      <w14:ligatures w14:val="none"/>
    </w:rPr>
  </w:style>
  <w:style w:type="character" w:customStyle="1" w:styleId="Titre7Car">
    <w:name w:val="Titre 7 Car"/>
    <w:basedOn w:val="Policepardfaut"/>
    <w:link w:val="Titre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Titre8Car">
    <w:name w:val="Titre 8 Car"/>
    <w:basedOn w:val="Policepardfaut"/>
    <w:link w:val="Titre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Titre9Car">
    <w:name w:val="Titre 9 Car"/>
    <w:basedOn w:val="Policepardfaut"/>
    <w:link w:val="Titre9"/>
    <w:semiHidden/>
    <w:rsid w:val="006B6D3E"/>
    <w:rPr>
      <w:rFonts w:ascii="Times New Roman" w:eastAsia="SimSun" w:hAnsi="Times New Roman" w:cs="Times New Roman"/>
      <w:snapToGrid w:val="0"/>
      <w:kern w:val="0"/>
      <w:sz w:val="22"/>
      <w:szCs w:val="22"/>
      <w:u w:val="single"/>
      <w:lang w:val="en-GB"/>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en-GB"/>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Paragraphedeliste">
    <w:name w:val="List Paragraph"/>
    <w:basedOn w:val="Normal"/>
    <w:uiPriority w:val="34"/>
    <w:qFormat/>
    <w:rsid w:val="006B6D3E"/>
    <w:pPr>
      <w:ind w:left="720"/>
      <w:contextualSpacing/>
    </w:pPr>
  </w:style>
  <w:style w:type="character" w:styleId="Accentuationintense">
    <w:name w:val="Intense Emphasis"/>
    <w:basedOn w:val="Policepardfaut"/>
    <w:uiPriority w:val="21"/>
    <w:qFormat/>
    <w:rsid w:val="004C2983"/>
    <w:rPr>
      <w:i/>
      <w:iCs/>
      <w:color w:val="0F4761" w:themeColor="accent1" w:themeShade="BF"/>
      <w:lang w:val="en-GB"/>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en-GB"/>
    </w:rPr>
  </w:style>
  <w:style w:type="paragraph" w:styleId="R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Appelnotedebasdep">
    <w:name w:val="footnote reference"/>
    <w:basedOn w:val="Policepardfaut"/>
    <w:uiPriority w:val="99"/>
    <w:semiHidden/>
    <w:unhideWhenUsed/>
    <w:rsid w:val="006B6D3E"/>
    <w:rPr>
      <w:vertAlign w:val="superscript"/>
      <w:lang w:val="en-GB"/>
    </w:rPr>
  </w:style>
  <w:style w:type="paragraph" w:customStyle="1" w:styleId="Footnote">
    <w:name w:val="Footnote"/>
    <w:basedOn w:val="Notedebasdepage"/>
    <w:semiHidden/>
    <w:qFormat/>
    <w:rsid w:val="006B6D3E"/>
    <w:rPr>
      <w:szCs w:val="18"/>
    </w:rPr>
  </w:style>
  <w:style w:type="paragraph" w:styleId="En-tte">
    <w:name w:val="header"/>
    <w:basedOn w:val="Normal"/>
    <w:link w:val="En-tteCar"/>
    <w:semiHidden/>
    <w:rsid w:val="006B6D3E"/>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6B6D3E"/>
    <w:rPr>
      <w:rFonts w:ascii="Times New Roman" w:eastAsia="SimSun" w:hAnsi="Times New Roman" w:cs="Times New Roman"/>
      <w:kern w:val="0"/>
      <w:sz w:val="20"/>
      <w:szCs w:val="22"/>
      <w:lang w:val="en-GB"/>
      <w14:ligatures w14:val="none"/>
    </w:rPr>
  </w:style>
  <w:style w:type="paragraph" w:styleId="Pieddepage">
    <w:name w:val="footer"/>
    <w:basedOn w:val="Normal"/>
    <w:link w:val="PieddepageCar"/>
    <w:uiPriority w:val="99"/>
    <w:semiHidden/>
    <w:rsid w:val="006B6D3E"/>
    <w:pPr>
      <w:tabs>
        <w:tab w:val="center" w:pos="4680"/>
        <w:tab w:val="right" w:pos="9360"/>
      </w:tabs>
    </w:pPr>
    <w:rPr>
      <w:sz w:val="20"/>
    </w:rPr>
  </w:style>
  <w:style w:type="character" w:customStyle="1" w:styleId="PieddepageCar">
    <w:name w:val="Pied de page Car"/>
    <w:basedOn w:val="Policepardfaut"/>
    <w:link w:val="Pieddepage"/>
    <w:uiPriority w:val="99"/>
    <w:semiHidden/>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Notedebasdepage">
    <w:name w:val="footnote text"/>
    <w:basedOn w:val="Normal"/>
    <w:link w:val="NotedebasdepageCar"/>
    <w:uiPriority w:val="99"/>
    <w:semiHidden/>
    <w:unhideWhenUsed/>
    <w:rsid w:val="006B6D3E"/>
    <w:pPr>
      <w:jc w:val="left"/>
    </w:pPr>
    <w:rPr>
      <w:sz w:val="18"/>
      <w:szCs w:val="20"/>
    </w:rPr>
  </w:style>
  <w:style w:type="character" w:customStyle="1" w:styleId="NotedebasdepageCar">
    <w:name w:val="Note de bas de page Car"/>
    <w:basedOn w:val="Policepardfaut"/>
    <w:link w:val="Notedebasdepage"/>
    <w:uiPriority w:val="99"/>
    <w:semiHidden/>
    <w:rsid w:val="006B6D3E"/>
    <w:rPr>
      <w:rFonts w:ascii="Times New Roman" w:eastAsia="SimSun" w:hAnsi="Times New Roman" w:cs="Times New Roman"/>
      <w:kern w:val="0"/>
      <w:sz w:val="18"/>
      <w:szCs w:val="20"/>
      <w:lang w:val="en-GB"/>
      <w14:ligatures w14:val="none"/>
    </w:rPr>
  </w:style>
  <w:style w:type="paragraph" w:styleId="Corpsdetexte">
    <w:name w:val="Body Text"/>
    <w:basedOn w:val="Normal"/>
    <w:link w:val="CorpsdetexteC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6B6D3E"/>
    <w:rPr>
      <w:sz w:val="22"/>
      <w:szCs w:val="22"/>
      <w:lang w:val="en-GB"/>
    </w:rPr>
  </w:style>
  <w:style w:type="character" w:styleId="Marquedecommentaire">
    <w:name w:val="annotation reference"/>
    <w:basedOn w:val="Policepardfaut"/>
    <w:uiPriority w:val="99"/>
    <w:semiHidden/>
    <w:unhideWhenUsed/>
    <w:rsid w:val="006B6D3E"/>
    <w:rPr>
      <w:sz w:val="16"/>
      <w:szCs w:val="16"/>
      <w:lang w:val="en-GB"/>
    </w:rPr>
  </w:style>
  <w:style w:type="paragraph" w:styleId="Commentaire">
    <w:name w:val="annotation text"/>
    <w:basedOn w:val="Normal"/>
    <w:link w:val="CommentaireCar"/>
    <w:uiPriority w:val="99"/>
    <w:semiHidden/>
    <w:rsid w:val="006B6D3E"/>
    <w:rPr>
      <w:sz w:val="20"/>
      <w:szCs w:val="20"/>
    </w:rPr>
  </w:style>
  <w:style w:type="character" w:customStyle="1" w:styleId="CommentaireCar">
    <w:name w:val="Commentaire Car"/>
    <w:basedOn w:val="Policepardfaut"/>
    <w:link w:val="Commentaire"/>
    <w:uiPriority w:val="99"/>
    <w:semiHidden/>
    <w:rsid w:val="006B6D3E"/>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6B6D3E"/>
    <w:rPr>
      <w:b/>
      <w:bCs/>
    </w:rPr>
  </w:style>
  <w:style w:type="character" w:customStyle="1" w:styleId="ObjetducommentaireCar">
    <w:name w:val="Objet du commentaire Car"/>
    <w:basedOn w:val="CommentaireCar"/>
    <w:link w:val="Objetducommentaire"/>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e">
    <w:name w:val="List"/>
    <w:basedOn w:val="Normal"/>
    <w:semiHidden/>
    <w:rsid w:val="006B6D3E"/>
    <w:pPr>
      <w:contextualSpacing/>
    </w:pPr>
  </w:style>
  <w:style w:type="numbering" w:customStyle="1" w:styleId="ListCBD">
    <w:name w:val="ListCBD"/>
    <w:basedOn w:val="Aucuneliste"/>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Lienhypertexte">
    <w:name w:val="Hyperlink"/>
    <w:basedOn w:val="Policepardfau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M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en-GB"/>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en-GB"/>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en-GB"/>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en-GB"/>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en-GB"/>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6B6D3E"/>
    <w:rPr>
      <w:b/>
      <w:bCs/>
      <w:i/>
      <w:iCs/>
      <w:spacing w:val="5"/>
      <w:lang w:val="en-GB"/>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en-GB"/>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en-GB"/>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en-GB"/>
      <w14:ligatures w14:val="none"/>
    </w:rPr>
  </w:style>
  <w:style w:type="character" w:styleId="Accentuation">
    <w:name w:val="Emphasis"/>
    <w:basedOn w:val="Policepardfaut"/>
    <w:uiPriority w:val="20"/>
    <w:qFormat/>
    <w:rsid w:val="006B6D3E"/>
    <w:rPr>
      <w:i/>
      <w:iCs/>
      <w:lang w:val="en-GB"/>
    </w:rPr>
  </w:style>
  <w:style w:type="character" w:styleId="Appeldenotedefin">
    <w:name w:val="endnote reference"/>
    <w:basedOn w:val="Policepardfaut"/>
    <w:uiPriority w:val="99"/>
    <w:semiHidden/>
    <w:unhideWhenUsed/>
    <w:rsid w:val="006B6D3E"/>
    <w:rPr>
      <w:vertAlign w:val="superscript"/>
      <w:lang w:val="en-GB"/>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lang w:val="en-GB"/>
    </w:rPr>
  </w:style>
  <w:style w:type="table" w:styleId="TableauGrille1Clair">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Policepardfaut"/>
    <w:uiPriority w:val="99"/>
    <w:semiHidden/>
    <w:unhideWhenUsed/>
    <w:rsid w:val="006B6D3E"/>
    <w:rPr>
      <w:color w:val="2B579A"/>
      <w:shd w:val="clear" w:color="auto" w:fill="E1DFDD"/>
      <w:lang w:val="en-GB"/>
    </w:rPr>
  </w:style>
  <w:style w:type="character" w:styleId="AcronymeHTML">
    <w:name w:val="HTML Acronym"/>
    <w:basedOn w:val="Policepardfaut"/>
    <w:uiPriority w:val="99"/>
    <w:semiHidden/>
    <w:unhideWhenUsed/>
    <w:rsid w:val="006B6D3E"/>
    <w:rPr>
      <w:lang w:val="en-GB"/>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en-GB"/>
      <w14:ligatures w14:val="none"/>
    </w:rPr>
  </w:style>
  <w:style w:type="character" w:styleId="CitationHTML">
    <w:name w:val="HTML Cite"/>
    <w:basedOn w:val="Policepardfaut"/>
    <w:uiPriority w:val="99"/>
    <w:semiHidden/>
    <w:unhideWhenUsed/>
    <w:rsid w:val="006B6D3E"/>
    <w:rPr>
      <w:i/>
      <w:iCs/>
      <w:lang w:val="en-GB"/>
    </w:rPr>
  </w:style>
  <w:style w:type="character" w:styleId="CodeHTML">
    <w:name w:val="HTML Code"/>
    <w:basedOn w:val="Policepardfaut"/>
    <w:uiPriority w:val="99"/>
    <w:semiHidden/>
    <w:unhideWhenUsed/>
    <w:rsid w:val="006B6D3E"/>
    <w:rPr>
      <w:rFonts w:ascii="Consolas" w:hAnsi="Consolas"/>
      <w:sz w:val="20"/>
      <w:szCs w:val="20"/>
      <w:lang w:val="en-GB"/>
    </w:rPr>
  </w:style>
  <w:style w:type="character" w:styleId="DfinitionHTML">
    <w:name w:val="HTML Definition"/>
    <w:basedOn w:val="Policepardfaut"/>
    <w:uiPriority w:val="99"/>
    <w:semiHidden/>
    <w:unhideWhenUsed/>
    <w:rsid w:val="006B6D3E"/>
    <w:rPr>
      <w:i/>
      <w:iCs/>
      <w:lang w:val="en-GB"/>
    </w:rPr>
  </w:style>
  <w:style w:type="character" w:styleId="ClavierHTML">
    <w:name w:val="HTML Keyboard"/>
    <w:basedOn w:val="Policepardfaut"/>
    <w:uiPriority w:val="99"/>
    <w:semiHidden/>
    <w:unhideWhenUsed/>
    <w:rsid w:val="006B6D3E"/>
    <w:rPr>
      <w:rFonts w:ascii="Consolas" w:hAnsi="Consolas"/>
      <w:sz w:val="20"/>
      <w:szCs w:val="20"/>
      <w:lang w:val="en-GB"/>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6B6D3E"/>
    <w:rPr>
      <w:rFonts w:ascii="Consolas" w:hAnsi="Consolas"/>
      <w:sz w:val="24"/>
      <w:szCs w:val="24"/>
      <w:lang w:val="en-GB"/>
    </w:rPr>
  </w:style>
  <w:style w:type="character" w:styleId="MachinecrireHTML">
    <w:name w:val="HTML Typewriter"/>
    <w:basedOn w:val="Policepardfaut"/>
    <w:uiPriority w:val="99"/>
    <w:semiHidden/>
    <w:unhideWhenUsed/>
    <w:rsid w:val="006B6D3E"/>
    <w:rPr>
      <w:rFonts w:ascii="Consolas" w:hAnsi="Consolas"/>
      <w:sz w:val="20"/>
      <w:szCs w:val="20"/>
      <w:lang w:val="en-GB"/>
    </w:rPr>
  </w:style>
  <w:style w:type="character" w:styleId="VariableHTML">
    <w:name w:val="HTML Variable"/>
    <w:basedOn w:val="Policepardfau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en-GB"/>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numPr>
        <w:numId w:val="2"/>
      </w:numPr>
      <w:contextualSpacing/>
    </w:pPr>
  </w:style>
  <w:style w:type="paragraph" w:styleId="Listepuces2">
    <w:name w:val="List Bullet 2"/>
    <w:basedOn w:val="Normal"/>
    <w:uiPriority w:val="99"/>
    <w:semiHidden/>
    <w:unhideWhenUsed/>
    <w:rsid w:val="006B6D3E"/>
    <w:pPr>
      <w:numPr>
        <w:numId w:val="3"/>
      </w:numPr>
      <w:contextualSpacing/>
    </w:pPr>
  </w:style>
  <w:style w:type="paragraph" w:styleId="Listepuces3">
    <w:name w:val="List Bullet 3"/>
    <w:basedOn w:val="Normal"/>
    <w:uiPriority w:val="99"/>
    <w:semiHidden/>
    <w:unhideWhenUsed/>
    <w:rsid w:val="006B6D3E"/>
    <w:pPr>
      <w:numPr>
        <w:numId w:val="4"/>
      </w:numPr>
      <w:contextualSpacing/>
    </w:pPr>
  </w:style>
  <w:style w:type="paragraph" w:styleId="Listepuces4">
    <w:name w:val="List Bullet 4"/>
    <w:basedOn w:val="Normal"/>
    <w:uiPriority w:val="99"/>
    <w:semiHidden/>
    <w:unhideWhenUsed/>
    <w:rsid w:val="006B6D3E"/>
    <w:pPr>
      <w:numPr>
        <w:numId w:val="5"/>
      </w:numPr>
      <w:contextualSpacing/>
    </w:pPr>
  </w:style>
  <w:style w:type="paragraph" w:styleId="Listepuces5">
    <w:name w:val="List Bullet 5"/>
    <w:basedOn w:val="Normal"/>
    <w:uiPriority w:val="99"/>
    <w:semiHidden/>
    <w:unhideWhenUsed/>
    <w:rsid w:val="006B6D3E"/>
    <w:pPr>
      <w:numPr>
        <w:numId w:val="6"/>
      </w:numPr>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numPr>
        <w:numId w:val="10"/>
      </w:numPr>
      <w:contextualSpacing/>
    </w:pPr>
  </w:style>
  <w:style w:type="paragraph" w:styleId="Listenumros2">
    <w:name w:val="List Number 2"/>
    <w:basedOn w:val="Normal"/>
    <w:uiPriority w:val="99"/>
    <w:semiHidden/>
    <w:unhideWhenUsed/>
    <w:rsid w:val="006B6D3E"/>
    <w:pPr>
      <w:numPr>
        <w:numId w:val="11"/>
      </w:numPr>
      <w:contextualSpacing/>
    </w:pPr>
  </w:style>
  <w:style w:type="paragraph" w:styleId="Listenumros3">
    <w:name w:val="List Number 3"/>
    <w:basedOn w:val="Normal"/>
    <w:uiPriority w:val="99"/>
    <w:semiHidden/>
    <w:unhideWhenUsed/>
    <w:rsid w:val="006B6D3E"/>
    <w:pPr>
      <w:numPr>
        <w:numId w:val="12"/>
      </w:numPr>
      <w:contextualSpacing/>
    </w:pPr>
  </w:style>
  <w:style w:type="paragraph" w:styleId="Listenumros4">
    <w:name w:val="List Number 4"/>
    <w:basedOn w:val="Normal"/>
    <w:uiPriority w:val="99"/>
    <w:semiHidden/>
    <w:unhideWhenUsed/>
    <w:rsid w:val="006B6D3E"/>
    <w:pPr>
      <w:numPr>
        <w:numId w:val="13"/>
      </w:numPr>
      <w:contextualSpacing/>
    </w:pPr>
  </w:style>
  <w:style w:type="paragraph" w:styleId="Listenumros5">
    <w:name w:val="List Number 5"/>
    <w:basedOn w:val="Normal"/>
    <w:uiPriority w:val="99"/>
    <w:semiHidden/>
    <w:unhideWhenUsed/>
    <w:rsid w:val="006B6D3E"/>
    <w:pPr>
      <w:numPr>
        <w:numId w:val="14"/>
      </w:numPr>
      <w:contextualSpacing/>
    </w:pPr>
  </w:style>
  <w:style w:type="table" w:styleId="TableauListe1Clair">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6B6D3E"/>
    <w:rPr>
      <w:color w:val="2B579A"/>
      <w:shd w:val="clear" w:color="auto" w:fill="E1DFDD"/>
      <w:lang w:val="en-GB"/>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en-GB"/>
      <w14:ligatures w14:val="none"/>
    </w:rPr>
  </w:style>
  <w:style w:type="character" w:styleId="Numrodepage">
    <w:name w:val="page number"/>
    <w:basedOn w:val="Policepardfaut"/>
    <w:uiPriority w:val="99"/>
    <w:semiHidden/>
    <w:unhideWhenUsed/>
    <w:rsid w:val="006B6D3E"/>
    <w:rPr>
      <w:lang w:val="en-GB"/>
    </w:rPr>
  </w:style>
  <w:style w:type="character" w:styleId="Textedelespacerserv">
    <w:name w:val="Placeholder Text"/>
    <w:basedOn w:val="Policepardfaut"/>
    <w:uiPriority w:val="99"/>
    <w:semiHidden/>
    <w:rsid w:val="006B6D3E"/>
    <w:rPr>
      <w:color w:val="666666"/>
      <w:lang w:val="en-GB"/>
    </w:rPr>
  </w:style>
  <w:style w:type="table" w:styleId="Tableausimp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Policepardfaut"/>
    <w:uiPriority w:val="99"/>
    <w:semiHidden/>
    <w:unhideWhenUsed/>
    <w:rsid w:val="006B6D3E"/>
    <w:rPr>
      <w:u w:val="dotted"/>
      <w:lang w:val="en-GB"/>
    </w:rPr>
  </w:style>
  <w:style w:type="character" w:customStyle="1" w:styleId="SmartLink1">
    <w:name w:val="SmartLink1"/>
    <w:basedOn w:val="Policepardfaut"/>
    <w:uiPriority w:val="99"/>
    <w:semiHidden/>
    <w:unhideWhenUsed/>
    <w:rsid w:val="006B6D3E"/>
    <w:rPr>
      <w:color w:val="0000FF"/>
      <w:u w:val="single"/>
      <w:shd w:val="clear" w:color="auto" w:fill="F3F2F1"/>
      <w:lang w:val="en-GB"/>
    </w:rPr>
  </w:style>
  <w:style w:type="character" w:styleId="lev">
    <w:name w:val="Strong"/>
    <w:basedOn w:val="Policepardfaut"/>
    <w:uiPriority w:val="22"/>
    <w:qFormat/>
    <w:rsid w:val="006B6D3E"/>
    <w:rPr>
      <w:b/>
      <w:bCs/>
      <w:lang w:val="en-GB"/>
    </w:rPr>
  </w:style>
  <w:style w:type="character" w:styleId="Accentuationlgre">
    <w:name w:val="Subtle Emphasis"/>
    <w:basedOn w:val="Policepardfaut"/>
    <w:uiPriority w:val="19"/>
    <w:qFormat/>
    <w:rsid w:val="006B6D3E"/>
    <w:rPr>
      <w:i/>
      <w:iCs/>
      <w:color w:val="404040" w:themeColor="text1" w:themeTint="BF"/>
      <w:lang w:val="en-GB"/>
    </w:rPr>
  </w:style>
  <w:style w:type="character" w:styleId="Rfrencelgre">
    <w:name w:val="Subtle Reference"/>
    <w:basedOn w:val="Policepardfaut"/>
    <w:uiPriority w:val="31"/>
    <w:qFormat/>
    <w:rsid w:val="006B6D3E"/>
    <w:rPr>
      <w:smallCaps/>
      <w:color w:val="5A5A5A" w:themeColor="text1" w:themeTint="A5"/>
      <w:lang w:val="en-GB"/>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Policepardfaut"/>
    <w:uiPriority w:val="99"/>
    <w:semiHidden/>
    <w:unhideWhenUsed/>
    <w:rsid w:val="006B6D3E"/>
    <w:rPr>
      <w:color w:val="605E5C"/>
      <w:shd w:val="clear" w:color="auto" w:fill="E1DFDD"/>
      <w:lang w:val="en-GB"/>
    </w:rPr>
  </w:style>
  <w:style w:type="paragraph" w:customStyle="1" w:styleId="Para1">
    <w:name w:val="Para 1"/>
    <w:basedOn w:val="Normal"/>
    <w:qFormat/>
    <w:rsid w:val="006935DA"/>
    <w:pPr>
      <w:tabs>
        <w:tab w:val="clear" w:pos="567"/>
        <w:tab w:val="clear" w:pos="1701"/>
        <w:tab w:val="clear" w:pos="2268"/>
      </w:tabs>
      <w:spacing w:before="120" w:after="120"/>
    </w:pPr>
    <w:rPr>
      <w:rFonts w:eastAsia="Times New Roman"/>
      <w:szCs w:val="24"/>
      <w:lang w:val="en-CA"/>
    </w:rPr>
  </w:style>
  <w:style w:type="paragraph" w:customStyle="1" w:styleId="Para2">
    <w:name w:val="Para 2"/>
    <w:qFormat/>
    <w:rsid w:val="006935DA"/>
    <w:pPr>
      <w:tabs>
        <w:tab w:val="left" w:pos="1701"/>
      </w:tabs>
      <w:spacing w:before="120" w:after="120" w:line="240" w:lineRule="auto"/>
      <w:jc w:val="both"/>
    </w:pPr>
    <w:rPr>
      <w:rFonts w:ascii="Times New Roman" w:eastAsia="Times New Roman" w:hAnsi="Times New Roman" w:cs="Times New Roman"/>
      <w:kern w:val="0"/>
      <w:sz w:val="22"/>
      <w14:ligatures w14:val="none"/>
    </w:rPr>
  </w:style>
  <w:style w:type="character" w:styleId="Mentionnonrsolue">
    <w:name w:val="Unresolved Mention"/>
    <w:basedOn w:val="Policepardfaut"/>
    <w:uiPriority w:val="99"/>
    <w:semiHidden/>
    <w:unhideWhenUsed/>
    <w:rsid w:val="00E648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meetings/COP-14"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2"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docs.un.org/en/E/2025/43" TargetMode="External"/><Relationship Id="rId2" Type="http://schemas.openxmlformats.org/officeDocument/2006/relationships/hyperlink" Target="https://docs.un.org/en/E/2024/43" TargetMode="External"/><Relationship Id="rId1" Type="http://schemas.openxmlformats.org/officeDocument/2006/relationships/hyperlink" Target="https://www.cbd.int/documents/CBD/SB8J/1/1/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UNPFII\template-sbi8j-0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6629AF8693D459A947E5F2108154078"/>
        <w:category>
          <w:name w:val="General"/>
          <w:gallery w:val="placeholder"/>
        </w:category>
        <w:types>
          <w:type w:val="bbPlcHdr"/>
        </w:types>
        <w:behaviors>
          <w:behavior w:val="content"/>
        </w:behaviors>
        <w:guid w:val="{B4AEC691-A413-41CE-947D-E9D57D46B0E1}"/>
      </w:docPartPr>
      <w:docPartBody>
        <w:p w:rsidR="009127F8" w:rsidRDefault="009127F8">
          <w:pPr>
            <w:pStyle w:val="36629AF8693D459A947E5F2108154078"/>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7F8"/>
    <w:rsid w:val="000A76CF"/>
    <w:rsid w:val="000A7B6B"/>
    <w:rsid w:val="001119B9"/>
    <w:rsid w:val="00135062"/>
    <w:rsid w:val="002A15DE"/>
    <w:rsid w:val="002C00C2"/>
    <w:rsid w:val="002D7B52"/>
    <w:rsid w:val="00357B4A"/>
    <w:rsid w:val="003725B4"/>
    <w:rsid w:val="00374184"/>
    <w:rsid w:val="00482185"/>
    <w:rsid w:val="005810E7"/>
    <w:rsid w:val="005A7949"/>
    <w:rsid w:val="005B723A"/>
    <w:rsid w:val="00611DB0"/>
    <w:rsid w:val="00672EF7"/>
    <w:rsid w:val="00683E60"/>
    <w:rsid w:val="006A1A31"/>
    <w:rsid w:val="006C3597"/>
    <w:rsid w:val="007519AD"/>
    <w:rsid w:val="00756B77"/>
    <w:rsid w:val="00776B88"/>
    <w:rsid w:val="00870D85"/>
    <w:rsid w:val="008922B3"/>
    <w:rsid w:val="009127F8"/>
    <w:rsid w:val="00976562"/>
    <w:rsid w:val="00A0108E"/>
    <w:rsid w:val="00AA50DD"/>
    <w:rsid w:val="00BF1825"/>
    <w:rsid w:val="00CE19B8"/>
    <w:rsid w:val="00D05DDC"/>
    <w:rsid w:val="00D37F01"/>
    <w:rsid w:val="00D42B37"/>
    <w:rsid w:val="00DB7EB1"/>
    <w:rsid w:val="00ED1590"/>
    <w:rsid w:val="00F2267E"/>
    <w:rsid w:val="00F4216E"/>
    <w:rsid w:val="00FE0FF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666666"/>
      <w:lang w:val="en-GB"/>
    </w:rPr>
  </w:style>
  <w:style w:type="paragraph" w:customStyle="1" w:styleId="36629AF8693D459A947E5F2108154078">
    <w:name w:val="36629AF8693D459A947E5F21081540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7E7B7EB-D9D7-499D-A64A-69E2A6620D9A}">
  <ds:schemaRefs>
    <ds:schemaRef ds:uri="http://schemas.openxmlformats.org/officeDocument/2006/bibliography"/>
  </ds:schemaRefs>
</ds:datastoreItem>
</file>

<file path=customXml/itemProps2.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3.xml><?xml version="1.0" encoding="utf-8"?>
<ds:datastoreItem xmlns:ds="http://schemas.openxmlformats.org/officeDocument/2006/customXml" ds:itemID="{152C89E0-9315-4BED-90C0-F8AB69D13E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template-sbi8j-01-en.dotm</Template>
  <TotalTime>0</TotalTime>
  <Pages>5</Pages>
  <Words>2745</Words>
  <Characters>15100</Characters>
  <Application>Microsoft Office Word</Application>
  <DocSecurity>0</DocSecurity>
  <Lines>125</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Recommandations de l’Instance permanente sur les questions autochtones</vt:lpstr>
      <vt:lpstr>Recommendations from the Permanent Forum on Indigenous Issues pertaining to the Convention on Biological Diversity</vt:lpstr>
    </vt:vector>
  </TitlesOfParts>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Recommandations de l’Instance permanente sur les questions autochtones</dc:title>
  <dc:subject/>
  <dc:creator>Q"apaj Conde</dc:creator>
  <cp:keywords>Subsidiary Body on Scientific, Technical and Technological Advice, twenty-seventh meeting</cp:keywords>
  <dc:description/>
  <cp:lastModifiedBy>Gorge Adele</cp:lastModifiedBy>
  <cp:revision>33</cp:revision>
  <dcterms:created xsi:type="dcterms:W3CDTF">2025-08-11T12:50:00Z</dcterms:created>
  <dcterms:modified xsi:type="dcterms:W3CDTF">2025-08-18T19:17:00Z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GrammarlyDocumentId">
    <vt:lpwstr>52978c5e-fc33-4432-9c12-46754f059a84</vt:lpwstr>
  </property>
  <property fmtid="{D5CDD505-2E9C-101B-9397-08002B2CF9AE}" pid="10" name="MediaServiceImageTags">
    <vt:lpwstr/>
  </property>
</Properties>
</file>