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39" w:rsidRPr="00B4020B" w:rsidRDefault="008C35CC" w:rsidP="00B4020B">
      <w:pPr>
        <w:pStyle w:val="Heading1"/>
        <w:keepLines w:val="0"/>
        <w:suppressLineNumbers/>
        <w:suppressAutoHyphens/>
        <w:kinsoku w:val="0"/>
        <w:overflowPunct w:val="0"/>
        <w:autoSpaceDE w:val="0"/>
        <w:autoSpaceDN w:val="0"/>
        <w:bidi/>
        <w:adjustRightInd w:val="0"/>
        <w:snapToGrid w:val="0"/>
        <w:spacing w:before="0"/>
        <w:jc w:val="center"/>
        <w:rPr>
          <w:rFonts w:ascii="Times New Roman" w:eastAsia="Times New Roman" w:hAnsi="Times New Roman"/>
          <w:b w:val="0"/>
          <w:caps/>
          <w:sz w:val="22"/>
          <w:szCs w:val="26"/>
          <w:rtl/>
          <w:lang w:val="en-GB" w:bidi="ar-EG"/>
        </w:rPr>
      </w:pPr>
      <w:r w:rsidRPr="00B4020B">
        <w:rPr>
          <w:rFonts w:ascii="Times New Roman" w:eastAsia="Times New Roman" w:hAnsi="Times New Roman" w:hint="cs"/>
          <w:b w:val="0"/>
          <w:caps/>
          <w:sz w:val="22"/>
          <w:szCs w:val="26"/>
          <w:rtl/>
          <w:lang w:val="en-GB" w:bidi="ar-EG"/>
        </w:rPr>
        <w:t>الجزء الرفيع المستوى</w:t>
      </w:r>
    </w:p>
    <w:p w:rsidR="008C35CC" w:rsidRPr="0040648C" w:rsidRDefault="008C35CC" w:rsidP="0040648C">
      <w:pPr>
        <w:bidi/>
        <w:spacing w:after="120" w:line="216" w:lineRule="auto"/>
        <w:jc w:val="center"/>
        <w:rPr>
          <w:rFonts w:ascii="Times New Roman" w:hAnsi="Times New Roman" w:cs="Simplified Arabic"/>
          <w:szCs w:val="24"/>
          <w:rtl/>
          <w:lang w:bidi="ar-EG"/>
        </w:rPr>
      </w:pPr>
      <w:r w:rsidRPr="0040648C">
        <w:rPr>
          <w:rFonts w:ascii="Times New Roman" w:hAnsi="Times New Roman" w:cs="Simplified Arabic" w:hint="cs"/>
          <w:szCs w:val="24"/>
          <w:rtl/>
          <w:lang w:bidi="ar-EG"/>
        </w:rPr>
        <w:t>مؤتمر الأمم المتحدة للتنوع البيولوجي</w:t>
      </w:r>
      <w:r w:rsidR="0040648C" w:rsidRPr="0040648C">
        <w:rPr>
          <w:rFonts w:ascii="Times New Roman" w:hAnsi="Times New Roman" w:cs="Simplified Arabic" w:hint="cs"/>
          <w:szCs w:val="24"/>
          <w:rtl/>
          <w:lang w:bidi="ar-EG"/>
        </w:rPr>
        <w:t xml:space="preserve"> لعام 2020</w:t>
      </w:r>
      <w:r w:rsidRPr="0040648C">
        <w:rPr>
          <w:rFonts w:ascii="Times New Roman" w:hAnsi="Times New Roman" w:cs="Simplified Arabic" w:hint="cs"/>
          <w:szCs w:val="24"/>
          <w:rtl/>
          <w:lang w:bidi="ar-EG"/>
        </w:rPr>
        <w:t xml:space="preserve">، </w:t>
      </w:r>
      <w:proofErr w:type="spellStart"/>
      <w:r w:rsidRPr="0040648C">
        <w:rPr>
          <w:rFonts w:ascii="Times New Roman" w:hAnsi="Times New Roman" w:cs="Simplified Arabic" w:hint="cs"/>
          <w:szCs w:val="24"/>
          <w:rtl/>
          <w:lang w:bidi="ar-EG"/>
        </w:rPr>
        <w:t>كونمينغ</w:t>
      </w:r>
      <w:proofErr w:type="spellEnd"/>
      <w:r w:rsidRPr="0040648C">
        <w:rPr>
          <w:rFonts w:ascii="Times New Roman" w:hAnsi="Times New Roman" w:cs="Simplified Arabic" w:hint="cs"/>
          <w:szCs w:val="24"/>
          <w:rtl/>
          <w:lang w:bidi="ar-EG"/>
        </w:rPr>
        <w:t xml:space="preserve">، </w:t>
      </w:r>
      <w:r w:rsidR="0040648C" w:rsidRPr="0040648C">
        <w:rPr>
          <w:rFonts w:ascii="Times New Roman" w:hAnsi="Times New Roman" w:cs="Simplified Arabic" w:hint="cs"/>
          <w:szCs w:val="24"/>
          <w:rtl/>
          <w:lang w:bidi="ar-EG"/>
        </w:rPr>
        <w:t>جمهورية الصين الشعبية</w:t>
      </w:r>
      <w:r w:rsidR="0040648C">
        <w:rPr>
          <w:rFonts w:ascii="Times New Roman" w:hAnsi="Times New Roman" w:cs="Simplified Arabic" w:hint="cs"/>
          <w:szCs w:val="24"/>
          <w:rtl/>
          <w:lang w:bidi="ar-EG"/>
        </w:rPr>
        <w:t xml:space="preserve"> </w:t>
      </w:r>
      <w:r w:rsidR="0040648C">
        <w:rPr>
          <w:rFonts w:ascii="Times New Roman" w:hAnsi="Times New Roman" w:cs="Simplified Arabic"/>
          <w:szCs w:val="24"/>
          <w:rtl/>
          <w:lang w:bidi="ar-EG"/>
        </w:rPr>
        <w:br/>
      </w:r>
      <w:r w:rsidR="00310B26" w:rsidRPr="0040648C">
        <w:rPr>
          <w:rFonts w:ascii="Times New Roman" w:hAnsi="Times New Roman" w:cs="Simplified Arabic" w:hint="cs"/>
          <w:szCs w:val="24"/>
          <w:rtl/>
          <w:lang w:bidi="ar-EG"/>
        </w:rPr>
        <w:t>"</w:t>
      </w:r>
      <w:r w:rsidR="004D46FC" w:rsidRPr="0040648C">
        <w:rPr>
          <w:rFonts w:ascii="Times New Roman" w:hAnsi="Times New Roman" w:cs="Simplified Arabic" w:hint="cs"/>
          <w:szCs w:val="24"/>
          <w:rtl/>
          <w:lang w:bidi="ar-EG"/>
        </w:rPr>
        <w:t>ال</w:t>
      </w:r>
      <w:r w:rsidRPr="0040648C">
        <w:rPr>
          <w:rFonts w:ascii="Times New Roman" w:hAnsi="Times New Roman" w:cs="Simplified Arabic" w:hint="cs"/>
          <w:szCs w:val="24"/>
          <w:rtl/>
          <w:lang w:bidi="ar-EG"/>
        </w:rPr>
        <w:t xml:space="preserve">حضارة </w:t>
      </w:r>
      <w:r w:rsidR="004D46FC" w:rsidRPr="0040648C">
        <w:rPr>
          <w:rFonts w:ascii="Times New Roman" w:hAnsi="Times New Roman" w:cs="Simplified Arabic" w:hint="cs"/>
          <w:szCs w:val="24"/>
          <w:rtl/>
          <w:lang w:bidi="ar-EG"/>
        </w:rPr>
        <w:t>ال</w:t>
      </w:r>
      <w:r w:rsidRPr="0040648C">
        <w:rPr>
          <w:rFonts w:ascii="Times New Roman" w:hAnsi="Times New Roman" w:cs="Simplified Arabic" w:hint="cs"/>
          <w:szCs w:val="24"/>
          <w:rtl/>
          <w:lang w:bidi="ar-EG"/>
        </w:rPr>
        <w:t>إيكولوجية</w:t>
      </w:r>
      <w:r w:rsidR="00310B26" w:rsidRPr="0040648C">
        <w:rPr>
          <w:rFonts w:ascii="Times New Roman" w:hAnsi="Times New Roman" w:cs="Simplified Arabic" w:hint="cs"/>
          <w:szCs w:val="24"/>
          <w:rtl/>
          <w:lang w:bidi="ar-EG"/>
        </w:rPr>
        <w:t xml:space="preserve"> </w:t>
      </w:r>
      <w:proofErr w:type="gramStart"/>
      <w:r w:rsidR="00310B26" w:rsidRPr="0040648C">
        <w:rPr>
          <w:rFonts w:ascii="Times New Roman" w:hAnsi="Times New Roman" w:cs="Simplified Arabic" w:hint="cs"/>
          <w:szCs w:val="24"/>
          <w:rtl/>
          <w:lang w:bidi="ar-EG"/>
        </w:rPr>
        <w:t>-</w:t>
      </w:r>
      <w:r w:rsidRPr="0040648C">
        <w:rPr>
          <w:rFonts w:ascii="Times New Roman" w:hAnsi="Times New Roman" w:cs="Simplified Arabic" w:hint="cs"/>
          <w:szCs w:val="24"/>
          <w:rtl/>
          <w:lang w:bidi="ar-EG"/>
        </w:rPr>
        <w:t xml:space="preserve"> </w:t>
      </w:r>
      <w:r w:rsidR="004D46FC" w:rsidRPr="0040648C">
        <w:rPr>
          <w:rFonts w:ascii="Times New Roman" w:hAnsi="Times New Roman" w:cs="Simplified Arabic" w:hint="cs"/>
          <w:szCs w:val="24"/>
          <w:rtl/>
          <w:lang w:bidi="ar-EG"/>
        </w:rPr>
        <w:t>بناء</w:t>
      </w:r>
      <w:proofErr w:type="gramEnd"/>
      <w:r w:rsidR="004D46FC" w:rsidRPr="0040648C">
        <w:rPr>
          <w:rFonts w:ascii="Times New Roman" w:hAnsi="Times New Roman" w:cs="Simplified Arabic" w:hint="cs"/>
          <w:szCs w:val="24"/>
          <w:rtl/>
          <w:lang w:bidi="ar-EG"/>
        </w:rPr>
        <w:t xml:space="preserve"> </w:t>
      </w:r>
      <w:r w:rsidRPr="0040648C">
        <w:rPr>
          <w:rFonts w:ascii="Times New Roman" w:hAnsi="Times New Roman" w:cs="Simplified Arabic" w:hint="cs"/>
          <w:szCs w:val="24"/>
          <w:rtl/>
          <w:lang w:bidi="ar-EG"/>
        </w:rPr>
        <w:t>مستقبل متشارك لكافة الحياة على الأرض</w:t>
      </w:r>
      <w:r w:rsidR="00310B26" w:rsidRPr="0040648C">
        <w:rPr>
          <w:rFonts w:ascii="Times New Roman" w:hAnsi="Times New Roman" w:cs="Simplified Arabic" w:hint="cs"/>
          <w:szCs w:val="24"/>
          <w:rtl/>
          <w:lang w:bidi="ar-EG"/>
        </w:rPr>
        <w:t>"</w:t>
      </w:r>
    </w:p>
    <w:p w:rsidR="008C35CC" w:rsidRPr="00B4020B" w:rsidRDefault="0040648C" w:rsidP="00981B9C">
      <w:pPr>
        <w:pStyle w:val="Heading1"/>
        <w:keepLines w:val="0"/>
        <w:suppressLineNumbers/>
        <w:suppressAutoHyphens/>
        <w:kinsoku w:val="0"/>
        <w:overflowPunct w:val="0"/>
        <w:autoSpaceDE w:val="0"/>
        <w:autoSpaceDN w:val="0"/>
        <w:bidi/>
        <w:adjustRightInd w:val="0"/>
        <w:snapToGrid w:val="0"/>
        <w:spacing w:before="0"/>
        <w:jc w:val="center"/>
        <w:rPr>
          <w:rFonts w:ascii="Times New Roman" w:eastAsia="Times New Roman" w:hAnsi="Times New Roman"/>
          <w:b w:val="0"/>
          <w:caps/>
          <w:sz w:val="22"/>
          <w:szCs w:val="26"/>
          <w:rtl/>
          <w:lang w:val="en-GB" w:bidi="ar-EG"/>
        </w:rPr>
      </w:pPr>
      <w:r w:rsidRPr="00B4020B">
        <w:rPr>
          <w:rFonts w:ascii="Times New Roman" w:eastAsia="Times New Roman" w:hAnsi="Times New Roman" w:hint="cs"/>
          <w:b w:val="0"/>
          <w:caps/>
          <w:sz w:val="22"/>
          <w:szCs w:val="26"/>
          <w:rtl/>
          <w:lang w:val="en-GB" w:bidi="ar-EG"/>
        </w:rPr>
        <w:t xml:space="preserve">المائدة المستديرة </w:t>
      </w:r>
      <w:r w:rsidR="00981B9C">
        <w:rPr>
          <w:rFonts w:ascii="Times New Roman" w:eastAsia="Times New Roman" w:hAnsi="Times New Roman" w:hint="cs"/>
          <w:b w:val="0"/>
          <w:caps/>
          <w:sz w:val="22"/>
          <w:szCs w:val="26"/>
          <w:rtl/>
          <w:lang w:val="en-GB" w:bidi="ar-EG"/>
        </w:rPr>
        <w:t>دال</w:t>
      </w:r>
      <w:r w:rsidRPr="00B4020B">
        <w:rPr>
          <w:rFonts w:ascii="Times New Roman" w:eastAsia="Times New Roman" w:hAnsi="Times New Roman" w:hint="cs"/>
          <w:b w:val="0"/>
          <w:caps/>
          <w:sz w:val="22"/>
          <w:szCs w:val="26"/>
          <w:rtl/>
          <w:lang w:val="en-GB" w:bidi="ar-EG"/>
        </w:rPr>
        <w:t xml:space="preserve">: </w:t>
      </w:r>
      <w:r w:rsidR="00981B9C">
        <w:rPr>
          <w:rFonts w:ascii="Times New Roman" w:eastAsia="Times New Roman" w:hAnsi="Times New Roman" w:hint="cs"/>
          <w:b w:val="0"/>
          <w:caps/>
          <w:sz w:val="22"/>
          <w:szCs w:val="26"/>
          <w:rtl/>
          <w:lang w:val="en-GB" w:bidi="ar-EG"/>
        </w:rPr>
        <w:t>المعارف والابتكار وتقاسم المنافع</w:t>
      </w:r>
    </w:p>
    <w:p w:rsidR="0040648C" w:rsidRPr="009941D2" w:rsidRDefault="00981B9C" w:rsidP="00B4020B">
      <w:pPr>
        <w:bidi/>
        <w:spacing w:after="120" w:line="216" w:lineRule="auto"/>
        <w:jc w:val="center"/>
        <w:rPr>
          <w:rFonts w:ascii="Times New Roman" w:hAnsi="Times New Roman" w:cs="Simplified Arabic"/>
          <w:szCs w:val="24"/>
          <w:rtl/>
          <w:lang w:val="en-GB" w:bidi="ar-EG"/>
        </w:rPr>
      </w:pPr>
      <w:r>
        <w:rPr>
          <w:rFonts w:ascii="Times New Roman" w:hAnsi="Times New Roman" w:cs="Simplified Arabic" w:hint="cs"/>
          <w:szCs w:val="24"/>
          <w:rtl/>
          <w:lang w:bidi="ar-EG"/>
        </w:rPr>
        <w:t xml:space="preserve">ضمان استفادة الجميع من المعارف والتكنولوجيات والابتكارات المتعلقة بالتنوع البيولوجي، بما في ذلك من خلال </w:t>
      </w:r>
      <w:proofErr w:type="spellStart"/>
      <w:r>
        <w:rPr>
          <w:rFonts w:ascii="Times New Roman" w:hAnsi="Times New Roman" w:cs="Simplified Arabic" w:hint="cs"/>
          <w:szCs w:val="24"/>
          <w:rtl/>
          <w:lang w:bidi="ar-EG"/>
        </w:rPr>
        <w:t>حوكمة</w:t>
      </w:r>
      <w:proofErr w:type="spellEnd"/>
      <w:r>
        <w:rPr>
          <w:rFonts w:ascii="Times New Roman" w:hAnsi="Times New Roman" w:cs="Simplified Arabic" w:hint="cs"/>
          <w:szCs w:val="24"/>
          <w:rtl/>
          <w:lang w:bidi="ar-EG"/>
        </w:rPr>
        <w:t xml:space="preserve"> تقييم التكنولوجيا واستخدامها</w:t>
      </w:r>
    </w:p>
    <w:p w:rsidR="0040648C" w:rsidRDefault="0040648C" w:rsidP="00451482">
      <w:pPr>
        <w:pStyle w:val="Heading1"/>
        <w:bidi/>
        <w:rPr>
          <w:rtl/>
          <w:lang w:bidi="ar-EG"/>
        </w:rPr>
      </w:pPr>
      <w:r>
        <w:rPr>
          <w:rFonts w:hint="cs"/>
          <w:rtl/>
          <w:lang w:bidi="ar-EG"/>
        </w:rPr>
        <w:t>السياق</w:t>
      </w:r>
    </w:p>
    <w:p w:rsidR="0040648C" w:rsidRPr="00737E92" w:rsidRDefault="00C322BD" w:rsidP="002E0EB8">
      <w:pPr>
        <w:bidi/>
        <w:spacing w:after="120" w:line="216" w:lineRule="auto"/>
        <w:jc w:val="both"/>
        <w:rPr>
          <w:rFonts w:ascii="Times New Roman" w:hAnsi="Times New Roman" w:cs="Simplified Arabic"/>
          <w:szCs w:val="24"/>
          <w:lang w:val="en-GB" w:bidi="ar-EG"/>
        </w:rPr>
      </w:pPr>
      <w:r>
        <w:rPr>
          <w:rFonts w:ascii="Times New Roman" w:hAnsi="Times New Roman" w:cs="Simplified Arabic" w:hint="cs"/>
          <w:szCs w:val="24"/>
          <w:rtl/>
          <w:lang w:bidi="ar-EG"/>
        </w:rPr>
        <w:t>إن البحث العلمي ونقل التكنولوجيا وبناء القدر</w:t>
      </w:r>
      <w:r w:rsidR="002E0EB8">
        <w:rPr>
          <w:rFonts w:ascii="Times New Roman" w:hAnsi="Times New Roman" w:cs="Simplified Arabic" w:hint="cs"/>
          <w:szCs w:val="24"/>
          <w:rtl/>
          <w:lang w:bidi="ar-EG"/>
        </w:rPr>
        <w:t>ات والحصول وتقاسم المنافع هي أس</w:t>
      </w:r>
      <w:r>
        <w:rPr>
          <w:rFonts w:ascii="Times New Roman" w:hAnsi="Times New Roman" w:cs="Simplified Arabic" w:hint="cs"/>
          <w:szCs w:val="24"/>
          <w:rtl/>
          <w:lang w:bidi="ar-EG"/>
        </w:rPr>
        <w:t>س مهمة لحفظ التنوع البيولوجي واستخدامه المستدام. ويكتسي البحث العلمي المستمر والمعارف المستمدة من جميع المصادر أهمية بالغة في توفير معلومات شاملة عن التنوع البيولوجي لتوجيه عملية صنع القرارات بشكل أفضل بشأن حفظه واستخدامه المستدام وا</w:t>
      </w:r>
      <w:r w:rsidR="002E0EB8">
        <w:rPr>
          <w:rFonts w:ascii="Times New Roman" w:hAnsi="Times New Roman" w:cs="Simplified Arabic" w:hint="cs"/>
          <w:szCs w:val="24"/>
          <w:rtl/>
          <w:lang w:bidi="ar-EG"/>
        </w:rPr>
        <w:t xml:space="preserve">لتقاسم العادل والمنصف للمنافع. ويعتبر نقل التكنولوجيا وتقاسم البيانات وبناء القدرات مكونات مهمة </w:t>
      </w:r>
      <w:r>
        <w:rPr>
          <w:rFonts w:ascii="Times New Roman" w:hAnsi="Times New Roman" w:cs="Simplified Arabic" w:hint="cs"/>
          <w:szCs w:val="24"/>
          <w:rtl/>
          <w:lang w:bidi="ar-EG"/>
        </w:rPr>
        <w:t xml:space="preserve">للإطار العالمي للتنوع البيولوجي لما بعد عام 2020. ولذلك، فإن التعاون بين الدول أمر ضروري لتقاسم البيانات والتكنولوجيا وكذلك لتعزيز القدرات العلمية والتقنية للبلدان النامية. </w:t>
      </w:r>
    </w:p>
    <w:p w:rsidR="001828BC" w:rsidRDefault="00737E92" w:rsidP="001828BC">
      <w:pPr>
        <w:pStyle w:val="Heading1"/>
        <w:bidi/>
        <w:rPr>
          <w:rtl/>
          <w:lang w:bidi="ar-EG"/>
        </w:rPr>
      </w:pPr>
      <w:r>
        <w:rPr>
          <w:rFonts w:hint="cs"/>
          <w:rtl/>
          <w:lang w:bidi="ar-EG"/>
        </w:rPr>
        <w:t>نظم المعارف</w:t>
      </w:r>
    </w:p>
    <w:p w:rsidR="007D70B4" w:rsidRDefault="00737E92" w:rsidP="002E0EB8">
      <w:pPr>
        <w:pStyle w:val="ListParagraph"/>
        <w:numPr>
          <w:ilvl w:val="0"/>
          <w:numId w:val="9"/>
        </w:numPr>
        <w:bidi/>
        <w:spacing w:after="120" w:line="216" w:lineRule="auto"/>
        <w:ind w:left="1134" w:hanging="567"/>
        <w:contextualSpacing w:val="0"/>
        <w:jc w:val="both"/>
        <w:rPr>
          <w:rFonts w:ascii="Times New Roman" w:hAnsi="Times New Roman" w:cs="Simplified Arabic"/>
          <w:szCs w:val="24"/>
          <w:lang w:bidi="ar-EG"/>
        </w:rPr>
      </w:pPr>
      <w:r>
        <w:rPr>
          <w:rFonts w:ascii="Times New Roman" w:hAnsi="Times New Roman" w:cs="Simplified Arabic" w:hint="cs"/>
          <w:szCs w:val="24"/>
          <w:rtl/>
          <w:lang w:bidi="ar-EG"/>
        </w:rPr>
        <w:t>يكتسي حشد المعارف</w:t>
      </w:r>
      <w:r w:rsidR="002E0EB8">
        <w:rPr>
          <w:rFonts w:ascii="Times New Roman" w:hAnsi="Times New Roman" w:cs="Simplified Arabic" w:hint="cs"/>
          <w:szCs w:val="24"/>
          <w:rtl/>
          <w:lang w:bidi="ar-EG"/>
        </w:rPr>
        <w:t xml:space="preserve"> </w:t>
      </w:r>
      <w:r>
        <w:rPr>
          <w:rFonts w:ascii="Times New Roman" w:hAnsi="Times New Roman" w:cs="Simplified Arabic" w:hint="cs"/>
          <w:szCs w:val="24"/>
          <w:rtl/>
          <w:lang w:bidi="ar-EG"/>
        </w:rPr>
        <w:t xml:space="preserve">والدراية والخبرات </w:t>
      </w:r>
      <w:r w:rsidR="002E0EB8">
        <w:rPr>
          <w:rFonts w:ascii="Times New Roman" w:hAnsi="Times New Roman" w:cs="Simplified Arabic" w:hint="cs"/>
          <w:szCs w:val="24"/>
          <w:rtl/>
          <w:lang w:bidi="ar-EG"/>
        </w:rPr>
        <w:t xml:space="preserve">المتاحة </w:t>
      </w:r>
      <w:r>
        <w:rPr>
          <w:rFonts w:ascii="Times New Roman" w:hAnsi="Times New Roman" w:cs="Simplified Arabic" w:hint="cs"/>
          <w:szCs w:val="24"/>
          <w:rtl/>
          <w:lang w:bidi="ar-EG"/>
        </w:rPr>
        <w:t>أهمية بالغة لضمان اتخاذ إجراءات فعالة بشأن التنوع البيولوجي. وبينما لا تزال هناك فجوات في المعارف والقدرات على معالجة فقدان التنوع البيولوجي، فإن قاعدة الأدل</w:t>
      </w:r>
      <w:r w:rsidR="00475572">
        <w:rPr>
          <w:rFonts w:ascii="Times New Roman" w:hAnsi="Times New Roman" w:cs="Simplified Arabic" w:hint="cs"/>
          <w:szCs w:val="24"/>
          <w:rtl/>
          <w:lang w:bidi="ar-EG"/>
        </w:rPr>
        <w:t>ة الخاصة بالإجراءات العاجلة قوية.</w:t>
      </w:r>
    </w:p>
    <w:p w:rsidR="00475572" w:rsidRDefault="00475572" w:rsidP="002E0EB8">
      <w:pPr>
        <w:pStyle w:val="ListParagraph"/>
        <w:numPr>
          <w:ilvl w:val="0"/>
          <w:numId w:val="9"/>
        </w:numPr>
        <w:bidi/>
        <w:spacing w:after="120" w:line="216" w:lineRule="auto"/>
        <w:ind w:left="1134" w:hanging="567"/>
        <w:contextualSpacing w:val="0"/>
        <w:jc w:val="both"/>
        <w:rPr>
          <w:rFonts w:ascii="Times New Roman" w:hAnsi="Times New Roman" w:cs="Simplified Arabic"/>
          <w:szCs w:val="24"/>
          <w:lang w:bidi="ar-EG"/>
        </w:rPr>
      </w:pPr>
      <w:r>
        <w:rPr>
          <w:rFonts w:ascii="Times New Roman" w:hAnsi="Times New Roman" w:cs="Simplified Arabic" w:hint="cs"/>
          <w:szCs w:val="24"/>
          <w:rtl/>
          <w:lang w:bidi="ar-EG"/>
        </w:rPr>
        <w:t>يجب الاعتراف بمساهمة نظم المعارف المختلفة، بما في ذلك المعارف التقليدية</w:t>
      </w:r>
      <w:r w:rsidR="002E0EB8">
        <w:rPr>
          <w:rFonts w:ascii="Times New Roman" w:hAnsi="Times New Roman" w:cs="Simplified Arabic" w:hint="cs"/>
          <w:szCs w:val="24"/>
          <w:rtl/>
          <w:lang w:bidi="ar-EG"/>
        </w:rPr>
        <w:t xml:space="preserve"> والأصلية</w:t>
      </w:r>
      <w:r>
        <w:rPr>
          <w:rFonts w:ascii="Times New Roman" w:hAnsi="Times New Roman" w:cs="Simplified Arabic" w:hint="cs"/>
          <w:szCs w:val="24"/>
          <w:rtl/>
          <w:lang w:bidi="ar-EG"/>
        </w:rPr>
        <w:t xml:space="preserve"> وكذلك المعارف المتنوعة والفريدة التي تمتلكها النساء، على أنها مهمة ومكملة ومكافئة </w:t>
      </w:r>
      <w:r w:rsidR="002E0EB8">
        <w:rPr>
          <w:rFonts w:ascii="Times New Roman" w:hAnsi="Times New Roman" w:cs="Simplified Arabic" w:hint="cs"/>
          <w:szCs w:val="24"/>
          <w:rtl/>
          <w:lang w:bidi="ar-EG"/>
        </w:rPr>
        <w:t>للعلوم</w:t>
      </w:r>
      <w:r>
        <w:rPr>
          <w:rFonts w:ascii="Times New Roman" w:hAnsi="Times New Roman" w:cs="Simplified Arabic" w:hint="cs"/>
          <w:szCs w:val="24"/>
          <w:rtl/>
          <w:lang w:bidi="ar-EG"/>
        </w:rPr>
        <w:t xml:space="preserve"> التقليدي</w:t>
      </w:r>
      <w:r w:rsidR="002E0EB8">
        <w:rPr>
          <w:rFonts w:ascii="Times New Roman" w:hAnsi="Times New Roman" w:cs="Simplified Arabic" w:hint="cs"/>
          <w:szCs w:val="24"/>
          <w:rtl/>
          <w:lang w:bidi="ar-EG"/>
        </w:rPr>
        <w:t>ة</w:t>
      </w:r>
      <w:r>
        <w:rPr>
          <w:rFonts w:ascii="Times New Roman" w:hAnsi="Times New Roman" w:cs="Simplified Arabic" w:hint="cs"/>
          <w:szCs w:val="24"/>
          <w:rtl/>
          <w:lang w:bidi="ar-EG"/>
        </w:rPr>
        <w:t xml:space="preserve">. وينطوي ذلك أيضا </w:t>
      </w:r>
      <w:r w:rsidR="002E0EB8">
        <w:rPr>
          <w:rFonts w:ascii="Times New Roman" w:hAnsi="Times New Roman" w:cs="Simplified Arabic" w:hint="cs"/>
          <w:szCs w:val="24"/>
          <w:rtl/>
          <w:lang w:bidi="ar-EG"/>
        </w:rPr>
        <w:t xml:space="preserve">على </w:t>
      </w:r>
      <w:r>
        <w:rPr>
          <w:rFonts w:ascii="Times New Roman" w:hAnsi="Times New Roman" w:cs="Simplified Arabic" w:hint="cs"/>
          <w:szCs w:val="24"/>
          <w:rtl/>
          <w:lang w:bidi="ar-EG"/>
        </w:rPr>
        <w:t xml:space="preserve">احترام حقوق ومصالح مختلف أصحاب المعارف. </w:t>
      </w:r>
    </w:p>
    <w:p w:rsidR="0027369A" w:rsidRPr="001828BC" w:rsidRDefault="0027369A" w:rsidP="002E0EB8">
      <w:pPr>
        <w:pStyle w:val="ListParagraph"/>
        <w:numPr>
          <w:ilvl w:val="0"/>
          <w:numId w:val="9"/>
        </w:numPr>
        <w:bidi/>
        <w:spacing w:after="120" w:line="216" w:lineRule="auto"/>
        <w:ind w:left="1134" w:hanging="567"/>
        <w:contextualSpacing w:val="0"/>
        <w:jc w:val="both"/>
        <w:rPr>
          <w:rFonts w:ascii="Times New Roman" w:hAnsi="Times New Roman" w:cs="Simplified Arabic"/>
          <w:szCs w:val="24"/>
          <w:rtl/>
          <w:lang w:bidi="ar-EG"/>
        </w:rPr>
      </w:pPr>
      <w:r>
        <w:rPr>
          <w:rFonts w:ascii="Times New Roman" w:hAnsi="Times New Roman" w:cs="Simplified Arabic" w:hint="cs"/>
          <w:szCs w:val="24"/>
          <w:rtl/>
          <w:lang w:bidi="ar-EG"/>
        </w:rPr>
        <w:t>لا تزال هناك فرص كبيرة للاعتراف بقيمة نظم المعارف الأصلية والمحلية، ودمجها في قاعدة الأدلة الخاصة بالإجراءات، و</w:t>
      </w:r>
      <w:r w:rsidR="002E0EB8">
        <w:rPr>
          <w:rFonts w:ascii="Times New Roman" w:hAnsi="Times New Roman" w:cs="Simplified Arabic" w:hint="cs"/>
          <w:szCs w:val="24"/>
          <w:rtl/>
          <w:lang w:bidi="ar-EG"/>
        </w:rPr>
        <w:t xml:space="preserve">إجراء بحوث متعددة </w:t>
      </w:r>
      <w:r>
        <w:rPr>
          <w:rFonts w:ascii="Times New Roman" w:hAnsi="Times New Roman" w:cs="Simplified Arabic" w:hint="cs"/>
          <w:szCs w:val="24"/>
          <w:rtl/>
          <w:lang w:bidi="ar-EG"/>
        </w:rPr>
        <w:t xml:space="preserve">التخصصات والتعليم لتعزيز الاستهلاك والإنتاج المستدامين ومعالجة أسباب فقدان التنوع البيولوجي. </w:t>
      </w:r>
    </w:p>
    <w:p w:rsidR="001828BC" w:rsidRDefault="0027369A" w:rsidP="001828BC">
      <w:pPr>
        <w:pStyle w:val="Heading1"/>
        <w:bidi/>
        <w:rPr>
          <w:rtl/>
          <w:lang w:bidi="ar-EG"/>
        </w:rPr>
      </w:pPr>
      <w:r>
        <w:rPr>
          <w:rFonts w:hint="cs"/>
          <w:rtl/>
          <w:lang w:bidi="ar-EG"/>
        </w:rPr>
        <w:t>تطبيق المعارف، ونقل التكنولوجيا، وبناء القدرات</w:t>
      </w:r>
    </w:p>
    <w:p w:rsidR="001828BC" w:rsidRDefault="005724AC" w:rsidP="00315A3F">
      <w:pPr>
        <w:pStyle w:val="ListParagraph"/>
        <w:numPr>
          <w:ilvl w:val="0"/>
          <w:numId w:val="9"/>
        </w:numPr>
        <w:bidi/>
        <w:spacing w:after="120" w:line="216" w:lineRule="auto"/>
        <w:ind w:left="1134" w:hanging="567"/>
        <w:contextualSpacing w:val="0"/>
        <w:jc w:val="both"/>
        <w:rPr>
          <w:rFonts w:ascii="Times New Roman" w:hAnsi="Times New Roman" w:cs="Simplified Arabic"/>
          <w:szCs w:val="24"/>
          <w:lang w:bidi="ar-EG"/>
        </w:rPr>
      </w:pPr>
      <w:r>
        <w:rPr>
          <w:rFonts w:ascii="Times New Roman" w:hAnsi="Times New Roman" w:cs="Simplified Arabic" w:hint="cs"/>
          <w:szCs w:val="24"/>
          <w:rtl/>
          <w:lang w:bidi="ar-EG"/>
        </w:rPr>
        <w:t>تتوفر العديد من التكنولوجيات</w:t>
      </w:r>
      <w:r w:rsidR="00315A3F">
        <w:rPr>
          <w:rFonts w:ascii="Times New Roman" w:hAnsi="Times New Roman" w:cs="Simplified Arabic" w:hint="cs"/>
          <w:szCs w:val="24"/>
          <w:rtl/>
          <w:lang w:bidi="ar-EG"/>
        </w:rPr>
        <w:t xml:space="preserve"> بالفعل</w:t>
      </w:r>
      <w:r>
        <w:rPr>
          <w:rFonts w:ascii="Times New Roman" w:hAnsi="Times New Roman" w:cs="Simplified Arabic" w:hint="cs"/>
          <w:szCs w:val="24"/>
          <w:rtl/>
          <w:lang w:bidi="ar-EG"/>
        </w:rPr>
        <w:t xml:space="preserve"> للمساعدة على رصد التنوع البيولوجي واستخدامه وحفظه واستعادته، </w:t>
      </w:r>
      <w:r w:rsidR="00315A3F">
        <w:rPr>
          <w:rFonts w:ascii="Times New Roman" w:hAnsi="Times New Roman" w:cs="Simplified Arabic" w:hint="cs"/>
          <w:szCs w:val="24"/>
          <w:rtl/>
          <w:lang w:bidi="ar-EG"/>
        </w:rPr>
        <w:t>من قبيل</w:t>
      </w:r>
      <w:r>
        <w:rPr>
          <w:rFonts w:ascii="Times New Roman" w:hAnsi="Times New Roman" w:cs="Simplified Arabic" w:hint="cs"/>
          <w:szCs w:val="24"/>
          <w:rtl/>
          <w:lang w:bidi="ar-EG"/>
        </w:rPr>
        <w:t xml:space="preserve"> أدوات الاستشعار عن بُعد لتتبع سفن الصيد، وتسلسل الجينات والمعلوماتية الحيوية من أجل الحفظ </w:t>
      </w:r>
      <w:r w:rsidR="00315A3F">
        <w:rPr>
          <w:rFonts w:ascii="Times New Roman" w:hAnsi="Times New Roman" w:cs="Simplified Arabic" w:hint="cs"/>
          <w:szCs w:val="24"/>
          <w:rtl/>
          <w:lang w:bidi="ar-EG"/>
        </w:rPr>
        <w:t>الموجه</w:t>
      </w:r>
      <w:r>
        <w:rPr>
          <w:rFonts w:ascii="Times New Roman" w:hAnsi="Times New Roman" w:cs="Simplified Arabic" w:hint="cs"/>
          <w:szCs w:val="24"/>
          <w:rtl/>
          <w:lang w:bidi="ar-EG"/>
        </w:rPr>
        <w:t>.</w:t>
      </w:r>
    </w:p>
    <w:p w:rsidR="005724AC" w:rsidRDefault="005724AC" w:rsidP="005724AC">
      <w:pPr>
        <w:pStyle w:val="ListParagraph"/>
        <w:numPr>
          <w:ilvl w:val="0"/>
          <w:numId w:val="9"/>
        </w:numPr>
        <w:bidi/>
        <w:spacing w:after="120" w:line="216" w:lineRule="auto"/>
        <w:ind w:left="1134" w:hanging="567"/>
        <w:contextualSpacing w:val="0"/>
        <w:jc w:val="both"/>
        <w:rPr>
          <w:rFonts w:ascii="Times New Roman" w:hAnsi="Times New Roman" w:cs="Simplified Arabic"/>
          <w:szCs w:val="24"/>
          <w:lang w:bidi="ar-EG"/>
        </w:rPr>
      </w:pPr>
      <w:r>
        <w:rPr>
          <w:rFonts w:ascii="Times New Roman" w:hAnsi="Times New Roman" w:cs="Simplified Arabic" w:hint="cs"/>
          <w:szCs w:val="24"/>
          <w:rtl/>
          <w:lang w:bidi="ar-EG"/>
        </w:rPr>
        <w:t>لا تزال هناك احتياجات كبيرة لبناء القدرات وتنمية القدرات لتطبيق المعارف وتكييف التكنولوجيات ونقلها ونشرها بأمان.</w:t>
      </w:r>
    </w:p>
    <w:p w:rsidR="005724AC" w:rsidRDefault="005724AC" w:rsidP="00315A3F">
      <w:pPr>
        <w:pStyle w:val="ListParagraph"/>
        <w:numPr>
          <w:ilvl w:val="0"/>
          <w:numId w:val="9"/>
        </w:numPr>
        <w:bidi/>
        <w:spacing w:after="120" w:line="216" w:lineRule="auto"/>
        <w:ind w:left="1134" w:hanging="567"/>
        <w:contextualSpacing w:val="0"/>
        <w:jc w:val="both"/>
        <w:rPr>
          <w:rFonts w:ascii="Times New Roman" w:hAnsi="Times New Roman" w:cs="Simplified Arabic"/>
          <w:szCs w:val="24"/>
          <w:lang w:bidi="ar-EG"/>
        </w:rPr>
      </w:pPr>
      <w:r>
        <w:rPr>
          <w:rFonts w:ascii="Times New Roman" w:hAnsi="Times New Roman" w:cs="Simplified Arabic" w:hint="cs"/>
          <w:szCs w:val="24"/>
          <w:rtl/>
          <w:lang w:bidi="ar-EG"/>
        </w:rPr>
        <w:lastRenderedPageBreak/>
        <w:t xml:space="preserve">عدم التوازن في الابتكار يعني أنه يجب أن يتم تقاسم البيانات ونقل التكنولوجيا على نطاق عالمي وأن يتضمنا عمليات </w:t>
      </w:r>
      <w:r w:rsidR="00315A3F">
        <w:rPr>
          <w:rFonts w:ascii="Times New Roman" w:hAnsi="Times New Roman" w:cs="Simplified Arabic" w:hint="cs"/>
          <w:szCs w:val="24"/>
          <w:rtl/>
          <w:lang w:bidi="ar-EG"/>
        </w:rPr>
        <w:t>ل</w:t>
      </w:r>
      <w:r>
        <w:rPr>
          <w:rFonts w:ascii="Times New Roman" w:hAnsi="Times New Roman" w:cs="Simplified Arabic" w:hint="cs"/>
          <w:szCs w:val="24"/>
          <w:rtl/>
          <w:lang w:bidi="ar-EG"/>
        </w:rPr>
        <w:t xml:space="preserve">لبلدان المتقدمة </w:t>
      </w:r>
      <w:r w:rsidR="00315A3F">
        <w:rPr>
          <w:rFonts w:ascii="Times New Roman" w:hAnsi="Times New Roman" w:cs="Simplified Arabic" w:hint="cs"/>
          <w:szCs w:val="24"/>
          <w:rtl/>
          <w:lang w:bidi="ar-EG"/>
        </w:rPr>
        <w:t>و</w:t>
      </w:r>
      <w:r>
        <w:rPr>
          <w:rFonts w:ascii="Times New Roman" w:hAnsi="Times New Roman" w:cs="Simplified Arabic" w:hint="cs"/>
          <w:szCs w:val="24"/>
          <w:rtl/>
          <w:lang w:bidi="ar-EG"/>
        </w:rPr>
        <w:t>النامية على حد سواء ل</w:t>
      </w:r>
      <w:r w:rsidR="00315A3F">
        <w:rPr>
          <w:rFonts w:ascii="Times New Roman" w:hAnsi="Times New Roman" w:cs="Simplified Arabic" w:hint="cs"/>
          <w:szCs w:val="24"/>
          <w:rtl/>
          <w:lang w:bidi="ar-EG"/>
        </w:rPr>
        <w:t>لاستف</w:t>
      </w:r>
      <w:r>
        <w:rPr>
          <w:rFonts w:ascii="Times New Roman" w:hAnsi="Times New Roman" w:cs="Simplified Arabic" w:hint="cs"/>
          <w:szCs w:val="24"/>
          <w:rtl/>
          <w:lang w:bidi="ar-EG"/>
        </w:rPr>
        <w:t>ادة من المعارف العلمية والتكنولوجية، مع مراعاة احتياجات الشعوب الأصلية والمجتمعات المحلية.</w:t>
      </w:r>
    </w:p>
    <w:p w:rsidR="005724AC" w:rsidRDefault="00611B62" w:rsidP="00315A3F">
      <w:pPr>
        <w:pStyle w:val="ListParagraph"/>
        <w:numPr>
          <w:ilvl w:val="0"/>
          <w:numId w:val="9"/>
        </w:numPr>
        <w:bidi/>
        <w:spacing w:after="120" w:line="216" w:lineRule="auto"/>
        <w:ind w:left="1134" w:hanging="567"/>
        <w:contextualSpacing w:val="0"/>
        <w:jc w:val="both"/>
        <w:rPr>
          <w:rFonts w:ascii="Times New Roman" w:hAnsi="Times New Roman" w:cs="Simplified Arabic"/>
          <w:szCs w:val="24"/>
          <w:lang w:bidi="ar-EG"/>
        </w:rPr>
      </w:pPr>
      <w:r>
        <w:rPr>
          <w:rFonts w:ascii="Times New Roman" w:hAnsi="Times New Roman" w:cs="Simplified Arabic" w:hint="cs"/>
          <w:szCs w:val="24"/>
          <w:rtl/>
          <w:lang w:bidi="ar-EG"/>
        </w:rPr>
        <w:t xml:space="preserve">يمكن القيام بالابتكار على مستويات </w:t>
      </w:r>
      <w:r w:rsidR="00315A3F">
        <w:rPr>
          <w:rFonts w:ascii="Times New Roman" w:hAnsi="Times New Roman" w:cs="Simplified Arabic" w:hint="cs"/>
          <w:szCs w:val="24"/>
          <w:rtl/>
          <w:lang w:bidi="ar-EG"/>
        </w:rPr>
        <w:t>عديدة</w:t>
      </w:r>
      <w:r>
        <w:rPr>
          <w:rFonts w:ascii="Times New Roman" w:hAnsi="Times New Roman" w:cs="Simplified Arabic" w:hint="cs"/>
          <w:szCs w:val="24"/>
          <w:rtl/>
          <w:lang w:bidi="ar-EG"/>
        </w:rPr>
        <w:t xml:space="preserve">، مثل تطوير "التكنولوجيا المتطورة" الجديدة، </w:t>
      </w:r>
      <w:r w:rsidR="00315A3F">
        <w:rPr>
          <w:rFonts w:ascii="Times New Roman" w:hAnsi="Times New Roman" w:cs="Simplified Arabic" w:hint="cs"/>
          <w:szCs w:val="24"/>
          <w:rtl/>
          <w:lang w:bidi="ar-EG"/>
        </w:rPr>
        <w:t>ولكن</w:t>
      </w:r>
      <w:r>
        <w:rPr>
          <w:rFonts w:ascii="Times New Roman" w:hAnsi="Times New Roman" w:cs="Simplified Arabic" w:hint="cs"/>
          <w:szCs w:val="24"/>
          <w:rtl/>
          <w:lang w:bidi="ar-EG"/>
        </w:rPr>
        <w:t xml:space="preserve"> "التكنولوجيا المنخفضة المستوى" تشهد أيضا تطورات على سبيل المثال في تقنيات الزراعة، أو التكيف مع الظواهر المناخية الجديدة، أو استعادة نظام إيكولوجي معين من قبل المجتمعات المحلية. ويوجد حاليا عدم توازن في الاعتراف بين ابتكارات "التكنولوجيا المتطورة" و"التكنولوجيا المنخفضة المستوى"، بينما ينبغي أن يدخل كلاهما في النظام الإيكولوجي الذي يتم تقاسم معارفه لمصلحة العدد الأكبر.</w:t>
      </w:r>
    </w:p>
    <w:p w:rsidR="00611B62" w:rsidRDefault="00611B62" w:rsidP="00315A3F">
      <w:pPr>
        <w:pStyle w:val="ListParagraph"/>
        <w:numPr>
          <w:ilvl w:val="0"/>
          <w:numId w:val="9"/>
        </w:numPr>
        <w:bidi/>
        <w:spacing w:after="120" w:line="216" w:lineRule="auto"/>
        <w:ind w:left="1134" w:hanging="567"/>
        <w:contextualSpacing w:val="0"/>
        <w:jc w:val="both"/>
        <w:rPr>
          <w:rFonts w:ascii="Times New Roman" w:hAnsi="Times New Roman" w:cs="Simplified Arabic"/>
          <w:szCs w:val="24"/>
          <w:rtl/>
          <w:lang w:bidi="ar-EG"/>
        </w:rPr>
      </w:pPr>
      <w:r>
        <w:rPr>
          <w:rFonts w:ascii="Times New Roman" w:hAnsi="Times New Roman" w:cs="Simplified Arabic" w:hint="cs"/>
          <w:szCs w:val="24"/>
          <w:rtl/>
          <w:lang w:bidi="ar-EG"/>
        </w:rPr>
        <w:t xml:space="preserve">يكتسي دور أصحاب المصلحة في تخطيط التكنولوجيا ونشرها وتنفيذها أهمية بالغة. فمن الضروري ضمان مشاركة واسعة النطاق لأصحاب المصلحة وبناء </w:t>
      </w:r>
      <w:r w:rsidR="00315A3F">
        <w:rPr>
          <w:rFonts w:ascii="Times New Roman" w:hAnsi="Times New Roman" w:cs="Simplified Arabic" w:hint="cs"/>
          <w:szCs w:val="24"/>
          <w:rtl/>
          <w:lang w:bidi="ar-EG"/>
        </w:rPr>
        <w:t>قدراتهم فيما يتعلق</w:t>
      </w:r>
      <w:r>
        <w:rPr>
          <w:rFonts w:ascii="Times New Roman" w:hAnsi="Times New Roman" w:cs="Simplified Arabic" w:hint="cs"/>
          <w:szCs w:val="24"/>
          <w:rtl/>
          <w:lang w:bidi="ar-EG"/>
        </w:rPr>
        <w:t xml:space="preserve"> بالابتكار من أجل تعزيز الشعور بالملكية المشتركة وضمان أن تكون الابتكارات ليست مجدية تقنيا واقتصاديا فحسب، بل تكون</w:t>
      </w:r>
      <w:r w:rsidR="00315A3F" w:rsidRPr="00315A3F">
        <w:rPr>
          <w:rFonts w:ascii="Times New Roman" w:hAnsi="Times New Roman" w:cs="Simplified Arabic" w:hint="cs"/>
          <w:szCs w:val="24"/>
          <w:rtl/>
          <w:lang w:bidi="ar-EG"/>
        </w:rPr>
        <w:t xml:space="preserve"> </w:t>
      </w:r>
      <w:r w:rsidR="00315A3F">
        <w:rPr>
          <w:rFonts w:ascii="Times New Roman" w:hAnsi="Times New Roman" w:cs="Simplified Arabic" w:hint="cs"/>
          <w:szCs w:val="24"/>
          <w:rtl/>
          <w:lang w:bidi="ar-EG"/>
        </w:rPr>
        <w:t>أيضا</w:t>
      </w:r>
      <w:r>
        <w:rPr>
          <w:rFonts w:ascii="Times New Roman" w:hAnsi="Times New Roman" w:cs="Simplified Arabic" w:hint="cs"/>
          <w:szCs w:val="24"/>
          <w:rtl/>
          <w:lang w:bidi="ar-EG"/>
        </w:rPr>
        <w:t xml:space="preserve"> مقبولة اجتماعيا. </w:t>
      </w:r>
    </w:p>
    <w:p w:rsidR="001828BC" w:rsidRDefault="00CA614D" w:rsidP="001828BC">
      <w:pPr>
        <w:pStyle w:val="Heading1"/>
        <w:bidi/>
        <w:rPr>
          <w:rtl/>
          <w:lang w:bidi="ar-EG"/>
        </w:rPr>
      </w:pPr>
      <w:r>
        <w:rPr>
          <w:rFonts w:hint="cs"/>
          <w:rtl/>
          <w:lang w:bidi="ar-EG"/>
        </w:rPr>
        <w:t xml:space="preserve">التكنولوجيا </w:t>
      </w:r>
      <w:proofErr w:type="spellStart"/>
      <w:r>
        <w:rPr>
          <w:rFonts w:hint="cs"/>
          <w:rtl/>
          <w:lang w:bidi="ar-EG"/>
        </w:rPr>
        <w:t>والحوكمة</w:t>
      </w:r>
      <w:proofErr w:type="spellEnd"/>
    </w:p>
    <w:p w:rsidR="001828BC" w:rsidRDefault="00CA614D" w:rsidP="00315A3F">
      <w:pPr>
        <w:pStyle w:val="ListParagraph"/>
        <w:numPr>
          <w:ilvl w:val="0"/>
          <w:numId w:val="9"/>
        </w:numPr>
        <w:bidi/>
        <w:spacing w:after="120" w:line="216" w:lineRule="auto"/>
        <w:ind w:left="1134" w:hanging="567"/>
        <w:contextualSpacing w:val="0"/>
        <w:jc w:val="both"/>
        <w:rPr>
          <w:rFonts w:ascii="Times New Roman" w:hAnsi="Times New Roman" w:cs="Simplified Arabic"/>
          <w:szCs w:val="24"/>
          <w:lang w:bidi="ar-EG"/>
        </w:rPr>
      </w:pPr>
      <w:r>
        <w:rPr>
          <w:rFonts w:ascii="Times New Roman" w:hAnsi="Times New Roman" w:cs="Simplified Arabic" w:hint="cs"/>
          <w:szCs w:val="24"/>
          <w:rtl/>
          <w:lang w:bidi="ar-EG"/>
        </w:rPr>
        <w:t xml:space="preserve">بالرغم من </w:t>
      </w:r>
      <w:r w:rsidR="00315A3F">
        <w:rPr>
          <w:rFonts w:ascii="Times New Roman" w:hAnsi="Times New Roman" w:cs="Simplified Arabic" w:hint="cs"/>
          <w:szCs w:val="24"/>
          <w:rtl/>
          <w:lang w:bidi="ar-EG"/>
        </w:rPr>
        <w:t>قدرة</w:t>
      </w:r>
      <w:r>
        <w:rPr>
          <w:rFonts w:ascii="Times New Roman" w:hAnsi="Times New Roman" w:cs="Simplified Arabic" w:hint="cs"/>
          <w:szCs w:val="24"/>
          <w:rtl/>
          <w:lang w:bidi="ar-EG"/>
        </w:rPr>
        <w:t xml:space="preserve"> </w:t>
      </w:r>
      <w:r w:rsidR="00315A3F">
        <w:rPr>
          <w:rFonts w:ascii="Times New Roman" w:hAnsi="Times New Roman" w:cs="Simplified Arabic" w:hint="cs"/>
          <w:szCs w:val="24"/>
          <w:rtl/>
          <w:lang w:bidi="ar-EG"/>
        </w:rPr>
        <w:t>ا</w:t>
      </w:r>
      <w:r>
        <w:rPr>
          <w:rFonts w:ascii="Times New Roman" w:hAnsi="Times New Roman" w:cs="Simplified Arabic" w:hint="cs"/>
          <w:szCs w:val="24"/>
          <w:rtl/>
          <w:lang w:bidi="ar-EG"/>
        </w:rPr>
        <w:t>لتطورات في العلوم والتكنولوجيا على المساعدة على مواجهة التحديات العالمية المتعلقة بالتنوع البيولوجي والغذاء والصحة والطاقة والبيئة بشكل عام، فإنها تحمل في طياتها أيضا مخاوف إزاء الآثار السلبية المحتملة على البيئة وأيضا إزاء التقاسم العادل والمنصف للمنافع الناشئة عن استخدامها.</w:t>
      </w:r>
    </w:p>
    <w:p w:rsidR="00CA614D" w:rsidRDefault="00CA614D" w:rsidP="00CA614D">
      <w:pPr>
        <w:pStyle w:val="ListParagraph"/>
        <w:numPr>
          <w:ilvl w:val="0"/>
          <w:numId w:val="9"/>
        </w:numPr>
        <w:bidi/>
        <w:spacing w:after="120" w:line="216" w:lineRule="auto"/>
        <w:ind w:left="1134" w:hanging="567"/>
        <w:contextualSpacing w:val="0"/>
        <w:jc w:val="both"/>
        <w:rPr>
          <w:rFonts w:ascii="Times New Roman" w:hAnsi="Times New Roman" w:cs="Simplified Arabic"/>
          <w:szCs w:val="24"/>
          <w:lang w:bidi="ar-EG"/>
        </w:rPr>
      </w:pPr>
      <w:r>
        <w:rPr>
          <w:rFonts w:ascii="Times New Roman" w:hAnsi="Times New Roman" w:cs="Simplified Arabic" w:hint="cs"/>
          <w:szCs w:val="24"/>
          <w:rtl/>
          <w:lang w:bidi="ar-EG"/>
        </w:rPr>
        <w:t>سيتعين على الحكومات ضمان زيادة الفوائد المستمدة من التكنولوجيا إلى أقصى حد مع القيام في الوقت نفسه بكفالة وجود الضمانات اللازمة لتقليل المخاطر ذات الصلة وإدارتها. وقد تؤدي عملية صنع القرار التشاركية والشاملة دورا مهما لتحقيق هذه الغاية.</w:t>
      </w:r>
    </w:p>
    <w:p w:rsidR="0062373A" w:rsidRDefault="0062373A" w:rsidP="0062373A">
      <w:pPr>
        <w:pStyle w:val="ListParagraph"/>
        <w:numPr>
          <w:ilvl w:val="0"/>
          <w:numId w:val="9"/>
        </w:numPr>
        <w:bidi/>
        <w:spacing w:after="120" w:line="216" w:lineRule="auto"/>
        <w:ind w:left="1134" w:hanging="567"/>
        <w:contextualSpacing w:val="0"/>
        <w:jc w:val="both"/>
        <w:rPr>
          <w:rFonts w:ascii="Times New Roman" w:hAnsi="Times New Roman" w:cs="Simplified Arabic"/>
          <w:szCs w:val="24"/>
          <w:lang w:bidi="ar-EG"/>
        </w:rPr>
      </w:pPr>
      <w:r>
        <w:rPr>
          <w:rFonts w:ascii="Times New Roman" w:hAnsi="Times New Roman" w:cs="Simplified Arabic" w:hint="cs"/>
          <w:szCs w:val="24"/>
          <w:rtl/>
          <w:lang w:bidi="ar-EG"/>
        </w:rPr>
        <w:t>ثمة حاجة إلى أدوات وآليات، من قبيل عملية مسح الأفق وتقييمات التكنولوجيا وتقييمات وإدارة المخاطر، لضمان استخدام الفوائد المستمدة من الابتكارات التكنولوجية بأكثر الطرق الممكنة أمانا.</w:t>
      </w:r>
    </w:p>
    <w:p w:rsidR="0062373A" w:rsidRDefault="0062373A" w:rsidP="0062373A">
      <w:pPr>
        <w:pStyle w:val="ListParagraph"/>
        <w:numPr>
          <w:ilvl w:val="0"/>
          <w:numId w:val="9"/>
        </w:numPr>
        <w:bidi/>
        <w:spacing w:after="120" w:line="216" w:lineRule="auto"/>
        <w:ind w:left="1134" w:hanging="567"/>
        <w:contextualSpacing w:val="0"/>
        <w:jc w:val="both"/>
        <w:rPr>
          <w:rFonts w:ascii="Times New Roman" w:hAnsi="Times New Roman" w:cs="Simplified Arabic"/>
          <w:szCs w:val="24"/>
          <w:rtl/>
          <w:lang w:bidi="ar-EG"/>
        </w:rPr>
      </w:pPr>
      <w:r>
        <w:rPr>
          <w:rFonts w:ascii="Times New Roman" w:hAnsi="Times New Roman" w:cs="Simplified Arabic" w:hint="cs"/>
          <w:szCs w:val="24"/>
          <w:rtl/>
          <w:lang w:bidi="ar-EG"/>
        </w:rPr>
        <w:t>أي سياسة شاملة وتحوطية للمستقبل ستتطلب حوارات مفتوحة ومستمرة بين مختلف الجهات الفاعلة عبر مجالات العلوم، والصناعة، وواضعي السياسات، والشعوب الأصلية والمجتمعات المحلية، والمجتمع بأسره؛ مع مراعاة آراء ووجهات نظر النساء والشباب والمجموعات المهمشة.</w:t>
      </w:r>
    </w:p>
    <w:p w:rsidR="001828BC" w:rsidRDefault="00FA5FE6" w:rsidP="001828BC">
      <w:pPr>
        <w:pStyle w:val="Heading1"/>
        <w:bidi/>
        <w:rPr>
          <w:rtl/>
          <w:lang w:bidi="ar-EG"/>
        </w:rPr>
      </w:pPr>
      <w:r>
        <w:rPr>
          <w:rFonts w:hint="cs"/>
          <w:rtl/>
          <w:lang w:bidi="ar-EG"/>
        </w:rPr>
        <w:t>الحصول وتقاسم المنافع</w:t>
      </w:r>
    </w:p>
    <w:p w:rsidR="001828BC" w:rsidRDefault="00FA5FE6" w:rsidP="00FA5FE6">
      <w:pPr>
        <w:pStyle w:val="ListParagraph"/>
        <w:numPr>
          <w:ilvl w:val="0"/>
          <w:numId w:val="9"/>
        </w:numPr>
        <w:bidi/>
        <w:spacing w:after="120" w:line="216" w:lineRule="auto"/>
        <w:ind w:left="1134" w:hanging="567"/>
        <w:contextualSpacing w:val="0"/>
        <w:jc w:val="both"/>
        <w:rPr>
          <w:rFonts w:ascii="Times New Roman" w:hAnsi="Times New Roman" w:cs="Simplified Arabic"/>
          <w:szCs w:val="24"/>
          <w:lang w:bidi="ar-EG"/>
        </w:rPr>
      </w:pPr>
      <w:r>
        <w:rPr>
          <w:rFonts w:ascii="Times New Roman" w:hAnsi="Times New Roman" w:cs="Simplified Arabic" w:hint="cs"/>
          <w:szCs w:val="24"/>
          <w:rtl/>
          <w:lang w:bidi="ar-EG"/>
        </w:rPr>
        <w:t>لأدوات الحصول وتقاسم المنافع القدرة على توليد منافع للمجتمع والتنوع البيولوجي. ومع ذلك، كان التقدم المحرز نحو تفعيل التقاسم العادل والمنصف للمنافع الناشئة عن استخدام الموارد الجينية والمعارف التقليدية المرتبطة بالموارد الجينية محدودا.</w:t>
      </w:r>
    </w:p>
    <w:p w:rsidR="00BF040A" w:rsidRDefault="00070E87" w:rsidP="00315A3F">
      <w:pPr>
        <w:pStyle w:val="ListParagraph"/>
        <w:numPr>
          <w:ilvl w:val="0"/>
          <w:numId w:val="9"/>
        </w:numPr>
        <w:bidi/>
        <w:spacing w:after="120" w:line="216" w:lineRule="auto"/>
        <w:ind w:left="1134" w:hanging="567"/>
        <w:contextualSpacing w:val="0"/>
        <w:jc w:val="both"/>
        <w:rPr>
          <w:rFonts w:ascii="Times New Roman" w:hAnsi="Times New Roman" w:cs="Simplified Arabic"/>
          <w:szCs w:val="24"/>
          <w:rtl/>
          <w:lang w:bidi="ar-EG"/>
        </w:rPr>
      </w:pPr>
      <w:r>
        <w:rPr>
          <w:rFonts w:ascii="Times New Roman" w:hAnsi="Times New Roman" w:cs="Simplified Arabic" w:hint="cs"/>
          <w:szCs w:val="24"/>
          <w:rtl/>
          <w:lang w:bidi="ar-EG"/>
        </w:rPr>
        <w:t>إن</w:t>
      </w:r>
      <w:r w:rsidR="00BF040A">
        <w:rPr>
          <w:rFonts w:ascii="Times New Roman" w:hAnsi="Times New Roman" w:cs="Simplified Arabic" w:hint="cs"/>
          <w:szCs w:val="24"/>
          <w:rtl/>
          <w:lang w:bidi="ar-EG"/>
        </w:rPr>
        <w:t xml:space="preserve"> التطورات الجارية في التكنولوجيا الحيوية والبيولوجيا التركيبية، إلى جانب تزايد استخدام بيانات التسلسل الجيني</w:t>
      </w:r>
      <w:r>
        <w:rPr>
          <w:rFonts w:ascii="Times New Roman" w:hAnsi="Times New Roman" w:cs="Simplified Arabic" w:hint="cs"/>
          <w:szCs w:val="24"/>
          <w:rtl/>
          <w:lang w:bidi="ar-EG"/>
        </w:rPr>
        <w:t>، تشكل تحديات في الوقت الحالي لتقاسم المنافع. وثمة حل</w:t>
      </w:r>
      <w:r w:rsidR="00315A3F" w:rsidRPr="00315A3F">
        <w:rPr>
          <w:rFonts w:ascii="Times New Roman" w:hAnsi="Times New Roman" w:cs="Simplified Arabic" w:hint="cs"/>
          <w:szCs w:val="24"/>
          <w:rtl/>
          <w:lang w:bidi="ar-EG"/>
        </w:rPr>
        <w:t xml:space="preserve"> </w:t>
      </w:r>
      <w:r w:rsidR="00315A3F">
        <w:rPr>
          <w:rFonts w:ascii="Times New Roman" w:hAnsi="Times New Roman" w:cs="Simplified Arabic" w:hint="cs"/>
          <w:szCs w:val="24"/>
          <w:rtl/>
          <w:lang w:bidi="ar-EG"/>
        </w:rPr>
        <w:t>لهذه التحديات</w:t>
      </w:r>
      <w:r>
        <w:rPr>
          <w:rFonts w:ascii="Times New Roman" w:hAnsi="Times New Roman" w:cs="Simplified Arabic" w:hint="cs"/>
          <w:szCs w:val="24"/>
          <w:rtl/>
          <w:lang w:bidi="ar-EG"/>
        </w:rPr>
        <w:t xml:space="preserve"> </w:t>
      </w:r>
      <w:r w:rsidR="00315A3F">
        <w:rPr>
          <w:rFonts w:ascii="Times New Roman" w:hAnsi="Times New Roman" w:cs="Simplified Arabic" w:hint="cs"/>
          <w:szCs w:val="24"/>
          <w:rtl/>
          <w:lang w:bidi="ar-EG"/>
        </w:rPr>
        <w:t>تتفق عليه</w:t>
      </w:r>
      <w:r>
        <w:rPr>
          <w:rFonts w:ascii="Times New Roman" w:hAnsi="Times New Roman" w:cs="Simplified Arabic" w:hint="cs"/>
          <w:szCs w:val="24"/>
          <w:rtl/>
          <w:lang w:bidi="ar-EG"/>
        </w:rPr>
        <w:t xml:space="preserve"> أ</w:t>
      </w:r>
      <w:r w:rsidR="00315A3F">
        <w:rPr>
          <w:rFonts w:ascii="Times New Roman" w:hAnsi="Times New Roman" w:cs="Simplified Arabic" w:hint="cs"/>
          <w:szCs w:val="24"/>
          <w:rtl/>
          <w:lang w:bidi="ar-EG"/>
        </w:rPr>
        <w:t>طراف متعددة</w:t>
      </w:r>
      <w:r>
        <w:rPr>
          <w:rFonts w:ascii="Times New Roman" w:hAnsi="Times New Roman" w:cs="Simplified Arabic" w:hint="cs"/>
          <w:szCs w:val="24"/>
          <w:rtl/>
          <w:lang w:bidi="ar-EG"/>
        </w:rPr>
        <w:t xml:space="preserve">، يمكن أن يكفل التقاسم العادل والمنصف للمنافع مع تيسير الوصول إلى الموارد الجينية والوصول المفتوح لمعلومات التسلسل الرقمي، </w:t>
      </w:r>
      <w:r w:rsidR="00315A3F">
        <w:rPr>
          <w:rFonts w:ascii="Times New Roman" w:hAnsi="Times New Roman" w:cs="Simplified Arabic" w:hint="cs"/>
          <w:szCs w:val="24"/>
          <w:rtl/>
          <w:lang w:bidi="ar-EG"/>
        </w:rPr>
        <w:t>و</w:t>
      </w:r>
      <w:r>
        <w:rPr>
          <w:rFonts w:ascii="Times New Roman" w:hAnsi="Times New Roman" w:cs="Simplified Arabic" w:hint="cs"/>
          <w:szCs w:val="24"/>
          <w:rtl/>
          <w:lang w:bidi="ar-EG"/>
        </w:rPr>
        <w:t xml:space="preserve">قادر على إطلاق العنان لفوائد كبيرة عبر العديد من القطاعات، بما في ذلك الصحة. </w:t>
      </w:r>
    </w:p>
    <w:p w:rsidR="00463044" w:rsidRDefault="00463044" w:rsidP="00463044">
      <w:pPr>
        <w:keepNext/>
        <w:bidi/>
        <w:spacing w:after="120" w:line="216" w:lineRule="auto"/>
        <w:jc w:val="both"/>
        <w:rPr>
          <w:rFonts w:ascii="Times New Roman" w:hAnsi="Times New Roman" w:cs="Simplified Arabic"/>
          <w:szCs w:val="24"/>
          <w:u w:val="single"/>
          <w:rtl/>
          <w:lang w:val="en-GB" w:bidi="ar-EG"/>
        </w:rPr>
      </w:pPr>
      <w:r>
        <w:rPr>
          <w:rFonts w:ascii="Times New Roman" w:hAnsi="Times New Roman" w:cs="Simplified Arabic" w:hint="cs"/>
          <w:szCs w:val="24"/>
          <w:u w:val="single"/>
          <w:rtl/>
          <w:lang w:val="en-GB" w:bidi="ar-EG"/>
        </w:rPr>
        <w:lastRenderedPageBreak/>
        <w:t>أسئلة إرشادية</w:t>
      </w:r>
    </w:p>
    <w:p w:rsidR="0041688D" w:rsidRDefault="0041688D" w:rsidP="001828BC">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Pr>
          <w:rFonts w:ascii="Times New Roman" w:hAnsi="Times New Roman" w:cs="Simplified Arabic" w:hint="cs"/>
          <w:i/>
          <w:iCs/>
          <w:szCs w:val="24"/>
          <w:rtl/>
          <w:lang w:val="en-GB" w:bidi="ar-EG"/>
        </w:rPr>
        <w:t>ما هي التدابير التي ستتخذها حكومتكم للاعتراف بالمعارف والابتكارات والممارسات التقليدية للشعوب الأصلية والمجتمعات المحلية ودمجها في عملية صنع القرار؟</w:t>
      </w:r>
    </w:p>
    <w:p w:rsidR="0041688D" w:rsidRDefault="0041688D" w:rsidP="0041688D">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lang w:val="en-GB" w:bidi="ar-EG"/>
        </w:rPr>
      </w:pPr>
      <w:r>
        <w:rPr>
          <w:rFonts w:ascii="Times New Roman" w:hAnsi="Times New Roman" w:cs="Simplified Arabic" w:hint="cs"/>
          <w:i/>
          <w:iCs/>
          <w:szCs w:val="24"/>
          <w:rtl/>
          <w:lang w:val="en-GB" w:bidi="ar-EG"/>
        </w:rPr>
        <w:t>كيف يمكن لحكومتكم ضمان الاستخدام الآمن للتكنولوجيا، وزيادة قدرتها إلى أقصى حد مع تقليل المخاطر المرتبطة بها، وخاصة على المجموعات التي تعاني من مواقف ضعف؟</w:t>
      </w:r>
    </w:p>
    <w:p w:rsidR="00DD062D" w:rsidRPr="001828BC" w:rsidRDefault="005C3199" w:rsidP="0041688D">
      <w:pPr>
        <w:pStyle w:val="ListParagraph"/>
        <w:numPr>
          <w:ilvl w:val="0"/>
          <w:numId w:val="5"/>
        </w:numPr>
        <w:bidi/>
        <w:spacing w:after="120" w:line="216" w:lineRule="auto"/>
        <w:ind w:left="1134" w:hanging="567"/>
        <w:contextualSpacing w:val="0"/>
        <w:jc w:val="both"/>
        <w:rPr>
          <w:rFonts w:ascii="Times New Roman" w:hAnsi="Times New Roman" w:cs="Simplified Arabic"/>
          <w:i/>
          <w:iCs/>
          <w:szCs w:val="24"/>
          <w:rtl/>
          <w:lang w:val="en-GB" w:bidi="ar-EG"/>
        </w:rPr>
      </w:pPr>
      <w:r w:rsidRPr="001828BC">
        <w:rPr>
          <w:rFonts w:ascii="Times New Roman" w:hAnsi="Times New Roman" w:cs="Simplified Arabic" w:hint="cs"/>
          <w:i/>
          <w:iCs/>
          <w:szCs w:val="24"/>
          <w:rtl/>
          <w:lang w:val="en-GB" w:bidi="ar-EG"/>
        </w:rPr>
        <w:t xml:space="preserve"> </w:t>
      </w:r>
      <w:r w:rsidR="0041688D">
        <w:rPr>
          <w:rFonts w:ascii="Times New Roman" w:hAnsi="Times New Roman" w:cs="Simplified Arabic" w:hint="cs"/>
          <w:i/>
          <w:iCs/>
          <w:szCs w:val="24"/>
          <w:rtl/>
          <w:lang w:val="en-GB" w:bidi="ar-EG"/>
        </w:rPr>
        <w:t>ما هي التدابير التي ستتخذها حكومتكم لضمان تقاسم عادل ومنصف للمنافع الناشئة عن استخدام الموارد الجينية، والمعارف التقليدية المرتبطة بالموارد الجينية والتكنولوجيات الجديدة؟</w:t>
      </w:r>
      <w:bookmarkStart w:id="0" w:name="_GoBack"/>
      <w:bookmarkEnd w:id="0"/>
    </w:p>
    <w:sectPr w:rsidR="00DD062D" w:rsidRPr="001828BC" w:rsidSect="00683BA5">
      <w:headerReference w:type="default" r:id="rId7"/>
      <w:headerReference w:type="firs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3E4" w:rsidRDefault="004243E4" w:rsidP="0037459B">
      <w:pPr>
        <w:spacing w:after="0" w:line="240" w:lineRule="auto"/>
      </w:pPr>
      <w:r>
        <w:separator/>
      </w:r>
    </w:p>
  </w:endnote>
  <w:endnote w:type="continuationSeparator" w:id="0">
    <w:p w:rsidR="004243E4" w:rsidRDefault="004243E4" w:rsidP="0037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3E4" w:rsidRDefault="004243E4" w:rsidP="0037459B">
      <w:pPr>
        <w:spacing w:after="0" w:line="240" w:lineRule="auto"/>
      </w:pPr>
      <w:r>
        <w:separator/>
      </w:r>
    </w:p>
  </w:footnote>
  <w:footnote w:type="continuationSeparator" w:id="0">
    <w:p w:rsidR="004243E4" w:rsidRDefault="004243E4" w:rsidP="0037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46362"/>
      <w:docPartObj>
        <w:docPartGallery w:val="Page Numbers (Top of Page)"/>
        <w:docPartUnique/>
      </w:docPartObj>
    </w:sdtPr>
    <w:sdtEndPr>
      <w:rPr>
        <w:rFonts w:ascii="Times New Roman" w:hAnsi="Times New Roman" w:cs="Times New Roman"/>
      </w:rPr>
    </w:sdtEndPr>
    <w:sdtContent>
      <w:p w:rsidR="00BF0F39" w:rsidRPr="00683BA5" w:rsidRDefault="006D4CF9">
        <w:pPr>
          <w:pStyle w:val="Header"/>
          <w:jc w:val="center"/>
          <w:rPr>
            <w:rFonts w:ascii="Times New Roman" w:hAnsi="Times New Roman" w:cs="Times New Roman"/>
          </w:rPr>
        </w:pPr>
        <w:r w:rsidRPr="00683BA5">
          <w:rPr>
            <w:rFonts w:ascii="Times New Roman" w:hAnsi="Times New Roman" w:cs="Times New Roman"/>
          </w:rPr>
          <w:fldChar w:fldCharType="begin"/>
        </w:r>
        <w:r w:rsidR="00BF0F39" w:rsidRPr="00683BA5">
          <w:rPr>
            <w:rFonts w:ascii="Times New Roman" w:hAnsi="Times New Roman" w:cs="Times New Roman"/>
          </w:rPr>
          <w:instrText xml:space="preserve"> PAGE   \* MERGEFORMAT </w:instrText>
        </w:r>
        <w:r w:rsidRPr="00683BA5">
          <w:rPr>
            <w:rFonts w:ascii="Times New Roman" w:hAnsi="Times New Roman" w:cs="Times New Roman"/>
          </w:rPr>
          <w:fldChar w:fldCharType="separate"/>
        </w:r>
        <w:r w:rsidR="00315A3F">
          <w:rPr>
            <w:rFonts w:ascii="Times New Roman" w:hAnsi="Times New Roman" w:cs="Times New Roman"/>
            <w:noProof/>
          </w:rPr>
          <w:t>3</w:t>
        </w:r>
        <w:r w:rsidRPr="00683BA5">
          <w:rPr>
            <w:rFonts w:ascii="Times New Roman" w:hAnsi="Times New Roman" w:cs="Times New Roman"/>
          </w:rPr>
          <w:fldChar w:fldCharType="end"/>
        </w:r>
      </w:p>
    </w:sdtContent>
  </w:sdt>
  <w:p w:rsidR="00BF0F39" w:rsidRDefault="00BF0F39" w:rsidP="008D0213">
    <w:pPr>
      <w:pStyle w:val="Header"/>
      <w:bidi/>
      <w:rPr>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515F6" w:rsidRPr="00683BA5" w:rsidTr="000B4D61">
      <w:tc>
        <w:tcPr>
          <w:tcW w:w="9576" w:type="dxa"/>
        </w:tcPr>
        <w:p w:rsidR="007515F6" w:rsidRDefault="00B4020B" w:rsidP="000B4D61">
          <w:r>
            <w:rPr>
              <w:noProof/>
              <w:lang w:val="en-GB" w:eastAsia="en-GB"/>
            </w:rPr>
            <w:drawing>
              <wp:inline distT="0" distB="0" distL="0" distR="0" wp14:anchorId="3203D581" wp14:editId="58227A92">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tc>
    </w:tr>
  </w:tbl>
  <w:p w:rsidR="00BF0F39" w:rsidRPr="007515F6" w:rsidRDefault="00BF0F39" w:rsidP="007515F6">
    <w:pPr>
      <w:pStyle w:val="Header"/>
      <w:tabs>
        <w:tab w:val="clear" w:pos="4680"/>
        <w:tab w:val="clear" w:pos="9360"/>
      </w:tabs>
      <w:bidi/>
      <w:rPr>
        <w:rFonts w:ascii="Times New Roman" w:hAnsi="Times New Roman" w:cs="Times New Roman"/>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9B9"/>
    <w:multiLevelType w:val="hybridMultilevel"/>
    <w:tmpl w:val="B67895B6"/>
    <w:lvl w:ilvl="0" w:tplc="B7129B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3037"/>
    <w:multiLevelType w:val="hybridMultilevel"/>
    <w:tmpl w:val="D8CC91E8"/>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05560"/>
    <w:multiLevelType w:val="hybridMultilevel"/>
    <w:tmpl w:val="3F121AD6"/>
    <w:lvl w:ilvl="0" w:tplc="512205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C6D26"/>
    <w:multiLevelType w:val="hybridMultilevel"/>
    <w:tmpl w:val="52EE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8362B"/>
    <w:multiLevelType w:val="hybridMultilevel"/>
    <w:tmpl w:val="931888AA"/>
    <w:lvl w:ilvl="0" w:tplc="658411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83321"/>
    <w:multiLevelType w:val="hybridMultilevel"/>
    <w:tmpl w:val="51467C7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D242DD3"/>
    <w:multiLevelType w:val="hybridMultilevel"/>
    <w:tmpl w:val="61124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6B04ED"/>
    <w:multiLevelType w:val="hybridMultilevel"/>
    <w:tmpl w:val="443A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92FD7"/>
    <w:multiLevelType w:val="hybridMultilevel"/>
    <w:tmpl w:val="F7200B90"/>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459B"/>
    <w:rsid w:val="00017189"/>
    <w:rsid w:val="00021D33"/>
    <w:rsid w:val="000260AB"/>
    <w:rsid w:val="00030CAE"/>
    <w:rsid w:val="0006506B"/>
    <w:rsid w:val="00070E87"/>
    <w:rsid w:val="000C5B87"/>
    <w:rsid w:val="00100787"/>
    <w:rsid w:val="00164961"/>
    <w:rsid w:val="00177202"/>
    <w:rsid w:val="00181FE5"/>
    <w:rsid w:val="001828BC"/>
    <w:rsid w:val="001B03F7"/>
    <w:rsid w:val="00204458"/>
    <w:rsid w:val="00265153"/>
    <w:rsid w:val="0027369A"/>
    <w:rsid w:val="00277CD6"/>
    <w:rsid w:val="002D6C7C"/>
    <w:rsid w:val="002E0EB8"/>
    <w:rsid w:val="002F14BA"/>
    <w:rsid w:val="002F6FD5"/>
    <w:rsid w:val="00310B26"/>
    <w:rsid w:val="00315A3F"/>
    <w:rsid w:val="003212BB"/>
    <w:rsid w:val="0037459B"/>
    <w:rsid w:val="00395B42"/>
    <w:rsid w:val="003A05E7"/>
    <w:rsid w:val="003D062C"/>
    <w:rsid w:val="003E299E"/>
    <w:rsid w:val="003E73E8"/>
    <w:rsid w:val="0040648C"/>
    <w:rsid w:val="004134B9"/>
    <w:rsid w:val="0041688D"/>
    <w:rsid w:val="00417461"/>
    <w:rsid w:val="004243E4"/>
    <w:rsid w:val="00451482"/>
    <w:rsid w:val="00463044"/>
    <w:rsid w:val="00472C3F"/>
    <w:rsid w:val="00475572"/>
    <w:rsid w:val="004868BD"/>
    <w:rsid w:val="004C5679"/>
    <w:rsid w:val="004D46FC"/>
    <w:rsid w:val="004E7147"/>
    <w:rsid w:val="004F5558"/>
    <w:rsid w:val="00510A75"/>
    <w:rsid w:val="00541DF6"/>
    <w:rsid w:val="005422B2"/>
    <w:rsid w:val="00543326"/>
    <w:rsid w:val="005632B0"/>
    <w:rsid w:val="005724AC"/>
    <w:rsid w:val="0057433F"/>
    <w:rsid w:val="00590EA5"/>
    <w:rsid w:val="00596E7F"/>
    <w:rsid w:val="005C2B4E"/>
    <w:rsid w:val="005C3199"/>
    <w:rsid w:val="00611B62"/>
    <w:rsid w:val="0062373A"/>
    <w:rsid w:val="00633B5D"/>
    <w:rsid w:val="006500F5"/>
    <w:rsid w:val="00683BA5"/>
    <w:rsid w:val="006B00AA"/>
    <w:rsid w:val="006D1750"/>
    <w:rsid w:val="006D4CF9"/>
    <w:rsid w:val="0071233E"/>
    <w:rsid w:val="007371CE"/>
    <w:rsid w:val="00737E92"/>
    <w:rsid w:val="007515F6"/>
    <w:rsid w:val="00776AB5"/>
    <w:rsid w:val="007B669F"/>
    <w:rsid w:val="007D70B4"/>
    <w:rsid w:val="007F27B9"/>
    <w:rsid w:val="008130B3"/>
    <w:rsid w:val="008229E0"/>
    <w:rsid w:val="0084430A"/>
    <w:rsid w:val="008537AA"/>
    <w:rsid w:val="00866A12"/>
    <w:rsid w:val="008B2E0E"/>
    <w:rsid w:val="008B41F7"/>
    <w:rsid w:val="008C35CC"/>
    <w:rsid w:val="008D0213"/>
    <w:rsid w:val="008D6DE1"/>
    <w:rsid w:val="00966DED"/>
    <w:rsid w:val="00981B9C"/>
    <w:rsid w:val="009941D2"/>
    <w:rsid w:val="009A1C71"/>
    <w:rsid w:val="009E6402"/>
    <w:rsid w:val="00A1413A"/>
    <w:rsid w:val="00A654FC"/>
    <w:rsid w:val="00AB1597"/>
    <w:rsid w:val="00AB6386"/>
    <w:rsid w:val="00AF4883"/>
    <w:rsid w:val="00B4020B"/>
    <w:rsid w:val="00BB41FF"/>
    <w:rsid w:val="00BD5802"/>
    <w:rsid w:val="00BF040A"/>
    <w:rsid w:val="00BF0F39"/>
    <w:rsid w:val="00C02D88"/>
    <w:rsid w:val="00C157D1"/>
    <w:rsid w:val="00C322BD"/>
    <w:rsid w:val="00C75E3C"/>
    <w:rsid w:val="00C95307"/>
    <w:rsid w:val="00CA614D"/>
    <w:rsid w:val="00CD3833"/>
    <w:rsid w:val="00CE06BD"/>
    <w:rsid w:val="00CE0D22"/>
    <w:rsid w:val="00D12D4B"/>
    <w:rsid w:val="00D30C9F"/>
    <w:rsid w:val="00D56012"/>
    <w:rsid w:val="00D83677"/>
    <w:rsid w:val="00D84E65"/>
    <w:rsid w:val="00D853F1"/>
    <w:rsid w:val="00D86D37"/>
    <w:rsid w:val="00DD062D"/>
    <w:rsid w:val="00DD3055"/>
    <w:rsid w:val="00E46CFA"/>
    <w:rsid w:val="00F05FB1"/>
    <w:rsid w:val="00FA0118"/>
    <w:rsid w:val="00FA5FE6"/>
    <w:rsid w:val="00FD4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0776F0-B971-4215-BDF9-8AC9A8CF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2"/>
  </w:style>
  <w:style w:type="paragraph" w:styleId="Heading1">
    <w:name w:val="heading 1"/>
    <w:basedOn w:val="Normal"/>
    <w:next w:val="Normal"/>
    <w:link w:val="Heading1Char"/>
    <w:qFormat/>
    <w:rsid w:val="00451482"/>
    <w:pPr>
      <w:keepNext/>
      <w:keepLines/>
      <w:spacing w:before="240" w:after="120" w:line="216" w:lineRule="auto"/>
      <w:outlineLvl w:val="0"/>
    </w:pPr>
    <w:rPr>
      <w:rFonts w:ascii="Times New Roman Bold" w:eastAsiaTheme="majorEastAsia" w:hAnsi="Times New Roman Bold" w:cs="Simplified Arab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9B"/>
  </w:style>
  <w:style w:type="paragraph" w:styleId="Footer">
    <w:name w:val="footer"/>
    <w:basedOn w:val="Normal"/>
    <w:link w:val="FooterChar"/>
    <w:uiPriority w:val="99"/>
    <w:unhideWhenUsed/>
    <w:rsid w:val="0037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9B"/>
  </w:style>
  <w:style w:type="paragraph" w:styleId="BalloonText">
    <w:name w:val="Balloon Text"/>
    <w:basedOn w:val="Normal"/>
    <w:link w:val="BalloonTextChar"/>
    <w:uiPriority w:val="99"/>
    <w:semiHidden/>
    <w:unhideWhenUsed/>
    <w:rsid w:val="003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9B"/>
    <w:rPr>
      <w:rFonts w:ascii="Tahoma" w:hAnsi="Tahoma" w:cs="Tahoma"/>
      <w:sz w:val="16"/>
      <w:szCs w:val="16"/>
    </w:rPr>
  </w:style>
  <w:style w:type="table" w:styleId="TableGrid">
    <w:name w:val="Table Grid"/>
    <w:basedOn w:val="TableNormal"/>
    <w:uiPriority w:val="59"/>
    <w:rsid w:val="0037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C157D1"/>
    <w:rPr>
      <w:rFonts w:cs="Times New Roman"/>
      <w:color w:val="0000FF"/>
      <w:u w:val="single"/>
    </w:rPr>
  </w:style>
  <w:style w:type="paragraph" w:styleId="ListParagraph">
    <w:name w:val="List Paragraph"/>
    <w:basedOn w:val="Normal"/>
    <w:uiPriority w:val="34"/>
    <w:qFormat/>
    <w:rsid w:val="00C157D1"/>
    <w:pPr>
      <w:ind w:left="720"/>
      <w:contextualSpacing/>
    </w:pPr>
  </w:style>
  <w:style w:type="paragraph" w:styleId="Title">
    <w:name w:val="Title"/>
    <w:basedOn w:val="Normal"/>
    <w:next w:val="Normal"/>
    <w:link w:val="TitleChar"/>
    <w:uiPriority w:val="10"/>
    <w:qFormat/>
    <w:rsid w:val="00451482"/>
    <w:pPr>
      <w:spacing w:after="240" w:line="216" w:lineRule="auto"/>
    </w:pPr>
    <w:rPr>
      <w:rFonts w:ascii="Times New Roman" w:eastAsiaTheme="majorEastAsia" w:hAnsi="Times New Roman" w:cs="Simplified Arabic"/>
      <w:b/>
      <w:bCs/>
      <w:spacing w:val="-10"/>
      <w:kern w:val="28"/>
      <w:sz w:val="24"/>
      <w:szCs w:val="24"/>
    </w:rPr>
  </w:style>
  <w:style w:type="character" w:customStyle="1" w:styleId="TitleChar">
    <w:name w:val="Title Char"/>
    <w:basedOn w:val="DefaultParagraphFont"/>
    <w:link w:val="Title"/>
    <w:uiPriority w:val="10"/>
    <w:rsid w:val="00451482"/>
    <w:rPr>
      <w:rFonts w:ascii="Times New Roman" w:eastAsiaTheme="majorEastAsia" w:hAnsi="Times New Roman" w:cs="Simplified Arabic"/>
      <w:b/>
      <w:bCs/>
      <w:spacing w:val="-10"/>
      <w:kern w:val="28"/>
      <w:sz w:val="24"/>
      <w:szCs w:val="24"/>
    </w:rPr>
  </w:style>
  <w:style w:type="character" w:customStyle="1" w:styleId="Heading1Char">
    <w:name w:val="Heading 1 Char"/>
    <w:basedOn w:val="DefaultParagraphFont"/>
    <w:link w:val="Heading1"/>
    <w:rsid w:val="00451482"/>
    <w:rPr>
      <w:rFonts w:ascii="Times New Roman Bold" w:eastAsiaTheme="majorEastAsia" w:hAnsi="Times New Roman Bold" w:cs="Simplified Arab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ShawkiMostafa/MahaLabib</dc:creator>
  <cp:lastModifiedBy>Ahmed OSMAN</cp:lastModifiedBy>
  <cp:revision>48</cp:revision>
  <cp:lastPrinted>2021-09-20T12:01:00Z</cp:lastPrinted>
  <dcterms:created xsi:type="dcterms:W3CDTF">2021-09-17T15:16:00Z</dcterms:created>
  <dcterms:modified xsi:type="dcterms:W3CDTF">2021-10-01T15:13:00Z</dcterms:modified>
</cp:coreProperties>
</file>