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84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244"/>
        <w:gridCol w:w="2620"/>
        <w:gridCol w:w="1586"/>
        <w:gridCol w:w="3876"/>
      </w:tblGrid>
      <w:tr w:rsidR="008A7585" w:rsidRPr="004B4105" w14:paraId="6CAB0E61" w14:textId="77777777" w:rsidTr="003B69B1">
        <w:trPr>
          <w:trHeight w:hRule="exact" w:val="709"/>
        </w:trPr>
        <w:tc>
          <w:tcPr>
            <w:tcW w:w="1038" w:type="dxa"/>
            <w:tcBorders>
              <w:top w:val="nil"/>
              <w:bottom w:val="single" w:sz="12" w:space="0" w:color="000000"/>
            </w:tcBorders>
          </w:tcPr>
          <w:p w14:paraId="799F22E0" w14:textId="77777777" w:rsidR="008A7585" w:rsidRPr="004B4105" w:rsidRDefault="008A7585" w:rsidP="003B69B1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kern w:val="22"/>
              </w:rPr>
            </w:pPr>
            <w:r w:rsidRPr="004B4105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2D6A3A0B" wp14:editId="5F4183F9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single" w:sz="12" w:space="0" w:color="000000"/>
            </w:tcBorders>
          </w:tcPr>
          <w:p w14:paraId="6909E1AF" w14:textId="77777777" w:rsidR="008A7585" w:rsidRPr="004B4105" w:rsidRDefault="008A7585" w:rsidP="003B69B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4B4105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6F70C856" wp14:editId="54C28620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gridSpan w:val="3"/>
            <w:tcBorders>
              <w:top w:val="nil"/>
              <w:bottom w:val="single" w:sz="12" w:space="0" w:color="000000"/>
            </w:tcBorders>
          </w:tcPr>
          <w:p w14:paraId="3B23EF96" w14:textId="77777777" w:rsidR="008A7585" w:rsidRPr="004B4105" w:rsidRDefault="008A7585" w:rsidP="003B69B1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/>
                <w:b/>
                <w:kern w:val="22"/>
                <w:sz w:val="32"/>
              </w:rPr>
            </w:pPr>
            <w:r w:rsidRPr="004B4105">
              <w:rPr>
                <w:rFonts w:ascii="Univers" w:hAnsi="Univers"/>
                <w:b/>
                <w:kern w:val="22"/>
                <w:sz w:val="32"/>
              </w:rPr>
              <w:t>CBD</w:t>
            </w:r>
          </w:p>
        </w:tc>
      </w:tr>
      <w:tr w:rsidR="008A7585" w:rsidRPr="004B4105" w14:paraId="60167D76" w14:textId="77777777" w:rsidTr="003B69B1">
        <w:trPr>
          <w:trHeight w:val="1693"/>
        </w:trPr>
        <w:tc>
          <w:tcPr>
            <w:tcW w:w="4902" w:type="dxa"/>
            <w:gridSpan w:val="3"/>
            <w:tcBorders>
              <w:top w:val="nil"/>
              <w:bottom w:val="single" w:sz="36" w:space="0" w:color="000000"/>
            </w:tcBorders>
          </w:tcPr>
          <w:p w14:paraId="7953849D" w14:textId="77777777" w:rsidR="008A7585" w:rsidRPr="004B4105" w:rsidRDefault="008A7585" w:rsidP="003B69B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</w:rPr>
            </w:pPr>
            <w:r w:rsidRPr="004B4105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45A04F45" wp14:editId="320DD525">
                  <wp:extent cx="2838450" cy="1076325"/>
                  <wp:effectExtent l="0" t="0" r="0" b="0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nil"/>
              <w:bottom w:val="single" w:sz="36" w:space="0" w:color="000000"/>
            </w:tcBorders>
          </w:tcPr>
          <w:p w14:paraId="14137219" w14:textId="77777777" w:rsidR="008A7585" w:rsidRPr="004B4105" w:rsidRDefault="008A7585" w:rsidP="003B69B1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32"/>
              </w:rPr>
            </w:pPr>
          </w:p>
        </w:tc>
        <w:tc>
          <w:tcPr>
            <w:tcW w:w="3876" w:type="dxa"/>
            <w:tcBorders>
              <w:top w:val="nil"/>
              <w:bottom w:val="single" w:sz="36" w:space="0" w:color="000000"/>
            </w:tcBorders>
          </w:tcPr>
          <w:p w14:paraId="490CF4AF" w14:textId="77777777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r w:rsidRPr="004B4105">
              <w:rPr>
                <w:kern w:val="22"/>
              </w:rPr>
              <w:t>Distr.</w:t>
            </w:r>
          </w:p>
          <w:p w14:paraId="1113C1FB" w14:textId="77777777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r w:rsidRPr="004B4105">
              <w:rPr>
                <w:kern w:val="22"/>
              </w:rPr>
              <w:t>GENERAL</w:t>
            </w:r>
          </w:p>
          <w:p w14:paraId="3E057CF2" w14:textId="77777777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</w:p>
          <w:p w14:paraId="739723AE" w14:textId="4CAAE2A4" w:rsidR="00676F27" w:rsidRPr="004B4105" w:rsidRDefault="00676F27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jc w:val="left"/>
              <w:rPr>
                <w:kern w:val="22"/>
              </w:rPr>
            </w:pPr>
            <w:r w:rsidRPr="004B4105">
              <w:rPr>
                <w:kern w:val="22"/>
              </w:rPr>
              <w:t>CBD/CP/</w:t>
            </w:r>
            <w:proofErr w:type="spellStart"/>
            <w:r w:rsidRPr="004B4105">
              <w:rPr>
                <w:kern w:val="22"/>
              </w:rPr>
              <w:t>RARM</w:t>
            </w:r>
            <w:proofErr w:type="spellEnd"/>
            <w:r w:rsidRPr="004B4105">
              <w:rPr>
                <w:kern w:val="22"/>
              </w:rPr>
              <w:t>/CB/2019/</w:t>
            </w:r>
            <w:r w:rsidRPr="004B4105">
              <w:rPr>
                <w:kern w:val="22"/>
                <w:szCs w:val="22"/>
              </w:rPr>
              <w:t>1/1/Add.1</w:t>
            </w:r>
          </w:p>
          <w:p w14:paraId="390F5157" w14:textId="52C58F49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jc w:val="left"/>
              <w:rPr>
                <w:kern w:val="22"/>
              </w:rPr>
            </w:pPr>
            <w:r w:rsidRPr="004B4105">
              <w:rPr>
                <w:kern w:val="22"/>
              </w:rPr>
              <w:t>1</w:t>
            </w:r>
            <w:r w:rsidR="00242C37" w:rsidRPr="004B4105">
              <w:rPr>
                <w:kern w:val="22"/>
              </w:rPr>
              <w:t>9</w:t>
            </w:r>
            <w:r w:rsidRPr="004B4105">
              <w:rPr>
                <w:kern w:val="22"/>
              </w:rPr>
              <w:t xml:space="preserve"> March 2019</w:t>
            </w:r>
          </w:p>
          <w:p w14:paraId="1BB053D2" w14:textId="77777777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szCs w:val="22"/>
              </w:rPr>
            </w:pPr>
          </w:p>
          <w:p w14:paraId="568C5144" w14:textId="0016CEF9" w:rsidR="008A7585" w:rsidRPr="004B4105" w:rsidRDefault="008A7585" w:rsidP="004B410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u w:val="single"/>
              </w:rPr>
            </w:pPr>
            <w:r w:rsidRPr="004B4105">
              <w:rPr>
                <w:kern w:val="22"/>
              </w:rPr>
              <w:t>ENGLISH</w:t>
            </w:r>
            <w:r w:rsidR="00242C37" w:rsidRPr="004B4105">
              <w:rPr>
                <w:kern w:val="22"/>
              </w:rPr>
              <w:t xml:space="preserve"> ONLY</w:t>
            </w:r>
          </w:p>
        </w:tc>
      </w:tr>
    </w:tbl>
    <w:p w14:paraId="59D7F6F3" w14:textId="77777777" w:rsidR="008A7585" w:rsidRPr="004B4105" w:rsidRDefault="008A7585" w:rsidP="008A758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kern w:val="22"/>
          <w:szCs w:val="22"/>
        </w:rPr>
      </w:pPr>
      <w:r w:rsidRPr="004B4105">
        <w:rPr>
          <w:rFonts w:eastAsia="Calibri"/>
          <w:kern w:val="22"/>
          <w:szCs w:val="22"/>
        </w:rPr>
        <w:t>ANGLOPHONE AFRICA</w:t>
      </w:r>
      <w:r w:rsidR="00242C37" w:rsidRPr="004B4105">
        <w:rPr>
          <w:rFonts w:eastAsia="Calibri"/>
          <w:kern w:val="22"/>
          <w:szCs w:val="22"/>
        </w:rPr>
        <w:t>N</w:t>
      </w:r>
      <w:r w:rsidRPr="004B4105">
        <w:rPr>
          <w:rFonts w:eastAsia="Calibri"/>
          <w:kern w:val="22"/>
          <w:szCs w:val="22"/>
        </w:rPr>
        <w:t xml:space="preserve"> TRAINING COURSE ON RISK ASSESSMENT OF LIVING MODIFIED ORGANISMS</w:t>
      </w:r>
    </w:p>
    <w:p w14:paraId="4D29B55F" w14:textId="77777777" w:rsidR="008A7585" w:rsidRPr="004B4105" w:rsidRDefault="008A7585" w:rsidP="008A758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kern w:val="22"/>
          <w:szCs w:val="22"/>
        </w:rPr>
      </w:pPr>
      <w:r w:rsidRPr="004B4105">
        <w:rPr>
          <w:rFonts w:eastAsia="Calibri"/>
          <w:kern w:val="22"/>
          <w:szCs w:val="22"/>
        </w:rPr>
        <w:t>Pretoria, 8-12 April 2019</w:t>
      </w:r>
    </w:p>
    <w:sdt>
      <w:sdtPr>
        <w:rPr>
          <w:kern w:val="22"/>
        </w:rPr>
        <w:alias w:val="Title"/>
        <w:tag w:val=""/>
        <w:id w:val="430254796"/>
        <w:placeholder>
          <w:docPart w:val="4CC5D448B99B480CAE0E5C16774385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1FE955" w14:textId="77777777" w:rsidR="00BF1BCB" w:rsidRPr="004B4105" w:rsidRDefault="000674E9" w:rsidP="000B2755">
          <w:pPr>
            <w:pStyle w:val="HEADING"/>
            <w:keepNext w:val="0"/>
            <w:suppressLineNumbers/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spacing w:before="120"/>
            <w:rPr>
              <w:kern w:val="22"/>
            </w:rPr>
          </w:pPr>
          <w:r w:rsidRPr="004B4105">
            <w:rPr>
              <w:kern w:val="22"/>
            </w:rPr>
            <w:t xml:space="preserve">Provisional </w:t>
          </w:r>
          <w:r w:rsidR="00BF1BCB" w:rsidRPr="004B4105">
            <w:rPr>
              <w:kern w:val="22"/>
            </w:rPr>
            <w:t>agenda</w:t>
          </w:r>
        </w:p>
      </w:sdtContent>
    </w:sdt>
    <w:p w14:paraId="67474A54" w14:textId="77777777" w:rsidR="0018492A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432" w:hanging="432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1.</w:t>
      </w:r>
      <w:r w:rsidRPr="004B4105">
        <w:rPr>
          <w:bCs/>
          <w:kern w:val="22"/>
          <w:szCs w:val="22"/>
        </w:rPr>
        <w:tab/>
      </w:r>
      <w:r w:rsidR="007E60D7" w:rsidRPr="004B4105">
        <w:rPr>
          <w:bCs/>
          <w:kern w:val="22"/>
          <w:szCs w:val="22"/>
        </w:rPr>
        <w:t>Opening of the workshop</w:t>
      </w:r>
      <w:r w:rsidR="00DB6C6B" w:rsidRPr="004B4105">
        <w:rPr>
          <w:bCs/>
          <w:kern w:val="22"/>
          <w:szCs w:val="22"/>
        </w:rPr>
        <w:t>:</w:t>
      </w:r>
    </w:p>
    <w:p w14:paraId="34FB5A4C" w14:textId="77777777" w:rsidR="000F5778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1.1.</w:t>
      </w:r>
      <w:r w:rsidRPr="004B4105">
        <w:rPr>
          <w:kern w:val="22"/>
          <w:szCs w:val="22"/>
        </w:rPr>
        <w:tab/>
      </w:r>
      <w:r w:rsidR="000F5778" w:rsidRPr="004B4105">
        <w:rPr>
          <w:kern w:val="22"/>
          <w:szCs w:val="22"/>
        </w:rPr>
        <w:t>Welcoming remarks</w:t>
      </w:r>
      <w:r w:rsidR="009B6E52" w:rsidRPr="004B4105">
        <w:rPr>
          <w:kern w:val="22"/>
          <w:szCs w:val="22"/>
        </w:rPr>
        <w:t>;</w:t>
      </w:r>
    </w:p>
    <w:p w14:paraId="29C3F106" w14:textId="77777777" w:rsidR="0018492A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1.2.</w:t>
      </w:r>
      <w:r w:rsidRPr="004B4105">
        <w:rPr>
          <w:kern w:val="22"/>
          <w:szCs w:val="22"/>
        </w:rPr>
        <w:tab/>
      </w:r>
      <w:r w:rsidR="004B0BE3" w:rsidRPr="004B4105">
        <w:rPr>
          <w:kern w:val="22"/>
          <w:szCs w:val="22"/>
        </w:rPr>
        <w:t>Introduction of participants</w:t>
      </w:r>
      <w:r w:rsidR="009B6E52" w:rsidRPr="004B4105">
        <w:rPr>
          <w:kern w:val="22"/>
          <w:szCs w:val="22"/>
        </w:rPr>
        <w:t>;</w:t>
      </w:r>
    </w:p>
    <w:p w14:paraId="5D023DBB" w14:textId="77777777" w:rsidR="0018492A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1.3.</w:t>
      </w:r>
      <w:r w:rsidRPr="004B4105">
        <w:rPr>
          <w:kern w:val="22"/>
          <w:szCs w:val="22"/>
        </w:rPr>
        <w:tab/>
      </w:r>
      <w:r w:rsidR="004B0BE3" w:rsidRPr="004B4105">
        <w:rPr>
          <w:kern w:val="22"/>
          <w:szCs w:val="22"/>
        </w:rPr>
        <w:t>Organization of work</w:t>
      </w:r>
      <w:r w:rsidR="00F37746" w:rsidRPr="004B4105">
        <w:rPr>
          <w:kern w:val="22"/>
          <w:szCs w:val="22"/>
        </w:rPr>
        <w:t>.</w:t>
      </w:r>
    </w:p>
    <w:p w14:paraId="3A0724DF" w14:textId="77777777" w:rsidR="0018492A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432" w:hanging="432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2.</w:t>
      </w:r>
      <w:r w:rsidRPr="004B4105">
        <w:rPr>
          <w:bCs/>
          <w:kern w:val="22"/>
          <w:szCs w:val="22"/>
        </w:rPr>
        <w:tab/>
      </w:r>
      <w:r w:rsidR="0018492A" w:rsidRPr="004B4105">
        <w:rPr>
          <w:bCs/>
          <w:kern w:val="22"/>
          <w:szCs w:val="22"/>
        </w:rPr>
        <w:t>Overview of biosafety and the Cartagena Protocol on Biosafety</w:t>
      </w:r>
      <w:r w:rsidR="009B6E52" w:rsidRPr="004B4105">
        <w:rPr>
          <w:bCs/>
          <w:kern w:val="22"/>
          <w:szCs w:val="22"/>
        </w:rPr>
        <w:t>:</w:t>
      </w:r>
    </w:p>
    <w:p w14:paraId="3F1E551B" w14:textId="77777777" w:rsidR="000D15C3" w:rsidRPr="004B4105" w:rsidRDefault="000D15C3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2.1</w:t>
      </w:r>
      <w:r w:rsidR="008344A0" w:rsidRPr="004B4105">
        <w:rPr>
          <w:kern w:val="22"/>
          <w:szCs w:val="22"/>
        </w:rPr>
        <w:t>.</w:t>
      </w:r>
      <w:r w:rsidR="005536C8" w:rsidRPr="004B4105">
        <w:rPr>
          <w:kern w:val="22"/>
          <w:szCs w:val="22"/>
        </w:rPr>
        <w:tab/>
      </w:r>
      <w:r w:rsidR="009B4941" w:rsidRPr="004B4105">
        <w:rPr>
          <w:kern w:val="22"/>
          <w:szCs w:val="22"/>
        </w:rPr>
        <w:t xml:space="preserve">History of the Protocol </w:t>
      </w:r>
      <w:r w:rsidR="00037AB5" w:rsidRPr="004B4105">
        <w:rPr>
          <w:kern w:val="22"/>
          <w:szCs w:val="22"/>
        </w:rPr>
        <w:t>and main provisions</w:t>
      </w:r>
      <w:r w:rsidR="009B6E52" w:rsidRPr="004B4105">
        <w:rPr>
          <w:kern w:val="22"/>
          <w:szCs w:val="22"/>
        </w:rPr>
        <w:t>;</w:t>
      </w:r>
    </w:p>
    <w:p w14:paraId="09B3BB56" w14:textId="77777777" w:rsidR="00037AB5" w:rsidRPr="004B4105" w:rsidRDefault="00037AB5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2.2</w:t>
      </w:r>
      <w:r w:rsidR="008344A0" w:rsidRPr="004B4105">
        <w:rPr>
          <w:kern w:val="22"/>
          <w:szCs w:val="22"/>
        </w:rPr>
        <w:t>.</w:t>
      </w:r>
      <w:r w:rsidR="005536C8" w:rsidRPr="004B4105">
        <w:rPr>
          <w:kern w:val="22"/>
          <w:szCs w:val="22"/>
        </w:rPr>
        <w:tab/>
      </w:r>
      <w:r w:rsidRPr="004B4105">
        <w:rPr>
          <w:kern w:val="22"/>
          <w:szCs w:val="22"/>
        </w:rPr>
        <w:t>Techniques used in modern biotechnology</w:t>
      </w:r>
      <w:r w:rsidR="009B6E52" w:rsidRPr="004B4105">
        <w:rPr>
          <w:kern w:val="22"/>
          <w:szCs w:val="22"/>
        </w:rPr>
        <w:t>;</w:t>
      </w:r>
    </w:p>
    <w:p w14:paraId="4F269381" w14:textId="77777777" w:rsidR="000D15C3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432" w:hanging="432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3.</w:t>
      </w:r>
      <w:r w:rsidRPr="004B4105">
        <w:rPr>
          <w:bCs/>
          <w:kern w:val="22"/>
          <w:szCs w:val="22"/>
        </w:rPr>
        <w:tab/>
      </w:r>
      <w:r w:rsidR="000D15C3" w:rsidRPr="004B4105">
        <w:rPr>
          <w:bCs/>
          <w:kern w:val="22"/>
          <w:szCs w:val="22"/>
        </w:rPr>
        <w:t xml:space="preserve">Risk assessment experiences </w:t>
      </w:r>
      <w:r w:rsidR="000F5778" w:rsidRPr="004B4105">
        <w:rPr>
          <w:bCs/>
          <w:kern w:val="22"/>
          <w:szCs w:val="22"/>
        </w:rPr>
        <w:t>i</w:t>
      </w:r>
      <w:r w:rsidR="000D15C3" w:rsidRPr="004B4105">
        <w:rPr>
          <w:bCs/>
          <w:kern w:val="22"/>
          <w:szCs w:val="22"/>
        </w:rPr>
        <w:t>n the region</w:t>
      </w:r>
      <w:r w:rsidR="009B6E52" w:rsidRPr="004B4105">
        <w:rPr>
          <w:bCs/>
          <w:kern w:val="22"/>
          <w:szCs w:val="22"/>
        </w:rPr>
        <w:t>:</w:t>
      </w:r>
    </w:p>
    <w:p w14:paraId="15F59DB9" w14:textId="77777777" w:rsidR="008344A0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3.1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9B6E52" w:rsidRPr="004B4105">
        <w:rPr>
          <w:kern w:val="22"/>
          <w:szCs w:val="22"/>
        </w:rPr>
        <w:t xml:space="preserve">Experience of </w:t>
      </w:r>
      <w:r w:rsidR="004B0BE3" w:rsidRPr="004B4105">
        <w:rPr>
          <w:kern w:val="22"/>
          <w:szCs w:val="22"/>
        </w:rPr>
        <w:t>South Africa</w:t>
      </w:r>
      <w:r w:rsidR="00F624AB" w:rsidRPr="004B4105">
        <w:rPr>
          <w:kern w:val="22"/>
          <w:szCs w:val="22"/>
        </w:rPr>
        <w:t xml:space="preserve"> </w:t>
      </w:r>
      <w:r w:rsidR="009B6E52" w:rsidRPr="004B4105">
        <w:rPr>
          <w:kern w:val="22"/>
          <w:szCs w:val="22"/>
        </w:rPr>
        <w:t xml:space="preserve">with </w:t>
      </w:r>
      <w:r w:rsidR="008344A0" w:rsidRPr="004B4105">
        <w:rPr>
          <w:kern w:val="22"/>
          <w:szCs w:val="22"/>
        </w:rPr>
        <w:t xml:space="preserve">risk assessment and </w:t>
      </w:r>
      <w:r w:rsidR="009B6E52" w:rsidRPr="004B4105">
        <w:rPr>
          <w:kern w:val="22"/>
          <w:szCs w:val="22"/>
        </w:rPr>
        <w:t>the regulatory system</w:t>
      </w:r>
      <w:r w:rsidR="009B6E52" w:rsidRPr="004B4105" w:rsidDel="009B6E52">
        <w:rPr>
          <w:kern w:val="22"/>
          <w:szCs w:val="22"/>
        </w:rPr>
        <w:t xml:space="preserve"> </w:t>
      </w:r>
      <w:r w:rsidR="004C7532" w:rsidRPr="004B4105">
        <w:rPr>
          <w:kern w:val="22"/>
          <w:szCs w:val="22"/>
        </w:rPr>
        <w:t xml:space="preserve">for </w:t>
      </w:r>
      <w:r w:rsidR="009B6E52" w:rsidRPr="004B4105">
        <w:rPr>
          <w:kern w:val="22"/>
          <w:szCs w:val="22"/>
        </w:rPr>
        <w:t>l</w:t>
      </w:r>
      <w:r w:rsidR="008344A0" w:rsidRPr="004B4105">
        <w:rPr>
          <w:kern w:val="22"/>
          <w:szCs w:val="22"/>
        </w:rPr>
        <w:t xml:space="preserve">iving </w:t>
      </w:r>
      <w:r w:rsidR="009B6E52" w:rsidRPr="004B4105">
        <w:rPr>
          <w:kern w:val="22"/>
          <w:szCs w:val="22"/>
        </w:rPr>
        <w:t>m</w:t>
      </w:r>
      <w:r w:rsidR="008344A0" w:rsidRPr="004B4105">
        <w:rPr>
          <w:kern w:val="22"/>
          <w:szCs w:val="22"/>
        </w:rPr>
        <w:t>odified organisms</w:t>
      </w:r>
      <w:r w:rsidR="009B6E52" w:rsidRPr="004B4105">
        <w:rPr>
          <w:kern w:val="22"/>
          <w:szCs w:val="22"/>
        </w:rPr>
        <w:t>;</w:t>
      </w:r>
    </w:p>
    <w:p w14:paraId="0AB07E3A" w14:textId="77777777" w:rsidR="000F5778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3.2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0D15C3" w:rsidRPr="004B4105">
        <w:rPr>
          <w:kern w:val="22"/>
          <w:szCs w:val="22"/>
        </w:rPr>
        <w:t xml:space="preserve">Presentations from participants: national </w:t>
      </w:r>
      <w:r w:rsidR="008344A0" w:rsidRPr="004B4105">
        <w:rPr>
          <w:kern w:val="22"/>
          <w:szCs w:val="22"/>
        </w:rPr>
        <w:t xml:space="preserve">experience </w:t>
      </w:r>
      <w:r w:rsidR="003F54BF" w:rsidRPr="004B4105">
        <w:rPr>
          <w:kern w:val="22"/>
          <w:szCs w:val="22"/>
        </w:rPr>
        <w:t xml:space="preserve">with </w:t>
      </w:r>
      <w:r w:rsidR="008344A0" w:rsidRPr="004B4105">
        <w:rPr>
          <w:kern w:val="22"/>
          <w:szCs w:val="22"/>
        </w:rPr>
        <w:t xml:space="preserve">risk assessment and </w:t>
      </w:r>
      <w:r w:rsidR="003F54BF" w:rsidRPr="004B4105">
        <w:rPr>
          <w:kern w:val="22"/>
          <w:szCs w:val="22"/>
        </w:rPr>
        <w:t>the application of</w:t>
      </w:r>
      <w:r w:rsidR="008344A0" w:rsidRPr="004B4105">
        <w:rPr>
          <w:kern w:val="22"/>
          <w:szCs w:val="22"/>
        </w:rPr>
        <w:t xml:space="preserve"> the Cartagena Protocol</w:t>
      </w:r>
      <w:r w:rsidR="005C3E2A" w:rsidRPr="004B4105">
        <w:rPr>
          <w:kern w:val="22"/>
          <w:szCs w:val="22"/>
        </w:rPr>
        <w:t>;</w:t>
      </w:r>
    </w:p>
    <w:p w14:paraId="2FE73D81" w14:textId="77777777" w:rsidR="008344A0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360" w:hanging="360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4</w:t>
      </w:r>
      <w:r w:rsidR="00DD2C41" w:rsidRPr="004B4105">
        <w:rPr>
          <w:bCs/>
          <w:kern w:val="22"/>
          <w:szCs w:val="22"/>
        </w:rPr>
        <w:t>.</w:t>
      </w:r>
      <w:r w:rsidRPr="004B4105">
        <w:rPr>
          <w:bCs/>
          <w:kern w:val="22"/>
          <w:szCs w:val="22"/>
        </w:rPr>
        <w:tab/>
      </w:r>
      <w:r w:rsidR="008344A0" w:rsidRPr="004B4105">
        <w:rPr>
          <w:bCs/>
          <w:kern w:val="22"/>
          <w:szCs w:val="22"/>
        </w:rPr>
        <w:t xml:space="preserve">National </w:t>
      </w:r>
      <w:r w:rsidR="00DD2C41" w:rsidRPr="004B4105">
        <w:rPr>
          <w:bCs/>
          <w:kern w:val="22"/>
          <w:szCs w:val="22"/>
        </w:rPr>
        <w:t>b</w:t>
      </w:r>
      <w:r w:rsidR="008344A0" w:rsidRPr="004B4105">
        <w:rPr>
          <w:bCs/>
          <w:kern w:val="22"/>
          <w:szCs w:val="22"/>
        </w:rPr>
        <w:t>iosafety frameworks</w:t>
      </w:r>
      <w:r w:rsidR="009B6E52" w:rsidRPr="004B4105">
        <w:rPr>
          <w:bCs/>
          <w:kern w:val="22"/>
          <w:szCs w:val="22"/>
        </w:rPr>
        <w:t>:</w:t>
      </w:r>
    </w:p>
    <w:p w14:paraId="552F4DD0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4</w:t>
      </w:r>
      <w:r w:rsidR="00250F2C" w:rsidRPr="004B4105">
        <w:rPr>
          <w:kern w:val="22"/>
          <w:szCs w:val="22"/>
        </w:rPr>
        <w:t>.1</w:t>
      </w:r>
      <w:r w:rsidRPr="004B4105">
        <w:rPr>
          <w:kern w:val="22"/>
          <w:szCs w:val="22"/>
        </w:rPr>
        <w:tab/>
      </w:r>
      <w:r w:rsidR="00250F2C" w:rsidRPr="004B4105">
        <w:rPr>
          <w:kern w:val="22"/>
          <w:szCs w:val="22"/>
        </w:rPr>
        <w:t xml:space="preserve">Competent </w:t>
      </w:r>
      <w:r w:rsidR="009B6E52" w:rsidRPr="004B4105">
        <w:rPr>
          <w:kern w:val="22"/>
          <w:szCs w:val="22"/>
        </w:rPr>
        <w:t>n</w:t>
      </w:r>
      <w:r w:rsidR="00250F2C" w:rsidRPr="004B4105">
        <w:rPr>
          <w:kern w:val="22"/>
          <w:szCs w:val="22"/>
        </w:rPr>
        <w:t xml:space="preserve">ational </w:t>
      </w:r>
      <w:r w:rsidR="009B6E52" w:rsidRPr="004B4105">
        <w:rPr>
          <w:kern w:val="22"/>
          <w:szCs w:val="22"/>
        </w:rPr>
        <w:t>a</w:t>
      </w:r>
      <w:r w:rsidR="00250F2C" w:rsidRPr="004B4105">
        <w:rPr>
          <w:kern w:val="22"/>
          <w:szCs w:val="22"/>
        </w:rPr>
        <w:t>uthorities, practices and principles</w:t>
      </w:r>
      <w:r w:rsidR="009B6E52" w:rsidRPr="004B4105">
        <w:rPr>
          <w:kern w:val="22"/>
          <w:szCs w:val="22"/>
        </w:rPr>
        <w:t>;</w:t>
      </w:r>
    </w:p>
    <w:p w14:paraId="12C8F723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4</w:t>
      </w:r>
      <w:r w:rsidR="00250F2C" w:rsidRPr="004B4105">
        <w:rPr>
          <w:kern w:val="22"/>
          <w:szCs w:val="22"/>
        </w:rPr>
        <w:t>.2.</w:t>
      </w:r>
      <w:r w:rsidRPr="004B4105">
        <w:rPr>
          <w:kern w:val="22"/>
          <w:szCs w:val="22"/>
        </w:rPr>
        <w:tab/>
      </w:r>
      <w:r w:rsidR="00250F2C" w:rsidRPr="004B4105">
        <w:rPr>
          <w:kern w:val="22"/>
          <w:szCs w:val="22"/>
        </w:rPr>
        <w:t>Expert advice and the role of risk assessors</w:t>
      </w:r>
      <w:r w:rsidR="00F37746" w:rsidRPr="004B4105">
        <w:rPr>
          <w:kern w:val="22"/>
          <w:szCs w:val="22"/>
        </w:rPr>
        <w:t>.</w:t>
      </w:r>
    </w:p>
    <w:p w14:paraId="42BDB3A2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360" w:hanging="360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5</w:t>
      </w:r>
      <w:r w:rsidR="00DD2C41" w:rsidRPr="004B4105">
        <w:rPr>
          <w:bCs/>
          <w:kern w:val="22"/>
          <w:szCs w:val="22"/>
        </w:rPr>
        <w:t>.</w:t>
      </w:r>
      <w:r w:rsidRPr="004B4105">
        <w:rPr>
          <w:bCs/>
          <w:kern w:val="22"/>
          <w:szCs w:val="22"/>
        </w:rPr>
        <w:tab/>
      </w:r>
      <w:r w:rsidR="00250F2C" w:rsidRPr="004B4105">
        <w:rPr>
          <w:bCs/>
          <w:kern w:val="22"/>
          <w:szCs w:val="22"/>
        </w:rPr>
        <w:t>Overview of the risk assessment</w:t>
      </w:r>
      <w:r w:rsidR="009B6E52" w:rsidRPr="004B4105">
        <w:rPr>
          <w:bCs/>
          <w:kern w:val="22"/>
          <w:szCs w:val="22"/>
        </w:rPr>
        <w:t>:</w:t>
      </w:r>
    </w:p>
    <w:p w14:paraId="02A1375B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5</w:t>
      </w:r>
      <w:r w:rsidR="00250F2C" w:rsidRPr="004B4105">
        <w:rPr>
          <w:kern w:val="22"/>
          <w:szCs w:val="22"/>
        </w:rPr>
        <w:t>.1.</w:t>
      </w:r>
      <w:r w:rsidRPr="004B4105">
        <w:rPr>
          <w:kern w:val="22"/>
          <w:szCs w:val="22"/>
        </w:rPr>
        <w:tab/>
      </w:r>
      <w:r w:rsidR="00471E97" w:rsidRPr="004B4105">
        <w:rPr>
          <w:kern w:val="22"/>
          <w:szCs w:val="22"/>
        </w:rPr>
        <w:t>M</w:t>
      </w:r>
      <w:r w:rsidR="00250F2C" w:rsidRPr="004B4105">
        <w:rPr>
          <w:kern w:val="22"/>
          <w:szCs w:val="22"/>
        </w:rPr>
        <w:t>ethodology</w:t>
      </w:r>
      <w:r w:rsidR="00E204C4" w:rsidRPr="004B4105">
        <w:rPr>
          <w:kern w:val="22"/>
          <w:szCs w:val="22"/>
        </w:rPr>
        <w:t>;</w:t>
      </w:r>
    </w:p>
    <w:p w14:paraId="7DD547F1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5</w:t>
      </w:r>
      <w:r w:rsidR="00250F2C" w:rsidRPr="004B4105">
        <w:rPr>
          <w:kern w:val="22"/>
          <w:szCs w:val="22"/>
        </w:rPr>
        <w:t>.2.</w:t>
      </w:r>
      <w:r w:rsidRPr="004B4105">
        <w:rPr>
          <w:kern w:val="22"/>
          <w:szCs w:val="22"/>
        </w:rPr>
        <w:tab/>
      </w:r>
      <w:r w:rsidR="00250F2C" w:rsidRPr="004B4105">
        <w:rPr>
          <w:kern w:val="22"/>
          <w:szCs w:val="22"/>
        </w:rPr>
        <w:t>Overarching issues (</w:t>
      </w:r>
      <w:r w:rsidR="00E204C4" w:rsidRPr="004B4105">
        <w:rPr>
          <w:kern w:val="22"/>
          <w:szCs w:val="22"/>
        </w:rPr>
        <w:t>q</w:t>
      </w:r>
      <w:r w:rsidR="00250F2C" w:rsidRPr="004B4105">
        <w:rPr>
          <w:kern w:val="22"/>
          <w:szCs w:val="22"/>
        </w:rPr>
        <w:t>uality</w:t>
      </w:r>
      <w:r w:rsidR="00250F2C" w:rsidRPr="004B4105">
        <w:rPr>
          <w:kern w:val="22"/>
        </w:rPr>
        <w:t xml:space="preserve"> and relevance of information, uncertainty</w:t>
      </w:r>
      <w:r w:rsidR="00250F2C" w:rsidRPr="004B4105">
        <w:rPr>
          <w:kern w:val="22"/>
          <w:szCs w:val="22"/>
        </w:rPr>
        <w:t>)</w:t>
      </w:r>
      <w:r w:rsidR="00E204C4" w:rsidRPr="004B4105">
        <w:rPr>
          <w:kern w:val="22"/>
          <w:szCs w:val="22"/>
        </w:rPr>
        <w:t>;</w:t>
      </w:r>
    </w:p>
    <w:p w14:paraId="7A35D6FF" w14:textId="6175C4C4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5</w:t>
      </w:r>
      <w:r w:rsidR="00250F2C" w:rsidRPr="004B4105">
        <w:rPr>
          <w:kern w:val="22"/>
          <w:szCs w:val="22"/>
        </w:rPr>
        <w:t>.3.</w:t>
      </w:r>
      <w:r w:rsidRPr="004B4105">
        <w:rPr>
          <w:kern w:val="22"/>
          <w:szCs w:val="22"/>
        </w:rPr>
        <w:tab/>
      </w:r>
      <w:r w:rsidR="00250F2C" w:rsidRPr="004B4105">
        <w:rPr>
          <w:kern w:val="22"/>
          <w:szCs w:val="22"/>
        </w:rPr>
        <w:t>The planning phase (</w:t>
      </w:r>
      <w:r w:rsidR="00250F2C" w:rsidRPr="004B4105">
        <w:rPr>
          <w:kern w:val="22"/>
        </w:rPr>
        <w:t>context and scope, assessment endpoints, choice of comparators</w:t>
      </w:r>
      <w:r w:rsidR="004B4105" w:rsidRPr="004B4105">
        <w:rPr>
          <w:kern w:val="22"/>
        </w:rPr>
        <w:t>, risk hypothesis</w:t>
      </w:r>
      <w:r w:rsidR="00250F2C" w:rsidRPr="004B4105">
        <w:rPr>
          <w:kern w:val="22"/>
          <w:szCs w:val="22"/>
        </w:rPr>
        <w:t>)</w:t>
      </w:r>
      <w:r w:rsidR="00E204C4" w:rsidRPr="004B4105">
        <w:rPr>
          <w:kern w:val="22"/>
          <w:szCs w:val="22"/>
        </w:rPr>
        <w:t>;</w:t>
      </w:r>
    </w:p>
    <w:p w14:paraId="7E85DB83" w14:textId="77777777" w:rsidR="00250F2C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5</w:t>
      </w:r>
      <w:r w:rsidR="00250F2C" w:rsidRPr="004B4105">
        <w:rPr>
          <w:kern w:val="22"/>
          <w:szCs w:val="22"/>
        </w:rPr>
        <w:t>.4.</w:t>
      </w:r>
      <w:r w:rsidRPr="004B4105">
        <w:rPr>
          <w:kern w:val="22"/>
          <w:szCs w:val="22"/>
        </w:rPr>
        <w:tab/>
      </w:r>
      <w:r w:rsidR="00250F2C" w:rsidRPr="004B4105">
        <w:rPr>
          <w:kern w:val="22"/>
          <w:szCs w:val="22"/>
        </w:rPr>
        <w:t>Conducting the risk assessment (</w:t>
      </w:r>
      <w:r w:rsidR="00186117" w:rsidRPr="004B4105">
        <w:rPr>
          <w:kern w:val="22"/>
        </w:rPr>
        <w:t>identification of novel characteristics, evaluation of livelihood and consequences, estimation of the overall risk, acceptability of risk</w:t>
      </w:r>
      <w:r w:rsidR="00186117" w:rsidRPr="004B4105">
        <w:rPr>
          <w:kern w:val="22"/>
          <w:szCs w:val="22"/>
        </w:rPr>
        <w:t>)</w:t>
      </w:r>
      <w:r w:rsidR="00E204C4" w:rsidRPr="004B4105">
        <w:rPr>
          <w:kern w:val="22"/>
          <w:szCs w:val="22"/>
        </w:rPr>
        <w:t>;</w:t>
      </w:r>
    </w:p>
    <w:p w14:paraId="70431990" w14:textId="77777777" w:rsidR="00186117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5</w:t>
      </w:r>
      <w:r w:rsidR="00186117" w:rsidRPr="004B4105">
        <w:rPr>
          <w:kern w:val="22"/>
          <w:szCs w:val="22"/>
        </w:rPr>
        <w:t>.5.</w:t>
      </w:r>
      <w:r w:rsidRPr="004B4105">
        <w:rPr>
          <w:kern w:val="22"/>
          <w:szCs w:val="22"/>
        </w:rPr>
        <w:tab/>
      </w:r>
      <w:r w:rsidR="00186117" w:rsidRPr="004B4105">
        <w:rPr>
          <w:kern w:val="22"/>
          <w:szCs w:val="22"/>
        </w:rPr>
        <w:t>Preparing a risk assessment report and recommendation</w:t>
      </w:r>
      <w:r w:rsidR="00F37746" w:rsidRPr="004B4105">
        <w:rPr>
          <w:kern w:val="22"/>
          <w:szCs w:val="22"/>
        </w:rPr>
        <w:t>.</w:t>
      </w:r>
    </w:p>
    <w:p w14:paraId="59389595" w14:textId="77777777" w:rsidR="00186117" w:rsidRPr="004B4105" w:rsidRDefault="005536C8" w:rsidP="000B2755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360" w:hanging="360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6</w:t>
      </w:r>
      <w:r w:rsidR="00DD2C41" w:rsidRPr="004B4105">
        <w:rPr>
          <w:bCs/>
          <w:kern w:val="22"/>
          <w:szCs w:val="22"/>
        </w:rPr>
        <w:t>.</w:t>
      </w:r>
      <w:r w:rsidRPr="004B4105">
        <w:rPr>
          <w:bCs/>
          <w:kern w:val="22"/>
          <w:szCs w:val="22"/>
        </w:rPr>
        <w:tab/>
      </w:r>
      <w:r w:rsidR="005B26DF" w:rsidRPr="004B4105">
        <w:rPr>
          <w:bCs/>
          <w:kern w:val="22"/>
          <w:szCs w:val="22"/>
        </w:rPr>
        <w:t>Case studies</w:t>
      </w:r>
      <w:r w:rsidR="00E204C4" w:rsidRPr="004B4105">
        <w:rPr>
          <w:bCs/>
          <w:kern w:val="22"/>
          <w:szCs w:val="22"/>
        </w:rPr>
        <w:t>:</w:t>
      </w:r>
    </w:p>
    <w:p w14:paraId="6ACF6119" w14:textId="72C81BC6" w:rsidR="00186117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6</w:t>
      </w:r>
      <w:r w:rsidR="00186117" w:rsidRPr="004B4105">
        <w:rPr>
          <w:kern w:val="22"/>
          <w:szCs w:val="22"/>
        </w:rPr>
        <w:t>.1.</w:t>
      </w:r>
      <w:r w:rsidRPr="004B4105">
        <w:rPr>
          <w:kern w:val="22"/>
          <w:szCs w:val="22"/>
        </w:rPr>
        <w:tab/>
      </w:r>
      <w:r w:rsidR="00186117" w:rsidRPr="004B4105">
        <w:rPr>
          <w:kern w:val="22"/>
          <w:szCs w:val="22"/>
        </w:rPr>
        <w:t>Presentation of</w:t>
      </w:r>
      <w:r w:rsidR="005B26DF" w:rsidRPr="004B4105">
        <w:rPr>
          <w:kern w:val="22"/>
          <w:szCs w:val="22"/>
        </w:rPr>
        <w:t xml:space="preserve"> case study 1</w:t>
      </w:r>
      <w:r w:rsidR="00E204C4" w:rsidRPr="004B4105">
        <w:rPr>
          <w:kern w:val="22"/>
          <w:szCs w:val="22"/>
        </w:rPr>
        <w:t>;</w:t>
      </w:r>
    </w:p>
    <w:p w14:paraId="30CCF278" w14:textId="6432C618" w:rsidR="00186117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6</w:t>
      </w:r>
      <w:r w:rsidR="00186117" w:rsidRPr="004B4105">
        <w:rPr>
          <w:kern w:val="22"/>
          <w:szCs w:val="22"/>
        </w:rPr>
        <w:t>.2.</w:t>
      </w:r>
      <w:r w:rsidRPr="004B4105">
        <w:rPr>
          <w:kern w:val="22"/>
          <w:szCs w:val="22"/>
        </w:rPr>
        <w:tab/>
      </w:r>
      <w:r w:rsidR="003E426A" w:rsidRPr="004B4105">
        <w:rPr>
          <w:kern w:val="22"/>
          <w:szCs w:val="22"/>
        </w:rPr>
        <w:t>Presentation of case study 2 and practical session</w:t>
      </w:r>
      <w:r w:rsidR="00F37746" w:rsidRPr="004B4105">
        <w:rPr>
          <w:kern w:val="22"/>
          <w:szCs w:val="22"/>
        </w:rPr>
        <w:t>.</w:t>
      </w:r>
    </w:p>
    <w:p w14:paraId="417EBF22" w14:textId="77777777" w:rsidR="00B73C5E" w:rsidRPr="004B4105" w:rsidRDefault="005536C8" w:rsidP="000B2755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360" w:hanging="360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7</w:t>
      </w:r>
      <w:r w:rsidR="00DD2C41" w:rsidRPr="004B4105">
        <w:rPr>
          <w:bCs/>
          <w:kern w:val="22"/>
          <w:szCs w:val="22"/>
        </w:rPr>
        <w:t>.</w:t>
      </w:r>
      <w:r w:rsidRPr="004B4105">
        <w:rPr>
          <w:bCs/>
          <w:kern w:val="22"/>
          <w:szCs w:val="22"/>
        </w:rPr>
        <w:tab/>
      </w:r>
      <w:r w:rsidR="00F37746" w:rsidRPr="004B4105">
        <w:rPr>
          <w:bCs/>
          <w:kern w:val="22"/>
          <w:szCs w:val="22"/>
        </w:rPr>
        <w:t>Resource m</w:t>
      </w:r>
      <w:r w:rsidR="00B73C5E" w:rsidRPr="004B4105">
        <w:rPr>
          <w:bCs/>
          <w:kern w:val="22"/>
          <w:szCs w:val="22"/>
        </w:rPr>
        <w:t xml:space="preserve">obilization and </w:t>
      </w:r>
      <w:r w:rsidR="00E204C4" w:rsidRPr="004B4105">
        <w:rPr>
          <w:bCs/>
          <w:kern w:val="22"/>
          <w:szCs w:val="22"/>
        </w:rPr>
        <w:t xml:space="preserve">the </w:t>
      </w:r>
      <w:r w:rsidR="00B73C5E" w:rsidRPr="004B4105">
        <w:rPr>
          <w:bCs/>
          <w:kern w:val="22"/>
          <w:szCs w:val="22"/>
        </w:rPr>
        <w:t xml:space="preserve">Biosafety </w:t>
      </w:r>
      <w:r w:rsidRPr="004B4105">
        <w:rPr>
          <w:bCs/>
          <w:kern w:val="22"/>
          <w:szCs w:val="22"/>
        </w:rPr>
        <w:t>C</w:t>
      </w:r>
      <w:r w:rsidR="00B73C5E" w:rsidRPr="004B4105">
        <w:rPr>
          <w:bCs/>
          <w:kern w:val="22"/>
          <w:szCs w:val="22"/>
        </w:rPr>
        <w:t>learing</w:t>
      </w:r>
      <w:r w:rsidRPr="004B4105">
        <w:rPr>
          <w:bCs/>
          <w:kern w:val="22"/>
          <w:szCs w:val="22"/>
        </w:rPr>
        <w:t>-H</w:t>
      </w:r>
      <w:r w:rsidR="00B73C5E" w:rsidRPr="004B4105">
        <w:rPr>
          <w:bCs/>
          <w:kern w:val="22"/>
          <w:szCs w:val="22"/>
        </w:rPr>
        <w:t>ouse</w:t>
      </w:r>
      <w:r w:rsidR="00E204C4" w:rsidRPr="004B4105">
        <w:rPr>
          <w:bCs/>
          <w:kern w:val="22"/>
          <w:szCs w:val="22"/>
        </w:rPr>
        <w:t>:</w:t>
      </w:r>
    </w:p>
    <w:p w14:paraId="36775784" w14:textId="77777777" w:rsidR="00B73C5E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7.1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B73C5E" w:rsidRPr="004B4105">
        <w:rPr>
          <w:kern w:val="22"/>
          <w:szCs w:val="22"/>
        </w:rPr>
        <w:t>Biosafety resource mobilization</w:t>
      </w:r>
      <w:r w:rsidR="00E204C4" w:rsidRPr="004B4105">
        <w:rPr>
          <w:kern w:val="22"/>
          <w:szCs w:val="22"/>
        </w:rPr>
        <w:t>;</w:t>
      </w:r>
    </w:p>
    <w:p w14:paraId="1B652677" w14:textId="77777777" w:rsidR="00B73C5E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7.2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F37746" w:rsidRPr="004B4105">
        <w:rPr>
          <w:kern w:val="22"/>
          <w:szCs w:val="22"/>
        </w:rPr>
        <w:t>Biosafety Clearing</w:t>
      </w:r>
      <w:r w:rsidR="00F37746" w:rsidRPr="004B4105">
        <w:rPr>
          <w:kern w:val="22"/>
          <w:szCs w:val="22"/>
        </w:rPr>
        <w:noBreakHyphen/>
      </w:r>
      <w:r w:rsidR="00B73C5E" w:rsidRPr="004B4105">
        <w:rPr>
          <w:kern w:val="22"/>
          <w:szCs w:val="22"/>
        </w:rPr>
        <w:t>House</w:t>
      </w:r>
      <w:r w:rsidR="00F37746" w:rsidRPr="004B4105">
        <w:rPr>
          <w:kern w:val="22"/>
          <w:szCs w:val="22"/>
        </w:rPr>
        <w:t>.</w:t>
      </w:r>
    </w:p>
    <w:p w14:paraId="12816FF6" w14:textId="77777777" w:rsidR="00B73C5E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360" w:hanging="360"/>
        <w:jc w:val="left"/>
        <w:rPr>
          <w:bCs/>
          <w:kern w:val="22"/>
          <w:szCs w:val="22"/>
        </w:rPr>
      </w:pPr>
      <w:r w:rsidRPr="004B4105">
        <w:rPr>
          <w:bCs/>
          <w:kern w:val="22"/>
          <w:szCs w:val="22"/>
        </w:rPr>
        <w:t>8</w:t>
      </w:r>
      <w:r w:rsidR="00DD2C41" w:rsidRPr="004B4105">
        <w:rPr>
          <w:bCs/>
          <w:kern w:val="22"/>
          <w:szCs w:val="22"/>
        </w:rPr>
        <w:t>.</w:t>
      </w:r>
      <w:r w:rsidRPr="004B4105">
        <w:rPr>
          <w:bCs/>
          <w:kern w:val="22"/>
          <w:szCs w:val="22"/>
        </w:rPr>
        <w:tab/>
      </w:r>
      <w:r w:rsidR="00B73C5E" w:rsidRPr="004B4105">
        <w:rPr>
          <w:bCs/>
          <w:kern w:val="22"/>
          <w:szCs w:val="22"/>
        </w:rPr>
        <w:t>Conclusions and recommendations</w:t>
      </w:r>
      <w:r w:rsidR="00E204C4" w:rsidRPr="004B4105">
        <w:rPr>
          <w:bCs/>
          <w:kern w:val="22"/>
          <w:szCs w:val="22"/>
        </w:rPr>
        <w:t>:</w:t>
      </w:r>
    </w:p>
    <w:p w14:paraId="0AB0E3D9" w14:textId="77777777" w:rsidR="00B73C5E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8.1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B73C5E" w:rsidRPr="004B4105">
        <w:rPr>
          <w:kern w:val="22"/>
          <w:szCs w:val="22"/>
        </w:rPr>
        <w:t>Evaluation of the workshop</w:t>
      </w:r>
      <w:r w:rsidR="00E204C4" w:rsidRPr="004B4105">
        <w:rPr>
          <w:kern w:val="22"/>
          <w:szCs w:val="22"/>
        </w:rPr>
        <w:t>;</w:t>
      </w:r>
    </w:p>
    <w:p w14:paraId="3F21A724" w14:textId="77777777" w:rsidR="00B73C5E" w:rsidRPr="004B4105" w:rsidRDefault="005536C8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ind w:left="1022" w:hanging="576"/>
        <w:jc w:val="left"/>
        <w:rPr>
          <w:kern w:val="22"/>
          <w:szCs w:val="22"/>
        </w:rPr>
      </w:pPr>
      <w:r w:rsidRPr="004B4105">
        <w:rPr>
          <w:kern w:val="22"/>
          <w:szCs w:val="22"/>
        </w:rPr>
        <w:t>8.2</w:t>
      </w:r>
      <w:r w:rsidR="003C6386" w:rsidRPr="004B4105">
        <w:rPr>
          <w:kern w:val="22"/>
          <w:szCs w:val="22"/>
        </w:rPr>
        <w:t>.</w:t>
      </w:r>
      <w:r w:rsidRPr="004B4105">
        <w:rPr>
          <w:kern w:val="22"/>
          <w:szCs w:val="22"/>
        </w:rPr>
        <w:tab/>
      </w:r>
      <w:r w:rsidR="00B73C5E" w:rsidRPr="004B4105">
        <w:rPr>
          <w:kern w:val="22"/>
          <w:szCs w:val="22"/>
        </w:rPr>
        <w:t>Closure of the workshop.</w:t>
      </w:r>
      <w:bookmarkStart w:id="0" w:name="_GoBack"/>
      <w:bookmarkEnd w:id="0"/>
    </w:p>
    <w:p w14:paraId="0915E979" w14:textId="77777777" w:rsidR="0018492A" w:rsidRPr="004B4105" w:rsidRDefault="0018492A" w:rsidP="000B275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0" w:after="20" w:line="235" w:lineRule="auto"/>
        <w:rPr>
          <w:kern w:val="22"/>
          <w:szCs w:val="22"/>
        </w:rPr>
      </w:pPr>
    </w:p>
    <w:p w14:paraId="28AA6ED2" w14:textId="77777777" w:rsidR="00736BC2" w:rsidRPr="004B4105" w:rsidRDefault="00540488" w:rsidP="000B275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35" w:lineRule="auto"/>
        <w:jc w:val="center"/>
        <w:rPr>
          <w:kern w:val="22"/>
        </w:rPr>
      </w:pPr>
      <w:r w:rsidRPr="004B4105">
        <w:rPr>
          <w:iCs/>
          <w:snapToGrid/>
          <w:kern w:val="22"/>
          <w:szCs w:val="22"/>
        </w:rPr>
        <w:lastRenderedPageBreak/>
        <w:t>__________</w:t>
      </w:r>
    </w:p>
    <w:sectPr w:rsidR="00736BC2" w:rsidRPr="004B4105" w:rsidSect="00421CF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567" w:right="1440" w:bottom="1134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917" w14:textId="77777777" w:rsidR="00680F95" w:rsidRDefault="00680F95">
      <w:r>
        <w:separator/>
      </w:r>
    </w:p>
  </w:endnote>
  <w:endnote w:type="continuationSeparator" w:id="0">
    <w:p w14:paraId="7EC39AEA" w14:textId="77777777" w:rsidR="00680F95" w:rsidRDefault="00680F95">
      <w:r>
        <w:continuationSeparator/>
      </w:r>
    </w:p>
  </w:endnote>
  <w:endnote w:type="continuationNotice" w:id="1">
    <w:p w14:paraId="74B5DC05" w14:textId="77777777" w:rsidR="00680F95" w:rsidRDefault="00680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F812" w14:textId="77777777" w:rsidR="009E37C0" w:rsidRDefault="009E37C0" w:rsidP="00421CFD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F449" w14:textId="77777777" w:rsidR="006A572E" w:rsidRDefault="006A572E" w:rsidP="002E147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6597" w14:textId="77777777" w:rsidR="00680F95" w:rsidRDefault="00680F95">
      <w:r>
        <w:separator/>
      </w:r>
    </w:p>
  </w:footnote>
  <w:footnote w:type="continuationSeparator" w:id="0">
    <w:p w14:paraId="28C3CF84" w14:textId="77777777" w:rsidR="00680F95" w:rsidRDefault="00680F95">
      <w:r>
        <w:continuationSeparator/>
      </w:r>
    </w:p>
  </w:footnote>
  <w:footnote w:type="continuationNotice" w:id="1">
    <w:p w14:paraId="4E939767" w14:textId="77777777" w:rsidR="00680F95" w:rsidRDefault="00680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D280" w14:textId="0AE66DC0" w:rsidR="00676F27" w:rsidRPr="008E259D" w:rsidRDefault="00676F27" w:rsidP="00676F27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ind w:left="-21"/>
      <w:rPr>
        <w:kern w:val="22"/>
      </w:rPr>
    </w:pPr>
    <w:r w:rsidRPr="008E259D">
      <w:rPr>
        <w:kern w:val="22"/>
      </w:rPr>
      <w:t>CBD/CP/</w:t>
    </w:r>
    <w:proofErr w:type="spellStart"/>
    <w:r w:rsidRPr="008E259D">
      <w:rPr>
        <w:kern w:val="22"/>
      </w:rPr>
      <w:t>RARM</w:t>
    </w:r>
    <w:proofErr w:type="spellEnd"/>
    <w:r w:rsidRPr="008E259D">
      <w:rPr>
        <w:kern w:val="22"/>
      </w:rPr>
      <w:t>/CB</w:t>
    </w:r>
    <w:r>
      <w:rPr>
        <w:kern w:val="22"/>
      </w:rPr>
      <w:t>/2019</w:t>
    </w:r>
    <w:r w:rsidRPr="008E259D">
      <w:rPr>
        <w:kern w:val="22"/>
      </w:rPr>
      <w:t>/</w:t>
    </w:r>
    <w:r>
      <w:rPr>
        <w:szCs w:val="22"/>
      </w:rPr>
      <w:t>1</w:t>
    </w:r>
    <w:r w:rsidRPr="00A86922">
      <w:rPr>
        <w:szCs w:val="22"/>
      </w:rPr>
      <w:t>/1/Add.1</w:t>
    </w:r>
  </w:p>
  <w:p w14:paraId="402BE990" w14:textId="77777777" w:rsidR="00736BC2" w:rsidRDefault="00736BC2" w:rsidP="00421CFD">
    <w:pPr>
      <w:pStyle w:val="Header"/>
      <w:kinsoku w:val="0"/>
      <w:overflowPunct w:val="0"/>
      <w:autoSpaceDE w:val="0"/>
      <w:autoSpaceDN w:val="0"/>
      <w:jc w:val="left"/>
      <w:rPr>
        <w:rStyle w:val="PageNumber"/>
        <w:noProof/>
      </w:rPr>
    </w:pPr>
    <w:r>
      <w:rPr>
        <w:noProof/>
      </w:rPr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B2787C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14:paraId="6FAC1369" w14:textId="77777777" w:rsidR="00736BC2" w:rsidRDefault="00736BC2" w:rsidP="00421CFD">
    <w:pPr>
      <w:pStyle w:val="Header"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CBD4" w14:textId="77777777" w:rsidR="00736BC2" w:rsidRDefault="00736BC2" w:rsidP="002E147C">
    <w:pPr>
      <w:pStyle w:val="Head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40FA6FEE"/>
    <w:multiLevelType w:val="multilevel"/>
    <w:tmpl w:val="3716A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31"/>
  </w:num>
  <w:num w:numId="16">
    <w:abstractNumId w:val="26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16"/>
  </w:num>
  <w:num w:numId="33">
    <w:abstractNumId w:val="12"/>
  </w:num>
  <w:num w:numId="34">
    <w:abstractNumId w:val="11"/>
  </w:num>
  <w:num w:numId="35">
    <w:abstractNumId w:val="0"/>
  </w:num>
  <w:num w:numId="36">
    <w:abstractNumId w:val="17"/>
  </w:num>
  <w:num w:numId="37">
    <w:abstractNumId w:val="19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B"/>
    <w:rsid w:val="00010BD7"/>
    <w:rsid w:val="0001674E"/>
    <w:rsid w:val="00027EF3"/>
    <w:rsid w:val="000313A8"/>
    <w:rsid w:val="00037AB5"/>
    <w:rsid w:val="00041411"/>
    <w:rsid w:val="0004195D"/>
    <w:rsid w:val="00061F12"/>
    <w:rsid w:val="000674E9"/>
    <w:rsid w:val="00077287"/>
    <w:rsid w:val="00087496"/>
    <w:rsid w:val="000A6CA0"/>
    <w:rsid w:val="000A7322"/>
    <w:rsid w:val="000B2755"/>
    <w:rsid w:val="000D15C3"/>
    <w:rsid w:val="000D4C27"/>
    <w:rsid w:val="000F3AAA"/>
    <w:rsid w:val="000F5778"/>
    <w:rsid w:val="00105EE8"/>
    <w:rsid w:val="0012077F"/>
    <w:rsid w:val="0012446D"/>
    <w:rsid w:val="00134452"/>
    <w:rsid w:val="00162DEE"/>
    <w:rsid w:val="001678CB"/>
    <w:rsid w:val="0018492A"/>
    <w:rsid w:val="00186117"/>
    <w:rsid w:val="001A6410"/>
    <w:rsid w:val="001B1222"/>
    <w:rsid w:val="001B499C"/>
    <w:rsid w:val="001D312A"/>
    <w:rsid w:val="001F740C"/>
    <w:rsid w:val="0020172E"/>
    <w:rsid w:val="00234DBE"/>
    <w:rsid w:val="00240CFA"/>
    <w:rsid w:val="00242C37"/>
    <w:rsid w:val="00250F2C"/>
    <w:rsid w:val="002664F2"/>
    <w:rsid w:val="00292DF4"/>
    <w:rsid w:val="00293A51"/>
    <w:rsid w:val="002B7212"/>
    <w:rsid w:val="002C2A81"/>
    <w:rsid w:val="002C532D"/>
    <w:rsid w:val="002C5AED"/>
    <w:rsid w:val="002E147C"/>
    <w:rsid w:val="002E441C"/>
    <w:rsid w:val="00303C0D"/>
    <w:rsid w:val="00303F38"/>
    <w:rsid w:val="00314DBD"/>
    <w:rsid w:val="00317BEC"/>
    <w:rsid w:val="003220AB"/>
    <w:rsid w:val="0032653A"/>
    <w:rsid w:val="00333D30"/>
    <w:rsid w:val="0034041E"/>
    <w:rsid w:val="003432F5"/>
    <w:rsid w:val="00345CF3"/>
    <w:rsid w:val="003548FE"/>
    <w:rsid w:val="0036784C"/>
    <w:rsid w:val="0039278A"/>
    <w:rsid w:val="003A3EC0"/>
    <w:rsid w:val="003C0802"/>
    <w:rsid w:val="003C2DE1"/>
    <w:rsid w:val="003C6386"/>
    <w:rsid w:val="003D0C30"/>
    <w:rsid w:val="003D79FC"/>
    <w:rsid w:val="003E426A"/>
    <w:rsid w:val="003F54BF"/>
    <w:rsid w:val="00403C12"/>
    <w:rsid w:val="00406E44"/>
    <w:rsid w:val="0041196F"/>
    <w:rsid w:val="00413B09"/>
    <w:rsid w:val="00413C4A"/>
    <w:rsid w:val="00421CFD"/>
    <w:rsid w:val="0043035F"/>
    <w:rsid w:val="0043719B"/>
    <w:rsid w:val="00446F8B"/>
    <w:rsid w:val="00453DED"/>
    <w:rsid w:val="00471E97"/>
    <w:rsid w:val="00475FE9"/>
    <w:rsid w:val="00481805"/>
    <w:rsid w:val="004B0BE3"/>
    <w:rsid w:val="004B4105"/>
    <w:rsid w:val="004C11A3"/>
    <w:rsid w:val="004C7532"/>
    <w:rsid w:val="004D1556"/>
    <w:rsid w:val="00506ACE"/>
    <w:rsid w:val="00506F0B"/>
    <w:rsid w:val="00540488"/>
    <w:rsid w:val="005536C8"/>
    <w:rsid w:val="00560288"/>
    <w:rsid w:val="005A15D9"/>
    <w:rsid w:val="005B26DF"/>
    <w:rsid w:val="005C02B9"/>
    <w:rsid w:val="005C3E2A"/>
    <w:rsid w:val="00617A22"/>
    <w:rsid w:val="00665A5B"/>
    <w:rsid w:val="00665B7E"/>
    <w:rsid w:val="00666114"/>
    <w:rsid w:val="00676F27"/>
    <w:rsid w:val="00680F95"/>
    <w:rsid w:val="00697BC0"/>
    <w:rsid w:val="006A572E"/>
    <w:rsid w:val="006B4B96"/>
    <w:rsid w:val="006C0568"/>
    <w:rsid w:val="006C18C1"/>
    <w:rsid w:val="006D0747"/>
    <w:rsid w:val="006D709D"/>
    <w:rsid w:val="00701A8D"/>
    <w:rsid w:val="0070665B"/>
    <w:rsid w:val="007068DA"/>
    <w:rsid w:val="00730AE3"/>
    <w:rsid w:val="00736BC2"/>
    <w:rsid w:val="0075176E"/>
    <w:rsid w:val="0077035C"/>
    <w:rsid w:val="00772AB4"/>
    <w:rsid w:val="00774910"/>
    <w:rsid w:val="00786D83"/>
    <w:rsid w:val="007A614E"/>
    <w:rsid w:val="007C7382"/>
    <w:rsid w:val="007E2742"/>
    <w:rsid w:val="007E60D7"/>
    <w:rsid w:val="007F2B5A"/>
    <w:rsid w:val="00802996"/>
    <w:rsid w:val="008056FF"/>
    <w:rsid w:val="00813720"/>
    <w:rsid w:val="00825A4D"/>
    <w:rsid w:val="008268F0"/>
    <w:rsid w:val="008344A0"/>
    <w:rsid w:val="00866CA2"/>
    <w:rsid w:val="00873C98"/>
    <w:rsid w:val="008741C5"/>
    <w:rsid w:val="008850E5"/>
    <w:rsid w:val="0089216B"/>
    <w:rsid w:val="00893E90"/>
    <w:rsid w:val="008956D2"/>
    <w:rsid w:val="008A64A4"/>
    <w:rsid w:val="008A7585"/>
    <w:rsid w:val="00900BD9"/>
    <w:rsid w:val="009262F7"/>
    <w:rsid w:val="00935E91"/>
    <w:rsid w:val="00936944"/>
    <w:rsid w:val="0094371E"/>
    <w:rsid w:val="009674CF"/>
    <w:rsid w:val="0097159A"/>
    <w:rsid w:val="009857D5"/>
    <w:rsid w:val="009974FB"/>
    <w:rsid w:val="009B4941"/>
    <w:rsid w:val="009B6E52"/>
    <w:rsid w:val="009E37C0"/>
    <w:rsid w:val="009F6E31"/>
    <w:rsid w:val="00A04BBD"/>
    <w:rsid w:val="00A12D72"/>
    <w:rsid w:val="00A3250C"/>
    <w:rsid w:val="00A3641F"/>
    <w:rsid w:val="00A6321B"/>
    <w:rsid w:val="00A77369"/>
    <w:rsid w:val="00A84AE7"/>
    <w:rsid w:val="00AA048A"/>
    <w:rsid w:val="00AB4237"/>
    <w:rsid w:val="00AC368D"/>
    <w:rsid w:val="00AE0742"/>
    <w:rsid w:val="00AE6BAF"/>
    <w:rsid w:val="00AE7032"/>
    <w:rsid w:val="00AF2EFE"/>
    <w:rsid w:val="00B03236"/>
    <w:rsid w:val="00B13AC7"/>
    <w:rsid w:val="00B22106"/>
    <w:rsid w:val="00B26B83"/>
    <w:rsid w:val="00B2787C"/>
    <w:rsid w:val="00B27F44"/>
    <w:rsid w:val="00B331B5"/>
    <w:rsid w:val="00B521A3"/>
    <w:rsid w:val="00B55D03"/>
    <w:rsid w:val="00B73C5E"/>
    <w:rsid w:val="00B84F41"/>
    <w:rsid w:val="00B8557D"/>
    <w:rsid w:val="00BC4589"/>
    <w:rsid w:val="00BD192F"/>
    <w:rsid w:val="00BD3F56"/>
    <w:rsid w:val="00BE094C"/>
    <w:rsid w:val="00BF1BCB"/>
    <w:rsid w:val="00BF4F3E"/>
    <w:rsid w:val="00C14D84"/>
    <w:rsid w:val="00C16917"/>
    <w:rsid w:val="00C35CB3"/>
    <w:rsid w:val="00C51C11"/>
    <w:rsid w:val="00C72472"/>
    <w:rsid w:val="00C779A8"/>
    <w:rsid w:val="00C77C4C"/>
    <w:rsid w:val="00C837B6"/>
    <w:rsid w:val="00C940A7"/>
    <w:rsid w:val="00CC1BD6"/>
    <w:rsid w:val="00CD7EDE"/>
    <w:rsid w:val="00CE04E4"/>
    <w:rsid w:val="00CF5520"/>
    <w:rsid w:val="00D05091"/>
    <w:rsid w:val="00D242BA"/>
    <w:rsid w:val="00D302B1"/>
    <w:rsid w:val="00D34FE2"/>
    <w:rsid w:val="00D42040"/>
    <w:rsid w:val="00D54F77"/>
    <w:rsid w:val="00D6359F"/>
    <w:rsid w:val="00D7037E"/>
    <w:rsid w:val="00D74DA5"/>
    <w:rsid w:val="00DA1FF0"/>
    <w:rsid w:val="00DA2EE3"/>
    <w:rsid w:val="00DA6F94"/>
    <w:rsid w:val="00DB3B44"/>
    <w:rsid w:val="00DB6C6B"/>
    <w:rsid w:val="00DD2C41"/>
    <w:rsid w:val="00DE1293"/>
    <w:rsid w:val="00DE625B"/>
    <w:rsid w:val="00E204C4"/>
    <w:rsid w:val="00E24575"/>
    <w:rsid w:val="00E45B07"/>
    <w:rsid w:val="00E71D01"/>
    <w:rsid w:val="00E75211"/>
    <w:rsid w:val="00E756E5"/>
    <w:rsid w:val="00E811EF"/>
    <w:rsid w:val="00E87ECF"/>
    <w:rsid w:val="00E95570"/>
    <w:rsid w:val="00EA7525"/>
    <w:rsid w:val="00EA7D33"/>
    <w:rsid w:val="00ED10BA"/>
    <w:rsid w:val="00EF1E89"/>
    <w:rsid w:val="00F00529"/>
    <w:rsid w:val="00F07F98"/>
    <w:rsid w:val="00F368C9"/>
    <w:rsid w:val="00F37746"/>
    <w:rsid w:val="00F50798"/>
    <w:rsid w:val="00F531A8"/>
    <w:rsid w:val="00F624AB"/>
    <w:rsid w:val="00F62A47"/>
    <w:rsid w:val="00F9374F"/>
    <w:rsid w:val="00FA2C25"/>
    <w:rsid w:val="00FC4BFE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43FAF6"/>
  <w15:docId w15:val="{B912745A-4B46-4B7D-ADFD-CB0CDA3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D34FE2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34FE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4C4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76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5D448B99B480CAE0E5C167743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9071-F918-453E-8D85-22607A3C3BE2}"/>
      </w:docPartPr>
      <w:docPartBody>
        <w:p w:rsidR="00E72DA6" w:rsidRDefault="00E25B9A">
          <w:r w:rsidRPr="0042480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9A"/>
    <w:rsid w:val="00E25B9A"/>
    <w:rsid w:val="00E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B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97F-2D3C-49E3-97F7-312E0936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>SCBD</dc:creator>
  <cp:keywords>Anglophone African Training Course on Risk Assessment of Living Modified Organisms, Pretoria South Africa, 8-12 April 2019, Convention on Biological Diversity, Cartagena Protocol on Biosafety</cp:keywords>
  <cp:lastModifiedBy>Orestes Plasencia</cp:lastModifiedBy>
  <cp:revision>3</cp:revision>
  <cp:lastPrinted>2019-03-25T14:10:00Z</cp:lastPrinted>
  <dcterms:created xsi:type="dcterms:W3CDTF">2019-03-28T18:17:00Z</dcterms:created>
  <dcterms:modified xsi:type="dcterms:W3CDTF">2019-03-28T18:18:00Z</dcterms:modified>
</cp:coreProperties>
</file>