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B58F5" w14:paraId="264EB6D3" w14:textId="77777777" w:rsidTr="008A1499">
        <w:trPr>
          <w:trHeight w:val="850"/>
        </w:trPr>
        <w:tc>
          <w:tcPr>
            <w:tcW w:w="975" w:type="dxa"/>
            <w:vAlign w:val="bottom"/>
          </w:tcPr>
          <w:p w14:paraId="07E93342" w14:textId="77777777" w:rsidR="008A1499" w:rsidRPr="000B58F5" w:rsidRDefault="008A1499" w:rsidP="008A1499">
            <w:pPr>
              <w:pStyle w:val="AASmallLogo"/>
            </w:pPr>
            <w:r w:rsidRPr="000B58F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B58F5">
              <w:t xml:space="preserve"> </w:t>
            </w:r>
          </w:p>
          <w:p w14:paraId="18601BAF" w14:textId="77777777" w:rsidR="008A1499" w:rsidRPr="000B58F5" w:rsidRDefault="008A1499" w:rsidP="008A1499">
            <w:pPr>
              <w:pStyle w:val="AASmallLogo"/>
            </w:pPr>
          </w:p>
        </w:tc>
        <w:tc>
          <w:tcPr>
            <w:tcW w:w="1434" w:type="dxa"/>
            <w:noWrap/>
            <w:vAlign w:val="bottom"/>
          </w:tcPr>
          <w:p w14:paraId="3A12BE99" w14:textId="77777777" w:rsidR="008A1499" w:rsidRPr="000B58F5" w:rsidRDefault="008A1499" w:rsidP="008A1499">
            <w:pPr>
              <w:pStyle w:val="AASmallLogo"/>
            </w:pPr>
            <w:r w:rsidRPr="000B58F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0B58F5">
              <w:t xml:space="preserve"> </w:t>
            </w:r>
          </w:p>
          <w:p w14:paraId="7C26CBFE" w14:textId="77777777" w:rsidR="008A1499" w:rsidRPr="000B58F5" w:rsidRDefault="008A1499" w:rsidP="008A1499">
            <w:pPr>
              <w:pStyle w:val="AASmallLogo"/>
            </w:pPr>
          </w:p>
        </w:tc>
        <w:tc>
          <w:tcPr>
            <w:tcW w:w="8073" w:type="dxa"/>
            <w:vAlign w:val="bottom"/>
          </w:tcPr>
          <w:p w14:paraId="776CDC5C" w14:textId="540B1510" w:rsidR="008A1499" w:rsidRPr="000B58F5" w:rsidRDefault="008A1499" w:rsidP="003F1A75">
            <w:pPr>
              <w:pStyle w:val="ABSymbol"/>
            </w:pPr>
            <w:r w:rsidRPr="000B58F5">
              <w:rPr>
                <w:sz w:val="40"/>
              </w:rPr>
              <w:t>CBD</w:t>
            </w:r>
            <w:r w:rsidRPr="000B58F5">
              <w:t>/</w:t>
            </w:r>
            <w:r w:rsidR="00240EE6" w:rsidRPr="000B58F5">
              <w:t>COP</w:t>
            </w:r>
            <w:r w:rsidRPr="000B58F5">
              <w:t>/</w:t>
            </w:r>
            <w:r w:rsidR="00240EE6" w:rsidRPr="000B58F5">
              <w:t>17/</w:t>
            </w:r>
            <w:r w:rsidR="00F478BC" w:rsidRPr="000B58F5">
              <w:t>INF/8</w:t>
            </w:r>
          </w:p>
        </w:tc>
      </w:tr>
    </w:tbl>
    <w:p w14:paraId="34C88ACE" w14:textId="77777777" w:rsidR="008A1499" w:rsidRPr="000B58F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B58F5" w14:paraId="47BA8009" w14:textId="77777777" w:rsidTr="008A1499">
        <w:trPr>
          <w:trHeight w:val="1814"/>
        </w:trPr>
        <w:tc>
          <w:tcPr>
            <w:tcW w:w="7370" w:type="dxa"/>
          </w:tcPr>
          <w:p w14:paraId="0C81C5A0" w14:textId="77777777" w:rsidR="008A1499" w:rsidRPr="000B58F5" w:rsidRDefault="008A1499" w:rsidP="008A1499">
            <w:pPr>
              <w:pStyle w:val="ACLargeLogo"/>
            </w:pPr>
            <w:r w:rsidRPr="000B58F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0B58F5">
              <w:t xml:space="preserve"> </w:t>
            </w:r>
          </w:p>
          <w:p w14:paraId="698734DC" w14:textId="77777777" w:rsidR="008A1499" w:rsidRPr="000B58F5" w:rsidRDefault="008A1499" w:rsidP="008A1499">
            <w:pPr>
              <w:pStyle w:val="ACLargeLogo"/>
            </w:pPr>
          </w:p>
        </w:tc>
        <w:tc>
          <w:tcPr>
            <w:tcW w:w="3112" w:type="dxa"/>
          </w:tcPr>
          <w:p w14:paraId="0303BC6F" w14:textId="77777777" w:rsidR="008A1499" w:rsidRPr="000B58F5" w:rsidRDefault="008A1499" w:rsidP="008A1499">
            <w:pPr>
              <w:pStyle w:val="AEDistrNormal"/>
            </w:pPr>
            <w:r w:rsidRPr="000B58F5">
              <w:t xml:space="preserve">Distr.: General </w:t>
            </w:r>
          </w:p>
          <w:p w14:paraId="4160A000" w14:textId="4833EC7D" w:rsidR="008A1499" w:rsidRPr="000B58F5" w:rsidRDefault="00F478BC" w:rsidP="008A1499">
            <w:pPr>
              <w:pStyle w:val="AEDistrNormal"/>
            </w:pPr>
            <w:r w:rsidRPr="000B58F5">
              <w:t>7 September 2026</w:t>
            </w:r>
          </w:p>
          <w:p w14:paraId="32E70A40" w14:textId="0B0463E9" w:rsidR="008A1499" w:rsidRPr="000B58F5" w:rsidRDefault="008A1499" w:rsidP="008A1499">
            <w:pPr>
              <w:pStyle w:val="AEDistrNormal6pt"/>
            </w:pPr>
            <w:r w:rsidRPr="000B58F5">
              <w:t xml:space="preserve">English </w:t>
            </w:r>
            <w:r w:rsidR="00F478BC" w:rsidRPr="000B58F5">
              <w:t>only</w:t>
            </w:r>
          </w:p>
          <w:p w14:paraId="64811975" w14:textId="77777777" w:rsidR="008A1499" w:rsidRPr="000B58F5" w:rsidRDefault="008A1499" w:rsidP="008A1499">
            <w:pPr>
              <w:pStyle w:val="AEDistrNormal6pt"/>
            </w:pPr>
          </w:p>
        </w:tc>
      </w:tr>
    </w:tbl>
    <w:p w14:paraId="58CEADA3" w14:textId="77777777" w:rsidR="008A1499" w:rsidRPr="000B58F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B58F5" w14:paraId="0EB51331" w14:textId="77777777" w:rsidTr="00DA7828">
        <w:trPr>
          <w:trHeight w:val="1026"/>
        </w:trPr>
        <w:tc>
          <w:tcPr>
            <w:tcW w:w="6094" w:type="dxa"/>
          </w:tcPr>
          <w:p w14:paraId="0BE8344A" w14:textId="77777777" w:rsidR="008A1499" w:rsidRPr="000B58F5" w:rsidRDefault="00240EE6" w:rsidP="008A1499">
            <w:pPr>
              <w:pStyle w:val="AFCorN12Bold"/>
            </w:pPr>
            <w:r w:rsidRPr="000B58F5">
              <w:t xml:space="preserve">Conference of the Parties to the </w:t>
            </w:r>
            <w:r w:rsidR="006E7BE2" w:rsidRPr="000B58F5">
              <w:br/>
            </w:r>
            <w:r w:rsidRPr="000B58F5">
              <w:t>Convention on Biological Diversity</w:t>
            </w:r>
            <w:r w:rsidR="008A1499" w:rsidRPr="000B58F5">
              <w:t xml:space="preserve"> </w:t>
            </w:r>
          </w:p>
          <w:p w14:paraId="662AA7D6" w14:textId="77777777" w:rsidR="008A1499" w:rsidRPr="000B58F5" w:rsidRDefault="00240EE6" w:rsidP="008A1499">
            <w:pPr>
              <w:pStyle w:val="AFCorNBold"/>
            </w:pPr>
            <w:r w:rsidRPr="000B58F5">
              <w:t>Seventeen</w:t>
            </w:r>
            <w:r w:rsidR="008A1499" w:rsidRPr="000B58F5">
              <w:t xml:space="preserve">th meeting </w:t>
            </w:r>
          </w:p>
          <w:p w14:paraId="0D75BC59" w14:textId="77777777" w:rsidR="008A1499" w:rsidRPr="000B58F5" w:rsidRDefault="00240EE6" w:rsidP="008A1499">
            <w:pPr>
              <w:pStyle w:val="AFCorNNormal"/>
            </w:pPr>
            <w:r w:rsidRPr="000B58F5">
              <w:t>Yerevan</w:t>
            </w:r>
            <w:r w:rsidR="008A1499" w:rsidRPr="000B58F5">
              <w:t xml:space="preserve">, </w:t>
            </w:r>
            <w:r w:rsidRPr="000B58F5">
              <w:rPr>
                <w:snapToGrid w:val="0"/>
                <w:kern w:val="22"/>
              </w:rPr>
              <w:t>19</w:t>
            </w:r>
            <w:r w:rsidR="008A1499" w:rsidRPr="000B58F5">
              <w:rPr>
                <w:snapToGrid w:val="0"/>
                <w:kern w:val="22"/>
              </w:rPr>
              <w:t>–</w:t>
            </w:r>
            <w:r w:rsidRPr="000B58F5">
              <w:rPr>
                <w:snapToGrid w:val="0"/>
                <w:kern w:val="22"/>
              </w:rPr>
              <w:t>30</w:t>
            </w:r>
            <w:r w:rsidR="008A1499" w:rsidRPr="000B58F5">
              <w:rPr>
                <w:snapToGrid w:val="0"/>
                <w:kern w:val="22"/>
              </w:rPr>
              <w:t xml:space="preserve"> </w:t>
            </w:r>
            <w:r w:rsidRPr="000B58F5">
              <w:rPr>
                <w:snapToGrid w:val="0"/>
                <w:kern w:val="22"/>
              </w:rPr>
              <w:t>October 2026</w:t>
            </w:r>
          </w:p>
          <w:p w14:paraId="78C7629E" w14:textId="68F49B00" w:rsidR="008A1499" w:rsidRPr="000B58F5" w:rsidRDefault="008A1499" w:rsidP="008A1499">
            <w:pPr>
              <w:pStyle w:val="AFCorNNormal"/>
            </w:pPr>
            <w:r w:rsidRPr="000B58F5">
              <w:t xml:space="preserve">Item </w:t>
            </w:r>
            <w:r w:rsidR="00134BE8" w:rsidRPr="000B58F5">
              <w:t>18</w:t>
            </w:r>
            <w:r w:rsidR="000B58F5">
              <w:t> </w:t>
            </w:r>
            <w:r w:rsidR="00134BE8" w:rsidRPr="000B58F5">
              <w:t>(f)</w:t>
            </w:r>
            <w:r w:rsidRPr="000B58F5">
              <w:t xml:space="preserve"> of the provisional agenda</w:t>
            </w:r>
            <w:r w:rsidRPr="000B58F5">
              <w:rPr>
                <w:rStyle w:val="FootnoteReference"/>
              </w:rPr>
              <w:footnoteReference w:customMarkFollows="1" w:id="1"/>
              <w:t>*</w:t>
            </w:r>
            <w:r w:rsidRPr="000B58F5">
              <w:t xml:space="preserve"> </w:t>
            </w:r>
          </w:p>
          <w:p w14:paraId="141F41C2" w14:textId="427995B8" w:rsidR="008A1499" w:rsidRPr="000B58F5" w:rsidRDefault="000F10FC" w:rsidP="008A1499">
            <w:pPr>
              <w:pStyle w:val="AFCorNBold"/>
            </w:pPr>
            <w:r w:rsidRPr="000B58F5">
              <w:t xml:space="preserve">Biodiversity and </w:t>
            </w:r>
            <w:r w:rsidR="000B58F5">
              <w:t>h</w:t>
            </w:r>
            <w:r w:rsidRPr="000B58F5">
              <w:t>ealth</w:t>
            </w:r>
            <w:r w:rsidR="008A1499" w:rsidRPr="000B58F5">
              <w:t xml:space="preserve">  </w:t>
            </w:r>
          </w:p>
        </w:tc>
        <w:tc>
          <w:tcPr>
            <w:tcW w:w="4388" w:type="dxa"/>
          </w:tcPr>
          <w:p w14:paraId="0E2A7AC8" w14:textId="77777777" w:rsidR="008A1499" w:rsidRPr="000B58F5" w:rsidRDefault="008A1499" w:rsidP="008A1499">
            <w:pPr>
              <w:pStyle w:val="CBDNormal"/>
              <w:jc w:val="left"/>
            </w:pPr>
          </w:p>
        </w:tc>
      </w:tr>
    </w:tbl>
    <w:p w14:paraId="268C15AC" w14:textId="61B02CAA" w:rsidR="00E05143" w:rsidRPr="00A408B1" w:rsidRDefault="007F35CE" w:rsidP="00A408B1">
      <w:pPr>
        <w:pStyle w:val="CBDTitle"/>
        <w:rPr>
          <w:b w:val="0"/>
        </w:rPr>
      </w:pPr>
      <w:sdt>
        <w:sdtPr>
          <w:alias w:val="Title"/>
          <w:tag w:val=""/>
          <w:id w:val="-1694757962"/>
          <w:placeholder>
            <w:docPart w:val="5DAA8EA3CD114252BAC36BA82FC47B01"/>
          </w:placeholder>
          <w:dataBinding w:prefixMappings="xmlns:ns0='http://purl.org/dc/elements/1.1/' xmlns:ns1='http://schemas.openxmlformats.org/package/2006/metadata/core-properties' " w:xpath="/ns1:coreProperties[1]/ns0:title[1]" w:storeItemID="{6C3C8BC8-F283-45AE-878A-BAB7291924A1}"/>
          <w:text/>
        </w:sdtPr>
        <w:sdtEndPr/>
        <w:sdtContent>
          <w:r w:rsidR="0034166B" w:rsidRPr="00BD7E02">
            <w:t>Framework and methodology for indicators on biodiversity and health</w:t>
          </w:r>
        </w:sdtContent>
      </w:sdt>
      <w:r w:rsidR="007B0BFE">
        <w:rPr>
          <w:rStyle w:val="FootnoteReference"/>
        </w:rPr>
        <w:footnoteReference w:customMarkFollows="1" w:id="2"/>
        <w:t>**</w:t>
      </w:r>
    </w:p>
    <w:p w14:paraId="672821C7" w14:textId="79B96D2C" w:rsidR="00E05143" w:rsidRPr="00A408B1" w:rsidRDefault="00E05143" w:rsidP="00A408B1">
      <w:pPr>
        <w:pStyle w:val="CBDH1"/>
        <w:rPr>
          <w:b w:val="0"/>
        </w:rPr>
      </w:pPr>
      <w:r w:rsidRPr="00A408B1">
        <w:t>I.</w:t>
      </w:r>
      <w:r w:rsidRPr="000B58F5">
        <w:tab/>
      </w:r>
      <w:r w:rsidRPr="00A408B1">
        <w:t>Introduction</w:t>
      </w:r>
    </w:p>
    <w:p w14:paraId="09A4B546" w14:textId="20446718" w:rsidR="00E05143" w:rsidRPr="000B58F5" w:rsidRDefault="00E05143" w:rsidP="00A408B1">
      <w:pPr>
        <w:pStyle w:val="CBDNormalNumber"/>
      </w:pPr>
      <w:r w:rsidRPr="000B58F5">
        <w:t>Th</w:t>
      </w:r>
      <w:r w:rsidR="001B4BE5">
        <w:t>e</w:t>
      </w:r>
      <w:r w:rsidRPr="000B58F5">
        <w:t xml:space="preserve"> </w:t>
      </w:r>
      <w:r w:rsidR="001B4BE5">
        <w:t xml:space="preserve">present </w:t>
      </w:r>
      <w:r w:rsidR="00A8572E" w:rsidRPr="000B58F5">
        <w:t>document</w:t>
      </w:r>
      <w:r w:rsidRPr="000B58F5">
        <w:t xml:space="preserve"> </w:t>
      </w:r>
      <w:r w:rsidR="001B4BE5">
        <w:t>contains</w:t>
      </w:r>
      <w:r w:rsidR="001B4BE5" w:rsidRPr="000B58F5">
        <w:t xml:space="preserve"> </w:t>
      </w:r>
      <w:r w:rsidRPr="000B58F5">
        <w:t xml:space="preserve">a detailed description of </w:t>
      </w:r>
      <w:r w:rsidR="00F63C73" w:rsidRPr="000B58F5">
        <w:t xml:space="preserve">a </w:t>
      </w:r>
      <w:r w:rsidRPr="000B58F5">
        <w:t xml:space="preserve">set of qualitative indicators designed to assess the extent to which biodiversity and health interlinkages are incorporated into national policies, strategies, and planning processes. </w:t>
      </w:r>
    </w:p>
    <w:p w14:paraId="0ECAFA13" w14:textId="0EC7771C" w:rsidR="00E05143" w:rsidRPr="00A408B1" w:rsidRDefault="006D5058" w:rsidP="00A408B1">
      <w:pPr>
        <w:pStyle w:val="CBDNormalNumber"/>
        <w:rPr>
          <w:rFonts w:eastAsia="Times New Roman"/>
          <w:color w:val="242424"/>
        </w:rPr>
      </w:pPr>
      <w:r w:rsidRPr="00A408B1">
        <w:rPr>
          <w:rFonts w:eastAsia="Times New Roman"/>
          <w:color w:val="242424"/>
        </w:rPr>
        <w:t xml:space="preserve">A total of </w:t>
      </w:r>
      <w:r w:rsidR="00995CD4">
        <w:rPr>
          <w:rFonts w:eastAsia="Times New Roman"/>
          <w:color w:val="242424"/>
        </w:rPr>
        <w:t>17</w:t>
      </w:r>
      <w:r w:rsidR="001E696F" w:rsidRPr="000B58F5">
        <w:rPr>
          <w:rStyle w:val="FootnoteReference"/>
          <w:rFonts w:eastAsia="Times New Roman"/>
          <w:color w:val="242424"/>
        </w:rPr>
        <w:footnoteReference w:id="3"/>
      </w:r>
      <w:r w:rsidR="00E05143" w:rsidRPr="00A408B1">
        <w:rPr>
          <w:rFonts w:eastAsia="Times New Roman"/>
          <w:color w:val="242424"/>
        </w:rPr>
        <w:t xml:space="preserve"> qualitative indicators </w:t>
      </w:r>
      <w:r w:rsidR="00C05F40" w:rsidRPr="00A408B1">
        <w:rPr>
          <w:rFonts w:eastAsia="Times New Roman"/>
          <w:color w:val="242424"/>
        </w:rPr>
        <w:t xml:space="preserve">with predefined response options </w:t>
      </w:r>
      <w:r w:rsidR="00E05143" w:rsidRPr="00A408B1">
        <w:rPr>
          <w:rFonts w:eastAsia="Times New Roman"/>
          <w:color w:val="242424"/>
        </w:rPr>
        <w:t xml:space="preserve">were developed to measure the extent to which Parties have mainstreamed biodiversity and health interlinkages at the national level. </w:t>
      </w:r>
      <w:r w:rsidR="009566F4" w:rsidRPr="00A408B1">
        <w:rPr>
          <w:rFonts w:eastAsia="Times New Roman"/>
          <w:color w:val="242424"/>
        </w:rPr>
        <w:t xml:space="preserve">Out of these, 3 </w:t>
      </w:r>
      <w:r w:rsidR="00C771B4" w:rsidRPr="00A408B1">
        <w:rPr>
          <w:rFonts w:eastAsia="Times New Roman"/>
          <w:color w:val="242424"/>
        </w:rPr>
        <w:t>(I, II and III)</w:t>
      </w:r>
      <w:r w:rsidR="00A8572E" w:rsidRPr="00A408B1">
        <w:rPr>
          <w:rFonts w:eastAsia="Times New Roman"/>
          <w:color w:val="242424"/>
        </w:rPr>
        <w:t xml:space="preserve"> </w:t>
      </w:r>
      <w:r w:rsidR="00E05143" w:rsidRPr="00A408B1">
        <w:rPr>
          <w:rFonts w:eastAsia="Times New Roman"/>
          <w:color w:val="242424"/>
        </w:rPr>
        <w:t xml:space="preserve">are core indicators, and </w:t>
      </w:r>
      <w:r w:rsidR="001069D8" w:rsidRPr="00A408B1">
        <w:rPr>
          <w:rFonts w:eastAsia="Times New Roman"/>
          <w:color w:val="242424"/>
        </w:rPr>
        <w:t xml:space="preserve">14 </w:t>
      </w:r>
      <w:r w:rsidR="00364CE7" w:rsidRPr="00A408B1">
        <w:rPr>
          <w:rFonts w:eastAsia="Times New Roman"/>
          <w:color w:val="242424"/>
        </w:rPr>
        <w:t>(IV to XVII)</w:t>
      </w:r>
      <w:r w:rsidR="00A8572E" w:rsidRPr="00A408B1">
        <w:rPr>
          <w:rFonts w:eastAsia="Times New Roman"/>
          <w:color w:val="242424"/>
        </w:rPr>
        <w:t xml:space="preserve"> </w:t>
      </w:r>
      <w:r w:rsidR="00E05143" w:rsidRPr="00A408B1">
        <w:rPr>
          <w:rFonts w:eastAsia="Times New Roman"/>
          <w:color w:val="242424"/>
        </w:rPr>
        <w:t>are sector-specific indicators</w:t>
      </w:r>
      <w:r w:rsidR="00157CC9" w:rsidRPr="00A408B1">
        <w:rPr>
          <w:rFonts w:eastAsia="Times New Roman"/>
          <w:color w:val="242424"/>
        </w:rPr>
        <w:t xml:space="preserve">. </w:t>
      </w:r>
    </w:p>
    <w:p w14:paraId="7CE5E5E3" w14:textId="27FC869F" w:rsidR="00E05143" w:rsidRPr="000B58F5" w:rsidRDefault="00E05143" w:rsidP="00A408B1">
      <w:pPr>
        <w:pStyle w:val="CBDNormalNumber"/>
        <w:rPr>
          <w:rFonts w:eastAsia="Times New Roman"/>
          <w:color w:val="242424"/>
        </w:rPr>
      </w:pPr>
      <w:r w:rsidRPr="000B58F5">
        <w:rPr>
          <w:rFonts w:eastAsia="Times New Roman"/>
          <w:color w:val="242424"/>
          <w:lang w:eastAsia="ja-JP"/>
        </w:rPr>
        <w:t xml:space="preserve">These indicators can be used </w:t>
      </w:r>
      <w:r w:rsidR="001D3967" w:rsidRPr="000B58F5">
        <w:rPr>
          <w:rFonts w:eastAsia="Times New Roman"/>
          <w:color w:val="242424"/>
          <w:lang w:eastAsia="ja-JP"/>
        </w:rPr>
        <w:t>in two ways</w:t>
      </w:r>
      <w:r w:rsidRPr="000B58F5">
        <w:rPr>
          <w:rFonts w:eastAsia="Times New Roman"/>
          <w:color w:val="242424"/>
          <w:lang w:eastAsia="ja-JP"/>
        </w:rPr>
        <w:t>.</w:t>
      </w:r>
      <w:r w:rsidR="00A8572E" w:rsidRPr="000B58F5">
        <w:rPr>
          <w:rFonts w:eastAsia="Times New Roman"/>
          <w:color w:val="242424"/>
          <w:lang w:eastAsia="ja-JP"/>
        </w:rPr>
        <w:t xml:space="preserve"> </w:t>
      </w:r>
      <w:r w:rsidRPr="000B58F5">
        <w:rPr>
          <w:rFonts w:eastAsia="Times New Roman"/>
          <w:color w:val="242424"/>
          <w:lang w:eastAsia="ja-JP"/>
        </w:rPr>
        <w:t xml:space="preserve">Separately, each indicator tracks progress for a specific </w:t>
      </w:r>
      <w:r w:rsidRPr="00A408B1">
        <w:t>thematic</w:t>
      </w:r>
      <w:r w:rsidRPr="000B58F5">
        <w:rPr>
          <w:rFonts w:eastAsia="Times New Roman"/>
          <w:color w:val="242424"/>
          <w:lang w:eastAsia="ja-JP"/>
        </w:rPr>
        <w:t xml:space="preserve"> area of the Global Action Plan on Biodiversity and Health (hereinafter the “GAP”). </w:t>
      </w:r>
    </w:p>
    <w:p w14:paraId="1AB12C61" w14:textId="3289B0BF" w:rsidR="00E05143" w:rsidRPr="000B58F5" w:rsidRDefault="00E05143" w:rsidP="00A408B1">
      <w:pPr>
        <w:pStyle w:val="CBDNormalNumber"/>
        <w:rPr>
          <w:rFonts w:eastAsia="Times New Roman"/>
          <w:color w:val="242424"/>
        </w:rPr>
      </w:pPr>
      <w:r w:rsidRPr="000B58F5">
        <w:rPr>
          <w:rFonts w:eastAsia="Times New Roman"/>
          <w:color w:val="242424"/>
          <w:lang w:eastAsia="ja-JP"/>
        </w:rPr>
        <w:t xml:space="preserve">Together, they can be averaged to form a national summary </w:t>
      </w:r>
      <w:r w:rsidR="00A8572E" w:rsidRPr="000B58F5">
        <w:rPr>
          <w:rFonts w:eastAsia="Times New Roman"/>
          <w:color w:val="242424"/>
          <w:lang w:eastAsia="ja-JP"/>
        </w:rPr>
        <w:t>providing an</w:t>
      </w:r>
      <w:r w:rsidRPr="000B58F5">
        <w:rPr>
          <w:rFonts w:eastAsia="Times New Roman"/>
          <w:color w:val="242424"/>
          <w:lang w:eastAsia="ja-JP"/>
        </w:rPr>
        <w:t xml:space="preserve"> overview of national progress towards </w:t>
      </w:r>
      <w:r w:rsidRPr="00A408B1">
        <w:t>the</w:t>
      </w:r>
      <w:r w:rsidRPr="000B58F5">
        <w:rPr>
          <w:rFonts w:eastAsia="Times New Roman"/>
          <w:color w:val="242424"/>
          <w:lang w:eastAsia="ja-JP"/>
        </w:rPr>
        <w:t xml:space="preserve"> mainstreaming of biodiversity and health interlinkages.</w:t>
      </w:r>
    </w:p>
    <w:p w14:paraId="1A0042E8" w14:textId="187F14D3" w:rsidR="00E05143" w:rsidRPr="000B58F5" w:rsidRDefault="00E05143" w:rsidP="00A408B1">
      <w:pPr>
        <w:pStyle w:val="CBDH1"/>
      </w:pPr>
      <w:r w:rsidRPr="000B58F5">
        <w:t>II.</w:t>
      </w:r>
      <w:r w:rsidRPr="000B58F5">
        <w:tab/>
        <w:t xml:space="preserve">Purpose and </w:t>
      </w:r>
      <w:r w:rsidR="00995CD4">
        <w:t>r</w:t>
      </w:r>
      <w:r w:rsidRPr="000B58F5">
        <w:t>ationale</w:t>
      </w:r>
    </w:p>
    <w:p w14:paraId="17138491" w14:textId="436D1431" w:rsidR="00E05143" w:rsidRPr="00A408B1" w:rsidRDefault="00E05143" w:rsidP="00A408B1">
      <w:pPr>
        <w:pStyle w:val="CBDNormalNumber"/>
        <w:rPr>
          <w:rFonts w:eastAsia="Times New Roman"/>
          <w:color w:val="242424"/>
          <w:lang w:eastAsia="ja-JP"/>
        </w:rPr>
      </w:pPr>
      <w:r w:rsidRPr="00A408B1">
        <w:rPr>
          <w:rFonts w:eastAsia="Times New Roman"/>
          <w:color w:val="242424"/>
        </w:rPr>
        <w:t xml:space="preserve">The indicators were developed to track, on a voluntary basis, national efforts to mainstream biodiversity and </w:t>
      </w:r>
      <w:r w:rsidRPr="00A408B1">
        <w:t>health</w:t>
      </w:r>
      <w:r w:rsidRPr="00A408B1">
        <w:rPr>
          <w:rFonts w:eastAsia="Times New Roman"/>
          <w:color w:val="242424"/>
        </w:rPr>
        <w:t xml:space="preserve"> interlinkages across policies, programs and practices with the view that the integration of biodiversity and health considerations is central to achieving the goals and targets of the Framework, in particular its</w:t>
      </w:r>
      <w:r w:rsidR="000044A8" w:rsidRPr="00A408B1">
        <w:rPr>
          <w:rFonts w:eastAsia="Times New Roman"/>
          <w:color w:val="242424"/>
        </w:rPr>
        <w:t xml:space="preserve"> </w:t>
      </w:r>
      <w:r w:rsidRPr="00A408B1">
        <w:rPr>
          <w:rFonts w:eastAsia="Times New Roman"/>
          <w:color w:val="242424"/>
        </w:rPr>
        <w:t xml:space="preserve">section C. </w:t>
      </w:r>
      <w:r w:rsidRPr="00A408B1">
        <w:rPr>
          <w:rFonts w:eastAsia="Times New Roman"/>
          <w:color w:val="242424"/>
          <w:lang w:eastAsia="ja-JP"/>
        </w:rPr>
        <w:t>Similarly, these indicators can provide information on the state of development of policy architecture to support the One Health approach</w:t>
      </w:r>
      <w:r w:rsidR="005360C6" w:rsidRPr="00A408B1">
        <w:rPr>
          <w:rFonts w:eastAsia="Times New Roman"/>
          <w:color w:val="242424"/>
          <w:lang w:eastAsia="ja-JP"/>
        </w:rPr>
        <w:t>.</w:t>
      </w:r>
      <w:r w:rsidRPr="00A408B1">
        <w:rPr>
          <w:rFonts w:eastAsia="Times New Roman"/>
          <w:color w:val="242424"/>
          <w:lang w:eastAsia="ja-JP"/>
        </w:rPr>
        <w:t xml:space="preserve"> </w:t>
      </w:r>
    </w:p>
    <w:p w14:paraId="62D170B0" w14:textId="5E4EA39D" w:rsidR="00E05143" w:rsidRPr="00A408B1" w:rsidRDefault="005360C6" w:rsidP="00A408B1">
      <w:pPr>
        <w:pStyle w:val="CBDNormalNumber"/>
        <w:rPr>
          <w:rFonts w:eastAsia="Times New Roman"/>
          <w:color w:val="242424"/>
        </w:rPr>
      </w:pPr>
      <w:r w:rsidRPr="00A408B1">
        <w:rPr>
          <w:rFonts w:eastAsia="Times New Roman"/>
          <w:color w:val="242424"/>
        </w:rPr>
        <w:t>T</w:t>
      </w:r>
      <w:r w:rsidR="00E05143" w:rsidRPr="00A408B1">
        <w:rPr>
          <w:rFonts w:eastAsia="Times New Roman"/>
          <w:color w:val="242424"/>
        </w:rPr>
        <w:t xml:space="preserve">he indicators </w:t>
      </w:r>
      <w:r w:rsidR="00B41D1D" w:rsidRPr="00A408B1">
        <w:rPr>
          <w:rFonts w:eastAsia="Times New Roman"/>
          <w:color w:val="242424"/>
        </w:rPr>
        <w:t>complement</w:t>
      </w:r>
      <w:r w:rsidR="00A8572E" w:rsidRPr="00A408B1">
        <w:rPr>
          <w:rFonts w:eastAsia="Times New Roman"/>
          <w:color w:val="242424"/>
        </w:rPr>
        <w:t>,</w:t>
      </w:r>
      <w:r w:rsidR="00B41D1D" w:rsidRPr="00A408B1">
        <w:rPr>
          <w:rFonts w:eastAsia="Times New Roman"/>
          <w:color w:val="242424"/>
        </w:rPr>
        <w:t xml:space="preserve"> rather than </w:t>
      </w:r>
      <w:r w:rsidR="00E05143" w:rsidRPr="00A408B1">
        <w:rPr>
          <w:rFonts w:eastAsia="Times New Roman"/>
          <w:color w:val="242424"/>
        </w:rPr>
        <w:t>replace</w:t>
      </w:r>
      <w:r w:rsidR="00A8572E" w:rsidRPr="00A408B1">
        <w:rPr>
          <w:rFonts w:eastAsia="Times New Roman"/>
          <w:color w:val="242424"/>
        </w:rPr>
        <w:t>,</w:t>
      </w:r>
      <w:r w:rsidR="00E05143" w:rsidRPr="00A408B1">
        <w:rPr>
          <w:rFonts w:eastAsia="Times New Roman"/>
          <w:color w:val="242424"/>
        </w:rPr>
        <w:t xml:space="preserve"> th</w:t>
      </w:r>
      <w:r w:rsidR="00A8572E" w:rsidRPr="00A408B1">
        <w:rPr>
          <w:rFonts w:eastAsia="Times New Roman"/>
          <w:color w:val="242424"/>
        </w:rPr>
        <w:t>ose of the</w:t>
      </w:r>
      <w:r w:rsidR="00E05143" w:rsidRPr="00A408B1">
        <w:rPr>
          <w:rFonts w:eastAsia="Times New Roman"/>
          <w:color w:val="242424"/>
        </w:rPr>
        <w:t xml:space="preserve"> </w:t>
      </w:r>
      <w:r w:rsidR="00FA1CC0" w:rsidRPr="00A408B1">
        <w:rPr>
          <w:rFonts w:eastAsia="Times New Roman"/>
          <w:color w:val="242424"/>
        </w:rPr>
        <w:t>m</w:t>
      </w:r>
      <w:r w:rsidR="00E05143" w:rsidRPr="00A408B1">
        <w:rPr>
          <w:rFonts w:eastAsia="Times New Roman"/>
          <w:color w:val="242424"/>
        </w:rPr>
        <w:t xml:space="preserve">onitoring </w:t>
      </w:r>
      <w:r w:rsidR="00FA1CC0" w:rsidRPr="00A408B1">
        <w:rPr>
          <w:rFonts w:eastAsia="Times New Roman"/>
          <w:color w:val="242424"/>
        </w:rPr>
        <w:t>f</w:t>
      </w:r>
      <w:r w:rsidR="00E05143" w:rsidRPr="00A408B1">
        <w:rPr>
          <w:rFonts w:eastAsia="Times New Roman"/>
          <w:color w:val="242424"/>
        </w:rPr>
        <w:t xml:space="preserve">ramework </w:t>
      </w:r>
      <w:r w:rsidR="00FA1CC0" w:rsidRPr="00A408B1">
        <w:rPr>
          <w:rFonts w:eastAsia="Times New Roman"/>
          <w:color w:val="242424"/>
        </w:rPr>
        <w:t xml:space="preserve">adopted in </w:t>
      </w:r>
      <w:r w:rsidR="003A1E9C" w:rsidRPr="00A408B1">
        <w:rPr>
          <w:rFonts w:eastAsia="Times New Roman"/>
          <w:color w:val="242424"/>
        </w:rPr>
        <w:t>decision 15/5</w:t>
      </w:r>
      <w:r w:rsidR="00E05143" w:rsidRPr="00A408B1">
        <w:rPr>
          <w:rFonts w:eastAsia="Times New Roman"/>
          <w:color w:val="242424"/>
        </w:rPr>
        <w:t xml:space="preserve">. </w:t>
      </w:r>
      <w:r w:rsidR="00E05143" w:rsidRPr="00A408B1">
        <w:t>Each</w:t>
      </w:r>
      <w:r w:rsidR="00E05143" w:rsidRPr="00A408B1">
        <w:rPr>
          <w:rFonts w:eastAsia="Times New Roman"/>
          <w:color w:val="242424"/>
        </w:rPr>
        <w:t xml:space="preserve"> indicator provides valuable, targeted information on progress within a particular domain, such as policy and national coordination, land-and-sea use, species management, or climate‑related health impacts, among others. However, these individual indicators alone cannot capture the full complexity or cross‑sectoral nature of biodiversity and health interlinkages.</w:t>
      </w:r>
    </w:p>
    <w:p w14:paraId="17DCEAC1" w14:textId="540D7866" w:rsidR="00E05143" w:rsidRPr="00A408B1" w:rsidRDefault="000362AA" w:rsidP="00A408B1">
      <w:pPr>
        <w:pStyle w:val="CBDNormalNumber"/>
        <w:rPr>
          <w:rFonts w:eastAsia="Times New Roman"/>
          <w:color w:val="242424"/>
        </w:rPr>
      </w:pPr>
      <w:r w:rsidRPr="00A408B1">
        <w:rPr>
          <w:rFonts w:eastAsia="Times New Roman"/>
          <w:color w:val="242424"/>
        </w:rPr>
        <w:t xml:space="preserve">Using multiple </w:t>
      </w:r>
      <w:r w:rsidR="00E05143" w:rsidRPr="00A408B1">
        <w:rPr>
          <w:rFonts w:eastAsia="Times New Roman"/>
          <w:color w:val="242424"/>
        </w:rPr>
        <w:t xml:space="preserve">indicators allows </w:t>
      </w:r>
      <w:r w:rsidR="00D75769" w:rsidRPr="00A408B1">
        <w:rPr>
          <w:rFonts w:eastAsia="Times New Roman"/>
          <w:color w:val="242424"/>
        </w:rPr>
        <w:t xml:space="preserve">for </w:t>
      </w:r>
      <w:r w:rsidR="00E05143" w:rsidRPr="00A408B1">
        <w:rPr>
          <w:rFonts w:eastAsia="Times New Roman"/>
          <w:color w:val="242424"/>
        </w:rPr>
        <w:t xml:space="preserve">the identification of contrasting trends across areas. The </w:t>
      </w:r>
      <w:r w:rsidR="00DF3945" w:rsidRPr="00A408B1">
        <w:rPr>
          <w:rFonts w:eastAsia="Times New Roman"/>
          <w:color w:val="242424"/>
        </w:rPr>
        <w:t xml:space="preserve">proposed </w:t>
      </w:r>
      <w:r w:rsidR="00E05143" w:rsidRPr="00A408B1">
        <w:rPr>
          <w:rFonts w:eastAsia="Times New Roman"/>
          <w:color w:val="242424"/>
        </w:rPr>
        <w:t xml:space="preserve">two-level </w:t>
      </w:r>
      <w:r w:rsidR="00E05143" w:rsidRPr="00A408B1">
        <w:t>structure</w:t>
      </w:r>
      <w:r w:rsidR="00E05143" w:rsidRPr="00A408B1">
        <w:rPr>
          <w:rFonts w:eastAsia="Times New Roman"/>
          <w:color w:val="242424"/>
        </w:rPr>
        <w:t xml:space="preserve"> combines multiple specific indicators with an aggregate, standardized scoring system</w:t>
      </w:r>
      <w:r w:rsidR="00C9643E" w:rsidRPr="00A408B1">
        <w:rPr>
          <w:rFonts w:eastAsia="Times New Roman"/>
          <w:color w:val="242424"/>
        </w:rPr>
        <w:t>.</w:t>
      </w:r>
      <w:r w:rsidR="00E05143" w:rsidRPr="00A408B1">
        <w:rPr>
          <w:rFonts w:eastAsia="Times New Roman"/>
          <w:color w:val="242424"/>
        </w:rPr>
        <w:t xml:space="preserve"> </w:t>
      </w:r>
      <w:r w:rsidR="00CE0F81" w:rsidRPr="00A408B1">
        <w:rPr>
          <w:rFonts w:eastAsia="Times New Roman"/>
          <w:color w:val="242424"/>
        </w:rPr>
        <w:t xml:space="preserve">This approach </w:t>
      </w:r>
      <w:r w:rsidR="00E05143" w:rsidRPr="00A408B1">
        <w:rPr>
          <w:rFonts w:eastAsia="Times New Roman"/>
          <w:color w:val="242424"/>
        </w:rPr>
        <w:t>provides several advantages.</w:t>
      </w:r>
    </w:p>
    <w:p w14:paraId="411D697B" w14:textId="401E0BCB" w:rsidR="00AE22C3" w:rsidRPr="00A408B1" w:rsidRDefault="00E05143" w:rsidP="00A408B1">
      <w:pPr>
        <w:pStyle w:val="CBDNormalNumber"/>
        <w:rPr>
          <w:rFonts w:eastAsia="Times New Roman"/>
          <w:color w:val="242424"/>
        </w:rPr>
      </w:pPr>
      <w:r w:rsidRPr="00A408B1">
        <w:rPr>
          <w:rFonts w:eastAsia="Times New Roman"/>
          <w:color w:val="242424"/>
        </w:rPr>
        <w:lastRenderedPageBreak/>
        <w:t xml:space="preserve">First, individual indicators </w:t>
      </w:r>
      <w:r w:rsidR="001677C7" w:rsidRPr="00A408B1">
        <w:rPr>
          <w:rFonts w:eastAsia="Times New Roman"/>
          <w:color w:val="242424"/>
        </w:rPr>
        <w:t>provide</w:t>
      </w:r>
      <w:r w:rsidRPr="00A408B1">
        <w:rPr>
          <w:rFonts w:eastAsia="Times New Roman"/>
          <w:color w:val="242424"/>
        </w:rPr>
        <w:t xml:space="preserve"> granular, domain‑specific insights</w:t>
      </w:r>
      <w:r w:rsidR="00200796" w:rsidRPr="00A408B1">
        <w:rPr>
          <w:rFonts w:eastAsia="Times New Roman"/>
          <w:color w:val="242424"/>
        </w:rPr>
        <w:t xml:space="preserve">, </w:t>
      </w:r>
      <w:r w:rsidR="008B5CB2" w:rsidRPr="00A408B1">
        <w:rPr>
          <w:rFonts w:eastAsia="Times New Roman"/>
          <w:color w:val="242424"/>
        </w:rPr>
        <w:t>enabling countries</w:t>
      </w:r>
      <w:r w:rsidRPr="00A408B1">
        <w:rPr>
          <w:rFonts w:eastAsia="Times New Roman"/>
          <w:color w:val="242424"/>
        </w:rPr>
        <w:t xml:space="preserve"> </w:t>
      </w:r>
      <w:r w:rsidR="00200796" w:rsidRPr="00A408B1">
        <w:rPr>
          <w:rFonts w:eastAsia="Times New Roman"/>
          <w:color w:val="242424"/>
        </w:rPr>
        <w:t xml:space="preserve">to </w:t>
      </w:r>
      <w:r w:rsidRPr="00A408B1">
        <w:rPr>
          <w:rFonts w:eastAsia="Times New Roman"/>
          <w:color w:val="242424"/>
        </w:rPr>
        <w:t xml:space="preserve">identify progress and gaps within </w:t>
      </w:r>
      <w:proofErr w:type="gramStart"/>
      <w:r w:rsidRPr="00A408B1">
        <w:rPr>
          <w:rFonts w:eastAsia="Times New Roman"/>
          <w:color w:val="242424"/>
        </w:rPr>
        <w:t>particular sectors</w:t>
      </w:r>
      <w:proofErr w:type="gramEnd"/>
      <w:r w:rsidRPr="00A408B1">
        <w:rPr>
          <w:rFonts w:eastAsia="Times New Roman"/>
          <w:color w:val="242424"/>
        </w:rPr>
        <w:t xml:space="preserve"> or thematic areas</w:t>
      </w:r>
      <w:r w:rsidR="00BE7062" w:rsidRPr="00A408B1">
        <w:rPr>
          <w:rFonts w:eastAsia="Times New Roman"/>
          <w:color w:val="242424"/>
        </w:rPr>
        <w:t xml:space="preserve"> (e.g</w:t>
      </w:r>
      <w:r w:rsidR="00C51153">
        <w:rPr>
          <w:rFonts w:eastAsia="Times New Roman"/>
          <w:color w:val="242424"/>
        </w:rPr>
        <w:t>.</w:t>
      </w:r>
      <w:r w:rsidR="00BE7062" w:rsidRPr="00A408B1">
        <w:rPr>
          <w:rFonts w:eastAsia="Times New Roman"/>
          <w:color w:val="242424"/>
        </w:rPr>
        <w:t xml:space="preserve"> disease surveillance, ecosystem integrity, or pollution exposure)</w:t>
      </w:r>
      <w:r w:rsidR="004B3C2E" w:rsidRPr="00A408B1">
        <w:rPr>
          <w:rFonts w:eastAsia="Times New Roman"/>
          <w:color w:val="242424"/>
        </w:rPr>
        <w:t>,</w:t>
      </w:r>
      <w:r w:rsidR="003B36BE" w:rsidRPr="00A408B1">
        <w:rPr>
          <w:rFonts w:eastAsia="Times New Roman"/>
          <w:color w:val="242424"/>
        </w:rPr>
        <w:t xml:space="preserve"> </w:t>
      </w:r>
      <w:r w:rsidR="005132FA" w:rsidRPr="00A408B1">
        <w:rPr>
          <w:rFonts w:eastAsia="Times New Roman"/>
          <w:color w:val="242424"/>
        </w:rPr>
        <w:t xml:space="preserve">useful for technical experts and to </w:t>
      </w:r>
      <w:r w:rsidRPr="00A408B1">
        <w:rPr>
          <w:rFonts w:eastAsia="Times New Roman"/>
          <w:color w:val="242424"/>
        </w:rPr>
        <w:t>support targeted interventions</w:t>
      </w:r>
      <w:r w:rsidR="005132FA" w:rsidRPr="00A408B1">
        <w:rPr>
          <w:rFonts w:eastAsia="Times New Roman"/>
          <w:color w:val="242424"/>
        </w:rPr>
        <w:t xml:space="preserve">. </w:t>
      </w:r>
      <w:r w:rsidR="00D84A2F" w:rsidRPr="00A408B1">
        <w:rPr>
          <w:rFonts w:eastAsia="Times New Roman"/>
          <w:color w:val="242424"/>
        </w:rPr>
        <w:t xml:space="preserve">The </w:t>
      </w:r>
      <w:r w:rsidR="00D84A2F" w:rsidRPr="00A408B1">
        <w:t>summary</w:t>
      </w:r>
      <w:r w:rsidR="00D84A2F" w:rsidRPr="00A408B1">
        <w:rPr>
          <w:rFonts w:eastAsia="Times New Roman"/>
          <w:color w:val="242424"/>
        </w:rPr>
        <w:t xml:space="preserve"> score</w:t>
      </w:r>
      <w:r w:rsidR="00D37786" w:rsidRPr="00A408B1">
        <w:rPr>
          <w:rFonts w:eastAsia="Times New Roman"/>
          <w:color w:val="242424"/>
        </w:rPr>
        <w:t xml:space="preserve">, in turn, </w:t>
      </w:r>
      <w:r w:rsidR="00AE22C3" w:rsidRPr="00A408B1">
        <w:rPr>
          <w:rFonts w:eastAsia="Times New Roman"/>
          <w:color w:val="242424"/>
        </w:rPr>
        <w:t>synthesizes information from multiple domains, enabling Parties to assess overall progress in a way that reflects the integrated, cross‑cutting nature of biodiversity and health</w:t>
      </w:r>
      <w:r w:rsidR="0041312F" w:rsidRPr="00A408B1">
        <w:rPr>
          <w:rFonts w:eastAsia="Times New Roman"/>
          <w:color w:val="242424"/>
        </w:rPr>
        <w:t xml:space="preserve"> interlinkages</w:t>
      </w:r>
      <w:r w:rsidR="00AE22C3" w:rsidRPr="00A408B1">
        <w:rPr>
          <w:rFonts w:eastAsia="Times New Roman"/>
          <w:color w:val="242424"/>
        </w:rPr>
        <w:t xml:space="preserve">. </w:t>
      </w:r>
      <w:r w:rsidR="0041312F" w:rsidRPr="00A408B1">
        <w:rPr>
          <w:rFonts w:eastAsia="Times New Roman"/>
          <w:color w:val="242424"/>
        </w:rPr>
        <w:t xml:space="preserve">It also provides </w:t>
      </w:r>
      <w:r w:rsidR="005132FA" w:rsidRPr="00A408B1">
        <w:rPr>
          <w:rFonts w:eastAsia="Times New Roman"/>
          <w:color w:val="242424"/>
        </w:rPr>
        <w:t xml:space="preserve">policymakers </w:t>
      </w:r>
      <w:r w:rsidR="0041312F" w:rsidRPr="00A408B1">
        <w:rPr>
          <w:rFonts w:eastAsia="Times New Roman"/>
          <w:color w:val="242424"/>
        </w:rPr>
        <w:t>with</w:t>
      </w:r>
      <w:r w:rsidR="005132FA" w:rsidRPr="00A408B1">
        <w:rPr>
          <w:rFonts w:eastAsia="Times New Roman"/>
          <w:color w:val="242424"/>
        </w:rPr>
        <w:t xml:space="preserve"> a clear, high‑level measure of national mainstreaming progress that can inform strategic planning, resource allocation, and cross‑sectoral coordination.</w:t>
      </w:r>
    </w:p>
    <w:p w14:paraId="12065720" w14:textId="77777777" w:rsidR="00E05143" w:rsidRPr="00A408B1" w:rsidRDefault="00E05143" w:rsidP="00A408B1">
      <w:pPr>
        <w:pStyle w:val="CBDNormalNumber"/>
        <w:rPr>
          <w:rFonts w:eastAsia="Times New Roman"/>
          <w:color w:val="242424"/>
        </w:rPr>
      </w:pPr>
      <w:r w:rsidRPr="00A408B1">
        <w:rPr>
          <w:rFonts w:eastAsia="Times New Roman"/>
          <w:color w:val="242424"/>
        </w:rPr>
        <w:t xml:space="preserve">Second, the use of a standardized scoring system enhances comparability and consistency across Parties. While individual indicators may vary in data availability, methodological complexity, or sectoral relevance, </w:t>
      </w:r>
      <w:r w:rsidRPr="00A408B1">
        <w:t>the</w:t>
      </w:r>
      <w:r w:rsidRPr="00A408B1">
        <w:rPr>
          <w:rFonts w:eastAsia="Times New Roman"/>
          <w:color w:val="242424"/>
        </w:rPr>
        <w:t xml:space="preserve"> aggregated score provides a uniform metric that can be applied across diverse national contexts. This supports equitable reporting and facilitates global assessments. </w:t>
      </w:r>
    </w:p>
    <w:p w14:paraId="18492AF6" w14:textId="5374CAD2" w:rsidR="00E05143" w:rsidRPr="00A408B1" w:rsidRDefault="00E05143" w:rsidP="00A408B1">
      <w:pPr>
        <w:pStyle w:val="CBDNormalNumber"/>
        <w:rPr>
          <w:rFonts w:eastAsia="Times New Roman"/>
          <w:color w:val="242424"/>
        </w:rPr>
      </w:pPr>
      <w:r w:rsidRPr="00A408B1">
        <w:rPr>
          <w:rFonts w:eastAsia="Times New Roman"/>
          <w:color w:val="242424"/>
        </w:rPr>
        <w:t xml:space="preserve">Third, this combined approach helps reduce the reporting </w:t>
      </w:r>
      <w:r w:rsidR="00490311" w:rsidRPr="00A408B1">
        <w:rPr>
          <w:rFonts w:eastAsia="Times New Roman"/>
          <w:color w:val="242424"/>
        </w:rPr>
        <w:t>burden by</w:t>
      </w:r>
      <w:r w:rsidR="00220EDA" w:rsidRPr="00A408B1">
        <w:rPr>
          <w:rFonts w:eastAsia="Times New Roman"/>
          <w:color w:val="242424"/>
        </w:rPr>
        <w:t xml:space="preserve"> allowing Parties</w:t>
      </w:r>
      <w:r w:rsidR="00365B8A" w:rsidRPr="00A408B1">
        <w:rPr>
          <w:rFonts w:eastAsia="Times New Roman"/>
          <w:color w:val="242424"/>
        </w:rPr>
        <w:t xml:space="preserve"> to report on individual indicators </w:t>
      </w:r>
      <w:r w:rsidRPr="00A408B1">
        <w:rPr>
          <w:rFonts w:eastAsia="Times New Roman"/>
          <w:color w:val="242424"/>
        </w:rPr>
        <w:t>according to their capacities and data availability,</w:t>
      </w:r>
      <w:r w:rsidR="00365B8A" w:rsidRPr="00A408B1">
        <w:rPr>
          <w:rFonts w:eastAsia="Times New Roman"/>
          <w:color w:val="242424"/>
        </w:rPr>
        <w:t xml:space="preserve"> </w:t>
      </w:r>
      <w:r w:rsidRPr="00A408B1">
        <w:rPr>
          <w:rFonts w:eastAsia="Times New Roman"/>
          <w:color w:val="242424"/>
        </w:rPr>
        <w:t xml:space="preserve">while the aggregation mechanism </w:t>
      </w:r>
      <w:r w:rsidR="00AF61C2" w:rsidRPr="00A408B1">
        <w:rPr>
          <w:rFonts w:eastAsia="Times New Roman"/>
          <w:color w:val="242424"/>
        </w:rPr>
        <w:t xml:space="preserve">enables </w:t>
      </w:r>
      <w:r w:rsidR="00AF61C2" w:rsidRPr="00A408B1">
        <w:t>available</w:t>
      </w:r>
      <w:r w:rsidRPr="00A408B1">
        <w:rPr>
          <w:rFonts w:eastAsia="Times New Roman"/>
          <w:color w:val="242424"/>
        </w:rPr>
        <w:t xml:space="preserve"> information </w:t>
      </w:r>
      <w:r w:rsidR="00AF61C2" w:rsidRPr="00A408B1">
        <w:rPr>
          <w:rFonts w:eastAsia="Times New Roman"/>
          <w:color w:val="242424"/>
        </w:rPr>
        <w:t xml:space="preserve">to </w:t>
      </w:r>
      <w:r w:rsidRPr="00A408B1">
        <w:rPr>
          <w:rFonts w:eastAsia="Times New Roman"/>
          <w:color w:val="242424"/>
        </w:rPr>
        <w:t xml:space="preserve">contribute to </w:t>
      </w:r>
      <w:r w:rsidR="00A31259" w:rsidRPr="00A408B1">
        <w:rPr>
          <w:rFonts w:eastAsia="Times New Roman"/>
          <w:color w:val="242424"/>
        </w:rPr>
        <w:t>an</w:t>
      </w:r>
      <w:r w:rsidRPr="00A408B1">
        <w:rPr>
          <w:rFonts w:eastAsia="Times New Roman"/>
          <w:color w:val="242424"/>
        </w:rPr>
        <w:t xml:space="preserve"> overall assessment. This flexibility is particularly important for Parties with limited resources or fragmented monitoring systems. The indicators have been designed to </w:t>
      </w:r>
      <w:r w:rsidRPr="00A408B1">
        <w:rPr>
          <w:rFonts w:eastAsia="Times New Roman"/>
        </w:rPr>
        <w:t>accommodate</w:t>
      </w:r>
      <w:r w:rsidRPr="00A408B1">
        <w:rPr>
          <w:rFonts w:eastAsia="Times New Roman"/>
          <w:color w:val="242424"/>
        </w:rPr>
        <w:t xml:space="preserve"> situations where the questions are not relevant or cannot be answered due to a lack of relevant data, without decreasing the score for each indicator, therefore adapting to national circumstances. </w:t>
      </w:r>
    </w:p>
    <w:p w14:paraId="46C84EB0" w14:textId="2183137B" w:rsidR="00E05143" w:rsidRPr="00A408B1" w:rsidRDefault="00E05143" w:rsidP="00A408B1">
      <w:pPr>
        <w:pStyle w:val="CBDNormalNumber"/>
        <w:rPr>
          <w:rFonts w:eastAsia="Times New Roman"/>
          <w:color w:val="242424"/>
        </w:rPr>
      </w:pPr>
      <w:r w:rsidRPr="00A408B1">
        <w:rPr>
          <w:rFonts w:eastAsia="Times New Roman"/>
          <w:color w:val="242424"/>
        </w:rPr>
        <w:t>F</w:t>
      </w:r>
      <w:r w:rsidR="00224F66" w:rsidRPr="00A408B1">
        <w:rPr>
          <w:rFonts w:eastAsia="Times New Roman"/>
          <w:color w:val="242424"/>
        </w:rPr>
        <w:t>ourth</w:t>
      </w:r>
      <w:r w:rsidRPr="00A408B1">
        <w:rPr>
          <w:rFonts w:eastAsia="Times New Roman"/>
          <w:color w:val="242424"/>
        </w:rPr>
        <w:t>, this approach was ultimately considered the most feasible given the information available from submissions and expert consultations as well as the resources</w:t>
      </w:r>
      <w:r w:rsidR="00CA3F4B" w:rsidRPr="00A408B1">
        <w:rPr>
          <w:rFonts w:eastAsia="Times New Roman"/>
          <w:color w:val="242424"/>
        </w:rPr>
        <w:t xml:space="preserve"> available</w:t>
      </w:r>
      <w:r w:rsidRPr="00A408B1">
        <w:rPr>
          <w:rFonts w:eastAsia="Times New Roman"/>
          <w:color w:val="242424"/>
        </w:rPr>
        <w:t xml:space="preserve"> for this work. </w:t>
      </w:r>
      <w:r w:rsidR="00CA779C" w:rsidRPr="00A408B1">
        <w:rPr>
          <w:rFonts w:eastAsia="Times New Roman"/>
          <w:color w:val="242424"/>
        </w:rPr>
        <w:t>M</w:t>
      </w:r>
      <w:r w:rsidRPr="00A408B1">
        <w:rPr>
          <w:rFonts w:eastAsia="Times New Roman"/>
          <w:color w:val="242424"/>
        </w:rPr>
        <w:t xml:space="preserve">any proposed </w:t>
      </w:r>
      <w:r w:rsidRPr="00A408B1">
        <w:t>indicators</w:t>
      </w:r>
      <w:r w:rsidRPr="00A408B1">
        <w:rPr>
          <w:rFonts w:eastAsia="Times New Roman"/>
          <w:color w:val="242424"/>
        </w:rPr>
        <w:t xml:space="preserve"> </w:t>
      </w:r>
      <w:r w:rsidR="00224F66" w:rsidRPr="00A408B1">
        <w:rPr>
          <w:rFonts w:eastAsia="Times New Roman"/>
          <w:color w:val="242424"/>
        </w:rPr>
        <w:t>that</w:t>
      </w:r>
      <w:r w:rsidR="004D3BE0" w:rsidRPr="00A408B1">
        <w:rPr>
          <w:rFonts w:eastAsia="Times New Roman"/>
          <w:color w:val="242424"/>
        </w:rPr>
        <w:t xml:space="preserve"> </w:t>
      </w:r>
      <w:r w:rsidRPr="00A408B1">
        <w:rPr>
          <w:rFonts w:eastAsia="Times New Roman"/>
          <w:color w:val="242424"/>
        </w:rPr>
        <w:t xml:space="preserve">lacked publicly accessible data and metadata, methodological transparency, and had not undergone peer‑reviewed validation. </w:t>
      </w:r>
      <w:r w:rsidR="00C44CDE" w:rsidRPr="00A408B1">
        <w:rPr>
          <w:rFonts w:eastAsia="Times New Roman"/>
          <w:color w:val="242424"/>
        </w:rPr>
        <w:t>Other</w:t>
      </w:r>
      <w:r w:rsidRPr="00A408B1">
        <w:rPr>
          <w:rFonts w:eastAsia="Times New Roman"/>
          <w:color w:val="242424"/>
        </w:rPr>
        <w:t xml:space="preserve"> were conceptually misaligned with the intended focal areas, overly narrow in scope, or operationally infeasible due to irregular, incomplete, or entirely absent data streams, often relying on national reporting mechanisms that do not yet exist or function inconsistently. The broader challenge of insufficient ecological metrics capable of translating biodiversity change into health‑related risks or benefits has also been highlighted in the Global Assessment Report on Biodiversity and Ecosystem Services of the Intergovernmental Science‑Policy Platform on Biodiversity and Ecosystem Services.</w:t>
      </w:r>
      <w:r w:rsidRPr="00A408B1">
        <w:rPr>
          <w:rStyle w:val="FootnoteReference"/>
          <w:rFonts w:eastAsia="Times New Roman"/>
          <w:color w:val="1B1B1B"/>
        </w:rPr>
        <w:footnoteReference w:id="4"/>
      </w:r>
      <w:r w:rsidRPr="00A408B1">
        <w:rPr>
          <w:rFonts w:eastAsia="Times New Roman"/>
          <w:color w:val="1B1B1B"/>
        </w:rPr>
        <w:t xml:space="preserve"> </w:t>
      </w:r>
    </w:p>
    <w:p w14:paraId="0D7F8BBC" w14:textId="2DDB56BE" w:rsidR="00E05143" w:rsidRPr="00A408B1" w:rsidRDefault="00E05143" w:rsidP="00A408B1">
      <w:pPr>
        <w:pStyle w:val="CBDNormalNumber"/>
        <w:rPr>
          <w:rFonts w:eastAsia="Times New Roman"/>
          <w:color w:val="242424"/>
        </w:rPr>
      </w:pPr>
      <w:r w:rsidRPr="00A408B1">
        <w:rPr>
          <w:rFonts w:eastAsia="Times New Roman"/>
          <w:color w:val="242424"/>
        </w:rPr>
        <w:t xml:space="preserve">Finally, the GAP spans multiple thematic </w:t>
      </w:r>
      <w:r w:rsidR="006E39FB" w:rsidRPr="00A408B1">
        <w:rPr>
          <w:rFonts w:eastAsia="Times New Roman"/>
          <w:color w:val="242424"/>
        </w:rPr>
        <w:t>areas</w:t>
      </w:r>
      <w:r w:rsidRPr="00A408B1">
        <w:rPr>
          <w:rFonts w:eastAsia="Times New Roman"/>
          <w:color w:val="242424"/>
        </w:rPr>
        <w:t xml:space="preserve">, and the development of a suite of science-based indicators for each area would require additional research, technical work, and resources, beyond those currently available for this task. For example, there is no established suite of methodologies capturing, at a global scale, the contribution of biodiversity to mental health and well-being, the health </w:t>
      </w:r>
      <w:r w:rsidRPr="00A408B1">
        <w:t>impacts</w:t>
      </w:r>
      <w:r w:rsidRPr="00A408B1">
        <w:rPr>
          <w:rFonts w:eastAsia="Times New Roman"/>
          <w:color w:val="242424"/>
        </w:rPr>
        <w:t xml:space="preserve"> of ecosystem degradation, integrated One Health governance and cross-sectoral coordination mechanisms, and the role of biodiversity in reducing risks associated with zoonotic disease emergence and antimicrobial resistance. Most datasets, when available, remain fragmented across regions and sectors, lack global comparability, or do not yet support consistent time-series analysis. </w:t>
      </w:r>
      <w:r w:rsidR="00043C2D" w:rsidRPr="00A408B1">
        <w:rPr>
          <w:rFonts w:eastAsia="Times New Roman"/>
          <w:color w:val="242424"/>
        </w:rPr>
        <w:t>D</w:t>
      </w:r>
      <w:r w:rsidRPr="00A408B1">
        <w:rPr>
          <w:rFonts w:eastAsia="Times New Roman"/>
          <w:color w:val="242424"/>
        </w:rPr>
        <w:t xml:space="preserve">eveloping entirely new indicators was considered premature, as the foundational data systems and cross‑sectoral coordination mechanisms are still being established. Significant uncertainties remain, including the </w:t>
      </w:r>
      <w:r w:rsidR="00C5371B" w:rsidRPr="00A408B1">
        <w:rPr>
          <w:rFonts w:eastAsia="Times New Roman"/>
          <w:color w:val="242424"/>
        </w:rPr>
        <w:t>lack of agreed agreement for hosting and publishing indicators m</w:t>
      </w:r>
      <w:r w:rsidR="009E50B8" w:rsidRPr="00A408B1">
        <w:rPr>
          <w:rFonts w:eastAsia="Times New Roman"/>
          <w:color w:val="242424"/>
        </w:rPr>
        <w:t>etadata</w:t>
      </w:r>
      <w:r w:rsidRPr="00A408B1">
        <w:rPr>
          <w:rFonts w:eastAsia="Times New Roman"/>
          <w:color w:val="242424"/>
        </w:rPr>
        <w:t xml:space="preserve">, and limited visibility into ongoing data‑collection efforts. Many proposals also lack peer‑reviewed methodological support, evidence of global </w:t>
      </w:r>
      <w:r w:rsidR="00AB303A" w:rsidRPr="00A408B1">
        <w:rPr>
          <w:rFonts w:eastAsia="Times New Roman"/>
          <w:color w:val="242424"/>
        </w:rPr>
        <w:t>applicability</w:t>
      </w:r>
      <w:r w:rsidRPr="00A408B1">
        <w:rPr>
          <w:rFonts w:eastAsia="Times New Roman"/>
          <w:color w:val="242424"/>
        </w:rPr>
        <w:t xml:space="preserve">, </w:t>
      </w:r>
      <w:r w:rsidR="00AB303A" w:rsidRPr="00A408B1">
        <w:rPr>
          <w:rFonts w:eastAsia="Times New Roman"/>
          <w:color w:val="242424"/>
        </w:rPr>
        <w:t>or</w:t>
      </w:r>
      <w:r w:rsidRPr="00A408B1">
        <w:rPr>
          <w:rFonts w:eastAsia="Times New Roman"/>
          <w:color w:val="242424"/>
        </w:rPr>
        <w:t xml:space="preserve"> agreement on the spatial or temporal resolution at which updates should occur. Taken together, these gaps underscore that the necessary scientific, technical, and institutional conditions for creating new indicators are not yet in place. </w:t>
      </w:r>
    </w:p>
    <w:p w14:paraId="71205DF2" w14:textId="5ECA75C5" w:rsidR="00E05143" w:rsidRPr="00A408B1" w:rsidRDefault="00E05143" w:rsidP="00A408B1">
      <w:pPr>
        <w:pStyle w:val="CBDNormalNumber"/>
        <w:rPr>
          <w:rFonts w:eastAsia="Times New Roman"/>
          <w:color w:val="242424"/>
        </w:rPr>
      </w:pPr>
      <w:r w:rsidRPr="00A408B1">
        <w:rPr>
          <w:rFonts w:eastAsia="Times New Roman"/>
          <w:color w:val="1B1B1B"/>
        </w:rPr>
        <w:t xml:space="preserve">Giving these </w:t>
      </w:r>
      <w:r w:rsidRPr="00A408B1">
        <w:t>limitations</w:t>
      </w:r>
      <w:r w:rsidRPr="00A408B1">
        <w:rPr>
          <w:rFonts w:eastAsia="Times New Roman"/>
          <w:color w:val="1B1B1B"/>
        </w:rPr>
        <w:t>,</w:t>
      </w:r>
      <w:r w:rsidRPr="00A408B1">
        <w:rPr>
          <w:rFonts w:eastAsia="Times New Roman"/>
          <w:color w:val="242424"/>
        </w:rPr>
        <w:t xml:space="preserve"> it remains unclear whether the current scientific state of the art can yet support robust indicator development, or whether future research is </w:t>
      </w:r>
      <w:r w:rsidR="00AB53E9" w:rsidRPr="00A408B1">
        <w:rPr>
          <w:rFonts w:eastAsia="Times New Roman"/>
          <w:color w:val="242424"/>
        </w:rPr>
        <w:t>needed</w:t>
      </w:r>
      <w:r w:rsidRPr="00A408B1">
        <w:rPr>
          <w:rFonts w:eastAsia="Times New Roman"/>
          <w:color w:val="242424"/>
        </w:rPr>
        <w:t xml:space="preserve">. Some questions in </w:t>
      </w:r>
      <w:r w:rsidRPr="00A408B1">
        <w:rPr>
          <w:rFonts w:eastAsia="Times New Roman"/>
          <w:color w:val="242424"/>
        </w:rPr>
        <w:lastRenderedPageBreak/>
        <w:t xml:space="preserve">the suggested indicators attempt to capture the extent to which Parties encourage and facilitate this research, </w:t>
      </w:r>
      <w:r w:rsidR="00DA61DA" w:rsidRPr="000B58F5">
        <w:t xml:space="preserve">helping to </w:t>
      </w:r>
      <w:r w:rsidRPr="00A408B1">
        <w:rPr>
          <w:rFonts w:eastAsia="Times New Roman"/>
          <w:color w:val="242424"/>
        </w:rPr>
        <w:t xml:space="preserve">build the robust basis </w:t>
      </w:r>
      <w:r w:rsidR="000F5795" w:rsidRPr="00A408B1">
        <w:rPr>
          <w:rFonts w:eastAsia="Times New Roman"/>
          <w:color w:val="242424"/>
        </w:rPr>
        <w:t xml:space="preserve">for future </w:t>
      </w:r>
      <w:r w:rsidRPr="00A408B1">
        <w:rPr>
          <w:rFonts w:eastAsia="Times New Roman"/>
          <w:color w:val="242424"/>
        </w:rPr>
        <w:t>science-based indicators.</w:t>
      </w:r>
    </w:p>
    <w:p w14:paraId="01C10507" w14:textId="529B950F" w:rsidR="00E05143" w:rsidRPr="00A408B1" w:rsidRDefault="00E05143" w:rsidP="00A408B1">
      <w:pPr>
        <w:pStyle w:val="CBDNormalNumber"/>
        <w:rPr>
          <w:rFonts w:eastAsia="Times New Roman"/>
          <w:color w:val="242424"/>
          <w:sz w:val="20"/>
          <w:szCs w:val="20"/>
        </w:rPr>
      </w:pPr>
      <w:r w:rsidRPr="00A408B1">
        <w:rPr>
          <w:rFonts w:eastAsia="Times New Roman"/>
          <w:color w:val="242424"/>
        </w:rPr>
        <w:t>By focusing on policy and institutional capacity, the proposed indicators enable Parties to understand their progress in integrating biodiversity and health linkages and strengthening their ability to use, mobilize, and further develop relevant information across sectors and different levels of government.</w:t>
      </w:r>
    </w:p>
    <w:p w14:paraId="64EA979C" w14:textId="77777777" w:rsidR="00E05143" w:rsidRPr="00A408B1" w:rsidRDefault="00E05143" w:rsidP="00A408B1">
      <w:pPr>
        <w:pStyle w:val="CBDH1"/>
        <w:rPr>
          <w:b w:val="0"/>
        </w:rPr>
      </w:pPr>
      <w:r w:rsidRPr="00A408B1">
        <w:t>III.</w:t>
      </w:r>
      <w:r w:rsidRPr="000B58F5">
        <w:tab/>
      </w:r>
      <w:r w:rsidRPr="00A408B1">
        <w:t>Definition</w:t>
      </w:r>
    </w:p>
    <w:p w14:paraId="16C7331D" w14:textId="39B74353" w:rsidR="00E05143" w:rsidRPr="000B58F5" w:rsidRDefault="00E05143" w:rsidP="00A408B1">
      <w:pPr>
        <w:pStyle w:val="CBDNormalNumber"/>
        <w:rPr>
          <w:rFonts w:eastAsia="Times New Roman"/>
          <w:color w:val="242424"/>
        </w:rPr>
      </w:pPr>
      <w:r w:rsidRPr="000B58F5">
        <w:rPr>
          <w:rFonts w:eastAsia="Times New Roman"/>
          <w:color w:val="242424"/>
        </w:rPr>
        <w:t>Key aspects of the indicator</w:t>
      </w:r>
      <w:r w:rsidR="00175D25" w:rsidRPr="000B58F5">
        <w:rPr>
          <w:rFonts w:eastAsia="Times New Roman"/>
          <w:color w:val="242424"/>
        </w:rPr>
        <w:t>s</w:t>
      </w:r>
      <w:r w:rsidRPr="000B58F5">
        <w:rPr>
          <w:rFonts w:eastAsia="Times New Roman"/>
          <w:color w:val="242424"/>
        </w:rPr>
        <w:t xml:space="preserve"> are the following:</w:t>
      </w:r>
    </w:p>
    <w:p w14:paraId="7300982E" w14:textId="35B238B7" w:rsidR="00E05143" w:rsidRPr="000B58F5" w:rsidRDefault="00E05143" w:rsidP="00A408B1">
      <w:pPr>
        <w:pStyle w:val="CBDNormalNumber"/>
        <w:numPr>
          <w:ilvl w:val="1"/>
          <w:numId w:val="7"/>
        </w:numPr>
      </w:pPr>
      <w:r w:rsidRPr="000B58F5">
        <w:t>Components measured: This set of indicators measures the extent to which Parties are mainstreaming biodiversity and health interlinkages into the implementation of the KMGBF, with progress assessed against the voluntary actions set out in the GAP</w:t>
      </w:r>
      <w:r w:rsidR="00D6421B">
        <w:t>;</w:t>
      </w:r>
    </w:p>
    <w:p w14:paraId="78DB02D6" w14:textId="1814FCF5" w:rsidR="00E05143" w:rsidRPr="00A408B1" w:rsidRDefault="00E05143" w:rsidP="00A408B1">
      <w:pPr>
        <w:pStyle w:val="CBDNormalNumber"/>
        <w:numPr>
          <w:ilvl w:val="1"/>
          <w:numId w:val="7"/>
        </w:numPr>
        <w:rPr>
          <w:rFonts w:eastAsia="Times New Roman"/>
          <w:color w:val="242424"/>
        </w:rPr>
      </w:pPr>
      <w:r w:rsidRPr="00A408B1">
        <w:rPr>
          <w:rFonts w:eastAsia="Times New Roman"/>
          <w:color w:val="242424"/>
        </w:rPr>
        <w:t xml:space="preserve">Method: The indicators are based on </w:t>
      </w:r>
      <w:proofErr w:type="gramStart"/>
      <w:r w:rsidRPr="00A408B1">
        <w:rPr>
          <w:rFonts w:eastAsia="Times New Roman"/>
          <w:color w:val="242424"/>
        </w:rPr>
        <w:t>a  progress</w:t>
      </w:r>
      <w:proofErr w:type="gramEnd"/>
      <w:r w:rsidRPr="00A408B1">
        <w:rPr>
          <w:rFonts w:eastAsia="Times New Roman"/>
          <w:color w:val="242424"/>
        </w:rPr>
        <w:t xml:space="preserve"> measurement tool, as a questionnaire, composed of multiple-choice questions. Responses are aggregated through three “Core indicators for biodiversity and health mainstreaming at a national level” (corresponding to section III.A of the GAP) and fourteen “Sector-specific indicators of the mainstreaming of biodiversity and health across the KMGBF” (corresponding to section III.B of the GAP). These indicators are then averaged into a “National summary score” to provide a national average. Indicators are mapped to thematic categories to facilitate disaggregated reporting, allowing them to functionally be used as indicators of the GAP. The indicators use a two-tier weighting system to guide reporting efforts towards high-value items. </w:t>
      </w:r>
      <w:r w:rsidR="00150D09" w:rsidRPr="00A408B1">
        <w:rPr>
          <w:rFonts w:eastAsia="Times New Roman"/>
          <w:color w:val="242424"/>
        </w:rPr>
        <w:t>The</w:t>
      </w:r>
      <w:r w:rsidR="0047354F" w:rsidRPr="00A408B1">
        <w:rPr>
          <w:rFonts w:eastAsia="Times New Roman"/>
          <w:color w:val="242424"/>
        </w:rPr>
        <w:t xml:space="preserve"> </w:t>
      </w:r>
      <w:r w:rsidRPr="00A408B1">
        <w:rPr>
          <w:rFonts w:eastAsia="Times New Roman"/>
          <w:color w:val="242424"/>
        </w:rPr>
        <w:t>system reflects a conceptual hierarchy: Tier 1 questions measure the presence of enabling conditions that make further progress possible, while Tier 2 questions describe the depth, quality, or specific modalities of that progress. If Tier 1 conditions are absent, Tier 2 elements are unlikely to be meaningful or feasible. Therefore, assigning greater weight to Tier 1 questions ensures that the indicator reflects the most critical drivers of change rather than the more detailed or context‑specific aspects of implementation.</w:t>
      </w:r>
    </w:p>
    <w:p w14:paraId="0508BBC4" w14:textId="77777777" w:rsidR="00E05143" w:rsidRPr="00A408B1" w:rsidRDefault="00E05143" w:rsidP="00A408B1">
      <w:pPr>
        <w:pStyle w:val="CBDNormalNumber"/>
        <w:numPr>
          <w:ilvl w:val="1"/>
          <w:numId w:val="7"/>
        </w:numPr>
        <w:rPr>
          <w:rFonts w:eastAsia="Times New Roman"/>
          <w:color w:val="242424"/>
        </w:rPr>
      </w:pPr>
      <w:r w:rsidRPr="00A408B1">
        <w:rPr>
          <w:rFonts w:eastAsia="Times New Roman"/>
          <w:color w:val="242424"/>
        </w:rPr>
        <w:t xml:space="preserve">Alignment </w:t>
      </w:r>
      <w:r w:rsidRPr="00A408B1">
        <w:t>with</w:t>
      </w:r>
      <w:r w:rsidRPr="00A408B1">
        <w:rPr>
          <w:rFonts w:eastAsia="Times New Roman"/>
          <w:color w:val="242424"/>
        </w:rPr>
        <w:t xml:space="preserve"> global frameworks: The indicators are suitable for providing information on progress towards paragraph 7 (r) of the KMGBF and implementation of the GAP. The indicators could also be used to support monitoring progress towards One Health frameworks. </w:t>
      </w:r>
    </w:p>
    <w:p w14:paraId="3B17F099" w14:textId="4D3DC9C0" w:rsidR="00E05143" w:rsidRPr="000B58F5" w:rsidRDefault="00E05143" w:rsidP="00A408B1">
      <w:pPr>
        <w:pStyle w:val="CBDNormalNumber"/>
        <w:numPr>
          <w:ilvl w:val="1"/>
          <w:numId w:val="7"/>
        </w:numPr>
        <w:rPr>
          <w:rFonts w:eastAsia="Times New Roman"/>
          <w:color w:val="242424"/>
        </w:rPr>
      </w:pPr>
      <w:r w:rsidRPr="00A408B1">
        <w:rPr>
          <w:rFonts w:eastAsia="Times New Roman"/>
          <w:color w:val="242424"/>
        </w:rPr>
        <w:t xml:space="preserve">Use: The use </w:t>
      </w:r>
      <w:r w:rsidRPr="00A408B1">
        <w:t>of</w:t>
      </w:r>
      <w:r w:rsidRPr="00A408B1">
        <w:rPr>
          <w:rFonts w:eastAsia="Times New Roman"/>
          <w:color w:val="242424"/>
        </w:rPr>
        <w:t xml:space="preserve"> these indicators is voluntary. It is intended to serve as a tool that Parties may </w:t>
      </w:r>
      <w:r w:rsidR="00007F68" w:rsidRPr="00A408B1">
        <w:rPr>
          <w:rFonts w:eastAsia="Times New Roman"/>
          <w:color w:val="242424"/>
        </w:rPr>
        <w:t>use to</w:t>
      </w:r>
      <w:r w:rsidRPr="00A408B1">
        <w:rPr>
          <w:rFonts w:eastAsia="Times New Roman"/>
          <w:color w:val="242424"/>
        </w:rPr>
        <w:t xml:space="preserve"> report on the mainstreaming of biodiversity and health interlinkages. The design seeks to reduce the reporting burden by using existing data sources, including, when appropriate, indicators from other multilateral environmental processes. Parties may report using these indicators when reporting on progress towards section C of the KMGBF, on the national reports, or else, through a specific section that could be added to the template for the 8th report if Parties so decide. </w:t>
      </w:r>
    </w:p>
    <w:p w14:paraId="2075DF5F" w14:textId="77777777" w:rsidR="00E05143" w:rsidRPr="00A408B1" w:rsidRDefault="00E05143" w:rsidP="00A408B1">
      <w:pPr>
        <w:pStyle w:val="CBDNormalNumber"/>
        <w:numPr>
          <w:ilvl w:val="1"/>
          <w:numId w:val="7"/>
        </w:numPr>
        <w:rPr>
          <w:rFonts w:eastAsia="Times New Roman"/>
          <w:color w:val="242424"/>
        </w:rPr>
      </w:pPr>
      <w:r w:rsidRPr="00A408B1">
        <w:rPr>
          <w:rFonts w:eastAsia="Times New Roman"/>
          <w:color w:val="242424"/>
        </w:rPr>
        <w:t>Use over time: It is expected that this approach establishes a framework that can be strengthened over time as data availability, technical capacity, and methodologies improve.  This could notably be achieved by adapting the list of questions that constitute each indicator.</w:t>
      </w:r>
    </w:p>
    <w:p w14:paraId="6507056B" w14:textId="77777777" w:rsidR="00E05143" w:rsidRPr="00A408B1" w:rsidRDefault="00E05143" w:rsidP="00E05143">
      <w:pPr>
        <w:pStyle w:val="ListParagraph"/>
        <w:ind w:left="540" w:firstLine="540"/>
        <w:rPr>
          <w:rFonts w:eastAsia="Times New Roman"/>
          <w:color w:val="242424"/>
          <w:lang w:eastAsia="ja-JP"/>
        </w:rPr>
      </w:pPr>
    </w:p>
    <w:p w14:paraId="5967C5C4" w14:textId="43445279" w:rsidR="00E05143" w:rsidRPr="000B58F5" w:rsidRDefault="00E05143" w:rsidP="00A408B1">
      <w:pPr>
        <w:pStyle w:val="CBDNormalNumber"/>
        <w:numPr>
          <w:ilvl w:val="1"/>
          <w:numId w:val="7"/>
        </w:numPr>
        <w:rPr>
          <w:rFonts w:eastAsia="Times New Roman"/>
          <w:color w:val="242424"/>
        </w:rPr>
      </w:pPr>
      <w:r w:rsidRPr="000B58F5">
        <w:rPr>
          <w:rFonts w:eastAsia="Times New Roman"/>
          <w:color w:val="242424"/>
        </w:rPr>
        <w:t>Data sources</w:t>
      </w:r>
      <w:r w:rsidRPr="00A408B1">
        <w:rPr>
          <w:rFonts w:eastAsia="Times New Roman"/>
          <w:color w:val="242424"/>
          <w:lang w:eastAsia="ja-JP"/>
        </w:rPr>
        <w:t>: Data sources used by Parties will vary based on national circumstances</w:t>
      </w:r>
      <w:r w:rsidR="006C02C4" w:rsidRPr="00A408B1">
        <w:rPr>
          <w:rFonts w:eastAsia="Times New Roman"/>
          <w:color w:val="242424"/>
          <w:lang w:eastAsia="ja-JP"/>
        </w:rPr>
        <w:t xml:space="preserve">. </w:t>
      </w:r>
      <w:r w:rsidR="00185E95" w:rsidRPr="00A408B1">
        <w:rPr>
          <w:rFonts w:eastAsia="Times New Roman"/>
          <w:color w:val="242424"/>
          <w:lang w:eastAsia="ja-JP"/>
        </w:rPr>
        <w:t>T</w:t>
      </w:r>
      <w:r w:rsidRPr="00A408B1">
        <w:rPr>
          <w:rFonts w:eastAsia="Times New Roman"/>
          <w:color w:val="242424"/>
          <w:lang w:eastAsia="ja-JP"/>
        </w:rPr>
        <w:t>herefore, it is not possible to provide a</w:t>
      </w:r>
      <w:r w:rsidR="00F6743E" w:rsidRPr="00A408B1">
        <w:rPr>
          <w:rFonts w:eastAsia="Times New Roman"/>
          <w:color w:val="242424"/>
          <w:lang w:eastAsia="ja-JP"/>
        </w:rPr>
        <w:t>n exhaustive</w:t>
      </w:r>
      <w:r w:rsidRPr="00A408B1">
        <w:rPr>
          <w:rFonts w:eastAsia="Times New Roman"/>
          <w:color w:val="242424"/>
          <w:lang w:eastAsia="ja-JP"/>
        </w:rPr>
        <w:t xml:space="preserve"> list. Nonetheless, to help Parties in their reporting, the questionnaire</w:t>
      </w:r>
      <w:r w:rsidR="00E338D8" w:rsidRPr="00A408B1">
        <w:rPr>
          <w:rFonts w:eastAsia="Times New Roman"/>
          <w:color w:val="242424"/>
          <w:lang w:eastAsia="ja-JP"/>
        </w:rPr>
        <w:t xml:space="preserve"> identi</w:t>
      </w:r>
      <w:r w:rsidR="00693249" w:rsidRPr="00A408B1">
        <w:rPr>
          <w:rFonts w:eastAsia="Times New Roman"/>
          <w:color w:val="242424"/>
          <w:lang w:eastAsia="ja-JP"/>
        </w:rPr>
        <w:t>fies some potential sources</w:t>
      </w:r>
      <w:r w:rsidRPr="00A408B1">
        <w:rPr>
          <w:rFonts w:eastAsia="Times New Roman"/>
          <w:color w:val="242424"/>
          <w:lang w:eastAsia="ja-JP"/>
        </w:rPr>
        <w:t xml:space="preserve"> </w:t>
      </w:r>
      <w:r w:rsidR="00693249" w:rsidRPr="00A408B1">
        <w:rPr>
          <w:rFonts w:eastAsia="Times New Roman"/>
          <w:color w:val="242424"/>
          <w:lang w:eastAsia="ja-JP"/>
        </w:rPr>
        <w:t xml:space="preserve">that </w:t>
      </w:r>
      <w:r w:rsidR="001B45FD" w:rsidRPr="00A408B1">
        <w:rPr>
          <w:rFonts w:eastAsia="Times New Roman"/>
          <w:color w:val="242424"/>
          <w:lang w:eastAsia="ja-JP"/>
        </w:rPr>
        <w:t>Parties</w:t>
      </w:r>
      <w:r w:rsidR="00693249" w:rsidRPr="00A408B1">
        <w:rPr>
          <w:rFonts w:eastAsia="Times New Roman"/>
          <w:color w:val="242424"/>
          <w:lang w:eastAsia="ja-JP"/>
        </w:rPr>
        <w:t xml:space="preserve"> may use</w:t>
      </w:r>
      <w:r w:rsidRPr="00A408B1">
        <w:rPr>
          <w:rFonts w:eastAsia="Times New Roman"/>
          <w:color w:val="242424"/>
          <w:lang w:eastAsia="ja-JP"/>
        </w:rPr>
        <w:t xml:space="preserve"> </w:t>
      </w:r>
      <w:r w:rsidR="008858EB" w:rsidRPr="00A408B1">
        <w:rPr>
          <w:rFonts w:eastAsia="Times New Roman"/>
          <w:color w:val="242424"/>
          <w:lang w:eastAsia="ja-JP"/>
        </w:rPr>
        <w:t>as appropriate</w:t>
      </w:r>
      <w:r w:rsidRPr="00A408B1">
        <w:rPr>
          <w:rFonts w:eastAsia="Times New Roman"/>
          <w:color w:val="242424"/>
          <w:lang w:eastAsia="ja-JP"/>
        </w:rPr>
        <w:t xml:space="preserve">, when responding to the progress measurement tool. </w:t>
      </w:r>
      <w:r w:rsidR="008858EB" w:rsidRPr="00A408B1">
        <w:rPr>
          <w:rFonts w:eastAsia="Times New Roman"/>
          <w:color w:val="242424"/>
          <w:lang w:eastAsia="ja-JP"/>
        </w:rPr>
        <w:t>D</w:t>
      </w:r>
      <w:r w:rsidRPr="00A408B1">
        <w:rPr>
          <w:rFonts w:eastAsia="Times New Roman"/>
          <w:color w:val="242424"/>
          <w:lang w:eastAsia="ja-JP"/>
        </w:rPr>
        <w:t xml:space="preserve">ata sources should </w:t>
      </w:r>
      <w:r w:rsidR="008858EB" w:rsidRPr="00A408B1">
        <w:rPr>
          <w:rFonts w:eastAsia="Times New Roman"/>
          <w:color w:val="242424"/>
          <w:lang w:eastAsia="ja-JP"/>
        </w:rPr>
        <w:t xml:space="preserve">also </w:t>
      </w:r>
      <w:r w:rsidRPr="00A408B1">
        <w:rPr>
          <w:rFonts w:eastAsia="Times New Roman"/>
          <w:color w:val="242424"/>
          <w:lang w:eastAsia="ja-JP"/>
        </w:rPr>
        <w:t>consider different knowledge systems and information from indigenous peoples and local communities with their free, prior and informed consent.</w:t>
      </w:r>
    </w:p>
    <w:p w14:paraId="7D1ADF9E" w14:textId="77777777" w:rsidR="00E05143" w:rsidRPr="000B58F5" w:rsidRDefault="00E05143" w:rsidP="00E05143">
      <w:pPr>
        <w:pStyle w:val="ListParagraph"/>
        <w:ind w:left="1080"/>
        <w:rPr>
          <w:rFonts w:eastAsia="Times New Roman"/>
          <w:color w:val="242424"/>
        </w:rPr>
      </w:pPr>
    </w:p>
    <w:p w14:paraId="0B01B46D" w14:textId="3C8F1812" w:rsidR="00E05143" w:rsidRPr="000B58F5" w:rsidRDefault="009D42B9" w:rsidP="00A408B1">
      <w:pPr>
        <w:pStyle w:val="CBDNormalNumber"/>
        <w:rPr>
          <w:rFonts w:eastAsia="Times New Roman"/>
          <w:color w:val="242424"/>
        </w:rPr>
      </w:pPr>
      <w:r w:rsidRPr="00A408B1">
        <w:rPr>
          <w:rFonts w:eastAsia="Times New Roman"/>
          <w:color w:val="242424"/>
          <w:lang w:eastAsia="ja-JP"/>
        </w:rPr>
        <w:lastRenderedPageBreak/>
        <w:t>Parties should use the most relevant and authoritative data sources available to them, with priority given, where possible, to national multi-sectoral sources.</w:t>
      </w:r>
    </w:p>
    <w:p w14:paraId="5B736F2C" w14:textId="11369D46" w:rsidR="00E05143" w:rsidRPr="000B58F5" w:rsidRDefault="00E05143" w:rsidP="00A408B1">
      <w:pPr>
        <w:pStyle w:val="CBDH1"/>
        <w:rPr>
          <w:color w:val="000000"/>
        </w:rPr>
      </w:pPr>
      <w:r w:rsidRPr="000B58F5">
        <w:t>IV.</w:t>
      </w:r>
      <w:r w:rsidRPr="000B58F5">
        <w:tab/>
        <w:t>Method and calculation</w:t>
      </w:r>
    </w:p>
    <w:p w14:paraId="767CBFF3" w14:textId="5739534E" w:rsidR="00E05143" w:rsidRPr="00A408B1" w:rsidRDefault="00E05143" w:rsidP="00A408B1">
      <w:pPr>
        <w:pStyle w:val="CBDNormalNumber"/>
        <w:rPr>
          <w:rFonts w:eastAsia="Times New Roman"/>
          <w:color w:val="242424"/>
        </w:rPr>
      </w:pPr>
      <w:r w:rsidRPr="00A408B1">
        <w:rPr>
          <w:rFonts w:eastAsia="Times New Roman"/>
          <w:color w:val="242424"/>
        </w:rPr>
        <w:t xml:space="preserve">The indicators gather information through a progress measurement tool in the form of a questionnaire with </w:t>
      </w:r>
      <w:r w:rsidRPr="00A408B1">
        <w:t>multiple</w:t>
      </w:r>
      <w:r w:rsidRPr="00A408B1">
        <w:rPr>
          <w:rFonts w:eastAsia="Times New Roman"/>
          <w:color w:val="242424"/>
        </w:rPr>
        <w:t xml:space="preserve">-choice responses, and by the calculation of a national summary score through a scoring instrument. The results are presented as </w:t>
      </w:r>
      <w:r w:rsidR="007824DE" w:rsidRPr="00A408B1">
        <w:rPr>
          <w:rFonts w:eastAsia="Times New Roman"/>
          <w:color w:val="242424"/>
        </w:rPr>
        <w:t>a</w:t>
      </w:r>
      <w:r w:rsidRPr="00A408B1">
        <w:rPr>
          <w:rFonts w:eastAsia="Times New Roman"/>
          <w:color w:val="242424"/>
        </w:rPr>
        <w:t xml:space="preserve"> value that ranges from 0 to 100%, where 0 represents no progress and 100% represents full national implementation of the GAP and therefore progress in the mainstreaming of biodiversity and health linkages. The national summary score is presented in the same way.  </w:t>
      </w:r>
    </w:p>
    <w:p w14:paraId="2ADCCCBB" w14:textId="0E90CF35" w:rsidR="00E05143" w:rsidRPr="00A408B1" w:rsidRDefault="00E05143" w:rsidP="00A408B1">
      <w:pPr>
        <w:pStyle w:val="CBDNormalNumber"/>
        <w:rPr>
          <w:rFonts w:eastAsia="Times New Roman"/>
          <w:color w:val="242424"/>
          <w:sz w:val="20"/>
          <w:szCs w:val="20"/>
        </w:rPr>
      </w:pPr>
      <w:r w:rsidRPr="00A408B1">
        <w:rPr>
          <w:rFonts w:eastAsia="Times New Roman"/>
          <w:color w:val="242424"/>
        </w:rPr>
        <w:t>The progress measurement tool consists of 119 questions (</w:t>
      </w:r>
      <w:r w:rsidR="00E043F3" w:rsidRPr="00A408B1">
        <w:rPr>
          <w:rFonts w:eastAsia="Times New Roman"/>
          <w:color w:val="242424"/>
        </w:rPr>
        <w:t xml:space="preserve">62 </w:t>
      </w:r>
      <w:r w:rsidRPr="00A408B1">
        <w:rPr>
          <w:rFonts w:eastAsia="Times New Roman"/>
          <w:color w:val="242424"/>
        </w:rPr>
        <w:t xml:space="preserve">Tier 1 questions, </w:t>
      </w:r>
      <w:r w:rsidR="00E043F3" w:rsidRPr="00A408B1">
        <w:rPr>
          <w:rFonts w:eastAsia="Times New Roman"/>
          <w:color w:val="242424"/>
        </w:rPr>
        <w:t xml:space="preserve">57 </w:t>
      </w:r>
      <w:r w:rsidRPr="00A408B1">
        <w:rPr>
          <w:rFonts w:eastAsia="Times New Roman"/>
          <w:color w:val="242424"/>
        </w:rPr>
        <w:t xml:space="preserve">Tier 2 questions, as explained in a later paragraph) to assess progress towards the specific thematic categories in both sections III.A and III.B of the GAP.  Each question is to be answered via the selection of a category that reflects the level of progress made: </w:t>
      </w:r>
      <w:r w:rsidRPr="00A408B1">
        <w:rPr>
          <w:rFonts w:eastAsia="Times New Roman"/>
          <w:i/>
          <w:iCs/>
          <w:color w:val="242424"/>
        </w:rPr>
        <w:t>(a) Fully</w:t>
      </w:r>
      <w:r w:rsidRPr="00A408B1">
        <w:rPr>
          <w:rFonts w:eastAsia="Times New Roman"/>
          <w:color w:val="242424"/>
        </w:rPr>
        <w:t xml:space="preserve">; </w:t>
      </w:r>
      <w:r w:rsidRPr="00A408B1">
        <w:rPr>
          <w:rFonts w:eastAsia="Times New Roman"/>
          <w:i/>
          <w:iCs/>
          <w:color w:val="242424"/>
        </w:rPr>
        <w:t>(b) Partially</w:t>
      </w:r>
      <w:r w:rsidRPr="00A408B1">
        <w:rPr>
          <w:rFonts w:eastAsia="Times New Roman"/>
          <w:color w:val="242424"/>
        </w:rPr>
        <w:t xml:space="preserve">; </w:t>
      </w:r>
      <w:r w:rsidRPr="00A408B1">
        <w:rPr>
          <w:rFonts w:eastAsia="Times New Roman"/>
          <w:i/>
          <w:iCs/>
          <w:color w:val="242424"/>
        </w:rPr>
        <w:t>(c) Under development</w:t>
      </w:r>
      <w:r w:rsidRPr="00A408B1">
        <w:rPr>
          <w:rFonts w:eastAsia="Times New Roman"/>
          <w:color w:val="242424"/>
        </w:rPr>
        <w:t xml:space="preserve">; </w:t>
      </w:r>
      <w:r w:rsidRPr="00A408B1">
        <w:rPr>
          <w:rFonts w:eastAsia="Times New Roman"/>
          <w:i/>
          <w:iCs/>
          <w:color w:val="242424"/>
        </w:rPr>
        <w:t>(d) No</w:t>
      </w:r>
      <w:r w:rsidRPr="00A408B1">
        <w:rPr>
          <w:rFonts w:eastAsia="Times New Roman"/>
          <w:color w:val="242424"/>
        </w:rPr>
        <w:t xml:space="preserve">; </w:t>
      </w:r>
      <w:r w:rsidRPr="00A408B1">
        <w:rPr>
          <w:rFonts w:eastAsia="Times New Roman"/>
          <w:i/>
          <w:iCs/>
          <w:color w:val="242424"/>
        </w:rPr>
        <w:t>(e) Not applicable; (d) No relevant data.</w:t>
      </w:r>
      <w:r w:rsidRPr="00A408B1">
        <w:rPr>
          <w:rFonts w:eastAsia="Times New Roman"/>
          <w:color w:val="242424"/>
        </w:rPr>
        <w:t xml:space="preserve"> (see details about each potential answer under “computation” below)</w:t>
      </w:r>
    </w:p>
    <w:p w14:paraId="73A6FAB9" w14:textId="3736A71B" w:rsidR="00E05143" w:rsidRPr="00A408B1" w:rsidRDefault="00E05143" w:rsidP="00A408B1">
      <w:pPr>
        <w:pStyle w:val="CBDNormalNumber"/>
        <w:rPr>
          <w:rFonts w:eastAsia="Times New Roman"/>
          <w:color w:val="242424"/>
          <w:sz w:val="20"/>
          <w:szCs w:val="20"/>
        </w:rPr>
      </w:pPr>
      <w:r w:rsidRPr="00A408B1">
        <w:rPr>
          <w:rFonts w:eastAsia="Times New Roman"/>
          <w:color w:val="242424"/>
        </w:rPr>
        <w:t>In light of the cross-cutting nature of the interlinkages between biodiversity and health, the questionnaire is meant to be completed with input from several sectors</w:t>
      </w:r>
      <w:r w:rsidRPr="00A408B1">
        <w:rPr>
          <w:rStyle w:val="FootnoteReference"/>
          <w:rFonts w:eastAsia="Times New Roman"/>
          <w:color w:val="242424"/>
        </w:rPr>
        <w:footnoteReference w:id="5"/>
      </w:r>
      <w:r w:rsidRPr="00A408B1">
        <w:rPr>
          <w:rFonts w:eastAsia="Times New Roman"/>
          <w:color w:val="242424"/>
        </w:rPr>
        <w:t xml:space="preserve">, </w:t>
      </w:r>
      <w:r w:rsidR="00B53055" w:rsidRPr="00A408B1">
        <w:rPr>
          <w:rFonts w:eastAsia="Times New Roman"/>
          <w:color w:val="242424"/>
        </w:rPr>
        <w:t xml:space="preserve">indigenous peoples and local communities and stakeholders as relevant, and based on national circumstances, </w:t>
      </w:r>
      <w:r w:rsidRPr="00A408B1">
        <w:rPr>
          <w:rFonts w:eastAsia="Times New Roman"/>
          <w:color w:val="242424"/>
        </w:rPr>
        <w:t xml:space="preserve">which is also in line with a whole-of-government and whole-of-society approach and with the One Health approach. It is suggested that the compilation be </w:t>
      </w:r>
      <w:r w:rsidR="007F334A" w:rsidRPr="00A408B1">
        <w:rPr>
          <w:rFonts w:eastAsia="Times New Roman"/>
          <w:color w:val="242424"/>
        </w:rPr>
        <w:t xml:space="preserve">embedded </w:t>
      </w:r>
      <w:r w:rsidR="00B53055" w:rsidRPr="00A408B1">
        <w:rPr>
          <w:rFonts w:eastAsia="Times New Roman"/>
          <w:color w:val="242424"/>
        </w:rPr>
        <w:t>in the national reporting cycle under the Convention.</w:t>
      </w:r>
      <w:r w:rsidRPr="00A408B1">
        <w:rPr>
          <w:rFonts w:eastAsia="Times New Roman"/>
          <w:color w:val="242424"/>
        </w:rPr>
        <w:t xml:space="preserve">  </w:t>
      </w:r>
    </w:p>
    <w:p w14:paraId="02C9B2FE" w14:textId="77777777" w:rsidR="003C2FF9" w:rsidRPr="00A408B1" w:rsidRDefault="00E05143" w:rsidP="00A408B1">
      <w:pPr>
        <w:pStyle w:val="CBDNormalNumber"/>
        <w:rPr>
          <w:rFonts w:eastAsia="Times New Roman"/>
          <w:color w:val="242424"/>
        </w:rPr>
      </w:pPr>
      <w:r w:rsidRPr="00A408B1">
        <w:rPr>
          <w:rFonts w:eastAsia="Times New Roman"/>
          <w:color w:val="242424"/>
        </w:rPr>
        <w:t xml:space="preserve">Additionally, </w:t>
      </w:r>
      <w:r w:rsidRPr="00A408B1">
        <w:t>Parties</w:t>
      </w:r>
      <w:r w:rsidRPr="00A408B1">
        <w:rPr>
          <w:rFonts w:eastAsia="Times New Roman"/>
          <w:color w:val="242424"/>
        </w:rPr>
        <w:t xml:space="preserve"> may wish to circulate the questionnaire in advance to relevant ministries, technical experts, indigenous peoples and local communities, women and youth networks, among others, for input and review; convene meetings or consultations to discuss responses and ensure consistency among departments, document areas where information is incomplete or uncertain, and retain supporting documents and references that may assist in future reporting or updates</w:t>
      </w:r>
      <w:r w:rsidR="00F816BF" w:rsidRPr="00A408B1">
        <w:rPr>
          <w:rFonts w:eastAsia="Times New Roman"/>
          <w:color w:val="242424"/>
        </w:rPr>
        <w:t>.</w:t>
      </w:r>
      <w:r w:rsidR="003C2FF9" w:rsidRPr="00A408B1">
        <w:rPr>
          <w:rFonts w:eastAsia="Times New Roman"/>
          <w:color w:val="242424"/>
        </w:rPr>
        <w:t xml:space="preserve"> </w:t>
      </w:r>
    </w:p>
    <w:p w14:paraId="2B2873A1" w14:textId="53EC2C37" w:rsidR="00E05143" w:rsidRPr="00A408B1" w:rsidRDefault="00C568CB" w:rsidP="00A408B1">
      <w:pPr>
        <w:pStyle w:val="CBDNormalNumber"/>
        <w:rPr>
          <w:rFonts w:eastAsia="Times New Roman"/>
          <w:color w:val="242424"/>
        </w:rPr>
      </w:pPr>
      <w:r w:rsidRPr="00A408B1">
        <w:rPr>
          <w:rFonts w:eastAsia="Times New Roman"/>
          <w:color w:val="242424"/>
        </w:rPr>
        <w:t>W</w:t>
      </w:r>
      <w:r w:rsidR="00F816BF" w:rsidRPr="00A408B1">
        <w:rPr>
          <w:rFonts w:eastAsia="Times New Roman"/>
          <w:color w:val="242424"/>
        </w:rPr>
        <w:t>here data is</w:t>
      </w:r>
      <w:r w:rsidR="007F334A" w:rsidRPr="00A408B1">
        <w:rPr>
          <w:rFonts w:eastAsia="Times New Roman"/>
          <w:color w:val="242424"/>
        </w:rPr>
        <w:t xml:space="preserve"> </w:t>
      </w:r>
      <w:r w:rsidR="00F816BF" w:rsidRPr="00A408B1">
        <w:rPr>
          <w:rFonts w:eastAsia="Times New Roman"/>
          <w:color w:val="242424"/>
        </w:rPr>
        <w:t xml:space="preserve">scarce and/or unevenly distributed across sites and sectors, Parties are encouraged to use the best available information, including national and subnational assessments, programme reports, </w:t>
      </w:r>
      <w:r w:rsidR="00F816BF" w:rsidRPr="00A408B1">
        <w:t>policy</w:t>
      </w:r>
      <w:r w:rsidR="00F816BF" w:rsidRPr="00A408B1">
        <w:rPr>
          <w:rFonts w:eastAsia="Times New Roman"/>
          <w:color w:val="242424"/>
        </w:rPr>
        <w:t xml:space="preserve"> documents, expert knowledge and other relevant sources. The absence of comprehensive nationwide biodiversity data should not preclude reporting where evidence exists to assess the implementation of relevant biodiversity and health policies, actions or frameworks. Where information is incomplete, Parties </w:t>
      </w:r>
      <w:r w:rsidR="001234E1" w:rsidRPr="00A408B1">
        <w:rPr>
          <w:rFonts w:eastAsia="Times New Roman"/>
          <w:color w:val="242424"/>
        </w:rPr>
        <w:t>should</w:t>
      </w:r>
      <w:r w:rsidR="00F816BF" w:rsidRPr="00A408B1">
        <w:rPr>
          <w:rFonts w:eastAsia="Times New Roman"/>
          <w:color w:val="242424"/>
        </w:rPr>
        <w:t xml:space="preserve"> document </w:t>
      </w:r>
      <w:r w:rsidR="008B2C2E" w:rsidRPr="00A408B1">
        <w:rPr>
          <w:rFonts w:eastAsia="Times New Roman"/>
          <w:color w:val="242424"/>
        </w:rPr>
        <w:t xml:space="preserve">the </w:t>
      </w:r>
      <w:r w:rsidR="00F816BF" w:rsidRPr="00A408B1">
        <w:rPr>
          <w:rFonts w:eastAsia="Times New Roman"/>
          <w:color w:val="242424"/>
        </w:rPr>
        <w:t xml:space="preserve">limitations and base their assessment on the evidence </w:t>
      </w:r>
      <w:proofErr w:type="gramStart"/>
      <w:r w:rsidR="00F816BF" w:rsidRPr="00A408B1">
        <w:rPr>
          <w:rFonts w:eastAsia="Times New Roman"/>
          <w:color w:val="242424"/>
        </w:rPr>
        <w:t>available .</w:t>
      </w:r>
      <w:proofErr w:type="gramEnd"/>
      <w:r w:rsidR="00F816BF" w:rsidRPr="00A408B1">
        <w:rPr>
          <w:rFonts w:eastAsia="Times New Roman"/>
          <w:color w:val="242424"/>
        </w:rPr>
        <w:t xml:space="preserve"> Responses are then used to generate a quantitative index for each indicator, as well as a national summary score, through </w:t>
      </w:r>
      <w:r w:rsidR="00361356" w:rsidRPr="00A408B1">
        <w:rPr>
          <w:rFonts w:eastAsia="Times New Roman"/>
          <w:color w:val="242424"/>
        </w:rPr>
        <w:t xml:space="preserve">the </w:t>
      </w:r>
      <w:r w:rsidR="00F816BF" w:rsidRPr="00A408B1">
        <w:rPr>
          <w:rFonts w:eastAsia="Times New Roman"/>
          <w:color w:val="242424"/>
        </w:rPr>
        <w:t xml:space="preserve">process </w:t>
      </w:r>
      <w:r w:rsidR="00361356" w:rsidRPr="00A408B1">
        <w:rPr>
          <w:rFonts w:eastAsia="Times New Roman"/>
          <w:color w:val="242424"/>
        </w:rPr>
        <w:t>detailed</w:t>
      </w:r>
      <w:r w:rsidR="00F816BF" w:rsidRPr="00A408B1">
        <w:rPr>
          <w:rFonts w:eastAsia="Times New Roman"/>
          <w:color w:val="242424"/>
        </w:rPr>
        <w:t xml:space="preserve"> in V. </w:t>
      </w:r>
      <w:r w:rsidR="00E05143" w:rsidRPr="00A408B1">
        <w:rPr>
          <w:rFonts w:eastAsia="Times New Roman"/>
          <w:color w:val="242424"/>
        </w:rPr>
        <w:t>For all questions, Parties are encouraged to rely on the "Comments" column to add free-form comments to explain or document the answer. These comments can eventually be gathered and considered through a process with the aim of refining the questionnaire over time.</w:t>
      </w:r>
    </w:p>
    <w:p w14:paraId="49E8BE2E" w14:textId="773C4345" w:rsidR="00E05143" w:rsidRPr="000B58F5" w:rsidRDefault="00E05143" w:rsidP="00A408B1">
      <w:pPr>
        <w:pStyle w:val="CBDH1"/>
      </w:pPr>
      <w:r w:rsidRPr="000B58F5">
        <w:t>V.</w:t>
      </w:r>
      <w:r w:rsidR="00FA6F69" w:rsidRPr="000B58F5">
        <w:tab/>
      </w:r>
      <w:r w:rsidRPr="000B58F5">
        <w:t xml:space="preserve">Computation </w:t>
      </w:r>
    </w:p>
    <w:p w14:paraId="00D4CAA0" w14:textId="77777777" w:rsidR="00E05143" w:rsidRPr="00A408B1" w:rsidRDefault="00E05143" w:rsidP="00A408B1">
      <w:pPr>
        <w:pStyle w:val="CBDNormalNumber"/>
        <w:rPr>
          <w:rFonts w:eastAsia="Times New Roman"/>
          <w:color w:val="242424"/>
        </w:rPr>
      </w:pPr>
      <w:r w:rsidRPr="00A408B1">
        <w:rPr>
          <w:rFonts w:eastAsia="Times New Roman"/>
          <w:color w:val="242424"/>
        </w:rPr>
        <w:t xml:space="preserve">The indicators </w:t>
      </w:r>
      <w:r w:rsidRPr="00A408B1">
        <w:t>employ</w:t>
      </w:r>
      <w:r w:rsidRPr="00A408B1">
        <w:rPr>
          <w:rFonts w:eastAsia="Times New Roman"/>
          <w:color w:val="242424"/>
        </w:rPr>
        <w:t xml:space="preserve"> the same Likert scale as indicator </w:t>
      </w:r>
      <w:proofErr w:type="gramStart"/>
      <w:r w:rsidRPr="00A408B1">
        <w:rPr>
          <w:rFonts w:eastAsia="Times New Roman"/>
          <w:color w:val="242424"/>
        </w:rPr>
        <w:t>23.CT.</w:t>
      </w:r>
      <w:proofErr w:type="gramEnd"/>
      <w:r w:rsidRPr="00A408B1">
        <w:rPr>
          <w:rFonts w:eastAsia="Times New Roman"/>
          <w:color w:val="242424"/>
        </w:rPr>
        <w:t>2</w:t>
      </w:r>
      <w:r w:rsidRPr="00A408B1">
        <w:rPr>
          <w:rFonts w:eastAsia="Times New Roman"/>
          <w:color w:val="242424"/>
          <w:vertAlign w:val="superscript"/>
        </w:rPr>
        <w:footnoteReference w:id="6"/>
      </w:r>
      <w:r w:rsidRPr="00A408B1">
        <w:rPr>
          <w:rFonts w:eastAsia="Times New Roman"/>
          <w:color w:val="242424"/>
        </w:rPr>
        <w:t xml:space="preserve"> of the Monitoring Framework, a measurement method widely used in social sciences. The progress measurement tool and scoring instrument contain a four-point scale, with “No” being 0% and “Fully” being 100%. Questions identified as “Not applicable” or “No relevant data” are not used in scoring.</w:t>
      </w:r>
    </w:p>
    <w:p w14:paraId="7E6DFC6A" w14:textId="77777777" w:rsidR="00E05143" w:rsidRPr="00A408B1" w:rsidRDefault="00E05143" w:rsidP="00A408B1">
      <w:pPr>
        <w:pStyle w:val="CBDNormalNumber"/>
        <w:rPr>
          <w:rFonts w:eastAsia="Times New Roman"/>
          <w:color w:val="242424"/>
          <w:sz w:val="18"/>
          <w:szCs w:val="18"/>
        </w:rPr>
      </w:pPr>
      <w:r w:rsidRPr="00A408B1">
        <w:rPr>
          <w:rFonts w:eastAsia="Times New Roman"/>
          <w:color w:val="242424"/>
        </w:rPr>
        <w:lastRenderedPageBreak/>
        <w:t xml:space="preserve">Indicator </w:t>
      </w:r>
      <w:proofErr w:type="gramStart"/>
      <w:r w:rsidRPr="00A408B1">
        <w:rPr>
          <w:rFonts w:eastAsia="Times New Roman"/>
          <w:color w:val="242424"/>
        </w:rPr>
        <w:t>23.CT.</w:t>
      </w:r>
      <w:proofErr w:type="gramEnd"/>
      <w:r w:rsidRPr="00A408B1">
        <w:rPr>
          <w:rFonts w:eastAsia="Times New Roman"/>
          <w:color w:val="242424"/>
        </w:rPr>
        <w:t>2 uses question-specific definitions of each point on the scale. Given the number of questions currently considered for these indicators, this was unfeasible, and the criteria were harmonized so that the categories for scoring are defined as:</w:t>
      </w:r>
    </w:p>
    <w:p w14:paraId="5C7979B9" w14:textId="6E15A658"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Fully (score of 100%)</w:t>
      </w:r>
      <w:r w:rsidRPr="00A408B1">
        <w:rPr>
          <w:rFonts w:eastAsia="Times New Roman"/>
          <w:color w:val="242424"/>
        </w:rPr>
        <w:t>: Select this option if the activity is fully implemented. Depending on the context, it should be evident and occur at different levels. For example, it may involve participation or input from multiple sectors and actors; have broad coverage (e.g</w:t>
      </w:r>
      <w:r w:rsidR="006C7F07">
        <w:rPr>
          <w:rFonts w:eastAsia="Times New Roman"/>
          <w:color w:val="242424"/>
        </w:rPr>
        <w:t>.</w:t>
      </w:r>
      <w:r w:rsidRPr="00A408B1">
        <w:rPr>
          <w:rFonts w:eastAsia="Times New Roman"/>
          <w:color w:val="242424"/>
        </w:rPr>
        <w:t xml:space="preserve"> nationwide or spanning more than one sector or area); be formalized and likely to continue over time; have a dedicated budget allocation; and be verifiable or easily identifiable. When this score is selected, Parties should provide additional comments in the </w:t>
      </w:r>
      <w:r w:rsidR="00D6421B">
        <w:rPr>
          <w:rFonts w:eastAsia="Times New Roman"/>
          <w:color w:val="242424"/>
        </w:rPr>
        <w:t>“</w:t>
      </w:r>
      <w:r w:rsidRPr="00A408B1">
        <w:rPr>
          <w:rFonts w:eastAsia="Times New Roman"/>
          <w:color w:val="242424"/>
        </w:rPr>
        <w:t>Means of verification” column that serve as evidence of progress or achievement</w:t>
      </w:r>
      <w:r w:rsidR="00D6421B">
        <w:rPr>
          <w:rFonts w:eastAsia="Times New Roman"/>
          <w:color w:val="242424"/>
        </w:rPr>
        <w:t>;</w:t>
      </w:r>
    </w:p>
    <w:p w14:paraId="3B3FA651" w14:textId="1B94AC1D"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Partially (score of 66.67%):</w:t>
      </w:r>
      <w:r w:rsidRPr="00A408B1">
        <w:rPr>
          <w:rFonts w:eastAsia="Times New Roman"/>
          <w:color w:val="242424"/>
        </w:rPr>
        <w:t xml:space="preserve"> Select this option if the activity is implemented in its entirety but meets some, but not all, of the parameters. For example, it may: involve only a limited number of sectors or actors; </w:t>
      </w:r>
      <w:r w:rsidRPr="00A408B1">
        <w:t>cover</w:t>
      </w:r>
      <w:r w:rsidRPr="00A408B1">
        <w:rPr>
          <w:rFonts w:eastAsia="Times New Roman"/>
          <w:color w:val="242424"/>
        </w:rPr>
        <w:t xml:space="preserve"> a narrower scope (e.g. local level, single sector, or specific area); be informal or temporary, with limited likelihood of continuation; have minimal or no dedicated budget allocation; be more difficult to verify or only partially documented</w:t>
      </w:r>
      <w:r w:rsidR="00D6421B">
        <w:rPr>
          <w:rFonts w:eastAsia="Times New Roman"/>
          <w:color w:val="242424"/>
        </w:rPr>
        <w:t>;</w:t>
      </w:r>
    </w:p>
    <w:p w14:paraId="13DC51C9" w14:textId="319B8E3B"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Under development (score of 33.33%):</w:t>
      </w:r>
      <w:r w:rsidRPr="00A408B1">
        <w:rPr>
          <w:rFonts w:eastAsia="Times New Roman"/>
          <w:color w:val="242424"/>
        </w:rPr>
        <w:t xml:space="preserve"> Select this option if the activity is in progress but has not been implemented in its entirety. For example, it may be in the planning or early implementation phase; involve initial consultations or limited participation from sectors and actors; have a draft framework, pilot, or strategy in place but not fully formalized; have potential funding identified, though not yet </w:t>
      </w:r>
      <w:r w:rsidRPr="00A408B1">
        <w:t>allocated</w:t>
      </w:r>
      <w:r w:rsidRPr="00A408B1">
        <w:rPr>
          <w:rFonts w:eastAsia="Times New Roman"/>
          <w:color w:val="242424"/>
        </w:rPr>
        <w:t xml:space="preserve"> or operational; show early evidence or commitments, but with limited concrete results so far. In this case, the action may (</w:t>
      </w:r>
      <w:proofErr w:type="spellStart"/>
      <w:r w:rsidRPr="00A408B1">
        <w:rPr>
          <w:rFonts w:eastAsia="Times New Roman"/>
          <w:color w:val="242424"/>
        </w:rPr>
        <w:t>i</w:t>
      </w:r>
      <w:proofErr w:type="spellEnd"/>
      <w:r w:rsidRPr="00A408B1">
        <w:rPr>
          <w:rFonts w:eastAsia="Times New Roman"/>
          <w:color w:val="242424"/>
        </w:rPr>
        <w:t>) indicate intent and movement toward implementation, but it is not yet fully operational or sustained; (ii) demonstrate progress but falls short of meeting the full set of parameters and being fully implemented. Which parameters apply will depend on the question asked. These parameters should be interpreted in the context of each specific question. Not all of them will apply in every case, but some may be particularly relevant depending on the question asked. This category differs from "Partially" in that it denotes work towards the mainstreaming of biodiversity and health that is ongoing and not currently part of standard procedures</w:t>
      </w:r>
      <w:r w:rsidR="00D6421B">
        <w:rPr>
          <w:rFonts w:eastAsia="Times New Roman"/>
          <w:color w:val="242424"/>
        </w:rPr>
        <w:t>;</w:t>
      </w:r>
    </w:p>
    <w:p w14:paraId="063A5621" w14:textId="37AC4207"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No (score of 0%):</w:t>
      </w:r>
      <w:r w:rsidRPr="00A408B1">
        <w:rPr>
          <w:rFonts w:eastAsia="Times New Roman"/>
          <w:color w:val="242424"/>
        </w:rPr>
        <w:t xml:space="preserve"> Select this option if no activity has been taken. When work to implement an action is </w:t>
      </w:r>
      <w:r w:rsidRPr="00A408B1">
        <w:t>planned</w:t>
      </w:r>
      <w:r w:rsidRPr="00A408B1">
        <w:rPr>
          <w:rFonts w:eastAsia="Times New Roman"/>
          <w:color w:val="242424"/>
        </w:rPr>
        <w:t xml:space="preserve"> but has not been initiated, use this answer rather than "Under development"</w:t>
      </w:r>
      <w:r w:rsidR="00D6421B">
        <w:rPr>
          <w:rFonts w:eastAsia="Times New Roman"/>
          <w:color w:val="242424"/>
        </w:rPr>
        <w:t>;</w:t>
      </w:r>
    </w:p>
    <w:p w14:paraId="0706D5C2" w14:textId="666DE327"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No relevant data:</w:t>
      </w:r>
      <w:r w:rsidRPr="00A408B1">
        <w:rPr>
          <w:rFonts w:eastAsia="Times New Roman"/>
          <w:color w:val="242424"/>
        </w:rPr>
        <w:t xml:space="preserve"> Select this option if the question cannot be answered due to a lack of reliable data to support an answer at the national level; selecting this option has no impact on the score and removes the question from </w:t>
      </w:r>
      <w:r w:rsidRPr="00A408B1">
        <w:t>scoring</w:t>
      </w:r>
      <w:r w:rsidRPr="00A408B1">
        <w:rPr>
          <w:rFonts w:eastAsia="Times New Roman"/>
          <w:color w:val="242424"/>
        </w:rPr>
        <w:t>. The use of the “No relevant data” answer can help Parties identify data gaps at the national or global scale</w:t>
      </w:r>
      <w:r w:rsidR="00D6421B">
        <w:rPr>
          <w:rFonts w:eastAsia="Times New Roman"/>
          <w:color w:val="242424"/>
        </w:rPr>
        <w:t>;</w:t>
      </w:r>
    </w:p>
    <w:p w14:paraId="2C431592" w14:textId="77777777" w:rsidR="00E05143" w:rsidRPr="00A408B1" w:rsidRDefault="00E05143" w:rsidP="00A408B1">
      <w:pPr>
        <w:pStyle w:val="CBDNormalNumber"/>
        <w:numPr>
          <w:ilvl w:val="1"/>
          <w:numId w:val="7"/>
        </w:numPr>
        <w:rPr>
          <w:rFonts w:eastAsia="Times New Roman"/>
          <w:color w:val="242424"/>
        </w:rPr>
      </w:pPr>
      <w:r w:rsidRPr="00A408B1">
        <w:rPr>
          <w:rFonts w:eastAsia="Times New Roman"/>
          <w:b/>
          <w:bCs/>
          <w:color w:val="242424"/>
        </w:rPr>
        <w:t>Not applicable:</w:t>
      </w:r>
      <w:r w:rsidRPr="00A408B1">
        <w:rPr>
          <w:rFonts w:eastAsia="Times New Roman"/>
          <w:color w:val="242424"/>
        </w:rPr>
        <w:t xml:space="preserve"> Select this option if the question is not relevant to national circumstances; selecting this option has no impact on the score and removes the question from scoring. The use of “Not Applicable” can help Parties account for national and/or regional differences.</w:t>
      </w:r>
    </w:p>
    <w:p w14:paraId="249F4E51" w14:textId="70729945" w:rsidR="00E05143" w:rsidRPr="000B58F5" w:rsidRDefault="00E05143" w:rsidP="00A408B1">
      <w:pPr>
        <w:pStyle w:val="CBDNormalNumber"/>
        <w:rPr>
          <w:rFonts w:eastAsia="Times New Roman"/>
          <w:color w:val="242424"/>
        </w:rPr>
      </w:pPr>
      <w:r w:rsidRPr="00A408B1">
        <w:rPr>
          <w:rFonts w:eastAsia="Times New Roman"/>
          <w:color w:val="242424"/>
        </w:rPr>
        <w:t xml:space="preserve">To facilitate reporting, questions </w:t>
      </w:r>
      <w:r w:rsidR="001C3D5E" w:rsidRPr="00A408B1">
        <w:rPr>
          <w:rFonts w:eastAsia="Times New Roman"/>
          <w:color w:val="242424"/>
        </w:rPr>
        <w:t>are</w:t>
      </w:r>
      <w:r w:rsidRPr="00A408B1">
        <w:rPr>
          <w:rFonts w:eastAsia="Times New Roman"/>
          <w:color w:val="242424"/>
        </w:rPr>
        <w:t xml:space="preserve"> classified into two tiers, whose impact on the score calculation is detailed below</w:t>
      </w:r>
      <w:r w:rsidR="007F334A" w:rsidRPr="00A408B1">
        <w:rPr>
          <w:rFonts w:eastAsia="Times New Roman"/>
          <w:color w:val="242424"/>
        </w:rPr>
        <w:t xml:space="preserve">. </w:t>
      </w:r>
      <w:r w:rsidR="00A7060D" w:rsidRPr="00A408B1">
        <w:rPr>
          <w:rFonts w:eastAsia="Times New Roman"/>
          <w:color w:val="242424"/>
        </w:rPr>
        <w:t>W</w:t>
      </w:r>
      <w:r w:rsidRPr="00A408B1">
        <w:rPr>
          <w:rFonts w:eastAsia="Times New Roman"/>
          <w:color w:val="242424"/>
        </w:rPr>
        <w:t xml:space="preserve">hen reporting capacities are limited, </w:t>
      </w:r>
      <w:r w:rsidR="00A7060D" w:rsidRPr="00A408B1">
        <w:rPr>
          <w:rFonts w:eastAsia="Times New Roman"/>
          <w:color w:val="242424"/>
        </w:rPr>
        <w:t>Parties are encouraged to</w:t>
      </w:r>
      <w:r w:rsidR="000078B1" w:rsidRPr="00A408B1">
        <w:rPr>
          <w:rFonts w:eastAsia="Times New Roman"/>
          <w:color w:val="242424"/>
        </w:rPr>
        <w:t xml:space="preserve"> prioritize</w:t>
      </w:r>
      <w:r w:rsidRPr="00A408B1">
        <w:rPr>
          <w:rFonts w:eastAsia="Times New Roman"/>
          <w:color w:val="242424"/>
        </w:rPr>
        <w:t xml:space="preserve"> indicators I, II, and III. These </w:t>
      </w:r>
      <w:r w:rsidRPr="00A408B1">
        <w:rPr>
          <w:rFonts w:eastAsia="Times New Roman"/>
        </w:rPr>
        <w:t>core indicators</w:t>
      </w:r>
      <w:r w:rsidR="00C84933" w:rsidRPr="00A408B1">
        <w:rPr>
          <w:rFonts w:eastAsia="Times New Roman"/>
        </w:rPr>
        <w:t xml:space="preserve"> </w:t>
      </w:r>
      <w:r w:rsidRPr="00A408B1">
        <w:rPr>
          <w:rFonts w:eastAsia="Times New Roman"/>
          <w:color w:val="242424"/>
        </w:rPr>
        <w:t xml:space="preserve">have been designed to </w:t>
      </w:r>
      <w:r w:rsidR="007F334A" w:rsidRPr="00A408B1">
        <w:rPr>
          <w:rFonts w:eastAsia="Times New Roman"/>
          <w:color w:val="242424"/>
        </w:rPr>
        <w:t>provide</w:t>
      </w:r>
      <w:r w:rsidRPr="00A408B1">
        <w:rPr>
          <w:rFonts w:eastAsia="Times New Roman"/>
          <w:color w:val="242424"/>
        </w:rPr>
        <w:t xml:space="preserve"> an overview of potential progress towards overarching actions that serve as steppingstones for further progress in mainstreaming biodiversity and health linkages. Reporting on </w:t>
      </w:r>
      <w:r w:rsidR="00393EA6" w:rsidRPr="00A408B1">
        <w:rPr>
          <w:rFonts w:eastAsia="Times New Roman"/>
          <w:color w:val="242424"/>
        </w:rPr>
        <w:t xml:space="preserve">these </w:t>
      </w:r>
      <w:r w:rsidRPr="00A408B1">
        <w:rPr>
          <w:rFonts w:eastAsia="Times New Roman"/>
          <w:color w:val="242424"/>
        </w:rPr>
        <w:t xml:space="preserve">indicators can be further complemented with the use of </w:t>
      </w:r>
      <w:r w:rsidR="00973C64" w:rsidRPr="00A408B1">
        <w:rPr>
          <w:rFonts w:eastAsia="Times New Roman"/>
          <w:color w:val="242424"/>
        </w:rPr>
        <w:t xml:space="preserve">sector-specific </w:t>
      </w:r>
      <w:r w:rsidRPr="00A408B1">
        <w:rPr>
          <w:rFonts w:eastAsia="Times New Roman"/>
          <w:color w:val="242424"/>
        </w:rPr>
        <w:t>indicators (IV to XVII). Therefore, countries could opt, according to their capacities, to use only indicators I, II and III, the whole set of seventeen indicators, or thematic indicators (IV to XVII) individually. Moreover, if reporting capacities prevent answering all the questions, reporting should focus on Tier 1 questions, as they measure progress on actions that enable further progress on the GAP, as opposed to Tier 2 questions that capture the nuance of progress made on these actions.</w:t>
      </w:r>
    </w:p>
    <w:p w14:paraId="0E8C4FD2" w14:textId="77777777" w:rsidR="00E05143" w:rsidRPr="000B58F5" w:rsidRDefault="00E05143" w:rsidP="00A408B1">
      <w:pPr>
        <w:pStyle w:val="CBDNormalNumber"/>
        <w:rPr>
          <w:rFonts w:eastAsia="Times New Roman"/>
          <w:color w:val="242424"/>
        </w:rPr>
      </w:pPr>
      <w:r w:rsidRPr="00A408B1">
        <w:rPr>
          <w:rFonts w:eastAsia="Times New Roman"/>
          <w:color w:val="242424"/>
        </w:rPr>
        <w:lastRenderedPageBreak/>
        <w:t>The two steps to calculate the indicator score are:</w:t>
      </w:r>
    </w:p>
    <w:p w14:paraId="37DEEF53" w14:textId="57CF0D5B" w:rsidR="00E05143" w:rsidRPr="00A408B1" w:rsidRDefault="00E05143" w:rsidP="007F35CE">
      <w:pPr>
        <w:numPr>
          <w:ilvl w:val="0"/>
          <w:numId w:val="8"/>
        </w:numPr>
        <w:pBdr>
          <w:top w:val="nil"/>
          <w:left w:val="nil"/>
          <w:bottom w:val="nil"/>
          <w:right w:val="nil"/>
          <w:between w:val="nil"/>
        </w:pBdr>
        <w:tabs>
          <w:tab w:val="clear" w:pos="567"/>
          <w:tab w:val="clear" w:pos="1134"/>
          <w:tab w:val="clear" w:pos="1701"/>
          <w:tab w:val="clear" w:pos="2268"/>
          <w:tab w:val="left" w:pos="1710"/>
        </w:tabs>
        <w:spacing w:before="240" w:after="240"/>
        <w:ind w:left="540" w:firstLine="540"/>
        <w:rPr>
          <w:rFonts w:eastAsia="Times New Roman"/>
          <w:color w:val="242424"/>
        </w:rPr>
      </w:pPr>
      <w:r w:rsidRPr="00A408B1">
        <w:rPr>
          <w:rFonts w:eastAsia="Times New Roman"/>
          <w:b/>
          <w:bCs/>
          <w:color w:val="242424"/>
        </w:rPr>
        <w:t>Step 1.</w:t>
      </w:r>
      <w:r w:rsidRPr="00A408B1">
        <w:rPr>
          <w:rFonts w:eastAsia="Times New Roman"/>
          <w:color w:val="242424"/>
        </w:rPr>
        <w:t xml:space="preserve"> Assign numerical values to categorical responses. Categorical values for each answer correspond to: (a) Fully = 100%; (b) Partially = 66.67%; (c) Under development = 33.33%; (d) No = 0%. Questions that are scored as </w:t>
      </w:r>
      <w:r w:rsidR="00817A31">
        <w:rPr>
          <w:rFonts w:eastAsia="Times New Roman"/>
          <w:color w:val="242424"/>
        </w:rPr>
        <w:t>“</w:t>
      </w:r>
      <w:r w:rsidRPr="00A408B1">
        <w:rPr>
          <w:rFonts w:eastAsia="Times New Roman"/>
          <w:color w:val="242424"/>
        </w:rPr>
        <w:t>Not applicable</w:t>
      </w:r>
      <w:r w:rsidR="00817A31">
        <w:rPr>
          <w:rFonts w:eastAsia="Times New Roman"/>
          <w:color w:val="242424"/>
        </w:rPr>
        <w:t>”</w:t>
      </w:r>
      <w:r w:rsidRPr="00A408B1">
        <w:rPr>
          <w:rFonts w:eastAsia="Times New Roman"/>
          <w:color w:val="242424"/>
        </w:rPr>
        <w:t xml:space="preserve"> or </w:t>
      </w:r>
      <w:r w:rsidR="00817A31">
        <w:rPr>
          <w:rFonts w:eastAsia="Times New Roman"/>
          <w:color w:val="242424"/>
        </w:rPr>
        <w:t>“</w:t>
      </w:r>
      <w:r w:rsidRPr="00A408B1">
        <w:rPr>
          <w:rFonts w:eastAsia="Times New Roman"/>
          <w:color w:val="242424"/>
        </w:rPr>
        <w:t>No relevant data” are not counted in the index and do not impact the response rate</w:t>
      </w:r>
      <w:r w:rsidR="001A708B">
        <w:rPr>
          <w:rFonts w:eastAsia="Times New Roman"/>
          <w:color w:val="242424"/>
        </w:rPr>
        <w:t>;</w:t>
      </w:r>
    </w:p>
    <w:p w14:paraId="72628DEE" w14:textId="2C788CB5" w:rsidR="00027283" w:rsidRPr="00A408B1" w:rsidRDefault="00E05143" w:rsidP="007F35CE">
      <w:pPr>
        <w:pStyle w:val="ListParagraph"/>
        <w:numPr>
          <w:ilvl w:val="0"/>
          <w:numId w:val="8"/>
        </w:numPr>
        <w:ind w:left="540" w:firstLine="540"/>
        <w:rPr>
          <w:rFonts w:eastAsia="Times New Roman"/>
          <w:color w:val="242424"/>
        </w:rPr>
      </w:pPr>
      <w:r w:rsidRPr="00A408B1">
        <w:rPr>
          <w:rFonts w:eastAsia="Times New Roman"/>
          <w:b/>
          <w:bCs/>
          <w:color w:val="242424"/>
        </w:rPr>
        <w:t>Step 2.</w:t>
      </w:r>
      <w:r w:rsidRPr="00A408B1">
        <w:rPr>
          <w:rFonts w:eastAsia="Times New Roman"/>
          <w:color w:val="242424"/>
        </w:rPr>
        <w:t xml:space="preserve"> Weight the value of each question according to its Tier. </w:t>
      </w:r>
      <w:r w:rsidR="00027283" w:rsidRPr="00A408B1">
        <w:rPr>
          <w:rFonts w:eastAsia="Times New Roman"/>
          <w:color w:val="242424"/>
        </w:rPr>
        <w:t>Questions are weighted by their Tier. Tier 1 questions carry a weight of 2, while Tier 2 questions carry a weight of 1.</w:t>
      </w:r>
    </w:p>
    <w:p w14:paraId="56EB73BD" w14:textId="3D405345" w:rsidR="00027283" w:rsidRPr="00A408B1" w:rsidRDefault="00027283" w:rsidP="00F816BF">
      <w:pPr>
        <w:pStyle w:val="ListParagraph"/>
        <w:ind w:left="540" w:firstLine="540"/>
        <w:rPr>
          <w:rFonts w:eastAsia="Times New Roman"/>
          <w:color w:val="242424"/>
        </w:rPr>
      </w:pPr>
      <w:r w:rsidRPr="00A408B1">
        <w:rPr>
          <w:rFonts w:eastAsia="Times New Roman"/>
          <w:i/>
          <w:iCs/>
          <w:color w:val="242424"/>
        </w:rPr>
        <w:t>Tier 1- Foundational questions</w:t>
      </w:r>
      <w:r w:rsidRPr="00A408B1">
        <w:rPr>
          <w:rFonts w:eastAsia="Times New Roman"/>
          <w:color w:val="242424"/>
        </w:rPr>
        <w:t xml:space="preserve">: These measure essential enabling conditions and foundational processes that act as steppingstones for future action or directly measure the most critical concepts (such as high-level requirements) within a thematic area. </w:t>
      </w:r>
      <w:r w:rsidRPr="00A408B1">
        <w:rPr>
          <w:rFonts w:eastAsia="Times New Roman"/>
          <w:i/>
          <w:iCs/>
          <w:color w:val="242424"/>
        </w:rPr>
        <w:t>Tier 2 -Granular questions</w:t>
      </w:r>
      <w:r w:rsidRPr="00A408B1">
        <w:rPr>
          <w:rFonts w:eastAsia="Times New Roman"/>
          <w:color w:val="242424"/>
        </w:rPr>
        <w:t>: These depend on Tier 1 elements, provide finer detail or nuance regarding progress, or focus on more specific sub-domains that presuppose the existence of a Tier 1 condition</w:t>
      </w:r>
      <w:r w:rsidR="001A708B">
        <w:rPr>
          <w:rFonts w:eastAsia="Times New Roman"/>
          <w:color w:val="242424"/>
        </w:rPr>
        <w:t>;</w:t>
      </w:r>
    </w:p>
    <w:p w14:paraId="794D9299" w14:textId="67C75787" w:rsidR="00E05143" w:rsidRPr="00A408B1" w:rsidRDefault="00E05143" w:rsidP="007F35CE">
      <w:pPr>
        <w:numPr>
          <w:ilvl w:val="0"/>
          <w:numId w:val="8"/>
        </w:numPr>
        <w:pBdr>
          <w:top w:val="nil"/>
          <w:left w:val="nil"/>
          <w:bottom w:val="nil"/>
          <w:right w:val="nil"/>
          <w:between w:val="nil"/>
        </w:pBdr>
        <w:tabs>
          <w:tab w:val="clear" w:pos="567"/>
          <w:tab w:val="clear" w:pos="1134"/>
          <w:tab w:val="clear" w:pos="1701"/>
          <w:tab w:val="clear" w:pos="2268"/>
          <w:tab w:val="left" w:pos="1710"/>
        </w:tabs>
        <w:spacing w:before="240" w:after="240" w:line="259" w:lineRule="auto"/>
        <w:ind w:left="540" w:firstLine="540"/>
        <w:rPr>
          <w:rFonts w:eastAsia="Times New Roman"/>
          <w:color w:val="242424"/>
        </w:rPr>
      </w:pPr>
      <w:r w:rsidRPr="00A408B1">
        <w:rPr>
          <w:rFonts w:eastAsia="Times New Roman"/>
          <w:b/>
          <w:bCs/>
          <w:color w:val="242424"/>
        </w:rPr>
        <w:t>Step 3.</w:t>
      </w:r>
      <w:r w:rsidRPr="00A408B1">
        <w:rPr>
          <w:rFonts w:eastAsia="Times New Roman"/>
          <w:color w:val="242424"/>
        </w:rPr>
        <w:t xml:space="preserve"> For each indicator, the reporting sheet of the progress measurement tool will be updated with two values: the indicator score (accounting for the weights of questions), and the response rate (proportion of questions that have been answered</w:t>
      </w:r>
      <w:r w:rsidR="008B4B67" w:rsidRPr="00A408B1">
        <w:rPr>
          <w:rFonts w:eastAsia="Times New Roman"/>
          <w:color w:val="242424"/>
        </w:rPr>
        <w:t xml:space="preserve"> by the user</w:t>
      </w:r>
      <w:r w:rsidRPr="00A408B1">
        <w:rPr>
          <w:rFonts w:eastAsia="Times New Roman"/>
          <w:color w:val="242424"/>
        </w:rPr>
        <w:t>). Both the score and the response rate are given as percentages</w:t>
      </w:r>
      <w:r w:rsidR="001A708B">
        <w:rPr>
          <w:rFonts w:eastAsia="Times New Roman"/>
          <w:color w:val="242424"/>
        </w:rPr>
        <w:t>;</w:t>
      </w:r>
    </w:p>
    <w:p w14:paraId="2FFDF264" w14:textId="5D79A21E" w:rsidR="00E05143" w:rsidRPr="00A408B1" w:rsidRDefault="00E05143" w:rsidP="007F35CE">
      <w:pPr>
        <w:numPr>
          <w:ilvl w:val="0"/>
          <w:numId w:val="8"/>
        </w:numPr>
        <w:pBdr>
          <w:top w:val="nil"/>
          <w:left w:val="nil"/>
          <w:bottom w:val="nil"/>
          <w:right w:val="nil"/>
          <w:between w:val="nil"/>
        </w:pBdr>
        <w:tabs>
          <w:tab w:val="clear" w:pos="567"/>
          <w:tab w:val="clear" w:pos="1134"/>
          <w:tab w:val="clear" w:pos="1701"/>
          <w:tab w:val="clear" w:pos="2268"/>
          <w:tab w:val="left" w:pos="1710"/>
        </w:tabs>
        <w:spacing w:before="240" w:after="240" w:line="259" w:lineRule="auto"/>
        <w:ind w:left="540" w:firstLine="540"/>
        <w:rPr>
          <w:rFonts w:eastAsia="Times New Roman"/>
          <w:color w:val="242424"/>
        </w:rPr>
      </w:pPr>
      <w:r w:rsidRPr="00A408B1">
        <w:rPr>
          <w:rFonts w:eastAsia="Times New Roman"/>
          <w:b/>
          <w:bCs/>
          <w:color w:val="242424"/>
        </w:rPr>
        <w:t>Step 4.</w:t>
      </w:r>
      <w:r w:rsidRPr="00A408B1">
        <w:rPr>
          <w:rFonts w:eastAsia="Times New Roman"/>
          <w:color w:val="242424"/>
        </w:rPr>
        <w:t xml:space="preserve"> The National summary score, as well as the scores of all indicators, are updated in real time when questions are scored. The national summary score is measured as the weighted average of the indicator scores, where the weights are the response rate of each indicator. This method was chosen to ensure that indicators with lower response rates do not disproportionately affect the national summary score. The questions scored as </w:t>
      </w:r>
      <w:r w:rsidR="001A708B">
        <w:rPr>
          <w:rFonts w:eastAsia="Times New Roman"/>
          <w:color w:val="242424"/>
        </w:rPr>
        <w:t>“</w:t>
      </w:r>
      <w:r w:rsidRPr="00A408B1">
        <w:rPr>
          <w:rFonts w:eastAsia="Times New Roman"/>
          <w:color w:val="242424"/>
        </w:rPr>
        <w:t>Not relevant</w:t>
      </w:r>
      <w:r w:rsidR="001A708B">
        <w:rPr>
          <w:rFonts w:eastAsia="Times New Roman"/>
          <w:color w:val="242424"/>
        </w:rPr>
        <w:t>”</w:t>
      </w:r>
      <w:r w:rsidRPr="00A408B1">
        <w:rPr>
          <w:rFonts w:eastAsia="Times New Roman"/>
          <w:color w:val="242424"/>
        </w:rPr>
        <w:t xml:space="preserve"> and “No relevant data</w:t>
      </w:r>
      <w:r w:rsidR="001A708B">
        <w:rPr>
          <w:rFonts w:eastAsia="Times New Roman"/>
          <w:color w:val="242424"/>
        </w:rPr>
        <w:t>”</w:t>
      </w:r>
      <w:r w:rsidRPr="00A408B1">
        <w:rPr>
          <w:rFonts w:eastAsia="Times New Roman"/>
          <w:color w:val="242424"/>
        </w:rPr>
        <w:t xml:space="preserve"> do not affect the response rate and therefore do not negatively affect the national summary score.</w:t>
      </w:r>
    </w:p>
    <w:p w14:paraId="3C48B514" w14:textId="1E4D3656" w:rsidR="00E05143" w:rsidRPr="000B58F5" w:rsidRDefault="00E05143" w:rsidP="00A408B1">
      <w:pPr>
        <w:pStyle w:val="CBDH1"/>
      </w:pPr>
      <w:r w:rsidRPr="000B58F5">
        <w:t>VI.</w:t>
      </w:r>
      <w:r w:rsidR="00FA6F69" w:rsidRPr="000B58F5">
        <w:tab/>
      </w:r>
      <w:r w:rsidRPr="000B58F5">
        <w:t>Interpretation</w:t>
      </w:r>
    </w:p>
    <w:p w14:paraId="4C57966F" w14:textId="77777777" w:rsidR="00E05143" w:rsidRPr="00A408B1" w:rsidRDefault="00E05143" w:rsidP="00A408B1">
      <w:pPr>
        <w:pStyle w:val="CBDNormalNumber"/>
        <w:rPr>
          <w:rFonts w:eastAsia="Times New Roman"/>
          <w:color w:val="242424"/>
        </w:rPr>
      </w:pPr>
      <w:r w:rsidRPr="00A408B1">
        <w:rPr>
          <w:rFonts w:eastAsia="Times New Roman"/>
          <w:color w:val="242424"/>
        </w:rPr>
        <w:t xml:space="preserve">The indicators should be interpreted as a measure of the extent to which biodiversity and health considerations are integrated within national policies and strategies, within the context of the thematic categories within the GAP. Positive progress across areas (high score, or alternatively, increasing score when the reporting is conducted several times) indicates the development of enabling conditions necessary for the implementation of integrated biodiversity-health approaches. </w:t>
      </w:r>
    </w:p>
    <w:p w14:paraId="5732F5D1" w14:textId="132A4821" w:rsidR="00E05143" w:rsidRPr="00A408B1" w:rsidRDefault="00E05143" w:rsidP="00A408B1">
      <w:pPr>
        <w:pStyle w:val="CBDNormalNumber"/>
        <w:rPr>
          <w:rFonts w:eastAsia="Times New Roman"/>
          <w:color w:val="242424"/>
        </w:rPr>
      </w:pPr>
      <w:r w:rsidRPr="00A408B1">
        <w:rPr>
          <w:rFonts w:eastAsia="Times New Roman"/>
          <w:color w:val="242424"/>
        </w:rPr>
        <w:t xml:space="preserve">Parties are encouraged </w:t>
      </w:r>
      <w:r w:rsidRPr="00A408B1">
        <w:t>to</w:t>
      </w:r>
      <w:r w:rsidRPr="00A408B1">
        <w:rPr>
          <w:rFonts w:eastAsia="Times New Roman"/>
          <w:color w:val="242424"/>
        </w:rPr>
        <w:t xml:space="preserve"> interpret the indicators and national summary score using the “traffic light” system:</w:t>
      </w:r>
      <w:r w:rsidRPr="00A408B1">
        <w:rPr>
          <w:rStyle w:val="FootnoteReference"/>
          <w:rFonts w:eastAsia="Times New Roman"/>
          <w:color w:val="242424"/>
        </w:rPr>
        <w:footnoteReference w:id="7"/>
      </w:r>
    </w:p>
    <w:tbl>
      <w:tblPr>
        <w:tblStyle w:val="TableGrid"/>
        <w:tblW w:w="8815" w:type="dxa"/>
        <w:tblInd w:w="540" w:type="dxa"/>
        <w:tblLook w:val="04A0" w:firstRow="1" w:lastRow="0" w:firstColumn="1" w:lastColumn="0" w:noHBand="0" w:noVBand="1"/>
      </w:tblPr>
      <w:tblGrid>
        <w:gridCol w:w="4225"/>
        <w:gridCol w:w="4590"/>
      </w:tblGrid>
      <w:tr w:rsidR="00817F11" w:rsidRPr="00A408B1" w14:paraId="04F2FD55" w14:textId="77777777" w:rsidTr="00817F11">
        <w:trPr>
          <w:trHeight w:val="288"/>
        </w:trPr>
        <w:tc>
          <w:tcPr>
            <w:tcW w:w="4225" w:type="dxa"/>
            <w:shd w:val="clear" w:color="auto" w:fill="EE0000"/>
          </w:tcPr>
          <w:p w14:paraId="41B8B8FB" w14:textId="6165FE68"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Index smaller than 33%</w:t>
            </w:r>
          </w:p>
        </w:tc>
        <w:tc>
          <w:tcPr>
            <w:tcW w:w="4590" w:type="dxa"/>
          </w:tcPr>
          <w:p w14:paraId="669D3F6F" w14:textId="2F58A685"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Further progress needed</w:t>
            </w:r>
          </w:p>
        </w:tc>
      </w:tr>
      <w:tr w:rsidR="00817F11" w:rsidRPr="00A408B1" w14:paraId="5021538B" w14:textId="77777777" w:rsidTr="00817F11">
        <w:trPr>
          <w:trHeight w:val="288"/>
        </w:trPr>
        <w:tc>
          <w:tcPr>
            <w:tcW w:w="4225" w:type="dxa"/>
            <w:shd w:val="clear" w:color="auto" w:fill="FFC000"/>
          </w:tcPr>
          <w:p w14:paraId="7E73BF76" w14:textId="3947B651"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Index between 33 and 66%</w:t>
            </w:r>
          </w:p>
        </w:tc>
        <w:tc>
          <w:tcPr>
            <w:tcW w:w="4590" w:type="dxa"/>
          </w:tcPr>
          <w:p w14:paraId="398512E5" w14:textId="26492108"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Moderate progress</w:t>
            </w:r>
          </w:p>
        </w:tc>
      </w:tr>
      <w:tr w:rsidR="00817F11" w:rsidRPr="00A408B1" w14:paraId="56A95F93" w14:textId="77777777" w:rsidTr="00817F11">
        <w:trPr>
          <w:trHeight w:val="288"/>
        </w:trPr>
        <w:tc>
          <w:tcPr>
            <w:tcW w:w="4225" w:type="dxa"/>
            <w:shd w:val="clear" w:color="auto" w:fill="92D050"/>
          </w:tcPr>
          <w:p w14:paraId="78ED4C8A" w14:textId="2EE4DCAE"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Index greater than 66%</w:t>
            </w:r>
          </w:p>
        </w:tc>
        <w:tc>
          <w:tcPr>
            <w:tcW w:w="4590" w:type="dxa"/>
          </w:tcPr>
          <w:p w14:paraId="429E3FD8" w14:textId="0FDCDFB9" w:rsidR="00817F11" w:rsidRPr="00A408B1" w:rsidRDefault="00817F11" w:rsidP="00A408B1">
            <w:pPr>
              <w:tabs>
                <w:tab w:val="clear" w:pos="567"/>
                <w:tab w:val="clear" w:pos="1134"/>
                <w:tab w:val="clear" w:pos="1701"/>
                <w:tab w:val="clear" w:pos="2268"/>
                <w:tab w:val="left" w:pos="1170"/>
              </w:tabs>
              <w:spacing w:before="120" w:after="120"/>
              <w:rPr>
                <w:rFonts w:eastAsia="Times New Roman"/>
                <w:color w:val="242424"/>
                <w:sz w:val="20"/>
                <w:szCs w:val="20"/>
              </w:rPr>
            </w:pPr>
            <w:r w:rsidRPr="00A408B1">
              <w:rPr>
                <w:rFonts w:eastAsia="Times New Roman"/>
                <w:color w:val="242424"/>
                <w:sz w:val="20"/>
                <w:szCs w:val="20"/>
              </w:rPr>
              <w:t>Good progress</w:t>
            </w:r>
          </w:p>
        </w:tc>
      </w:tr>
    </w:tbl>
    <w:p w14:paraId="6AEDFC31" w14:textId="0968EB07" w:rsidR="00E05143" w:rsidRPr="00A408B1" w:rsidRDefault="00E05143" w:rsidP="00A408B1">
      <w:pPr>
        <w:pStyle w:val="CBDNormalNumber"/>
        <w:rPr>
          <w:rFonts w:eastAsia="Times New Roman"/>
          <w:color w:val="242424"/>
        </w:rPr>
      </w:pPr>
      <w:r w:rsidRPr="00A408B1">
        <w:rPr>
          <w:rFonts w:eastAsia="Times New Roman"/>
          <w:color w:val="242424"/>
        </w:rPr>
        <w:t xml:space="preserve">As the indicators aggregate multiple components across the scope of the GAP, opposing trends may offset each other in the overall score. For example, improvements in some areas may hide declines in other areas. To address this, the indicators should be interpreted on their own, and not only through the national </w:t>
      </w:r>
      <w:r w:rsidRPr="00A408B1">
        <w:t>summary</w:t>
      </w:r>
      <w:r w:rsidRPr="00A408B1">
        <w:rPr>
          <w:rFonts w:eastAsia="Times New Roman"/>
          <w:color w:val="242424"/>
        </w:rPr>
        <w:t xml:space="preserve"> score. By way of example, two countries (A and B) with national summary scores of 70% are on average making </w:t>
      </w:r>
      <w:r w:rsidR="0098018A">
        <w:rPr>
          <w:rFonts w:eastAsia="Times New Roman"/>
          <w:color w:val="242424"/>
        </w:rPr>
        <w:t>“</w:t>
      </w:r>
      <w:r w:rsidRPr="00A408B1">
        <w:rPr>
          <w:rFonts w:eastAsia="Times New Roman"/>
          <w:color w:val="242424"/>
        </w:rPr>
        <w:t>good progress</w:t>
      </w:r>
      <w:r w:rsidR="0098018A">
        <w:rPr>
          <w:rFonts w:eastAsia="Times New Roman"/>
          <w:color w:val="242424"/>
        </w:rPr>
        <w:t>”</w:t>
      </w:r>
      <w:r w:rsidRPr="00A408B1">
        <w:rPr>
          <w:rFonts w:eastAsia="Times New Roman"/>
          <w:color w:val="242424"/>
        </w:rPr>
        <w:t xml:space="preserve">. If Country A has lower scores on indicators I, II, and III, but higher scores on all other indicators, this would suggest that good progress is made on specific actions, but hindered by a lack of national capacity; if </w:t>
      </w:r>
      <w:r w:rsidR="000871DC" w:rsidRPr="00A408B1">
        <w:rPr>
          <w:rFonts w:eastAsia="Times New Roman"/>
          <w:color w:val="242424"/>
        </w:rPr>
        <w:t xml:space="preserve">Country </w:t>
      </w:r>
      <w:r w:rsidRPr="00A408B1">
        <w:rPr>
          <w:rFonts w:eastAsia="Times New Roman"/>
          <w:color w:val="242424"/>
        </w:rPr>
        <w:t xml:space="preserve">B </w:t>
      </w:r>
      <w:proofErr w:type="gramStart"/>
      <w:r w:rsidRPr="00A408B1">
        <w:rPr>
          <w:rFonts w:eastAsia="Times New Roman"/>
          <w:color w:val="242424"/>
        </w:rPr>
        <w:t>has</w:t>
      </w:r>
      <w:proofErr w:type="gramEnd"/>
      <w:r w:rsidRPr="00A408B1">
        <w:rPr>
          <w:rFonts w:eastAsia="Times New Roman"/>
          <w:color w:val="242424"/>
        </w:rPr>
        <w:t xml:space="preserve"> equal scores </w:t>
      </w:r>
      <w:r w:rsidRPr="00A408B1">
        <w:rPr>
          <w:rFonts w:eastAsia="Times New Roman"/>
          <w:color w:val="242424"/>
        </w:rPr>
        <w:lastRenderedPageBreak/>
        <w:t>across all indicators, this would suggest that progress is being made at equal levels on both national capacity and specific thematic areas.</w:t>
      </w:r>
    </w:p>
    <w:p w14:paraId="76D971BB" w14:textId="4E1E0AF5" w:rsidR="00A111D1" w:rsidRPr="00A408B1" w:rsidRDefault="00E05143" w:rsidP="00A408B1">
      <w:pPr>
        <w:pStyle w:val="CBDNormalNumber"/>
      </w:pPr>
      <w:r w:rsidRPr="00A408B1">
        <w:rPr>
          <w:rFonts w:eastAsia="Times New Roman"/>
          <w:color w:val="242424"/>
        </w:rPr>
        <w:t xml:space="preserve">Reporting based only on answering Tier 1 questions would provide a holistic assessment of both national capacity </w:t>
      </w:r>
      <w:r w:rsidRPr="00A408B1">
        <w:t>and</w:t>
      </w:r>
      <w:r w:rsidRPr="00A408B1">
        <w:rPr>
          <w:rFonts w:eastAsia="Times New Roman"/>
          <w:color w:val="242424"/>
        </w:rPr>
        <w:t xml:space="preserve"> progress on specific actions. Adding the reporting for Tier 2 questions allows Parties to identify areas where progress is being made, or where reporting is hindered by lack of relevant data, in a more granular and </w:t>
      </w:r>
      <w:r w:rsidRPr="00A408B1">
        <w:rPr>
          <w:rFonts w:eastAsia="Times New Roman"/>
        </w:rPr>
        <w:t>thematically specific</w:t>
      </w:r>
      <w:r w:rsidRPr="00A408B1">
        <w:rPr>
          <w:rFonts w:eastAsia="Times New Roman"/>
          <w:color w:val="242424"/>
        </w:rPr>
        <w:t xml:space="preserve"> way. Parties are encouraged to specify what their reporting strategies were.</w:t>
      </w:r>
      <w:bookmarkStart w:id="0" w:name="_heading=h.8819f91q261m"/>
      <w:bookmarkStart w:id="1" w:name="_heading=h.vrf85dls9zyf"/>
      <w:bookmarkStart w:id="2" w:name="_heading=h.irq59qqlw9tf"/>
      <w:bookmarkEnd w:id="0"/>
      <w:bookmarkEnd w:id="1"/>
      <w:bookmarkEnd w:id="2"/>
    </w:p>
    <w:p w14:paraId="06AA0EDA" w14:textId="3EE4AA10" w:rsidR="001816A6" w:rsidRPr="00A408B1" w:rsidRDefault="001816A6" w:rsidP="00A408B1">
      <w:pPr>
        <w:pBdr>
          <w:top w:val="nil"/>
          <w:left w:val="nil"/>
          <w:bottom w:val="nil"/>
          <w:right w:val="nil"/>
          <w:between w:val="nil"/>
        </w:pBdr>
        <w:tabs>
          <w:tab w:val="clear" w:pos="567"/>
          <w:tab w:val="clear" w:pos="1134"/>
          <w:tab w:val="clear" w:pos="1701"/>
          <w:tab w:val="clear" w:pos="2268"/>
          <w:tab w:val="left" w:pos="1170"/>
        </w:tabs>
        <w:spacing w:before="240" w:after="120" w:line="259" w:lineRule="auto"/>
        <w:ind w:left="540"/>
        <w:jc w:val="center"/>
      </w:pPr>
      <w:r>
        <w:rPr>
          <w:rFonts w:eastAsia="Times New Roman"/>
          <w:color w:val="242424"/>
        </w:rPr>
        <w:t>__________</w:t>
      </w:r>
    </w:p>
    <w:sectPr w:rsidR="001816A6" w:rsidRPr="00A408B1" w:rsidSect="00A408B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417F" w14:textId="77777777" w:rsidR="007F35CE" w:rsidRPr="000B58F5" w:rsidRDefault="007F35CE" w:rsidP="00CF1848">
      <w:r w:rsidRPr="000B58F5">
        <w:separator/>
      </w:r>
    </w:p>
  </w:endnote>
  <w:endnote w:type="continuationSeparator" w:id="0">
    <w:p w14:paraId="0C0AA8C4" w14:textId="77777777" w:rsidR="007F35CE" w:rsidRPr="000B58F5" w:rsidRDefault="007F35CE" w:rsidP="00CF1848">
      <w:r w:rsidRPr="000B5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10E46F" w14:textId="77777777" w:rsidR="00D75CA6" w:rsidRPr="000B58F5" w:rsidRDefault="00D75CA6" w:rsidP="00A408B1">
            <w:pPr>
              <w:pStyle w:val="Footer"/>
              <w:jc w:val="right"/>
            </w:pPr>
            <w:r w:rsidRPr="00A408B1">
              <w:rPr>
                <w:szCs w:val="20"/>
              </w:rPr>
              <w:fldChar w:fldCharType="begin"/>
            </w:r>
            <w:r w:rsidRPr="00A408B1">
              <w:rPr>
                <w:szCs w:val="20"/>
              </w:rPr>
              <w:instrText xml:space="preserve"> PAGE </w:instrText>
            </w:r>
            <w:r w:rsidRPr="00A408B1">
              <w:rPr>
                <w:szCs w:val="20"/>
              </w:rPr>
              <w:fldChar w:fldCharType="separate"/>
            </w:r>
            <w:r w:rsidRPr="00A408B1">
              <w:rPr>
                <w:noProof/>
                <w:szCs w:val="20"/>
              </w:rPr>
              <w:t>2</w:t>
            </w:r>
            <w:r w:rsidRPr="00A408B1">
              <w:rPr>
                <w:szCs w:val="20"/>
              </w:rPr>
              <w:fldChar w:fldCharType="end"/>
            </w:r>
            <w:r w:rsidRPr="001A708B">
              <w:rPr>
                <w:szCs w:val="20"/>
              </w:rPr>
              <w:t>/</w:t>
            </w:r>
            <w:r w:rsidRPr="00A408B1">
              <w:rPr>
                <w:szCs w:val="20"/>
              </w:rPr>
              <w:fldChar w:fldCharType="begin"/>
            </w:r>
            <w:r w:rsidRPr="00A408B1">
              <w:rPr>
                <w:szCs w:val="20"/>
              </w:rPr>
              <w:instrText xml:space="preserve"> NUMPAGES  </w:instrText>
            </w:r>
            <w:r w:rsidRPr="00A408B1">
              <w:rPr>
                <w:szCs w:val="20"/>
              </w:rPr>
              <w:fldChar w:fldCharType="separate"/>
            </w:r>
            <w:r w:rsidRPr="00A408B1">
              <w:rPr>
                <w:noProof/>
                <w:szCs w:val="20"/>
              </w:rPr>
              <w:t>2</w:t>
            </w:r>
            <w:r w:rsidRPr="00A408B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10E33F" w14:textId="77777777" w:rsidR="00D75CA6" w:rsidRPr="001A708B" w:rsidRDefault="00D75CA6" w:rsidP="00D75CA6">
        <w:pPr>
          <w:pStyle w:val="Footer"/>
        </w:pPr>
        <w:r w:rsidRPr="00A408B1">
          <w:rPr>
            <w:szCs w:val="20"/>
          </w:rPr>
          <w:fldChar w:fldCharType="begin"/>
        </w:r>
        <w:r w:rsidRPr="00A408B1">
          <w:rPr>
            <w:szCs w:val="20"/>
          </w:rPr>
          <w:instrText xml:space="preserve"> PAGE </w:instrText>
        </w:r>
        <w:r w:rsidRPr="00A408B1">
          <w:rPr>
            <w:szCs w:val="20"/>
          </w:rPr>
          <w:fldChar w:fldCharType="separate"/>
        </w:r>
        <w:r w:rsidRPr="00A408B1">
          <w:rPr>
            <w:szCs w:val="20"/>
          </w:rPr>
          <w:t>2</w:t>
        </w:r>
        <w:r w:rsidRPr="00A408B1">
          <w:rPr>
            <w:szCs w:val="20"/>
          </w:rPr>
          <w:fldChar w:fldCharType="end"/>
        </w:r>
        <w:r w:rsidRPr="001A708B">
          <w:rPr>
            <w:szCs w:val="20"/>
          </w:rPr>
          <w:t>/</w:t>
        </w:r>
        <w:r w:rsidRPr="00A408B1">
          <w:rPr>
            <w:szCs w:val="20"/>
          </w:rPr>
          <w:fldChar w:fldCharType="begin"/>
        </w:r>
        <w:r w:rsidRPr="00A408B1">
          <w:rPr>
            <w:szCs w:val="20"/>
          </w:rPr>
          <w:instrText xml:space="preserve"> NUMPAGES  </w:instrText>
        </w:r>
        <w:r w:rsidRPr="00A408B1">
          <w:rPr>
            <w:szCs w:val="20"/>
          </w:rPr>
          <w:fldChar w:fldCharType="separate"/>
        </w:r>
        <w:r w:rsidRPr="00A408B1">
          <w:rPr>
            <w:szCs w:val="20"/>
          </w:rPr>
          <w:t>3</w:t>
        </w:r>
        <w:r w:rsidRPr="00A408B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03232" w14:textId="77777777" w:rsidR="007F35CE" w:rsidRPr="000B58F5" w:rsidRDefault="007F35CE" w:rsidP="00CF1848">
      <w:r w:rsidRPr="000B58F5">
        <w:separator/>
      </w:r>
    </w:p>
  </w:footnote>
  <w:footnote w:type="continuationSeparator" w:id="0">
    <w:p w14:paraId="0F6BE55D" w14:textId="77777777" w:rsidR="007F35CE" w:rsidRPr="000B58F5" w:rsidRDefault="007F35CE" w:rsidP="00CF1848">
      <w:r w:rsidRPr="000B58F5">
        <w:continuationSeparator/>
      </w:r>
    </w:p>
  </w:footnote>
  <w:footnote w:id="1">
    <w:p w14:paraId="3F5A23F1" w14:textId="2A27E157" w:rsidR="008A1499" w:rsidRPr="000B58F5" w:rsidRDefault="008A1499">
      <w:pPr>
        <w:pStyle w:val="FootnoteText"/>
      </w:pPr>
      <w:r w:rsidRPr="000B58F5">
        <w:rPr>
          <w:rStyle w:val="FootnoteReference"/>
        </w:rPr>
        <w:t>*</w:t>
      </w:r>
      <w:r w:rsidRPr="000B58F5">
        <w:t xml:space="preserve"> </w:t>
      </w:r>
      <w:hyperlink r:id="rId1" w:history="1">
        <w:r w:rsidR="001B3E56" w:rsidRPr="001B3E56">
          <w:rPr>
            <w:rStyle w:val="Hyperlink"/>
          </w:rPr>
          <w:t>CBD/COP/17/1/R</w:t>
        </w:r>
        <w:r w:rsidR="001B3E56">
          <w:rPr>
            <w:rStyle w:val="Hyperlink"/>
          </w:rPr>
          <w:t>ev.</w:t>
        </w:r>
        <w:r w:rsidR="001B3E56" w:rsidRPr="001B3E56">
          <w:rPr>
            <w:rStyle w:val="Hyperlink"/>
          </w:rPr>
          <w:t>1</w:t>
        </w:r>
      </w:hyperlink>
      <w:r w:rsidRPr="000B58F5">
        <w:t>.</w:t>
      </w:r>
    </w:p>
  </w:footnote>
  <w:footnote w:id="2">
    <w:p w14:paraId="20DB01B2" w14:textId="4615AF74" w:rsidR="007B0BFE" w:rsidRPr="007B0BFE" w:rsidRDefault="007B0BFE">
      <w:pPr>
        <w:pStyle w:val="FootnoteText"/>
      </w:pPr>
      <w:r>
        <w:rPr>
          <w:rStyle w:val="FootnoteReference"/>
        </w:rPr>
        <w:t>**</w:t>
      </w:r>
      <w:r>
        <w:t xml:space="preserve"> The present document is being issued without formal editing.</w:t>
      </w:r>
    </w:p>
  </w:footnote>
  <w:footnote w:id="3">
    <w:p w14:paraId="6187AE97" w14:textId="64952B1E" w:rsidR="001E696F" w:rsidRPr="000B58F5" w:rsidRDefault="001E696F">
      <w:pPr>
        <w:pStyle w:val="FootnoteText"/>
      </w:pPr>
      <w:r w:rsidRPr="000B58F5">
        <w:rPr>
          <w:rStyle w:val="FootnoteReference"/>
        </w:rPr>
        <w:footnoteRef/>
      </w:r>
      <w:r w:rsidRPr="000B58F5">
        <w:t xml:space="preserve"> See information document </w:t>
      </w:r>
      <w:r w:rsidR="004B3C2E" w:rsidRPr="000B58F5">
        <w:t>CBD/COP/17/INF/9</w:t>
      </w:r>
      <w:r w:rsidRPr="000B58F5">
        <w:t xml:space="preserve"> for the full list of indicators</w:t>
      </w:r>
      <w:r w:rsidR="007B0BFE">
        <w:t>.</w:t>
      </w:r>
    </w:p>
  </w:footnote>
  <w:footnote w:id="4">
    <w:p w14:paraId="27791A05" w14:textId="77777777" w:rsidR="00E05143" w:rsidRPr="000B58F5" w:rsidRDefault="00E05143" w:rsidP="00E05143">
      <w:pPr>
        <w:pStyle w:val="FootnoteText"/>
      </w:pPr>
      <w:r w:rsidRPr="000B58F5">
        <w:rPr>
          <w:rStyle w:val="FootnoteReference"/>
        </w:rPr>
        <w:footnoteRef/>
      </w:r>
      <w:r w:rsidRPr="000B58F5">
        <w:t xml:space="preserve"> IPBES. Global assessment report on biodiversity and ecosystem services. E. S. Brondizio, E.S., </w:t>
      </w:r>
      <w:proofErr w:type="spellStart"/>
      <w:r w:rsidRPr="000B58F5">
        <w:t>Settele</w:t>
      </w:r>
      <w:proofErr w:type="spellEnd"/>
      <w:r w:rsidRPr="000B58F5">
        <w:t xml:space="preserve">, J., Díaz, S., and Ngo, H.T. (eds). IPBES Secretariat, Bonn, Germany; 2019. </w:t>
      </w:r>
      <w:proofErr w:type="spellStart"/>
      <w:r w:rsidRPr="000B58F5">
        <w:t>doi</w:t>
      </w:r>
      <w:proofErr w:type="spellEnd"/>
      <w:r w:rsidRPr="000B58F5">
        <w:t xml:space="preserve">: 10.5281/zenodo.3831673 </w:t>
      </w:r>
    </w:p>
  </w:footnote>
  <w:footnote w:id="5">
    <w:p w14:paraId="6BE7E6DD" w14:textId="77777777" w:rsidR="00E05143" w:rsidRPr="000B58F5" w:rsidRDefault="00E05143" w:rsidP="00E05143">
      <w:pPr>
        <w:pStyle w:val="FootnoteText"/>
      </w:pPr>
      <w:r w:rsidRPr="000B58F5">
        <w:rPr>
          <w:rStyle w:val="FootnoteReference"/>
        </w:rPr>
        <w:footnoteRef/>
      </w:r>
      <w:r w:rsidRPr="000B58F5">
        <w:t xml:space="preserve"> </w:t>
      </w:r>
      <w:r w:rsidRPr="000B58F5">
        <w:rPr>
          <w:szCs w:val="18"/>
        </w:rPr>
        <w:t>For instance: agriculture, forestry, fisheries, aquaculture, tourism, health, infrastructure, energy and mining, manufacturing, processing and finance, in line with previous Conference of the Parties decisions on mainstreaming</w:t>
      </w:r>
    </w:p>
  </w:footnote>
  <w:footnote w:id="6">
    <w:p w14:paraId="62EDC231" w14:textId="77777777" w:rsidR="00E05143" w:rsidRPr="00A408B1" w:rsidRDefault="00E05143" w:rsidP="00E05143">
      <w:pPr>
        <w:pBdr>
          <w:top w:val="nil"/>
          <w:left w:val="nil"/>
          <w:bottom w:val="nil"/>
          <w:right w:val="nil"/>
          <w:between w:val="nil"/>
        </w:pBdr>
        <w:rPr>
          <w:sz w:val="20"/>
          <w:szCs w:val="20"/>
        </w:rPr>
      </w:pPr>
      <w:r w:rsidRPr="000B58F5">
        <w:rPr>
          <w:vertAlign w:val="superscript"/>
        </w:rPr>
        <w:footnoteRef/>
      </w:r>
      <w:r w:rsidRPr="00A408B1">
        <w:rPr>
          <w:sz w:val="20"/>
          <w:szCs w:val="20"/>
        </w:rPr>
        <w:t xml:space="preserve"> https://gbf-indicators.org/metadata/other/23-1-C</w:t>
      </w:r>
    </w:p>
  </w:footnote>
  <w:footnote w:id="7">
    <w:p w14:paraId="563FC291" w14:textId="529CE866" w:rsidR="00E05143" w:rsidRPr="00A408B1" w:rsidRDefault="00E05143" w:rsidP="00E05143">
      <w:pPr>
        <w:pStyle w:val="FootnoteText"/>
      </w:pPr>
      <w:r w:rsidRPr="000B58F5">
        <w:rPr>
          <w:rStyle w:val="FootnoteReference"/>
        </w:rPr>
        <w:footnoteRef/>
      </w:r>
      <w:r w:rsidRPr="000B58F5">
        <w:t xml:space="preserve"> Also used for indicator </w:t>
      </w:r>
      <w:proofErr w:type="gramStart"/>
      <w:r w:rsidRPr="000B58F5">
        <w:t>23.CT.</w:t>
      </w:r>
      <w:proofErr w:type="gramEnd"/>
      <w:r w:rsidRPr="000B58F5">
        <w:t>2 for the Gender Plan of Action</w:t>
      </w:r>
      <w:r w:rsidR="0043388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4477CAE" w14:textId="213FCFB8" w:rsidR="00534681" w:rsidRPr="000B58F5" w:rsidRDefault="000B58F5" w:rsidP="007C4951">
        <w:pPr>
          <w:pStyle w:val="Header"/>
          <w:spacing w:after="240"/>
          <w:rPr>
            <w:szCs w:val="20"/>
          </w:rPr>
        </w:pPr>
        <w:r w:rsidRPr="000B58F5">
          <w:rPr>
            <w:szCs w:val="20"/>
          </w:rPr>
          <w:t>CBD/COP/17/INF/8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2848CC" w14:textId="28108C81" w:rsidR="009505C9" w:rsidRPr="000B58F5" w:rsidRDefault="000B58F5" w:rsidP="007C4951">
        <w:pPr>
          <w:pStyle w:val="Header"/>
          <w:spacing w:after="240"/>
          <w:jc w:val="right"/>
        </w:pPr>
        <w:r w:rsidRPr="000B58F5">
          <w:t>CBD/COP/17/INF/8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54223F8"/>
    <w:multiLevelType w:val="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78063848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39F"/>
    <w:rsid w:val="00000B50"/>
    <w:rsid w:val="00003347"/>
    <w:rsid w:val="000044A8"/>
    <w:rsid w:val="000078B1"/>
    <w:rsid w:val="00007F68"/>
    <w:rsid w:val="0001163F"/>
    <w:rsid w:val="00012588"/>
    <w:rsid w:val="000125C7"/>
    <w:rsid w:val="00012A7D"/>
    <w:rsid w:val="00012E58"/>
    <w:rsid w:val="0001365D"/>
    <w:rsid w:val="0001478F"/>
    <w:rsid w:val="00014D57"/>
    <w:rsid w:val="000202B9"/>
    <w:rsid w:val="00025D7B"/>
    <w:rsid w:val="00027283"/>
    <w:rsid w:val="00027398"/>
    <w:rsid w:val="000340BF"/>
    <w:rsid w:val="00035827"/>
    <w:rsid w:val="000361A2"/>
    <w:rsid w:val="000362AA"/>
    <w:rsid w:val="000374D6"/>
    <w:rsid w:val="00037D23"/>
    <w:rsid w:val="00040C4E"/>
    <w:rsid w:val="00042EC5"/>
    <w:rsid w:val="00043C2D"/>
    <w:rsid w:val="000441AF"/>
    <w:rsid w:val="000470CF"/>
    <w:rsid w:val="00047688"/>
    <w:rsid w:val="0005091C"/>
    <w:rsid w:val="00050B28"/>
    <w:rsid w:val="00050B71"/>
    <w:rsid w:val="00053150"/>
    <w:rsid w:val="0005373C"/>
    <w:rsid w:val="00056DD9"/>
    <w:rsid w:val="00060DC4"/>
    <w:rsid w:val="00062394"/>
    <w:rsid w:val="00070EDC"/>
    <w:rsid w:val="0007171B"/>
    <w:rsid w:val="00074610"/>
    <w:rsid w:val="0008209B"/>
    <w:rsid w:val="00085883"/>
    <w:rsid w:val="00086C14"/>
    <w:rsid w:val="000871DC"/>
    <w:rsid w:val="00092B33"/>
    <w:rsid w:val="00092B7F"/>
    <w:rsid w:val="00093EB8"/>
    <w:rsid w:val="00097F3B"/>
    <w:rsid w:val="000A23A6"/>
    <w:rsid w:val="000A5076"/>
    <w:rsid w:val="000B120D"/>
    <w:rsid w:val="000B58F5"/>
    <w:rsid w:val="000B7413"/>
    <w:rsid w:val="000C125A"/>
    <w:rsid w:val="000C3ED6"/>
    <w:rsid w:val="000C52C9"/>
    <w:rsid w:val="000C6BA8"/>
    <w:rsid w:val="000D0F68"/>
    <w:rsid w:val="000D1729"/>
    <w:rsid w:val="000D2C03"/>
    <w:rsid w:val="000D4692"/>
    <w:rsid w:val="000E673A"/>
    <w:rsid w:val="000E69D5"/>
    <w:rsid w:val="000E7038"/>
    <w:rsid w:val="000E73F8"/>
    <w:rsid w:val="000F10FC"/>
    <w:rsid w:val="000F1F73"/>
    <w:rsid w:val="000F21BB"/>
    <w:rsid w:val="000F396C"/>
    <w:rsid w:val="000F3CA2"/>
    <w:rsid w:val="000F5795"/>
    <w:rsid w:val="000F6043"/>
    <w:rsid w:val="000F64EC"/>
    <w:rsid w:val="000F6945"/>
    <w:rsid w:val="000F74F5"/>
    <w:rsid w:val="000F78FC"/>
    <w:rsid w:val="000F7987"/>
    <w:rsid w:val="001031DF"/>
    <w:rsid w:val="00103BE4"/>
    <w:rsid w:val="00104302"/>
    <w:rsid w:val="001051BA"/>
    <w:rsid w:val="00105372"/>
    <w:rsid w:val="001054A6"/>
    <w:rsid w:val="001069D8"/>
    <w:rsid w:val="001078A1"/>
    <w:rsid w:val="00112A97"/>
    <w:rsid w:val="00112E93"/>
    <w:rsid w:val="00112FE7"/>
    <w:rsid w:val="001178B6"/>
    <w:rsid w:val="001234E1"/>
    <w:rsid w:val="0012487B"/>
    <w:rsid w:val="00124B12"/>
    <w:rsid w:val="00130B27"/>
    <w:rsid w:val="001312AD"/>
    <w:rsid w:val="00131875"/>
    <w:rsid w:val="00131E7A"/>
    <w:rsid w:val="0013215F"/>
    <w:rsid w:val="0013337D"/>
    <w:rsid w:val="00134846"/>
    <w:rsid w:val="00134BE8"/>
    <w:rsid w:val="00135BA3"/>
    <w:rsid w:val="00136003"/>
    <w:rsid w:val="001371FB"/>
    <w:rsid w:val="0014590F"/>
    <w:rsid w:val="0015084F"/>
    <w:rsid w:val="00150D09"/>
    <w:rsid w:val="0015707C"/>
    <w:rsid w:val="00157379"/>
    <w:rsid w:val="00157CC9"/>
    <w:rsid w:val="00160FAD"/>
    <w:rsid w:val="00162F25"/>
    <w:rsid w:val="00164194"/>
    <w:rsid w:val="001677C7"/>
    <w:rsid w:val="00172AF6"/>
    <w:rsid w:val="001733FA"/>
    <w:rsid w:val="00173BEF"/>
    <w:rsid w:val="00174349"/>
    <w:rsid w:val="00175576"/>
    <w:rsid w:val="00175D25"/>
    <w:rsid w:val="00176CD6"/>
    <w:rsid w:val="00176CEE"/>
    <w:rsid w:val="00177B54"/>
    <w:rsid w:val="0018010A"/>
    <w:rsid w:val="001816A6"/>
    <w:rsid w:val="001822A8"/>
    <w:rsid w:val="00182EF8"/>
    <w:rsid w:val="00185E95"/>
    <w:rsid w:val="00186DD8"/>
    <w:rsid w:val="00187015"/>
    <w:rsid w:val="00190D93"/>
    <w:rsid w:val="001A00A9"/>
    <w:rsid w:val="001A1F4A"/>
    <w:rsid w:val="001A35EC"/>
    <w:rsid w:val="001A4267"/>
    <w:rsid w:val="001A708B"/>
    <w:rsid w:val="001B0DD8"/>
    <w:rsid w:val="001B13FE"/>
    <w:rsid w:val="001B18D0"/>
    <w:rsid w:val="001B1C71"/>
    <w:rsid w:val="001B3E56"/>
    <w:rsid w:val="001B45FD"/>
    <w:rsid w:val="001B4BE5"/>
    <w:rsid w:val="001C3D5E"/>
    <w:rsid w:val="001C5F16"/>
    <w:rsid w:val="001D3967"/>
    <w:rsid w:val="001D4E26"/>
    <w:rsid w:val="001D5069"/>
    <w:rsid w:val="001D7413"/>
    <w:rsid w:val="001E0721"/>
    <w:rsid w:val="001E0D96"/>
    <w:rsid w:val="001E2A5A"/>
    <w:rsid w:val="001E3A66"/>
    <w:rsid w:val="001E696F"/>
    <w:rsid w:val="001E7478"/>
    <w:rsid w:val="001F00F6"/>
    <w:rsid w:val="001F21C6"/>
    <w:rsid w:val="001F24D7"/>
    <w:rsid w:val="001F3E50"/>
    <w:rsid w:val="001F5B49"/>
    <w:rsid w:val="001F6D99"/>
    <w:rsid w:val="00200796"/>
    <w:rsid w:val="00201503"/>
    <w:rsid w:val="0020428B"/>
    <w:rsid w:val="0020467B"/>
    <w:rsid w:val="002052D5"/>
    <w:rsid w:val="002126F1"/>
    <w:rsid w:val="002135D4"/>
    <w:rsid w:val="00214A89"/>
    <w:rsid w:val="002155D4"/>
    <w:rsid w:val="00220426"/>
    <w:rsid w:val="00220DB0"/>
    <w:rsid w:val="00220EDA"/>
    <w:rsid w:val="00221E74"/>
    <w:rsid w:val="00224F66"/>
    <w:rsid w:val="0022683A"/>
    <w:rsid w:val="00227810"/>
    <w:rsid w:val="0022786B"/>
    <w:rsid w:val="002279E5"/>
    <w:rsid w:val="00227D0F"/>
    <w:rsid w:val="0023002A"/>
    <w:rsid w:val="002337AA"/>
    <w:rsid w:val="00236B42"/>
    <w:rsid w:val="00236B76"/>
    <w:rsid w:val="00237E87"/>
    <w:rsid w:val="00240EE6"/>
    <w:rsid w:val="00242047"/>
    <w:rsid w:val="002425D2"/>
    <w:rsid w:val="00244E17"/>
    <w:rsid w:val="00245C9F"/>
    <w:rsid w:val="00250D36"/>
    <w:rsid w:val="00254F59"/>
    <w:rsid w:val="00256862"/>
    <w:rsid w:val="00260A0B"/>
    <w:rsid w:val="00261707"/>
    <w:rsid w:val="0026224C"/>
    <w:rsid w:val="0026557D"/>
    <w:rsid w:val="002709EC"/>
    <w:rsid w:val="0027567E"/>
    <w:rsid w:val="00275F32"/>
    <w:rsid w:val="00276919"/>
    <w:rsid w:val="00277AD1"/>
    <w:rsid w:val="00282E38"/>
    <w:rsid w:val="0028434B"/>
    <w:rsid w:val="002861AE"/>
    <w:rsid w:val="0028626E"/>
    <w:rsid w:val="00291BA9"/>
    <w:rsid w:val="002920B1"/>
    <w:rsid w:val="00294E24"/>
    <w:rsid w:val="002A29CD"/>
    <w:rsid w:val="002A5FBE"/>
    <w:rsid w:val="002A619D"/>
    <w:rsid w:val="002B0185"/>
    <w:rsid w:val="002B23FB"/>
    <w:rsid w:val="002B31B1"/>
    <w:rsid w:val="002B3EAC"/>
    <w:rsid w:val="002B3EDC"/>
    <w:rsid w:val="002C1F4E"/>
    <w:rsid w:val="002C2F11"/>
    <w:rsid w:val="002C5FBE"/>
    <w:rsid w:val="002C7242"/>
    <w:rsid w:val="002D0D60"/>
    <w:rsid w:val="002D6407"/>
    <w:rsid w:val="002D69CD"/>
    <w:rsid w:val="002D7735"/>
    <w:rsid w:val="002E2159"/>
    <w:rsid w:val="002E43A1"/>
    <w:rsid w:val="002E6ED0"/>
    <w:rsid w:val="002F18C9"/>
    <w:rsid w:val="002F6E18"/>
    <w:rsid w:val="002F7336"/>
    <w:rsid w:val="0030059B"/>
    <w:rsid w:val="003008FE"/>
    <w:rsid w:val="0030169D"/>
    <w:rsid w:val="003020BB"/>
    <w:rsid w:val="003060EB"/>
    <w:rsid w:val="003066D2"/>
    <w:rsid w:val="003131BE"/>
    <w:rsid w:val="003153EB"/>
    <w:rsid w:val="00316646"/>
    <w:rsid w:val="00320414"/>
    <w:rsid w:val="003211A2"/>
    <w:rsid w:val="0032136E"/>
    <w:rsid w:val="00321985"/>
    <w:rsid w:val="0032272C"/>
    <w:rsid w:val="0032434A"/>
    <w:rsid w:val="00334CFC"/>
    <w:rsid w:val="0034017D"/>
    <w:rsid w:val="00340938"/>
    <w:rsid w:val="0034166B"/>
    <w:rsid w:val="003445FB"/>
    <w:rsid w:val="00346990"/>
    <w:rsid w:val="00350AA3"/>
    <w:rsid w:val="00351205"/>
    <w:rsid w:val="00361356"/>
    <w:rsid w:val="00364CE7"/>
    <w:rsid w:val="00365B8A"/>
    <w:rsid w:val="00371E62"/>
    <w:rsid w:val="00372F74"/>
    <w:rsid w:val="003732E4"/>
    <w:rsid w:val="0037381A"/>
    <w:rsid w:val="00375383"/>
    <w:rsid w:val="00381576"/>
    <w:rsid w:val="00381621"/>
    <w:rsid w:val="003833E6"/>
    <w:rsid w:val="00387AD9"/>
    <w:rsid w:val="0039281E"/>
    <w:rsid w:val="00392B56"/>
    <w:rsid w:val="00393EA6"/>
    <w:rsid w:val="003A0585"/>
    <w:rsid w:val="003A0A04"/>
    <w:rsid w:val="003A0E8D"/>
    <w:rsid w:val="003A1E9C"/>
    <w:rsid w:val="003A69F8"/>
    <w:rsid w:val="003B18C6"/>
    <w:rsid w:val="003B2106"/>
    <w:rsid w:val="003B219B"/>
    <w:rsid w:val="003B36BE"/>
    <w:rsid w:val="003B378C"/>
    <w:rsid w:val="003B46D9"/>
    <w:rsid w:val="003B4C0A"/>
    <w:rsid w:val="003B4D26"/>
    <w:rsid w:val="003C096A"/>
    <w:rsid w:val="003C2FF9"/>
    <w:rsid w:val="003C49A2"/>
    <w:rsid w:val="003D1B7D"/>
    <w:rsid w:val="003D2B4B"/>
    <w:rsid w:val="003D2B89"/>
    <w:rsid w:val="003D2DD7"/>
    <w:rsid w:val="003D43D0"/>
    <w:rsid w:val="003E0B47"/>
    <w:rsid w:val="003E30DE"/>
    <w:rsid w:val="003E31AF"/>
    <w:rsid w:val="003E51B6"/>
    <w:rsid w:val="003E60FB"/>
    <w:rsid w:val="003E6A1F"/>
    <w:rsid w:val="003F1A75"/>
    <w:rsid w:val="003F218D"/>
    <w:rsid w:val="003F3CEE"/>
    <w:rsid w:val="003F444B"/>
    <w:rsid w:val="003F4D39"/>
    <w:rsid w:val="003F7224"/>
    <w:rsid w:val="00402E8B"/>
    <w:rsid w:val="004111FE"/>
    <w:rsid w:val="0041309D"/>
    <w:rsid w:val="0041312F"/>
    <w:rsid w:val="00420744"/>
    <w:rsid w:val="00422874"/>
    <w:rsid w:val="00427D21"/>
    <w:rsid w:val="00430AFC"/>
    <w:rsid w:val="004326B1"/>
    <w:rsid w:val="004330EA"/>
    <w:rsid w:val="0043312E"/>
    <w:rsid w:val="00433888"/>
    <w:rsid w:val="00433A27"/>
    <w:rsid w:val="00433D8D"/>
    <w:rsid w:val="00434933"/>
    <w:rsid w:val="00434A2A"/>
    <w:rsid w:val="0044239F"/>
    <w:rsid w:val="00444085"/>
    <w:rsid w:val="00446302"/>
    <w:rsid w:val="00447D6C"/>
    <w:rsid w:val="00447F4A"/>
    <w:rsid w:val="00455198"/>
    <w:rsid w:val="0045547C"/>
    <w:rsid w:val="00456F67"/>
    <w:rsid w:val="00460EF8"/>
    <w:rsid w:val="004618EF"/>
    <w:rsid w:val="00461AF5"/>
    <w:rsid w:val="00461BB8"/>
    <w:rsid w:val="004633B2"/>
    <w:rsid w:val="004644C2"/>
    <w:rsid w:val="00467F9C"/>
    <w:rsid w:val="00470381"/>
    <w:rsid w:val="00470A8D"/>
    <w:rsid w:val="0047354F"/>
    <w:rsid w:val="00480867"/>
    <w:rsid w:val="00483E67"/>
    <w:rsid w:val="00485E20"/>
    <w:rsid w:val="0048670A"/>
    <w:rsid w:val="0049030A"/>
    <w:rsid w:val="00490311"/>
    <w:rsid w:val="004A2ABF"/>
    <w:rsid w:val="004A2C8A"/>
    <w:rsid w:val="004A2FB1"/>
    <w:rsid w:val="004A4C48"/>
    <w:rsid w:val="004B0D6C"/>
    <w:rsid w:val="004B10BA"/>
    <w:rsid w:val="004B3C2E"/>
    <w:rsid w:val="004B6BE5"/>
    <w:rsid w:val="004C1691"/>
    <w:rsid w:val="004C3234"/>
    <w:rsid w:val="004C3F6F"/>
    <w:rsid w:val="004D04ED"/>
    <w:rsid w:val="004D3BE0"/>
    <w:rsid w:val="004D7DA8"/>
    <w:rsid w:val="004E2530"/>
    <w:rsid w:val="004E7841"/>
    <w:rsid w:val="004F39EF"/>
    <w:rsid w:val="0050540C"/>
    <w:rsid w:val="0051006C"/>
    <w:rsid w:val="005132FA"/>
    <w:rsid w:val="005155DF"/>
    <w:rsid w:val="005171EF"/>
    <w:rsid w:val="00517B61"/>
    <w:rsid w:val="005228DE"/>
    <w:rsid w:val="0052425A"/>
    <w:rsid w:val="00526F27"/>
    <w:rsid w:val="00534681"/>
    <w:rsid w:val="005349B2"/>
    <w:rsid w:val="0053575C"/>
    <w:rsid w:val="005360C6"/>
    <w:rsid w:val="00537C2C"/>
    <w:rsid w:val="00540B86"/>
    <w:rsid w:val="00543734"/>
    <w:rsid w:val="005441AE"/>
    <w:rsid w:val="0054578F"/>
    <w:rsid w:val="005518D6"/>
    <w:rsid w:val="00551D2E"/>
    <w:rsid w:val="00551D7F"/>
    <w:rsid w:val="00552775"/>
    <w:rsid w:val="00552DF9"/>
    <w:rsid w:val="00552EB7"/>
    <w:rsid w:val="00556A34"/>
    <w:rsid w:val="0056068E"/>
    <w:rsid w:val="00563442"/>
    <w:rsid w:val="0056348E"/>
    <w:rsid w:val="00564597"/>
    <w:rsid w:val="00565671"/>
    <w:rsid w:val="00565B42"/>
    <w:rsid w:val="00566318"/>
    <w:rsid w:val="0056774E"/>
    <w:rsid w:val="00567B26"/>
    <w:rsid w:val="00567C56"/>
    <w:rsid w:val="0057034B"/>
    <w:rsid w:val="00572214"/>
    <w:rsid w:val="00573464"/>
    <w:rsid w:val="00574141"/>
    <w:rsid w:val="0057711F"/>
    <w:rsid w:val="00580A65"/>
    <w:rsid w:val="00580EF6"/>
    <w:rsid w:val="00582176"/>
    <w:rsid w:val="00583407"/>
    <w:rsid w:val="00585203"/>
    <w:rsid w:val="00586135"/>
    <w:rsid w:val="0059089B"/>
    <w:rsid w:val="005A0849"/>
    <w:rsid w:val="005A134E"/>
    <w:rsid w:val="005A3844"/>
    <w:rsid w:val="005A422A"/>
    <w:rsid w:val="005A5E4E"/>
    <w:rsid w:val="005A6F5E"/>
    <w:rsid w:val="005B2D02"/>
    <w:rsid w:val="005B35E2"/>
    <w:rsid w:val="005B404A"/>
    <w:rsid w:val="005B5A44"/>
    <w:rsid w:val="005B7088"/>
    <w:rsid w:val="005B72D1"/>
    <w:rsid w:val="005C168E"/>
    <w:rsid w:val="005C21F9"/>
    <w:rsid w:val="005C4CE6"/>
    <w:rsid w:val="005D013F"/>
    <w:rsid w:val="005D24ED"/>
    <w:rsid w:val="005E0D11"/>
    <w:rsid w:val="005E0EEC"/>
    <w:rsid w:val="005E2A46"/>
    <w:rsid w:val="005E3986"/>
    <w:rsid w:val="005E41D8"/>
    <w:rsid w:val="005E56A8"/>
    <w:rsid w:val="005E72A1"/>
    <w:rsid w:val="005E7625"/>
    <w:rsid w:val="005E7729"/>
    <w:rsid w:val="005F1DA0"/>
    <w:rsid w:val="005F4FFB"/>
    <w:rsid w:val="005F683F"/>
    <w:rsid w:val="005F684A"/>
    <w:rsid w:val="0060136B"/>
    <w:rsid w:val="006079D4"/>
    <w:rsid w:val="00610CCC"/>
    <w:rsid w:val="00611F3D"/>
    <w:rsid w:val="006122BA"/>
    <w:rsid w:val="00615273"/>
    <w:rsid w:val="00617DE8"/>
    <w:rsid w:val="00617E41"/>
    <w:rsid w:val="00621A87"/>
    <w:rsid w:val="0062279F"/>
    <w:rsid w:val="0062445F"/>
    <w:rsid w:val="0062673C"/>
    <w:rsid w:val="00633E75"/>
    <w:rsid w:val="00635143"/>
    <w:rsid w:val="00636318"/>
    <w:rsid w:val="00636442"/>
    <w:rsid w:val="0064208C"/>
    <w:rsid w:val="00642ED7"/>
    <w:rsid w:val="006448CB"/>
    <w:rsid w:val="00645819"/>
    <w:rsid w:val="00645D46"/>
    <w:rsid w:val="006478BF"/>
    <w:rsid w:val="00651D04"/>
    <w:rsid w:val="00652B52"/>
    <w:rsid w:val="0065338E"/>
    <w:rsid w:val="00660A43"/>
    <w:rsid w:val="00661F92"/>
    <w:rsid w:val="00666F3D"/>
    <w:rsid w:val="006673D7"/>
    <w:rsid w:val="006706D0"/>
    <w:rsid w:val="00671B71"/>
    <w:rsid w:val="006720C5"/>
    <w:rsid w:val="006741EA"/>
    <w:rsid w:val="006862C5"/>
    <w:rsid w:val="0068684E"/>
    <w:rsid w:val="00687453"/>
    <w:rsid w:val="00693249"/>
    <w:rsid w:val="006938A4"/>
    <w:rsid w:val="00695B6C"/>
    <w:rsid w:val="006A180D"/>
    <w:rsid w:val="006A73C1"/>
    <w:rsid w:val="006B152B"/>
    <w:rsid w:val="006B1635"/>
    <w:rsid w:val="006B2290"/>
    <w:rsid w:val="006B5D1D"/>
    <w:rsid w:val="006C006C"/>
    <w:rsid w:val="006C02C4"/>
    <w:rsid w:val="006C1E35"/>
    <w:rsid w:val="006C2E7D"/>
    <w:rsid w:val="006C7D42"/>
    <w:rsid w:val="006C7F07"/>
    <w:rsid w:val="006D5058"/>
    <w:rsid w:val="006D518C"/>
    <w:rsid w:val="006D52F4"/>
    <w:rsid w:val="006D741E"/>
    <w:rsid w:val="006D7A7A"/>
    <w:rsid w:val="006E1CB2"/>
    <w:rsid w:val="006E2E10"/>
    <w:rsid w:val="006E39FB"/>
    <w:rsid w:val="006E52A5"/>
    <w:rsid w:val="006E5656"/>
    <w:rsid w:val="006E7BE2"/>
    <w:rsid w:val="006F2AF4"/>
    <w:rsid w:val="006F3684"/>
    <w:rsid w:val="006F4DA2"/>
    <w:rsid w:val="006F7857"/>
    <w:rsid w:val="007013A4"/>
    <w:rsid w:val="007029D0"/>
    <w:rsid w:val="00705F7F"/>
    <w:rsid w:val="00705FFF"/>
    <w:rsid w:val="007064D0"/>
    <w:rsid w:val="00710F52"/>
    <w:rsid w:val="00711944"/>
    <w:rsid w:val="00712A28"/>
    <w:rsid w:val="00712BC5"/>
    <w:rsid w:val="00713353"/>
    <w:rsid w:val="00717D88"/>
    <w:rsid w:val="007209C6"/>
    <w:rsid w:val="00726A43"/>
    <w:rsid w:val="007278AA"/>
    <w:rsid w:val="007305A6"/>
    <w:rsid w:val="00731CB6"/>
    <w:rsid w:val="00732954"/>
    <w:rsid w:val="00732FB9"/>
    <w:rsid w:val="0073436F"/>
    <w:rsid w:val="007343D0"/>
    <w:rsid w:val="007405C7"/>
    <w:rsid w:val="00742AEE"/>
    <w:rsid w:val="0077200E"/>
    <w:rsid w:val="007727A5"/>
    <w:rsid w:val="007730A2"/>
    <w:rsid w:val="00773AE7"/>
    <w:rsid w:val="0078111F"/>
    <w:rsid w:val="007811BB"/>
    <w:rsid w:val="007824DE"/>
    <w:rsid w:val="00782964"/>
    <w:rsid w:val="0078371A"/>
    <w:rsid w:val="00785E7F"/>
    <w:rsid w:val="00786056"/>
    <w:rsid w:val="007864B9"/>
    <w:rsid w:val="007901FD"/>
    <w:rsid w:val="00792A7C"/>
    <w:rsid w:val="00792EAA"/>
    <w:rsid w:val="00793362"/>
    <w:rsid w:val="00794062"/>
    <w:rsid w:val="007942D3"/>
    <w:rsid w:val="0079560C"/>
    <w:rsid w:val="007A2470"/>
    <w:rsid w:val="007A704B"/>
    <w:rsid w:val="007B0BFE"/>
    <w:rsid w:val="007B0DB3"/>
    <w:rsid w:val="007B2099"/>
    <w:rsid w:val="007B449C"/>
    <w:rsid w:val="007B5B09"/>
    <w:rsid w:val="007B6C09"/>
    <w:rsid w:val="007B7741"/>
    <w:rsid w:val="007C0922"/>
    <w:rsid w:val="007C4951"/>
    <w:rsid w:val="007C5316"/>
    <w:rsid w:val="007C543C"/>
    <w:rsid w:val="007C6C1D"/>
    <w:rsid w:val="007C7F02"/>
    <w:rsid w:val="007D1DE3"/>
    <w:rsid w:val="007D2FBD"/>
    <w:rsid w:val="007D6900"/>
    <w:rsid w:val="007E09DA"/>
    <w:rsid w:val="007E0F8A"/>
    <w:rsid w:val="007E6EF1"/>
    <w:rsid w:val="007F1900"/>
    <w:rsid w:val="007F2835"/>
    <w:rsid w:val="007F2EEC"/>
    <w:rsid w:val="007F334A"/>
    <w:rsid w:val="007F35CE"/>
    <w:rsid w:val="007F4028"/>
    <w:rsid w:val="007F4D5A"/>
    <w:rsid w:val="007F5D86"/>
    <w:rsid w:val="007F5F7A"/>
    <w:rsid w:val="007F718D"/>
    <w:rsid w:val="0080055F"/>
    <w:rsid w:val="00801FAD"/>
    <w:rsid w:val="008035F5"/>
    <w:rsid w:val="00805503"/>
    <w:rsid w:val="0081077C"/>
    <w:rsid w:val="00810822"/>
    <w:rsid w:val="008151F8"/>
    <w:rsid w:val="00816123"/>
    <w:rsid w:val="008178B6"/>
    <w:rsid w:val="00817A31"/>
    <w:rsid w:val="00817F11"/>
    <w:rsid w:val="00821353"/>
    <w:rsid w:val="00821515"/>
    <w:rsid w:val="00830678"/>
    <w:rsid w:val="0083235B"/>
    <w:rsid w:val="008337EA"/>
    <w:rsid w:val="00833BD8"/>
    <w:rsid w:val="00836094"/>
    <w:rsid w:val="00841DFB"/>
    <w:rsid w:val="008442D0"/>
    <w:rsid w:val="00844453"/>
    <w:rsid w:val="0084527C"/>
    <w:rsid w:val="00845897"/>
    <w:rsid w:val="00847671"/>
    <w:rsid w:val="00851BAF"/>
    <w:rsid w:val="0085302C"/>
    <w:rsid w:val="00853632"/>
    <w:rsid w:val="0085547E"/>
    <w:rsid w:val="0085D2E7"/>
    <w:rsid w:val="00860A02"/>
    <w:rsid w:val="008610AA"/>
    <w:rsid w:val="008612D8"/>
    <w:rsid w:val="00861CD6"/>
    <w:rsid w:val="00864ED6"/>
    <w:rsid w:val="00865B74"/>
    <w:rsid w:val="00866063"/>
    <w:rsid w:val="008705AD"/>
    <w:rsid w:val="00872B15"/>
    <w:rsid w:val="00877319"/>
    <w:rsid w:val="00882B43"/>
    <w:rsid w:val="00883CA0"/>
    <w:rsid w:val="008853F1"/>
    <w:rsid w:val="008858EB"/>
    <w:rsid w:val="00891159"/>
    <w:rsid w:val="00892379"/>
    <w:rsid w:val="00892E32"/>
    <w:rsid w:val="008939D1"/>
    <w:rsid w:val="008944C4"/>
    <w:rsid w:val="008974F0"/>
    <w:rsid w:val="00897DDA"/>
    <w:rsid w:val="008A1499"/>
    <w:rsid w:val="008A238E"/>
    <w:rsid w:val="008A31AE"/>
    <w:rsid w:val="008A4DDA"/>
    <w:rsid w:val="008A6867"/>
    <w:rsid w:val="008A73BF"/>
    <w:rsid w:val="008B012A"/>
    <w:rsid w:val="008B1535"/>
    <w:rsid w:val="008B2C0F"/>
    <w:rsid w:val="008B2C2E"/>
    <w:rsid w:val="008B424F"/>
    <w:rsid w:val="008B4B67"/>
    <w:rsid w:val="008B5CB2"/>
    <w:rsid w:val="008C0873"/>
    <w:rsid w:val="008C4D39"/>
    <w:rsid w:val="008C4F7B"/>
    <w:rsid w:val="008C72A2"/>
    <w:rsid w:val="008C75DA"/>
    <w:rsid w:val="008D26A4"/>
    <w:rsid w:val="008D463D"/>
    <w:rsid w:val="008D7045"/>
    <w:rsid w:val="008E495C"/>
    <w:rsid w:val="008E4F0E"/>
    <w:rsid w:val="008E5A3B"/>
    <w:rsid w:val="008F1952"/>
    <w:rsid w:val="008F1A56"/>
    <w:rsid w:val="008F3092"/>
    <w:rsid w:val="008F450F"/>
    <w:rsid w:val="008F5BD0"/>
    <w:rsid w:val="008F6215"/>
    <w:rsid w:val="008F6BB8"/>
    <w:rsid w:val="009024B4"/>
    <w:rsid w:val="009041A9"/>
    <w:rsid w:val="00906E17"/>
    <w:rsid w:val="009135E4"/>
    <w:rsid w:val="00916870"/>
    <w:rsid w:val="00917B40"/>
    <w:rsid w:val="00923605"/>
    <w:rsid w:val="0092570B"/>
    <w:rsid w:val="00926CA5"/>
    <w:rsid w:val="00930BA1"/>
    <w:rsid w:val="0093169E"/>
    <w:rsid w:val="00934B9E"/>
    <w:rsid w:val="0093559F"/>
    <w:rsid w:val="00942689"/>
    <w:rsid w:val="00945B1B"/>
    <w:rsid w:val="00945E7F"/>
    <w:rsid w:val="0095053D"/>
    <w:rsid w:val="009505C9"/>
    <w:rsid w:val="00950752"/>
    <w:rsid w:val="00950FF5"/>
    <w:rsid w:val="00951D85"/>
    <w:rsid w:val="00952C3F"/>
    <w:rsid w:val="00955DA4"/>
    <w:rsid w:val="009566F4"/>
    <w:rsid w:val="00957ACA"/>
    <w:rsid w:val="009616CC"/>
    <w:rsid w:val="009647F1"/>
    <w:rsid w:val="00965C97"/>
    <w:rsid w:val="00966424"/>
    <w:rsid w:val="00966B9F"/>
    <w:rsid w:val="00973C64"/>
    <w:rsid w:val="00974686"/>
    <w:rsid w:val="0098018A"/>
    <w:rsid w:val="00981521"/>
    <w:rsid w:val="00984B86"/>
    <w:rsid w:val="00990825"/>
    <w:rsid w:val="009919D4"/>
    <w:rsid w:val="00992E71"/>
    <w:rsid w:val="00995123"/>
    <w:rsid w:val="00995CD4"/>
    <w:rsid w:val="00996687"/>
    <w:rsid w:val="0099792C"/>
    <w:rsid w:val="009A221E"/>
    <w:rsid w:val="009A489A"/>
    <w:rsid w:val="009A4A21"/>
    <w:rsid w:val="009A4D27"/>
    <w:rsid w:val="009B2993"/>
    <w:rsid w:val="009B4F54"/>
    <w:rsid w:val="009B7E52"/>
    <w:rsid w:val="009C2DE6"/>
    <w:rsid w:val="009C3BB7"/>
    <w:rsid w:val="009C5754"/>
    <w:rsid w:val="009C6874"/>
    <w:rsid w:val="009C7853"/>
    <w:rsid w:val="009D15A6"/>
    <w:rsid w:val="009D1E51"/>
    <w:rsid w:val="009D42B9"/>
    <w:rsid w:val="009D4C7B"/>
    <w:rsid w:val="009D7E49"/>
    <w:rsid w:val="009E50B8"/>
    <w:rsid w:val="009E6D5E"/>
    <w:rsid w:val="009E75A6"/>
    <w:rsid w:val="009F06D5"/>
    <w:rsid w:val="009F6DC3"/>
    <w:rsid w:val="00A0117E"/>
    <w:rsid w:val="00A03CFE"/>
    <w:rsid w:val="00A060E2"/>
    <w:rsid w:val="00A0614E"/>
    <w:rsid w:val="00A111D1"/>
    <w:rsid w:val="00A11F4C"/>
    <w:rsid w:val="00A121C2"/>
    <w:rsid w:val="00A13C8C"/>
    <w:rsid w:val="00A16D94"/>
    <w:rsid w:val="00A22CBE"/>
    <w:rsid w:val="00A23237"/>
    <w:rsid w:val="00A257CB"/>
    <w:rsid w:val="00A27661"/>
    <w:rsid w:val="00A30BA5"/>
    <w:rsid w:val="00A31259"/>
    <w:rsid w:val="00A338E9"/>
    <w:rsid w:val="00A408B1"/>
    <w:rsid w:val="00A4149D"/>
    <w:rsid w:val="00A41753"/>
    <w:rsid w:val="00A50C31"/>
    <w:rsid w:val="00A52944"/>
    <w:rsid w:val="00A52C92"/>
    <w:rsid w:val="00A53E6A"/>
    <w:rsid w:val="00A56532"/>
    <w:rsid w:val="00A6576D"/>
    <w:rsid w:val="00A664B0"/>
    <w:rsid w:val="00A668D3"/>
    <w:rsid w:val="00A70335"/>
    <w:rsid w:val="00A7060D"/>
    <w:rsid w:val="00A72320"/>
    <w:rsid w:val="00A74169"/>
    <w:rsid w:val="00A800D1"/>
    <w:rsid w:val="00A8572E"/>
    <w:rsid w:val="00A87D77"/>
    <w:rsid w:val="00A9124C"/>
    <w:rsid w:val="00A91E38"/>
    <w:rsid w:val="00A9214F"/>
    <w:rsid w:val="00A921E0"/>
    <w:rsid w:val="00A92410"/>
    <w:rsid w:val="00A92C26"/>
    <w:rsid w:val="00A940D2"/>
    <w:rsid w:val="00AA2675"/>
    <w:rsid w:val="00AA3A03"/>
    <w:rsid w:val="00AA6F92"/>
    <w:rsid w:val="00AA7FB4"/>
    <w:rsid w:val="00AB0297"/>
    <w:rsid w:val="00AB1A42"/>
    <w:rsid w:val="00AB226C"/>
    <w:rsid w:val="00AB244C"/>
    <w:rsid w:val="00AB303A"/>
    <w:rsid w:val="00AB53E9"/>
    <w:rsid w:val="00AB57B4"/>
    <w:rsid w:val="00AB6934"/>
    <w:rsid w:val="00AB6BE2"/>
    <w:rsid w:val="00AC0EA6"/>
    <w:rsid w:val="00AC40E6"/>
    <w:rsid w:val="00AD2A8A"/>
    <w:rsid w:val="00AE1B1C"/>
    <w:rsid w:val="00AE22C3"/>
    <w:rsid w:val="00AE3F30"/>
    <w:rsid w:val="00AE4DFA"/>
    <w:rsid w:val="00AE64D9"/>
    <w:rsid w:val="00AF0B74"/>
    <w:rsid w:val="00AF42DE"/>
    <w:rsid w:val="00AF61C2"/>
    <w:rsid w:val="00AF7A14"/>
    <w:rsid w:val="00B01F05"/>
    <w:rsid w:val="00B03DEF"/>
    <w:rsid w:val="00B0423A"/>
    <w:rsid w:val="00B069AD"/>
    <w:rsid w:val="00B06CF4"/>
    <w:rsid w:val="00B078A3"/>
    <w:rsid w:val="00B1370A"/>
    <w:rsid w:val="00B16409"/>
    <w:rsid w:val="00B174F0"/>
    <w:rsid w:val="00B22555"/>
    <w:rsid w:val="00B26726"/>
    <w:rsid w:val="00B273F7"/>
    <w:rsid w:val="00B30685"/>
    <w:rsid w:val="00B31037"/>
    <w:rsid w:val="00B3369F"/>
    <w:rsid w:val="00B358A6"/>
    <w:rsid w:val="00B41D1D"/>
    <w:rsid w:val="00B436A0"/>
    <w:rsid w:val="00B45DF4"/>
    <w:rsid w:val="00B47CF5"/>
    <w:rsid w:val="00B47E38"/>
    <w:rsid w:val="00B50904"/>
    <w:rsid w:val="00B511B5"/>
    <w:rsid w:val="00B51FC6"/>
    <w:rsid w:val="00B53055"/>
    <w:rsid w:val="00B5472D"/>
    <w:rsid w:val="00B55EEF"/>
    <w:rsid w:val="00B55FD4"/>
    <w:rsid w:val="00B56053"/>
    <w:rsid w:val="00B62D9A"/>
    <w:rsid w:val="00B648E8"/>
    <w:rsid w:val="00B655E9"/>
    <w:rsid w:val="00B65697"/>
    <w:rsid w:val="00B66DAA"/>
    <w:rsid w:val="00B70EB5"/>
    <w:rsid w:val="00B73E20"/>
    <w:rsid w:val="00B824B1"/>
    <w:rsid w:val="00B93CF9"/>
    <w:rsid w:val="00B94E6C"/>
    <w:rsid w:val="00B95959"/>
    <w:rsid w:val="00BA067E"/>
    <w:rsid w:val="00BA09DF"/>
    <w:rsid w:val="00BA22A7"/>
    <w:rsid w:val="00BA6DD5"/>
    <w:rsid w:val="00BB17CD"/>
    <w:rsid w:val="00BB20AB"/>
    <w:rsid w:val="00BB21B5"/>
    <w:rsid w:val="00BB4606"/>
    <w:rsid w:val="00BC2471"/>
    <w:rsid w:val="00BC3651"/>
    <w:rsid w:val="00BC466E"/>
    <w:rsid w:val="00BD03A7"/>
    <w:rsid w:val="00BD699D"/>
    <w:rsid w:val="00BD71F2"/>
    <w:rsid w:val="00BE03DB"/>
    <w:rsid w:val="00BE7062"/>
    <w:rsid w:val="00BE7723"/>
    <w:rsid w:val="00BF12D7"/>
    <w:rsid w:val="00BF2E03"/>
    <w:rsid w:val="00C00662"/>
    <w:rsid w:val="00C0200D"/>
    <w:rsid w:val="00C05F40"/>
    <w:rsid w:val="00C06683"/>
    <w:rsid w:val="00C07706"/>
    <w:rsid w:val="00C12D98"/>
    <w:rsid w:val="00C17904"/>
    <w:rsid w:val="00C23D2F"/>
    <w:rsid w:val="00C25FEB"/>
    <w:rsid w:val="00C31A8F"/>
    <w:rsid w:val="00C33389"/>
    <w:rsid w:val="00C33660"/>
    <w:rsid w:val="00C40F5E"/>
    <w:rsid w:val="00C41B61"/>
    <w:rsid w:val="00C443BD"/>
    <w:rsid w:val="00C44B35"/>
    <w:rsid w:val="00C44CDE"/>
    <w:rsid w:val="00C451C5"/>
    <w:rsid w:val="00C4524C"/>
    <w:rsid w:val="00C45956"/>
    <w:rsid w:val="00C50167"/>
    <w:rsid w:val="00C51153"/>
    <w:rsid w:val="00C5371B"/>
    <w:rsid w:val="00C568CB"/>
    <w:rsid w:val="00C56C14"/>
    <w:rsid w:val="00C60DD4"/>
    <w:rsid w:val="00C62A84"/>
    <w:rsid w:val="00C6310F"/>
    <w:rsid w:val="00C63534"/>
    <w:rsid w:val="00C64BFA"/>
    <w:rsid w:val="00C66D55"/>
    <w:rsid w:val="00C745B3"/>
    <w:rsid w:val="00C746E8"/>
    <w:rsid w:val="00C75348"/>
    <w:rsid w:val="00C75E62"/>
    <w:rsid w:val="00C771B4"/>
    <w:rsid w:val="00C77F7C"/>
    <w:rsid w:val="00C80044"/>
    <w:rsid w:val="00C82168"/>
    <w:rsid w:val="00C82567"/>
    <w:rsid w:val="00C84933"/>
    <w:rsid w:val="00C9161D"/>
    <w:rsid w:val="00C93CE4"/>
    <w:rsid w:val="00C9643E"/>
    <w:rsid w:val="00C96EFD"/>
    <w:rsid w:val="00C97F9F"/>
    <w:rsid w:val="00CA0730"/>
    <w:rsid w:val="00CA07BE"/>
    <w:rsid w:val="00CA0C1D"/>
    <w:rsid w:val="00CA3F4B"/>
    <w:rsid w:val="00CA6B31"/>
    <w:rsid w:val="00CA779C"/>
    <w:rsid w:val="00CB048A"/>
    <w:rsid w:val="00CB0C18"/>
    <w:rsid w:val="00CB2EB8"/>
    <w:rsid w:val="00CB4D3E"/>
    <w:rsid w:val="00CB7913"/>
    <w:rsid w:val="00CC0925"/>
    <w:rsid w:val="00CC21E4"/>
    <w:rsid w:val="00CC5FAD"/>
    <w:rsid w:val="00CD22A7"/>
    <w:rsid w:val="00CD27BE"/>
    <w:rsid w:val="00CD2B8F"/>
    <w:rsid w:val="00CD4A95"/>
    <w:rsid w:val="00CD4D19"/>
    <w:rsid w:val="00CD4FFE"/>
    <w:rsid w:val="00CE0F81"/>
    <w:rsid w:val="00CE60F6"/>
    <w:rsid w:val="00CE6C68"/>
    <w:rsid w:val="00CF0E28"/>
    <w:rsid w:val="00CF1848"/>
    <w:rsid w:val="00CF75FB"/>
    <w:rsid w:val="00D03490"/>
    <w:rsid w:val="00D04FE8"/>
    <w:rsid w:val="00D05EF3"/>
    <w:rsid w:val="00D07321"/>
    <w:rsid w:val="00D07C92"/>
    <w:rsid w:val="00D11961"/>
    <w:rsid w:val="00D12044"/>
    <w:rsid w:val="00D13915"/>
    <w:rsid w:val="00D14BD9"/>
    <w:rsid w:val="00D159C7"/>
    <w:rsid w:val="00D15C6F"/>
    <w:rsid w:val="00D170D9"/>
    <w:rsid w:val="00D17948"/>
    <w:rsid w:val="00D21D9B"/>
    <w:rsid w:val="00D260F1"/>
    <w:rsid w:val="00D309C1"/>
    <w:rsid w:val="00D3256B"/>
    <w:rsid w:val="00D32B8A"/>
    <w:rsid w:val="00D33EFC"/>
    <w:rsid w:val="00D340A8"/>
    <w:rsid w:val="00D34373"/>
    <w:rsid w:val="00D3636D"/>
    <w:rsid w:val="00D37786"/>
    <w:rsid w:val="00D40DBC"/>
    <w:rsid w:val="00D53ED2"/>
    <w:rsid w:val="00D55527"/>
    <w:rsid w:val="00D55E07"/>
    <w:rsid w:val="00D57818"/>
    <w:rsid w:val="00D60918"/>
    <w:rsid w:val="00D60CE5"/>
    <w:rsid w:val="00D61C85"/>
    <w:rsid w:val="00D62D1D"/>
    <w:rsid w:val="00D6421B"/>
    <w:rsid w:val="00D64469"/>
    <w:rsid w:val="00D65B43"/>
    <w:rsid w:val="00D66050"/>
    <w:rsid w:val="00D663E6"/>
    <w:rsid w:val="00D67206"/>
    <w:rsid w:val="00D67EB4"/>
    <w:rsid w:val="00D70EB2"/>
    <w:rsid w:val="00D71BF2"/>
    <w:rsid w:val="00D72707"/>
    <w:rsid w:val="00D72D4C"/>
    <w:rsid w:val="00D745B3"/>
    <w:rsid w:val="00D75769"/>
    <w:rsid w:val="00D75C1F"/>
    <w:rsid w:val="00D75CA6"/>
    <w:rsid w:val="00D76A18"/>
    <w:rsid w:val="00D7702C"/>
    <w:rsid w:val="00D7785D"/>
    <w:rsid w:val="00D80849"/>
    <w:rsid w:val="00D823AC"/>
    <w:rsid w:val="00D829CA"/>
    <w:rsid w:val="00D82E8F"/>
    <w:rsid w:val="00D84A2F"/>
    <w:rsid w:val="00D86747"/>
    <w:rsid w:val="00D92C73"/>
    <w:rsid w:val="00D936F9"/>
    <w:rsid w:val="00D944E9"/>
    <w:rsid w:val="00D96988"/>
    <w:rsid w:val="00DA0BE0"/>
    <w:rsid w:val="00DA16A1"/>
    <w:rsid w:val="00DA1BAB"/>
    <w:rsid w:val="00DA2049"/>
    <w:rsid w:val="00DA2EC9"/>
    <w:rsid w:val="00DA4A32"/>
    <w:rsid w:val="00DA5EDC"/>
    <w:rsid w:val="00DA615F"/>
    <w:rsid w:val="00DA61DA"/>
    <w:rsid w:val="00DA7828"/>
    <w:rsid w:val="00DB2FF6"/>
    <w:rsid w:val="00DB3E42"/>
    <w:rsid w:val="00DB5E0F"/>
    <w:rsid w:val="00DB77AD"/>
    <w:rsid w:val="00DB7B96"/>
    <w:rsid w:val="00DC20A1"/>
    <w:rsid w:val="00DC58F3"/>
    <w:rsid w:val="00DD0012"/>
    <w:rsid w:val="00DD118C"/>
    <w:rsid w:val="00DD53CB"/>
    <w:rsid w:val="00DD7D1C"/>
    <w:rsid w:val="00DE1DA8"/>
    <w:rsid w:val="00DE55B1"/>
    <w:rsid w:val="00DE765C"/>
    <w:rsid w:val="00DF2721"/>
    <w:rsid w:val="00DF3161"/>
    <w:rsid w:val="00DF3945"/>
    <w:rsid w:val="00DF4A33"/>
    <w:rsid w:val="00E043F3"/>
    <w:rsid w:val="00E05143"/>
    <w:rsid w:val="00E07615"/>
    <w:rsid w:val="00E07D02"/>
    <w:rsid w:val="00E07F8E"/>
    <w:rsid w:val="00E1357A"/>
    <w:rsid w:val="00E13D64"/>
    <w:rsid w:val="00E13F9B"/>
    <w:rsid w:val="00E16F83"/>
    <w:rsid w:val="00E21DF3"/>
    <w:rsid w:val="00E228D7"/>
    <w:rsid w:val="00E244AA"/>
    <w:rsid w:val="00E253BF"/>
    <w:rsid w:val="00E33361"/>
    <w:rsid w:val="00E338D8"/>
    <w:rsid w:val="00E360C8"/>
    <w:rsid w:val="00E42E87"/>
    <w:rsid w:val="00E43B76"/>
    <w:rsid w:val="00E445F3"/>
    <w:rsid w:val="00E45F5B"/>
    <w:rsid w:val="00E471BF"/>
    <w:rsid w:val="00E53D70"/>
    <w:rsid w:val="00E54D22"/>
    <w:rsid w:val="00E55388"/>
    <w:rsid w:val="00E555B2"/>
    <w:rsid w:val="00E55AD8"/>
    <w:rsid w:val="00E55BDE"/>
    <w:rsid w:val="00E573F1"/>
    <w:rsid w:val="00E57FDD"/>
    <w:rsid w:val="00E62D00"/>
    <w:rsid w:val="00E64469"/>
    <w:rsid w:val="00E661FA"/>
    <w:rsid w:val="00E66235"/>
    <w:rsid w:val="00E70D0F"/>
    <w:rsid w:val="00E7693F"/>
    <w:rsid w:val="00E816B7"/>
    <w:rsid w:val="00E82D42"/>
    <w:rsid w:val="00E82EEC"/>
    <w:rsid w:val="00E83C24"/>
    <w:rsid w:val="00E840A2"/>
    <w:rsid w:val="00E874B7"/>
    <w:rsid w:val="00E9088E"/>
    <w:rsid w:val="00E92AC5"/>
    <w:rsid w:val="00E9318D"/>
    <w:rsid w:val="00E93F3E"/>
    <w:rsid w:val="00EA378E"/>
    <w:rsid w:val="00EA4766"/>
    <w:rsid w:val="00EA4C7B"/>
    <w:rsid w:val="00EA585B"/>
    <w:rsid w:val="00EA7D39"/>
    <w:rsid w:val="00EB0E35"/>
    <w:rsid w:val="00EB3303"/>
    <w:rsid w:val="00EB5579"/>
    <w:rsid w:val="00EB6E06"/>
    <w:rsid w:val="00EC11A2"/>
    <w:rsid w:val="00EC127D"/>
    <w:rsid w:val="00EC21BB"/>
    <w:rsid w:val="00EC5E55"/>
    <w:rsid w:val="00ED07B0"/>
    <w:rsid w:val="00ED2CDB"/>
    <w:rsid w:val="00ED353C"/>
    <w:rsid w:val="00ED477B"/>
    <w:rsid w:val="00ED4AAB"/>
    <w:rsid w:val="00EE2ED7"/>
    <w:rsid w:val="00EE3AE0"/>
    <w:rsid w:val="00EE71A1"/>
    <w:rsid w:val="00EE7CD4"/>
    <w:rsid w:val="00EF0944"/>
    <w:rsid w:val="00EF1516"/>
    <w:rsid w:val="00EF69F4"/>
    <w:rsid w:val="00EF6AC0"/>
    <w:rsid w:val="00F0040C"/>
    <w:rsid w:val="00F02C7E"/>
    <w:rsid w:val="00F063C2"/>
    <w:rsid w:val="00F07050"/>
    <w:rsid w:val="00F1066E"/>
    <w:rsid w:val="00F1502E"/>
    <w:rsid w:val="00F16C6A"/>
    <w:rsid w:val="00F21C57"/>
    <w:rsid w:val="00F25790"/>
    <w:rsid w:val="00F258F1"/>
    <w:rsid w:val="00F26B1D"/>
    <w:rsid w:val="00F30D40"/>
    <w:rsid w:val="00F337AC"/>
    <w:rsid w:val="00F36AAF"/>
    <w:rsid w:val="00F43512"/>
    <w:rsid w:val="00F44C73"/>
    <w:rsid w:val="00F478BC"/>
    <w:rsid w:val="00F5068F"/>
    <w:rsid w:val="00F53193"/>
    <w:rsid w:val="00F5357E"/>
    <w:rsid w:val="00F62557"/>
    <w:rsid w:val="00F63C73"/>
    <w:rsid w:val="00F6586C"/>
    <w:rsid w:val="00F6740E"/>
    <w:rsid w:val="00F6743E"/>
    <w:rsid w:val="00F67A6D"/>
    <w:rsid w:val="00F70D75"/>
    <w:rsid w:val="00F739BE"/>
    <w:rsid w:val="00F76875"/>
    <w:rsid w:val="00F816BF"/>
    <w:rsid w:val="00F82396"/>
    <w:rsid w:val="00F87752"/>
    <w:rsid w:val="00F9038B"/>
    <w:rsid w:val="00F90C7B"/>
    <w:rsid w:val="00F92700"/>
    <w:rsid w:val="00F94691"/>
    <w:rsid w:val="00F94774"/>
    <w:rsid w:val="00F96249"/>
    <w:rsid w:val="00F9722D"/>
    <w:rsid w:val="00FA14F6"/>
    <w:rsid w:val="00FA174E"/>
    <w:rsid w:val="00FA1CC0"/>
    <w:rsid w:val="00FA4D85"/>
    <w:rsid w:val="00FA663B"/>
    <w:rsid w:val="00FA6F69"/>
    <w:rsid w:val="00FA74B8"/>
    <w:rsid w:val="00FB0F68"/>
    <w:rsid w:val="00FB2C45"/>
    <w:rsid w:val="00FC0F04"/>
    <w:rsid w:val="00FC2023"/>
    <w:rsid w:val="00FC2746"/>
    <w:rsid w:val="00FC3856"/>
    <w:rsid w:val="00FC53DB"/>
    <w:rsid w:val="00FD0DA6"/>
    <w:rsid w:val="00FD32DC"/>
    <w:rsid w:val="00FD3FB8"/>
    <w:rsid w:val="00FE4601"/>
    <w:rsid w:val="00FE4944"/>
    <w:rsid w:val="00FF0CC2"/>
    <w:rsid w:val="00FF1EB2"/>
    <w:rsid w:val="00FF6B6B"/>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89E04591-5752-4023-80F1-3D0ED123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8F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0B58F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B58F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58F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58F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58F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0B58F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B58F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B58F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B58F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B5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58F5"/>
    <w:rPr>
      <w:rFonts w:ascii="Times New Roman" w:eastAsia="SimSun" w:hAnsi="Times New Roman" w:cs="Times New Roman"/>
      <w:sz w:val="20"/>
      <w:szCs w:val="22"/>
      <w:lang w:val="en-GB"/>
    </w:rPr>
  </w:style>
  <w:style w:type="paragraph" w:styleId="Footer">
    <w:name w:val="footer"/>
    <w:basedOn w:val="Normal"/>
    <w:link w:val="FooterChar"/>
    <w:uiPriority w:val="99"/>
    <w:rsid w:val="000B58F5"/>
    <w:pPr>
      <w:tabs>
        <w:tab w:val="center" w:pos="4680"/>
        <w:tab w:val="right" w:pos="9360"/>
      </w:tabs>
    </w:pPr>
    <w:rPr>
      <w:sz w:val="20"/>
    </w:rPr>
  </w:style>
  <w:style w:type="character" w:customStyle="1" w:styleId="FooterChar">
    <w:name w:val="Footer Char"/>
    <w:basedOn w:val="DefaultParagraphFont"/>
    <w:link w:val="Footer"/>
    <w:uiPriority w:val="99"/>
    <w:rsid w:val="000B58F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B58F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0B58F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0B58F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B58F5"/>
    <w:rPr>
      <w:sz w:val="16"/>
      <w:szCs w:val="16"/>
      <w:lang w:val="en-GB"/>
    </w:rPr>
  </w:style>
  <w:style w:type="paragraph" w:styleId="CommentText">
    <w:name w:val="annotation text"/>
    <w:basedOn w:val="Normal"/>
    <w:link w:val="CommentTextChar"/>
    <w:uiPriority w:val="99"/>
    <w:semiHidden/>
    <w:rsid w:val="000B58F5"/>
    <w:rPr>
      <w:sz w:val="20"/>
      <w:szCs w:val="20"/>
    </w:rPr>
  </w:style>
  <w:style w:type="character" w:customStyle="1" w:styleId="CommentTextChar">
    <w:name w:val="Comment Text Char"/>
    <w:basedOn w:val="DefaultParagraphFont"/>
    <w:link w:val="CommentText"/>
    <w:uiPriority w:val="99"/>
    <w:semiHidden/>
    <w:rsid w:val="000B58F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unhideWhenUsed/>
    <w:rsid w:val="000B58F5"/>
    <w:rPr>
      <w:vertAlign w:val="superscript"/>
      <w:lang w:val="en-GB"/>
    </w:rPr>
  </w:style>
  <w:style w:type="paragraph" w:styleId="FootnoteText">
    <w:name w:val="footnote text"/>
    <w:basedOn w:val="Normal"/>
    <w:link w:val="FootnoteTextChar"/>
    <w:uiPriority w:val="99"/>
    <w:unhideWhenUsed/>
    <w:rsid w:val="000B58F5"/>
    <w:pPr>
      <w:jc w:val="left"/>
    </w:pPr>
    <w:rPr>
      <w:sz w:val="18"/>
      <w:szCs w:val="20"/>
    </w:rPr>
  </w:style>
  <w:style w:type="character" w:customStyle="1" w:styleId="FootnoteTextChar">
    <w:name w:val="Footnote Text Char"/>
    <w:basedOn w:val="DefaultParagraphFont"/>
    <w:link w:val="FootnoteText"/>
    <w:uiPriority w:val="99"/>
    <w:rsid w:val="000B58F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B58F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B58F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B58F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B58F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B58F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B58F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B58F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B58F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B58F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B58F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B58F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B58F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B58F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B58F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B58F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B58F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B58F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B58F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0B58F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58F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B58F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B58F5"/>
    <w:pPr>
      <w:spacing w:after="120"/>
      <w:ind w:left="567"/>
    </w:pPr>
  </w:style>
  <w:style w:type="paragraph" w:customStyle="1" w:styleId="Footnote">
    <w:name w:val="Footnote"/>
    <w:basedOn w:val="FootnoteText"/>
    <w:semiHidden/>
    <w:qFormat/>
    <w:rsid w:val="000B58F5"/>
    <w:rPr>
      <w:szCs w:val="18"/>
    </w:rPr>
  </w:style>
  <w:style w:type="paragraph" w:customStyle="1" w:styleId="Annex">
    <w:name w:val="Annex"/>
    <w:basedOn w:val="Normal"/>
    <w:semiHidden/>
    <w:qFormat/>
    <w:rsid w:val="000B58F5"/>
    <w:pPr>
      <w:spacing w:after="240"/>
    </w:pPr>
    <w:rPr>
      <w:b/>
      <w:sz w:val="28"/>
    </w:rPr>
  </w:style>
  <w:style w:type="paragraph" w:customStyle="1" w:styleId="ABSymbol">
    <w:name w:val="AB_Symbol"/>
    <w:basedOn w:val="Normal"/>
    <w:qFormat/>
    <w:rsid w:val="000B5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B58F5"/>
    <w:pPr>
      <w:numPr>
        <w:numId w:val="7"/>
      </w:numPr>
      <w:tabs>
        <w:tab w:val="left" w:pos="3969"/>
      </w:tabs>
      <w:spacing w:before="120" w:after="120"/>
    </w:pPr>
  </w:style>
  <w:style w:type="paragraph" w:customStyle="1" w:styleId="AFCorNNormal">
    <w:name w:val="AF_CorNNormal"/>
    <w:basedOn w:val="Normal"/>
    <w:unhideWhenUsed/>
    <w:rsid w:val="000B58F5"/>
    <w:pPr>
      <w:jc w:val="left"/>
    </w:pPr>
  </w:style>
  <w:style w:type="paragraph" w:customStyle="1" w:styleId="AEDistrNormal">
    <w:name w:val="AE_DistrNormal"/>
    <w:basedOn w:val="Normal"/>
    <w:unhideWhenUsed/>
    <w:rsid w:val="000B58F5"/>
    <w:pPr>
      <w:jc w:val="left"/>
    </w:pPr>
  </w:style>
  <w:style w:type="paragraph" w:customStyle="1" w:styleId="AASmallLogo">
    <w:name w:val="AA_SmallLogo"/>
    <w:basedOn w:val="AEDistrNormal"/>
    <w:unhideWhenUsed/>
    <w:rsid w:val="000B58F5"/>
    <w:pPr>
      <w:spacing w:before="40"/>
    </w:pPr>
    <w:rPr>
      <w:sz w:val="4"/>
    </w:rPr>
  </w:style>
  <w:style w:type="paragraph" w:customStyle="1" w:styleId="ACLargeLogo">
    <w:name w:val="AC_LargeLogo"/>
    <w:basedOn w:val="AFCorNNormal"/>
    <w:next w:val="AISpacer"/>
    <w:unhideWhenUsed/>
    <w:rsid w:val="000B58F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B58F5"/>
    <w:rPr>
      <w:b/>
      <w:bCs/>
    </w:rPr>
  </w:style>
  <w:style w:type="character" w:customStyle="1" w:styleId="CommentSubjectChar">
    <w:name w:val="Comment Subject Char"/>
    <w:basedOn w:val="CommentTextChar"/>
    <w:link w:val="CommentSubject"/>
    <w:uiPriority w:val="99"/>
    <w:semiHidden/>
    <w:rsid w:val="000B58F5"/>
    <w:rPr>
      <w:rFonts w:ascii="Times New Roman" w:eastAsia="SimSun" w:hAnsi="Times New Roman" w:cs="Times New Roman"/>
      <w:b/>
      <w:bCs/>
      <w:sz w:val="20"/>
      <w:szCs w:val="20"/>
      <w:lang w:val="en-GB"/>
    </w:rPr>
  </w:style>
  <w:style w:type="paragraph" w:customStyle="1" w:styleId="Item">
    <w:name w:val="Item"/>
    <w:basedOn w:val="Normal"/>
    <w:semiHidden/>
    <w:qFormat/>
    <w:rsid w:val="000B58F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B58F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B58F5"/>
    <w:pPr>
      <w:contextualSpacing/>
    </w:pPr>
  </w:style>
  <w:style w:type="numbering" w:customStyle="1" w:styleId="ListCBD">
    <w:name w:val="ListCBD"/>
    <w:basedOn w:val="NoList"/>
    <w:uiPriority w:val="99"/>
    <w:rsid w:val="000B58F5"/>
    <w:pPr>
      <w:numPr>
        <w:numId w:val="5"/>
      </w:numPr>
    </w:pPr>
  </w:style>
  <w:style w:type="numbering" w:customStyle="1" w:styleId="CBDHeadings">
    <w:name w:val="CBD_Headings"/>
    <w:basedOn w:val="ListCBD"/>
    <w:uiPriority w:val="99"/>
    <w:rsid w:val="000B58F5"/>
    <w:pPr>
      <w:numPr>
        <w:numId w:val="6"/>
      </w:numPr>
    </w:pPr>
  </w:style>
  <w:style w:type="paragraph" w:customStyle="1" w:styleId="AISpacer">
    <w:name w:val="AI_Spacer"/>
    <w:next w:val="Normal"/>
    <w:unhideWhenUsed/>
    <w:qFormat/>
    <w:rsid w:val="000B58F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B58F5"/>
    <w:pPr>
      <w:spacing w:before="120"/>
    </w:pPr>
  </w:style>
  <w:style w:type="paragraph" w:customStyle="1" w:styleId="AFCorNBold">
    <w:name w:val="AF_CorNBold"/>
    <w:basedOn w:val="AFCorNNormal"/>
    <w:next w:val="AFCorNNormal"/>
    <w:unhideWhenUsed/>
    <w:qFormat/>
    <w:rsid w:val="000B58F5"/>
    <w:rPr>
      <w:b/>
    </w:rPr>
  </w:style>
  <w:style w:type="paragraph" w:customStyle="1" w:styleId="AFCorN12Bold">
    <w:name w:val="AF_CorN12Bold"/>
    <w:basedOn w:val="AFCorNNormal"/>
    <w:next w:val="AFCorNNormal"/>
    <w:unhideWhenUsed/>
    <w:qFormat/>
    <w:rsid w:val="000B58F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B58F5"/>
    <w:pPr>
      <w:spacing w:after="120"/>
      <w:ind w:left="1134" w:firstLine="567"/>
    </w:pPr>
  </w:style>
  <w:style w:type="paragraph" w:customStyle="1" w:styleId="CBDDesicionAnnex">
    <w:name w:val="CBD_DesicionAnnex"/>
    <w:basedOn w:val="CBDNormal"/>
    <w:next w:val="CBDDesicionText"/>
    <w:qFormat/>
    <w:rsid w:val="000B58F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B58F5"/>
    <w:pPr>
      <w:keepNext/>
      <w:keepLines/>
      <w:spacing w:after="240"/>
      <w:jc w:val="left"/>
    </w:pPr>
    <w:rPr>
      <w:b/>
      <w:sz w:val="28"/>
      <w:lang w:bidi="ar-SY"/>
    </w:rPr>
  </w:style>
  <w:style w:type="paragraph" w:customStyle="1" w:styleId="CBDSubTitle">
    <w:name w:val="CBD_SubTitle"/>
    <w:basedOn w:val="CBDNormal"/>
    <w:qFormat/>
    <w:rsid w:val="000B58F5"/>
    <w:pPr>
      <w:keepNext/>
      <w:keepLines/>
      <w:spacing w:before="240" w:after="240"/>
      <w:ind w:left="567"/>
      <w:jc w:val="left"/>
    </w:pPr>
    <w:rPr>
      <w:b/>
    </w:rPr>
  </w:style>
  <w:style w:type="paragraph" w:customStyle="1" w:styleId="CBDTitle">
    <w:name w:val="CBD_Title"/>
    <w:basedOn w:val="CBDNormal"/>
    <w:next w:val="CBDSubTitle"/>
    <w:qFormat/>
    <w:rsid w:val="000B58F5"/>
    <w:pPr>
      <w:keepNext/>
      <w:keepLines/>
      <w:spacing w:before="240" w:after="240"/>
      <w:ind w:left="567"/>
      <w:jc w:val="left"/>
    </w:pPr>
    <w:rPr>
      <w:b/>
      <w:sz w:val="28"/>
    </w:rPr>
  </w:style>
  <w:style w:type="paragraph" w:customStyle="1" w:styleId="AENormal">
    <w:name w:val="AE_Normal"/>
    <w:basedOn w:val="Normal"/>
    <w:rsid w:val="000B58F5"/>
  </w:style>
  <w:style w:type="paragraph" w:customStyle="1" w:styleId="CBDH1">
    <w:name w:val="CBD_H1"/>
    <w:basedOn w:val="CBDNormal"/>
    <w:qFormat/>
    <w:rsid w:val="000B58F5"/>
    <w:pPr>
      <w:keepNext/>
      <w:keepLines/>
      <w:spacing w:before="240" w:after="120"/>
      <w:ind w:left="567" w:hanging="567"/>
      <w:jc w:val="left"/>
      <w:outlineLvl w:val="0"/>
    </w:pPr>
    <w:rPr>
      <w:b/>
      <w:sz w:val="28"/>
    </w:rPr>
  </w:style>
  <w:style w:type="paragraph" w:customStyle="1" w:styleId="CBDH2">
    <w:name w:val="CBD_H2"/>
    <w:basedOn w:val="CBDNormal"/>
    <w:qFormat/>
    <w:rsid w:val="000B58F5"/>
    <w:pPr>
      <w:keepNext/>
      <w:keepLines/>
      <w:ind w:left="567" w:hanging="567"/>
    </w:pPr>
    <w:rPr>
      <w:b/>
      <w:sz w:val="24"/>
    </w:rPr>
  </w:style>
  <w:style w:type="paragraph" w:customStyle="1" w:styleId="CBDFootnoteText">
    <w:name w:val="CBD_Footnote_Text"/>
    <w:basedOn w:val="CBDNormal"/>
    <w:qFormat/>
    <w:rsid w:val="000B58F5"/>
    <w:pPr>
      <w:jc w:val="left"/>
    </w:pPr>
    <w:rPr>
      <w:sz w:val="18"/>
    </w:rPr>
  </w:style>
  <w:style w:type="paragraph" w:customStyle="1" w:styleId="CBDFooter">
    <w:name w:val="CBD_Footer"/>
    <w:basedOn w:val="CBDNormal"/>
    <w:qFormat/>
    <w:rsid w:val="000B58F5"/>
    <w:rPr>
      <w:sz w:val="20"/>
    </w:rPr>
  </w:style>
  <w:style w:type="paragraph" w:customStyle="1" w:styleId="CBDHeader">
    <w:name w:val="CBD_Header"/>
    <w:basedOn w:val="CBDNormal"/>
    <w:next w:val="CBDFooter"/>
    <w:qFormat/>
    <w:rsid w:val="000B5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B58F5"/>
    <w:pPr>
      <w:keepNext/>
      <w:keepLines/>
      <w:spacing w:before="120" w:after="120"/>
      <w:ind w:left="567" w:hanging="567"/>
      <w:jc w:val="left"/>
    </w:pPr>
    <w:rPr>
      <w:b/>
    </w:rPr>
  </w:style>
  <w:style w:type="paragraph" w:customStyle="1" w:styleId="CBDH4">
    <w:name w:val="CBD_H4"/>
    <w:basedOn w:val="CBDNormal"/>
    <w:rsid w:val="000B58F5"/>
    <w:pPr>
      <w:keepNext/>
      <w:keepLines/>
      <w:spacing w:before="120" w:after="120"/>
      <w:ind w:left="567" w:hanging="567"/>
      <w:jc w:val="left"/>
    </w:pPr>
    <w:rPr>
      <w:b/>
    </w:rPr>
  </w:style>
  <w:style w:type="paragraph" w:customStyle="1" w:styleId="CBDH5">
    <w:name w:val="CBD_H5"/>
    <w:basedOn w:val="CBDNormal"/>
    <w:qFormat/>
    <w:rsid w:val="000B58F5"/>
    <w:pPr>
      <w:keepNext/>
      <w:keepLines/>
      <w:spacing w:before="120" w:after="120"/>
      <w:ind w:left="567" w:hanging="567"/>
      <w:jc w:val="left"/>
    </w:pPr>
    <w:rPr>
      <w:i/>
    </w:rPr>
  </w:style>
  <w:style w:type="paragraph" w:customStyle="1" w:styleId="CBDTableNormal">
    <w:name w:val="CBD_TableNormal"/>
    <w:basedOn w:val="CBDNormal"/>
    <w:qFormat/>
    <w:rsid w:val="000B58F5"/>
    <w:pPr>
      <w:spacing w:before="40" w:after="80"/>
      <w:jc w:val="left"/>
    </w:pPr>
    <w:rPr>
      <w:sz w:val="20"/>
    </w:rPr>
  </w:style>
  <w:style w:type="paragraph" w:customStyle="1" w:styleId="CBDTableTitle">
    <w:name w:val="CBD_TableTitle"/>
    <w:basedOn w:val="CBDNormal"/>
    <w:qFormat/>
    <w:rsid w:val="000B58F5"/>
    <w:pPr>
      <w:keepNext/>
      <w:keepLines/>
      <w:spacing w:before="120" w:after="60"/>
      <w:ind w:left="567"/>
      <w:jc w:val="left"/>
    </w:pPr>
    <w:rPr>
      <w:b/>
    </w:rPr>
  </w:style>
  <w:style w:type="paragraph" w:customStyle="1" w:styleId="CBDFigureTitle">
    <w:name w:val="CBD_FigureTitle"/>
    <w:basedOn w:val="CBDNormal"/>
    <w:next w:val="CBDNormalNoNumber"/>
    <w:qFormat/>
    <w:rsid w:val="000B58F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B58F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B58F5"/>
    <w:pPr>
      <w:tabs>
        <w:tab w:val="clear" w:pos="567"/>
      </w:tabs>
      <w:spacing w:before="120" w:after="120"/>
      <w:ind w:left="1134" w:hanging="567"/>
      <w:jc w:val="left"/>
    </w:pPr>
  </w:style>
  <w:style w:type="paragraph" w:customStyle="1" w:styleId="CBDsubpara-item">
    <w:name w:val="CBD_subpara-item"/>
    <w:basedOn w:val="CBDpara-item"/>
    <w:qFormat/>
    <w:rsid w:val="000B58F5"/>
    <w:pPr>
      <w:tabs>
        <w:tab w:val="clear" w:pos="1134"/>
      </w:tabs>
      <w:ind w:left="1701"/>
    </w:pPr>
  </w:style>
  <w:style w:type="paragraph" w:customStyle="1" w:styleId="CBDRecommendText">
    <w:name w:val="CBD_RecommendText"/>
    <w:basedOn w:val="Normal"/>
    <w:qFormat/>
    <w:rsid w:val="000B58F5"/>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0B58F5"/>
  </w:style>
  <w:style w:type="paragraph" w:customStyle="1" w:styleId="CBDAgendaItem-1">
    <w:name w:val="CBD_AgendaItem-1"/>
    <w:basedOn w:val="Normal"/>
    <w:qFormat/>
    <w:rsid w:val="000B58F5"/>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B58F5"/>
    <w:pPr>
      <w:ind w:left="567" w:hanging="567"/>
    </w:pPr>
    <w:rPr>
      <w:sz w:val="22"/>
    </w:rPr>
  </w:style>
  <w:style w:type="paragraph" w:customStyle="1" w:styleId="CBDAgendaItem-3">
    <w:name w:val="CBD_AgendaItem-3"/>
    <w:basedOn w:val="CBDAgendaItem-1"/>
    <w:qFormat/>
    <w:rsid w:val="000B58F5"/>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AA8EA3CD114252BAC36BA82FC47B01"/>
        <w:category>
          <w:name w:val="General"/>
          <w:gallery w:val="placeholder"/>
        </w:category>
        <w:types>
          <w:type w:val="bbPlcHdr"/>
        </w:types>
        <w:behaviors>
          <w:behavior w:val="content"/>
        </w:behaviors>
        <w:guid w:val="{1840D3CA-D647-4248-8AE0-7962502885FB}"/>
      </w:docPartPr>
      <w:docPartBody>
        <w:p w:rsidR="00C000A0" w:rsidRDefault="00C857A7">
          <w:r w:rsidRPr="00A81435">
            <w:rPr>
              <w:rStyle w:val="PlaceholderText"/>
              <w:lang w:val="fr-CA"/>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A7"/>
    <w:rsid w:val="00730E0B"/>
    <w:rsid w:val="008A73BF"/>
    <w:rsid w:val="00C000A0"/>
    <w:rsid w:val="00C857A7"/>
    <w:rsid w:val="00FC16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7A7"/>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035D371-8A47-4EDE-ADA2-DF0DEFAE7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7</Pages>
  <Words>3336</Words>
  <Characters>19154</Characters>
  <Application>Microsoft Office Word</Application>
  <DocSecurity>0</DocSecurity>
  <Lines>281</Lines>
  <Paragraphs>80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and methodology for indicators on biodiversity and health</dc:title>
  <dc:subject>CBD/COP/17/INF/8</dc:subject>
  <dc:creator>Secretariat of the Convention on Biological Diversity</dc:creator>
  <cp:keywords>Convention on Biological Diversity</cp:keywords>
  <cp:lastModifiedBy>Veronique Lefebvre</cp:lastModifiedBy>
  <cp:revision>4</cp:revision>
  <cp:lastPrinted>2026-09-01T18:23:00Z</cp:lastPrinted>
  <dcterms:created xsi:type="dcterms:W3CDTF">2026-09-10T18:50:00Z</dcterms:created>
  <dcterms:modified xsi:type="dcterms:W3CDTF">2026-09-10T18:51:00Z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2cab38a2-07f7-4b64-b983-e96eb95dc284</vt:lpwstr>
  </property>
  <property fmtid="{D5CDD505-2E9C-101B-9397-08002B2CF9AE}" pid="11" name="Order">
    <vt:r8>168200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