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TableGrid1"/>
        <w:tblW w:w="5528" w:type="pct"/>
        <w:tblInd w:w="-28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851"/>
        <w:gridCol w:w="5323"/>
        <w:gridCol w:w="4174"/>
      </w:tblGrid>
      <w:tr w:rsidR="00F04681" w:rsidRPr="005434C5" w14:paraId="544B6D97" w14:textId="77777777" w:rsidTr="00157815">
        <w:trPr>
          <w:trHeight w:val="851"/>
        </w:trPr>
        <w:tc>
          <w:tcPr>
            <w:tcW w:w="411" w:type="pct"/>
            <w:tcBorders>
              <w:bottom w:val="single" w:sz="8" w:space="0" w:color="auto"/>
            </w:tcBorders>
            <w:vAlign w:val="bottom"/>
          </w:tcPr>
          <w:p w14:paraId="4B016EF6" w14:textId="07539B39" w:rsidR="00F04681" w:rsidRPr="005434C5" w:rsidRDefault="00F04681" w:rsidP="00193690">
            <w:pPr>
              <w:spacing w:after="120"/>
            </w:pPr>
            <w:bookmarkStart w:id="0" w:name="_Hlk137651738"/>
            <w:bookmarkStart w:id="1" w:name="_Toc462934071"/>
            <w:bookmarkStart w:id="2" w:name="_Toc480714127"/>
            <w:r w:rsidRPr="005434C5">
              <w:rPr>
                <w:noProof/>
                <w:lang w:val="en-US"/>
              </w:rPr>
              <w:drawing>
                <wp:inline distT="0" distB="0" distL="0" distR="0" wp14:anchorId="3C1D681D" wp14:editId="4F2FF042">
                  <wp:extent cx="476494" cy="403200"/>
                  <wp:effectExtent l="0" t="0" r="6350" b="3810"/>
                  <wp:docPr id="1126395443" name="Picture 1126395443"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476494" cy="403200"/>
                          </a:xfrm>
                          <a:prstGeom prst="rect">
                            <a:avLst/>
                          </a:prstGeom>
                          <a:noFill/>
                          <a:ln>
                            <a:noFill/>
                          </a:ln>
                        </pic:spPr>
                      </pic:pic>
                    </a:graphicData>
                  </a:graphic>
                </wp:inline>
              </w:drawing>
            </w:r>
          </w:p>
        </w:tc>
        <w:tc>
          <w:tcPr>
            <w:tcW w:w="2572" w:type="pct"/>
            <w:tcBorders>
              <w:bottom w:val="single" w:sz="8" w:space="0" w:color="auto"/>
            </w:tcBorders>
            <w:shd w:val="clear" w:color="auto" w:fill="auto"/>
            <w:tcFitText/>
            <w:vAlign w:val="bottom"/>
          </w:tcPr>
          <w:p w14:paraId="110ABFA4" w14:textId="017188C6" w:rsidR="00F04681" w:rsidRPr="005434C5" w:rsidRDefault="00391861" w:rsidP="00193690">
            <w:pPr>
              <w:spacing w:after="120"/>
            </w:pPr>
            <w:r w:rsidRPr="00D9794D">
              <w:rPr>
                <w:noProof/>
                <w:lang w:val="en-US"/>
              </w:rPr>
              <w:drawing>
                <wp:inline distT="0" distB="0" distL="0" distR="0" wp14:anchorId="7B98D710" wp14:editId="317F82ED">
                  <wp:extent cx="612648" cy="347472"/>
                  <wp:effectExtent l="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2"/>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612648" cy="347472"/>
                          </a:xfrm>
                          <a:prstGeom prst="rect">
                            <a:avLst/>
                          </a:prstGeom>
                          <a:noFill/>
                        </pic:spPr>
                      </pic:pic>
                    </a:graphicData>
                  </a:graphic>
                </wp:inline>
              </w:drawing>
            </w:r>
          </w:p>
        </w:tc>
        <w:tc>
          <w:tcPr>
            <w:tcW w:w="2018" w:type="pct"/>
            <w:tcBorders>
              <w:bottom w:val="single" w:sz="8" w:space="0" w:color="auto"/>
            </w:tcBorders>
            <w:vAlign w:val="bottom"/>
          </w:tcPr>
          <w:p w14:paraId="6466BC1C" w14:textId="25EECE02" w:rsidR="00F04681" w:rsidRPr="005434C5" w:rsidRDefault="00F04681" w:rsidP="00193690">
            <w:pPr>
              <w:spacing w:after="120"/>
              <w:ind w:left="2021"/>
              <w:jc w:val="right"/>
              <w:rPr>
                <w:szCs w:val="22"/>
              </w:rPr>
            </w:pPr>
            <w:proofErr w:type="spellStart"/>
            <w:r w:rsidRPr="005434C5">
              <w:rPr>
                <w:sz w:val="40"/>
                <w:szCs w:val="40"/>
              </w:rPr>
              <w:t>CBD</w:t>
            </w:r>
            <w:proofErr w:type="spellEnd"/>
            <w:r w:rsidRPr="005434C5">
              <w:t>/COP/16/7</w:t>
            </w:r>
          </w:p>
        </w:tc>
      </w:tr>
      <w:tr w:rsidR="00F04681" w:rsidRPr="005434C5" w14:paraId="7C570F93" w14:textId="77777777" w:rsidTr="00157815">
        <w:tc>
          <w:tcPr>
            <w:tcW w:w="2982" w:type="pct"/>
            <w:gridSpan w:val="2"/>
            <w:tcBorders>
              <w:top w:val="single" w:sz="8" w:space="0" w:color="auto"/>
              <w:bottom w:val="single" w:sz="12" w:space="0" w:color="auto"/>
            </w:tcBorders>
          </w:tcPr>
          <w:p w14:paraId="6CB81783" w14:textId="228D7EE0" w:rsidR="00F04681" w:rsidRPr="005434C5" w:rsidRDefault="00B93EE0" w:rsidP="00193690">
            <w:pPr>
              <w:pStyle w:val="Cornernotation"/>
              <w:suppressLineNumbers/>
              <w:suppressAutoHyphens/>
              <w:spacing w:before="120" w:after="120"/>
              <w:ind w:left="0" w:right="0" w:firstLine="0"/>
            </w:pPr>
            <w:r w:rsidRPr="004B621F">
              <w:rPr>
                <w:noProof/>
                <w:kern w:val="22"/>
                <w:lang w:val="en-US"/>
              </w:rPr>
              <w:drawing>
                <wp:inline distT="0" distB="0" distL="0" distR="0" wp14:anchorId="2949150B" wp14:editId="73B90D47">
                  <wp:extent cx="2903220" cy="106680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3"/>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2903220" cy="1066800"/>
                          </a:xfrm>
                          <a:prstGeom prst="rect">
                            <a:avLst/>
                          </a:prstGeom>
                          <a:noFill/>
                          <a:ln>
                            <a:noFill/>
                          </a:ln>
                        </pic:spPr>
                      </pic:pic>
                    </a:graphicData>
                  </a:graphic>
                </wp:inline>
              </w:drawing>
            </w:r>
          </w:p>
        </w:tc>
        <w:tc>
          <w:tcPr>
            <w:tcW w:w="2018" w:type="pct"/>
            <w:tcBorders>
              <w:top w:val="single" w:sz="8" w:space="0" w:color="auto"/>
              <w:bottom w:val="single" w:sz="12" w:space="0" w:color="auto"/>
            </w:tcBorders>
          </w:tcPr>
          <w:p w14:paraId="6D6AFEBD" w14:textId="77777777" w:rsidR="00F04681" w:rsidRPr="005434C5" w:rsidRDefault="00F04681" w:rsidP="00C3466C">
            <w:pPr>
              <w:ind w:left="1650"/>
              <w:rPr>
                <w:sz w:val="22"/>
                <w:szCs w:val="22"/>
              </w:rPr>
            </w:pPr>
            <w:proofErr w:type="spellStart"/>
            <w:r w:rsidRPr="005434C5">
              <w:rPr>
                <w:sz w:val="22"/>
                <w:szCs w:val="22"/>
              </w:rPr>
              <w:t>Distr</w:t>
            </w:r>
            <w:proofErr w:type="spellEnd"/>
            <w:r w:rsidRPr="005434C5">
              <w:rPr>
                <w:sz w:val="22"/>
                <w:szCs w:val="22"/>
              </w:rPr>
              <w:t>. general</w:t>
            </w:r>
          </w:p>
          <w:p w14:paraId="3CBB8622" w14:textId="4A29553B" w:rsidR="00F04681" w:rsidRPr="005434C5" w:rsidRDefault="00A81B45" w:rsidP="00C3466C">
            <w:pPr>
              <w:tabs>
                <w:tab w:val="clear" w:pos="1701"/>
                <w:tab w:val="left" w:pos="1740"/>
              </w:tabs>
              <w:ind w:left="1650"/>
              <w:rPr>
                <w:sz w:val="22"/>
                <w:szCs w:val="22"/>
              </w:rPr>
            </w:pPr>
            <w:r w:rsidRPr="005434C5">
              <w:rPr>
                <w:sz w:val="22"/>
                <w:szCs w:val="22"/>
              </w:rPr>
              <w:t>22 de septiembre de 2024</w:t>
            </w:r>
          </w:p>
          <w:p w14:paraId="321D3299" w14:textId="29BA38D2" w:rsidR="00F04681" w:rsidRPr="005434C5" w:rsidRDefault="00F04681" w:rsidP="00C3466C">
            <w:pPr>
              <w:ind w:left="1650"/>
              <w:rPr>
                <w:sz w:val="22"/>
                <w:szCs w:val="22"/>
              </w:rPr>
            </w:pPr>
            <w:r w:rsidRPr="005434C5">
              <w:rPr>
                <w:sz w:val="22"/>
                <w:szCs w:val="22"/>
              </w:rPr>
              <w:t xml:space="preserve">Español </w:t>
            </w:r>
            <w:r w:rsidR="00ED4C8B" w:rsidRPr="005434C5">
              <w:rPr>
                <w:sz w:val="22"/>
                <w:szCs w:val="22"/>
              </w:rPr>
              <w:br/>
            </w:r>
            <w:r w:rsidRPr="005434C5">
              <w:rPr>
                <w:sz w:val="22"/>
                <w:szCs w:val="22"/>
              </w:rPr>
              <w:t>Original: inglés</w:t>
            </w:r>
          </w:p>
          <w:p w14:paraId="252AF71E" w14:textId="77777777" w:rsidR="00F04681" w:rsidRPr="005434C5" w:rsidRDefault="00F04681" w:rsidP="00193690"/>
        </w:tc>
      </w:tr>
    </w:tbl>
    <w:p w14:paraId="32FD8283" w14:textId="77777777" w:rsidR="00F04681" w:rsidRPr="005434C5" w:rsidRDefault="00F04681" w:rsidP="00193690">
      <w:pPr>
        <w:pStyle w:val="Cornernotation"/>
        <w:ind w:left="0" w:right="5249" w:firstLine="0"/>
        <w:rPr>
          <w:bCs/>
        </w:rPr>
      </w:pPr>
      <w:r w:rsidRPr="005434C5">
        <w:t>Conferencia de las Partes en el Convenio sobre la Diversidad Biológica</w:t>
      </w:r>
    </w:p>
    <w:p w14:paraId="4284A073" w14:textId="47B7A97E" w:rsidR="00F04681" w:rsidRPr="005434C5" w:rsidRDefault="00BC7B91" w:rsidP="00193690">
      <w:pPr>
        <w:pStyle w:val="Cornernotation"/>
        <w:rPr>
          <w:bCs/>
          <w:sz w:val="22"/>
        </w:rPr>
      </w:pPr>
      <w:r>
        <w:rPr>
          <w:bCs/>
          <w:sz w:val="22"/>
        </w:rPr>
        <w:t>16</w:t>
      </w:r>
      <w:r w:rsidRPr="00BC7B91">
        <w:rPr>
          <w:bCs/>
          <w:sz w:val="22"/>
          <w:vertAlign w:val="superscript"/>
        </w:rPr>
        <w:t>a</w:t>
      </w:r>
      <w:r w:rsidR="00F04681" w:rsidRPr="005434C5">
        <w:rPr>
          <w:bCs/>
          <w:sz w:val="22"/>
        </w:rPr>
        <w:t xml:space="preserve"> reunión </w:t>
      </w:r>
    </w:p>
    <w:p w14:paraId="750C32D7" w14:textId="77777777" w:rsidR="00F04681" w:rsidRPr="005434C5" w:rsidRDefault="00F04681" w:rsidP="00193690">
      <w:pPr>
        <w:pStyle w:val="Venuedate"/>
      </w:pPr>
      <w:r w:rsidRPr="005434C5">
        <w:t>Cali (Colombia), 21 de octubre a 1 de noviembre de 2024</w:t>
      </w:r>
    </w:p>
    <w:p w14:paraId="700764DA" w14:textId="734FDEF3" w:rsidR="00F04681" w:rsidRPr="005434C5" w:rsidRDefault="00F04681" w:rsidP="00193690">
      <w:pPr>
        <w:pStyle w:val="Cornernotation-Item"/>
        <w:rPr>
          <w:b w:val="0"/>
          <w:bCs w:val="0"/>
        </w:rPr>
      </w:pPr>
      <w:r w:rsidRPr="005434C5">
        <w:rPr>
          <w:b w:val="0"/>
          <w:bCs w:val="0"/>
        </w:rPr>
        <w:t>Tema 11 del programa provisional</w:t>
      </w:r>
      <w:r w:rsidRPr="005434C5">
        <w:rPr>
          <w:rStyle w:val="FootnoteReference"/>
          <w:b w:val="0"/>
          <w:bCs w:val="0"/>
        </w:rPr>
        <w:footnoteReference w:customMarkFollows="1" w:id="2"/>
        <w:t>*</w:t>
      </w:r>
    </w:p>
    <w:p w14:paraId="66B4FE0C" w14:textId="5E84EF8D" w:rsidR="00F04681" w:rsidRPr="005434C5" w:rsidRDefault="00F04681" w:rsidP="00193690">
      <w:pPr>
        <w:pStyle w:val="Cornernotation-Item"/>
      </w:pPr>
      <w:r w:rsidRPr="005434C5">
        <w:t>Movilización de recursos y el mecanismo financiero</w:t>
      </w:r>
      <w:bookmarkStart w:id="3" w:name="_GoBack"/>
      <w:bookmarkEnd w:id="3"/>
    </w:p>
    <w:bookmarkEnd w:id="0"/>
    <w:p w14:paraId="48830021" w14:textId="393C9E48" w:rsidR="00F04681" w:rsidRPr="005434C5" w:rsidRDefault="002816CB" w:rsidP="00ED4C8B">
      <w:pPr>
        <w:pStyle w:val="CBDTitle"/>
      </w:pPr>
      <w:sdt>
        <w:sdtPr>
          <w:alias w:val="Title"/>
          <w:tag w:val=""/>
          <w:id w:val="-1975355689"/>
          <w:placeholder>
            <w:docPart w:val="5C86D77FDE9647B397D2E1941A85FFF4"/>
          </w:placeholder>
          <w:dataBinding w:prefixMappings="xmlns:ns0='http://purl.org/dc/elements/1.1/' xmlns:ns1='http://schemas.openxmlformats.org/package/2006/metadata/core-properties' " w:xpath="/ns1:coreProperties[1]/ns0:title[1]" w:storeItemID="{6C3C8BC8-F283-45AE-878A-BAB7291924A1}"/>
          <w:text/>
        </w:sdtPr>
        <w:sdtEndPr/>
        <w:sdtContent>
          <w:r w:rsidR="00ED4C8B" w:rsidRPr="005434C5">
            <w:t>Informe sobre el sexto examen de la eficacia del mecanismo financiero</w:t>
          </w:r>
        </w:sdtContent>
      </w:sdt>
    </w:p>
    <w:p w14:paraId="64A8CFCC" w14:textId="77777777" w:rsidR="00F04681" w:rsidRPr="005434C5" w:rsidRDefault="00F04681" w:rsidP="00927249">
      <w:pPr>
        <w:pStyle w:val="CBDSubTitle"/>
      </w:pPr>
      <w:r w:rsidRPr="005434C5">
        <w:t>Nota de la Secretaría</w:t>
      </w:r>
    </w:p>
    <w:p w14:paraId="712C34A3" w14:textId="2D3592C1" w:rsidR="00234D0E" w:rsidRPr="005434C5" w:rsidRDefault="00973669" w:rsidP="009504DE">
      <w:pPr>
        <w:pStyle w:val="CBDH1"/>
      </w:pPr>
      <w:r w:rsidRPr="005434C5">
        <w:t>I.</w:t>
      </w:r>
      <w:r w:rsidRPr="005434C5">
        <w:tab/>
        <w:t>Introducción</w:t>
      </w:r>
    </w:p>
    <w:p w14:paraId="004D976E" w14:textId="3563AA44" w:rsidR="0066346B" w:rsidRPr="005434C5" w:rsidRDefault="00682EA8" w:rsidP="0030765B">
      <w:pPr>
        <w:pStyle w:val="CBDNormalNumber"/>
        <w:rPr>
          <w:snapToGrid w:val="0"/>
        </w:rPr>
      </w:pPr>
      <w:r w:rsidRPr="005434C5">
        <w:t xml:space="preserve">De conformidad con lo dispuesto en el mandato para el sexto examen de la eficacia del mecanismo financiero establecido en virtud del Convenio sobre la Diversidad Biológica adoptado por la Conferencia de las Partes en su decisión </w:t>
      </w:r>
      <w:hyperlink r:id="rId14" w:history="1">
        <w:r w:rsidRPr="005434C5">
          <w:rPr>
            <w:rStyle w:val="Hyperlink"/>
            <w:snapToGrid w:val="0"/>
          </w:rPr>
          <w:t>15/15</w:t>
        </w:r>
      </w:hyperlink>
      <w:r w:rsidRPr="005434C5">
        <w:t xml:space="preserve"> (anexo IV, párr.</w:t>
      </w:r>
      <w:r w:rsidRPr="005434C5">
        <w:rPr>
          <w:snapToGrid w:val="0"/>
        </w:rPr>
        <w:t xml:space="preserve"> 5), la Secretaría contrató a un evaluador independiente con experiencia para llevar a cabo el sexto examen de la eficacia del mecanismo financiero del Convenio, de conformidad con las instrucciones pertinentes de las Naciones Unidas para la contratación de consultores y contratistas individuales.</w:t>
      </w:r>
    </w:p>
    <w:p w14:paraId="08980689" w14:textId="4B87D442" w:rsidR="00F04681" w:rsidRPr="005434C5" w:rsidRDefault="00F040F1" w:rsidP="00927249">
      <w:pPr>
        <w:pStyle w:val="CBDNormalNumber"/>
        <w:rPr>
          <w:snapToGrid w:val="0"/>
        </w:rPr>
      </w:pPr>
      <w:r w:rsidRPr="005434C5">
        <w:t xml:space="preserve">El plan de ejecución para el examen elaborado por el evaluador independiente en base a los objetivos, metodología y criterios contenidos en el mandato se presentó al Órgano Subsidiario sobre la Aplicación en su cuarta reunión (21 a 29 de mayo de 2024), como documento </w:t>
      </w:r>
      <w:hyperlink r:id="rId15" w:history="1">
        <w:proofErr w:type="spellStart"/>
        <w:r w:rsidRPr="005434C5">
          <w:rPr>
            <w:rStyle w:val="Hyperlink"/>
            <w:snapToGrid w:val="0"/>
            <w:szCs w:val="18"/>
          </w:rPr>
          <w:t>CBD</w:t>
        </w:r>
        <w:proofErr w:type="spellEnd"/>
        <w:r w:rsidRPr="005434C5">
          <w:rPr>
            <w:rStyle w:val="Hyperlink"/>
            <w:snapToGrid w:val="0"/>
            <w:szCs w:val="18"/>
          </w:rPr>
          <w:t>/</w:t>
        </w:r>
        <w:proofErr w:type="spellStart"/>
        <w:r w:rsidRPr="005434C5">
          <w:rPr>
            <w:rStyle w:val="Hyperlink"/>
            <w:snapToGrid w:val="0"/>
            <w:szCs w:val="18"/>
          </w:rPr>
          <w:t>SBI</w:t>
        </w:r>
        <w:proofErr w:type="spellEnd"/>
        <w:r w:rsidRPr="005434C5">
          <w:rPr>
            <w:rStyle w:val="Hyperlink"/>
            <w:snapToGrid w:val="0"/>
            <w:szCs w:val="18"/>
          </w:rPr>
          <w:t>/4/</w:t>
        </w:r>
        <w:proofErr w:type="spellStart"/>
        <w:r w:rsidRPr="005434C5">
          <w:rPr>
            <w:rStyle w:val="Hyperlink"/>
            <w:snapToGrid w:val="0"/>
            <w:szCs w:val="18"/>
          </w:rPr>
          <w:t>INF</w:t>
        </w:r>
        <w:proofErr w:type="spellEnd"/>
        <w:r w:rsidRPr="005434C5">
          <w:rPr>
            <w:rStyle w:val="Hyperlink"/>
            <w:snapToGrid w:val="0"/>
            <w:szCs w:val="18"/>
          </w:rPr>
          <w:t>/17</w:t>
        </w:r>
      </w:hyperlink>
      <w:r w:rsidRPr="005434C5">
        <w:t>.</w:t>
      </w:r>
    </w:p>
    <w:p w14:paraId="4B3F717D" w14:textId="2E2E3463" w:rsidR="00F04681" w:rsidRPr="005434C5" w:rsidRDefault="00DA2320" w:rsidP="0030765B">
      <w:pPr>
        <w:pStyle w:val="CBDNormalNumber"/>
        <w:rPr>
          <w:snapToGrid w:val="0"/>
        </w:rPr>
      </w:pPr>
      <w:r w:rsidRPr="005434C5">
        <w:rPr>
          <w:snapToGrid w:val="0"/>
        </w:rPr>
        <w:t>El evaluador independiente presentó su proyecto de informe de síntesis y sus recomendaciones a las secretarías del Convenio y del Fondo para el Medio Ambiente Mundial, y posteriormente finalizó su informe sobre el sexto examen. La Secretaría ha preparado a continuación los elementos de un proyecto de decisión sobre el sexto examen del mecanismo financiero.</w:t>
      </w:r>
    </w:p>
    <w:p w14:paraId="5BF19955" w14:textId="15CC1127" w:rsidR="00F04681" w:rsidRPr="005434C5" w:rsidRDefault="00A876F0" w:rsidP="00927249">
      <w:pPr>
        <w:pStyle w:val="CBDNormalNumber"/>
        <w:rPr>
          <w:snapToGrid w:val="0"/>
        </w:rPr>
      </w:pPr>
      <w:r w:rsidRPr="005434C5">
        <w:t>El anexo de la presente nota contiene el informe de síntesis y las recomendaciones del evaluador independiente sobre el sexto examen de la eficacia del mecanismo financiero</w:t>
      </w:r>
      <w:r w:rsidR="00DE2872" w:rsidRPr="005434C5">
        <w:rPr>
          <w:rStyle w:val="FootnoteReference"/>
          <w:snapToGrid w:val="0"/>
        </w:rPr>
        <w:footnoteReference w:id="3"/>
      </w:r>
      <w:r w:rsidRPr="005434C5">
        <w:t>.</w:t>
      </w:r>
      <w:r w:rsidRPr="005434C5">
        <w:rPr>
          <w:snapToGrid w:val="0"/>
        </w:rPr>
        <w:t xml:space="preserve"> El informe completo del evaluador independiente estará disponible como documento </w:t>
      </w:r>
      <w:proofErr w:type="spellStart"/>
      <w:r w:rsidRPr="005434C5">
        <w:rPr>
          <w:snapToGrid w:val="0"/>
        </w:rPr>
        <w:t>CBD</w:t>
      </w:r>
      <w:proofErr w:type="spellEnd"/>
      <w:r w:rsidRPr="005434C5">
        <w:rPr>
          <w:snapToGrid w:val="0"/>
        </w:rPr>
        <w:t>/COP/16/</w:t>
      </w:r>
      <w:proofErr w:type="spellStart"/>
      <w:r w:rsidRPr="005434C5">
        <w:rPr>
          <w:snapToGrid w:val="0"/>
        </w:rPr>
        <w:t>INF</w:t>
      </w:r>
      <w:proofErr w:type="spellEnd"/>
      <w:r w:rsidRPr="005434C5">
        <w:rPr>
          <w:snapToGrid w:val="0"/>
        </w:rPr>
        <w:t>/25.</w:t>
      </w:r>
    </w:p>
    <w:p w14:paraId="775E69B5" w14:textId="52F62013" w:rsidR="00234D0E" w:rsidRPr="005434C5" w:rsidRDefault="00973669" w:rsidP="009504DE">
      <w:pPr>
        <w:pStyle w:val="CBDH1"/>
      </w:pPr>
      <w:r w:rsidRPr="005434C5">
        <w:lastRenderedPageBreak/>
        <w:t>II.</w:t>
      </w:r>
      <w:r w:rsidRPr="005434C5">
        <w:tab/>
        <w:t>Proyecto de elementos de una decisión</w:t>
      </w:r>
    </w:p>
    <w:p w14:paraId="1CBE8BA5" w14:textId="194BAF79" w:rsidR="00555AEE" w:rsidRPr="005434C5" w:rsidRDefault="00555AEE" w:rsidP="009504DE">
      <w:pPr>
        <w:pStyle w:val="CBDNormalNumber"/>
        <w:keepNext/>
        <w:keepLines/>
        <w:rPr>
          <w:rFonts w:asciiTheme="majorBidi" w:eastAsiaTheme="minorHAnsi" w:hAnsiTheme="majorBidi" w:cstheme="majorBidi"/>
          <w:i/>
          <w:iCs/>
        </w:rPr>
      </w:pPr>
      <w:r w:rsidRPr="005434C5">
        <w:t>La Conferencia de las Partes tal vez desee considerar que al proyecto de decisión que figura en la recomendación 4/4 del Órgano Subsidiario sobre la Aplicación se añadan elementos del siguiente tenor</w:t>
      </w:r>
      <w:r w:rsidRPr="005434C5">
        <w:rPr>
          <w:rStyle w:val="FootnoteReference"/>
          <w:snapToGrid w:val="0"/>
        </w:rPr>
        <w:footnoteReference w:id="4"/>
      </w:r>
      <w:r w:rsidRPr="005434C5">
        <w:t>:</w:t>
      </w:r>
    </w:p>
    <w:p w14:paraId="5D0BF0AA" w14:textId="55000392" w:rsidR="00555AEE" w:rsidRPr="005434C5" w:rsidRDefault="00555AEE" w:rsidP="009504DE">
      <w:pPr>
        <w:pStyle w:val="CBDNormalNumber"/>
        <w:keepNext/>
        <w:keepLines/>
        <w:numPr>
          <w:ilvl w:val="0"/>
          <w:numId w:val="0"/>
        </w:numPr>
        <w:ind w:left="567" w:firstLine="567"/>
        <w:rPr>
          <w:rFonts w:asciiTheme="majorBidi" w:eastAsiaTheme="minorHAnsi" w:hAnsiTheme="majorBidi" w:cstheme="majorBidi"/>
          <w:i/>
          <w:iCs/>
        </w:rPr>
      </w:pPr>
      <w:r w:rsidRPr="005434C5">
        <w:rPr>
          <w:rFonts w:asciiTheme="majorBidi" w:hAnsiTheme="majorBidi"/>
          <w:i/>
          <w:iCs/>
        </w:rPr>
        <w:t>La Conferencia de las Partes</w:t>
      </w:r>
      <w:r w:rsidRPr="005434C5">
        <w:rPr>
          <w:rFonts w:asciiTheme="majorBidi" w:hAnsiTheme="majorBidi"/>
        </w:rPr>
        <w:t>,</w:t>
      </w:r>
    </w:p>
    <w:p w14:paraId="2E1C8DB7" w14:textId="3AB082F2" w:rsidR="00555AEE" w:rsidRPr="005434C5" w:rsidRDefault="00555AEE" w:rsidP="009504DE">
      <w:pPr>
        <w:pStyle w:val="CBDNormalNumber"/>
        <w:numPr>
          <w:ilvl w:val="0"/>
          <w:numId w:val="0"/>
        </w:numPr>
        <w:ind w:left="567" w:firstLine="567"/>
        <w:rPr>
          <w:rFonts w:asciiTheme="majorBidi" w:hAnsiTheme="majorBidi" w:cstheme="majorBidi"/>
        </w:rPr>
      </w:pPr>
      <w:r w:rsidRPr="005434C5">
        <w:rPr>
          <w:rFonts w:asciiTheme="majorBidi" w:hAnsiTheme="majorBidi"/>
          <w:i/>
          <w:iCs/>
        </w:rPr>
        <w:t xml:space="preserve">Tomando nota </w:t>
      </w:r>
      <w:r w:rsidRPr="005434C5">
        <w:rPr>
          <w:rFonts w:asciiTheme="majorBidi" w:hAnsiTheme="majorBidi"/>
        </w:rPr>
        <w:t>del informe del Fondo para el Medio Ambiente Mundial para la 16ª reunión de la Conferencia de las Partes</w:t>
      </w:r>
      <w:r w:rsidR="00AB097E" w:rsidRPr="005434C5">
        <w:rPr>
          <w:rStyle w:val="FootnoteReference"/>
          <w:rFonts w:asciiTheme="majorBidi" w:hAnsiTheme="majorBidi" w:cstheme="majorBidi"/>
        </w:rPr>
        <w:footnoteReference w:id="5"/>
      </w:r>
      <w:r w:rsidRPr="005434C5">
        <w:rPr>
          <w:rFonts w:asciiTheme="majorBidi" w:hAnsiTheme="majorBidi"/>
        </w:rPr>
        <w:t xml:space="preserve"> y del informe sobre el sexto examen de la eficacia del mecanismo financiero del Convenio sobre la Diversidad Biológica</w:t>
      </w:r>
      <w:r w:rsidR="002352D9" w:rsidRPr="005434C5">
        <w:rPr>
          <w:rStyle w:val="FootnoteReference"/>
          <w:rFonts w:asciiTheme="majorBidi" w:eastAsiaTheme="minorHAnsi" w:hAnsiTheme="majorBidi" w:cstheme="majorBidi"/>
        </w:rPr>
        <w:footnoteReference w:id="6"/>
      </w:r>
      <w:r w:rsidRPr="005434C5">
        <w:rPr>
          <w:rFonts w:asciiTheme="majorBidi" w:hAnsiTheme="majorBidi"/>
        </w:rPr>
        <w:t xml:space="preserve"> y sus Protocolos</w:t>
      </w:r>
      <w:r w:rsidR="00F35230" w:rsidRPr="005434C5">
        <w:rPr>
          <w:rStyle w:val="FootnoteReference"/>
          <w:rFonts w:asciiTheme="majorBidi" w:hAnsiTheme="majorBidi" w:cstheme="majorBidi"/>
        </w:rPr>
        <w:footnoteReference w:id="7"/>
      </w:r>
      <w:r w:rsidRPr="005434C5">
        <w:rPr>
          <w:rFonts w:asciiTheme="majorBidi" w:hAnsiTheme="majorBidi"/>
        </w:rPr>
        <w:t>,</w:t>
      </w:r>
    </w:p>
    <w:p w14:paraId="187564CC" w14:textId="45FA7CAC" w:rsidR="00555AEE" w:rsidRPr="005434C5" w:rsidRDefault="00555AEE" w:rsidP="009504DE">
      <w:pPr>
        <w:pStyle w:val="CBDNormalNumber"/>
        <w:numPr>
          <w:ilvl w:val="0"/>
          <w:numId w:val="0"/>
        </w:numPr>
        <w:ind w:left="567" w:firstLine="567"/>
        <w:rPr>
          <w:rFonts w:asciiTheme="majorBidi" w:eastAsiaTheme="minorHAnsi" w:hAnsiTheme="majorBidi" w:cstheme="majorBidi"/>
        </w:rPr>
      </w:pPr>
      <w:r w:rsidRPr="005434C5">
        <w:rPr>
          <w:rFonts w:asciiTheme="majorBidi" w:hAnsiTheme="majorBidi"/>
          <w:i/>
          <w:iCs/>
        </w:rPr>
        <w:t>Recordando</w:t>
      </w:r>
      <w:r w:rsidRPr="005434C5">
        <w:rPr>
          <w:rFonts w:asciiTheme="majorBidi" w:hAnsiTheme="majorBidi"/>
        </w:rPr>
        <w:t xml:space="preserve"> que el párrafo 1 del </w:t>
      </w:r>
      <w:r w:rsidR="00B115E2">
        <w:rPr>
          <w:rFonts w:asciiTheme="majorBidi" w:hAnsiTheme="majorBidi"/>
        </w:rPr>
        <w:t>a</w:t>
      </w:r>
      <w:r w:rsidRPr="005434C5">
        <w:rPr>
          <w:rFonts w:asciiTheme="majorBidi" w:hAnsiTheme="majorBidi"/>
        </w:rPr>
        <w:t>rtículo 21 del Convenio establece que el mecanismo financiero funcionará con un sistema de gobierno democrático y transparente,</w:t>
      </w:r>
    </w:p>
    <w:p w14:paraId="6AA8AC3D" w14:textId="53E9221E" w:rsidR="00555AEE" w:rsidRPr="005434C5" w:rsidRDefault="00555AEE" w:rsidP="009504DE">
      <w:pPr>
        <w:pStyle w:val="CBDNormalNumber"/>
        <w:numPr>
          <w:ilvl w:val="0"/>
          <w:numId w:val="0"/>
        </w:numPr>
        <w:ind w:left="567" w:firstLine="567"/>
        <w:rPr>
          <w:rFonts w:asciiTheme="majorBidi" w:eastAsiaTheme="minorHAnsi" w:hAnsiTheme="majorBidi" w:cstheme="majorBidi"/>
        </w:rPr>
      </w:pPr>
      <w:r w:rsidRPr="005434C5">
        <w:rPr>
          <w:rFonts w:asciiTheme="majorBidi" w:hAnsiTheme="majorBidi"/>
          <w:i/>
          <w:iCs/>
        </w:rPr>
        <w:t>Recordando también</w:t>
      </w:r>
      <w:r w:rsidRPr="005434C5">
        <w:rPr>
          <w:rFonts w:asciiTheme="majorBidi" w:hAnsiTheme="majorBidi"/>
        </w:rPr>
        <w:t xml:space="preserve"> que el párrafo 3 del </w:t>
      </w:r>
      <w:r w:rsidR="00B115E2">
        <w:rPr>
          <w:rFonts w:asciiTheme="majorBidi" w:hAnsiTheme="majorBidi"/>
        </w:rPr>
        <w:t>a</w:t>
      </w:r>
      <w:r w:rsidRPr="005434C5">
        <w:rPr>
          <w:rFonts w:asciiTheme="majorBidi" w:hAnsiTheme="majorBidi"/>
        </w:rPr>
        <w:t>rtículo 20 del Convenio establece que las Partes que son países desarrollados podrán aportar recursos financieros relacionados con la aplicación del Convenio por conducto de canales bilaterales, regionales y multilaterales de otro tipo,</w:t>
      </w:r>
    </w:p>
    <w:p w14:paraId="63E4A0F6" w14:textId="2D3BCAFE" w:rsidR="00555AEE" w:rsidRPr="005434C5" w:rsidRDefault="00555AEE" w:rsidP="009504DE">
      <w:pPr>
        <w:pStyle w:val="CBDNormalNumber"/>
        <w:numPr>
          <w:ilvl w:val="0"/>
          <w:numId w:val="0"/>
        </w:numPr>
        <w:ind w:left="567" w:firstLine="567"/>
        <w:rPr>
          <w:rFonts w:asciiTheme="majorBidi" w:eastAsiaTheme="minorHAnsi" w:hAnsiTheme="majorBidi" w:cstheme="majorBidi"/>
        </w:rPr>
      </w:pPr>
      <w:r w:rsidRPr="005434C5">
        <w:rPr>
          <w:rFonts w:asciiTheme="majorBidi" w:hAnsiTheme="majorBidi"/>
          <w:i/>
          <w:iCs/>
        </w:rPr>
        <w:t>Tomando nota con reconocimiento</w:t>
      </w:r>
      <w:r w:rsidRPr="005434C5">
        <w:rPr>
          <w:rFonts w:asciiTheme="majorBidi" w:hAnsiTheme="majorBidi"/>
        </w:rPr>
        <w:t xml:space="preserve"> de los importantes progresos realizados por el Fondo para el Medio Ambiente Mundial entre la sexta y la octava reposición de su Fondo Fiduciario en el cumplimiento de las orientaciones de la Conferencia de las Partes con respecto a su función en la movilización de recursos y en el apoyo a la ejecución de actividades para alcanzar los objetivos del Convenio, incluidas sus políticas y procedimientos,</w:t>
      </w:r>
    </w:p>
    <w:p w14:paraId="54FFE06C" w14:textId="66FB81C0" w:rsidR="00555AEE" w:rsidRPr="005434C5" w:rsidRDefault="004809F1" w:rsidP="009504DE">
      <w:pPr>
        <w:pStyle w:val="CBDNormalNumber"/>
        <w:numPr>
          <w:ilvl w:val="0"/>
          <w:numId w:val="0"/>
        </w:numPr>
        <w:ind w:left="567" w:firstLine="567"/>
        <w:rPr>
          <w:rFonts w:asciiTheme="majorBidi" w:eastAsiaTheme="minorHAnsi" w:hAnsiTheme="majorBidi" w:cstheme="majorBidi"/>
        </w:rPr>
      </w:pPr>
      <w:r w:rsidRPr="005434C5">
        <w:rPr>
          <w:rFonts w:asciiTheme="majorBidi" w:hAnsiTheme="majorBidi"/>
          <w:i/>
          <w:iCs/>
        </w:rPr>
        <w:t>Observando</w:t>
      </w:r>
      <w:r w:rsidRPr="005434C5">
        <w:rPr>
          <w:rFonts w:asciiTheme="majorBidi" w:hAnsiTheme="majorBidi"/>
        </w:rPr>
        <w:t xml:space="preserve"> que la eficacia del Fondo para el Medio Ambiente Mundial se ve limitada, entre otras cosas, por:</w:t>
      </w:r>
    </w:p>
    <w:p w14:paraId="77516E04" w14:textId="1068F015" w:rsidR="00555AEE" w:rsidRPr="005434C5" w:rsidRDefault="004A3A97" w:rsidP="009504DE">
      <w:pPr>
        <w:pStyle w:val="CBDNormalNumber"/>
        <w:numPr>
          <w:ilvl w:val="0"/>
          <w:numId w:val="0"/>
        </w:numPr>
        <w:ind w:left="560" w:firstLine="574"/>
        <w:rPr>
          <w:rFonts w:asciiTheme="majorBidi" w:eastAsiaTheme="minorHAnsi" w:hAnsiTheme="majorBidi" w:cstheme="majorBidi"/>
        </w:rPr>
      </w:pPr>
      <w:r w:rsidRPr="005434C5">
        <w:rPr>
          <w:rFonts w:asciiTheme="majorBidi" w:hAnsiTheme="majorBidi"/>
        </w:rPr>
        <w:t xml:space="preserve">a) </w:t>
      </w:r>
      <w:r w:rsidR="00AD3A4C">
        <w:rPr>
          <w:rFonts w:asciiTheme="majorBidi" w:hAnsiTheme="majorBidi"/>
        </w:rPr>
        <w:tab/>
      </w:r>
      <w:r w:rsidRPr="005434C5">
        <w:rPr>
          <w:rFonts w:asciiTheme="majorBidi" w:hAnsiTheme="majorBidi"/>
        </w:rPr>
        <w:t>La limitada disponibilidad de recursos financieros de los países donantes;</w:t>
      </w:r>
    </w:p>
    <w:p w14:paraId="09F6870B" w14:textId="0ABDFA94" w:rsidR="00555AEE" w:rsidRPr="005434C5" w:rsidRDefault="004A3A97" w:rsidP="009504DE">
      <w:pPr>
        <w:pStyle w:val="CBDNormalNumber"/>
        <w:numPr>
          <w:ilvl w:val="0"/>
          <w:numId w:val="0"/>
        </w:numPr>
        <w:ind w:left="560" w:firstLine="574"/>
        <w:rPr>
          <w:rFonts w:asciiTheme="majorBidi" w:eastAsiaTheme="minorHAnsi" w:hAnsiTheme="majorBidi" w:cstheme="majorBidi"/>
        </w:rPr>
      </w:pPr>
      <w:r w:rsidRPr="005434C5">
        <w:rPr>
          <w:rFonts w:asciiTheme="majorBidi" w:hAnsiTheme="majorBidi"/>
        </w:rPr>
        <w:t xml:space="preserve">b) </w:t>
      </w:r>
      <w:r w:rsidR="00AD3A4C">
        <w:rPr>
          <w:rFonts w:asciiTheme="majorBidi" w:hAnsiTheme="majorBidi"/>
        </w:rPr>
        <w:tab/>
      </w:r>
      <w:r w:rsidRPr="005434C5">
        <w:rPr>
          <w:rFonts w:asciiTheme="majorBidi" w:hAnsiTheme="majorBidi"/>
        </w:rPr>
        <w:t xml:space="preserve">La </w:t>
      </w:r>
      <w:r w:rsidR="000554B3">
        <w:rPr>
          <w:rFonts w:asciiTheme="majorBidi" w:hAnsiTheme="majorBidi"/>
        </w:rPr>
        <w:t>escasa</w:t>
      </w:r>
      <w:r w:rsidRPr="005434C5">
        <w:rPr>
          <w:rFonts w:asciiTheme="majorBidi" w:hAnsiTheme="majorBidi"/>
        </w:rPr>
        <w:t xml:space="preserve"> dirección estratégica de la Conferencia de las Partes, incluida la falta de priorización de las áreas de interés;</w:t>
      </w:r>
    </w:p>
    <w:p w14:paraId="51A76093" w14:textId="3AB50927" w:rsidR="00555AEE" w:rsidRPr="005434C5" w:rsidRDefault="004A3A97" w:rsidP="009504DE">
      <w:pPr>
        <w:pStyle w:val="CBDNormalNumber"/>
        <w:numPr>
          <w:ilvl w:val="0"/>
          <w:numId w:val="0"/>
        </w:numPr>
        <w:ind w:left="560" w:firstLine="574"/>
        <w:rPr>
          <w:rFonts w:asciiTheme="majorBidi" w:eastAsiaTheme="minorHAnsi" w:hAnsiTheme="majorBidi" w:cstheme="majorBidi"/>
        </w:rPr>
      </w:pPr>
      <w:r w:rsidRPr="005434C5">
        <w:rPr>
          <w:rFonts w:asciiTheme="majorBidi" w:hAnsiTheme="majorBidi"/>
        </w:rPr>
        <w:t xml:space="preserve">c) </w:t>
      </w:r>
      <w:r w:rsidR="00AD3A4C">
        <w:rPr>
          <w:rFonts w:asciiTheme="majorBidi" w:hAnsiTheme="majorBidi"/>
        </w:rPr>
        <w:tab/>
      </w:r>
      <w:r w:rsidRPr="005434C5">
        <w:rPr>
          <w:rFonts w:asciiTheme="majorBidi" w:hAnsiTheme="majorBidi"/>
        </w:rPr>
        <w:t>El escaso sentido de propiedad de los países receptores dentro del sistema del Fondo para el Medio Ambiente Mundial;</w:t>
      </w:r>
    </w:p>
    <w:p w14:paraId="1D30CE5B" w14:textId="31F0ACF4" w:rsidR="00555AEE" w:rsidRPr="005434C5" w:rsidRDefault="00B42A92" w:rsidP="009504DE">
      <w:pPr>
        <w:pStyle w:val="CBDNormalNumber"/>
        <w:numPr>
          <w:ilvl w:val="0"/>
          <w:numId w:val="0"/>
        </w:numPr>
        <w:ind w:left="567" w:firstLine="567"/>
        <w:rPr>
          <w:rFonts w:asciiTheme="majorBidi" w:eastAsiaTheme="minorHAnsi" w:hAnsiTheme="majorBidi" w:cstheme="majorBidi"/>
        </w:rPr>
      </w:pPr>
      <w:r w:rsidRPr="005434C5">
        <w:rPr>
          <w:rFonts w:asciiTheme="majorBidi" w:hAnsiTheme="majorBidi"/>
          <w:i/>
          <w:iCs/>
        </w:rPr>
        <w:t>Observando asimismo</w:t>
      </w:r>
      <w:r w:rsidRPr="005434C5">
        <w:rPr>
          <w:rFonts w:asciiTheme="majorBidi" w:hAnsiTheme="majorBidi"/>
        </w:rPr>
        <w:t xml:space="preserve"> la escasa implementación de proyectos en apoyo al Protocolo de Cartagena sobre Seguridad de la Biotecnología</w:t>
      </w:r>
      <w:r w:rsidR="000B7D40" w:rsidRPr="005434C5">
        <w:rPr>
          <w:rStyle w:val="FootnoteReference"/>
          <w:rFonts w:asciiTheme="majorBidi" w:eastAsiaTheme="minorHAnsi" w:hAnsiTheme="majorBidi" w:cstheme="majorBidi"/>
        </w:rPr>
        <w:footnoteReference w:id="8"/>
      </w:r>
      <w:r w:rsidRPr="005434C5">
        <w:rPr>
          <w:rFonts w:asciiTheme="majorBidi" w:hAnsiTheme="majorBidi"/>
        </w:rPr>
        <w:t xml:space="preserve"> y al Protocolo de Nagoya sobre Acceso a los Recursos Genéticos y Participación Justa y Equitativa en los Beneficios que se Deriven de su Utilización</w:t>
      </w:r>
      <w:r w:rsidR="0073447A" w:rsidRPr="005434C5">
        <w:rPr>
          <w:rStyle w:val="FootnoteReference"/>
          <w:rFonts w:asciiTheme="majorBidi" w:eastAsiaTheme="minorHAnsi" w:hAnsiTheme="majorBidi" w:cstheme="majorBidi"/>
        </w:rPr>
        <w:footnoteReference w:id="9"/>
      </w:r>
      <w:r w:rsidRPr="005434C5">
        <w:rPr>
          <w:rFonts w:asciiTheme="majorBidi" w:hAnsiTheme="majorBidi"/>
        </w:rPr>
        <w:t>,</w:t>
      </w:r>
    </w:p>
    <w:p w14:paraId="7469428F" w14:textId="6D397129" w:rsidR="00555AEE" w:rsidRPr="005434C5" w:rsidRDefault="00555AEE" w:rsidP="009504DE">
      <w:pPr>
        <w:pStyle w:val="CBDNormalNumber"/>
        <w:numPr>
          <w:ilvl w:val="0"/>
          <w:numId w:val="0"/>
        </w:numPr>
        <w:ind w:left="567" w:firstLine="567"/>
        <w:rPr>
          <w:rFonts w:asciiTheme="majorBidi" w:eastAsiaTheme="minorHAnsi" w:hAnsiTheme="majorBidi" w:cstheme="majorBidi"/>
        </w:rPr>
      </w:pPr>
      <w:r w:rsidRPr="005434C5">
        <w:rPr>
          <w:rFonts w:asciiTheme="majorBidi" w:hAnsiTheme="majorBidi"/>
          <w:i/>
          <w:iCs/>
        </w:rPr>
        <w:t>Destacando</w:t>
      </w:r>
      <w:r w:rsidRPr="005434C5">
        <w:rPr>
          <w:rFonts w:asciiTheme="majorBidi" w:hAnsiTheme="majorBidi"/>
        </w:rPr>
        <w:t xml:space="preserve"> la contribución de los pueblos indígenas y las comunidades locales a la aplicación del Convenio, y acogiendo con satisfacción el apoyo que el Fondo para el Medio Ambiente Mundial les proporciona actualmente,</w:t>
      </w:r>
    </w:p>
    <w:p w14:paraId="052B6F6C" w14:textId="41910043" w:rsidR="00555AEE" w:rsidRPr="005434C5" w:rsidRDefault="00555AEE" w:rsidP="009504DE">
      <w:pPr>
        <w:pStyle w:val="CBDNormalNumber"/>
        <w:numPr>
          <w:ilvl w:val="0"/>
          <w:numId w:val="0"/>
        </w:numPr>
        <w:ind w:left="567" w:firstLine="567"/>
        <w:rPr>
          <w:rFonts w:asciiTheme="majorBidi" w:eastAsiaTheme="minorHAnsi" w:hAnsiTheme="majorBidi" w:cstheme="majorBidi"/>
        </w:rPr>
      </w:pPr>
      <w:r w:rsidRPr="005434C5">
        <w:rPr>
          <w:rFonts w:asciiTheme="majorBidi" w:hAnsiTheme="majorBidi"/>
          <w:i/>
          <w:iCs/>
        </w:rPr>
        <w:t>Reconociendo</w:t>
      </w:r>
      <w:r w:rsidRPr="005434C5">
        <w:rPr>
          <w:rFonts w:asciiTheme="majorBidi" w:hAnsiTheme="majorBidi"/>
        </w:rPr>
        <w:t xml:space="preserve"> la importancia de seguir esforzándose por mejorar la orientación para el mecanismo financiero proporcionada por la Conferencia de las Partes y la necesidad de orientar mejor al Fondo para el Medio Ambiente Mundial, </w:t>
      </w:r>
    </w:p>
    <w:p w14:paraId="6E5E454B" w14:textId="3721793E" w:rsidR="00555AEE" w:rsidRPr="005434C5" w:rsidRDefault="00555AEE" w:rsidP="009504DE">
      <w:pPr>
        <w:pStyle w:val="CBDNormalNumber"/>
        <w:numPr>
          <w:ilvl w:val="0"/>
          <w:numId w:val="0"/>
        </w:numPr>
        <w:ind w:left="567" w:firstLine="567"/>
        <w:rPr>
          <w:rFonts w:asciiTheme="majorBidi" w:eastAsiaTheme="minorHAnsi" w:hAnsiTheme="majorBidi" w:cstheme="majorBidi"/>
        </w:rPr>
      </w:pPr>
      <w:r w:rsidRPr="005434C5">
        <w:rPr>
          <w:rFonts w:asciiTheme="majorBidi" w:hAnsiTheme="majorBidi"/>
          <w:i/>
          <w:iCs/>
        </w:rPr>
        <w:t>Reconociendo</w:t>
      </w:r>
      <w:r w:rsidRPr="005434C5">
        <w:rPr>
          <w:rFonts w:asciiTheme="majorBidi" w:hAnsiTheme="majorBidi"/>
        </w:rPr>
        <w:t xml:space="preserve"> que los recursos del mecanismo financiero se proporcionan de forma relativamente predecible a través del Fondo Fiduciario del Fondo para el Medio Ambiente Mundial como resultado de la implementación del Sistema para la Asignación Transparente de Recursos, que se han realizado mejoras en relación con el desembolso oportuno de los fondos para los países que reúnen las condiciones</w:t>
      </w:r>
      <w:r w:rsidR="00F5617E">
        <w:rPr>
          <w:rFonts w:asciiTheme="majorBidi" w:hAnsiTheme="majorBidi"/>
        </w:rPr>
        <w:t>,</w:t>
      </w:r>
      <w:r w:rsidRPr="005434C5">
        <w:rPr>
          <w:rFonts w:asciiTheme="majorBidi" w:hAnsiTheme="majorBidi"/>
        </w:rPr>
        <w:t xml:space="preserve"> y que es probable que la racionalización del ciclo de proyectos del Fondo para el Medio Ambiente Mundial también tenga un impacto positivo en el desembolso oportuno de los fondos,</w:t>
      </w:r>
    </w:p>
    <w:p w14:paraId="31953DE4" w14:textId="1AAB8A00" w:rsidR="00555AEE" w:rsidRPr="005434C5" w:rsidRDefault="00B42A92" w:rsidP="009504DE">
      <w:pPr>
        <w:pStyle w:val="CBDNormalNumber"/>
        <w:numPr>
          <w:ilvl w:val="0"/>
          <w:numId w:val="0"/>
        </w:numPr>
        <w:ind w:left="567" w:firstLine="567"/>
        <w:rPr>
          <w:rFonts w:asciiTheme="majorBidi" w:eastAsiaTheme="minorHAnsi" w:hAnsiTheme="majorBidi" w:cstheme="majorBidi"/>
        </w:rPr>
      </w:pPr>
      <w:r w:rsidRPr="005434C5">
        <w:rPr>
          <w:rFonts w:asciiTheme="majorBidi" w:hAnsiTheme="majorBidi"/>
          <w:i/>
          <w:iCs/>
        </w:rPr>
        <w:t>Reconociendo también</w:t>
      </w:r>
      <w:r w:rsidRPr="005434C5">
        <w:rPr>
          <w:rFonts w:asciiTheme="majorBidi" w:hAnsiTheme="majorBidi"/>
        </w:rPr>
        <w:t xml:space="preserve"> la necesidad de seguir fortaleciendo el liderazgo, </w:t>
      </w:r>
      <w:r w:rsidR="00A4446A">
        <w:rPr>
          <w:rFonts w:asciiTheme="majorBidi" w:hAnsiTheme="majorBidi"/>
        </w:rPr>
        <w:t>el sentido de propiedad</w:t>
      </w:r>
      <w:r w:rsidRPr="005434C5">
        <w:rPr>
          <w:rFonts w:asciiTheme="majorBidi" w:hAnsiTheme="majorBidi"/>
        </w:rPr>
        <w:t xml:space="preserve"> y la </w:t>
      </w:r>
      <w:r w:rsidR="00AD3A4C">
        <w:rPr>
          <w:rFonts w:asciiTheme="majorBidi" w:hAnsiTheme="majorBidi"/>
        </w:rPr>
        <w:t>rendición de cuentas</w:t>
      </w:r>
      <w:r w:rsidRPr="005434C5">
        <w:rPr>
          <w:rFonts w:asciiTheme="majorBidi" w:hAnsiTheme="majorBidi"/>
        </w:rPr>
        <w:t xml:space="preserve"> de los países con respecto a las actividades apoyadas por el Fondo para el Medio Ambiente Mundial,</w:t>
      </w:r>
    </w:p>
    <w:p w14:paraId="45742008" w14:textId="765AF79A" w:rsidR="00555AEE" w:rsidRPr="005434C5" w:rsidRDefault="00B42A92" w:rsidP="009504DE">
      <w:pPr>
        <w:pStyle w:val="CBDNormalNumber"/>
        <w:numPr>
          <w:ilvl w:val="0"/>
          <w:numId w:val="0"/>
        </w:numPr>
        <w:ind w:left="567" w:firstLine="567"/>
        <w:rPr>
          <w:rFonts w:asciiTheme="majorBidi" w:eastAsiaTheme="minorHAnsi" w:hAnsiTheme="majorBidi" w:cstheme="majorBidi"/>
        </w:rPr>
      </w:pPr>
      <w:r w:rsidRPr="005434C5">
        <w:rPr>
          <w:rFonts w:asciiTheme="majorBidi" w:hAnsiTheme="majorBidi"/>
          <w:i/>
          <w:iCs/>
        </w:rPr>
        <w:t>Reconociendo asimismo</w:t>
      </w:r>
      <w:r w:rsidRPr="005434C5">
        <w:rPr>
          <w:rFonts w:asciiTheme="majorBidi" w:hAnsiTheme="majorBidi"/>
        </w:rPr>
        <w:t xml:space="preserve"> que, a través de los años, el Fondo para el Medio Ambiente Mundial ha tomado medidas para mejorar la calidad de sus informes, </w:t>
      </w:r>
    </w:p>
    <w:p w14:paraId="12FDA255" w14:textId="4ED84025" w:rsidR="00555AEE" w:rsidRPr="005434C5" w:rsidRDefault="00671C1D" w:rsidP="009504DE">
      <w:pPr>
        <w:pStyle w:val="CBDNormalNumber"/>
        <w:numPr>
          <w:ilvl w:val="0"/>
          <w:numId w:val="0"/>
        </w:numPr>
        <w:ind w:left="567" w:firstLine="567"/>
        <w:rPr>
          <w:rFonts w:asciiTheme="majorBidi" w:eastAsiaTheme="minorHAnsi" w:hAnsiTheme="majorBidi" w:cstheme="majorBidi"/>
        </w:rPr>
      </w:pPr>
      <w:r w:rsidRPr="005434C5">
        <w:rPr>
          <w:rFonts w:asciiTheme="majorBidi" w:hAnsiTheme="majorBidi"/>
        </w:rPr>
        <w:t>1.</w:t>
      </w:r>
      <w:r w:rsidRPr="005434C5">
        <w:rPr>
          <w:rFonts w:asciiTheme="majorBidi" w:hAnsiTheme="majorBidi"/>
          <w:i/>
          <w:iCs/>
        </w:rPr>
        <w:tab/>
        <w:t>Decide</w:t>
      </w:r>
      <w:r w:rsidRPr="005434C5">
        <w:rPr>
          <w:rFonts w:asciiTheme="majorBidi" w:hAnsiTheme="majorBidi"/>
        </w:rPr>
        <w:t xml:space="preserve"> establecer un comité permanente sobre el mecanismo financiero en su 17ª reunión, con miras a mejorar la dirección estratégica proporcionada por la Conferencia de las Partes al mecanismo financiero, entre otras cosas dando prioridad a su orientación y elaborando orientaciones que sean más factibles y mensurables;</w:t>
      </w:r>
    </w:p>
    <w:p w14:paraId="27495F09" w14:textId="39295E7E" w:rsidR="00555AEE" w:rsidRPr="005434C5" w:rsidRDefault="00671C1D" w:rsidP="009504DE">
      <w:pPr>
        <w:pStyle w:val="CBDNormalNumber"/>
        <w:numPr>
          <w:ilvl w:val="0"/>
          <w:numId w:val="0"/>
        </w:numPr>
        <w:ind w:left="567" w:firstLine="567"/>
        <w:rPr>
          <w:rFonts w:asciiTheme="majorBidi" w:eastAsiaTheme="minorHAnsi" w:hAnsiTheme="majorBidi" w:cstheme="majorBidi"/>
        </w:rPr>
      </w:pPr>
      <w:r w:rsidRPr="005434C5">
        <w:rPr>
          <w:rFonts w:asciiTheme="majorBidi" w:hAnsiTheme="majorBidi"/>
        </w:rPr>
        <w:t>2.</w:t>
      </w:r>
      <w:r w:rsidRPr="005434C5">
        <w:rPr>
          <w:rFonts w:asciiTheme="majorBidi" w:hAnsiTheme="majorBidi"/>
          <w:i/>
          <w:iCs/>
        </w:rPr>
        <w:tab/>
        <w:t>Pide</w:t>
      </w:r>
      <w:r w:rsidRPr="005434C5">
        <w:rPr>
          <w:rFonts w:asciiTheme="majorBidi" w:hAnsiTheme="majorBidi"/>
        </w:rPr>
        <w:t xml:space="preserve"> al Fondo para el Medio Ambiente Mundial que redoble sus esfuerzos para movilizar recursos en apoyo a la aplicación del Convenio sobre la Diversidad Biológica, sus Protocolos y, en particular, la implementación del Marco Mundial de Biodiversidad de Kunming-Montreal</w:t>
      </w:r>
      <w:r w:rsidR="00B708C0" w:rsidRPr="005434C5">
        <w:rPr>
          <w:rStyle w:val="FootnoteReference"/>
          <w:rFonts w:asciiTheme="majorBidi" w:eastAsiaTheme="minorHAnsi" w:hAnsiTheme="majorBidi" w:cstheme="majorBidi"/>
        </w:rPr>
        <w:footnoteReference w:id="10"/>
      </w:r>
      <w:r w:rsidRPr="005434C5">
        <w:rPr>
          <w:rFonts w:asciiTheme="majorBidi" w:hAnsiTheme="majorBidi"/>
        </w:rPr>
        <w:t xml:space="preserve">, </w:t>
      </w:r>
      <w:r w:rsidR="008D6075">
        <w:rPr>
          <w:rFonts w:asciiTheme="majorBidi" w:hAnsiTheme="majorBidi"/>
        </w:rPr>
        <w:t>incluido</w:t>
      </w:r>
      <w:r w:rsidRPr="005434C5">
        <w:rPr>
          <w:rFonts w:asciiTheme="majorBidi" w:hAnsiTheme="majorBidi"/>
        </w:rPr>
        <w:t xml:space="preserve"> mediante la movilización de contribuciones voluntarias de las Partes, en particular las Partes que son países desarrollados y otras Partes que estén en condiciones de contribuir, y otras fuentes, como los bancos multilaterales de desarrollo, el sector privado y las organizaciones filantrópicas, así como a través de instrumentos de financiación sostenible, con el fin de mejorar la suficiencia de los fondos y abordar el déficit de financiación para la biodiversidad;</w:t>
      </w:r>
    </w:p>
    <w:p w14:paraId="44CFB309" w14:textId="46982163" w:rsidR="00555AEE" w:rsidRPr="005434C5" w:rsidRDefault="00671C1D" w:rsidP="009504DE">
      <w:pPr>
        <w:pStyle w:val="CBDNormalNumber"/>
        <w:numPr>
          <w:ilvl w:val="0"/>
          <w:numId w:val="0"/>
        </w:numPr>
        <w:ind w:left="567" w:firstLine="567"/>
        <w:rPr>
          <w:rFonts w:asciiTheme="majorBidi" w:eastAsiaTheme="minorHAnsi" w:hAnsiTheme="majorBidi" w:cstheme="majorBidi"/>
        </w:rPr>
      </w:pPr>
      <w:r w:rsidRPr="005434C5">
        <w:rPr>
          <w:rFonts w:asciiTheme="majorBidi" w:hAnsiTheme="majorBidi"/>
        </w:rPr>
        <w:t>3</w:t>
      </w:r>
      <w:r w:rsidRPr="005434C5">
        <w:rPr>
          <w:rFonts w:asciiTheme="majorBidi" w:hAnsiTheme="majorBidi"/>
          <w:i/>
          <w:iCs/>
        </w:rPr>
        <w:t>.</w:t>
      </w:r>
      <w:r w:rsidRPr="005434C5">
        <w:rPr>
          <w:rFonts w:asciiTheme="majorBidi" w:hAnsiTheme="majorBidi"/>
          <w:i/>
          <w:iCs/>
        </w:rPr>
        <w:tab/>
        <w:t>Pide también</w:t>
      </w:r>
      <w:r w:rsidRPr="005434C5">
        <w:rPr>
          <w:rFonts w:asciiTheme="majorBidi" w:hAnsiTheme="majorBidi"/>
        </w:rPr>
        <w:t xml:space="preserve"> al Fondo para el Medio Ambiente Mundial que:</w:t>
      </w:r>
    </w:p>
    <w:p w14:paraId="6F144725" w14:textId="48A5B3BA" w:rsidR="00555AEE" w:rsidRPr="005434C5" w:rsidRDefault="00671C1D" w:rsidP="009504DE">
      <w:pPr>
        <w:pStyle w:val="CBDNormalNumber"/>
        <w:numPr>
          <w:ilvl w:val="0"/>
          <w:numId w:val="0"/>
        </w:numPr>
        <w:ind w:left="567" w:firstLine="567"/>
        <w:rPr>
          <w:rFonts w:asciiTheme="majorBidi" w:eastAsiaTheme="minorHAnsi" w:hAnsiTheme="majorBidi" w:cstheme="majorBidi"/>
        </w:rPr>
      </w:pPr>
      <w:r w:rsidRPr="005434C5">
        <w:rPr>
          <w:rFonts w:asciiTheme="majorBidi" w:hAnsiTheme="majorBidi"/>
        </w:rPr>
        <w:t xml:space="preserve">a) </w:t>
      </w:r>
      <w:r w:rsidR="00593586">
        <w:rPr>
          <w:rFonts w:asciiTheme="majorBidi" w:hAnsiTheme="majorBidi"/>
        </w:rPr>
        <w:tab/>
      </w:r>
      <w:r w:rsidRPr="005434C5">
        <w:rPr>
          <w:rFonts w:asciiTheme="majorBidi" w:hAnsiTheme="majorBidi"/>
        </w:rPr>
        <w:t xml:space="preserve">Siga estudiando la posibilidad de aumentar la flexibilidad en los procesos para proponer proyectos, </w:t>
      </w:r>
      <w:r w:rsidR="008D6075">
        <w:rPr>
          <w:rFonts w:asciiTheme="majorBidi" w:hAnsiTheme="majorBidi"/>
        </w:rPr>
        <w:t>incluido con respecto</w:t>
      </w:r>
      <w:r w:rsidRPr="005434C5">
        <w:rPr>
          <w:rFonts w:asciiTheme="majorBidi" w:hAnsiTheme="majorBidi"/>
        </w:rPr>
        <w:t xml:space="preserve"> a los requisitos de cofinanciación, en particular para los países menos adelantados y los pequeños Estados insulares en desarrollo;</w:t>
      </w:r>
    </w:p>
    <w:p w14:paraId="77FA3F57" w14:textId="75E24556" w:rsidR="00555AEE" w:rsidRPr="005434C5" w:rsidRDefault="00671C1D" w:rsidP="009504DE">
      <w:pPr>
        <w:pStyle w:val="CBDNormalNumber"/>
        <w:numPr>
          <w:ilvl w:val="0"/>
          <w:numId w:val="0"/>
        </w:numPr>
        <w:ind w:left="567" w:firstLine="567"/>
        <w:rPr>
          <w:rFonts w:asciiTheme="majorBidi" w:eastAsiaTheme="minorHAnsi" w:hAnsiTheme="majorBidi" w:cstheme="majorBidi"/>
        </w:rPr>
      </w:pPr>
      <w:r w:rsidRPr="005434C5">
        <w:rPr>
          <w:rFonts w:asciiTheme="majorBidi" w:hAnsiTheme="majorBidi"/>
        </w:rPr>
        <w:t xml:space="preserve">b) </w:t>
      </w:r>
      <w:r w:rsidR="00593586">
        <w:rPr>
          <w:rFonts w:asciiTheme="majorBidi" w:hAnsiTheme="majorBidi"/>
        </w:rPr>
        <w:tab/>
      </w:r>
      <w:r w:rsidRPr="005434C5">
        <w:rPr>
          <w:rFonts w:asciiTheme="majorBidi" w:hAnsiTheme="majorBidi"/>
        </w:rPr>
        <w:t xml:space="preserve">Considere la posibilidad de aumentar el apoyo a los enfoques programáticos sostenidos y </w:t>
      </w:r>
      <w:r w:rsidR="004470ED">
        <w:rPr>
          <w:rFonts w:asciiTheme="majorBidi" w:hAnsiTheme="majorBidi"/>
        </w:rPr>
        <w:t>la creación</w:t>
      </w:r>
      <w:r w:rsidRPr="005434C5">
        <w:rPr>
          <w:rFonts w:asciiTheme="majorBidi" w:hAnsiTheme="majorBidi"/>
        </w:rPr>
        <w:t xml:space="preserve"> de capacidad;</w:t>
      </w:r>
    </w:p>
    <w:p w14:paraId="565CD1D5" w14:textId="07306AB6" w:rsidR="00555AEE" w:rsidRPr="005434C5" w:rsidRDefault="00671C1D" w:rsidP="009504DE">
      <w:pPr>
        <w:pStyle w:val="CBDNormalNumber"/>
        <w:numPr>
          <w:ilvl w:val="0"/>
          <w:numId w:val="0"/>
        </w:numPr>
        <w:ind w:left="567" w:firstLine="567"/>
        <w:rPr>
          <w:rFonts w:asciiTheme="majorBidi" w:eastAsiaTheme="minorHAnsi" w:hAnsiTheme="majorBidi" w:cstheme="majorBidi"/>
        </w:rPr>
      </w:pPr>
      <w:r w:rsidRPr="005434C5">
        <w:rPr>
          <w:rFonts w:asciiTheme="majorBidi" w:hAnsiTheme="majorBidi"/>
        </w:rPr>
        <w:t xml:space="preserve">c) </w:t>
      </w:r>
      <w:r w:rsidR="00593586">
        <w:rPr>
          <w:rFonts w:asciiTheme="majorBidi" w:hAnsiTheme="majorBidi"/>
        </w:rPr>
        <w:tab/>
      </w:r>
      <w:r w:rsidRPr="005434C5">
        <w:rPr>
          <w:rFonts w:asciiTheme="majorBidi" w:hAnsiTheme="majorBidi"/>
        </w:rPr>
        <w:t>Revise la función y la naturaleza de sus organismos de ejecución, con miras a promover una participación más directa de las entidades nacionales en los países en desarrollo, y considere la posibilidad de ampliar la base de organismos de ejecución para incluir más entidades nacionales, subregionales y regionales;</w:t>
      </w:r>
    </w:p>
    <w:p w14:paraId="41EAC181" w14:textId="11FE91A1" w:rsidR="00555AEE" w:rsidRPr="005434C5" w:rsidRDefault="00671C1D" w:rsidP="009504DE">
      <w:pPr>
        <w:pStyle w:val="CBDNormalNumber"/>
        <w:numPr>
          <w:ilvl w:val="0"/>
          <w:numId w:val="0"/>
        </w:numPr>
        <w:ind w:left="567" w:firstLine="567"/>
        <w:rPr>
          <w:rFonts w:asciiTheme="majorBidi" w:eastAsiaTheme="minorHAnsi" w:hAnsiTheme="majorBidi" w:cstheme="majorBidi"/>
        </w:rPr>
      </w:pPr>
      <w:r w:rsidRPr="005434C5">
        <w:rPr>
          <w:rFonts w:asciiTheme="majorBidi" w:hAnsiTheme="majorBidi"/>
        </w:rPr>
        <w:t xml:space="preserve">d) </w:t>
      </w:r>
      <w:r w:rsidR="00593586">
        <w:rPr>
          <w:rFonts w:asciiTheme="majorBidi" w:hAnsiTheme="majorBidi"/>
        </w:rPr>
        <w:tab/>
      </w:r>
      <w:r w:rsidRPr="005434C5">
        <w:rPr>
          <w:rFonts w:asciiTheme="majorBidi" w:hAnsiTheme="majorBidi"/>
        </w:rPr>
        <w:t>Siga estudiando modalidades para mejorar la eficacia de los procesos de financiación de actividades en el marco del Protocolo de Cartagena sobre Seguridad de la Biotecnología y el Protocolo de Nagoya sobre Acceso a los Recursos Genéticos y Participación Justa y Equitativa en los Beneficios que se Deriven de su Utilización, y para fomentar su adopción por los países, y considere la posibilidad de crear una ventana independiente para la seguridad de la biotecnología con el fin de mejorar la aplicación del Protocolo de Cartagena;</w:t>
      </w:r>
    </w:p>
    <w:p w14:paraId="660E45A2" w14:textId="371AAEC5" w:rsidR="00555AEE" w:rsidRPr="005434C5" w:rsidRDefault="00671C1D" w:rsidP="009504DE">
      <w:pPr>
        <w:pStyle w:val="CBDNormalNumber"/>
        <w:numPr>
          <w:ilvl w:val="0"/>
          <w:numId w:val="0"/>
        </w:numPr>
        <w:ind w:left="567" w:firstLine="567"/>
        <w:rPr>
          <w:rFonts w:asciiTheme="majorBidi" w:eastAsiaTheme="minorHAnsi" w:hAnsiTheme="majorBidi" w:cstheme="majorBidi"/>
        </w:rPr>
      </w:pPr>
      <w:r w:rsidRPr="005434C5">
        <w:rPr>
          <w:rFonts w:asciiTheme="majorBidi" w:hAnsiTheme="majorBidi"/>
        </w:rPr>
        <w:t xml:space="preserve">e) </w:t>
      </w:r>
      <w:r w:rsidR="00593586">
        <w:rPr>
          <w:rFonts w:asciiTheme="majorBidi" w:hAnsiTheme="majorBidi"/>
        </w:rPr>
        <w:tab/>
      </w:r>
      <w:r w:rsidRPr="005434C5">
        <w:rPr>
          <w:rFonts w:asciiTheme="majorBidi" w:hAnsiTheme="majorBidi"/>
        </w:rPr>
        <w:t xml:space="preserve">Siga promoviendo el apoyo a los pueblos indígenas y las comunidades locales, entre otras cosas fomentando su liderazgo y su asociación en los proyectos, reconociendo los conocimientos indígenas como base para las actividades apoyadas por el Fondo para el Medio Ambiente Mundial y utilizando indicadores específicos para supervisar los proyectos, y considere la posibilidad de establecer una meta de financiación para apoyar las prioridades de los pueblos indígenas y las comunidades locales en todo el </w:t>
      </w:r>
      <w:r w:rsidR="007E27B1" w:rsidRPr="007E27B1">
        <w:rPr>
          <w:rFonts w:asciiTheme="majorBidi" w:hAnsiTheme="majorBidi"/>
        </w:rPr>
        <w:t xml:space="preserve">programa de biodiversidad </w:t>
      </w:r>
      <w:r w:rsidRPr="005434C5">
        <w:rPr>
          <w:rFonts w:asciiTheme="majorBidi" w:hAnsiTheme="majorBidi"/>
        </w:rPr>
        <w:t>del Fondo Fiduciario del Fondo para el Medio Ambiente Mundial;</w:t>
      </w:r>
    </w:p>
    <w:p w14:paraId="4C92348A" w14:textId="7D09CFE7" w:rsidR="00555AEE" w:rsidRPr="005434C5" w:rsidRDefault="00671C1D" w:rsidP="009504DE">
      <w:pPr>
        <w:pStyle w:val="CBDNormalNumber"/>
        <w:numPr>
          <w:ilvl w:val="0"/>
          <w:numId w:val="0"/>
        </w:numPr>
        <w:ind w:left="567" w:firstLine="567"/>
        <w:rPr>
          <w:rFonts w:asciiTheme="majorBidi" w:eastAsiaTheme="minorHAnsi" w:hAnsiTheme="majorBidi" w:cstheme="majorBidi"/>
        </w:rPr>
      </w:pPr>
      <w:r w:rsidRPr="005434C5">
        <w:rPr>
          <w:rFonts w:asciiTheme="majorBidi" w:hAnsiTheme="majorBidi"/>
        </w:rPr>
        <w:t xml:space="preserve">f) </w:t>
      </w:r>
      <w:r w:rsidR="00593586">
        <w:rPr>
          <w:rFonts w:asciiTheme="majorBidi" w:hAnsiTheme="majorBidi"/>
        </w:rPr>
        <w:tab/>
      </w:r>
      <w:r w:rsidRPr="005434C5">
        <w:rPr>
          <w:rFonts w:asciiTheme="majorBidi" w:hAnsiTheme="majorBidi"/>
        </w:rPr>
        <w:t>Contribuya a la implementación del enfoque de todo el gobierno y toda la sociedad para el Marco, continuando la mejora del relacionamiento efectivo con las organizaciones de la sociedad civil, las mujeres y la juventud, los pueblos indígenas y las comunidades locales, el sector privado, las organizaciones filantrópicas y de conservación y otros grupos importantes de interesados;</w:t>
      </w:r>
    </w:p>
    <w:p w14:paraId="1FF6600F" w14:textId="5F7596B0" w:rsidR="00555AEE" w:rsidRPr="005434C5" w:rsidRDefault="00671C1D" w:rsidP="009504DE">
      <w:pPr>
        <w:pStyle w:val="CBDNormalNumber"/>
        <w:keepNext/>
        <w:numPr>
          <w:ilvl w:val="0"/>
          <w:numId w:val="0"/>
        </w:numPr>
        <w:tabs>
          <w:tab w:val="clear" w:pos="567"/>
        </w:tabs>
        <w:ind w:left="562" w:firstLine="562"/>
        <w:rPr>
          <w:rFonts w:asciiTheme="majorBidi" w:eastAsiaTheme="minorHAnsi" w:hAnsiTheme="majorBidi" w:cstheme="majorBidi"/>
        </w:rPr>
      </w:pPr>
      <w:r w:rsidRPr="005434C5">
        <w:rPr>
          <w:rFonts w:asciiTheme="majorBidi" w:hAnsiTheme="majorBidi"/>
        </w:rPr>
        <w:t>4.</w:t>
      </w:r>
      <w:r w:rsidRPr="005434C5">
        <w:rPr>
          <w:rFonts w:asciiTheme="majorBidi" w:hAnsiTheme="majorBidi"/>
          <w:i/>
          <w:iCs/>
        </w:rPr>
        <w:tab/>
        <w:t xml:space="preserve">Pide además </w:t>
      </w:r>
      <w:r w:rsidRPr="005434C5">
        <w:rPr>
          <w:rFonts w:asciiTheme="majorBidi" w:hAnsiTheme="majorBidi"/>
        </w:rPr>
        <w:t>al Fondo para el Medio Ambiente Mundial que:</w:t>
      </w:r>
    </w:p>
    <w:p w14:paraId="49CFF5B1" w14:textId="44770132" w:rsidR="00555AEE" w:rsidRPr="005434C5" w:rsidRDefault="00671C1D" w:rsidP="009504DE">
      <w:pPr>
        <w:pStyle w:val="CBDNormalNumber"/>
        <w:numPr>
          <w:ilvl w:val="0"/>
          <w:numId w:val="0"/>
        </w:numPr>
        <w:tabs>
          <w:tab w:val="clear" w:pos="1134"/>
        </w:tabs>
        <w:ind w:left="567" w:firstLine="567"/>
        <w:rPr>
          <w:rFonts w:asciiTheme="majorBidi" w:eastAsiaTheme="minorHAnsi" w:hAnsiTheme="majorBidi" w:cstheme="majorBidi"/>
        </w:rPr>
      </w:pPr>
      <w:r w:rsidRPr="005434C5">
        <w:t xml:space="preserve">a) </w:t>
      </w:r>
      <w:r w:rsidR="00593586">
        <w:tab/>
      </w:r>
      <w:r w:rsidRPr="005434C5">
        <w:t>Considere la posibilidad de vincular los resultados de la implementación en el Marco de medición de resultados de la novena reposición de su Fondo Fiduciario, los exámenes anuales de desempeño y las evaluaciones estratégicas por grupos de países a los objetivos de los acuerdos ambientales multilaterales, como los del Convenio;</w:t>
      </w:r>
    </w:p>
    <w:p w14:paraId="4A1163C3" w14:textId="67930193" w:rsidR="00555AEE" w:rsidRPr="005434C5" w:rsidRDefault="00671C1D" w:rsidP="009504DE">
      <w:pPr>
        <w:pStyle w:val="CBDNormalNumber"/>
        <w:numPr>
          <w:ilvl w:val="0"/>
          <w:numId w:val="0"/>
        </w:numPr>
        <w:tabs>
          <w:tab w:val="clear" w:pos="1134"/>
        </w:tabs>
        <w:ind w:left="567" w:firstLine="567"/>
        <w:rPr>
          <w:rFonts w:asciiTheme="majorBidi" w:eastAsiaTheme="minorHAnsi" w:hAnsiTheme="majorBidi" w:cstheme="majorBidi"/>
        </w:rPr>
      </w:pPr>
      <w:r w:rsidRPr="005434C5">
        <w:rPr>
          <w:rFonts w:asciiTheme="majorBidi" w:hAnsiTheme="majorBidi"/>
        </w:rPr>
        <w:t xml:space="preserve">b) </w:t>
      </w:r>
      <w:r w:rsidR="00593586">
        <w:rPr>
          <w:rFonts w:asciiTheme="majorBidi" w:hAnsiTheme="majorBidi"/>
        </w:rPr>
        <w:tab/>
      </w:r>
      <w:r w:rsidRPr="005434C5">
        <w:rPr>
          <w:rFonts w:asciiTheme="majorBidi" w:hAnsiTheme="majorBidi"/>
        </w:rPr>
        <w:t>Se esfuerce aún más por cumplir todos sus requisitos de presentación de informes y, en tal sentido, incluya información relativa a los proyectos sobre diversidad biológica que financia al margen del Convenio y a su respuesta a las evaluaciones de necesidades preparadas por la Conferencia de las Partes en virtud del memorando de entendimiento entre la Conferencia de las Partes y el Consejo del Fondo para el Medio Ambiente Mundial</w:t>
      </w:r>
      <w:r w:rsidR="00F9789F" w:rsidRPr="005434C5">
        <w:rPr>
          <w:rStyle w:val="FootnoteReference"/>
          <w:rFonts w:asciiTheme="majorBidi" w:eastAsiaTheme="minorHAnsi" w:hAnsiTheme="majorBidi" w:cstheme="majorBidi"/>
        </w:rPr>
        <w:footnoteReference w:id="11"/>
      </w:r>
      <w:r w:rsidRPr="005434C5">
        <w:rPr>
          <w:rFonts w:asciiTheme="majorBidi" w:hAnsiTheme="majorBidi"/>
        </w:rPr>
        <w:t>, a fin de que la Conferencia de las Partes pueda mejorar la calidad de su orientación;</w:t>
      </w:r>
    </w:p>
    <w:p w14:paraId="182D0F3A" w14:textId="1A48F707" w:rsidR="00555AEE" w:rsidRPr="005434C5" w:rsidRDefault="00A10BB9" w:rsidP="009504DE">
      <w:pPr>
        <w:pStyle w:val="CBDNormalNumber"/>
        <w:numPr>
          <w:ilvl w:val="0"/>
          <w:numId w:val="0"/>
        </w:numPr>
        <w:ind w:left="567" w:firstLine="567"/>
        <w:rPr>
          <w:rFonts w:asciiTheme="majorBidi" w:eastAsiaTheme="minorHAnsi" w:hAnsiTheme="majorBidi" w:cstheme="majorBidi"/>
        </w:rPr>
      </w:pPr>
      <w:r w:rsidRPr="005434C5">
        <w:rPr>
          <w:rFonts w:asciiTheme="majorBidi" w:hAnsiTheme="majorBidi"/>
        </w:rPr>
        <w:t>5.</w:t>
      </w:r>
      <w:r w:rsidRPr="005434C5">
        <w:rPr>
          <w:rFonts w:asciiTheme="majorBidi" w:hAnsiTheme="majorBidi"/>
          <w:i/>
          <w:iCs/>
        </w:rPr>
        <w:tab/>
        <w:t>Pide</w:t>
      </w:r>
      <w:r w:rsidRPr="005434C5">
        <w:rPr>
          <w:rFonts w:asciiTheme="majorBidi" w:hAnsiTheme="majorBidi"/>
        </w:rPr>
        <w:t xml:space="preserve"> al Consejo del Fondo para el Medio Ambiente Mundial que estudie la forma de mejorar la representación geográfica equitativa dentro de sus circunscripciones y entre ellas, teniendo también en cuenta el nivel de biodiversidad de los países, y que garantice la participación significativa en la toma de decisiones de los pueblos indígenas y las comunidades locales, incluidas las mujeres y la juventud entre ellos, dada su contribución a la conservación y utilización sostenible de la diversidad biológica; </w:t>
      </w:r>
    </w:p>
    <w:p w14:paraId="13ADE051" w14:textId="2BA6057D" w:rsidR="00555AEE" w:rsidRPr="005434C5" w:rsidRDefault="00A10BB9" w:rsidP="009504DE">
      <w:pPr>
        <w:pStyle w:val="CBDNormalNumber"/>
        <w:numPr>
          <w:ilvl w:val="0"/>
          <w:numId w:val="0"/>
        </w:numPr>
        <w:ind w:left="567" w:firstLine="567"/>
        <w:rPr>
          <w:rFonts w:asciiTheme="majorBidi" w:eastAsiaTheme="minorHAnsi" w:hAnsiTheme="majorBidi" w:cstheme="majorBidi"/>
        </w:rPr>
      </w:pPr>
      <w:r w:rsidRPr="005434C5">
        <w:rPr>
          <w:rFonts w:asciiTheme="majorBidi" w:hAnsiTheme="majorBidi"/>
        </w:rPr>
        <w:t>6.</w:t>
      </w:r>
      <w:r w:rsidRPr="005434C5">
        <w:rPr>
          <w:rFonts w:asciiTheme="majorBidi" w:hAnsiTheme="majorBidi"/>
          <w:i/>
          <w:iCs/>
        </w:rPr>
        <w:tab/>
        <w:t>Invita</w:t>
      </w:r>
      <w:r w:rsidRPr="005434C5">
        <w:rPr>
          <w:rFonts w:asciiTheme="majorBidi" w:hAnsiTheme="majorBidi"/>
        </w:rPr>
        <w:t xml:space="preserve"> a la Asamblea del Fondo para el Medio Ambiente Mundial a que, en el contexto de la novena reposición del Fondo Fiduciario del Fondo para el Medio Ambiente Mundial, considere reformas a su gobernanza, con miras a mejorar el equilibrio entre los países en desarrollo y los países desarrollados, tomando también en cuenta el nivel de diversidad biológica de los países, y a que garantice la participación significativa en la toma de decisiones de los pueblos indígenas y las comunidades locales, incluidas las mujeres y la juventud entre ellos, dada su contribución a la conservación y utilización sostenible de la diversidad biológica; </w:t>
      </w:r>
    </w:p>
    <w:p w14:paraId="10833867" w14:textId="2F80D54B" w:rsidR="00555AEE" w:rsidRPr="005434C5" w:rsidRDefault="00A10BB9" w:rsidP="009504DE">
      <w:pPr>
        <w:pStyle w:val="CBDNormalNumber"/>
        <w:numPr>
          <w:ilvl w:val="0"/>
          <w:numId w:val="0"/>
        </w:numPr>
        <w:ind w:left="567" w:firstLine="567"/>
        <w:rPr>
          <w:rFonts w:asciiTheme="majorBidi" w:eastAsiaTheme="minorHAnsi" w:hAnsiTheme="majorBidi" w:cstheme="majorBidi"/>
        </w:rPr>
      </w:pPr>
      <w:r w:rsidRPr="005434C5">
        <w:rPr>
          <w:rFonts w:asciiTheme="majorBidi" w:hAnsiTheme="majorBidi"/>
        </w:rPr>
        <w:t>7.</w:t>
      </w:r>
      <w:r w:rsidRPr="005434C5">
        <w:rPr>
          <w:rFonts w:asciiTheme="majorBidi" w:hAnsiTheme="majorBidi"/>
          <w:i/>
          <w:iCs/>
        </w:rPr>
        <w:tab/>
        <w:t>Pide</w:t>
      </w:r>
      <w:r w:rsidRPr="005434C5">
        <w:rPr>
          <w:rFonts w:asciiTheme="majorBidi" w:hAnsiTheme="majorBidi"/>
        </w:rPr>
        <w:t xml:space="preserve"> al Órgano Subsidiario sobre la Aplicación que elabore un proyecto de mandato para el comité permanente mencionado en el párrafo 1 </w:t>
      </w:r>
      <w:r w:rsidR="00B24C6D">
        <w:rPr>
          <w:rFonts w:asciiTheme="majorBidi" w:hAnsiTheme="majorBidi"/>
        </w:rPr>
        <w:t xml:space="preserve">anterior </w:t>
      </w:r>
      <w:r w:rsidRPr="005434C5">
        <w:rPr>
          <w:rFonts w:asciiTheme="majorBidi" w:hAnsiTheme="majorBidi"/>
        </w:rPr>
        <w:t>sobre la base de un proyecto elaborado por la Secretaría,</w:t>
      </w:r>
    </w:p>
    <w:p w14:paraId="15178B02" w14:textId="7C17BD8B" w:rsidR="00555AEE" w:rsidRPr="005434C5" w:rsidRDefault="00A10BB9" w:rsidP="009504DE">
      <w:pPr>
        <w:pStyle w:val="CBDNormalNumber"/>
        <w:numPr>
          <w:ilvl w:val="0"/>
          <w:numId w:val="0"/>
        </w:numPr>
        <w:ind w:left="567" w:firstLine="567"/>
        <w:rPr>
          <w:rFonts w:asciiTheme="majorBidi" w:eastAsiaTheme="minorHAnsi" w:hAnsiTheme="majorBidi" w:cstheme="majorBidi"/>
        </w:rPr>
      </w:pPr>
      <w:r w:rsidRPr="005434C5">
        <w:rPr>
          <w:rFonts w:asciiTheme="majorBidi" w:hAnsiTheme="majorBidi"/>
        </w:rPr>
        <w:t>8.</w:t>
      </w:r>
      <w:r w:rsidRPr="005434C5">
        <w:rPr>
          <w:rFonts w:asciiTheme="majorBidi" w:hAnsiTheme="majorBidi"/>
          <w:i/>
          <w:iCs/>
        </w:rPr>
        <w:tab/>
        <w:t>Pide</w:t>
      </w:r>
      <w:r w:rsidRPr="005434C5">
        <w:rPr>
          <w:rFonts w:asciiTheme="majorBidi" w:hAnsiTheme="majorBidi"/>
        </w:rPr>
        <w:t xml:space="preserve"> a la Secretaria Ejecutiva que, en consulta con el Director Ejecutivo del Fondo para el Medio Ambiente Mundial, se ponga en contacto con la Secretaría del Fondo Verde para el Clima, con el fin de mejorar la colaboración y el apoyo al Convenio;</w:t>
      </w:r>
    </w:p>
    <w:p w14:paraId="765AF822" w14:textId="5E718EA5" w:rsidR="00F04681" w:rsidRPr="005434C5" w:rsidRDefault="00A10BB9" w:rsidP="009504DE">
      <w:pPr>
        <w:pStyle w:val="CBDNormalNumber"/>
        <w:numPr>
          <w:ilvl w:val="0"/>
          <w:numId w:val="0"/>
        </w:numPr>
        <w:ind w:left="567" w:firstLine="567"/>
      </w:pPr>
      <w:r w:rsidRPr="005434C5">
        <w:rPr>
          <w:rFonts w:asciiTheme="majorBidi" w:hAnsiTheme="majorBidi"/>
        </w:rPr>
        <w:t>9.</w:t>
      </w:r>
      <w:r w:rsidRPr="005434C5">
        <w:rPr>
          <w:rFonts w:asciiTheme="majorBidi" w:hAnsiTheme="majorBidi"/>
          <w:i/>
          <w:iCs/>
        </w:rPr>
        <w:tab/>
        <w:t>Pide asimismo</w:t>
      </w:r>
      <w:r w:rsidRPr="005434C5">
        <w:rPr>
          <w:rFonts w:asciiTheme="majorBidi" w:hAnsiTheme="majorBidi"/>
        </w:rPr>
        <w:t xml:space="preserve"> a la Secretaria Ejecutiva que elabore un proyecto de mandato para el comité permanente mencionado en el párrafo 1</w:t>
      </w:r>
      <w:r w:rsidR="000B3774">
        <w:rPr>
          <w:rFonts w:asciiTheme="majorBidi" w:hAnsiTheme="majorBidi"/>
        </w:rPr>
        <w:t xml:space="preserve"> anterior</w:t>
      </w:r>
      <w:r w:rsidRPr="005434C5">
        <w:rPr>
          <w:rFonts w:asciiTheme="majorBidi" w:hAnsiTheme="majorBidi"/>
        </w:rPr>
        <w:t>, teniendo en cuenta la experiencia del Comité Permanente de Finanzas de la Convención Marco de las Naciones Unidas sobre el Cambio Climático</w:t>
      </w:r>
      <w:r w:rsidR="00A04EFF" w:rsidRPr="005434C5">
        <w:rPr>
          <w:rStyle w:val="FootnoteReference"/>
          <w:rFonts w:asciiTheme="majorBidi" w:eastAsiaTheme="minorHAnsi" w:hAnsiTheme="majorBidi" w:cstheme="majorBidi"/>
        </w:rPr>
        <w:footnoteReference w:id="12"/>
      </w:r>
      <w:r w:rsidRPr="005434C5">
        <w:rPr>
          <w:rFonts w:asciiTheme="majorBidi" w:hAnsiTheme="majorBidi"/>
        </w:rPr>
        <w:t>.</w:t>
      </w:r>
    </w:p>
    <w:p w14:paraId="696F48C2" w14:textId="0CD8ADEE" w:rsidR="009E42BC" w:rsidRPr="005434C5" w:rsidRDefault="009E42BC">
      <w:pPr>
        <w:spacing w:before="240" w:after="240"/>
      </w:pPr>
      <w:r w:rsidRPr="005434C5">
        <w:br w:type="page"/>
      </w:r>
    </w:p>
    <w:p w14:paraId="56B460A7" w14:textId="77777777" w:rsidR="00234D0E" w:rsidRPr="005434C5" w:rsidRDefault="00234D0E" w:rsidP="009504DE">
      <w:pPr>
        <w:pStyle w:val="CBDAnnex"/>
      </w:pPr>
      <w:r w:rsidRPr="005434C5">
        <w:t>Anexo</w:t>
      </w:r>
    </w:p>
    <w:p w14:paraId="06FE4F35" w14:textId="04898E25" w:rsidR="00FA2137" w:rsidRPr="005434C5" w:rsidRDefault="00FA2137" w:rsidP="009504DE">
      <w:pPr>
        <w:pStyle w:val="CBDTitle"/>
      </w:pPr>
      <w:r w:rsidRPr="005434C5">
        <w:t>Informe de síntesis y recomendaciones del evaluador independiente para el sexto examen cuatrienal de la eficacia del mecanismo financiero del Convenio sobre la Diversidad Biológica</w:t>
      </w:r>
    </w:p>
    <w:p w14:paraId="3BCB2F21" w14:textId="162E96CC" w:rsidR="00FA2137" w:rsidRPr="005434C5" w:rsidRDefault="00B14026" w:rsidP="009504DE">
      <w:pPr>
        <w:pStyle w:val="CBDH1"/>
        <w:rPr>
          <w:bCs/>
          <w:smallCaps/>
        </w:rPr>
      </w:pPr>
      <w:bookmarkStart w:id="4" w:name="_Toc177047023"/>
      <w:r w:rsidRPr="005434C5">
        <w:t>I.</w:t>
      </w:r>
      <w:r w:rsidRPr="005434C5">
        <w:tab/>
        <w:t>Introducción</w:t>
      </w:r>
      <w:bookmarkEnd w:id="4"/>
      <w:r w:rsidRPr="005434C5">
        <w:t xml:space="preserve"> </w:t>
      </w:r>
    </w:p>
    <w:p w14:paraId="7CDBDBFA" w14:textId="540B8A87" w:rsidR="00FA2137" w:rsidRPr="005434C5" w:rsidRDefault="00FA2137" w:rsidP="001C209B">
      <w:pPr>
        <w:pStyle w:val="CBDNormalNumber"/>
        <w:numPr>
          <w:ilvl w:val="0"/>
          <w:numId w:val="9"/>
        </w:numPr>
        <w:rPr>
          <w:sz w:val="23"/>
          <w:szCs w:val="23"/>
        </w:rPr>
      </w:pPr>
      <w:r w:rsidRPr="005434C5">
        <w:t xml:space="preserve">De conformidad con el </w:t>
      </w:r>
      <w:r w:rsidR="00B115E2">
        <w:t>a</w:t>
      </w:r>
      <w:r w:rsidRPr="005434C5">
        <w:t>rtículo 21, párrafo 3, y basándose en la experiencia de los cinco exámenes anteriores, la Conferencia de las Partes realizará su sexto examen de la eficacia del mecanismo financiero en su 16ª reunión, y adoptará las medidas adecuadas para mejorar la eficacia del mecanismo según sea necesario.</w:t>
      </w:r>
    </w:p>
    <w:p w14:paraId="1993019B" w14:textId="0E63CE38" w:rsidR="00FA2137" w:rsidRPr="005434C5" w:rsidRDefault="00FA2137" w:rsidP="001C209B">
      <w:pPr>
        <w:pStyle w:val="CBDNormalNumber"/>
        <w:numPr>
          <w:ilvl w:val="0"/>
          <w:numId w:val="9"/>
        </w:numPr>
        <w:rPr>
          <w:sz w:val="23"/>
          <w:szCs w:val="23"/>
        </w:rPr>
      </w:pPr>
      <w:r w:rsidRPr="005434C5">
        <w:t>Bajo la autoridad de la COP, la Secretaria Ejecutiva contratará a un evaluador independiente con experiencia para que elabore un informe que sirva de base para el examen.</w:t>
      </w:r>
    </w:p>
    <w:p w14:paraId="27F64E0A" w14:textId="43B4C04D" w:rsidR="00FA2137" w:rsidRPr="005434C5" w:rsidRDefault="00FA2137" w:rsidP="001C209B">
      <w:pPr>
        <w:pStyle w:val="CBDNormalNumber"/>
        <w:numPr>
          <w:ilvl w:val="0"/>
          <w:numId w:val="9"/>
        </w:numPr>
        <w:rPr>
          <w:sz w:val="23"/>
          <w:szCs w:val="23"/>
        </w:rPr>
      </w:pPr>
      <w:r w:rsidRPr="005434C5">
        <w:t>El evaluador independiente fue designado en marzo de 2024 por la Secretaría del Convenio sobre la Diversidad Biológica (CDB) para que elaborara un informe de síntesis junto con recomendaciones (Informe) con el fin de brindar apoyo al Sexto Examen Cuatrienal (Examen) de la eficacia del mecanismo financiero, operado por el Fondo para el Medio Ambiente Mundial (FMAM) de forma continua y provisional, de acuerdo con el mandato establecido en la decisión 15/15, anexo IV, de la 15ª reunión de la Conferencia de las Partes (COP).</w:t>
      </w:r>
    </w:p>
    <w:p w14:paraId="2F1C8DC1" w14:textId="5308D4FB" w:rsidR="00FA2137" w:rsidRPr="008838D7" w:rsidRDefault="00FA2137" w:rsidP="001C209B">
      <w:pPr>
        <w:pStyle w:val="CBDNormalNumber"/>
        <w:numPr>
          <w:ilvl w:val="0"/>
          <w:numId w:val="9"/>
        </w:numPr>
      </w:pPr>
      <w:r w:rsidRPr="005434C5">
        <w:t xml:space="preserve">Este </w:t>
      </w:r>
      <w:r w:rsidR="00FD3F10">
        <w:t>I</w:t>
      </w:r>
      <w:r w:rsidRPr="005434C5">
        <w:t>nforme consideró las actividades del FMAM en el período comprendido entre el 1 de julio de 2017 y el 30 de junio de 2024 con los criterios esbozados en la decisión 15/15, así como el contexto más amplio del financiamiento internacional para la biodiversidad, a fin de fundamentar sus conclusiones y recomendaciones.</w:t>
      </w:r>
      <w:r w:rsidRPr="005434C5">
        <w:rPr>
          <w:sz w:val="23"/>
          <w:szCs w:val="23"/>
        </w:rPr>
        <w:t xml:space="preserve"> </w:t>
      </w:r>
      <w:r w:rsidRPr="008838D7">
        <w:t xml:space="preserve">El período considerado abarcó los últimos nueve meses del FMAM-6, todo el período del FMAM-7 y los primeros 24 meses del FMAM-8. En el </w:t>
      </w:r>
      <w:r w:rsidR="00760F8E">
        <w:t>I</w:t>
      </w:r>
      <w:r w:rsidRPr="008838D7">
        <w:t>nforme se examinaron las actividades de todo el sistema del FMAM, incluidos los organismos de ejecución.</w:t>
      </w:r>
    </w:p>
    <w:p w14:paraId="757700D3" w14:textId="08D75BF1" w:rsidR="00FA2137" w:rsidRPr="005434C5" w:rsidRDefault="00FA2137" w:rsidP="001C209B">
      <w:pPr>
        <w:pStyle w:val="CBDNormalNumber"/>
        <w:numPr>
          <w:ilvl w:val="0"/>
          <w:numId w:val="9"/>
        </w:numPr>
        <w:rPr>
          <w:sz w:val="23"/>
          <w:szCs w:val="23"/>
        </w:rPr>
      </w:pPr>
      <w:r w:rsidRPr="005434C5">
        <w:t xml:space="preserve">Durante el período considerado, acontecimientos significativos, como la creación del Fondo para el Marco Mundial de Biodiversidad y el establecimiento del Comité Asesor sobre Movilización de Recursos por la COP en la decisión 15/7, demuestran los esfuerzos coordinados tanto de las Partes como del FMAM para aumentar la financiación para la conservación de la biodiversidad con miras a cerrar la brecha de financiación de la biodiversidad, estimada según el Marco Mundial de Biodiversidad en 700.000 millones de dólares </w:t>
      </w:r>
      <w:r w:rsidR="00ED61B5">
        <w:t>estadounidenses</w:t>
      </w:r>
      <w:r w:rsidR="008A287A">
        <w:t xml:space="preserve"> </w:t>
      </w:r>
      <w:r w:rsidRPr="005434C5">
        <w:t>al año entre 2023 y 2030.</w:t>
      </w:r>
      <w:r w:rsidRPr="005434C5">
        <w:rPr>
          <w:sz w:val="23"/>
          <w:szCs w:val="23"/>
        </w:rPr>
        <w:t xml:space="preserve"> </w:t>
      </w:r>
    </w:p>
    <w:p w14:paraId="71678514" w14:textId="27288DEB" w:rsidR="00FA2137" w:rsidRPr="00B52F03" w:rsidRDefault="00FA2137" w:rsidP="001C209B">
      <w:pPr>
        <w:pStyle w:val="CBDNormalNumber"/>
        <w:numPr>
          <w:ilvl w:val="0"/>
          <w:numId w:val="9"/>
        </w:numPr>
      </w:pPr>
      <w:r w:rsidRPr="005434C5">
        <w:t xml:space="preserve">Si bien este Informe concluye que el FMAM ha logrado avances significativos entre el FMAM-6 y el FMAM-8 en las áreas examinadas, </w:t>
      </w:r>
      <w:r w:rsidRPr="00B52F03">
        <w:t>es posible y necesario introducir mejoras para aumentar el apoyo al cumplimiento de los objetivos del CDB. En particular, el apoyo a los Países Menos Adelantados (</w:t>
      </w:r>
      <w:proofErr w:type="spellStart"/>
      <w:r w:rsidRPr="00B52F03">
        <w:t>PMA</w:t>
      </w:r>
      <w:proofErr w:type="spellEnd"/>
      <w:r w:rsidRPr="00B52F03">
        <w:t>) y a los Pequeños Estados Insulares en Desarrollo (</w:t>
      </w:r>
      <w:proofErr w:type="spellStart"/>
      <w:r w:rsidRPr="00B52F03">
        <w:t>PEID</w:t>
      </w:r>
      <w:proofErr w:type="spellEnd"/>
      <w:r w:rsidRPr="00B52F03">
        <w:t xml:space="preserve">), la mejora </w:t>
      </w:r>
      <w:r w:rsidR="0021111B">
        <w:t>del sentido de propiedad</w:t>
      </w:r>
      <w:r w:rsidRPr="00B52F03">
        <w:t xml:space="preserve"> o el protagonismo de los países, un mayor acceso a las organizaciones en los países receptores y una mayor participación de los pueblos indígenas y las comunidades locales.</w:t>
      </w:r>
    </w:p>
    <w:p w14:paraId="2B6935CC" w14:textId="55137287" w:rsidR="00FA2137" w:rsidRPr="000179C5" w:rsidRDefault="00FA2137" w:rsidP="001C209B">
      <w:pPr>
        <w:pStyle w:val="CBDNormalNumber"/>
        <w:numPr>
          <w:ilvl w:val="0"/>
          <w:numId w:val="9"/>
        </w:numPr>
      </w:pPr>
      <w:r w:rsidRPr="00B52F03">
        <w:t>El Informe se basa principalmente en las respuestas proporcionadas</w:t>
      </w:r>
      <w:r w:rsidRPr="005434C5">
        <w:t xml:space="preserve"> por las Partes y la Secretaría del </w:t>
      </w:r>
      <w:r w:rsidRPr="000179C5">
        <w:t>FMAM al Cuestionario enviado a los puntos focales nacionales del CDB y sus Protocolos y del FMAM. El presente documento</w:t>
      </w:r>
      <w:r w:rsidR="00CF4B58">
        <w:t xml:space="preserve"> ofrece un resumen del Informe, mientras que e</w:t>
      </w:r>
      <w:r w:rsidRPr="000179C5">
        <w:t xml:space="preserve">l Informe completo figura en el documento </w:t>
      </w:r>
      <w:proofErr w:type="spellStart"/>
      <w:r w:rsidRPr="000179C5">
        <w:t>CBD</w:t>
      </w:r>
      <w:proofErr w:type="spellEnd"/>
      <w:r w:rsidRPr="000179C5">
        <w:t>/COP/16/</w:t>
      </w:r>
      <w:proofErr w:type="spellStart"/>
      <w:r w:rsidRPr="000179C5">
        <w:t>INF</w:t>
      </w:r>
      <w:proofErr w:type="spellEnd"/>
      <w:r w:rsidRPr="000179C5">
        <w:t>/25.</w:t>
      </w:r>
    </w:p>
    <w:p w14:paraId="1CF4806F" w14:textId="20026785" w:rsidR="00D3578B" w:rsidRPr="000179C5" w:rsidRDefault="00D3578B" w:rsidP="001C209B">
      <w:pPr>
        <w:pStyle w:val="CBDNormalNumber"/>
        <w:numPr>
          <w:ilvl w:val="0"/>
          <w:numId w:val="9"/>
        </w:numPr>
      </w:pPr>
      <w:r w:rsidRPr="000179C5">
        <w:t>Se agradece el apoyo de la Secretaría del FMAM en la preparación de este Informe. Las recomendaciones que figuran en el Informe se han enriquecido con las aportaciones de la Secretaría del FMAM y cuentan en gran medida con su apoyo, con algunas excepciones.</w:t>
      </w:r>
    </w:p>
    <w:p w14:paraId="7E418B61" w14:textId="24898F31" w:rsidR="00FA2137" w:rsidRPr="005434C5" w:rsidRDefault="00B47F84" w:rsidP="009504DE">
      <w:pPr>
        <w:pStyle w:val="CBDH1"/>
        <w:rPr>
          <w:bCs/>
          <w:smallCaps/>
        </w:rPr>
      </w:pPr>
      <w:r w:rsidRPr="005434C5">
        <w:t>II.</w:t>
      </w:r>
      <w:r w:rsidRPr="005434C5">
        <w:tab/>
      </w:r>
      <w:bookmarkStart w:id="5" w:name="_Toc177047024"/>
      <w:r w:rsidRPr="005434C5">
        <w:t>Resumen de las conclusiones</w:t>
      </w:r>
      <w:bookmarkEnd w:id="5"/>
    </w:p>
    <w:p w14:paraId="338CF1E3" w14:textId="1EF8E964" w:rsidR="00FA2137" w:rsidRPr="00701DF5" w:rsidRDefault="00FA2137" w:rsidP="001C209B">
      <w:pPr>
        <w:pStyle w:val="CBDNormalNumber"/>
        <w:numPr>
          <w:ilvl w:val="0"/>
          <w:numId w:val="9"/>
        </w:numPr>
      </w:pPr>
      <w:r w:rsidRPr="00701DF5">
        <w:t>E</w:t>
      </w:r>
      <w:r w:rsidR="00091887" w:rsidRPr="00701DF5">
        <w:t>n e</w:t>
      </w:r>
      <w:r w:rsidRPr="00701DF5">
        <w:t xml:space="preserve">ste Informe </w:t>
      </w:r>
      <w:r w:rsidR="00091887" w:rsidRPr="00701DF5">
        <w:t xml:space="preserve">se </w:t>
      </w:r>
      <w:r w:rsidRPr="00701DF5">
        <w:t xml:space="preserve">analizó la eficacia del FMAM como organización institucional que gestiona el mecanismo financiero en cuatro áreas principales: </w:t>
      </w:r>
    </w:p>
    <w:p w14:paraId="41286FCD" w14:textId="77777777" w:rsidR="00FA2137" w:rsidRPr="00701DF5" w:rsidRDefault="00FA2137" w:rsidP="001C209B">
      <w:pPr>
        <w:pStyle w:val="ListParagraph"/>
        <w:numPr>
          <w:ilvl w:val="0"/>
          <w:numId w:val="8"/>
        </w:numPr>
        <w:spacing w:before="120" w:after="120"/>
      </w:pPr>
      <w:r w:rsidRPr="00701DF5">
        <w:t xml:space="preserve">su cumplimiento de las orientaciones de la COP;  </w:t>
      </w:r>
    </w:p>
    <w:p w14:paraId="4755D940" w14:textId="77777777" w:rsidR="00FA2137" w:rsidRPr="00701DF5" w:rsidRDefault="00FA2137" w:rsidP="001C209B">
      <w:pPr>
        <w:pStyle w:val="ListParagraph"/>
        <w:numPr>
          <w:ilvl w:val="0"/>
          <w:numId w:val="8"/>
        </w:numPr>
        <w:spacing w:before="120" w:after="120"/>
      </w:pPr>
      <w:r w:rsidRPr="00701DF5">
        <w:t>su función en la movilización de recursos, a saber:</w:t>
      </w:r>
    </w:p>
    <w:p w14:paraId="437C348E" w14:textId="71C3751D" w:rsidR="00FA2137" w:rsidRPr="00701DF5" w:rsidRDefault="00701DF5" w:rsidP="00955C6A">
      <w:pPr>
        <w:pStyle w:val="ListParagraph"/>
        <w:numPr>
          <w:ilvl w:val="1"/>
          <w:numId w:val="8"/>
        </w:numPr>
        <w:spacing w:before="120" w:after="120"/>
        <w:ind w:hanging="180"/>
      </w:pPr>
      <w:r>
        <w:t>el suministro</w:t>
      </w:r>
      <w:r w:rsidR="00FA2137" w:rsidRPr="00701DF5">
        <w:t xml:space="preserve"> y </w:t>
      </w:r>
      <w:r>
        <w:t xml:space="preserve">la </w:t>
      </w:r>
      <w:r w:rsidR="00FA2137" w:rsidRPr="00701DF5">
        <w:t>movilización de recursos oportunos, previsibles y adecuados;</w:t>
      </w:r>
    </w:p>
    <w:p w14:paraId="0EF9104B" w14:textId="77777777" w:rsidR="00FA2137" w:rsidRPr="00701DF5" w:rsidRDefault="00FA2137" w:rsidP="00955C6A">
      <w:pPr>
        <w:pStyle w:val="ListParagraph"/>
        <w:numPr>
          <w:ilvl w:val="1"/>
          <w:numId w:val="8"/>
        </w:numPr>
        <w:spacing w:before="120" w:after="120"/>
        <w:ind w:hanging="180"/>
      </w:pPr>
      <w:r w:rsidRPr="00701DF5">
        <w:t xml:space="preserve">la movilización de fondos nuevos y adicionales; </w:t>
      </w:r>
    </w:p>
    <w:p w14:paraId="03F2C585" w14:textId="77777777" w:rsidR="00FA2137" w:rsidRPr="00701DF5" w:rsidRDefault="00FA2137" w:rsidP="001C209B">
      <w:pPr>
        <w:pStyle w:val="ListParagraph"/>
        <w:numPr>
          <w:ilvl w:val="0"/>
          <w:numId w:val="8"/>
        </w:numPr>
        <w:spacing w:before="120" w:after="120"/>
      </w:pPr>
      <w:r w:rsidRPr="00701DF5">
        <w:t xml:space="preserve"> la eficacia y eficiencia del FMAM en las siguientes áreas:</w:t>
      </w:r>
    </w:p>
    <w:p w14:paraId="1390429B" w14:textId="77777777" w:rsidR="00FA2137" w:rsidRPr="00701DF5" w:rsidRDefault="00FA2137" w:rsidP="00955C6A">
      <w:pPr>
        <w:pStyle w:val="ListParagraph"/>
        <w:numPr>
          <w:ilvl w:val="1"/>
          <w:numId w:val="8"/>
        </w:numPr>
        <w:spacing w:before="120" w:after="120"/>
        <w:ind w:hanging="180"/>
      </w:pPr>
      <w:r w:rsidRPr="00701DF5">
        <w:t>catalizar y mejorar las medidas nacionales de implementación para alcanzar los objetivos y metas mundiales en materia de biodiversidad, incluidos aquellos relacionados con los Protocolos;</w:t>
      </w:r>
    </w:p>
    <w:p w14:paraId="2057EC22" w14:textId="77777777" w:rsidR="00FA2137" w:rsidRPr="00701DF5" w:rsidRDefault="00FA2137" w:rsidP="00955C6A">
      <w:pPr>
        <w:pStyle w:val="ListParagraph"/>
        <w:numPr>
          <w:ilvl w:val="1"/>
          <w:numId w:val="8"/>
        </w:numPr>
        <w:spacing w:before="120" w:after="120"/>
        <w:ind w:hanging="180"/>
      </w:pPr>
      <w:r w:rsidRPr="00701DF5">
        <w:t xml:space="preserve">el apoyo a la consecución de los </w:t>
      </w:r>
      <w:proofErr w:type="spellStart"/>
      <w:r w:rsidRPr="00701DF5">
        <w:t>ODS</w:t>
      </w:r>
      <w:proofErr w:type="spellEnd"/>
      <w:r w:rsidRPr="00701DF5">
        <w:t xml:space="preserve"> que contribuyen al logro de los objetivos del CDB;</w:t>
      </w:r>
    </w:p>
    <w:p w14:paraId="680A9430" w14:textId="77777777" w:rsidR="00FA2137" w:rsidRPr="00701DF5" w:rsidRDefault="00FA2137" w:rsidP="00955C6A">
      <w:pPr>
        <w:pStyle w:val="ListParagraph"/>
        <w:numPr>
          <w:ilvl w:val="1"/>
          <w:numId w:val="8"/>
        </w:numPr>
        <w:spacing w:before="120" w:after="120"/>
        <w:ind w:hanging="180"/>
      </w:pPr>
      <w:r w:rsidRPr="00701DF5">
        <w:t>sus procesos y procedimientos para el despliegue de recursos para los programas;</w:t>
      </w:r>
    </w:p>
    <w:p w14:paraId="78E3EC58" w14:textId="6A6F4806" w:rsidR="00FA2137" w:rsidRPr="00701DF5" w:rsidRDefault="00FA2137" w:rsidP="00955C6A">
      <w:pPr>
        <w:pStyle w:val="ListParagraph"/>
        <w:numPr>
          <w:ilvl w:val="1"/>
          <w:numId w:val="8"/>
        </w:numPr>
        <w:spacing w:before="120" w:after="120"/>
        <w:ind w:hanging="180"/>
      </w:pPr>
      <w:r w:rsidRPr="00701DF5">
        <w:t xml:space="preserve">la supervisión, el seguimiento y la evaluación de las actividades financiadas con sus recursos; </w:t>
      </w:r>
    </w:p>
    <w:p w14:paraId="5AEEF649" w14:textId="77777777" w:rsidR="00FA2137" w:rsidRPr="00701DF5" w:rsidRDefault="00FA2137" w:rsidP="00955C6A">
      <w:pPr>
        <w:pStyle w:val="ListParagraph"/>
        <w:numPr>
          <w:ilvl w:val="1"/>
          <w:numId w:val="8"/>
        </w:numPr>
        <w:spacing w:before="120" w:after="120"/>
        <w:ind w:hanging="180"/>
      </w:pPr>
      <w:r w:rsidRPr="00701DF5">
        <w:t>el apoyo a los objetivos del CDB y sus Protocolos en sinergia con la aplicación de otros acuerdos ambientales multilaterales pertinentes de manera coherente con sus respectivos mandatos;</w:t>
      </w:r>
    </w:p>
    <w:p w14:paraId="1C6B3459" w14:textId="77777777" w:rsidR="00FA2137" w:rsidRPr="00701DF5" w:rsidRDefault="00FA2137" w:rsidP="001C209B">
      <w:pPr>
        <w:pStyle w:val="ListParagraph"/>
        <w:numPr>
          <w:ilvl w:val="0"/>
          <w:numId w:val="8"/>
        </w:numPr>
        <w:spacing w:before="120" w:after="120"/>
      </w:pPr>
      <w:r w:rsidRPr="00701DF5">
        <w:t>la estructura institucional del FMAM, con especial atención a:</w:t>
      </w:r>
    </w:p>
    <w:p w14:paraId="57C40E67" w14:textId="031E31E3" w:rsidR="00FA2137" w:rsidRPr="00701DF5" w:rsidRDefault="00FA2137" w:rsidP="00955C6A">
      <w:pPr>
        <w:pStyle w:val="ListParagraph"/>
        <w:numPr>
          <w:ilvl w:val="1"/>
          <w:numId w:val="8"/>
        </w:numPr>
        <w:spacing w:before="120" w:after="120"/>
        <w:ind w:hanging="180"/>
      </w:pPr>
      <w:r w:rsidRPr="00701DF5">
        <w:t xml:space="preserve">la representación en el Consejo del FMAM; </w:t>
      </w:r>
    </w:p>
    <w:p w14:paraId="1769579E" w14:textId="3553C2F9" w:rsidR="00FA2137" w:rsidRPr="00701DF5" w:rsidRDefault="00FA2137" w:rsidP="00955C6A">
      <w:pPr>
        <w:pStyle w:val="ListParagraph"/>
        <w:numPr>
          <w:ilvl w:val="1"/>
          <w:numId w:val="8"/>
        </w:numPr>
        <w:spacing w:before="120" w:after="120"/>
        <w:ind w:hanging="180"/>
      </w:pPr>
      <w:r w:rsidRPr="00701DF5">
        <w:t>el aprendizaje institucional y la gestión del conocimiento;</w:t>
      </w:r>
    </w:p>
    <w:p w14:paraId="3F5305D7" w14:textId="6DC6D9A1" w:rsidR="00FA2137" w:rsidRPr="00701DF5" w:rsidRDefault="00FA2137" w:rsidP="00955C6A">
      <w:pPr>
        <w:pStyle w:val="ListParagraph"/>
        <w:numPr>
          <w:ilvl w:val="1"/>
          <w:numId w:val="8"/>
        </w:numPr>
        <w:spacing w:before="120" w:after="120"/>
        <w:ind w:hanging="180"/>
      </w:pPr>
      <w:r w:rsidRPr="00701DF5">
        <w:t xml:space="preserve">la transparencia en la toma de decisiones, la participación de los interesados y la sociedad civil; </w:t>
      </w:r>
    </w:p>
    <w:p w14:paraId="6F13E0D8" w14:textId="780E8A5D" w:rsidR="00FA2137" w:rsidRPr="00701DF5" w:rsidRDefault="00CB130E" w:rsidP="00955C6A">
      <w:pPr>
        <w:pStyle w:val="ListParagraph"/>
        <w:numPr>
          <w:ilvl w:val="1"/>
          <w:numId w:val="8"/>
        </w:numPr>
        <w:spacing w:before="120" w:after="120"/>
        <w:ind w:hanging="180"/>
      </w:pPr>
      <w:r w:rsidRPr="00701DF5">
        <w:t xml:space="preserve">el </w:t>
      </w:r>
      <w:r w:rsidR="00AD0B18">
        <w:t>G</w:t>
      </w:r>
      <w:r w:rsidRPr="00701DF5">
        <w:t xml:space="preserve">énero. </w:t>
      </w:r>
    </w:p>
    <w:p w14:paraId="68A5B334" w14:textId="5C3688B6" w:rsidR="00FA2137" w:rsidRPr="005434C5" w:rsidRDefault="00FA2137" w:rsidP="00555AEE">
      <w:pPr>
        <w:pStyle w:val="Heading2"/>
        <w:rPr>
          <w:rFonts w:ascii="Times New Roman" w:hAnsi="Times New Roman"/>
        </w:rPr>
      </w:pPr>
      <w:bookmarkStart w:id="6" w:name="_Toc177047025"/>
      <w:r w:rsidRPr="005434C5">
        <w:rPr>
          <w:rFonts w:ascii="Times New Roman" w:hAnsi="Times New Roman"/>
        </w:rPr>
        <w:t>Cumplimiento de las orientaciones de la COP</w:t>
      </w:r>
      <w:bookmarkEnd w:id="6"/>
      <w:r w:rsidRPr="005434C5">
        <w:rPr>
          <w:rFonts w:ascii="Times New Roman" w:hAnsi="Times New Roman"/>
        </w:rPr>
        <w:t xml:space="preserve"> </w:t>
      </w:r>
    </w:p>
    <w:p w14:paraId="37D8D218" w14:textId="374ACF31" w:rsidR="00FA2137" w:rsidRPr="0044332E" w:rsidRDefault="00FA2137" w:rsidP="001C209B">
      <w:pPr>
        <w:pStyle w:val="CBDNormalNumber"/>
        <w:numPr>
          <w:ilvl w:val="0"/>
          <w:numId w:val="9"/>
        </w:numPr>
      </w:pPr>
      <w:r w:rsidRPr="0044332E">
        <w:t xml:space="preserve">La relación entre el FMAM y la COP se basa en un Memorando de Entendimiento y en el Instrumento Constitutivo del Fondo para el Medio Ambiente Mundial Reestructurado (Instrumento). En esta sección se analiza la ejecución del Memorando de Entendimiento y del Instrumento, así como el grado de cumplimiento de las orientaciones de la COP por parte de las actividades del FMAM. </w:t>
      </w:r>
    </w:p>
    <w:p w14:paraId="1400B465" w14:textId="1EE2FD5B" w:rsidR="00FA2137" w:rsidRPr="0044332E" w:rsidRDefault="00FA2137" w:rsidP="001C209B">
      <w:pPr>
        <w:pStyle w:val="CBDNormalNumber"/>
        <w:numPr>
          <w:ilvl w:val="0"/>
          <w:numId w:val="9"/>
        </w:numPr>
      </w:pPr>
      <w:r w:rsidRPr="0044332E">
        <w:t xml:space="preserve">En lo que respecta a la ejecución del Memorando de Entendimiento, la COP ha cumplido en gran medida sus obligaciones en materia de orientación. No obstante, existen áreas susceptibles de mejora. La principal área que </w:t>
      </w:r>
      <w:r w:rsidR="00D33227">
        <w:t>se debería mejorar</w:t>
      </w:r>
      <w:r w:rsidRPr="0044332E">
        <w:t xml:space="preserve"> es una mayor priorización estratégica de los elementos en los que debe centrarse el FMAM. Por ejemplo, la orientación anterior refundida de la COP 15 también establece prioridades programáticas en relación con los artículos del CDB, pero no las clasifica por orden de importancia. Como se observó en el Cuarto Examen, la falta de priorización del CDB puede dar lugar a la fragmentación de los limitados recursos del FMAM y al logro de un efecto limitado en muchas áreas, en lugar de un efecto concentrado en unas pocas áreas. La COP de la Convención Marco de las Naciones Unidas sobre el Cambio Climático (</w:t>
      </w:r>
      <w:proofErr w:type="spellStart"/>
      <w:r w:rsidRPr="0044332E">
        <w:t>CMNUCC</w:t>
      </w:r>
      <w:proofErr w:type="spellEnd"/>
      <w:r w:rsidRPr="0044332E">
        <w:t xml:space="preserve">) ha creado un Comité Permanente de Finanzas para i) mejorar la coherencia y la coordinación en el suministro de financiación para el cambio climático; ii) racionalizar el mecanismo financiero; iii) movilizar recursos financieros y iv) medir, presentar informes y verificar el apoyo prestado a las Partes que son países en desarrollo. La COP de la </w:t>
      </w:r>
      <w:proofErr w:type="spellStart"/>
      <w:r w:rsidRPr="0044332E">
        <w:t>CMNUCC</w:t>
      </w:r>
      <w:proofErr w:type="spellEnd"/>
      <w:r w:rsidRPr="0044332E">
        <w:t xml:space="preserve"> considera que esto ha mejorado la calidad de la orientación. </w:t>
      </w:r>
      <w:r w:rsidR="001F43D8">
        <w:t>Sería conveniente</w:t>
      </w:r>
      <w:r w:rsidRPr="0044332E">
        <w:t xml:space="preserve"> reconsiderar la creación de un comité similar para el CDB</w:t>
      </w:r>
      <w:r w:rsidR="000F30D8" w:rsidRPr="0044332E">
        <w:rPr>
          <w:rStyle w:val="FootnoteReference"/>
          <w:rFonts w:cs="Calibri"/>
        </w:rPr>
        <w:footnoteReference w:id="13"/>
      </w:r>
      <w:r w:rsidRPr="0044332E">
        <w:t xml:space="preserve">. </w:t>
      </w:r>
    </w:p>
    <w:p w14:paraId="7A1539B7" w14:textId="3725EAE9" w:rsidR="00FA2137" w:rsidRPr="001106B7" w:rsidRDefault="00FA2137" w:rsidP="001C209B">
      <w:pPr>
        <w:pStyle w:val="CBDNormalNumber"/>
        <w:numPr>
          <w:ilvl w:val="0"/>
          <w:numId w:val="9"/>
        </w:numPr>
      </w:pPr>
      <w:r w:rsidRPr="005434C5">
        <w:t>El FMAM se ha ajustado en gran medida a las orientaciones de la COP en la implementación de las metas y objetivos para el área focal de biodiversidad</w:t>
      </w:r>
      <w:r w:rsidRPr="001106B7">
        <w:t xml:space="preserve">. Un aspecto clave es la rápida puesta en marcha del Fondo para el Marco Mundial de Biodiversidad tras la COP 15. </w:t>
      </w:r>
    </w:p>
    <w:p w14:paraId="1B541612" w14:textId="7A58E33D" w:rsidR="00FA2137" w:rsidRPr="001106B7" w:rsidRDefault="00FA2137" w:rsidP="001C209B">
      <w:pPr>
        <w:pStyle w:val="CBDNormalNumber"/>
        <w:numPr>
          <w:ilvl w:val="0"/>
          <w:numId w:val="9"/>
        </w:numPr>
      </w:pPr>
      <w:r w:rsidRPr="001106B7">
        <w:t xml:space="preserve">Es posible intensificar los esfuerzos para garantizar que las normas de presentación de informes se ajusten a los requisitos del Memorando de Entendimiento. Esto incluye información sobre proyectos en el área de la diversidad biológica financiados por el FMAM fuera del CDB, y sobre cómo ha respondido el FMAM a la evaluación de necesidades realizada por la COP, para que ésta pueda desarrollar una orientación más eficaz. </w:t>
      </w:r>
    </w:p>
    <w:p w14:paraId="03DF7C4C" w14:textId="3F12821D" w:rsidR="00FA2137" w:rsidRPr="005434C5" w:rsidRDefault="00FA2137" w:rsidP="00555AEE">
      <w:pPr>
        <w:pStyle w:val="Heading2"/>
        <w:rPr>
          <w:rFonts w:ascii="Times New Roman" w:hAnsi="Times New Roman"/>
        </w:rPr>
      </w:pPr>
      <w:bookmarkStart w:id="7" w:name="_Toc177047026"/>
      <w:r w:rsidRPr="005434C5">
        <w:rPr>
          <w:rFonts w:ascii="Times New Roman" w:hAnsi="Times New Roman"/>
        </w:rPr>
        <w:t>Función en la movilización de recursos</w:t>
      </w:r>
      <w:bookmarkEnd w:id="7"/>
      <w:r w:rsidRPr="005434C5">
        <w:rPr>
          <w:rFonts w:ascii="Times New Roman" w:hAnsi="Times New Roman"/>
        </w:rPr>
        <w:t xml:space="preserve"> </w:t>
      </w:r>
    </w:p>
    <w:p w14:paraId="2FB0153A" w14:textId="77777777" w:rsidR="00FA2137" w:rsidRPr="00A4523A" w:rsidRDefault="00FA2137" w:rsidP="001C209B">
      <w:pPr>
        <w:pStyle w:val="CBDNormalNumber"/>
        <w:numPr>
          <w:ilvl w:val="0"/>
          <w:numId w:val="9"/>
        </w:numPr>
      </w:pPr>
      <w:r w:rsidRPr="00A4523A">
        <w:t xml:space="preserve">En la sección relativa a la movilización de recursos se analiza la eficacia del FMAM para i) suministrar y movilizar recursos financieros para que todas las Partes que sean países receptores puedan sufragar íntegramente los costos incrementales convenidos que entrañe la aplicación de medidas, teniendo en cuenta la necesidad de contar con fondos previsibles, oportunos y suficientes, y ii) movilizar fondos nuevos y adicionales. </w:t>
      </w:r>
    </w:p>
    <w:p w14:paraId="112B0C98" w14:textId="33440434" w:rsidR="00FA2137" w:rsidRPr="00A4523A" w:rsidRDefault="00FA2137" w:rsidP="001C209B">
      <w:pPr>
        <w:pStyle w:val="CBDNormalNumber"/>
        <w:numPr>
          <w:ilvl w:val="0"/>
          <w:numId w:val="9"/>
        </w:numPr>
      </w:pPr>
      <w:r w:rsidRPr="00A4523A">
        <w:t>Los recursos del mecanismo financiero se proporcionan de forma relativamente previsible gracias a la implementación del Sistema para la Asignación Transparente de Recursos (</w:t>
      </w:r>
      <w:proofErr w:type="spellStart"/>
      <w:r w:rsidRPr="00A4523A">
        <w:t>STAR</w:t>
      </w:r>
      <w:proofErr w:type="spellEnd"/>
      <w:r w:rsidRPr="00A4523A">
        <w:t xml:space="preserve">). Es demasiado pronto para saber si el hecho de no aplicar la asignación </w:t>
      </w:r>
      <w:proofErr w:type="spellStart"/>
      <w:r w:rsidRPr="00A4523A">
        <w:t>STAR</w:t>
      </w:r>
      <w:proofErr w:type="spellEnd"/>
      <w:r w:rsidRPr="00A4523A">
        <w:t xml:space="preserve"> al Fondo para el Marco Mundial de Biodiversidad afectará a la previsibilidad de este Mecanismo.</w:t>
      </w:r>
    </w:p>
    <w:p w14:paraId="3B8ED160" w14:textId="15F62106" w:rsidR="00FA2137" w:rsidRPr="00E32E6B" w:rsidRDefault="00FA2137" w:rsidP="001C209B">
      <w:pPr>
        <w:pStyle w:val="CBDNormalNumber"/>
        <w:numPr>
          <w:ilvl w:val="0"/>
          <w:numId w:val="9"/>
        </w:numPr>
      </w:pPr>
      <w:r w:rsidRPr="00E32E6B">
        <w:t xml:space="preserve">Se han realizado mejoras en cuanto a la puntualidad de los desembolsos de fondos a los países que reúnen las condiciones. Entre el FMAM-6 y el FMAM-8, el área focal de biodiversidad recibió entre el 29,2% y el 36% del total de recursos del área focal. En términos de cifras absolutas, los recursos totales asignados al área focal de biodiversidad también tendieron al alza junto con las demás áreas focales, salvo la del cambio climático, que ha experimentado un descenso tanto en </w:t>
      </w:r>
      <w:r w:rsidR="00966771">
        <w:t xml:space="preserve">la </w:t>
      </w:r>
      <w:r w:rsidRPr="00E32E6B">
        <w:t xml:space="preserve">proporción como en </w:t>
      </w:r>
      <w:r w:rsidR="00966771">
        <w:t xml:space="preserve">el </w:t>
      </w:r>
      <w:r w:rsidRPr="00E32E6B">
        <w:t>valor de la financiación desde el FMAM-5.</w:t>
      </w:r>
    </w:p>
    <w:p w14:paraId="71032584" w14:textId="53621A27" w:rsidR="00FA2137" w:rsidRPr="00E32E6B" w:rsidRDefault="00FA2137" w:rsidP="001C209B">
      <w:pPr>
        <w:pStyle w:val="CBDNormalNumber"/>
        <w:numPr>
          <w:ilvl w:val="0"/>
          <w:numId w:val="9"/>
        </w:numPr>
      </w:pPr>
      <w:r w:rsidRPr="00E32E6B">
        <w:t>El FMAM está en proceso de racionalizar su ciclo de proyectos, lo que probablemente repercutirá positivamente en el desembolso oportuno de los fondos.</w:t>
      </w:r>
    </w:p>
    <w:p w14:paraId="20C32A66" w14:textId="70EF57FD" w:rsidR="00FA2137" w:rsidRPr="005434C5" w:rsidRDefault="00FA2137" w:rsidP="001C209B">
      <w:pPr>
        <w:pStyle w:val="CBDNormalNumber"/>
        <w:numPr>
          <w:ilvl w:val="0"/>
          <w:numId w:val="9"/>
        </w:numPr>
        <w:rPr>
          <w:rFonts w:eastAsia="Times New Roman"/>
          <w:snapToGrid w:val="0"/>
          <w:kern w:val="22"/>
        </w:rPr>
      </w:pPr>
      <w:r w:rsidRPr="005434C5">
        <w:t xml:space="preserve">En lo que respecta a la movilización de recursos financieros nuevos y adicionales, el </w:t>
      </w:r>
      <w:r w:rsidR="00B115E2">
        <w:t>a</w:t>
      </w:r>
      <w:r w:rsidRPr="005434C5">
        <w:t>rtículo 21.1 del CDB alienta las contribuciones voluntarias para el suministro de recursos financieros a los países en desarrollo por las Partes que son países desarrollados, otros países y otras fuentes.</w:t>
      </w:r>
      <w:r w:rsidRPr="005434C5">
        <w:rPr>
          <w:snapToGrid w:val="0"/>
        </w:rPr>
        <w:t xml:space="preserve"> La necesidad de catalizar financiación adicional se ha puesto de relieve en cada COP desde la COP11. </w:t>
      </w:r>
    </w:p>
    <w:p w14:paraId="7A3E3ED4" w14:textId="190BBD73" w:rsidR="00FA2137" w:rsidRPr="005434C5" w:rsidRDefault="00FA2137" w:rsidP="001C209B">
      <w:pPr>
        <w:pStyle w:val="CBDNormalNumber"/>
        <w:numPr>
          <w:ilvl w:val="0"/>
          <w:numId w:val="9"/>
        </w:numPr>
        <w:rPr>
          <w:rFonts w:eastAsia="Times New Roman"/>
          <w:snapToGrid w:val="0"/>
          <w:kern w:val="22"/>
        </w:rPr>
      </w:pPr>
      <w:r w:rsidRPr="005434C5">
        <w:rPr>
          <w:snapToGrid w:val="0"/>
        </w:rPr>
        <w:t>Para el FMAM, la cofinanciación es una fuente de financiación adicional importante para aumentar los recursos destinados a las actividades financiadas: es obligatoria para todos los proyectos ordinarios (</w:t>
      </w:r>
      <w:proofErr w:type="spellStart"/>
      <w:r w:rsidRPr="005434C5">
        <w:rPr>
          <w:snapToGrid w:val="0"/>
        </w:rPr>
        <w:t>FSP</w:t>
      </w:r>
      <w:proofErr w:type="spellEnd"/>
      <w:r w:rsidRPr="005434C5">
        <w:rPr>
          <w:snapToGrid w:val="0"/>
        </w:rPr>
        <w:t>, por sus siglas en inglés), proyectos medianos (</w:t>
      </w:r>
      <w:proofErr w:type="spellStart"/>
      <w:r w:rsidRPr="005434C5">
        <w:rPr>
          <w:snapToGrid w:val="0"/>
        </w:rPr>
        <w:t>MSP</w:t>
      </w:r>
      <w:proofErr w:type="spellEnd"/>
      <w:r w:rsidRPr="005434C5">
        <w:rPr>
          <w:snapToGrid w:val="0"/>
        </w:rPr>
        <w:t xml:space="preserve">, por sus siglas en inglés) y programas financiados por el FMAM. Entre el FMAM-6 y el FMAM-8, la relación entre dólares del FMAM y cofinanciación aumentó de 6,30 dólares </w:t>
      </w:r>
      <w:r w:rsidR="00ED61B5">
        <w:rPr>
          <w:snapToGrid w:val="0"/>
        </w:rPr>
        <w:t>estadounidenses</w:t>
      </w:r>
      <w:r w:rsidRPr="005434C5">
        <w:rPr>
          <w:snapToGrid w:val="0"/>
        </w:rPr>
        <w:t xml:space="preserve"> movilizados por cada dólar invertido a 8,2 dólares </w:t>
      </w:r>
      <w:r w:rsidR="00ED61B5">
        <w:rPr>
          <w:snapToGrid w:val="0"/>
        </w:rPr>
        <w:t>estadounidenses</w:t>
      </w:r>
      <w:r w:rsidR="00ED61B5" w:rsidRPr="005434C5">
        <w:rPr>
          <w:snapToGrid w:val="0"/>
        </w:rPr>
        <w:t xml:space="preserve"> </w:t>
      </w:r>
      <w:r w:rsidRPr="005434C5">
        <w:rPr>
          <w:snapToGrid w:val="0"/>
        </w:rPr>
        <w:t xml:space="preserve">para el área focal de biodiversidad. </w:t>
      </w:r>
    </w:p>
    <w:p w14:paraId="50A586CC" w14:textId="27EDD7FA" w:rsidR="00CB130E" w:rsidRPr="005434C5" w:rsidRDefault="00CB130E" w:rsidP="001C209B">
      <w:pPr>
        <w:pStyle w:val="CBDNormalNumber"/>
        <w:numPr>
          <w:ilvl w:val="0"/>
          <w:numId w:val="9"/>
        </w:numPr>
        <w:rPr>
          <w:rFonts w:eastAsia="Times New Roman"/>
          <w:snapToGrid w:val="0"/>
          <w:kern w:val="22"/>
        </w:rPr>
      </w:pPr>
      <w:r w:rsidRPr="005434C5">
        <w:rPr>
          <w:snapToGrid w:val="0"/>
        </w:rPr>
        <w:t>A través de diversos proyectos y programas, el Fondo Verde para el Clima (</w:t>
      </w:r>
      <w:proofErr w:type="spellStart"/>
      <w:r w:rsidRPr="005434C5">
        <w:rPr>
          <w:snapToGrid w:val="0"/>
        </w:rPr>
        <w:t>FVC</w:t>
      </w:r>
      <w:proofErr w:type="spellEnd"/>
      <w:r w:rsidRPr="005434C5">
        <w:rPr>
          <w:snapToGrid w:val="0"/>
        </w:rPr>
        <w:t xml:space="preserve">) proporciona un apoyo considerable que también contribuye directamente a la aplicación del Convenio. De sus 270 proyectos, más de 100 proyectos con una inversión mayor a 5.000 millones de dólares </w:t>
      </w:r>
      <w:r w:rsidR="00ED61B5">
        <w:rPr>
          <w:snapToGrid w:val="0"/>
        </w:rPr>
        <w:t>estadounidenses</w:t>
      </w:r>
      <w:r w:rsidR="00ED61B5" w:rsidRPr="005434C5">
        <w:rPr>
          <w:snapToGrid w:val="0"/>
        </w:rPr>
        <w:t xml:space="preserve"> </w:t>
      </w:r>
      <w:r w:rsidRPr="005434C5">
        <w:rPr>
          <w:snapToGrid w:val="0"/>
        </w:rPr>
        <w:t xml:space="preserve">de fondos del </w:t>
      </w:r>
      <w:proofErr w:type="spellStart"/>
      <w:r w:rsidRPr="005434C5">
        <w:rPr>
          <w:snapToGrid w:val="0"/>
        </w:rPr>
        <w:t>FVC</w:t>
      </w:r>
      <w:proofErr w:type="spellEnd"/>
      <w:r w:rsidRPr="005434C5">
        <w:rPr>
          <w:snapToGrid w:val="0"/>
        </w:rPr>
        <w:t xml:space="preserve"> y otros 7.000 millones de dólares </w:t>
      </w:r>
      <w:r w:rsidR="00ED61B5">
        <w:rPr>
          <w:snapToGrid w:val="0"/>
        </w:rPr>
        <w:t>estadounidenses</w:t>
      </w:r>
      <w:r w:rsidR="00ED61B5" w:rsidRPr="005434C5">
        <w:rPr>
          <w:snapToGrid w:val="0"/>
        </w:rPr>
        <w:t xml:space="preserve"> </w:t>
      </w:r>
      <w:r w:rsidRPr="005434C5">
        <w:rPr>
          <w:snapToGrid w:val="0"/>
        </w:rPr>
        <w:t xml:space="preserve">de cofinanciación apoyan actividades que también aplican el Convenio. Sus principales actividades habilitantes (el Programa de Apoyo a la Preparación) aportarán hasta 600 millones de dólares </w:t>
      </w:r>
      <w:r w:rsidR="00ED61B5">
        <w:rPr>
          <w:snapToGrid w:val="0"/>
        </w:rPr>
        <w:t>estadounidenses</w:t>
      </w:r>
      <w:r w:rsidR="00ED61B5" w:rsidRPr="005434C5">
        <w:rPr>
          <w:snapToGrid w:val="0"/>
        </w:rPr>
        <w:t xml:space="preserve"> </w:t>
      </w:r>
      <w:r w:rsidRPr="005434C5">
        <w:rPr>
          <w:snapToGrid w:val="0"/>
        </w:rPr>
        <w:t xml:space="preserve">a más de 140 países en los próximos cuatro años, y debido a la naturaleza interconectada de los objetivos del Convenio y la </w:t>
      </w:r>
      <w:proofErr w:type="spellStart"/>
      <w:r w:rsidRPr="005434C5">
        <w:rPr>
          <w:snapToGrid w:val="0"/>
        </w:rPr>
        <w:t>CMNUCC</w:t>
      </w:r>
      <w:proofErr w:type="spellEnd"/>
      <w:r w:rsidRPr="005434C5">
        <w:rPr>
          <w:snapToGrid w:val="0"/>
        </w:rPr>
        <w:t xml:space="preserve">, también podrían apoyar la aplicación del CDB y la implementación de las EPANB como contribución a la lucha contra el cambio climático. Cuentan con más de 130 Entidades Acreditadas y más de 100 organizaciones adicionales en proceso de acreditación, lo que aporta importantes lecciones para el acceso del mecanismo financiero y el FMAM. El </w:t>
      </w:r>
      <w:r w:rsidR="00B115E2">
        <w:rPr>
          <w:snapToGrid w:val="0"/>
        </w:rPr>
        <w:t>a</w:t>
      </w:r>
      <w:r w:rsidRPr="005434C5">
        <w:rPr>
          <w:snapToGrid w:val="0"/>
        </w:rPr>
        <w:t xml:space="preserve">rtículo 20.3 establece que las Partes podrán </w:t>
      </w:r>
      <w:r w:rsidR="00A97D26">
        <w:rPr>
          <w:snapToGrid w:val="0"/>
        </w:rPr>
        <w:t>aportar</w:t>
      </w:r>
      <w:r w:rsidRPr="005434C5">
        <w:rPr>
          <w:snapToGrid w:val="0"/>
        </w:rPr>
        <w:t xml:space="preserve"> recursos financieros relacionados con la aplicación del presente Convenio por conducto de otros canales multilaterales. Por lo tanto, es conveniente estudiar con el Fondo Verde para el Clima la forma de fortalecer la colaboración para que su apoyo a la diversidad biológica y a la aplicación del Convenio pueda incluirse mejor en la labor del mecanismo financiero.</w:t>
      </w:r>
    </w:p>
    <w:p w14:paraId="40FD3890" w14:textId="705C934C" w:rsidR="00FA2137" w:rsidRPr="00384D70" w:rsidRDefault="00FA2137" w:rsidP="001C209B">
      <w:pPr>
        <w:pStyle w:val="CBDNormalNumber"/>
        <w:numPr>
          <w:ilvl w:val="0"/>
          <w:numId w:val="9"/>
        </w:numPr>
      </w:pPr>
      <w:r w:rsidRPr="005434C5">
        <w:t>Es posible intensificar los esfuerzos para garantizar que los fondos se desembols</w:t>
      </w:r>
      <w:r w:rsidR="00B62CDD">
        <w:t>e</w:t>
      </w:r>
      <w:r w:rsidRPr="005434C5">
        <w:t>n de manera oportuna y para mejorar la suficiencia de los fondos, fomentando las contribuciones voluntarias de las Partes pertinentes y explorando otras vías de financiación para subsanar el déficit de financiación de la diversidad biológica, por ejemplo, a través del sector privado y la filantropía.</w:t>
      </w:r>
      <w:r w:rsidRPr="005434C5">
        <w:rPr>
          <w:sz w:val="23"/>
          <w:szCs w:val="23"/>
        </w:rPr>
        <w:t xml:space="preserve"> </w:t>
      </w:r>
      <w:r w:rsidRPr="00384D70">
        <w:t>Hasta ahora, en cuanto a las inversiones reales en comparación con las inversiones en especie movilizadas como cofinanciación, los fondos procedentes del sector privado son inferiores a los de los organismos del FMAM y los gobiernos receptores.</w:t>
      </w:r>
    </w:p>
    <w:p w14:paraId="4D6FB55E" w14:textId="6369043A" w:rsidR="00FA2137" w:rsidRPr="002A1746" w:rsidRDefault="00FA2137" w:rsidP="001C209B">
      <w:pPr>
        <w:pStyle w:val="CBDNormalNumber"/>
        <w:numPr>
          <w:ilvl w:val="0"/>
          <w:numId w:val="9"/>
        </w:numPr>
      </w:pPr>
      <w:r w:rsidRPr="002A1746">
        <w:t>La necesidad de movilizar fondos de otras fuentes es especialmente importante, ya que las áreas que necesitan mayores recursos, como los países menos adelantados y pequeños Estados insulares en desarrollo, generan menores niveles de cofinanciación.</w:t>
      </w:r>
    </w:p>
    <w:p w14:paraId="518DB4CF" w14:textId="40503711" w:rsidR="00FA2137" w:rsidRPr="00E86EE0" w:rsidRDefault="00FA2137" w:rsidP="00E86EE0">
      <w:pPr>
        <w:pStyle w:val="Caption"/>
      </w:pPr>
      <w:r w:rsidRPr="00E86EE0">
        <w:t>Etapa de cofinanciación del FMAM</w:t>
      </w:r>
    </w:p>
    <w:tbl>
      <w:tblPr>
        <w:tblStyle w:val="TableGrid"/>
        <w:tblW w:w="0" w:type="auto"/>
        <w:tblLook w:val="04A0" w:firstRow="1" w:lastRow="0" w:firstColumn="1" w:lastColumn="0" w:noHBand="0" w:noVBand="1"/>
      </w:tblPr>
      <w:tblGrid>
        <w:gridCol w:w="3806"/>
        <w:gridCol w:w="1848"/>
        <w:gridCol w:w="1848"/>
        <w:gridCol w:w="1848"/>
      </w:tblGrid>
      <w:tr w:rsidR="00FA2137" w:rsidRPr="003E564B" w14:paraId="60DACF53" w14:textId="77777777" w:rsidTr="000F30D8">
        <w:tc>
          <w:tcPr>
            <w:tcW w:w="3806" w:type="dxa"/>
          </w:tcPr>
          <w:p w14:paraId="445E44FD" w14:textId="77777777" w:rsidR="00FA2137" w:rsidRPr="003E564B" w:rsidRDefault="00FA2137" w:rsidP="00555AEE">
            <w:pPr>
              <w:spacing w:before="120" w:after="120"/>
              <w:rPr>
                <w:i/>
                <w:iCs/>
              </w:rPr>
            </w:pPr>
          </w:p>
        </w:tc>
        <w:tc>
          <w:tcPr>
            <w:tcW w:w="1848" w:type="dxa"/>
          </w:tcPr>
          <w:p w14:paraId="6F8964F1" w14:textId="77777777" w:rsidR="00FA2137" w:rsidRPr="003E564B" w:rsidRDefault="00FA2137" w:rsidP="00555AEE">
            <w:pPr>
              <w:spacing w:before="120" w:after="120"/>
              <w:jc w:val="center"/>
              <w:rPr>
                <w:i/>
                <w:iCs/>
              </w:rPr>
            </w:pPr>
            <w:r w:rsidRPr="003E564B">
              <w:rPr>
                <w:i/>
                <w:iCs/>
              </w:rPr>
              <w:t>FMAM-6</w:t>
            </w:r>
          </w:p>
        </w:tc>
        <w:tc>
          <w:tcPr>
            <w:tcW w:w="1848" w:type="dxa"/>
          </w:tcPr>
          <w:p w14:paraId="04F252E3" w14:textId="77777777" w:rsidR="00FA2137" w:rsidRPr="003E564B" w:rsidRDefault="00FA2137" w:rsidP="00555AEE">
            <w:pPr>
              <w:spacing w:before="120" w:after="120"/>
              <w:jc w:val="center"/>
              <w:rPr>
                <w:i/>
                <w:iCs/>
              </w:rPr>
            </w:pPr>
            <w:r w:rsidRPr="003E564B">
              <w:rPr>
                <w:i/>
                <w:iCs/>
              </w:rPr>
              <w:t>FMAM-7</w:t>
            </w:r>
          </w:p>
        </w:tc>
        <w:tc>
          <w:tcPr>
            <w:tcW w:w="1848" w:type="dxa"/>
          </w:tcPr>
          <w:p w14:paraId="5F628024" w14:textId="77777777" w:rsidR="00FA2137" w:rsidRPr="003E564B" w:rsidRDefault="00FA2137" w:rsidP="00555AEE">
            <w:pPr>
              <w:spacing w:before="120" w:after="120"/>
              <w:jc w:val="center"/>
              <w:rPr>
                <w:i/>
                <w:iCs/>
              </w:rPr>
            </w:pPr>
            <w:r w:rsidRPr="003E564B">
              <w:rPr>
                <w:i/>
                <w:iCs/>
              </w:rPr>
              <w:t>FMAM-8</w:t>
            </w:r>
          </w:p>
        </w:tc>
      </w:tr>
      <w:tr w:rsidR="00FA2137" w:rsidRPr="003E564B" w14:paraId="0A488514" w14:textId="77777777" w:rsidTr="000F30D8">
        <w:tc>
          <w:tcPr>
            <w:tcW w:w="3806" w:type="dxa"/>
          </w:tcPr>
          <w:p w14:paraId="455092B8" w14:textId="157E6819" w:rsidR="00FA2137" w:rsidRPr="003E564B" w:rsidRDefault="00FA2137" w:rsidP="00730189">
            <w:pPr>
              <w:spacing w:before="120" w:after="120"/>
              <w:rPr>
                <w:b/>
                <w:bCs/>
              </w:rPr>
            </w:pPr>
            <w:r w:rsidRPr="003E564B">
              <w:rPr>
                <w:b/>
                <w:bCs/>
              </w:rPr>
              <w:t xml:space="preserve">Coeficiente de cofinanciación </w:t>
            </w:r>
            <w:r w:rsidR="00730189" w:rsidRPr="003E564B">
              <w:rPr>
                <w:b/>
                <w:bCs/>
              </w:rPr>
              <w:t xml:space="preserve">general </w:t>
            </w:r>
            <w:r w:rsidRPr="003E564B">
              <w:rPr>
                <w:b/>
                <w:bCs/>
              </w:rPr>
              <w:t xml:space="preserve">(X:1) </w:t>
            </w:r>
          </w:p>
        </w:tc>
        <w:tc>
          <w:tcPr>
            <w:tcW w:w="1848" w:type="dxa"/>
          </w:tcPr>
          <w:p w14:paraId="3F198871" w14:textId="77777777" w:rsidR="00FA2137" w:rsidRPr="003E564B" w:rsidRDefault="00FA2137" w:rsidP="00555AEE">
            <w:pPr>
              <w:spacing w:before="120" w:after="120"/>
              <w:ind w:right="790"/>
              <w:jc w:val="right"/>
            </w:pPr>
            <w:r w:rsidRPr="003E564B">
              <w:t>7.7</w:t>
            </w:r>
          </w:p>
        </w:tc>
        <w:tc>
          <w:tcPr>
            <w:tcW w:w="1848" w:type="dxa"/>
          </w:tcPr>
          <w:p w14:paraId="51942A98" w14:textId="77777777" w:rsidR="00FA2137" w:rsidRPr="003E564B" w:rsidRDefault="00FA2137" w:rsidP="00555AEE">
            <w:pPr>
              <w:spacing w:before="120" w:after="120"/>
              <w:ind w:right="790"/>
              <w:jc w:val="right"/>
            </w:pPr>
            <w:r w:rsidRPr="003E564B">
              <w:t>7.4</w:t>
            </w:r>
          </w:p>
        </w:tc>
        <w:tc>
          <w:tcPr>
            <w:tcW w:w="1848" w:type="dxa"/>
          </w:tcPr>
          <w:p w14:paraId="3C32F75D" w14:textId="77777777" w:rsidR="00FA2137" w:rsidRPr="003E564B" w:rsidRDefault="00FA2137" w:rsidP="00555AEE">
            <w:pPr>
              <w:spacing w:before="120" w:after="120"/>
              <w:ind w:right="790"/>
              <w:jc w:val="right"/>
            </w:pPr>
            <w:r w:rsidRPr="003E564B">
              <w:t>8.3</w:t>
            </w:r>
          </w:p>
        </w:tc>
      </w:tr>
      <w:tr w:rsidR="00FA2137" w:rsidRPr="003E564B" w14:paraId="1B09CE92" w14:textId="77777777" w:rsidTr="000F30D8">
        <w:tc>
          <w:tcPr>
            <w:tcW w:w="3806" w:type="dxa"/>
          </w:tcPr>
          <w:p w14:paraId="1B25FF06" w14:textId="239EC1EF" w:rsidR="00FA2137" w:rsidRPr="003E564B" w:rsidRDefault="00FA2137" w:rsidP="00555AEE">
            <w:pPr>
              <w:spacing w:before="120" w:after="120"/>
              <w:rPr>
                <w:b/>
                <w:bCs/>
              </w:rPr>
            </w:pPr>
            <w:r w:rsidRPr="003E564B">
              <w:rPr>
                <w:b/>
                <w:bCs/>
              </w:rPr>
              <w:t xml:space="preserve">Coeficiente de cofinanciación para el </w:t>
            </w:r>
            <w:r w:rsidR="00721C78" w:rsidRPr="003E564B">
              <w:rPr>
                <w:b/>
                <w:bCs/>
              </w:rPr>
              <w:t xml:space="preserve">Área Focal </w:t>
            </w:r>
            <w:r w:rsidRPr="003E564B">
              <w:rPr>
                <w:b/>
                <w:bCs/>
              </w:rPr>
              <w:t xml:space="preserve">de </w:t>
            </w:r>
            <w:r w:rsidR="00721C78" w:rsidRPr="003E564B">
              <w:rPr>
                <w:b/>
                <w:bCs/>
              </w:rPr>
              <w:t>Biodiversidad</w:t>
            </w:r>
          </w:p>
        </w:tc>
        <w:tc>
          <w:tcPr>
            <w:tcW w:w="1848" w:type="dxa"/>
          </w:tcPr>
          <w:p w14:paraId="1BB549D8" w14:textId="77777777" w:rsidR="00FA2137" w:rsidRPr="003E564B" w:rsidRDefault="00FA2137" w:rsidP="00555AEE">
            <w:pPr>
              <w:spacing w:before="120" w:after="120"/>
              <w:ind w:right="790"/>
              <w:jc w:val="right"/>
            </w:pPr>
            <w:r w:rsidRPr="003E564B">
              <w:t>6.3</w:t>
            </w:r>
          </w:p>
        </w:tc>
        <w:tc>
          <w:tcPr>
            <w:tcW w:w="1848" w:type="dxa"/>
          </w:tcPr>
          <w:p w14:paraId="14DEB3F2" w14:textId="77777777" w:rsidR="00FA2137" w:rsidRPr="003E564B" w:rsidRDefault="00FA2137" w:rsidP="00555AEE">
            <w:pPr>
              <w:spacing w:before="120" w:after="120"/>
              <w:ind w:right="790"/>
              <w:jc w:val="right"/>
            </w:pPr>
            <w:r w:rsidRPr="003E564B">
              <w:t>7.9</w:t>
            </w:r>
          </w:p>
        </w:tc>
        <w:tc>
          <w:tcPr>
            <w:tcW w:w="1848" w:type="dxa"/>
          </w:tcPr>
          <w:p w14:paraId="3EAA018A" w14:textId="77777777" w:rsidR="00FA2137" w:rsidRPr="003E564B" w:rsidRDefault="00FA2137" w:rsidP="00555AEE">
            <w:pPr>
              <w:spacing w:before="120" w:after="120"/>
              <w:ind w:right="790"/>
              <w:jc w:val="right"/>
            </w:pPr>
            <w:r w:rsidRPr="003E564B">
              <w:t>8.2</w:t>
            </w:r>
          </w:p>
        </w:tc>
      </w:tr>
    </w:tbl>
    <w:p w14:paraId="62467CCC" w14:textId="77777777" w:rsidR="00FA2137" w:rsidRPr="00452AE5" w:rsidRDefault="00FA2137" w:rsidP="00555AEE">
      <w:pPr>
        <w:spacing w:before="120" w:after="120"/>
        <w:rPr>
          <w:i/>
          <w:iCs/>
        </w:rPr>
      </w:pPr>
      <w:r w:rsidRPr="00452AE5">
        <w:rPr>
          <w:i/>
          <w:iCs/>
        </w:rPr>
        <w:t>Fuente: Portal del FMAM al 24 de junio de 2024</w:t>
      </w:r>
    </w:p>
    <w:p w14:paraId="452E7C12" w14:textId="62E40794" w:rsidR="00FA2137" w:rsidRPr="00186439" w:rsidRDefault="00FA2137" w:rsidP="001C209B">
      <w:pPr>
        <w:pStyle w:val="CBDNormalNumber"/>
        <w:numPr>
          <w:ilvl w:val="0"/>
          <w:numId w:val="9"/>
        </w:numPr>
      </w:pPr>
      <w:r w:rsidRPr="00186439">
        <w:t>El FMAM desempeña una función crucial en el desarrollo del proceso para alcanzar la meta 19 del Marco Mundial de Biodiversidad en lo referente a la movilización de recursos. En concreto, el objetivo tres de la estrategia del Área Focal de Biodiversidad del FMAM-8 se propone aumentar la movilización de recursos nacionales para la diversidad biológica y apoya a los países en el desarrollo de planes de financiación de la diversidad biológica, y el Área de Acción Cuatro del Fondo para el Marco Mundial de Biodiversidad, que aborda la meta 19, entre otras, y pretende, entre otras cosas, catalizar y diversificar las fuentes de financiación. Sin embargo, al 8 de febrero de 2024, solo los países han contribuido al Fondo para el Marco Mundial de Biodiversidad, lo que pone de manifiesto la continua necesidad de catalizar fuentes de financiación nuevas y adicionales para la biodiversidad. Además, a pesar de la alentadora contribución de un donante (Canadá) en agosto de 2023, las demás contribuciones realizadas han sido escasas y, en general, reducidas.</w:t>
      </w:r>
    </w:p>
    <w:p w14:paraId="235A8FD7" w14:textId="43072580" w:rsidR="00FA2137" w:rsidRPr="005434C5" w:rsidRDefault="00FA2137" w:rsidP="00555AEE">
      <w:pPr>
        <w:pStyle w:val="Heading2"/>
        <w:rPr>
          <w:rFonts w:ascii="Times New Roman" w:hAnsi="Times New Roman"/>
        </w:rPr>
      </w:pPr>
      <w:bookmarkStart w:id="8" w:name="_Toc177047027"/>
      <w:r w:rsidRPr="005434C5">
        <w:rPr>
          <w:rFonts w:ascii="Times New Roman" w:hAnsi="Times New Roman"/>
        </w:rPr>
        <w:t>Eficacia y eficiencia de las actividades financiadas por el FMAM</w:t>
      </w:r>
      <w:bookmarkEnd w:id="8"/>
      <w:r w:rsidRPr="005434C5">
        <w:rPr>
          <w:rFonts w:ascii="Times New Roman" w:hAnsi="Times New Roman"/>
        </w:rPr>
        <w:t xml:space="preserve"> </w:t>
      </w:r>
    </w:p>
    <w:p w14:paraId="644CE1A7" w14:textId="77777777" w:rsidR="00FA2137" w:rsidRPr="005434C5" w:rsidRDefault="00FA2137" w:rsidP="00555AEE">
      <w:pPr>
        <w:pStyle w:val="Heading3"/>
        <w:rPr>
          <w:i/>
        </w:rPr>
      </w:pPr>
      <w:bookmarkStart w:id="9" w:name="_Toc177047028"/>
      <w:r w:rsidRPr="005434C5">
        <w:t>Mejora de las medidas nacionales de implementación</w:t>
      </w:r>
      <w:bookmarkEnd w:id="9"/>
      <w:r w:rsidRPr="005434C5">
        <w:t xml:space="preserve"> </w:t>
      </w:r>
    </w:p>
    <w:p w14:paraId="7479A67F" w14:textId="6FD98822" w:rsidR="00FA2137" w:rsidRPr="008A775E" w:rsidRDefault="00FA2137" w:rsidP="001C209B">
      <w:pPr>
        <w:pStyle w:val="CBDNormalNumber"/>
        <w:numPr>
          <w:ilvl w:val="0"/>
          <w:numId w:val="9"/>
        </w:numPr>
      </w:pPr>
      <w:r w:rsidRPr="008A775E">
        <w:t>En general, el FMAM es eficaz a la hora de catalizar y mejorar las medidas nacionales de aplicación para alcanzar los objetivos del Convenio. Los indicadores del FMAM-7 representan una mayor ambición en diversos sectores de la conservación y utilización sostenible de la diversidad biológica, excepto en lo referente a las pesquerías sobreexplotadas a nivel mundial, en las que se ha producido un descenso del 13% de la meta alcanzada en comparación con la meta anterior del 20%. Para el FMAM-8, a mitad de camino, se han alcanzado las metas relativas a indicadores básicos como la creación o la mejora de la gestión de áreas marinas protegidas, mientras que otras metas, como las emisiones de gases de efecto invernadero mitigadas y las superficies de tierras y ecosistemas en proceso de restauración, están a punto de cumplirse.</w:t>
      </w:r>
    </w:p>
    <w:p w14:paraId="79F54660" w14:textId="2DAF80DD" w:rsidR="00FA2137" w:rsidRPr="008A775E" w:rsidRDefault="00FA2137" w:rsidP="001C209B">
      <w:pPr>
        <w:pStyle w:val="CBDNormalNumber"/>
        <w:numPr>
          <w:ilvl w:val="0"/>
          <w:numId w:val="9"/>
        </w:numPr>
      </w:pPr>
      <w:r w:rsidRPr="008A775E">
        <w:t>Sin embargo, hay margen para mejorar en lo que respecta al refuerzo de las capacidades e infraestructuras locales de los pequeños Estados insulares en desarrollo (</w:t>
      </w:r>
      <w:proofErr w:type="spellStart"/>
      <w:r w:rsidRPr="008A775E">
        <w:t>PEID</w:t>
      </w:r>
      <w:proofErr w:type="spellEnd"/>
      <w:r w:rsidRPr="008A775E">
        <w:t>) y los países menos adelantados (</w:t>
      </w:r>
      <w:proofErr w:type="spellStart"/>
      <w:r w:rsidRPr="008A775E">
        <w:t>PMA</w:t>
      </w:r>
      <w:proofErr w:type="spellEnd"/>
      <w:r w:rsidRPr="008A775E">
        <w:t xml:space="preserve">) para la sostenibilidad a largo plazo de los proyectos. En el caso de los </w:t>
      </w:r>
      <w:proofErr w:type="spellStart"/>
      <w:r w:rsidRPr="008A775E">
        <w:t>PMA</w:t>
      </w:r>
      <w:proofErr w:type="spellEnd"/>
      <w:r w:rsidRPr="008A775E">
        <w:t xml:space="preserve">, el 72% de los proyectos recibieron una calificación satisfactoria en cuanto a resultados, inferior al 80% de la cartera mundial del FMAM. El 46% de los proyectos </w:t>
      </w:r>
      <w:r w:rsidR="007038DD">
        <w:t>en</w:t>
      </w:r>
      <w:r w:rsidRPr="008A775E">
        <w:t xml:space="preserve"> los </w:t>
      </w:r>
      <w:proofErr w:type="spellStart"/>
      <w:r w:rsidRPr="008A775E">
        <w:t>PMA</w:t>
      </w:r>
      <w:proofErr w:type="spellEnd"/>
      <w:r w:rsidRPr="008A775E">
        <w:t xml:space="preserve"> se clasificaron en la categoría de resultados sostenibles probables, por debajo del 63% de la cartera general del FMAM. Los coeficientes inferiores al promedio son preocupantes habida cuenta de la larga e intensa participación del FMAM en los </w:t>
      </w:r>
      <w:proofErr w:type="spellStart"/>
      <w:r w:rsidRPr="008A775E">
        <w:t>PMA</w:t>
      </w:r>
      <w:proofErr w:type="spellEnd"/>
      <w:r w:rsidRPr="008A775E">
        <w:t xml:space="preserve"> y de la importancia de muchos de ellos como zonas críticas para la biodiversidad. En cuanto a los </w:t>
      </w:r>
      <w:proofErr w:type="spellStart"/>
      <w:r w:rsidRPr="008A775E">
        <w:t>PEID</w:t>
      </w:r>
      <w:proofErr w:type="spellEnd"/>
      <w:r w:rsidRPr="008A775E">
        <w:t xml:space="preserve">, en 2018, el 61,40% de los 44 proyectos de biodiversidad tenían calificaciones probables en cuanto a la sostenibilidad y el 81,80% presentaban resultados satisfactorios. </w:t>
      </w:r>
    </w:p>
    <w:p w14:paraId="5199D4F9" w14:textId="348373A9" w:rsidR="00FA2137" w:rsidRPr="008A775E" w:rsidRDefault="00FA2137" w:rsidP="001C209B">
      <w:pPr>
        <w:pStyle w:val="CBDNormalNumber"/>
        <w:numPr>
          <w:ilvl w:val="0"/>
          <w:numId w:val="9"/>
        </w:numPr>
      </w:pPr>
      <w:r w:rsidRPr="008A775E">
        <w:t>Cada vez existe más apoyo para aumentar el acceso directo a los recursos, en particular para los pueblos indígenas y las comunidades locales con el fin de mejorar los resultados de las políticas de biodiversidad. El Programa de Pequeñas Donaciones del PNUD apoya esta propuesta. Los fondos creados recientemente, como el Fondo para el Marco Mundial de Biodiversidad, el Fondo Verde para el Clima (</w:t>
      </w:r>
      <w:proofErr w:type="spellStart"/>
      <w:r w:rsidRPr="008A775E">
        <w:t>FVC</w:t>
      </w:r>
      <w:proofErr w:type="spellEnd"/>
      <w:r w:rsidRPr="008A775E">
        <w:t xml:space="preserve">) y el Fondo de la </w:t>
      </w:r>
      <w:proofErr w:type="spellStart"/>
      <w:r w:rsidRPr="008A775E">
        <w:t>CMNUCC</w:t>
      </w:r>
      <w:proofErr w:type="spellEnd"/>
      <w:r w:rsidRPr="008A775E">
        <w:t xml:space="preserve"> para dar respuesta a las pérdidas y los daños, ponen más énfasis en el acceso intencional o directo que los fondos anteriores. La Secretaría del FMAM, que coordina la formulación y supervisa la ejecución de las actividades de los programas con arreglo al programa de trabajo conjunto, y los Organismos de Ejecución del FMAM, que ayudan a los países a identificar y preparar propuestas de proyectos y luego supervisan la ejecución de los proyectos sobre el terreno, desempeñan una función esencial en la orientación de los proyectos en tramitación y, en consecuencia, de las prioridades de los países que se ponen en práctica. Es necesario redoblar los esfuerzos para garantizar que los proyectos y programas sean realmente impulsados, controlados y dirigidos por los países, lo que implica más enfoques programáticos, propuestas más estrechamente vinculadas a las EPANB y a las orientaciones de la COP, más creación de capacidad para los países receptores y oportunidades para que las organizaciones con sede en los países en desarrollo participen más directamente en el FMAM. En última instancia, la creación de capacidades de todas las Partes que reúnan las condiciones, especialmente los </w:t>
      </w:r>
      <w:proofErr w:type="spellStart"/>
      <w:r w:rsidRPr="008A775E">
        <w:t>PMA</w:t>
      </w:r>
      <w:proofErr w:type="spellEnd"/>
      <w:r w:rsidRPr="008A775E">
        <w:t xml:space="preserve"> y los </w:t>
      </w:r>
      <w:proofErr w:type="spellStart"/>
      <w:r w:rsidRPr="008A775E">
        <w:t>PEID</w:t>
      </w:r>
      <w:proofErr w:type="spellEnd"/>
      <w:r w:rsidRPr="008A775E">
        <w:t>, es importante para el desarrollo sostenible a largo plazo.</w:t>
      </w:r>
    </w:p>
    <w:p w14:paraId="158C374A" w14:textId="5F98AC1C" w:rsidR="00FA2137" w:rsidRPr="00CA5CB9" w:rsidRDefault="00FA2137" w:rsidP="001C209B">
      <w:pPr>
        <w:pStyle w:val="CBDNormalNumber"/>
        <w:numPr>
          <w:ilvl w:val="0"/>
          <w:numId w:val="9"/>
        </w:numPr>
      </w:pPr>
      <w:r w:rsidRPr="00CA5CB9">
        <w:t>En cuanto al Protocolo de Nagoya, las opiniones sobre la eficiencia y eficacia del FMAM son dispares. Entre otras cosas, se señaló que: i) el desembolso de los fondos tardaba mucho, y ii) los desembolsos no estaban vinculados al plazo de presentación de los informes pertinentes. Con respecto a la colaboración regional para alcanzar los objetivos del Protocolo, los principales obstáculos señalados fueron la falta de elementos en común. Esto incluía i) prioridades divergentes; ii) falta de marcos jurídicos; iii) capacidades técnicas, administrativas y financieras desiguales.</w:t>
      </w:r>
    </w:p>
    <w:p w14:paraId="3F31DBC3" w14:textId="77777777" w:rsidR="00FA2137" w:rsidRPr="00840A44" w:rsidRDefault="00FA2137" w:rsidP="001C209B">
      <w:pPr>
        <w:pStyle w:val="CBDNormalNumber"/>
        <w:numPr>
          <w:ilvl w:val="0"/>
          <w:numId w:val="9"/>
        </w:numPr>
      </w:pPr>
      <w:r w:rsidRPr="00840A44">
        <w:t xml:space="preserve">Con respecto al Protocolo de Cartagena, los principales comentarios se referían al calendario de desembolso de fondos, la falta de énfasis en las cuestiones de seguridad de la biotecnología en las orientaciones de programación, y la falta de una ventana de financiación específica para el Protocolo. Los países en desarrollo que respondieron a la pregunta sobre la creación de una ventana independiente para la seguridad de la biotecnología se mostraron unánimemente a favor. </w:t>
      </w:r>
    </w:p>
    <w:p w14:paraId="76C8A56C" w14:textId="394B3F7E" w:rsidR="00FA2137" w:rsidRPr="005434C5" w:rsidRDefault="00FA2137" w:rsidP="00555AEE">
      <w:pPr>
        <w:pStyle w:val="Heading3"/>
        <w:rPr>
          <w:i/>
        </w:rPr>
      </w:pPr>
      <w:bookmarkStart w:id="10" w:name="_Toc177047029"/>
      <w:r w:rsidRPr="005434C5">
        <w:t xml:space="preserve">Apoyo a la </w:t>
      </w:r>
      <w:r w:rsidR="00771B14">
        <w:t>consecución</w:t>
      </w:r>
      <w:r w:rsidRPr="005434C5">
        <w:t xml:space="preserve"> de los Objetivos de Desarrollo Sostenible (</w:t>
      </w:r>
      <w:proofErr w:type="spellStart"/>
      <w:r w:rsidRPr="005434C5">
        <w:t>ODS</w:t>
      </w:r>
      <w:proofErr w:type="spellEnd"/>
      <w:r w:rsidRPr="005434C5">
        <w:t>)</w:t>
      </w:r>
      <w:bookmarkEnd w:id="10"/>
    </w:p>
    <w:p w14:paraId="0A7F1B6C" w14:textId="52EDE860" w:rsidR="00FA2137" w:rsidRPr="00515188" w:rsidRDefault="00FA2137" w:rsidP="001C209B">
      <w:pPr>
        <w:pStyle w:val="CBDNormalNumber"/>
        <w:numPr>
          <w:ilvl w:val="0"/>
          <w:numId w:val="9"/>
        </w:numPr>
        <w:rPr>
          <w:rFonts w:eastAsia="Arial Unicode MS" w:cs="Calibri"/>
          <w:iCs/>
          <w:kern w:val="22"/>
          <w:u w:color="000000"/>
        </w:rPr>
      </w:pPr>
      <w:r w:rsidRPr="00515188">
        <w:t xml:space="preserve">En cuanto a los vínculos entre los </w:t>
      </w:r>
      <w:proofErr w:type="spellStart"/>
      <w:r w:rsidRPr="00515188">
        <w:t>ODS</w:t>
      </w:r>
      <w:proofErr w:type="spellEnd"/>
      <w:r w:rsidRPr="00515188">
        <w:t xml:space="preserve"> y los objetivos del CDB, tanto la COP como el FMAM reconocen que la biodiversidad desempeña una función central y económica para garantizar el cumplimiento de los </w:t>
      </w:r>
      <w:proofErr w:type="spellStart"/>
      <w:r w:rsidRPr="00515188">
        <w:t>ODS</w:t>
      </w:r>
      <w:proofErr w:type="spellEnd"/>
      <w:r w:rsidRPr="00515188">
        <w:t>.</w:t>
      </w:r>
      <w:r w:rsidRPr="00515188">
        <w:rPr>
          <w:iCs/>
          <w:u w:color="000000"/>
        </w:rPr>
        <w:t xml:space="preserve"> La mayoría de las Partes considera que el FMAM contribuye a la consecución de los </w:t>
      </w:r>
      <w:proofErr w:type="spellStart"/>
      <w:r w:rsidRPr="00515188">
        <w:rPr>
          <w:iCs/>
          <w:u w:color="000000"/>
        </w:rPr>
        <w:t>ODS</w:t>
      </w:r>
      <w:proofErr w:type="spellEnd"/>
      <w:r w:rsidRPr="00515188">
        <w:rPr>
          <w:iCs/>
          <w:u w:color="000000"/>
        </w:rPr>
        <w:t xml:space="preserve">. </w:t>
      </w:r>
    </w:p>
    <w:p w14:paraId="494BA306" w14:textId="31F8FA14" w:rsidR="00FA2137" w:rsidRPr="005434C5" w:rsidRDefault="00FA2137" w:rsidP="00555AEE">
      <w:pPr>
        <w:pStyle w:val="Heading3"/>
        <w:rPr>
          <w:i/>
        </w:rPr>
      </w:pPr>
      <w:bookmarkStart w:id="11" w:name="_Toc177047030"/>
      <w:r w:rsidRPr="005434C5">
        <w:t>Procesos y procedimientos</w:t>
      </w:r>
      <w:bookmarkEnd w:id="11"/>
      <w:r w:rsidRPr="005434C5">
        <w:t xml:space="preserve"> </w:t>
      </w:r>
    </w:p>
    <w:p w14:paraId="75B9FE22" w14:textId="2885B76F" w:rsidR="00FA2137" w:rsidRPr="00154DE6" w:rsidRDefault="00FA2137" w:rsidP="001C209B">
      <w:pPr>
        <w:pStyle w:val="CBDNormalNumber"/>
        <w:numPr>
          <w:ilvl w:val="0"/>
          <w:numId w:val="9"/>
        </w:numPr>
      </w:pPr>
      <w:r w:rsidRPr="00154DE6">
        <w:t xml:space="preserve">Los procesos y procedimientos para el desembolso de fondos dependen en gran medida del tipo de proyectos en cuestión. Los proyectos ordinarios son aquellos que superan los 2 millones de dólares y ahora los 5 millones de dólares </w:t>
      </w:r>
      <w:r w:rsidR="00ED61B5">
        <w:rPr>
          <w:snapToGrid w:val="0"/>
        </w:rPr>
        <w:t>estadounidenses</w:t>
      </w:r>
      <w:r w:rsidR="00ED61B5" w:rsidRPr="005434C5">
        <w:rPr>
          <w:snapToGrid w:val="0"/>
        </w:rPr>
        <w:t xml:space="preserve"> </w:t>
      </w:r>
      <w:r w:rsidRPr="00154DE6">
        <w:t xml:space="preserve">y están sujetos a un proceso de aprobación en dos etapas, mientras que los proyectos medianos son aquellos inferiores o equivalentes a 2 millones de dólares y ahora a 5 millones de dólares </w:t>
      </w:r>
      <w:r w:rsidR="00ED61B5">
        <w:rPr>
          <w:snapToGrid w:val="0"/>
        </w:rPr>
        <w:t>estadounidenses</w:t>
      </w:r>
      <w:r w:rsidR="00ED61B5" w:rsidRPr="005434C5">
        <w:rPr>
          <w:snapToGrid w:val="0"/>
        </w:rPr>
        <w:t xml:space="preserve"> </w:t>
      </w:r>
      <w:r w:rsidRPr="00154DE6">
        <w:t xml:space="preserve">y solo requieren una etapa. Las actividades habilitantes son proyectos para la preparación de un plan, una estrategia o un informe para cumplir con los compromisos contraídos en virtud de un convenio. El tiempo promedio que transcurre entre la presentación de un formulario de identificación de proyecto y el primer desembolso de </w:t>
      </w:r>
      <w:r w:rsidR="0022007B">
        <w:t>un organismo</w:t>
      </w:r>
      <w:r w:rsidRPr="00154DE6">
        <w:t xml:space="preserve"> para los proyectos ordinarios, los proyectos medianos y las actividades habilitantes ha aumentado entre el ejercicio económico </w:t>
      </w:r>
      <w:r w:rsidR="00505657">
        <w:t xml:space="preserve">de </w:t>
      </w:r>
      <w:r w:rsidRPr="00154DE6">
        <w:t xml:space="preserve">2015 y el ejercicio económico </w:t>
      </w:r>
      <w:r w:rsidR="00505657">
        <w:t xml:space="preserve">de </w:t>
      </w:r>
      <w:r w:rsidRPr="00154DE6">
        <w:t>2024.</w:t>
      </w:r>
    </w:p>
    <w:p w14:paraId="7B576033" w14:textId="77777777" w:rsidR="00FA2137" w:rsidRPr="00154DE6" w:rsidRDefault="00FA2137" w:rsidP="001C209B">
      <w:pPr>
        <w:pStyle w:val="CBDNormalNumber"/>
        <w:numPr>
          <w:ilvl w:val="0"/>
          <w:numId w:val="9"/>
        </w:numPr>
      </w:pPr>
      <w:r w:rsidRPr="00154DE6">
        <w:t xml:space="preserve">El coeficiente de desembolso se ha mantenido constante entre el 18% y el 25%, lo que demuestra que los fondos se desembolsan con relativa rapidez una vez que se ejecuta un proyecto. </w:t>
      </w:r>
    </w:p>
    <w:p w14:paraId="62127C7C" w14:textId="6138D3A0" w:rsidR="00FA2137" w:rsidRPr="00154DE6" w:rsidRDefault="00FA2137" w:rsidP="001C209B">
      <w:pPr>
        <w:pStyle w:val="CBDNormalNumber"/>
        <w:numPr>
          <w:ilvl w:val="0"/>
          <w:numId w:val="9"/>
        </w:numPr>
      </w:pPr>
      <w:r w:rsidRPr="00154DE6">
        <w:t xml:space="preserve">Actualmente, el FMAM está racionalizando los ciclos de los proyectos. En el FMAM-8, todas las plantillas de proyectos se han racionalizado y armonizado entre el Fondo para los Países Menos Adelantados, el Fondo Especial para el Cambio Climático y el Fondo Fiduciario del FMAM, y se ha proporcionado plena flexibilidad en la programación </w:t>
      </w:r>
      <w:proofErr w:type="spellStart"/>
      <w:r w:rsidRPr="00154DE6">
        <w:t>STAR</w:t>
      </w:r>
      <w:proofErr w:type="spellEnd"/>
      <w:r w:rsidRPr="00154DE6">
        <w:t xml:space="preserve">. En febrero de 2024, el Consejo del FMAM aumentó el límite de los proyectos medianos a 5 millones de dólares </w:t>
      </w:r>
      <w:r w:rsidR="00ED61B5">
        <w:rPr>
          <w:snapToGrid w:val="0"/>
        </w:rPr>
        <w:t>estadounidenses</w:t>
      </w:r>
      <w:r w:rsidRPr="00154DE6">
        <w:t xml:space="preserve">. Se están estudiando otras medidas a nivel de la asociación del FMAM, la Secretaría del FMAM, los organismos del FMAM, los Puntos Focales Operativos y las entidades ejecutoras, así como medidas para aclarar los costos </w:t>
      </w:r>
      <w:r w:rsidR="00B816CA">
        <w:t>relativos a</w:t>
      </w:r>
      <w:r w:rsidRPr="00154DE6">
        <w:t xml:space="preserve"> los proyectos y los criterios de excepción </w:t>
      </w:r>
      <w:r w:rsidR="00B816CA">
        <w:t>relativos a</w:t>
      </w:r>
      <w:r w:rsidRPr="00154DE6">
        <w:t xml:space="preserve"> la doble función de ejecución e implementación para los organismos del FMAM. Se espera que estas medidas reduzcan el tiempo necesario para el desembolso de los fondos. </w:t>
      </w:r>
    </w:p>
    <w:p w14:paraId="7A3E99E7" w14:textId="6A2B2740" w:rsidR="00FA2137" w:rsidRPr="00154DE6" w:rsidRDefault="00FA2137" w:rsidP="001C209B">
      <w:pPr>
        <w:pStyle w:val="CBDNormalNumber"/>
        <w:numPr>
          <w:ilvl w:val="0"/>
          <w:numId w:val="9"/>
        </w:numPr>
      </w:pPr>
      <w:r w:rsidRPr="00154DE6">
        <w:t xml:space="preserve">El FMAM también ha indicado que se está trabajando en la evaluación de posibles mejoras en la eficiencia para armonizar determinados procesos del FMAM, el </w:t>
      </w:r>
      <w:proofErr w:type="spellStart"/>
      <w:r w:rsidRPr="00154DE6">
        <w:t>FVC</w:t>
      </w:r>
      <w:proofErr w:type="spellEnd"/>
      <w:r w:rsidRPr="00154DE6">
        <w:t>, los Fondos de Inversión en el Clima (</w:t>
      </w:r>
      <w:proofErr w:type="spellStart"/>
      <w:r w:rsidRPr="00154DE6">
        <w:t>FIC</w:t>
      </w:r>
      <w:proofErr w:type="spellEnd"/>
      <w:r w:rsidRPr="00154DE6">
        <w:t>) y el Fondo de Adaptación. Los beneficios incluyen incentivos de vía rápida para inversiones secuenciales, paralelas, complementarias o conjuntas para centrarse en áreas de interés común y aumentar el atractivo de la financiación complementaria del FMAM</w:t>
      </w:r>
      <w:r w:rsidR="001D32A6">
        <w:t xml:space="preserve"> y el </w:t>
      </w:r>
      <w:proofErr w:type="spellStart"/>
      <w:r w:rsidRPr="00154DE6">
        <w:t>FVC</w:t>
      </w:r>
      <w:proofErr w:type="spellEnd"/>
      <w:r w:rsidR="001D32A6">
        <w:t>,</w:t>
      </w:r>
      <w:r w:rsidRPr="00154DE6">
        <w:t xml:space="preserve"> fomentando la programación colaborativa y coordinada.</w:t>
      </w:r>
    </w:p>
    <w:p w14:paraId="65D8DED6" w14:textId="77777777" w:rsidR="00FA2137" w:rsidRPr="00154DE6" w:rsidRDefault="00FA2137" w:rsidP="00555AEE">
      <w:pPr>
        <w:pStyle w:val="Heading3"/>
        <w:rPr>
          <w:i/>
        </w:rPr>
      </w:pPr>
      <w:bookmarkStart w:id="12" w:name="_Toc177047031"/>
      <w:r w:rsidRPr="00154DE6">
        <w:t>Actividades de supervisión, seguimiento y evaluación</w:t>
      </w:r>
      <w:bookmarkEnd w:id="12"/>
      <w:r w:rsidRPr="00154DE6">
        <w:t xml:space="preserve"> </w:t>
      </w:r>
    </w:p>
    <w:p w14:paraId="4BE9ADFB" w14:textId="7DDA41AD" w:rsidR="00FA2137" w:rsidRPr="00154DE6" w:rsidRDefault="00FA2137" w:rsidP="001C209B">
      <w:pPr>
        <w:pStyle w:val="CBDNormalNumber"/>
        <w:numPr>
          <w:ilvl w:val="0"/>
          <w:numId w:val="9"/>
        </w:numPr>
      </w:pPr>
      <w:r w:rsidRPr="00154DE6">
        <w:t>Los principales documentos del FMAM que evalúan los resultados en materia de biodiversidad son: i) el Examen anual de desempeño (</w:t>
      </w:r>
      <w:proofErr w:type="spellStart"/>
      <w:r w:rsidRPr="00154DE6">
        <w:t>APR</w:t>
      </w:r>
      <w:proofErr w:type="spellEnd"/>
      <w:r w:rsidRPr="00154DE6">
        <w:t>, por sus siglas en inglés) de la Oficina de Evaluación Independiente; i</w:t>
      </w:r>
      <w:r w:rsidR="00981A5F">
        <w:t>i</w:t>
      </w:r>
      <w:r w:rsidRPr="00154DE6">
        <w:t>) el Informe de seguimiento del FMAM (</w:t>
      </w:r>
      <w:proofErr w:type="spellStart"/>
      <w:r w:rsidRPr="00154DE6">
        <w:t>GMR</w:t>
      </w:r>
      <w:proofErr w:type="spellEnd"/>
      <w:r w:rsidRPr="00154DE6">
        <w:t>, por sus siglas en inglés); y iii) las Evaluaciones estratégicas por grupos de países (</w:t>
      </w:r>
      <w:proofErr w:type="spellStart"/>
      <w:r w:rsidRPr="00154DE6">
        <w:t>SCCE</w:t>
      </w:r>
      <w:proofErr w:type="spellEnd"/>
      <w:r w:rsidRPr="00154DE6">
        <w:t>, por sus siglas en inglés). Estos informes dependen de la participación efectiva de los interesados para ofrecer un panorama general de las actividades de la cartera del FMAM, así como de los impactos y la sostenibilidad de los proyectos a lo largo de un período de reposición.</w:t>
      </w:r>
    </w:p>
    <w:p w14:paraId="5EC441C9" w14:textId="567F131A" w:rsidR="00FA2137" w:rsidRPr="00154DE6" w:rsidRDefault="00FA2137" w:rsidP="001C209B">
      <w:pPr>
        <w:pStyle w:val="CBDNormalNumber"/>
        <w:numPr>
          <w:ilvl w:val="0"/>
          <w:numId w:val="9"/>
        </w:numPr>
      </w:pPr>
      <w:r w:rsidRPr="00154DE6">
        <w:t>En 2023, el Examen anual de desempeño reflejó que la conservación de la biodiversidad era la segunda actividad con más probabilidades de generar cambios de comportamiento (un resultado intermedio clave para el logro de beneficios ambientales mundiales) después de la adaptación al clima, tras considerar los proyectos pertinentes entre el FMAM-6 y el FMAM-7.</w:t>
      </w:r>
    </w:p>
    <w:p w14:paraId="2A1CA06D" w14:textId="640CAD1A" w:rsidR="00FA2137" w:rsidRPr="00154DE6" w:rsidRDefault="00FA2137" w:rsidP="001C209B">
      <w:pPr>
        <w:pStyle w:val="CBDNormalNumber"/>
        <w:numPr>
          <w:ilvl w:val="0"/>
          <w:numId w:val="9"/>
        </w:numPr>
      </w:pPr>
      <w:r w:rsidRPr="00154DE6">
        <w:t xml:space="preserve">Tanto en los </w:t>
      </w:r>
      <w:proofErr w:type="spellStart"/>
      <w:r w:rsidRPr="00154DE6">
        <w:t>APR</w:t>
      </w:r>
      <w:proofErr w:type="spellEnd"/>
      <w:r w:rsidRPr="00154DE6">
        <w:t xml:space="preserve"> como en los </w:t>
      </w:r>
      <w:proofErr w:type="spellStart"/>
      <w:r w:rsidRPr="00154DE6">
        <w:t>GMR</w:t>
      </w:r>
      <w:proofErr w:type="spellEnd"/>
      <w:r w:rsidRPr="00154DE6">
        <w:t xml:space="preserve">, los resultados en materia de biodiversidad no se miden en relación con las orientaciones de la COP o los objetivos del CDB. En los </w:t>
      </w:r>
      <w:proofErr w:type="spellStart"/>
      <w:r w:rsidRPr="00154DE6">
        <w:t>APR</w:t>
      </w:r>
      <w:proofErr w:type="spellEnd"/>
      <w:r w:rsidRPr="00154DE6">
        <w:t xml:space="preserve">, </w:t>
      </w:r>
      <w:proofErr w:type="spellStart"/>
      <w:r w:rsidRPr="00154DE6">
        <w:t>GMR</w:t>
      </w:r>
      <w:proofErr w:type="spellEnd"/>
      <w:r w:rsidRPr="00154DE6">
        <w:t xml:space="preserve"> y las </w:t>
      </w:r>
      <w:proofErr w:type="spellStart"/>
      <w:r w:rsidRPr="00154DE6">
        <w:t>SCCE</w:t>
      </w:r>
      <w:proofErr w:type="spellEnd"/>
      <w:r w:rsidRPr="00154DE6">
        <w:t>, hay una falta general de evaluación sólida sobre el impacto de los proyectos en poblaciones vulnerables y significativas, como los pueblos indígenas y las comunidades locales, en particular con respecto a cómo se han respetado las salvaguardias y políticas pertinentes relativas a estos grupos, y si están participando activamente en un proyecto y recibiendo los beneficios que se deriven de él.</w:t>
      </w:r>
    </w:p>
    <w:p w14:paraId="58D5F531" w14:textId="77777777" w:rsidR="00FA2137" w:rsidRPr="005434C5" w:rsidRDefault="00FA2137" w:rsidP="00555AEE">
      <w:pPr>
        <w:pStyle w:val="Heading3"/>
        <w:rPr>
          <w:i/>
        </w:rPr>
      </w:pPr>
      <w:bookmarkStart w:id="13" w:name="_Toc177047032"/>
      <w:r w:rsidRPr="005434C5">
        <w:t>Sinergia con los acuerdos ambientales multilaterales pertinentes</w:t>
      </w:r>
      <w:bookmarkEnd w:id="13"/>
      <w:r w:rsidRPr="005434C5">
        <w:t xml:space="preserve"> </w:t>
      </w:r>
    </w:p>
    <w:p w14:paraId="232C357D" w14:textId="2F3655D5" w:rsidR="00FA2137" w:rsidRPr="008E7DAA" w:rsidRDefault="00FA2137" w:rsidP="001C209B">
      <w:pPr>
        <w:pStyle w:val="CBDNormalNumber"/>
        <w:numPr>
          <w:ilvl w:val="0"/>
          <w:numId w:val="9"/>
        </w:numPr>
      </w:pPr>
      <w:r w:rsidRPr="008E7DAA">
        <w:t xml:space="preserve">El FMAM desempeña </w:t>
      </w:r>
      <w:r w:rsidR="00981A5F">
        <w:t>una función</w:t>
      </w:r>
      <w:r w:rsidRPr="008E7DAA">
        <w:t xml:space="preserve"> fundamental en la creación de sinergias entre la implementación de los acuerdos ambientales multilaterales pertinentes y el CDB. El FMAM ha puesto en práctica las orientaciones de la Conferencia de las Partes mediante, entre otras cosas, la ejecución de proyectos </w:t>
      </w:r>
      <w:r w:rsidR="00FE7610">
        <w:t xml:space="preserve">con </w:t>
      </w:r>
      <w:r w:rsidRPr="008E7DAA">
        <w:t xml:space="preserve">varias </w:t>
      </w:r>
      <w:r w:rsidR="00A96AB6">
        <w:t>áreas focales</w:t>
      </w:r>
      <w:r w:rsidRPr="008E7DAA">
        <w:t xml:space="preserve"> y la puesta en marcha de los Enfoques integrados experimentales </w:t>
      </w:r>
      <w:r w:rsidR="006E2311">
        <w:t>en el</w:t>
      </w:r>
      <w:r w:rsidRPr="008E7DAA">
        <w:t xml:space="preserve"> FMAM</w:t>
      </w:r>
      <w:r w:rsidR="006E2311">
        <w:t>-</w:t>
      </w:r>
      <w:r w:rsidR="00A31210">
        <w:t>6</w:t>
      </w:r>
      <w:r w:rsidRPr="008E7DAA">
        <w:t xml:space="preserve">. Entre otros proyectos que promueven los objetivos de los acuerdos ambientales multilaterales para los que el FMAM no es la estructura institucional que gestiona el mecanismo financiero se encuentra el Programa Integrado de Conservación de la Vida Silvestre para el Desarrollo, que aborda las prioridades mundiales enmarcadas en el CDB, la </w:t>
      </w:r>
      <w:proofErr w:type="spellStart"/>
      <w:r w:rsidRPr="008E7DAA">
        <w:t>CMNUCC</w:t>
      </w:r>
      <w:proofErr w:type="spellEnd"/>
      <w:r w:rsidRPr="008E7DAA">
        <w:t xml:space="preserve">, la </w:t>
      </w:r>
      <w:proofErr w:type="spellStart"/>
      <w:r w:rsidRPr="008E7DAA">
        <w:t>CNULD</w:t>
      </w:r>
      <w:proofErr w:type="spellEnd"/>
      <w:r w:rsidRPr="008E7DAA">
        <w:t xml:space="preserve">, la CITES y la </w:t>
      </w:r>
      <w:proofErr w:type="spellStart"/>
      <w:r w:rsidRPr="008E7DAA">
        <w:t>CMS</w:t>
      </w:r>
      <w:proofErr w:type="spellEnd"/>
      <w:r w:rsidRPr="008E7DAA">
        <w:t xml:space="preserve">. La COP del CDB facilita la transmisión de orientaciones al FMAM para apoyar las actividades de los demás convenios relacionados con la biodiversidad. </w:t>
      </w:r>
    </w:p>
    <w:p w14:paraId="720CCA55" w14:textId="56CF395C" w:rsidR="00FA2137" w:rsidRPr="003E4CDB" w:rsidRDefault="00FA2137" w:rsidP="001C209B">
      <w:pPr>
        <w:pStyle w:val="CBDNormalNumber"/>
        <w:numPr>
          <w:ilvl w:val="0"/>
          <w:numId w:val="9"/>
        </w:numPr>
      </w:pPr>
      <w:r w:rsidRPr="003E4CDB">
        <w:t>Sin embargo, es necesario mejorar la coherencia y la complementariedad con estos acuerdos ambientales multilaterales. Aunque las Partes contratantes que son países en desarrollo opinaron en general que el FMAM era eficiente y eficaz, entre las sugerencias sobre cómo mejorar la eficacia se incluyen recursos financieros adicionales y más esfuerzos para mejorar la coherencia y la complementariedad entre las diversas iniciativas internacionales.</w:t>
      </w:r>
    </w:p>
    <w:p w14:paraId="6FBB1B7B" w14:textId="370ADD28" w:rsidR="00FA2137" w:rsidRPr="005434C5" w:rsidRDefault="00FA2137" w:rsidP="00555AEE">
      <w:pPr>
        <w:pStyle w:val="Heading2"/>
        <w:rPr>
          <w:rFonts w:ascii="Times New Roman" w:hAnsi="Times New Roman"/>
        </w:rPr>
      </w:pPr>
      <w:bookmarkStart w:id="14" w:name="_Toc177044387"/>
      <w:bookmarkStart w:id="15" w:name="_Toc177045670"/>
      <w:bookmarkStart w:id="16" w:name="_Toc177047034"/>
      <w:bookmarkStart w:id="17" w:name="_Toc177044388"/>
      <w:bookmarkStart w:id="18" w:name="_Toc177045671"/>
      <w:bookmarkStart w:id="19" w:name="_Toc177047035"/>
      <w:bookmarkStart w:id="20" w:name="_Toc177047036"/>
      <w:bookmarkEnd w:id="14"/>
      <w:bookmarkEnd w:id="15"/>
      <w:bookmarkEnd w:id="16"/>
      <w:bookmarkEnd w:id="17"/>
      <w:bookmarkEnd w:id="18"/>
      <w:bookmarkEnd w:id="19"/>
      <w:r w:rsidRPr="005434C5">
        <w:rPr>
          <w:rFonts w:ascii="Times New Roman" w:hAnsi="Times New Roman"/>
        </w:rPr>
        <w:t>Estructura y funcionamiento del FMAM</w:t>
      </w:r>
      <w:bookmarkEnd w:id="20"/>
      <w:r w:rsidRPr="005434C5">
        <w:rPr>
          <w:rFonts w:ascii="Times New Roman" w:hAnsi="Times New Roman"/>
        </w:rPr>
        <w:t xml:space="preserve"> </w:t>
      </w:r>
    </w:p>
    <w:p w14:paraId="781A4095" w14:textId="77777777" w:rsidR="00FA2137" w:rsidRPr="005434C5" w:rsidRDefault="00FA2137" w:rsidP="00555AEE">
      <w:pPr>
        <w:pStyle w:val="Heading3"/>
        <w:rPr>
          <w:i/>
        </w:rPr>
      </w:pPr>
      <w:bookmarkStart w:id="21" w:name="_Toc177047037"/>
      <w:r w:rsidRPr="005434C5">
        <w:t>Representación y toma de decisiones operativas</w:t>
      </w:r>
      <w:bookmarkEnd w:id="21"/>
      <w:r w:rsidRPr="005434C5">
        <w:t xml:space="preserve"> </w:t>
      </w:r>
    </w:p>
    <w:p w14:paraId="222C7A8F" w14:textId="66984AA3" w:rsidR="00FA2137" w:rsidRPr="003E4CDB" w:rsidRDefault="00FA2137" w:rsidP="001C209B">
      <w:pPr>
        <w:pStyle w:val="CBDNormalNumber"/>
        <w:numPr>
          <w:ilvl w:val="0"/>
          <w:numId w:val="9"/>
        </w:numPr>
      </w:pPr>
      <w:bookmarkStart w:id="22" w:name="_Hlk177899389"/>
      <w:r w:rsidRPr="003E4CDB">
        <w:t xml:space="preserve">La representación en el Consejo mantiene un equilibrio entre países receptores y no receptores. El Instrumento establece que los países se agruparán en 32 circunscripciones, con 18 circunscripciones compuestas por países receptores y 14 circunscripciones compuestas principalmente por países donantes. El Reglamento establece el procedimiento para determinar qué país pertenece a qué circunscripción y cómo pueden los países cambiar de circunscripción. </w:t>
      </w:r>
      <w:bookmarkEnd w:id="22"/>
      <w:r w:rsidRPr="003E4CDB">
        <w:t xml:space="preserve">Actualmente, la representación no considera adecuadamente matices tales como la distribución equitativa o geográfica de los países, como el Fondo de Adaptación, los países con los mayores índices de biodiversidad (países </w:t>
      </w:r>
      <w:proofErr w:type="spellStart"/>
      <w:r w:rsidRPr="003E4CDB">
        <w:t>megadiversos</w:t>
      </w:r>
      <w:proofErr w:type="spellEnd"/>
      <w:r w:rsidRPr="003E4CDB">
        <w:t>) o los países con un número significativo de pueblos vulnerables o indígenas. La falta de una representación adecuada de estos aspectos significativos en la gobernanza del FMAM es una diferencia importante con el CDB y, en última instancia, socava el apoyo de las Partes al FMAM como entidad operativa del mecanismo financiero. La novena reposición del FMAM brinda la oportunidad de reconsiderar la representación en el Consejo para que esté más en consonancia con el Convenio.</w:t>
      </w:r>
    </w:p>
    <w:p w14:paraId="1F667F1E" w14:textId="35712C11" w:rsidR="00FA2137" w:rsidRPr="003E4CDB" w:rsidRDefault="00FA2137" w:rsidP="001C209B">
      <w:pPr>
        <w:pStyle w:val="CBDNormalNumber"/>
        <w:numPr>
          <w:ilvl w:val="0"/>
          <w:numId w:val="9"/>
        </w:numPr>
      </w:pPr>
      <w:r w:rsidRPr="003E4CDB">
        <w:t xml:space="preserve">El Quinto Examen concluyó que, si bien el FMAM sigue siendo una organización transparente en cuanto a su gobernanza, no lo es tanto en lo que respecta a su gestión. En respuesta a una encuesta sobre la gobernanza del FMAM, se constató que solo la mitad de los interesados encuestados sobre la gobernanza del FMAM creían que su toma de decisiones operativas era lo suficientemente transparente. El Examen concluyó con la importancia de seguir centrándose en el principio integrador en la programación del FMAM, haciendo hincapié en la mejora de la eficiencia, la transparencia, la innovación y la </w:t>
      </w:r>
      <w:proofErr w:type="spellStart"/>
      <w:r w:rsidRPr="003E4CDB">
        <w:t>adicionalidad</w:t>
      </w:r>
      <w:proofErr w:type="spellEnd"/>
      <w:r w:rsidRPr="003E4CDB">
        <w:t>. En el séptimo estudio sobre los resultados globales del FMAM (OPS-7), se constató que la puesta en marcha de los programas de impacto del FMAM-7 fue más transparente e integradora, incluido el proceso de selección de países. Sin embargo, no se han proporcionado ejemplos.</w:t>
      </w:r>
    </w:p>
    <w:p w14:paraId="5E499C1B" w14:textId="21637AC1" w:rsidR="004E1384" w:rsidRPr="003E4CDB" w:rsidRDefault="004E1384" w:rsidP="0009721B">
      <w:pPr>
        <w:pStyle w:val="CBDNormalNumber"/>
        <w:numPr>
          <w:ilvl w:val="0"/>
          <w:numId w:val="0"/>
        </w:numPr>
        <w:ind w:left="567"/>
        <w:rPr>
          <w:b/>
          <w:bCs/>
        </w:rPr>
      </w:pPr>
      <w:r w:rsidRPr="003E4CDB">
        <w:rPr>
          <w:b/>
          <w:bCs/>
        </w:rPr>
        <w:t>Pueblos indígenas y comunidades locales</w:t>
      </w:r>
    </w:p>
    <w:p w14:paraId="12B82D67" w14:textId="395B30B3" w:rsidR="00FA2137" w:rsidRPr="003E4CDB" w:rsidRDefault="00FA2137" w:rsidP="001C209B">
      <w:pPr>
        <w:pStyle w:val="CBDNormalNumber"/>
        <w:numPr>
          <w:ilvl w:val="0"/>
          <w:numId w:val="9"/>
        </w:numPr>
      </w:pPr>
      <w:r w:rsidRPr="003E4CDB">
        <w:t>Uno de los requisitos clave para la ejecución de los proyectos del FMAM es el Enfoque Basado en la Comunidad (</w:t>
      </w:r>
      <w:proofErr w:type="spellStart"/>
      <w:r w:rsidRPr="003E4CDB">
        <w:t>CBA</w:t>
      </w:r>
      <w:proofErr w:type="spellEnd"/>
      <w:r w:rsidRPr="003E4CDB">
        <w:t>, por sus siglas en inglés), cuyo objetivo es apoyar el compromiso participativo, la movilización comunitaria y la organización de la sociedad civil en la ejecución de los programas.</w:t>
      </w:r>
    </w:p>
    <w:p w14:paraId="3EB2845C" w14:textId="15D5D226" w:rsidR="00FA2137" w:rsidRPr="003E4CDB" w:rsidRDefault="00FA2137" w:rsidP="001C209B">
      <w:pPr>
        <w:pStyle w:val="CBDNormalNumber"/>
        <w:numPr>
          <w:ilvl w:val="0"/>
          <w:numId w:val="9"/>
        </w:numPr>
      </w:pPr>
      <w:r w:rsidRPr="003E4CDB">
        <w:t>Con respecto a los pueblos indígenas y las comunidades locales, alrededor del 17% de los proyectos ordinarios y los proyectos medianos del FMAM-7 cuentan con una participación sustancial de los pueblos indígenas y las comunidades locales. Los Programas de Pequeñas Donaciones del FMAM son un ejemplo emblemático y de larga data de este tipo de participación. Una iniciativa reciente de participación es la Iniciativa de Conservación Inclusiva, de carácter experimental, cuyo objetivo es prestar apoyo lo más directamente posible a los pueblos indígenas y las comunidades locales para conservar la biodiversidad, obtener otros beneficios ambientales mundiales y proporcionar beneficios para el desarrollo. Se han hecho recomendaciones al FMAM-8 para aumentar los recursos adicionales para la Iniciativa. Sin embargo, tampoco existe un seguimiento sistemático del apoyo financiero proporcionado a los pueblos indígenas y las comunidades locales, las mujeres o la juventud debido a las dificultades para establecer valores de referencia. Tampoco parece haber indicadores específicos para medir los beneficios conferidos a los pueblos indígenas y las comunidades locales. La labor inicial del Fondo para el Marco Mundial de Biodiversidad, junto con su meta del 20% para los pueblos indígenas y las comunidades locales, es ampliamente reconocida como una respuesta valiosa para aumentar la participación y el acceso de los pueblos indígenas y las comunidades locales, aunque es demasiado pronto para saber si conducirá a una mejora de la participación y los resultados para los pueblos indígenas y las comunidades locales.</w:t>
      </w:r>
    </w:p>
    <w:p w14:paraId="618CA33F" w14:textId="5B9064BD" w:rsidR="00FA2137" w:rsidRPr="003E4CDB" w:rsidRDefault="00FA2137" w:rsidP="00555AEE">
      <w:pPr>
        <w:pStyle w:val="Heading3"/>
        <w:rPr>
          <w:i/>
        </w:rPr>
      </w:pPr>
      <w:bookmarkStart w:id="23" w:name="_Toc177047039"/>
      <w:r w:rsidRPr="003E4CDB">
        <w:t>Organizaciones de la sociedad civil (</w:t>
      </w:r>
      <w:proofErr w:type="spellStart"/>
      <w:r w:rsidRPr="003E4CDB">
        <w:t>CSO</w:t>
      </w:r>
      <w:proofErr w:type="spellEnd"/>
      <w:r w:rsidRPr="003E4CDB">
        <w:t>, por sus siglas en inglés)</w:t>
      </w:r>
      <w:bookmarkEnd w:id="23"/>
    </w:p>
    <w:p w14:paraId="6B5FA251" w14:textId="08AB9123" w:rsidR="00FA2137" w:rsidRPr="003E4CDB" w:rsidRDefault="00FA2137" w:rsidP="001C209B">
      <w:pPr>
        <w:pStyle w:val="CBDNormalNumber"/>
        <w:numPr>
          <w:ilvl w:val="0"/>
          <w:numId w:val="9"/>
        </w:numPr>
      </w:pPr>
      <w:r w:rsidRPr="003E4CDB">
        <w:t xml:space="preserve">El compromiso de los interesados con respecto a las organizaciones de la sociedad civil parece haberse estancado en la última década. Si bien aproximadamente un tercio de las </w:t>
      </w:r>
      <w:proofErr w:type="spellStart"/>
      <w:r w:rsidRPr="003E4CDB">
        <w:t>CSO</w:t>
      </w:r>
      <w:proofErr w:type="spellEnd"/>
      <w:r w:rsidRPr="003E4CDB">
        <w:t xml:space="preserve"> encuestadas para el estudio sobre los resultados globales (OPS-7) calificaron de “buena” la forma en que el FMAM se relaciona con la sociedad civil en la formulación de políticas, directrices y estrategias, las interacciones entre la sociedad civil y los organismos o gobiernos del FMAM son limitadas. Las percepciones sobre la representación justa de los principales grupos de interesados y los procesos de elección son menos favorables en 2022 que en 2016.</w:t>
      </w:r>
    </w:p>
    <w:p w14:paraId="4EE2F5FC" w14:textId="77777777" w:rsidR="00FA2137" w:rsidRPr="003E4CDB" w:rsidRDefault="00FA2137" w:rsidP="00555AEE">
      <w:pPr>
        <w:pStyle w:val="Heading3"/>
        <w:rPr>
          <w:i/>
        </w:rPr>
      </w:pPr>
      <w:bookmarkStart w:id="24" w:name="_Toc177047040"/>
      <w:r w:rsidRPr="003E4CDB">
        <w:t>Política de género</w:t>
      </w:r>
      <w:bookmarkEnd w:id="24"/>
      <w:r w:rsidRPr="003E4CDB">
        <w:t xml:space="preserve"> </w:t>
      </w:r>
    </w:p>
    <w:p w14:paraId="7403A86C" w14:textId="77777777" w:rsidR="00FA2137" w:rsidRPr="003E4CDB" w:rsidRDefault="00FA2137" w:rsidP="001C209B">
      <w:pPr>
        <w:pStyle w:val="CBDNormalNumber"/>
        <w:numPr>
          <w:ilvl w:val="0"/>
          <w:numId w:val="9"/>
        </w:numPr>
      </w:pPr>
      <w:r w:rsidRPr="003E4CDB">
        <w:t>Una de las cuestiones clave que surgieron durante la evaluación del FMAM con respecto a los Enfoques basados en la comunidad (</w:t>
      </w:r>
      <w:proofErr w:type="spellStart"/>
      <w:r w:rsidRPr="003E4CDB">
        <w:t>CBA</w:t>
      </w:r>
      <w:proofErr w:type="spellEnd"/>
      <w:r w:rsidRPr="003E4CDB">
        <w:t xml:space="preserve">) es que su política de género es favorable a los </w:t>
      </w:r>
      <w:proofErr w:type="spellStart"/>
      <w:r w:rsidRPr="003E4CDB">
        <w:t>CBA</w:t>
      </w:r>
      <w:proofErr w:type="spellEnd"/>
      <w:r w:rsidRPr="003E4CDB">
        <w:t>, pero no los hace obligatorios; esto es así a pesar de que una de las brechas de género que la política pretende abordar es el desequilibrio en la participación y la toma de decisiones en la planificación y la gobernanza ambientales. Al mismo tiempo, la tendencia de la igualdad de género ha ido mejorando con cada ciclo del FMAM. Si bien en 2018 los avances fueron modestos en cuanto al número y la proporción de proyectos del FMAM que pueden considerarse integrados en la perspectiva de género, estas cifras mejoraron significativamente al final del FMAM-7, en junio de 2022.</w:t>
      </w:r>
    </w:p>
    <w:p w14:paraId="4B613C4F" w14:textId="6D2262F7" w:rsidR="00FA2137" w:rsidRPr="003E4CDB" w:rsidRDefault="00C67FB4" w:rsidP="009504DE">
      <w:pPr>
        <w:pStyle w:val="CBDH1"/>
        <w:rPr>
          <w:bCs/>
          <w:smallCaps/>
          <w:sz w:val="22"/>
        </w:rPr>
      </w:pPr>
      <w:bookmarkStart w:id="25" w:name="_Toc177047041"/>
      <w:bookmarkStart w:id="26" w:name="_Toc177041197"/>
      <w:bookmarkStart w:id="27" w:name="_Toc177042791"/>
      <w:bookmarkStart w:id="28" w:name="_Toc177044391"/>
      <w:bookmarkStart w:id="29" w:name="_Toc177045677"/>
      <w:bookmarkStart w:id="30" w:name="_Toc177047042"/>
      <w:bookmarkStart w:id="31" w:name="_Toc177041198"/>
      <w:bookmarkStart w:id="32" w:name="_Toc177042792"/>
      <w:bookmarkStart w:id="33" w:name="_Toc177044392"/>
      <w:bookmarkStart w:id="34" w:name="_Toc177045678"/>
      <w:bookmarkStart w:id="35" w:name="_Toc177047043"/>
      <w:bookmarkStart w:id="36" w:name="_Toc177041199"/>
      <w:bookmarkStart w:id="37" w:name="_Toc177042793"/>
      <w:bookmarkStart w:id="38" w:name="_Toc177044393"/>
      <w:bookmarkStart w:id="39" w:name="_Toc177045679"/>
      <w:bookmarkStart w:id="40" w:name="_Toc177047044"/>
      <w:bookmarkStart w:id="41" w:name="_Toc177041200"/>
      <w:bookmarkStart w:id="42" w:name="_Toc177042794"/>
      <w:bookmarkStart w:id="43" w:name="_Toc177044394"/>
      <w:bookmarkStart w:id="44" w:name="_Toc177045680"/>
      <w:bookmarkStart w:id="45" w:name="_Toc177047045"/>
      <w:bookmarkStart w:id="46" w:name="_Toc177041201"/>
      <w:bookmarkStart w:id="47" w:name="_Toc177042795"/>
      <w:bookmarkStart w:id="48" w:name="_Toc177044395"/>
      <w:bookmarkStart w:id="49" w:name="_Toc177045681"/>
      <w:bookmarkStart w:id="50" w:name="_Toc177047046"/>
      <w:bookmarkStart w:id="51" w:name="_Toc177041202"/>
      <w:bookmarkStart w:id="52" w:name="_Toc177042796"/>
      <w:bookmarkStart w:id="53" w:name="_Toc177044396"/>
      <w:bookmarkStart w:id="54" w:name="_Toc177045682"/>
      <w:bookmarkStart w:id="55" w:name="_Toc177047047"/>
      <w:bookmarkStart w:id="56" w:name="_Toc177041203"/>
      <w:bookmarkStart w:id="57" w:name="_Toc177042797"/>
      <w:bookmarkStart w:id="58" w:name="_Toc177044397"/>
      <w:bookmarkStart w:id="59" w:name="_Toc177045683"/>
      <w:bookmarkStart w:id="60" w:name="_Toc177047048"/>
      <w:bookmarkStart w:id="61" w:name="_Toc177041204"/>
      <w:bookmarkStart w:id="62" w:name="_Toc177042798"/>
      <w:bookmarkStart w:id="63" w:name="_Toc177044398"/>
      <w:bookmarkStart w:id="64" w:name="_Toc177045684"/>
      <w:bookmarkStart w:id="65" w:name="_Toc177047049"/>
      <w:bookmarkStart w:id="66" w:name="_Toc177041205"/>
      <w:bookmarkStart w:id="67" w:name="_Toc177042799"/>
      <w:bookmarkStart w:id="68" w:name="_Toc177044399"/>
      <w:bookmarkStart w:id="69" w:name="_Toc177045685"/>
      <w:bookmarkStart w:id="70" w:name="_Toc177047050"/>
      <w:bookmarkStart w:id="71" w:name="_Toc177041206"/>
      <w:bookmarkStart w:id="72" w:name="_Toc177042800"/>
      <w:bookmarkStart w:id="73" w:name="_Toc177044400"/>
      <w:bookmarkStart w:id="74" w:name="_Toc177045686"/>
      <w:bookmarkStart w:id="75" w:name="_Toc177047051"/>
      <w:bookmarkStart w:id="76" w:name="_Toc177041207"/>
      <w:bookmarkStart w:id="77" w:name="_Toc177042801"/>
      <w:bookmarkStart w:id="78" w:name="_Toc177044401"/>
      <w:bookmarkStart w:id="79" w:name="_Toc177045687"/>
      <w:bookmarkStart w:id="80" w:name="_Toc177047052"/>
      <w:bookmarkStart w:id="81" w:name="_Toc177041208"/>
      <w:bookmarkStart w:id="82" w:name="_Toc177042802"/>
      <w:bookmarkStart w:id="83" w:name="_Toc177044402"/>
      <w:bookmarkStart w:id="84" w:name="_Toc177045688"/>
      <w:bookmarkStart w:id="85" w:name="_Toc177047053"/>
      <w:bookmarkStart w:id="86" w:name="_Toc177041209"/>
      <w:bookmarkStart w:id="87" w:name="_Toc177042803"/>
      <w:bookmarkStart w:id="88" w:name="_Toc177044403"/>
      <w:bookmarkStart w:id="89" w:name="_Toc177045689"/>
      <w:bookmarkStart w:id="90" w:name="_Toc177047054"/>
      <w:bookmarkStart w:id="91" w:name="_Toc177041210"/>
      <w:bookmarkStart w:id="92" w:name="_Toc177042804"/>
      <w:bookmarkStart w:id="93" w:name="_Toc177044404"/>
      <w:bookmarkStart w:id="94" w:name="_Toc177045690"/>
      <w:bookmarkStart w:id="95" w:name="_Toc177047055"/>
      <w:bookmarkStart w:id="96" w:name="_Toc176975236"/>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r w:rsidRPr="00EA176D">
        <w:rPr>
          <w:szCs w:val="28"/>
        </w:rPr>
        <w:t>III.</w:t>
      </w:r>
      <w:r w:rsidRPr="003E4CDB">
        <w:rPr>
          <w:sz w:val="22"/>
        </w:rPr>
        <w:tab/>
      </w:r>
      <w:r w:rsidRPr="003E4CDB">
        <w:rPr>
          <w:szCs w:val="28"/>
        </w:rPr>
        <w:t>Proyecto de recomendaciones para su consideración por la COP</w:t>
      </w:r>
      <w:bookmarkEnd w:id="96"/>
    </w:p>
    <w:p w14:paraId="7B1F7C6F" w14:textId="4B11EFA3" w:rsidR="00555AEE" w:rsidRPr="003E4CDB" w:rsidRDefault="00555AEE" w:rsidP="001C209B">
      <w:pPr>
        <w:pStyle w:val="CBDNormalNumber"/>
        <w:numPr>
          <w:ilvl w:val="0"/>
          <w:numId w:val="9"/>
        </w:numPr>
      </w:pPr>
      <w:r w:rsidRPr="003E4CDB">
        <w:t>Este sexto examen cuatrienal de la eficacia del mecanismo financiero es especialmente importante porque es la primera vez que la COP tiene la oportunidad de examinar la eficacia del Mecanismo Financiero tras la adopción del Marco Mundial de Biodiversidad de Kunming-Montreal, y porque un proceso de examen es un elemento importante para la gobernanza adecuada del Mecanismo Financiero.</w:t>
      </w:r>
    </w:p>
    <w:p w14:paraId="01F59DD2" w14:textId="0A231077" w:rsidR="00555AEE" w:rsidRPr="003E4CDB" w:rsidRDefault="00555AEE" w:rsidP="001C209B">
      <w:pPr>
        <w:pStyle w:val="CBDNormalNumber"/>
        <w:numPr>
          <w:ilvl w:val="0"/>
          <w:numId w:val="9"/>
        </w:numPr>
      </w:pPr>
      <w:r w:rsidRPr="003E4CDB">
        <w:t>Entre el FMAM-6 y el FMAM-8, el FMAM ha logrado progresos significativos en las áreas examinadas, a saber, su conformidad con las orientaciones de la COP, su función en la movilización de recursos y en el apoyo a la ejecución de actividades que permitan alcanzar los objetivos del CDB, incluidas sus políticas y procedimientos. No obstante, es posible y necesario introducir mejoras. Consciente de que muchas recomendaciones de este Examen se superponen con el proyecto de recomendaciones elaborado por el OSA en su cuarta reunión y que, por lo tanto, no es necesario repetirlas aquí, este Examen propone las siguientes recomendaciones adicionales para su consideración por la COP:</w:t>
      </w:r>
    </w:p>
    <w:p w14:paraId="5787A6B4" w14:textId="6A1F32C4" w:rsidR="00FA2137" w:rsidRPr="00702C74" w:rsidRDefault="00C46FBD" w:rsidP="001C209B">
      <w:pPr>
        <w:pStyle w:val="CBDNormalNumber"/>
        <w:numPr>
          <w:ilvl w:val="0"/>
          <w:numId w:val="9"/>
        </w:numPr>
      </w:pPr>
      <w:r w:rsidRPr="00702C74">
        <w:t>Este Informe propone las siguientes recomendaciones adicionales para su consideración por la COP:</w:t>
      </w:r>
    </w:p>
    <w:p w14:paraId="43E8E111" w14:textId="48DD65DC" w:rsidR="00C46FBD" w:rsidRPr="00702C74" w:rsidRDefault="00C46FBD" w:rsidP="00C46FBD">
      <w:pPr>
        <w:pStyle w:val="CBDNormalNumber"/>
        <w:numPr>
          <w:ilvl w:val="0"/>
          <w:numId w:val="0"/>
        </w:numPr>
        <w:ind w:left="567"/>
        <w:rPr>
          <w:i/>
          <w:iCs/>
        </w:rPr>
      </w:pPr>
      <w:r w:rsidRPr="00702C74">
        <w:rPr>
          <w:i/>
          <w:iCs/>
        </w:rPr>
        <w:t>Conclusiones generales</w:t>
      </w:r>
    </w:p>
    <w:p w14:paraId="339B4327" w14:textId="0045A46E" w:rsidR="00C46FBD" w:rsidRPr="005434C5" w:rsidRDefault="00CB130E" w:rsidP="00D92E2A">
      <w:pPr>
        <w:pStyle w:val="CBDNormalNumber"/>
        <w:numPr>
          <w:ilvl w:val="1"/>
          <w:numId w:val="9"/>
        </w:numPr>
      </w:pPr>
      <w:r w:rsidRPr="005434C5">
        <w:t>Observa que el FMAM ha logrado progresos significativos entre el FMAM-6 y el FMAM-8 en cuanto a su conformidad con las orientaciones de la COP, su función en la movilización de recursos y el apoyo a la ejecución de actividades que permitan alcanzar los objetivos del CDB, incluidas sus políticas y procedimientos. En general, el FMAM es eficaz a la hora de catalizar y mejorar las medidas nacionales de aplicación para alcanzar los objetivos del Convenio;</w:t>
      </w:r>
    </w:p>
    <w:p w14:paraId="79774E33" w14:textId="22005698" w:rsidR="00CB130E" w:rsidRPr="005434C5" w:rsidRDefault="00C46FBD" w:rsidP="00D92E2A">
      <w:pPr>
        <w:pStyle w:val="CBDNormalNumber"/>
        <w:numPr>
          <w:ilvl w:val="1"/>
          <w:numId w:val="9"/>
        </w:numPr>
        <w:rPr>
          <w:rFonts w:asciiTheme="majorBidi" w:eastAsiaTheme="minorHAnsi" w:hAnsiTheme="majorBidi" w:cstheme="majorBidi"/>
        </w:rPr>
      </w:pPr>
      <w:r w:rsidRPr="005434C5">
        <w:t>Observa que la eficacia del FMAM se ve limitada por:</w:t>
      </w:r>
      <w:r w:rsidRPr="005434C5">
        <w:rPr>
          <w:rFonts w:asciiTheme="majorBidi" w:hAnsiTheme="majorBidi"/>
        </w:rPr>
        <w:t xml:space="preserve"> i) la disponibilidad de recursos financieros de los donantes para los países que reúnen las condiciones; ii) la falta de priorización estratégica de las esferas de interés o prioridades por parte de la Conferencia de las Partes; y iii) la necesidad de un mayor sentido de propiedad de los países o de un enfoque más impulsado por los países en relación con la financiación del FMAM dentro del sistema del FMAM</w:t>
      </w:r>
      <w:r w:rsidR="0014583B">
        <w:rPr>
          <w:rFonts w:asciiTheme="majorBidi" w:hAnsiTheme="majorBidi"/>
        </w:rPr>
        <w:t>;</w:t>
      </w:r>
    </w:p>
    <w:p w14:paraId="78CE85A6" w14:textId="4F8B58D2" w:rsidR="00C46FBD" w:rsidRPr="005434C5" w:rsidRDefault="00CB130E" w:rsidP="00D92E2A">
      <w:pPr>
        <w:pStyle w:val="CBDNormalNumber"/>
        <w:numPr>
          <w:ilvl w:val="1"/>
          <w:numId w:val="9"/>
        </w:numPr>
        <w:rPr>
          <w:rFonts w:asciiTheme="majorBidi" w:eastAsiaTheme="minorHAnsi" w:hAnsiTheme="majorBidi" w:cstheme="majorBidi"/>
        </w:rPr>
      </w:pPr>
      <w:r w:rsidRPr="005434C5">
        <w:t xml:space="preserve">Reconoce que los recursos del mecanismo financiero se suministran de manera relativamente previsible debido a la implementación de la asignación </w:t>
      </w:r>
      <w:proofErr w:type="spellStart"/>
      <w:r w:rsidRPr="005434C5">
        <w:t>STAR</w:t>
      </w:r>
      <w:proofErr w:type="spellEnd"/>
      <w:r w:rsidRPr="005434C5">
        <w:t>, que se han realizado mejoras en términos de desembolsos oportunos de fondos a los países que reúnen las condiciones, y que la racionalización del ciclo de proyectos del FMAM probablemente tendrá un impacto positivo en los desembolsos oportunos de fondos;</w:t>
      </w:r>
    </w:p>
    <w:p w14:paraId="25EA3974" w14:textId="77777777" w:rsidR="00C46FBD" w:rsidRPr="005434C5" w:rsidRDefault="00C46FBD" w:rsidP="00C46FBD">
      <w:pPr>
        <w:pStyle w:val="CBDNormalNumber"/>
        <w:numPr>
          <w:ilvl w:val="0"/>
          <w:numId w:val="0"/>
        </w:numPr>
        <w:ind w:left="567"/>
        <w:rPr>
          <w:rFonts w:asciiTheme="majorBidi" w:eastAsiaTheme="minorHAnsi" w:hAnsiTheme="majorBidi" w:cstheme="majorBidi"/>
          <w:i/>
          <w:iCs/>
        </w:rPr>
      </w:pPr>
      <w:r w:rsidRPr="005434C5">
        <w:rPr>
          <w:rFonts w:asciiTheme="majorBidi" w:hAnsiTheme="majorBidi"/>
          <w:i/>
          <w:iCs/>
        </w:rPr>
        <w:t>Recomendaciones dirigidas a la Conferencia de las Partes</w:t>
      </w:r>
    </w:p>
    <w:p w14:paraId="25AACC44" w14:textId="33267BA9" w:rsidR="00C46FBD" w:rsidRPr="005434C5" w:rsidRDefault="00C46FBD" w:rsidP="00D92E2A">
      <w:pPr>
        <w:pStyle w:val="CBDNormalNumber"/>
        <w:numPr>
          <w:ilvl w:val="1"/>
          <w:numId w:val="9"/>
        </w:numPr>
        <w:rPr>
          <w:rFonts w:asciiTheme="majorBidi" w:eastAsiaTheme="minorHAnsi" w:hAnsiTheme="majorBidi" w:cstheme="majorBidi"/>
          <w:i/>
          <w:iCs/>
        </w:rPr>
      </w:pPr>
      <w:r w:rsidRPr="005434C5">
        <w:t xml:space="preserve">Reconociendo la importancia de intensificar los esfuerzos para priorizar sus orientaciones y elaborar orientaciones que sean más factibles y mensurables a fin de orientar mejor al FMAM, decide establecer en su próxima reunión un comité permanente sobre el mecanismo financiero, siguiendo el modelo del Comité Permanente de Finanzas de la </w:t>
      </w:r>
      <w:proofErr w:type="spellStart"/>
      <w:r w:rsidRPr="005434C5">
        <w:t>CMNUCC</w:t>
      </w:r>
      <w:proofErr w:type="spellEnd"/>
      <w:r w:rsidRPr="005434C5">
        <w:t>, y solicita al OSA que formule recomendaciones al respecto;</w:t>
      </w:r>
    </w:p>
    <w:p w14:paraId="246B1E3A" w14:textId="66A69DCD" w:rsidR="00C46FBD" w:rsidRPr="005434C5" w:rsidRDefault="00C46FBD" w:rsidP="00D92E2A">
      <w:pPr>
        <w:pStyle w:val="CBDNormalNumber"/>
        <w:numPr>
          <w:ilvl w:val="1"/>
          <w:numId w:val="9"/>
        </w:numPr>
        <w:rPr>
          <w:rFonts w:asciiTheme="majorBidi" w:eastAsiaTheme="minorHAnsi" w:hAnsiTheme="majorBidi" w:cstheme="majorBidi"/>
        </w:rPr>
      </w:pPr>
      <w:r w:rsidRPr="005434C5">
        <w:rPr>
          <w:rFonts w:asciiTheme="majorBidi" w:hAnsiTheme="majorBidi"/>
        </w:rPr>
        <w:t xml:space="preserve">Recordando que el </w:t>
      </w:r>
      <w:r w:rsidR="00B115E2">
        <w:rPr>
          <w:rFonts w:asciiTheme="majorBidi" w:hAnsiTheme="majorBidi"/>
        </w:rPr>
        <w:t>a</w:t>
      </w:r>
      <w:r w:rsidRPr="005434C5">
        <w:rPr>
          <w:rFonts w:asciiTheme="majorBidi" w:hAnsiTheme="majorBidi"/>
        </w:rPr>
        <w:t xml:space="preserve">rtículo 20.3 establece que las Partes </w:t>
      </w:r>
      <w:r w:rsidR="000D314C">
        <w:rPr>
          <w:rFonts w:asciiTheme="majorBidi" w:hAnsiTheme="majorBidi"/>
        </w:rPr>
        <w:t>podrán</w:t>
      </w:r>
      <w:r w:rsidRPr="005434C5">
        <w:rPr>
          <w:rFonts w:asciiTheme="majorBidi" w:hAnsiTheme="majorBidi"/>
        </w:rPr>
        <w:t xml:space="preserve"> </w:t>
      </w:r>
      <w:r w:rsidR="00C13466">
        <w:rPr>
          <w:rFonts w:asciiTheme="majorBidi" w:hAnsiTheme="majorBidi"/>
        </w:rPr>
        <w:t>aportar</w:t>
      </w:r>
      <w:r w:rsidRPr="005434C5">
        <w:rPr>
          <w:rFonts w:asciiTheme="majorBidi" w:hAnsiTheme="majorBidi"/>
        </w:rPr>
        <w:t xml:space="preserve"> recursos financieros relacionados con la aplicación </w:t>
      </w:r>
      <w:r w:rsidR="001728F9">
        <w:rPr>
          <w:rFonts w:asciiTheme="majorBidi" w:hAnsiTheme="majorBidi"/>
        </w:rPr>
        <w:t>del presente</w:t>
      </w:r>
      <w:r w:rsidRPr="005434C5">
        <w:rPr>
          <w:rFonts w:asciiTheme="majorBidi" w:hAnsiTheme="majorBidi"/>
        </w:rPr>
        <w:t xml:space="preserve"> Convenio </w:t>
      </w:r>
      <w:r w:rsidR="002C3FA5">
        <w:rPr>
          <w:rFonts w:asciiTheme="majorBidi" w:hAnsiTheme="majorBidi"/>
        </w:rPr>
        <w:t>por conducto</w:t>
      </w:r>
      <w:r w:rsidRPr="005434C5">
        <w:rPr>
          <w:rFonts w:asciiTheme="majorBidi" w:hAnsiTheme="majorBidi"/>
        </w:rPr>
        <w:t xml:space="preserve"> de otros canales multilaterales, pide a la Secretaria Ejecutiva que se ponga en contacto con la Secretaría del Fondo Verde para el Clima con el fin de mejorar la colaboración con el Convenio y el apoyo al mismo;</w:t>
      </w:r>
    </w:p>
    <w:p w14:paraId="441E10FA" w14:textId="77777777" w:rsidR="00C46FBD" w:rsidRPr="005434C5" w:rsidRDefault="00C46FBD" w:rsidP="00C46FBD">
      <w:pPr>
        <w:pStyle w:val="CBDNormalNumber"/>
        <w:numPr>
          <w:ilvl w:val="0"/>
          <w:numId w:val="0"/>
        </w:numPr>
        <w:ind w:left="567"/>
        <w:rPr>
          <w:rFonts w:asciiTheme="majorBidi" w:eastAsiaTheme="minorHAnsi" w:hAnsiTheme="majorBidi" w:cstheme="majorBidi"/>
          <w:i/>
          <w:iCs/>
        </w:rPr>
      </w:pPr>
      <w:bookmarkStart w:id="97" w:name="_heading=h.nlxkes3arp4q"/>
      <w:bookmarkStart w:id="98" w:name="_heading=h.ckg5kekyv6bf"/>
      <w:bookmarkEnd w:id="97"/>
      <w:bookmarkEnd w:id="98"/>
      <w:r w:rsidRPr="005434C5">
        <w:rPr>
          <w:rFonts w:asciiTheme="majorBidi" w:hAnsiTheme="majorBidi"/>
          <w:i/>
          <w:iCs/>
        </w:rPr>
        <w:t>Recomendaciones dirigidas al Fondo para el Medio Ambiente Mundial y a la Conferencia de las Partes</w:t>
      </w:r>
    </w:p>
    <w:p w14:paraId="3C736286" w14:textId="70A4B370" w:rsidR="00C46FBD" w:rsidRPr="005434C5" w:rsidRDefault="00C46FBD" w:rsidP="00D92E2A">
      <w:pPr>
        <w:pStyle w:val="CBDNormalNumber"/>
        <w:numPr>
          <w:ilvl w:val="1"/>
          <w:numId w:val="9"/>
        </w:numPr>
        <w:rPr>
          <w:rFonts w:asciiTheme="majorBidi" w:eastAsiaTheme="minorHAnsi" w:hAnsiTheme="majorBidi" w:cstheme="majorBidi"/>
        </w:rPr>
      </w:pPr>
      <w:r w:rsidRPr="005434C5">
        <w:t xml:space="preserve">Reconociendo que se necesita urgentemente un mayor liderazgo nacional y local, recomienda que la Conferencia de las Partes y el FMAM promuevan enfoques más programáticos, aumenten el apoyo a la creación de capacidad centrada en el ámbito local e incrementen las actividades habilitantes, señalando que se trata de actividades para la preparación de un plan, una estrategia o un informe </w:t>
      </w:r>
      <w:r w:rsidR="00412FA1">
        <w:t>a fin de</w:t>
      </w:r>
      <w:r w:rsidRPr="005434C5">
        <w:t xml:space="preserve"> cumplir los compromisos contraídos en virtud del Convenio y los Protocolos;</w:t>
      </w:r>
      <w:r w:rsidRPr="005434C5">
        <w:rPr>
          <w:rFonts w:asciiTheme="majorBidi" w:hAnsiTheme="majorBidi"/>
        </w:rPr>
        <w:t xml:space="preserve"> </w:t>
      </w:r>
    </w:p>
    <w:p w14:paraId="3B9EAC3F" w14:textId="193623AE" w:rsidR="00C46FBD" w:rsidRPr="005434C5" w:rsidRDefault="00C46FBD" w:rsidP="00555AEE">
      <w:pPr>
        <w:pStyle w:val="CBDNormalNumber"/>
        <w:numPr>
          <w:ilvl w:val="0"/>
          <w:numId w:val="0"/>
        </w:numPr>
        <w:ind w:left="567"/>
        <w:rPr>
          <w:rFonts w:asciiTheme="majorBidi" w:eastAsiaTheme="minorHAnsi" w:hAnsiTheme="majorBidi" w:cstheme="majorBidi"/>
          <w:i/>
          <w:iCs/>
        </w:rPr>
      </w:pPr>
      <w:r w:rsidRPr="005434C5">
        <w:rPr>
          <w:rFonts w:asciiTheme="majorBidi" w:hAnsiTheme="majorBidi"/>
          <w:i/>
          <w:iCs/>
        </w:rPr>
        <w:t>Recomendaciones dirigidas al Fondo para el Medio Ambiente Mundial</w:t>
      </w:r>
    </w:p>
    <w:p w14:paraId="499A297C" w14:textId="4AEA720E" w:rsidR="004B683F" w:rsidRPr="005434C5" w:rsidRDefault="00265606" w:rsidP="00D92E2A">
      <w:pPr>
        <w:pStyle w:val="CBDNormalNumber"/>
        <w:numPr>
          <w:ilvl w:val="1"/>
          <w:numId w:val="9"/>
        </w:numPr>
        <w:rPr>
          <w:rFonts w:asciiTheme="majorBidi" w:hAnsiTheme="majorBidi" w:cstheme="majorBidi"/>
        </w:rPr>
      </w:pPr>
      <w:r w:rsidRPr="005434C5">
        <w:t xml:space="preserve">Alienta </w:t>
      </w:r>
      <w:r w:rsidR="0077559E">
        <w:t>al</w:t>
      </w:r>
      <w:r w:rsidRPr="005434C5">
        <w:t xml:space="preserve"> FMAM </w:t>
      </w:r>
      <w:r w:rsidR="0077559E">
        <w:t xml:space="preserve">a que </w:t>
      </w:r>
      <w:r w:rsidRPr="005434C5">
        <w:t xml:space="preserve">redoble sus esfuerzos para flexibilizar los requisitos de cofinanciación para los </w:t>
      </w:r>
      <w:proofErr w:type="spellStart"/>
      <w:r w:rsidRPr="005434C5">
        <w:t>PMA</w:t>
      </w:r>
      <w:proofErr w:type="spellEnd"/>
      <w:r w:rsidRPr="005434C5">
        <w:t xml:space="preserve">, los </w:t>
      </w:r>
      <w:proofErr w:type="spellStart"/>
      <w:r w:rsidRPr="005434C5">
        <w:t>PEID</w:t>
      </w:r>
      <w:proofErr w:type="spellEnd"/>
      <w:r w:rsidRPr="005434C5">
        <w:t xml:space="preserve"> y el área focal de biodiversidad para el Fondo Fiduciario del FMAM, como se ha hecho en relación con el Fondo para el Marco Mundial de Biodiversidad;</w:t>
      </w:r>
    </w:p>
    <w:p w14:paraId="76A22C6A" w14:textId="688978BF" w:rsidR="00CB130E" w:rsidRPr="005434C5" w:rsidRDefault="00265606" w:rsidP="00D92E2A">
      <w:pPr>
        <w:pStyle w:val="CBDNormalNumber"/>
        <w:numPr>
          <w:ilvl w:val="1"/>
          <w:numId w:val="9"/>
        </w:numPr>
        <w:rPr>
          <w:rFonts w:asciiTheme="majorBidi" w:eastAsiaTheme="minorHAnsi" w:hAnsiTheme="majorBidi" w:cstheme="majorBidi"/>
        </w:rPr>
      </w:pPr>
      <w:r w:rsidRPr="005434C5">
        <w:t>Pide al FMAM que redoble sus esfuerzos para alentar las contribuciones voluntarias de todas las Partes, en particular los países desarrollados y otras Partes y países que estén en condiciones de aportar recursos, y para movilizar recursos de otras fuentes, especialmente del sector privado, la filantropía y los instrumentos de financiación sostenible, a fin de mejorar la suficiencia de los fondos y hacer frente al déficit de financiación para la biodiversidad;</w:t>
      </w:r>
    </w:p>
    <w:p w14:paraId="031E2B25" w14:textId="14D49148" w:rsidR="007C7942" w:rsidRPr="005434C5" w:rsidRDefault="00CB130E" w:rsidP="00D92E2A">
      <w:pPr>
        <w:pStyle w:val="CBDNormalNumber"/>
        <w:numPr>
          <w:ilvl w:val="1"/>
          <w:numId w:val="9"/>
        </w:numPr>
        <w:rPr>
          <w:rFonts w:asciiTheme="majorBidi" w:eastAsiaTheme="minorHAnsi" w:hAnsiTheme="majorBidi" w:cstheme="majorBidi"/>
        </w:rPr>
      </w:pPr>
      <w:r w:rsidRPr="005434C5">
        <w:t xml:space="preserve">Reconociendo que si bien el FMAM ha </w:t>
      </w:r>
      <w:r w:rsidR="00ED1CD6">
        <w:t>adoptado</w:t>
      </w:r>
      <w:r w:rsidRPr="005434C5">
        <w:t xml:space="preserve"> medidas a lo largo de los años para mejorar la calidad de sus informes, recomienda al FMAM que mejore sus esfuerzos para cumplir plenamente con todos sus requisitos de presentación de informes, en particular para incluir: información sobre proyectos en el ámbito de la diversidad biológica financiados por el FMAM fuera del CDB y la forma en que el FMAM ha respondido a la evaluación de las necesidades por parte de la COP, en virtud del Memorando de Entendimiento con el fin de que la COP elabore una orientación más eficaz;</w:t>
      </w:r>
    </w:p>
    <w:p w14:paraId="3EB9F5C5" w14:textId="0F4B1174" w:rsidR="00C46FBD" w:rsidRPr="005434C5" w:rsidRDefault="00CB130E" w:rsidP="00D92E2A">
      <w:pPr>
        <w:pStyle w:val="CBDNormalNumber"/>
        <w:numPr>
          <w:ilvl w:val="1"/>
          <w:numId w:val="9"/>
        </w:numPr>
        <w:rPr>
          <w:rFonts w:asciiTheme="majorBidi" w:eastAsiaTheme="minorHAnsi" w:hAnsiTheme="majorBidi" w:cstheme="majorBidi"/>
        </w:rPr>
      </w:pPr>
      <w:r w:rsidRPr="005434C5">
        <w:t xml:space="preserve">Recordando que el </w:t>
      </w:r>
      <w:r w:rsidR="00B115E2">
        <w:t>a</w:t>
      </w:r>
      <w:r w:rsidRPr="005434C5">
        <w:t>rtículo 21.1 establece que el mecanismo financiero funcionará con un sistema de gobierno democrático y transparente para los fines del Convenio, invita al Consejo y a la Asamblea del Fondo para el Medio Ambiente Mundial a que promuevan la representación equitativa o geográfica de los países, la representación de los países con una diversidad biológica significativa y la representación de los países con poblaciones significativas de pueblos indígenas en el Consejo, y a que consideren la reforma de su gobernanza como parte del proceso de reposición del FMAM-9;</w:t>
      </w:r>
      <w:r w:rsidRPr="005434C5">
        <w:rPr>
          <w:rFonts w:asciiTheme="majorBidi" w:hAnsiTheme="majorBidi"/>
        </w:rPr>
        <w:t xml:space="preserve"> </w:t>
      </w:r>
    </w:p>
    <w:p w14:paraId="7F3F93F7" w14:textId="0B1F1D76" w:rsidR="00C46FBD" w:rsidRPr="005434C5" w:rsidRDefault="00C46FBD" w:rsidP="00D92E2A">
      <w:pPr>
        <w:pStyle w:val="CBDNormalNumber"/>
        <w:numPr>
          <w:ilvl w:val="1"/>
          <w:numId w:val="9"/>
        </w:numPr>
        <w:rPr>
          <w:rFonts w:asciiTheme="majorBidi" w:eastAsiaTheme="minorHAnsi" w:hAnsiTheme="majorBidi" w:cstheme="majorBidi"/>
        </w:rPr>
      </w:pPr>
      <w:r w:rsidRPr="005434C5">
        <w:t>Reconociendo la necesidad de fortalecer el liderazgo y el sentido de propiedad nacionales y locales, recomienda al FMAM que siga promoviendo dicho fortalecimiento y que revise la función de los Organismos de Ejecución a este respecto con miras a promover una participación más directa de los socios en los países en desarrollo;</w:t>
      </w:r>
    </w:p>
    <w:p w14:paraId="451C5F52" w14:textId="43AE67E2" w:rsidR="00C46FBD" w:rsidRPr="005434C5" w:rsidRDefault="00C46FBD" w:rsidP="00D92E2A">
      <w:pPr>
        <w:pStyle w:val="CBDNormalNumber"/>
        <w:numPr>
          <w:ilvl w:val="1"/>
          <w:numId w:val="9"/>
        </w:numPr>
        <w:rPr>
          <w:rFonts w:asciiTheme="majorBidi" w:eastAsiaTheme="minorHAnsi" w:hAnsiTheme="majorBidi" w:cstheme="majorBidi"/>
        </w:rPr>
      </w:pPr>
      <w:r w:rsidRPr="005434C5">
        <w:t>Recordando el número limitado de proyectos para los Protocolos, pide al FMAM que siga reexaminando las modalidades para mejorar la eficacia de los procesos de financiación de las actividades en el marco de los Protocolos y fomentar la asimilación por parte de los países, y que estudie la posibilidad de crear una ventana independiente para la seguridad de la biotecnología a fin de mejorar la aplicación del Protocolo de Cartagena;</w:t>
      </w:r>
    </w:p>
    <w:p w14:paraId="6C81988A" w14:textId="0528FCB7" w:rsidR="00C46FBD" w:rsidRPr="005434C5" w:rsidRDefault="00C46FBD" w:rsidP="00D92E2A">
      <w:pPr>
        <w:pStyle w:val="CBDNormalNumber"/>
        <w:numPr>
          <w:ilvl w:val="1"/>
          <w:numId w:val="9"/>
        </w:numPr>
        <w:rPr>
          <w:rFonts w:asciiTheme="majorBidi" w:eastAsiaTheme="minorHAnsi" w:hAnsiTheme="majorBidi" w:cstheme="majorBidi"/>
        </w:rPr>
      </w:pPr>
      <w:r w:rsidRPr="005434C5">
        <w:t>Alienta al FMAM a que flexibilice los procesos de presentación de propuestas de proyectos, incluidos los requisitos de cofinanciación, y a que aumente los recursos destinados directamente a los países menos adelantados, los pequeños Estados insulares en desarrollo y los pueblos indígenas y las comunidades locales;</w:t>
      </w:r>
    </w:p>
    <w:p w14:paraId="146C5AB4" w14:textId="5F18370B" w:rsidR="00CB130E" w:rsidRPr="005434C5" w:rsidRDefault="00C46FBD" w:rsidP="00D92E2A">
      <w:pPr>
        <w:pStyle w:val="CBDNormalNumber"/>
        <w:numPr>
          <w:ilvl w:val="1"/>
          <w:numId w:val="9"/>
        </w:numPr>
        <w:rPr>
          <w:rFonts w:asciiTheme="majorBidi" w:eastAsiaTheme="minorHAnsi" w:hAnsiTheme="majorBidi" w:cstheme="majorBidi"/>
        </w:rPr>
      </w:pPr>
      <w:r w:rsidRPr="005434C5">
        <w:t>Recordando la importancia de la contribución de los pueblos indígenas y las comunidades locales a la aplicación del Convenio y acogiendo con satisfacción el apoyo que el FMAM presta actualmente a los pueblos indígenas y las comunidades locales, pide al FMAM que siga promoviendo el apoyo a los pueblos indígenas y las comunidades locales, por ejemplo fomentando el liderazgo y la asociación en los proyectos, reconociendo los conocimientos indígenas como base para las actividades que reúnen las condiciones, utilizando indicadores específicos para el seguimiento de los proyectos y estudiando la posibilidad de establecer una meta de financiación para apoyar las prioridades de los pueblos indígenas y las comunidades locales en todo el programa de biodiversidad del Fondo Fiduciario del FMAM;</w:t>
      </w:r>
      <w:r w:rsidRPr="005434C5">
        <w:rPr>
          <w:rFonts w:asciiTheme="majorBidi" w:hAnsiTheme="majorBidi"/>
        </w:rPr>
        <w:t xml:space="preserve"> </w:t>
      </w:r>
    </w:p>
    <w:p w14:paraId="5FC1BDC6" w14:textId="2B327FB1" w:rsidR="00C46FBD" w:rsidRPr="005434C5" w:rsidRDefault="00C46FBD" w:rsidP="00D92E2A">
      <w:pPr>
        <w:pStyle w:val="CBDNormalNumber"/>
        <w:numPr>
          <w:ilvl w:val="1"/>
          <w:numId w:val="9"/>
        </w:numPr>
        <w:rPr>
          <w:rFonts w:asciiTheme="majorBidi" w:eastAsiaTheme="minorHAnsi" w:hAnsiTheme="majorBidi" w:cstheme="majorBidi"/>
        </w:rPr>
      </w:pPr>
      <w:r w:rsidRPr="005434C5">
        <w:t>Reconociendo que el FMAM efectivamente realiza seguimientos y evaluaciones periódicas de sus actividades, en consonancia con el Marco de medición de resultados del FMAM, invita al FMAM a considerar la posibilidad de vincular los resultados de la implementación en el Marco de medición de resultados del FMAM-9, los Exámenes anuales de desempeño y las Evaluaciones estratégicas por grupos países con los objetivos de los convenios, como los del CDB;</w:t>
      </w:r>
      <w:r w:rsidRPr="005434C5">
        <w:rPr>
          <w:rFonts w:asciiTheme="majorBidi" w:hAnsiTheme="majorBidi"/>
        </w:rPr>
        <w:t xml:space="preserve"> </w:t>
      </w:r>
    </w:p>
    <w:p w14:paraId="0D398189" w14:textId="783EBDD0" w:rsidR="00C46FBD" w:rsidRPr="005434C5" w:rsidRDefault="00C46FBD" w:rsidP="00D92E2A">
      <w:pPr>
        <w:pStyle w:val="CBDNormalNumber"/>
        <w:numPr>
          <w:ilvl w:val="1"/>
          <w:numId w:val="9"/>
        </w:numPr>
        <w:rPr>
          <w:rFonts w:asciiTheme="majorBidi" w:eastAsiaTheme="minorHAnsi" w:hAnsiTheme="majorBidi" w:cstheme="majorBidi"/>
        </w:rPr>
      </w:pPr>
      <w:r w:rsidRPr="005434C5">
        <w:t xml:space="preserve">Alienta al FMAM a que contribuya a la </w:t>
      </w:r>
      <w:r w:rsidR="0085593F">
        <w:t>implementación</w:t>
      </w:r>
      <w:r w:rsidRPr="005434C5">
        <w:t xml:space="preserve"> del enfoque de todo el gobierno y toda la sociedad para el Marco Mundial de Biodiversidad de Kunming-Montreal continuando la mejora del relacionamiento efectivo con las organizaciones de la sociedad civil, las mujeres y la juventud, los pueblos indígenas y las comunidades locales, el sector privado, las organizaciones filantrópicas y de conservación y otros grupos importantes de interesados</w:t>
      </w:r>
      <w:bookmarkEnd w:id="1"/>
      <w:bookmarkEnd w:id="2"/>
      <w:r w:rsidRPr="005434C5">
        <w:t>.</w:t>
      </w:r>
    </w:p>
    <w:p w14:paraId="0DD9C816" w14:textId="10480440" w:rsidR="00C67FB4" w:rsidRPr="005434C5" w:rsidRDefault="00C67FB4" w:rsidP="009504DE">
      <w:pPr>
        <w:pStyle w:val="CBDNormalNumber"/>
        <w:numPr>
          <w:ilvl w:val="0"/>
          <w:numId w:val="0"/>
        </w:numPr>
        <w:ind w:left="567"/>
        <w:jc w:val="center"/>
        <w:rPr>
          <w:rFonts w:asciiTheme="majorBidi" w:eastAsiaTheme="minorHAnsi" w:hAnsiTheme="majorBidi" w:cstheme="majorBidi"/>
          <w:highlight w:val="yellow"/>
        </w:rPr>
      </w:pPr>
      <w:r w:rsidRPr="005434C5">
        <w:rPr>
          <w:rFonts w:asciiTheme="majorBidi" w:hAnsiTheme="majorBidi"/>
        </w:rPr>
        <w:t>__________</w:t>
      </w:r>
    </w:p>
    <w:sectPr w:rsidR="00C67FB4" w:rsidRPr="005434C5" w:rsidSect="00B601B7">
      <w:headerReference w:type="even" r:id="rId16"/>
      <w:headerReference w:type="default" r:id="rId17"/>
      <w:footerReference w:type="even" r:id="rId18"/>
      <w:footerReference w:type="default" r:id="rId19"/>
      <w:headerReference w:type="first" r:id="rId20"/>
      <w:pgSz w:w="12240" w:h="15840"/>
      <w:pgMar w:top="1440" w:right="1440" w:bottom="1440" w:left="1440" w:header="720" w:footer="288"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8BE88E7" w14:textId="77777777" w:rsidR="002816CB" w:rsidRPr="000041AF" w:rsidRDefault="002816CB" w:rsidP="00CB2F0E">
      <w:r w:rsidRPr="000041AF">
        <w:separator/>
      </w:r>
    </w:p>
  </w:endnote>
  <w:endnote w:type="continuationSeparator" w:id="0">
    <w:p w14:paraId="21C06473" w14:textId="77777777" w:rsidR="002816CB" w:rsidRPr="000041AF" w:rsidRDefault="002816CB" w:rsidP="00CB2F0E">
      <w:r w:rsidRPr="000041AF">
        <w:continuationSeparator/>
      </w:r>
    </w:p>
  </w:endnote>
  <w:endnote w:type="continuationNotice" w:id="1">
    <w:p w14:paraId="1188AA48" w14:textId="77777777" w:rsidR="002816CB" w:rsidRPr="000041AF" w:rsidRDefault="002816CB"/>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imes New Roman Bold">
    <w:altName w:val="Times New Roman"/>
    <w:panose1 w:val="00000000000000000000"/>
    <w:charset w:val="00"/>
    <w:family w:val="roman"/>
    <w:notTrueType/>
    <w:pitch w:val="default"/>
    <w:sig w:usb0="00000003" w:usb1="00000000" w:usb2="00000000" w:usb3="00000000" w:csb0="00000001"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Yu Gothic Light">
    <w:panose1 w:val="020B0300000000000000"/>
    <w:charset w:val="80"/>
    <w:family w:val="swiss"/>
    <w:pitch w:val="variable"/>
    <w:sig w:usb0="E00002FF" w:usb1="2AC7FDFF" w:usb2="00000016" w:usb3="00000000" w:csb0="0002009F" w:csb1="00000000"/>
  </w:font>
  <w:font w:name="Segoe UI">
    <w:panose1 w:val="020B0502040204020203"/>
    <w:charset w:val="00"/>
    <w:family w:val="swiss"/>
    <w:pitch w:val="variable"/>
    <w:sig w:usb0="E4002EFF" w:usb1="C000E47F"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Angsana New">
    <w:panose1 w:val="02020603050405020304"/>
    <w:charset w:val="DE"/>
    <w:family w:val="roman"/>
    <w:pitch w:val="variable"/>
    <w:sig w:usb0="81000003" w:usb1="00000000" w:usb2="00000000" w:usb3="00000000" w:csb0="00010001" w:csb1="00000000"/>
  </w:font>
  <w:font w:name="Tahoma">
    <w:panose1 w:val="020B0604030504040204"/>
    <w:charset w:val="00"/>
    <w:family w:val="swiss"/>
    <w:pitch w:val="variable"/>
    <w:sig w:usb0="E1002EFF" w:usb1="C000605B" w:usb2="00000029" w:usb3="00000000" w:csb0="000101FF" w:csb1="00000000"/>
  </w:font>
  <w:font w:name="Malgun Gothic">
    <w:panose1 w:val="020B0503020000020004"/>
    <w:charset w:val="81"/>
    <w:family w:val="swiss"/>
    <w:pitch w:val="variable"/>
    <w:sig w:usb0="9000002F" w:usb1="29D77CFB" w:usb2="00000012" w:usb3="00000000" w:csb0="00080001" w:csb1="00000000"/>
  </w:font>
  <w:font w:name="Simplified Arabic">
    <w:charset w:val="B2"/>
    <w:family w:val="roman"/>
    <w:pitch w:val="variable"/>
    <w:sig w:usb0="00002003" w:usb1="80000000" w:usb2="00000008" w:usb3="00000000" w:csb0="00000041" w:csb1="00000000"/>
  </w:font>
  <w:font w:name="Yu Mincho">
    <w:charset w:val="80"/>
    <w:family w:val="roman"/>
    <w:pitch w:val="variable"/>
    <w:sig w:usb0="800002E7" w:usb1="2AC7FCFF" w:usb2="00000012" w:usb3="00000000" w:csb0="0002009F" w:csb1="00000000"/>
  </w:font>
  <w:font w:name="Calibri Light">
    <w:panose1 w:val="020F0302020204030204"/>
    <w:charset w:val="00"/>
    <w:family w:val="swiss"/>
    <w:pitch w:val="variable"/>
    <w:sig w:usb0="E4002EFF" w:usb1="C000247B" w:usb2="00000009" w:usb3="00000000" w:csb0="000001FF" w:csb1="00000000"/>
  </w:font>
  <w:font w:name="Consolas">
    <w:panose1 w:val="020B0609020204030204"/>
    <w:charset w:val="00"/>
    <w:family w:val="modern"/>
    <w:pitch w:val="fixed"/>
    <w:sig w:usb0="E00006FF" w:usb1="0000FCFF" w:usb2="00000001" w:usb3="00000000" w:csb0="0000019F" w:csb1="00000000"/>
  </w:font>
  <w:font w:name="Arial Unicode MS">
    <w:panose1 w:val="020B0604020202020204"/>
    <w:charset w:val="80"/>
    <w:family w:val="swiss"/>
    <w:pitch w:val="variable"/>
    <w:sig w:usb0="F7FFAFFF" w:usb1="E9DFFFFF" w:usb2="0000003F" w:usb3="00000000" w:csb0="003F01FF" w:csb1="00000000"/>
  </w:font>
  <w:font w:name="Arial (Body CS)">
    <w:panose1 w:val="00000000000000000000"/>
    <w:charset w:val="0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960169563"/>
      <w:docPartObj>
        <w:docPartGallery w:val="Page Numbers (Bottom of Page)"/>
        <w:docPartUnique/>
      </w:docPartObj>
    </w:sdtPr>
    <w:sdtEndPr/>
    <w:sdtContent>
      <w:sdt>
        <w:sdtPr>
          <w:id w:val="-1769616900"/>
          <w:docPartObj>
            <w:docPartGallery w:val="Page Numbers (Top of Page)"/>
            <w:docPartUnique/>
          </w:docPartObj>
        </w:sdtPr>
        <w:sdtEndPr/>
        <w:sdtContent>
          <w:p w14:paraId="08A51F5D" w14:textId="53C88B1A" w:rsidR="00193690" w:rsidRPr="000041AF" w:rsidRDefault="002816CB" w:rsidP="006B7768">
            <w:pPr>
              <w:pStyle w:val="Footer"/>
            </w:pPr>
            <w:sdt>
              <w:sdtPr>
                <w:id w:val="1805889758"/>
                <w:docPartObj>
                  <w:docPartGallery w:val="Page Numbers (Bottom of Page)"/>
                  <w:docPartUnique/>
                </w:docPartObj>
              </w:sdtPr>
              <w:sdtEndPr/>
              <w:sdtContent>
                <w:sdt>
                  <w:sdtPr>
                    <w:id w:val="-1496726712"/>
                    <w:docPartObj>
                      <w:docPartGallery w:val="Page Numbers (Top of Page)"/>
                      <w:docPartUnique/>
                    </w:docPartObj>
                  </w:sdtPr>
                  <w:sdtEndPr/>
                  <w:sdtContent>
                    <w:r w:rsidR="00193690" w:rsidRPr="002B559C">
                      <w:rPr>
                        <w:szCs w:val="20"/>
                      </w:rPr>
                      <w:fldChar w:fldCharType="begin"/>
                    </w:r>
                    <w:r w:rsidR="00193690" w:rsidRPr="002B559C">
                      <w:rPr>
                        <w:szCs w:val="20"/>
                      </w:rPr>
                      <w:instrText xml:space="preserve"> PAGE </w:instrText>
                    </w:r>
                    <w:r w:rsidR="00193690" w:rsidRPr="002B559C">
                      <w:rPr>
                        <w:szCs w:val="20"/>
                      </w:rPr>
                      <w:fldChar w:fldCharType="separate"/>
                    </w:r>
                    <w:r w:rsidR="00795274">
                      <w:rPr>
                        <w:noProof/>
                        <w:szCs w:val="20"/>
                      </w:rPr>
                      <w:t>2</w:t>
                    </w:r>
                    <w:r w:rsidR="00193690" w:rsidRPr="002B559C">
                      <w:rPr>
                        <w:szCs w:val="20"/>
                      </w:rPr>
                      <w:fldChar w:fldCharType="end"/>
                    </w:r>
                    <w:r w:rsidR="001C209B">
                      <w:t>/</w:t>
                    </w:r>
                    <w:r w:rsidR="00193690" w:rsidRPr="002B559C">
                      <w:rPr>
                        <w:szCs w:val="20"/>
                      </w:rPr>
                      <w:fldChar w:fldCharType="begin"/>
                    </w:r>
                    <w:r w:rsidR="00193690" w:rsidRPr="002B559C">
                      <w:rPr>
                        <w:szCs w:val="20"/>
                      </w:rPr>
                      <w:instrText xml:space="preserve"> NUMPAGES  </w:instrText>
                    </w:r>
                    <w:r w:rsidR="00193690" w:rsidRPr="002B559C">
                      <w:rPr>
                        <w:szCs w:val="20"/>
                      </w:rPr>
                      <w:fldChar w:fldCharType="separate"/>
                    </w:r>
                    <w:r w:rsidR="00795274">
                      <w:rPr>
                        <w:noProof/>
                        <w:szCs w:val="20"/>
                      </w:rPr>
                      <w:t>15</w:t>
                    </w:r>
                    <w:r w:rsidR="00193690" w:rsidRPr="002B559C">
                      <w:rPr>
                        <w:szCs w:val="20"/>
                      </w:rPr>
                      <w:fldChar w:fldCharType="end"/>
                    </w:r>
                  </w:sdtContent>
                </w:sdt>
              </w:sdtContent>
            </w:sdt>
          </w:p>
        </w:sdtContent>
      </w:sdt>
    </w:sdtContent>
  </w:sdt>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167293113"/>
      <w:docPartObj>
        <w:docPartGallery w:val="Page Numbers (Bottom of Page)"/>
        <w:docPartUnique/>
      </w:docPartObj>
    </w:sdtPr>
    <w:sdtEndPr/>
    <w:sdtContent>
      <w:sdt>
        <w:sdtPr>
          <w:id w:val="1807274046"/>
          <w:docPartObj>
            <w:docPartGallery w:val="Page Numbers (Top of Page)"/>
            <w:docPartUnique/>
          </w:docPartObj>
        </w:sdtPr>
        <w:sdtEndPr/>
        <w:sdtContent>
          <w:p w14:paraId="17250C44" w14:textId="37BA09BF" w:rsidR="00193690" w:rsidRPr="000041AF" w:rsidRDefault="00193690" w:rsidP="009504DE">
            <w:pPr>
              <w:pStyle w:val="Footer"/>
              <w:jc w:val="right"/>
            </w:pPr>
            <w:r w:rsidRPr="002B559C">
              <w:rPr>
                <w:szCs w:val="20"/>
              </w:rPr>
              <w:fldChar w:fldCharType="begin"/>
            </w:r>
            <w:r w:rsidRPr="002B559C">
              <w:rPr>
                <w:szCs w:val="20"/>
              </w:rPr>
              <w:instrText xml:space="preserve"> PAGE </w:instrText>
            </w:r>
            <w:r w:rsidRPr="002B559C">
              <w:rPr>
                <w:szCs w:val="20"/>
              </w:rPr>
              <w:fldChar w:fldCharType="separate"/>
            </w:r>
            <w:r w:rsidR="00795274">
              <w:rPr>
                <w:noProof/>
                <w:szCs w:val="20"/>
              </w:rPr>
              <w:t>15</w:t>
            </w:r>
            <w:r w:rsidRPr="002B559C">
              <w:rPr>
                <w:szCs w:val="20"/>
              </w:rPr>
              <w:fldChar w:fldCharType="end"/>
            </w:r>
            <w:r>
              <w:t>/</w:t>
            </w:r>
            <w:r w:rsidRPr="002B559C">
              <w:rPr>
                <w:szCs w:val="20"/>
              </w:rPr>
              <w:fldChar w:fldCharType="begin"/>
            </w:r>
            <w:r w:rsidRPr="002B559C">
              <w:rPr>
                <w:szCs w:val="20"/>
              </w:rPr>
              <w:instrText xml:space="preserve"> NUMPAGES  </w:instrText>
            </w:r>
            <w:r w:rsidRPr="002B559C">
              <w:rPr>
                <w:szCs w:val="20"/>
              </w:rPr>
              <w:fldChar w:fldCharType="separate"/>
            </w:r>
            <w:r w:rsidR="00795274">
              <w:rPr>
                <w:noProof/>
                <w:szCs w:val="20"/>
              </w:rPr>
              <w:t>15</w:t>
            </w:r>
            <w:r w:rsidRPr="002B559C">
              <w:rPr>
                <w:szCs w:val="20"/>
              </w:rPr>
              <w:fldChar w:fldCharType="end"/>
            </w:r>
          </w:p>
        </w:sdtContent>
      </w:sdt>
    </w:sdtContent>
  </w:sdt>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95DD696" w14:textId="77777777" w:rsidR="002816CB" w:rsidRPr="000041AF" w:rsidRDefault="002816CB" w:rsidP="00CB2F0E">
      <w:r w:rsidRPr="000041AF">
        <w:separator/>
      </w:r>
    </w:p>
  </w:footnote>
  <w:footnote w:type="continuationSeparator" w:id="0">
    <w:p w14:paraId="1E4938A0" w14:textId="77777777" w:rsidR="002816CB" w:rsidRPr="000041AF" w:rsidRDefault="002816CB" w:rsidP="00CB2F0E">
      <w:r w:rsidRPr="000041AF">
        <w:continuationSeparator/>
      </w:r>
    </w:p>
  </w:footnote>
  <w:footnote w:type="continuationNotice" w:id="1">
    <w:p w14:paraId="0A974CFA" w14:textId="77777777" w:rsidR="002816CB" w:rsidRPr="000041AF" w:rsidRDefault="002816CB"/>
  </w:footnote>
  <w:footnote w:id="2">
    <w:p w14:paraId="2487AB3D" w14:textId="77777777" w:rsidR="00193690" w:rsidRPr="00943075" w:rsidRDefault="00193690" w:rsidP="00C33925">
      <w:pPr>
        <w:pStyle w:val="Footnote0"/>
      </w:pPr>
      <w:r>
        <w:rPr>
          <w:rStyle w:val="FootnoteReference"/>
        </w:rPr>
        <w:t>*</w:t>
      </w:r>
      <w:r>
        <w:t xml:space="preserve"> </w:t>
      </w:r>
      <w:proofErr w:type="spellStart"/>
      <w:r>
        <w:t>CBD</w:t>
      </w:r>
      <w:proofErr w:type="spellEnd"/>
      <w:r>
        <w:t>/COP/16/1.</w:t>
      </w:r>
    </w:p>
  </w:footnote>
  <w:footnote w:id="3">
    <w:p w14:paraId="397A8382" w14:textId="51DE4EB3" w:rsidR="00193690" w:rsidRPr="00943075" w:rsidRDefault="00193690">
      <w:pPr>
        <w:pStyle w:val="FootnoteText"/>
        <w:rPr>
          <w:szCs w:val="18"/>
        </w:rPr>
      </w:pPr>
      <w:r>
        <w:rPr>
          <w:rStyle w:val="FootnoteReference"/>
          <w:szCs w:val="18"/>
        </w:rPr>
        <w:footnoteRef/>
      </w:r>
      <w:r>
        <w:t xml:space="preserve"> El informe de síntesis y las recomendaciones del evaluador independiente para el sexto examen cuatrienal de la eficacia del mecanismo financiero del Convenio sobre la Diversidad Biológica se publica sin revisión editorial.</w:t>
      </w:r>
    </w:p>
  </w:footnote>
  <w:footnote w:id="4">
    <w:p w14:paraId="0C3A935D" w14:textId="6DFEA201" w:rsidR="00193690" w:rsidRPr="009504DE" w:rsidRDefault="00193690">
      <w:pPr>
        <w:pStyle w:val="FootnoteText"/>
        <w:rPr>
          <w:szCs w:val="18"/>
        </w:rPr>
      </w:pPr>
      <w:r>
        <w:rPr>
          <w:rStyle w:val="FootnoteReference"/>
          <w:szCs w:val="18"/>
        </w:rPr>
        <w:footnoteRef/>
      </w:r>
      <w:r>
        <w:t xml:space="preserve"> El proyecto de decisión fusionado se reproducirá en la recopilación de proyectos de decisión. La parte dispositiva del presente proyecto de decisión sustituiría al párrafo 28 (un párrafo provisional) del proyecto de decisión que figura en la recomendación 4/4 del Órgano Subsidiario sobre la Aplicación. </w:t>
      </w:r>
    </w:p>
  </w:footnote>
  <w:footnote w:id="5">
    <w:p w14:paraId="216D2293" w14:textId="5F95B26D" w:rsidR="00193690" w:rsidRPr="00943075" w:rsidRDefault="00193690">
      <w:pPr>
        <w:pStyle w:val="FootnoteText"/>
        <w:rPr>
          <w:szCs w:val="18"/>
        </w:rPr>
      </w:pPr>
      <w:r>
        <w:rPr>
          <w:rStyle w:val="FootnoteReference"/>
          <w:szCs w:val="18"/>
        </w:rPr>
        <w:footnoteRef/>
      </w:r>
      <w:r>
        <w:t xml:space="preserve"> </w:t>
      </w:r>
      <w:proofErr w:type="spellStart"/>
      <w:r>
        <w:rPr>
          <w:rFonts w:asciiTheme="majorBidi" w:hAnsiTheme="majorBidi"/>
          <w:color w:val="000000"/>
          <w:szCs w:val="18"/>
        </w:rPr>
        <w:t>CBD</w:t>
      </w:r>
      <w:proofErr w:type="spellEnd"/>
      <w:r>
        <w:rPr>
          <w:rFonts w:asciiTheme="majorBidi" w:hAnsiTheme="majorBidi"/>
          <w:color w:val="000000"/>
          <w:szCs w:val="18"/>
        </w:rPr>
        <w:t>/COP/16/8.</w:t>
      </w:r>
    </w:p>
  </w:footnote>
  <w:footnote w:id="6">
    <w:p w14:paraId="166567CF" w14:textId="77777777" w:rsidR="00193690" w:rsidRPr="00943075" w:rsidRDefault="00193690" w:rsidP="002352D9">
      <w:pPr>
        <w:pStyle w:val="FootnoteText"/>
        <w:rPr>
          <w:szCs w:val="18"/>
        </w:rPr>
      </w:pPr>
      <w:r>
        <w:rPr>
          <w:rStyle w:val="FootnoteReference"/>
          <w:szCs w:val="18"/>
        </w:rPr>
        <w:footnoteRef/>
      </w:r>
      <w:r>
        <w:t xml:space="preserve"> Naciones Unidas, </w:t>
      </w:r>
      <w:r>
        <w:rPr>
          <w:i/>
          <w:iCs/>
          <w:szCs w:val="18"/>
        </w:rPr>
        <w:t>Serie de Tratados</w:t>
      </w:r>
      <w:r>
        <w:t>, vol. 1760, Núm. 30619.</w:t>
      </w:r>
    </w:p>
  </w:footnote>
  <w:footnote w:id="7">
    <w:p w14:paraId="4A10B129" w14:textId="5C99E1EB" w:rsidR="00193690" w:rsidRPr="00943075" w:rsidRDefault="00193690">
      <w:pPr>
        <w:pStyle w:val="FootnoteText"/>
        <w:rPr>
          <w:szCs w:val="18"/>
        </w:rPr>
      </w:pPr>
      <w:r>
        <w:rPr>
          <w:rStyle w:val="FootnoteReference"/>
          <w:szCs w:val="18"/>
        </w:rPr>
        <w:footnoteRef/>
      </w:r>
      <w:r>
        <w:t xml:space="preserve"> </w:t>
      </w:r>
      <w:proofErr w:type="spellStart"/>
      <w:r>
        <w:rPr>
          <w:rFonts w:asciiTheme="majorBidi" w:hAnsiTheme="majorBidi"/>
          <w:color w:val="000000"/>
          <w:szCs w:val="18"/>
        </w:rPr>
        <w:t>CBD</w:t>
      </w:r>
      <w:proofErr w:type="spellEnd"/>
      <w:r>
        <w:rPr>
          <w:rFonts w:asciiTheme="majorBidi" w:hAnsiTheme="majorBidi"/>
          <w:color w:val="000000"/>
          <w:szCs w:val="18"/>
        </w:rPr>
        <w:t>/COP/16/</w:t>
      </w:r>
      <w:proofErr w:type="spellStart"/>
      <w:r>
        <w:rPr>
          <w:rFonts w:asciiTheme="majorBidi" w:hAnsiTheme="majorBidi"/>
          <w:color w:val="000000"/>
          <w:szCs w:val="18"/>
        </w:rPr>
        <w:t>INF</w:t>
      </w:r>
      <w:proofErr w:type="spellEnd"/>
      <w:r>
        <w:rPr>
          <w:rFonts w:asciiTheme="majorBidi" w:hAnsiTheme="majorBidi"/>
          <w:color w:val="000000"/>
          <w:szCs w:val="18"/>
        </w:rPr>
        <w:t>/25.</w:t>
      </w:r>
    </w:p>
  </w:footnote>
  <w:footnote w:id="8">
    <w:p w14:paraId="0E77C225" w14:textId="584BA92E" w:rsidR="00193690" w:rsidRPr="00943075" w:rsidRDefault="00193690">
      <w:pPr>
        <w:pStyle w:val="FootnoteText"/>
        <w:rPr>
          <w:szCs w:val="18"/>
        </w:rPr>
      </w:pPr>
      <w:r>
        <w:rPr>
          <w:rStyle w:val="FootnoteReference"/>
          <w:szCs w:val="18"/>
        </w:rPr>
        <w:footnoteRef/>
      </w:r>
      <w:r>
        <w:t xml:space="preserve"> </w:t>
      </w:r>
      <w:r>
        <w:rPr>
          <w:color w:val="000000"/>
          <w:szCs w:val="18"/>
        </w:rPr>
        <w:t xml:space="preserve">Naciones Unidas, </w:t>
      </w:r>
      <w:r>
        <w:rPr>
          <w:i/>
          <w:color w:val="000000"/>
          <w:szCs w:val="18"/>
        </w:rPr>
        <w:t>Serie de Tratados</w:t>
      </w:r>
      <w:r>
        <w:rPr>
          <w:color w:val="000000"/>
          <w:szCs w:val="18"/>
        </w:rPr>
        <w:t>, vol. 2226, Núm. 30619.</w:t>
      </w:r>
    </w:p>
  </w:footnote>
  <w:footnote w:id="9">
    <w:p w14:paraId="4996C070" w14:textId="4D489EB8" w:rsidR="00193690" w:rsidRPr="00943075" w:rsidRDefault="00193690">
      <w:pPr>
        <w:pStyle w:val="FootnoteText"/>
        <w:rPr>
          <w:szCs w:val="18"/>
        </w:rPr>
      </w:pPr>
      <w:r>
        <w:rPr>
          <w:rStyle w:val="FootnoteReference"/>
          <w:szCs w:val="18"/>
        </w:rPr>
        <w:footnoteRef/>
      </w:r>
      <w:r>
        <w:t xml:space="preserve"> Naciones Unidas, </w:t>
      </w:r>
      <w:r>
        <w:rPr>
          <w:i/>
          <w:iCs/>
          <w:szCs w:val="18"/>
        </w:rPr>
        <w:t>Serie de Tratados</w:t>
      </w:r>
      <w:r>
        <w:t>, vol. 3008, Núm. 30619.</w:t>
      </w:r>
    </w:p>
  </w:footnote>
  <w:footnote w:id="10">
    <w:p w14:paraId="34E28EF0" w14:textId="1FA653BB" w:rsidR="00193690" w:rsidRPr="00943075" w:rsidRDefault="00193690">
      <w:pPr>
        <w:pStyle w:val="FootnoteText"/>
        <w:rPr>
          <w:szCs w:val="18"/>
        </w:rPr>
      </w:pPr>
      <w:r>
        <w:rPr>
          <w:rStyle w:val="FootnoteReference"/>
          <w:szCs w:val="18"/>
        </w:rPr>
        <w:footnoteRef/>
      </w:r>
      <w:r>
        <w:t xml:space="preserve"> Decisión 15/4, anexo.</w:t>
      </w:r>
    </w:p>
  </w:footnote>
  <w:footnote w:id="11">
    <w:p w14:paraId="4E54360C" w14:textId="65F10C9F" w:rsidR="00193690" w:rsidRPr="00F9789F" w:rsidRDefault="00193690">
      <w:pPr>
        <w:pStyle w:val="FootnoteText"/>
      </w:pPr>
      <w:r>
        <w:rPr>
          <w:rStyle w:val="FootnoteReference"/>
        </w:rPr>
        <w:footnoteRef/>
      </w:r>
      <w:r>
        <w:t xml:space="preserve"> Anexo de la decisión III/8.</w:t>
      </w:r>
    </w:p>
  </w:footnote>
  <w:footnote w:id="12">
    <w:p w14:paraId="46077923" w14:textId="402789AA" w:rsidR="00193690" w:rsidRPr="009504DE" w:rsidRDefault="00193690">
      <w:pPr>
        <w:pStyle w:val="FootnoteText"/>
      </w:pPr>
      <w:r>
        <w:rPr>
          <w:rStyle w:val="FootnoteReference"/>
        </w:rPr>
        <w:footnoteRef/>
      </w:r>
      <w:r>
        <w:t xml:space="preserve"> Naciones Unidas, </w:t>
      </w:r>
      <w:r>
        <w:rPr>
          <w:i/>
          <w:iCs/>
        </w:rPr>
        <w:t>Serie de Tratados</w:t>
      </w:r>
      <w:r>
        <w:t>, vol. 1771, Núm. 30822.</w:t>
      </w:r>
    </w:p>
  </w:footnote>
  <w:footnote w:id="13">
    <w:p w14:paraId="2A274279" w14:textId="0D824B06" w:rsidR="00193690" w:rsidRPr="009504DE" w:rsidRDefault="00193690">
      <w:pPr>
        <w:pStyle w:val="FootnoteText"/>
        <w:rPr>
          <w:szCs w:val="18"/>
        </w:rPr>
      </w:pPr>
      <w:r>
        <w:rPr>
          <w:rStyle w:val="FootnoteReference"/>
          <w:szCs w:val="18"/>
        </w:rPr>
        <w:footnoteRef/>
      </w:r>
      <w:r>
        <w:t xml:space="preserve"> En la COP-14 se estudió la posibilidad de crear un comité permanente de finanzas a la luz del anterior examen de la eficacia.</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9A39F75" w14:textId="51F900B0" w:rsidR="00193690" w:rsidRPr="000041AF" w:rsidRDefault="00193690">
    <w:pPr>
      <w:pStyle w:val="Header"/>
      <w:rPr>
        <w:rFonts w:cs="Arial (Body CS)"/>
      </w:rPr>
    </w:pPr>
    <w:proofErr w:type="spellStart"/>
    <w:r>
      <w:t>CBD</w:t>
    </w:r>
    <w:proofErr w:type="spellEnd"/>
    <w:r>
      <w:t>/COP/16/7</w: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21AF611" w14:textId="52991584" w:rsidR="00193690" w:rsidRPr="000041AF" w:rsidRDefault="00193690" w:rsidP="00A35FBB">
    <w:pPr>
      <w:pStyle w:val="Header"/>
      <w:jc w:val="right"/>
      <w:rPr>
        <w:rFonts w:cs="Arial (Body CS)"/>
      </w:rPr>
    </w:pPr>
    <w:proofErr w:type="spellStart"/>
    <w:r>
      <w:t>CBD</w:t>
    </w:r>
    <w:proofErr w:type="spellEnd"/>
    <w:r>
      <w:t>/COP/16/7</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75E29C3" w14:textId="6E490D45" w:rsidR="00193690" w:rsidRPr="000041AF" w:rsidRDefault="00193690" w:rsidP="009504DE">
    <w:pPr>
      <w:pStyle w:val="Header"/>
      <w:pBdr>
        <w:bottom w:val="none" w:sz="0" w:space="0" w:color="auto"/>
      </w:pBd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70E450A6"/>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FBE2B01E"/>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C31A3838"/>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6A50DA76"/>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89529AEE"/>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67E40170"/>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5B8A5266"/>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FCA265F8"/>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543CDDA0"/>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9EBAE580"/>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25167D3D"/>
    <w:multiLevelType w:val="hybridMultilevel"/>
    <w:tmpl w:val="1FDA5006"/>
    <w:lvl w:ilvl="0" w:tplc="516E62AC">
      <w:start w:val="1"/>
      <w:numFmt w:val="decimal"/>
      <w:pStyle w:val="GEFNumberedParagraph"/>
      <w:lvlText w:val="%1."/>
      <w:lvlJc w:val="left"/>
      <w:pPr>
        <w:ind w:left="0" w:firstLine="0"/>
      </w:pPr>
      <w:rPr>
        <w:rFonts w:ascii="Times New Roman" w:hAnsi="Times New Roman" w:cs="Times New Roman" w:hint="default"/>
        <w:b w:val="0"/>
        <w:i w:val="0"/>
        <w:sz w:val="24"/>
        <w:szCs w:val="24"/>
        <w:vertAlign w:val="baseline"/>
      </w:rPr>
    </w:lvl>
    <w:lvl w:ilvl="1" w:tplc="6922C808">
      <w:numFmt w:val="bullet"/>
      <w:lvlText w:val="•"/>
      <w:lvlJc w:val="left"/>
      <w:pPr>
        <w:ind w:left="1440" w:hanging="360"/>
      </w:pPr>
      <w:rPr>
        <w:rFonts w:ascii="Calibri" w:eastAsia="Times New Roman Bold" w:hAnsi="Calibri" w:cs="Calibri"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46770195"/>
    <w:multiLevelType w:val="hybridMultilevel"/>
    <w:tmpl w:val="1C28A382"/>
    <w:lvl w:ilvl="0" w:tplc="54605A3A">
      <w:start w:val="1"/>
      <w:numFmt w:val="lowerLetter"/>
      <w:pStyle w:val="SubParagraphLevel1"/>
      <w:lvlText w:val="(%1)"/>
      <w:lvlJc w:val="left"/>
      <w:pPr>
        <w:ind w:left="3600" w:hanging="360"/>
      </w:pPr>
      <w:rPr>
        <w:rFonts w:hint="default"/>
        <w:color w:val="auto"/>
      </w:rPr>
    </w:lvl>
    <w:lvl w:ilvl="1" w:tplc="04090019">
      <w:start w:val="1"/>
      <w:numFmt w:val="lowerLetter"/>
      <w:lvlText w:val="%2."/>
      <w:lvlJc w:val="left"/>
      <w:pPr>
        <w:ind w:left="2160" w:hanging="360"/>
      </w:pPr>
    </w:lvl>
    <w:lvl w:ilvl="2" w:tplc="3D22C8C8">
      <w:numFmt w:val="bullet"/>
      <w:lvlText w:val="•"/>
      <w:lvlJc w:val="left"/>
      <w:pPr>
        <w:ind w:left="3060" w:hanging="360"/>
      </w:pPr>
      <w:rPr>
        <w:rFonts w:ascii="Calibri" w:eastAsiaTheme="minorHAnsi" w:hAnsi="Calibri" w:cs="Calibri" w:hint="default"/>
      </w:r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2" w15:restartNumberingAfterBreak="0">
    <w:nsid w:val="48FE736D"/>
    <w:multiLevelType w:val="hybridMultilevel"/>
    <w:tmpl w:val="926001F0"/>
    <w:lvl w:ilvl="0" w:tplc="04090001">
      <w:start w:val="1"/>
      <w:numFmt w:val="bullet"/>
      <w:lvlText w:val=""/>
      <w:lvlJc w:val="left"/>
      <w:pPr>
        <w:ind w:left="720" w:hanging="360"/>
      </w:pPr>
      <w:rPr>
        <w:rFonts w:ascii="Symbol" w:hAnsi="Symbol" w:hint="default"/>
      </w:rPr>
    </w:lvl>
    <w:lvl w:ilvl="1" w:tplc="AE9408FC">
      <w:start w:val="1"/>
      <w:numFmt w:val="bullet"/>
      <w:pStyle w:val="bullettext"/>
      <w:lvlText w:val=""/>
      <w:lvlJc w:val="left"/>
      <w:pPr>
        <w:ind w:left="1440" w:hanging="360"/>
      </w:pPr>
      <w:rPr>
        <w:rFonts w:ascii="Symbol" w:hAnsi="Symbo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499D5F66"/>
    <w:multiLevelType w:val="multilevel"/>
    <w:tmpl w:val="ADA2A0B0"/>
    <w:styleLink w:val="ListCBD"/>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 %2)"/>
      <w:lvlJc w:val="left"/>
      <w:pPr>
        <w:ind w:left="567" w:firstLine="567"/>
      </w:pPr>
      <w:rPr>
        <w:rFonts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14" w15:restartNumberingAfterBreak="0">
    <w:nsid w:val="4CD54428"/>
    <w:multiLevelType w:val="hybridMultilevel"/>
    <w:tmpl w:val="E76CADB6"/>
    <w:lvl w:ilvl="0" w:tplc="0C090019">
      <w:start w:val="1"/>
      <w:numFmt w:val="lowerLetter"/>
      <w:lvlText w:val="%1."/>
      <w:lvlJc w:val="left"/>
      <w:pPr>
        <w:ind w:left="1440" w:hanging="360"/>
      </w:pPr>
    </w:lvl>
    <w:lvl w:ilvl="1" w:tplc="EE6AD784">
      <w:start w:val="1"/>
      <w:numFmt w:val="lowerRoman"/>
      <w:lvlText w:val=" %2)"/>
      <w:lvlJc w:val="right"/>
      <w:pPr>
        <w:ind w:left="2160" w:hanging="360"/>
      </w:pPr>
      <w:rPr>
        <w:rFonts w:hint="default"/>
      </w:rPr>
    </w:lvl>
    <w:lvl w:ilvl="2" w:tplc="0C09001B" w:tentative="1">
      <w:start w:val="1"/>
      <w:numFmt w:val="lowerRoman"/>
      <w:lvlText w:val="%3."/>
      <w:lvlJc w:val="right"/>
      <w:pPr>
        <w:ind w:left="2880" w:hanging="180"/>
      </w:pPr>
    </w:lvl>
    <w:lvl w:ilvl="3" w:tplc="0C09000F" w:tentative="1">
      <w:start w:val="1"/>
      <w:numFmt w:val="decimal"/>
      <w:lvlText w:val="%4."/>
      <w:lvlJc w:val="left"/>
      <w:pPr>
        <w:ind w:left="3600" w:hanging="360"/>
      </w:pPr>
    </w:lvl>
    <w:lvl w:ilvl="4" w:tplc="0C090019" w:tentative="1">
      <w:start w:val="1"/>
      <w:numFmt w:val="lowerLetter"/>
      <w:lvlText w:val="%5."/>
      <w:lvlJc w:val="left"/>
      <w:pPr>
        <w:ind w:left="4320" w:hanging="360"/>
      </w:pPr>
    </w:lvl>
    <w:lvl w:ilvl="5" w:tplc="0C09001B" w:tentative="1">
      <w:start w:val="1"/>
      <w:numFmt w:val="lowerRoman"/>
      <w:lvlText w:val="%6."/>
      <w:lvlJc w:val="right"/>
      <w:pPr>
        <w:ind w:left="5040" w:hanging="180"/>
      </w:pPr>
    </w:lvl>
    <w:lvl w:ilvl="6" w:tplc="0C09000F" w:tentative="1">
      <w:start w:val="1"/>
      <w:numFmt w:val="decimal"/>
      <w:lvlText w:val="%7."/>
      <w:lvlJc w:val="left"/>
      <w:pPr>
        <w:ind w:left="5760" w:hanging="360"/>
      </w:pPr>
    </w:lvl>
    <w:lvl w:ilvl="7" w:tplc="0C090019" w:tentative="1">
      <w:start w:val="1"/>
      <w:numFmt w:val="lowerLetter"/>
      <w:lvlText w:val="%8."/>
      <w:lvlJc w:val="left"/>
      <w:pPr>
        <w:ind w:left="6480" w:hanging="360"/>
      </w:pPr>
    </w:lvl>
    <w:lvl w:ilvl="8" w:tplc="0C09001B" w:tentative="1">
      <w:start w:val="1"/>
      <w:numFmt w:val="lowerRoman"/>
      <w:lvlText w:val="%9."/>
      <w:lvlJc w:val="right"/>
      <w:pPr>
        <w:ind w:left="7200" w:hanging="180"/>
      </w:pPr>
    </w:lvl>
  </w:abstractNum>
  <w:abstractNum w:abstractNumId="15" w15:restartNumberingAfterBreak="0">
    <w:nsid w:val="4DFD37EF"/>
    <w:multiLevelType w:val="hybridMultilevel"/>
    <w:tmpl w:val="F1F027C8"/>
    <w:lvl w:ilvl="0" w:tplc="EBE8C1A0">
      <w:start w:val="1"/>
      <w:numFmt w:val="decimal"/>
      <w:pStyle w:val="Bulletseparate"/>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4E0442B4"/>
    <w:multiLevelType w:val="multilevel"/>
    <w:tmpl w:val="5928D004"/>
    <w:lvl w:ilvl="0">
      <w:start w:val="1"/>
      <w:numFmt w:val="decimal"/>
      <w:pStyle w:val="Para1"/>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pStyle w:val="Para3"/>
      <w:lvlText w:val="(%3)"/>
      <w:lvlJc w:val="right"/>
      <w:pPr>
        <w:tabs>
          <w:tab w:val="num" w:pos="1260"/>
        </w:tabs>
        <w:ind w:left="1260" w:hanging="360"/>
      </w:pPr>
      <w:rPr>
        <w:rFonts w:hint="default"/>
      </w:rPr>
    </w:lvl>
    <w:lvl w:ilvl="3">
      <w:start w:val="1"/>
      <w:numFmt w:val="lowerRoman"/>
      <w:lvlText w:val="%4."/>
      <w:lvlJc w:val="right"/>
      <w:pPr>
        <w:tabs>
          <w:tab w:val="num" w:pos="2160"/>
        </w:tabs>
        <w:ind w:left="2160" w:hanging="720"/>
      </w:pPr>
      <w:rPr>
        <w:rFonts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360"/>
        </w:tabs>
        <w:ind w:left="36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7" w15:restartNumberingAfterBreak="0">
    <w:nsid w:val="5D943BEE"/>
    <w:multiLevelType w:val="multilevel"/>
    <w:tmpl w:val="ADA2A0B0"/>
    <w:numStyleLink w:val="ListCBD"/>
  </w:abstractNum>
  <w:abstractNum w:abstractNumId="18" w15:restartNumberingAfterBreak="0">
    <w:nsid w:val="6D191DF4"/>
    <w:multiLevelType w:val="multilevel"/>
    <w:tmpl w:val="07D269C8"/>
    <w:styleLink w:val="CBDHeadings"/>
    <w:lvl w:ilvl="0">
      <w:start w:val="1"/>
      <w:numFmt w:val="upperRoman"/>
      <w:pStyle w:val="Heading1"/>
      <w:lvlText w:val="%1."/>
      <w:lvlJc w:val="left"/>
      <w:pPr>
        <w:tabs>
          <w:tab w:val="num" w:pos="567"/>
        </w:tabs>
        <w:ind w:left="567" w:hanging="567"/>
      </w:pPr>
      <w:rPr>
        <w:rFonts w:ascii="Times New Roman" w:hAnsi="Times New Roman" w:hint="default"/>
        <w:sz w:val="28"/>
      </w:rPr>
    </w:lvl>
    <w:lvl w:ilvl="1">
      <w:start w:val="1"/>
      <w:numFmt w:val="upperLetter"/>
      <w:pStyle w:val="Heading2"/>
      <w:lvlText w:val="%2."/>
      <w:lvlJc w:val="left"/>
      <w:pPr>
        <w:tabs>
          <w:tab w:val="num" w:pos="567"/>
        </w:tabs>
        <w:ind w:left="567" w:hanging="567"/>
      </w:pPr>
      <w:rPr>
        <w:rFonts w:ascii="Times New Roman Bold" w:hAnsi="Times New Roman Bold" w:hint="default"/>
        <w:b/>
        <w:bCs/>
        <w:i w:val="0"/>
        <w:iCs w:val="0"/>
        <w:sz w:val="24"/>
        <w:szCs w:val="24"/>
      </w:rPr>
    </w:lvl>
    <w:lvl w:ilvl="2">
      <w:start w:val="1"/>
      <w:numFmt w:val="decimal"/>
      <w:pStyle w:val="Heading3"/>
      <w:lvlText w:val="%3."/>
      <w:lvlJc w:val="left"/>
      <w:pPr>
        <w:tabs>
          <w:tab w:val="num" w:pos="567"/>
        </w:tabs>
        <w:ind w:left="567" w:hanging="567"/>
      </w:pPr>
      <w:rPr>
        <w:rFonts w:ascii="Times New Roman Bold" w:hAnsi="Times New Roman Bold" w:hint="default"/>
        <w:b/>
        <w:i w:val="0"/>
        <w:sz w:val="22"/>
      </w:rPr>
    </w:lvl>
    <w:lvl w:ilvl="3">
      <w:start w:val="1"/>
      <w:numFmt w:val="lowerLetter"/>
      <w:pStyle w:val="Heading4"/>
      <w:lvlText w:val="(%4)"/>
      <w:lvlJc w:val="left"/>
      <w:pPr>
        <w:tabs>
          <w:tab w:val="num" w:pos="567"/>
        </w:tabs>
        <w:ind w:left="567" w:hanging="567"/>
      </w:pPr>
      <w:rPr>
        <w:rFonts w:ascii="Times New Roman Bold" w:hAnsi="Times New Roman Bold" w:hint="default"/>
        <w:b/>
        <w:i w:val="0"/>
        <w:sz w:val="22"/>
      </w:rPr>
    </w:lvl>
    <w:lvl w:ilvl="4">
      <w:start w:val="1"/>
      <w:numFmt w:val="lowerRoman"/>
      <w:pStyle w:val="Heading5"/>
      <w:lvlText w:val="(%5)"/>
      <w:lvlJc w:val="left"/>
      <w:pPr>
        <w:tabs>
          <w:tab w:val="num" w:pos="567"/>
        </w:tabs>
        <w:ind w:left="567" w:hanging="567"/>
      </w:pPr>
      <w:rPr>
        <w:rFonts w:ascii="Times New Roman" w:hAnsi="Times New Roman" w:hint="default"/>
        <w:b w:val="0"/>
        <w:i/>
        <w:sz w:val="22"/>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9" w15:restartNumberingAfterBreak="0">
    <w:nsid w:val="6FF7321D"/>
    <w:multiLevelType w:val="multilevel"/>
    <w:tmpl w:val="035AFA5E"/>
    <w:lvl w:ilvl="0">
      <w:start w:val="1"/>
      <w:numFmt w:val="upperRoman"/>
      <w:lvlText w:val="%1."/>
      <w:lvlJc w:val="right"/>
      <w:pPr>
        <w:tabs>
          <w:tab w:val="num" w:pos="1247"/>
        </w:tabs>
        <w:ind w:left="1247" w:hanging="396"/>
      </w:pPr>
      <w:rPr>
        <w:rFonts w:hint="default"/>
      </w:rPr>
    </w:lvl>
    <w:lvl w:ilvl="1">
      <w:start w:val="1"/>
      <w:numFmt w:val="decimalZero"/>
      <w:isLgl/>
      <w:lvlText w:val="Section %1.%2"/>
      <w:lvlJc w:val="left"/>
      <w:pPr>
        <w:ind w:left="0" w:firstLine="0"/>
      </w:pPr>
      <w:rPr>
        <w:rFonts w:hint="default"/>
      </w:rPr>
    </w:lvl>
    <w:lvl w:ilvl="2">
      <w:start w:val="1"/>
      <w:numFmt w:val="lowerLetter"/>
      <w:lvlText w:val="(%3)"/>
      <w:lvlJc w:val="left"/>
      <w:pPr>
        <w:ind w:left="720" w:hanging="432"/>
      </w:pPr>
      <w:rPr>
        <w:rFonts w:hint="default"/>
      </w:rPr>
    </w:lvl>
    <w:lvl w:ilvl="3">
      <w:start w:val="1"/>
      <w:numFmt w:val="lowerLetter"/>
      <w:lvlText w:val="(%4)"/>
      <w:lvlJc w:val="right"/>
      <w:pPr>
        <w:tabs>
          <w:tab w:val="num" w:pos="1247"/>
        </w:tabs>
        <w:ind w:left="1247" w:hanging="396"/>
      </w:pPr>
      <w:rPr>
        <w:rFonts w:hint="default"/>
      </w:rPr>
    </w:lvl>
    <w:lvl w:ilvl="4">
      <w:start w:val="1"/>
      <w:numFmt w:val="decimal"/>
      <w:lvlText w:val="%5)"/>
      <w:lvlJc w:val="left"/>
      <w:pPr>
        <w:ind w:left="1008" w:hanging="432"/>
      </w:pPr>
      <w:rPr>
        <w:rFonts w:hint="default"/>
      </w:rPr>
    </w:lvl>
    <w:lvl w:ilvl="5">
      <w:start w:val="1"/>
      <w:numFmt w:val="lowerLetter"/>
      <w:pStyle w:val="Heading6"/>
      <w:lvlText w:val="%6)"/>
      <w:lvlJc w:val="left"/>
      <w:pPr>
        <w:ind w:left="1152" w:hanging="432"/>
      </w:pPr>
      <w:rPr>
        <w:rFonts w:hint="default"/>
      </w:rPr>
    </w:lvl>
    <w:lvl w:ilvl="6">
      <w:start w:val="1"/>
      <w:numFmt w:val="lowerRoman"/>
      <w:pStyle w:val="Heading7"/>
      <w:lvlText w:val="%7)"/>
      <w:lvlJc w:val="right"/>
      <w:pPr>
        <w:ind w:left="1296" w:hanging="288"/>
      </w:pPr>
      <w:rPr>
        <w:rFonts w:hint="default"/>
      </w:rPr>
    </w:lvl>
    <w:lvl w:ilvl="7">
      <w:start w:val="1"/>
      <w:numFmt w:val="lowerLetter"/>
      <w:pStyle w:val="Heading8"/>
      <w:lvlText w:val="%8."/>
      <w:lvlJc w:val="left"/>
      <w:pPr>
        <w:ind w:left="1440" w:hanging="432"/>
      </w:pPr>
      <w:rPr>
        <w:rFonts w:hint="default"/>
      </w:rPr>
    </w:lvl>
    <w:lvl w:ilvl="8">
      <w:start w:val="1"/>
      <w:numFmt w:val="lowerRoman"/>
      <w:pStyle w:val="Heading9"/>
      <w:lvlText w:val="%9."/>
      <w:lvlJc w:val="right"/>
      <w:pPr>
        <w:ind w:left="1584" w:hanging="144"/>
      </w:pPr>
      <w:rPr>
        <w:rFonts w:hint="default"/>
      </w:rPr>
    </w:lvl>
  </w:abstractNum>
  <w:num w:numId="1">
    <w:abstractNumId w:val="16"/>
  </w:num>
  <w:num w:numId="2">
    <w:abstractNumId w:val="10"/>
  </w:num>
  <w:num w:numId="3">
    <w:abstractNumId w:val="12"/>
  </w:num>
  <w:num w:numId="4">
    <w:abstractNumId w:val="11"/>
  </w:num>
  <w:num w:numId="5">
    <w:abstractNumId w:val="15"/>
  </w:num>
  <w:num w:numId="6">
    <w:abstractNumId w:val="13"/>
  </w:num>
  <w:num w:numId="7">
    <w:abstractNumId w:val="18"/>
  </w:num>
  <w:num w:numId="8">
    <w:abstractNumId w:val="14"/>
  </w:num>
  <w:num w:numId="9">
    <w:abstractNumId w:val="13"/>
  </w:num>
  <w:num w:numId="10">
    <w:abstractNumId w:val="19"/>
  </w:num>
  <w:num w:numId="11">
    <w:abstractNumId w:val="9"/>
  </w:num>
  <w:num w:numId="12">
    <w:abstractNumId w:val="7"/>
  </w:num>
  <w:num w:numId="13">
    <w:abstractNumId w:val="6"/>
  </w:num>
  <w:num w:numId="14">
    <w:abstractNumId w:val="5"/>
  </w:num>
  <w:num w:numId="15">
    <w:abstractNumId w:val="4"/>
  </w:num>
  <w:num w:numId="16">
    <w:abstractNumId w:val="17"/>
  </w:num>
  <w:num w:numId="17">
    <w:abstractNumId w:val="8"/>
  </w:num>
  <w:num w:numId="18">
    <w:abstractNumId w:val="3"/>
  </w:num>
  <w:num w:numId="19">
    <w:abstractNumId w:val="2"/>
  </w:num>
  <w:num w:numId="20">
    <w:abstractNumId w:val="1"/>
  </w:num>
  <w:num w:numId="21">
    <w:abstractNumId w:val="0"/>
  </w:num>
  <w:numIdMacAtCleanup w:val="2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75"/>
  <w:proofState w:spelling="clean" w:grammar="clean"/>
  <w:defaultTabStop w:val="720"/>
  <w:evenAndOddHeaders/>
  <w:characterSpacingControl w:val="doNotCompress"/>
  <w:savePreviewPicture/>
  <w:hdrShapeDefaults>
    <o:shapedefaults v:ext="edit" spidmax="2049"/>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B2F0E"/>
    <w:rsid w:val="000004BB"/>
    <w:rsid w:val="00000614"/>
    <w:rsid w:val="0000072A"/>
    <w:rsid w:val="000008D5"/>
    <w:rsid w:val="00000EC4"/>
    <w:rsid w:val="00000FCC"/>
    <w:rsid w:val="00001439"/>
    <w:rsid w:val="00001658"/>
    <w:rsid w:val="00001B38"/>
    <w:rsid w:val="00001BE8"/>
    <w:rsid w:val="00002012"/>
    <w:rsid w:val="00002495"/>
    <w:rsid w:val="000026B9"/>
    <w:rsid w:val="00002DA1"/>
    <w:rsid w:val="00002F0D"/>
    <w:rsid w:val="00002FBE"/>
    <w:rsid w:val="0000301F"/>
    <w:rsid w:val="000030E2"/>
    <w:rsid w:val="0000313F"/>
    <w:rsid w:val="000033EE"/>
    <w:rsid w:val="000035BD"/>
    <w:rsid w:val="000041AF"/>
    <w:rsid w:val="00004C3F"/>
    <w:rsid w:val="00004D25"/>
    <w:rsid w:val="0000500F"/>
    <w:rsid w:val="00005052"/>
    <w:rsid w:val="000052F1"/>
    <w:rsid w:val="00005954"/>
    <w:rsid w:val="00005ABE"/>
    <w:rsid w:val="000060F1"/>
    <w:rsid w:val="000066C9"/>
    <w:rsid w:val="00006D86"/>
    <w:rsid w:val="00006E00"/>
    <w:rsid w:val="00007061"/>
    <w:rsid w:val="0000731C"/>
    <w:rsid w:val="000074B8"/>
    <w:rsid w:val="00007536"/>
    <w:rsid w:val="00007852"/>
    <w:rsid w:val="000078AA"/>
    <w:rsid w:val="00007B82"/>
    <w:rsid w:val="00007D36"/>
    <w:rsid w:val="00007DAB"/>
    <w:rsid w:val="000101D9"/>
    <w:rsid w:val="0001025C"/>
    <w:rsid w:val="00010A23"/>
    <w:rsid w:val="00010A25"/>
    <w:rsid w:val="00010F22"/>
    <w:rsid w:val="00011171"/>
    <w:rsid w:val="00011177"/>
    <w:rsid w:val="00011193"/>
    <w:rsid w:val="000111BA"/>
    <w:rsid w:val="00011998"/>
    <w:rsid w:val="00011ABF"/>
    <w:rsid w:val="00011C8A"/>
    <w:rsid w:val="00011CC4"/>
    <w:rsid w:val="000128BF"/>
    <w:rsid w:val="00012A7F"/>
    <w:rsid w:val="00012DDF"/>
    <w:rsid w:val="000131A1"/>
    <w:rsid w:val="0001339E"/>
    <w:rsid w:val="000138E1"/>
    <w:rsid w:val="00013A84"/>
    <w:rsid w:val="00013D78"/>
    <w:rsid w:val="00013E64"/>
    <w:rsid w:val="00014557"/>
    <w:rsid w:val="00014CC8"/>
    <w:rsid w:val="00014D9D"/>
    <w:rsid w:val="00014FC2"/>
    <w:rsid w:val="00015069"/>
    <w:rsid w:val="000156E8"/>
    <w:rsid w:val="00015E01"/>
    <w:rsid w:val="000165CC"/>
    <w:rsid w:val="0001680B"/>
    <w:rsid w:val="0001683E"/>
    <w:rsid w:val="00016B44"/>
    <w:rsid w:val="000170C9"/>
    <w:rsid w:val="00017540"/>
    <w:rsid w:val="000179C5"/>
    <w:rsid w:val="00017C8C"/>
    <w:rsid w:val="00017E4E"/>
    <w:rsid w:val="00017E94"/>
    <w:rsid w:val="00017F16"/>
    <w:rsid w:val="000200DB"/>
    <w:rsid w:val="000202C7"/>
    <w:rsid w:val="00020881"/>
    <w:rsid w:val="000208A9"/>
    <w:rsid w:val="000208B4"/>
    <w:rsid w:val="00020A89"/>
    <w:rsid w:val="00020B47"/>
    <w:rsid w:val="00020CB1"/>
    <w:rsid w:val="00020E95"/>
    <w:rsid w:val="00021032"/>
    <w:rsid w:val="000214D9"/>
    <w:rsid w:val="0002167A"/>
    <w:rsid w:val="000216A6"/>
    <w:rsid w:val="00021F13"/>
    <w:rsid w:val="00022114"/>
    <w:rsid w:val="00022461"/>
    <w:rsid w:val="000228F0"/>
    <w:rsid w:val="00022A15"/>
    <w:rsid w:val="00022A5C"/>
    <w:rsid w:val="00022AB0"/>
    <w:rsid w:val="00023073"/>
    <w:rsid w:val="00023201"/>
    <w:rsid w:val="000238D4"/>
    <w:rsid w:val="00023C5C"/>
    <w:rsid w:val="00023CA5"/>
    <w:rsid w:val="00023D52"/>
    <w:rsid w:val="00024022"/>
    <w:rsid w:val="00024058"/>
    <w:rsid w:val="00024A06"/>
    <w:rsid w:val="00024B0B"/>
    <w:rsid w:val="00024C0E"/>
    <w:rsid w:val="00025B1C"/>
    <w:rsid w:val="00025C94"/>
    <w:rsid w:val="00025CD6"/>
    <w:rsid w:val="00025EE6"/>
    <w:rsid w:val="00025FEA"/>
    <w:rsid w:val="000262C3"/>
    <w:rsid w:val="000265B4"/>
    <w:rsid w:val="000268DB"/>
    <w:rsid w:val="00026A63"/>
    <w:rsid w:val="00026E95"/>
    <w:rsid w:val="00026EE3"/>
    <w:rsid w:val="000272DB"/>
    <w:rsid w:val="0002737D"/>
    <w:rsid w:val="000276E5"/>
    <w:rsid w:val="00027FBC"/>
    <w:rsid w:val="00030576"/>
    <w:rsid w:val="000305AF"/>
    <w:rsid w:val="00030C9E"/>
    <w:rsid w:val="00031064"/>
    <w:rsid w:val="00031A4A"/>
    <w:rsid w:val="00031A99"/>
    <w:rsid w:val="00031F9C"/>
    <w:rsid w:val="00032047"/>
    <w:rsid w:val="0003227A"/>
    <w:rsid w:val="000323BF"/>
    <w:rsid w:val="00032D02"/>
    <w:rsid w:val="00032D3D"/>
    <w:rsid w:val="00032FE4"/>
    <w:rsid w:val="00033068"/>
    <w:rsid w:val="00033258"/>
    <w:rsid w:val="0003371B"/>
    <w:rsid w:val="00034086"/>
    <w:rsid w:val="000341E1"/>
    <w:rsid w:val="000343DF"/>
    <w:rsid w:val="0003463F"/>
    <w:rsid w:val="0003474F"/>
    <w:rsid w:val="00034EDE"/>
    <w:rsid w:val="00035C48"/>
    <w:rsid w:val="00035DB4"/>
    <w:rsid w:val="00035E46"/>
    <w:rsid w:val="00036238"/>
    <w:rsid w:val="00036A4E"/>
    <w:rsid w:val="00036BB1"/>
    <w:rsid w:val="00036CC3"/>
    <w:rsid w:val="0003712B"/>
    <w:rsid w:val="0003729A"/>
    <w:rsid w:val="000375BF"/>
    <w:rsid w:val="000376CC"/>
    <w:rsid w:val="00037EF2"/>
    <w:rsid w:val="00037F75"/>
    <w:rsid w:val="000400D7"/>
    <w:rsid w:val="000405B7"/>
    <w:rsid w:val="000406DE"/>
    <w:rsid w:val="00040A69"/>
    <w:rsid w:val="00040C66"/>
    <w:rsid w:val="00040DDF"/>
    <w:rsid w:val="00041413"/>
    <w:rsid w:val="00041618"/>
    <w:rsid w:val="00041968"/>
    <w:rsid w:val="000419B2"/>
    <w:rsid w:val="00042435"/>
    <w:rsid w:val="00042832"/>
    <w:rsid w:val="00042C8D"/>
    <w:rsid w:val="000430F7"/>
    <w:rsid w:val="00043257"/>
    <w:rsid w:val="00043667"/>
    <w:rsid w:val="00043AAB"/>
    <w:rsid w:val="00043B00"/>
    <w:rsid w:val="00043C27"/>
    <w:rsid w:val="00043D73"/>
    <w:rsid w:val="00043DAB"/>
    <w:rsid w:val="00043E37"/>
    <w:rsid w:val="00043E40"/>
    <w:rsid w:val="00043ED8"/>
    <w:rsid w:val="00043F21"/>
    <w:rsid w:val="000447D4"/>
    <w:rsid w:val="000451EA"/>
    <w:rsid w:val="000453EB"/>
    <w:rsid w:val="00045526"/>
    <w:rsid w:val="0004564B"/>
    <w:rsid w:val="00045652"/>
    <w:rsid w:val="00045BA7"/>
    <w:rsid w:val="00046027"/>
    <w:rsid w:val="0004665A"/>
    <w:rsid w:val="000467F0"/>
    <w:rsid w:val="000471D9"/>
    <w:rsid w:val="000475A9"/>
    <w:rsid w:val="00050016"/>
    <w:rsid w:val="0005020A"/>
    <w:rsid w:val="000506D8"/>
    <w:rsid w:val="00050849"/>
    <w:rsid w:val="00050E58"/>
    <w:rsid w:val="00051781"/>
    <w:rsid w:val="00052F52"/>
    <w:rsid w:val="0005361C"/>
    <w:rsid w:val="00053681"/>
    <w:rsid w:val="000536E8"/>
    <w:rsid w:val="0005384B"/>
    <w:rsid w:val="00053DE5"/>
    <w:rsid w:val="00053F8F"/>
    <w:rsid w:val="0005461A"/>
    <w:rsid w:val="000546A2"/>
    <w:rsid w:val="00054FF8"/>
    <w:rsid w:val="000554B3"/>
    <w:rsid w:val="000555C1"/>
    <w:rsid w:val="00055AB1"/>
    <w:rsid w:val="00055B4B"/>
    <w:rsid w:val="00055DAA"/>
    <w:rsid w:val="00055DCD"/>
    <w:rsid w:val="00055E09"/>
    <w:rsid w:val="000561E6"/>
    <w:rsid w:val="00056385"/>
    <w:rsid w:val="000564A1"/>
    <w:rsid w:val="00056693"/>
    <w:rsid w:val="00056811"/>
    <w:rsid w:val="00056AFA"/>
    <w:rsid w:val="00056B95"/>
    <w:rsid w:val="00056F63"/>
    <w:rsid w:val="00057945"/>
    <w:rsid w:val="0005795A"/>
    <w:rsid w:val="00057DE2"/>
    <w:rsid w:val="00057E6D"/>
    <w:rsid w:val="00060DDA"/>
    <w:rsid w:val="0006115A"/>
    <w:rsid w:val="000614B3"/>
    <w:rsid w:val="00061840"/>
    <w:rsid w:val="000618C6"/>
    <w:rsid w:val="000619D1"/>
    <w:rsid w:val="000619DA"/>
    <w:rsid w:val="00061C5D"/>
    <w:rsid w:val="00061DA1"/>
    <w:rsid w:val="00061F7D"/>
    <w:rsid w:val="00063017"/>
    <w:rsid w:val="000631ED"/>
    <w:rsid w:val="0006385D"/>
    <w:rsid w:val="00063914"/>
    <w:rsid w:val="00063E44"/>
    <w:rsid w:val="00064391"/>
    <w:rsid w:val="00064894"/>
    <w:rsid w:val="00064B35"/>
    <w:rsid w:val="00064B64"/>
    <w:rsid w:val="0006542C"/>
    <w:rsid w:val="00065680"/>
    <w:rsid w:val="00065B33"/>
    <w:rsid w:val="00065B43"/>
    <w:rsid w:val="00065BC4"/>
    <w:rsid w:val="00066054"/>
    <w:rsid w:val="00066074"/>
    <w:rsid w:val="0006609C"/>
    <w:rsid w:val="0006622E"/>
    <w:rsid w:val="000667F9"/>
    <w:rsid w:val="00066A1B"/>
    <w:rsid w:val="00066A82"/>
    <w:rsid w:val="00066FFE"/>
    <w:rsid w:val="00067520"/>
    <w:rsid w:val="000675B4"/>
    <w:rsid w:val="00067964"/>
    <w:rsid w:val="00067A64"/>
    <w:rsid w:val="00067CCE"/>
    <w:rsid w:val="00067DA7"/>
    <w:rsid w:val="0007059B"/>
    <w:rsid w:val="00070694"/>
    <w:rsid w:val="0007080A"/>
    <w:rsid w:val="00070C0E"/>
    <w:rsid w:val="000714AD"/>
    <w:rsid w:val="000714C7"/>
    <w:rsid w:val="0007164E"/>
    <w:rsid w:val="000717E0"/>
    <w:rsid w:val="000718D3"/>
    <w:rsid w:val="00072157"/>
    <w:rsid w:val="000721F7"/>
    <w:rsid w:val="00072268"/>
    <w:rsid w:val="00072457"/>
    <w:rsid w:val="000726EC"/>
    <w:rsid w:val="00072CCB"/>
    <w:rsid w:val="00073422"/>
    <w:rsid w:val="00073896"/>
    <w:rsid w:val="000747E4"/>
    <w:rsid w:val="00074856"/>
    <w:rsid w:val="00074EE9"/>
    <w:rsid w:val="00074EFC"/>
    <w:rsid w:val="00075E72"/>
    <w:rsid w:val="0007603C"/>
    <w:rsid w:val="00076A57"/>
    <w:rsid w:val="00076BA8"/>
    <w:rsid w:val="00076D61"/>
    <w:rsid w:val="00077319"/>
    <w:rsid w:val="000773C9"/>
    <w:rsid w:val="0007757A"/>
    <w:rsid w:val="00077582"/>
    <w:rsid w:val="000775B6"/>
    <w:rsid w:val="0007764A"/>
    <w:rsid w:val="000779F5"/>
    <w:rsid w:val="00077ED5"/>
    <w:rsid w:val="000807F9"/>
    <w:rsid w:val="0008109C"/>
    <w:rsid w:val="000817DB"/>
    <w:rsid w:val="0008227B"/>
    <w:rsid w:val="00082420"/>
    <w:rsid w:val="000832A6"/>
    <w:rsid w:val="00083997"/>
    <w:rsid w:val="00083BCA"/>
    <w:rsid w:val="00083C3A"/>
    <w:rsid w:val="00083F00"/>
    <w:rsid w:val="00083F12"/>
    <w:rsid w:val="00083FD0"/>
    <w:rsid w:val="000843D6"/>
    <w:rsid w:val="00084506"/>
    <w:rsid w:val="00084746"/>
    <w:rsid w:val="00084BDE"/>
    <w:rsid w:val="00085031"/>
    <w:rsid w:val="0008561D"/>
    <w:rsid w:val="000856C3"/>
    <w:rsid w:val="000856DE"/>
    <w:rsid w:val="00085827"/>
    <w:rsid w:val="0008582F"/>
    <w:rsid w:val="000858DB"/>
    <w:rsid w:val="00085DDE"/>
    <w:rsid w:val="000867BF"/>
    <w:rsid w:val="00086A1B"/>
    <w:rsid w:val="00086B8C"/>
    <w:rsid w:val="0008705E"/>
    <w:rsid w:val="000870A0"/>
    <w:rsid w:val="000870D4"/>
    <w:rsid w:val="000871BE"/>
    <w:rsid w:val="00087715"/>
    <w:rsid w:val="000879FE"/>
    <w:rsid w:val="00087A09"/>
    <w:rsid w:val="00087C48"/>
    <w:rsid w:val="00087F79"/>
    <w:rsid w:val="0009051E"/>
    <w:rsid w:val="000908B4"/>
    <w:rsid w:val="00091006"/>
    <w:rsid w:val="000915EB"/>
    <w:rsid w:val="00091887"/>
    <w:rsid w:val="00091CF2"/>
    <w:rsid w:val="00091E48"/>
    <w:rsid w:val="00092644"/>
    <w:rsid w:val="00092923"/>
    <w:rsid w:val="0009292E"/>
    <w:rsid w:val="00093155"/>
    <w:rsid w:val="00093309"/>
    <w:rsid w:val="000935AD"/>
    <w:rsid w:val="00093679"/>
    <w:rsid w:val="000939C9"/>
    <w:rsid w:val="000939E9"/>
    <w:rsid w:val="000943E5"/>
    <w:rsid w:val="000944A2"/>
    <w:rsid w:val="000945ED"/>
    <w:rsid w:val="0009489D"/>
    <w:rsid w:val="00094FEE"/>
    <w:rsid w:val="0009531F"/>
    <w:rsid w:val="000956F1"/>
    <w:rsid w:val="00095C6D"/>
    <w:rsid w:val="00095C73"/>
    <w:rsid w:val="00095D2E"/>
    <w:rsid w:val="000962F9"/>
    <w:rsid w:val="0009679A"/>
    <w:rsid w:val="00096859"/>
    <w:rsid w:val="00096AE0"/>
    <w:rsid w:val="00096B3D"/>
    <w:rsid w:val="00096F0E"/>
    <w:rsid w:val="0009721B"/>
    <w:rsid w:val="000973A1"/>
    <w:rsid w:val="00097622"/>
    <w:rsid w:val="000976D5"/>
    <w:rsid w:val="00097AFE"/>
    <w:rsid w:val="00097D19"/>
    <w:rsid w:val="000A01DE"/>
    <w:rsid w:val="000A0213"/>
    <w:rsid w:val="000A03DE"/>
    <w:rsid w:val="000A05AB"/>
    <w:rsid w:val="000A0697"/>
    <w:rsid w:val="000A07E4"/>
    <w:rsid w:val="000A0A98"/>
    <w:rsid w:val="000A0D48"/>
    <w:rsid w:val="000A1266"/>
    <w:rsid w:val="000A1642"/>
    <w:rsid w:val="000A19C2"/>
    <w:rsid w:val="000A1A12"/>
    <w:rsid w:val="000A1A92"/>
    <w:rsid w:val="000A1BF9"/>
    <w:rsid w:val="000A1E66"/>
    <w:rsid w:val="000A2262"/>
    <w:rsid w:val="000A251C"/>
    <w:rsid w:val="000A26AE"/>
    <w:rsid w:val="000A2789"/>
    <w:rsid w:val="000A2A3E"/>
    <w:rsid w:val="000A3206"/>
    <w:rsid w:val="000A32F5"/>
    <w:rsid w:val="000A3363"/>
    <w:rsid w:val="000A33E8"/>
    <w:rsid w:val="000A38C0"/>
    <w:rsid w:val="000A41F2"/>
    <w:rsid w:val="000A463C"/>
    <w:rsid w:val="000A46B7"/>
    <w:rsid w:val="000A4BDB"/>
    <w:rsid w:val="000A4CC8"/>
    <w:rsid w:val="000A4FFA"/>
    <w:rsid w:val="000A549B"/>
    <w:rsid w:val="000A5706"/>
    <w:rsid w:val="000A5C56"/>
    <w:rsid w:val="000A5EDF"/>
    <w:rsid w:val="000A65D5"/>
    <w:rsid w:val="000A671E"/>
    <w:rsid w:val="000A68BC"/>
    <w:rsid w:val="000A6C5D"/>
    <w:rsid w:val="000A6D1B"/>
    <w:rsid w:val="000A6F0C"/>
    <w:rsid w:val="000A742F"/>
    <w:rsid w:val="000A74D6"/>
    <w:rsid w:val="000A75E6"/>
    <w:rsid w:val="000A774C"/>
    <w:rsid w:val="000B025B"/>
    <w:rsid w:val="000B04D0"/>
    <w:rsid w:val="000B0554"/>
    <w:rsid w:val="000B0D7C"/>
    <w:rsid w:val="000B0EDB"/>
    <w:rsid w:val="000B13CA"/>
    <w:rsid w:val="000B1AB8"/>
    <w:rsid w:val="000B21EA"/>
    <w:rsid w:val="000B25DE"/>
    <w:rsid w:val="000B26FB"/>
    <w:rsid w:val="000B373A"/>
    <w:rsid w:val="000B3774"/>
    <w:rsid w:val="000B3BEF"/>
    <w:rsid w:val="000B465C"/>
    <w:rsid w:val="000B47AF"/>
    <w:rsid w:val="000B4BD5"/>
    <w:rsid w:val="000B4E14"/>
    <w:rsid w:val="000B523A"/>
    <w:rsid w:val="000B59AB"/>
    <w:rsid w:val="000B5D00"/>
    <w:rsid w:val="000B5E90"/>
    <w:rsid w:val="000B621D"/>
    <w:rsid w:val="000B643D"/>
    <w:rsid w:val="000B64B8"/>
    <w:rsid w:val="000B6572"/>
    <w:rsid w:val="000B65EF"/>
    <w:rsid w:val="000B6665"/>
    <w:rsid w:val="000B6775"/>
    <w:rsid w:val="000B67AF"/>
    <w:rsid w:val="000B6DD3"/>
    <w:rsid w:val="000B6F1F"/>
    <w:rsid w:val="000B7047"/>
    <w:rsid w:val="000B75AA"/>
    <w:rsid w:val="000B7D40"/>
    <w:rsid w:val="000B7F8F"/>
    <w:rsid w:val="000C0136"/>
    <w:rsid w:val="000C01EB"/>
    <w:rsid w:val="000C034D"/>
    <w:rsid w:val="000C09D1"/>
    <w:rsid w:val="000C0CF5"/>
    <w:rsid w:val="000C13E7"/>
    <w:rsid w:val="000C16CB"/>
    <w:rsid w:val="000C20EA"/>
    <w:rsid w:val="000C234A"/>
    <w:rsid w:val="000C25B7"/>
    <w:rsid w:val="000C27DC"/>
    <w:rsid w:val="000C2B3F"/>
    <w:rsid w:val="000C2D71"/>
    <w:rsid w:val="000C33DD"/>
    <w:rsid w:val="000C39B5"/>
    <w:rsid w:val="000C3CDF"/>
    <w:rsid w:val="000C3D75"/>
    <w:rsid w:val="000C3E78"/>
    <w:rsid w:val="000C3EA7"/>
    <w:rsid w:val="000C3ECF"/>
    <w:rsid w:val="000C435B"/>
    <w:rsid w:val="000C46FA"/>
    <w:rsid w:val="000C4A5E"/>
    <w:rsid w:val="000C4C05"/>
    <w:rsid w:val="000C4FC6"/>
    <w:rsid w:val="000C50C3"/>
    <w:rsid w:val="000C53E8"/>
    <w:rsid w:val="000C53EC"/>
    <w:rsid w:val="000C5B27"/>
    <w:rsid w:val="000C5E87"/>
    <w:rsid w:val="000C5ED0"/>
    <w:rsid w:val="000C5FF1"/>
    <w:rsid w:val="000C6C84"/>
    <w:rsid w:val="000C730C"/>
    <w:rsid w:val="000C745F"/>
    <w:rsid w:val="000C7A0F"/>
    <w:rsid w:val="000C7A42"/>
    <w:rsid w:val="000C7A65"/>
    <w:rsid w:val="000D0855"/>
    <w:rsid w:val="000D08B1"/>
    <w:rsid w:val="000D0D8F"/>
    <w:rsid w:val="000D1324"/>
    <w:rsid w:val="000D13A7"/>
    <w:rsid w:val="000D1E8A"/>
    <w:rsid w:val="000D21F4"/>
    <w:rsid w:val="000D2822"/>
    <w:rsid w:val="000D287C"/>
    <w:rsid w:val="000D293E"/>
    <w:rsid w:val="000D2962"/>
    <w:rsid w:val="000D2FCF"/>
    <w:rsid w:val="000D314C"/>
    <w:rsid w:val="000D321C"/>
    <w:rsid w:val="000D348C"/>
    <w:rsid w:val="000D3555"/>
    <w:rsid w:val="000D384A"/>
    <w:rsid w:val="000D395C"/>
    <w:rsid w:val="000D3AC1"/>
    <w:rsid w:val="000D3C61"/>
    <w:rsid w:val="000D3F44"/>
    <w:rsid w:val="000D4118"/>
    <w:rsid w:val="000D435A"/>
    <w:rsid w:val="000D48FE"/>
    <w:rsid w:val="000D4A80"/>
    <w:rsid w:val="000D4C5C"/>
    <w:rsid w:val="000D4F54"/>
    <w:rsid w:val="000D5052"/>
    <w:rsid w:val="000D50C5"/>
    <w:rsid w:val="000D53D3"/>
    <w:rsid w:val="000D568C"/>
    <w:rsid w:val="000D568F"/>
    <w:rsid w:val="000D6145"/>
    <w:rsid w:val="000D61C8"/>
    <w:rsid w:val="000D624C"/>
    <w:rsid w:val="000D6425"/>
    <w:rsid w:val="000D6461"/>
    <w:rsid w:val="000D68D0"/>
    <w:rsid w:val="000D6EC9"/>
    <w:rsid w:val="000D6FB5"/>
    <w:rsid w:val="000D7005"/>
    <w:rsid w:val="000D765D"/>
    <w:rsid w:val="000D76F3"/>
    <w:rsid w:val="000D7E54"/>
    <w:rsid w:val="000E0201"/>
    <w:rsid w:val="000E0421"/>
    <w:rsid w:val="000E0697"/>
    <w:rsid w:val="000E0B06"/>
    <w:rsid w:val="000E10E9"/>
    <w:rsid w:val="000E11A5"/>
    <w:rsid w:val="000E11F1"/>
    <w:rsid w:val="000E1638"/>
    <w:rsid w:val="000E1796"/>
    <w:rsid w:val="000E19A5"/>
    <w:rsid w:val="000E2255"/>
    <w:rsid w:val="000E29A3"/>
    <w:rsid w:val="000E2A02"/>
    <w:rsid w:val="000E2F5B"/>
    <w:rsid w:val="000E32CD"/>
    <w:rsid w:val="000E379B"/>
    <w:rsid w:val="000E3B79"/>
    <w:rsid w:val="000E3CA5"/>
    <w:rsid w:val="000E3FE6"/>
    <w:rsid w:val="000E4167"/>
    <w:rsid w:val="000E41BB"/>
    <w:rsid w:val="000E4452"/>
    <w:rsid w:val="000E48B9"/>
    <w:rsid w:val="000E49C9"/>
    <w:rsid w:val="000E536D"/>
    <w:rsid w:val="000E54A4"/>
    <w:rsid w:val="000E552E"/>
    <w:rsid w:val="000E571D"/>
    <w:rsid w:val="000E5741"/>
    <w:rsid w:val="000E60C2"/>
    <w:rsid w:val="000E631C"/>
    <w:rsid w:val="000E6337"/>
    <w:rsid w:val="000E682C"/>
    <w:rsid w:val="000E6BFC"/>
    <w:rsid w:val="000E7264"/>
    <w:rsid w:val="000E7463"/>
    <w:rsid w:val="000E75A8"/>
    <w:rsid w:val="000E772E"/>
    <w:rsid w:val="000E7932"/>
    <w:rsid w:val="000F0076"/>
    <w:rsid w:val="000F010E"/>
    <w:rsid w:val="000F020A"/>
    <w:rsid w:val="000F0226"/>
    <w:rsid w:val="000F09A0"/>
    <w:rsid w:val="000F0E11"/>
    <w:rsid w:val="000F0E2C"/>
    <w:rsid w:val="000F0FB5"/>
    <w:rsid w:val="000F1034"/>
    <w:rsid w:val="000F104D"/>
    <w:rsid w:val="000F1271"/>
    <w:rsid w:val="000F15A2"/>
    <w:rsid w:val="000F16CB"/>
    <w:rsid w:val="000F1A06"/>
    <w:rsid w:val="000F1B23"/>
    <w:rsid w:val="000F1D0C"/>
    <w:rsid w:val="000F1D7C"/>
    <w:rsid w:val="000F2389"/>
    <w:rsid w:val="000F265A"/>
    <w:rsid w:val="000F2DC0"/>
    <w:rsid w:val="000F30D8"/>
    <w:rsid w:val="000F35D1"/>
    <w:rsid w:val="000F3650"/>
    <w:rsid w:val="000F398C"/>
    <w:rsid w:val="000F39D9"/>
    <w:rsid w:val="000F4825"/>
    <w:rsid w:val="000F4B0B"/>
    <w:rsid w:val="000F4E12"/>
    <w:rsid w:val="000F4ECA"/>
    <w:rsid w:val="000F4EF7"/>
    <w:rsid w:val="000F4F48"/>
    <w:rsid w:val="000F4FCC"/>
    <w:rsid w:val="000F5056"/>
    <w:rsid w:val="000F5164"/>
    <w:rsid w:val="000F518D"/>
    <w:rsid w:val="000F5257"/>
    <w:rsid w:val="000F5C61"/>
    <w:rsid w:val="000F60C6"/>
    <w:rsid w:val="000F6487"/>
    <w:rsid w:val="000F6B54"/>
    <w:rsid w:val="000F71E3"/>
    <w:rsid w:val="000F779F"/>
    <w:rsid w:val="000F7F59"/>
    <w:rsid w:val="0010018C"/>
    <w:rsid w:val="00100493"/>
    <w:rsid w:val="00100594"/>
    <w:rsid w:val="001009F2"/>
    <w:rsid w:val="00100A84"/>
    <w:rsid w:val="00100B76"/>
    <w:rsid w:val="00100E57"/>
    <w:rsid w:val="0010120A"/>
    <w:rsid w:val="001012C3"/>
    <w:rsid w:val="0010149D"/>
    <w:rsid w:val="00101781"/>
    <w:rsid w:val="00101878"/>
    <w:rsid w:val="00101AA1"/>
    <w:rsid w:val="00101C80"/>
    <w:rsid w:val="00101E93"/>
    <w:rsid w:val="00101F99"/>
    <w:rsid w:val="00101FFE"/>
    <w:rsid w:val="001020F1"/>
    <w:rsid w:val="00102140"/>
    <w:rsid w:val="001021D9"/>
    <w:rsid w:val="001025F0"/>
    <w:rsid w:val="00102672"/>
    <w:rsid w:val="00102D80"/>
    <w:rsid w:val="00102E35"/>
    <w:rsid w:val="0010352F"/>
    <w:rsid w:val="00103868"/>
    <w:rsid w:val="00103C9B"/>
    <w:rsid w:val="001047C5"/>
    <w:rsid w:val="00104F9D"/>
    <w:rsid w:val="00104FC6"/>
    <w:rsid w:val="0010510B"/>
    <w:rsid w:val="001051A9"/>
    <w:rsid w:val="00105261"/>
    <w:rsid w:val="00105466"/>
    <w:rsid w:val="00105848"/>
    <w:rsid w:val="00105B61"/>
    <w:rsid w:val="00105BE1"/>
    <w:rsid w:val="00105FB1"/>
    <w:rsid w:val="00106375"/>
    <w:rsid w:val="00106CA4"/>
    <w:rsid w:val="00106F8B"/>
    <w:rsid w:val="00107383"/>
    <w:rsid w:val="001073E7"/>
    <w:rsid w:val="00107422"/>
    <w:rsid w:val="001075B9"/>
    <w:rsid w:val="00107CA6"/>
    <w:rsid w:val="00107F8F"/>
    <w:rsid w:val="00107FF6"/>
    <w:rsid w:val="00110232"/>
    <w:rsid w:val="0011026E"/>
    <w:rsid w:val="00110516"/>
    <w:rsid w:val="001106B7"/>
    <w:rsid w:val="00110B03"/>
    <w:rsid w:val="00110B3A"/>
    <w:rsid w:val="00110B68"/>
    <w:rsid w:val="00110D52"/>
    <w:rsid w:val="001120A5"/>
    <w:rsid w:val="001122CF"/>
    <w:rsid w:val="00112400"/>
    <w:rsid w:val="00112855"/>
    <w:rsid w:val="00112887"/>
    <w:rsid w:val="00112948"/>
    <w:rsid w:val="00112A4C"/>
    <w:rsid w:val="00112FA5"/>
    <w:rsid w:val="00113079"/>
    <w:rsid w:val="0011315A"/>
    <w:rsid w:val="0011327F"/>
    <w:rsid w:val="001137E0"/>
    <w:rsid w:val="00113860"/>
    <w:rsid w:val="00113BEA"/>
    <w:rsid w:val="00113F0F"/>
    <w:rsid w:val="0011432F"/>
    <w:rsid w:val="001143D0"/>
    <w:rsid w:val="0011476A"/>
    <w:rsid w:val="00114C56"/>
    <w:rsid w:val="00114CF3"/>
    <w:rsid w:val="00114FB8"/>
    <w:rsid w:val="00115725"/>
    <w:rsid w:val="00115726"/>
    <w:rsid w:val="001158C3"/>
    <w:rsid w:val="00115926"/>
    <w:rsid w:val="001161F3"/>
    <w:rsid w:val="00116564"/>
    <w:rsid w:val="00116A86"/>
    <w:rsid w:val="00116DD8"/>
    <w:rsid w:val="00117046"/>
    <w:rsid w:val="0011746B"/>
    <w:rsid w:val="00117507"/>
    <w:rsid w:val="00117905"/>
    <w:rsid w:val="00117958"/>
    <w:rsid w:val="00117B63"/>
    <w:rsid w:val="001202CB"/>
    <w:rsid w:val="00120B3F"/>
    <w:rsid w:val="00120BAD"/>
    <w:rsid w:val="00120EE0"/>
    <w:rsid w:val="00121168"/>
    <w:rsid w:val="00121186"/>
    <w:rsid w:val="00121199"/>
    <w:rsid w:val="0012160C"/>
    <w:rsid w:val="00121B4D"/>
    <w:rsid w:val="00121F26"/>
    <w:rsid w:val="00122022"/>
    <w:rsid w:val="001220CA"/>
    <w:rsid w:val="00122176"/>
    <w:rsid w:val="001222B0"/>
    <w:rsid w:val="001229E6"/>
    <w:rsid w:val="00122A91"/>
    <w:rsid w:val="00122D32"/>
    <w:rsid w:val="0012357D"/>
    <w:rsid w:val="0012426D"/>
    <w:rsid w:val="001245E2"/>
    <w:rsid w:val="00124695"/>
    <w:rsid w:val="001248A8"/>
    <w:rsid w:val="001248B4"/>
    <w:rsid w:val="00124A46"/>
    <w:rsid w:val="00124DCF"/>
    <w:rsid w:val="00124E1E"/>
    <w:rsid w:val="00124F7B"/>
    <w:rsid w:val="00125741"/>
    <w:rsid w:val="0012692B"/>
    <w:rsid w:val="00126BE7"/>
    <w:rsid w:val="00126FE0"/>
    <w:rsid w:val="001271B3"/>
    <w:rsid w:val="001273EE"/>
    <w:rsid w:val="00127FF1"/>
    <w:rsid w:val="00130051"/>
    <w:rsid w:val="00130501"/>
    <w:rsid w:val="00130863"/>
    <w:rsid w:val="00131016"/>
    <w:rsid w:val="0013155B"/>
    <w:rsid w:val="001318BF"/>
    <w:rsid w:val="0013193B"/>
    <w:rsid w:val="00131976"/>
    <w:rsid w:val="00131B85"/>
    <w:rsid w:val="0013209B"/>
    <w:rsid w:val="00132658"/>
    <w:rsid w:val="00132B35"/>
    <w:rsid w:val="00132C75"/>
    <w:rsid w:val="00132F37"/>
    <w:rsid w:val="00133208"/>
    <w:rsid w:val="001334EC"/>
    <w:rsid w:val="00133A3C"/>
    <w:rsid w:val="00133B8F"/>
    <w:rsid w:val="00133C47"/>
    <w:rsid w:val="00134079"/>
    <w:rsid w:val="001347AA"/>
    <w:rsid w:val="001347BF"/>
    <w:rsid w:val="001348A3"/>
    <w:rsid w:val="001348ED"/>
    <w:rsid w:val="00134AA5"/>
    <w:rsid w:val="00134C7F"/>
    <w:rsid w:val="001352EE"/>
    <w:rsid w:val="00135371"/>
    <w:rsid w:val="00135695"/>
    <w:rsid w:val="00135871"/>
    <w:rsid w:val="00135A47"/>
    <w:rsid w:val="00135F86"/>
    <w:rsid w:val="001363CC"/>
    <w:rsid w:val="00136495"/>
    <w:rsid w:val="00136730"/>
    <w:rsid w:val="00137077"/>
    <w:rsid w:val="001370C9"/>
    <w:rsid w:val="001371B3"/>
    <w:rsid w:val="0013726D"/>
    <w:rsid w:val="0013730F"/>
    <w:rsid w:val="0013766C"/>
    <w:rsid w:val="001376F9"/>
    <w:rsid w:val="00137910"/>
    <w:rsid w:val="00137A8F"/>
    <w:rsid w:val="0014002F"/>
    <w:rsid w:val="00140283"/>
    <w:rsid w:val="00140508"/>
    <w:rsid w:val="00140B52"/>
    <w:rsid w:val="00140C1B"/>
    <w:rsid w:val="00141323"/>
    <w:rsid w:val="00141444"/>
    <w:rsid w:val="001414CF"/>
    <w:rsid w:val="001416E9"/>
    <w:rsid w:val="00141A73"/>
    <w:rsid w:val="00141F40"/>
    <w:rsid w:val="00142391"/>
    <w:rsid w:val="00142462"/>
    <w:rsid w:val="001424D9"/>
    <w:rsid w:val="001425F2"/>
    <w:rsid w:val="0014269E"/>
    <w:rsid w:val="00142747"/>
    <w:rsid w:val="0014296A"/>
    <w:rsid w:val="00142B0A"/>
    <w:rsid w:val="00142B0F"/>
    <w:rsid w:val="00142D23"/>
    <w:rsid w:val="001432DB"/>
    <w:rsid w:val="001440C5"/>
    <w:rsid w:val="00144547"/>
    <w:rsid w:val="001445EA"/>
    <w:rsid w:val="0014469E"/>
    <w:rsid w:val="001446EC"/>
    <w:rsid w:val="00144CDE"/>
    <w:rsid w:val="00144FDC"/>
    <w:rsid w:val="001451EA"/>
    <w:rsid w:val="00145832"/>
    <w:rsid w:val="0014583B"/>
    <w:rsid w:val="00145F93"/>
    <w:rsid w:val="0014601D"/>
    <w:rsid w:val="001461C8"/>
    <w:rsid w:val="0014654E"/>
    <w:rsid w:val="001468DB"/>
    <w:rsid w:val="001468F0"/>
    <w:rsid w:val="00146BE4"/>
    <w:rsid w:val="00146EF6"/>
    <w:rsid w:val="001470F2"/>
    <w:rsid w:val="001472E8"/>
    <w:rsid w:val="00147365"/>
    <w:rsid w:val="001475CD"/>
    <w:rsid w:val="0014777D"/>
    <w:rsid w:val="001478AB"/>
    <w:rsid w:val="001478C9"/>
    <w:rsid w:val="0015063C"/>
    <w:rsid w:val="00150742"/>
    <w:rsid w:val="00150CB5"/>
    <w:rsid w:val="00150E96"/>
    <w:rsid w:val="00151051"/>
    <w:rsid w:val="001512C9"/>
    <w:rsid w:val="0015143C"/>
    <w:rsid w:val="0015146A"/>
    <w:rsid w:val="001515C6"/>
    <w:rsid w:val="001518C1"/>
    <w:rsid w:val="001518CD"/>
    <w:rsid w:val="00151AEF"/>
    <w:rsid w:val="0015207B"/>
    <w:rsid w:val="001524A7"/>
    <w:rsid w:val="0015264B"/>
    <w:rsid w:val="00152A22"/>
    <w:rsid w:val="00152CAA"/>
    <w:rsid w:val="00152EEB"/>
    <w:rsid w:val="0015314B"/>
    <w:rsid w:val="001534C4"/>
    <w:rsid w:val="00153782"/>
    <w:rsid w:val="00153793"/>
    <w:rsid w:val="001537E5"/>
    <w:rsid w:val="00153940"/>
    <w:rsid w:val="00153E65"/>
    <w:rsid w:val="00153E98"/>
    <w:rsid w:val="00153FC6"/>
    <w:rsid w:val="001545A3"/>
    <w:rsid w:val="00154B54"/>
    <w:rsid w:val="00154DE6"/>
    <w:rsid w:val="0015518A"/>
    <w:rsid w:val="001551B2"/>
    <w:rsid w:val="0015522D"/>
    <w:rsid w:val="001552C4"/>
    <w:rsid w:val="0015596D"/>
    <w:rsid w:val="00155D3C"/>
    <w:rsid w:val="00155D91"/>
    <w:rsid w:val="001561A9"/>
    <w:rsid w:val="001567A8"/>
    <w:rsid w:val="001568F4"/>
    <w:rsid w:val="0015699D"/>
    <w:rsid w:val="001569FA"/>
    <w:rsid w:val="00156A0E"/>
    <w:rsid w:val="00156FA8"/>
    <w:rsid w:val="001570E0"/>
    <w:rsid w:val="00157251"/>
    <w:rsid w:val="0015744C"/>
    <w:rsid w:val="001576BC"/>
    <w:rsid w:val="00157815"/>
    <w:rsid w:val="00157C0E"/>
    <w:rsid w:val="00157CC3"/>
    <w:rsid w:val="00160608"/>
    <w:rsid w:val="00160698"/>
    <w:rsid w:val="00160A88"/>
    <w:rsid w:val="00160C00"/>
    <w:rsid w:val="00160E90"/>
    <w:rsid w:val="00160F7C"/>
    <w:rsid w:val="00161355"/>
    <w:rsid w:val="001613A5"/>
    <w:rsid w:val="00161527"/>
    <w:rsid w:val="001616A7"/>
    <w:rsid w:val="00161C57"/>
    <w:rsid w:val="00161F0F"/>
    <w:rsid w:val="001622AA"/>
    <w:rsid w:val="001623EF"/>
    <w:rsid w:val="00163328"/>
    <w:rsid w:val="0016338E"/>
    <w:rsid w:val="00163519"/>
    <w:rsid w:val="001637ED"/>
    <w:rsid w:val="001639B0"/>
    <w:rsid w:val="00163BD7"/>
    <w:rsid w:val="00163C38"/>
    <w:rsid w:val="0016400B"/>
    <w:rsid w:val="00164525"/>
    <w:rsid w:val="00164753"/>
    <w:rsid w:val="001648B8"/>
    <w:rsid w:val="00164AC5"/>
    <w:rsid w:val="00164CDF"/>
    <w:rsid w:val="00164D02"/>
    <w:rsid w:val="00164D0C"/>
    <w:rsid w:val="00164D58"/>
    <w:rsid w:val="001651E8"/>
    <w:rsid w:val="0016545D"/>
    <w:rsid w:val="00165538"/>
    <w:rsid w:val="00165950"/>
    <w:rsid w:val="00165F6C"/>
    <w:rsid w:val="001660BD"/>
    <w:rsid w:val="00166BF0"/>
    <w:rsid w:val="00166C62"/>
    <w:rsid w:val="00166EA5"/>
    <w:rsid w:val="00167453"/>
    <w:rsid w:val="001679AF"/>
    <w:rsid w:val="00167E23"/>
    <w:rsid w:val="001704D7"/>
    <w:rsid w:val="0017086D"/>
    <w:rsid w:val="00170AFF"/>
    <w:rsid w:val="0017110A"/>
    <w:rsid w:val="00171BD1"/>
    <w:rsid w:val="00171E48"/>
    <w:rsid w:val="00171F1A"/>
    <w:rsid w:val="001726D0"/>
    <w:rsid w:val="001728F9"/>
    <w:rsid w:val="00172D01"/>
    <w:rsid w:val="0017347A"/>
    <w:rsid w:val="00173988"/>
    <w:rsid w:val="00173A75"/>
    <w:rsid w:val="00173AD1"/>
    <w:rsid w:val="00173F17"/>
    <w:rsid w:val="001742E7"/>
    <w:rsid w:val="0017550C"/>
    <w:rsid w:val="001757AA"/>
    <w:rsid w:val="00175D03"/>
    <w:rsid w:val="00176158"/>
    <w:rsid w:val="001763AA"/>
    <w:rsid w:val="001765EC"/>
    <w:rsid w:val="001766F2"/>
    <w:rsid w:val="0017684B"/>
    <w:rsid w:val="001769EE"/>
    <w:rsid w:val="00176DBE"/>
    <w:rsid w:val="001774C1"/>
    <w:rsid w:val="00177686"/>
    <w:rsid w:val="00180746"/>
    <w:rsid w:val="00180AB0"/>
    <w:rsid w:val="00180BB3"/>
    <w:rsid w:val="00180CD0"/>
    <w:rsid w:val="00180EC8"/>
    <w:rsid w:val="00181162"/>
    <w:rsid w:val="0018133E"/>
    <w:rsid w:val="00181BE7"/>
    <w:rsid w:val="001823DE"/>
    <w:rsid w:val="00182574"/>
    <w:rsid w:val="0018328B"/>
    <w:rsid w:val="001833A4"/>
    <w:rsid w:val="001834C1"/>
    <w:rsid w:val="00183C48"/>
    <w:rsid w:val="00184189"/>
    <w:rsid w:val="0018425F"/>
    <w:rsid w:val="0018432F"/>
    <w:rsid w:val="001847AE"/>
    <w:rsid w:val="001852A8"/>
    <w:rsid w:val="00186173"/>
    <w:rsid w:val="00186439"/>
    <w:rsid w:val="001867BB"/>
    <w:rsid w:val="00186A2A"/>
    <w:rsid w:val="00186A7B"/>
    <w:rsid w:val="00186ACC"/>
    <w:rsid w:val="00186D40"/>
    <w:rsid w:val="0018702A"/>
    <w:rsid w:val="00187BAC"/>
    <w:rsid w:val="001906AE"/>
    <w:rsid w:val="001906E2"/>
    <w:rsid w:val="00190A4B"/>
    <w:rsid w:val="00190DD4"/>
    <w:rsid w:val="001914E3"/>
    <w:rsid w:val="001915B0"/>
    <w:rsid w:val="00191978"/>
    <w:rsid w:val="001919E0"/>
    <w:rsid w:val="001919ED"/>
    <w:rsid w:val="00191CC2"/>
    <w:rsid w:val="001921D5"/>
    <w:rsid w:val="00192235"/>
    <w:rsid w:val="001927EC"/>
    <w:rsid w:val="00192AA9"/>
    <w:rsid w:val="00192C3C"/>
    <w:rsid w:val="0019303E"/>
    <w:rsid w:val="00193690"/>
    <w:rsid w:val="00193E82"/>
    <w:rsid w:val="001942BC"/>
    <w:rsid w:val="0019435B"/>
    <w:rsid w:val="00194416"/>
    <w:rsid w:val="00194486"/>
    <w:rsid w:val="00194793"/>
    <w:rsid w:val="001947C9"/>
    <w:rsid w:val="001947F0"/>
    <w:rsid w:val="0019531B"/>
    <w:rsid w:val="00195AC4"/>
    <w:rsid w:val="00195D0D"/>
    <w:rsid w:val="00195DAE"/>
    <w:rsid w:val="00195EFE"/>
    <w:rsid w:val="0019625E"/>
    <w:rsid w:val="00196336"/>
    <w:rsid w:val="001964A1"/>
    <w:rsid w:val="00196559"/>
    <w:rsid w:val="0019692F"/>
    <w:rsid w:val="0019720C"/>
    <w:rsid w:val="001974BF"/>
    <w:rsid w:val="00197706"/>
    <w:rsid w:val="00197DA2"/>
    <w:rsid w:val="001A030B"/>
    <w:rsid w:val="001A0DB1"/>
    <w:rsid w:val="001A14DA"/>
    <w:rsid w:val="001A1956"/>
    <w:rsid w:val="001A2062"/>
    <w:rsid w:val="001A2892"/>
    <w:rsid w:val="001A29C9"/>
    <w:rsid w:val="001A2C92"/>
    <w:rsid w:val="001A2C9A"/>
    <w:rsid w:val="001A2D9D"/>
    <w:rsid w:val="001A2E61"/>
    <w:rsid w:val="001A3273"/>
    <w:rsid w:val="001A3351"/>
    <w:rsid w:val="001A3369"/>
    <w:rsid w:val="001A33D2"/>
    <w:rsid w:val="001A3687"/>
    <w:rsid w:val="001A36DB"/>
    <w:rsid w:val="001A3743"/>
    <w:rsid w:val="001A3B7A"/>
    <w:rsid w:val="001A3DEA"/>
    <w:rsid w:val="001A46B3"/>
    <w:rsid w:val="001A4843"/>
    <w:rsid w:val="001A4890"/>
    <w:rsid w:val="001A4AA7"/>
    <w:rsid w:val="001A4E76"/>
    <w:rsid w:val="001A4FE3"/>
    <w:rsid w:val="001A521D"/>
    <w:rsid w:val="001A5459"/>
    <w:rsid w:val="001A555B"/>
    <w:rsid w:val="001A55CA"/>
    <w:rsid w:val="001A5BA8"/>
    <w:rsid w:val="001A5CA3"/>
    <w:rsid w:val="001A5CD0"/>
    <w:rsid w:val="001A6714"/>
    <w:rsid w:val="001A6B61"/>
    <w:rsid w:val="001A7041"/>
    <w:rsid w:val="001A70EC"/>
    <w:rsid w:val="001A762B"/>
    <w:rsid w:val="001A77D6"/>
    <w:rsid w:val="001A7AE8"/>
    <w:rsid w:val="001A7C45"/>
    <w:rsid w:val="001A7D02"/>
    <w:rsid w:val="001A7DEC"/>
    <w:rsid w:val="001B06E2"/>
    <w:rsid w:val="001B0C80"/>
    <w:rsid w:val="001B0F68"/>
    <w:rsid w:val="001B126B"/>
    <w:rsid w:val="001B1283"/>
    <w:rsid w:val="001B17B2"/>
    <w:rsid w:val="001B1C86"/>
    <w:rsid w:val="001B20B5"/>
    <w:rsid w:val="001B22A6"/>
    <w:rsid w:val="001B2474"/>
    <w:rsid w:val="001B2758"/>
    <w:rsid w:val="001B27F4"/>
    <w:rsid w:val="001B2A25"/>
    <w:rsid w:val="001B2B90"/>
    <w:rsid w:val="001B2D47"/>
    <w:rsid w:val="001B2F27"/>
    <w:rsid w:val="001B310F"/>
    <w:rsid w:val="001B3797"/>
    <w:rsid w:val="001B4089"/>
    <w:rsid w:val="001B4522"/>
    <w:rsid w:val="001B4826"/>
    <w:rsid w:val="001B5939"/>
    <w:rsid w:val="001B5DB4"/>
    <w:rsid w:val="001B5E79"/>
    <w:rsid w:val="001B5FD9"/>
    <w:rsid w:val="001B634D"/>
    <w:rsid w:val="001B6417"/>
    <w:rsid w:val="001B6418"/>
    <w:rsid w:val="001B64A8"/>
    <w:rsid w:val="001B67B7"/>
    <w:rsid w:val="001B718F"/>
    <w:rsid w:val="001B73E1"/>
    <w:rsid w:val="001B73FC"/>
    <w:rsid w:val="001B75F0"/>
    <w:rsid w:val="001B7BE7"/>
    <w:rsid w:val="001B7DB3"/>
    <w:rsid w:val="001B7F80"/>
    <w:rsid w:val="001C05A3"/>
    <w:rsid w:val="001C0651"/>
    <w:rsid w:val="001C068D"/>
    <w:rsid w:val="001C0A00"/>
    <w:rsid w:val="001C209B"/>
    <w:rsid w:val="001C2106"/>
    <w:rsid w:val="001C2310"/>
    <w:rsid w:val="001C2615"/>
    <w:rsid w:val="001C29BD"/>
    <w:rsid w:val="001C29E9"/>
    <w:rsid w:val="001C2AC3"/>
    <w:rsid w:val="001C2D09"/>
    <w:rsid w:val="001C2E23"/>
    <w:rsid w:val="001C3061"/>
    <w:rsid w:val="001C3251"/>
    <w:rsid w:val="001C36A0"/>
    <w:rsid w:val="001C37AA"/>
    <w:rsid w:val="001C3821"/>
    <w:rsid w:val="001C383A"/>
    <w:rsid w:val="001C3BFF"/>
    <w:rsid w:val="001C3C2E"/>
    <w:rsid w:val="001C3C7A"/>
    <w:rsid w:val="001C3CCB"/>
    <w:rsid w:val="001C3F43"/>
    <w:rsid w:val="001C408F"/>
    <w:rsid w:val="001C44CF"/>
    <w:rsid w:val="001C46BD"/>
    <w:rsid w:val="001C472A"/>
    <w:rsid w:val="001C4BCE"/>
    <w:rsid w:val="001C4D52"/>
    <w:rsid w:val="001C58EF"/>
    <w:rsid w:val="001C5CA9"/>
    <w:rsid w:val="001C5CF6"/>
    <w:rsid w:val="001C5F5E"/>
    <w:rsid w:val="001C66FC"/>
    <w:rsid w:val="001C69AA"/>
    <w:rsid w:val="001C6D86"/>
    <w:rsid w:val="001C7164"/>
    <w:rsid w:val="001C7359"/>
    <w:rsid w:val="001C7AEE"/>
    <w:rsid w:val="001D031C"/>
    <w:rsid w:val="001D08D6"/>
    <w:rsid w:val="001D08ED"/>
    <w:rsid w:val="001D0D41"/>
    <w:rsid w:val="001D0D92"/>
    <w:rsid w:val="001D1069"/>
    <w:rsid w:val="001D10F0"/>
    <w:rsid w:val="001D127D"/>
    <w:rsid w:val="001D15BE"/>
    <w:rsid w:val="001D1C23"/>
    <w:rsid w:val="001D1D12"/>
    <w:rsid w:val="001D20AB"/>
    <w:rsid w:val="001D2604"/>
    <w:rsid w:val="001D28E3"/>
    <w:rsid w:val="001D31F0"/>
    <w:rsid w:val="001D32A6"/>
    <w:rsid w:val="001D3340"/>
    <w:rsid w:val="001D3692"/>
    <w:rsid w:val="001D37C1"/>
    <w:rsid w:val="001D3D16"/>
    <w:rsid w:val="001D3D2F"/>
    <w:rsid w:val="001D438C"/>
    <w:rsid w:val="001D455B"/>
    <w:rsid w:val="001D47C7"/>
    <w:rsid w:val="001D4837"/>
    <w:rsid w:val="001D509C"/>
    <w:rsid w:val="001D5511"/>
    <w:rsid w:val="001D5A09"/>
    <w:rsid w:val="001D5ABE"/>
    <w:rsid w:val="001D60B2"/>
    <w:rsid w:val="001D626F"/>
    <w:rsid w:val="001D6272"/>
    <w:rsid w:val="001D6812"/>
    <w:rsid w:val="001D6819"/>
    <w:rsid w:val="001D6D9F"/>
    <w:rsid w:val="001D6E2A"/>
    <w:rsid w:val="001D7058"/>
    <w:rsid w:val="001D71FA"/>
    <w:rsid w:val="001D7232"/>
    <w:rsid w:val="001D7270"/>
    <w:rsid w:val="001D73BD"/>
    <w:rsid w:val="001D743B"/>
    <w:rsid w:val="001D74DB"/>
    <w:rsid w:val="001D7DFC"/>
    <w:rsid w:val="001D7FFE"/>
    <w:rsid w:val="001E031E"/>
    <w:rsid w:val="001E0A05"/>
    <w:rsid w:val="001E0A65"/>
    <w:rsid w:val="001E179E"/>
    <w:rsid w:val="001E1C1D"/>
    <w:rsid w:val="001E1F90"/>
    <w:rsid w:val="001E25F7"/>
    <w:rsid w:val="001E2765"/>
    <w:rsid w:val="001E2C92"/>
    <w:rsid w:val="001E2D89"/>
    <w:rsid w:val="001E2E38"/>
    <w:rsid w:val="001E3205"/>
    <w:rsid w:val="001E35B4"/>
    <w:rsid w:val="001E3BF4"/>
    <w:rsid w:val="001E3C08"/>
    <w:rsid w:val="001E3E4B"/>
    <w:rsid w:val="001E41F9"/>
    <w:rsid w:val="001E4228"/>
    <w:rsid w:val="001E43E7"/>
    <w:rsid w:val="001E45FF"/>
    <w:rsid w:val="001E4624"/>
    <w:rsid w:val="001E4C69"/>
    <w:rsid w:val="001E4D1E"/>
    <w:rsid w:val="001E4F82"/>
    <w:rsid w:val="001E4F99"/>
    <w:rsid w:val="001E541E"/>
    <w:rsid w:val="001E553B"/>
    <w:rsid w:val="001E5675"/>
    <w:rsid w:val="001E5E01"/>
    <w:rsid w:val="001E6011"/>
    <w:rsid w:val="001E624B"/>
    <w:rsid w:val="001E62F0"/>
    <w:rsid w:val="001E6B70"/>
    <w:rsid w:val="001E6D46"/>
    <w:rsid w:val="001E7496"/>
    <w:rsid w:val="001E7A75"/>
    <w:rsid w:val="001E7DAD"/>
    <w:rsid w:val="001F0262"/>
    <w:rsid w:val="001F06B2"/>
    <w:rsid w:val="001F16E0"/>
    <w:rsid w:val="001F16E2"/>
    <w:rsid w:val="001F1741"/>
    <w:rsid w:val="001F182F"/>
    <w:rsid w:val="001F2738"/>
    <w:rsid w:val="001F299C"/>
    <w:rsid w:val="001F2A00"/>
    <w:rsid w:val="001F2B89"/>
    <w:rsid w:val="001F2E93"/>
    <w:rsid w:val="001F303B"/>
    <w:rsid w:val="001F358D"/>
    <w:rsid w:val="001F3683"/>
    <w:rsid w:val="001F3990"/>
    <w:rsid w:val="001F3BA6"/>
    <w:rsid w:val="001F3DF9"/>
    <w:rsid w:val="001F4239"/>
    <w:rsid w:val="001F43D8"/>
    <w:rsid w:val="001F441E"/>
    <w:rsid w:val="001F482B"/>
    <w:rsid w:val="001F525F"/>
    <w:rsid w:val="001F5287"/>
    <w:rsid w:val="001F5B40"/>
    <w:rsid w:val="001F5D15"/>
    <w:rsid w:val="001F5F17"/>
    <w:rsid w:val="001F6077"/>
    <w:rsid w:val="001F6079"/>
    <w:rsid w:val="001F6099"/>
    <w:rsid w:val="001F60F9"/>
    <w:rsid w:val="001F7200"/>
    <w:rsid w:val="001F7609"/>
    <w:rsid w:val="001F777F"/>
    <w:rsid w:val="001F7C1B"/>
    <w:rsid w:val="001F7C7F"/>
    <w:rsid w:val="00200229"/>
    <w:rsid w:val="002003B1"/>
    <w:rsid w:val="0020081D"/>
    <w:rsid w:val="00200B4E"/>
    <w:rsid w:val="002011CE"/>
    <w:rsid w:val="002013AD"/>
    <w:rsid w:val="002013B7"/>
    <w:rsid w:val="002014D1"/>
    <w:rsid w:val="0020166B"/>
    <w:rsid w:val="002017A5"/>
    <w:rsid w:val="002017A7"/>
    <w:rsid w:val="00201DD3"/>
    <w:rsid w:val="00201E30"/>
    <w:rsid w:val="00201ECE"/>
    <w:rsid w:val="00201FF6"/>
    <w:rsid w:val="002024CA"/>
    <w:rsid w:val="00202A0F"/>
    <w:rsid w:val="00202A2E"/>
    <w:rsid w:val="00202B93"/>
    <w:rsid w:val="00203134"/>
    <w:rsid w:val="0020394A"/>
    <w:rsid w:val="002039B0"/>
    <w:rsid w:val="00203CAF"/>
    <w:rsid w:val="00203E5E"/>
    <w:rsid w:val="00204018"/>
    <w:rsid w:val="0020459A"/>
    <w:rsid w:val="00204BD6"/>
    <w:rsid w:val="00204FF2"/>
    <w:rsid w:val="0020506A"/>
    <w:rsid w:val="00205803"/>
    <w:rsid w:val="00205A66"/>
    <w:rsid w:val="002063D0"/>
    <w:rsid w:val="00206482"/>
    <w:rsid w:val="00206663"/>
    <w:rsid w:val="0020679D"/>
    <w:rsid w:val="00206B86"/>
    <w:rsid w:val="002072E5"/>
    <w:rsid w:val="00207786"/>
    <w:rsid w:val="00207A4E"/>
    <w:rsid w:val="00207B9E"/>
    <w:rsid w:val="00207EED"/>
    <w:rsid w:val="002100C8"/>
    <w:rsid w:val="00210700"/>
    <w:rsid w:val="0021071F"/>
    <w:rsid w:val="00210DA3"/>
    <w:rsid w:val="0021111B"/>
    <w:rsid w:val="0021164C"/>
    <w:rsid w:val="00211DC9"/>
    <w:rsid w:val="00211E4B"/>
    <w:rsid w:val="00211F1F"/>
    <w:rsid w:val="0021247E"/>
    <w:rsid w:val="0021253D"/>
    <w:rsid w:val="002128A0"/>
    <w:rsid w:val="002130E2"/>
    <w:rsid w:val="002130E9"/>
    <w:rsid w:val="0021333A"/>
    <w:rsid w:val="0021352B"/>
    <w:rsid w:val="00213757"/>
    <w:rsid w:val="00213912"/>
    <w:rsid w:val="00214174"/>
    <w:rsid w:val="00214307"/>
    <w:rsid w:val="00214643"/>
    <w:rsid w:val="002147C3"/>
    <w:rsid w:val="00214C25"/>
    <w:rsid w:val="00214E36"/>
    <w:rsid w:val="0021536A"/>
    <w:rsid w:val="00215F4A"/>
    <w:rsid w:val="0021604E"/>
    <w:rsid w:val="00216137"/>
    <w:rsid w:val="002169DD"/>
    <w:rsid w:val="00216AC1"/>
    <w:rsid w:val="00216EFE"/>
    <w:rsid w:val="0021706A"/>
    <w:rsid w:val="002174A5"/>
    <w:rsid w:val="002176B7"/>
    <w:rsid w:val="0022007B"/>
    <w:rsid w:val="00221235"/>
    <w:rsid w:val="002214FD"/>
    <w:rsid w:val="002215F0"/>
    <w:rsid w:val="00221AB0"/>
    <w:rsid w:val="00221B6E"/>
    <w:rsid w:val="00221DCA"/>
    <w:rsid w:val="0022202A"/>
    <w:rsid w:val="0022280B"/>
    <w:rsid w:val="00222AD7"/>
    <w:rsid w:val="00222F83"/>
    <w:rsid w:val="002232E3"/>
    <w:rsid w:val="0022342D"/>
    <w:rsid w:val="00223C54"/>
    <w:rsid w:val="00223F14"/>
    <w:rsid w:val="002240CF"/>
    <w:rsid w:val="0022442E"/>
    <w:rsid w:val="00224584"/>
    <w:rsid w:val="002249EC"/>
    <w:rsid w:val="00224B2A"/>
    <w:rsid w:val="00224D53"/>
    <w:rsid w:val="00225025"/>
    <w:rsid w:val="00225063"/>
    <w:rsid w:val="0022521F"/>
    <w:rsid w:val="002252B7"/>
    <w:rsid w:val="002256EC"/>
    <w:rsid w:val="0022571D"/>
    <w:rsid w:val="00225908"/>
    <w:rsid w:val="00225C13"/>
    <w:rsid w:val="00225DCC"/>
    <w:rsid w:val="002262CC"/>
    <w:rsid w:val="0022661B"/>
    <w:rsid w:val="0022699F"/>
    <w:rsid w:val="00226E39"/>
    <w:rsid w:val="002273D4"/>
    <w:rsid w:val="00227580"/>
    <w:rsid w:val="00230416"/>
    <w:rsid w:val="002306B4"/>
    <w:rsid w:val="00230ACE"/>
    <w:rsid w:val="00230EAC"/>
    <w:rsid w:val="00231014"/>
    <w:rsid w:val="0023203E"/>
    <w:rsid w:val="00232248"/>
    <w:rsid w:val="00232298"/>
    <w:rsid w:val="00232754"/>
    <w:rsid w:val="002327DC"/>
    <w:rsid w:val="00232822"/>
    <w:rsid w:val="00232834"/>
    <w:rsid w:val="002328DD"/>
    <w:rsid w:val="00232B93"/>
    <w:rsid w:val="00232D58"/>
    <w:rsid w:val="00232E6D"/>
    <w:rsid w:val="002331FD"/>
    <w:rsid w:val="002333F0"/>
    <w:rsid w:val="0023367B"/>
    <w:rsid w:val="00233B49"/>
    <w:rsid w:val="00233C41"/>
    <w:rsid w:val="002340F3"/>
    <w:rsid w:val="002342B1"/>
    <w:rsid w:val="00234361"/>
    <w:rsid w:val="00234621"/>
    <w:rsid w:val="00234727"/>
    <w:rsid w:val="00234C84"/>
    <w:rsid w:val="00234D0E"/>
    <w:rsid w:val="00235133"/>
    <w:rsid w:val="00235170"/>
    <w:rsid w:val="002352D9"/>
    <w:rsid w:val="00235393"/>
    <w:rsid w:val="00235C58"/>
    <w:rsid w:val="00236324"/>
    <w:rsid w:val="00236BAB"/>
    <w:rsid w:val="00237656"/>
    <w:rsid w:val="0023769D"/>
    <w:rsid w:val="002377C2"/>
    <w:rsid w:val="00237DBD"/>
    <w:rsid w:val="00240283"/>
    <w:rsid w:val="002405D6"/>
    <w:rsid w:val="00240B67"/>
    <w:rsid w:val="0024103E"/>
    <w:rsid w:val="00241710"/>
    <w:rsid w:val="00241A30"/>
    <w:rsid w:val="00241B82"/>
    <w:rsid w:val="00241B9A"/>
    <w:rsid w:val="00241C1C"/>
    <w:rsid w:val="00241D39"/>
    <w:rsid w:val="0024200F"/>
    <w:rsid w:val="002427DD"/>
    <w:rsid w:val="00242903"/>
    <w:rsid w:val="00242DF2"/>
    <w:rsid w:val="002430F3"/>
    <w:rsid w:val="0024312E"/>
    <w:rsid w:val="00243131"/>
    <w:rsid w:val="002431FD"/>
    <w:rsid w:val="00243659"/>
    <w:rsid w:val="00243747"/>
    <w:rsid w:val="00243B0F"/>
    <w:rsid w:val="00243E15"/>
    <w:rsid w:val="00243F7C"/>
    <w:rsid w:val="0024412A"/>
    <w:rsid w:val="00244132"/>
    <w:rsid w:val="002442E7"/>
    <w:rsid w:val="00244970"/>
    <w:rsid w:val="00244972"/>
    <w:rsid w:val="00244A62"/>
    <w:rsid w:val="0024529C"/>
    <w:rsid w:val="0024555C"/>
    <w:rsid w:val="00246551"/>
    <w:rsid w:val="00246836"/>
    <w:rsid w:val="002469AB"/>
    <w:rsid w:val="00246A9F"/>
    <w:rsid w:val="00246E65"/>
    <w:rsid w:val="002470C7"/>
    <w:rsid w:val="00247373"/>
    <w:rsid w:val="002476C8"/>
    <w:rsid w:val="00247801"/>
    <w:rsid w:val="00247860"/>
    <w:rsid w:val="002478C1"/>
    <w:rsid w:val="00247C9E"/>
    <w:rsid w:val="00247D3C"/>
    <w:rsid w:val="00247DA3"/>
    <w:rsid w:val="00250ABB"/>
    <w:rsid w:val="00250C03"/>
    <w:rsid w:val="002513A0"/>
    <w:rsid w:val="002514FD"/>
    <w:rsid w:val="0025160C"/>
    <w:rsid w:val="002519EA"/>
    <w:rsid w:val="00251B6A"/>
    <w:rsid w:val="00251D05"/>
    <w:rsid w:val="00251D31"/>
    <w:rsid w:val="00251E8A"/>
    <w:rsid w:val="002525BA"/>
    <w:rsid w:val="00252873"/>
    <w:rsid w:val="002529E1"/>
    <w:rsid w:val="00253382"/>
    <w:rsid w:val="002537ED"/>
    <w:rsid w:val="00253D34"/>
    <w:rsid w:val="00253DAE"/>
    <w:rsid w:val="002542A5"/>
    <w:rsid w:val="002542B3"/>
    <w:rsid w:val="002547BB"/>
    <w:rsid w:val="00254D8F"/>
    <w:rsid w:val="0025540B"/>
    <w:rsid w:val="00255CAF"/>
    <w:rsid w:val="002569BB"/>
    <w:rsid w:val="00256B00"/>
    <w:rsid w:val="00256B9A"/>
    <w:rsid w:val="00256D01"/>
    <w:rsid w:val="00256E20"/>
    <w:rsid w:val="002577CD"/>
    <w:rsid w:val="0025795D"/>
    <w:rsid w:val="00257A00"/>
    <w:rsid w:val="00257E89"/>
    <w:rsid w:val="002607D6"/>
    <w:rsid w:val="00260A4A"/>
    <w:rsid w:val="00260C29"/>
    <w:rsid w:val="00260D95"/>
    <w:rsid w:val="002613CF"/>
    <w:rsid w:val="0026142E"/>
    <w:rsid w:val="002614AC"/>
    <w:rsid w:val="002614CA"/>
    <w:rsid w:val="00261612"/>
    <w:rsid w:val="00261E54"/>
    <w:rsid w:val="00262446"/>
    <w:rsid w:val="0026276F"/>
    <w:rsid w:val="00262877"/>
    <w:rsid w:val="002629B4"/>
    <w:rsid w:val="002629FB"/>
    <w:rsid w:val="00263B63"/>
    <w:rsid w:val="00263FFC"/>
    <w:rsid w:val="002641E9"/>
    <w:rsid w:val="002649CB"/>
    <w:rsid w:val="00264A0F"/>
    <w:rsid w:val="0026524A"/>
    <w:rsid w:val="002653D2"/>
    <w:rsid w:val="00265606"/>
    <w:rsid w:val="00265820"/>
    <w:rsid w:val="0026590D"/>
    <w:rsid w:val="00265A93"/>
    <w:rsid w:val="00265B6E"/>
    <w:rsid w:val="00265D6E"/>
    <w:rsid w:val="0026608B"/>
    <w:rsid w:val="002664C3"/>
    <w:rsid w:val="0026652E"/>
    <w:rsid w:val="002666B1"/>
    <w:rsid w:val="002668C2"/>
    <w:rsid w:val="00267653"/>
    <w:rsid w:val="002678B3"/>
    <w:rsid w:val="002702B3"/>
    <w:rsid w:val="0027037D"/>
    <w:rsid w:val="00270602"/>
    <w:rsid w:val="00270ABC"/>
    <w:rsid w:val="00270C5A"/>
    <w:rsid w:val="00270D69"/>
    <w:rsid w:val="0027141A"/>
    <w:rsid w:val="002714B3"/>
    <w:rsid w:val="00271C0A"/>
    <w:rsid w:val="002720DB"/>
    <w:rsid w:val="0027255F"/>
    <w:rsid w:val="00272574"/>
    <w:rsid w:val="0027258D"/>
    <w:rsid w:val="00273725"/>
    <w:rsid w:val="00273874"/>
    <w:rsid w:val="00273937"/>
    <w:rsid w:val="00273B2C"/>
    <w:rsid w:val="00273DE5"/>
    <w:rsid w:val="0027421B"/>
    <w:rsid w:val="00274354"/>
    <w:rsid w:val="00275090"/>
    <w:rsid w:val="002753B3"/>
    <w:rsid w:val="002753E6"/>
    <w:rsid w:val="0027560A"/>
    <w:rsid w:val="00275D92"/>
    <w:rsid w:val="00275E06"/>
    <w:rsid w:val="00275F56"/>
    <w:rsid w:val="00276134"/>
    <w:rsid w:val="00276AD7"/>
    <w:rsid w:val="00276B77"/>
    <w:rsid w:val="00276CB1"/>
    <w:rsid w:val="00276F74"/>
    <w:rsid w:val="0027723B"/>
    <w:rsid w:val="00277365"/>
    <w:rsid w:val="00277ACC"/>
    <w:rsid w:val="002800B6"/>
    <w:rsid w:val="002803E2"/>
    <w:rsid w:val="002805D8"/>
    <w:rsid w:val="00280B8B"/>
    <w:rsid w:val="00280C6B"/>
    <w:rsid w:val="00280D19"/>
    <w:rsid w:val="00280EE1"/>
    <w:rsid w:val="00280F6B"/>
    <w:rsid w:val="00281107"/>
    <w:rsid w:val="0028111A"/>
    <w:rsid w:val="00281209"/>
    <w:rsid w:val="00281520"/>
    <w:rsid w:val="0028164F"/>
    <w:rsid w:val="002816CB"/>
    <w:rsid w:val="00281999"/>
    <w:rsid w:val="002819BC"/>
    <w:rsid w:val="00281A6F"/>
    <w:rsid w:val="00281CD4"/>
    <w:rsid w:val="00281D8B"/>
    <w:rsid w:val="00281FCB"/>
    <w:rsid w:val="00281FE6"/>
    <w:rsid w:val="00282210"/>
    <w:rsid w:val="002825AB"/>
    <w:rsid w:val="00282967"/>
    <w:rsid w:val="00282CAB"/>
    <w:rsid w:val="00283832"/>
    <w:rsid w:val="00283899"/>
    <w:rsid w:val="00283ADC"/>
    <w:rsid w:val="00283B1D"/>
    <w:rsid w:val="00283BE4"/>
    <w:rsid w:val="00283D0F"/>
    <w:rsid w:val="00283F50"/>
    <w:rsid w:val="00284242"/>
    <w:rsid w:val="00284346"/>
    <w:rsid w:val="00284D22"/>
    <w:rsid w:val="00285082"/>
    <w:rsid w:val="00285267"/>
    <w:rsid w:val="002853E9"/>
    <w:rsid w:val="002855CD"/>
    <w:rsid w:val="0028574C"/>
    <w:rsid w:val="002857F7"/>
    <w:rsid w:val="00285BC8"/>
    <w:rsid w:val="002861F0"/>
    <w:rsid w:val="002863E6"/>
    <w:rsid w:val="002864D0"/>
    <w:rsid w:val="002864F3"/>
    <w:rsid w:val="00286B9C"/>
    <w:rsid w:val="00286D76"/>
    <w:rsid w:val="00286D98"/>
    <w:rsid w:val="002874C2"/>
    <w:rsid w:val="00287596"/>
    <w:rsid w:val="00287E15"/>
    <w:rsid w:val="00287EF1"/>
    <w:rsid w:val="00290135"/>
    <w:rsid w:val="00290891"/>
    <w:rsid w:val="00291074"/>
    <w:rsid w:val="002917F4"/>
    <w:rsid w:val="002918CE"/>
    <w:rsid w:val="00291938"/>
    <w:rsid w:val="00291C7C"/>
    <w:rsid w:val="00291E7A"/>
    <w:rsid w:val="00292825"/>
    <w:rsid w:val="00292922"/>
    <w:rsid w:val="0029308D"/>
    <w:rsid w:val="002931AD"/>
    <w:rsid w:val="0029320E"/>
    <w:rsid w:val="00293351"/>
    <w:rsid w:val="0029353D"/>
    <w:rsid w:val="00293D64"/>
    <w:rsid w:val="00293D74"/>
    <w:rsid w:val="00294272"/>
    <w:rsid w:val="00294316"/>
    <w:rsid w:val="00294532"/>
    <w:rsid w:val="002945CD"/>
    <w:rsid w:val="00294C6A"/>
    <w:rsid w:val="00294C80"/>
    <w:rsid w:val="00294EA1"/>
    <w:rsid w:val="0029504A"/>
    <w:rsid w:val="002950CA"/>
    <w:rsid w:val="00295A80"/>
    <w:rsid w:val="00295A96"/>
    <w:rsid w:val="00295B1E"/>
    <w:rsid w:val="00295D2F"/>
    <w:rsid w:val="00295DBB"/>
    <w:rsid w:val="00295EDF"/>
    <w:rsid w:val="002967A2"/>
    <w:rsid w:val="00296A07"/>
    <w:rsid w:val="00296AA5"/>
    <w:rsid w:val="00296AE7"/>
    <w:rsid w:val="00296E6C"/>
    <w:rsid w:val="00296F88"/>
    <w:rsid w:val="0029709A"/>
    <w:rsid w:val="002970DE"/>
    <w:rsid w:val="002A04DB"/>
    <w:rsid w:val="002A0695"/>
    <w:rsid w:val="002A0823"/>
    <w:rsid w:val="002A094F"/>
    <w:rsid w:val="002A1311"/>
    <w:rsid w:val="002A1344"/>
    <w:rsid w:val="002A1746"/>
    <w:rsid w:val="002A202B"/>
    <w:rsid w:val="002A25DE"/>
    <w:rsid w:val="002A263B"/>
    <w:rsid w:val="002A26B2"/>
    <w:rsid w:val="002A31BF"/>
    <w:rsid w:val="002A3270"/>
    <w:rsid w:val="002A35E4"/>
    <w:rsid w:val="002A3997"/>
    <w:rsid w:val="002A39C5"/>
    <w:rsid w:val="002A3DB7"/>
    <w:rsid w:val="002A3F63"/>
    <w:rsid w:val="002A430A"/>
    <w:rsid w:val="002A4471"/>
    <w:rsid w:val="002A4D2C"/>
    <w:rsid w:val="002A4F79"/>
    <w:rsid w:val="002A517D"/>
    <w:rsid w:val="002A5AD9"/>
    <w:rsid w:val="002A5C32"/>
    <w:rsid w:val="002A5D23"/>
    <w:rsid w:val="002A6534"/>
    <w:rsid w:val="002A65A8"/>
    <w:rsid w:val="002A65E7"/>
    <w:rsid w:val="002A6865"/>
    <w:rsid w:val="002A6C4E"/>
    <w:rsid w:val="002A6C7A"/>
    <w:rsid w:val="002A6F1D"/>
    <w:rsid w:val="002A71D4"/>
    <w:rsid w:val="002A72BC"/>
    <w:rsid w:val="002A7667"/>
    <w:rsid w:val="002A7C75"/>
    <w:rsid w:val="002B00A7"/>
    <w:rsid w:val="002B08CE"/>
    <w:rsid w:val="002B0940"/>
    <w:rsid w:val="002B0B43"/>
    <w:rsid w:val="002B0EBE"/>
    <w:rsid w:val="002B0F55"/>
    <w:rsid w:val="002B11D2"/>
    <w:rsid w:val="002B15C9"/>
    <w:rsid w:val="002B1734"/>
    <w:rsid w:val="002B1F24"/>
    <w:rsid w:val="002B1FF4"/>
    <w:rsid w:val="002B2024"/>
    <w:rsid w:val="002B21F6"/>
    <w:rsid w:val="002B2418"/>
    <w:rsid w:val="002B2575"/>
    <w:rsid w:val="002B2721"/>
    <w:rsid w:val="002B2786"/>
    <w:rsid w:val="002B27A6"/>
    <w:rsid w:val="002B2B24"/>
    <w:rsid w:val="002B2B66"/>
    <w:rsid w:val="002B2CC4"/>
    <w:rsid w:val="002B31C1"/>
    <w:rsid w:val="002B3413"/>
    <w:rsid w:val="002B3894"/>
    <w:rsid w:val="002B4264"/>
    <w:rsid w:val="002B42DF"/>
    <w:rsid w:val="002B4C58"/>
    <w:rsid w:val="002B4D8D"/>
    <w:rsid w:val="002B4FCB"/>
    <w:rsid w:val="002B50B1"/>
    <w:rsid w:val="002B52FF"/>
    <w:rsid w:val="002B55C4"/>
    <w:rsid w:val="002B5B3E"/>
    <w:rsid w:val="002B5B58"/>
    <w:rsid w:val="002B5B61"/>
    <w:rsid w:val="002B5EB4"/>
    <w:rsid w:val="002B649F"/>
    <w:rsid w:val="002B6A6C"/>
    <w:rsid w:val="002B6EF5"/>
    <w:rsid w:val="002B7005"/>
    <w:rsid w:val="002B7134"/>
    <w:rsid w:val="002B7184"/>
    <w:rsid w:val="002B73E1"/>
    <w:rsid w:val="002B75D2"/>
    <w:rsid w:val="002B75E2"/>
    <w:rsid w:val="002B7640"/>
    <w:rsid w:val="002B791B"/>
    <w:rsid w:val="002B7AF9"/>
    <w:rsid w:val="002B7C38"/>
    <w:rsid w:val="002B7D8B"/>
    <w:rsid w:val="002C015C"/>
    <w:rsid w:val="002C0617"/>
    <w:rsid w:val="002C081F"/>
    <w:rsid w:val="002C0C1F"/>
    <w:rsid w:val="002C13CA"/>
    <w:rsid w:val="002C1823"/>
    <w:rsid w:val="002C1F07"/>
    <w:rsid w:val="002C24B6"/>
    <w:rsid w:val="002C2B38"/>
    <w:rsid w:val="002C2FB9"/>
    <w:rsid w:val="002C3534"/>
    <w:rsid w:val="002C372D"/>
    <w:rsid w:val="002C3AA1"/>
    <w:rsid w:val="002C3D6F"/>
    <w:rsid w:val="002C3FA5"/>
    <w:rsid w:val="002C438C"/>
    <w:rsid w:val="002C442B"/>
    <w:rsid w:val="002C464B"/>
    <w:rsid w:val="002C4883"/>
    <w:rsid w:val="002C4B46"/>
    <w:rsid w:val="002C52D6"/>
    <w:rsid w:val="002C5909"/>
    <w:rsid w:val="002C5A79"/>
    <w:rsid w:val="002C5A9D"/>
    <w:rsid w:val="002C5DA3"/>
    <w:rsid w:val="002C685F"/>
    <w:rsid w:val="002C690D"/>
    <w:rsid w:val="002C6D61"/>
    <w:rsid w:val="002C6D8B"/>
    <w:rsid w:val="002C6ED2"/>
    <w:rsid w:val="002C725B"/>
    <w:rsid w:val="002C746B"/>
    <w:rsid w:val="002C754A"/>
    <w:rsid w:val="002C78BB"/>
    <w:rsid w:val="002C7B63"/>
    <w:rsid w:val="002C7F2B"/>
    <w:rsid w:val="002D06AF"/>
    <w:rsid w:val="002D0C52"/>
    <w:rsid w:val="002D1099"/>
    <w:rsid w:val="002D1499"/>
    <w:rsid w:val="002D1C0A"/>
    <w:rsid w:val="002D2385"/>
    <w:rsid w:val="002D2A55"/>
    <w:rsid w:val="002D37F0"/>
    <w:rsid w:val="002D3AAA"/>
    <w:rsid w:val="002D4005"/>
    <w:rsid w:val="002D4AFE"/>
    <w:rsid w:val="002D4BEA"/>
    <w:rsid w:val="002D4CF0"/>
    <w:rsid w:val="002D5259"/>
    <w:rsid w:val="002D54AD"/>
    <w:rsid w:val="002D582B"/>
    <w:rsid w:val="002D5E8C"/>
    <w:rsid w:val="002D5EF7"/>
    <w:rsid w:val="002D6A31"/>
    <w:rsid w:val="002D6C69"/>
    <w:rsid w:val="002D71D1"/>
    <w:rsid w:val="002D740D"/>
    <w:rsid w:val="002D7664"/>
    <w:rsid w:val="002D7A0B"/>
    <w:rsid w:val="002E05A5"/>
    <w:rsid w:val="002E0D17"/>
    <w:rsid w:val="002E0D35"/>
    <w:rsid w:val="002E0E7D"/>
    <w:rsid w:val="002E0F5F"/>
    <w:rsid w:val="002E0FBC"/>
    <w:rsid w:val="002E17C0"/>
    <w:rsid w:val="002E1BE7"/>
    <w:rsid w:val="002E1CEF"/>
    <w:rsid w:val="002E1F20"/>
    <w:rsid w:val="002E202F"/>
    <w:rsid w:val="002E246D"/>
    <w:rsid w:val="002E252C"/>
    <w:rsid w:val="002E252F"/>
    <w:rsid w:val="002E2631"/>
    <w:rsid w:val="002E2636"/>
    <w:rsid w:val="002E27F8"/>
    <w:rsid w:val="002E3146"/>
    <w:rsid w:val="002E3231"/>
    <w:rsid w:val="002E3E59"/>
    <w:rsid w:val="002E442F"/>
    <w:rsid w:val="002E4901"/>
    <w:rsid w:val="002E4B36"/>
    <w:rsid w:val="002E4D91"/>
    <w:rsid w:val="002E4E4F"/>
    <w:rsid w:val="002E4ED1"/>
    <w:rsid w:val="002E56CE"/>
    <w:rsid w:val="002E58B5"/>
    <w:rsid w:val="002E59A1"/>
    <w:rsid w:val="002E5F78"/>
    <w:rsid w:val="002E60C7"/>
    <w:rsid w:val="002E62C2"/>
    <w:rsid w:val="002E6505"/>
    <w:rsid w:val="002E69B8"/>
    <w:rsid w:val="002E6B37"/>
    <w:rsid w:val="002E6BA0"/>
    <w:rsid w:val="002E6C14"/>
    <w:rsid w:val="002E6C1A"/>
    <w:rsid w:val="002E6CBF"/>
    <w:rsid w:val="002E7096"/>
    <w:rsid w:val="002E70AC"/>
    <w:rsid w:val="002E7804"/>
    <w:rsid w:val="002E7C1A"/>
    <w:rsid w:val="002E7E41"/>
    <w:rsid w:val="002F05BF"/>
    <w:rsid w:val="002F0B33"/>
    <w:rsid w:val="002F0CCA"/>
    <w:rsid w:val="002F0E63"/>
    <w:rsid w:val="002F10F4"/>
    <w:rsid w:val="002F131A"/>
    <w:rsid w:val="002F14D1"/>
    <w:rsid w:val="002F159C"/>
    <w:rsid w:val="002F166C"/>
    <w:rsid w:val="002F1986"/>
    <w:rsid w:val="002F1B42"/>
    <w:rsid w:val="002F1C8A"/>
    <w:rsid w:val="002F23E5"/>
    <w:rsid w:val="002F2517"/>
    <w:rsid w:val="002F2DC1"/>
    <w:rsid w:val="002F2EFA"/>
    <w:rsid w:val="002F2F36"/>
    <w:rsid w:val="002F3257"/>
    <w:rsid w:val="002F3569"/>
    <w:rsid w:val="002F370B"/>
    <w:rsid w:val="002F3940"/>
    <w:rsid w:val="002F3A3D"/>
    <w:rsid w:val="002F3D47"/>
    <w:rsid w:val="002F3F78"/>
    <w:rsid w:val="002F41E8"/>
    <w:rsid w:val="002F438C"/>
    <w:rsid w:val="002F493D"/>
    <w:rsid w:val="002F4D92"/>
    <w:rsid w:val="002F4DA9"/>
    <w:rsid w:val="002F51AF"/>
    <w:rsid w:val="002F5833"/>
    <w:rsid w:val="002F5973"/>
    <w:rsid w:val="002F5A89"/>
    <w:rsid w:val="002F5B76"/>
    <w:rsid w:val="002F5DC4"/>
    <w:rsid w:val="002F5E46"/>
    <w:rsid w:val="002F6017"/>
    <w:rsid w:val="002F6A91"/>
    <w:rsid w:val="002F70F7"/>
    <w:rsid w:val="002F7237"/>
    <w:rsid w:val="002F78CC"/>
    <w:rsid w:val="002F7D10"/>
    <w:rsid w:val="00300035"/>
    <w:rsid w:val="00300357"/>
    <w:rsid w:val="003005AE"/>
    <w:rsid w:val="0030080D"/>
    <w:rsid w:val="00300D08"/>
    <w:rsid w:val="00300EAC"/>
    <w:rsid w:val="00300EB3"/>
    <w:rsid w:val="00300F0A"/>
    <w:rsid w:val="003012B8"/>
    <w:rsid w:val="003014E0"/>
    <w:rsid w:val="0030157B"/>
    <w:rsid w:val="003018AE"/>
    <w:rsid w:val="003019AE"/>
    <w:rsid w:val="00301B06"/>
    <w:rsid w:val="00301DDC"/>
    <w:rsid w:val="00301EF9"/>
    <w:rsid w:val="003021E3"/>
    <w:rsid w:val="003025F1"/>
    <w:rsid w:val="0030271D"/>
    <w:rsid w:val="00302A2F"/>
    <w:rsid w:val="00302A7A"/>
    <w:rsid w:val="00302CEA"/>
    <w:rsid w:val="00302DC6"/>
    <w:rsid w:val="00302EF4"/>
    <w:rsid w:val="00303348"/>
    <w:rsid w:val="003034C9"/>
    <w:rsid w:val="00303CF6"/>
    <w:rsid w:val="00303EF4"/>
    <w:rsid w:val="0030446F"/>
    <w:rsid w:val="00304C3C"/>
    <w:rsid w:val="00304CDF"/>
    <w:rsid w:val="00304DDD"/>
    <w:rsid w:val="00305033"/>
    <w:rsid w:val="003052D5"/>
    <w:rsid w:val="0030567D"/>
    <w:rsid w:val="00305B68"/>
    <w:rsid w:val="00305DC0"/>
    <w:rsid w:val="00305E38"/>
    <w:rsid w:val="0030619C"/>
    <w:rsid w:val="003069DA"/>
    <w:rsid w:val="00306EEE"/>
    <w:rsid w:val="0030726C"/>
    <w:rsid w:val="003074E8"/>
    <w:rsid w:val="0030765B"/>
    <w:rsid w:val="00307780"/>
    <w:rsid w:val="0030783E"/>
    <w:rsid w:val="003078CE"/>
    <w:rsid w:val="003078E5"/>
    <w:rsid w:val="00307A2E"/>
    <w:rsid w:val="00307B3C"/>
    <w:rsid w:val="0031021A"/>
    <w:rsid w:val="00310B83"/>
    <w:rsid w:val="00310C96"/>
    <w:rsid w:val="00311269"/>
    <w:rsid w:val="003112BD"/>
    <w:rsid w:val="003115A3"/>
    <w:rsid w:val="003115DD"/>
    <w:rsid w:val="0031184C"/>
    <w:rsid w:val="0031199F"/>
    <w:rsid w:val="00311A8A"/>
    <w:rsid w:val="00311AF3"/>
    <w:rsid w:val="0031233B"/>
    <w:rsid w:val="0031274A"/>
    <w:rsid w:val="00313969"/>
    <w:rsid w:val="00313BCB"/>
    <w:rsid w:val="00313E67"/>
    <w:rsid w:val="00315195"/>
    <w:rsid w:val="0031552B"/>
    <w:rsid w:val="003155D2"/>
    <w:rsid w:val="00315E11"/>
    <w:rsid w:val="00316561"/>
    <w:rsid w:val="00316858"/>
    <w:rsid w:val="003169FD"/>
    <w:rsid w:val="00317260"/>
    <w:rsid w:val="0031760E"/>
    <w:rsid w:val="00317885"/>
    <w:rsid w:val="003178E1"/>
    <w:rsid w:val="0031792E"/>
    <w:rsid w:val="00317C52"/>
    <w:rsid w:val="0032046E"/>
    <w:rsid w:val="00321A8E"/>
    <w:rsid w:val="00321B0B"/>
    <w:rsid w:val="00321B2F"/>
    <w:rsid w:val="00322637"/>
    <w:rsid w:val="00322903"/>
    <w:rsid w:val="00322A43"/>
    <w:rsid w:val="003234C2"/>
    <w:rsid w:val="00323729"/>
    <w:rsid w:val="003238FD"/>
    <w:rsid w:val="00323983"/>
    <w:rsid w:val="00323C74"/>
    <w:rsid w:val="00324FB0"/>
    <w:rsid w:val="0032509C"/>
    <w:rsid w:val="00325517"/>
    <w:rsid w:val="00325893"/>
    <w:rsid w:val="003258CA"/>
    <w:rsid w:val="003258D1"/>
    <w:rsid w:val="00325A29"/>
    <w:rsid w:val="00325B4B"/>
    <w:rsid w:val="00325E13"/>
    <w:rsid w:val="003262D0"/>
    <w:rsid w:val="003262DF"/>
    <w:rsid w:val="00326396"/>
    <w:rsid w:val="00326458"/>
    <w:rsid w:val="00326476"/>
    <w:rsid w:val="00326770"/>
    <w:rsid w:val="003268C4"/>
    <w:rsid w:val="003269F2"/>
    <w:rsid w:val="00326AC6"/>
    <w:rsid w:val="0032734B"/>
    <w:rsid w:val="0032756F"/>
    <w:rsid w:val="00327C86"/>
    <w:rsid w:val="003306B9"/>
    <w:rsid w:val="00330A3D"/>
    <w:rsid w:val="00331193"/>
    <w:rsid w:val="00331194"/>
    <w:rsid w:val="00331273"/>
    <w:rsid w:val="00331558"/>
    <w:rsid w:val="00331758"/>
    <w:rsid w:val="00331BF7"/>
    <w:rsid w:val="003320B9"/>
    <w:rsid w:val="003322F5"/>
    <w:rsid w:val="00332386"/>
    <w:rsid w:val="003326E5"/>
    <w:rsid w:val="00332A3F"/>
    <w:rsid w:val="00332C06"/>
    <w:rsid w:val="003333AE"/>
    <w:rsid w:val="00333AE0"/>
    <w:rsid w:val="00333B06"/>
    <w:rsid w:val="003341BE"/>
    <w:rsid w:val="0033437E"/>
    <w:rsid w:val="0033450C"/>
    <w:rsid w:val="0033465D"/>
    <w:rsid w:val="00334FDA"/>
    <w:rsid w:val="00335288"/>
    <w:rsid w:val="0033577D"/>
    <w:rsid w:val="00335AE9"/>
    <w:rsid w:val="003365BB"/>
    <w:rsid w:val="00336B94"/>
    <w:rsid w:val="00336DE5"/>
    <w:rsid w:val="00336E12"/>
    <w:rsid w:val="00337367"/>
    <w:rsid w:val="003378CE"/>
    <w:rsid w:val="00337904"/>
    <w:rsid w:val="00337FE6"/>
    <w:rsid w:val="00340530"/>
    <w:rsid w:val="00340D5F"/>
    <w:rsid w:val="00341295"/>
    <w:rsid w:val="00341A56"/>
    <w:rsid w:val="00341B68"/>
    <w:rsid w:val="00341B7F"/>
    <w:rsid w:val="00341D4E"/>
    <w:rsid w:val="00341DE7"/>
    <w:rsid w:val="00341E76"/>
    <w:rsid w:val="00341EE1"/>
    <w:rsid w:val="00341FFC"/>
    <w:rsid w:val="00343515"/>
    <w:rsid w:val="00343523"/>
    <w:rsid w:val="00343591"/>
    <w:rsid w:val="0034372F"/>
    <w:rsid w:val="0034385C"/>
    <w:rsid w:val="00343F45"/>
    <w:rsid w:val="00344785"/>
    <w:rsid w:val="00344D6C"/>
    <w:rsid w:val="00345266"/>
    <w:rsid w:val="003453D3"/>
    <w:rsid w:val="00345933"/>
    <w:rsid w:val="00345956"/>
    <w:rsid w:val="00345DC8"/>
    <w:rsid w:val="00345F6B"/>
    <w:rsid w:val="0034618C"/>
    <w:rsid w:val="003461AB"/>
    <w:rsid w:val="003467A9"/>
    <w:rsid w:val="00346A8B"/>
    <w:rsid w:val="00346C1A"/>
    <w:rsid w:val="00346C3B"/>
    <w:rsid w:val="00346C74"/>
    <w:rsid w:val="00346E21"/>
    <w:rsid w:val="00347FC4"/>
    <w:rsid w:val="00350644"/>
    <w:rsid w:val="00350C86"/>
    <w:rsid w:val="00350D2F"/>
    <w:rsid w:val="00350E87"/>
    <w:rsid w:val="00351194"/>
    <w:rsid w:val="00351204"/>
    <w:rsid w:val="003512E3"/>
    <w:rsid w:val="00351405"/>
    <w:rsid w:val="003516A3"/>
    <w:rsid w:val="00351AAB"/>
    <w:rsid w:val="00351BBC"/>
    <w:rsid w:val="00351BBF"/>
    <w:rsid w:val="00351E0E"/>
    <w:rsid w:val="003529E7"/>
    <w:rsid w:val="00352AB5"/>
    <w:rsid w:val="00352D86"/>
    <w:rsid w:val="00353562"/>
    <w:rsid w:val="0035406B"/>
    <w:rsid w:val="00354CC6"/>
    <w:rsid w:val="00354E84"/>
    <w:rsid w:val="00355465"/>
    <w:rsid w:val="00355587"/>
    <w:rsid w:val="003556E5"/>
    <w:rsid w:val="00355A82"/>
    <w:rsid w:val="00355BD3"/>
    <w:rsid w:val="00355FE3"/>
    <w:rsid w:val="003560A2"/>
    <w:rsid w:val="003560C8"/>
    <w:rsid w:val="00356596"/>
    <w:rsid w:val="00356CBB"/>
    <w:rsid w:val="00357031"/>
    <w:rsid w:val="0035720F"/>
    <w:rsid w:val="003576FC"/>
    <w:rsid w:val="0035792B"/>
    <w:rsid w:val="00357BA0"/>
    <w:rsid w:val="00360145"/>
    <w:rsid w:val="0036045C"/>
    <w:rsid w:val="00360BBF"/>
    <w:rsid w:val="00360F53"/>
    <w:rsid w:val="00360FBC"/>
    <w:rsid w:val="00361697"/>
    <w:rsid w:val="00361C04"/>
    <w:rsid w:val="00362522"/>
    <w:rsid w:val="00362B5D"/>
    <w:rsid w:val="00362D3A"/>
    <w:rsid w:val="00362FE8"/>
    <w:rsid w:val="003630A7"/>
    <w:rsid w:val="00363644"/>
    <w:rsid w:val="00363BC6"/>
    <w:rsid w:val="00363E42"/>
    <w:rsid w:val="003641E4"/>
    <w:rsid w:val="003641F0"/>
    <w:rsid w:val="00364241"/>
    <w:rsid w:val="003642E7"/>
    <w:rsid w:val="00364363"/>
    <w:rsid w:val="003648CA"/>
    <w:rsid w:val="003649FA"/>
    <w:rsid w:val="00364A76"/>
    <w:rsid w:val="00364A84"/>
    <w:rsid w:val="00364CDA"/>
    <w:rsid w:val="00364D24"/>
    <w:rsid w:val="00364EA4"/>
    <w:rsid w:val="00365002"/>
    <w:rsid w:val="00365358"/>
    <w:rsid w:val="0036546B"/>
    <w:rsid w:val="00365556"/>
    <w:rsid w:val="00365772"/>
    <w:rsid w:val="003657C6"/>
    <w:rsid w:val="00365A1D"/>
    <w:rsid w:val="00365BE2"/>
    <w:rsid w:val="003661E4"/>
    <w:rsid w:val="0036658E"/>
    <w:rsid w:val="003668F0"/>
    <w:rsid w:val="00366F7F"/>
    <w:rsid w:val="00366FFE"/>
    <w:rsid w:val="003671F7"/>
    <w:rsid w:val="00367246"/>
    <w:rsid w:val="003674FD"/>
    <w:rsid w:val="00367D00"/>
    <w:rsid w:val="00367E09"/>
    <w:rsid w:val="003700CC"/>
    <w:rsid w:val="0037042C"/>
    <w:rsid w:val="00370A02"/>
    <w:rsid w:val="00370A71"/>
    <w:rsid w:val="00370B7A"/>
    <w:rsid w:val="00370DC8"/>
    <w:rsid w:val="00371144"/>
    <w:rsid w:val="003711A7"/>
    <w:rsid w:val="003713B2"/>
    <w:rsid w:val="00371D8F"/>
    <w:rsid w:val="00372052"/>
    <w:rsid w:val="00372140"/>
    <w:rsid w:val="003725E5"/>
    <w:rsid w:val="00372D00"/>
    <w:rsid w:val="00372DF0"/>
    <w:rsid w:val="00372F62"/>
    <w:rsid w:val="00372FE6"/>
    <w:rsid w:val="003730F8"/>
    <w:rsid w:val="00373538"/>
    <w:rsid w:val="0037377F"/>
    <w:rsid w:val="00373E26"/>
    <w:rsid w:val="00373FE7"/>
    <w:rsid w:val="0037453E"/>
    <w:rsid w:val="0037476E"/>
    <w:rsid w:val="00374C8D"/>
    <w:rsid w:val="00374D04"/>
    <w:rsid w:val="00374DBB"/>
    <w:rsid w:val="00374F36"/>
    <w:rsid w:val="00375217"/>
    <w:rsid w:val="003753D3"/>
    <w:rsid w:val="003754CB"/>
    <w:rsid w:val="00375CDF"/>
    <w:rsid w:val="003765FD"/>
    <w:rsid w:val="003769B4"/>
    <w:rsid w:val="003769EE"/>
    <w:rsid w:val="00376C99"/>
    <w:rsid w:val="00376CAB"/>
    <w:rsid w:val="00376E5D"/>
    <w:rsid w:val="0037713F"/>
    <w:rsid w:val="003771AB"/>
    <w:rsid w:val="0037784C"/>
    <w:rsid w:val="003802AD"/>
    <w:rsid w:val="00380427"/>
    <w:rsid w:val="003806CD"/>
    <w:rsid w:val="00380AF8"/>
    <w:rsid w:val="00380D66"/>
    <w:rsid w:val="00380DEE"/>
    <w:rsid w:val="00381195"/>
    <w:rsid w:val="0038293A"/>
    <w:rsid w:val="00382942"/>
    <w:rsid w:val="00382C58"/>
    <w:rsid w:val="0038348D"/>
    <w:rsid w:val="0038363F"/>
    <w:rsid w:val="00383686"/>
    <w:rsid w:val="003836DB"/>
    <w:rsid w:val="003838A8"/>
    <w:rsid w:val="003838AF"/>
    <w:rsid w:val="003839E5"/>
    <w:rsid w:val="00383BB4"/>
    <w:rsid w:val="00383E0D"/>
    <w:rsid w:val="00383E10"/>
    <w:rsid w:val="00383F9C"/>
    <w:rsid w:val="00383FE2"/>
    <w:rsid w:val="003841E9"/>
    <w:rsid w:val="00384D70"/>
    <w:rsid w:val="0038502D"/>
    <w:rsid w:val="0038513D"/>
    <w:rsid w:val="003851DD"/>
    <w:rsid w:val="00385207"/>
    <w:rsid w:val="00385551"/>
    <w:rsid w:val="0038557E"/>
    <w:rsid w:val="00385B5F"/>
    <w:rsid w:val="0038624B"/>
    <w:rsid w:val="00386525"/>
    <w:rsid w:val="00386640"/>
    <w:rsid w:val="00386857"/>
    <w:rsid w:val="00386B8E"/>
    <w:rsid w:val="003873BE"/>
    <w:rsid w:val="003873DB"/>
    <w:rsid w:val="00387570"/>
    <w:rsid w:val="0038791E"/>
    <w:rsid w:val="00387ACB"/>
    <w:rsid w:val="00387CED"/>
    <w:rsid w:val="0039015F"/>
    <w:rsid w:val="00390433"/>
    <w:rsid w:val="00390621"/>
    <w:rsid w:val="0039082E"/>
    <w:rsid w:val="00390852"/>
    <w:rsid w:val="00390FB6"/>
    <w:rsid w:val="003911A7"/>
    <w:rsid w:val="00391285"/>
    <w:rsid w:val="003912AB"/>
    <w:rsid w:val="003913A8"/>
    <w:rsid w:val="00391861"/>
    <w:rsid w:val="00391A1F"/>
    <w:rsid w:val="00391B4D"/>
    <w:rsid w:val="00391D07"/>
    <w:rsid w:val="00391DF7"/>
    <w:rsid w:val="00393009"/>
    <w:rsid w:val="003933A6"/>
    <w:rsid w:val="003938FF"/>
    <w:rsid w:val="00393922"/>
    <w:rsid w:val="003940B7"/>
    <w:rsid w:val="0039459C"/>
    <w:rsid w:val="00394E61"/>
    <w:rsid w:val="0039522D"/>
    <w:rsid w:val="0039523F"/>
    <w:rsid w:val="003953AE"/>
    <w:rsid w:val="00395AFF"/>
    <w:rsid w:val="00395B4B"/>
    <w:rsid w:val="00395BCB"/>
    <w:rsid w:val="00395D54"/>
    <w:rsid w:val="003972C5"/>
    <w:rsid w:val="0039765D"/>
    <w:rsid w:val="00397C4E"/>
    <w:rsid w:val="003A050E"/>
    <w:rsid w:val="003A08BB"/>
    <w:rsid w:val="003A0FA0"/>
    <w:rsid w:val="003A1059"/>
    <w:rsid w:val="003A1167"/>
    <w:rsid w:val="003A139D"/>
    <w:rsid w:val="003A141A"/>
    <w:rsid w:val="003A18B0"/>
    <w:rsid w:val="003A198E"/>
    <w:rsid w:val="003A19AF"/>
    <w:rsid w:val="003A1FD0"/>
    <w:rsid w:val="003A218D"/>
    <w:rsid w:val="003A21C8"/>
    <w:rsid w:val="003A27C6"/>
    <w:rsid w:val="003A29CF"/>
    <w:rsid w:val="003A29F5"/>
    <w:rsid w:val="003A2D0E"/>
    <w:rsid w:val="003A2DB4"/>
    <w:rsid w:val="003A352A"/>
    <w:rsid w:val="003A37FF"/>
    <w:rsid w:val="003A40BA"/>
    <w:rsid w:val="003A4126"/>
    <w:rsid w:val="003A41A7"/>
    <w:rsid w:val="003A4592"/>
    <w:rsid w:val="003A47FD"/>
    <w:rsid w:val="003A49A2"/>
    <w:rsid w:val="003A4ED8"/>
    <w:rsid w:val="003A54ED"/>
    <w:rsid w:val="003A586D"/>
    <w:rsid w:val="003A5936"/>
    <w:rsid w:val="003A5A7D"/>
    <w:rsid w:val="003A5B83"/>
    <w:rsid w:val="003A5EB4"/>
    <w:rsid w:val="003A6066"/>
    <w:rsid w:val="003A624E"/>
    <w:rsid w:val="003A6269"/>
    <w:rsid w:val="003A6352"/>
    <w:rsid w:val="003A6445"/>
    <w:rsid w:val="003A686C"/>
    <w:rsid w:val="003A68B0"/>
    <w:rsid w:val="003A6967"/>
    <w:rsid w:val="003A69DE"/>
    <w:rsid w:val="003A6A40"/>
    <w:rsid w:val="003A6B84"/>
    <w:rsid w:val="003A6BE0"/>
    <w:rsid w:val="003A6D3C"/>
    <w:rsid w:val="003A6F5D"/>
    <w:rsid w:val="003A6FD4"/>
    <w:rsid w:val="003A7309"/>
    <w:rsid w:val="003A7411"/>
    <w:rsid w:val="003A7A9B"/>
    <w:rsid w:val="003A7D61"/>
    <w:rsid w:val="003B043C"/>
    <w:rsid w:val="003B087E"/>
    <w:rsid w:val="003B1053"/>
    <w:rsid w:val="003B10C1"/>
    <w:rsid w:val="003B115A"/>
    <w:rsid w:val="003B15BE"/>
    <w:rsid w:val="003B1672"/>
    <w:rsid w:val="003B16DB"/>
    <w:rsid w:val="003B18F9"/>
    <w:rsid w:val="003B1EE4"/>
    <w:rsid w:val="003B1F70"/>
    <w:rsid w:val="003B2601"/>
    <w:rsid w:val="003B2B43"/>
    <w:rsid w:val="003B2F83"/>
    <w:rsid w:val="003B300F"/>
    <w:rsid w:val="003B3317"/>
    <w:rsid w:val="003B3523"/>
    <w:rsid w:val="003B3D19"/>
    <w:rsid w:val="003B4B7C"/>
    <w:rsid w:val="003B4BC4"/>
    <w:rsid w:val="003B4EE5"/>
    <w:rsid w:val="003B51F1"/>
    <w:rsid w:val="003B52BB"/>
    <w:rsid w:val="003B545C"/>
    <w:rsid w:val="003B603E"/>
    <w:rsid w:val="003B6324"/>
    <w:rsid w:val="003B68D9"/>
    <w:rsid w:val="003B6BD0"/>
    <w:rsid w:val="003B6DD7"/>
    <w:rsid w:val="003B7244"/>
    <w:rsid w:val="003B7507"/>
    <w:rsid w:val="003B75CF"/>
    <w:rsid w:val="003B769B"/>
    <w:rsid w:val="003B7843"/>
    <w:rsid w:val="003B7CCF"/>
    <w:rsid w:val="003B7EAF"/>
    <w:rsid w:val="003C0230"/>
    <w:rsid w:val="003C0730"/>
    <w:rsid w:val="003C0B7C"/>
    <w:rsid w:val="003C1030"/>
    <w:rsid w:val="003C10AA"/>
    <w:rsid w:val="003C15F0"/>
    <w:rsid w:val="003C1A90"/>
    <w:rsid w:val="003C1C7D"/>
    <w:rsid w:val="003C207E"/>
    <w:rsid w:val="003C2550"/>
    <w:rsid w:val="003C28E6"/>
    <w:rsid w:val="003C29FF"/>
    <w:rsid w:val="003C2A1C"/>
    <w:rsid w:val="003C2B14"/>
    <w:rsid w:val="003C2B23"/>
    <w:rsid w:val="003C2CA8"/>
    <w:rsid w:val="003C2DC2"/>
    <w:rsid w:val="003C301D"/>
    <w:rsid w:val="003C314C"/>
    <w:rsid w:val="003C348B"/>
    <w:rsid w:val="003C3659"/>
    <w:rsid w:val="003C3F39"/>
    <w:rsid w:val="003C43FE"/>
    <w:rsid w:val="003C487E"/>
    <w:rsid w:val="003C4B6E"/>
    <w:rsid w:val="003C4D24"/>
    <w:rsid w:val="003C4D56"/>
    <w:rsid w:val="003C4F41"/>
    <w:rsid w:val="003C525C"/>
    <w:rsid w:val="003C5764"/>
    <w:rsid w:val="003C60E2"/>
    <w:rsid w:val="003C6315"/>
    <w:rsid w:val="003C651E"/>
    <w:rsid w:val="003C6964"/>
    <w:rsid w:val="003C6B89"/>
    <w:rsid w:val="003C737E"/>
    <w:rsid w:val="003C7459"/>
    <w:rsid w:val="003C7593"/>
    <w:rsid w:val="003C7702"/>
    <w:rsid w:val="003C7C41"/>
    <w:rsid w:val="003C7EC6"/>
    <w:rsid w:val="003C7FC4"/>
    <w:rsid w:val="003D0270"/>
    <w:rsid w:val="003D02F9"/>
    <w:rsid w:val="003D05DF"/>
    <w:rsid w:val="003D0DAE"/>
    <w:rsid w:val="003D1419"/>
    <w:rsid w:val="003D14C1"/>
    <w:rsid w:val="003D1F7D"/>
    <w:rsid w:val="003D2406"/>
    <w:rsid w:val="003D26BC"/>
    <w:rsid w:val="003D28D9"/>
    <w:rsid w:val="003D2954"/>
    <w:rsid w:val="003D2C75"/>
    <w:rsid w:val="003D3099"/>
    <w:rsid w:val="003D3375"/>
    <w:rsid w:val="003D34F0"/>
    <w:rsid w:val="003D372A"/>
    <w:rsid w:val="003D3C68"/>
    <w:rsid w:val="003D40C4"/>
    <w:rsid w:val="003D42AD"/>
    <w:rsid w:val="003D436E"/>
    <w:rsid w:val="003D4635"/>
    <w:rsid w:val="003D48D1"/>
    <w:rsid w:val="003D500D"/>
    <w:rsid w:val="003D518D"/>
    <w:rsid w:val="003D5590"/>
    <w:rsid w:val="003D575B"/>
    <w:rsid w:val="003D5C46"/>
    <w:rsid w:val="003D5DBB"/>
    <w:rsid w:val="003D600B"/>
    <w:rsid w:val="003D66FF"/>
    <w:rsid w:val="003D7007"/>
    <w:rsid w:val="003D735E"/>
    <w:rsid w:val="003D73C2"/>
    <w:rsid w:val="003D75F3"/>
    <w:rsid w:val="003D76B0"/>
    <w:rsid w:val="003D7BBC"/>
    <w:rsid w:val="003D7C11"/>
    <w:rsid w:val="003E074D"/>
    <w:rsid w:val="003E08DE"/>
    <w:rsid w:val="003E0AD3"/>
    <w:rsid w:val="003E0F45"/>
    <w:rsid w:val="003E134B"/>
    <w:rsid w:val="003E17F2"/>
    <w:rsid w:val="003E2116"/>
    <w:rsid w:val="003E21FD"/>
    <w:rsid w:val="003E284C"/>
    <w:rsid w:val="003E2B23"/>
    <w:rsid w:val="003E2ED5"/>
    <w:rsid w:val="003E3069"/>
    <w:rsid w:val="003E3785"/>
    <w:rsid w:val="003E3CE1"/>
    <w:rsid w:val="003E3D0C"/>
    <w:rsid w:val="003E3FB8"/>
    <w:rsid w:val="003E43C0"/>
    <w:rsid w:val="003E4A2B"/>
    <w:rsid w:val="003E4CDB"/>
    <w:rsid w:val="003E4FBE"/>
    <w:rsid w:val="003E5230"/>
    <w:rsid w:val="003E534E"/>
    <w:rsid w:val="003E564B"/>
    <w:rsid w:val="003E595E"/>
    <w:rsid w:val="003E5965"/>
    <w:rsid w:val="003E5C19"/>
    <w:rsid w:val="003E5FA1"/>
    <w:rsid w:val="003E5FB8"/>
    <w:rsid w:val="003E600A"/>
    <w:rsid w:val="003E61B0"/>
    <w:rsid w:val="003E6779"/>
    <w:rsid w:val="003E680F"/>
    <w:rsid w:val="003E7086"/>
    <w:rsid w:val="003E7492"/>
    <w:rsid w:val="003E74CC"/>
    <w:rsid w:val="003E74E3"/>
    <w:rsid w:val="003E7626"/>
    <w:rsid w:val="003E777B"/>
    <w:rsid w:val="003E7988"/>
    <w:rsid w:val="003E7A40"/>
    <w:rsid w:val="003E7EF1"/>
    <w:rsid w:val="003F003C"/>
    <w:rsid w:val="003F0071"/>
    <w:rsid w:val="003F0379"/>
    <w:rsid w:val="003F03C3"/>
    <w:rsid w:val="003F0A4F"/>
    <w:rsid w:val="003F1196"/>
    <w:rsid w:val="003F15FB"/>
    <w:rsid w:val="003F1809"/>
    <w:rsid w:val="003F1830"/>
    <w:rsid w:val="003F1966"/>
    <w:rsid w:val="003F1A0E"/>
    <w:rsid w:val="003F1B2D"/>
    <w:rsid w:val="003F2033"/>
    <w:rsid w:val="003F2536"/>
    <w:rsid w:val="003F265C"/>
    <w:rsid w:val="003F2B96"/>
    <w:rsid w:val="003F2CCF"/>
    <w:rsid w:val="003F2DE2"/>
    <w:rsid w:val="003F3280"/>
    <w:rsid w:val="003F3554"/>
    <w:rsid w:val="003F364A"/>
    <w:rsid w:val="003F3BC9"/>
    <w:rsid w:val="003F3C0A"/>
    <w:rsid w:val="003F3F5E"/>
    <w:rsid w:val="003F3FAA"/>
    <w:rsid w:val="003F432B"/>
    <w:rsid w:val="003F4433"/>
    <w:rsid w:val="003F4649"/>
    <w:rsid w:val="003F4A15"/>
    <w:rsid w:val="003F519D"/>
    <w:rsid w:val="003F5F52"/>
    <w:rsid w:val="003F62AA"/>
    <w:rsid w:val="003F65F0"/>
    <w:rsid w:val="003F67A7"/>
    <w:rsid w:val="003F6F92"/>
    <w:rsid w:val="003F728C"/>
    <w:rsid w:val="003F7917"/>
    <w:rsid w:val="003F7CFC"/>
    <w:rsid w:val="003F7E4E"/>
    <w:rsid w:val="003F7EA1"/>
    <w:rsid w:val="0040084C"/>
    <w:rsid w:val="00400959"/>
    <w:rsid w:val="004012C5"/>
    <w:rsid w:val="00401A62"/>
    <w:rsid w:val="00401B0E"/>
    <w:rsid w:val="00402073"/>
    <w:rsid w:val="004024D4"/>
    <w:rsid w:val="00402BF2"/>
    <w:rsid w:val="00402E44"/>
    <w:rsid w:val="00402FF7"/>
    <w:rsid w:val="00403162"/>
    <w:rsid w:val="00403489"/>
    <w:rsid w:val="00403621"/>
    <w:rsid w:val="004036CA"/>
    <w:rsid w:val="00403A79"/>
    <w:rsid w:val="00403EED"/>
    <w:rsid w:val="00403FCE"/>
    <w:rsid w:val="00404535"/>
    <w:rsid w:val="00404575"/>
    <w:rsid w:val="00404E58"/>
    <w:rsid w:val="00405A68"/>
    <w:rsid w:val="00405B88"/>
    <w:rsid w:val="00405BD8"/>
    <w:rsid w:val="0040636D"/>
    <w:rsid w:val="004063BA"/>
    <w:rsid w:val="004067FC"/>
    <w:rsid w:val="00406C11"/>
    <w:rsid w:val="004070D0"/>
    <w:rsid w:val="004070E3"/>
    <w:rsid w:val="004072FF"/>
    <w:rsid w:val="0040790E"/>
    <w:rsid w:val="00407918"/>
    <w:rsid w:val="00410051"/>
    <w:rsid w:val="0041030E"/>
    <w:rsid w:val="00410310"/>
    <w:rsid w:val="00410454"/>
    <w:rsid w:val="0041049D"/>
    <w:rsid w:val="00410537"/>
    <w:rsid w:val="004105BA"/>
    <w:rsid w:val="00410612"/>
    <w:rsid w:val="00410751"/>
    <w:rsid w:val="00410B60"/>
    <w:rsid w:val="00410E52"/>
    <w:rsid w:val="00411126"/>
    <w:rsid w:val="0041136C"/>
    <w:rsid w:val="0041162A"/>
    <w:rsid w:val="00411EA9"/>
    <w:rsid w:val="0041204C"/>
    <w:rsid w:val="004123D8"/>
    <w:rsid w:val="004124A4"/>
    <w:rsid w:val="00412998"/>
    <w:rsid w:val="004129DE"/>
    <w:rsid w:val="00412E14"/>
    <w:rsid w:val="00412FA1"/>
    <w:rsid w:val="00413516"/>
    <w:rsid w:val="004135A7"/>
    <w:rsid w:val="0041379D"/>
    <w:rsid w:val="00413826"/>
    <w:rsid w:val="00413A14"/>
    <w:rsid w:val="00413A65"/>
    <w:rsid w:val="00413D4D"/>
    <w:rsid w:val="00413E70"/>
    <w:rsid w:val="00413E96"/>
    <w:rsid w:val="00413F6F"/>
    <w:rsid w:val="004140CB"/>
    <w:rsid w:val="0041438F"/>
    <w:rsid w:val="004143A0"/>
    <w:rsid w:val="004145E7"/>
    <w:rsid w:val="00414A46"/>
    <w:rsid w:val="00414D11"/>
    <w:rsid w:val="0041518D"/>
    <w:rsid w:val="004154D3"/>
    <w:rsid w:val="004154D4"/>
    <w:rsid w:val="004154E2"/>
    <w:rsid w:val="0041591E"/>
    <w:rsid w:val="00415C6A"/>
    <w:rsid w:val="00415F8E"/>
    <w:rsid w:val="00416280"/>
    <w:rsid w:val="00416453"/>
    <w:rsid w:val="00416CF4"/>
    <w:rsid w:val="00417320"/>
    <w:rsid w:val="00417450"/>
    <w:rsid w:val="004205DF"/>
    <w:rsid w:val="00420B40"/>
    <w:rsid w:val="00421428"/>
    <w:rsid w:val="0042185C"/>
    <w:rsid w:val="00421945"/>
    <w:rsid w:val="0042203E"/>
    <w:rsid w:val="004220F7"/>
    <w:rsid w:val="004222A8"/>
    <w:rsid w:val="004222C9"/>
    <w:rsid w:val="0042230A"/>
    <w:rsid w:val="00422821"/>
    <w:rsid w:val="00422A68"/>
    <w:rsid w:val="00422B28"/>
    <w:rsid w:val="00422E0D"/>
    <w:rsid w:val="00422F2A"/>
    <w:rsid w:val="0042356A"/>
    <w:rsid w:val="00423A8E"/>
    <w:rsid w:val="00423CC8"/>
    <w:rsid w:val="00423E7A"/>
    <w:rsid w:val="00424269"/>
    <w:rsid w:val="00424576"/>
    <w:rsid w:val="00425AF5"/>
    <w:rsid w:val="00425B87"/>
    <w:rsid w:val="00425D60"/>
    <w:rsid w:val="0042616B"/>
    <w:rsid w:val="00426388"/>
    <w:rsid w:val="0042639E"/>
    <w:rsid w:val="004267C5"/>
    <w:rsid w:val="00426907"/>
    <w:rsid w:val="00426C1D"/>
    <w:rsid w:val="004278B4"/>
    <w:rsid w:val="00427B57"/>
    <w:rsid w:val="00427C62"/>
    <w:rsid w:val="004302DF"/>
    <w:rsid w:val="004309CE"/>
    <w:rsid w:val="004313F4"/>
    <w:rsid w:val="004318C4"/>
    <w:rsid w:val="00431928"/>
    <w:rsid w:val="00431D70"/>
    <w:rsid w:val="00431EEA"/>
    <w:rsid w:val="00431FE2"/>
    <w:rsid w:val="004326AC"/>
    <w:rsid w:val="00432770"/>
    <w:rsid w:val="00432BB3"/>
    <w:rsid w:val="00432D2B"/>
    <w:rsid w:val="00432F8B"/>
    <w:rsid w:val="004331B2"/>
    <w:rsid w:val="00433298"/>
    <w:rsid w:val="00433440"/>
    <w:rsid w:val="00433465"/>
    <w:rsid w:val="00433836"/>
    <w:rsid w:val="004339C0"/>
    <w:rsid w:val="00433C4F"/>
    <w:rsid w:val="00433D91"/>
    <w:rsid w:val="0043439B"/>
    <w:rsid w:val="0043452C"/>
    <w:rsid w:val="004345AC"/>
    <w:rsid w:val="0043466A"/>
    <w:rsid w:val="00434908"/>
    <w:rsid w:val="0043494D"/>
    <w:rsid w:val="0043622C"/>
    <w:rsid w:val="004365A7"/>
    <w:rsid w:val="0043694E"/>
    <w:rsid w:val="00436CA5"/>
    <w:rsid w:val="00436DE5"/>
    <w:rsid w:val="00437499"/>
    <w:rsid w:val="0043786A"/>
    <w:rsid w:val="00437ACF"/>
    <w:rsid w:val="00437C0E"/>
    <w:rsid w:val="004408E1"/>
    <w:rsid w:val="00440C27"/>
    <w:rsid w:val="00441238"/>
    <w:rsid w:val="0044145A"/>
    <w:rsid w:val="0044157B"/>
    <w:rsid w:val="00441E1C"/>
    <w:rsid w:val="004420A4"/>
    <w:rsid w:val="004420F1"/>
    <w:rsid w:val="004423BD"/>
    <w:rsid w:val="004428C6"/>
    <w:rsid w:val="00442C6E"/>
    <w:rsid w:val="00442E91"/>
    <w:rsid w:val="0044301C"/>
    <w:rsid w:val="004430E1"/>
    <w:rsid w:val="004431A1"/>
    <w:rsid w:val="0044330F"/>
    <w:rsid w:val="0044332E"/>
    <w:rsid w:val="0044356A"/>
    <w:rsid w:val="004436BF"/>
    <w:rsid w:val="004438B4"/>
    <w:rsid w:val="00444050"/>
    <w:rsid w:val="004443A8"/>
    <w:rsid w:val="00444B1F"/>
    <w:rsid w:val="00444BE0"/>
    <w:rsid w:val="00444C19"/>
    <w:rsid w:val="00444FE6"/>
    <w:rsid w:val="00445146"/>
    <w:rsid w:val="004451ED"/>
    <w:rsid w:val="004452CD"/>
    <w:rsid w:val="0044535C"/>
    <w:rsid w:val="0044550F"/>
    <w:rsid w:val="004455B7"/>
    <w:rsid w:val="004457F7"/>
    <w:rsid w:val="0044647E"/>
    <w:rsid w:val="004464CF"/>
    <w:rsid w:val="00446719"/>
    <w:rsid w:val="00446C31"/>
    <w:rsid w:val="00446D25"/>
    <w:rsid w:val="00446DC9"/>
    <w:rsid w:val="004470ED"/>
    <w:rsid w:val="00447C75"/>
    <w:rsid w:val="0045036A"/>
    <w:rsid w:val="0045051C"/>
    <w:rsid w:val="004506A1"/>
    <w:rsid w:val="0045129D"/>
    <w:rsid w:val="004512CF"/>
    <w:rsid w:val="00451427"/>
    <w:rsid w:val="004515B8"/>
    <w:rsid w:val="0045194F"/>
    <w:rsid w:val="00451A44"/>
    <w:rsid w:val="004522F7"/>
    <w:rsid w:val="00452524"/>
    <w:rsid w:val="004528AA"/>
    <w:rsid w:val="004529D0"/>
    <w:rsid w:val="00452AE5"/>
    <w:rsid w:val="00452C64"/>
    <w:rsid w:val="00452D19"/>
    <w:rsid w:val="00453125"/>
    <w:rsid w:val="00453D4E"/>
    <w:rsid w:val="00454147"/>
    <w:rsid w:val="0045421F"/>
    <w:rsid w:val="00454274"/>
    <w:rsid w:val="00454BE2"/>
    <w:rsid w:val="00454E2D"/>
    <w:rsid w:val="004551CC"/>
    <w:rsid w:val="00455596"/>
    <w:rsid w:val="0045589B"/>
    <w:rsid w:val="00455A94"/>
    <w:rsid w:val="004561B4"/>
    <w:rsid w:val="00456222"/>
    <w:rsid w:val="0045626A"/>
    <w:rsid w:val="00456FF3"/>
    <w:rsid w:val="00457028"/>
    <w:rsid w:val="00457140"/>
    <w:rsid w:val="004573CA"/>
    <w:rsid w:val="00457BF3"/>
    <w:rsid w:val="004600D1"/>
    <w:rsid w:val="004600EF"/>
    <w:rsid w:val="00460217"/>
    <w:rsid w:val="00460643"/>
    <w:rsid w:val="00460845"/>
    <w:rsid w:val="00460D20"/>
    <w:rsid w:val="00460D62"/>
    <w:rsid w:val="00460F53"/>
    <w:rsid w:val="00461081"/>
    <w:rsid w:val="00461AE3"/>
    <w:rsid w:val="00461CBF"/>
    <w:rsid w:val="00461F5C"/>
    <w:rsid w:val="00462228"/>
    <w:rsid w:val="0046241E"/>
    <w:rsid w:val="00462577"/>
    <w:rsid w:val="00462D0D"/>
    <w:rsid w:val="00462F65"/>
    <w:rsid w:val="0046319B"/>
    <w:rsid w:val="00463647"/>
    <w:rsid w:val="00463BBF"/>
    <w:rsid w:val="00463CFB"/>
    <w:rsid w:val="00463DE7"/>
    <w:rsid w:val="00464071"/>
    <w:rsid w:val="0046479C"/>
    <w:rsid w:val="00464925"/>
    <w:rsid w:val="00464BAB"/>
    <w:rsid w:val="0046503F"/>
    <w:rsid w:val="00465258"/>
    <w:rsid w:val="00465388"/>
    <w:rsid w:val="00465390"/>
    <w:rsid w:val="004655A2"/>
    <w:rsid w:val="00466079"/>
    <w:rsid w:val="00466198"/>
    <w:rsid w:val="004666E4"/>
    <w:rsid w:val="00466A74"/>
    <w:rsid w:val="00466D44"/>
    <w:rsid w:val="00466DF0"/>
    <w:rsid w:val="004671F6"/>
    <w:rsid w:val="004677A6"/>
    <w:rsid w:val="00467BBA"/>
    <w:rsid w:val="004700CD"/>
    <w:rsid w:val="00470C9A"/>
    <w:rsid w:val="00471633"/>
    <w:rsid w:val="004717B7"/>
    <w:rsid w:val="00471B14"/>
    <w:rsid w:val="00471B38"/>
    <w:rsid w:val="00471E26"/>
    <w:rsid w:val="0047203C"/>
    <w:rsid w:val="00472080"/>
    <w:rsid w:val="004720F7"/>
    <w:rsid w:val="004723D9"/>
    <w:rsid w:val="004724A3"/>
    <w:rsid w:val="004726A4"/>
    <w:rsid w:val="0047271C"/>
    <w:rsid w:val="004728D3"/>
    <w:rsid w:val="00473D56"/>
    <w:rsid w:val="004742BE"/>
    <w:rsid w:val="00474BEB"/>
    <w:rsid w:val="00474F24"/>
    <w:rsid w:val="00474F81"/>
    <w:rsid w:val="00475060"/>
    <w:rsid w:val="004752EA"/>
    <w:rsid w:val="004753A2"/>
    <w:rsid w:val="004753FC"/>
    <w:rsid w:val="00475975"/>
    <w:rsid w:val="00475E87"/>
    <w:rsid w:val="00476039"/>
    <w:rsid w:val="004764F9"/>
    <w:rsid w:val="00476A80"/>
    <w:rsid w:val="00476BCB"/>
    <w:rsid w:val="00476D39"/>
    <w:rsid w:val="00476ECD"/>
    <w:rsid w:val="00477AFD"/>
    <w:rsid w:val="00477CA3"/>
    <w:rsid w:val="00480333"/>
    <w:rsid w:val="0048080D"/>
    <w:rsid w:val="004809F1"/>
    <w:rsid w:val="00480F5F"/>
    <w:rsid w:val="0048109E"/>
    <w:rsid w:val="0048151F"/>
    <w:rsid w:val="0048185E"/>
    <w:rsid w:val="00481DD3"/>
    <w:rsid w:val="00482469"/>
    <w:rsid w:val="004829ED"/>
    <w:rsid w:val="004830EE"/>
    <w:rsid w:val="004834C6"/>
    <w:rsid w:val="00483C88"/>
    <w:rsid w:val="00483FC9"/>
    <w:rsid w:val="004844F3"/>
    <w:rsid w:val="00484622"/>
    <w:rsid w:val="00484A36"/>
    <w:rsid w:val="00484A90"/>
    <w:rsid w:val="00484B0C"/>
    <w:rsid w:val="00484B3C"/>
    <w:rsid w:val="00484B7E"/>
    <w:rsid w:val="00484D9B"/>
    <w:rsid w:val="00485633"/>
    <w:rsid w:val="00485A71"/>
    <w:rsid w:val="00485EDA"/>
    <w:rsid w:val="00485F83"/>
    <w:rsid w:val="00485FEC"/>
    <w:rsid w:val="004861DC"/>
    <w:rsid w:val="0048662E"/>
    <w:rsid w:val="00486944"/>
    <w:rsid w:val="00486A9D"/>
    <w:rsid w:val="0048752E"/>
    <w:rsid w:val="0048768C"/>
    <w:rsid w:val="00487D64"/>
    <w:rsid w:val="00487E7F"/>
    <w:rsid w:val="00487EBC"/>
    <w:rsid w:val="00490008"/>
    <w:rsid w:val="004900FF"/>
    <w:rsid w:val="004901A1"/>
    <w:rsid w:val="004904E5"/>
    <w:rsid w:val="00490508"/>
    <w:rsid w:val="00491136"/>
    <w:rsid w:val="0049155F"/>
    <w:rsid w:val="0049166C"/>
    <w:rsid w:val="004924B9"/>
    <w:rsid w:val="00492586"/>
    <w:rsid w:val="004927F6"/>
    <w:rsid w:val="0049297A"/>
    <w:rsid w:val="00493A78"/>
    <w:rsid w:val="00493CA6"/>
    <w:rsid w:val="0049498C"/>
    <w:rsid w:val="00494F04"/>
    <w:rsid w:val="00495224"/>
    <w:rsid w:val="004953CB"/>
    <w:rsid w:val="004956ED"/>
    <w:rsid w:val="004957DB"/>
    <w:rsid w:val="00495845"/>
    <w:rsid w:val="00495EB2"/>
    <w:rsid w:val="00495EFF"/>
    <w:rsid w:val="00495FB3"/>
    <w:rsid w:val="0049614C"/>
    <w:rsid w:val="004964F7"/>
    <w:rsid w:val="00496697"/>
    <w:rsid w:val="0049674C"/>
    <w:rsid w:val="00496BF5"/>
    <w:rsid w:val="00496DEF"/>
    <w:rsid w:val="0049708B"/>
    <w:rsid w:val="00497AEA"/>
    <w:rsid w:val="00497B7E"/>
    <w:rsid w:val="004A0088"/>
    <w:rsid w:val="004A00B7"/>
    <w:rsid w:val="004A00D9"/>
    <w:rsid w:val="004A0F1C"/>
    <w:rsid w:val="004A0F5A"/>
    <w:rsid w:val="004A1029"/>
    <w:rsid w:val="004A16E2"/>
    <w:rsid w:val="004A1827"/>
    <w:rsid w:val="004A1C6E"/>
    <w:rsid w:val="004A1F2C"/>
    <w:rsid w:val="004A1FB1"/>
    <w:rsid w:val="004A2494"/>
    <w:rsid w:val="004A25F8"/>
    <w:rsid w:val="004A26B2"/>
    <w:rsid w:val="004A28BE"/>
    <w:rsid w:val="004A3427"/>
    <w:rsid w:val="004A3820"/>
    <w:rsid w:val="004A385C"/>
    <w:rsid w:val="004A3A97"/>
    <w:rsid w:val="004A3AE1"/>
    <w:rsid w:val="004A3F53"/>
    <w:rsid w:val="004A40BB"/>
    <w:rsid w:val="004A4CBA"/>
    <w:rsid w:val="004A4DF3"/>
    <w:rsid w:val="004A5087"/>
    <w:rsid w:val="004A5438"/>
    <w:rsid w:val="004A5693"/>
    <w:rsid w:val="004A5803"/>
    <w:rsid w:val="004A58ED"/>
    <w:rsid w:val="004A5945"/>
    <w:rsid w:val="004A641A"/>
    <w:rsid w:val="004A64A4"/>
    <w:rsid w:val="004A6659"/>
    <w:rsid w:val="004A6C80"/>
    <w:rsid w:val="004A730E"/>
    <w:rsid w:val="004A7499"/>
    <w:rsid w:val="004A76B5"/>
    <w:rsid w:val="004A7C53"/>
    <w:rsid w:val="004A7DB8"/>
    <w:rsid w:val="004A7FF7"/>
    <w:rsid w:val="004B0B0E"/>
    <w:rsid w:val="004B0D50"/>
    <w:rsid w:val="004B1838"/>
    <w:rsid w:val="004B1B04"/>
    <w:rsid w:val="004B1B71"/>
    <w:rsid w:val="004B1CDE"/>
    <w:rsid w:val="004B2213"/>
    <w:rsid w:val="004B2A9A"/>
    <w:rsid w:val="004B2FBF"/>
    <w:rsid w:val="004B3494"/>
    <w:rsid w:val="004B35BF"/>
    <w:rsid w:val="004B35CB"/>
    <w:rsid w:val="004B3B28"/>
    <w:rsid w:val="004B421C"/>
    <w:rsid w:val="004B42D4"/>
    <w:rsid w:val="004B4432"/>
    <w:rsid w:val="004B4470"/>
    <w:rsid w:val="004B4877"/>
    <w:rsid w:val="004B493C"/>
    <w:rsid w:val="004B49F8"/>
    <w:rsid w:val="004B4E9A"/>
    <w:rsid w:val="004B5002"/>
    <w:rsid w:val="004B539A"/>
    <w:rsid w:val="004B5D57"/>
    <w:rsid w:val="004B6356"/>
    <w:rsid w:val="004B640E"/>
    <w:rsid w:val="004B647D"/>
    <w:rsid w:val="004B683F"/>
    <w:rsid w:val="004B692F"/>
    <w:rsid w:val="004B788D"/>
    <w:rsid w:val="004B7A17"/>
    <w:rsid w:val="004B7BA9"/>
    <w:rsid w:val="004B7D03"/>
    <w:rsid w:val="004C03A8"/>
    <w:rsid w:val="004C0888"/>
    <w:rsid w:val="004C0A06"/>
    <w:rsid w:val="004C0AF2"/>
    <w:rsid w:val="004C0E12"/>
    <w:rsid w:val="004C0F08"/>
    <w:rsid w:val="004C1179"/>
    <w:rsid w:val="004C154D"/>
    <w:rsid w:val="004C1DEA"/>
    <w:rsid w:val="004C2664"/>
    <w:rsid w:val="004C2833"/>
    <w:rsid w:val="004C28FA"/>
    <w:rsid w:val="004C29B2"/>
    <w:rsid w:val="004C2BC9"/>
    <w:rsid w:val="004C2F62"/>
    <w:rsid w:val="004C31C0"/>
    <w:rsid w:val="004C38D2"/>
    <w:rsid w:val="004C3B1C"/>
    <w:rsid w:val="004C3C41"/>
    <w:rsid w:val="004C3CD0"/>
    <w:rsid w:val="004C3CD4"/>
    <w:rsid w:val="004C3F85"/>
    <w:rsid w:val="004C4152"/>
    <w:rsid w:val="004C4275"/>
    <w:rsid w:val="004C4465"/>
    <w:rsid w:val="004C460A"/>
    <w:rsid w:val="004C4680"/>
    <w:rsid w:val="004C48A0"/>
    <w:rsid w:val="004C492E"/>
    <w:rsid w:val="004C4ADD"/>
    <w:rsid w:val="004C4BED"/>
    <w:rsid w:val="004C50E8"/>
    <w:rsid w:val="004C52EE"/>
    <w:rsid w:val="004C54BC"/>
    <w:rsid w:val="004C5CD1"/>
    <w:rsid w:val="004C5CE4"/>
    <w:rsid w:val="004C6151"/>
    <w:rsid w:val="004C617D"/>
    <w:rsid w:val="004C6229"/>
    <w:rsid w:val="004C64E9"/>
    <w:rsid w:val="004C6589"/>
    <w:rsid w:val="004C66C4"/>
    <w:rsid w:val="004C6741"/>
    <w:rsid w:val="004C6D68"/>
    <w:rsid w:val="004C6FE3"/>
    <w:rsid w:val="004C7488"/>
    <w:rsid w:val="004C749B"/>
    <w:rsid w:val="004C7ABB"/>
    <w:rsid w:val="004C7DB8"/>
    <w:rsid w:val="004CBB9B"/>
    <w:rsid w:val="004D02AA"/>
    <w:rsid w:val="004D08EC"/>
    <w:rsid w:val="004D0E01"/>
    <w:rsid w:val="004D0F54"/>
    <w:rsid w:val="004D16A9"/>
    <w:rsid w:val="004D19B5"/>
    <w:rsid w:val="004D1A52"/>
    <w:rsid w:val="004D1D52"/>
    <w:rsid w:val="004D203F"/>
    <w:rsid w:val="004D2090"/>
    <w:rsid w:val="004D255B"/>
    <w:rsid w:val="004D2D09"/>
    <w:rsid w:val="004D31BD"/>
    <w:rsid w:val="004D3353"/>
    <w:rsid w:val="004D3447"/>
    <w:rsid w:val="004D3C15"/>
    <w:rsid w:val="004D3CD6"/>
    <w:rsid w:val="004D3F8D"/>
    <w:rsid w:val="004D41CD"/>
    <w:rsid w:val="004D4649"/>
    <w:rsid w:val="004D4ABD"/>
    <w:rsid w:val="004D50F1"/>
    <w:rsid w:val="004D597E"/>
    <w:rsid w:val="004D6050"/>
    <w:rsid w:val="004D6112"/>
    <w:rsid w:val="004D66DE"/>
    <w:rsid w:val="004D687D"/>
    <w:rsid w:val="004D6B9C"/>
    <w:rsid w:val="004D6CF4"/>
    <w:rsid w:val="004D7136"/>
    <w:rsid w:val="004D7536"/>
    <w:rsid w:val="004E0170"/>
    <w:rsid w:val="004E0A93"/>
    <w:rsid w:val="004E0AEF"/>
    <w:rsid w:val="004E0C8E"/>
    <w:rsid w:val="004E0D79"/>
    <w:rsid w:val="004E0E0B"/>
    <w:rsid w:val="004E0EC8"/>
    <w:rsid w:val="004E1227"/>
    <w:rsid w:val="004E1384"/>
    <w:rsid w:val="004E20BB"/>
    <w:rsid w:val="004E2427"/>
    <w:rsid w:val="004E2550"/>
    <w:rsid w:val="004E2E2C"/>
    <w:rsid w:val="004E31B7"/>
    <w:rsid w:val="004E32F7"/>
    <w:rsid w:val="004E3A7A"/>
    <w:rsid w:val="004E3AFE"/>
    <w:rsid w:val="004E421F"/>
    <w:rsid w:val="004E4BE5"/>
    <w:rsid w:val="004E4F3D"/>
    <w:rsid w:val="004E4F77"/>
    <w:rsid w:val="004E50F3"/>
    <w:rsid w:val="004E5140"/>
    <w:rsid w:val="004E5A66"/>
    <w:rsid w:val="004E5C27"/>
    <w:rsid w:val="004E5C28"/>
    <w:rsid w:val="004E6261"/>
    <w:rsid w:val="004E62F4"/>
    <w:rsid w:val="004E6524"/>
    <w:rsid w:val="004E66BF"/>
    <w:rsid w:val="004E6B6B"/>
    <w:rsid w:val="004E6C8E"/>
    <w:rsid w:val="004E6DCE"/>
    <w:rsid w:val="004E6EB2"/>
    <w:rsid w:val="004E6F9C"/>
    <w:rsid w:val="004E73E4"/>
    <w:rsid w:val="004E7711"/>
    <w:rsid w:val="004E7799"/>
    <w:rsid w:val="004F0153"/>
    <w:rsid w:val="004F0545"/>
    <w:rsid w:val="004F0683"/>
    <w:rsid w:val="004F099E"/>
    <w:rsid w:val="004F0D75"/>
    <w:rsid w:val="004F0ECA"/>
    <w:rsid w:val="004F14A1"/>
    <w:rsid w:val="004F15A6"/>
    <w:rsid w:val="004F1872"/>
    <w:rsid w:val="004F1B93"/>
    <w:rsid w:val="004F1DC0"/>
    <w:rsid w:val="004F2219"/>
    <w:rsid w:val="004F2443"/>
    <w:rsid w:val="004F26A6"/>
    <w:rsid w:val="004F26E3"/>
    <w:rsid w:val="004F32B2"/>
    <w:rsid w:val="004F32DB"/>
    <w:rsid w:val="004F351A"/>
    <w:rsid w:val="004F3677"/>
    <w:rsid w:val="004F3A22"/>
    <w:rsid w:val="004F3CBD"/>
    <w:rsid w:val="004F3D8B"/>
    <w:rsid w:val="004F4332"/>
    <w:rsid w:val="004F44A2"/>
    <w:rsid w:val="004F459E"/>
    <w:rsid w:val="004F46D3"/>
    <w:rsid w:val="004F506D"/>
    <w:rsid w:val="004F5469"/>
    <w:rsid w:val="004F5866"/>
    <w:rsid w:val="004F596E"/>
    <w:rsid w:val="004F59BE"/>
    <w:rsid w:val="004F5BE5"/>
    <w:rsid w:val="004F60B9"/>
    <w:rsid w:val="004F63F8"/>
    <w:rsid w:val="004F678C"/>
    <w:rsid w:val="004F69A3"/>
    <w:rsid w:val="004F7205"/>
    <w:rsid w:val="004F724C"/>
    <w:rsid w:val="004F76B9"/>
    <w:rsid w:val="004F7B42"/>
    <w:rsid w:val="004F7BF2"/>
    <w:rsid w:val="004F7CC5"/>
    <w:rsid w:val="0050036B"/>
    <w:rsid w:val="00500618"/>
    <w:rsid w:val="00500794"/>
    <w:rsid w:val="005010D8"/>
    <w:rsid w:val="0050139A"/>
    <w:rsid w:val="0050153F"/>
    <w:rsid w:val="005017F1"/>
    <w:rsid w:val="00501B63"/>
    <w:rsid w:val="00501B65"/>
    <w:rsid w:val="00501D8B"/>
    <w:rsid w:val="005020D0"/>
    <w:rsid w:val="00502282"/>
    <w:rsid w:val="005029F8"/>
    <w:rsid w:val="00502BF4"/>
    <w:rsid w:val="005036DA"/>
    <w:rsid w:val="00503A48"/>
    <w:rsid w:val="00503D75"/>
    <w:rsid w:val="00503E0F"/>
    <w:rsid w:val="005045C8"/>
    <w:rsid w:val="005048A3"/>
    <w:rsid w:val="005051E4"/>
    <w:rsid w:val="00505657"/>
    <w:rsid w:val="00505808"/>
    <w:rsid w:val="00505E4E"/>
    <w:rsid w:val="00506145"/>
    <w:rsid w:val="005067DE"/>
    <w:rsid w:val="00506807"/>
    <w:rsid w:val="00506C7F"/>
    <w:rsid w:val="00506D7B"/>
    <w:rsid w:val="005079BB"/>
    <w:rsid w:val="00507F2D"/>
    <w:rsid w:val="00510259"/>
    <w:rsid w:val="0051039C"/>
    <w:rsid w:val="00510552"/>
    <w:rsid w:val="00510704"/>
    <w:rsid w:val="005108B9"/>
    <w:rsid w:val="0051092E"/>
    <w:rsid w:val="00510A2C"/>
    <w:rsid w:val="00510C1F"/>
    <w:rsid w:val="00510C36"/>
    <w:rsid w:val="005113E7"/>
    <w:rsid w:val="00511F25"/>
    <w:rsid w:val="005123F9"/>
    <w:rsid w:val="00512490"/>
    <w:rsid w:val="00512C6E"/>
    <w:rsid w:val="00513317"/>
    <w:rsid w:val="00513B84"/>
    <w:rsid w:val="00513C2B"/>
    <w:rsid w:val="005141BF"/>
    <w:rsid w:val="0051421A"/>
    <w:rsid w:val="00514643"/>
    <w:rsid w:val="005148AB"/>
    <w:rsid w:val="00514F9A"/>
    <w:rsid w:val="00515188"/>
    <w:rsid w:val="0051542B"/>
    <w:rsid w:val="00515431"/>
    <w:rsid w:val="00515768"/>
    <w:rsid w:val="0051583B"/>
    <w:rsid w:val="00515E03"/>
    <w:rsid w:val="00515E4F"/>
    <w:rsid w:val="00516445"/>
    <w:rsid w:val="005164C8"/>
    <w:rsid w:val="00516F8B"/>
    <w:rsid w:val="005174D3"/>
    <w:rsid w:val="00517538"/>
    <w:rsid w:val="00517A75"/>
    <w:rsid w:val="005203DD"/>
    <w:rsid w:val="0052159E"/>
    <w:rsid w:val="005218D5"/>
    <w:rsid w:val="00521965"/>
    <w:rsid w:val="005220F5"/>
    <w:rsid w:val="00522239"/>
    <w:rsid w:val="00522242"/>
    <w:rsid w:val="00522353"/>
    <w:rsid w:val="00522494"/>
    <w:rsid w:val="005225BD"/>
    <w:rsid w:val="00522D49"/>
    <w:rsid w:val="00523008"/>
    <w:rsid w:val="005230B7"/>
    <w:rsid w:val="0052340B"/>
    <w:rsid w:val="005235F1"/>
    <w:rsid w:val="00523841"/>
    <w:rsid w:val="00523A45"/>
    <w:rsid w:val="00524237"/>
    <w:rsid w:val="00524506"/>
    <w:rsid w:val="00524830"/>
    <w:rsid w:val="00524861"/>
    <w:rsid w:val="00525060"/>
    <w:rsid w:val="005252D8"/>
    <w:rsid w:val="0052533F"/>
    <w:rsid w:val="0052540B"/>
    <w:rsid w:val="0052576A"/>
    <w:rsid w:val="00525AF8"/>
    <w:rsid w:val="00525C7F"/>
    <w:rsid w:val="00526121"/>
    <w:rsid w:val="005261F7"/>
    <w:rsid w:val="00526B5A"/>
    <w:rsid w:val="005301A7"/>
    <w:rsid w:val="005303AC"/>
    <w:rsid w:val="00530694"/>
    <w:rsid w:val="00530C0D"/>
    <w:rsid w:val="00530F36"/>
    <w:rsid w:val="00531354"/>
    <w:rsid w:val="0053190A"/>
    <w:rsid w:val="00531C7F"/>
    <w:rsid w:val="00531D22"/>
    <w:rsid w:val="00531DCF"/>
    <w:rsid w:val="00531ED2"/>
    <w:rsid w:val="00531F83"/>
    <w:rsid w:val="00532141"/>
    <w:rsid w:val="00532ECD"/>
    <w:rsid w:val="00532EF3"/>
    <w:rsid w:val="00532F3E"/>
    <w:rsid w:val="00533104"/>
    <w:rsid w:val="00533428"/>
    <w:rsid w:val="005336DE"/>
    <w:rsid w:val="005337EC"/>
    <w:rsid w:val="00533923"/>
    <w:rsid w:val="00533BD0"/>
    <w:rsid w:val="0053410A"/>
    <w:rsid w:val="005341E9"/>
    <w:rsid w:val="0053427B"/>
    <w:rsid w:val="005342AA"/>
    <w:rsid w:val="00534807"/>
    <w:rsid w:val="00534E0E"/>
    <w:rsid w:val="005352FC"/>
    <w:rsid w:val="00535492"/>
    <w:rsid w:val="00535AC5"/>
    <w:rsid w:val="00535CA4"/>
    <w:rsid w:val="00535D49"/>
    <w:rsid w:val="0053621F"/>
    <w:rsid w:val="00536354"/>
    <w:rsid w:val="00536828"/>
    <w:rsid w:val="00536AAE"/>
    <w:rsid w:val="00536E2A"/>
    <w:rsid w:val="00536E6F"/>
    <w:rsid w:val="00537001"/>
    <w:rsid w:val="0053767B"/>
    <w:rsid w:val="00537712"/>
    <w:rsid w:val="00537899"/>
    <w:rsid w:val="005378E2"/>
    <w:rsid w:val="005379A6"/>
    <w:rsid w:val="00537EE7"/>
    <w:rsid w:val="00540083"/>
    <w:rsid w:val="00540300"/>
    <w:rsid w:val="005404D8"/>
    <w:rsid w:val="00540C5C"/>
    <w:rsid w:val="00540D02"/>
    <w:rsid w:val="0054217B"/>
    <w:rsid w:val="00542212"/>
    <w:rsid w:val="00542821"/>
    <w:rsid w:val="00542DAF"/>
    <w:rsid w:val="00542EA2"/>
    <w:rsid w:val="005430DF"/>
    <w:rsid w:val="00543126"/>
    <w:rsid w:val="00543498"/>
    <w:rsid w:val="005434C5"/>
    <w:rsid w:val="00543A1F"/>
    <w:rsid w:val="00543B12"/>
    <w:rsid w:val="00543BBA"/>
    <w:rsid w:val="00543EEF"/>
    <w:rsid w:val="00544541"/>
    <w:rsid w:val="00544655"/>
    <w:rsid w:val="00544C83"/>
    <w:rsid w:val="005452AF"/>
    <w:rsid w:val="00545329"/>
    <w:rsid w:val="005456B2"/>
    <w:rsid w:val="00545725"/>
    <w:rsid w:val="00545771"/>
    <w:rsid w:val="00545936"/>
    <w:rsid w:val="00545ADD"/>
    <w:rsid w:val="00545EBD"/>
    <w:rsid w:val="00545FA1"/>
    <w:rsid w:val="0054614F"/>
    <w:rsid w:val="0054644B"/>
    <w:rsid w:val="00546B04"/>
    <w:rsid w:val="00546B0D"/>
    <w:rsid w:val="00547035"/>
    <w:rsid w:val="0054782A"/>
    <w:rsid w:val="00547CB7"/>
    <w:rsid w:val="00547F2A"/>
    <w:rsid w:val="0055045D"/>
    <w:rsid w:val="0055051D"/>
    <w:rsid w:val="00550651"/>
    <w:rsid w:val="00550795"/>
    <w:rsid w:val="00550B85"/>
    <w:rsid w:val="005513DA"/>
    <w:rsid w:val="0055154F"/>
    <w:rsid w:val="005518EE"/>
    <w:rsid w:val="00552027"/>
    <w:rsid w:val="00552675"/>
    <w:rsid w:val="0055283A"/>
    <w:rsid w:val="0055286C"/>
    <w:rsid w:val="00552ACC"/>
    <w:rsid w:val="00552EDB"/>
    <w:rsid w:val="00552FFB"/>
    <w:rsid w:val="005530E8"/>
    <w:rsid w:val="00553366"/>
    <w:rsid w:val="005533DB"/>
    <w:rsid w:val="00553443"/>
    <w:rsid w:val="0055369B"/>
    <w:rsid w:val="0055379B"/>
    <w:rsid w:val="00553981"/>
    <w:rsid w:val="005539AC"/>
    <w:rsid w:val="00553A18"/>
    <w:rsid w:val="00553AE8"/>
    <w:rsid w:val="00554216"/>
    <w:rsid w:val="0055445F"/>
    <w:rsid w:val="00554781"/>
    <w:rsid w:val="00554A0E"/>
    <w:rsid w:val="00554B65"/>
    <w:rsid w:val="00554E15"/>
    <w:rsid w:val="00554EBA"/>
    <w:rsid w:val="005550BC"/>
    <w:rsid w:val="00555AEE"/>
    <w:rsid w:val="00555C10"/>
    <w:rsid w:val="00555E17"/>
    <w:rsid w:val="00556177"/>
    <w:rsid w:val="00556926"/>
    <w:rsid w:val="00556B91"/>
    <w:rsid w:val="00556F9B"/>
    <w:rsid w:val="00557223"/>
    <w:rsid w:val="005572A8"/>
    <w:rsid w:val="005573F6"/>
    <w:rsid w:val="005574EC"/>
    <w:rsid w:val="0055757D"/>
    <w:rsid w:val="0055764D"/>
    <w:rsid w:val="005577B0"/>
    <w:rsid w:val="00557A70"/>
    <w:rsid w:val="00557A89"/>
    <w:rsid w:val="00557C04"/>
    <w:rsid w:val="00557CD1"/>
    <w:rsid w:val="00557CE2"/>
    <w:rsid w:val="00557E02"/>
    <w:rsid w:val="0056013A"/>
    <w:rsid w:val="00560B72"/>
    <w:rsid w:val="00560CAD"/>
    <w:rsid w:val="00560F49"/>
    <w:rsid w:val="005614E9"/>
    <w:rsid w:val="00561503"/>
    <w:rsid w:val="00561D88"/>
    <w:rsid w:val="00562317"/>
    <w:rsid w:val="00562467"/>
    <w:rsid w:val="005625AA"/>
    <w:rsid w:val="00562BF2"/>
    <w:rsid w:val="00562FC3"/>
    <w:rsid w:val="0056317A"/>
    <w:rsid w:val="005633E5"/>
    <w:rsid w:val="00563609"/>
    <w:rsid w:val="00564A0A"/>
    <w:rsid w:val="00565848"/>
    <w:rsid w:val="00565FCB"/>
    <w:rsid w:val="00566650"/>
    <w:rsid w:val="00566A7F"/>
    <w:rsid w:val="00566A9E"/>
    <w:rsid w:val="0056740C"/>
    <w:rsid w:val="00567492"/>
    <w:rsid w:val="00567A29"/>
    <w:rsid w:val="00567A9E"/>
    <w:rsid w:val="00567F6B"/>
    <w:rsid w:val="005705F8"/>
    <w:rsid w:val="00570615"/>
    <w:rsid w:val="005706E3"/>
    <w:rsid w:val="00570DEB"/>
    <w:rsid w:val="00570ECF"/>
    <w:rsid w:val="00570F9E"/>
    <w:rsid w:val="00571130"/>
    <w:rsid w:val="00571541"/>
    <w:rsid w:val="00571B90"/>
    <w:rsid w:val="00571B94"/>
    <w:rsid w:val="0057201F"/>
    <w:rsid w:val="00572241"/>
    <w:rsid w:val="00572B1E"/>
    <w:rsid w:val="00572E8C"/>
    <w:rsid w:val="00572F91"/>
    <w:rsid w:val="00573074"/>
    <w:rsid w:val="00573327"/>
    <w:rsid w:val="005737AF"/>
    <w:rsid w:val="00573F3B"/>
    <w:rsid w:val="005740D8"/>
    <w:rsid w:val="00574DDC"/>
    <w:rsid w:val="00576A1B"/>
    <w:rsid w:val="00577034"/>
    <w:rsid w:val="0057704D"/>
    <w:rsid w:val="005770EA"/>
    <w:rsid w:val="005772B6"/>
    <w:rsid w:val="005775CC"/>
    <w:rsid w:val="00577C2D"/>
    <w:rsid w:val="00577D5C"/>
    <w:rsid w:val="00580377"/>
    <w:rsid w:val="0058055E"/>
    <w:rsid w:val="0058068E"/>
    <w:rsid w:val="00580958"/>
    <w:rsid w:val="00580CD2"/>
    <w:rsid w:val="00580FB6"/>
    <w:rsid w:val="00581EE0"/>
    <w:rsid w:val="00582012"/>
    <w:rsid w:val="005820D1"/>
    <w:rsid w:val="00582148"/>
    <w:rsid w:val="0058232C"/>
    <w:rsid w:val="005825EA"/>
    <w:rsid w:val="00582D13"/>
    <w:rsid w:val="00583289"/>
    <w:rsid w:val="0058363E"/>
    <w:rsid w:val="00583A3F"/>
    <w:rsid w:val="00583A4B"/>
    <w:rsid w:val="00584AD7"/>
    <w:rsid w:val="00584CD5"/>
    <w:rsid w:val="00584D5F"/>
    <w:rsid w:val="00584DDE"/>
    <w:rsid w:val="00585102"/>
    <w:rsid w:val="00585CAC"/>
    <w:rsid w:val="0058632A"/>
    <w:rsid w:val="0058644E"/>
    <w:rsid w:val="005864BA"/>
    <w:rsid w:val="005868EE"/>
    <w:rsid w:val="005868FC"/>
    <w:rsid w:val="00586A72"/>
    <w:rsid w:val="00586AA7"/>
    <w:rsid w:val="0058727C"/>
    <w:rsid w:val="005876DB"/>
    <w:rsid w:val="00587754"/>
    <w:rsid w:val="005877DF"/>
    <w:rsid w:val="005879AF"/>
    <w:rsid w:val="005879E2"/>
    <w:rsid w:val="00587BF1"/>
    <w:rsid w:val="00587CEC"/>
    <w:rsid w:val="00590166"/>
    <w:rsid w:val="005902D4"/>
    <w:rsid w:val="00590420"/>
    <w:rsid w:val="005905CA"/>
    <w:rsid w:val="00590C77"/>
    <w:rsid w:val="00590DF9"/>
    <w:rsid w:val="00590E8C"/>
    <w:rsid w:val="00591200"/>
    <w:rsid w:val="005919A7"/>
    <w:rsid w:val="00591B1B"/>
    <w:rsid w:val="00591BB8"/>
    <w:rsid w:val="00591E8B"/>
    <w:rsid w:val="00591FD7"/>
    <w:rsid w:val="00591FDA"/>
    <w:rsid w:val="00592003"/>
    <w:rsid w:val="00592744"/>
    <w:rsid w:val="00592BA4"/>
    <w:rsid w:val="00593586"/>
    <w:rsid w:val="00593657"/>
    <w:rsid w:val="005937A1"/>
    <w:rsid w:val="0059394F"/>
    <w:rsid w:val="00593C4F"/>
    <w:rsid w:val="00593EAF"/>
    <w:rsid w:val="0059430F"/>
    <w:rsid w:val="00594535"/>
    <w:rsid w:val="00594861"/>
    <w:rsid w:val="00595332"/>
    <w:rsid w:val="005955B7"/>
    <w:rsid w:val="005956EE"/>
    <w:rsid w:val="00595A94"/>
    <w:rsid w:val="00595E0D"/>
    <w:rsid w:val="005960B1"/>
    <w:rsid w:val="00596312"/>
    <w:rsid w:val="0059656C"/>
    <w:rsid w:val="005968A8"/>
    <w:rsid w:val="00596F7B"/>
    <w:rsid w:val="005975C3"/>
    <w:rsid w:val="00597952"/>
    <w:rsid w:val="00597CD1"/>
    <w:rsid w:val="00597F69"/>
    <w:rsid w:val="005A0678"/>
    <w:rsid w:val="005A0B27"/>
    <w:rsid w:val="005A0D4D"/>
    <w:rsid w:val="005A10EE"/>
    <w:rsid w:val="005A16AD"/>
    <w:rsid w:val="005A1848"/>
    <w:rsid w:val="005A2C0A"/>
    <w:rsid w:val="005A3513"/>
    <w:rsid w:val="005A3544"/>
    <w:rsid w:val="005A3567"/>
    <w:rsid w:val="005A35F5"/>
    <w:rsid w:val="005A36A0"/>
    <w:rsid w:val="005A37A6"/>
    <w:rsid w:val="005A3978"/>
    <w:rsid w:val="005A3E75"/>
    <w:rsid w:val="005A402E"/>
    <w:rsid w:val="005A4093"/>
    <w:rsid w:val="005A41FE"/>
    <w:rsid w:val="005A42DB"/>
    <w:rsid w:val="005A48CB"/>
    <w:rsid w:val="005A4908"/>
    <w:rsid w:val="005A49F2"/>
    <w:rsid w:val="005A4A9B"/>
    <w:rsid w:val="005A4B15"/>
    <w:rsid w:val="005A4EA4"/>
    <w:rsid w:val="005A4FD1"/>
    <w:rsid w:val="005A58C7"/>
    <w:rsid w:val="005A5C11"/>
    <w:rsid w:val="005A5C47"/>
    <w:rsid w:val="005A5CAD"/>
    <w:rsid w:val="005A6616"/>
    <w:rsid w:val="005A6661"/>
    <w:rsid w:val="005A667B"/>
    <w:rsid w:val="005A6EDE"/>
    <w:rsid w:val="005A7110"/>
    <w:rsid w:val="005A71D5"/>
    <w:rsid w:val="005A7F80"/>
    <w:rsid w:val="005B0BD8"/>
    <w:rsid w:val="005B1052"/>
    <w:rsid w:val="005B1302"/>
    <w:rsid w:val="005B1311"/>
    <w:rsid w:val="005B147E"/>
    <w:rsid w:val="005B1538"/>
    <w:rsid w:val="005B15F8"/>
    <w:rsid w:val="005B169B"/>
    <w:rsid w:val="005B190E"/>
    <w:rsid w:val="005B198A"/>
    <w:rsid w:val="005B2192"/>
    <w:rsid w:val="005B2765"/>
    <w:rsid w:val="005B2E6F"/>
    <w:rsid w:val="005B2FCA"/>
    <w:rsid w:val="005B332A"/>
    <w:rsid w:val="005B334D"/>
    <w:rsid w:val="005B38F1"/>
    <w:rsid w:val="005B3927"/>
    <w:rsid w:val="005B3D95"/>
    <w:rsid w:val="005B3F95"/>
    <w:rsid w:val="005B4A6B"/>
    <w:rsid w:val="005B4D0B"/>
    <w:rsid w:val="005B4EE2"/>
    <w:rsid w:val="005B510E"/>
    <w:rsid w:val="005B5541"/>
    <w:rsid w:val="005B55F2"/>
    <w:rsid w:val="005B5911"/>
    <w:rsid w:val="005B59EB"/>
    <w:rsid w:val="005B5B6E"/>
    <w:rsid w:val="005B5C3A"/>
    <w:rsid w:val="005B5CA4"/>
    <w:rsid w:val="005B6064"/>
    <w:rsid w:val="005B6099"/>
    <w:rsid w:val="005B6355"/>
    <w:rsid w:val="005B65AA"/>
    <w:rsid w:val="005B6619"/>
    <w:rsid w:val="005B68C1"/>
    <w:rsid w:val="005B6977"/>
    <w:rsid w:val="005B6EF6"/>
    <w:rsid w:val="005B7019"/>
    <w:rsid w:val="005B7349"/>
    <w:rsid w:val="005B74F5"/>
    <w:rsid w:val="005B7741"/>
    <w:rsid w:val="005B77E4"/>
    <w:rsid w:val="005B77F4"/>
    <w:rsid w:val="005B784B"/>
    <w:rsid w:val="005B7CFC"/>
    <w:rsid w:val="005C02DE"/>
    <w:rsid w:val="005C0B7A"/>
    <w:rsid w:val="005C0C14"/>
    <w:rsid w:val="005C10E3"/>
    <w:rsid w:val="005C1326"/>
    <w:rsid w:val="005C1ADD"/>
    <w:rsid w:val="005C1E25"/>
    <w:rsid w:val="005C276E"/>
    <w:rsid w:val="005C2E91"/>
    <w:rsid w:val="005C2FCF"/>
    <w:rsid w:val="005C3912"/>
    <w:rsid w:val="005C4416"/>
    <w:rsid w:val="005C4C32"/>
    <w:rsid w:val="005C5139"/>
    <w:rsid w:val="005C535D"/>
    <w:rsid w:val="005C566D"/>
    <w:rsid w:val="005C59AD"/>
    <w:rsid w:val="005C5D2B"/>
    <w:rsid w:val="005C5FB1"/>
    <w:rsid w:val="005C6234"/>
    <w:rsid w:val="005C65F1"/>
    <w:rsid w:val="005C7269"/>
    <w:rsid w:val="005C7550"/>
    <w:rsid w:val="005C781C"/>
    <w:rsid w:val="005C7E73"/>
    <w:rsid w:val="005D0088"/>
    <w:rsid w:val="005D009F"/>
    <w:rsid w:val="005D0151"/>
    <w:rsid w:val="005D0469"/>
    <w:rsid w:val="005D06FC"/>
    <w:rsid w:val="005D17E4"/>
    <w:rsid w:val="005D2160"/>
    <w:rsid w:val="005D2237"/>
    <w:rsid w:val="005D2DEA"/>
    <w:rsid w:val="005D2E01"/>
    <w:rsid w:val="005D346D"/>
    <w:rsid w:val="005D34D5"/>
    <w:rsid w:val="005D35E8"/>
    <w:rsid w:val="005D3D8A"/>
    <w:rsid w:val="005D438C"/>
    <w:rsid w:val="005D4434"/>
    <w:rsid w:val="005D44AA"/>
    <w:rsid w:val="005D453D"/>
    <w:rsid w:val="005D4BEA"/>
    <w:rsid w:val="005D50E5"/>
    <w:rsid w:val="005D51F0"/>
    <w:rsid w:val="005D52D9"/>
    <w:rsid w:val="005D5373"/>
    <w:rsid w:val="005D586B"/>
    <w:rsid w:val="005D5AD3"/>
    <w:rsid w:val="005D5F66"/>
    <w:rsid w:val="005D61F9"/>
    <w:rsid w:val="005D666B"/>
    <w:rsid w:val="005D6736"/>
    <w:rsid w:val="005D67A5"/>
    <w:rsid w:val="005D67CA"/>
    <w:rsid w:val="005D7196"/>
    <w:rsid w:val="005D733B"/>
    <w:rsid w:val="005D76F4"/>
    <w:rsid w:val="005D7A2D"/>
    <w:rsid w:val="005E01FD"/>
    <w:rsid w:val="005E095F"/>
    <w:rsid w:val="005E0B1D"/>
    <w:rsid w:val="005E0C2D"/>
    <w:rsid w:val="005E0D31"/>
    <w:rsid w:val="005E2145"/>
    <w:rsid w:val="005E2F21"/>
    <w:rsid w:val="005E30B9"/>
    <w:rsid w:val="005E3305"/>
    <w:rsid w:val="005E3689"/>
    <w:rsid w:val="005E3B0B"/>
    <w:rsid w:val="005E3FF8"/>
    <w:rsid w:val="005E4415"/>
    <w:rsid w:val="005E4491"/>
    <w:rsid w:val="005E4779"/>
    <w:rsid w:val="005E4783"/>
    <w:rsid w:val="005E47A3"/>
    <w:rsid w:val="005E4DB6"/>
    <w:rsid w:val="005E50B6"/>
    <w:rsid w:val="005E513A"/>
    <w:rsid w:val="005E5339"/>
    <w:rsid w:val="005E56F3"/>
    <w:rsid w:val="005E5934"/>
    <w:rsid w:val="005E5A0E"/>
    <w:rsid w:val="005E5E16"/>
    <w:rsid w:val="005E60D7"/>
    <w:rsid w:val="005E617A"/>
    <w:rsid w:val="005E6C91"/>
    <w:rsid w:val="005E6E51"/>
    <w:rsid w:val="005E6EBB"/>
    <w:rsid w:val="005E6F5E"/>
    <w:rsid w:val="005E76E1"/>
    <w:rsid w:val="005E76F3"/>
    <w:rsid w:val="005E7775"/>
    <w:rsid w:val="005E7D47"/>
    <w:rsid w:val="005F014D"/>
    <w:rsid w:val="005F01CF"/>
    <w:rsid w:val="005F01D1"/>
    <w:rsid w:val="005F0260"/>
    <w:rsid w:val="005F03C0"/>
    <w:rsid w:val="005F0462"/>
    <w:rsid w:val="005F09DC"/>
    <w:rsid w:val="005F0D4E"/>
    <w:rsid w:val="005F1076"/>
    <w:rsid w:val="005F13D1"/>
    <w:rsid w:val="005F14A0"/>
    <w:rsid w:val="005F1D8C"/>
    <w:rsid w:val="005F28DF"/>
    <w:rsid w:val="005F294F"/>
    <w:rsid w:val="005F2A48"/>
    <w:rsid w:val="005F2CD8"/>
    <w:rsid w:val="005F2E44"/>
    <w:rsid w:val="005F364F"/>
    <w:rsid w:val="005F37CE"/>
    <w:rsid w:val="005F3900"/>
    <w:rsid w:val="005F39E6"/>
    <w:rsid w:val="005F42B5"/>
    <w:rsid w:val="005F4A52"/>
    <w:rsid w:val="005F4FC0"/>
    <w:rsid w:val="005F518E"/>
    <w:rsid w:val="005F59F8"/>
    <w:rsid w:val="005F5F2C"/>
    <w:rsid w:val="005F62DB"/>
    <w:rsid w:val="005F68F9"/>
    <w:rsid w:val="005F69C2"/>
    <w:rsid w:val="005F6EA6"/>
    <w:rsid w:val="005F73C3"/>
    <w:rsid w:val="005F74F7"/>
    <w:rsid w:val="005F7953"/>
    <w:rsid w:val="005F7B4E"/>
    <w:rsid w:val="005F7DFD"/>
    <w:rsid w:val="00600276"/>
    <w:rsid w:val="00600873"/>
    <w:rsid w:val="006009C7"/>
    <w:rsid w:val="00600AED"/>
    <w:rsid w:val="00600D36"/>
    <w:rsid w:val="00600DD8"/>
    <w:rsid w:val="00601297"/>
    <w:rsid w:val="0060153F"/>
    <w:rsid w:val="00601A2B"/>
    <w:rsid w:val="00601D9B"/>
    <w:rsid w:val="00601EAB"/>
    <w:rsid w:val="00601EF1"/>
    <w:rsid w:val="00602111"/>
    <w:rsid w:val="00602570"/>
    <w:rsid w:val="006027FA"/>
    <w:rsid w:val="00602B7A"/>
    <w:rsid w:val="0060321F"/>
    <w:rsid w:val="006038F4"/>
    <w:rsid w:val="006039D3"/>
    <w:rsid w:val="00603D6E"/>
    <w:rsid w:val="00603D90"/>
    <w:rsid w:val="00604050"/>
    <w:rsid w:val="00604B02"/>
    <w:rsid w:val="00604BD4"/>
    <w:rsid w:val="00604D4D"/>
    <w:rsid w:val="006052D4"/>
    <w:rsid w:val="006059F8"/>
    <w:rsid w:val="00606123"/>
    <w:rsid w:val="00606308"/>
    <w:rsid w:val="006063AB"/>
    <w:rsid w:val="006064E7"/>
    <w:rsid w:val="00606D3D"/>
    <w:rsid w:val="00606D83"/>
    <w:rsid w:val="00607001"/>
    <w:rsid w:val="006073ED"/>
    <w:rsid w:val="00607AA4"/>
    <w:rsid w:val="00607B85"/>
    <w:rsid w:val="00607C3E"/>
    <w:rsid w:val="00610095"/>
    <w:rsid w:val="006102C7"/>
    <w:rsid w:val="006104E2"/>
    <w:rsid w:val="00610840"/>
    <w:rsid w:val="006108C1"/>
    <w:rsid w:val="0061090E"/>
    <w:rsid w:val="00610990"/>
    <w:rsid w:val="00610BB3"/>
    <w:rsid w:val="00610F63"/>
    <w:rsid w:val="0061111E"/>
    <w:rsid w:val="0061119A"/>
    <w:rsid w:val="00611476"/>
    <w:rsid w:val="006118E8"/>
    <w:rsid w:val="006121B7"/>
    <w:rsid w:val="006123AA"/>
    <w:rsid w:val="0061264D"/>
    <w:rsid w:val="0061285B"/>
    <w:rsid w:val="00612A7D"/>
    <w:rsid w:val="00612AEB"/>
    <w:rsid w:val="0061311F"/>
    <w:rsid w:val="0061357E"/>
    <w:rsid w:val="006135B8"/>
    <w:rsid w:val="006135CB"/>
    <w:rsid w:val="00613CDA"/>
    <w:rsid w:val="00613D10"/>
    <w:rsid w:val="00614431"/>
    <w:rsid w:val="006145F4"/>
    <w:rsid w:val="00614B19"/>
    <w:rsid w:val="00614E91"/>
    <w:rsid w:val="00614E95"/>
    <w:rsid w:val="006156B2"/>
    <w:rsid w:val="0061579E"/>
    <w:rsid w:val="00615EAF"/>
    <w:rsid w:val="006164E8"/>
    <w:rsid w:val="006168CB"/>
    <w:rsid w:val="00616A51"/>
    <w:rsid w:val="00616A87"/>
    <w:rsid w:val="00616E1A"/>
    <w:rsid w:val="006170D9"/>
    <w:rsid w:val="0061733C"/>
    <w:rsid w:val="00617822"/>
    <w:rsid w:val="006178AF"/>
    <w:rsid w:val="00620580"/>
    <w:rsid w:val="00620CEE"/>
    <w:rsid w:val="00620E68"/>
    <w:rsid w:val="00621576"/>
    <w:rsid w:val="00621586"/>
    <w:rsid w:val="006219B0"/>
    <w:rsid w:val="00621B23"/>
    <w:rsid w:val="00621B7E"/>
    <w:rsid w:val="00621DBE"/>
    <w:rsid w:val="00621E32"/>
    <w:rsid w:val="00621E77"/>
    <w:rsid w:val="00621E79"/>
    <w:rsid w:val="00621FB2"/>
    <w:rsid w:val="00622224"/>
    <w:rsid w:val="00622252"/>
    <w:rsid w:val="006222C9"/>
    <w:rsid w:val="00622418"/>
    <w:rsid w:val="0062282E"/>
    <w:rsid w:val="006229A6"/>
    <w:rsid w:val="00623052"/>
    <w:rsid w:val="0062314C"/>
    <w:rsid w:val="006231D9"/>
    <w:rsid w:val="00623B38"/>
    <w:rsid w:val="00623BA5"/>
    <w:rsid w:val="00623D0B"/>
    <w:rsid w:val="00623E40"/>
    <w:rsid w:val="00623EA0"/>
    <w:rsid w:val="00624039"/>
    <w:rsid w:val="0062430D"/>
    <w:rsid w:val="006247E9"/>
    <w:rsid w:val="00624A00"/>
    <w:rsid w:val="00624C99"/>
    <w:rsid w:val="00624CE6"/>
    <w:rsid w:val="006254D0"/>
    <w:rsid w:val="0062570E"/>
    <w:rsid w:val="006257F6"/>
    <w:rsid w:val="00625AA7"/>
    <w:rsid w:val="00625C06"/>
    <w:rsid w:val="006274BC"/>
    <w:rsid w:val="00627A36"/>
    <w:rsid w:val="00630594"/>
    <w:rsid w:val="00630C6B"/>
    <w:rsid w:val="00631053"/>
    <w:rsid w:val="006311DE"/>
    <w:rsid w:val="00631614"/>
    <w:rsid w:val="00631DCD"/>
    <w:rsid w:val="00631F5C"/>
    <w:rsid w:val="006320CE"/>
    <w:rsid w:val="00632C17"/>
    <w:rsid w:val="00633500"/>
    <w:rsid w:val="00633565"/>
    <w:rsid w:val="0063392C"/>
    <w:rsid w:val="0063398B"/>
    <w:rsid w:val="00633A97"/>
    <w:rsid w:val="00633D4A"/>
    <w:rsid w:val="00633D5D"/>
    <w:rsid w:val="00634617"/>
    <w:rsid w:val="0063499C"/>
    <w:rsid w:val="00634A35"/>
    <w:rsid w:val="00634B7A"/>
    <w:rsid w:val="00634C68"/>
    <w:rsid w:val="00634CA2"/>
    <w:rsid w:val="00634F78"/>
    <w:rsid w:val="006350E3"/>
    <w:rsid w:val="00635166"/>
    <w:rsid w:val="00635242"/>
    <w:rsid w:val="006353A4"/>
    <w:rsid w:val="00635438"/>
    <w:rsid w:val="006356B2"/>
    <w:rsid w:val="00635992"/>
    <w:rsid w:val="00635ADB"/>
    <w:rsid w:val="00635E8C"/>
    <w:rsid w:val="00636076"/>
    <w:rsid w:val="006363CC"/>
    <w:rsid w:val="00636A24"/>
    <w:rsid w:val="00636E6F"/>
    <w:rsid w:val="006378A5"/>
    <w:rsid w:val="006379A0"/>
    <w:rsid w:val="00637A06"/>
    <w:rsid w:val="00640003"/>
    <w:rsid w:val="006401D7"/>
    <w:rsid w:val="00640330"/>
    <w:rsid w:val="006403B6"/>
    <w:rsid w:val="00640729"/>
    <w:rsid w:val="00640CBE"/>
    <w:rsid w:val="00641E6C"/>
    <w:rsid w:val="00641F59"/>
    <w:rsid w:val="006425ED"/>
    <w:rsid w:val="006433B9"/>
    <w:rsid w:val="00643516"/>
    <w:rsid w:val="006441CE"/>
    <w:rsid w:val="006446F1"/>
    <w:rsid w:val="0064483B"/>
    <w:rsid w:val="00644A3C"/>
    <w:rsid w:val="00644B93"/>
    <w:rsid w:val="00645B9F"/>
    <w:rsid w:val="00646303"/>
    <w:rsid w:val="00646A58"/>
    <w:rsid w:val="0064731F"/>
    <w:rsid w:val="00647549"/>
    <w:rsid w:val="00647A11"/>
    <w:rsid w:val="00647E0F"/>
    <w:rsid w:val="0065019C"/>
    <w:rsid w:val="00650963"/>
    <w:rsid w:val="00650B35"/>
    <w:rsid w:val="00651110"/>
    <w:rsid w:val="00651C70"/>
    <w:rsid w:val="006521E5"/>
    <w:rsid w:val="006523FA"/>
    <w:rsid w:val="00652801"/>
    <w:rsid w:val="00652BD3"/>
    <w:rsid w:val="00652F20"/>
    <w:rsid w:val="006530C2"/>
    <w:rsid w:val="00653294"/>
    <w:rsid w:val="006532EF"/>
    <w:rsid w:val="00653477"/>
    <w:rsid w:val="00653667"/>
    <w:rsid w:val="00653B9B"/>
    <w:rsid w:val="00653C02"/>
    <w:rsid w:val="00653FBE"/>
    <w:rsid w:val="00653FCB"/>
    <w:rsid w:val="006542F8"/>
    <w:rsid w:val="00654302"/>
    <w:rsid w:val="006545D3"/>
    <w:rsid w:val="006546D5"/>
    <w:rsid w:val="00654948"/>
    <w:rsid w:val="0065498C"/>
    <w:rsid w:val="00654A86"/>
    <w:rsid w:val="00655107"/>
    <w:rsid w:val="0065521F"/>
    <w:rsid w:val="00655498"/>
    <w:rsid w:val="006556B2"/>
    <w:rsid w:val="006558B5"/>
    <w:rsid w:val="00656456"/>
    <w:rsid w:val="006569BD"/>
    <w:rsid w:val="00656ABC"/>
    <w:rsid w:val="00656E4D"/>
    <w:rsid w:val="0065718E"/>
    <w:rsid w:val="006572B9"/>
    <w:rsid w:val="00657AD0"/>
    <w:rsid w:val="006600F7"/>
    <w:rsid w:val="006602E6"/>
    <w:rsid w:val="0066045B"/>
    <w:rsid w:val="006605AD"/>
    <w:rsid w:val="00660A5F"/>
    <w:rsid w:val="00660ACC"/>
    <w:rsid w:val="00660CEA"/>
    <w:rsid w:val="00660E34"/>
    <w:rsid w:val="006610C8"/>
    <w:rsid w:val="00661153"/>
    <w:rsid w:val="006614D5"/>
    <w:rsid w:val="006618DD"/>
    <w:rsid w:val="0066220B"/>
    <w:rsid w:val="0066226E"/>
    <w:rsid w:val="0066230E"/>
    <w:rsid w:val="0066232B"/>
    <w:rsid w:val="0066254A"/>
    <w:rsid w:val="00662561"/>
    <w:rsid w:val="00662633"/>
    <w:rsid w:val="0066268D"/>
    <w:rsid w:val="00663160"/>
    <w:rsid w:val="006633BB"/>
    <w:rsid w:val="0066342E"/>
    <w:rsid w:val="0066346B"/>
    <w:rsid w:val="0066395E"/>
    <w:rsid w:val="006639C2"/>
    <w:rsid w:val="006639F9"/>
    <w:rsid w:val="00664562"/>
    <w:rsid w:val="006650E5"/>
    <w:rsid w:val="0066547A"/>
    <w:rsid w:val="00665E66"/>
    <w:rsid w:val="00665ECD"/>
    <w:rsid w:val="00666147"/>
    <w:rsid w:val="006662C2"/>
    <w:rsid w:val="006665A3"/>
    <w:rsid w:val="00667122"/>
    <w:rsid w:val="00667B8E"/>
    <w:rsid w:val="006707E2"/>
    <w:rsid w:val="00670EAB"/>
    <w:rsid w:val="00670EED"/>
    <w:rsid w:val="0067113C"/>
    <w:rsid w:val="00671948"/>
    <w:rsid w:val="006719AD"/>
    <w:rsid w:val="00671AC6"/>
    <w:rsid w:val="00671B6B"/>
    <w:rsid w:val="00671C1D"/>
    <w:rsid w:val="00671ED7"/>
    <w:rsid w:val="006721A1"/>
    <w:rsid w:val="00672F21"/>
    <w:rsid w:val="0067348F"/>
    <w:rsid w:val="00673CCC"/>
    <w:rsid w:val="006740FF"/>
    <w:rsid w:val="00674225"/>
    <w:rsid w:val="00674850"/>
    <w:rsid w:val="006749E6"/>
    <w:rsid w:val="00674D70"/>
    <w:rsid w:val="00674FC3"/>
    <w:rsid w:val="006750DF"/>
    <w:rsid w:val="0067545E"/>
    <w:rsid w:val="006757A0"/>
    <w:rsid w:val="00675871"/>
    <w:rsid w:val="00675C5C"/>
    <w:rsid w:val="00676638"/>
    <w:rsid w:val="006766A7"/>
    <w:rsid w:val="006769A0"/>
    <w:rsid w:val="006769D7"/>
    <w:rsid w:val="00676B7F"/>
    <w:rsid w:val="00676C26"/>
    <w:rsid w:val="00676C28"/>
    <w:rsid w:val="006778DC"/>
    <w:rsid w:val="00677AE5"/>
    <w:rsid w:val="00677BD5"/>
    <w:rsid w:val="00677C69"/>
    <w:rsid w:val="00680359"/>
    <w:rsid w:val="006808AD"/>
    <w:rsid w:val="00681936"/>
    <w:rsid w:val="00681ACB"/>
    <w:rsid w:val="00681BD8"/>
    <w:rsid w:val="00682069"/>
    <w:rsid w:val="0068219A"/>
    <w:rsid w:val="00682290"/>
    <w:rsid w:val="0068298D"/>
    <w:rsid w:val="00682E91"/>
    <w:rsid w:val="00682EA8"/>
    <w:rsid w:val="00683428"/>
    <w:rsid w:val="0068383E"/>
    <w:rsid w:val="00683BCA"/>
    <w:rsid w:val="00683C13"/>
    <w:rsid w:val="00684191"/>
    <w:rsid w:val="006843C0"/>
    <w:rsid w:val="00684413"/>
    <w:rsid w:val="0068461C"/>
    <w:rsid w:val="00684694"/>
    <w:rsid w:val="00685633"/>
    <w:rsid w:val="00685855"/>
    <w:rsid w:val="00685A2C"/>
    <w:rsid w:val="00685A2F"/>
    <w:rsid w:val="00685AA1"/>
    <w:rsid w:val="00685E0D"/>
    <w:rsid w:val="00685EA5"/>
    <w:rsid w:val="00685EF3"/>
    <w:rsid w:val="006865B7"/>
    <w:rsid w:val="006867C2"/>
    <w:rsid w:val="0068689D"/>
    <w:rsid w:val="0068710E"/>
    <w:rsid w:val="006875A2"/>
    <w:rsid w:val="00687FB3"/>
    <w:rsid w:val="00690226"/>
    <w:rsid w:val="0069068C"/>
    <w:rsid w:val="00690EA0"/>
    <w:rsid w:val="0069128A"/>
    <w:rsid w:val="00691EF2"/>
    <w:rsid w:val="00692024"/>
    <w:rsid w:val="0069277E"/>
    <w:rsid w:val="00692790"/>
    <w:rsid w:val="00692B9A"/>
    <w:rsid w:val="00693042"/>
    <w:rsid w:val="006932C5"/>
    <w:rsid w:val="00693814"/>
    <w:rsid w:val="0069394F"/>
    <w:rsid w:val="00693D9C"/>
    <w:rsid w:val="00693DB0"/>
    <w:rsid w:val="00693DFA"/>
    <w:rsid w:val="00693E6F"/>
    <w:rsid w:val="00694306"/>
    <w:rsid w:val="00694E06"/>
    <w:rsid w:val="00694ED1"/>
    <w:rsid w:val="00694FF9"/>
    <w:rsid w:val="00695568"/>
    <w:rsid w:val="00695662"/>
    <w:rsid w:val="00695DF9"/>
    <w:rsid w:val="00696174"/>
    <w:rsid w:val="006966FA"/>
    <w:rsid w:val="00696ABD"/>
    <w:rsid w:val="00696FEF"/>
    <w:rsid w:val="00697409"/>
    <w:rsid w:val="00697DFA"/>
    <w:rsid w:val="006A013F"/>
    <w:rsid w:val="006A0983"/>
    <w:rsid w:val="006A09D9"/>
    <w:rsid w:val="006A0CE5"/>
    <w:rsid w:val="006A0E06"/>
    <w:rsid w:val="006A1311"/>
    <w:rsid w:val="006A192A"/>
    <w:rsid w:val="006A192E"/>
    <w:rsid w:val="006A1D03"/>
    <w:rsid w:val="006A1EBF"/>
    <w:rsid w:val="006A20E8"/>
    <w:rsid w:val="006A21EC"/>
    <w:rsid w:val="006A2B3E"/>
    <w:rsid w:val="006A2FA2"/>
    <w:rsid w:val="006A3409"/>
    <w:rsid w:val="006A3788"/>
    <w:rsid w:val="006A3A48"/>
    <w:rsid w:val="006A3E29"/>
    <w:rsid w:val="006A3F48"/>
    <w:rsid w:val="006A4323"/>
    <w:rsid w:val="006A48B8"/>
    <w:rsid w:val="006A4B4F"/>
    <w:rsid w:val="006A5323"/>
    <w:rsid w:val="006A551E"/>
    <w:rsid w:val="006A5745"/>
    <w:rsid w:val="006A576B"/>
    <w:rsid w:val="006A58EE"/>
    <w:rsid w:val="006A59A2"/>
    <w:rsid w:val="006A59CA"/>
    <w:rsid w:val="006A5B2B"/>
    <w:rsid w:val="006A5CB6"/>
    <w:rsid w:val="006A60A5"/>
    <w:rsid w:val="006A6218"/>
    <w:rsid w:val="006A62B8"/>
    <w:rsid w:val="006A6E47"/>
    <w:rsid w:val="006A6F56"/>
    <w:rsid w:val="006A70B7"/>
    <w:rsid w:val="006A7266"/>
    <w:rsid w:val="006A74CC"/>
    <w:rsid w:val="006A75E0"/>
    <w:rsid w:val="006A75FA"/>
    <w:rsid w:val="006A7C63"/>
    <w:rsid w:val="006B07BC"/>
    <w:rsid w:val="006B09BD"/>
    <w:rsid w:val="006B1014"/>
    <w:rsid w:val="006B110A"/>
    <w:rsid w:val="006B1267"/>
    <w:rsid w:val="006B152F"/>
    <w:rsid w:val="006B17C2"/>
    <w:rsid w:val="006B184F"/>
    <w:rsid w:val="006B1923"/>
    <w:rsid w:val="006B1C4B"/>
    <w:rsid w:val="006B1C7F"/>
    <w:rsid w:val="006B1E7F"/>
    <w:rsid w:val="006B2103"/>
    <w:rsid w:val="006B22D6"/>
    <w:rsid w:val="006B2593"/>
    <w:rsid w:val="006B26D1"/>
    <w:rsid w:val="006B34C0"/>
    <w:rsid w:val="006B3990"/>
    <w:rsid w:val="006B3B30"/>
    <w:rsid w:val="006B3BCF"/>
    <w:rsid w:val="006B3E6D"/>
    <w:rsid w:val="006B423D"/>
    <w:rsid w:val="006B46AE"/>
    <w:rsid w:val="006B47DB"/>
    <w:rsid w:val="006B4913"/>
    <w:rsid w:val="006B4A5A"/>
    <w:rsid w:val="006B52E7"/>
    <w:rsid w:val="006B55D1"/>
    <w:rsid w:val="006B6098"/>
    <w:rsid w:val="006B668F"/>
    <w:rsid w:val="006B6C41"/>
    <w:rsid w:val="006B73CA"/>
    <w:rsid w:val="006B754A"/>
    <w:rsid w:val="006B7768"/>
    <w:rsid w:val="006B7B81"/>
    <w:rsid w:val="006C0191"/>
    <w:rsid w:val="006C1063"/>
    <w:rsid w:val="006C15CC"/>
    <w:rsid w:val="006C1717"/>
    <w:rsid w:val="006C1D0A"/>
    <w:rsid w:val="006C1D7B"/>
    <w:rsid w:val="006C208E"/>
    <w:rsid w:val="006C2227"/>
    <w:rsid w:val="006C2A48"/>
    <w:rsid w:val="006C2BDC"/>
    <w:rsid w:val="006C2D86"/>
    <w:rsid w:val="006C2E9D"/>
    <w:rsid w:val="006C32F8"/>
    <w:rsid w:val="006C3394"/>
    <w:rsid w:val="006C37E1"/>
    <w:rsid w:val="006C3804"/>
    <w:rsid w:val="006C383E"/>
    <w:rsid w:val="006C3844"/>
    <w:rsid w:val="006C38D1"/>
    <w:rsid w:val="006C3C40"/>
    <w:rsid w:val="006C3FEC"/>
    <w:rsid w:val="006C4327"/>
    <w:rsid w:val="006C4C32"/>
    <w:rsid w:val="006C62F4"/>
    <w:rsid w:val="006C679F"/>
    <w:rsid w:val="006C67B3"/>
    <w:rsid w:val="006C686D"/>
    <w:rsid w:val="006C6955"/>
    <w:rsid w:val="006C6AEA"/>
    <w:rsid w:val="006C6B84"/>
    <w:rsid w:val="006C6D08"/>
    <w:rsid w:val="006C6EC1"/>
    <w:rsid w:val="006C6FD5"/>
    <w:rsid w:val="006C7488"/>
    <w:rsid w:val="006C7530"/>
    <w:rsid w:val="006C7C1D"/>
    <w:rsid w:val="006C7C8E"/>
    <w:rsid w:val="006C7ED9"/>
    <w:rsid w:val="006D0090"/>
    <w:rsid w:val="006D0403"/>
    <w:rsid w:val="006D0AF8"/>
    <w:rsid w:val="006D0D6B"/>
    <w:rsid w:val="006D0DB1"/>
    <w:rsid w:val="006D148B"/>
    <w:rsid w:val="006D2491"/>
    <w:rsid w:val="006D26A3"/>
    <w:rsid w:val="006D280C"/>
    <w:rsid w:val="006D2B4A"/>
    <w:rsid w:val="006D2E13"/>
    <w:rsid w:val="006D3B6B"/>
    <w:rsid w:val="006D3D90"/>
    <w:rsid w:val="006D3DF5"/>
    <w:rsid w:val="006D3EDF"/>
    <w:rsid w:val="006D3FE4"/>
    <w:rsid w:val="006D411D"/>
    <w:rsid w:val="006D43DD"/>
    <w:rsid w:val="006D45BF"/>
    <w:rsid w:val="006D4773"/>
    <w:rsid w:val="006D4801"/>
    <w:rsid w:val="006D531A"/>
    <w:rsid w:val="006D593B"/>
    <w:rsid w:val="006D5BDB"/>
    <w:rsid w:val="006D5F2E"/>
    <w:rsid w:val="006D669F"/>
    <w:rsid w:val="006D679C"/>
    <w:rsid w:val="006D69DA"/>
    <w:rsid w:val="006D69F9"/>
    <w:rsid w:val="006D6A36"/>
    <w:rsid w:val="006D6C30"/>
    <w:rsid w:val="006D6CBF"/>
    <w:rsid w:val="006D7006"/>
    <w:rsid w:val="006D7453"/>
    <w:rsid w:val="006D78C1"/>
    <w:rsid w:val="006D7E0B"/>
    <w:rsid w:val="006E01D2"/>
    <w:rsid w:val="006E0573"/>
    <w:rsid w:val="006E079D"/>
    <w:rsid w:val="006E0C5E"/>
    <w:rsid w:val="006E126B"/>
    <w:rsid w:val="006E12A8"/>
    <w:rsid w:val="006E1535"/>
    <w:rsid w:val="006E1587"/>
    <w:rsid w:val="006E1745"/>
    <w:rsid w:val="006E19E1"/>
    <w:rsid w:val="006E1BE7"/>
    <w:rsid w:val="006E1E3E"/>
    <w:rsid w:val="006E1E92"/>
    <w:rsid w:val="006E2311"/>
    <w:rsid w:val="006E27C4"/>
    <w:rsid w:val="006E29E6"/>
    <w:rsid w:val="006E2B57"/>
    <w:rsid w:val="006E33C4"/>
    <w:rsid w:val="006E341C"/>
    <w:rsid w:val="006E36FE"/>
    <w:rsid w:val="006E386D"/>
    <w:rsid w:val="006E3A42"/>
    <w:rsid w:val="006E3B3C"/>
    <w:rsid w:val="006E3D14"/>
    <w:rsid w:val="006E3E76"/>
    <w:rsid w:val="006E44FF"/>
    <w:rsid w:val="006E46E4"/>
    <w:rsid w:val="006E474B"/>
    <w:rsid w:val="006E4804"/>
    <w:rsid w:val="006E486E"/>
    <w:rsid w:val="006E4C58"/>
    <w:rsid w:val="006E5003"/>
    <w:rsid w:val="006E5241"/>
    <w:rsid w:val="006E52C6"/>
    <w:rsid w:val="006E58CC"/>
    <w:rsid w:val="006E5E41"/>
    <w:rsid w:val="006E6407"/>
    <w:rsid w:val="006E6B40"/>
    <w:rsid w:val="006E6D87"/>
    <w:rsid w:val="006E70AD"/>
    <w:rsid w:val="006E7687"/>
    <w:rsid w:val="006F00EB"/>
    <w:rsid w:val="006F048F"/>
    <w:rsid w:val="006F0B1C"/>
    <w:rsid w:val="006F0BA6"/>
    <w:rsid w:val="006F0C4E"/>
    <w:rsid w:val="006F0D89"/>
    <w:rsid w:val="006F0DA7"/>
    <w:rsid w:val="006F1722"/>
    <w:rsid w:val="006F1843"/>
    <w:rsid w:val="006F1AEF"/>
    <w:rsid w:val="006F1BD6"/>
    <w:rsid w:val="006F1F62"/>
    <w:rsid w:val="006F25FC"/>
    <w:rsid w:val="006F26E8"/>
    <w:rsid w:val="006F2B43"/>
    <w:rsid w:val="006F2C32"/>
    <w:rsid w:val="006F2EB5"/>
    <w:rsid w:val="006F2F1B"/>
    <w:rsid w:val="006F3752"/>
    <w:rsid w:val="006F3B38"/>
    <w:rsid w:val="006F4254"/>
    <w:rsid w:val="006F483D"/>
    <w:rsid w:val="006F5338"/>
    <w:rsid w:val="006F56FC"/>
    <w:rsid w:val="006F5B28"/>
    <w:rsid w:val="006F5C37"/>
    <w:rsid w:val="006F6973"/>
    <w:rsid w:val="006F6C6F"/>
    <w:rsid w:val="006F77E1"/>
    <w:rsid w:val="006F7855"/>
    <w:rsid w:val="006F79F9"/>
    <w:rsid w:val="0070007F"/>
    <w:rsid w:val="00700421"/>
    <w:rsid w:val="00700468"/>
    <w:rsid w:val="007004DB"/>
    <w:rsid w:val="00700639"/>
    <w:rsid w:val="00700ADF"/>
    <w:rsid w:val="00700BC4"/>
    <w:rsid w:val="00700CDE"/>
    <w:rsid w:val="00700DD8"/>
    <w:rsid w:val="00701215"/>
    <w:rsid w:val="00701249"/>
    <w:rsid w:val="007015CC"/>
    <w:rsid w:val="0070188E"/>
    <w:rsid w:val="00701DF5"/>
    <w:rsid w:val="00701EA4"/>
    <w:rsid w:val="00702166"/>
    <w:rsid w:val="00702254"/>
    <w:rsid w:val="00702658"/>
    <w:rsid w:val="007029B9"/>
    <w:rsid w:val="00702C74"/>
    <w:rsid w:val="00703005"/>
    <w:rsid w:val="00703193"/>
    <w:rsid w:val="00703460"/>
    <w:rsid w:val="00703891"/>
    <w:rsid w:val="007038DD"/>
    <w:rsid w:val="00704392"/>
    <w:rsid w:val="007044A1"/>
    <w:rsid w:val="007046FA"/>
    <w:rsid w:val="00704925"/>
    <w:rsid w:val="00704C5F"/>
    <w:rsid w:val="00705641"/>
    <w:rsid w:val="0070592D"/>
    <w:rsid w:val="0070599E"/>
    <w:rsid w:val="00705A2D"/>
    <w:rsid w:val="00705AE7"/>
    <w:rsid w:val="00705C3D"/>
    <w:rsid w:val="00705E3F"/>
    <w:rsid w:val="007062AE"/>
    <w:rsid w:val="00706851"/>
    <w:rsid w:val="00706B5A"/>
    <w:rsid w:val="00706F61"/>
    <w:rsid w:val="00707113"/>
    <w:rsid w:val="00707CDE"/>
    <w:rsid w:val="00707FBC"/>
    <w:rsid w:val="007118D9"/>
    <w:rsid w:val="00711B71"/>
    <w:rsid w:val="00712298"/>
    <w:rsid w:val="007126EB"/>
    <w:rsid w:val="00712C0A"/>
    <w:rsid w:val="00712C7A"/>
    <w:rsid w:val="007130DB"/>
    <w:rsid w:val="007132FB"/>
    <w:rsid w:val="00713536"/>
    <w:rsid w:val="00713EBF"/>
    <w:rsid w:val="00714074"/>
    <w:rsid w:val="0071458C"/>
    <w:rsid w:val="00714863"/>
    <w:rsid w:val="00714DB3"/>
    <w:rsid w:val="00714F01"/>
    <w:rsid w:val="00715112"/>
    <w:rsid w:val="0071531F"/>
    <w:rsid w:val="0071562D"/>
    <w:rsid w:val="00715AA3"/>
    <w:rsid w:val="00715C73"/>
    <w:rsid w:val="00716035"/>
    <w:rsid w:val="007160B7"/>
    <w:rsid w:val="00716347"/>
    <w:rsid w:val="00716775"/>
    <w:rsid w:val="00716AB1"/>
    <w:rsid w:val="00716B07"/>
    <w:rsid w:val="00717452"/>
    <w:rsid w:val="007176FC"/>
    <w:rsid w:val="00717954"/>
    <w:rsid w:val="00717BED"/>
    <w:rsid w:val="007204B3"/>
    <w:rsid w:val="007207AF"/>
    <w:rsid w:val="00720A32"/>
    <w:rsid w:val="00720ADA"/>
    <w:rsid w:val="00720C39"/>
    <w:rsid w:val="0072103D"/>
    <w:rsid w:val="007213BD"/>
    <w:rsid w:val="0072178B"/>
    <w:rsid w:val="007217AF"/>
    <w:rsid w:val="00721AED"/>
    <w:rsid w:val="00721C78"/>
    <w:rsid w:val="00722320"/>
    <w:rsid w:val="0072247A"/>
    <w:rsid w:val="00722625"/>
    <w:rsid w:val="0072296A"/>
    <w:rsid w:val="00723454"/>
    <w:rsid w:val="00723548"/>
    <w:rsid w:val="00723860"/>
    <w:rsid w:val="00723867"/>
    <w:rsid w:val="00723A3C"/>
    <w:rsid w:val="00723B0A"/>
    <w:rsid w:val="00723E2B"/>
    <w:rsid w:val="00723E76"/>
    <w:rsid w:val="007247F4"/>
    <w:rsid w:val="00724A18"/>
    <w:rsid w:val="00724A8A"/>
    <w:rsid w:val="00724AE3"/>
    <w:rsid w:val="00725450"/>
    <w:rsid w:val="00725EFF"/>
    <w:rsid w:val="007268D5"/>
    <w:rsid w:val="007269B2"/>
    <w:rsid w:val="00726A04"/>
    <w:rsid w:val="0072766A"/>
    <w:rsid w:val="007277E7"/>
    <w:rsid w:val="00727E2E"/>
    <w:rsid w:val="007300F5"/>
    <w:rsid w:val="00730189"/>
    <w:rsid w:val="007309C9"/>
    <w:rsid w:val="00730E3B"/>
    <w:rsid w:val="00730F2E"/>
    <w:rsid w:val="0073101D"/>
    <w:rsid w:val="00731653"/>
    <w:rsid w:val="007318EF"/>
    <w:rsid w:val="00731B11"/>
    <w:rsid w:val="00731FB4"/>
    <w:rsid w:val="00732061"/>
    <w:rsid w:val="007322CA"/>
    <w:rsid w:val="00732493"/>
    <w:rsid w:val="0073253A"/>
    <w:rsid w:val="00732572"/>
    <w:rsid w:val="007326AB"/>
    <w:rsid w:val="00732764"/>
    <w:rsid w:val="0073318F"/>
    <w:rsid w:val="00733ACA"/>
    <w:rsid w:val="00734191"/>
    <w:rsid w:val="007341AF"/>
    <w:rsid w:val="0073447A"/>
    <w:rsid w:val="00734530"/>
    <w:rsid w:val="0073467F"/>
    <w:rsid w:val="007347FC"/>
    <w:rsid w:val="0073482A"/>
    <w:rsid w:val="0073484A"/>
    <w:rsid w:val="00734AFA"/>
    <w:rsid w:val="0073528F"/>
    <w:rsid w:val="0073582F"/>
    <w:rsid w:val="00735E96"/>
    <w:rsid w:val="007363FF"/>
    <w:rsid w:val="0073682E"/>
    <w:rsid w:val="0073712C"/>
    <w:rsid w:val="0073727D"/>
    <w:rsid w:val="007373A7"/>
    <w:rsid w:val="007375CF"/>
    <w:rsid w:val="00737656"/>
    <w:rsid w:val="00737A34"/>
    <w:rsid w:val="00737B7B"/>
    <w:rsid w:val="00737DE6"/>
    <w:rsid w:val="00740A4B"/>
    <w:rsid w:val="00740BB8"/>
    <w:rsid w:val="00740E2C"/>
    <w:rsid w:val="007410B5"/>
    <w:rsid w:val="007414D5"/>
    <w:rsid w:val="00741950"/>
    <w:rsid w:val="00741EBB"/>
    <w:rsid w:val="0074224F"/>
    <w:rsid w:val="007425D6"/>
    <w:rsid w:val="007427D5"/>
    <w:rsid w:val="00742AF3"/>
    <w:rsid w:val="00742BDE"/>
    <w:rsid w:val="0074313A"/>
    <w:rsid w:val="0074356E"/>
    <w:rsid w:val="00743BE2"/>
    <w:rsid w:val="007441DC"/>
    <w:rsid w:val="00744336"/>
    <w:rsid w:val="00744422"/>
    <w:rsid w:val="0074458D"/>
    <w:rsid w:val="007445A0"/>
    <w:rsid w:val="0074482E"/>
    <w:rsid w:val="007450A7"/>
    <w:rsid w:val="007451ED"/>
    <w:rsid w:val="0074541E"/>
    <w:rsid w:val="00745611"/>
    <w:rsid w:val="00745A0B"/>
    <w:rsid w:val="00745A91"/>
    <w:rsid w:val="00745B28"/>
    <w:rsid w:val="00745D50"/>
    <w:rsid w:val="00746BAF"/>
    <w:rsid w:val="00746DA2"/>
    <w:rsid w:val="007470FD"/>
    <w:rsid w:val="0074713E"/>
    <w:rsid w:val="0074716E"/>
    <w:rsid w:val="007473AC"/>
    <w:rsid w:val="007476DA"/>
    <w:rsid w:val="007476EA"/>
    <w:rsid w:val="00747AFD"/>
    <w:rsid w:val="00747C62"/>
    <w:rsid w:val="00747FA5"/>
    <w:rsid w:val="0075052D"/>
    <w:rsid w:val="00750609"/>
    <w:rsid w:val="00750896"/>
    <w:rsid w:val="00750C43"/>
    <w:rsid w:val="007511D0"/>
    <w:rsid w:val="0075162E"/>
    <w:rsid w:val="0075182A"/>
    <w:rsid w:val="00751D58"/>
    <w:rsid w:val="007524D7"/>
    <w:rsid w:val="00752B4B"/>
    <w:rsid w:val="00753AE7"/>
    <w:rsid w:val="00753CF7"/>
    <w:rsid w:val="00753DD9"/>
    <w:rsid w:val="00753FE9"/>
    <w:rsid w:val="0075416E"/>
    <w:rsid w:val="00754458"/>
    <w:rsid w:val="00754CA5"/>
    <w:rsid w:val="00754F17"/>
    <w:rsid w:val="00755274"/>
    <w:rsid w:val="00755336"/>
    <w:rsid w:val="0075537C"/>
    <w:rsid w:val="0075581E"/>
    <w:rsid w:val="0075583D"/>
    <w:rsid w:val="00756593"/>
    <w:rsid w:val="007567BA"/>
    <w:rsid w:val="007569D5"/>
    <w:rsid w:val="00756C88"/>
    <w:rsid w:val="00756EF3"/>
    <w:rsid w:val="0075748F"/>
    <w:rsid w:val="007577ED"/>
    <w:rsid w:val="00757E24"/>
    <w:rsid w:val="00757EA5"/>
    <w:rsid w:val="0076002F"/>
    <w:rsid w:val="00760534"/>
    <w:rsid w:val="00760F8E"/>
    <w:rsid w:val="00761129"/>
    <w:rsid w:val="007617FC"/>
    <w:rsid w:val="007619E9"/>
    <w:rsid w:val="007619F7"/>
    <w:rsid w:val="00761B24"/>
    <w:rsid w:val="00761DF2"/>
    <w:rsid w:val="00761F9A"/>
    <w:rsid w:val="00762077"/>
    <w:rsid w:val="007624F5"/>
    <w:rsid w:val="00762545"/>
    <w:rsid w:val="007625E7"/>
    <w:rsid w:val="0076267E"/>
    <w:rsid w:val="00762683"/>
    <w:rsid w:val="00762CE7"/>
    <w:rsid w:val="00763443"/>
    <w:rsid w:val="007634C5"/>
    <w:rsid w:val="007638C5"/>
    <w:rsid w:val="00763D2D"/>
    <w:rsid w:val="00763DDB"/>
    <w:rsid w:val="0076441E"/>
    <w:rsid w:val="007646CD"/>
    <w:rsid w:val="00764705"/>
    <w:rsid w:val="0076474D"/>
    <w:rsid w:val="00764B1F"/>
    <w:rsid w:val="007650EE"/>
    <w:rsid w:val="007655A6"/>
    <w:rsid w:val="007657C9"/>
    <w:rsid w:val="00765AF9"/>
    <w:rsid w:val="007661C4"/>
    <w:rsid w:val="007669D2"/>
    <w:rsid w:val="00766A90"/>
    <w:rsid w:val="00766F5D"/>
    <w:rsid w:val="00766FB1"/>
    <w:rsid w:val="007672D5"/>
    <w:rsid w:val="00767404"/>
    <w:rsid w:val="00767447"/>
    <w:rsid w:val="00767745"/>
    <w:rsid w:val="00767B3A"/>
    <w:rsid w:val="00770068"/>
    <w:rsid w:val="00770278"/>
    <w:rsid w:val="00770366"/>
    <w:rsid w:val="00770C99"/>
    <w:rsid w:val="007710B3"/>
    <w:rsid w:val="00771281"/>
    <w:rsid w:val="007712CE"/>
    <w:rsid w:val="007719CB"/>
    <w:rsid w:val="007719CE"/>
    <w:rsid w:val="00771B14"/>
    <w:rsid w:val="00771BE2"/>
    <w:rsid w:val="007721CD"/>
    <w:rsid w:val="007725FC"/>
    <w:rsid w:val="00772774"/>
    <w:rsid w:val="00772D01"/>
    <w:rsid w:val="00772E63"/>
    <w:rsid w:val="00773816"/>
    <w:rsid w:val="007738E2"/>
    <w:rsid w:val="00773B59"/>
    <w:rsid w:val="00773F4F"/>
    <w:rsid w:val="00774BA2"/>
    <w:rsid w:val="00774D37"/>
    <w:rsid w:val="00774FD2"/>
    <w:rsid w:val="007750A5"/>
    <w:rsid w:val="007750E9"/>
    <w:rsid w:val="00775165"/>
    <w:rsid w:val="0077545E"/>
    <w:rsid w:val="0077559E"/>
    <w:rsid w:val="00775665"/>
    <w:rsid w:val="00775891"/>
    <w:rsid w:val="00775ABB"/>
    <w:rsid w:val="0077622F"/>
    <w:rsid w:val="00776484"/>
    <w:rsid w:val="00776AF5"/>
    <w:rsid w:val="00776B42"/>
    <w:rsid w:val="00776C54"/>
    <w:rsid w:val="00776DE5"/>
    <w:rsid w:val="007774FB"/>
    <w:rsid w:val="0077752F"/>
    <w:rsid w:val="00777B09"/>
    <w:rsid w:val="00777B37"/>
    <w:rsid w:val="00777CDE"/>
    <w:rsid w:val="00777FA4"/>
    <w:rsid w:val="00777FE7"/>
    <w:rsid w:val="00780112"/>
    <w:rsid w:val="00780300"/>
    <w:rsid w:val="0078035A"/>
    <w:rsid w:val="00780686"/>
    <w:rsid w:val="00780946"/>
    <w:rsid w:val="00780E14"/>
    <w:rsid w:val="0078109E"/>
    <w:rsid w:val="00781292"/>
    <w:rsid w:val="007813F9"/>
    <w:rsid w:val="00781574"/>
    <w:rsid w:val="0078159D"/>
    <w:rsid w:val="00781AA9"/>
    <w:rsid w:val="00781B1C"/>
    <w:rsid w:val="00781D15"/>
    <w:rsid w:val="00781EFB"/>
    <w:rsid w:val="00781F7B"/>
    <w:rsid w:val="0078212B"/>
    <w:rsid w:val="0078242C"/>
    <w:rsid w:val="007824CC"/>
    <w:rsid w:val="007824E4"/>
    <w:rsid w:val="00782851"/>
    <w:rsid w:val="00782CD4"/>
    <w:rsid w:val="007831EC"/>
    <w:rsid w:val="007831FD"/>
    <w:rsid w:val="007835D1"/>
    <w:rsid w:val="0078364B"/>
    <w:rsid w:val="00783961"/>
    <w:rsid w:val="00783D5C"/>
    <w:rsid w:val="00783EEA"/>
    <w:rsid w:val="00783EFE"/>
    <w:rsid w:val="0078464C"/>
    <w:rsid w:val="00784C9D"/>
    <w:rsid w:val="00784FF2"/>
    <w:rsid w:val="0078500A"/>
    <w:rsid w:val="00785061"/>
    <w:rsid w:val="0078526C"/>
    <w:rsid w:val="007856C0"/>
    <w:rsid w:val="00786635"/>
    <w:rsid w:val="0078666C"/>
    <w:rsid w:val="0078675F"/>
    <w:rsid w:val="0078683D"/>
    <w:rsid w:val="007868AC"/>
    <w:rsid w:val="00787048"/>
    <w:rsid w:val="00787EDE"/>
    <w:rsid w:val="00787EEB"/>
    <w:rsid w:val="00790697"/>
    <w:rsid w:val="007906C8"/>
    <w:rsid w:val="007908F6"/>
    <w:rsid w:val="00790A47"/>
    <w:rsid w:val="00790CA1"/>
    <w:rsid w:val="0079112F"/>
    <w:rsid w:val="0079128F"/>
    <w:rsid w:val="007913F6"/>
    <w:rsid w:val="00791652"/>
    <w:rsid w:val="0079166F"/>
    <w:rsid w:val="00791834"/>
    <w:rsid w:val="00791954"/>
    <w:rsid w:val="00791C15"/>
    <w:rsid w:val="00791C8A"/>
    <w:rsid w:val="00791DE3"/>
    <w:rsid w:val="00792236"/>
    <w:rsid w:val="0079236C"/>
    <w:rsid w:val="00792488"/>
    <w:rsid w:val="00792C99"/>
    <w:rsid w:val="00793210"/>
    <w:rsid w:val="00793489"/>
    <w:rsid w:val="007934D3"/>
    <w:rsid w:val="00793850"/>
    <w:rsid w:val="007940DF"/>
    <w:rsid w:val="00794366"/>
    <w:rsid w:val="00794670"/>
    <w:rsid w:val="00794C84"/>
    <w:rsid w:val="00795274"/>
    <w:rsid w:val="007952C3"/>
    <w:rsid w:val="007953C1"/>
    <w:rsid w:val="007964DE"/>
    <w:rsid w:val="0079658F"/>
    <w:rsid w:val="00796959"/>
    <w:rsid w:val="007969AE"/>
    <w:rsid w:val="00796BE0"/>
    <w:rsid w:val="00797044"/>
    <w:rsid w:val="007973C2"/>
    <w:rsid w:val="00797519"/>
    <w:rsid w:val="00797B2C"/>
    <w:rsid w:val="007A00A0"/>
    <w:rsid w:val="007A0591"/>
    <w:rsid w:val="007A0E43"/>
    <w:rsid w:val="007A13BB"/>
    <w:rsid w:val="007A1494"/>
    <w:rsid w:val="007A1CFB"/>
    <w:rsid w:val="007A1D7A"/>
    <w:rsid w:val="007A1EBB"/>
    <w:rsid w:val="007A24F6"/>
    <w:rsid w:val="007A2607"/>
    <w:rsid w:val="007A287D"/>
    <w:rsid w:val="007A2E3C"/>
    <w:rsid w:val="007A30B3"/>
    <w:rsid w:val="007A3B2A"/>
    <w:rsid w:val="007A3DA4"/>
    <w:rsid w:val="007A40AC"/>
    <w:rsid w:val="007A455E"/>
    <w:rsid w:val="007A490D"/>
    <w:rsid w:val="007A4C6F"/>
    <w:rsid w:val="007A4CE8"/>
    <w:rsid w:val="007A5302"/>
    <w:rsid w:val="007A5590"/>
    <w:rsid w:val="007A559B"/>
    <w:rsid w:val="007A55DF"/>
    <w:rsid w:val="007A6189"/>
    <w:rsid w:val="007A6202"/>
    <w:rsid w:val="007A6324"/>
    <w:rsid w:val="007A681E"/>
    <w:rsid w:val="007A68F0"/>
    <w:rsid w:val="007A696E"/>
    <w:rsid w:val="007A6A13"/>
    <w:rsid w:val="007A6E1B"/>
    <w:rsid w:val="007A6F00"/>
    <w:rsid w:val="007A73CA"/>
    <w:rsid w:val="007A75E5"/>
    <w:rsid w:val="007A75E6"/>
    <w:rsid w:val="007A78EB"/>
    <w:rsid w:val="007A7937"/>
    <w:rsid w:val="007B0192"/>
    <w:rsid w:val="007B06BB"/>
    <w:rsid w:val="007B07C4"/>
    <w:rsid w:val="007B1341"/>
    <w:rsid w:val="007B23BC"/>
    <w:rsid w:val="007B23C0"/>
    <w:rsid w:val="007B28EE"/>
    <w:rsid w:val="007B3314"/>
    <w:rsid w:val="007B3727"/>
    <w:rsid w:val="007B3B83"/>
    <w:rsid w:val="007B3C8B"/>
    <w:rsid w:val="007B4AC4"/>
    <w:rsid w:val="007B4CFB"/>
    <w:rsid w:val="007B4DD9"/>
    <w:rsid w:val="007B5638"/>
    <w:rsid w:val="007B589E"/>
    <w:rsid w:val="007B5A2D"/>
    <w:rsid w:val="007B5C56"/>
    <w:rsid w:val="007B66D8"/>
    <w:rsid w:val="007B68AE"/>
    <w:rsid w:val="007B6CDC"/>
    <w:rsid w:val="007B6F93"/>
    <w:rsid w:val="007B709F"/>
    <w:rsid w:val="007B7193"/>
    <w:rsid w:val="007B7468"/>
    <w:rsid w:val="007B7766"/>
    <w:rsid w:val="007B7FDC"/>
    <w:rsid w:val="007B7FFC"/>
    <w:rsid w:val="007C00F7"/>
    <w:rsid w:val="007C0531"/>
    <w:rsid w:val="007C079B"/>
    <w:rsid w:val="007C07C8"/>
    <w:rsid w:val="007C0922"/>
    <w:rsid w:val="007C09A9"/>
    <w:rsid w:val="007C0AA1"/>
    <w:rsid w:val="007C1316"/>
    <w:rsid w:val="007C159F"/>
    <w:rsid w:val="007C1734"/>
    <w:rsid w:val="007C1F9A"/>
    <w:rsid w:val="007C261C"/>
    <w:rsid w:val="007C2662"/>
    <w:rsid w:val="007C27A6"/>
    <w:rsid w:val="007C363B"/>
    <w:rsid w:val="007C3F2E"/>
    <w:rsid w:val="007C3FB3"/>
    <w:rsid w:val="007C4075"/>
    <w:rsid w:val="007C52B1"/>
    <w:rsid w:val="007C5413"/>
    <w:rsid w:val="007C54D2"/>
    <w:rsid w:val="007C58B8"/>
    <w:rsid w:val="007C5C4E"/>
    <w:rsid w:val="007C5DD2"/>
    <w:rsid w:val="007C61B5"/>
    <w:rsid w:val="007C6838"/>
    <w:rsid w:val="007C6920"/>
    <w:rsid w:val="007C75BB"/>
    <w:rsid w:val="007C75C1"/>
    <w:rsid w:val="007C7886"/>
    <w:rsid w:val="007C7942"/>
    <w:rsid w:val="007D04AA"/>
    <w:rsid w:val="007D080D"/>
    <w:rsid w:val="007D0872"/>
    <w:rsid w:val="007D0A96"/>
    <w:rsid w:val="007D0DC9"/>
    <w:rsid w:val="007D14A6"/>
    <w:rsid w:val="007D1777"/>
    <w:rsid w:val="007D180F"/>
    <w:rsid w:val="007D18C3"/>
    <w:rsid w:val="007D2553"/>
    <w:rsid w:val="007D2F6C"/>
    <w:rsid w:val="007D32E1"/>
    <w:rsid w:val="007D3376"/>
    <w:rsid w:val="007D33ED"/>
    <w:rsid w:val="007D3781"/>
    <w:rsid w:val="007D37FC"/>
    <w:rsid w:val="007D3870"/>
    <w:rsid w:val="007D391E"/>
    <w:rsid w:val="007D3937"/>
    <w:rsid w:val="007D3EE3"/>
    <w:rsid w:val="007D463D"/>
    <w:rsid w:val="007D463F"/>
    <w:rsid w:val="007D47F7"/>
    <w:rsid w:val="007D4ACB"/>
    <w:rsid w:val="007D4DC0"/>
    <w:rsid w:val="007D4E4A"/>
    <w:rsid w:val="007D4E56"/>
    <w:rsid w:val="007D52F4"/>
    <w:rsid w:val="007D547C"/>
    <w:rsid w:val="007D5813"/>
    <w:rsid w:val="007D5ACE"/>
    <w:rsid w:val="007D5B34"/>
    <w:rsid w:val="007D5DCD"/>
    <w:rsid w:val="007D6398"/>
    <w:rsid w:val="007D640B"/>
    <w:rsid w:val="007D6625"/>
    <w:rsid w:val="007D6927"/>
    <w:rsid w:val="007D6E47"/>
    <w:rsid w:val="007D6EA2"/>
    <w:rsid w:val="007D7136"/>
    <w:rsid w:val="007D715D"/>
    <w:rsid w:val="007D761C"/>
    <w:rsid w:val="007D766F"/>
    <w:rsid w:val="007D7729"/>
    <w:rsid w:val="007D7C27"/>
    <w:rsid w:val="007E0345"/>
    <w:rsid w:val="007E056F"/>
    <w:rsid w:val="007E07C9"/>
    <w:rsid w:val="007E0899"/>
    <w:rsid w:val="007E0951"/>
    <w:rsid w:val="007E0AC9"/>
    <w:rsid w:val="007E0C91"/>
    <w:rsid w:val="007E0C9F"/>
    <w:rsid w:val="007E0DFB"/>
    <w:rsid w:val="007E1761"/>
    <w:rsid w:val="007E1933"/>
    <w:rsid w:val="007E1AF4"/>
    <w:rsid w:val="007E1B2A"/>
    <w:rsid w:val="007E1E7E"/>
    <w:rsid w:val="007E2216"/>
    <w:rsid w:val="007E2231"/>
    <w:rsid w:val="007E22F8"/>
    <w:rsid w:val="007E2781"/>
    <w:rsid w:val="007E27B1"/>
    <w:rsid w:val="007E2D12"/>
    <w:rsid w:val="007E3DF1"/>
    <w:rsid w:val="007E409E"/>
    <w:rsid w:val="007E40B9"/>
    <w:rsid w:val="007E4446"/>
    <w:rsid w:val="007E45F7"/>
    <w:rsid w:val="007E4787"/>
    <w:rsid w:val="007E4930"/>
    <w:rsid w:val="007E4C9C"/>
    <w:rsid w:val="007E4D5D"/>
    <w:rsid w:val="007E508F"/>
    <w:rsid w:val="007E5653"/>
    <w:rsid w:val="007E5BE2"/>
    <w:rsid w:val="007E5E63"/>
    <w:rsid w:val="007E649B"/>
    <w:rsid w:val="007E6A9D"/>
    <w:rsid w:val="007E6C50"/>
    <w:rsid w:val="007E6E86"/>
    <w:rsid w:val="007E6F8D"/>
    <w:rsid w:val="007E7576"/>
    <w:rsid w:val="007E7B66"/>
    <w:rsid w:val="007E7BF8"/>
    <w:rsid w:val="007E7E16"/>
    <w:rsid w:val="007E7F22"/>
    <w:rsid w:val="007F09A4"/>
    <w:rsid w:val="007F0BA5"/>
    <w:rsid w:val="007F1051"/>
    <w:rsid w:val="007F13B8"/>
    <w:rsid w:val="007F13D1"/>
    <w:rsid w:val="007F14B9"/>
    <w:rsid w:val="007F14F8"/>
    <w:rsid w:val="007F1D06"/>
    <w:rsid w:val="007F205D"/>
    <w:rsid w:val="007F2332"/>
    <w:rsid w:val="007F2435"/>
    <w:rsid w:val="007F257E"/>
    <w:rsid w:val="007F2A0C"/>
    <w:rsid w:val="007F2C15"/>
    <w:rsid w:val="007F2E4C"/>
    <w:rsid w:val="007F2E8C"/>
    <w:rsid w:val="007F319A"/>
    <w:rsid w:val="007F319C"/>
    <w:rsid w:val="007F37B1"/>
    <w:rsid w:val="007F384F"/>
    <w:rsid w:val="007F3AEA"/>
    <w:rsid w:val="007F3B59"/>
    <w:rsid w:val="007F3EA8"/>
    <w:rsid w:val="007F41D1"/>
    <w:rsid w:val="007F4A7A"/>
    <w:rsid w:val="007F4FD4"/>
    <w:rsid w:val="007F5960"/>
    <w:rsid w:val="007F5B51"/>
    <w:rsid w:val="007F615E"/>
    <w:rsid w:val="007F62F1"/>
    <w:rsid w:val="007F64C2"/>
    <w:rsid w:val="007F6562"/>
    <w:rsid w:val="007F65CA"/>
    <w:rsid w:val="007F65D9"/>
    <w:rsid w:val="007F6B46"/>
    <w:rsid w:val="007F6B92"/>
    <w:rsid w:val="007F721D"/>
    <w:rsid w:val="007F72DA"/>
    <w:rsid w:val="007F784D"/>
    <w:rsid w:val="007F7B45"/>
    <w:rsid w:val="007F7F4A"/>
    <w:rsid w:val="0080005B"/>
    <w:rsid w:val="00800111"/>
    <w:rsid w:val="00800166"/>
    <w:rsid w:val="0080016B"/>
    <w:rsid w:val="00800432"/>
    <w:rsid w:val="00800490"/>
    <w:rsid w:val="00800721"/>
    <w:rsid w:val="00800759"/>
    <w:rsid w:val="00800B5C"/>
    <w:rsid w:val="00800DBB"/>
    <w:rsid w:val="008012F8"/>
    <w:rsid w:val="008014DA"/>
    <w:rsid w:val="0080170D"/>
    <w:rsid w:val="0080179D"/>
    <w:rsid w:val="00801B1D"/>
    <w:rsid w:val="00801B49"/>
    <w:rsid w:val="00801C60"/>
    <w:rsid w:val="00802028"/>
    <w:rsid w:val="00802595"/>
    <w:rsid w:val="008028E6"/>
    <w:rsid w:val="00802C66"/>
    <w:rsid w:val="00802F8C"/>
    <w:rsid w:val="008030E0"/>
    <w:rsid w:val="008030ED"/>
    <w:rsid w:val="00803B01"/>
    <w:rsid w:val="00803C91"/>
    <w:rsid w:val="00804719"/>
    <w:rsid w:val="00804B7D"/>
    <w:rsid w:val="00804FBA"/>
    <w:rsid w:val="00805086"/>
    <w:rsid w:val="008050F8"/>
    <w:rsid w:val="00805119"/>
    <w:rsid w:val="008052E7"/>
    <w:rsid w:val="0080583C"/>
    <w:rsid w:val="008058DB"/>
    <w:rsid w:val="0080666E"/>
    <w:rsid w:val="008067BB"/>
    <w:rsid w:val="00806B8A"/>
    <w:rsid w:val="00806FA7"/>
    <w:rsid w:val="00807037"/>
    <w:rsid w:val="008075BA"/>
    <w:rsid w:val="008076ED"/>
    <w:rsid w:val="00807966"/>
    <w:rsid w:val="008079A0"/>
    <w:rsid w:val="00807A5C"/>
    <w:rsid w:val="00807AAF"/>
    <w:rsid w:val="00807DE0"/>
    <w:rsid w:val="008101E1"/>
    <w:rsid w:val="0081044C"/>
    <w:rsid w:val="00810671"/>
    <w:rsid w:val="00810AF2"/>
    <w:rsid w:val="00810C08"/>
    <w:rsid w:val="0081125E"/>
    <w:rsid w:val="008112DD"/>
    <w:rsid w:val="0081243A"/>
    <w:rsid w:val="00812475"/>
    <w:rsid w:val="008127D8"/>
    <w:rsid w:val="00812D00"/>
    <w:rsid w:val="00812F0C"/>
    <w:rsid w:val="00813101"/>
    <w:rsid w:val="008132AB"/>
    <w:rsid w:val="00813501"/>
    <w:rsid w:val="00813B04"/>
    <w:rsid w:val="00814150"/>
    <w:rsid w:val="0081475B"/>
    <w:rsid w:val="00814785"/>
    <w:rsid w:val="0081488A"/>
    <w:rsid w:val="00814AE4"/>
    <w:rsid w:val="00814F5E"/>
    <w:rsid w:val="00815760"/>
    <w:rsid w:val="008159EB"/>
    <w:rsid w:val="00816600"/>
    <w:rsid w:val="0081661B"/>
    <w:rsid w:val="00816793"/>
    <w:rsid w:val="008167F1"/>
    <w:rsid w:val="00816D28"/>
    <w:rsid w:val="008179B8"/>
    <w:rsid w:val="00817C5A"/>
    <w:rsid w:val="008204E8"/>
    <w:rsid w:val="00820581"/>
    <w:rsid w:val="00820ABA"/>
    <w:rsid w:val="008213F6"/>
    <w:rsid w:val="008217BB"/>
    <w:rsid w:val="008219B2"/>
    <w:rsid w:val="008220A1"/>
    <w:rsid w:val="00822775"/>
    <w:rsid w:val="00822B12"/>
    <w:rsid w:val="00822B3F"/>
    <w:rsid w:val="00822B60"/>
    <w:rsid w:val="00822ECF"/>
    <w:rsid w:val="00822FDE"/>
    <w:rsid w:val="008237F1"/>
    <w:rsid w:val="00823F27"/>
    <w:rsid w:val="008242BE"/>
    <w:rsid w:val="008242C3"/>
    <w:rsid w:val="00824430"/>
    <w:rsid w:val="008246EC"/>
    <w:rsid w:val="008248E9"/>
    <w:rsid w:val="008248F0"/>
    <w:rsid w:val="00824DC3"/>
    <w:rsid w:val="008250B5"/>
    <w:rsid w:val="0082585F"/>
    <w:rsid w:val="0082593C"/>
    <w:rsid w:val="00825C91"/>
    <w:rsid w:val="00825DD0"/>
    <w:rsid w:val="00826071"/>
    <w:rsid w:val="00826398"/>
    <w:rsid w:val="00826534"/>
    <w:rsid w:val="0082654D"/>
    <w:rsid w:val="008268A5"/>
    <w:rsid w:val="008269C4"/>
    <w:rsid w:val="00826D27"/>
    <w:rsid w:val="008271DA"/>
    <w:rsid w:val="008273DB"/>
    <w:rsid w:val="008273F6"/>
    <w:rsid w:val="00827639"/>
    <w:rsid w:val="0082767B"/>
    <w:rsid w:val="008276A1"/>
    <w:rsid w:val="00827DC7"/>
    <w:rsid w:val="008301AA"/>
    <w:rsid w:val="00830438"/>
    <w:rsid w:val="0083067E"/>
    <w:rsid w:val="008308EF"/>
    <w:rsid w:val="00830902"/>
    <w:rsid w:val="00830AA7"/>
    <w:rsid w:val="00831393"/>
    <w:rsid w:val="00831EBD"/>
    <w:rsid w:val="008322AC"/>
    <w:rsid w:val="00832502"/>
    <w:rsid w:val="0083257C"/>
    <w:rsid w:val="00832B03"/>
    <w:rsid w:val="0083330D"/>
    <w:rsid w:val="008334DF"/>
    <w:rsid w:val="00833600"/>
    <w:rsid w:val="0083382F"/>
    <w:rsid w:val="00833C9E"/>
    <w:rsid w:val="00833D81"/>
    <w:rsid w:val="00833E74"/>
    <w:rsid w:val="00833F2D"/>
    <w:rsid w:val="00833FEA"/>
    <w:rsid w:val="00834120"/>
    <w:rsid w:val="00834335"/>
    <w:rsid w:val="00834399"/>
    <w:rsid w:val="008346C1"/>
    <w:rsid w:val="00834918"/>
    <w:rsid w:val="00834CEC"/>
    <w:rsid w:val="00834D6A"/>
    <w:rsid w:val="00834F1A"/>
    <w:rsid w:val="00835210"/>
    <w:rsid w:val="0083522A"/>
    <w:rsid w:val="0083530D"/>
    <w:rsid w:val="0083533E"/>
    <w:rsid w:val="00835365"/>
    <w:rsid w:val="008354E6"/>
    <w:rsid w:val="008355A1"/>
    <w:rsid w:val="00835A43"/>
    <w:rsid w:val="00835C25"/>
    <w:rsid w:val="008360B5"/>
    <w:rsid w:val="00836469"/>
    <w:rsid w:val="00836895"/>
    <w:rsid w:val="00836906"/>
    <w:rsid w:val="00836AD5"/>
    <w:rsid w:val="00836C44"/>
    <w:rsid w:val="0083768C"/>
    <w:rsid w:val="00837863"/>
    <w:rsid w:val="00837879"/>
    <w:rsid w:val="0083788B"/>
    <w:rsid w:val="00837953"/>
    <w:rsid w:val="008379BF"/>
    <w:rsid w:val="00837B2C"/>
    <w:rsid w:val="00837D88"/>
    <w:rsid w:val="00837F3E"/>
    <w:rsid w:val="008404E1"/>
    <w:rsid w:val="0084085C"/>
    <w:rsid w:val="00840952"/>
    <w:rsid w:val="00840A44"/>
    <w:rsid w:val="00840D1F"/>
    <w:rsid w:val="00840E92"/>
    <w:rsid w:val="00841A79"/>
    <w:rsid w:val="00841F25"/>
    <w:rsid w:val="008420A7"/>
    <w:rsid w:val="008422F9"/>
    <w:rsid w:val="00842DC2"/>
    <w:rsid w:val="0084309C"/>
    <w:rsid w:val="0084309D"/>
    <w:rsid w:val="0084331C"/>
    <w:rsid w:val="00843357"/>
    <w:rsid w:val="0084337A"/>
    <w:rsid w:val="008437FA"/>
    <w:rsid w:val="00843961"/>
    <w:rsid w:val="008439EE"/>
    <w:rsid w:val="00843A2B"/>
    <w:rsid w:val="00843CC4"/>
    <w:rsid w:val="00843F7C"/>
    <w:rsid w:val="008440D0"/>
    <w:rsid w:val="00844246"/>
    <w:rsid w:val="008446E3"/>
    <w:rsid w:val="008449BC"/>
    <w:rsid w:val="00844B48"/>
    <w:rsid w:val="008450E7"/>
    <w:rsid w:val="00845808"/>
    <w:rsid w:val="008458D6"/>
    <w:rsid w:val="008459A0"/>
    <w:rsid w:val="00845B2A"/>
    <w:rsid w:val="0084605C"/>
    <w:rsid w:val="00846322"/>
    <w:rsid w:val="00846689"/>
    <w:rsid w:val="00846988"/>
    <w:rsid w:val="00846B2A"/>
    <w:rsid w:val="00846DE1"/>
    <w:rsid w:val="00847241"/>
    <w:rsid w:val="008478E9"/>
    <w:rsid w:val="00847D53"/>
    <w:rsid w:val="00847E30"/>
    <w:rsid w:val="008501BD"/>
    <w:rsid w:val="0085071D"/>
    <w:rsid w:val="00850A9E"/>
    <w:rsid w:val="00850CF1"/>
    <w:rsid w:val="00851468"/>
    <w:rsid w:val="00851B6C"/>
    <w:rsid w:val="00851DA0"/>
    <w:rsid w:val="008524DB"/>
    <w:rsid w:val="0085286F"/>
    <w:rsid w:val="00852AD7"/>
    <w:rsid w:val="00852B95"/>
    <w:rsid w:val="00852C83"/>
    <w:rsid w:val="0085370E"/>
    <w:rsid w:val="00853A52"/>
    <w:rsid w:val="00853CE5"/>
    <w:rsid w:val="00853EA8"/>
    <w:rsid w:val="00854284"/>
    <w:rsid w:val="008546A6"/>
    <w:rsid w:val="00854703"/>
    <w:rsid w:val="0085474D"/>
    <w:rsid w:val="00854C0A"/>
    <w:rsid w:val="00854D2E"/>
    <w:rsid w:val="008550BC"/>
    <w:rsid w:val="0085539B"/>
    <w:rsid w:val="008553F8"/>
    <w:rsid w:val="0085593F"/>
    <w:rsid w:val="00855E82"/>
    <w:rsid w:val="00855ED9"/>
    <w:rsid w:val="00855F8D"/>
    <w:rsid w:val="0085618D"/>
    <w:rsid w:val="00856B2F"/>
    <w:rsid w:val="00856D52"/>
    <w:rsid w:val="008578A9"/>
    <w:rsid w:val="0085798E"/>
    <w:rsid w:val="00857A08"/>
    <w:rsid w:val="00857C42"/>
    <w:rsid w:val="00857E9D"/>
    <w:rsid w:val="00857F23"/>
    <w:rsid w:val="0086001F"/>
    <w:rsid w:val="00860228"/>
    <w:rsid w:val="00860611"/>
    <w:rsid w:val="00860BE4"/>
    <w:rsid w:val="00862079"/>
    <w:rsid w:val="0086317A"/>
    <w:rsid w:val="0086327E"/>
    <w:rsid w:val="008633CF"/>
    <w:rsid w:val="00863BA1"/>
    <w:rsid w:val="00863C65"/>
    <w:rsid w:val="00863E3D"/>
    <w:rsid w:val="00863E4F"/>
    <w:rsid w:val="00863EFF"/>
    <w:rsid w:val="00864419"/>
    <w:rsid w:val="00864446"/>
    <w:rsid w:val="008646AF"/>
    <w:rsid w:val="008647FE"/>
    <w:rsid w:val="00864C47"/>
    <w:rsid w:val="0086519A"/>
    <w:rsid w:val="00865449"/>
    <w:rsid w:val="008655E7"/>
    <w:rsid w:val="00865EDE"/>
    <w:rsid w:val="00866989"/>
    <w:rsid w:val="008675CB"/>
    <w:rsid w:val="008708B8"/>
    <w:rsid w:val="00870A28"/>
    <w:rsid w:val="00870DC1"/>
    <w:rsid w:val="00871438"/>
    <w:rsid w:val="0087160F"/>
    <w:rsid w:val="008716EE"/>
    <w:rsid w:val="008717BC"/>
    <w:rsid w:val="00871888"/>
    <w:rsid w:val="008719A5"/>
    <w:rsid w:val="00871E67"/>
    <w:rsid w:val="00872409"/>
    <w:rsid w:val="008729AB"/>
    <w:rsid w:val="00872B52"/>
    <w:rsid w:val="00872F3B"/>
    <w:rsid w:val="00872F60"/>
    <w:rsid w:val="00873032"/>
    <w:rsid w:val="00873219"/>
    <w:rsid w:val="00873288"/>
    <w:rsid w:val="00873565"/>
    <w:rsid w:val="00873C5E"/>
    <w:rsid w:val="00873C7C"/>
    <w:rsid w:val="00873DC3"/>
    <w:rsid w:val="00873F98"/>
    <w:rsid w:val="00874357"/>
    <w:rsid w:val="0087528C"/>
    <w:rsid w:val="00875522"/>
    <w:rsid w:val="00875C0E"/>
    <w:rsid w:val="00875C8D"/>
    <w:rsid w:val="00876200"/>
    <w:rsid w:val="00876476"/>
    <w:rsid w:val="008764B8"/>
    <w:rsid w:val="0087658C"/>
    <w:rsid w:val="00876789"/>
    <w:rsid w:val="00876DA4"/>
    <w:rsid w:val="008772A1"/>
    <w:rsid w:val="008777D9"/>
    <w:rsid w:val="008779FD"/>
    <w:rsid w:val="00877E9F"/>
    <w:rsid w:val="00880096"/>
    <w:rsid w:val="00880206"/>
    <w:rsid w:val="0088059F"/>
    <w:rsid w:val="00881200"/>
    <w:rsid w:val="008815E0"/>
    <w:rsid w:val="00881ADE"/>
    <w:rsid w:val="00881B53"/>
    <w:rsid w:val="00881FDB"/>
    <w:rsid w:val="008822E5"/>
    <w:rsid w:val="0088278F"/>
    <w:rsid w:val="00882846"/>
    <w:rsid w:val="00882896"/>
    <w:rsid w:val="008832D4"/>
    <w:rsid w:val="008838D7"/>
    <w:rsid w:val="0088390D"/>
    <w:rsid w:val="00883F8D"/>
    <w:rsid w:val="00883F91"/>
    <w:rsid w:val="008841F6"/>
    <w:rsid w:val="0088430B"/>
    <w:rsid w:val="0088458B"/>
    <w:rsid w:val="008847A6"/>
    <w:rsid w:val="00884849"/>
    <w:rsid w:val="00884DF9"/>
    <w:rsid w:val="0088504E"/>
    <w:rsid w:val="00885118"/>
    <w:rsid w:val="00885232"/>
    <w:rsid w:val="0088526E"/>
    <w:rsid w:val="0088550C"/>
    <w:rsid w:val="00885F97"/>
    <w:rsid w:val="00886011"/>
    <w:rsid w:val="0088657D"/>
    <w:rsid w:val="00886BF8"/>
    <w:rsid w:val="00886CFB"/>
    <w:rsid w:val="008870B8"/>
    <w:rsid w:val="0088717A"/>
    <w:rsid w:val="008872B0"/>
    <w:rsid w:val="008876F5"/>
    <w:rsid w:val="008877C0"/>
    <w:rsid w:val="00887A61"/>
    <w:rsid w:val="008900D9"/>
    <w:rsid w:val="0089087D"/>
    <w:rsid w:val="00891588"/>
    <w:rsid w:val="00891A57"/>
    <w:rsid w:val="00891D4F"/>
    <w:rsid w:val="00891EAC"/>
    <w:rsid w:val="0089200D"/>
    <w:rsid w:val="00892017"/>
    <w:rsid w:val="0089204B"/>
    <w:rsid w:val="00892107"/>
    <w:rsid w:val="00892112"/>
    <w:rsid w:val="00892429"/>
    <w:rsid w:val="00892496"/>
    <w:rsid w:val="008926B8"/>
    <w:rsid w:val="00892C5D"/>
    <w:rsid w:val="00892D58"/>
    <w:rsid w:val="00892E2D"/>
    <w:rsid w:val="00893058"/>
    <w:rsid w:val="00893221"/>
    <w:rsid w:val="008938E3"/>
    <w:rsid w:val="00893E91"/>
    <w:rsid w:val="00893EC7"/>
    <w:rsid w:val="0089419A"/>
    <w:rsid w:val="00894205"/>
    <w:rsid w:val="00894242"/>
    <w:rsid w:val="008942B9"/>
    <w:rsid w:val="0089493D"/>
    <w:rsid w:val="00894F33"/>
    <w:rsid w:val="00895174"/>
    <w:rsid w:val="00895320"/>
    <w:rsid w:val="00895333"/>
    <w:rsid w:val="008955F8"/>
    <w:rsid w:val="00895B0D"/>
    <w:rsid w:val="00895D05"/>
    <w:rsid w:val="00895F83"/>
    <w:rsid w:val="00895FD3"/>
    <w:rsid w:val="00896124"/>
    <w:rsid w:val="008966D1"/>
    <w:rsid w:val="0089677D"/>
    <w:rsid w:val="00896971"/>
    <w:rsid w:val="00896B37"/>
    <w:rsid w:val="00896D64"/>
    <w:rsid w:val="00896E1F"/>
    <w:rsid w:val="00897243"/>
    <w:rsid w:val="0089753D"/>
    <w:rsid w:val="008975CA"/>
    <w:rsid w:val="00897782"/>
    <w:rsid w:val="008977FF"/>
    <w:rsid w:val="0089790E"/>
    <w:rsid w:val="00897D60"/>
    <w:rsid w:val="00897EB9"/>
    <w:rsid w:val="008A05D6"/>
    <w:rsid w:val="008A0EC1"/>
    <w:rsid w:val="008A1054"/>
    <w:rsid w:val="008A116D"/>
    <w:rsid w:val="008A15E3"/>
    <w:rsid w:val="008A18C7"/>
    <w:rsid w:val="008A18F2"/>
    <w:rsid w:val="008A1C54"/>
    <w:rsid w:val="008A1FB9"/>
    <w:rsid w:val="008A22B1"/>
    <w:rsid w:val="008A24E7"/>
    <w:rsid w:val="008A287A"/>
    <w:rsid w:val="008A29AD"/>
    <w:rsid w:val="008A2A5E"/>
    <w:rsid w:val="008A2AE0"/>
    <w:rsid w:val="008A2BC3"/>
    <w:rsid w:val="008A33CD"/>
    <w:rsid w:val="008A33E9"/>
    <w:rsid w:val="008A395A"/>
    <w:rsid w:val="008A3DF6"/>
    <w:rsid w:val="008A3E8C"/>
    <w:rsid w:val="008A436D"/>
    <w:rsid w:val="008A4377"/>
    <w:rsid w:val="008A4588"/>
    <w:rsid w:val="008A4742"/>
    <w:rsid w:val="008A499B"/>
    <w:rsid w:val="008A4BD9"/>
    <w:rsid w:val="008A596C"/>
    <w:rsid w:val="008A5C3C"/>
    <w:rsid w:val="008A5F3E"/>
    <w:rsid w:val="008A6287"/>
    <w:rsid w:val="008A6D52"/>
    <w:rsid w:val="008A717A"/>
    <w:rsid w:val="008A74E2"/>
    <w:rsid w:val="008A775E"/>
    <w:rsid w:val="008A7823"/>
    <w:rsid w:val="008A78CB"/>
    <w:rsid w:val="008A78FA"/>
    <w:rsid w:val="008B0248"/>
    <w:rsid w:val="008B05E4"/>
    <w:rsid w:val="008B0A03"/>
    <w:rsid w:val="008B0A4A"/>
    <w:rsid w:val="008B0BD3"/>
    <w:rsid w:val="008B0C73"/>
    <w:rsid w:val="008B0FC6"/>
    <w:rsid w:val="008B1514"/>
    <w:rsid w:val="008B1807"/>
    <w:rsid w:val="008B1940"/>
    <w:rsid w:val="008B1C8F"/>
    <w:rsid w:val="008B2C39"/>
    <w:rsid w:val="008B2CDA"/>
    <w:rsid w:val="008B2FCA"/>
    <w:rsid w:val="008B309D"/>
    <w:rsid w:val="008B3458"/>
    <w:rsid w:val="008B3A67"/>
    <w:rsid w:val="008B3D62"/>
    <w:rsid w:val="008B3DF4"/>
    <w:rsid w:val="008B3F13"/>
    <w:rsid w:val="008B4082"/>
    <w:rsid w:val="008B425A"/>
    <w:rsid w:val="008B436D"/>
    <w:rsid w:val="008B4678"/>
    <w:rsid w:val="008B4696"/>
    <w:rsid w:val="008B477F"/>
    <w:rsid w:val="008B4E84"/>
    <w:rsid w:val="008B510E"/>
    <w:rsid w:val="008B57A3"/>
    <w:rsid w:val="008B5A2D"/>
    <w:rsid w:val="008B6A62"/>
    <w:rsid w:val="008B6B6D"/>
    <w:rsid w:val="008B6DC8"/>
    <w:rsid w:val="008B7E57"/>
    <w:rsid w:val="008B7FC7"/>
    <w:rsid w:val="008C0DD7"/>
    <w:rsid w:val="008C0EC0"/>
    <w:rsid w:val="008C1777"/>
    <w:rsid w:val="008C196B"/>
    <w:rsid w:val="008C1A29"/>
    <w:rsid w:val="008C1A70"/>
    <w:rsid w:val="008C2439"/>
    <w:rsid w:val="008C26E6"/>
    <w:rsid w:val="008C2766"/>
    <w:rsid w:val="008C2915"/>
    <w:rsid w:val="008C296C"/>
    <w:rsid w:val="008C2DCA"/>
    <w:rsid w:val="008C3069"/>
    <w:rsid w:val="008C30A1"/>
    <w:rsid w:val="008C3159"/>
    <w:rsid w:val="008C353F"/>
    <w:rsid w:val="008C358C"/>
    <w:rsid w:val="008C362D"/>
    <w:rsid w:val="008C3786"/>
    <w:rsid w:val="008C3811"/>
    <w:rsid w:val="008C44EF"/>
    <w:rsid w:val="008C4D0E"/>
    <w:rsid w:val="008C4D62"/>
    <w:rsid w:val="008C4FAF"/>
    <w:rsid w:val="008C50FF"/>
    <w:rsid w:val="008C516E"/>
    <w:rsid w:val="008C5237"/>
    <w:rsid w:val="008C5682"/>
    <w:rsid w:val="008C5B3D"/>
    <w:rsid w:val="008C5C9B"/>
    <w:rsid w:val="008C63DA"/>
    <w:rsid w:val="008C67EF"/>
    <w:rsid w:val="008C6947"/>
    <w:rsid w:val="008C69D6"/>
    <w:rsid w:val="008C69DD"/>
    <w:rsid w:val="008C6BED"/>
    <w:rsid w:val="008C708E"/>
    <w:rsid w:val="008C7185"/>
    <w:rsid w:val="008C71B3"/>
    <w:rsid w:val="008C7220"/>
    <w:rsid w:val="008C732B"/>
    <w:rsid w:val="008C75B7"/>
    <w:rsid w:val="008C7871"/>
    <w:rsid w:val="008C787C"/>
    <w:rsid w:val="008C790A"/>
    <w:rsid w:val="008C7DEB"/>
    <w:rsid w:val="008C7E7E"/>
    <w:rsid w:val="008C7F75"/>
    <w:rsid w:val="008D065A"/>
    <w:rsid w:val="008D0828"/>
    <w:rsid w:val="008D0858"/>
    <w:rsid w:val="008D0FBE"/>
    <w:rsid w:val="008D18B6"/>
    <w:rsid w:val="008D1A1F"/>
    <w:rsid w:val="008D1A97"/>
    <w:rsid w:val="008D1C6F"/>
    <w:rsid w:val="008D1D50"/>
    <w:rsid w:val="008D1DE8"/>
    <w:rsid w:val="008D1F1C"/>
    <w:rsid w:val="008D1F60"/>
    <w:rsid w:val="008D2153"/>
    <w:rsid w:val="008D2B3C"/>
    <w:rsid w:val="008D31B6"/>
    <w:rsid w:val="008D31C9"/>
    <w:rsid w:val="008D33AE"/>
    <w:rsid w:val="008D349E"/>
    <w:rsid w:val="008D3A77"/>
    <w:rsid w:val="008D41BE"/>
    <w:rsid w:val="008D4C8F"/>
    <w:rsid w:val="008D4EBF"/>
    <w:rsid w:val="008D4FAC"/>
    <w:rsid w:val="008D53C1"/>
    <w:rsid w:val="008D5A85"/>
    <w:rsid w:val="008D5DCD"/>
    <w:rsid w:val="008D6075"/>
    <w:rsid w:val="008D666B"/>
    <w:rsid w:val="008D66B7"/>
    <w:rsid w:val="008D6A6F"/>
    <w:rsid w:val="008D6E3E"/>
    <w:rsid w:val="008D6FC0"/>
    <w:rsid w:val="008D70BB"/>
    <w:rsid w:val="008D7A86"/>
    <w:rsid w:val="008E021D"/>
    <w:rsid w:val="008E0361"/>
    <w:rsid w:val="008E0510"/>
    <w:rsid w:val="008E080F"/>
    <w:rsid w:val="008E1360"/>
    <w:rsid w:val="008E143A"/>
    <w:rsid w:val="008E170C"/>
    <w:rsid w:val="008E1A1A"/>
    <w:rsid w:val="008E2513"/>
    <w:rsid w:val="008E2812"/>
    <w:rsid w:val="008E28AF"/>
    <w:rsid w:val="008E2936"/>
    <w:rsid w:val="008E2CCB"/>
    <w:rsid w:val="008E2D4C"/>
    <w:rsid w:val="008E3504"/>
    <w:rsid w:val="008E3913"/>
    <w:rsid w:val="008E39D0"/>
    <w:rsid w:val="008E43F2"/>
    <w:rsid w:val="008E4B98"/>
    <w:rsid w:val="008E4F2F"/>
    <w:rsid w:val="008E51F3"/>
    <w:rsid w:val="008E575D"/>
    <w:rsid w:val="008E58EF"/>
    <w:rsid w:val="008E614B"/>
    <w:rsid w:val="008E6209"/>
    <w:rsid w:val="008E647C"/>
    <w:rsid w:val="008E69FA"/>
    <w:rsid w:val="008E6A2B"/>
    <w:rsid w:val="008E6FA3"/>
    <w:rsid w:val="008E7523"/>
    <w:rsid w:val="008E7953"/>
    <w:rsid w:val="008E7A46"/>
    <w:rsid w:val="008E7BA3"/>
    <w:rsid w:val="008E7DAA"/>
    <w:rsid w:val="008F0D4C"/>
    <w:rsid w:val="008F13F4"/>
    <w:rsid w:val="008F14A1"/>
    <w:rsid w:val="008F1811"/>
    <w:rsid w:val="008F1A77"/>
    <w:rsid w:val="008F2015"/>
    <w:rsid w:val="008F2263"/>
    <w:rsid w:val="008F2495"/>
    <w:rsid w:val="008F2827"/>
    <w:rsid w:val="008F2D27"/>
    <w:rsid w:val="008F2F16"/>
    <w:rsid w:val="008F323F"/>
    <w:rsid w:val="008F34B9"/>
    <w:rsid w:val="008F385C"/>
    <w:rsid w:val="008F3880"/>
    <w:rsid w:val="008F3A72"/>
    <w:rsid w:val="008F3C02"/>
    <w:rsid w:val="008F3EA9"/>
    <w:rsid w:val="008F436D"/>
    <w:rsid w:val="008F43CE"/>
    <w:rsid w:val="008F44E3"/>
    <w:rsid w:val="008F45B4"/>
    <w:rsid w:val="008F47ED"/>
    <w:rsid w:val="008F4867"/>
    <w:rsid w:val="008F526B"/>
    <w:rsid w:val="008F542E"/>
    <w:rsid w:val="008F6066"/>
    <w:rsid w:val="008F6A28"/>
    <w:rsid w:val="008F7681"/>
    <w:rsid w:val="008F76AC"/>
    <w:rsid w:val="009006A5"/>
    <w:rsid w:val="00900972"/>
    <w:rsid w:val="00900FC7"/>
    <w:rsid w:val="0090107B"/>
    <w:rsid w:val="00901232"/>
    <w:rsid w:val="0090170F"/>
    <w:rsid w:val="00901794"/>
    <w:rsid w:val="0090192B"/>
    <w:rsid w:val="00901B4E"/>
    <w:rsid w:val="00901B58"/>
    <w:rsid w:val="00901CA9"/>
    <w:rsid w:val="0090228C"/>
    <w:rsid w:val="009024C0"/>
    <w:rsid w:val="00902721"/>
    <w:rsid w:val="0090289A"/>
    <w:rsid w:val="009034F1"/>
    <w:rsid w:val="0090391A"/>
    <w:rsid w:val="00903A80"/>
    <w:rsid w:val="00903B7D"/>
    <w:rsid w:val="00903C2A"/>
    <w:rsid w:val="00903F9F"/>
    <w:rsid w:val="009040DC"/>
    <w:rsid w:val="0090429D"/>
    <w:rsid w:val="009043A4"/>
    <w:rsid w:val="00904637"/>
    <w:rsid w:val="009049AD"/>
    <w:rsid w:val="00904D2C"/>
    <w:rsid w:val="00904D39"/>
    <w:rsid w:val="009055D8"/>
    <w:rsid w:val="0090585A"/>
    <w:rsid w:val="00905DDE"/>
    <w:rsid w:val="009064EC"/>
    <w:rsid w:val="009067B5"/>
    <w:rsid w:val="009075BB"/>
    <w:rsid w:val="009077B9"/>
    <w:rsid w:val="0090794F"/>
    <w:rsid w:val="00907AF7"/>
    <w:rsid w:val="00907B62"/>
    <w:rsid w:val="00907C95"/>
    <w:rsid w:val="00907FAC"/>
    <w:rsid w:val="00907FAF"/>
    <w:rsid w:val="00907FD5"/>
    <w:rsid w:val="00910913"/>
    <w:rsid w:val="00910D8C"/>
    <w:rsid w:val="00911A34"/>
    <w:rsid w:val="00911EB5"/>
    <w:rsid w:val="00911F56"/>
    <w:rsid w:val="00912C3A"/>
    <w:rsid w:val="009133C4"/>
    <w:rsid w:val="009133F1"/>
    <w:rsid w:val="00913B3D"/>
    <w:rsid w:val="00913D3F"/>
    <w:rsid w:val="00913E49"/>
    <w:rsid w:val="00913FC5"/>
    <w:rsid w:val="00914784"/>
    <w:rsid w:val="00914D2B"/>
    <w:rsid w:val="009152A2"/>
    <w:rsid w:val="00915CE3"/>
    <w:rsid w:val="00915D19"/>
    <w:rsid w:val="00915F70"/>
    <w:rsid w:val="009161AC"/>
    <w:rsid w:val="0091627A"/>
    <w:rsid w:val="00916622"/>
    <w:rsid w:val="0091740C"/>
    <w:rsid w:val="0091752D"/>
    <w:rsid w:val="009176FE"/>
    <w:rsid w:val="009177D7"/>
    <w:rsid w:val="00917B81"/>
    <w:rsid w:val="00917EEE"/>
    <w:rsid w:val="009205B6"/>
    <w:rsid w:val="00920C39"/>
    <w:rsid w:val="00920F55"/>
    <w:rsid w:val="0092128F"/>
    <w:rsid w:val="0092193E"/>
    <w:rsid w:val="00921E04"/>
    <w:rsid w:val="0092238B"/>
    <w:rsid w:val="00922736"/>
    <w:rsid w:val="00922988"/>
    <w:rsid w:val="00922B1D"/>
    <w:rsid w:val="00922E80"/>
    <w:rsid w:val="00922FF5"/>
    <w:rsid w:val="00923029"/>
    <w:rsid w:val="009230D9"/>
    <w:rsid w:val="009230E1"/>
    <w:rsid w:val="00923BA1"/>
    <w:rsid w:val="00924E36"/>
    <w:rsid w:val="009254EC"/>
    <w:rsid w:val="009255E7"/>
    <w:rsid w:val="00925669"/>
    <w:rsid w:val="00925734"/>
    <w:rsid w:val="00925836"/>
    <w:rsid w:val="00925ABA"/>
    <w:rsid w:val="00925ECD"/>
    <w:rsid w:val="00925FCB"/>
    <w:rsid w:val="009260AD"/>
    <w:rsid w:val="0092615C"/>
    <w:rsid w:val="009266C9"/>
    <w:rsid w:val="009266DB"/>
    <w:rsid w:val="00926978"/>
    <w:rsid w:val="00926D60"/>
    <w:rsid w:val="00926F7C"/>
    <w:rsid w:val="0092709C"/>
    <w:rsid w:val="00927249"/>
    <w:rsid w:val="00927AC3"/>
    <w:rsid w:val="00927BF5"/>
    <w:rsid w:val="00927DD3"/>
    <w:rsid w:val="00930202"/>
    <w:rsid w:val="0093025E"/>
    <w:rsid w:val="00930B13"/>
    <w:rsid w:val="00930C81"/>
    <w:rsid w:val="00930D44"/>
    <w:rsid w:val="009312CB"/>
    <w:rsid w:val="00931C13"/>
    <w:rsid w:val="00931CB6"/>
    <w:rsid w:val="0093245E"/>
    <w:rsid w:val="00932BA9"/>
    <w:rsid w:val="009336E2"/>
    <w:rsid w:val="00933C78"/>
    <w:rsid w:val="00933D84"/>
    <w:rsid w:val="00933E74"/>
    <w:rsid w:val="00933F58"/>
    <w:rsid w:val="009341C3"/>
    <w:rsid w:val="009342BF"/>
    <w:rsid w:val="009342E3"/>
    <w:rsid w:val="0093494D"/>
    <w:rsid w:val="0093495A"/>
    <w:rsid w:val="00934C90"/>
    <w:rsid w:val="00934E0B"/>
    <w:rsid w:val="0093512B"/>
    <w:rsid w:val="00935AA1"/>
    <w:rsid w:val="00935B21"/>
    <w:rsid w:val="00935B60"/>
    <w:rsid w:val="00935CAB"/>
    <w:rsid w:val="00936161"/>
    <w:rsid w:val="009367E3"/>
    <w:rsid w:val="00936C99"/>
    <w:rsid w:val="009370A1"/>
    <w:rsid w:val="009375D8"/>
    <w:rsid w:val="00940168"/>
    <w:rsid w:val="0094018F"/>
    <w:rsid w:val="0094069E"/>
    <w:rsid w:val="00940BAC"/>
    <w:rsid w:val="00940BE0"/>
    <w:rsid w:val="009415C5"/>
    <w:rsid w:val="00941973"/>
    <w:rsid w:val="00941ABE"/>
    <w:rsid w:val="009424FE"/>
    <w:rsid w:val="00942BBB"/>
    <w:rsid w:val="00942DB3"/>
    <w:rsid w:val="00942E7A"/>
    <w:rsid w:val="00943075"/>
    <w:rsid w:val="009435AA"/>
    <w:rsid w:val="00943694"/>
    <w:rsid w:val="0094384D"/>
    <w:rsid w:val="009438FF"/>
    <w:rsid w:val="00943951"/>
    <w:rsid w:val="0094398E"/>
    <w:rsid w:val="009439AE"/>
    <w:rsid w:val="00943CE9"/>
    <w:rsid w:val="009444F8"/>
    <w:rsid w:val="009455AC"/>
    <w:rsid w:val="00945877"/>
    <w:rsid w:val="00945FEE"/>
    <w:rsid w:val="0094632D"/>
    <w:rsid w:val="00946489"/>
    <w:rsid w:val="00946686"/>
    <w:rsid w:val="009467CC"/>
    <w:rsid w:val="00946C80"/>
    <w:rsid w:val="00946DE1"/>
    <w:rsid w:val="0094706E"/>
    <w:rsid w:val="00947D42"/>
    <w:rsid w:val="00947EE9"/>
    <w:rsid w:val="00947F2F"/>
    <w:rsid w:val="00947F57"/>
    <w:rsid w:val="00947F5A"/>
    <w:rsid w:val="00950146"/>
    <w:rsid w:val="009502AC"/>
    <w:rsid w:val="00950398"/>
    <w:rsid w:val="009504DE"/>
    <w:rsid w:val="0095088D"/>
    <w:rsid w:val="00950A2C"/>
    <w:rsid w:val="009511D9"/>
    <w:rsid w:val="00951F28"/>
    <w:rsid w:val="0095238E"/>
    <w:rsid w:val="009527E4"/>
    <w:rsid w:val="00953169"/>
    <w:rsid w:val="009531B2"/>
    <w:rsid w:val="009532BC"/>
    <w:rsid w:val="00954182"/>
    <w:rsid w:val="009541C1"/>
    <w:rsid w:val="009541FD"/>
    <w:rsid w:val="00954603"/>
    <w:rsid w:val="009546CE"/>
    <w:rsid w:val="00954883"/>
    <w:rsid w:val="00954B17"/>
    <w:rsid w:val="00955243"/>
    <w:rsid w:val="00955366"/>
    <w:rsid w:val="00955C6A"/>
    <w:rsid w:val="00955EB5"/>
    <w:rsid w:val="00956088"/>
    <w:rsid w:val="00956266"/>
    <w:rsid w:val="009562A0"/>
    <w:rsid w:val="0095632F"/>
    <w:rsid w:val="009564A9"/>
    <w:rsid w:val="00956851"/>
    <w:rsid w:val="00956E80"/>
    <w:rsid w:val="00956EF1"/>
    <w:rsid w:val="00956F9A"/>
    <w:rsid w:val="0096056B"/>
    <w:rsid w:val="009608F5"/>
    <w:rsid w:val="00960F49"/>
    <w:rsid w:val="009618D8"/>
    <w:rsid w:val="00961A2B"/>
    <w:rsid w:val="00961E8A"/>
    <w:rsid w:val="009620F2"/>
    <w:rsid w:val="00962169"/>
    <w:rsid w:val="009624EF"/>
    <w:rsid w:val="009629C0"/>
    <w:rsid w:val="00962A50"/>
    <w:rsid w:val="00962DB3"/>
    <w:rsid w:val="0096315F"/>
    <w:rsid w:val="00963206"/>
    <w:rsid w:val="0096351B"/>
    <w:rsid w:val="00963D63"/>
    <w:rsid w:val="0096411E"/>
    <w:rsid w:val="009641F8"/>
    <w:rsid w:val="009642CE"/>
    <w:rsid w:val="00964421"/>
    <w:rsid w:val="00964A26"/>
    <w:rsid w:val="00964B31"/>
    <w:rsid w:val="00965294"/>
    <w:rsid w:val="00965307"/>
    <w:rsid w:val="00965351"/>
    <w:rsid w:val="009653D1"/>
    <w:rsid w:val="009658C8"/>
    <w:rsid w:val="00965F46"/>
    <w:rsid w:val="00965FEA"/>
    <w:rsid w:val="00966697"/>
    <w:rsid w:val="00966771"/>
    <w:rsid w:val="009672E8"/>
    <w:rsid w:val="0096739F"/>
    <w:rsid w:val="009675B1"/>
    <w:rsid w:val="00967A50"/>
    <w:rsid w:val="00967BDC"/>
    <w:rsid w:val="00970405"/>
    <w:rsid w:val="00970602"/>
    <w:rsid w:val="00970CE4"/>
    <w:rsid w:val="00970DC5"/>
    <w:rsid w:val="00970E9A"/>
    <w:rsid w:val="00971453"/>
    <w:rsid w:val="00971480"/>
    <w:rsid w:val="00972313"/>
    <w:rsid w:val="009723D8"/>
    <w:rsid w:val="00972D91"/>
    <w:rsid w:val="00972F50"/>
    <w:rsid w:val="009730F1"/>
    <w:rsid w:val="00973328"/>
    <w:rsid w:val="00973669"/>
    <w:rsid w:val="00974A01"/>
    <w:rsid w:val="00974ABE"/>
    <w:rsid w:val="00974F1B"/>
    <w:rsid w:val="00974F2F"/>
    <w:rsid w:val="00974FAC"/>
    <w:rsid w:val="009756AB"/>
    <w:rsid w:val="00975918"/>
    <w:rsid w:val="00975DBA"/>
    <w:rsid w:val="00975DBB"/>
    <w:rsid w:val="00976313"/>
    <w:rsid w:val="0097633E"/>
    <w:rsid w:val="009764CF"/>
    <w:rsid w:val="00976B54"/>
    <w:rsid w:val="00976BE9"/>
    <w:rsid w:val="00976E03"/>
    <w:rsid w:val="009770C0"/>
    <w:rsid w:val="009770ED"/>
    <w:rsid w:val="0097720B"/>
    <w:rsid w:val="0097738A"/>
    <w:rsid w:val="00977580"/>
    <w:rsid w:val="00977A2D"/>
    <w:rsid w:val="00977B33"/>
    <w:rsid w:val="00977BCC"/>
    <w:rsid w:val="00977C59"/>
    <w:rsid w:val="009803BE"/>
    <w:rsid w:val="00980652"/>
    <w:rsid w:val="00980922"/>
    <w:rsid w:val="009811B2"/>
    <w:rsid w:val="009813C2"/>
    <w:rsid w:val="00981A5F"/>
    <w:rsid w:val="00981D29"/>
    <w:rsid w:val="00981FD9"/>
    <w:rsid w:val="0098207B"/>
    <w:rsid w:val="00982BC8"/>
    <w:rsid w:val="00982ED7"/>
    <w:rsid w:val="00982EF5"/>
    <w:rsid w:val="00982F6F"/>
    <w:rsid w:val="00983521"/>
    <w:rsid w:val="00983E78"/>
    <w:rsid w:val="00984A1C"/>
    <w:rsid w:val="00984AA3"/>
    <w:rsid w:val="00985550"/>
    <w:rsid w:val="0098560E"/>
    <w:rsid w:val="009859A5"/>
    <w:rsid w:val="00985B93"/>
    <w:rsid w:val="009863DD"/>
    <w:rsid w:val="0098666B"/>
    <w:rsid w:val="009866C3"/>
    <w:rsid w:val="00986F2E"/>
    <w:rsid w:val="00987391"/>
    <w:rsid w:val="00987559"/>
    <w:rsid w:val="009876A0"/>
    <w:rsid w:val="009876D1"/>
    <w:rsid w:val="0098771B"/>
    <w:rsid w:val="009878F6"/>
    <w:rsid w:val="00990587"/>
    <w:rsid w:val="009906DE"/>
    <w:rsid w:val="00990CD1"/>
    <w:rsid w:val="00991245"/>
    <w:rsid w:val="00991430"/>
    <w:rsid w:val="00991DA3"/>
    <w:rsid w:val="00992022"/>
    <w:rsid w:val="0099245E"/>
    <w:rsid w:val="00992B19"/>
    <w:rsid w:val="00993367"/>
    <w:rsid w:val="009933C1"/>
    <w:rsid w:val="0099340C"/>
    <w:rsid w:val="00993505"/>
    <w:rsid w:val="009946CB"/>
    <w:rsid w:val="00994A3D"/>
    <w:rsid w:val="00994E5C"/>
    <w:rsid w:val="00994FB7"/>
    <w:rsid w:val="0099541A"/>
    <w:rsid w:val="009956CB"/>
    <w:rsid w:val="00995738"/>
    <w:rsid w:val="00995CE5"/>
    <w:rsid w:val="00996062"/>
    <w:rsid w:val="009965AE"/>
    <w:rsid w:val="00996E0D"/>
    <w:rsid w:val="00997189"/>
    <w:rsid w:val="009972FC"/>
    <w:rsid w:val="0099779B"/>
    <w:rsid w:val="00997DE8"/>
    <w:rsid w:val="00997E53"/>
    <w:rsid w:val="009A0DD9"/>
    <w:rsid w:val="009A11D3"/>
    <w:rsid w:val="009A167A"/>
    <w:rsid w:val="009A1831"/>
    <w:rsid w:val="009A18D0"/>
    <w:rsid w:val="009A1BBF"/>
    <w:rsid w:val="009A1E0B"/>
    <w:rsid w:val="009A205F"/>
    <w:rsid w:val="009A227A"/>
    <w:rsid w:val="009A22ED"/>
    <w:rsid w:val="009A250D"/>
    <w:rsid w:val="009A2730"/>
    <w:rsid w:val="009A3189"/>
    <w:rsid w:val="009A39B9"/>
    <w:rsid w:val="009A3D10"/>
    <w:rsid w:val="009A3D1F"/>
    <w:rsid w:val="009A4667"/>
    <w:rsid w:val="009A4D05"/>
    <w:rsid w:val="009A5201"/>
    <w:rsid w:val="009A53E7"/>
    <w:rsid w:val="009A5523"/>
    <w:rsid w:val="009A582B"/>
    <w:rsid w:val="009A5935"/>
    <w:rsid w:val="009A5BBA"/>
    <w:rsid w:val="009A6090"/>
    <w:rsid w:val="009A61CF"/>
    <w:rsid w:val="009A6747"/>
    <w:rsid w:val="009A6B3D"/>
    <w:rsid w:val="009A753D"/>
    <w:rsid w:val="009A76BC"/>
    <w:rsid w:val="009B00BC"/>
    <w:rsid w:val="009B0555"/>
    <w:rsid w:val="009B0ABC"/>
    <w:rsid w:val="009B0B90"/>
    <w:rsid w:val="009B0B92"/>
    <w:rsid w:val="009B0C48"/>
    <w:rsid w:val="009B1580"/>
    <w:rsid w:val="009B1B02"/>
    <w:rsid w:val="009B1B05"/>
    <w:rsid w:val="009B1E25"/>
    <w:rsid w:val="009B22FD"/>
    <w:rsid w:val="009B2585"/>
    <w:rsid w:val="009B2777"/>
    <w:rsid w:val="009B3268"/>
    <w:rsid w:val="009B32A5"/>
    <w:rsid w:val="009B37CF"/>
    <w:rsid w:val="009B4609"/>
    <w:rsid w:val="009B4A0A"/>
    <w:rsid w:val="009B54A1"/>
    <w:rsid w:val="009B554D"/>
    <w:rsid w:val="009B5605"/>
    <w:rsid w:val="009B5EC4"/>
    <w:rsid w:val="009B6108"/>
    <w:rsid w:val="009B7241"/>
    <w:rsid w:val="009B7254"/>
    <w:rsid w:val="009B735C"/>
    <w:rsid w:val="009B7A37"/>
    <w:rsid w:val="009B7A47"/>
    <w:rsid w:val="009B7ABE"/>
    <w:rsid w:val="009B7BE9"/>
    <w:rsid w:val="009C00F0"/>
    <w:rsid w:val="009C0446"/>
    <w:rsid w:val="009C0B77"/>
    <w:rsid w:val="009C0F6E"/>
    <w:rsid w:val="009C16A2"/>
    <w:rsid w:val="009C16E7"/>
    <w:rsid w:val="009C1833"/>
    <w:rsid w:val="009C18A9"/>
    <w:rsid w:val="009C1C92"/>
    <w:rsid w:val="009C1CE1"/>
    <w:rsid w:val="009C2321"/>
    <w:rsid w:val="009C29F7"/>
    <w:rsid w:val="009C2AC6"/>
    <w:rsid w:val="009C2ED8"/>
    <w:rsid w:val="009C32F7"/>
    <w:rsid w:val="009C3414"/>
    <w:rsid w:val="009C36A4"/>
    <w:rsid w:val="009C36AA"/>
    <w:rsid w:val="009C38A2"/>
    <w:rsid w:val="009C3B01"/>
    <w:rsid w:val="009C3FB5"/>
    <w:rsid w:val="009C43A4"/>
    <w:rsid w:val="009C43D0"/>
    <w:rsid w:val="009C4413"/>
    <w:rsid w:val="009C48F1"/>
    <w:rsid w:val="009C4B77"/>
    <w:rsid w:val="009C51EC"/>
    <w:rsid w:val="009C5213"/>
    <w:rsid w:val="009C5323"/>
    <w:rsid w:val="009C6030"/>
    <w:rsid w:val="009C6621"/>
    <w:rsid w:val="009C68E6"/>
    <w:rsid w:val="009C6D53"/>
    <w:rsid w:val="009C6FDF"/>
    <w:rsid w:val="009C781B"/>
    <w:rsid w:val="009C7BE1"/>
    <w:rsid w:val="009D064E"/>
    <w:rsid w:val="009D088E"/>
    <w:rsid w:val="009D0F5F"/>
    <w:rsid w:val="009D0F80"/>
    <w:rsid w:val="009D1020"/>
    <w:rsid w:val="009D112B"/>
    <w:rsid w:val="009D17DA"/>
    <w:rsid w:val="009D1F47"/>
    <w:rsid w:val="009D224A"/>
    <w:rsid w:val="009D2261"/>
    <w:rsid w:val="009D245F"/>
    <w:rsid w:val="009D2467"/>
    <w:rsid w:val="009D289C"/>
    <w:rsid w:val="009D2CB1"/>
    <w:rsid w:val="009D2D67"/>
    <w:rsid w:val="009D3230"/>
    <w:rsid w:val="009D348C"/>
    <w:rsid w:val="009D34EB"/>
    <w:rsid w:val="009D3524"/>
    <w:rsid w:val="009D359A"/>
    <w:rsid w:val="009D360B"/>
    <w:rsid w:val="009D3716"/>
    <w:rsid w:val="009D3C7E"/>
    <w:rsid w:val="009D42EF"/>
    <w:rsid w:val="009D4AD7"/>
    <w:rsid w:val="009D4CDF"/>
    <w:rsid w:val="009D513A"/>
    <w:rsid w:val="009D51C9"/>
    <w:rsid w:val="009D527C"/>
    <w:rsid w:val="009D5578"/>
    <w:rsid w:val="009D579B"/>
    <w:rsid w:val="009D5C69"/>
    <w:rsid w:val="009D5DF4"/>
    <w:rsid w:val="009D6365"/>
    <w:rsid w:val="009D6E12"/>
    <w:rsid w:val="009D6EDB"/>
    <w:rsid w:val="009D756D"/>
    <w:rsid w:val="009D765B"/>
    <w:rsid w:val="009D7B14"/>
    <w:rsid w:val="009D7BC7"/>
    <w:rsid w:val="009D7DD2"/>
    <w:rsid w:val="009E010F"/>
    <w:rsid w:val="009E0185"/>
    <w:rsid w:val="009E0F15"/>
    <w:rsid w:val="009E102A"/>
    <w:rsid w:val="009E115C"/>
    <w:rsid w:val="009E1370"/>
    <w:rsid w:val="009E14FB"/>
    <w:rsid w:val="009E28E8"/>
    <w:rsid w:val="009E29AF"/>
    <w:rsid w:val="009E2A0B"/>
    <w:rsid w:val="009E3189"/>
    <w:rsid w:val="009E321C"/>
    <w:rsid w:val="009E37F1"/>
    <w:rsid w:val="009E380C"/>
    <w:rsid w:val="009E39D7"/>
    <w:rsid w:val="009E3AE4"/>
    <w:rsid w:val="009E3CAB"/>
    <w:rsid w:val="009E42BC"/>
    <w:rsid w:val="009E42DC"/>
    <w:rsid w:val="009E459E"/>
    <w:rsid w:val="009E4B0B"/>
    <w:rsid w:val="009E549D"/>
    <w:rsid w:val="009E5BBD"/>
    <w:rsid w:val="009E5D70"/>
    <w:rsid w:val="009E6101"/>
    <w:rsid w:val="009E6157"/>
    <w:rsid w:val="009E657F"/>
    <w:rsid w:val="009E66C4"/>
    <w:rsid w:val="009E68E5"/>
    <w:rsid w:val="009E693D"/>
    <w:rsid w:val="009E6E2C"/>
    <w:rsid w:val="009E7013"/>
    <w:rsid w:val="009E79EF"/>
    <w:rsid w:val="009E7DD5"/>
    <w:rsid w:val="009E7E7A"/>
    <w:rsid w:val="009E7E83"/>
    <w:rsid w:val="009F03E1"/>
    <w:rsid w:val="009F0495"/>
    <w:rsid w:val="009F0A7F"/>
    <w:rsid w:val="009F0C15"/>
    <w:rsid w:val="009F0D40"/>
    <w:rsid w:val="009F0E19"/>
    <w:rsid w:val="009F0F1E"/>
    <w:rsid w:val="009F1049"/>
    <w:rsid w:val="009F1058"/>
    <w:rsid w:val="009F140E"/>
    <w:rsid w:val="009F1892"/>
    <w:rsid w:val="009F1E7C"/>
    <w:rsid w:val="009F23A8"/>
    <w:rsid w:val="009F2575"/>
    <w:rsid w:val="009F2651"/>
    <w:rsid w:val="009F26E0"/>
    <w:rsid w:val="009F2933"/>
    <w:rsid w:val="009F2C28"/>
    <w:rsid w:val="009F2F2D"/>
    <w:rsid w:val="009F32D5"/>
    <w:rsid w:val="009F38F1"/>
    <w:rsid w:val="009F3A89"/>
    <w:rsid w:val="009F3CAF"/>
    <w:rsid w:val="009F3D97"/>
    <w:rsid w:val="009F44FB"/>
    <w:rsid w:val="009F453C"/>
    <w:rsid w:val="009F480D"/>
    <w:rsid w:val="009F4AC6"/>
    <w:rsid w:val="009F4B67"/>
    <w:rsid w:val="009F4B69"/>
    <w:rsid w:val="009F53FC"/>
    <w:rsid w:val="009F5425"/>
    <w:rsid w:val="009F5A12"/>
    <w:rsid w:val="009F64F1"/>
    <w:rsid w:val="009F67E7"/>
    <w:rsid w:val="009F6931"/>
    <w:rsid w:val="009F7041"/>
    <w:rsid w:val="009F7720"/>
    <w:rsid w:val="009F792B"/>
    <w:rsid w:val="009F7E70"/>
    <w:rsid w:val="00A00097"/>
    <w:rsid w:val="00A003DE"/>
    <w:rsid w:val="00A004F7"/>
    <w:rsid w:val="00A00552"/>
    <w:rsid w:val="00A00878"/>
    <w:rsid w:val="00A00B7C"/>
    <w:rsid w:val="00A00E66"/>
    <w:rsid w:val="00A0118B"/>
    <w:rsid w:val="00A01601"/>
    <w:rsid w:val="00A01675"/>
    <w:rsid w:val="00A0170F"/>
    <w:rsid w:val="00A01746"/>
    <w:rsid w:val="00A01785"/>
    <w:rsid w:val="00A017A7"/>
    <w:rsid w:val="00A01C3C"/>
    <w:rsid w:val="00A01FA1"/>
    <w:rsid w:val="00A025DA"/>
    <w:rsid w:val="00A0279B"/>
    <w:rsid w:val="00A02BDB"/>
    <w:rsid w:val="00A02CBE"/>
    <w:rsid w:val="00A031F1"/>
    <w:rsid w:val="00A036AC"/>
    <w:rsid w:val="00A0377B"/>
    <w:rsid w:val="00A039E4"/>
    <w:rsid w:val="00A03A9C"/>
    <w:rsid w:val="00A03CB1"/>
    <w:rsid w:val="00A03E5C"/>
    <w:rsid w:val="00A03F65"/>
    <w:rsid w:val="00A04050"/>
    <w:rsid w:val="00A04164"/>
    <w:rsid w:val="00A04223"/>
    <w:rsid w:val="00A04865"/>
    <w:rsid w:val="00A04DE3"/>
    <w:rsid w:val="00A04E60"/>
    <w:rsid w:val="00A04EFF"/>
    <w:rsid w:val="00A05084"/>
    <w:rsid w:val="00A05279"/>
    <w:rsid w:val="00A0585A"/>
    <w:rsid w:val="00A05F23"/>
    <w:rsid w:val="00A06258"/>
    <w:rsid w:val="00A0698C"/>
    <w:rsid w:val="00A06C50"/>
    <w:rsid w:val="00A06E64"/>
    <w:rsid w:val="00A077DE"/>
    <w:rsid w:val="00A07E58"/>
    <w:rsid w:val="00A10008"/>
    <w:rsid w:val="00A106F3"/>
    <w:rsid w:val="00A108E8"/>
    <w:rsid w:val="00A10A81"/>
    <w:rsid w:val="00A10A8D"/>
    <w:rsid w:val="00A10BB9"/>
    <w:rsid w:val="00A10DBF"/>
    <w:rsid w:val="00A11540"/>
    <w:rsid w:val="00A116F8"/>
    <w:rsid w:val="00A11CCD"/>
    <w:rsid w:val="00A1217C"/>
    <w:rsid w:val="00A123FC"/>
    <w:rsid w:val="00A12ED4"/>
    <w:rsid w:val="00A130F3"/>
    <w:rsid w:val="00A134A4"/>
    <w:rsid w:val="00A13FCE"/>
    <w:rsid w:val="00A1411D"/>
    <w:rsid w:val="00A14233"/>
    <w:rsid w:val="00A14593"/>
    <w:rsid w:val="00A147E2"/>
    <w:rsid w:val="00A1486A"/>
    <w:rsid w:val="00A1491E"/>
    <w:rsid w:val="00A1495B"/>
    <w:rsid w:val="00A1499D"/>
    <w:rsid w:val="00A14B5E"/>
    <w:rsid w:val="00A14C70"/>
    <w:rsid w:val="00A14C88"/>
    <w:rsid w:val="00A14D33"/>
    <w:rsid w:val="00A14E4E"/>
    <w:rsid w:val="00A14F53"/>
    <w:rsid w:val="00A151ED"/>
    <w:rsid w:val="00A15D50"/>
    <w:rsid w:val="00A15E90"/>
    <w:rsid w:val="00A15ED6"/>
    <w:rsid w:val="00A16EB6"/>
    <w:rsid w:val="00A16F93"/>
    <w:rsid w:val="00A16FBD"/>
    <w:rsid w:val="00A17A66"/>
    <w:rsid w:val="00A17C4B"/>
    <w:rsid w:val="00A17D8B"/>
    <w:rsid w:val="00A17E3E"/>
    <w:rsid w:val="00A20573"/>
    <w:rsid w:val="00A20B64"/>
    <w:rsid w:val="00A20B8D"/>
    <w:rsid w:val="00A20FDB"/>
    <w:rsid w:val="00A21330"/>
    <w:rsid w:val="00A21855"/>
    <w:rsid w:val="00A21DBA"/>
    <w:rsid w:val="00A22283"/>
    <w:rsid w:val="00A22526"/>
    <w:rsid w:val="00A225D3"/>
    <w:rsid w:val="00A22775"/>
    <w:rsid w:val="00A22A9F"/>
    <w:rsid w:val="00A22B83"/>
    <w:rsid w:val="00A22F96"/>
    <w:rsid w:val="00A238C7"/>
    <w:rsid w:val="00A23C48"/>
    <w:rsid w:val="00A241F8"/>
    <w:rsid w:val="00A2435F"/>
    <w:rsid w:val="00A24364"/>
    <w:rsid w:val="00A246ED"/>
    <w:rsid w:val="00A24C6C"/>
    <w:rsid w:val="00A24E3A"/>
    <w:rsid w:val="00A254C7"/>
    <w:rsid w:val="00A254F1"/>
    <w:rsid w:val="00A256BC"/>
    <w:rsid w:val="00A25B0B"/>
    <w:rsid w:val="00A25E03"/>
    <w:rsid w:val="00A26079"/>
    <w:rsid w:val="00A26358"/>
    <w:rsid w:val="00A26360"/>
    <w:rsid w:val="00A26383"/>
    <w:rsid w:val="00A26B44"/>
    <w:rsid w:val="00A26E1F"/>
    <w:rsid w:val="00A26E9F"/>
    <w:rsid w:val="00A271B3"/>
    <w:rsid w:val="00A27596"/>
    <w:rsid w:val="00A2770B"/>
    <w:rsid w:val="00A27713"/>
    <w:rsid w:val="00A277D5"/>
    <w:rsid w:val="00A27EC9"/>
    <w:rsid w:val="00A30266"/>
    <w:rsid w:val="00A30741"/>
    <w:rsid w:val="00A30B16"/>
    <w:rsid w:val="00A31210"/>
    <w:rsid w:val="00A31466"/>
    <w:rsid w:val="00A31708"/>
    <w:rsid w:val="00A318F0"/>
    <w:rsid w:val="00A31CEA"/>
    <w:rsid w:val="00A3247E"/>
    <w:rsid w:val="00A3277C"/>
    <w:rsid w:val="00A327A8"/>
    <w:rsid w:val="00A3282C"/>
    <w:rsid w:val="00A32EDA"/>
    <w:rsid w:val="00A330C1"/>
    <w:rsid w:val="00A331F3"/>
    <w:rsid w:val="00A3393E"/>
    <w:rsid w:val="00A33B89"/>
    <w:rsid w:val="00A33BF2"/>
    <w:rsid w:val="00A3421C"/>
    <w:rsid w:val="00A342C0"/>
    <w:rsid w:val="00A3476B"/>
    <w:rsid w:val="00A3489D"/>
    <w:rsid w:val="00A34B36"/>
    <w:rsid w:val="00A34C36"/>
    <w:rsid w:val="00A34CC4"/>
    <w:rsid w:val="00A34CE4"/>
    <w:rsid w:val="00A34F2A"/>
    <w:rsid w:val="00A35506"/>
    <w:rsid w:val="00A35CD2"/>
    <w:rsid w:val="00A35FBB"/>
    <w:rsid w:val="00A36B6F"/>
    <w:rsid w:val="00A36C70"/>
    <w:rsid w:val="00A36CFA"/>
    <w:rsid w:val="00A36E14"/>
    <w:rsid w:val="00A36EA4"/>
    <w:rsid w:val="00A375A9"/>
    <w:rsid w:val="00A375B3"/>
    <w:rsid w:val="00A377DE"/>
    <w:rsid w:val="00A37C67"/>
    <w:rsid w:val="00A4020C"/>
    <w:rsid w:val="00A4025C"/>
    <w:rsid w:val="00A4025E"/>
    <w:rsid w:val="00A40297"/>
    <w:rsid w:val="00A405D0"/>
    <w:rsid w:val="00A40746"/>
    <w:rsid w:val="00A40983"/>
    <w:rsid w:val="00A40D31"/>
    <w:rsid w:val="00A40D97"/>
    <w:rsid w:val="00A40E4E"/>
    <w:rsid w:val="00A40ED9"/>
    <w:rsid w:val="00A410F7"/>
    <w:rsid w:val="00A41144"/>
    <w:rsid w:val="00A41189"/>
    <w:rsid w:val="00A41202"/>
    <w:rsid w:val="00A413F8"/>
    <w:rsid w:val="00A417DA"/>
    <w:rsid w:val="00A418F3"/>
    <w:rsid w:val="00A4196E"/>
    <w:rsid w:val="00A41B94"/>
    <w:rsid w:val="00A41CB0"/>
    <w:rsid w:val="00A41EDC"/>
    <w:rsid w:val="00A41FAA"/>
    <w:rsid w:val="00A42010"/>
    <w:rsid w:val="00A421AA"/>
    <w:rsid w:val="00A421ED"/>
    <w:rsid w:val="00A42DB6"/>
    <w:rsid w:val="00A43244"/>
    <w:rsid w:val="00A43B68"/>
    <w:rsid w:val="00A44226"/>
    <w:rsid w:val="00A4446A"/>
    <w:rsid w:val="00A44937"/>
    <w:rsid w:val="00A44BCB"/>
    <w:rsid w:val="00A44DA7"/>
    <w:rsid w:val="00A44DFB"/>
    <w:rsid w:val="00A4523A"/>
    <w:rsid w:val="00A456AB"/>
    <w:rsid w:val="00A45ACF"/>
    <w:rsid w:val="00A45FF6"/>
    <w:rsid w:val="00A4653E"/>
    <w:rsid w:val="00A46C61"/>
    <w:rsid w:val="00A46D72"/>
    <w:rsid w:val="00A46E6E"/>
    <w:rsid w:val="00A46F16"/>
    <w:rsid w:val="00A46F43"/>
    <w:rsid w:val="00A46F9C"/>
    <w:rsid w:val="00A47206"/>
    <w:rsid w:val="00A4729F"/>
    <w:rsid w:val="00A47498"/>
    <w:rsid w:val="00A47911"/>
    <w:rsid w:val="00A47C3B"/>
    <w:rsid w:val="00A50155"/>
    <w:rsid w:val="00A50602"/>
    <w:rsid w:val="00A50757"/>
    <w:rsid w:val="00A50993"/>
    <w:rsid w:val="00A50E55"/>
    <w:rsid w:val="00A5135B"/>
    <w:rsid w:val="00A5163F"/>
    <w:rsid w:val="00A51B99"/>
    <w:rsid w:val="00A51CB3"/>
    <w:rsid w:val="00A51EED"/>
    <w:rsid w:val="00A521AA"/>
    <w:rsid w:val="00A52879"/>
    <w:rsid w:val="00A52961"/>
    <w:rsid w:val="00A52E3B"/>
    <w:rsid w:val="00A54634"/>
    <w:rsid w:val="00A54674"/>
    <w:rsid w:val="00A54F3D"/>
    <w:rsid w:val="00A5520F"/>
    <w:rsid w:val="00A55931"/>
    <w:rsid w:val="00A55CFB"/>
    <w:rsid w:val="00A5635F"/>
    <w:rsid w:val="00A5654E"/>
    <w:rsid w:val="00A5748F"/>
    <w:rsid w:val="00A574ED"/>
    <w:rsid w:val="00A575A5"/>
    <w:rsid w:val="00A57700"/>
    <w:rsid w:val="00A57949"/>
    <w:rsid w:val="00A57C41"/>
    <w:rsid w:val="00A57EAD"/>
    <w:rsid w:val="00A6008E"/>
    <w:rsid w:val="00A6034C"/>
    <w:rsid w:val="00A60937"/>
    <w:rsid w:val="00A60F1B"/>
    <w:rsid w:val="00A60FC7"/>
    <w:rsid w:val="00A61430"/>
    <w:rsid w:val="00A61633"/>
    <w:rsid w:val="00A61E6B"/>
    <w:rsid w:val="00A6226B"/>
    <w:rsid w:val="00A623BE"/>
    <w:rsid w:val="00A63012"/>
    <w:rsid w:val="00A63558"/>
    <w:rsid w:val="00A63AC9"/>
    <w:rsid w:val="00A63CF1"/>
    <w:rsid w:val="00A63ED7"/>
    <w:rsid w:val="00A63EF0"/>
    <w:rsid w:val="00A64420"/>
    <w:rsid w:val="00A648E0"/>
    <w:rsid w:val="00A6493D"/>
    <w:rsid w:val="00A64DD3"/>
    <w:rsid w:val="00A650A4"/>
    <w:rsid w:val="00A65169"/>
    <w:rsid w:val="00A66358"/>
    <w:rsid w:val="00A66478"/>
    <w:rsid w:val="00A6658B"/>
    <w:rsid w:val="00A66881"/>
    <w:rsid w:val="00A66C55"/>
    <w:rsid w:val="00A66D1A"/>
    <w:rsid w:val="00A67286"/>
    <w:rsid w:val="00A67BDE"/>
    <w:rsid w:val="00A67E2F"/>
    <w:rsid w:val="00A7086B"/>
    <w:rsid w:val="00A70AD7"/>
    <w:rsid w:val="00A70ECC"/>
    <w:rsid w:val="00A70F8D"/>
    <w:rsid w:val="00A71936"/>
    <w:rsid w:val="00A71C5B"/>
    <w:rsid w:val="00A71ED9"/>
    <w:rsid w:val="00A723C5"/>
    <w:rsid w:val="00A7286F"/>
    <w:rsid w:val="00A73727"/>
    <w:rsid w:val="00A73804"/>
    <w:rsid w:val="00A739A3"/>
    <w:rsid w:val="00A73AAD"/>
    <w:rsid w:val="00A73BAB"/>
    <w:rsid w:val="00A743CF"/>
    <w:rsid w:val="00A74895"/>
    <w:rsid w:val="00A748E3"/>
    <w:rsid w:val="00A74D19"/>
    <w:rsid w:val="00A75093"/>
    <w:rsid w:val="00A7534A"/>
    <w:rsid w:val="00A7537F"/>
    <w:rsid w:val="00A75EC0"/>
    <w:rsid w:val="00A761CF"/>
    <w:rsid w:val="00A76204"/>
    <w:rsid w:val="00A76387"/>
    <w:rsid w:val="00A770EB"/>
    <w:rsid w:val="00A772F8"/>
    <w:rsid w:val="00A7789C"/>
    <w:rsid w:val="00A80152"/>
    <w:rsid w:val="00A80815"/>
    <w:rsid w:val="00A80C70"/>
    <w:rsid w:val="00A8158B"/>
    <w:rsid w:val="00A81AD9"/>
    <w:rsid w:val="00A81B45"/>
    <w:rsid w:val="00A81C41"/>
    <w:rsid w:val="00A81C7A"/>
    <w:rsid w:val="00A82411"/>
    <w:rsid w:val="00A82751"/>
    <w:rsid w:val="00A82955"/>
    <w:rsid w:val="00A82CC2"/>
    <w:rsid w:val="00A82CC6"/>
    <w:rsid w:val="00A82D35"/>
    <w:rsid w:val="00A82F65"/>
    <w:rsid w:val="00A8364F"/>
    <w:rsid w:val="00A83FA0"/>
    <w:rsid w:val="00A8446F"/>
    <w:rsid w:val="00A844B9"/>
    <w:rsid w:val="00A84AFE"/>
    <w:rsid w:val="00A854B7"/>
    <w:rsid w:val="00A85B43"/>
    <w:rsid w:val="00A867F8"/>
    <w:rsid w:val="00A86A0C"/>
    <w:rsid w:val="00A86E6E"/>
    <w:rsid w:val="00A87121"/>
    <w:rsid w:val="00A876F0"/>
    <w:rsid w:val="00A87887"/>
    <w:rsid w:val="00A87940"/>
    <w:rsid w:val="00A87C3D"/>
    <w:rsid w:val="00A87D57"/>
    <w:rsid w:val="00A90430"/>
    <w:rsid w:val="00A905F9"/>
    <w:rsid w:val="00A907FE"/>
    <w:rsid w:val="00A908AF"/>
    <w:rsid w:val="00A90A32"/>
    <w:rsid w:val="00A90F3B"/>
    <w:rsid w:val="00A914C1"/>
    <w:rsid w:val="00A9183E"/>
    <w:rsid w:val="00A91FA1"/>
    <w:rsid w:val="00A9200E"/>
    <w:rsid w:val="00A922C0"/>
    <w:rsid w:val="00A923DD"/>
    <w:rsid w:val="00A928DC"/>
    <w:rsid w:val="00A928F3"/>
    <w:rsid w:val="00A92A17"/>
    <w:rsid w:val="00A92EC5"/>
    <w:rsid w:val="00A93292"/>
    <w:rsid w:val="00A93576"/>
    <w:rsid w:val="00A93ABF"/>
    <w:rsid w:val="00A943CA"/>
    <w:rsid w:val="00A944FC"/>
    <w:rsid w:val="00A94525"/>
    <w:rsid w:val="00A946B4"/>
    <w:rsid w:val="00A947B2"/>
    <w:rsid w:val="00A9486C"/>
    <w:rsid w:val="00A94A58"/>
    <w:rsid w:val="00A95163"/>
    <w:rsid w:val="00A964FD"/>
    <w:rsid w:val="00A9670A"/>
    <w:rsid w:val="00A967CA"/>
    <w:rsid w:val="00A96984"/>
    <w:rsid w:val="00A96A54"/>
    <w:rsid w:val="00A96AB6"/>
    <w:rsid w:val="00A970B7"/>
    <w:rsid w:val="00A97329"/>
    <w:rsid w:val="00A97760"/>
    <w:rsid w:val="00A97770"/>
    <w:rsid w:val="00A97B0C"/>
    <w:rsid w:val="00A97D03"/>
    <w:rsid w:val="00A97D26"/>
    <w:rsid w:val="00AA03D9"/>
    <w:rsid w:val="00AA0955"/>
    <w:rsid w:val="00AA0C4E"/>
    <w:rsid w:val="00AA101E"/>
    <w:rsid w:val="00AA13C2"/>
    <w:rsid w:val="00AA14E7"/>
    <w:rsid w:val="00AA199E"/>
    <w:rsid w:val="00AA19CA"/>
    <w:rsid w:val="00AA1BF6"/>
    <w:rsid w:val="00AA1CE5"/>
    <w:rsid w:val="00AA1D04"/>
    <w:rsid w:val="00AA23AF"/>
    <w:rsid w:val="00AA261B"/>
    <w:rsid w:val="00AA26DA"/>
    <w:rsid w:val="00AA27D2"/>
    <w:rsid w:val="00AA297C"/>
    <w:rsid w:val="00AA2A58"/>
    <w:rsid w:val="00AA2BE4"/>
    <w:rsid w:val="00AA2CF7"/>
    <w:rsid w:val="00AA2EE9"/>
    <w:rsid w:val="00AA31C0"/>
    <w:rsid w:val="00AA3915"/>
    <w:rsid w:val="00AA3C95"/>
    <w:rsid w:val="00AA3DEC"/>
    <w:rsid w:val="00AA3E3F"/>
    <w:rsid w:val="00AA3F32"/>
    <w:rsid w:val="00AA4E02"/>
    <w:rsid w:val="00AA4E66"/>
    <w:rsid w:val="00AA520B"/>
    <w:rsid w:val="00AA5553"/>
    <w:rsid w:val="00AA5BC3"/>
    <w:rsid w:val="00AA5D7E"/>
    <w:rsid w:val="00AA5D97"/>
    <w:rsid w:val="00AA6114"/>
    <w:rsid w:val="00AA6259"/>
    <w:rsid w:val="00AA6702"/>
    <w:rsid w:val="00AA67CF"/>
    <w:rsid w:val="00AA781D"/>
    <w:rsid w:val="00AA7883"/>
    <w:rsid w:val="00AA78D1"/>
    <w:rsid w:val="00AA7AA8"/>
    <w:rsid w:val="00AA7D0C"/>
    <w:rsid w:val="00AB01B0"/>
    <w:rsid w:val="00AB0384"/>
    <w:rsid w:val="00AB082A"/>
    <w:rsid w:val="00AB097E"/>
    <w:rsid w:val="00AB0A32"/>
    <w:rsid w:val="00AB0DCE"/>
    <w:rsid w:val="00AB0E4C"/>
    <w:rsid w:val="00AB1317"/>
    <w:rsid w:val="00AB15BD"/>
    <w:rsid w:val="00AB16AD"/>
    <w:rsid w:val="00AB16D0"/>
    <w:rsid w:val="00AB172A"/>
    <w:rsid w:val="00AB1943"/>
    <w:rsid w:val="00AB1C60"/>
    <w:rsid w:val="00AB25A2"/>
    <w:rsid w:val="00AB2E72"/>
    <w:rsid w:val="00AB35F4"/>
    <w:rsid w:val="00AB36DD"/>
    <w:rsid w:val="00AB37CD"/>
    <w:rsid w:val="00AB3BBA"/>
    <w:rsid w:val="00AB3FBA"/>
    <w:rsid w:val="00AB4091"/>
    <w:rsid w:val="00AB40AF"/>
    <w:rsid w:val="00AB41BC"/>
    <w:rsid w:val="00AB43C2"/>
    <w:rsid w:val="00AB4408"/>
    <w:rsid w:val="00AB447B"/>
    <w:rsid w:val="00AB4845"/>
    <w:rsid w:val="00AB48D3"/>
    <w:rsid w:val="00AB4A65"/>
    <w:rsid w:val="00AB4BCE"/>
    <w:rsid w:val="00AB50AF"/>
    <w:rsid w:val="00AB5157"/>
    <w:rsid w:val="00AB51A6"/>
    <w:rsid w:val="00AB5233"/>
    <w:rsid w:val="00AB5329"/>
    <w:rsid w:val="00AB5469"/>
    <w:rsid w:val="00AB561B"/>
    <w:rsid w:val="00AB5624"/>
    <w:rsid w:val="00AB585D"/>
    <w:rsid w:val="00AB58F4"/>
    <w:rsid w:val="00AB5D13"/>
    <w:rsid w:val="00AB6209"/>
    <w:rsid w:val="00AB6291"/>
    <w:rsid w:val="00AB63DE"/>
    <w:rsid w:val="00AB668E"/>
    <w:rsid w:val="00AB66D1"/>
    <w:rsid w:val="00AB6A8E"/>
    <w:rsid w:val="00AB6F99"/>
    <w:rsid w:val="00AB7256"/>
    <w:rsid w:val="00AB7291"/>
    <w:rsid w:val="00AB7451"/>
    <w:rsid w:val="00AB74A7"/>
    <w:rsid w:val="00AB7AD9"/>
    <w:rsid w:val="00AB7B5A"/>
    <w:rsid w:val="00AB7E3B"/>
    <w:rsid w:val="00AC145F"/>
    <w:rsid w:val="00AC149F"/>
    <w:rsid w:val="00AC14E6"/>
    <w:rsid w:val="00AC1963"/>
    <w:rsid w:val="00AC196B"/>
    <w:rsid w:val="00AC1CE0"/>
    <w:rsid w:val="00AC1F87"/>
    <w:rsid w:val="00AC1FC5"/>
    <w:rsid w:val="00AC2585"/>
    <w:rsid w:val="00AC28A4"/>
    <w:rsid w:val="00AC2D90"/>
    <w:rsid w:val="00AC2EEA"/>
    <w:rsid w:val="00AC2F02"/>
    <w:rsid w:val="00AC33C8"/>
    <w:rsid w:val="00AC3C2F"/>
    <w:rsid w:val="00AC3C80"/>
    <w:rsid w:val="00AC3FE9"/>
    <w:rsid w:val="00AC403F"/>
    <w:rsid w:val="00AC4260"/>
    <w:rsid w:val="00AC42A6"/>
    <w:rsid w:val="00AC4615"/>
    <w:rsid w:val="00AC4C9E"/>
    <w:rsid w:val="00AC59DA"/>
    <w:rsid w:val="00AC5AF9"/>
    <w:rsid w:val="00AC5C4D"/>
    <w:rsid w:val="00AC5D42"/>
    <w:rsid w:val="00AC6754"/>
    <w:rsid w:val="00AC6B36"/>
    <w:rsid w:val="00AC6C52"/>
    <w:rsid w:val="00AC6CB7"/>
    <w:rsid w:val="00AC704C"/>
    <w:rsid w:val="00AC75B0"/>
    <w:rsid w:val="00AC768B"/>
    <w:rsid w:val="00AD0060"/>
    <w:rsid w:val="00AD0292"/>
    <w:rsid w:val="00AD0667"/>
    <w:rsid w:val="00AD09D3"/>
    <w:rsid w:val="00AD0B18"/>
    <w:rsid w:val="00AD0C50"/>
    <w:rsid w:val="00AD0EC7"/>
    <w:rsid w:val="00AD0EFD"/>
    <w:rsid w:val="00AD11E1"/>
    <w:rsid w:val="00AD1269"/>
    <w:rsid w:val="00AD1361"/>
    <w:rsid w:val="00AD174C"/>
    <w:rsid w:val="00AD1DF8"/>
    <w:rsid w:val="00AD1EBF"/>
    <w:rsid w:val="00AD1EF2"/>
    <w:rsid w:val="00AD29FB"/>
    <w:rsid w:val="00AD2A01"/>
    <w:rsid w:val="00AD2C8B"/>
    <w:rsid w:val="00AD3101"/>
    <w:rsid w:val="00AD3353"/>
    <w:rsid w:val="00AD3530"/>
    <w:rsid w:val="00AD3842"/>
    <w:rsid w:val="00AD395C"/>
    <w:rsid w:val="00AD3A4C"/>
    <w:rsid w:val="00AD3A53"/>
    <w:rsid w:val="00AD4BFD"/>
    <w:rsid w:val="00AD4C87"/>
    <w:rsid w:val="00AD4CCF"/>
    <w:rsid w:val="00AD4DE9"/>
    <w:rsid w:val="00AD5340"/>
    <w:rsid w:val="00AD553C"/>
    <w:rsid w:val="00AD5960"/>
    <w:rsid w:val="00AD5B32"/>
    <w:rsid w:val="00AD5B37"/>
    <w:rsid w:val="00AD5DC5"/>
    <w:rsid w:val="00AD6B44"/>
    <w:rsid w:val="00AD74CB"/>
    <w:rsid w:val="00AD7540"/>
    <w:rsid w:val="00AD78B2"/>
    <w:rsid w:val="00AD7D0D"/>
    <w:rsid w:val="00AD7E85"/>
    <w:rsid w:val="00AD7F84"/>
    <w:rsid w:val="00AE020B"/>
    <w:rsid w:val="00AE0CFF"/>
    <w:rsid w:val="00AE124F"/>
    <w:rsid w:val="00AE1554"/>
    <w:rsid w:val="00AE15EF"/>
    <w:rsid w:val="00AE1F3D"/>
    <w:rsid w:val="00AE25A4"/>
    <w:rsid w:val="00AE26CF"/>
    <w:rsid w:val="00AE28E7"/>
    <w:rsid w:val="00AE3620"/>
    <w:rsid w:val="00AE36FA"/>
    <w:rsid w:val="00AE3A38"/>
    <w:rsid w:val="00AE3ADA"/>
    <w:rsid w:val="00AE3B67"/>
    <w:rsid w:val="00AE3C09"/>
    <w:rsid w:val="00AE3D31"/>
    <w:rsid w:val="00AE3ED3"/>
    <w:rsid w:val="00AE3F1D"/>
    <w:rsid w:val="00AE3F71"/>
    <w:rsid w:val="00AE403F"/>
    <w:rsid w:val="00AE42D2"/>
    <w:rsid w:val="00AE4491"/>
    <w:rsid w:val="00AE4B93"/>
    <w:rsid w:val="00AE4F45"/>
    <w:rsid w:val="00AE55E5"/>
    <w:rsid w:val="00AE58D9"/>
    <w:rsid w:val="00AE617F"/>
    <w:rsid w:val="00AE66BA"/>
    <w:rsid w:val="00AE6BE7"/>
    <w:rsid w:val="00AE6D2F"/>
    <w:rsid w:val="00AE6F15"/>
    <w:rsid w:val="00AE7452"/>
    <w:rsid w:val="00AE7833"/>
    <w:rsid w:val="00AE7852"/>
    <w:rsid w:val="00AE7987"/>
    <w:rsid w:val="00AE7FAF"/>
    <w:rsid w:val="00AF04AD"/>
    <w:rsid w:val="00AF08F5"/>
    <w:rsid w:val="00AF0BC3"/>
    <w:rsid w:val="00AF150D"/>
    <w:rsid w:val="00AF1651"/>
    <w:rsid w:val="00AF1807"/>
    <w:rsid w:val="00AF1BDB"/>
    <w:rsid w:val="00AF1F1F"/>
    <w:rsid w:val="00AF2325"/>
    <w:rsid w:val="00AF23C8"/>
    <w:rsid w:val="00AF2846"/>
    <w:rsid w:val="00AF29B7"/>
    <w:rsid w:val="00AF2BF7"/>
    <w:rsid w:val="00AF2F4B"/>
    <w:rsid w:val="00AF327E"/>
    <w:rsid w:val="00AF3339"/>
    <w:rsid w:val="00AF3404"/>
    <w:rsid w:val="00AF3452"/>
    <w:rsid w:val="00AF3D6A"/>
    <w:rsid w:val="00AF3E13"/>
    <w:rsid w:val="00AF3E57"/>
    <w:rsid w:val="00AF4137"/>
    <w:rsid w:val="00AF46CE"/>
    <w:rsid w:val="00AF4E77"/>
    <w:rsid w:val="00AF4FCF"/>
    <w:rsid w:val="00AF5475"/>
    <w:rsid w:val="00AF62A0"/>
    <w:rsid w:val="00AF65DF"/>
    <w:rsid w:val="00AF6678"/>
    <w:rsid w:val="00AF6A43"/>
    <w:rsid w:val="00AF6C09"/>
    <w:rsid w:val="00AF7227"/>
    <w:rsid w:val="00AF76D1"/>
    <w:rsid w:val="00AF7770"/>
    <w:rsid w:val="00AF798C"/>
    <w:rsid w:val="00AF7AD4"/>
    <w:rsid w:val="00B00389"/>
    <w:rsid w:val="00B003EA"/>
    <w:rsid w:val="00B00A77"/>
    <w:rsid w:val="00B00F64"/>
    <w:rsid w:val="00B011CA"/>
    <w:rsid w:val="00B0143D"/>
    <w:rsid w:val="00B01A05"/>
    <w:rsid w:val="00B01E66"/>
    <w:rsid w:val="00B024D0"/>
    <w:rsid w:val="00B02739"/>
    <w:rsid w:val="00B02F82"/>
    <w:rsid w:val="00B03DCB"/>
    <w:rsid w:val="00B0415D"/>
    <w:rsid w:val="00B04974"/>
    <w:rsid w:val="00B051B3"/>
    <w:rsid w:val="00B053C0"/>
    <w:rsid w:val="00B053EE"/>
    <w:rsid w:val="00B05709"/>
    <w:rsid w:val="00B059A6"/>
    <w:rsid w:val="00B05B2A"/>
    <w:rsid w:val="00B05F8A"/>
    <w:rsid w:val="00B0605E"/>
    <w:rsid w:val="00B060FA"/>
    <w:rsid w:val="00B061AE"/>
    <w:rsid w:val="00B061B1"/>
    <w:rsid w:val="00B061D7"/>
    <w:rsid w:val="00B06324"/>
    <w:rsid w:val="00B063BD"/>
    <w:rsid w:val="00B064A1"/>
    <w:rsid w:val="00B06764"/>
    <w:rsid w:val="00B069FF"/>
    <w:rsid w:val="00B06A59"/>
    <w:rsid w:val="00B076FC"/>
    <w:rsid w:val="00B079E1"/>
    <w:rsid w:val="00B101D9"/>
    <w:rsid w:val="00B1037E"/>
    <w:rsid w:val="00B10939"/>
    <w:rsid w:val="00B10B65"/>
    <w:rsid w:val="00B10DB8"/>
    <w:rsid w:val="00B10E0A"/>
    <w:rsid w:val="00B10F50"/>
    <w:rsid w:val="00B11155"/>
    <w:rsid w:val="00B113B0"/>
    <w:rsid w:val="00B115E2"/>
    <w:rsid w:val="00B11669"/>
    <w:rsid w:val="00B1181C"/>
    <w:rsid w:val="00B1214E"/>
    <w:rsid w:val="00B12221"/>
    <w:rsid w:val="00B126F9"/>
    <w:rsid w:val="00B12715"/>
    <w:rsid w:val="00B12873"/>
    <w:rsid w:val="00B133C7"/>
    <w:rsid w:val="00B1348E"/>
    <w:rsid w:val="00B136C3"/>
    <w:rsid w:val="00B13AFC"/>
    <w:rsid w:val="00B13BFB"/>
    <w:rsid w:val="00B13C17"/>
    <w:rsid w:val="00B14026"/>
    <w:rsid w:val="00B141B7"/>
    <w:rsid w:val="00B142E4"/>
    <w:rsid w:val="00B14645"/>
    <w:rsid w:val="00B14B89"/>
    <w:rsid w:val="00B15092"/>
    <w:rsid w:val="00B15252"/>
    <w:rsid w:val="00B15781"/>
    <w:rsid w:val="00B15E7D"/>
    <w:rsid w:val="00B16219"/>
    <w:rsid w:val="00B16395"/>
    <w:rsid w:val="00B16438"/>
    <w:rsid w:val="00B164D5"/>
    <w:rsid w:val="00B1661D"/>
    <w:rsid w:val="00B166E4"/>
    <w:rsid w:val="00B169C6"/>
    <w:rsid w:val="00B16C97"/>
    <w:rsid w:val="00B1714A"/>
    <w:rsid w:val="00B1731D"/>
    <w:rsid w:val="00B17363"/>
    <w:rsid w:val="00B17AA1"/>
    <w:rsid w:val="00B20000"/>
    <w:rsid w:val="00B20283"/>
    <w:rsid w:val="00B20371"/>
    <w:rsid w:val="00B207FD"/>
    <w:rsid w:val="00B209F8"/>
    <w:rsid w:val="00B20B34"/>
    <w:rsid w:val="00B20E73"/>
    <w:rsid w:val="00B20E88"/>
    <w:rsid w:val="00B20EF4"/>
    <w:rsid w:val="00B21171"/>
    <w:rsid w:val="00B215E9"/>
    <w:rsid w:val="00B215F7"/>
    <w:rsid w:val="00B21801"/>
    <w:rsid w:val="00B21813"/>
    <w:rsid w:val="00B21845"/>
    <w:rsid w:val="00B220F3"/>
    <w:rsid w:val="00B22244"/>
    <w:rsid w:val="00B2245E"/>
    <w:rsid w:val="00B226A5"/>
    <w:rsid w:val="00B228B9"/>
    <w:rsid w:val="00B229C4"/>
    <w:rsid w:val="00B22B39"/>
    <w:rsid w:val="00B236E9"/>
    <w:rsid w:val="00B2392F"/>
    <w:rsid w:val="00B23A43"/>
    <w:rsid w:val="00B23B63"/>
    <w:rsid w:val="00B23C28"/>
    <w:rsid w:val="00B23ECB"/>
    <w:rsid w:val="00B2423A"/>
    <w:rsid w:val="00B2437D"/>
    <w:rsid w:val="00B24B27"/>
    <w:rsid w:val="00B24C3A"/>
    <w:rsid w:val="00B24C6D"/>
    <w:rsid w:val="00B24C7E"/>
    <w:rsid w:val="00B2507A"/>
    <w:rsid w:val="00B25577"/>
    <w:rsid w:val="00B2559A"/>
    <w:rsid w:val="00B25600"/>
    <w:rsid w:val="00B25C3F"/>
    <w:rsid w:val="00B25F60"/>
    <w:rsid w:val="00B25FC7"/>
    <w:rsid w:val="00B2646C"/>
    <w:rsid w:val="00B2649E"/>
    <w:rsid w:val="00B26783"/>
    <w:rsid w:val="00B267BF"/>
    <w:rsid w:val="00B26825"/>
    <w:rsid w:val="00B26B84"/>
    <w:rsid w:val="00B26BD8"/>
    <w:rsid w:val="00B26FA2"/>
    <w:rsid w:val="00B27524"/>
    <w:rsid w:val="00B3006A"/>
    <w:rsid w:val="00B307C3"/>
    <w:rsid w:val="00B30A42"/>
    <w:rsid w:val="00B30C58"/>
    <w:rsid w:val="00B3114E"/>
    <w:rsid w:val="00B312AC"/>
    <w:rsid w:val="00B31639"/>
    <w:rsid w:val="00B31799"/>
    <w:rsid w:val="00B31F0A"/>
    <w:rsid w:val="00B320F8"/>
    <w:rsid w:val="00B326F4"/>
    <w:rsid w:val="00B33036"/>
    <w:rsid w:val="00B3335F"/>
    <w:rsid w:val="00B334B3"/>
    <w:rsid w:val="00B33A01"/>
    <w:rsid w:val="00B33FCB"/>
    <w:rsid w:val="00B34CCE"/>
    <w:rsid w:val="00B34DC4"/>
    <w:rsid w:val="00B3517E"/>
    <w:rsid w:val="00B35A14"/>
    <w:rsid w:val="00B35A6D"/>
    <w:rsid w:val="00B35F09"/>
    <w:rsid w:val="00B3628D"/>
    <w:rsid w:val="00B36505"/>
    <w:rsid w:val="00B367B7"/>
    <w:rsid w:val="00B36DDA"/>
    <w:rsid w:val="00B36DF0"/>
    <w:rsid w:val="00B36F28"/>
    <w:rsid w:val="00B37150"/>
    <w:rsid w:val="00B376B1"/>
    <w:rsid w:val="00B37A70"/>
    <w:rsid w:val="00B37D35"/>
    <w:rsid w:val="00B37D65"/>
    <w:rsid w:val="00B37D9A"/>
    <w:rsid w:val="00B40630"/>
    <w:rsid w:val="00B4065B"/>
    <w:rsid w:val="00B40688"/>
    <w:rsid w:val="00B40799"/>
    <w:rsid w:val="00B40D9E"/>
    <w:rsid w:val="00B411C2"/>
    <w:rsid w:val="00B41B70"/>
    <w:rsid w:val="00B41C06"/>
    <w:rsid w:val="00B41E25"/>
    <w:rsid w:val="00B41F9A"/>
    <w:rsid w:val="00B423CB"/>
    <w:rsid w:val="00B42A92"/>
    <w:rsid w:val="00B42CD1"/>
    <w:rsid w:val="00B42CF1"/>
    <w:rsid w:val="00B42E55"/>
    <w:rsid w:val="00B430FE"/>
    <w:rsid w:val="00B43620"/>
    <w:rsid w:val="00B43743"/>
    <w:rsid w:val="00B43835"/>
    <w:rsid w:val="00B43C34"/>
    <w:rsid w:val="00B43C7D"/>
    <w:rsid w:val="00B43E05"/>
    <w:rsid w:val="00B44080"/>
    <w:rsid w:val="00B44248"/>
    <w:rsid w:val="00B44327"/>
    <w:rsid w:val="00B44963"/>
    <w:rsid w:val="00B44B4F"/>
    <w:rsid w:val="00B44D25"/>
    <w:rsid w:val="00B44F37"/>
    <w:rsid w:val="00B4502D"/>
    <w:rsid w:val="00B45EB0"/>
    <w:rsid w:val="00B45F75"/>
    <w:rsid w:val="00B4601E"/>
    <w:rsid w:val="00B4635F"/>
    <w:rsid w:val="00B467E9"/>
    <w:rsid w:val="00B46D85"/>
    <w:rsid w:val="00B46DCF"/>
    <w:rsid w:val="00B46F67"/>
    <w:rsid w:val="00B47245"/>
    <w:rsid w:val="00B47F84"/>
    <w:rsid w:val="00B50031"/>
    <w:rsid w:val="00B508DE"/>
    <w:rsid w:val="00B50E59"/>
    <w:rsid w:val="00B50FBD"/>
    <w:rsid w:val="00B5122A"/>
    <w:rsid w:val="00B51C5D"/>
    <w:rsid w:val="00B51F95"/>
    <w:rsid w:val="00B523D2"/>
    <w:rsid w:val="00B52690"/>
    <w:rsid w:val="00B527A7"/>
    <w:rsid w:val="00B52975"/>
    <w:rsid w:val="00B52F03"/>
    <w:rsid w:val="00B531C6"/>
    <w:rsid w:val="00B5344B"/>
    <w:rsid w:val="00B537ED"/>
    <w:rsid w:val="00B53D05"/>
    <w:rsid w:val="00B5444B"/>
    <w:rsid w:val="00B5459F"/>
    <w:rsid w:val="00B545C4"/>
    <w:rsid w:val="00B545D3"/>
    <w:rsid w:val="00B5496A"/>
    <w:rsid w:val="00B54D7D"/>
    <w:rsid w:val="00B54FE4"/>
    <w:rsid w:val="00B55999"/>
    <w:rsid w:val="00B55E20"/>
    <w:rsid w:val="00B56343"/>
    <w:rsid w:val="00B57645"/>
    <w:rsid w:val="00B5773A"/>
    <w:rsid w:val="00B57779"/>
    <w:rsid w:val="00B578BB"/>
    <w:rsid w:val="00B57AD7"/>
    <w:rsid w:val="00B57F26"/>
    <w:rsid w:val="00B601B7"/>
    <w:rsid w:val="00B60224"/>
    <w:rsid w:val="00B60619"/>
    <w:rsid w:val="00B609A9"/>
    <w:rsid w:val="00B6145D"/>
    <w:rsid w:val="00B61F59"/>
    <w:rsid w:val="00B620A9"/>
    <w:rsid w:val="00B62172"/>
    <w:rsid w:val="00B62593"/>
    <w:rsid w:val="00B62A70"/>
    <w:rsid w:val="00B62A9F"/>
    <w:rsid w:val="00B62B40"/>
    <w:rsid w:val="00B62CDD"/>
    <w:rsid w:val="00B63525"/>
    <w:rsid w:val="00B63A25"/>
    <w:rsid w:val="00B63ACA"/>
    <w:rsid w:val="00B63F0C"/>
    <w:rsid w:val="00B643C0"/>
    <w:rsid w:val="00B6442C"/>
    <w:rsid w:val="00B64731"/>
    <w:rsid w:val="00B64887"/>
    <w:rsid w:val="00B64B6C"/>
    <w:rsid w:val="00B64E82"/>
    <w:rsid w:val="00B650F7"/>
    <w:rsid w:val="00B65115"/>
    <w:rsid w:val="00B6513A"/>
    <w:rsid w:val="00B654CF"/>
    <w:rsid w:val="00B65627"/>
    <w:rsid w:val="00B65728"/>
    <w:rsid w:val="00B65747"/>
    <w:rsid w:val="00B65942"/>
    <w:rsid w:val="00B65BB7"/>
    <w:rsid w:val="00B65CBB"/>
    <w:rsid w:val="00B65F88"/>
    <w:rsid w:val="00B66294"/>
    <w:rsid w:val="00B66BEA"/>
    <w:rsid w:val="00B66C6A"/>
    <w:rsid w:val="00B66D98"/>
    <w:rsid w:val="00B672DD"/>
    <w:rsid w:val="00B6748B"/>
    <w:rsid w:val="00B67608"/>
    <w:rsid w:val="00B67AD4"/>
    <w:rsid w:val="00B67B57"/>
    <w:rsid w:val="00B70118"/>
    <w:rsid w:val="00B7089E"/>
    <w:rsid w:val="00B708C0"/>
    <w:rsid w:val="00B7093F"/>
    <w:rsid w:val="00B70FA5"/>
    <w:rsid w:val="00B70FFD"/>
    <w:rsid w:val="00B715B1"/>
    <w:rsid w:val="00B72054"/>
    <w:rsid w:val="00B720FE"/>
    <w:rsid w:val="00B728E0"/>
    <w:rsid w:val="00B7290A"/>
    <w:rsid w:val="00B731B2"/>
    <w:rsid w:val="00B73242"/>
    <w:rsid w:val="00B73306"/>
    <w:rsid w:val="00B737AD"/>
    <w:rsid w:val="00B737FA"/>
    <w:rsid w:val="00B738A4"/>
    <w:rsid w:val="00B73B0D"/>
    <w:rsid w:val="00B73FE5"/>
    <w:rsid w:val="00B740FB"/>
    <w:rsid w:val="00B744D0"/>
    <w:rsid w:val="00B74F1C"/>
    <w:rsid w:val="00B7561B"/>
    <w:rsid w:val="00B756C0"/>
    <w:rsid w:val="00B75ABD"/>
    <w:rsid w:val="00B75B7D"/>
    <w:rsid w:val="00B75C83"/>
    <w:rsid w:val="00B761D4"/>
    <w:rsid w:val="00B7660F"/>
    <w:rsid w:val="00B7699D"/>
    <w:rsid w:val="00B76A58"/>
    <w:rsid w:val="00B76B9F"/>
    <w:rsid w:val="00B7760F"/>
    <w:rsid w:val="00B77710"/>
    <w:rsid w:val="00B77BA1"/>
    <w:rsid w:val="00B77BB5"/>
    <w:rsid w:val="00B80F43"/>
    <w:rsid w:val="00B8121C"/>
    <w:rsid w:val="00B8137E"/>
    <w:rsid w:val="00B816CA"/>
    <w:rsid w:val="00B81966"/>
    <w:rsid w:val="00B8196B"/>
    <w:rsid w:val="00B81E6C"/>
    <w:rsid w:val="00B8223B"/>
    <w:rsid w:val="00B82AFD"/>
    <w:rsid w:val="00B83181"/>
    <w:rsid w:val="00B8355F"/>
    <w:rsid w:val="00B838F8"/>
    <w:rsid w:val="00B839CB"/>
    <w:rsid w:val="00B83A8C"/>
    <w:rsid w:val="00B83AEA"/>
    <w:rsid w:val="00B83CC0"/>
    <w:rsid w:val="00B83E10"/>
    <w:rsid w:val="00B83FF2"/>
    <w:rsid w:val="00B840BF"/>
    <w:rsid w:val="00B8422C"/>
    <w:rsid w:val="00B847CF"/>
    <w:rsid w:val="00B849BA"/>
    <w:rsid w:val="00B84A00"/>
    <w:rsid w:val="00B8502C"/>
    <w:rsid w:val="00B8511D"/>
    <w:rsid w:val="00B852D2"/>
    <w:rsid w:val="00B858FB"/>
    <w:rsid w:val="00B8597D"/>
    <w:rsid w:val="00B859A1"/>
    <w:rsid w:val="00B85AD4"/>
    <w:rsid w:val="00B85FAA"/>
    <w:rsid w:val="00B8671A"/>
    <w:rsid w:val="00B873DF"/>
    <w:rsid w:val="00B875E8"/>
    <w:rsid w:val="00B87918"/>
    <w:rsid w:val="00B9021E"/>
    <w:rsid w:val="00B9076F"/>
    <w:rsid w:val="00B907CC"/>
    <w:rsid w:val="00B9081F"/>
    <w:rsid w:val="00B90ABF"/>
    <w:rsid w:val="00B90F26"/>
    <w:rsid w:val="00B90F4B"/>
    <w:rsid w:val="00B91012"/>
    <w:rsid w:val="00B912A2"/>
    <w:rsid w:val="00B915AB"/>
    <w:rsid w:val="00B917BC"/>
    <w:rsid w:val="00B926E0"/>
    <w:rsid w:val="00B92783"/>
    <w:rsid w:val="00B92F88"/>
    <w:rsid w:val="00B93497"/>
    <w:rsid w:val="00B93EE0"/>
    <w:rsid w:val="00B93F10"/>
    <w:rsid w:val="00B946F7"/>
    <w:rsid w:val="00B94782"/>
    <w:rsid w:val="00B94C85"/>
    <w:rsid w:val="00B954D6"/>
    <w:rsid w:val="00B95538"/>
    <w:rsid w:val="00B9579A"/>
    <w:rsid w:val="00B95879"/>
    <w:rsid w:val="00B95B4E"/>
    <w:rsid w:val="00B95C70"/>
    <w:rsid w:val="00B95D99"/>
    <w:rsid w:val="00B95E62"/>
    <w:rsid w:val="00B9618B"/>
    <w:rsid w:val="00B9646E"/>
    <w:rsid w:val="00B96729"/>
    <w:rsid w:val="00B96B22"/>
    <w:rsid w:val="00B96BEC"/>
    <w:rsid w:val="00B97050"/>
    <w:rsid w:val="00B97E79"/>
    <w:rsid w:val="00BA02E3"/>
    <w:rsid w:val="00BA0430"/>
    <w:rsid w:val="00BA0483"/>
    <w:rsid w:val="00BA093F"/>
    <w:rsid w:val="00BA0A83"/>
    <w:rsid w:val="00BA1097"/>
    <w:rsid w:val="00BA11DF"/>
    <w:rsid w:val="00BA1285"/>
    <w:rsid w:val="00BA1319"/>
    <w:rsid w:val="00BA14BB"/>
    <w:rsid w:val="00BA1582"/>
    <w:rsid w:val="00BA179C"/>
    <w:rsid w:val="00BA1BC3"/>
    <w:rsid w:val="00BA1BE4"/>
    <w:rsid w:val="00BA1F4E"/>
    <w:rsid w:val="00BA211D"/>
    <w:rsid w:val="00BA237A"/>
    <w:rsid w:val="00BA2727"/>
    <w:rsid w:val="00BA2B4A"/>
    <w:rsid w:val="00BA2CBD"/>
    <w:rsid w:val="00BA2D33"/>
    <w:rsid w:val="00BA2DA7"/>
    <w:rsid w:val="00BA34BC"/>
    <w:rsid w:val="00BA396B"/>
    <w:rsid w:val="00BA3A2A"/>
    <w:rsid w:val="00BA3BFE"/>
    <w:rsid w:val="00BA3D73"/>
    <w:rsid w:val="00BA3FA3"/>
    <w:rsid w:val="00BA408E"/>
    <w:rsid w:val="00BA4238"/>
    <w:rsid w:val="00BA4A2C"/>
    <w:rsid w:val="00BA5D30"/>
    <w:rsid w:val="00BA5DA1"/>
    <w:rsid w:val="00BA6307"/>
    <w:rsid w:val="00BA631C"/>
    <w:rsid w:val="00BA67BC"/>
    <w:rsid w:val="00BA6AA9"/>
    <w:rsid w:val="00BA6E26"/>
    <w:rsid w:val="00BA75B4"/>
    <w:rsid w:val="00BA7AED"/>
    <w:rsid w:val="00BA7BC7"/>
    <w:rsid w:val="00BA7FBF"/>
    <w:rsid w:val="00BA7FE3"/>
    <w:rsid w:val="00BB002A"/>
    <w:rsid w:val="00BB0162"/>
    <w:rsid w:val="00BB0336"/>
    <w:rsid w:val="00BB060D"/>
    <w:rsid w:val="00BB080A"/>
    <w:rsid w:val="00BB09F1"/>
    <w:rsid w:val="00BB150F"/>
    <w:rsid w:val="00BB18AD"/>
    <w:rsid w:val="00BB18BD"/>
    <w:rsid w:val="00BB1955"/>
    <w:rsid w:val="00BB195D"/>
    <w:rsid w:val="00BB1F0D"/>
    <w:rsid w:val="00BB2019"/>
    <w:rsid w:val="00BB20BE"/>
    <w:rsid w:val="00BB2674"/>
    <w:rsid w:val="00BB2901"/>
    <w:rsid w:val="00BB2966"/>
    <w:rsid w:val="00BB2B3F"/>
    <w:rsid w:val="00BB304F"/>
    <w:rsid w:val="00BB3231"/>
    <w:rsid w:val="00BB33E9"/>
    <w:rsid w:val="00BB3478"/>
    <w:rsid w:val="00BB389B"/>
    <w:rsid w:val="00BB38BE"/>
    <w:rsid w:val="00BB4021"/>
    <w:rsid w:val="00BB418F"/>
    <w:rsid w:val="00BB41BB"/>
    <w:rsid w:val="00BB4897"/>
    <w:rsid w:val="00BB4AED"/>
    <w:rsid w:val="00BB4F90"/>
    <w:rsid w:val="00BB555F"/>
    <w:rsid w:val="00BB5789"/>
    <w:rsid w:val="00BB58D2"/>
    <w:rsid w:val="00BB5B93"/>
    <w:rsid w:val="00BB5E85"/>
    <w:rsid w:val="00BB6062"/>
    <w:rsid w:val="00BB6271"/>
    <w:rsid w:val="00BB6489"/>
    <w:rsid w:val="00BB6596"/>
    <w:rsid w:val="00BB6D22"/>
    <w:rsid w:val="00BB6ED9"/>
    <w:rsid w:val="00BB7237"/>
    <w:rsid w:val="00BB7B5B"/>
    <w:rsid w:val="00BB7E8A"/>
    <w:rsid w:val="00BB7FD7"/>
    <w:rsid w:val="00BC0220"/>
    <w:rsid w:val="00BC0305"/>
    <w:rsid w:val="00BC03F4"/>
    <w:rsid w:val="00BC0417"/>
    <w:rsid w:val="00BC05F3"/>
    <w:rsid w:val="00BC0ACB"/>
    <w:rsid w:val="00BC0CCE"/>
    <w:rsid w:val="00BC0D28"/>
    <w:rsid w:val="00BC11B3"/>
    <w:rsid w:val="00BC13D0"/>
    <w:rsid w:val="00BC149F"/>
    <w:rsid w:val="00BC1524"/>
    <w:rsid w:val="00BC1BAC"/>
    <w:rsid w:val="00BC1CCC"/>
    <w:rsid w:val="00BC1D0F"/>
    <w:rsid w:val="00BC1DC4"/>
    <w:rsid w:val="00BC1DF2"/>
    <w:rsid w:val="00BC22EE"/>
    <w:rsid w:val="00BC27A7"/>
    <w:rsid w:val="00BC29AF"/>
    <w:rsid w:val="00BC3645"/>
    <w:rsid w:val="00BC3648"/>
    <w:rsid w:val="00BC3C56"/>
    <w:rsid w:val="00BC46FA"/>
    <w:rsid w:val="00BC47EE"/>
    <w:rsid w:val="00BC55DB"/>
    <w:rsid w:val="00BC5C01"/>
    <w:rsid w:val="00BC5DA9"/>
    <w:rsid w:val="00BC5F20"/>
    <w:rsid w:val="00BC680E"/>
    <w:rsid w:val="00BC6895"/>
    <w:rsid w:val="00BC6C8A"/>
    <w:rsid w:val="00BC7248"/>
    <w:rsid w:val="00BC7B91"/>
    <w:rsid w:val="00BD0592"/>
    <w:rsid w:val="00BD074A"/>
    <w:rsid w:val="00BD0A41"/>
    <w:rsid w:val="00BD0E08"/>
    <w:rsid w:val="00BD0EF0"/>
    <w:rsid w:val="00BD1CF1"/>
    <w:rsid w:val="00BD1D4B"/>
    <w:rsid w:val="00BD1D5D"/>
    <w:rsid w:val="00BD1FB6"/>
    <w:rsid w:val="00BD2015"/>
    <w:rsid w:val="00BD2198"/>
    <w:rsid w:val="00BD29EC"/>
    <w:rsid w:val="00BD321C"/>
    <w:rsid w:val="00BD3440"/>
    <w:rsid w:val="00BD36EF"/>
    <w:rsid w:val="00BD38E2"/>
    <w:rsid w:val="00BD3A97"/>
    <w:rsid w:val="00BD41CD"/>
    <w:rsid w:val="00BD461C"/>
    <w:rsid w:val="00BD4664"/>
    <w:rsid w:val="00BD52DC"/>
    <w:rsid w:val="00BD56AE"/>
    <w:rsid w:val="00BD5807"/>
    <w:rsid w:val="00BD587C"/>
    <w:rsid w:val="00BD5919"/>
    <w:rsid w:val="00BD59D1"/>
    <w:rsid w:val="00BD605E"/>
    <w:rsid w:val="00BD6521"/>
    <w:rsid w:val="00BD6F05"/>
    <w:rsid w:val="00BD6F21"/>
    <w:rsid w:val="00BD72B0"/>
    <w:rsid w:val="00BD72C4"/>
    <w:rsid w:val="00BD7DC8"/>
    <w:rsid w:val="00BD7E98"/>
    <w:rsid w:val="00BD7EEA"/>
    <w:rsid w:val="00BE024A"/>
    <w:rsid w:val="00BE0347"/>
    <w:rsid w:val="00BE072D"/>
    <w:rsid w:val="00BE0B6D"/>
    <w:rsid w:val="00BE0D4B"/>
    <w:rsid w:val="00BE108E"/>
    <w:rsid w:val="00BE1723"/>
    <w:rsid w:val="00BE18AB"/>
    <w:rsid w:val="00BE18CC"/>
    <w:rsid w:val="00BE1ACC"/>
    <w:rsid w:val="00BE1B20"/>
    <w:rsid w:val="00BE1B80"/>
    <w:rsid w:val="00BE2022"/>
    <w:rsid w:val="00BE2444"/>
    <w:rsid w:val="00BE2E32"/>
    <w:rsid w:val="00BE2F12"/>
    <w:rsid w:val="00BE3192"/>
    <w:rsid w:val="00BE3309"/>
    <w:rsid w:val="00BE3629"/>
    <w:rsid w:val="00BE395A"/>
    <w:rsid w:val="00BE434A"/>
    <w:rsid w:val="00BE4550"/>
    <w:rsid w:val="00BE4B60"/>
    <w:rsid w:val="00BE5244"/>
    <w:rsid w:val="00BE5694"/>
    <w:rsid w:val="00BE570B"/>
    <w:rsid w:val="00BE5AF1"/>
    <w:rsid w:val="00BE5BB3"/>
    <w:rsid w:val="00BE5E85"/>
    <w:rsid w:val="00BE5FAE"/>
    <w:rsid w:val="00BE681A"/>
    <w:rsid w:val="00BE689B"/>
    <w:rsid w:val="00BE6B75"/>
    <w:rsid w:val="00BE6E1E"/>
    <w:rsid w:val="00BE6E7A"/>
    <w:rsid w:val="00BE6FF2"/>
    <w:rsid w:val="00BE789F"/>
    <w:rsid w:val="00BE79E1"/>
    <w:rsid w:val="00BF00A6"/>
    <w:rsid w:val="00BF00F9"/>
    <w:rsid w:val="00BF04ED"/>
    <w:rsid w:val="00BF0878"/>
    <w:rsid w:val="00BF0A05"/>
    <w:rsid w:val="00BF0D38"/>
    <w:rsid w:val="00BF0E96"/>
    <w:rsid w:val="00BF1729"/>
    <w:rsid w:val="00BF1B1B"/>
    <w:rsid w:val="00BF21AA"/>
    <w:rsid w:val="00BF2380"/>
    <w:rsid w:val="00BF24A7"/>
    <w:rsid w:val="00BF2DE8"/>
    <w:rsid w:val="00BF2F4C"/>
    <w:rsid w:val="00BF3760"/>
    <w:rsid w:val="00BF3769"/>
    <w:rsid w:val="00BF405F"/>
    <w:rsid w:val="00BF44FE"/>
    <w:rsid w:val="00BF47B4"/>
    <w:rsid w:val="00BF4A58"/>
    <w:rsid w:val="00BF5160"/>
    <w:rsid w:val="00BF5577"/>
    <w:rsid w:val="00BF5970"/>
    <w:rsid w:val="00BF5AE2"/>
    <w:rsid w:val="00BF5B2B"/>
    <w:rsid w:val="00BF5EF6"/>
    <w:rsid w:val="00BF61E5"/>
    <w:rsid w:val="00BF662B"/>
    <w:rsid w:val="00BF6BAC"/>
    <w:rsid w:val="00BF7292"/>
    <w:rsid w:val="00C0030D"/>
    <w:rsid w:val="00C0051D"/>
    <w:rsid w:val="00C005ED"/>
    <w:rsid w:val="00C0084C"/>
    <w:rsid w:val="00C00BEC"/>
    <w:rsid w:val="00C00D19"/>
    <w:rsid w:val="00C0114D"/>
    <w:rsid w:val="00C014E8"/>
    <w:rsid w:val="00C01876"/>
    <w:rsid w:val="00C01927"/>
    <w:rsid w:val="00C02000"/>
    <w:rsid w:val="00C02095"/>
    <w:rsid w:val="00C0239F"/>
    <w:rsid w:val="00C027FD"/>
    <w:rsid w:val="00C028B2"/>
    <w:rsid w:val="00C02ABC"/>
    <w:rsid w:val="00C02B00"/>
    <w:rsid w:val="00C02C3B"/>
    <w:rsid w:val="00C02E48"/>
    <w:rsid w:val="00C02F61"/>
    <w:rsid w:val="00C030C2"/>
    <w:rsid w:val="00C0368F"/>
    <w:rsid w:val="00C03741"/>
    <w:rsid w:val="00C037A1"/>
    <w:rsid w:val="00C03A38"/>
    <w:rsid w:val="00C03A45"/>
    <w:rsid w:val="00C03B4D"/>
    <w:rsid w:val="00C0400C"/>
    <w:rsid w:val="00C045D3"/>
    <w:rsid w:val="00C04F3E"/>
    <w:rsid w:val="00C0594B"/>
    <w:rsid w:val="00C060BF"/>
    <w:rsid w:val="00C06B12"/>
    <w:rsid w:val="00C06BC9"/>
    <w:rsid w:val="00C06DB2"/>
    <w:rsid w:val="00C077B9"/>
    <w:rsid w:val="00C100D7"/>
    <w:rsid w:val="00C10439"/>
    <w:rsid w:val="00C10965"/>
    <w:rsid w:val="00C109F2"/>
    <w:rsid w:val="00C10B42"/>
    <w:rsid w:val="00C11080"/>
    <w:rsid w:val="00C114B1"/>
    <w:rsid w:val="00C11AB6"/>
    <w:rsid w:val="00C11C79"/>
    <w:rsid w:val="00C11E2D"/>
    <w:rsid w:val="00C12094"/>
    <w:rsid w:val="00C120E5"/>
    <w:rsid w:val="00C121D4"/>
    <w:rsid w:val="00C12490"/>
    <w:rsid w:val="00C13466"/>
    <w:rsid w:val="00C13596"/>
    <w:rsid w:val="00C13D23"/>
    <w:rsid w:val="00C14279"/>
    <w:rsid w:val="00C1434F"/>
    <w:rsid w:val="00C14425"/>
    <w:rsid w:val="00C1464A"/>
    <w:rsid w:val="00C14763"/>
    <w:rsid w:val="00C14943"/>
    <w:rsid w:val="00C14C31"/>
    <w:rsid w:val="00C154BF"/>
    <w:rsid w:val="00C15551"/>
    <w:rsid w:val="00C1583C"/>
    <w:rsid w:val="00C15887"/>
    <w:rsid w:val="00C15F7E"/>
    <w:rsid w:val="00C1655D"/>
    <w:rsid w:val="00C16627"/>
    <w:rsid w:val="00C167EB"/>
    <w:rsid w:val="00C16B85"/>
    <w:rsid w:val="00C1762A"/>
    <w:rsid w:val="00C1764A"/>
    <w:rsid w:val="00C17B05"/>
    <w:rsid w:val="00C17BBD"/>
    <w:rsid w:val="00C17CED"/>
    <w:rsid w:val="00C17F7A"/>
    <w:rsid w:val="00C20020"/>
    <w:rsid w:val="00C200A1"/>
    <w:rsid w:val="00C20114"/>
    <w:rsid w:val="00C206D5"/>
    <w:rsid w:val="00C20A4B"/>
    <w:rsid w:val="00C20B02"/>
    <w:rsid w:val="00C20B1C"/>
    <w:rsid w:val="00C20B4C"/>
    <w:rsid w:val="00C20DAB"/>
    <w:rsid w:val="00C2148E"/>
    <w:rsid w:val="00C2149C"/>
    <w:rsid w:val="00C21AB7"/>
    <w:rsid w:val="00C220A9"/>
    <w:rsid w:val="00C2285C"/>
    <w:rsid w:val="00C22D1F"/>
    <w:rsid w:val="00C22F80"/>
    <w:rsid w:val="00C232FC"/>
    <w:rsid w:val="00C2399F"/>
    <w:rsid w:val="00C23E23"/>
    <w:rsid w:val="00C23FEB"/>
    <w:rsid w:val="00C242A4"/>
    <w:rsid w:val="00C2568A"/>
    <w:rsid w:val="00C2590B"/>
    <w:rsid w:val="00C25B79"/>
    <w:rsid w:val="00C25CEE"/>
    <w:rsid w:val="00C2608C"/>
    <w:rsid w:val="00C261DC"/>
    <w:rsid w:val="00C261EA"/>
    <w:rsid w:val="00C26514"/>
    <w:rsid w:val="00C26561"/>
    <w:rsid w:val="00C26932"/>
    <w:rsid w:val="00C26D1B"/>
    <w:rsid w:val="00C26E7D"/>
    <w:rsid w:val="00C26EE0"/>
    <w:rsid w:val="00C27016"/>
    <w:rsid w:val="00C27357"/>
    <w:rsid w:val="00C27AA1"/>
    <w:rsid w:val="00C300C7"/>
    <w:rsid w:val="00C30298"/>
    <w:rsid w:val="00C305E9"/>
    <w:rsid w:val="00C30897"/>
    <w:rsid w:val="00C30CA6"/>
    <w:rsid w:val="00C30E33"/>
    <w:rsid w:val="00C311FF"/>
    <w:rsid w:val="00C31397"/>
    <w:rsid w:val="00C3186E"/>
    <w:rsid w:val="00C31C6F"/>
    <w:rsid w:val="00C323AB"/>
    <w:rsid w:val="00C32B88"/>
    <w:rsid w:val="00C33925"/>
    <w:rsid w:val="00C33AF3"/>
    <w:rsid w:val="00C33B33"/>
    <w:rsid w:val="00C3466C"/>
    <w:rsid w:val="00C3491E"/>
    <w:rsid w:val="00C34C2B"/>
    <w:rsid w:val="00C34EB6"/>
    <w:rsid w:val="00C34F43"/>
    <w:rsid w:val="00C353F2"/>
    <w:rsid w:val="00C359F6"/>
    <w:rsid w:val="00C360E6"/>
    <w:rsid w:val="00C3692F"/>
    <w:rsid w:val="00C36ABB"/>
    <w:rsid w:val="00C371A1"/>
    <w:rsid w:val="00C3747A"/>
    <w:rsid w:val="00C377E8"/>
    <w:rsid w:val="00C401BF"/>
    <w:rsid w:val="00C40300"/>
    <w:rsid w:val="00C40DC8"/>
    <w:rsid w:val="00C40FC3"/>
    <w:rsid w:val="00C4140E"/>
    <w:rsid w:val="00C4152B"/>
    <w:rsid w:val="00C41624"/>
    <w:rsid w:val="00C41801"/>
    <w:rsid w:val="00C418C2"/>
    <w:rsid w:val="00C41F81"/>
    <w:rsid w:val="00C422B6"/>
    <w:rsid w:val="00C42312"/>
    <w:rsid w:val="00C423C2"/>
    <w:rsid w:val="00C42577"/>
    <w:rsid w:val="00C4285E"/>
    <w:rsid w:val="00C42C29"/>
    <w:rsid w:val="00C42C6F"/>
    <w:rsid w:val="00C42FAF"/>
    <w:rsid w:val="00C430C8"/>
    <w:rsid w:val="00C43B58"/>
    <w:rsid w:val="00C43C38"/>
    <w:rsid w:val="00C43CF8"/>
    <w:rsid w:val="00C441FC"/>
    <w:rsid w:val="00C444CE"/>
    <w:rsid w:val="00C44557"/>
    <w:rsid w:val="00C44C0F"/>
    <w:rsid w:val="00C44C5C"/>
    <w:rsid w:val="00C4567B"/>
    <w:rsid w:val="00C45BC5"/>
    <w:rsid w:val="00C46416"/>
    <w:rsid w:val="00C46AD1"/>
    <w:rsid w:val="00C46C29"/>
    <w:rsid w:val="00C46EE2"/>
    <w:rsid w:val="00C46FBD"/>
    <w:rsid w:val="00C470B5"/>
    <w:rsid w:val="00C471E3"/>
    <w:rsid w:val="00C47388"/>
    <w:rsid w:val="00C506DA"/>
    <w:rsid w:val="00C50E74"/>
    <w:rsid w:val="00C5112F"/>
    <w:rsid w:val="00C515A3"/>
    <w:rsid w:val="00C51E45"/>
    <w:rsid w:val="00C5239C"/>
    <w:rsid w:val="00C523F9"/>
    <w:rsid w:val="00C5247C"/>
    <w:rsid w:val="00C525B8"/>
    <w:rsid w:val="00C5265F"/>
    <w:rsid w:val="00C528B9"/>
    <w:rsid w:val="00C53041"/>
    <w:rsid w:val="00C5310B"/>
    <w:rsid w:val="00C53167"/>
    <w:rsid w:val="00C5343A"/>
    <w:rsid w:val="00C53606"/>
    <w:rsid w:val="00C53DF3"/>
    <w:rsid w:val="00C54818"/>
    <w:rsid w:val="00C5482A"/>
    <w:rsid w:val="00C54E97"/>
    <w:rsid w:val="00C5539F"/>
    <w:rsid w:val="00C554E0"/>
    <w:rsid w:val="00C555A0"/>
    <w:rsid w:val="00C55A7A"/>
    <w:rsid w:val="00C56083"/>
    <w:rsid w:val="00C5614E"/>
    <w:rsid w:val="00C562D8"/>
    <w:rsid w:val="00C56687"/>
    <w:rsid w:val="00C5690C"/>
    <w:rsid w:val="00C56AC4"/>
    <w:rsid w:val="00C56BB1"/>
    <w:rsid w:val="00C56FF6"/>
    <w:rsid w:val="00C5782C"/>
    <w:rsid w:val="00C60330"/>
    <w:rsid w:val="00C608A2"/>
    <w:rsid w:val="00C6091C"/>
    <w:rsid w:val="00C60C51"/>
    <w:rsid w:val="00C60E4D"/>
    <w:rsid w:val="00C610CE"/>
    <w:rsid w:val="00C61356"/>
    <w:rsid w:val="00C617D8"/>
    <w:rsid w:val="00C61CBD"/>
    <w:rsid w:val="00C61D54"/>
    <w:rsid w:val="00C61ED5"/>
    <w:rsid w:val="00C61F6F"/>
    <w:rsid w:val="00C6241E"/>
    <w:rsid w:val="00C62CA8"/>
    <w:rsid w:val="00C62F51"/>
    <w:rsid w:val="00C62F62"/>
    <w:rsid w:val="00C6313E"/>
    <w:rsid w:val="00C63277"/>
    <w:rsid w:val="00C63BAD"/>
    <w:rsid w:val="00C63C5C"/>
    <w:rsid w:val="00C6404C"/>
    <w:rsid w:val="00C644CA"/>
    <w:rsid w:val="00C6464D"/>
    <w:rsid w:val="00C6471A"/>
    <w:rsid w:val="00C64837"/>
    <w:rsid w:val="00C6492E"/>
    <w:rsid w:val="00C64996"/>
    <w:rsid w:val="00C64E2C"/>
    <w:rsid w:val="00C6537B"/>
    <w:rsid w:val="00C6544A"/>
    <w:rsid w:val="00C654D4"/>
    <w:rsid w:val="00C66168"/>
    <w:rsid w:val="00C670E7"/>
    <w:rsid w:val="00C670FA"/>
    <w:rsid w:val="00C67626"/>
    <w:rsid w:val="00C67906"/>
    <w:rsid w:val="00C67998"/>
    <w:rsid w:val="00C67A7E"/>
    <w:rsid w:val="00C67E8C"/>
    <w:rsid w:val="00C67FB4"/>
    <w:rsid w:val="00C70971"/>
    <w:rsid w:val="00C70AC0"/>
    <w:rsid w:val="00C70D7A"/>
    <w:rsid w:val="00C70F3C"/>
    <w:rsid w:val="00C71AC1"/>
    <w:rsid w:val="00C71F49"/>
    <w:rsid w:val="00C72F19"/>
    <w:rsid w:val="00C734B3"/>
    <w:rsid w:val="00C73561"/>
    <w:rsid w:val="00C735CB"/>
    <w:rsid w:val="00C737AB"/>
    <w:rsid w:val="00C73983"/>
    <w:rsid w:val="00C73994"/>
    <w:rsid w:val="00C73A86"/>
    <w:rsid w:val="00C73B63"/>
    <w:rsid w:val="00C73D1A"/>
    <w:rsid w:val="00C73FCB"/>
    <w:rsid w:val="00C7413E"/>
    <w:rsid w:val="00C74316"/>
    <w:rsid w:val="00C743DC"/>
    <w:rsid w:val="00C74B9D"/>
    <w:rsid w:val="00C74BAE"/>
    <w:rsid w:val="00C74BF4"/>
    <w:rsid w:val="00C74C9B"/>
    <w:rsid w:val="00C74E58"/>
    <w:rsid w:val="00C74E7B"/>
    <w:rsid w:val="00C74EAD"/>
    <w:rsid w:val="00C75331"/>
    <w:rsid w:val="00C75417"/>
    <w:rsid w:val="00C75474"/>
    <w:rsid w:val="00C7559B"/>
    <w:rsid w:val="00C7594F"/>
    <w:rsid w:val="00C759FB"/>
    <w:rsid w:val="00C75C9C"/>
    <w:rsid w:val="00C7642E"/>
    <w:rsid w:val="00C76E4A"/>
    <w:rsid w:val="00C76E4B"/>
    <w:rsid w:val="00C76F1C"/>
    <w:rsid w:val="00C77001"/>
    <w:rsid w:val="00C77163"/>
    <w:rsid w:val="00C773ED"/>
    <w:rsid w:val="00C774C5"/>
    <w:rsid w:val="00C77766"/>
    <w:rsid w:val="00C779F8"/>
    <w:rsid w:val="00C8016A"/>
    <w:rsid w:val="00C80571"/>
    <w:rsid w:val="00C80632"/>
    <w:rsid w:val="00C80730"/>
    <w:rsid w:val="00C80CA8"/>
    <w:rsid w:val="00C80D8B"/>
    <w:rsid w:val="00C8122C"/>
    <w:rsid w:val="00C81A44"/>
    <w:rsid w:val="00C8257F"/>
    <w:rsid w:val="00C82997"/>
    <w:rsid w:val="00C82CCC"/>
    <w:rsid w:val="00C82F50"/>
    <w:rsid w:val="00C82F9E"/>
    <w:rsid w:val="00C83047"/>
    <w:rsid w:val="00C832C2"/>
    <w:rsid w:val="00C83378"/>
    <w:rsid w:val="00C833D5"/>
    <w:rsid w:val="00C83AA3"/>
    <w:rsid w:val="00C84045"/>
    <w:rsid w:val="00C840E8"/>
    <w:rsid w:val="00C84703"/>
    <w:rsid w:val="00C84771"/>
    <w:rsid w:val="00C84AC9"/>
    <w:rsid w:val="00C84B82"/>
    <w:rsid w:val="00C84CE8"/>
    <w:rsid w:val="00C84E96"/>
    <w:rsid w:val="00C84F69"/>
    <w:rsid w:val="00C850E5"/>
    <w:rsid w:val="00C851FE"/>
    <w:rsid w:val="00C85352"/>
    <w:rsid w:val="00C85411"/>
    <w:rsid w:val="00C86048"/>
    <w:rsid w:val="00C878CF"/>
    <w:rsid w:val="00C901C5"/>
    <w:rsid w:val="00C9026B"/>
    <w:rsid w:val="00C90A55"/>
    <w:rsid w:val="00C90A6B"/>
    <w:rsid w:val="00C90ABD"/>
    <w:rsid w:val="00C91105"/>
    <w:rsid w:val="00C916A8"/>
    <w:rsid w:val="00C917D2"/>
    <w:rsid w:val="00C91BC2"/>
    <w:rsid w:val="00C91F7C"/>
    <w:rsid w:val="00C92133"/>
    <w:rsid w:val="00C92715"/>
    <w:rsid w:val="00C927D1"/>
    <w:rsid w:val="00C929FE"/>
    <w:rsid w:val="00C92A18"/>
    <w:rsid w:val="00C935C2"/>
    <w:rsid w:val="00C9363D"/>
    <w:rsid w:val="00C93668"/>
    <w:rsid w:val="00C93E18"/>
    <w:rsid w:val="00C93FCA"/>
    <w:rsid w:val="00C9432C"/>
    <w:rsid w:val="00C946BA"/>
    <w:rsid w:val="00C94975"/>
    <w:rsid w:val="00C94A1C"/>
    <w:rsid w:val="00C94AD9"/>
    <w:rsid w:val="00C94BAE"/>
    <w:rsid w:val="00C95354"/>
    <w:rsid w:val="00C953ED"/>
    <w:rsid w:val="00C956D5"/>
    <w:rsid w:val="00C95713"/>
    <w:rsid w:val="00C95976"/>
    <w:rsid w:val="00C95B28"/>
    <w:rsid w:val="00C95CA2"/>
    <w:rsid w:val="00C95F24"/>
    <w:rsid w:val="00C95FAE"/>
    <w:rsid w:val="00C9606C"/>
    <w:rsid w:val="00C96ECC"/>
    <w:rsid w:val="00C96EE1"/>
    <w:rsid w:val="00C9772C"/>
    <w:rsid w:val="00C9788B"/>
    <w:rsid w:val="00C97B08"/>
    <w:rsid w:val="00C97E84"/>
    <w:rsid w:val="00CA01E5"/>
    <w:rsid w:val="00CA08F1"/>
    <w:rsid w:val="00CA1339"/>
    <w:rsid w:val="00CA1700"/>
    <w:rsid w:val="00CA1E25"/>
    <w:rsid w:val="00CA1F7E"/>
    <w:rsid w:val="00CA23F3"/>
    <w:rsid w:val="00CA26D3"/>
    <w:rsid w:val="00CA2880"/>
    <w:rsid w:val="00CA2C08"/>
    <w:rsid w:val="00CA31A3"/>
    <w:rsid w:val="00CA325A"/>
    <w:rsid w:val="00CA40CA"/>
    <w:rsid w:val="00CA41B7"/>
    <w:rsid w:val="00CA4315"/>
    <w:rsid w:val="00CA435A"/>
    <w:rsid w:val="00CA46D1"/>
    <w:rsid w:val="00CA48B9"/>
    <w:rsid w:val="00CA4B5B"/>
    <w:rsid w:val="00CA4BBF"/>
    <w:rsid w:val="00CA4C4A"/>
    <w:rsid w:val="00CA5038"/>
    <w:rsid w:val="00CA53BD"/>
    <w:rsid w:val="00CA5440"/>
    <w:rsid w:val="00CA5517"/>
    <w:rsid w:val="00CA55EC"/>
    <w:rsid w:val="00CA5842"/>
    <w:rsid w:val="00CA5C54"/>
    <w:rsid w:val="00CA5CB9"/>
    <w:rsid w:val="00CA60BF"/>
    <w:rsid w:val="00CA7209"/>
    <w:rsid w:val="00CA7643"/>
    <w:rsid w:val="00CA76DA"/>
    <w:rsid w:val="00CA7964"/>
    <w:rsid w:val="00CA796A"/>
    <w:rsid w:val="00CA7AAF"/>
    <w:rsid w:val="00CA7C45"/>
    <w:rsid w:val="00CA7E32"/>
    <w:rsid w:val="00CA7F1E"/>
    <w:rsid w:val="00CA7F32"/>
    <w:rsid w:val="00CB03E8"/>
    <w:rsid w:val="00CB04F5"/>
    <w:rsid w:val="00CB0B54"/>
    <w:rsid w:val="00CB0BB1"/>
    <w:rsid w:val="00CB0C04"/>
    <w:rsid w:val="00CB0D28"/>
    <w:rsid w:val="00CB0FF2"/>
    <w:rsid w:val="00CB1165"/>
    <w:rsid w:val="00CB130E"/>
    <w:rsid w:val="00CB1477"/>
    <w:rsid w:val="00CB1581"/>
    <w:rsid w:val="00CB17CA"/>
    <w:rsid w:val="00CB1930"/>
    <w:rsid w:val="00CB1C5D"/>
    <w:rsid w:val="00CB1F85"/>
    <w:rsid w:val="00CB21B6"/>
    <w:rsid w:val="00CB2464"/>
    <w:rsid w:val="00CB2DC2"/>
    <w:rsid w:val="00CB2F0E"/>
    <w:rsid w:val="00CB3057"/>
    <w:rsid w:val="00CB3758"/>
    <w:rsid w:val="00CB3F2F"/>
    <w:rsid w:val="00CB4379"/>
    <w:rsid w:val="00CB4970"/>
    <w:rsid w:val="00CB4987"/>
    <w:rsid w:val="00CB586E"/>
    <w:rsid w:val="00CB5921"/>
    <w:rsid w:val="00CB5FA1"/>
    <w:rsid w:val="00CB6102"/>
    <w:rsid w:val="00CB620B"/>
    <w:rsid w:val="00CB6AFE"/>
    <w:rsid w:val="00CB6E67"/>
    <w:rsid w:val="00CB70C9"/>
    <w:rsid w:val="00CB7166"/>
    <w:rsid w:val="00CB71D6"/>
    <w:rsid w:val="00CB755A"/>
    <w:rsid w:val="00CB7572"/>
    <w:rsid w:val="00CB7DC8"/>
    <w:rsid w:val="00CB7EB8"/>
    <w:rsid w:val="00CC05CD"/>
    <w:rsid w:val="00CC12E9"/>
    <w:rsid w:val="00CC1D5D"/>
    <w:rsid w:val="00CC2970"/>
    <w:rsid w:val="00CC2A06"/>
    <w:rsid w:val="00CC2D0D"/>
    <w:rsid w:val="00CC3591"/>
    <w:rsid w:val="00CC3758"/>
    <w:rsid w:val="00CC3C59"/>
    <w:rsid w:val="00CC4334"/>
    <w:rsid w:val="00CC5152"/>
    <w:rsid w:val="00CC542A"/>
    <w:rsid w:val="00CC578E"/>
    <w:rsid w:val="00CC6261"/>
    <w:rsid w:val="00CC6332"/>
    <w:rsid w:val="00CC641B"/>
    <w:rsid w:val="00CC6524"/>
    <w:rsid w:val="00CC6AC2"/>
    <w:rsid w:val="00CC6DA7"/>
    <w:rsid w:val="00CC7658"/>
    <w:rsid w:val="00CC7E04"/>
    <w:rsid w:val="00CC7FBC"/>
    <w:rsid w:val="00CD064A"/>
    <w:rsid w:val="00CD0C3B"/>
    <w:rsid w:val="00CD0D1A"/>
    <w:rsid w:val="00CD11F5"/>
    <w:rsid w:val="00CD1DAB"/>
    <w:rsid w:val="00CD1EA6"/>
    <w:rsid w:val="00CD1FC0"/>
    <w:rsid w:val="00CD25FF"/>
    <w:rsid w:val="00CD26C6"/>
    <w:rsid w:val="00CD2A5A"/>
    <w:rsid w:val="00CD2C24"/>
    <w:rsid w:val="00CD2D05"/>
    <w:rsid w:val="00CD2F93"/>
    <w:rsid w:val="00CD2F99"/>
    <w:rsid w:val="00CD34E1"/>
    <w:rsid w:val="00CD3B29"/>
    <w:rsid w:val="00CD3BC5"/>
    <w:rsid w:val="00CD4156"/>
    <w:rsid w:val="00CD44BC"/>
    <w:rsid w:val="00CD45FF"/>
    <w:rsid w:val="00CD5B8C"/>
    <w:rsid w:val="00CD5BFD"/>
    <w:rsid w:val="00CD5FE7"/>
    <w:rsid w:val="00CD672F"/>
    <w:rsid w:val="00CD67CB"/>
    <w:rsid w:val="00CD6ED4"/>
    <w:rsid w:val="00CD6F29"/>
    <w:rsid w:val="00CD7064"/>
    <w:rsid w:val="00CD7769"/>
    <w:rsid w:val="00CD7798"/>
    <w:rsid w:val="00CD78B9"/>
    <w:rsid w:val="00CD7998"/>
    <w:rsid w:val="00CD7EC4"/>
    <w:rsid w:val="00CE0405"/>
    <w:rsid w:val="00CE060B"/>
    <w:rsid w:val="00CE061E"/>
    <w:rsid w:val="00CE08BD"/>
    <w:rsid w:val="00CE0ADA"/>
    <w:rsid w:val="00CE1337"/>
    <w:rsid w:val="00CE170C"/>
    <w:rsid w:val="00CE18FF"/>
    <w:rsid w:val="00CE1923"/>
    <w:rsid w:val="00CE19D4"/>
    <w:rsid w:val="00CE235A"/>
    <w:rsid w:val="00CE27D3"/>
    <w:rsid w:val="00CE2849"/>
    <w:rsid w:val="00CE2B2A"/>
    <w:rsid w:val="00CE2FC5"/>
    <w:rsid w:val="00CE303B"/>
    <w:rsid w:val="00CE35D0"/>
    <w:rsid w:val="00CE384D"/>
    <w:rsid w:val="00CE3942"/>
    <w:rsid w:val="00CE3D36"/>
    <w:rsid w:val="00CE421B"/>
    <w:rsid w:val="00CE47F8"/>
    <w:rsid w:val="00CE4EA8"/>
    <w:rsid w:val="00CE4F6C"/>
    <w:rsid w:val="00CE4F8B"/>
    <w:rsid w:val="00CE5240"/>
    <w:rsid w:val="00CE5DE1"/>
    <w:rsid w:val="00CE643A"/>
    <w:rsid w:val="00CE6594"/>
    <w:rsid w:val="00CE660E"/>
    <w:rsid w:val="00CE6847"/>
    <w:rsid w:val="00CE6D0E"/>
    <w:rsid w:val="00CE6F71"/>
    <w:rsid w:val="00CE70E7"/>
    <w:rsid w:val="00CE73B6"/>
    <w:rsid w:val="00CE76A7"/>
    <w:rsid w:val="00CE7B5E"/>
    <w:rsid w:val="00CF0162"/>
    <w:rsid w:val="00CF0200"/>
    <w:rsid w:val="00CF02A1"/>
    <w:rsid w:val="00CF06E9"/>
    <w:rsid w:val="00CF08C6"/>
    <w:rsid w:val="00CF0937"/>
    <w:rsid w:val="00CF0950"/>
    <w:rsid w:val="00CF0AAF"/>
    <w:rsid w:val="00CF0C10"/>
    <w:rsid w:val="00CF0CE4"/>
    <w:rsid w:val="00CF1344"/>
    <w:rsid w:val="00CF1AC8"/>
    <w:rsid w:val="00CF207C"/>
    <w:rsid w:val="00CF25E1"/>
    <w:rsid w:val="00CF25FC"/>
    <w:rsid w:val="00CF288C"/>
    <w:rsid w:val="00CF2C8A"/>
    <w:rsid w:val="00CF4869"/>
    <w:rsid w:val="00CF4A13"/>
    <w:rsid w:val="00CF4B58"/>
    <w:rsid w:val="00CF52D6"/>
    <w:rsid w:val="00CF55E0"/>
    <w:rsid w:val="00CF585A"/>
    <w:rsid w:val="00CF5947"/>
    <w:rsid w:val="00CF5E2C"/>
    <w:rsid w:val="00CF5EC3"/>
    <w:rsid w:val="00CF6183"/>
    <w:rsid w:val="00CF62D3"/>
    <w:rsid w:val="00CF662B"/>
    <w:rsid w:val="00CF6966"/>
    <w:rsid w:val="00CF6C9F"/>
    <w:rsid w:val="00CF6D75"/>
    <w:rsid w:val="00CF6D94"/>
    <w:rsid w:val="00CF6F20"/>
    <w:rsid w:val="00CF70B6"/>
    <w:rsid w:val="00CF70CD"/>
    <w:rsid w:val="00CF7170"/>
    <w:rsid w:val="00CF7191"/>
    <w:rsid w:val="00CF7194"/>
    <w:rsid w:val="00CF7229"/>
    <w:rsid w:val="00CF7465"/>
    <w:rsid w:val="00CF7537"/>
    <w:rsid w:val="00CF7607"/>
    <w:rsid w:val="00CF79CA"/>
    <w:rsid w:val="00CF7A81"/>
    <w:rsid w:val="00D01647"/>
    <w:rsid w:val="00D01754"/>
    <w:rsid w:val="00D02360"/>
    <w:rsid w:val="00D02840"/>
    <w:rsid w:val="00D028F6"/>
    <w:rsid w:val="00D02B40"/>
    <w:rsid w:val="00D03560"/>
    <w:rsid w:val="00D03630"/>
    <w:rsid w:val="00D038B7"/>
    <w:rsid w:val="00D04099"/>
    <w:rsid w:val="00D0413B"/>
    <w:rsid w:val="00D04277"/>
    <w:rsid w:val="00D04587"/>
    <w:rsid w:val="00D0474E"/>
    <w:rsid w:val="00D047B0"/>
    <w:rsid w:val="00D04A05"/>
    <w:rsid w:val="00D04BE3"/>
    <w:rsid w:val="00D052A0"/>
    <w:rsid w:val="00D05773"/>
    <w:rsid w:val="00D06130"/>
    <w:rsid w:val="00D064C7"/>
    <w:rsid w:val="00D064F1"/>
    <w:rsid w:val="00D0655E"/>
    <w:rsid w:val="00D068FB"/>
    <w:rsid w:val="00D06A3B"/>
    <w:rsid w:val="00D06A86"/>
    <w:rsid w:val="00D073AB"/>
    <w:rsid w:val="00D073ED"/>
    <w:rsid w:val="00D076AF"/>
    <w:rsid w:val="00D07888"/>
    <w:rsid w:val="00D101AE"/>
    <w:rsid w:val="00D101BE"/>
    <w:rsid w:val="00D101D9"/>
    <w:rsid w:val="00D1036F"/>
    <w:rsid w:val="00D103CB"/>
    <w:rsid w:val="00D10820"/>
    <w:rsid w:val="00D10896"/>
    <w:rsid w:val="00D10ACB"/>
    <w:rsid w:val="00D10CFB"/>
    <w:rsid w:val="00D1118A"/>
    <w:rsid w:val="00D11232"/>
    <w:rsid w:val="00D11281"/>
    <w:rsid w:val="00D11919"/>
    <w:rsid w:val="00D11997"/>
    <w:rsid w:val="00D11E1A"/>
    <w:rsid w:val="00D11E68"/>
    <w:rsid w:val="00D120AD"/>
    <w:rsid w:val="00D121DB"/>
    <w:rsid w:val="00D12310"/>
    <w:rsid w:val="00D123A0"/>
    <w:rsid w:val="00D13904"/>
    <w:rsid w:val="00D13C80"/>
    <w:rsid w:val="00D13DE4"/>
    <w:rsid w:val="00D13F89"/>
    <w:rsid w:val="00D144ED"/>
    <w:rsid w:val="00D145BB"/>
    <w:rsid w:val="00D14AB9"/>
    <w:rsid w:val="00D14CC2"/>
    <w:rsid w:val="00D14FC0"/>
    <w:rsid w:val="00D15081"/>
    <w:rsid w:val="00D1511C"/>
    <w:rsid w:val="00D1570D"/>
    <w:rsid w:val="00D15786"/>
    <w:rsid w:val="00D157E9"/>
    <w:rsid w:val="00D15E3E"/>
    <w:rsid w:val="00D15FD4"/>
    <w:rsid w:val="00D164CD"/>
    <w:rsid w:val="00D166F0"/>
    <w:rsid w:val="00D1680A"/>
    <w:rsid w:val="00D168FA"/>
    <w:rsid w:val="00D16D0B"/>
    <w:rsid w:val="00D17047"/>
    <w:rsid w:val="00D1712D"/>
    <w:rsid w:val="00D17152"/>
    <w:rsid w:val="00D1722E"/>
    <w:rsid w:val="00D17242"/>
    <w:rsid w:val="00D17285"/>
    <w:rsid w:val="00D17818"/>
    <w:rsid w:val="00D1795F"/>
    <w:rsid w:val="00D17AEF"/>
    <w:rsid w:val="00D17FB9"/>
    <w:rsid w:val="00D200F1"/>
    <w:rsid w:val="00D20256"/>
    <w:rsid w:val="00D20923"/>
    <w:rsid w:val="00D20A12"/>
    <w:rsid w:val="00D20C0A"/>
    <w:rsid w:val="00D20CBA"/>
    <w:rsid w:val="00D20D05"/>
    <w:rsid w:val="00D211EB"/>
    <w:rsid w:val="00D21374"/>
    <w:rsid w:val="00D217B9"/>
    <w:rsid w:val="00D21B1C"/>
    <w:rsid w:val="00D21B74"/>
    <w:rsid w:val="00D22166"/>
    <w:rsid w:val="00D22198"/>
    <w:rsid w:val="00D2231C"/>
    <w:rsid w:val="00D227F1"/>
    <w:rsid w:val="00D22A7A"/>
    <w:rsid w:val="00D22F5E"/>
    <w:rsid w:val="00D23002"/>
    <w:rsid w:val="00D23533"/>
    <w:rsid w:val="00D2366A"/>
    <w:rsid w:val="00D236F1"/>
    <w:rsid w:val="00D238DC"/>
    <w:rsid w:val="00D23AA7"/>
    <w:rsid w:val="00D23C8A"/>
    <w:rsid w:val="00D23DAC"/>
    <w:rsid w:val="00D240D4"/>
    <w:rsid w:val="00D24276"/>
    <w:rsid w:val="00D2438E"/>
    <w:rsid w:val="00D24956"/>
    <w:rsid w:val="00D24967"/>
    <w:rsid w:val="00D24A99"/>
    <w:rsid w:val="00D24BA3"/>
    <w:rsid w:val="00D24DF7"/>
    <w:rsid w:val="00D250D3"/>
    <w:rsid w:val="00D258E2"/>
    <w:rsid w:val="00D2593F"/>
    <w:rsid w:val="00D25BA5"/>
    <w:rsid w:val="00D25CEE"/>
    <w:rsid w:val="00D26253"/>
    <w:rsid w:val="00D26A60"/>
    <w:rsid w:val="00D26F57"/>
    <w:rsid w:val="00D26FA6"/>
    <w:rsid w:val="00D26FE0"/>
    <w:rsid w:val="00D270C2"/>
    <w:rsid w:val="00D2735F"/>
    <w:rsid w:val="00D2746F"/>
    <w:rsid w:val="00D27520"/>
    <w:rsid w:val="00D27525"/>
    <w:rsid w:val="00D276D4"/>
    <w:rsid w:val="00D27952"/>
    <w:rsid w:val="00D27C6A"/>
    <w:rsid w:val="00D30258"/>
    <w:rsid w:val="00D307E7"/>
    <w:rsid w:val="00D30826"/>
    <w:rsid w:val="00D309EF"/>
    <w:rsid w:val="00D30AA6"/>
    <w:rsid w:val="00D30C5A"/>
    <w:rsid w:val="00D30DB1"/>
    <w:rsid w:val="00D30E97"/>
    <w:rsid w:val="00D310FD"/>
    <w:rsid w:val="00D311B0"/>
    <w:rsid w:val="00D31233"/>
    <w:rsid w:val="00D31237"/>
    <w:rsid w:val="00D31A1B"/>
    <w:rsid w:val="00D32113"/>
    <w:rsid w:val="00D32514"/>
    <w:rsid w:val="00D32C78"/>
    <w:rsid w:val="00D32FC6"/>
    <w:rsid w:val="00D33227"/>
    <w:rsid w:val="00D33B37"/>
    <w:rsid w:val="00D33C1E"/>
    <w:rsid w:val="00D33CC5"/>
    <w:rsid w:val="00D33E6C"/>
    <w:rsid w:val="00D340B4"/>
    <w:rsid w:val="00D34B61"/>
    <w:rsid w:val="00D351B7"/>
    <w:rsid w:val="00D352C1"/>
    <w:rsid w:val="00D3532E"/>
    <w:rsid w:val="00D35469"/>
    <w:rsid w:val="00D3578B"/>
    <w:rsid w:val="00D359F8"/>
    <w:rsid w:val="00D362A5"/>
    <w:rsid w:val="00D36549"/>
    <w:rsid w:val="00D36A28"/>
    <w:rsid w:val="00D370A6"/>
    <w:rsid w:val="00D37273"/>
    <w:rsid w:val="00D377B1"/>
    <w:rsid w:val="00D377BC"/>
    <w:rsid w:val="00D37940"/>
    <w:rsid w:val="00D400EF"/>
    <w:rsid w:val="00D401DD"/>
    <w:rsid w:val="00D403AF"/>
    <w:rsid w:val="00D404D4"/>
    <w:rsid w:val="00D40556"/>
    <w:rsid w:val="00D40B64"/>
    <w:rsid w:val="00D410AA"/>
    <w:rsid w:val="00D41150"/>
    <w:rsid w:val="00D41673"/>
    <w:rsid w:val="00D41E2B"/>
    <w:rsid w:val="00D4208F"/>
    <w:rsid w:val="00D420DF"/>
    <w:rsid w:val="00D42345"/>
    <w:rsid w:val="00D423BB"/>
    <w:rsid w:val="00D42538"/>
    <w:rsid w:val="00D4276E"/>
    <w:rsid w:val="00D4297E"/>
    <w:rsid w:val="00D42AAD"/>
    <w:rsid w:val="00D42ACF"/>
    <w:rsid w:val="00D42B7A"/>
    <w:rsid w:val="00D42E12"/>
    <w:rsid w:val="00D4301F"/>
    <w:rsid w:val="00D43227"/>
    <w:rsid w:val="00D43445"/>
    <w:rsid w:val="00D43F49"/>
    <w:rsid w:val="00D443FE"/>
    <w:rsid w:val="00D44828"/>
    <w:rsid w:val="00D45E4B"/>
    <w:rsid w:val="00D45FCC"/>
    <w:rsid w:val="00D46058"/>
    <w:rsid w:val="00D46D02"/>
    <w:rsid w:val="00D46E8B"/>
    <w:rsid w:val="00D472DD"/>
    <w:rsid w:val="00D4738E"/>
    <w:rsid w:val="00D475E7"/>
    <w:rsid w:val="00D47858"/>
    <w:rsid w:val="00D47951"/>
    <w:rsid w:val="00D47972"/>
    <w:rsid w:val="00D479BB"/>
    <w:rsid w:val="00D47B2B"/>
    <w:rsid w:val="00D502B1"/>
    <w:rsid w:val="00D50620"/>
    <w:rsid w:val="00D50658"/>
    <w:rsid w:val="00D506B9"/>
    <w:rsid w:val="00D50707"/>
    <w:rsid w:val="00D5099C"/>
    <w:rsid w:val="00D50E9A"/>
    <w:rsid w:val="00D50ED2"/>
    <w:rsid w:val="00D51333"/>
    <w:rsid w:val="00D51FF2"/>
    <w:rsid w:val="00D520B4"/>
    <w:rsid w:val="00D5269E"/>
    <w:rsid w:val="00D52A9D"/>
    <w:rsid w:val="00D539C8"/>
    <w:rsid w:val="00D53DA5"/>
    <w:rsid w:val="00D53F7D"/>
    <w:rsid w:val="00D53F88"/>
    <w:rsid w:val="00D54234"/>
    <w:rsid w:val="00D543D0"/>
    <w:rsid w:val="00D549F6"/>
    <w:rsid w:val="00D54B30"/>
    <w:rsid w:val="00D55121"/>
    <w:rsid w:val="00D5519B"/>
    <w:rsid w:val="00D55579"/>
    <w:rsid w:val="00D55DD2"/>
    <w:rsid w:val="00D55EA9"/>
    <w:rsid w:val="00D55F85"/>
    <w:rsid w:val="00D56B92"/>
    <w:rsid w:val="00D56C20"/>
    <w:rsid w:val="00D56CB8"/>
    <w:rsid w:val="00D5728B"/>
    <w:rsid w:val="00D57332"/>
    <w:rsid w:val="00D57450"/>
    <w:rsid w:val="00D575A5"/>
    <w:rsid w:val="00D57747"/>
    <w:rsid w:val="00D578CD"/>
    <w:rsid w:val="00D602BE"/>
    <w:rsid w:val="00D60320"/>
    <w:rsid w:val="00D608D9"/>
    <w:rsid w:val="00D60B67"/>
    <w:rsid w:val="00D61012"/>
    <w:rsid w:val="00D6136C"/>
    <w:rsid w:val="00D614EE"/>
    <w:rsid w:val="00D62029"/>
    <w:rsid w:val="00D62189"/>
    <w:rsid w:val="00D6243A"/>
    <w:rsid w:val="00D624D6"/>
    <w:rsid w:val="00D62A62"/>
    <w:rsid w:val="00D62B1C"/>
    <w:rsid w:val="00D63166"/>
    <w:rsid w:val="00D6321D"/>
    <w:rsid w:val="00D64005"/>
    <w:rsid w:val="00D641A4"/>
    <w:rsid w:val="00D646B3"/>
    <w:rsid w:val="00D64C9A"/>
    <w:rsid w:val="00D64CCD"/>
    <w:rsid w:val="00D650E7"/>
    <w:rsid w:val="00D65CBB"/>
    <w:rsid w:val="00D65FDF"/>
    <w:rsid w:val="00D662A2"/>
    <w:rsid w:val="00D6679B"/>
    <w:rsid w:val="00D66881"/>
    <w:rsid w:val="00D66A1B"/>
    <w:rsid w:val="00D66B85"/>
    <w:rsid w:val="00D672D5"/>
    <w:rsid w:val="00D67B9F"/>
    <w:rsid w:val="00D67CE2"/>
    <w:rsid w:val="00D70412"/>
    <w:rsid w:val="00D7091D"/>
    <w:rsid w:val="00D7092A"/>
    <w:rsid w:val="00D70A08"/>
    <w:rsid w:val="00D70B15"/>
    <w:rsid w:val="00D70B1E"/>
    <w:rsid w:val="00D70B8D"/>
    <w:rsid w:val="00D70C04"/>
    <w:rsid w:val="00D70CF0"/>
    <w:rsid w:val="00D71259"/>
    <w:rsid w:val="00D71338"/>
    <w:rsid w:val="00D714BA"/>
    <w:rsid w:val="00D71520"/>
    <w:rsid w:val="00D715F4"/>
    <w:rsid w:val="00D71A1A"/>
    <w:rsid w:val="00D71C93"/>
    <w:rsid w:val="00D71CF8"/>
    <w:rsid w:val="00D71DD0"/>
    <w:rsid w:val="00D720F6"/>
    <w:rsid w:val="00D72285"/>
    <w:rsid w:val="00D722AE"/>
    <w:rsid w:val="00D7232F"/>
    <w:rsid w:val="00D7254A"/>
    <w:rsid w:val="00D72710"/>
    <w:rsid w:val="00D728A1"/>
    <w:rsid w:val="00D729AE"/>
    <w:rsid w:val="00D72E47"/>
    <w:rsid w:val="00D7330D"/>
    <w:rsid w:val="00D734CE"/>
    <w:rsid w:val="00D7359D"/>
    <w:rsid w:val="00D74320"/>
    <w:rsid w:val="00D7478A"/>
    <w:rsid w:val="00D74B20"/>
    <w:rsid w:val="00D74C07"/>
    <w:rsid w:val="00D7512E"/>
    <w:rsid w:val="00D7513D"/>
    <w:rsid w:val="00D75294"/>
    <w:rsid w:val="00D7530A"/>
    <w:rsid w:val="00D761C1"/>
    <w:rsid w:val="00D76518"/>
    <w:rsid w:val="00D7674D"/>
    <w:rsid w:val="00D7692D"/>
    <w:rsid w:val="00D76CDF"/>
    <w:rsid w:val="00D76D3A"/>
    <w:rsid w:val="00D77265"/>
    <w:rsid w:val="00D7760E"/>
    <w:rsid w:val="00D7787B"/>
    <w:rsid w:val="00D77AD8"/>
    <w:rsid w:val="00D77C09"/>
    <w:rsid w:val="00D805BA"/>
    <w:rsid w:val="00D80D6E"/>
    <w:rsid w:val="00D80FC6"/>
    <w:rsid w:val="00D8128F"/>
    <w:rsid w:val="00D813AE"/>
    <w:rsid w:val="00D81412"/>
    <w:rsid w:val="00D816BC"/>
    <w:rsid w:val="00D81C1D"/>
    <w:rsid w:val="00D82379"/>
    <w:rsid w:val="00D824F5"/>
    <w:rsid w:val="00D82675"/>
    <w:rsid w:val="00D82B0B"/>
    <w:rsid w:val="00D82B47"/>
    <w:rsid w:val="00D82E52"/>
    <w:rsid w:val="00D82F61"/>
    <w:rsid w:val="00D831AB"/>
    <w:rsid w:val="00D84239"/>
    <w:rsid w:val="00D848C0"/>
    <w:rsid w:val="00D85505"/>
    <w:rsid w:val="00D855C2"/>
    <w:rsid w:val="00D858D3"/>
    <w:rsid w:val="00D85A29"/>
    <w:rsid w:val="00D85A31"/>
    <w:rsid w:val="00D85A9C"/>
    <w:rsid w:val="00D85AC6"/>
    <w:rsid w:val="00D85B19"/>
    <w:rsid w:val="00D85C64"/>
    <w:rsid w:val="00D865E9"/>
    <w:rsid w:val="00D86AF8"/>
    <w:rsid w:val="00D86BA7"/>
    <w:rsid w:val="00D86E6D"/>
    <w:rsid w:val="00D86E77"/>
    <w:rsid w:val="00D87049"/>
    <w:rsid w:val="00D87159"/>
    <w:rsid w:val="00D879EE"/>
    <w:rsid w:val="00D900B8"/>
    <w:rsid w:val="00D900E7"/>
    <w:rsid w:val="00D90167"/>
    <w:rsid w:val="00D9024C"/>
    <w:rsid w:val="00D90B27"/>
    <w:rsid w:val="00D90CA9"/>
    <w:rsid w:val="00D90E28"/>
    <w:rsid w:val="00D91027"/>
    <w:rsid w:val="00D9130C"/>
    <w:rsid w:val="00D91511"/>
    <w:rsid w:val="00D91569"/>
    <w:rsid w:val="00D9217C"/>
    <w:rsid w:val="00D9276D"/>
    <w:rsid w:val="00D9292B"/>
    <w:rsid w:val="00D92970"/>
    <w:rsid w:val="00D92B65"/>
    <w:rsid w:val="00D92C8E"/>
    <w:rsid w:val="00D92D76"/>
    <w:rsid w:val="00D92E2A"/>
    <w:rsid w:val="00D92F27"/>
    <w:rsid w:val="00D9324B"/>
    <w:rsid w:val="00D9339A"/>
    <w:rsid w:val="00D93DDF"/>
    <w:rsid w:val="00D94D78"/>
    <w:rsid w:val="00D950B1"/>
    <w:rsid w:val="00D9530F"/>
    <w:rsid w:val="00D958B1"/>
    <w:rsid w:val="00D95FC5"/>
    <w:rsid w:val="00D96351"/>
    <w:rsid w:val="00D964C9"/>
    <w:rsid w:val="00D966AD"/>
    <w:rsid w:val="00D967CD"/>
    <w:rsid w:val="00D96861"/>
    <w:rsid w:val="00D968C5"/>
    <w:rsid w:val="00D968F5"/>
    <w:rsid w:val="00D96BFC"/>
    <w:rsid w:val="00D96FC4"/>
    <w:rsid w:val="00D9717C"/>
    <w:rsid w:val="00D9717E"/>
    <w:rsid w:val="00D974D4"/>
    <w:rsid w:val="00D97629"/>
    <w:rsid w:val="00D9762D"/>
    <w:rsid w:val="00D977B4"/>
    <w:rsid w:val="00D97819"/>
    <w:rsid w:val="00D9794D"/>
    <w:rsid w:val="00DA0CDC"/>
    <w:rsid w:val="00DA1004"/>
    <w:rsid w:val="00DA13EC"/>
    <w:rsid w:val="00DA18F1"/>
    <w:rsid w:val="00DA1A14"/>
    <w:rsid w:val="00DA1DCE"/>
    <w:rsid w:val="00DA227C"/>
    <w:rsid w:val="00DA22BF"/>
    <w:rsid w:val="00DA2320"/>
    <w:rsid w:val="00DA2874"/>
    <w:rsid w:val="00DA29B1"/>
    <w:rsid w:val="00DA29D7"/>
    <w:rsid w:val="00DA2B0D"/>
    <w:rsid w:val="00DA2CFD"/>
    <w:rsid w:val="00DA2EE9"/>
    <w:rsid w:val="00DA3361"/>
    <w:rsid w:val="00DA34A6"/>
    <w:rsid w:val="00DA3596"/>
    <w:rsid w:val="00DA3A8E"/>
    <w:rsid w:val="00DA3AD2"/>
    <w:rsid w:val="00DA3FF7"/>
    <w:rsid w:val="00DA48B3"/>
    <w:rsid w:val="00DA4B74"/>
    <w:rsid w:val="00DA517E"/>
    <w:rsid w:val="00DA5338"/>
    <w:rsid w:val="00DA582F"/>
    <w:rsid w:val="00DA5902"/>
    <w:rsid w:val="00DA5D28"/>
    <w:rsid w:val="00DA62D9"/>
    <w:rsid w:val="00DA6571"/>
    <w:rsid w:val="00DA7020"/>
    <w:rsid w:val="00DA7512"/>
    <w:rsid w:val="00DB019C"/>
    <w:rsid w:val="00DB05E1"/>
    <w:rsid w:val="00DB0B8B"/>
    <w:rsid w:val="00DB0C62"/>
    <w:rsid w:val="00DB1772"/>
    <w:rsid w:val="00DB1A0C"/>
    <w:rsid w:val="00DB1ABC"/>
    <w:rsid w:val="00DB1CA3"/>
    <w:rsid w:val="00DB1D39"/>
    <w:rsid w:val="00DB1FF5"/>
    <w:rsid w:val="00DB2111"/>
    <w:rsid w:val="00DB239A"/>
    <w:rsid w:val="00DB2F64"/>
    <w:rsid w:val="00DB3215"/>
    <w:rsid w:val="00DB3486"/>
    <w:rsid w:val="00DB34D7"/>
    <w:rsid w:val="00DB3591"/>
    <w:rsid w:val="00DB3D31"/>
    <w:rsid w:val="00DB41C5"/>
    <w:rsid w:val="00DB436B"/>
    <w:rsid w:val="00DB4378"/>
    <w:rsid w:val="00DB4463"/>
    <w:rsid w:val="00DB4722"/>
    <w:rsid w:val="00DB49C4"/>
    <w:rsid w:val="00DB4E40"/>
    <w:rsid w:val="00DB5803"/>
    <w:rsid w:val="00DB5809"/>
    <w:rsid w:val="00DB58DB"/>
    <w:rsid w:val="00DB5C87"/>
    <w:rsid w:val="00DB5EB2"/>
    <w:rsid w:val="00DB5FD3"/>
    <w:rsid w:val="00DB63C0"/>
    <w:rsid w:val="00DB650E"/>
    <w:rsid w:val="00DB66D4"/>
    <w:rsid w:val="00DB6A26"/>
    <w:rsid w:val="00DB6F1A"/>
    <w:rsid w:val="00DB71A7"/>
    <w:rsid w:val="00DB7D50"/>
    <w:rsid w:val="00DB7D8D"/>
    <w:rsid w:val="00DC01C1"/>
    <w:rsid w:val="00DC0220"/>
    <w:rsid w:val="00DC032A"/>
    <w:rsid w:val="00DC07F7"/>
    <w:rsid w:val="00DC0E09"/>
    <w:rsid w:val="00DC0E4B"/>
    <w:rsid w:val="00DC13BB"/>
    <w:rsid w:val="00DC1862"/>
    <w:rsid w:val="00DC1E0E"/>
    <w:rsid w:val="00DC1E70"/>
    <w:rsid w:val="00DC2014"/>
    <w:rsid w:val="00DC28F0"/>
    <w:rsid w:val="00DC2B42"/>
    <w:rsid w:val="00DC30DC"/>
    <w:rsid w:val="00DC332C"/>
    <w:rsid w:val="00DC3A3A"/>
    <w:rsid w:val="00DC3AAD"/>
    <w:rsid w:val="00DC4214"/>
    <w:rsid w:val="00DC4E6B"/>
    <w:rsid w:val="00DC4F26"/>
    <w:rsid w:val="00DC57EB"/>
    <w:rsid w:val="00DC5A2B"/>
    <w:rsid w:val="00DC5D1A"/>
    <w:rsid w:val="00DC608C"/>
    <w:rsid w:val="00DC61DA"/>
    <w:rsid w:val="00DC65F9"/>
    <w:rsid w:val="00DC70CD"/>
    <w:rsid w:val="00DC7279"/>
    <w:rsid w:val="00DC73D2"/>
    <w:rsid w:val="00DC799E"/>
    <w:rsid w:val="00DC7E22"/>
    <w:rsid w:val="00DC7E9A"/>
    <w:rsid w:val="00DD031C"/>
    <w:rsid w:val="00DD05F6"/>
    <w:rsid w:val="00DD0B0A"/>
    <w:rsid w:val="00DD135D"/>
    <w:rsid w:val="00DD1B3F"/>
    <w:rsid w:val="00DD1B5D"/>
    <w:rsid w:val="00DD245A"/>
    <w:rsid w:val="00DD249B"/>
    <w:rsid w:val="00DD2642"/>
    <w:rsid w:val="00DD2DB9"/>
    <w:rsid w:val="00DD2EDE"/>
    <w:rsid w:val="00DD304A"/>
    <w:rsid w:val="00DD356B"/>
    <w:rsid w:val="00DD3C85"/>
    <w:rsid w:val="00DD3D20"/>
    <w:rsid w:val="00DD3D75"/>
    <w:rsid w:val="00DD3E2E"/>
    <w:rsid w:val="00DD499D"/>
    <w:rsid w:val="00DD49F8"/>
    <w:rsid w:val="00DD4C37"/>
    <w:rsid w:val="00DD4F70"/>
    <w:rsid w:val="00DD5378"/>
    <w:rsid w:val="00DD540D"/>
    <w:rsid w:val="00DD572A"/>
    <w:rsid w:val="00DD5757"/>
    <w:rsid w:val="00DD5815"/>
    <w:rsid w:val="00DD5A04"/>
    <w:rsid w:val="00DD5B4B"/>
    <w:rsid w:val="00DD5BA9"/>
    <w:rsid w:val="00DD5DED"/>
    <w:rsid w:val="00DD5EC4"/>
    <w:rsid w:val="00DD60CB"/>
    <w:rsid w:val="00DD64AC"/>
    <w:rsid w:val="00DD67B8"/>
    <w:rsid w:val="00DD6892"/>
    <w:rsid w:val="00DD69FC"/>
    <w:rsid w:val="00DD6C00"/>
    <w:rsid w:val="00DD6EB6"/>
    <w:rsid w:val="00DD7025"/>
    <w:rsid w:val="00DD7611"/>
    <w:rsid w:val="00DD782F"/>
    <w:rsid w:val="00DD78F2"/>
    <w:rsid w:val="00DD7D82"/>
    <w:rsid w:val="00DD7DB4"/>
    <w:rsid w:val="00DD7E9E"/>
    <w:rsid w:val="00DE04B2"/>
    <w:rsid w:val="00DE06AC"/>
    <w:rsid w:val="00DE0756"/>
    <w:rsid w:val="00DE0918"/>
    <w:rsid w:val="00DE0ABC"/>
    <w:rsid w:val="00DE0D6E"/>
    <w:rsid w:val="00DE0FF8"/>
    <w:rsid w:val="00DE14EB"/>
    <w:rsid w:val="00DE154F"/>
    <w:rsid w:val="00DE16C6"/>
    <w:rsid w:val="00DE16FC"/>
    <w:rsid w:val="00DE178C"/>
    <w:rsid w:val="00DE1B1C"/>
    <w:rsid w:val="00DE1CF0"/>
    <w:rsid w:val="00DE1E4F"/>
    <w:rsid w:val="00DE25C1"/>
    <w:rsid w:val="00DE261E"/>
    <w:rsid w:val="00DE2872"/>
    <w:rsid w:val="00DE2A03"/>
    <w:rsid w:val="00DE2F40"/>
    <w:rsid w:val="00DE32C6"/>
    <w:rsid w:val="00DE363E"/>
    <w:rsid w:val="00DE3717"/>
    <w:rsid w:val="00DE3FE4"/>
    <w:rsid w:val="00DE401D"/>
    <w:rsid w:val="00DE40AD"/>
    <w:rsid w:val="00DE456B"/>
    <w:rsid w:val="00DE46E9"/>
    <w:rsid w:val="00DE4EE3"/>
    <w:rsid w:val="00DE56E9"/>
    <w:rsid w:val="00DE5C6B"/>
    <w:rsid w:val="00DE5CCF"/>
    <w:rsid w:val="00DE5D7B"/>
    <w:rsid w:val="00DE5E1A"/>
    <w:rsid w:val="00DE62DC"/>
    <w:rsid w:val="00DE6447"/>
    <w:rsid w:val="00DE67FA"/>
    <w:rsid w:val="00DE69A4"/>
    <w:rsid w:val="00DE6C9D"/>
    <w:rsid w:val="00DE7343"/>
    <w:rsid w:val="00DE768A"/>
    <w:rsid w:val="00DE76BD"/>
    <w:rsid w:val="00DE76CA"/>
    <w:rsid w:val="00DE775D"/>
    <w:rsid w:val="00DE79EA"/>
    <w:rsid w:val="00DE7BDA"/>
    <w:rsid w:val="00DE7FB5"/>
    <w:rsid w:val="00DF0065"/>
    <w:rsid w:val="00DF0187"/>
    <w:rsid w:val="00DF0624"/>
    <w:rsid w:val="00DF09B4"/>
    <w:rsid w:val="00DF0ADA"/>
    <w:rsid w:val="00DF109E"/>
    <w:rsid w:val="00DF1312"/>
    <w:rsid w:val="00DF1482"/>
    <w:rsid w:val="00DF1D74"/>
    <w:rsid w:val="00DF1F5A"/>
    <w:rsid w:val="00DF214A"/>
    <w:rsid w:val="00DF2196"/>
    <w:rsid w:val="00DF26C0"/>
    <w:rsid w:val="00DF2C2D"/>
    <w:rsid w:val="00DF2D54"/>
    <w:rsid w:val="00DF2DC9"/>
    <w:rsid w:val="00DF3353"/>
    <w:rsid w:val="00DF364B"/>
    <w:rsid w:val="00DF3705"/>
    <w:rsid w:val="00DF3884"/>
    <w:rsid w:val="00DF3A5E"/>
    <w:rsid w:val="00DF3BD4"/>
    <w:rsid w:val="00DF3BE5"/>
    <w:rsid w:val="00DF3BFF"/>
    <w:rsid w:val="00DF3DAD"/>
    <w:rsid w:val="00DF3E57"/>
    <w:rsid w:val="00DF415C"/>
    <w:rsid w:val="00DF4AA1"/>
    <w:rsid w:val="00DF4B21"/>
    <w:rsid w:val="00DF4BB7"/>
    <w:rsid w:val="00DF4CF8"/>
    <w:rsid w:val="00DF517E"/>
    <w:rsid w:val="00DF54D7"/>
    <w:rsid w:val="00DF569D"/>
    <w:rsid w:val="00DF5D4B"/>
    <w:rsid w:val="00DF5EA2"/>
    <w:rsid w:val="00DF6096"/>
    <w:rsid w:val="00DF669B"/>
    <w:rsid w:val="00DF7177"/>
    <w:rsid w:val="00DF7622"/>
    <w:rsid w:val="00DF76B5"/>
    <w:rsid w:val="00DF78A9"/>
    <w:rsid w:val="00E010B3"/>
    <w:rsid w:val="00E01112"/>
    <w:rsid w:val="00E01273"/>
    <w:rsid w:val="00E01443"/>
    <w:rsid w:val="00E01816"/>
    <w:rsid w:val="00E0213B"/>
    <w:rsid w:val="00E022C7"/>
    <w:rsid w:val="00E02360"/>
    <w:rsid w:val="00E0261E"/>
    <w:rsid w:val="00E02B20"/>
    <w:rsid w:val="00E0301F"/>
    <w:rsid w:val="00E03213"/>
    <w:rsid w:val="00E03825"/>
    <w:rsid w:val="00E0386A"/>
    <w:rsid w:val="00E0416B"/>
    <w:rsid w:val="00E04506"/>
    <w:rsid w:val="00E0468E"/>
    <w:rsid w:val="00E04AA6"/>
    <w:rsid w:val="00E0503B"/>
    <w:rsid w:val="00E052FB"/>
    <w:rsid w:val="00E0532B"/>
    <w:rsid w:val="00E058F6"/>
    <w:rsid w:val="00E05EFA"/>
    <w:rsid w:val="00E0658E"/>
    <w:rsid w:val="00E065D5"/>
    <w:rsid w:val="00E066CD"/>
    <w:rsid w:val="00E06813"/>
    <w:rsid w:val="00E06A4D"/>
    <w:rsid w:val="00E06A61"/>
    <w:rsid w:val="00E06CFA"/>
    <w:rsid w:val="00E0719A"/>
    <w:rsid w:val="00E072C9"/>
    <w:rsid w:val="00E07AFA"/>
    <w:rsid w:val="00E07F95"/>
    <w:rsid w:val="00E10069"/>
    <w:rsid w:val="00E10725"/>
    <w:rsid w:val="00E108FB"/>
    <w:rsid w:val="00E1094F"/>
    <w:rsid w:val="00E10A3F"/>
    <w:rsid w:val="00E10C3F"/>
    <w:rsid w:val="00E1120E"/>
    <w:rsid w:val="00E11F05"/>
    <w:rsid w:val="00E123CA"/>
    <w:rsid w:val="00E12577"/>
    <w:rsid w:val="00E12BE1"/>
    <w:rsid w:val="00E130CD"/>
    <w:rsid w:val="00E132BB"/>
    <w:rsid w:val="00E132E2"/>
    <w:rsid w:val="00E13629"/>
    <w:rsid w:val="00E13672"/>
    <w:rsid w:val="00E13904"/>
    <w:rsid w:val="00E13928"/>
    <w:rsid w:val="00E13AD2"/>
    <w:rsid w:val="00E13F14"/>
    <w:rsid w:val="00E1420E"/>
    <w:rsid w:val="00E14621"/>
    <w:rsid w:val="00E147B3"/>
    <w:rsid w:val="00E1485F"/>
    <w:rsid w:val="00E14F18"/>
    <w:rsid w:val="00E150FD"/>
    <w:rsid w:val="00E15366"/>
    <w:rsid w:val="00E1548C"/>
    <w:rsid w:val="00E1563C"/>
    <w:rsid w:val="00E15BA4"/>
    <w:rsid w:val="00E15C39"/>
    <w:rsid w:val="00E16078"/>
    <w:rsid w:val="00E1615F"/>
    <w:rsid w:val="00E16241"/>
    <w:rsid w:val="00E166BC"/>
    <w:rsid w:val="00E16992"/>
    <w:rsid w:val="00E1734C"/>
    <w:rsid w:val="00E175B1"/>
    <w:rsid w:val="00E1792B"/>
    <w:rsid w:val="00E17AD2"/>
    <w:rsid w:val="00E20255"/>
    <w:rsid w:val="00E20520"/>
    <w:rsid w:val="00E205C1"/>
    <w:rsid w:val="00E2089B"/>
    <w:rsid w:val="00E20A8C"/>
    <w:rsid w:val="00E20C32"/>
    <w:rsid w:val="00E20EC7"/>
    <w:rsid w:val="00E210D4"/>
    <w:rsid w:val="00E21382"/>
    <w:rsid w:val="00E21ABC"/>
    <w:rsid w:val="00E21ACF"/>
    <w:rsid w:val="00E21D38"/>
    <w:rsid w:val="00E22045"/>
    <w:rsid w:val="00E22F81"/>
    <w:rsid w:val="00E23244"/>
    <w:rsid w:val="00E238AD"/>
    <w:rsid w:val="00E23926"/>
    <w:rsid w:val="00E24791"/>
    <w:rsid w:val="00E2480F"/>
    <w:rsid w:val="00E24810"/>
    <w:rsid w:val="00E248CC"/>
    <w:rsid w:val="00E2525C"/>
    <w:rsid w:val="00E25A82"/>
    <w:rsid w:val="00E25FFD"/>
    <w:rsid w:val="00E26DA8"/>
    <w:rsid w:val="00E277ED"/>
    <w:rsid w:val="00E27C19"/>
    <w:rsid w:val="00E27C62"/>
    <w:rsid w:val="00E30165"/>
    <w:rsid w:val="00E30289"/>
    <w:rsid w:val="00E30366"/>
    <w:rsid w:val="00E30415"/>
    <w:rsid w:val="00E30759"/>
    <w:rsid w:val="00E30AAD"/>
    <w:rsid w:val="00E30D88"/>
    <w:rsid w:val="00E30EC5"/>
    <w:rsid w:val="00E31027"/>
    <w:rsid w:val="00E311C5"/>
    <w:rsid w:val="00E317B6"/>
    <w:rsid w:val="00E3199B"/>
    <w:rsid w:val="00E31C22"/>
    <w:rsid w:val="00E31D81"/>
    <w:rsid w:val="00E31E70"/>
    <w:rsid w:val="00E32018"/>
    <w:rsid w:val="00E32BFA"/>
    <w:rsid w:val="00E32E6B"/>
    <w:rsid w:val="00E3316D"/>
    <w:rsid w:val="00E332B2"/>
    <w:rsid w:val="00E332C7"/>
    <w:rsid w:val="00E335C9"/>
    <w:rsid w:val="00E33B0C"/>
    <w:rsid w:val="00E33D4C"/>
    <w:rsid w:val="00E33F66"/>
    <w:rsid w:val="00E33FA3"/>
    <w:rsid w:val="00E34070"/>
    <w:rsid w:val="00E344CD"/>
    <w:rsid w:val="00E346DB"/>
    <w:rsid w:val="00E34FD7"/>
    <w:rsid w:val="00E35613"/>
    <w:rsid w:val="00E363B4"/>
    <w:rsid w:val="00E363EE"/>
    <w:rsid w:val="00E36423"/>
    <w:rsid w:val="00E3645D"/>
    <w:rsid w:val="00E366F5"/>
    <w:rsid w:val="00E3674D"/>
    <w:rsid w:val="00E36BBE"/>
    <w:rsid w:val="00E36F6D"/>
    <w:rsid w:val="00E37283"/>
    <w:rsid w:val="00E372BE"/>
    <w:rsid w:val="00E3733A"/>
    <w:rsid w:val="00E375DF"/>
    <w:rsid w:val="00E379DC"/>
    <w:rsid w:val="00E37B2E"/>
    <w:rsid w:val="00E37F31"/>
    <w:rsid w:val="00E40401"/>
    <w:rsid w:val="00E4045B"/>
    <w:rsid w:val="00E40672"/>
    <w:rsid w:val="00E406CD"/>
    <w:rsid w:val="00E4092A"/>
    <w:rsid w:val="00E40E33"/>
    <w:rsid w:val="00E40E8A"/>
    <w:rsid w:val="00E410AA"/>
    <w:rsid w:val="00E41132"/>
    <w:rsid w:val="00E413C3"/>
    <w:rsid w:val="00E41854"/>
    <w:rsid w:val="00E41AD5"/>
    <w:rsid w:val="00E41DE1"/>
    <w:rsid w:val="00E42568"/>
    <w:rsid w:val="00E426FB"/>
    <w:rsid w:val="00E42ACC"/>
    <w:rsid w:val="00E42E83"/>
    <w:rsid w:val="00E42F21"/>
    <w:rsid w:val="00E43006"/>
    <w:rsid w:val="00E43033"/>
    <w:rsid w:val="00E431CE"/>
    <w:rsid w:val="00E43F18"/>
    <w:rsid w:val="00E442C4"/>
    <w:rsid w:val="00E44D94"/>
    <w:rsid w:val="00E4505D"/>
    <w:rsid w:val="00E45276"/>
    <w:rsid w:val="00E4538E"/>
    <w:rsid w:val="00E458C7"/>
    <w:rsid w:val="00E45CF5"/>
    <w:rsid w:val="00E46165"/>
    <w:rsid w:val="00E46236"/>
    <w:rsid w:val="00E4660B"/>
    <w:rsid w:val="00E46EF6"/>
    <w:rsid w:val="00E4703F"/>
    <w:rsid w:val="00E475AA"/>
    <w:rsid w:val="00E47988"/>
    <w:rsid w:val="00E479BF"/>
    <w:rsid w:val="00E47A09"/>
    <w:rsid w:val="00E47B35"/>
    <w:rsid w:val="00E501A9"/>
    <w:rsid w:val="00E50286"/>
    <w:rsid w:val="00E5056F"/>
    <w:rsid w:val="00E50757"/>
    <w:rsid w:val="00E50C9E"/>
    <w:rsid w:val="00E50E01"/>
    <w:rsid w:val="00E51301"/>
    <w:rsid w:val="00E51505"/>
    <w:rsid w:val="00E516F8"/>
    <w:rsid w:val="00E51A99"/>
    <w:rsid w:val="00E51D7A"/>
    <w:rsid w:val="00E52335"/>
    <w:rsid w:val="00E523E3"/>
    <w:rsid w:val="00E52A90"/>
    <w:rsid w:val="00E52ACA"/>
    <w:rsid w:val="00E52B3A"/>
    <w:rsid w:val="00E530A7"/>
    <w:rsid w:val="00E533C4"/>
    <w:rsid w:val="00E534FF"/>
    <w:rsid w:val="00E5374F"/>
    <w:rsid w:val="00E53847"/>
    <w:rsid w:val="00E53ABE"/>
    <w:rsid w:val="00E53B50"/>
    <w:rsid w:val="00E541EF"/>
    <w:rsid w:val="00E54372"/>
    <w:rsid w:val="00E5465E"/>
    <w:rsid w:val="00E54D45"/>
    <w:rsid w:val="00E54E2E"/>
    <w:rsid w:val="00E5501D"/>
    <w:rsid w:val="00E552B6"/>
    <w:rsid w:val="00E552F7"/>
    <w:rsid w:val="00E559C6"/>
    <w:rsid w:val="00E55AA9"/>
    <w:rsid w:val="00E55B0F"/>
    <w:rsid w:val="00E55C25"/>
    <w:rsid w:val="00E55C53"/>
    <w:rsid w:val="00E55D04"/>
    <w:rsid w:val="00E55DA8"/>
    <w:rsid w:val="00E5636D"/>
    <w:rsid w:val="00E567AD"/>
    <w:rsid w:val="00E56C4B"/>
    <w:rsid w:val="00E56EB8"/>
    <w:rsid w:val="00E571D5"/>
    <w:rsid w:val="00E57526"/>
    <w:rsid w:val="00E575FF"/>
    <w:rsid w:val="00E57D9F"/>
    <w:rsid w:val="00E60657"/>
    <w:rsid w:val="00E60A11"/>
    <w:rsid w:val="00E60AE3"/>
    <w:rsid w:val="00E60D8B"/>
    <w:rsid w:val="00E60E9F"/>
    <w:rsid w:val="00E60FD8"/>
    <w:rsid w:val="00E61A66"/>
    <w:rsid w:val="00E61DED"/>
    <w:rsid w:val="00E61FDC"/>
    <w:rsid w:val="00E6201B"/>
    <w:rsid w:val="00E627E9"/>
    <w:rsid w:val="00E6295B"/>
    <w:rsid w:val="00E62B62"/>
    <w:rsid w:val="00E62C15"/>
    <w:rsid w:val="00E62DA3"/>
    <w:rsid w:val="00E631CF"/>
    <w:rsid w:val="00E63289"/>
    <w:rsid w:val="00E635B5"/>
    <w:rsid w:val="00E63653"/>
    <w:rsid w:val="00E63752"/>
    <w:rsid w:val="00E6448E"/>
    <w:rsid w:val="00E64D29"/>
    <w:rsid w:val="00E64F1D"/>
    <w:rsid w:val="00E65346"/>
    <w:rsid w:val="00E655E9"/>
    <w:rsid w:val="00E65630"/>
    <w:rsid w:val="00E657CD"/>
    <w:rsid w:val="00E65856"/>
    <w:rsid w:val="00E65BE3"/>
    <w:rsid w:val="00E65CF7"/>
    <w:rsid w:val="00E65FED"/>
    <w:rsid w:val="00E666C1"/>
    <w:rsid w:val="00E668CB"/>
    <w:rsid w:val="00E66964"/>
    <w:rsid w:val="00E66AAB"/>
    <w:rsid w:val="00E67340"/>
    <w:rsid w:val="00E6785C"/>
    <w:rsid w:val="00E679CC"/>
    <w:rsid w:val="00E67A4E"/>
    <w:rsid w:val="00E67A5C"/>
    <w:rsid w:val="00E67E22"/>
    <w:rsid w:val="00E70901"/>
    <w:rsid w:val="00E70CEC"/>
    <w:rsid w:val="00E7141A"/>
    <w:rsid w:val="00E7150D"/>
    <w:rsid w:val="00E7198A"/>
    <w:rsid w:val="00E71B22"/>
    <w:rsid w:val="00E71F3E"/>
    <w:rsid w:val="00E72548"/>
    <w:rsid w:val="00E72A2F"/>
    <w:rsid w:val="00E72A6F"/>
    <w:rsid w:val="00E72F14"/>
    <w:rsid w:val="00E72FAF"/>
    <w:rsid w:val="00E733C6"/>
    <w:rsid w:val="00E73754"/>
    <w:rsid w:val="00E73836"/>
    <w:rsid w:val="00E73BCA"/>
    <w:rsid w:val="00E73ED5"/>
    <w:rsid w:val="00E74624"/>
    <w:rsid w:val="00E746B5"/>
    <w:rsid w:val="00E7473B"/>
    <w:rsid w:val="00E7526D"/>
    <w:rsid w:val="00E756A2"/>
    <w:rsid w:val="00E7599D"/>
    <w:rsid w:val="00E75AD0"/>
    <w:rsid w:val="00E75EAE"/>
    <w:rsid w:val="00E764A9"/>
    <w:rsid w:val="00E768AE"/>
    <w:rsid w:val="00E768FE"/>
    <w:rsid w:val="00E76B40"/>
    <w:rsid w:val="00E77303"/>
    <w:rsid w:val="00E77567"/>
    <w:rsid w:val="00E77753"/>
    <w:rsid w:val="00E809F7"/>
    <w:rsid w:val="00E80F75"/>
    <w:rsid w:val="00E813CA"/>
    <w:rsid w:val="00E81548"/>
    <w:rsid w:val="00E8158B"/>
    <w:rsid w:val="00E81B7B"/>
    <w:rsid w:val="00E81E17"/>
    <w:rsid w:val="00E81FFB"/>
    <w:rsid w:val="00E8203D"/>
    <w:rsid w:val="00E8218D"/>
    <w:rsid w:val="00E826D5"/>
    <w:rsid w:val="00E83C96"/>
    <w:rsid w:val="00E83EC3"/>
    <w:rsid w:val="00E84D62"/>
    <w:rsid w:val="00E8534D"/>
    <w:rsid w:val="00E85CD9"/>
    <w:rsid w:val="00E85F25"/>
    <w:rsid w:val="00E8601E"/>
    <w:rsid w:val="00E860E3"/>
    <w:rsid w:val="00E8631A"/>
    <w:rsid w:val="00E86EE0"/>
    <w:rsid w:val="00E871D3"/>
    <w:rsid w:val="00E878E3"/>
    <w:rsid w:val="00E87A63"/>
    <w:rsid w:val="00E87F3D"/>
    <w:rsid w:val="00E87F4C"/>
    <w:rsid w:val="00E90057"/>
    <w:rsid w:val="00E90379"/>
    <w:rsid w:val="00E9076D"/>
    <w:rsid w:val="00E909D8"/>
    <w:rsid w:val="00E90AE1"/>
    <w:rsid w:val="00E90B22"/>
    <w:rsid w:val="00E90CF6"/>
    <w:rsid w:val="00E9132C"/>
    <w:rsid w:val="00E914F6"/>
    <w:rsid w:val="00E91515"/>
    <w:rsid w:val="00E91883"/>
    <w:rsid w:val="00E91949"/>
    <w:rsid w:val="00E91D3B"/>
    <w:rsid w:val="00E9201A"/>
    <w:rsid w:val="00E921C6"/>
    <w:rsid w:val="00E923D0"/>
    <w:rsid w:val="00E92AB9"/>
    <w:rsid w:val="00E92C47"/>
    <w:rsid w:val="00E92D83"/>
    <w:rsid w:val="00E92E1C"/>
    <w:rsid w:val="00E930D9"/>
    <w:rsid w:val="00E935A5"/>
    <w:rsid w:val="00E93B9B"/>
    <w:rsid w:val="00E93D57"/>
    <w:rsid w:val="00E93F29"/>
    <w:rsid w:val="00E945AD"/>
    <w:rsid w:val="00E947DB"/>
    <w:rsid w:val="00E94E25"/>
    <w:rsid w:val="00E94EB4"/>
    <w:rsid w:val="00E94F3F"/>
    <w:rsid w:val="00E9527A"/>
    <w:rsid w:val="00E954A9"/>
    <w:rsid w:val="00E95AEA"/>
    <w:rsid w:val="00E95C12"/>
    <w:rsid w:val="00E96355"/>
    <w:rsid w:val="00E96442"/>
    <w:rsid w:val="00E9663D"/>
    <w:rsid w:val="00E9678E"/>
    <w:rsid w:val="00E969C1"/>
    <w:rsid w:val="00E96D39"/>
    <w:rsid w:val="00E96E0A"/>
    <w:rsid w:val="00E96F24"/>
    <w:rsid w:val="00E972A4"/>
    <w:rsid w:val="00E9743C"/>
    <w:rsid w:val="00E97920"/>
    <w:rsid w:val="00E97BB8"/>
    <w:rsid w:val="00E97DD2"/>
    <w:rsid w:val="00E97E17"/>
    <w:rsid w:val="00E97E3C"/>
    <w:rsid w:val="00E97E81"/>
    <w:rsid w:val="00EA1227"/>
    <w:rsid w:val="00EA1246"/>
    <w:rsid w:val="00EA16B2"/>
    <w:rsid w:val="00EA176D"/>
    <w:rsid w:val="00EA1964"/>
    <w:rsid w:val="00EA19C0"/>
    <w:rsid w:val="00EA1BC8"/>
    <w:rsid w:val="00EA22B4"/>
    <w:rsid w:val="00EA2D3A"/>
    <w:rsid w:val="00EA2F06"/>
    <w:rsid w:val="00EA30FA"/>
    <w:rsid w:val="00EA3107"/>
    <w:rsid w:val="00EA3723"/>
    <w:rsid w:val="00EA3896"/>
    <w:rsid w:val="00EA3950"/>
    <w:rsid w:val="00EA3A3C"/>
    <w:rsid w:val="00EA3BE7"/>
    <w:rsid w:val="00EA3F6C"/>
    <w:rsid w:val="00EA4E1B"/>
    <w:rsid w:val="00EA4F14"/>
    <w:rsid w:val="00EA51FE"/>
    <w:rsid w:val="00EA5274"/>
    <w:rsid w:val="00EA5A9D"/>
    <w:rsid w:val="00EA648F"/>
    <w:rsid w:val="00EA6711"/>
    <w:rsid w:val="00EA67D8"/>
    <w:rsid w:val="00EA69E2"/>
    <w:rsid w:val="00EA6BFC"/>
    <w:rsid w:val="00EA6FB7"/>
    <w:rsid w:val="00EA711A"/>
    <w:rsid w:val="00EA7158"/>
    <w:rsid w:val="00EA718F"/>
    <w:rsid w:val="00EA751A"/>
    <w:rsid w:val="00EA78AA"/>
    <w:rsid w:val="00EA7AEE"/>
    <w:rsid w:val="00EA7D26"/>
    <w:rsid w:val="00EB003B"/>
    <w:rsid w:val="00EB07C1"/>
    <w:rsid w:val="00EB09C3"/>
    <w:rsid w:val="00EB0AD0"/>
    <w:rsid w:val="00EB0C58"/>
    <w:rsid w:val="00EB0DF0"/>
    <w:rsid w:val="00EB1CB7"/>
    <w:rsid w:val="00EB1DF9"/>
    <w:rsid w:val="00EB245B"/>
    <w:rsid w:val="00EB296B"/>
    <w:rsid w:val="00EB2E52"/>
    <w:rsid w:val="00EB2F82"/>
    <w:rsid w:val="00EB2F8E"/>
    <w:rsid w:val="00EB2FE7"/>
    <w:rsid w:val="00EB34F2"/>
    <w:rsid w:val="00EB35CD"/>
    <w:rsid w:val="00EB3AC1"/>
    <w:rsid w:val="00EB4191"/>
    <w:rsid w:val="00EB43B1"/>
    <w:rsid w:val="00EB46E3"/>
    <w:rsid w:val="00EB4869"/>
    <w:rsid w:val="00EB4DBD"/>
    <w:rsid w:val="00EB55A3"/>
    <w:rsid w:val="00EB5AE6"/>
    <w:rsid w:val="00EB5AF7"/>
    <w:rsid w:val="00EB6899"/>
    <w:rsid w:val="00EB692E"/>
    <w:rsid w:val="00EB6DBB"/>
    <w:rsid w:val="00EB7064"/>
    <w:rsid w:val="00EB7292"/>
    <w:rsid w:val="00EB72D8"/>
    <w:rsid w:val="00EB79E1"/>
    <w:rsid w:val="00EB7EAF"/>
    <w:rsid w:val="00EC0026"/>
    <w:rsid w:val="00EC061E"/>
    <w:rsid w:val="00EC0F34"/>
    <w:rsid w:val="00EC1366"/>
    <w:rsid w:val="00EC146B"/>
    <w:rsid w:val="00EC1B0B"/>
    <w:rsid w:val="00EC1D14"/>
    <w:rsid w:val="00EC1DCA"/>
    <w:rsid w:val="00EC1DFA"/>
    <w:rsid w:val="00EC1E55"/>
    <w:rsid w:val="00EC2361"/>
    <w:rsid w:val="00EC251B"/>
    <w:rsid w:val="00EC2BA3"/>
    <w:rsid w:val="00EC2CF6"/>
    <w:rsid w:val="00EC37E3"/>
    <w:rsid w:val="00EC3A17"/>
    <w:rsid w:val="00EC3AD5"/>
    <w:rsid w:val="00EC3F3D"/>
    <w:rsid w:val="00EC4156"/>
    <w:rsid w:val="00EC43B3"/>
    <w:rsid w:val="00EC49F4"/>
    <w:rsid w:val="00EC4C64"/>
    <w:rsid w:val="00EC4EBE"/>
    <w:rsid w:val="00EC50C3"/>
    <w:rsid w:val="00EC536E"/>
    <w:rsid w:val="00EC5480"/>
    <w:rsid w:val="00EC5BA2"/>
    <w:rsid w:val="00EC5E2B"/>
    <w:rsid w:val="00EC6DC5"/>
    <w:rsid w:val="00EC6F7A"/>
    <w:rsid w:val="00EC7DCC"/>
    <w:rsid w:val="00EC7F53"/>
    <w:rsid w:val="00ED00C8"/>
    <w:rsid w:val="00ED0143"/>
    <w:rsid w:val="00ED0484"/>
    <w:rsid w:val="00ED0C1A"/>
    <w:rsid w:val="00ED0D77"/>
    <w:rsid w:val="00ED1053"/>
    <w:rsid w:val="00ED1340"/>
    <w:rsid w:val="00ED15D1"/>
    <w:rsid w:val="00ED1CD6"/>
    <w:rsid w:val="00ED1D6E"/>
    <w:rsid w:val="00ED1FEB"/>
    <w:rsid w:val="00ED1FF9"/>
    <w:rsid w:val="00ED20C1"/>
    <w:rsid w:val="00ED2168"/>
    <w:rsid w:val="00ED25F2"/>
    <w:rsid w:val="00ED2670"/>
    <w:rsid w:val="00ED2E8D"/>
    <w:rsid w:val="00ED3D88"/>
    <w:rsid w:val="00ED3F1F"/>
    <w:rsid w:val="00ED4475"/>
    <w:rsid w:val="00ED4B22"/>
    <w:rsid w:val="00ED4C8B"/>
    <w:rsid w:val="00ED5928"/>
    <w:rsid w:val="00ED5A46"/>
    <w:rsid w:val="00ED5B12"/>
    <w:rsid w:val="00ED5D41"/>
    <w:rsid w:val="00ED61B5"/>
    <w:rsid w:val="00ED65A7"/>
    <w:rsid w:val="00ED68E2"/>
    <w:rsid w:val="00ED69BD"/>
    <w:rsid w:val="00ED6BE3"/>
    <w:rsid w:val="00ED6F09"/>
    <w:rsid w:val="00ED703A"/>
    <w:rsid w:val="00ED703E"/>
    <w:rsid w:val="00ED73CC"/>
    <w:rsid w:val="00ED7679"/>
    <w:rsid w:val="00EE0041"/>
    <w:rsid w:val="00EE01A9"/>
    <w:rsid w:val="00EE0624"/>
    <w:rsid w:val="00EE0BD7"/>
    <w:rsid w:val="00EE0D33"/>
    <w:rsid w:val="00EE1794"/>
    <w:rsid w:val="00EE1AB8"/>
    <w:rsid w:val="00EE1DF1"/>
    <w:rsid w:val="00EE1EFD"/>
    <w:rsid w:val="00EE23F7"/>
    <w:rsid w:val="00EE28AC"/>
    <w:rsid w:val="00EE2F96"/>
    <w:rsid w:val="00EE3667"/>
    <w:rsid w:val="00EE387C"/>
    <w:rsid w:val="00EE3F2A"/>
    <w:rsid w:val="00EE40FB"/>
    <w:rsid w:val="00EE4898"/>
    <w:rsid w:val="00EE48FB"/>
    <w:rsid w:val="00EE51C9"/>
    <w:rsid w:val="00EE55A9"/>
    <w:rsid w:val="00EE55F6"/>
    <w:rsid w:val="00EE56A2"/>
    <w:rsid w:val="00EE57DB"/>
    <w:rsid w:val="00EE5D82"/>
    <w:rsid w:val="00EE5DD5"/>
    <w:rsid w:val="00EE60E5"/>
    <w:rsid w:val="00EE68A2"/>
    <w:rsid w:val="00EE68F1"/>
    <w:rsid w:val="00EE6E9F"/>
    <w:rsid w:val="00EE78EB"/>
    <w:rsid w:val="00EE793D"/>
    <w:rsid w:val="00EE79A1"/>
    <w:rsid w:val="00EE79F2"/>
    <w:rsid w:val="00EE7B6C"/>
    <w:rsid w:val="00EE7DFD"/>
    <w:rsid w:val="00EE7F45"/>
    <w:rsid w:val="00EF027B"/>
    <w:rsid w:val="00EF047D"/>
    <w:rsid w:val="00EF075D"/>
    <w:rsid w:val="00EF0BA5"/>
    <w:rsid w:val="00EF1791"/>
    <w:rsid w:val="00EF1883"/>
    <w:rsid w:val="00EF1E25"/>
    <w:rsid w:val="00EF2456"/>
    <w:rsid w:val="00EF2A20"/>
    <w:rsid w:val="00EF2FC4"/>
    <w:rsid w:val="00EF360E"/>
    <w:rsid w:val="00EF3685"/>
    <w:rsid w:val="00EF3AAD"/>
    <w:rsid w:val="00EF4057"/>
    <w:rsid w:val="00EF40FE"/>
    <w:rsid w:val="00EF4151"/>
    <w:rsid w:val="00EF43F7"/>
    <w:rsid w:val="00EF4594"/>
    <w:rsid w:val="00EF4794"/>
    <w:rsid w:val="00EF4B6E"/>
    <w:rsid w:val="00EF53A7"/>
    <w:rsid w:val="00EF560B"/>
    <w:rsid w:val="00EF5726"/>
    <w:rsid w:val="00EF589F"/>
    <w:rsid w:val="00EF5A1D"/>
    <w:rsid w:val="00EF5D28"/>
    <w:rsid w:val="00EF682B"/>
    <w:rsid w:val="00EF6A15"/>
    <w:rsid w:val="00EF6CE3"/>
    <w:rsid w:val="00EF6EB2"/>
    <w:rsid w:val="00EF6FC6"/>
    <w:rsid w:val="00EF7185"/>
    <w:rsid w:val="00EF72EB"/>
    <w:rsid w:val="00EF7843"/>
    <w:rsid w:val="00EF7C4E"/>
    <w:rsid w:val="00EF7CD1"/>
    <w:rsid w:val="00EF7F22"/>
    <w:rsid w:val="00F000D0"/>
    <w:rsid w:val="00F004C1"/>
    <w:rsid w:val="00F008D7"/>
    <w:rsid w:val="00F00E79"/>
    <w:rsid w:val="00F01603"/>
    <w:rsid w:val="00F0166F"/>
    <w:rsid w:val="00F018EA"/>
    <w:rsid w:val="00F01E16"/>
    <w:rsid w:val="00F01E32"/>
    <w:rsid w:val="00F01E37"/>
    <w:rsid w:val="00F02049"/>
    <w:rsid w:val="00F024F7"/>
    <w:rsid w:val="00F02512"/>
    <w:rsid w:val="00F025C4"/>
    <w:rsid w:val="00F02689"/>
    <w:rsid w:val="00F0282A"/>
    <w:rsid w:val="00F02C18"/>
    <w:rsid w:val="00F03723"/>
    <w:rsid w:val="00F03A05"/>
    <w:rsid w:val="00F03A45"/>
    <w:rsid w:val="00F040F1"/>
    <w:rsid w:val="00F04127"/>
    <w:rsid w:val="00F0425D"/>
    <w:rsid w:val="00F043F4"/>
    <w:rsid w:val="00F04665"/>
    <w:rsid w:val="00F04681"/>
    <w:rsid w:val="00F04D1B"/>
    <w:rsid w:val="00F0503B"/>
    <w:rsid w:val="00F0526E"/>
    <w:rsid w:val="00F0586C"/>
    <w:rsid w:val="00F05DC7"/>
    <w:rsid w:val="00F05E28"/>
    <w:rsid w:val="00F062EC"/>
    <w:rsid w:val="00F0657F"/>
    <w:rsid w:val="00F06741"/>
    <w:rsid w:val="00F06E81"/>
    <w:rsid w:val="00F06F9E"/>
    <w:rsid w:val="00F073C9"/>
    <w:rsid w:val="00F07AD5"/>
    <w:rsid w:val="00F07CFA"/>
    <w:rsid w:val="00F07F55"/>
    <w:rsid w:val="00F10278"/>
    <w:rsid w:val="00F10472"/>
    <w:rsid w:val="00F10D34"/>
    <w:rsid w:val="00F1107B"/>
    <w:rsid w:val="00F11340"/>
    <w:rsid w:val="00F113C6"/>
    <w:rsid w:val="00F11E72"/>
    <w:rsid w:val="00F11EC3"/>
    <w:rsid w:val="00F11F6B"/>
    <w:rsid w:val="00F121E4"/>
    <w:rsid w:val="00F1244B"/>
    <w:rsid w:val="00F12611"/>
    <w:rsid w:val="00F1262E"/>
    <w:rsid w:val="00F1282E"/>
    <w:rsid w:val="00F128C1"/>
    <w:rsid w:val="00F132D7"/>
    <w:rsid w:val="00F13661"/>
    <w:rsid w:val="00F13F1E"/>
    <w:rsid w:val="00F140E1"/>
    <w:rsid w:val="00F1411F"/>
    <w:rsid w:val="00F14245"/>
    <w:rsid w:val="00F153AF"/>
    <w:rsid w:val="00F15643"/>
    <w:rsid w:val="00F15862"/>
    <w:rsid w:val="00F15D24"/>
    <w:rsid w:val="00F16166"/>
    <w:rsid w:val="00F1630F"/>
    <w:rsid w:val="00F16327"/>
    <w:rsid w:val="00F1641A"/>
    <w:rsid w:val="00F16874"/>
    <w:rsid w:val="00F168E7"/>
    <w:rsid w:val="00F17184"/>
    <w:rsid w:val="00F17971"/>
    <w:rsid w:val="00F17B6D"/>
    <w:rsid w:val="00F17F95"/>
    <w:rsid w:val="00F2020B"/>
    <w:rsid w:val="00F20892"/>
    <w:rsid w:val="00F20B4F"/>
    <w:rsid w:val="00F20C03"/>
    <w:rsid w:val="00F2124A"/>
    <w:rsid w:val="00F2135B"/>
    <w:rsid w:val="00F21761"/>
    <w:rsid w:val="00F21851"/>
    <w:rsid w:val="00F21B74"/>
    <w:rsid w:val="00F21CBE"/>
    <w:rsid w:val="00F22303"/>
    <w:rsid w:val="00F22CCE"/>
    <w:rsid w:val="00F23307"/>
    <w:rsid w:val="00F233FF"/>
    <w:rsid w:val="00F23443"/>
    <w:rsid w:val="00F23684"/>
    <w:rsid w:val="00F23C50"/>
    <w:rsid w:val="00F24851"/>
    <w:rsid w:val="00F24A85"/>
    <w:rsid w:val="00F24BD5"/>
    <w:rsid w:val="00F24F27"/>
    <w:rsid w:val="00F2510F"/>
    <w:rsid w:val="00F25D31"/>
    <w:rsid w:val="00F25D86"/>
    <w:rsid w:val="00F2691C"/>
    <w:rsid w:val="00F269FD"/>
    <w:rsid w:val="00F26AA6"/>
    <w:rsid w:val="00F2709F"/>
    <w:rsid w:val="00F271B5"/>
    <w:rsid w:val="00F2725B"/>
    <w:rsid w:val="00F273C9"/>
    <w:rsid w:val="00F273CA"/>
    <w:rsid w:val="00F27571"/>
    <w:rsid w:val="00F278BF"/>
    <w:rsid w:val="00F27D56"/>
    <w:rsid w:val="00F27DCF"/>
    <w:rsid w:val="00F27E30"/>
    <w:rsid w:val="00F27E88"/>
    <w:rsid w:val="00F27FF4"/>
    <w:rsid w:val="00F301ED"/>
    <w:rsid w:val="00F302AC"/>
    <w:rsid w:val="00F302EC"/>
    <w:rsid w:val="00F30350"/>
    <w:rsid w:val="00F30665"/>
    <w:rsid w:val="00F30A2E"/>
    <w:rsid w:val="00F30D7B"/>
    <w:rsid w:val="00F30F07"/>
    <w:rsid w:val="00F30F0E"/>
    <w:rsid w:val="00F3144B"/>
    <w:rsid w:val="00F31994"/>
    <w:rsid w:val="00F31AC1"/>
    <w:rsid w:val="00F31D56"/>
    <w:rsid w:val="00F31FD9"/>
    <w:rsid w:val="00F32004"/>
    <w:rsid w:val="00F323CF"/>
    <w:rsid w:val="00F32F76"/>
    <w:rsid w:val="00F33101"/>
    <w:rsid w:val="00F33185"/>
    <w:rsid w:val="00F33499"/>
    <w:rsid w:val="00F3378D"/>
    <w:rsid w:val="00F3389E"/>
    <w:rsid w:val="00F34090"/>
    <w:rsid w:val="00F35014"/>
    <w:rsid w:val="00F35230"/>
    <w:rsid w:val="00F354D2"/>
    <w:rsid w:val="00F3561F"/>
    <w:rsid w:val="00F35790"/>
    <w:rsid w:val="00F357F4"/>
    <w:rsid w:val="00F3594F"/>
    <w:rsid w:val="00F35A5A"/>
    <w:rsid w:val="00F35B16"/>
    <w:rsid w:val="00F35C09"/>
    <w:rsid w:val="00F35ED0"/>
    <w:rsid w:val="00F35F84"/>
    <w:rsid w:val="00F362C2"/>
    <w:rsid w:val="00F367D6"/>
    <w:rsid w:val="00F368E8"/>
    <w:rsid w:val="00F36B5F"/>
    <w:rsid w:val="00F36BB9"/>
    <w:rsid w:val="00F36CEF"/>
    <w:rsid w:val="00F36F34"/>
    <w:rsid w:val="00F37988"/>
    <w:rsid w:val="00F40391"/>
    <w:rsid w:val="00F40689"/>
    <w:rsid w:val="00F40A1E"/>
    <w:rsid w:val="00F40A50"/>
    <w:rsid w:val="00F40B35"/>
    <w:rsid w:val="00F40D13"/>
    <w:rsid w:val="00F40ED8"/>
    <w:rsid w:val="00F4101A"/>
    <w:rsid w:val="00F411A1"/>
    <w:rsid w:val="00F411E1"/>
    <w:rsid w:val="00F414C5"/>
    <w:rsid w:val="00F41879"/>
    <w:rsid w:val="00F41BDE"/>
    <w:rsid w:val="00F41D83"/>
    <w:rsid w:val="00F41F0D"/>
    <w:rsid w:val="00F41F4C"/>
    <w:rsid w:val="00F41FD4"/>
    <w:rsid w:val="00F42343"/>
    <w:rsid w:val="00F4243C"/>
    <w:rsid w:val="00F42601"/>
    <w:rsid w:val="00F428B9"/>
    <w:rsid w:val="00F42A22"/>
    <w:rsid w:val="00F42A53"/>
    <w:rsid w:val="00F42F00"/>
    <w:rsid w:val="00F43362"/>
    <w:rsid w:val="00F436D3"/>
    <w:rsid w:val="00F438CB"/>
    <w:rsid w:val="00F43AB1"/>
    <w:rsid w:val="00F43C1E"/>
    <w:rsid w:val="00F43D43"/>
    <w:rsid w:val="00F43F70"/>
    <w:rsid w:val="00F43FF1"/>
    <w:rsid w:val="00F44293"/>
    <w:rsid w:val="00F444F5"/>
    <w:rsid w:val="00F44518"/>
    <w:rsid w:val="00F445E0"/>
    <w:rsid w:val="00F44649"/>
    <w:rsid w:val="00F44776"/>
    <w:rsid w:val="00F44C8A"/>
    <w:rsid w:val="00F44FA4"/>
    <w:rsid w:val="00F45037"/>
    <w:rsid w:val="00F4506F"/>
    <w:rsid w:val="00F45590"/>
    <w:rsid w:val="00F45823"/>
    <w:rsid w:val="00F45A92"/>
    <w:rsid w:val="00F45AD4"/>
    <w:rsid w:val="00F45C10"/>
    <w:rsid w:val="00F46C5C"/>
    <w:rsid w:val="00F46C82"/>
    <w:rsid w:val="00F46EE2"/>
    <w:rsid w:val="00F471D2"/>
    <w:rsid w:val="00F475CE"/>
    <w:rsid w:val="00F476F8"/>
    <w:rsid w:val="00F47E97"/>
    <w:rsid w:val="00F47ECA"/>
    <w:rsid w:val="00F5044B"/>
    <w:rsid w:val="00F5047D"/>
    <w:rsid w:val="00F508D6"/>
    <w:rsid w:val="00F50E52"/>
    <w:rsid w:val="00F51063"/>
    <w:rsid w:val="00F511EE"/>
    <w:rsid w:val="00F5138E"/>
    <w:rsid w:val="00F513B7"/>
    <w:rsid w:val="00F518EC"/>
    <w:rsid w:val="00F51C2A"/>
    <w:rsid w:val="00F5227D"/>
    <w:rsid w:val="00F528E7"/>
    <w:rsid w:val="00F529AE"/>
    <w:rsid w:val="00F52BD9"/>
    <w:rsid w:val="00F53175"/>
    <w:rsid w:val="00F539FC"/>
    <w:rsid w:val="00F53CFA"/>
    <w:rsid w:val="00F540BB"/>
    <w:rsid w:val="00F5435A"/>
    <w:rsid w:val="00F5494F"/>
    <w:rsid w:val="00F54B5C"/>
    <w:rsid w:val="00F54D9C"/>
    <w:rsid w:val="00F55A27"/>
    <w:rsid w:val="00F55B5C"/>
    <w:rsid w:val="00F55BC7"/>
    <w:rsid w:val="00F55C06"/>
    <w:rsid w:val="00F55D58"/>
    <w:rsid w:val="00F5617E"/>
    <w:rsid w:val="00F56934"/>
    <w:rsid w:val="00F56A23"/>
    <w:rsid w:val="00F57949"/>
    <w:rsid w:val="00F57C1D"/>
    <w:rsid w:val="00F57DC4"/>
    <w:rsid w:val="00F6043A"/>
    <w:rsid w:val="00F60469"/>
    <w:rsid w:val="00F606AA"/>
    <w:rsid w:val="00F60C05"/>
    <w:rsid w:val="00F60D2A"/>
    <w:rsid w:val="00F611FA"/>
    <w:rsid w:val="00F61406"/>
    <w:rsid w:val="00F6144F"/>
    <w:rsid w:val="00F6155F"/>
    <w:rsid w:val="00F61732"/>
    <w:rsid w:val="00F61C29"/>
    <w:rsid w:val="00F61F67"/>
    <w:rsid w:val="00F620DC"/>
    <w:rsid w:val="00F625EC"/>
    <w:rsid w:val="00F62CE8"/>
    <w:rsid w:val="00F636E8"/>
    <w:rsid w:val="00F637AA"/>
    <w:rsid w:val="00F63856"/>
    <w:rsid w:val="00F63899"/>
    <w:rsid w:val="00F64642"/>
    <w:rsid w:val="00F647B9"/>
    <w:rsid w:val="00F647FE"/>
    <w:rsid w:val="00F64C25"/>
    <w:rsid w:val="00F64D76"/>
    <w:rsid w:val="00F6512A"/>
    <w:rsid w:val="00F65609"/>
    <w:rsid w:val="00F65BE4"/>
    <w:rsid w:val="00F65E0A"/>
    <w:rsid w:val="00F65ED5"/>
    <w:rsid w:val="00F66009"/>
    <w:rsid w:val="00F66228"/>
    <w:rsid w:val="00F66749"/>
    <w:rsid w:val="00F6679E"/>
    <w:rsid w:val="00F6693B"/>
    <w:rsid w:val="00F671D4"/>
    <w:rsid w:val="00F7014F"/>
    <w:rsid w:val="00F702A6"/>
    <w:rsid w:val="00F702B2"/>
    <w:rsid w:val="00F70646"/>
    <w:rsid w:val="00F70AB7"/>
    <w:rsid w:val="00F716E6"/>
    <w:rsid w:val="00F71710"/>
    <w:rsid w:val="00F7186A"/>
    <w:rsid w:val="00F720B6"/>
    <w:rsid w:val="00F7224F"/>
    <w:rsid w:val="00F722BF"/>
    <w:rsid w:val="00F72BA3"/>
    <w:rsid w:val="00F73330"/>
    <w:rsid w:val="00F73649"/>
    <w:rsid w:val="00F737AD"/>
    <w:rsid w:val="00F73A77"/>
    <w:rsid w:val="00F73AA3"/>
    <w:rsid w:val="00F73B7A"/>
    <w:rsid w:val="00F73B8E"/>
    <w:rsid w:val="00F74132"/>
    <w:rsid w:val="00F744AC"/>
    <w:rsid w:val="00F7465B"/>
    <w:rsid w:val="00F74967"/>
    <w:rsid w:val="00F74EB8"/>
    <w:rsid w:val="00F74ED7"/>
    <w:rsid w:val="00F74FCE"/>
    <w:rsid w:val="00F74FFB"/>
    <w:rsid w:val="00F7523E"/>
    <w:rsid w:val="00F755F3"/>
    <w:rsid w:val="00F758B7"/>
    <w:rsid w:val="00F75BAE"/>
    <w:rsid w:val="00F7631A"/>
    <w:rsid w:val="00F76348"/>
    <w:rsid w:val="00F766B5"/>
    <w:rsid w:val="00F7673A"/>
    <w:rsid w:val="00F76A75"/>
    <w:rsid w:val="00F76AC9"/>
    <w:rsid w:val="00F76B5D"/>
    <w:rsid w:val="00F76D49"/>
    <w:rsid w:val="00F76EFF"/>
    <w:rsid w:val="00F77218"/>
    <w:rsid w:val="00F77633"/>
    <w:rsid w:val="00F776EF"/>
    <w:rsid w:val="00F7793A"/>
    <w:rsid w:val="00F77BFF"/>
    <w:rsid w:val="00F77C2C"/>
    <w:rsid w:val="00F80149"/>
    <w:rsid w:val="00F806BA"/>
    <w:rsid w:val="00F80AF0"/>
    <w:rsid w:val="00F80C57"/>
    <w:rsid w:val="00F80CA1"/>
    <w:rsid w:val="00F80F37"/>
    <w:rsid w:val="00F81208"/>
    <w:rsid w:val="00F81265"/>
    <w:rsid w:val="00F8136E"/>
    <w:rsid w:val="00F828A9"/>
    <w:rsid w:val="00F82ABE"/>
    <w:rsid w:val="00F830BE"/>
    <w:rsid w:val="00F83221"/>
    <w:rsid w:val="00F837BD"/>
    <w:rsid w:val="00F838C0"/>
    <w:rsid w:val="00F83EE6"/>
    <w:rsid w:val="00F83F57"/>
    <w:rsid w:val="00F8437D"/>
    <w:rsid w:val="00F8446A"/>
    <w:rsid w:val="00F848B4"/>
    <w:rsid w:val="00F8494F"/>
    <w:rsid w:val="00F84B93"/>
    <w:rsid w:val="00F852A6"/>
    <w:rsid w:val="00F85332"/>
    <w:rsid w:val="00F854AB"/>
    <w:rsid w:val="00F85978"/>
    <w:rsid w:val="00F85DEC"/>
    <w:rsid w:val="00F85FC2"/>
    <w:rsid w:val="00F8690A"/>
    <w:rsid w:val="00F86C71"/>
    <w:rsid w:val="00F86D91"/>
    <w:rsid w:val="00F8708F"/>
    <w:rsid w:val="00F872DF"/>
    <w:rsid w:val="00F873D2"/>
    <w:rsid w:val="00F87426"/>
    <w:rsid w:val="00F87564"/>
    <w:rsid w:val="00F87783"/>
    <w:rsid w:val="00F87B44"/>
    <w:rsid w:val="00F87E83"/>
    <w:rsid w:val="00F907CB"/>
    <w:rsid w:val="00F90C7F"/>
    <w:rsid w:val="00F91910"/>
    <w:rsid w:val="00F91C68"/>
    <w:rsid w:val="00F91E65"/>
    <w:rsid w:val="00F91ECE"/>
    <w:rsid w:val="00F92024"/>
    <w:rsid w:val="00F92130"/>
    <w:rsid w:val="00F922B8"/>
    <w:rsid w:val="00F922BD"/>
    <w:rsid w:val="00F92616"/>
    <w:rsid w:val="00F9277F"/>
    <w:rsid w:val="00F92BA7"/>
    <w:rsid w:val="00F93118"/>
    <w:rsid w:val="00F934F7"/>
    <w:rsid w:val="00F9382B"/>
    <w:rsid w:val="00F93D49"/>
    <w:rsid w:val="00F93E5E"/>
    <w:rsid w:val="00F93EBF"/>
    <w:rsid w:val="00F94597"/>
    <w:rsid w:val="00F94666"/>
    <w:rsid w:val="00F947CB"/>
    <w:rsid w:val="00F94DA3"/>
    <w:rsid w:val="00F953CE"/>
    <w:rsid w:val="00F953EC"/>
    <w:rsid w:val="00F955D8"/>
    <w:rsid w:val="00F95E81"/>
    <w:rsid w:val="00F96094"/>
    <w:rsid w:val="00F961A0"/>
    <w:rsid w:val="00F9701F"/>
    <w:rsid w:val="00F9726A"/>
    <w:rsid w:val="00F97668"/>
    <w:rsid w:val="00F9789F"/>
    <w:rsid w:val="00F97914"/>
    <w:rsid w:val="00F97D6D"/>
    <w:rsid w:val="00FA0246"/>
    <w:rsid w:val="00FA06DE"/>
    <w:rsid w:val="00FA0CC5"/>
    <w:rsid w:val="00FA11A4"/>
    <w:rsid w:val="00FA1608"/>
    <w:rsid w:val="00FA1BE1"/>
    <w:rsid w:val="00FA1CEB"/>
    <w:rsid w:val="00FA1D65"/>
    <w:rsid w:val="00FA1F22"/>
    <w:rsid w:val="00FA1F9E"/>
    <w:rsid w:val="00FA2137"/>
    <w:rsid w:val="00FA22BB"/>
    <w:rsid w:val="00FA2B60"/>
    <w:rsid w:val="00FA2F1C"/>
    <w:rsid w:val="00FA31F3"/>
    <w:rsid w:val="00FA39CB"/>
    <w:rsid w:val="00FA42AF"/>
    <w:rsid w:val="00FA4451"/>
    <w:rsid w:val="00FA4982"/>
    <w:rsid w:val="00FA49A1"/>
    <w:rsid w:val="00FA4C30"/>
    <w:rsid w:val="00FA4C44"/>
    <w:rsid w:val="00FA4EF9"/>
    <w:rsid w:val="00FA4FBF"/>
    <w:rsid w:val="00FA50B1"/>
    <w:rsid w:val="00FA50B8"/>
    <w:rsid w:val="00FA51D7"/>
    <w:rsid w:val="00FA54AA"/>
    <w:rsid w:val="00FA5CE1"/>
    <w:rsid w:val="00FA5E26"/>
    <w:rsid w:val="00FA5F49"/>
    <w:rsid w:val="00FA6422"/>
    <w:rsid w:val="00FA68A0"/>
    <w:rsid w:val="00FA6B8B"/>
    <w:rsid w:val="00FA6E45"/>
    <w:rsid w:val="00FA6E81"/>
    <w:rsid w:val="00FA726F"/>
    <w:rsid w:val="00FA7599"/>
    <w:rsid w:val="00FA7701"/>
    <w:rsid w:val="00FA7A94"/>
    <w:rsid w:val="00FB00DA"/>
    <w:rsid w:val="00FB02D2"/>
    <w:rsid w:val="00FB0598"/>
    <w:rsid w:val="00FB0952"/>
    <w:rsid w:val="00FB09CE"/>
    <w:rsid w:val="00FB1282"/>
    <w:rsid w:val="00FB128C"/>
    <w:rsid w:val="00FB15D8"/>
    <w:rsid w:val="00FB252E"/>
    <w:rsid w:val="00FB25FC"/>
    <w:rsid w:val="00FB2840"/>
    <w:rsid w:val="00FB2B68"/>
    <w:rsid w:val="00FB2F7F"/>
    <w:rsid w:val="00FB3416"/>
    <w:rsid w:val="00FB34A9"/>
    <w:rsid w:val="00FB355B"/>
    <w:rsid w:val="00FB38A3"/>
    <w:rsid w:val="00FB398E"/>
    <w:rsid w:val="00FB3C1E"/>
    <w:rsid w:val="00FB3F35"/>
    <w:rsid w:val="00FB4259"/>
    <w:rsid w:val="00FB470B"/>
    <w:rsid w:val="00FB4B52"/>
    <w:rsid w:val="00FB523D"/>
    <w:rsid w:val="00FB569B"/>
    <w:rsid w:val="00FB5F1E"/>
    <w:rsid w:val="00FB6712"/>
    <w:rsid w:val="00FB697D"/>
    <w:rsid w:val="00FB6E10"/>
    <w:rsid w:val="00FB71CF"/>
    <w:rsid w:val="00FB722D"/>
    <w:rsid w:val="00FB7375"/>
    <w:rsid w:val="00FB75F3"/>
    <w:rsid w:val="00FB778E"/>
    <w:rsid w:val="00FB7DB4"/>
    <w:rsid w:val="00FB7F0C"/>
    <w:rsid w:val="00FC01F4"/>
    <w:rsid w:val="00FC01FF"/>
    <w:rsid w:val="00FC07F3"/>
    <w:rsid w:val="00FC0DAC"/>
    <w:rsid w:val="00FC0DF8"/>
    <w:rsid w:val="00FC1C22"/>
    <w:rsid w:val="00FC2153"/>
    <w:rsid w:val="00FC2553"/>
    <w:rsid w:val="00FC2581"/>
    <w:rsid w:val="00FC26F3"/>
    <w:rsid w:val="00FC2954"/>
    <w:rsid w:val="00FC2A81"/>
    <w:rsid w:val="00FC2CC9"/>
    <w:rsid w:val="00FC2DBB"/>
    <w:rsid w:val="00FC2FA7"/>
    <w:rsid w:val="00FC2FAB"/>
    <w:rsid w:val="00FC32DD"/>
    <w:rsid w:val="00FC3464"/>
    <w:rsid w:val="00FC373D"/>
    <w:rsid w:val="00FC3740"/>
    <w:rsid w:val="00FC3AC6"/>
    <w:rsid w:val="00FC3D4F"/>
    <w:rsid w:val="00FC4131"/>
    <w:rsid w:val="00FC421D"/>
    <w:rsid w:val="00FC4AE3"/>
    <w:rsid w:val="00FC51D5"/>
    <w:rsid w:val="00FC52AC"/>
    <w:rsid w:val="00FC5882"/>
    <w:rsid w:val="00FC58A8"/>
    <w:rsid w:val="00FC593E"/>
    <w:rsid w:val="00FC5C89"/>
    <w:rsid w:val="00FC65E7"/>
    <w:rsid w:val="00FC681A"/>
    <w:rsid w:val="00FC6F72"/>
    <w:rsid w:val="00FC6FCC"/>
    <w:rsid w:val="00FC71D7"/>
    <w:rsid w:val="00FC75AA"/>
    <w:rsid w:val="00FC7856"/>
    <w:rsid w:val="00FC79E0"/>
    <w:rsid w:val="00FC7F00"/>
    <w:rsid w:val="00FD019A"/>
    <w:rsid w:val="00FD02A3"/>
    <w:rsid w:val="00FD034E"/>
    <w:rsid w:val="00FD04E5"/>
    <w:rsid w:val="00FD06C8"/>
    <w:rsid w:val="00FD06E7"/>
    <w:rsid w:val="00FD0894"/>
    <w:rsid w:val="00FD0DE6"/>
    <w:rsid w:val="00FD0E85"/>
    <w:rsid w:val="00FD132F"/>
    <w:rsid w:val="00FD154B"/>
    <w:rsid w:val="00FD1950"/>
    <w:rsid w:val="00FD1B2C"/>
    <w:rsid w:val="00FD1C7A"/>
    <w:rsid w:val="00FD21C7"/>
    <w:rsid w:val="00FD223B"/>
    <w:rsid w:val="00FD23D3"/>
    <w:rsid w:val="00FD23FF"/>
    <w:rsid w:val="00FD2524"/>
    <w:rsid w:val="00FD2B77"/>
    <w:rsid w:val="00FD2DE6"/>
    <w:rsid w:val="00FD31CB"/>
    <w:rsid w:val="00FD3A93"/>
    <w:rsid w:val="00FD3AF0"/>
    <w:rsid w:val="00FD3F10"/>
    <w:rsid w:val="00FD4043"/>
    <w:rsid w:val="00FD4050"/>
    <w:rsid w:val="00FD40D1"/>
    <w:rsid w:val="00FD47FB"/>
    <w:rsid w:val="00FD4998"/>
    <w:rsid w:val="00FD4B63"/>
    <w:rsid w:val="00FD4D57"/>
    <w:rsid w:val="00FD4F1E"/>
    <w:rsid w:val="00FD51C6"/>
    <w:rsid w:val="00FD525C"/>
    <w:rsid w:val="00FD5335"/>
    <w:rsid w:val="00FD534A"/>
    <w:rsid w:val="00FD5966"/>
    <w:rsid w:val="00FD599F"/>
    <w:rsid w:val="00FD5A3A"/>
    <w:rsid w:val="00FD5D1A"/>
    <w:rsid w:val="00FD5E66"/>
    <w:rsid w:val="00FD65F2"/>
    <w:rsid w:val="00FD6645"/>
    <w:rsid w:val="00FD66D7"/>
    <w:rsid w:val="00FD67A4"/>
    <w:rsid w:val="00FD6C6A"/>
    <w:rsid w:val="00FD73B0"/>
    <w:rsid w:val="00FD7645"/>
    <w:rsid w:val="00FE042C"/>
    <w:rsid w:val="00FE079E"/>
    <w:rsid w:val="00FE08E5"/>
    <w:rsid w:val="00FE0A80"/>
    <w:rsid w:val="00FE0AD9"/>
    <w:rsid w:val="00FE0B93"/>
    <w:rsid w:val="00FE0F88"/>
    <w:rsid w:val="00FE1367"/>
    <w:rsid w:val="00FE13C9"/>
    <w:rsid w:val="00FE19FC"/>
    <w:rsid w:val="00FE1AF6"/>
    <w:rsid w:val="00FE1B2B"/>
    <w:rsid w:val="00FE1CAF"/>
    <w:rsid w:val="00FE1D06"/>
    <w:rsid w:val="00FE2195"/>
    <w:rsid w:val="00FE224B"/>
    <w:rsid w:val="00FE266B"/>
    <w:rsid w:val="00FE2970"/>
    <w:rsid w:val="00FE2A08"/>
    <w:rsid w:val="00FE2D44"/>
    <w:rsid w:val="00FE2ED9"/>
    <w:rsid w:val="00FE327F"/>
    <w:rsid w:val="00FE32F2"/>
    <w:rsid w:val="00FE336E"/>
    <w:rsid w:val="00FE3436"/>
    <w:rsid w:val="00FE3665"/>
    <w:rsid w:val="00FE3B0C"/>
    <w:rsid w:val="00FE3DB7"/>
    <w:rsid w:val="00FE3EE1"/>
    <w:rsid w:val="00FE4318"/>
    <w:rsid w:val="00FE4991"/>
    <w:rsid w:val="00FE4FF3"/>
    <w:rsid w:val="00FE54DB"/>
    <w:rsid w:val="00FE581F"/>
    <w:rsid w:val="00FE67A4"/>
    <w:rsid w:val="00FE6AEC"/>
    <w:rsid w:val="00FE6D89"/>
    <w:rsid w:val="00FE7267"/>
    <w:rsid w:val="00FE74A2"/>
    <w:rsid w:val="00FE75BA"/>
    <w:rsid w:val="00FE7610"/>
    <w:rsid w:val="00FE788E"/>
    <w:rsid w:val="00FE78B3"/>
    <w:rsid w:val="00FE7B2B"/>
    <w:rsid w:val="00FF002C"/>
    <w:rsid w:val="00FF03C6"/>
    <w:rsid w:val="00FF0644"/>
    <w:rsid w:val="00FF07D3"/>
    <w:rsid w:val="00FF0882"/>
    <w:rsid w:val="00FF0E9B"/>
    <w:rsid w:val="00FF1016"/>
    <w:rsid w:val="00FF1064"/>
    <w:rsid w:val="00FF1151"/>
    <w:rsid w:val="00FF19AA"/>
    <w:rsid w:val="00FF22AB"/>
    <w:rsid w:val="00FF2690"/>
    <w:rsid w:val="00FF2DEA"/>
    <w:rsid w:val="00FF3111"/>
    <w:rsid w:val="00FF3432"/>
    <w:rsid w:val="00FF3B4A"/>
    <w:rsid w:val="00FF3B5B"/>
    <w:rsid w:val="00FF3C08"/>
    <w:rsid w:val="00FF4218"/>
    <w:rsid w:val="00FF4864"/>
    <w:rsid w:val="00FF5052"/>
    <w:rsid w:val="00FF524D"/>
    <w:rsid w:val="00FF55C8"/>
    <w:rsid w:val="00FF5706"/>
    <w:rsid w:val="00FF59B5"/>
    <w:rsid w:val="00FF5AF7"/>
    <w:rsid w:val="00FF5C70"/>
    <w:rsid w:val="00FF60FB"/>
    <w:rsid w:val="00FF6142"/>
    <w:rsid w:val="00FF6685"/>
    <w:rsid w:val="00FF6E83"/>
    <w:rsid w:val="00FF72CD"/>
    <w:rsid w:val="00FF7527"/>
    <w:rsid w:val="00FF7A04"/>
    <w:rsid w:val="097599E9"/>
    <w:rsid w:val="0A26ADFE"/>
    <w:rsid w:val="0BA7F7E6"/>
    <w:rsid w:val="0CA859EF"/>
    <w:rsid w:val="0EC277EA"/>
    <w:rsid w:val="1040A77D"/>
    <w:rsid w:val="11EB18B7"/>
    <w:rsid w:val="11F7135F"/>
    <w:rsid w:val="150AA22B"/>
    <w:rsid w:val="16C4C1EC"/>
    <w:rsid w:val="176F01FE"/>
    <w:rsid w:val="1B66FE43"/>
    <w:rsid w:val="1BE84CEC"/>
    <w:rsid w:val="1C00518B"/>
    <w:rsid w:val="1C3F2347"/>
    <w:rsid w:val="1F81D1C6"/>
    <w:rsid w:val="2385F390"/>
    <w:rsid w:val="24BED4A6"/>
    <w:rsid w:val="2C1A1652"/>
    <w:rsid w:val="3892DD82"/>
    <w:rsid w:val="3B6D7445"/>
    <w:rsid w:val="3E80D0E9"/>
    <w:rsid w:val="435C019C"/>
    <w:rsid w:val="46244E97"/>
    <w:rsid w:val="46B5D2C2"/>
    <w:rsid w:val="493BB78C"/>
    <w:rsid w:val="4ABCFFE8"/>
    <w:rsid w:val="4E8E4954"/>
    <w:rsid w:val="4F9ADCE5"/>
    <w:rsid w:val="532D2B9E"/>
    <w:rsid w:val="549C41C2"/>
    <w:rsid w:val="558704CC"/>
    <w:rsid w:val="562BE188"/>
    <w:rsid w:val="56E8F32A"/>
    <w:rsid w:val="58B95546"/>
    <w:rsid w:val="5C62B3F6"/>
    <w:rsid w:val="5C801B62"/>
    <w:rsid w:val="5D045C8C"/>
    <w:rsid w:val="5EA332DE"/>
    <w:rsid w:val="630D56DD"/>
    <w:rsid w:val="679C0B46"/>
    <w:rsid w:val="696B82EE"/>
    <w:rsid w:val="6992C6E5"/>
    <w:rsid w:val="6A0C00CE"/>
    <w:rsid w:val="6AE13C78"/>
    <w:rsid w:val="6CF3F32F"/>
    <w:rsid w:val="6E04A9A3"/>
    <w:rsid w:val="6E123151"/>
    <w:rsid w:val="6EC1BAA4"/>
    <w:rsid w:val="6EFF47D2"/>
    <w:rsid w:val="77E2F505"/>
    <w:rsid w:val="7804FC39"/>
    <w:rsid w:val="78BD4BD4"/>
    <w:rsid w:val="7B762D2B"/>
    <w:rsid w:val="7C66FB8C"/>
    <w:rsid w:val="7C90E328"/>
    <w:rsid w:val="7D0FA69C"/>
    <w:rsid w:val="7DF7E170"/>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07A287D"/>
  <w15:chartTrackingRefBased/>
  <w15:docId w15:val="{64ED3928-3F81-45B0-948D-FF1952FA7AC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s-UY" w:eastAsia="en-US" w:bidi="ar-SA"/>
      </w:rPr>
    </w:rPrDefault>
    <w:pPrDefault>
      <w:pPr>
        <w:spacing w:before="240" w:after="240"/>
        <w:jc w:val="both"/>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0041AF"/>
    <w:pPr>
      <w:tabs>
        <w:tab w:val="left" w:pos="567"/>
        <w:tab w:val="left" w:pos="1134"/>
        <w:tab w:val="left" w:pos="1701"/>
        <w:tab w:val="left" w:pos="2268"/>
      </w:tabs>
      <w:spacing w:before="0" w:after="0"/>
    </w:pPr>
    <w:rPr>
      <w:rFonts w:ascii="Times New Roman" w:eastAsia="SimSun" w:hAnsi="Times New Roman" w:cs="Times New Roman"/>
    </w:rPr>
  </w:style>
  <w:style w:type="paragraph" w:styleId="Heading1">
    <w:name w:val="heading 1"/>
    <w:basedOn w:val="Normal"/>
    <w:next w:val="Heading2"/>
    <w:link w:val="Heading1Char"/>
    <w:uiPriority w:val="9"/>
    <w:qFormat/>
    <w:rsid w:val="000041AF"/>
    <w:pPr>
      <w:keepNext/>
      <w:keepLines/>
      <w:numPr>
        <w:numId w:val="7"/>
      </w:numPr>
      <w:spacing w:before="240" w:after="120"/>
      <w:jc w:val="left"/>
      <w:outlineLvl w:val="0"/>
    </w:pPr>
    <w:rPr>
      <w:rFonts w:eastAsiaTheme="majorEastAsia" w:cstheme="majorBidi"/>
      <w:b/>
      <w:bCs/>
      <w:kern w:val="2"/>
      <w:sz w:val="28"/>
      <w:szCs w:val="32"/>
      <w14:ligatures w14:val="standardContextual"/>
    </w:rPr>
  </w:style>
  <w:style w:type="paragraph" w:styleId="Heading2">
    <w:name w:val="heading 2"/>
    <w:basedOn w:val="Normal"/>
    <w:next w:val="CBDNormalNumber"/>
    <w:link w:val="Heading2Char"/>
    <w:uiPriority w:val="9"/>
    <w:qFormat/>
    <w:rsid w:val="000041AF"/>
    <w:pPr>
      <w:keepNext/>
      <w:keepLines/>
      <w:numPr>
        <w:ilvl w:val="1"/>
        <w:numId w:val="7"/>
      </w:numPr>
      <w:spacing w:before="120" w:after="120"/>
      <w:jc w:val="left"/>
      <w:outlineLvl w:val="1"/>
    </w:pPr>
    <w:rPr>
      <w:rFonts w:ascii="Times New Roman Bold" w:eastAsiaTheme="majorEastAsia" w:hAnsi="Times New Roman Bold" w:cstheme="majorBidi"/>
      <w:b/>
      <w:sz w:val="24"/>
      <w:szCs w:val="26"/>
    </w:rPr>
  </w:style>
  <w:style w:type="paragraph" w:styleId="Heading3">
    <w:name w:val="heading 3"/>
    <w:basedOn w:val="Normal"/>
    <w:next w:val="CBDNormalNumber"/>
    <w:link w:val="Heading3Char"/>
    <w:uiPriority w:val="9"/>
    <w:qFormat/>
    <w:rsid w:val="000041AF"/>
    <w:pPr>
      <w:keepNext/>
      <w:keepLines/>
      <w:numPr>
        <w:ilvl w:val="2"/>
        <w:numId w:val="7"/>
      </w:numPr>
      <w:spacing w:before="120" w:after="120"/>
      <w:jc w:val="left"/>
      <w:outlineLvl w:val="2"/>
    </w:pPr>
    <w:rPr>
      <w:rFonts w:eastAsiaTheme="majorEastAsia"/>
      <w:b/>
      <w:bCs/>
    </w:rPr>
  </w:style>
  <w:style w:type="paragraph" w:styleId="Heading4">
    <w:name w:val="heading 4"/>
    <w:basedOn w:val="Normal"/>
    <w:next w:val="CBDNormalNumber"/>
    <w:link w:val="Heading4Char"/>
    <w:uiPriority w:val="9"/>
    <w:qFormat/>
    <w:rsid w:val="000041AF"/>
    <w:pPr>
      <w:keepNext/>
      <w:numPr>
        <w:ilvl w:val="3"/>
        <w:numId w:val="7"/>
      </w:numPr>
      <w:spacing w:before="120" w:after="120"/>
      <w:jc w:val="left"/>
      <w:outlineLvl w:val="3"/>
    </w:pPr>
    <w:rPr>
      <w:rFonts w:eastAsiaTheme="majorEastAsia"/>
      <w:b/>
      <w:bCs/>
    </w:rPr>
  </w:style>
  <w:style w:type="paragraph" w:styleId="Heading5">
    <w:name w:val="heading 5"/>
    <w:basedOn w:val="Normal"/>
    <w:next w:val="Normal"/>
    <w:link w:val="Heading5Char"/>
    <w:uiPriority w:val="9"/>
    <w:qFormat/>
    <w:rsid w:val="000041AF"/>
    <w:pPr>
      <w:keepNext/>
      <w:numPr>
        <w:ilvl w:val="4"/>
        <w:numId w:val="7"/>
      </w:numPr>
      <w:spacing w:before="120" w:after="120"/>
      <w:jc w:val="left"/>
      <w:outlineLvl w:val="4"/>
    </w:pPr>
    <w:rPr>
      <w:rFonts w:eastAsiaTheme="majorEastAsia"/>
      <w:i/>
      <w:iCs/>
    </w:rPr>
  </w:style>
  <w:style w:type="paragraph" w:styleId="Heading6">
    <w:name w:val="heading 6"/>
    <w:basedOn w:val="Normal"/>
    <w:next w:val="Normal"/>
    <w:link w:val="Heading6Char"/>
    <w:semiHidden/>
    <w:rsid w:val="000041AF"/>
    <w:pPr>
      <w:keepNext/>
      <w:keepLines/>
      <w:numPr>
        <w:ilvl w:val="5"/>
        <w:numId w:val="10"/>
      </w:numPr>
      <w:tabs>
        <w:tab w:val="right" w:pos="851"/>
        <w:tab w:val="left" w:pos="1871"/>
        <w:tab w:val="left" w:pos="2495"/>
        <w:tab w:val="left" w:pos="3119"/>
        <w:tab w:val="left" w:pos="3742"/>
        <w:tab w:val="left" w:pos="4082"/>
        <w:tab w:val="left" w:pos="4366"/>
      </w:tabs>
      <w:suppressAutoHyphens/>
      <w:spacing w:after="120"/>
      <w:ind w:right="624"/>
      <w:jc w:val="left"/>
      <w:outlineLvl w:val="5"/>
    </w:pPr>
    <w:rPr>
      <w:bCs/>
      <w:sz w:val="24"/>
    </w:rPr>
  </w:style>
  <w:style w:type="paragraph" w:styleId="Heading7">
    <w:name w:val="heading 7"/>
    <w:basedOn w:val="Normal"/>
    <w:next w:val="Normal"/>
    <w:link w:val="Heading7Char"/>
    <w:semiHidden/>
    <w:rsid w:val="000041AF"/>
    <w:pPr>
      <w:keepNext/>
      <w:keepLines/>
      <w:widowControl w:val="0"/>
      <w:numPr>
        <w:ilvl w:val="6"/>
        <w:numId w:val="10"/>
      </w:numPr>
      <w:tabs>
        <w:tab w:val="right" w:pos="851"/>
        <w:tab w:val="left" w:pos="1871"/>
        <w:tab w:val="left" w:pos="2495"/>
        <w:tab w:val="left" w:pos="3119"/>
        <w:tab w:val="left" w:pos="3742"/>
        <w:tab w:val="left" w:pos="4082"/>
        <w:tab w:val="left" w:pos="4366"/>
      </w:tabs>
      <w:suppressAutoHyphens/>
      <w:spacing w:after="120"/>
      <w:ind w:right="624"/>
      <w:jc w:val="left"/>
      <w:outlineLvl w:val="6"/>
    </w:pPr>
    <w:rPr>
      <w:b/>
      <w:snapToGrid w:val="0"/>
      <w:u w:val="single"/>
    </w:rPr>
  </w:style>
  <w:style w:type="paragraph" w:styleId="Heading8">
    <w:name w:val="heading 8"/>
    <w:basedOn w:val="Normal"/>
    <w:next w:val="Normal"/>
    <w:link w:val="Heading8Char"/>
    <w:semiHidden/>
    <w:rsid w:val="000041AF"/>
    <w:pPr>
      <w:keepNext/>
      <w:keepLines/>
      <w:widowControl w:val="0"/>
      <w:numPr>
        <w:ilvl w:val="7"/>
        <w:numId w:val="10"/>
      </w:numPr>
      <w:tabs>
        <w:tab w:val="left" w:pos="-1440"/>
        <w:tab w:val="left" w:pos="-720"/>
        <w:tab w:val="right" w:pos="851"/>
        <w:tab w:val="left" w:pos="1871"/>
        <w:tab w:val="left" w:pos="2495"/>
        <w:tab w:val="left" w:pos="3119"/>
        <w:tab w:val="left" w:pos="3742"/>
        <w:tab w:val="left" w:pos="4082"/>
        <w:tab w:val="left" w:pos="4366"/>
      </w:tabs>
      <w:suppressAutoHyphens/>
      <w:spacing w:after="120"/>
      <w:ind w:right="624"/>
      <w:jc w:val="left"/>
      <w:outlineLvl w:val="7"/>
    </w:pPr>
    <w:rPr>
      <w:b/>
      <w:snapToGrid w:val="0"/>
      <w:u w:val="single"/>
    </w:rPr>
  </w:style>
  <w:style w:type="paragraph" w:styleId="Heading9">
    <w:name w:val="heading 9"/>
    <w:basedOn w:val="Normal"/>
    <w:next w:val="Normal"/>
    <w:link w:val="Heading9Char"/>
    <w:semiHidden/>
    <w:rsid w:val="000041AF"/>
    <w:pPr>
      <w:keepNext/>
      <w:widowControl w:val="0"/>
      <w:numPr>
        <w:ilvl w:val="8"/>
        <w:numId w:val="10"/>
      </w:numPr>
      <w:suppressAutoHyphens/>
      <w:jc w:val="left"/>
      <w:outlineLvl w:val="8"/>
    </w:pPr>
    <w:rPr>
      <w:snapToGrid w:val="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aliases w:val="cop report footnote"/>
    <w:basedOn w:val="Normal"/>
    <w:link w:val="FootnoteTextChar"/>
    <w:uiPriority w:val="99"/>
    <w:unhideWhenUsed/>
    <w:rsid w:val="000041AF"/>
    <w:pPr>
      <w:jc w:val="left"/>
    </w:pPr>
    <w:rPr>
      <w:sz w:val="18"/>
      <w:szCs w:val="20"/>
    </w:rPr>
  </w:style>
  <w:style w:type="character" w:customStyle="1" w:styleId="FootnoteTextChar">
    <w:name w:val="Footnote Text Char"/>
    <w:aliases w:val="cop report footnote Char"/>
    <w:basedOn w:val="DefaultParagraphFont"/>
    <w:link w:val="FootnoteText"/>
    <w:uiPriority w:val="99"/>
    <w:rsid w:val="000041AF"/>
    <w:rPr>
      <w:rFonts w:ascii="Times New Roman" w:eastAsia="SimSun" w:hAnsi="Times New Roman" w:cs="Times New Roman"/>
      <w:sz w:val="18"/>
      <w:szCs w:val="20"/>
      <w:lang w:val="es-UY"/>
    </w:rPr>
  </w:style>
  <w:style w:type="paragraph" w:styleId="Date">
    <w:name w:val="Date"/>
    <w:basedOn w:val="Normal"/>
    <w:next w:val="Normal"/>
    <w:link w:val="DateChar"/>
    <w:uiPriority w:val="99"/>
    <w:semiHidden/>
    <w:unhideWhenUsed/>
    <w:rsid w:val="00AB4845"/>
  </w:style>
  <w:style w:type="character" w:styleId="Hyperlink">
    <w:name w:val="Hyperlink"/>
    <w:basedOn w:val="DefaultParagraphFont"/>
    <w:uiPriority w:val="99"/>
    <w:unhideWhenUsed/>
    <w:rsid w:val="000041AF"/>
    <w:rPr>
      <w:rFonts w:ascii="Times New Roman" w:hAnsi="Times New Roman"/>
      <w:color w:val="0563C1" w:themeColor="hyperlink"/>
      <w:u w:val="single"/>
      <w:lang w:val="es-UY"/>
    </w:rPr>
  </w:style>
  <w:style w:type="character" w:customStyle="1" w:styleId="DateChar">
    <w:name w:val="Date Char"/>
    <w:basedOn w:val="DefaultParagraphFont"/>
    <w:link w:val="Date"/>
    <w:uiPriority w:val="99"/>
    <w:semiHidden/>
    <w:rsid w:val="00AB4845"/>
    <w:rPr>
      <w:rFonts w:ascii="Times New Roman" w:eastAsia="SimSun" w:hAnsi="Times New Roman" w:cs="Times New Roman"/>
      <w:lang w:val="es-UY"/>
    </w:rPr>
  </w:style>
  <w:style w:type="paragraph" w:styleId="BalloonText">
    <w:name w:val="Balloon Text"/>
    <w:basedOn w:val="Normal"/>
    <w:link w:val="BalloonTextChar"/>
    <w:uiPriority w:val="99"/>
    <w:semiHidden/>
    <w:unhideWhenUsed/>
    <w:rsid w:val="006257F6"/>
    <w:rPr>
      <w:rFonts w:ascii="Segoe UI" w:hAnsi="Segoe UI" w:cs="Segoe UI"/>
      <w:sz w:val="18"/>
      <w:szCs w:val="18"/>
    </w:rPr>
  </w:style>
  <w:style w:type="character" w:customStyle="1" w:styleId="BalloonTextChar">
    <w:name w:val="Balloon Text Char"/>
    <w:basedOn w:val="DefaultParagraphFont"/>
    <w:link w:val="BalloonText"/>
    <w:uiPriority w:val="99"/>
    <w:semiHidden/>
    <w:rsid w:val="006257F6"/>
    <w:rPr>
      <w:rFonts w:ascii="Segoe UI" w:eastAsia="SimSun" w:hAnsi="Segoe UI" w:cs="Segoe UI"/>
      <w:sz w:val="18"/>
      <w:szCs w:val="18"/>
      <w:lang w:val="es-UY"/>
    </w:rPr>
  </w:style>
  <w:style w:type="paragraph" w:styleId="ListParagraph">
    <w:name w:val="List Paragraph"/>
    <w:aliases w:val="cop report main para,Bullets,List Paragraph1,Bullets1,List Paragraph11,Bullets2,List Paragraph12,Bullets3,List Paragraph13,Dot pt,F5 List Paragraph,No Spacing1,List Paragraph Char Char Char,Indicator Text,Colorful List - Accent 11,Bullet "/>
    <w:basedOn w:val="Normal"/>
    <w:link w:val="ListParagraphChar"/>
    <w:uiPriority w:val="34"/>
    <w:qFormat/>
    <w:rsid w:val="000041AF"/>
    <w:pPr>
      <w:ind w:left="720"/>
      <w:contextualSpacing/>
    </w:pPr>
  </w:style>
  <w:style w:type="paragraph" w:customStyle="1" w:styleId="Para1">
    <w:name w:val="Para1"/>
    <w:basedOn w:val="Normal"/>
    <w:rsid w:val="00FB355B"/>
    <w:pPr>
      <w:numPr>
        <w:numId w:val="1"/>
      </w:numPr>
      <w:spacing w:after="120"/>
    </w:pPr>
    <w:rPr>
      <w:rFonts w:eastAsia="MS Mincho" w:cs="Angsana New"/>
      <w:snapToGrid w:val="0"/>
      <w:szCs w:val="18"/>
    </w:rPr>
  </w:style>
  <w:style w:type="paragraph" w:customStyle="1" w:styleId="Para3">
    <w:name w:val="Para3"/>
    <w:basedOn w:val="Normal"/>
    <w:rsid w:val="00FB355B"/>
    <w:pPr>
      <w:numPr>
        <w:ilvl w:val="2"/>
        <w:numId w:val="1"/>
      </w:numPr>
      <w:tabs>
        <w:tab w:val="left" w:pos="1980"/>
      </w:tabs>
      <w:spacing w:before="80" w:after="80"/>
    </w:pPr>
    <w:rPr>
      <w:rFonts w:eastAsia="MS Mincho" w:cs="Angsana New"/>
      <w:szCs w:val="20"/>
    </w:rPr>
  </w:style>
  <w:style w:type="table" w:styleId="TableGrid">
    <w:name w:val="Table Grid"/>
    <w:basedOn w:val="TableNormal"/>
    <w:uiPriority w:val="39"/>
    <w:rsid w:val="00273B2C"/>
    <w:pPr>
      <w:spacing w:after="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rsid w:val="000041AF"/>
    <w:pPr>
      <w:pBdr>
        <w:bottom w:val="single" w:sz="4" w:space="1" w:color="auto"/>
      </w:pBdr>
      <w:tabs>
        <w:tab w:val="center" w:pos="4680"/>
        <w:tab w:val="right" w:pos="9360"/>
      </w:tabs>
      <w:jc w:val="left"/>
    </w:pPr>
    <w:rPr>
      <w:sz w:val="20"/>
    </w:rPr>
  </w:style>
  <w:style w:type="character" w:customStyle="1" w:styleId="HeaderChar">
    <w:name w:val="Header Char"/>
    <w:basedOn w:val="DefaultParagraphFont"/>
    <w:link w:val="Header"/>
    <w:rsid w:val="000041AF"/>
    <w:rPr>
      <w:rFonts w:ascii="Times New Roman" w:eastAsia="SimSun" w:hAnsi="Times New Roman" w:cs="Times New Roman"/>
      <w:sz w:val="20"/>
      <w:lang w:val="es-UY"/>
    </w:rPr>
  </w:style>
  <w:style w:type="paragraph" w:styleId="Footer">
    <w:name w:val="footer"/>
    <w:basedOn w:val="Normal"/>
    <w:link w:val="FooterChar"/>
    <w:uiPriority w:val="99"/>
    <w:rsid w:val="000041AF"/>
    <w:pPr>
      <w:tabs>
        <w:tab w:val="center" w:pos="4680"/>
        <w:tab w:val="right" w:pos="9360"/>
      </w:tabs>
    </w:pPr>
    <w:rPr>
      <w:sz w:val="20"/>
    </w:rPr>
  </w:style>
  <w:style w:type="character" w:customStyle="1" w:styleId="FooterChar">
    <w:name w:val="Footer Char"/>
    <w:basedOn w:val="DefaultParagraphFont"/>
    <w:link w:val="Footer"/>
    <w:uiPriority w:val="99"/>
    <w:rsid w:val="000041AF"/>
    <w:rPr>
      <w:rFonts w:ascii="Times New Roman" w:eastAsia="SimSun" w:hAnsi="Times New Roman" w:cs="Times New Roman"/>
      <w:sz w:val="20"/>
      <w:lang w:val="es-UY"/>
    </w:rPr>
  </w:style>
  <w:style w:type="character" w:styleId="CommentReference">
    <w:name w:val="annotation reference"/>
    <w:basedOn w:val="DefaultParagraphFont"/>
    <w:uiPriority w:val="99"/>
    <w:semiHidden/>
    <w:unhideWhenUsed/>
    <w:rsid w:val="000041AF"/>
    <w:rPr>
      <w:sz w:val="16"/>
      <w:szCs w:val="16"/>
      <w:lang w:val="es-UY"/>
    </w:rPr>
  </w:style>
  <w:style w:type="paragraph" w:styleId="CommentText">
    <w:name w:val="annotation text"/>
    <w:basedOn w:val="Normal"/>
    <w:link w:val="CommentTextChar"/>
    <w:uiPriority w:val="99"/>
    <w:rsid w:val="000041AF"/>
    <w:rPr>
      <w:sz w:val="20"/>
      <w:szCs w:val="20"/>
    </w:rPr>
  </w:style>
  <w:style w:type="character" w:customStyle="1" w:styleId="CommentTextChar">
    <w:name w:val="Comment Text Char"/>
    <w:basedOn w:val="DefaultParagraphFont"/>
    <w:link w:val="CommentText"/>
    <w:uiPriority w:val="99"/>
    <w:rsid w:val="000041AF"/>
    <w:rPr>
      <w:rFonts w:ascii="Times New Roman" w:eastAsia="SimSun" w:hAnsi="Times New Roman" w:cs="Times New Roman"/>
      <w:sz w:val="20"/>
      <w:szCs w:val="20"/>
      <w:lang w:val="es-UY"/>
    </w:rPr>
  </w:style>
  <w:style w:type="paragraph" w:styleId="CommentSubject">
    <w:name w:val="annotation subject"/>
    <w:basedOn w:val="CommentText"/>
    <w:next w:val="CommentText"/>
    <w:link w:val="CommentSubjectChar"/>
    <w:uiPriority w:val="99"/>
    <w:semiHidden/>
    <w:unhideWhenUsed/>
    <w:rsid w:val="000041AF"/>
    <w:rPr>
      <w:b/>
      <w:bCs/>
    </w:rPr>
  </w:style>
  <w:style w:type="character" w:customStyle="1" w:styleId="CommentSubjectChar">
    <w:name w:val="Comment Subject Char"/>
    <w:basedOn w:val="CommentTextChar"/>
    <w:link w:val="CommentSubject"/>
    <w:uiPriority w:val="99"/>
    <w:semiHidden/>
    <w:rsid w:val="000041AF"/>
    <w:rPr>
      <w:rFonts w:ascii="Times New Roman" w:eastAsia="SimSun" w:hAnsi="Times New Roman" w:cs="Times New Roman"/>
      <w:b/>
      <w:bCs/>
      <w:sz w:val="20"/>
      <w:szCs w:val="20"/>
      <w:lang w:val="es-UY"/>
    </w:rPr>
  </w:style>
  <w:style w:type="character" w:customStyle="1" w:styleId="UnresolvedMention">
    <w:name w:val="Unresolved Mention"/>
    <w:basedOn w:val="DefaultParagraphFont"/>
    <w:uiPriority w:val="99"/>
    <w:semiHidden/>
    <w:unhideWhenUsed/>
    <w:rsid w:val="00970CE4"/>
    <w:rPr>
      <w:color w:val="605E5C"/>
      <w:shd w:val="clear" w:color="auto" w:fill="E1DFDD"/>
      <w:lang w:val="es-UY"/>
    </w:rPr>
  </w:style>
  <w:style w:type="table" w:styleId="PlainTable4">
    <w:name w:val="Plain Table 4"/>
    <w:basedOn w:val="TableNormal"/>
    <w:uiPriority w:val="44"/>
    <w:rsid w:val="000631ED"/>
    <w:pPr>
      <w:spacing w:after="0"/>
    </w:p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character" w:styleId="FollowedHyperlink">
    <w:name w:val="FollowedHyperlink"/>
    <w:basedOn w:val="DefaultParagraphFont"/>
    <w:uiPriority w:val="99"/>
    <w:semiHidden/>
    <w:unhideWhenUsed/>
    <w:rsid w:val="002C6D8B"/>
    <w:rPr>
      <w:color w:val="800080"/>
      <w:u w:val="single"/>
      <w:lang w:val="es-UY"/>
    </w:rPr>
  </w:style>
  <w:style w:type="paragraph" w:customStyle="1" w:styleId="msonormal0">
    <w:name w:val="msonormal"/>
    <w:basedOn w:val="Normal"/>
    <w:rsid w:val="002C6D8B"/>
    <w:pPr>
      <w:spacing w:before="100" w:beforeAutospacing="1" w:after="100" w:afterAutospacing="1"/>
    </w:pPr>
    <w:rPr>
      <w:rFonts w:eastAsia="Times New Roman"/>
      <w:sz w:val="24"/>
      <w:szCs w:val="24"/>
    </w:rPr>
  </w:style>
  <w:style w:type="paragraph" w:customStyle="1" w:styleId="font5">
    <w:name w:val="font5"/>
    <w:basedOn w:val="Normal"/>
    <w:rsid w:val="002C6D8B"/>
    <w:pPr>
      <w:spacing w:before="100" w:beforeAutospacing="1" w:after="100" w:afterAutospacing="1"/>
    </w:pPr>
    <w:rPr>
      <w:rFonts w:ascii="Tahoma" w:eastAsia="Times New Roman" w:hAnsi="Tahoma" w:cs="Tahoma"/>
      <w:b/>
      <w:bCs/>
      <w:color w:val="000000"/>
      <w:sz w:val="18"/>
      <w:szCs w:val="18"/>
    </w:rPr>
  </w:style>
  <w:style w:type="paragraph" w:customStyle="1" w:styleId="font6">
    <w:name w:val="font6"/>
    <w:basedOn w:val="Normal"/>
    <w:rsid w:val="002C6D8B"/>
    <w:pPr>
      <w:spacing w:before="100" w:beforeAutospacing="1" w:after="100" w:afterAutospacing="1"/>
    </w:pPr>
    <w:rPr>
      <w:rFonts w:ascii="Tahoma" w:eastAsia="Times New Roman" w:hAnsi="Tahoma" w:cs="Tahoma"/>
      <w:color w:val="000000"/>
      <w:sz w:val="18"/>
      <w:szCs w:val="18"/>
    </w:rPr>
  </w:style>
  <w:style w:type="paragraph" w:customStyle="1" w:styleId="xl65">
    <w:name w:val="xl65"/>
    <w:basedOn w:val="Normal"/>
    <w:rsid w:val="002C6D8B"/>
    <w:pPr>
      <w:pBdr>
        <w:top w:val="single" w:sz="4" w:space="0" w:color="95B3D7"/>
        <w:bottom w:val="single" w:sz="4" w:space="0" w:color="95B3D7"/>
      </w:pBdr>
      <w:spacing w:before="100" w:beforeAutospacing="1" w:after="100" w:afterAutospacing="1"/>
    </w:pPr>
    <w:rPr>
      <w:rFonts w:eastAsia="Times New Roman"/>
      <w:color w:val="000000"/>
      <w:sz w:val="24"/>
      <w:szCs w:val="24"/>
    </w:rPr>
  </w:style>
  <w:style w:type="paragraph" w:customStyle="1" w:styleId="xl66">
    <w:name w:val="xl66"/>
    <w:basedOn w:val="Normal"/>
    <w:rsid w:val="002C6D8B"/>
    <w:pPr>
      <w:pBdr>
        <w:top w:val="single" w:sz="4" w:space="0" w:color="95B3D7"/>
        <w:bottom w:val="single" w:sz="4" w:space="0" w:color="95B3D7"/>
      </w:pBdr>
      <w:shd w:val="clear" w:color="DCE6F1" w:fill="DCE6F1"/>
      <w:spacing w:before="100" w:beforeAutospacing="1" w:after="100" w:afterAutospacing="1"/>
    </w:pPr>
    <w:rPr>
      <w:rFonts w:eastAsia="Times New Roman"/>
      <w:color w:val="000000"/>
      <w:sz w:val="24"/>
      <w:szCs w:val="24"/>
    </w:rPr>
  </w:style>
  <w:style w:type="paragraph" w:customStyle="1" w:styleId="xl67">
    <w:name w:val="xl67"/>
    <w:basedOn w:val="Normal"/>
    <w:rsid w:val="002C6D8B"/>
    <w:pPr>
      <w:pBdr>
        <w:top w:val="single" w:sz="4" w:space="0" w:color="auto"/>
        <w:left w:val="single" w:sz="4" w:space="0" w:color="auto"/>
        <w:bottom w:val="single" w:sz="4" w:space="0" w:color="auto"/>
        <w:right w:val="single" w:sz="4" w:space="0" w:color="auto"/>
      </w:pBdr>
      <w:shd w:val="clear" w:color="000000" w:fill="DCE6F1"/>
      <w:spacing w:before="100" w:beforeAutospacing="1" w:after="100" w:afterAutospacing="1"/>
      <w:jc w:val="center"/>
      <w:textAlignment w:val="center"/>
    </w:pPr>
    <w:rPr>
      <w:rFonts w:eastAsia="Times New Roman"/>
      <w:b/>
      <w:bCs/>
      <w:sz w:val="24"/>
      <w:szCs w:val="24"/>
    </w:rPr>
  </w:style>
  <w:style w:type="paragraph" w:customStyle="1" w:styleId="xl68">
    <w:name w:val="xl68"/>
    <w:basedOn w:val="Normal"/>
    <w:rsid w:val="002C6D8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eastAsia="Times New Roman"/>
      <w:sz w:val="24"/>
      <w:szCs w:val="24"/>
    </w:rPr>
  </w:style>
  <w:style w:type="paragraph" w:customStyle="1" w:styleId="xl69">
    <w:name w:val="xl69"/>
    <w:basedOn w:val="Normal"/>
    <w:rsid w:val="002C6D8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eastAsia="Times New Roman"/>
      <w:sz w:val="24"/>
      <w:szCs w:val="24"/>
    </w:rPr>
  </w:style>
  <w:style w:type="paragraph" w:customStyle="1" w:styleId="xl70">
    <w:name w:val="xl70"/>
    <w:basedOn w:val="Normal"/>
    <w:rsid w:val="002C6D8B"/>
    <w:pPr>
      <w:spacing w:before="100" w:beforeAutospacing="1" w:after="100" w:afterAutospacing="1"/>
    </w:pPr>
    <w:rPr>
      <w:rFonts w:eastAsia="Times New Roman"/>
      <w:color w:val="0000FF"/>
      <w:sz w:val="24"/>
      <w:szCs w:val="24"/>
      <w:u w:val="single"/>
    </w:rPr>
  </w:style>
  <w:style w:type="paragraph" w:customStyle="1" w:styleId="xl71">
    <w:name w:val="xl71"/>
    <w:basedOn w:val="Normal"/>
    <w:rsid w:val="002C6D8B"/>
    <w:pPr>
      <w:pBdr>
        <w:left w:val="single" w:sz="4" w:space="0" w:color="auto"/>
        <w:right w:val="single" w:sz="4" w:space="0" w:color="auto"/>
      </w:pBdr>
      <w:shd w:val="clear" w:color="000000" w:fill="FFFFFF"/>
      <w:spacing w:before="100" w:beforeAutospacing="1" w:after="100" w:afterAutospacing="1"/>
    </w:pPr>
    <w:rPr>
      <w:rFonts w:eastAsia="Times New Roman"/>
      <w:sz w:val="24"/>
      <w:szCs w:val="24"/>
    </w:rPr>
  </w:style>
  <w:style w:type="paragraph" w:customStyle="1" w:styleId="xl72">
    <w:name w:val="xl72"/>
    <w:basedOn w:val="Normal"/>
    <w:rsid w:val="002C6D8B"/>
    <w:pPr>
      <w:pBdr>
        <w:top w:val="single" w:sz="4" w:space="0" w:color="auto"/>
        <w:left w:val="single" w:sz="4" w:space="0" w:color="auto"/>
        <w:bottom w:val="single" w:sz="4" w:space="0" w:color="auto"/>
        <w:right w:val="single" w:sz="4" w:space="0" w:color="auto"/>
      </w:pBdr>
      <w:spacing w:before="100" w:beforeAutospacing="1" w:after="100" w:afterAutospacing="1"/>
    </w:pPr>
    <w:rPr>
      <w:rFonts w:eastAsia="Times New Roman"/>
      <w:sz w:val="24"/>
      <w:szCs w:val="24"/>
    </w:rPr>
  </w:style>
  <w:style w:type="paragraph" w:customStyle="1" w:styleId="xl73">
    <w:name w:val="xl73"/>
    <w:basedOn w:val="Normal"/>
    <w:rsid w:val="002C6D8B"/>
    <w:pPr>
      <w:pBdr>
        <w:left w:val="single" w:sz="4" w:space="0" w:color="auto"/>
        <w:right w:val="single" w:sz="4" w:space="0" w:color="auto"/>
      </w:pBdr>
      <w:spacing w:before="100" w:beforeAutospacing="1" w:after="100" w:afterAutospacing="1"/>
    </w:pPr>
    <w:rPr>
      <w:rFonts w:eastAsia="Times New Roman"/>
      <w:sz w:val="24"/>
      <w:szCs w:val="24"/>
    </w:rPr>
  </w:style>
  <w:style w:type="paragraph" w:customStyle="1" w:styleId="xl74">
    <w:name w:val="xl74"/>
    <w:basedOn w:val="Normal"/>
    <w:rsid w:val="002C6D8B"/>
    <w:pPr>
      <w:spacing w:before="100" w:beforeAutospacing="1" w:after="100" w:afterAutospacing="1"/>
    </w:pPr>
    <w:rPr>
      <w:rFonts w:eastAsia="Times New Roman"/>
      <w:sz w:val="21"/>
      <w:szCs w:val="21"/>
    </w:rPr>
  </w:style>
  <w:style w:type="paragraph" w:customStyle="1" w:styleId="xl75">
    <w:name w:val="xl75"/>
    <w:basedOn w:val="Normal"/>
    <w:rsid w:val="002C6D8B"/>
    <w:pPr>
      <w:spacing w:before="100" w:beforeAutospacing="1" w:after="100" w:afterAutospacing="1"/>
    </w:pPr>
    <w:rPr>
      <w:rFonts w:eastAsia="Times New Roman"/>
      <w:sz w:val="20"/>
      <w:szCs w:val="20"/>
    </w:rPr>
  </w:style>
  <w:style w:type="paragraph" w:customStyle="1" w:styleId="xl76">
    <w:name w:val="xl76"/>
    <w:basedOn w:val="Normal"/>
    <w:rsid w:val="002C6D8B"/>
    <w:pPr>
      <w:spacing w:before="100" w:beforeAutospacing="1" w:after="100" w:afterAutospacing="1"/>
    </w:pPr>
    <w:rPr>
      <w:rFonts w:eastAsia="Times New Roman"/>
      <w:sz w:val="24"/>
      <w:szCs w:val="24"/>
    </w:rPr>
  </w:style>
  <w:style w:type="paragraph" w:customStyle="1" w:styleId="xl77">
    <w:name w:val="xl77"/>
    <w:basedOn w:val="Normal"/>
    <w:rsid w:val="002C6D8B"/>
    <w:pPr>
      <w:pBdr>
        <w:top w:val="single" w:sz="4" w:space="0" w:color="auto"/>
        <w:left w:val="single" w:sz="4" w:space="0" w:color="auto"/>
        <w:bottom w:val="single" w:sz="4" w:space="0" w:color="auto"/>
        <w:right w:val="single" w:sz="4" w:space="0" w:color="auto"/>
      </w:pBdr>
      <w:shd w:val="clear" w:color="000000" w:fill="F2DCDB"/>
      <w:spacing w:before="100" w:beforeAutospacing="1" w:after="100" w:afterAutospacing="1"/>
      <w:jc w:val="center"/>
      <w:textAlignment w:val="center"/>
    </w:pPr>
    <w:rPr>
      <w:rFonts w:eastAsia="Times New Roman"/>
      <w:b/>
      <w:bCs/>
      <w:sz w:val="24"/>
      <w:szCs w:val="24"/>
    </w:rPr>
  </w:style>
  <w:style w:type="paragraph" w:customStyle="1" w:styleId="xl78">
    <w:name w:val="xl78"/>
    <w:basedOn w:val="Normal"/>
    <w:rsid w:val="002C6D8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eastAsia="Times New Roman"/>
      <w:sz w:val="24"/>
      <w:szCs w:val="24"/>
    </w:rPr>
  </w:style>
  <w:style w:type="paragraph" w:customStyle="1" w:styleId="xl80">
    <w:name w:val="xl80"/>
    <w:basedOn w:val="Normal"/>
    <w:rsid w:val="002C6D8B"/>
    <w:pPr>
      <w:pBdr>
        <w:top w:val="single" w:sz="4" w:space="0" w:color="auto"/>
        <w:left w:val="single" w:sz="4" w:space="0" w:color="auto"/>
        <w:bottom w:val="single" w:sz="4" w:space="0" w:color="auto"/>
        <w:right w:val="single" w:sz="4" w:space="0" w:color="auto"/>
      </w:pBdr>
      <w:spacing w:before="100" w:beforeAutospacing="1" w:after="100" w:afterAutospacing="1"/>
    </w:pPr>
    <w:rPr>
      <w:rFonts w:eastAsia="Times New Roman"/>
      <w:sz w:val="24"/>
      <w:szCs w:val="24"/>
    </w:rPr>
  </w:style>
  <w:style w:type="paragraph" w:customStyle="1" w:styleId="xl81">
    <w:name w:val="xl81"/>
    <w:basedOn w:val="Normal"/>
    <w:rsid w:val="002C6D8B"/>
    <w:pPr>
      <w:pBdr>
        <w:top w:val="single" w:sz="4" w:space="0" w:color="auto"/>
        <w:left w:val="single" w:sz="4" w:space="0" w:color="auto"/>
        <w:bottom w:val="single" w:sz="4" w:space="0" w:color="auto"/>
        <w:right w:val="single" w:sz="4" w:space="0" w:color="auto"/>
      </w:pBdr>
      <w:spacing w:before="100" w:beforeAutospacing="1" w:after="100" w:afterAutospacing="1"/>
    </w:pPr>
    <w:rPr>
      <w:rFonts w:eastAsia="Times New Roman"/>
      <w:sz w:val="24"/>
      <w:szCs w:val="24"/>
    </w:rPr>
  </w:style>
  <w:style w:type="character" w:customStyle="1" w:styleId="Heading1Char">
    <w:name w:val="Heading 1 Char"/>
    <w:basedOn w:val="DefaultParagraphFont"/>
    <w:link w:val="Heading1"/>
    <w:uiPriority w:val="9"/>
    <w:rsid w:val="000041AF"/>
    <w:rPr>
      <w:rFonts w:ascii="Times New Roman" w:eastAsiaTheme="majorEastAsia" w:hAnsi="Times New Roman" w:cstheme="majorBidi"/>
      <w:b/>
      <w:bCs/>
      <w:kern w:val="2"/>
      <w:sz w:val="28"/>
      <w:szCs w:val="32"/>
      <w:lang w:val="es-UY"/>
      <w14:ligatures w14:val="standardContextual"/>
    </w:rPr>
  </w:style>
  <w:style w:type="character" w:customStyle="1" w:styleId="Heading2Char">
    <w:name w:val="Heading 2 Char"/>
    <w:basedOn w:val="DefaultParagraphFont"/>
    <w:link w:val="Heading2"/>
    <w:uiPriority w:val="9"/>
    <w:rsid w:val="000041AF"/>
    <w:rPr>
      <w:rFonts w:ascii="Times New Roman Bold" w:eastAsiaTheme="majorEastAsia" w:hAnsi="Times New Roman Bold" w:cstheme="majorBidi"/>
      <w:b/>
      <w:sz w:val="24"/>
      <w:szCs w:val="26"/>
      <w:lang w:val="es-UY"/>
    </w:rPr>
  </w:style>
  <w:style w:type="character" w:customStyle="1" w:styleId="Heading3Char">
    <w:name w:val="Heading 3 Char"/>
    <w:basedOn w:val="DefaultParagraphFont"/>
    <w:link w:val="Heading3"/>
    <w:uiPriority w:val="9"/>
    <w:rsid w:val="000041AF"/>
    <w:rPr>
      <w:rFonts w:ascii="Times New Roman" w:eastAsiaTheme="majorEastAsia" w:hAnsi="Times New Roman" w:cs="Times New Roman"/>
      <w:b/>
      <w:bCs/>
      <w:lang w:val="es-UY"/>
    </w:rPr>
  </w:style>
  <w:style w:type="paragraph" w:styleId="TOC2">
    <w:name w:val="toc 2"/>
    <w:basedOn w:val="Normal"/>
    <w:next w:val="Normal"/>
    <w:autoRedefine/>
    <w:uiPriority w:val="39"/>
    <w:unhideWhenUsed/>
    <w:rsid w:val="009E14FB"/>
    <w:pPr>
      <w:tabs>
        <w:tab w:val="right" w:leader="dot" w:pos="9360"/>
      </w:tabs>
      <w:spacing w:after="100"/>
      <w:ind w:left="720"/>
    </w:pPr>
    <w:rPr>
      <w:rFonts w:eastAsiaTheme="majorEastAsia" w:cstheme="minorHAnsi"/>
      <w:noProof/>
      <w:snapToGrid w:val="0"/>
    </w:rPr>
  </w:style>
  <w:style w:type="paragraph" w:styleId="TOC1">
    <w:name w:val="toc 1"/>
    <w:basedOn w:val="Normal"/>
    <w:next w:val="Normal"/>
    <w:autoRedefine/>
    <w:uiPriority w:val="39"/>
    <w:unhideWhenUsed/>
    <w:qFormat/>
    <w:rsid w:val="001534C4"/>
    <w:pPr>
      <w:tabs>
        <w:tab w:val="left" w:pos="440"/>
        <w:tab w:val="right" w:leader="dot" w:pos="9350"/>
      </w:tabs>
      <w:adjustRightInd w:val="0"/>
      <w:spacing w:after="120"/>
      <w:ind w:left="864" w:hanging="864"/>
    </w:pPr>
    <w:rPr>
      <w:bCs/>
      <w:noProof/>
    </w:rPr>
  </w:style>
  <w:style w:type="paragraph" w:styleId="TOC3">
    <w:name w:val="toc 3"/>
    <w:basedOn w:val="Normal"/>
    <w:next w:val="Normal"/>
    <w:autoRedefine/>
    <w:uiPriority w:val="39"/>
    <w:unhideWhenUsed/>
    <w:rsid w:val="00DE401D"/>
    <w:pPr>
      <w:tabs>
        <w:tab w:val="right" w:leader="dot" w:pos="9350"/>
      </w:tabs>
      <w:spacing w:after="100"/>
      <w:ind w:left="1260"/>
    </w:pPr>
    <w:rPr>
      <w:rFonts w:eastAsiaTheme="majorEastAsia" w:cstheme="majorBidi"/>
      <w:noProof/>
    </w:rPr>
  </w:style>
  <w:style w:type="paragraph" w:customStyle="1" w:styleId="HEADINGNOTFORTOC">
    <w:name w:val="HEADING (NOT FOR TOC)"/>
    <w:basedOn w:val="Heading1"/>
    <w:next w:val="Heading2"/>
    <w:rsid w:val="00AF2846"/>
    <w:pPr>
      <w:keepLines w:val="0"/>
      <w:tabs>
        <w:tab w:val="left" w:pos="720"/>
      </w:tabs>
    </w:pPr>
    <w:rPr>
      <w:rFonts w:eastAsia="Times New Roman"/>
      <w:caps/>
      <w:smallCaps/>
    </w:rPr>
  </w:style>
  <w:style w:type="paragraph" w:customStyle="1" w:styleId="meetingname">
    <w:name w:val="meeting name"/>
    <w:basedOn w:val="Normal"/>
    <w:qFormat/>
    <w:rsid w:val="00AF2846"/>
    <w:pPr>
      <w:ind w:left="170" w:right="3119" w:hanging="170"/>
    </w:pPr>
    <w:rPr>
      <w:rFonts w:eastAsia="Malgun Gothic"/>
      <w:caps/>
      <w:snapToGrid w:val="0"/>
      <w:sz w:val="24"/>
      <w:szCs w:val="24"/>
    </w:rPr>
  </w:style>
  <w:style w:type="paragraph" w:customStyle="1" w:styleId="BVIfnrChar">
    <w:name w:val="BVI fnr Char"/>
    <w:aliases w:val=" BVI fnr Car Car Char,BVI fnr Car Char, BVI fnr Car Car Car Car Char Char,BVI fnr Car Car Char,BVI fnr Car Car Car Car Char, BVI fnr Car Char, BVI fnr Car Car Car Char, BVI fnr Car Car Car Car Car Char,BVI fnr Car Car Car Char"/>
    <w:basedOn w:val="Normal"/>
    <w:uiPriority w:val="99"/>
    <w:qFormat/>
    <w:rsid w:val="00AF2846"/>
    <w:pPr>
      <w:spacing w:line="240" w:lineRule="exact"/>
    </w:pPr>
    <w:rPr>
      <w:rFonts w:eastAsia="MS Mincho"/>
      <w:sz w:val="18"/>
      <w:szCs w:val="20"/>
      <w:u w:val="single"/>
    </w:rPr>
  </w:style>
  <w:style w:type="character" w:styleId="PlaceholderText">
    <w:name w:val="Placeholder Text"/>
    <w:basedOn w:val="DefaultParagraphFont"/>
    <w:uiPriority w:val="99"/>
    <w:semiHidden/>
    <w:rsid w:val="00AF2846"/>
    <w:rPr>
      <w:color w:val="808080"/>
      <w:lang w:val="es-UY"/>
    </w:rPr>
  </w:style>
  <w:style w:type="paragraph" w:styleId="Revision">
    <w:name w:val="Revision"/>
    <w:hidden/>
    <w:uiPriority w:val="99"/>
    <w:semiHidden/>
    <w:rsid w:val="000041AF"/>
    <w:pPr>
      <w:spacing w:before="0" w:after="0"/>
      <w:jc w:val="left"/>
    </w:pPr>
    <w:rPr>
      <w:rFonts w:ascii="Simplified Arabic" w:eastAsia="Times New Roman" w:hAnsi="Simplified Arabic" w:cs="Simplified Arabic"/>
      <w:noProof/>
      <w:sz w:val="24"/>
      <w:szCs w:val="24"/>
    </w:rPr>
  </w:style>
  <w:style w:type="paragraph" w:customStyle="1" w:styleId="SubParagraphLevel1">
    <w:name w:val="Sub Paragraph Level 1"/>
    <w:basedOn w:val="ListParagraph"/>
    <w:link w:val="SubParagraphLevel1Char"/>
    <w:qFormat/>
    <w:rsid w:val="007B7193"/>
    <w:pPr>
      <w:numPr>
        <w:numId w:val="4"/>
      </w:numPr>
      <w:spacing w:before="120" w:after="120"/>
      <w:ind w:left="720" w:firstLine="0"/>
    </w:pPr>
    <w:rPr>
      <w:rFonts w:eastAsiaTheme="minorEastAsia"/>
      <w:lang w:eastAsia="zh-CN"/>
    </w:rPr>
  </w:style>
  <w:style w:type="character" w:customStyle="1" w:styleId="SubParagraphLevel1Char">
    <w:name w:val="Sub Paragraph Level 1 Char"/>
    <w:basedOn w:val="DefaultParagraphFont"/>
    <w:link w:val="SubParagraphLevel1"/>
    <w:rsid w:val="007B7193"/>
    <w:rPr>
      <w:rFonts w:ascii="Times New Roman" w:eastAsiaTheme="minorEastAsia" w:hAnsi="Times New Roman" w:cs="Times New Roman"/>
      <w:lang w:val="es-UY" w:eastAsia="zh-CN"/>
    </w:rPr>
  </w:style>
  <w:style w:type="paragraph" w:customStyle="1" w:styleId="GEFNumberedParagraph">
    <w:name w:val="GEF Numbered Paragraph"/>
    <w:basedOn w:val="Normal"/>
    <w:link w:val="GEFNumberedParagraphChar"/>
    <w:qFormat/>
    <w:rsid w:val="003E777B"/>
    <w:pPr>
      <w:numPr>
        <w:numId w:val="2"/>
      </w:numPr>
      <w:spacing w:line="276" w:lineRule="auto"/>
    </w:pPr>
    <w:rPr>
      <w:rFonts w:eastAsia="Times New Roman" w:cs="Calibri"/>
      <w:noProof/>
      <w:color w:val="000000"/>
      <w:sz w:val="24"/>
      <w:szCs w:val="24"/>
    </w:rPr>
  </w:style>
  <w:style w:type="table" w:styleId="PlainTable3">
    <w:name w:val="Plain Table 3"/>
    <w:basedOn w:val="TableNormal"/>
    <w:uiPriority w:val="43"/>
    <w:rsid w:val="00AD5960"/>
    <w:pPr>
      <w:spacing w:after="0"/>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paragraph" w:customStyle="1" w:styleId="bullettext">
    <w:name w:val="bullet text"/>
    <w:basedOn w:val="ListParagraph"/>
    <w:link w:val="bullettextChar"/>
    <w:qFormat/>
    <w:rsid w:val="00E921C6"/>
    <w:pPr>
      <w:numPr>
        <w:ilvl w:val="1"/>
        <w:numId w:val="3"/>
      </w:numPr>
    </w:pPr>
  </w:style>
  <w:style w:type="paragraph" w:styleId="Caption">
    <w:name w:val="caption"/>
    <w:basedOn w:val="Normal"/>
    <w:next w:val="Normal"/>
    <w:autoRedefine/>
    <w:uiPriority w:val="35"/>
    <w:unhideWhenUsed/>
    <w:qFormat/>
    <w:rsid w:val="00E86EE0"/>
    <w:pPr>
      <w:keepNext/>
      <w:spacing w:before="120" w:after="120"/>
      <w:jc w:val="center"/>
    </w:pPr>
    <w:rPr>
      <w:b/>
      <w:iCs/>
      <w:sz w:val="24"/>
      <w:szCs w:val="24"/>
    </w:rPr>
  </w:style>
  <w:style w:type="character" w:customStyle="1" w:styleId="ListParagraphChar">
    <w:name w:val="List Paragraph Char"/>
    <w:aliases w:val="cop report main para Char,Bullets Char,List Paragraph1 Char,Bullets1 Char,List Paragraph11 Char,Bullets2 Char,List Paragraph12 Char,Bullets3 Char,List Paragraph13 Char,Dot pt Char,F5 List Paragraph Char,No Spacing1 Char,Bullet  Char"/>
    <w:basedOn w:val="DefaultParagraphFont"/>
    <w:link w:val="ListParagraph"/>
    <w:uiPriority w:val="34"/>
    <w:qFormat/>
    <w:rsid w:val="00A35FBB"/>
    <w:rPr>
      <w:rFonts w:ascii="Times New Roman" w:eastAsia="SimSun" w:hAnsi="Times New Roman" w:cs="Times New Roman"/>
      <w:lang w:val="es-UY"/>
    </w:rPr>
  </w:style>
  <w:style w:type="character" w:customStyle="1" w:styleId="bullettextChar">
    <w:name w:val="bullet text Char"/>
    <w:basedOn w:val="ListParagraphChar"/>
    <w:link w:val="bullettext"/>
    <w:rsid w:val="00E921C6"/>
    <w:rPr>
      <w:rFonts w:ascii="Times New Roman" w:eastAsia="SimSun" w:hAnsi="Times New Roman" w:cs="Times New Roman"/>
      <w:lang w:val="es-UY"/>
    </w:rPr>
  </w:style>
  <w:style w:type="paragraph" w:styleId="TableofFigures">
    <w:name w:val="table of figures"/>
    <w:basedOn w:val="Normal"/>
    <w:next w:val="Normal"/>
    <w:autoRedefine/>
    <w:uiPriority w:val="99"/>
    <w:unhideWhenUsed/>
    <w:rsid w:val="00756C88"/>
    <w:pPr>
      <w:tabs>
        <w:tab w:val="right" w:leader="dot" w:pos="9350"/>
      </w:tabs>
      <w:spacing w:after="120"/>
      <w:ind w:left="864" w:hanging="864"/>
    </w:pPr>
    <w:rPr>
      <w:sz w:val="24"/>
    </w:rPr>
  </w:style>
  <w:style w:type="paragraph" w:styleId="TOCHeading">
    <w:name w:val="TOC Heading"/>
    <w:basedOn w:val="Heading1"/>
    <w:next w:val="Normal"/>
    <w:uiPriority w:val="39"/>
    <w:unhideWhenUsed/>
    <w:qFormat/>
    <w:rsid w:val="00FA5F49"/>
    <w:pPr>
      <w:spacing w:after="0" w:line="259" w:lineRule="auto"/>
      <w:outlineLvl w:val="9"/>
    </w:pPr>
    <w:rPr>
      <w:rFonts w:asciiTheme="majorHAnsi" w:hAnsiTheme="majorHAnsi"/>
      <w:b w:val="0"/>
      <w:smallCaps/>
      <w:snapToGrid w:val="0"/>
      <w:color w:val="2F5496" w:themeColor="accent1" w:themeShade="BF"/>
      <w:sz w:val="32"/>
    </w:rPr>
  </w:style>
  <w:style w:type="character" w:styleId="FootnoteReference">
    <w:name w:val="footnote reference"/>
    <w:aliases w:val="16 Point,Superscript 6 Point,Superscript 6 Point + 11 pt,ftref,Appel note de bas de page,number,Footnote Reference Superscript,-E Fußnotenzeichen,(Diplomarbeit FZ),(Diplomarbeit FZ)1,(Diplomarbeit FZ)2,(Diplomarbeit FZ)3,16 Poin,Ref,f"/>
    <w:basedOn w:val="DefaultParagraphFont"/>
    <w:link w:val="CharChar1CharCharCharChar1CharCharCharCharCharCharCharChar"/>
    <w:uiPriority w:val="99"/>
    <w:unhideWhenUsed/>
    <w:rsid w:val="000041AF"/>
    <w:rPr>
      <w:vertAlign w:val="superscript"/>
      <w:lang w:val="es-UY"/>
    </w:rPr>
  </w:style>
  <w:style w:type="paragraph" w:styleId="PlainText">
    <w:name w:val="Plain Text"/>
    <w:basedOn w:val="Normal"/>
    <w:link w:val="PlainTextChar"/>
    <w:uiPriority w:val="99"/>
    <w:unhideWhenUsed/>
    <w:rsid w:val="00AC2F02"/>
    <w:rPr>
      <w:rFonts w:ascii="Consolas" w:eastAsiaTheme="minorEastAsia" w:hAnsi="Consolas"/>
      <w:sz w:val="21"/>
      <w:szCs w:val="21"/>
      <w:lang w:eastAsia="zh-CN"/>
    </w:rPr>
  </w:style>
  <w:style w:type="character" w:customStyle="1" w:styleId="PlainTextChar">
    <w:name w:val="Plain Text Char"/>
    <w:basedOn w:val="DefaultParagraphFont"/>
    <w:link w:val="PlainText"/>
    <w:uiPriority w:val="99"/>
    <w:rsid w:val="00AC2F02"/>
    <w:rPr>
      <w:rFonts w:ascii="Consolas" w:eastAsiaTheme="minorEastAsia" w:hAnsi="Consolas" w:cs="Times New Roman"/>
      <w:sz w:val="21"/>
      <w:szCs w:val="21"/>
      <w:lang w:val="es-UY" w:eastAsia="zh-CN"/>
    </w:rPr>
  </w:style>
  <w:style w:type="paragraph" w:customStyle="1" w:styleId="CharChar1CharCharCharChar1CharCharCharCharCharCharCharChar">
    <w:name w:val="Char Char1 Char Char Char Char1 Char Char Char Char Char Char Char Char"/>
    <w:aliases w:val="Char Char1 Char Char Char Char1 Char Char Char Char Char Char Char Char Char Char Char Char"/>
    <w:basedOn w:val="Normal"/>
    <w:next w:val="Normal"/>
    <w:link w:val="FootnoteReference"/>
    <w:uiPriority w:val="99"/>
    <w:rsid w:val="005D666B"/>
    <w:pPr>
      <w:spacing w:after="160" w:line="240" w:lineRule="exact"/>
    </w:pPr>
    <w:rPr>
      <w:rFonts w:asciiTheme="minorHAnsi" w:eastAsiaTheme="minorHAnsi" w:hAnsiTheme="minorHAnsi" w:cstheme="minorBidi"/>
      <w:vertAlign w:val="superscript"/>
    </w:rPr>
  </w:style>
  <w:style w:type="paragraph" w:customStyle="1" w:styleId="tabletextwithi">
    <w:name w:val="table text with i"/>
    <w:aliases w:val="ii,iii"/>
    <w:basedOn w:val="ListParagraph"/>
    <w:link w:val="tabletextwithiChar"/>
    <w:autoRedefine/>
    <w:qFormat/>
    <w:rsid w:val="006C2BDC"/>
    <w:pPr>
      <w:tabs>
        <w:tab w:val="left" w:pos="630"/>
        <w:tab w:val="left" w:pos="1350"/>
      </w:tabs>
      <w:spacing w:after="120"/>
    </w:pPr>
    <w:rPr>
      <w:rFonts w:eastAsiaTheme="minorEastAsia" w:cs="Calibri"/>
      <w:snapToGrid w:val="0"/>
      <w:lang w:eastAsia="de-DE"/>
    </w:rPr>
  </w:style>
  <w:style w:type="character" w:customStyle="1" w:styleId="tabletextwithiChar">
    <w:name w:val="table text with i Char"/>
    <w:aliases w:val="ii Char,iii Char"/>
    <w:basedOn w:val="ListParagraphChar"/>
    <w:link w:val="tabletextwithi"/>
    <w:rsid w:val="006C2BDC"/>
    <w:rPr>
      <w:rFonts w:ascii="Times New Roman" w:eastAsiaTheme="minorEastAsia" w:hAnsi="Times New Roman" w:cs="Calibri"/>
      <w:snapToGrid w:val="0"/>
      <w:lang w:val="es-UY" w:eastAsia="de-DE"/>
    </w:rPr>
  </w:style>
  <w:style w:type="paragraph" w:customStyle="1" w:styleId="Default">
    <w:name w:val="Default"/>
    <w:rsid w:val="00DA7020"/>
    <w:pPr>
      <w:autoSpaceDE w:val="0"/>
      <w:autoSpaceDN w:val="0"/>
      <w:adjustRightInd w:val="0"/>
      <w:spacing w:after="0"/>
    </w:pPr>
    <w:rPr>
      <w:rFonts w:ascii="Calibri" w:hAnsi="Calibri" w:cs="Calibri"/>
      <w:color w:val="000000"/>
      <w:sz w:val="24"/>
      <w:szCs w:val="24"/>
    </w:rPr>
  </w:style>
  <w:style w:type="paragraph" w:customStyle="1" w:styleId="Char2">
    <w:name w:val="Char2"/>
    <w:basedOn w:val="Normal"/>
    <w:uiPriority w:val="99"/>
    <w:qFormat/>
    <w:rsid w:val="00DA7020"/>
    <w:pPr>
      <w:spacing w:line="240" w:lineRule="exact"/>
    </w:pPr>
    <w:rPr>
      <w:sz w:val="18"/>
      <w:vertAlign w:val="superscript"/>
    </w:rPr>
  </w:style>
  <w:style w:type="character" w:customStyle="1" w:styleId="GEFNumberedParagraphChar">
    <w:name w:val="GEF Numbered Paragraph Char"/>
    <w:basedOn w:val="DefaultParagraphFont"/>
    <w:link w:val="GEFNumberedParagraph"/>
    <w:rsid w:val="00DA7020"/>
    <w:rPr>
      <w:rFonts w:ascii="Times New Roman" w:eastAsia="Times New Roman" w:hAnsi="Times New Roman" w:cs="Calibri"/>
      <w:noProof/>
      <w:color w:val="000000"/>
      <w:sz w:val="24"/>
      <w:szCs w:val="24"/>
      <w:lang w:val="es-UY"/>
    </w:rPr>
  </w:style>
  <w:style w:type="paragraph" w:styleId="EndnoteText">
    <w:name w:val="endnote text"/>
    <w:basedOn w:val="Normal"/>
    <w:link w:val="EndnoteTextChar"/>
    <w:uiPriority w:val="99"/>
    <w:semiHidden/>
    <w:unhideWhenUsed/>
    <w:rsid w:val="00180746"/>
    <w:rPr>
      <w:sz w:val="20"/>
      <w:szCs w:val="20"/>
    </w:rPr>
  </w:style>
  <w:style w:type="character" w:customStyle="1" w:styleId="EndnoteTextChar">
    <w:name w:val="Endnote Text Char"/>
    <w:basedOn w:val="DefaultParagraphFont"/>
    <w:link w:val="EndnoteText"/>
    <w:uiPriority w:val="99"/>
    <w:semiHidden/>
    <w:rsid w:val="00180746"/>
    <w:rPr>
      <w:rFonts w:ascii="Times New Roman" w:eastAsia="SimSun" w:hAnsi="Times New Roman" w:cs="Times New Roman"/>
      <w:sz w:val="20"/>
      <w:szCs w:val="20"/>
      <w:lang w:val="es-UY"/>
    </w:rPr>
  </w:style>
  <w:style w:type="character" w:styleId="EndnoteReference">
    <w:name w:val="endnote reference"/>
    <w:basedOn w:val="DefaultParagraphFont"/>
    <w:uiPriority w:val="99"/>
    <w:semiHidden/>
    <w:unhideWhenUsed/>
    <w:rsid w:val="00180746"/>
    <w:rPr>
      <w:vertAlign w:val="superscript"/>
      <w:lang w:val="es-UY"/>
    </w:rPr>
  </w:style>
  <w:style w:type="table" w:customStyle="1" w:styleId="PlainTable21">
    <w:name w:val="Plain Table 21"/>
    <w:basedOn w:val="TableNormal"/>
    <w:next w:val="PlainTable2"/>
    <w:uiPriority w:val="42"/>
    <w:rsid w:val="008847A6"/>
    <w:pPr>
      <w:spacing w:after="0"/>
    </w:pPr>
    <w:rPr>
      <w14:ligatures w14:val="standardContextual"/>
    </w:rPr>
    <w:tblPr>
      <w:tblStyleRowBandSize w:val="1"/>
      <w:tblStyleColBandSize w:val="1"/>
      <w:tblBorders>
        <w:top w:val="single" w:sz="4" w:space="0" w:color="7F7F7F"/>
        <w:bottom w:val="single" w:sz="4" w:space="0" w:color="7F7F7F"/>
      </w:tblBorders>
    </w:tblPr>
    <w:tblStylePr w:type="firstRow">
      <w:rPr>
        <w:b/>
        <w:bCs/>
      </w:rPr>
      <w:tblPr/>
      <w:tcPr>
        <w:tcBorders>
          <w:bottom w:val="single" w:sz="4" w:space="0" w:color="7F7F7F"/>
        </w:tcBorders>
      </w:tcPr>
    </w:tblStylePr>
    <w:tblStylePr w:type="lastRow">
      <w:rPr>
        <w:b/>
        <w:bCs/>
      </w:rPr>
      <w:tblPr/>
      <w:tcPr>
        <w:tcBorders>
          <w:top w:val="single" w:sz="4" w:space="0" w:color="7F7F7F"/>
        </w:tcBorders>
      </w:tcPr>
    </w:tblStylePr>
    <w:tblStylePr w:type="firstCol">
      <w:rPr>
        <w:b/>
        <w:bCs/>
      </w:rPr>
    </w:tblStylePr>
    <w:tblStylePr w:type="lastCol">
      <w:rPr>
        <w:b/>
        <w:bCs/>
      </w:rPr>
    </w:tblStylePr>
    <w:tblStylePr w:type="band1Vert">
      <w:tblPr/>
      <w:tcPr>
        <w:tcBorders>
          <w:left w:val="single" w:sz="4" w:space="0" w:color="7F7F7F"/>
          <w:right w:val="single" w:sz="4" w:space="0" w:color="7F7F7F"/>
        </w:tcBorders>
      </w:tcPr>
    </w:tblStylePr>
    <w:tblStylePr w:type="band2Vert">
      <w:tblPr/>
      <w:tcPr>
        <w:tcBorders>
          <w:left w:val="single" w:sz="4" w:space="0" w:color="7F7F7F"/>
          <w:right w:val="single" w:sz="4" w:space="0" w:color="7F7F7F"/>
        </w:tcBorders>
      </w:tcPr>
    </w:tblStylePr>
    <w:tblStylePr w:type="band1Horz">
      <w:tblPr/>
      <w:tcPr>
        <w:tcBorders>
          <w:top w:val="single" w:sz="4" w:space="0" w:color="7F7F7F"/>
          <w:bottom w:val="single" w:sz="4" w:space="0" w:color="7F7F7F"/>
        </w:tcBorders>
      </w:tcPr>
    </w:tblStylePr>
  </w:style>
  <w:style w:type="table" w:styleId="PlainTable2">
    <w:name w:val="Plain Table 2"/>
    <w:basedOn w:val="TableNormal"/>
    <w:uiPriority w:val="42"/>
    <w:rsid w:val="008847A6"/>
    <w:pPr>
      <w:spacing w:after="0"/>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numbering" w:customStyle="1" w:styleId="NoList1">
    <w:name w:val="No List1"/>
    <w:next w:val="NoList"/>
    <w:uiPriority w:val="99"/>
    <w:semiHidden/>
    <w:unhideWhenUsed/>
    <w:rsid w:val="001534C4"/>
  </w:style>
  <w:style w:type="table" w:styleId="GridTable1Light-Accent4">
    <w:name w:val="Grid Table 1 Light Accent 4"/>
    <w:basedOn w:val="TableNormal"/>
    <w:uiPriority w:val="46"/>
    <w:rsid w:val="001534C4"/>
    <w:pPr>
      <w:spacing w:after="0"/>
    </w:pPr>
    <w:rPr>
      <w:kern w:val="2"/>
      <w14:ligatures w14:val="standardContextual"/>
    </w:rPr>
    <w:tblPr>
      <w:tblStyleRowBandSize w:val="1"/>
      <w:tblStyleColBandSize w:val="1"/>
      <w:tblBorders>
        <w:top w:val="single" w:sz="4" w:space="0" w:color="FFE599" w:themeColor="accent4" w:themeTint="66"/>
        <w:left w:val="single" w:sz="4" w:space="0" w:color="FFE599" w:themeColor="accent4" w:themeTint="66"/>
        <w:bottom w:val="single" w:sz="4" w:space="0" w:color="FFE599" w:themeColor="accent4" w:themeTint="66"/>
        <w:right w:val="single" w:sz="4" w:space="0" w:color="FFE599" w:themeColor="accent4" w:themeTint="66"/>
        <w:insideH w:val="single" w:sz="4" w:space="0" w:color="FFE599" w:themeColor="accent4" w:themeTint="66"/>
        <w:insideV w:val="single" w:sz="4" w:space="0" w:color="FFE599" w:themeColor="accent4" w:themeTint="66"/>
      </w:tblBorders>
    </w:tblPr>
    <w:tblStylePr w:type="firstRow">
      <w:rPr>
        <w:b/>
        <w:bCs/>
      </w:rPr>
      <w:tblPr/>
      <w:tcPr>
        <w:tcBorders>
          <w:bottom w:val="single" w:sz="12" w:space="0" w:color="FFD966" w:themeColor="accent4" w:themeTint="99"/>
        </w:tcBorders>
      </w:tcPr>
    </w:tblStylePr>
    <w:tblStylePr w:type="lastRow">
      <w:rPr>
        <w:b/>
        <w:bCs/>
      </w:rPr>
      <w:tblPr/>
      <w:tcPr>
        <w:tcBorders>
          <w:top w:val="double" w:sz="2" w:space="0" w:color="FFD966" w:themeColor="accent4" w:themeTint="99"/>
        </w:tcBorders>
      </w:tcPr>
    </w:tblStylePr>
    <w:tblStylePr w:type="firstCol">
      <w:rPr>
        <w:b/>
        <w:bCs/>
      </w:rPr>
    </w:tblStylePr>
    <w:tblStylePr w:type="lastCol">
      <w:rPr>
        <w:b/>
        <w:bCs/>
      </w:rPr>
    </w:tblStylePr>
  </w:style>
  <w:style w:type="table" w:styleId="PlainTable1">
    <w:name w:val="Plain Table 1"/>
    <w:basedOn w:val="TableNormal"/>
    <w:uiPriority w:val="41"/>
    <w:rsid w:val="001534C4"/>
    <w:pPr>
      <w:spacing w:after="0"/>
    </w:pPr>
    <w:rPr>
      <w:kern w:val="2"/>
      <w14:ligatures w14:val="standardContextual"/>
    </w:r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character" w:customStyle="1" w:styleId="Mention">
    <w:name w:val="Mention"/>
    <w:basedOn w:val="DefaultParagraphFont"/>
    <w:uiPriority w:val="99"/>
    <w:unhideWhenUsed/>
    <w:rsid w:val="00AC4260"/>
    <w:rPr>
      <w:color w:val="2B579A"/>
      <w:shd w:val="clear" w:color="auto" w:fill="E1DFDD"/>
      <w:lang w:val="es-UY"/>
    </w:rPr>
  </w:style>
  <w:style w:type="paragraph" w:styleId="Title">
    <w:name w:val="Title"/>
    <w:basedOn w:val="Normal"/>
    <w:next w:val="Normal"/>
    <w:link w:val="TitleChar"/>
    <w:uiPriority w:val="10"/>
    <w:qFormat/>
    <w:rsid w:val="000B6DD3"/>
    <w:pPr>
      <w:keepNext/>
      <w:keepLines/>
      <w:spacing w:before="480" w:after="120" w:line="259" w:lineRule="auto"/>
      <w:jc w:val="left"/>
    </w:pPr>
    <w:rPr>
      <w:rFonts w:ascii="Calibri" w:eastAsia="Calibri" w:hAnsi="Calibri" w:cs="Calibri"/>
      <w:b/>
      <w:sz w:val="72"/>
      <w:szCs w:val="72"/>
    </w:rPr>
  </w:style>
  <w:style w:type="character" w:customStyle="1" w:styleId="TitleChar">
    <w:name w:val="Title Char"/>
    <w:basedOn w:val="DefaultParagraphFont"/>
    <w:link w:val="Title"/>
    <w:uiPriority w:val="10"/>
    <w:rsid w:val="000B6DD3"/>
    <w:rPr>
      <w:rFonts w:ascii="Calibri" w:eastAsia="Calibri" w:hAnsi="Calibri" w:cs="Calibri"/>
      <w:b/>
      <w:sz w:val="72"/>
      <w:szCs w:val="72"/>
      <w:lang w:val="es-UY"/>
    </w:rPr>
  </w:style>
  <w:style w:type="paragraph" w:styleId="NormalWeb">
    <w:name w:val="Normal (Web)"/>
    <w:basedOn w:val="Normal"/>
    <w:uiPriority w:val="99"/>
    <w:semiHidden/>
    <w:unhideWhenUsed/>
    <w:rsid w:val="00A5135B"/>
    <w:pPr>
      <w:spacing w:before="100" w:beforeAutospacing="1" w:after="100" w:afterAutospacing="1"/>
      <w:jc w:val="left"/>
    </w:pPr>
    <w:rPr>
      <w:rFonts w:eastAsia="Times New Roman"/>
      <w:sz w:val="24"/>
      <w:szCs w:val="24"/>
      <w:lang w:eastAsia="ja-JP"/>
    </w:rPr>
  </w:style>
  <w:style w:type="paragraph" w:customStyle="1" w:styleId="footnote">
    <w:name w:val="footnote"/>
    <w:basedOn w:val="Default"/>
    <w:link w:val="footnoteChar"/>
    <w:autoRedefine/>
    <w:qFormat/>
    <w:rsid w:val="0038791E"/>
    <w:pPr>
      <w:spacing w:before="0"/>
      <w:jc w:val="left"/>
    </w:pPr>
    <w:rPr>
      <w:rFonts w:asciiTheme="minorHAnsi" w:eastAsia="SimSun" w:hAnsiTheme="minorHAnsi" w:cstheme="minorHAnsi"/>
      <w:sz w:val="20"/>
      <w:szCs w:val="20"/>
    </w:rPr>
  </w:style>
  <w:style w:type="character" w:customStyle="1" w:styleId="footnoteChar">
    <w:name w:val="footnote Char"/>
    <w:basedOn w:val="DefaultParagraphFont"/>
    <w:link w:val="footnote"/>
    <w:rsid w:val="0038791E"/>
    <w:rPr>
      <w:rFonts w:eastAsia="SimSun" w:cstheme="minorHAnsi"/>
      <w:color w:val="000000"/>
      <w:sz w:val="20"/>
      <w:szCs w:val="20"/>
      <w:lang w:val="es-UY"/>
    </w:rPr>
  </w:style>
  <w:style w:type="paragraph" w:customStyle="1" w:styleId="Bulletseparate">
    <w:name w:val="Bullet separate"/>
    <w:basedOn w:val="Normal"/>
    <w:link w:val="BulletseparateChar"/>
    <w:qFormat/>
    <w:rsid w:val="00893221"/>
    <w:pPr>
      <w:numPr>
        <w:numId w:val="5"/>
      </w:numPr>
      <w:jc w:val="left"/>
    </w:pPr>
    <w:rPr>
      <w:rFonts w:ascii="Calibri" w:hAnsi="Calibri"/>
    </w:rPr>
  </w:style>
  <w:style w:type="character" w:customStyle="1" w:styleId="BulletseparateChar">
    <w:name w:val="Bullet separate Char"/>
    <w:basedOn w:val="DefaultParagraphFont"/>
    <w:link w:val="Bulletseparate"/>
    <w:rsid w:val="00893221"/>
    <w:rPr>
      <w:rFonts w:ascii="Calibri" w:eastAsia="SimSun" w:hAnsi="Calibri" w:cs="Times New Roman"/>
      <w:lang w:val="es-UY"/>
    </w:rPr>
  </w:style>
  <w:style w:type="paragraph" w:customStyle="1" w:styleId="tabletext">
    <w:name w:val="table text"/>
    <w:basedOn w:val="Normal"/>
    <w:link w:val="tabletextChar"/>
    <w:autoRedefine/>
    <w:qFormat/>
    <w:rsid w:val="00EF7C4E"/>
    <w:pPr>
      <w:jc w:val="right"/>
    </w:pPr>
    <w:rPr>
      <w:rFonts w:eastAsia="Times New Roman" w:cstheme="minorHAnsi"/>
      <w:color w:val="000000"/>
    </w:rPr>
  </w:style>
  <w:style w:type="character" w:customStyle="1" w:styleId="tabletextChar">
    <w:name w:val="table text Char"/>
    <w:basedOn w:val="DefaultParagraphFont"/>
    <w:link w:val="tabletext"/>
    <w:rsid w:val="00EF7C4E"/>
    <w:rPr>
      <w:rFonts w:ascii="Times New Roman" w:eastAsia="Times New Roman" w:hAnsi="Times New Roman" w:cstheme="minorHAnsi"/>
      <w:color w:val="000000"/>
      <w:lang w:val="es-UY"/>
    </w:rPr>
  </w:style>
  <w:style w:type="character" w:customStyle="1" w:styleId="Heading4Char">
    <w:name w:val="Heading 4 Char"/>
    <w:basedOn w:val="DefaultParagraphFont"/>
    <w:link w:val="Heading4"/>
    <w:uiPriority w:val="9"/>
    <w:rsid w:val="000041AF"/>
    <w:rPr>
      <w:rFonts w:ascii="Times New Roman" w:eastAsiaTheme="majorEastAsia" w:hAnsi="Times New Roman" w:cs="Times New Roman"/>
      <w:b/>
      <w:bCs/>
      <w:lang w:val="es-UY"/>
    </w:rPr>
  </w:style>
  <w:style w:type="character" w:customStyle="1" w:styleId="Heading5Char">
    <w:name w:val="Heading 5 Char"/>
    <w:basedOn w:val="DefaultParagraphFont"/>
    <w:link w:val="Heading5"/>
    <w:uiPriority w:val="9"/>
    <w:rsid w:val="000041AF"/>
    <w:rPr>
      <w:rFonts w:ascii="Times New Roman" w:eastAsiaTheme="majorEastAsia" w:hAnsi="Times New Roman" w:cs="Times New Roman"/>
      <w:i/>
      <w:iCs/>
      <w:lang w:val="es-UY"/>
    </w:rPr>
  </w:style>
  <w:style w:type="paragraph" w:customStyle="1" w:styleId="Cornernotation">
    <w:name w:val="Corner notation"/>
    <w:basedOn w:val="Normal"/>
    <w:rsid w:val="00F04681"/>
    <w:pPr>
      <w:ind w:left="170" w:right="3119" w:hanging="170"/>
      <w:jc w:val="left"/>
    </w:pPr>
    <w:rPr>
      <w:b/>
      <w:sz w:val="24"/>
    </w:rPr>
  </w:style>
  <w:style w:type="table" w:customStyle="1" w:styleId="TableGrid1">
    <w:name w:val="Table Grid1"/>
    <w:basedOn w:val="TableNormal"/>
    <w:next w:val="TableGrid"/>
    <w:uiPriority w:val="59"/>
    <w:rsid w:val="00F04681"/>
    <w:pPr>
      <w:spacing w:before="0" w:after="0"/>
      <w:jc w:val="left"/>
    </w:pPr>
    <w:rPr>
      <w:rFonts w:eastAsiaTheme="minorEastAsia"/>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Venuedate">
    <w:name w:val="Venue&amp;date"/>
    <w:basedOn w:val="Cornernotation"/>
    <w:qFormat/>
    <w:rsid w:val="00F04681"/>
    <w:rPr>
      <w:b w:val="0"/>
      <w:bCs/>
      <w:sz w:val="22"/>
    </w:rPr>
  </w:style>
  <w:style w:type="paragraph" w:customStyle="1" w:styleId="Footnote0">
    <w:name w:val="Footnote"/>
    <w:basedOn w:val="FootnoteText"/>
    <w:qFormat/>
    <w:rsid w:val="000041AF"/>
    <w:rPr>
      <w:szCs w:val="18"/>
    </w:rPr>
  </w:style>
  <w:style w:type="paragraph" w:customStyle="1" w:styleId="Cornernotation-Item">
    <w:name w:val="Corner notation - Item"/>
    <w:basedOn w:val="Venuedate"/>
    <w:qFormat/>
    <w:rsid w:val="00F04681"/>
    <w:rPr>
      <w:b/>
    </w:rPr>
  </w:style>
  <w:style w:type="paragraph" w:styleId="Subtitle">
    <w:name w:val="Subtitle"/>
    <w:basedOn w:val="Normal"/>
    <w:next w:val="Normal"/>
    <w:link w:val="SubtitleChar"/>
    <w:uiPriority w:val="11"/>
    <w:qFormat/>
    <w:rsid w:val="00F04681"/>
    <w:pPr>
      <w:numPr>
        <w:ilvl w:val="1"/>
      </w:numPr>
      <w:spacing w:after="160"/>
    </w:pPr>
    <w:rPr>
      <w:rFonts w:ascii="Times New Roman Bold" w:eastAsiaTheme="minorEastAsia" w:hAnsi="Times New Roman Bold"/>
      <w:b/>
      <w:color w:val="5A5A5A" w:themeColor="text1" w:themeTint="A5"/>
    </w:rPr>
  </w:style>
  <w:style w:type="character" w:customStyle="1" w:styleId="SubtitleChar">
    <w:name w:val="Subtitle Char"/>
    <w:basedOn w:val="DefaultParagraphFont"/>
    <w:link w:val="Subtitle"/>
    <w:uiPriority w:val="11"/>
    <w:rsid w:val="00F04681"/>
    <w:rPr>
      <w:rFonts w:ascii="Times New Roman Bold" w:eastAsiaTheme="minorEastAsia" w:hAnsi="Times New Roman Bold" w:cs="Times New Roman"/>
      <w:b/>
      <w:color w:val="5A5A5A" w:themeColor="text1" w:themeTint="A5"/>
      <w:lang w:val="es-UY"/>
    </w:rPr>
  </w:style>
  <w:style w:type="paragraph" w:customStyle="1" w:styleId="Para10">
    <w:name w:val="Para 1"/>
    <w:basedOn w:val="Normal"/>
    <w:qFormat/>
    <w:rsid w:val="00F04681"/>
    <w:pPr>
      <w:spacing w:before="120" w:after="120"/>
    </w:pPr>
  </w:style>
  <w:style w:type="paragraph" w:customStyle="1" w:styleId="CBDH1">
    <w:name w:val="CBD_H1"/>
    <w:basedOn w:val="CBDNormal"/>
    <w:qFormat/>
    <w:rsid w:val="000041AF"/>
    <w:pPr>
      <w:keepNext/>
      <w:keepLines/>
      <w:spacing w:before="240" w:after="120"/>
      <w:ind w:left="567" w:hanging="567"/>
      <w:jc w:val="left"/>
      <w:outlineLvl w:val="0"/>
    </w:pPr>
    <w:rPr>
      <w:b/>
      <w:sz w:val="28"/>
    </w:rPr>
  </w:style>
  <w:style w:type="paragraph" w:customStyle="1" w:styleId="CBDNormalNumber">
    <w:name w:val="CBD_Normal_Number"/>
    <w:basedOn w:val="CBDNormal"/>
    <w:qFormat/>
    <w:rsid w:val="000041AF"/>
    <w:pPr>
      <w:numPr>
        <w:numId w:val="16"/>
      </w:numPr>
      <w:tabs>
        <w:tab w:val="left" w:pos="3969"/>
      </w:tabs>
      <w:spacing w:before="120" w:after="120"/>
    </w:pPr>
  </w:style>
  <w:style w:type="numbering" w:customStyle="1" w:styleId="ListCBD">
    <w:name w:val="ListCBD"/>
    <w:basedOn w:val="NoList"/>
    <w:uiPriority w:val="99"/>
    <w:rsid w:val="000041AF"/>
    <w:pPr>
      <w:numPr>
        <w:numId w:val="6"/>
      </w:numPr>
    </w:pPr>
  </w:style>
  <w:style w:type="numbering" w:customStyle="1" w:styleId="CBDHeadings">
    <w:name w:val="CBD_Headings"/>
    <w:basedOn w:val="ListCBD"/>
    <w:uiPriority w:val="99"/>
    <w:rsid w:val="000041AF"/>
    <w:pPr>
      <w:numPr>
        <w:numId w:val="7"/>
      </w:numPr>
    </w:pPr>
  </w:style>
  <w:style w:type="paragraph" w:customStyle="1" w:styleId="CBDSubTitle">
    <w:name w:val="CBD_SubTitle"/>
    <w:basedOn w:val="CBDNormal"/>
    <w:qFormat/>
    <w:rsid w:val="000041AF"/>
    <w:pPr>
      <w:keepNext/>
      <w:keepLines/>
      <w:spacing w:before="240" w:after="240"/>
      <w:ind w:left="567"/>
      <w:jc w:val="left"/>
    </w:pPr>
    <w:rPr>
      <w:b/>
    </w:rPr>
  </w:style>
  <w:style w:type="paragraph" w:customStyle="1" w:styleId="CBDTitle">
    <w:name w:val="CBD_Title"/>
    <w:basedOn w:val="CBDNormal"/>
    <w:next w:val="CBDSubTitle"/>
    <w:qFormat/>
    <w:rsid w:val="000041AF"/>
    <w:pPr>
      <w:keepNext/>
      <w:keepLines/>
      <w:spacing w:before="240" w:after="240"/>
      <w:ind w:left="567"/>
      <w:jc w:val="left"/>
    </w:pPr>
    <w:rPr>
      <w:b/>
      <w:sz w:val="28"/>
    </w:rPr>
  </w:style>
  <w:style w:type="character" w:customStyle="1" w:styleId="Heading6Char">
    <w:name w:val="Heading 6 Char"/>
    <w:basedOn w:val="DefaultParagraphFont"/>
    <w:link w:val="Heading6"/>
    <w:semiHidden/>
    <w:rsid w:val="000041AF"/>
    <w:rPr>
      <w:rFonts w:ascii="Times New Roman" w:eastAsia="SimSun" w:hAnsi="Times New Roman" w:cs="Times New Roman"/>
      <w:bCs/>
      <w:sz w:val="24"/>
      <w:lang w:val="es-UY"/>
    </w:rPr>
  </w:style>
  <w:style w:type="character" w:customStyle="1" w:styleId="Heading7Char">
    <w:name w:val="Heading 7 Char"/>
    <w:basedOn w:val="DefaultParagraphFont"/>
    <w:link w:val="Heading7"/>
    <w:semiHidden/>
    <w:rsid w:val="000041AF"/>
    <w:rPr>
      <w:rFonts w:ascii="Times New Roman" w:eastAsia="SimSun" w:hAnsi="Times New Roman" w:cs="Times New Roman"/>
      <w:b/>
      <w:snapToGrid w:val="0"/>
      <w:u w:val="single"/>
      <w:lang w:val="es-UY"/>
    </w:rPr>
  </w:style>
  <w:style w:type="character" w:customStyle="1" w:styleId="Heading8Char">
    <w:name w:val="Heading 8 Char"/>
    <w:basedOn w:val="DefaultParagraphFont"/>
    <w:link w:val="Heading8"/>
    <w:semiHidden/>
    <w:rsid w:val="000041AF"/>
    <w:rPr>
      <w:rFonts w:ascii="Times New Roman" w:eastAsia="SimSun" w:hAnsi="Times New Roman" w:cs="Times New Roman"/>
      <w:b/>
      <w:snapToGrid w:val="0"/>
      <w:u w:val="single"/>
      <w:lang w:val="es-UY"/>
    </w:rPr>
  </w:style>
  <w:style w:type="character" w:customStyle="1" w:styleId="Heading9Char">
    <w:name w:val="Heading 9 Char"/>
    <w:basedOn w:val="DefaultParagraphFont"/>
    <w:link w:val="Heading9"/>
    <w:semiHidden/>
    <w:rsid w:val="000041AF"/>
    <w:rPr>
      <w:rFonts w:ascii="Times New Roman" w:eastAsia="SimSun" w:hAnsi="Times New Roman" w:cs="Times New Roman"/>
      <w:snapToGrid w:val="0"/>
      <w:u w:val="single"/>
      <w:lang w:val="es-UY"/>
    </w:rPr>
  </w:style>
  <w:style w:type="paragraph" w:customStyle="1" w:styleId="DarkList-Accent31">
    <w:name w:val="Dark List - Accent 31"/>
    <w:hidden/>
    <w:uiPriority w:val="99"/>
    <w:semiHidden/>
    <w:rsid w:val="000041AF"/>
    <w:pPr>
      <w:spacing w:before="0" w:after="0"/>
      <w:jc w:val="left"/>
    </w:pPr>
    <w:rPr>
      <w:rFonts w:ascii="Times New Roman" w:eastAsia="SimSun" w:hAnsi="Times New Roman" w:cs="Times New Roman"/>
      <w:lang w:eastAsia="en-GB"/>
    </w:rPr>
  </w:style>
  <w:style w:type="paragraph" w:customStyle="1" w:styleId="CBDNormalNoNumber">
    <w:name w:val="CBD_Normal_NoNumber"/>
    <w:basedOn w:val="CBDNormal"/>
    <w:qFormat/>
    <w:rsid w:val="000041AF"/>
    <w:pPr>
      <w:spacing w:after="120"/>
      <w:ind w:left="567"/>
    </w:pPr>
  </w:style>
  <w:style w:type="paragraph" w:customStyle="1" w:styleId="Annex">
    <w:name w:val="Annex"/>
    <w:basedOn w:val="Normal"/>
    <w:semiHidden/>
    <w:qFormat/>
    <w:rsid w:val="000041AF"/>
    <w:pPr>
      <w:spacing w:after="240"/>
    </w:pPr>
    <w:rPr>
      <w:b/>
      <w:sz w:val="28"/>
    </w:rPr>
  </w:style>
  <w:style w:type="paragraph" w:customStyle="1" w:styleId="ABSymbol">
    <w:name w:val="AB_Symbol"/>
    <w:basedOn w:val="Normal"/>
    <w:qFormat/>
    <w:rsid w:val="000041AF"/>
    <w:pPr>
      <w:tabs>
        <w:tab w:val="left" w:pos="1871"/>
        <w:tab w:val="left" w:pos="2495"/>
        <w:tab w:val="right" w:pos="2920"/>
        <w:tab w:val="left" w:pos="3119"/>
        <w:tab w:val="left" w:pos="3742"/>
        <w:tab w:val="left" w:pos="4366"/>
        <w:tab w:val="left" w:pos="4990"/>
      </w:tabs>
      <w:spacing w:after="120"/>
      <w:ind w:left="2019"/>
      <w:jc w:val="right"/>
    </w:pPr>
    <w:rPr>
      <w:sz w:val="20"/>
      <w:szCs w:val="20"/>
    </w:rPr>
  </w:style>
  <w:style w:type="paragraph" w:customStyle="1" w:styleId="AFCorNotNormal">
    <w:name w:val="AF_CorNotNormal"/>
    <w:basedOn w:val="Normal"/>
    <w:unhideWhenUsed/>
    <w:rsid w:val="000041AF"/>
  </w:style>
  <w:style w:type="paragraph" w:customStyle="1" w:styleId="AEDistrNormal">
    <w:name w:val="AE_DistrNormal"/>
    <w:basedOn w:val="Normal"/>
    <w:unhideWhenUsed/>
    <w:rsid w:val="000041AF"/>
    <w:pPr>
      <w:jc w:val="left"/>
    </w:pPr>
  </w:style>
  <w:style w:type="paragraph" w:customStyle="1" w:styleId="AASmallLogo">
    <w:name w:val="AA_SmallLogo"/>
    <w:basedOn w:val="AEDistrNormal"/>
    <w:unhideWhenUsed/>
    <w:rsid w:val="000041AF"/>
    <w:pPr>
      <w:spacing w:before="40"/>
    </w:pPr>
    <w:rPr>
      <w:sz w:val="4"/>
    </w:rPr>
  </w:style>
  <w:style w:type="paragraph" w:customStyle="1" w:styleId="ACLargeLogo">
    <w:name w:val="AC_LargeLogo"/>
    <w:basedOn w:val="AFCorNotNormal"/>
    <w:next w:val="AISpacer"/>
    <w:unhideWhenUsed/>
    <w:rsid w:val="000041AF"/>
    <w:pPr>
      <w:spacing w:before="120"/>
      <w:contextualSpacing/>
      <w:jc w:val="left"/>
    </w:pPr>
    <w:rPr>
      <w:sz w:val="8"/>
    </w:rPr>
  </w:style>
  <w:style w:type="paragraph" w:styleId="BodyText">
    <w:name w:val="Body Text"/>
    <w:basedOn w:val="Normal"/>
    <w:link w:val="BodyTextChar"/>
    <w:uiPriority w:val="99"/>
    <w:semiHidden/>
    <w:unhideWhenUsed/>
    <w:rsid w:val="000041AF"/>
    <w:pPr>
      <w:spacing w:after="120" w:line="259" w:lineRule="auto"/>
      <w:jc w:val="left"/>
    </w:pPr>
    <w:rPr>
      <w:rFonts w:asciiTheme="minorHAnsi" w:eastAsiaTheme="minorHAnsi" w:hAnsiTheme="minorHAnsi" w:cstheme="minorBidi"/>
      <w:kern w:val="2"/>
      <w14:ligatures w14:val="standardContextual"/>
    </w:rPr>
  </w:style>
  <w:style w:type="character" w:customStyle="1" w:styleId="BodyTextChar">
    <w:name w:val="Body Text Char"/>
    <w:basedOn w:val="DefaultParagraphFont"/>
    <w:link w:val="BodyText"/>
    <w:uiPriority w:val="99"/>
    <w:semiHidden/>
    <w:rsid w:val="000041AF"/>
    <w:rPr>
      <w:kern w:val="2"/>
      <w:lang w:val="es-UY"/>
      <w14:ligatures w14:val="standardContextual"/>
    </w:rPr>
  </w:style>
  <w:style w:type="paragraph" w:customStyle="1" w:styleId="Item">
    <w:name w:val="Item"/>
    <w:basedOn w:val="Normal"/>
    <w:semiHidden/>
    <w:qFormat/>
    <w:rsid w:val="000041AF"/>
    <w:pPr>
      <w:suppressLineNumbers/>
      <w:suppressAutoHyphens/>
      <w:spacing w:before="240" w:after="120"/>
      <w:jc w:val="left"/>
    </w:pPr>
    <w:rPr>
      <w:rFonts w:eastAsia="Times New Roman"/>
      <w:b/>
      <w:iCs/>
      <w:snapToGrid w:val="0"/>
      <w:kern w:val="22"/>
      <w:sz w:val="24"/>
    </w:rPr>
  </w:style>
  <w:style w:type="paragraph" w:customStyle="1" w:styleId="CBDNormal">
    <w:name w:val="CBD_Normal"/>
    <w:unhideWhenUsed/>
    <w:qFormat/>
    <w:rsid w:val="000041AF"/>
    <w:pPr>
      <w:tabs>
        <w:tab w:val="left" w:pos="567"/>
        <w:tab w:val="left" w:pos="1134"/>
        <w:tab w:val="left" w:pos="1701"/>
        <w:tab w:val="left" w:pos="2268"/>
        <w:tab w:val="left" w:pos="2835"/>
        <w:tab w:val="left" w:pos="3402"/>
      </w:tabs>
      <w:spacing w:before="0" w:after="0"/>
    </w:pPr>
    <w:rPr>
      <w:rFonts w:ascii="Times New Roman" w:eastAsia="SimSun" w:hAnsi="Times New Roman" w:cs="Times New Roman"/>
    </w:rPr>
  </w:style>
  <w:style w:type="paragraph" w:styleId="List">
    <w:name w:val="List"/>
    <w:basedOn w:val="Normal"/>
    <w:semiHidden/>
    <w:rsid w:val="000041AF"/>
    <w:pPr>
      <w:contextualSpacing/>
    </w:pPr>
  </w:style>
  <w:style w:type="paragraph" w:customStyle="1" w:styleId="AISpacer">
    <w:name w:val="AI_Spacer"/>
    <w:next w:val="Normal"/>
    <w:unhideWhenUsed/>
    <w:qFormat/>
    <w:rsid w:val="000041AF"/>
    <w:pPr>
      <w:spacing w:before="0" w:after="0"/>
      <w:jc w:val="left"/>
    </w:pPr>
    <w:rPr>
      <w:rFonts w:ascii="Times New Roman" w:eastAsia="SimSun" w:hAnsi="Times New Roman" w:cs="Times New Roman"/>
      <w:sz w:val="2"/>
    </w:rPr>
  </w:style>
  <w:style w:type="paragraph" w:customStyle="1" w:styleId="AEDistrNormal6pt">
    <w:name w:val="AE_DistrNormal6pt"/>
    <w:basedOn w:val="AEDistrNormal"/>
    <w:next w:val="AFCorNotNormal"/>
    <w:unhideWhenUsed/>
    <w:qFormat/>
    <w:rsid w:val="000041AF"/>
    <w:pPr>
      <w:spacing w:before="120"/>
    </w:pPr>
  </w:style>
  <w:style w:type="paragraph" w:customStyle="1" w:styleId="AFCorNotBold">
    <w:name w:val="AF_CorNotBold"/>
    <w:basedOn w:val="AFCorNotNormal"/>
    <w:next w:val="AFCorNotNormal"/>
    <w:unhideWhenUsed/>
    <w:qFormat/>
    <w:rsid w:val="000041AF"/>
    <w:rPr>
      <w:b/>
    </w:rPr>
  </w:style>
  <w:style w:type="paragraph" w:customStyle="1" w:styleId="AFCorNot12Bold">
    <w:name w:val="AF_CorNot12Bold"/>
    <w:basedOn w:val="AFCorNotNormal"/>
    <w:next w:val="AFCorNotNormal"/>
    <w:unhideWhenUsed/>
    <w:qFormat/>
    <w:rsid w:val="000041AF"/>
    <w:pPr>
      <w:jc w:val="left"/>
    </w:pPr>
    <w:rPr>
      <w:b/>
      <w:sz w:val="24"/>
    </w:rPr>
  </w:style>
  <w:style w:type="paragraph" w:customStyle="1" w:styleId="CBDAgendaItem">
    <w:name w:val="CBD_AgendaItem"/>
    <w:basedOn w:val="Normal"/>
    <w:qFormat/>
    <w:rsid w:val="000041AF"/>
    <w:pPr>
      <w:keepNext/>
      <w:keepLines/>
      <w:spacing w:before="240" w:after="120"/>
      <w:jc w:val="left"/>
    </w:pPr>
    <w:rPr>
      <w:b/>
      <w:sz w:val="24"/>
    </w:rPr>
  </w:style>
  <w:style w:type="paragraph" w:customStyle="1" w:styleId="CBDDesicionText">
    <w:name w:val="CBD_DesicionText"/>
    <w:basedOn w:val="CBDNormal"/>
    <w:qFormat/>
    <w:rsid w:val="000041AF"/>
    <w:pPr>
      <w:spacing w:after="120"/>
      <w:ind w:left="567"/>
    </w:pPr>
  </w:style>
  <w:style w:type="paragraph" w:customStyle="1" w:styleId="CBDDesicionAnnex">
    <w:name w:val="CBD_DesicionAnnex"/>
    <w:basedOn w:val="CBDNormal"/>
    <w:next w:val="CBDDesicionText"/>
    <w:qFormat/>
    <w:rsid w:val="000041AF"/>
    <w:pPr>
      <w:keepNext/>
      <w:keepLines/>
      <w:tabs>
        <w:tab w:val="clear" w:pos="567"/>
        <w:tab w:val="clear" w:pos="1134"/>
        <w:tab w:val="clear" w:pos="1701"/>
        <w:tab w:val="clear" w:pos="2268"/>
      </w:tabs>
      <w:spacing w:before="120" w:after="120"/>
      <w:ind w:left="567"/>
      <w:jc w:val="left"/>
    </w:pPr>
    <w:rPr>
      <w:rFonts w:ascii="Times New Roman Bold" w:hAnsi="Times New Roman Bold" w:cs="Times New Roman Bold"/>
      <w:bCs/>
      <w:sz w:val="24"/>
    </w:rPr>
  </w:style>
  <w:style w:type="paragraph" w:customStyle="1" w:styleId="CBDAnnex">
    <w:name w:val="CBD_Annex"/>
    <w:basedOn w:val="CBDNormal"/>
    <w:next w:val="CBDTitle"/>
    <w:qFormat/>
    <w:rsid w:val="000041AF"/>
    <w:pPr>
      <w:keepNext/>
      <w:keepLines/>
      <w:spacing w:after="240"/>
      <w:jc w:val="left"/>
    </w:pPr>
    <w:rPr>
      <w:b/>
      <w:sz w:val="28"/>
      <w:lang w:bidi="ar-SY"/>
    </w:rPr>
  </w:style>
  <w:style w:type="paragraph" w:customStyle="1" w:styleId="AENormal">
    <w:name w:val="AE_Normal"/>
    <w:basedOn w:val="Normal"/>
    <w:rsid w:val="000041AF"/>
  </w:style>
  <w:style w:type="paragraph" w:customStyle="1" w:styleId="CBDH2">
    <w:name w:val="CBD_H2"/>
    <w:basedOn w:val="CBDNormalNumber"/>
    <w:qFormat/>
    <w:rsid w:val="000041AF"/>
    <w:pPr>
      <w:keepNext/>
      <w:keepLines/>
      <w:numPr>
        <w:numId w:val="0"/>
      </w:numPr>
      <w:ind w:left="567" w:hanging="567"/>
    </w:pPr>
    <w:rPr>
      <w:b/>
      <w:sz w:val="24"/>
    </w:rPr>
  </w:style>
  <w:style w:type="paragraph" w:customStyle="1" w:styleId="CBDFootnoteText">
    <w:name w:val="CBD_Footnote_Text"/>
    <w:basedOn w:val="CBDNormal"/>
    <w:qFormat/>
    <w:rsid w:val="000041AF"/>
    <w:pPr>
      <w:jc w:val="left"/>
    </w:pPr>
    <w:rPr>
      <w:sz w:val="18"/>
    </w:rPr>
  </w:style>
  <w:style w:type="paragraph" w:customStyle="1" w:styleId="CBDFooter">
    <w:name w:val="CBD_Footer"/>
    <w:basedOn w:val="CBDNormal"/>
    <w:qFormat/>
    <w:rsid w:val="000041AF"/>
    <w:rPr>
      <w:sz w:val="20"/>
    </w:rPr>
  </w:style>
  <w:style w:type="paragraph" w:customStyle="1" w:styleId="CBDHeader">
    <w:name w:val="CBD_Header"/>
    <w:basedOn w:val="CBDNormal"/>
    <w:next w:val="CBDFooter"/>
    <w:qFormat/>
    <w:rsid w:val="000041AF"/>
    <w:pPr>
      <w:pBdr>
        <w:bottom w:val="single" w:sz="4" w:space="1" w:color="auto"/>
      </w:pBdr>
      <w:tabs>
        <w:tab w:val="center" w:pos="4678"/>
        <w:tab w:val="right" w:pos="9361"/>
      </w:tabs>
      <w:jc w:val="left"/>
    </w:pPr>
    <w:rPr>
      <w:sz w:val="20"/>
      <w:szCs w:val="20"/>
    </w:rPr>
  </w:style>
  <w:style w:type="paragraph" w:customStyle="1" w:styleId="CBDH3">
    <w:name w:val="CBD_H3"/>
    <w:basedOn w:val="CBDNormal"/>
    <w:qFormat/>
    <w:rsid w:val="000041AF"/>
    <w:pPr>
      <w:keepNext/>
      <w:keepLines/>
      <w:spacing w:before="120" w:after="120"/>
      <w:ind w:left="567" w:hanging="567"/>
      <w:jc w:val="left"/>
    </w:pPr>
    <w:rPr>
      <w:b/>
    </w:rPr>
  </w:style>
  <w:style w:type="paragraph" w:customStyle="1" w:styleId="CBDH4">
    <w:name w:val="CBD_H4"/>
    <w:basedOn w:val="CBDNormal"/>
    <w:rsid w:val="000041AF"/>
    <w:pPr>
      <w:keepNext/>
      <w:keepLines/>
      <w:spacing w:before="120" w:after="120"/>
      <w:ind w:left="567" w:hanging="567"/>
      <w:jc w:val="left"/>
    </w:pPr>
    <w:rPr>
      <w:b/>
    </w:rPr>
  </w:style>
  <w:style w:type="paragraph" w:customStyle="1" w:styleId="CBDH5">
    <w:name w:val="CBD_H5"/>
    <w:basedOn w:val="CBDNormal"/>
    <w:qFormat/>
    <w:rsid w:val="000041AF"/>
    <w:pPr>
      <w:keepNext/>
      <w:keepLines/>
      <w:spacing w:before="120" w:after="120"/>
      <w:ind w:left="567" w:hanging="567"/>
      <w:jc w:val="left"/>
    </w:pPr>
    <w:rPr>
      <w:i/>
    </w:rPr>
  </w:style>
  <w:style w:type="paragraph" w:customStyle="1" w:styleId="CBDTableNormal">
    <w:name w:val="CBD_TableNormal"/>
    <w:basedOn w:val="CBDNormal"/>
    <w:qFormat/>
    <w:rsid w:val="000041AF"/>
    <w:pPr>
      <w:spacing w:before="40" w:after="80"/>
      <w:jc w:val="left"/>
    </w:pPr>
    <w:rPr>
      <w:sz w:val="20"/>
    </w:rPr>
  </w:style>
  <w:style w:type="paragraph" w:customStyle="1" w:styleId="CBDTableTitle">
    <w:name w:val="CBD_TableTitle"/>
    <w:basedOn w:val="CBDNormal"/>
    <w:qFormat/>
    <w:rsid w:val="000041AF"/>
    <w:pPr>
      <w:keepNext/>
      <w:keepLines/>
      <w:spacing w:before="120" w:after="60"/>
      <w:ind w:left="567"/>
      <w:jc w:val="left"/>
    </w:pPr>
    <w:rPr>
      <w:b/>
    </w:rPr>
  </w:style>
  <w:style w:type="paragraph" w:customStyle="1" w:styleId="CBDFigureTitle">
    <w:name w:val="CBD_FigureTitle"/>
    <w:basedOn w:val="CBDNormal"/>
    <w:next w:val="CBDNormalNoNumber"/>
    <w:qFormat/>
    <w:rsid w:val="000041AF"/>
    <w:pPr>
      <w:keepNext/>
      <w:keepLines/>
      <w:spacing w:before="120" w:after="60"/>
      <w:ind w:left="567"/>
      <w:jc w:val="left"/>
    </w:pPr>
    <w:rPr>
      <w:b/>
    </w:rPr>
  </w:style>
  <w:style w:type="paragraph" w:styleId="Bibliography">
    <w:name w:val="Bibliography"/>
    <w:basedOn w:val="Normal"/>
    <w:next w:val="Normal"/>
    <w:uiPriority w:val="37"/>
    <w:semiHidden/>
    <w:unhideWhenUsed/>
    <w:rsid w:val="000041AF"/>
  </w:style>
  <w:style w:type="paragraph" w:styleId="BlockText">
    <w:name w:val="Block Text"/>
    <w:basedOn w:val="Normal"/>
    <w:uiPriority w:val="99"/>
    <w:semiHidden/>
    <w:unhideWhenUsed/>
    <w:rsid w:val="000041AF"/>
    <w:pPr>
      <w:pBdr>
        <w:top w:val="single" w:sz="2" w:space="10" w:color="4472C4" w:themeColor="accent1"/>
        <w:left w:val="single" w:sz="2" w:space="10" w:color="4472C4" w:themeColor="accent1"/>
        <w:bottom w:val="single" w:sz="2" w:space="10" w:color="4472C4" w:themeColor="accent1"/>
        <w:right w:val="single" w:sz="2" w:space="10" w:color="4472C4" w:themeColor="accent1"/>
      </w:pBdr>
      <w:ind w:left="1152" w:right="1152"/>
    </w:pPr>
    <w:rPr>
      <w:rFonts w:asciiTheme="minorHAnsi" w:eastAsiaTheme="minorEastAsia" w:hAnsiTheme="minorHAnsi" w:cstheme="minorBidi"/>
      <w:i/>
      <w:iCs/>
      <w:color w:val="4472C4" w:themeColor="accent1"/>
    </w:rPr>
  </w:style>
  <w:style w:type="paragraph" w:styleId="BodyText2">
    <w:name w:val="Body Text 2"/>
    <w:basedOn w:val="Normal"/>
    <w:link w:val="BodyText2Char"/>
    <w:uiPriority w:val="99"/>
    <w:semiHidden/>
    <w:unhideWhenUsed/>
    <w:rsid w:val="000041AF"/>
    <w:pPr>
      <w:spacing w:after="120" w:line="480" w:lineRule="auto"/>
    </w:pPr>
  </w:style>
  <w:style w:type="character" w:customStyle="1" w:styleId="BodyText2Char">
    <w:name w:val="Body Text 2 Char"/>
    <w:basedOn w:val="DefaultParagraphFont"/>
    <w:link w:val="BodyText2"/>
    <w:uiPriority w:val="99"/>
    <w:semiHidden/>
    <w:rsid w:val="000041AF"/>
    <w:rPr>
      <w:rFonts w:ascii="Times New Roman" w:eastAsia="SimSun" w:hAnsi="Times New Roman" w:cs="Times New Roman"/>
      <w:lang w:val="es-UY"/>
    </w:rPr>
  </w:style>
  <w:style w:type="paragraph" w:styleId="BodyText3">
    <w:name w:val="Body Text 3"/>
    <w:basedOn w:val="Normal"/>
    <w:link w:val="BodyText3Char"/>
    <w:uiPriority w:val="99"/>
    <w:semiHidden/>
    <w:unhideWhenUsed/>
    <w:rsid w:val="000041AF"/>
    <w:pPr>
      <w:spacing w:after="120"/>
    </w:pPr>
    <w:rPr>
      <w:sz w:val="16"/>
      <w:szCs w:val="16"/>
    </w:rPr>
  </w:style>
  <w:style w:type="character" w:customStyle="1" w:styleId="BodyText3Char">
    <w:name w:val="Body Text 3 Char"/>
    <w:basedOn w:val="DefaultParagraphFont"/>
    <w:link w:val="BodyText3"/>
    <w:uiPriority w:val="99"/>
    <w:semiHidden/>
    <w:rsid w:val="000041AF"/>
    <w:rPr>
      <w:rFonts w:ascii="Times New Roman" w:eastAsia="SimSun" w:hAnsi="Times New Roman" w:cs="Times New Roman"/>
      <w:sz w:val="16"/>
      <w:szCs w:val="16"/>
      <w:lang w:val="es-UY"/>
    </w:rPr>
  </w:style>
  <w:style w:type="paragraph" w:styleId="BodyTextFirstIndent">
    <w:name w:val="Body Text First Indent"/>
    <w:basedOn w:val="BodyText"/>
    <w:link w:val="BodyTextFirstIndentChar"/>
    <w:uiPriority w:val="99"/>
    <w:semiHidden/>
    <w:unhideWhenUsed/>
    <w:rsid w:val="000041AF"/>
    <w:pPr>
      <w:spacing w:after="0" w:line="240" w:lineRule="auto"/>
      <w:ind w:firstLine="360"/>
      <w:jc w:val="both"/>
    </w:pPr>
    <w:rPr>
      <w:rFonts w:ascii="Times New Roman" w:eastAsia="SimSun" w:hAnsi="Times New Roman" w:cs="Times New Roman"/>
      <w:kern w:val="0"/>
      <w14:ligatures w14:val="none"/>
    </w:rPr>
  </w:style>
  <w:style w:type="character" w:customStyle="1" w:styleId="BodyTextFirstIndentChar">
    <w:name w:val="Body Text First Indent Char"/>
    <w:basedOn w:val="BodyTextChar"/>
    <w:link w:val="BodyTextFirstIndent"/>
    <w:uiPriority w:val="99"/>
    <w:semiHidden/>
    <w:rsid w:val="000041AF"/>
    <w:rPr>
      <w:rFonts w:ascii="Times New Roman" w:eastAsia="SimSun" w:hAnsi="Times New Roman" w:cs="Times New Roman"/>
      <w:kern w:val="2"/>
      <w:lang w:val="es-UY"/>
      <w14:ligatures w14:val="standardContextual"/>
    </w:rPr>
  </w:style>
  <w:style w:type="paragraph" w:styleId="BodyTextIndent">
    <w:name w:val="Body Text Indent"/>
    <w:basedOn w:val="Normal"/>
    <w:link w:val="BodyTextIndentChar"/>
    <w:uiPriority w:val="99"/>
    <w:semiHidden/>
    <w:unhideWhenUsed/>
    <w:rsid w:val="000041AF"/>
    <w:pPr>
      <w:spacing w:after="120"/>
      <w:ind w:left="283"/>
    </w:pPr>
  </w:style>
  <w:style w:type="character" w:customStyle="1" w:styleId="BodyTextIndentChar">
    <w:name w:val="Body Text Indent Char"/>
    <w:basedOn w:val="DefaultParagraphFont"/>
    <w:link w:val="BodyTextIndent"/>
    <w:uiPriority w:val="99"/>
    <w:semiHidden/>
    <w:rsid w:val="000041AF"/>
    <w:rPr>
      <w:rFonts w:ascii="Times New Roman" w:eastAsia="SimSun" w:hAnsi="Times New Roman" w:cs="Times New Roman"/>
      <w:lang w:val="es-UY"/>
    </w:rPr>
  </w:style>
  <w:style w:type="paragraph" w:styleId="BodyTextFirstIndent2">
    <w:name w:val="Body Text First Indent 2"/>
    <w:basedOn w:val="BodyTextIndent"/>
    <w:link w:val="BodyTextFirstIndent2Char"/>
    <w:uiPriority w:val="99"/>
    <w:semiHidden/>
    <w:unhideWhenUsed/>
    <w:rsid w:val="000041AF"/>
    <w:pPr>
      <w:spacing w:after="0"/>
      <w:ind w:left="360" w:firstLine="360"/>
    </w:pPr>
  </w:style>
  <w:style w:type="character" w:customStyle="1" w:styleId="BodyTextFirstIndent2Char">
    <w:name w:val="Body Text First Indent 2 Char"/>
    <w:basedOn w:val="BodyTextIndentChar"/>
    <w:link w:val="BodyTextFirstIndent2"/>
    <w:uiPriority w:val="99"/>
    <w:semiHidden/>
    <w:rsid w:val="000041AF"/>
    <w:rPr>
      <w:rFonts w:ascii="Times New Roman" w:eastAsia="SimSun" w:hAnsi="Times New Roman" w:cs="Times New Roman"/>
      <w:lang w:val="es-UY"/>
    </w:rPr>
  </w:style>
  <w:style w:type="paragraph" w:styleId="BodyTextIndent2">
    <w:name w:val="Body Text Indent 2"/>
    <w:basedOn w:val="Normal"/>
    <w:link w:val="BodyTextIndent2Char"/>
    <w:uiPriority w:val="99"/>
    <w:semiHidden/>
    <w:unhideWhenUsed/>
    <w:rsid w:val="000041AF"/>
    <w:pPr>
      <w:spacing w:after="120" w:line="480" w:lineRule="auto"/>
      <w:ind w:left="283"/>
    </w:pPr>
  </w:style>
  <w:style w:type="character" w:customStyle="1" w:styleId="BodyTextIndent2Char">
    <w:name w:val="Body Text Indent 2 Char"/>
    <w:basedOn w:val="DefaultParagraphFont"/>
    <w:link w:val="BodyTextIndent2"/>
    <w:uiPriority w:val="99"/>
    <w:semiHidden/>
    <w:rsid w:val="000041AF"/>
    <w:rPr>
      <w:rFonts w:ascii="Times New Roman" w:eastAsia="SimSun" w:hAnsi="Times New Roman" w:cs="Times New Roman"/>
      <w:lang w:val="es-UY"/>
    </w:rPr>
  </w:style>
  <w:style w:type="paragraph" w:styleId="BodyTextIndent3">
    <w:name w:val="Body Text Indent 3"/>
    <w:basedOn w:val="Normal"/>
    <w:link w:val="BodyTextIndent3Char"/>
    <w:uiPriority w:val="99"/>
    <w:semiHidden/>
    <w:unhideWhenUsed/>
    <w:rsid w:val="000041AF"/>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0041AF"/>
    <w:rPr>
      <w:rFonts w:ascii="Times New Roman" w:eastAsia="SimSun" w:hAnsi="Times New Roman" w:cs="Times New Roman"/>
      <w:sz w:val="16"/>
      <w:szCs w:val="16"/>
      <w:lang w:val="es-UY"/>
    </w:rPr>
  </w:style>
  <w:style w:type="character" w:styleId="BookTitle">
    <w:name w:val="Book Title"/>
    <w:basedOn w:val="DefaultParagraphFont"/>
    <w:uiPriority w:val="33"/>
    <w:qFormat/>
    <w:rsid w:val="000041AF"/>
    <w:rPr>
      <w:b/>
      <w:bCs/>
      <w:i/>
      <w:iCs/>
      <w:spacing w:val="5"/>
      <w:lang w:val="es-UY"/>
    </w:rPr>
  </w:style>
  <w:style w:type="paragraph" w:styleId="Closing">
    <w:name w:val="Closing"/>
    <w:basedOn w:val="Normal"/>
    <w:link w:val="ClosingChar"/>
    <w:uiPriority w:val="99"/>
    <w:semiHidden/>
    <w:unhideWhenUsed/>
    <w:rsid w:val="000041AF"/>
    <w:pPr>
      <w:ind w:left="4252"/>
    </w:pPr>
  </w:style>
  <w:style w:type="character" w:customStyle="1" w:styleId="ClosingChar">
    <w:name w:val="Closing Char"/>
    <w:basedOn w:val="DefaultParagraphFont"/>
    <w:link w:val="Closing"/>
    <w:uiPriority w:val="99"/>
    <w:semiHidden/>
    <w:rsid w:val="000041AF"/>
    <w:rPr>
      <w:rFonts w:ascii="Times New Roman" w:eastAsia="SimSun" w:hAnsi="Times New Roman" w:cs="Times New Roman"/>
      <w:lang w:val="es-UY"/>
    </w:rPr>
  </w:style>
  <w:style w:type="table" w:styleId="ColorfulGrid">
    <w:name w:val="Colorful Grid"/>
    <w:basedOn w:val="TableNormal"/>
    <w:uiPriority w:val="73"/>
    <w:semiHidden/>
    <w:unhideWhenUsed/>
    <w:rsid w:val="000041AF"/>
    <w:pPr>
      <w:spacing w:before="0" w:after="0"/>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unhideWhenUsed/>
    <w:rsid w:val="000041AF"/>
    <w:pPr>
      <w:spacing w:before="0" w:after="0"/>
    </w:pPr>
    <w:rPr>
      <w:color w:val="000000" w:themeColor="text1"/>
    </w:rPr>
    <w:tblPr>
      <w:tblStyleRowBandSize w:val="1"/>
      <w:tblStyleColBandSize w:val="1"/>
      <w:tblBorders>
        <w:insideH w:val="single" w:sz="4" w:space="0" w:color="FFFFFF" w:themeColor="background1"/>
      </w:tblBorders>
    </w:tblPr>
    <w:tcPr>
      <w:shd w:val="clear" w:color="auto" w:fill="D9E2F3" w:themeFill="accent1" w:themeFillTint="33"/>
    </w:tcPr>
    <w:tblStylePr w:type="firstRow">
      <w:rPr>
        <w:b/>
        <w:bCs/>
      </w:rPr>
      <w:tblPr/>
      <w:tcPr>
        <w:shd w:val="clear" w:color="auto" w:fill="B4C6E7" w:themeFill="accent1" w:themeFillTint="66"/>
      </w:tcPr>
    </w:tblStylePr>
    <w:tblStylePr w:type="lastRow">
      <w:rPr>
        <w:b/>
        <w:bCs/>
        <w:color w:val="000000" w:themeColor="text1"/>
      </w:rPr>
      <w:tblPr/>
      <w:tcPr>
        <w:shd w:val="clear" w:color="auto" w:fill="B4C6E7" w:themeFill="accent1" w:themeFillTint="66"/>
      </w:tcPr>
    </w:tblStylePr>
    <w:tblStylePr w:type="firstCol">
      <w:rPr>
        <w:color w:val="FFFFFF" w:themeColor="background1"/>
      </w:rPr>
      <w:tblPr/>
      <w:tcPr>
        <w:shd w:val="clear" w:color="auto" w:fill="2F5496" w:themeFill="accent1" w:themeFillShade="BF"/>
      </w:tcPr>
    </w:tblStylePr>
    <w:tblStylePr w:type="lastCol">
      <w:rPr>
        <w:color w:val="FFFFFF" w:themeColor="background1"/>
      </w:rPr>
      <w:tblPr/>
      <w:tcPr>
        <w:shd w:val="clear" w:color="auto" w:fill="2F5496" w:themeFill="accent1" w:themeFillShade="BF"/>
      </w:tcPr>
    </w:tblStylePr>
    <w:tblStylePr w:type="band1Vert">
      <w:tblPr/>
      <w:tcPr>
        <w:shd w:val="clear" w:color="auto" w:fill="A1B8E1" w:themeFill="accent1" w:themeFillTint="7F"/>
      </w:tcPr>
    </w:tblStylePr>
    <w:tblStylePr w:type="band1Horz">
      <w:tblPr/>
      <w:tcPr>
        <w:shd w:val="clear" w:color="auto" w:fill="A1B8E1" w:themeFill="accent1" w:themeFillTint="7F"/>
      </w:tcPr>
    </w:tblStylePr>
  </w:style>
  <w:style w:type="table" w:styleId="ColorfulGrid-Accent2">
    <w:name w:val="Colorful Grid Accent 2"/>
    <w:basedOn w:val="TableNormal"/>
    <w:uiPriority w:val="73"/>
    <w:semiHidden/>
    <w:unhideWhenUsed/>
    <w:rsid w:val="000041AF"/>
    <w:pPr>
      <w:spacing w:before="0" w:after="0"/>
    </w:pPr>
    <w:rPr>
      <w:color w:val="000000" w:themeColor="text1"/>
    </w:rPr>
    <w:tblPr>
      <w:tblStyleRowBandSize w:val="1"/>
      <w:tblStyleColBandSize w:val="1"/>
      <w:tblBorders>
        <w:insideH w:val="single" w:sz="4" w:space="0" w:color="FFFFFF" w:themeColor="background1"/>
      </w:tblBorders>
    </w:tblPr>
    <w:tcPr>
      <w:shd w:val="clear" w:color="auto" w:fill="FBE4D5" w:themeFill="accent2" w:themeFillTint="33"/>
    </w:tcPr>
    <w:tblStylePr w:type="firstRow">
      <w:rPr>
        <w:b/>
        <w:bCs/>
      </w:rPr>
      <w:tblPr/>
      <w:tcPr>
        <w:shd w:val="clear" w:color="auto" w:fill="F7CAAC" w:themeFill="accent2" w:themeFillTint="66"/>
      </w:tcPr>
    </w:tblStylePr>
    <w:tblStylePr w:type="lastRow">
      <w:rPr>
        <w:b/>
        <w:bCs/>
        <w:color w:val="000000" w:themeColor="text1"/>
      </w:rPr>
      <w:tblPr/>
      <w:tcPr>
        <w:shd w:val="clear" w:color="auto" w:fill="F7CAAC" w:themeFill="accent2" w:themeFillTint="66"/>
      </w:tcPr>
    </w:tblStylePr>
    <w:tblStylePr w:type="firstCol">
      <w:rPr>
        <w:color w:val="FFFFFF" w:themeColor="background1"/>
      </w:rPr>
      <w:tblPr/>
      <w:tcPr>
        <w:shd w:val="clear" w:color="auto" w:fill="C45911" w:themeFill="accent2" w:themeFillShade="BF"/>
      </w:tcPr>
    </w:tblStylePr>
    <w:tblStylePr w:type="lastCol">
      <w:rPr>
        <w:color w:val="FFFFFF" w:themeColor="background1"/>
      </w:rPr>
      <w:tblPr/>
      <w:tcPr>
        <w:shd w:val="clear" w:color="auto" w:fill="C45911" w:themeFill="accent2" w:themeFillShade="BF"/>
      </w:tcPr>
    </w:tblStylePr>
    <w:tblStylePr w:type="band1Vert">
      <w:tblPr/>
      <w:tcPr>
        <w:shd w:val="clear" w:color="auto" w:fill="F6BE98" w:themeFill="accent2" w:themeFillTint="7F"/>
      </w:tcPr>
    </w:tblStylePr>
    <w:tblStylePr w:type="band1Horz">
      <w:tblPr/>
      <w:tcPr>
        <w:shd w:val="clear" w:color="auto" w:fill="F6BE98" w:themeFill="accent2" w:themeFillTint="7F"/>
      </w:tcPr>
    </w:tblStylePr>
  </w:style>
  <w:style w:type="table" w:styleId="ColorfulGrid-Accent3">
    <w:name w:val="Colorful Grid Accent 3"/>
    <w:basedOn w:val="TableNormal"/>
    <w:uiPriority w:val="73"/>
    <w:semiHidden/>
    <w:unhideWhenUsed/>
    <w:rsid w:val="000041AF"/>
    <w:pPr>
      <w:spacing w:before="0" w:after="0"/>
    </w:pPr>
    <w:rPr>
      <w:color w:val="000000" w:themeColor="text1"/>
    </w:rPr>
    <w:tblPr>
      <w:tblStyleRowBandSize w:val="1"/>
      <w:tblStyleColBandSize w:val="1"/>
      <w:tblBorders>
        <w:insideH w:val="single" w:sz="4" w:space="0" w:color="FFFFFF" w:themeColor="background1"/>
      </w:tblBorders>
    </w:tblPr>
    <w:tcPr>
      <w:shd w:val="clear" w:color="auto" w:fill="EDEDED" w:themeFill="accent3" w:themeFillTint="33"/>
    </w:tcPr>
    <w:tblStylePr w:type="firstRow">
      <w:rPr>
        <w:b/>
        <w:bCs/>
      </w:rPr>
      <w:tblPr/>
      <w:tcPr>
        <w:shd w:val="clear" w:color="auto" w:fill="DBDBDB" w:themeFill="accent3" w:themeFillTint="66"/>
      </w:tcPr>
    </w:tblStylePr>
    <w:tblStylePr w:type="lastRow">
      <w:rPr>
        <w:b/>
        <w:bCs/>
        <w:color w:val="000000" w:themeColor="text1"/>
      </w:rPr>
      <w:tblPr/>
      <w:tcPr>
        <w:shd w:val="clear" w:color="auto" w:fill="DBDBDB" w:themeFill="accent3" w:themeFillTint="66"/>
      </w:tcPr>
    </w:tblStylePr>
    <w:tblStylePr w:type="firstCol">
      <w:rPr>
        <w:color w:val="FFFFFF" w:themeColor="background1"/>
      </w:rPr>
      <w:tblPr/>
      <w:tcPr>
        <w:shd w:val="clear" w:color="auto" w:fill="7B7B7B" w:themeFill="accent3" w:themeFillShade="BF"/>
      </w:tcPr>
    </w:tblStylePr>
    <w:tblStylePr w:type="lastCol">
      <w:rPr>
        <w:color w:val="FFFFFF" w:themeColor="background1"/>
      </w:rPr>
      <w:tblPr/>
      <w:tcPr>
        <w:shd w:val="clear" w:color="auto" w:fill="7B7B7B" w:themeFill="accent3" w:themeFillShade="BF"/>
      </w:tcPr>
    </w:tblStylePr>
    <w:tblStylePr w:type="band1Vert">
      <w:tblPr/>
      <w:tcPr>
        <w:shd w:val="clear" w:color="auto" w:fill="D2D2D2" w:themeFill="accent3" w:themeFillTint="7F"/>
      </w:tcPr>
    </w:tblStylePr>
    <w:tblStylePr w:type="band1Horz">
      <w:tblPr/>
      <w:tcPr>
        <w:shd w:val="clear" w:color="auto" w:fill="D2D2D2" w:themeFill="accent3" w:themeFillTint="7F"/>
      </w:tcPr>
    </w:tblStylePr>
  </w:style>
  <w:style w:type="table" w:styleId="ColorfulGrid-Accent4">
    <w:name w:val="Colorful Grid Accent 4"/>
    <w:basedOn w:val="TableNormal"/>
    <w:uiPriority w:val="73"/>
    <w:semiHidden/>
    <w:unhideWhenUsed/>
    <w:rsid w:val="000041AF"/>
    <w:pPr>
      <w:spacing w:before="0" w:after="0"/>
    </w:pPr>
    <w:rPr>
      <w:color w:val="000000" w:themeColor="text1"/>
    </w:rPr>
    <w:tblPr>
      <w:tblStyleRowBandSize w:val="1"/>
      <w:tblStyleColBandSize w:val="1"/>
      <w:tblBorders>
        <w:insideH w:val="single" w:sz="4" w:space="0" w:color="FFFFFF" w:themeColor="background1"/>
      </w:tblBorders>
    </w:tblPr>
    <w:tcPr>
      <w:shd w:val="clear" w:color="auto" w:fill="FFF2CC" w:themeFill="accent4" w:themeFillTint="33"/>
    </w:tcPr>
    <w:tblStylePr w:type="firstRow">
      <w:rPr>
        <w:b/>
        <w:bCs/>
      </w:rPr>
      <w:tblPr/>
      <w:tcPr>
        <w:shd w:val="clear" w:color="auto" w:fill="FFE599" w:themeFill="accent4" w:themeFillTint="66"/>
      </w:tcPr>
    </w:tblStylePr>
    <w:tblStylePr w:type="lastRow">
      <w:rPr>
        <w:b/>
        <w:bCs/>
        <w:color w:val="000000" w:themeColor="text1"/>
      </w:rPr>
      <w:tblPr/>
      <w:tcPr>
        <w:shd w:val="clear" w:color="auto" w:fill="FFE599" w:themeFill="accent4" w:themeFillTint="66"/>
      </w:tcPr>
    </w:tblStylePr>
    <w:tblStylePr w:type="firstCol">
      <w:rPr>
        <w:color w:val="FFFFFF" w:themeColor="background1"/>
      </w:rPr>
      <w:tblPr/>
      <w:tcPr>
        <w:shd w:val="clear" w:color="auto" w:fill="BF8F00" w:themeFill="accent4" w:themeFillShade="BF"/>
      </w:tcPr>
    </w:tblStylePr>
    <w:tblStylePr w:type="lastCol">
      <w:rPr>
        <w:color w:val="FFFFFF" w:themeColor="background1"/>
      </w:rPr>
      <w:tblPr/>
      <w:tcPr>
        <w:shd w:val="clear" w:color="auto" w:fill="BF8F00" w:themeFill="accent4" w:themeFillShade="BF"/>
      </w:tcPr>
    </w:tblStylePr>
    <w:tblStylePr w:type="band1Vert">
      <w:tblPr/>
      <w:tcPr>
        <w:shd w:val="clear" w:color="auto" w:fill="FFDF80" w:themeFill="accent4" w:themeFillTint="7F"/>
      </w:tcPr>
    </w:tblStylePr>
    <w:tblStylePr w:type="band1Horz">
      <w:tblPr/>
      <w:tcPr>
        <w:shd w:val="clear" w:color="auto" w:fill="FFDF80" w:themeFill="accent4" w:themeFillTint="7F"/>
      </w:tcPr>
    </w:tblStylePr>
  </w:style>
  <w:style w:type="table" w:styleId="ColorfulGrid-Accent5">
    <w:name w:val="Colorful Grid Accent 5"/>
    <w:basedOn w:val="TableNormal"/>
    <w:uiPriority w:val="73"/>
    <w:semiHidden/>
    <w:unhideWhenUsed/>
    <w:rsid w:val="000041AF"/>
    <w:pPr>
      <w:spacing w:before="0" w:after="0"/>
    </w:pPr>
    <w:rPr>
      <w:color w:val="000000" w:themeColor="text1"/>
    </w:rPr>
    <w:tblPr>
      <w:tblStyleRowBandSize w:val="1"/>
      <w:tblStyleColBandSize w:val="1"/>
      <w:tblBorders>
        <w:insideH w:val="single" w:sz="4" w:space="0" w:color="FFFFFF" w:themeColor="background1"/>
      </w:tblBorders>
    </w:tblPr>
    <w:tcPr>
      <w:shd w:val="clear" w:color="auto" w:fill="DEEAF6" w:themeFill="accent5" w:themeFillTint="33"/>
    </w:tcPr>
    <w:tblStylePr w:type="firstRow">
      <w:rPr>
        <w:b/>
        <w:bCs/>
      </w:rPr>
      <w:tblPr/>
      <w:tcPr>
        <w:shd w:val="clear" w:color="auto" w:fill="BDD6EE" w:themeFill="accent5" w:themeFillTint="66"/>
      </w:tcPr>
    </w:tblStylePr>
    <w:tblStylePr w:type="lastRow">
      <w:rPr>
        <w:b/>
        <w:bCs/>
        <w:color w:val="000000" w:themeColor="text1"/>
      </w:rPr>
      <w:tblPr/>
      <w:tcPr>
        <w:shd w:val="clear" w:color="auto" w:fill="BDD6EE" w:themeFill="accent5" w:themeFillTint="66"/>
      </w:tcPr>
    </w:tblStylePr>
    <w:tblStylePr w:type="firstCol">
      <w:rPr>
        <w:color w:val="FFFFFF" w:themeColor="background1"/>
      </w:rPr>
      <w:tblPr/>
      <w:tcPr>
        <w:shd w:val="clear" w:color="auto" w:fill="2E74B5" w:themeFill="accent5" w:themeFillShade="BF"/>
      </w:tcPr>
    </w:tblStylePr>
    <w:tblStylePr w:type="lastCol">
      <w:rPr>
        <w:color w:val="FFFFFF" w:themeColor="background1"/>
      </w:rPr>
      <w:tblPr/>
      <w:tcPr>
        <w:shd w:val="clear" w:color="auto" w:fill="2E74B5" w:themeFill="accent5" w:themeFillShade="BF"/>
      </w:tcPr>
    </w:tblStylePr>
    <w:tblStylePr w:type="band1Vert">
      <w:tblPr/>
      <w:tcPr>
        <w:shd w:val="clear" w:color="auto" w:fill="ADCCEA" w:themeFill="accent5" w:themeFillTint="7F"/>
      </w:tcPr>
    </w:tblStylePr>
    <w:tblStylePr w:type="band1Horz">
      <w:tblPr/>
      <w:tcPr>
        <w:shd w:val="clear" w:color="auto" w:fill="ADCCEA" w:themeFill="accent5" w:themeFillTint="7F"/>
      </w:tcPr>
    </w:tblStylePr>
  </w:style>
  <w:style w:type="table" w:styleId="ColorfulGrid-Accent6">
    <w:name w:val="Colorful Grid Accent 6"/>
    <w:basedOn w:val="TableNormal"/>
    <w:uiPriority w:val="73"/>
    <w:semiHidden/>
    <w:unhideWhenUsed/>
    <w:rsid w:val="000041AF"/>
    <w:pPr>
      <w:spacing w:before="0" w:after="0"/>
    </w:pPr>
    <w:rPr>
      <w:color w:val="000000" w:themeColor="text1"/>
    </w:rPr>
    <w:tblPr>
      <w:tblStyleRowBandSize w:val="1"/>
      <w:tblStyleColBandSize w:val="1"/>
      <w:tblBorders>
        <w:insideH w:val="single" w:sz="4" w:space="0" w:color="FFFFFF" w:themeColor="background1"/>
      </w:tblBorders>
    </w:tblPr>
    <w:tcPr>
      <w:shd w:val="clear" w:color="auto" w:fill="E2EFD9" w:themeFill="accent6" w:themeFillTint="33"/>
    </w:tcPr>
    <w:tblStylePr w:type="firstRow">
      <w:rPr>
        <w:b/>
        <w:bCs/>
      </w:rPr>
      <w:tblPr/>
      <w:tcPr>
        <w:shd w:val="clear" w:color="auto" w:fill="C5E0B3" w:themeFill="accent6" w:themeFillTint="66"/>
      </w:tcPr>
    </w:tblStylePr>
    <w:tblStylePr w:type="lastRow">
      <w:rPr>
        <w:b/>
        <w:bCs/>
        <w:color w:val="000000" w:themeColor="text1"/>
      </w:rPr>
      <w:tblPr/>
      <w:tcPr>
        <w:shd w:val="clear" w:color="auto" w:fill="C5E0B3" w:themeFill="accent6" w:themeFillTint="66"/>
      </w:tcPr>
    </w:tblStylePr>
    <w:tblStylePr w:type="firstCol">
      <w:rPr>
        <w:color w:val="FFFFFF" w:themeColor="background1"/>
      </w:rPr>
      <w:tblPr/>
      <w:tcPr>
        <w:shd w:val="clear" w:color="auto" w:fill="538135" w:themeFill="accent6" w:themeFillShade="BF"/>
      </w:tcPr>
    </w:tblStylePr>
    <w:tblStylePr w:type="lastCol">
      <w:rPr>
        <w:color w:val="FFFFFF" w:themeColor="background1"/>
      </w:rPr>
      <w:tblPr/>
      <w:tcPr>
        <w:shd w:val="clear" w:color="auto" w:fill="538135" w:themeFill="accent6" w:themeFillShade="BF"/>
      </w:tcPr>
    </w:tblStylePr>
    <w:tblStylePr w:type="band1Vert">
      <w:tblPr/>
      <w:tcPr>
        <w:shd w:val="clear" w:color="auto" w:fill="B7D8A0" w:themeFill="accent6" w:themeFillTint="7F"/>
      </w:tcPr>
    </w:tblStylePr>
    <w:tblStylePr w:type="band1Horz">
      <w:tblPr/>
      <w:tcPr>
        <w:shd w:val="clear" w:color="auto" w:fill="B7D8A0" w:themeFill="accent6" w:themeFillTint="7F"/>
      </w:tcPr>
    </w:tblStylePr>
  </w:style>
  <w:style w:type="table" w:styleId="ColorfulList">
    <w:name w:val="Colorful List"/>
    <w:basedOn w:val="TableNormal"/>
    <w:uiPriority w:val="72"/>
    <w:semiHidden/>
    <w:unhideWhenUsed/>
    <w:rsid w:val="000041AF"/>
    <w:pPr>
      <w:spacing w:before="0" w:after="0"/>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unhideWhenUsed/>
    <w:rsid w:val="000041AF"/>
    <w:pPr>
      <w:spacing w:before="0" w:after="0"/>
    </w:pPr>
    <w:rPr>
      <w:color w:val="000000" w:themeColor="text1"/>
    </w:rPr>
    <w:tblPr>
      <w:tblStyleRowBandSize w:val="1"/>
      <w:tblStyleColBandSize w:val="1"/>
    </w:tblPr>
    <w:tcPr>
      <w:shd w:val="clear" w:color="auto" w:fill="ECF1F9" w:themeFill="accent1"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DBF0" w:themeFill="accent1" w:themeFillTint="3F"/>
      </w:tcPr>
    </w:tblStylePr>
    <w:tblStylePr w:type="band1Horz">
      <w:tblPr/>
      <w:tcPr>
        <w:shd w:val="clear" w:color="auto" w:fill="D9E2F3" w:themeFill="accent1" w:themeFillTint="33"/>
      </w:tcPr>
    </w:tblStylePr>
  </w:style>
  <w:style w:type="table" w:styleId="ColorfulList-Accent2">
    <w:name w:val="Colorful List Accent 2"/>
    <w:basedOn w:val="TableNormal"/>
    <w:uiPriority w:val="72"/>
    <w:semiHidden/>
    <w:unhideWhenUsed/>
    <w:rsid w:val="000041AF"/>
    <w:pPr>
      <w:spacing w:before="0" w:after="0"/>
    </w:pPr>
    <w:rPr>
      <w:color w:val="000000" w:themeColor="text1"/>
    </w:rPr>
    <w:tblPr>
      <w:tblStyleRowBandSize w:val="1"/>
      <w:tblStyleColBandSize w:val="1"/>
    </w:tblPr>
    <w:tcPr>
      <w:shd w:val="clear" w:color="auto" w:fill="FDF2EA" w:themeFill="accent2"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ADECB" w:themeFill="accent2" w:themeFillTint="3F"/>
      </w:tcPr>
    </w:tblStylePr>
    <w:tblStylePr w:type="band1Horz">
      <w:tblPr/>
      <w:tcPr>
        <w:shd w:val="clear" w:color="auto" w:fill="FBE4D5" w:themeFill="accent2" w:themeFillTint="33"/>
      </w:tcPr>
    </w:tblStylePr>
  </w:style>
  <w:style w:type="table" w:styleId="ColorfulList-Accent3">
    <w:name w:val="Colorful List Accent 3"/>
    <w:basedOn w:val="TableNormal"/>
    <w:uiPriority w:val="72"/>
    <w:semiHidden/>
    <w:unhideWhenUsed/>
    <w:rsid w:val="000041AF"/>
    <w:pPr>
      <w:spacing w:before="0" w:after="0"/>
    </w:pPr>
    <w:rPr>
      <w:color w:val="000000" w:themeColor="text1"/>
    </w:rPr>
    <w:tblPr>
      <w:tblStyleRowBandSize w:val="1"/>
      <w:tblStyleColBandSize w:val="1"/>
    </w:tblPr>
    <w:tcPr>
      <w:shd w:val="clear" w:color="auto" w:fill="F6F6F6" w:themeFill="accent3" w:themeFillTint="19"/>
    </w:tcPr>
    <w:tblStylePr w:type="firstRow">
      <w:rPr>
        <w:b/>
        <w:bCs/>
        <w:color w:val="FFFFFF" w:themeColor="background1"/>
      </w:rPr>
      <w:tblPr/>
      <w:tcPr>
        <w:tcBorders>
          <w:bottom w:val="single" w:sz="12" w:space="0" w:color="FFFFFF" w:themeColor="background1"/>
        </w:tcBorders>
        <w:shd w:val="clear" w:color="auto" w:fill="CC9900" w:themeFill="accent4" w:themeFillShade="CC"/>
      </w:tcPr>
    </w:tblStylePr>
    <w:tblStylePr w:type="lastRow">
      <w:rPr>
        <w:b/>
        <w:bCs/>
        <w:color w:val="CC9900"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8E8E8" w:themeFill="accent3" w:themeFillTint="3F"/>
      </w:tcPr>
    </w:tblStylePr>
    <w:tblStylePr w:type="band1Horz">
      <w:tblPr/>
      <w:tcPr>
        <w:shd w:val="clear" w:color="auto" w:fill="EDEDED" w:themeFill="accent3" w:themeFillTint="33"/>
      </w:tcPr>
    </w:tblStylePr>
  </w:style>
  <w:style w:type="table" w:styleId="ColorfulList-Accent4">
    <w:name w:val="Colorful List Accent 4"/>
    <w:basedOn w:val="TableNormal"/>
    <w:uiPriority w:val="72"/>
    <w:semiHidden/>
    <w:unhideWhenUsed/>
    <w:rsid w:val="000041AF"/>
    <w:pPr>
      <w:spacing w:before="0" w:after="0"/>
    </w:pPr>
    <w:rPr>
      <w:color w:val="000000" w:themeColor="text1"/>
    </w:rPr>
    <w:tblPr>
      <w:tblStyleRowBandSize w:val="1"/>
      <w:tblStyleColBandSize w:val="1"/>
    </w:tblPr>
    <w:tcPr>
      <w:shd w:val="clear" w:color="auto" w:fill="FFF8E6" w:themeFill="accent4" w:themeFillTint="19"/>
    </w:tcPr>
    <w:tblStylePr w:type="firstRow">
      <w:rPr>
        <w:b/>
        <w:bCs/>
        <w:color w:val="FFFFFF" w:themeColor="background1"/>
      </w:rPr>
      <w:tblPr/>
      <w:tcPr>
        <w:tcBorders>
          <w:bottom w:val="single" w:sz="12" w:space="0" w:color="FFFFFF" w:themeColor="background1"/>
        </w:tcBorders>
        <w:shd w:val="clear" w:color="auto" w:fill="848484" w:themeFill="accent3" w:themeFillShade="CC"/>
      </w:tcPr>
    </w:tblStylePr>
    <w:tblStylePr w:type="lastRow">
      <w:rPr>
        <w:b/>
        <w:bCs/>
        <w:color w:val="848484"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EFC0" w:themeFill="accent4" w:themeFillTint="3F"/>
      </w:tcPr>
    </w:tblStylePr>
    <w:tblStylePr w:type="band1Horz">
      <w:tblPr/>
      <w:tcPr>
        <w:shd w:val="clear" w:color="auto" w:fill="FFF2CC" w:themeFill="accent4" w:themeFillTint="33"/>
      </w:tcPr>
    </w:tblStylePr>
  </w:style>
  <w:style w:type="table" w:styleId="ColorfulList-Accent5">
    <w:name w:val="Colorful List Accent 5"/>
    <w:basedOn w:val="TableNormal"/>
    <w:uiPriority w:val="72"/>
    <w:semiHidden/>
    <w:unhideWhenUsed/>
    <w:rsid w:val="000041AF"/>
    <w:pPr>
      <w:spacing w:before="0" w:after="0"/>
    </w:pPr>
    <w:rPr>
      <w:color w:val="000000" w:themeColor="text1"/>
    </w:rPr>
    <w:tblPr>
      <w:tblStyleRowBandSize w:val="1"/>
      <w:tblStyleColBandSize w:val="1"/>
    </w:tblPr>
    <w:tcPr>
      <w:shd w:val="clear" w:color="auto" w:fill="EEF5FB" w:themeFill="accent5" w:themeFillTint="19"/>
    </w:tcPr>
    <w:tblStylePr w:type="firstRow">
      <w:rPr>
        <w:b/>
        <w:bCs/>
        <w:color w:val="FFFFFF" w:themeColor="background1"/>
      </w:rPr>
      <w:tblPr/>
      <w:tcPr>
        <w:tcBorders>
          <w:bottom w:val="single" w:sz="12" w:space="0" w:color="FFFFFF" w:themeColor="background1"/>
        </w:tcBorders>
        <w:shd w:val="clear" w:color="auto" w:fill="598A38" w:themeFill="accent6" w:themeFillShade="CC"/>
      </w:tcPr>
    </w:tblStylePr>
    <w:tblStylePr w:type="lastRow">
      <w:rPr>
        <w:b/>
        <w:bCs/>
        <w:color w:val="598A38"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6E6F4" w:themeFill="accent5" w:themeFillTint="3F"/>
      </w:tcPr>
    </w:tblStylePr>
    <w:tblStylePr w:type="band1Horz">
      <w:tblPr/>
      <w:tcPr>
        <w:shd w:val="clear" w:color="auto" w:fill="DEEAF6" w:themeFill="accent5" w:themeFillTint="33"/>
      </w:tcPr>
    </w:tblStylePr>
  </w:style>
  <w:style w:type="table" w:styleId="ColorfulList-Accent6">
    <w:name w:val="Colorful List Accent 6"/>
    <w:basedOn w:val="TableNormal"/>
    <w:uiPriority w:val="72"/>
    <w:semiHidden/>
    <w:unhideWhenUsed/>
    <w:rsid w:val="000041AF"/>
    <w:pPr>
      <w:spacing w:before="0" w:after="0"/>
    </w:pPr>
    <w:rPr>
      <w:color w:val="000000" w:themeColor="text1"/>
    </w:rPr>
    <w:tblPr>
      <w:tblStyleRowBandSize w:val="1"/>
      <w:tblStyleColBandSize w:val="1"/>
    </w:tblPr>
    <w:tcPr>
      <w:shd w:val="clear" w:color="auto" w:fill="F0F7EC" w:themeFill="accent6" w:themeFillTint="19"/>
    </w:tcPr>
    <w:tblStylePr w:type="firstRow">
      <w:rPr>
        <w:b/>
        <w:bCs/>
        <w:color w:val="FFFFFF" w:themeColor="background1"/>
      </w:rPr>
      <w:tblPr/>
      <w:tcPr>
        <w:tcBorders>
          <w:bottom w:val="single" w:sz="12" w:space="0" w:color="FFFFFF" w:themeColor="background1"/>
        </w:tcBorders>
        <w:shd w:val="clear" w:color="auto" w:fill="317CC1" w:themeFill="accent5" w:themeFillShade="CC"/>
      </w:tcPr>
    </w:tblStylePr>
    <w:tblStylePr w:type="lastRow">
      <w:rPr>
        <w:b/>
        <w:bCs/>
        <w:color w:val="317CC1"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BEBD0" w:themeFill="accent6" w:themeFillTint="3F"/>
      </w:tcPr>
    </w:tblStylePr>
    <w:tblStylePr w:type="band1Horz">
      <w:tblPr/>
      <w:tcPr>
        <w:shd w:val="clear" w:color="auto" w:fill="E2EFD9" w:themeFill="accent6" w:themeFillTint="33"/>
      </w:tcPr>
    </w:tblStylePr>
  </w:style>
  <w:style w:type="table" w:styleId="ColorfulShading">
    <w:name w:val="Colorful Shading"/>
    <w:basedOn w:val="TableNormal"/>
    <w:uiPriority w:val="71"/>
    <w:semiHidden/>
    <w:unhideWhenUsed/>
    <w:rsid w:val="000041AF"/>
    <w:pPr>
      <w:spacing w:before="0" w:after="0"/>
    </w:pPr>
    <w:rPr>
      <w:color w:val="000000" w:themeColor="text1"/>
    </w:rPr>
    <w:tblPr>
      <w:tblStyleRowBandSize w:val="1"/>
      <w:tblStyleColBandSize w:val="1"/>
      <w:tblBorders>
        <w:top w:val="single" w:sz="24" w:space="0" w:color="ED7D31"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unhideWhenUsed/>
    <w:rsid w:val="000041AF"/>
    <w:pPr>
      <w:spacing w:before="0" w:after="0"/>
    </w:pPr>
    <w:rPr>
      <w:color w:val="000000" w:themeColor="text1"/>
    </w:rPr>
    <w:tblPr>
      <w:tblStyleRowBandSize w:val="1"/>
      <w:tblStyleColBandSize w:val="1"/>
      <w:tblBorders>
        <w:top w:val="single" w:sz="24" w:space="0" w:color="ED7D31" w:themeColor="accent2"/>
        <w:left w:val="single" w:sz="4" w:space="0" w:color="4472C4" w:themeColor="accent1"/>
        <w:bottom w:val="single" w:sz="4" w:space="0" w:color="4472C4" w:themeColor="accent1"/>
        <w:right w:val="single" w:sz="4" w:space="0" w:color="4472C4" w:themeColor="accent1"/>
        <w:insideH w:val="single" w:sz="4" w:space="0" w:color="FFFFFF" w:themeColor="background1"/>
        <w:insideV w:val="single" w:sz="4" w:space="0" w:color="FFFFFF" w:themeColor="background1"/>
      </w:tblBorders>
    </w:tblPr>
    <w:tcPr>
      <w:shd w:val="clear" w:color="auto" w:fill="ECF1F9" w:themeFill="accent1"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64378" w:themeFill="accent1" w:themeFillShade="99"/>
      </w:tcPr>
    </w:tblStylePr>
    <w:tblStylePr w:type="firstCol">
      <w:rPr>
        <w:color w:val="FFFFFF" w:themeColor="background1"/>
      </w:rPr>
      <w:tblPr/>
      <w:tcPr>
        <w:tcBorders>
          <w:top w:val="nil"/>
          <w:left w:val="nil"/>
          <w:bottom w:val="nil"/>
          <w:right w:val="nil"/>
          <w:insideH w:val="single" w:sz="4" w:space="0" w:color="264378" w:themeColor="accent1" w:themeShade="99"/>
          <w:insideV w:val="nil"/>
        </w:tcBorders>
        <w:shd w:val="clear" w:color="auto" w:fill="264378"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64378" w:themeFill="accent1" w:themeFillShade="99"/>
      </w:tcPr>
    </w:tblStylePr>
    <w:tblStylePr w:type="band1Vert">
      <w:tblPr/>
      <w:tcPr>
        <w:shd w:val="clear" w:color="auto" w:fill="B4C6E7" w:themeFill="accent1" w:themeFillTint="66"/>
      </w:tcPr>
    </w:tblStylePr>
    <w:tblStylePr w:type="band1Horz">
      <w:tblPr/>
      <w:tcPr>
        <w:shd w:val="clear" w:color="auto" w:fill="A1B8E1"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unhideWhenUsed/>
    <w:rsid w:val="000041AF"/>
    <w:pPr>
      <w:spacing w:before="0" w:after="0"/>
    </w:pPr>
    <w:rPr>
      <w:color w:val="000000" w:themeColor="text1"/>
    </w:rPr>
    <w:tblPr>
      <w:tblStyleRowBandSize w:val="1"/>
      <w:tblStyleColBandSize w:val="1"/>
      <w:tblBorders>
        <w:top w:val="single" w:sz="24" w:space="0" w:color="ED7D31" w:themeColor="accent2"/>
        <w:left w:val="single" w:sz="4" w:space="0" w:color="ED7D31" w:themeColor="accent2"/>
        <w:bottom w:val="single" w:sz="4" w:space="0" w:color="ED7D31" w:themeColor="accent2"/>
        <w:right w:val="single" w:sz="4" w:space="0" w:color="ED7D31" w:themeColor="accent2"/>
        <w:insideH w:val="single" w:sz="4" w:space="0" w:color="FFFFFF" w:themeColor="background1"/>
        <w:insideV w:val="single" w:sz="4" w:space="0" w:color="FFFFFF" w:themeColor="background1"/>
      </w:tblBorders>
    </w:tblPr>
    <w:tcPr>
      <w:shd w:val="clear" w:color="auto" w:fill="FDF2EA" w:themeFill="accent2"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D470D" w:themeFill="accent2" w:themeFillShade="99"/>
      </w:tcPr>
    </w:tblStylePr>
    <w:tblStylePr w:type="firstCol">
      <w:rPr>
        <w:color w:val="FFFFFF" w:themeColor="background1"/>
      </w:rPr>
      <w:tblPr/>
      <w:tcPr>
        <w:tcBorders>
          <w:top w:val="nil"/>
          <w:left w:val="nil"/>
          <w:bottom w:val="nil"/>
          <w:right w:val="nil"/>
          <w:insideH w:val="single" w:sz="4" w:space="0" w:color="9D470D" w:themeColor="accent2" w:themeShade="99"/>
          <w:insideV w:val="nil"/>
        </w:tcBorders>
        <w:shd w:val="clear" w:color="auto" w:fill="9D470D"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D470D" w:themeFill="accent2" w:themeFillShade="99"/>
      </w:tcPr>
    </w:tblStylePr>
    <w:tblStylePr w:type="band1Vert">
      <w:tblPr/>
      <w:tcPr>
        <w:shd w:val="clear" w:color="auto" w:fill="F7CAAC" w:themeFill="accent2" w:themeFillTint="66"/>
      </w:tcPr>
    </w:tblStylePr>
    <w:tblStylePr w:type="band1Horz">
      <w:tblPr/>
      <w:tcPr>
        <w:shd w:val="clear" w:color="auto" w:fill="F6BE98"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unhideWhenUsed/>
    <w:rsid w:val="000041AF"/>
    <w:pPr>
      <w:spacing w:before="0" w:after="0"/>
    </w:pPr>
    <w:rPr>
      <w:color w:val="000000" w:themeColor="text1"/>
    </w:rPr>
    <w:tblPr>
      <w:tblStyleRowBandSize w:val="1"/>
      <w:tblStyleColBandSize w:val="1"/>
      <w:tblBorders>
        <w:top w:val="single" w:sz="24" w:space="0" w:color="FFC000" w:themeColor="accent4"/>
        <w:left w:val="single" w:sz="4" w:space="0" w:color="A5A5A5" w:themeColor="accent3"/>
        <w:bottom w:val="single" w:sz="4" w:space="0" w:color="A5A5A5" w:themeColor="accent3"/>
        <w:right w:val="single" w:sz="4" w:space="0" w:color="A5A5A5" w:themeColor="accent3"/>
        <w:insideH w:val="single" w:sz="4" w:space="0" w:color="FFFFFF" w:themeColor="background1"/>
        <w:insideV w:val="single" w:sz="4" w:space="0" w:color="FFFFFF" w:themeColor="background1"/>
      </w:tblBorders>
    </w:tblPr>
    <w:tcPr>
      <w:shd w:val="clear" w:color="auto" w:fill="F6F6F6" w:themeFill="accent3" w:themeFillTint="19"/>
    </w:tcPr>
    <w:tblStylePr w:type="firstRow">
      <w:rPr>
        <w:b/>
        <w:bCs/>
      </w:rPr>
      <w:tblPr/>
      <w:tcPr>
        <w:tcBorders>
          <w:top w:val="nil"/>
          <w:left w:val="nil"/>
          <w:bottom w:val="single" w:sz="24" w:space="0" w:color="FFC000"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636363" w:themeFill="accent3" w:themeFillShade="99"/>
      </w:tcPr>
    </w:tblStylePr>
    <w:tblStylePr w:type="firstCol">
      <w:rPr>
        <w:color w:val="FFFFFF" w:themeColor="background1"/>
      </w:rPr>
      <w:tblPr/>
      <w:tcPr>
        <w:tcBorders>
          <w:top w:val="nil"/>
          <w:left w:val="nil"/>
          <w:bottom w:val="nil"/>
          <w:right w:val="nil"/>
          <w:insideH w:val="single" w:sz="4" w:space="0" w:color="636363" w:themeColor="accent3" w:themeShade="99"/>
          <w:insideV w:val="nil"/>
        </w:tcBorders>
        <w:shd w:val="clear" w:color="auto" w:fill="636363"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636363" w:themeFill="accent3" w:themeFillShade="99"/>
      </w:tcPr>
    </w:tblStylePr>
    <w:tblStylePr w:type="band1Vert">
      <w:tblPr/>
      <w:tcPr>
        <w:shd w:val="clear" w:color="auto" w:fill="DBDBDB" w:themeFill="accent3" w:themeFillTint="66"/>
      </w:tcPr>
    </w:tblStylePr>
    <w:tblStylePr w:type="band1Horz">
      <w:tblPr/>
      <w:tcPr>
        <w:shd w:val="clear" w:color="auto" w:fill="D2D2D2" w:themeFill="accent3" w:themeFillTint="7F"/>
      </w:tcPr>
    </w:tblStylePr>
  </w:style>
  <w:style w:type="table" w:styleId="ColorfulShading-Accent4">
    <w:name w:val="Colorful Shading Accent 4"/>
    <w:basedOn w:val="TableNormal"/>
    <w:uiPriority w:val="71"/>
    <w:semiHidden/>
    <w:unhideWhenUsed/>
    <w:rsid w:val="000041AF"/>
    <w:pPr>
      <w:spacing w:before="0" w:after="0"/>
    </w:pPr>
    <w:rPr>
      <w:color w:val="000000" w:themeColor="text1"/>
    </w:rPr>
    <w:tblPr>
      <w:tblStyleRowBandSize w:val="1"/>
      <w:tblStyleColBandSize w:val="1"/>
      <w:tblBorders>
        <w:top w:val="single" w:sz="24" w:space="0" w:color="A5A5A5" w:themeColor="accent3"/>
        <w:left w:val="single" w:sz="4" w:space="0" w:color="FFC000" w:themeColor="accent4"/>
        <w:bottom w:val="single" w:sz="4" w:space="0" w:color="FFC000" w:themeColor="accent4"/>
        <w:right w:val="single" w:sz="4" w:space="0" w:color="FFC000" w:themeColor="accent4"/>
        <w:insideH w:val="single" w:sz="4" w:space="0" w:color="FFFFFF" w:themeColor="background1"/>
        <w:insideV w:val="single" w:sz="4" w:space="0" w:color="FFFFFF" w:themeColor="background1"/>
      </w:tblBorders>
    </w:tblPr>
    <w:tcPr>
      <w:shd w:val="clear" w:color="auto" w:fill="FFF8E6" w:themeFill="accent4" w:themeFillTint="19"/>
    </w:tcPr>
    <w:tblStylePr w:type="firstRow">
      <w:rPr>
        <w:b/>
        <w:bCs/>
      </w:rPr>
      <w:tblPr/>
      <w:tcPr>
        <w:tcBorders>
          <w:top w:val="nil"/>
          <w:left w:val="nil"/>
          <w:bottom w:val="single" w:sz="24" w:space="0" w:color="A5A5A5"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7300" w:themeFill="accent4" w:themeFillShade="99"/>
      </w:tcPr>
    </w:tblStylePr>
    <w:tblStylePr w:type="firstCol">
      <w:rPr>
        <w:color w:val="FFFFFF" w:themeColor="background1"/>
      </w:rPr>
      <w:tblPr/>
      <w:tcPr>
        <w:tcBorders>
          <w:top w:val="nil"/>
          <w:left w:val="nil"/>
          <w:bottom w:val="nil"/>
          <w:right w:val="nil"/>
          <w:insideH w:val="single" w:sz="4" w:space="0" w:color="997300" w:themeColor="accent4" w:themeShade="99"/>
          <w:insideV w:val="nil"/>
        </w:tcBorders>
        <w:shd w:val="clear" w:color="auto" w:fill="997300"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997300" w:themeFill="accent4" w:themeFillShade="99"/>
      </w:tcPr>
    </w:tblStylePr>
    <w:tblStylePr w:type="band1Vert">
      <w:tblPr/>
      <w:tcPr>
        <w:shd w:val="clear" w:color="auto" w:fill="FFE599" w:themeFill="accent4" w:themeFillTint="66"/>
      </w:tcPr>
    </w:tblStylePr>
    <w:tblStylePr w:type="band1Horz">
      <w:tblPr/>
      <w:tcPr>
        <w:shd w:val="clear" w:color="auto" w:fill="FFDF8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unhideWhenUsed/>
    <w:rsid w:val="000041AF"/>
    <w:pPr>
      <w:spacing w:before="0" w:after="0"/>
    </w:pPr>
    <w:rPr>
      <w:color w:val="000000" w:themeColor="text1"/>
    </w:rPr>
    <w:tblPr>
      <w:tblStyleRowBandSize w:val="1"/>
      <w:tblStyleColBandSize w:val="1"/>
      <w:tblBorders>
        <w:top w:val="single" w:sz="24" w:space="0" w:color="70AD47" w:themeColor="accent6"/>
        <w:left w:val="single" w:sz="4" w:space="0" w:color="5B9BD5" w:themeColor="accent5"/>
        <w:bottom w:val="single" w:sz="4" w:space="0" w:color="5B9BD5" w:themeColor="accent5"/>
        <w:right w:val="single" w:sz="4" w:space="0" w:color="5B9BD5" w:themeColor="accent5"/>
        <w:insideH w:val="single" w:sz="4" w:space="0" w:color="FFFFFF" w:themeColor="background1"/>
        <w:insideV w:val="single" w:sz="4" w:space="0" w:color="FFFFFF" w:themeColor="background1"/>
      </w:tblBorders>
    </w:tblPr>
    <w:tcPr>
      <w:shd w:val="clear" w:color="auto" w:fill="EEF5FB" w:themeFill="accent5" w:themeFillTint="19"/>
    </w:tcPr>
    <w:tblStylePr w:type="firstRow">
      <w:rPr>
        <w:b/>
        <w:bCs/>
      </w:rPr>
      <w:tblPr/>
      <w:tcPr>
        <w:tcBorders>
          <w:top w:val="nil"/>
          <w:left w:val="nil"/>
          <w:bottom w:val="single" w:sz="24" w:space="0" w:color="70AD47"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55D91" w:themeFill="accent5" w:themeFillShade="99"/>
      </w:tcPr>
    </w:tblStylePr>
    <w:tblStylePr w:type="firstCol">
      <w:rPr>
        <w:color w:val="FFFFFF" w:themeColor="background1"/>
      </w:rPr>
      <w:tblPr/>
      <w:tcPr>
        <w:tcBorders>
          <w:top w:val="nil"/>
          <w:left w:val="nil"/>
          <w:bottom w:val="nil"/>
          <w:right w:val="nil"/>
          <w:insideH w:val="single" w:sz="4" w:space="0" w:color="255D91" w:themeColor="accent5" w:themeShade="99"/>
          <w:insideV w:val="nil"/>
        </w:tcBorders>
        <w:shd w:val="clear" w:color="auto" w:fill="255D91"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55D91" w:themeFill="accent5" w:themeFillShade="99"/>
      </w:tcPr>
    </w:tblStylePr>
    <w:tblStylePr w:type="band1Vert">
      <w:tblPr/>
      <w:tcPr>
        <w:shd w:val="clear" w:color="auto" w:fill="BDD6EE" w:themeFill="accent5" w:themeFillTint="66"/>
      </w:tcPr>
    </w:tblStylePr>
    <w:tblStylePr w:type="band1Horz">
      <w:tblPr/>
      <w:tcPr>
        <w:shd w:val="clear" w:color="auto" w:fill="ADCCEA"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unhideWhenUsed/>
    <w:rsid w:val="000041AF"/>
    <w:pPr>
      <w:spacing w:before="0" w:after="0"/>
    </w:pPr>
    <w:rPr>
      <w:color w:val="000000" w:themeColor="text1"/>
    </w:rPr>
    <w:tblPr>
      <w:tblStyleRowBandSize w:val="1"/>
      <w:tblStyleColBandSize w:val="1"/>
      <w:tblBorders>
        <w:top w:val="single" w:sz="24" w:space="0" w:color="5B9BD5" w:themeColor="accent5"/>
        <w:left w:val="single" w:sz="4" w:space="0" w:color="70AD47" w:themeColor="accent6"/>
        <w:bottom w:val="single" w:sz="4" w:space="0" w:color="70AD47" w:themeColor="accent6"/>
        <w:right w:val="single" w:sz="4" w:space="0" w:color="70AD47" w:themeColor="accent6"/>
        <w:insideH w:val="single" w:sz="4" w:space="0" w:color="FFFFFF" w:themeColor="background1"/>
        <w:insideV w:val="single" w:sz="4" w:space="0" w:color="FFFFFF" w:themeColor="background1"/>
      </w:tblBorders>
    </w:tblPr>
    <w:tcPr>
      <w:shd w:val="clear" w:color="auto" w:fill="F0F7EC" w:themeFill="accent6" w:themeFillTint="19"/>
    </w:tcPr>
    <w:tblStylePr w:type="firstRow">
      <w:rPr>
        <w:b/>
        <w:bCs/>
      </w:rPr>
      <w:tblPr/>
      <w:tcPr>
        <w:tcBorders>
          <w:top w:val="nil"/>
          <w:left w:val="nil"/>
          <w:bottom w:val="single" w:sz="24" w:space="0" w:color="5B9BD5"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3672A" w:themeFill="accent6" w:themeFillShade="99"/>
      </w:tcPr>
    </w:tblStylePr>
    <w:tblStylePr w:type="firstCol">
      <w:rPr>
        <w:color w:val="FFFFFF" w:themeColor="background1"/>
      </w:rPr>
      <w:tblPr/>
      <w:tcPr>
        <w:tcBorders>
          <w:top w:val="nil"/>
          <w:left w:val="nil"/>
          <w:bottom w:val="nil"/>
          <w:right w:val="nil"/>
          <w:insideH w:val="single" w:sz="4" w:space="0" w:color="43672A" w:themeColor="accent6" w:themeShade="99"/>
          <w:insideV w:val="nil"/>
        </w:tcBorders>
        <w:shd w:val="clear" w:color="auto" w:fill="43672A"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43672A" w:themeFill="accent6" w:themeFillShade="99"/>
      </w:tcPr>
    </w:tblStylePr>
    <w:tblStylePr w:type="band1Vert">
      <w:tblPr/>
      <w:tcPr>
        <w:shd w:val="clear" w:color="auto" w:fill="C5E0B3" w:themeFill="accent6" w:themeFillTint="66"/>
      </w:tcPr>
    </w:tblStylePr>
    <w:tblStylePr w:type="band1Horz">
      <w:tblPr/>
      <w:tcPr>
        <w:shd w:val="clear" w:color="auto" w:fill="B7D8A0" w:themeFill="accent6" w:themeFillTint="7F"/>
      </w:tcPr>
    </w:tblStylePr>
    <w:tblStylePr w:type="neCell">
      <w:rPr>
        <w:color w:val="000000" w:themeColor="text1"/>
      </w:rPr>
    </w:tblStylePr>
    <w:tblStylePr w:type="nwCell">
      <w:rPr>
        <w:color w:val="000000" w:themeColor="text1"/>
      </w:rPr>
    </w:tblStylePr>
  </w:style>
  <w:style w:type="table" w:styleId="DarkList">
    <w:name w:val="Dark List"/>
    <w:basedOn w:val="TableNormal"/>
    <w:uiPriority w:val="70"/>
    <w:semiHidden/>
    <w:unhideWhenUsed/>
    <w:rsid w:val="000041AF"/>
    <w:pPr>
      <w:spacing w:before="0" w:after="0"/>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unhideWhenUsed/>
    <w:rsid w:val="000041AF"/>
    <w:pPr>
      <w:spacing w:before="0" w:after="0"/>
    </w:pPr>
    <w:rPr>
      <w:color w:val="FFFFFF" w:themeColor="background1"/>
    </w:rPr>
    <w:tblPr>
      <w:tblStyleRowBandSize w:val="1"/>
      <w:tblStyleColBandSize w:val="1"/>
    </w:tblPr>
    <w:tcPr>
      <w:shd w:val="clear" w:color="auto" w:fill="4472C4"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1F3763"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2F5496"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2F5496" w:themeFill="accent1" w:themeFillShade="BF"/>
      </w:tcPr>
    </w:tblStylePr>
    <w:tblStylePr w:type="band1Vert">
      <w:tblPr/>
      <w:tcPr>
        <w:tcBorders>
          <w:top w:val="nil"/>
          <w:left w:val="nil"/>
          <w:bottom w:val="nil"/>
          <w:right w:val="nil"/>
          <w:insideH w:val="nil"/>
          <w:insideV w:val="nil"/>
        </w:tcBorders>
        <w:shd w:val="clear" w:color="auto" w:fill="2F5496" w:themeFill="accent1" w:themeFillShade="BF"/>
      </w:tcPr>
    </w:tblStylePr>
    <w:tblStylePr w:type="band1Horz">
      <w:tblPr/>
      <w:tcPr>
        <w:tcBorders>
          <w:top w:val="nil"/>
          <w:left w:val="nil"/>
          <w:bottom w:val="nil"/>
          <w:right w:val="nil"/>
          <w:insideH w:val="nil"/>
          <w:insideV w:val="nil"/>
        </w:tcBorders>
        <w:shd w:val="clear" w:color="auto" w:fill="2F5496" w:themeFill="accent1" w:themeFillShade="BF"/>
      </w:tcPr>
    </w:tblStylePr>
  </w:style>
  <w:style w:type="table" w:styleId="DarkList-Accent2">
    <w:name w:val="Dark List Accent 2"/>
    <w:basedOn w:val="TableNormal"/>
    <w:uiPriority w:val="70"/>
    <w:semiHidden/>
    <w:unhideWhenUsed/>
    <w:rsid w:val="000041AF"/>
    <w:pPr>
      <w:spacing w:before="0" w:after="0"/>
    </w:pPr>
    <w:rPr>
      <w:color w:val="FFFFFF" w:themeColor="background1"/>
    </w:rPr>
    <w:tblPr>
      <w:tblStyleRowBandSize w:val="1"/>
      <w:tblStyleColBandSize w:val="1"/>
    </w:tblPr>
    <w:tcPr>
      <w:shd w:val="clear" w:color="auto" w:fill="ED7D31"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823B0B"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C45911"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C45911" w:themeFill="accent2" w:themeFillShade="BF"/>
      </w:tcPr>
    </w:tblStylePr>
    <w:tblStylePr w:type="band1Vert">
      <w:tblPr/>
      <w:tcPr>
        <w:tcBorders>
          <w:top w:val="nil"/>
          <w:left w:val="nil"/>
          <w:bottom w:val="nil"/>
          <w:right w:val="nil"/>
          <w:insideH w:val="nil"/>
          <w:insideV w:val="nil"/>
        </w:tcBorders>
        <w:shd w:val="clear" w:color="auto" w:fill="C45911" w:themeFill="accent2" w:themeFillShade="BF"/>
      </w:tcPr>
    </w:tblStylePr>
    <w:tblStylePr w:type="band1Horz">
      <w:tblPr/>
      <w:tcPr>
        <w:tcBorders>
          <w:top w:val="nil"/>
          <w:left w:val="nil"/>
          <w:bottom w:val="nil"/>
          <w:right w:val="nil"/>
          <w:insideH w:val="nil"/>
          <w:insideV w:val="nil"/>
        </w:tcBorders>
        <w:shd w:val="clear" w:color="auto" w:fill="C45911" w:themeFill="accent2" w:themeFillShade="BF"/>
      </w:tcPr>
    </w:tblStylePr>
  </w:style>
  <w:style w:type="table" w:styleId="DarkList-Accent3">
    <w:name w:val="Dark List Accent 3"/>
    <w:basedOn w:val="TableNormal"/>
    <w:uiPriority w:val="70"/>
    <w:semiHidden/>
    <w:unhideWhenUsed/>
    <w:rsid w:val="000041AF"/>
    <w:pPr>
      <w:spacing w:before="0" w:after="0"/>
    </w:pPr>
    <w:rPr>
      <w:color w:val="FFFFFF" w:themeColor="background1"/>
    </w:rPr>
    <w:tblPr>
      <w:tblStyleRowBandSize w:val="1"/>
      <w:tblStyleColBandSize w:val="1"/>
    </w:tblPr>
    <w:tcPr>
      <w:shd w:val="clear" w:color="auto" w:fill="A5A5A5"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525252"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B7B7B"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B7B7B" w:themeFill="accent3" w:themeFillShade="BF"/>
      </w:tcPr>
    </w:tblStylePr>
    <w:tblStylePr w:type="band1Vert">
      <w:tblPr/>
      <w:tcPr>
        <w:tcBorders>
          <w:top w:val="nil"/>
          <w:left w:val="nil"/>
          <w:bottom w:val="nil"/>
          <w:right w:val="nil"/>
          <w:insideH w:val="nil"/>
          <w:insideV w:val="nil"/>
        </w:tcBorders>
        <w:shd w:val="clear" w:color="auto" w:fill="7B7B7B" w:themeFill="accent3" w:themeFillShade="BF"/>
      </w:tcPr>
    </w:tblStylePr>
    <w:tblStylePr w:type="band1Horz">
      <w:tblPr/>
      <w:tcPr>
        <w:tcBorders>
          <w:top w:val="nil"/>
          <w:left w:val="nil"/>
          <w:bottom w:val="nil"/>
          <w:right w:val="nil"/>
          <w:insideH w:val="nil"/>
          <w:insideV w:val="nil"/>
        </w:tcBorders>
        <w:shd w:val="clear" w:color="auto" w:fill="7B7B7B" w:themeFill="accent3" w:themeFillShade="BF"/>
      </w:tcPr>
    </w:tblStylePr>
  </w:style>
  <w:style w:type="table" w:styleId="DarkList-Accent4">
    <w:name w:val="Dark List Accent 4"/>
    <w:basedOn w:val="TableNormal"/>
    <w:uiPriority w:val="70"/>
    <w:semiHidden/>
    <w:unhideWhenUsed/>
    <w:rsid w:val="000041AF"/>
    <w:pPr>
      <w:spacing w:before="0" w:after="0"/>
    </w:pPr>
    <w:rPr>
      <w:color w:val="FFFFFF" w:themeColor="background1"/>
    </w:rPr>
    <w:tblPr>
      <w:tblStyleRowBandSize w:val="1"/>
      <w:tblStyleColBandSize w:val="1"/>
    </w:tblPr>
    <w:tcPr>
      <w:shd w:val="clear" w:color="auto" w:fill="FFC000"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5F00"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BF8F00"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BF8F00" w:themeFill="accent4" w:themeFillShade="BF"/>
      </w:tcPr>
    </w:tblStylePr>
    <w:tblStylePr w:type="band1Vert">
      <w:tblPr/>
      <w:tcPr>
        <w:tcBorders>
          <w:top w:val="nil"/>
          <w:left w:val="nil"/>
          <w:bottom w:val="nil"/>
          <w:right w:val="nil"/>
          <w:insideH w:val="nil"/>
          <w:insideV w:val="nil"/>
        </w:tcBorders>
        <w:shd w:val="clear" w:color="auto" w:fill="BF8F00" w:themeFill="accent4" w:themeFillShade="BF"/>
      </w:tcPr>
    </w:tblStylePr>
    <w:tblStylePr w:type="band1Horz">
      <w:tblPr/>
      <w:tcPr>
        <w:tcBorders>
          <w:top w:val="nil"/>
          <w:left w:val="nil"/>
          <w:bottom w:val="nil"/>
          <w:right w:val="nil"/>
          <w:insideH w:val="nil"/>
          <w:insideV w:val="nil"/>
        </w:tcBorders>
        <w:shd w:val="clear" w:color="auto" w:fill="BF8F00" w:themeFill="accent4" w:themeFillShade="BF"/>
      </w:tcPr>
    </w:tblStylePr>
  </w:style>
  <w:style w:type="table" w:styleId="DarkList-Accent5">
    <w:name w:val="Dark List Accent 5"/>
    <w:basedOn w:val="TableNormal"/>
    <w:uiPriority w:val="70"/>
    <w:semiHidden/>
    <w:unhideWhenUsed/>
    <w:rsid w:val="000041AF"/>
    <w:pPr>
      <w:spacing w:before="0" w:after="0"/>
    </w:pPr>
    <w:rPr>
      <w:color w:val="FFFFFF" w:themeColor="background1"/>
    </w:rPr>
    <w:tblPr>
      <w:tblStyleRowBandSize w:val="1"/>
      <w:tblStyleColBandSize w:val="1"/>
    </w:tblPr>
    <w:tcPr>
      <w:shd w:val="clear" w:color="auto" w:fill="5B9BD5"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1F4D7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2E74B5"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2E74B5" w:themeFill="accent5" w:themeFillShade="BF"/>
      </w:tcPr>
    </w:tblStylePr>
    <w:tblStylePr w:type="band1Vert">
      <w:tblPr/>
      <w:tcPr>
        <w:tcBorders>
          <w:top w:val="nil"/>
          <w:left w:val="nil"/>
          <w:bottom w:val="nil"/>
          <w:right w:val="nil"/>
          <w:insideH w:val="nil"/>
          <w:insideV w:val="nil"/>
        </w:tcBorders>
        <w:shd w:val="clear" w:color="auto" w:fill="2E74B5" w:themeFill="accent5" w:themeFillShade="BF"/>
      </w:tcPr>
    </w:tblStylePr>
    <w:tblStylePr w:type="band1Horz">
      <w:tblPr/>
      <w:tcPr>
        <w:tcBorders>
          <w:top w:val="nil"/>
          <w:left w:val="nil"/>
          <w:bottom w:val="nil"/>
          <w:right w:val="nil"/>
          <w:insideH w:val="nil"/>
          <w:insideV w:val="nil"/>
        </w:tcBorders>
        <w:shd w:val="clear" w:color="auto" w:fill="2E74B5" w:themeFill="accent5" w:themeFillShade="BF"/>
      </w:tcPr>
    </w:tblStylePr>
  </w:style>
  <w:style w:type="table" w:styleId="DarkList-Accent6">
    <w:name w:val="Dark List Accent 6"/>
    <w:basedOn w:val="TableNormal"/>
    <w:uiPriority w:val="70"/>
    <w:semiHidden/>
    <w:unhideWhenUsed/>
    <w:rsid w:val="000041AF"/>
    <w:pPr>
      <w:spacing w:before="0" w:after="0"/>
    </w:pPr>
    <w:rPr>
      <w:color w:val="FFFFFF" w:themeColor="background1"/>
    </w:rPr>
    <w:tblPr>
      <w:tblStyleRowBandSize w:val="1"/>
      <w:tblStyleColBandSize w:val="1"/>
    </w:tblPr>
    <w:tcPr>
      <w:shd w:val="clear" w:color="auto" w:fill="70AD47"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75623"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538135"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538135" w:themeFill="accent6" w:themeFillShade="BF"/>
      </w:tcPr>
    </w:tblStylePr>
    <w:tblStylePr w:type="band1Vert">
      <w:tblPr/>
      <w:tcPr>
        <w:tcBorders>
          <w:top w:val="nil"/>
          <w:left w:val="nil"/>
          <w:bottom w:val="nil"/>
          <w:right w:val="nil"/>
          <w:insideH w:val="nil"/>
          <w:insideV w:val="nil"/>
        </w:tcBorders>
        <w:shd w:val="clear" w:color="auto" w:fill="538135" w:themeFill="accent6" w:themeFillShade="BF"/>
      </w:tcPr>
    </w:tblStylePr>
    <w:tblStylePr w:type="band1Horz">
      <w:tblPr/>
      <w:tcPr>
        <w:tcBorders>
          <w:top w:val="nil"/>
          <w:left w:val="nil"/>
          <w:bottom w:val="nil"/>
          <w:right w:val="nil"/>
          <w:insideH w:val="nil"/>
          <w:insideV w:val="nil"/>
        </w:tcBorders>
        <w:shd w:val="clear" w:color="auto" w:fill="538135" w:themeFill="accent6" w:themeFillShade="BF"/>
      </w:tcPr>
    </w:tblStylePr>
  </w:style>
  <w:style w:type="paragraph" w:styleId="DocumentMap">
    <w:name w:val="Document Map"/>
    <w:basedOn w:val="Normal"/>
    <w:link w:val="DocumentMapChar"/>
    <w:uiPriority w:val="99"/>
    <w:semiHidden/>
    <w:unhideWhenUsed/>
    <w:rsid w:val="000041AF"/>
    <w:rPr>
      <w:rFonts w:ascii="Segoe UI" w:hAnsi="Segoe UI" w:cs="Segoe UI"/>
      <w:sz w:val="16"/>
      <w:szCs w:val="16"/>
    </w:rPr>
  </w:style>
  <w:style w:type="character" w:customStyle="1" w:styleId="DocumentMapChar">
    <w:name w:val="Document Map Char"/>
    <w:basedOn w:val="DefaultParagraphFont"/>
    <w:link w:val="DocumentMap"/>
    <w:uiPriority w:val="99"/>
    <w:semiHidden/>
    <w:rsid w:val="000041AF"/>
    <w:rPr>
      <w:rFonts w:ascii="Segoe UI" w:eastAsia="SimSun" w:hAnsi="Segoe UI" w:cs="Segoe UI"/>
      <w:sz w:val="16"/>
      <w:szCs w:val="16"/>
      <w:lang w:val="es-UY"/>
    </w:rPr>
  </w:style>
  <w:style w:type="paragraph" w:styleId="E-mailSignature">
    <w:name w:val="E-mail Signature"/>
    <w:basedOn w:val="Normal"/>
    <w:link w:val="E-mailSignatureChar"/>
    <w:uiPriority w:val="99"/>
    <w:semiHidden/>
    <w:unhideWhenUsed/>
    <w:rsid w:val="000041AF"/>
  </w:style>
  <w:style w:type="character" w:customStyle="1" w:styleId="E-mailSignatureChar">
    <w:name w:val="E-mail Signature Char"/>
    <w:basedOn w:val="DefaultParagraphFont"/>
    <w:link w:val="E-mailSignature"/>
    <w:uiPriority w:val="99"/>
    <w:semiHidden/>
    <w:rsid w:val="000041AF"/>
    <w:rPr>
      <w:rFonts w:ascii="Times New Roman" w:eastAsia="SimSun" w:hAnsi="Times New Roman" w:cs="Times New Roman"/>
      <w:lang w:val="es-UY"/>
    </w:rPr>
  </w:style>
  <w:style w:type="character" w:styleId="Emphasis">
    <w:name w:val="Emphasis"/>
    <w:basedOn w:val="DefaultParagraphFont"/>
    <w:uiPriority w:val="20"/>
    <w:qFormat/>
    <w:rsid w:val="000041AF"/>
    <w:rPr>
      <w:i/>
      <w:iCs/>
      <w:lang w:val="es-UY"/>
    </w:rPr>
  </w:style>
  <w:style w:type="paragraph" w:styleId="EnvelopeAddress">
    <w:name w:val="envelope address"/>
    <w:basedOn w:val="Normal"/>
    <w:uiPriority w:val="99"/>
    <w:semiHidden/>
    <w:unhideWhenUsed/>
    <w:rsid w:val="000041AF"/>
    <w:pPr>
      <w:framePr w:w="7920" w:h="1980" w:hRule="exact" w:hSpace="180" w:wrap="auto" w:hAnchor="page" w:xAlign="center" w:yAlign="bottom"/>
      <w:ind w:left="2880"/>
    </w:pPr>
    <w:rPr>
      <w:rFonts w:asciiTheme="majorHAnsi" w:eastAsiaTheme="majorEastAsia" w:hAnsiTheme="majorHAnsi" w:cstheme="majorBidi"/>
      <w:sz w:val="24"/>
      <w:szCs w:val="24"/>
    </w:rPr>
  </w:style>
  <w:style w:type="paragraph" w:styleId="EnvelopeReturn">
    <w:name w:val="envelope return"/>
    <w:basedOn w:val="Normal"/>
    <w:uiPriority w:val="99"/>
    <w:semiHidden/>
    <w:unhideWhenUsed/>
    <w:rsid w:val="000041AF"/>
    <w:rPr>
      <w:rFonts w:asciiTheme="majorHAnsi" w:eastAsiaTheme="majorEastAsia" w:hAnsiTheme="majorHAnsi" w:cstheme="majorBidi"/>
      <w:sz w:val="20"/>
      <w:szCs w:val="20"/>
    </w:rPr>
  </w:style>
  <w:style w:type="table" w:styleId="GridTable1Light">
    <w:name w:val="Grid Table 1 Light"/>
    <w:basedOn w:val="TableNormal"/>
    <w:uiPriority w:val="46"/>
    <w:rsid w:val="000041AF"/>
    <w:pPr>
      <w:spacing w:after="0"/>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GridTable1Light-Accent1">
    <w:name w:val="Grid Table 1 Light Accent 1"/>
    <w:basedOn w:val="TableNormal"/>
    <w:uiPriority w:val="46"/>
    <w:rsid w:val="000041AF"/>
    <w:pPr>
      <w:spacing w:after="0"/>
    </w:pPr>
    <w:tblPr>
      <w:tblStyleRowBandSize w:val="1"/>
      <w:tblStyleColBandSize w:val="1"/>
      <w:tblBorders>
        <w:top w:val="single" w:sz="4" w:space="0" w:color="B4C6E7" w:themeColor="accent1" w:themeTint="66"/>
        <w:left w:val="single" w:sz="4" w:space="0" w:color="B4C6E7" w:themeColor="accent1" w:themeTint="66"/>
        <w:bottom w:val="single" w:sz="4" w:space="0" w:color="B4C6E7" w:themeColor="accent1" w:themeTint="66"/>
        <w:right w:val="single" w:sz="4" w:space="0" w:color="B4C6E7" w:themeColor="accent1" w:themeTint="66"/>
        <w:insideH w:val="single" w:sz="4" w:space="0" w:color="B4C6E7" w:themeColor="accent1" w:themeTint="66"/>
        <w:insideV w:val="single" w:sz="4" w:space="0" w:color="B4C6E7" w:themeColor="accent1" w:themeTint="66"/>
      </w:tblBorders>
    </w:tblPr>
    <w:tblStylePr w:type="firstRow">
      <w:rPr>
        <w:b/>
        <w:bCs/>
      </w:rPr>
      <w:tblPr/>
      <w:tcPr>
        <w:tcBorders>
          <w:bottom w:val="single" w:sz="12" w:space="0" w:color="8EAADB" w:themeColor="accent1" w:themeTint="99"/>
        </w:tcBorders>
      </w:tcPr>
    </w:tblStylePr>
    <w:tblStylePr w:type="lastRow">
      <w:rPr>
        <w:b/>
        <w:bCs/>
      </w:rPr>
      <w:tblPr/>
      <w:tcPr>
        <w:tcBorders>
          <w:top w:val="double" w:sz="2" w:space="0" w:color="8EAADB" w:themeColor="accent1" w:themeTint="99"/>
        </w:tcBorders>
      </w:tcPr>
    </w:tblStylePr>
    <w:tblStylePr w:type="firstCol">
      <w:rPr>
        <w:b/>
        <w:bCs/>
      </w:rPr>
    </w:tblStylePr>
    <w:tblStylePr w:type="lastCol">
      <w:rPr>
        <w:b/>
        <w:bCs/>
      </w:rPr>
    </w:tblStylePr>
  </w:style>
  <w:style w:type="table" w:styleId="GridTable1Light-Accent2">
    <w:name w:val="Grid Table 1 Light Accent 2"/>
    <w:basedOn w:val="TableNormal"/>
    <w:uiPriority w:val="46"/>
    <w:rsid w:val="000041AF"/>
    <w:pPr>
      <w:spacing w:after="0"/>
    </w:pPr>
    <w:tblPr>
      <w:tblStyleRowBandSize w:val="1"/>
      <w:tblStyleColBandSize w:val="1"/>
      <w:tblBorders>
        <w:top w:val="single" w:sz="4" w:space="0" w:color="F7CAAC" w:themeColor="accent2" w:themeTint="66"/>
        <w:left w:val="single" w:sz="4" w:space="0" w:color="F7CAAC" w:themeColor="accent2" w:themeTint="66"/>
        <w:bottom w:val="single" w:sz="4" w:space="0" w:color="F7CAAC" w:themeColor="accent2" w:themeTint="66"/>
        <w:right w:val="single" w:sz="4" w:space="0" w:color="F7CAAC" w:themeColor="accent2" w:themeTint="66"/>
        <w:insideH w:val="single" w:sz="4" w:space="0" w:color="F7CAAC" w:themeColor="accent2" w:themeTint="66"/>
        <w:insideV w:val="single" w:sz="4" w:space="0" w:color="F7CAAC" w:themeColor="accent2" w:themeTint="66"/>
      </w:tblBorders>
    </w:tblPr>
    <w:tblStylePr w:type="firstRow">
      <w:rPr>
        <w:b/>
        <w:bCs/>
      </w:rPr>
      <w:tblPr/>
      <w:tcPr>
        <w:tcBorders>
          <w:bottom w:val="single" w:sz="12" w:space="0" w:color="F4B083" w:themeColor="accent2" w:themeTint="99"/>
        </w:tcBorders>
      </w:tcPr>
    </w:tblStylePr>
    <w:tblStylePr w:type="lastRow">
      <w:rPr>
        <w:b/>
        <w:bCs/>
      </w:rPr>
      <w:tblPr/>
      <w:tcPr>
        <w:tcBorders>
          <w:top w:val="double" w:sz="2" w:space="0" w:color="F4B083" w:themeColor="accent2" w:themeTint="99"/>
        </w:tcBorders>
      </w:tcPr>
    </w:tblStylePr>
    <w:tblStylePr w:type="firstCol">
      <w:rPr>
        <w:b/>
        <w:bCs/>
      </w:rPr>
    </w:tblStylePr>
    <w:tblStylePr w:type="lastCol">
      <w:rPr>
        <w:b/>
        <w:bCs/>
      </w:rPr>
    </w:tblStylePr>
  </w:style>
  <w:style w:type="table" w:styleId="GridTable1Light-Accent3">
    <w:name w:val="Grid Table 1 Light Accent 3"/>
    <w:basedOn w:val="TableNormal"/>
    <w:uiPriority w:val="46"/>
    <w:rsid w:val="000041AF"/>
    <w:pPr>
      <w:spacing w:after="0"/>
    </w:pPr>
    <w:tblPr>
      <w:tblStyleRowBandSize w:val="1"/>
      <w:tblStyleColBandSize w:val="1"/>
      <w:tblBorders>
        <w:top w:val="single" w:sz="4" w:space="0" w:color="DBDBDB" w:themeColor="accent3" w:themeTint="66"/>
        <w:left w:val="single" w:sz="4" w:space="0" w:color="DBDBDB" w:themeColor="accent3" w:themeTint="66"/>
        <w:bottom w:val="single" w:sz="4" w:space="0" w:color="DBDBDB" w:themeColor="accent3" w:themeTint="66"/>
        <w:right w:val="single" w:sz="4" w:space="0" w:color="DBDBDB" w:themeColor="accent3" w:themeTint="66"/>
        <w:insideH w:val="single" w:sz="4" w:space="0" w:color="DBDBDB" w:themeColor="accent3" w:themeTint="66"/>
        <w:insideV w:val="single" w:sz="4" w:space="0" w:color="DBDBDB" w:themeColor="accent3" w:themeTint="66"/>
      </w:tblBorders>
    </w:tblPr>
    <w:tblStylePr w:type="firstRow">
      <w:rPr>
        <w:b/>
        <w:bCs/>
      </w:rPr>
      <w:tblPr/>
      <w:tcPr>
        <w:tcBorders>
          <w:bottom w:val="single" w:sz="12" w:space="0" w:color="C9C9C9" w:themeColor="accent3" w:themeTint="99"/>
        </w:tcBorders>
      </w:tcPr>
    </w:tblStylePr>
    <w:tblStylePr w:type="lastRow">
      <w:rPr>
        <w:b/>
        <w:bCs/>
      </w:rPr>
      <w:tblPr/>
      <w:tcPr>
        <w:tcBorders>
          <w:top w:val="double" w:sz="2" w:space="0" w:color="C9C9C9" w:themeColor="accent3" w:themeTint="99"/>
        </w:tcBorders>
      </w:tcPr>
    </w:tblStylePr>
    <w:tblStylePr w:type="firstCol">
      <w:rPr>
        <w:b/>
        <w:bCs/>
      </w:rPr>
    </w:tblStylePr>
    <w:tblStylePr w:type="lastCol">
      <w:rPr>
        <w:b/>
        <w:bCs/>
      </w:rPr>
    </w:tblStylePr>
  </w:style>
  <w:style w:type="table" w:styleId="GridTable1Light-Accent5">
    <w:name w:val="Grid Table 1 Light Accent 5"/>
    <w:basedOn w:val="TableNormal"/>
    <w:uiPriority w:val="46"/>
    <w:rsid w:val="000041AF"/>
    <w:pPr>
      <w:spacing w:after="0"/>
    </w:pPr>
    <w:tblPr>
      <w:tblStyleRowBandSize w:val="1"/>
      <w:tblStyleColBandSize w:val="1"/>
      <w:tblBorders>
        <w:top w:val="single" w:sz="4" w:space="0" w:color="BDD6EE" w:themeColor="accent5" w:themeTint="66"/>
        <w:left w:val="single" w:sz="4" w:space="0" w:color="BDD6EE" w:themeColor="accent5" w:themeTint="66"/>
        <w:bottom w:val="single" w:sz="4" w:space="0" w:color="BDD6EE" w:themeColor="accent5" w:themeTint="66"/>
        <w:right w:val="single" w:sz="4" w:space="0" w:color="BDD6EE" w:themeColor="accent5" w:themeTint="66"/>
        <w:insideH w:val="single" w:sz="4" w:space="0" w:color="BDD6EE" w:themeColor="accent5" w:themeTint="66"/>
        <w:insideV w:val="single" w:sz="4" w:space="0" w:color="BDD6EE" w:themeColor="accent5" w:themeTint="66"/>
      </w:tblBorders>
    </w:tblPr>
    <w:tblStylePr w:type="firstRow">
      <w:rPr>
        <w:b/>
        <w:bCs/>
      </w:rPr>
      <w:tblPr/>
      <w:tcPr>
        <w:tcBorders>
          <w:bottom w:val="single" w:sz="12" w:space="0" w:color="9CC2E5" w:themeColor="accent5" w:themeTint="99"/>
        </w:tcBorders>
      </w:tcPr>
    </w:tblStylePr>
    <w:tblStylePr w:type="lastRow">
      <w:rPr>
        <w:b/>
        <w:bCs/>
      </w:rPr>
      <w:tblPr/>
      <w:tcPr>
        <w:tcBorders>
          <w:top w:val="double" w:sz="2" w:space="0" w:color="9CC2E5" w:themeColor="accent5" w:themeTint="99"/>
        </w:tcBorders>
      </w:tcPr>
    </w:tblStylePr>
    <w:tblStylePr w:type="firstCol">
      <w:rPr>
        <w:b/>
        <w:bCs/>
      </w:rPr>
    </w:tblStylePr>
    <w:tblStylePr w:type="lastCol">
      <w:rPr>
        <w:b/>
        <w:bCs/>
      </w:rPr>
    </w:tblStylePr>
  </w:style>
  <w:style w:type="table" w:styleId="GridTable1Light-Accent6">
    <w:name w:val="Grid Table 1 Light Accent 6"/>
    <w:basedOn w:val="TableNormal"/>
    <w:uiPriority w:val="46"/>
    <w:rsid w:val="000041AF"/>
    <w:pPr>
      <w:spacing w:after="0"/>
    </w:pPr>
    <w:tblPr>
      <w:tblStyleRowBandSize w:val="1"/>
      <w:tblStyleColBandSize w:val="1"/>
      <w:tblBorders>
        <w:top w:val="single" w:sz="4" w:space="0" w:color="C5E0B3" w:themeColor="accent6" w:themeTint="66"/>
        <w:left w:val="single" w:sz="4" w:space="0" w:color="C5E0B3" w:themeColor="accent6" w:themeTint="66"/>
        <w:bottom w:val="single" w:sz="4" w:space="0" w:color="C5E0B3" w:themeColor="accent6" w:themeTint="66"/>
        <w:right w:val="single" w:sz="4" w:space="0" w:color="C5E0B3" w:themeColor="accent6" w:themeTint="66"/>
        <w:insideH w:val="single" w:sz="4" w:space="0" w:color="C5E0B3" w:themeColor="accent6" w:themeTint="66"/>
        <w:insideV w:val="single" w:sz="4" w:space="0" w:color="C5E0B3" w:themeColor="accent6" w:themeTint="66"/>
      </w:tblBorders>
    </w:tblPr>
    <w:tblStylePr w:type="firstRow">
      <w:rPr>
        <w:b/>
        <w:bCs/>
      </w:rPr>
      <w:tblPr/>
      <w:tcPr>
        <w:tcBorders>
          <w:bottom w:val="single" w:sz="12" w:space="0" w:color="A8D08D" w:themeColor="accent6" w:themeTint="99"/>
        </w:tcBorders>
      </w:tcPr>
    </w:tblStylePr>
    <w:tblStylePr w:type="lastRow">
      <w:rPr>
        <w:b/>
        <w:bCs/>
      </w:rPr>
      <w:tblPr/>
      <w:tcPr>
        <w:tcBorders>
          <w:top w:val="double" w:sz="2" w:space="0" w:color="A8D08D" w:themeColor="accent6" w:themeTint="99"/>
        </w:tcBorders>
      </w:tcPr>
    </w:tblStylePr>
    <w:tblStylePr w:type="firstCol">
      <w:rPr>
        <w:b/>
        <w:bCs/>
      </w:rPr>
    </w:tblStylePr>
    <w:tblStylePr w:type="lastCol">
      <w:rPr>
        <w:b/>
        <w:bCs/>
      </w:rPr>
    </w:tblStylePr>
  </w:style>
  <w:style w:type="table" w:styleId="GridTable2">
    <w:name w:val="Grid Table 2"/>
    <w:basedOn w:val="TableNormal"/>
    <w:uiPriority w:val="47"/>
    <w:rsid w:val="000041AF"/>
    <w:pPr>
      <w:spacing w:after="0"/>
    </w:pPr>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2-Accent1">
    <w:name w:val="Grid Table 2 Accent 1"/>
    <w:basedOn w:val="TableNormal"/>
    <w:uiPriority w:val="47"/>
    <w:rsid w:val="000041AF"/>
    <w:pPr>
      <w:spacing w:after="0"/>
    </w:pPr>
    <w:tblPr>
      <w:tblStyleRowBandSize w:val="1"/>
      <w:tblStyleColBandSize w:val="1"/>
      <w:tblBorders>
        <w:top w:val="single" w:sz="2" w:space="0" w:color="8EAADB" w:themeColor="accent1" w:themeTint="99"/>
        <w:bottom w:val="single" w:sz="2" w:space="0" w:color="8EAADB" w:themeColor="accent1" w:themeTint="99"/>
        <w:insideH w:val="single" w:sz="2" w:space="0" w:color="8EAADB" w:themeColor="accent1" w:themeTint="99"/>
        <w:insideV w:val="single" w:sz="2" w:space="0" w:color="8EAADB" w:themeColor="accent1" w:themeTint="99"/>
      </w:tblBorders>
    </w:tblPr>
    <w:tblStylePr w:type="firstRow">
      <w:rPr>
        <w:b/>
        <w:bCs/>
      </w:rPr>
      <w:tblPr/>
      <w:tcPr>
        <w:tcBorders>
          <w:top w:val="nil"/>
          <w:bottom w:val="single" w:sz="12" w:space="0" w:color="8EAADB" w:themeColor="accent1" w:themeTint="99"/>
          <w:insideH w:val="nil"/>
          <w:insideV w:val="nil"/>
        </w:tcBorders>
        <w:shd w:val="clear" w:color="auto" w:fill="FFFFFF" w:themeFill="background1"/>
      </w:tcPr>
    </w:tblStylePr>
    <w:tblStylePr w:type="lastRow">
      <w:rPr>
        <w:b/>
        <w:bCs/>
      </w:rPr>
      <w:tblPr/>
      <w:tcPr>
        <w:tcBorders>
          <w:top w:val="double" w:sz="2" w:space="0" w:color="8EAADB"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GridTable2-Accent2">
    <w:name w:val="Grid Table 2 Accent 2"/>
    <w:basedOn w:val="TableNormal"/>
    <w:uiPriority w:val="47"/>
    <w:rsid w:val="000041AF"/>
    <w:pPr>
      <w:spacing w:after="0"/>
    </w:pPr>
    <w:tblPr>
      <w:tblStyleRowBandSize w:val="1"/>
      <w:tblStyleColBandSize w:val="1"/>
      <w:tblBorders>
        <w:top w:val="single" w:sz="2" w:space="0" w:color="F4B083" w:themeColor="accent2" w:themeTint="99"/>
        <w:bottom w:val="single" w:sz="2" w:space="0" w:color="F4B083" w:themeColor="accent2" w:themeTint="99"/>
        <w:insideH w:val="single" w:sz="2" w:space="0" w:color="F4B083" w:themeColor="accent2" w:themeTint="99"/>
        <w:insideV w:val="single" w:sz="2" w:space="0" w:color="F4B083" w:themeColor="accent2" w:themeTint="99"/>
      </w:tblBorders>
    </w:tblPr>
    <w:tblStylePr w:type="firstRow">
      <w:rPr>
        <w:b/>
        <w:bCs/>
      </w:rPr>
      <w:tblPr/>
      <w:tcPr>
        <w:tcBorders>
          <w:top w:val="nil"/>
          <w:bottom w:val="single" w:sz="12" w:space="0" w:color="F4B083" w:themeColor="accent2" w:themeTint="99"/>
          <w:insideH w:val="nil"/>
          <w:insideV w:val="nil"/>
        </w:tcBorders>
        <w:shd w:val="clear" w:color="auto" w:fill="FFFFFF" w:themeFill="background1"/>
      </w:tcPr>
    </w:tblStylePr>
    <w:tblStylePr w:type="lastRow">
      <w:rPr>
        <w:b/>
        <w:bCs/>
      </w:rPr>
      <w:tblPr/>
      <w:tcPr>
        <w:tcBorders>
          <w:top w:val="double" w:sz="2" w:space="0" w:color="F4B083"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GridTable2-Accent3">
    <w:name w:val="Grid Table 2 Accent 3"/>
    <w:basedOn w:val="TableNormal"/>
    <w:uiPriority w:val="47"/>
    <w:rsid w:val="000041AF"/>
    <w:pPr>
      <w:spacing w:after="0"/>
    </w:pPr>
    <w:tblPr>
      <w:tblStyleRowBandSize w:val="1"/>
      <w:tblStyleColBandSize w:val="1"/>
      <w:tblBorders>
        <w:top w:val="single" w:sz="2" w:space="0" w:color="C9C9C9" w:themeColor="accent3" w:themeTint="99"/>
        <w:bottom w:val="single" w:sz="2" w:space="0" w:color="C9C9C9" w:themeColor="accent3" w:themeTint="99"/>
        <w:insideH w:val="single" w:sz="2" w:space="0" w:color="C9C9C9" w:themeColor="accent3" w:themeTint="99"/>
        <w:insideV w:val="single" w:sz="2" w:space="0" w:color="C9C9C9" w:themeColor="accent3" w:themeTint="99"/>
      </w:tblBorders>
    </w:tblPr>
    <w:tblStylePr w:type="firstRow">
      <w:rPr>
        <w:b/>
        <w:bCs/>
      </w:rPr>
      <w:tblPr/>
      <w:tcPr>
        <w:tcBorders>
          <w:top w:val="nil"/>
          <w:bottom w:val="single" w:sz="12" w:space="0" w:color="C9C9C9" w:themeColor="accent3" w:themeTint="99"/>
          <w:insideH w:val="nil"/>
          <w:insideV w:val="nil"/>
        </w:tcBorders>
        <w:shd w:val="clear" w:color="auto" w:fill="FFFFFF" w:themeFill="background1"/>
      </w:tcPr>
    </w:tblStylePr>
    <w:tblStylePr w:type="lastRow">
      <w:rPr>
        <w:b/>
        <w:bCs/>
      </w:rPr>
      <w:tblPr/>
      <w:tcPr>
        <w:tcBorders>
          <w:top w:val="double" w:sz="2" w:space="0" w:color="C9C9C9"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GridTable2-Accent4">
    <w:name w:val="Grid Table 2 Accent 4"/>
    <w:basedOn w:val="TableNormal"/>
    <w:uiPriority w:val="47"/>
    <w:rsid w:val="000041AF"/>
    <w:pPr>
      <w:spacing w:after="0"/>
    </w:pPr>
    <w:tblPr>
      <w:tblStyleRowBandSize w:val="1"/>
      <w:tblStyleColBandSize w:val="1"/>
      <w:tblBorders>
        <w:top w:val="single" w:sz="2" w:space="0" w:color="FFD966" w:themeColor="accent4" w:themeTint="99"/>
        <w:bottom w:val="single" w:sz="2" w:space="0" w:color="FFD966" w:themeColor="accent4" w:themeTint="99"/>
        <w:insideH w:val="single" w:sz="2" w:space="0" w:color="FFD966" w:themeColor="accent4" w:themeTint="99"/>
        <w:insideV w:val="single" w:sz="2" w:space="0" w:color="FFD966" w:themeColor="accent4" w:themeTint="99"/>
      </w:tblBorders>
    </w:tblPr>
    <w:tblStylePr w:type="firstRow">
      <w:rPr>
        <w:b/>
        <w:bCs/>
      </w:rPr>
      <w:tblPr/>
      <w:tcPr>
        <w:tcBorders>
          <w:top w:val="nil"/>
          <w:bottom w:val="single" w:sz="12" w:space="0" w:color="FFD966" w:themeColor="accent4" w:themeTint="99"/>
          <w:insideH w:val="nil"/>
          <w:insideV w:val="nil"/>
        </w:tcBorders>
        <w:shd w:val="clear" w:color="auto" w:fill="FFFFFF" w:themeFill="background1"/>
      </w:tcPr>
    </w:tblStylePr>
    <w:tblStylePr w:type="lastRow">
      <w:rPr>
        <w:b/>
        <w:bCs/>
      </w:rPr>
      <w:tblPr/>
      <w:tcPr>
        <w:tcBorders>
          <w:top w:val="double" w:sz="2" w:space="0" w:color="FFD966"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GridTable2-Accent5">
    <w:name w:val="Grid Table 2 Accent 5"/>
    <w:basedOn w:val="TableNormal"/>
    <w:uiPriority w:val="47"/>
    <w:rsid w:val="000041AF"/>
    <w:pPr>
      <w:spacing w:after="0"/>
    </w:pPr>
    <w:tblPr>
      <w:tblStyleRowBandSize w:val="1"/>
      <w:tblStyleColBandSize w:val="1"/>
      <w:tblBorders>
        <w:top w:val="single" w:sz="2" w:space="0" w:color="9CC2E5" w:themeColor="accent5" w:themeTint="99"/>
        <w:bottom w:val="single" w:sz="2" w:space="0" w:color="9CC2E5" w:themeColor="accent5" w:themeTint="99"/>
        <w:insideH w:val="single" w:sz="2" w:space="0" w:color="9CC2E5" w:themeColor="accent5" w:themeTint="99"/>
        <w:insideV w:val="single" w:sz="2" w:space="0" w:color="9CC2E5" w:themeColor="accent5" w:themeTint="99"/>
      </w:tblBorders>
    </w:tblPr>
    <w:tblStylePr w:type="firstRow">
      <w:rPr>
        <w:b/>
        <w:bCs/>
      </w:rPr>
      <w:tblPr/>
      <w:tcPr>
        <w:tcBorders>
          <w:top w:val="nil"/>
          <w:bottom w:val="single" w:sz="12" w:space="0" w:color="9CC2E5" w:themeColor="accent5" w:themeTint="99"/>
          <w:insideH w:val="nil"/>
          <w:insideV w:val="nil"/>
        </w:tcBorders>
        <w:shd w:val="clear" w:color="auto" w:fill="FFFFFF" w:themeFill="background1"/>
      </w:tcPr>
    </w:tblStylePr>
    <w:tblStylePr w:type="lastRow">
      <w:rPr>
        <w:b/>
        <w:bCs/>
      </w:rPr>
      <w:tblPr/>
      <w:tcPr>
        <w:tcBorders>
          <w:top w:val="double" w:sz="2" w:space="0" w:color="9CC2E5"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GridTable2-Accent6">
    <w:name w:val="Grid Table 2 Accent 6"/>
    <w:basedOn w:val="TableNormal"/>
    <w:uiPriority w:val="47"/>
    <w:rsid w:val="000041AF"/>
    <w:pPr>
      <w:spacing w:after="0"/>
    </w:pPr>
    <w:tblPr>
      <w:tblStyleRowBandSize w:val="1"/>
      <w:tblStyleColBandSize w:val="1"/>
      <w:tblBorders>
        <w:top w:val="single" w:sz="2" w:space="0" w:color="A8D08D" w:themeColor="accent6" w:themeTint="99"/>
        <w:bottom w:val="single" w:sz="2" w:space="0" w:color="A8D08D" w:themeColor="accent6" w:themeTint="99"/>
        <w:insideH w:val="single" w:sz="2" w:space="0" w:color="A8D08D" w:themeColor="accent6" w:themeTint="99"/>
        <w:insideV w:val="single" w:sz="2" w:space="0" w:color="A8D08D" w:themeColor="accent6" w:themeTint="99"/>
      </w:tblBorders>
    </w:tblPr>
    <w:tblStylePr w:type="firstRow">
      <w:rPr>
        <w:b/>
        <w:bCs/>
      </w:rPr>
      <w:tblPr/>
      <w:tcPr>
        <w:tcBorders>
          <w:top w:val="nil"/>
          <w:bottom w:val="single" w:sz="12" w:space="0" w:color="A8D08D" w:themeColor="accent6" w:themeTint="99"/>
          <w:insideH w:val="nil"/>
          <w:insideV w:val="nil"/>
        </w:tcBorders>
        <w:shd w:val="clear" w:color="auto" w:fill="FFFFFF" w:themeFill="background1"/>
      </w:tcPr>
    </w:tblStylePr>
    <w:tblStylePr w:type="lastRow">
      <w:rPr>
        <w:b/>
        <w:bCs/>
      </w:rPr>
      <w:tblPr/>
      <w:tcPr>
        <w:tcBorders>
          <w:top w:val="double" w:sz="2" w:space="0" w:color="A8D08D"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GridTable3">
    <w:name w:val="Grid Table 3"/>
    <w:basedOn w:val="TableNormal"/>
    <w:uiPriority w:val="48"/>
    <w:rsid w:val="000041AF"/>
    <w:pPr>
      <w:spacing w:after="0"/>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3-Accent1">
    <w:name w:val="Grid Table 3 Accent 1"/>
    <w:basedOn w:val="TableNormal"/>
    <w:uiPriority w:val="48"/>
    <w:rsid w:val="000041AF"/>
    <w:pPr>
      <w:spacing w:after="0"/>
    </w:p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E2F3" w:themeFill="accent1" w:themeFillTint="33"/>
      </w:tcPr>
    </w:tblStylePr>
    <w:tblStylePr w:type="band1Horz">
      <w:tblPr/>
      <w:tcPr>
        <w:shd w:val="clear" w:color="auto" w:fill="D9E2F3" w:themeFill="accent1" w:themeFillTint="33"/>
      </w:tcPr>
    </w:tblStylePr>
    <w:tblStylePr w:type="neCell">
      <w:tblPr/>
      <w:tcPr>
        <w:tcBorders>
          <w:bottom w:val="single" w:sz="4" w:space="0" w:color="8EAADB" w:themeColor="accent1" w:themeTint="99"/>
        </w:tcBorders>
      </w:tcPr>
    </w:tblStylePr>
    <w:tblStylePr w:type="nwCell">
      <w:tblPr/>
      <w:tcPr>
        <w:tcBorders>
          <w:bottom w:val="single" w:sz="4" w:space="0" w:color="8EAADB" w:themeColor="accent1" w:themeTint="99"/>
        </w:tcBorders>
      </w:tcPr>
    </w:tblStylePr>
    <w:tblStylePr w:type="seCell">
      <w:tblPr/>
      <w:tcPr>
        <w:tcBorders>
          <w:top w:val="single" w:sz="4" w:space="0" w:color="8EAADB" w:themeColor="accent1" w:themeTint="99"/>
        </w:tcBorders>
      </w:tcPr>
    </w:tblStylePr>
    <w:tblStylePr w:type="swCell">
      <w:tblPr/>
      <w:tcPr>
        <w:tcBorders>
          <w:top w:val="single" w:sz="4" w:space="0" w:color="8EAADB" w:themeColor="accent1" w:themeTint="99"/>
        </w:tcBorders>
      </w:tcPr>
    </w:tblStylePr>
  </w:style>
  <w:style w:type="table" w:styleId="GridTable3-Accent2">
    <w:name w:val="Grid Table 3 Accent 2"/>
    <w:basedOn w:val="TableNormal"/>
    <w:uiPriority w:val="48"/>
    <w:rsid w:val="000041AF"/>
    <w:pPr>
      <w:spacing w:after="0"/>
    </w:p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BE4D5" w:themeFill="accent2" w:themeFillTint="33"/>
      </w:tcPr>
    </w:tblStylePr>
    <w:tblStylePr w:type="band1Horz">
      <w:tblPr/>
      <w:tcPr>
        <w:shd w:val="clear" w:color="auto" w:fill="FBE4D5" w:themeFill="accent2" w:themeFillTint="33"/>
      </w:tcPr>
    </w:tblStylePr>
    <w:tblStylePr w:type="neCell">
      <w:tblPr/>
      <w:tcPr>
        <w:tcBorders>
          <w:bottom w:val="single" w:sz="4" w:space="0" w:color="F4B083" w:themeColor="accent2" w:themeTint="99"/>
        </w:tcBorders>
      </w:tcPr>
    </w:tblStylePr>
    <w:tblStylePr w:type="nwCell">
      <w:tblPr/>
      <w:tcPr>
        <w:tcBorders>
          <w:bottom w:val="single" w:sz="4" w:space="0" w:color="F4B083" w:themeColor="accent2" w:themeTint="99"/>
        </w:tcBorders>
      </w:tcPr>
    </w:tblStylePr>
    <w:tblStylePr w:type="seCell">
      <w:tblPr/>
      <w:tcPr>
        <w:tcBorders>
          <w:top w:val="single" w:sz="4" w:space="0" w:color="F4B083" w:themeColor="accent2" w:themeTint="99"/>
        </w:tcBorders>
      </w:tcPr>
    </w:tblStylePr>
    <w:tblStylePr w:type="swCell">
      <w:tblPr/>
      <w:tcPr>
        <w:tcBorders>
          <w:top w:val="single" w:sz="4" w:space="0" w:color="F4B083" w:themeColor="accent2" w:themeTint="99"/>
        </w:tcBorders>
      </w:tcPr>
    </w:tblStylePr>
  </w:style>
  <w:style w:type="table" w:styleId="GridTable3-Accent3">
    <w:name w:val="Grid Table 3 Accent 3"/>
    <w:basedOn w:val="TableNormal"/>
    <w:uiPriority w:val="48"/>
    <w:rsid w:val="000041AF"/>
    <w:pPr>
      <w:spacing w:after="0"/>
    </w:p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DEDED" w:themeFill="accent3" w:themeFillTint="33"/>
      </w:tcPr>
    </w:tblStylePr>
    <w:tblStylePr w:type="band1Horz">
      <w:tblPr/>
      <w:tcPr>
        <w:shd w:val="clear" w:color="auto" w:fill="EDEDED" w:themeFill="accent3" w:themeFillTint="33"/>
      </w:tcPr>
    </w:tblStylePr>
    <w:tblStylePr w:type="neCell">
      <w:tblPr/>
      <w:tcPr>
        <w:tcBorders>
          <w:bottom w:val="single" w:sz="4" w:space="0" w:color="C9C9C9" w:themeColor="accent3" w:themeTint="99"/>
        </w:tcBorders>
      </w:tcPr>
    </w:tblStylePr>
    <w:tblStylePr w:type="nwCell">
      <w:tblPr/>
      <w:tcPr>
        <w:tcBorders>
          <w:bottom w:val="single" w:sz="4" w:space="0" w:color="C9C9C9" w:themeColor="accent3" w:themeTint="99"/>
        </w:tcBorders>
      </w:tcPr>
    </w:tblStylePr>
    <w:tblStylePr w:type="seCell">
      <w:tblPr/>
      <w:tcPr>
        <w:tcBorders>
          <w:top w:val="single" w:sz="4" w:space="0" w:color="C9C9C9" w:themeColor="accent3" w:themeTint="99"/>
        </w:tcBorders>
      </w:tcPr>
    </w:tblStylePr>
    <w:tblStylePr w:type="swCell">
      <w:tblPr/>
      <w:tcPr>
        <w:tcBorders>
          <w:top w:val="single" w:sz="4" w:space="0" w:color="C9C9C9" w:themeColor="accent3" w:themeTint="99"/>
        </w:tcBorders>
      </w:tcPr>
    </w:tblStylePr>
  </w:style>
  <w:style w:type="table" w:styleId="GridTable3-Accent4">
    <w:name w:val="Grid Table 3 Accent 4"/>
    <w:basedOn w:val="TableNormal"/>
    <w:uiPriority w:val="48"/>
    <w:rsid w:val="000041AF"/>
    <w:pPr>
      <w:spacing w:after="0"/>
    </w:p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F2CC" w:themeFill="accent4" w:themeFillTint="33"/>
      </w:tcPr>
    </w:tblStylePr>
    <w:tblStylePr w:type="band1Horz">
      <w:tblPr/>
      <w:tcPr>
        <w:shd w:val="clear" w:color="auto" w:fill="FFF2CC" w:themeFill="accent4" w:themeFillTint="33"/>
      </w:tcPr>
    </w:tblStylePr>
    <w:tblStylePr w:type="neCell">
      <w:tblPr/>
      <w:tcPr>
        <w:tcBorders>
          <w:bottom w:val="single" w:sz="4" w:space="0" w:color="FFD966" w:themeColor="accent4" w:themeTint="99"/>
        </w:tcBorders>
      </w:tcPr>
    </w:tblStylePr>
    <w:tblStylePr w:type="nwCell">
      <w:tblPr/>
      <w:tcPr>
        <w:tcBorders>
          <w:bottom w:val="single" w:sz="4" w:space="0" w:color="FFD966" w:themeColor="accent4" w:themeTint="99"/>
        </w:tcBorders>
      </w:tcPr>
    </w:tblStylePr>
    <w:tblStylePr w:type="seCell">
      <w:tblPr/>
      <w:tcPr>
        <w:tcBorders>
          <w:top w:val="single" w:sz="4" w:space="0" w:color="FFD966" w:themeColor="accent4" w:themeTint="99"/>
        </w:tcBorders>
      </w:tcPr>
    </w:tblStylePr>
    <w:tblStylePr w:type="swCell">
      <w:tblPr/>
      <w:tcPr>
        <w:tcBorders>
          <w:top w:val="single" w:sz="4" w:space="0" w:color="FFD966" w:themeColor="accent4" w:themeTint="99"/>
        </w:tcBorders>
      </w:tcPr>
    </w:tblStylePr>
  </w:style>
  <w:style w:type="table" w:styleId="GridTable3-Accent5">
    <w:name w:val="Grid Table 3 Accent 5"/>
    <w:basedOn w:val="TableNormal"/>
    <w:uiPriority w:val="48"/>
    <w:rsid w:val="000041AF"/>
    <w:pPr>
      <w:spacing w:after="0"/>
    </w:p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EEAF6" w:themeFill="accent5" w:themeFillTint="33"/>
      </w:tcPr>
    </w:tblStylePr>
    <w:tblStylePr w:type="band1Horz">
      <w:tblPr/>
      <w:tcPr>
        <w:shd w:val="clear" w:color="auto" w:fill="DEEAF6" w:themeFill="accent5" w:themeFillTint="33"/>
      </w:tcPr>
    </w:tblStylePr>
    <w:tblStylePr w:type="neCell">
      <w:tblPr/>
      <w:tcPr>
        <w:tcBorders>
          <w:bottom w:val="single" w:sz="4" w:space="0" w:color="9CC2E5" w:themeColor="accent5" w:themeTint="99"/>
        </w:tcBorders>
      </w:tcPr>
    </w:tblStylePr>
    <w:tblStylePr w:type="nwCell">
      <w:tblPr/>
      <w:tcPr>
        <w:tcBorders>
          <w:bottom w:val="single" w:sz="4" w:space="0" w:color="9CC2E5" w:themeColor="accent5" w:themeTint="99"/>
        </w:tcBorders>
      </w:tcPr>
    </w:tblStylePr>
    <w:tblStylePr w:type="seCell">
      <w:tblPr/>
      <w:tcPr>
        <w:tcBorders>
          <w:top w:val="single" w:sz="4" w:space="0" w:color="9CC2E5" w:themeColor="accent5" w:themeTint="99"/>
        </w:tcBorders>
      </w:tcPr>
    </w:tblStylePr>
    <w:tblStylePr w:type="swCell">
      <w:tblPr/>
      <w:tcPr>
        <w:tcBorders>
          <w:top w:val="single" w:sz="4" w:space="0" w:color="9CC2E5" w:themeColor="accent5" w:themeTint="99"/>
        </w:tcBorders>
      </w:tcPr>
    </w:tblStylePr>
  </w:style>
  <w:style w:type="table" w:styleId="GridTable3-Accent6">
    <w:name w:val="Grid Table 3 Accent 6"/>
    <w:basedOn w:val="TableNormal"/>
    <w:uiPriority w:val="48"/>
    <w:rsid w:val="000041AF"/>
    <w:pPr>
      <w:spacing w:after="0"/>
    </w:p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2EFD9" w:themeFill="accent6" w:themeFillTint="33"/>
      </w:tcPr>
    </w:tblStylePr>
    <w:tblStylePr w:type="band1Horz">
      <w:tblPr/>
      <w:tcPr>
        <w:shd w:val="clear" w:color="auto" w:fill="E2EFD9" w:themeFill="accent6" w:themeFillTint="33"/>
      </w:tcPr>
    </w:tblStylePr>
    <w:tblStylePr w:type="neCell">
      <w:tblPr/>
      <w:tcPr>
        <w:tcBorders>
          <w:bottom w:val="single" w:sz="4" w:space="0" w:color="A8D08D" w:themeColor="accent6" w:themeTint="99"/>
        </w:tcBorders>
      </w:tcPr>
    </w:tblStylePr>
    <w:tblStylePr w:type="nwCell">
      <w:tblPr/>
      <w:tcPr>
        <w:tcBorders>
          <w:bottom w:val="single" w:sz="4" w:space="0" w:color="A8D08D" w:themeColor="accent6" w:themeTint="99"/>
        </w:tcBorders>
      </w:tcPr>
    </w:tblStylePr>
    <w:tblStylePr w:type="seCell">
      <w:tblPr/>
      <w:tcPr>
        <w:tcBorders>
          <w:top w:val="single" w:sz="4" w:space="0" w:color="A8D08D" w:themeColor="accent6" w:themeTint="99"/>
        </w:tcBorders>
      </w:tcPr>
    </w:tblStylePr>
    <w:tblStylePr w:type="swCell">
      <w:tblPr/>
      <w:tcPr>
        <w:tcBorders>
          <w:top w:val="single" w:sz="4" w:space="0" w:color="A8D08D" w:themeColor="accent6" w:themeTint="99"/>
        </w:tcBorders>
      </w:tcPr>
    </w:tblStylePr>
  </w:style>
  <w:style w:type="table" w:styleId="GridTable4">
    <w:name w:val="Grid Table 4"/>
    <w:basedOn w:val="TableNormal"/>
    <w:uiPriority w:val="49"/>
    <w:rsid w:val="000041AF"/>
    <w:pPr>
      <w:spacing w:after="0"/>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4-Accent1">
    <w:name w:val="Grid Table 4 Accent 1"/>
    <w:basedOn w:val="TableNormal"/>
    <w:uiPriority w:val="49"/>
    <w:rsid w:val="000041AF"/>
    <w:pPr>
      <w:spacing w:after="0"/>
    </w:p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color w:val="FFFFFF" w:themeColor="background1"/>
      </w:rPr>
      <w:tblPr/>
      <w:tcPr>
        <w:tcBorders>
          <w:top w:val="single" w:sz="4" w:space="0" w:color="4472C4" w:themeColor="accent1"/>
          <w:left w:val="single" w:sz="4" w:space="0" w:color="4472C4" w:themeColor="accent1"/>
          <w:bottom w:val="single" w:sz="4" w:space="0" w:color="4472C4" w:themeColor="accent1"/>
          <w:right w:val="single" w:sz="4" w:space="0" w:color="4472C4" w:themeColor="accent1"/>
          <w:insideH w:val="nil"/>
          <w:insideV w:val="nil"/>
        </w:tcBorders>
        <w:shd w:val="clear" w:color="auto" w:fill="4472C4" w:themeFill="accent1"/>
      </w:tcPr>
    </w:tblStylePr>
    <w:tblStylePr w:type="lastRow">
      <w:rPr>
        <w:b/>
        <w:bCs/>
      </w:rPr>
      <w:tblPr/>
      <w:tcPr>
        <w:tcBorders>
          <w:top w:val="double" w:sz="4" w:space="0" w:color="4472C4" w:themeColor="accent1"/>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GridTable4-Accent2">
    <w:name w:val="Grid Table 4 Accent 2"/>
    <w:basedOn w:val="TableNormal"/>
    <w:uiPriority w:val="49"/>
    <w:rsid w:val="000041AF"/>
    <w:pPr>
      <w:spacing w:after="0"/>
    </w:p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color w:val="FFFFFF" w:themeColor="background1"/>
      </w:rPr>
      <w:tblPr/>
      <w:tcPr>
        <w:tcBorders>
          <w:top w:val="single" w:sz="4" w:space="0" w:color="ED7D31" w:themeColor="accent2"/>
          <w:left w:val="single" w:sz="4" w:space="0" w:color="ED7D31" w:themeColor="accent2"/>
          <w:bottom w:val="single" w:sz="4" w:space="0" w:color="ED7D31" w:themeColor="accent2"/>
          <w:right w:val="single" w:sz="4" w:space="0" w:color="ED7D31" w:themeColor="accent2"/>
          <w:insideH w:val="nil"/>
          <w:insideV w:val="nil"/>
        </w:tcBorders>
        <w:shd w:val="clear" w:color="auto" w:fill="ED7D31" w:themeFill="accent2"/>
      </w:tcPr>
    </w:tblStylePr>
    <w:tblStylePr w:type="lastRow">
      <w:rPr>
        <w:b/>
        <w:bCs/>
      </w:rPr>
      <w:tblPr/>
      <w:tcPr>
        <w:tcBorders>
          <w:top w:val="double" w:sz="4" w:space="0" w:color="ED7D31" w:themeColor="accent2"/>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GridTable4-Accent3">
    <w:name w:val="Grid Table 4 Accent 3"/>
    <w:basedOn w:val="TableNormal"/>
    <w:uiPriority w:val="49"/>
    <w:rsid w:val="000041AF"/>
    <w:pPr>
      <w:spacing w:after="0"/>
    </w:p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color w:val="FFFFFF" w:themeColor="background1"/>
      </w:rPr>
      <w:tblPr/>
      <w:tcPr>
        <w:tcBorders>
          <w:top w:val="single" w:sz="4" w:space="0" w:color="A5A5A5" w:themeColor="accent3"/>
          <w:left w:val="single" w:sz="4" w:space="0" w:color="A5A5A5" w:themeColor="accent3"/>
          <w:bottom w:val="single" w:sz="4" w:space="0" w:color="A5A5A5" w:themeColor="accent3"/>
          <w:right w:val="single" w:sz="4" w:space="0" w:color="A5A5A5" w:themeColor="accent3"/>
          <w:insideH w:val="nil"/>
          <w:insideV w:val="nil"/>
        </w:tcBorders>
        <w:shd w:val="clear" w:color="auto" w:fill="A5A5A5" w:themeFill="accent3"/>
      </w:tcPr>
    </w:tblStylePr>
    <w:tblStylePr w:type="lastRow">
      <w:rPr>
        <w:b/>
        <w:bCs/>
      </w:rPr>
      <w:tblPr/>
      <w:tcPr>
        <w:tcBorders>
          <w:top w:val="double" w:sz="4" w:space="0" w:color="A5A5A5" w:themeColor="accent3"/>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GridTable4-Accent4">
    <w:name w:val="Grid Table 4 Accent 4"/>
    <w:basedOn w:val="TableNormal"/>
    <w:uiPriority w:val="49"/>
    <w:rsid w:val="000041AF"/>
    <w:pPr>
      <w:spacing w:after="0"/>
    </w:p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color w:val="FFFFFF" w:themeColor="background1"/>
      </w:rPr>
      <w:tblPr/>
      <w:tcPr>
        <w:tcBorders>
          <w:top w:val="single" w:sz="4" w:space="0" w:color="FFC000" w:themeColor="accent4"/>
          <w:left w:val="single" w:sz="4" w:space="0" w:color="FFC000" w:themeColor="accent4"/>
          <w:bottom w:val="single" w:sz="4" w:space="0" w:color="FFC000" w:themeColor="accent4"/>
          <w:right w:val="single" w:sz="4" w:space="0" w:color="FFC000" w:themeColor="accent4"/>
          <w:insideH w:val="nil"/>
          <w:insideV w:val="nil"/>
        </w:tcBorders>
        <w:shd w:val="clear" w:color="auto" w:fill="FFC000" w:themeFill="accent4"/>
      </w:tcPr>
    </w:tblStylePr>
    <w:tblStylePr w:type="lastRow">
      <w:rPr>
        <w:b/>
        <w:bCs/>
      </w:rPr>
      <w:tblPr/>
      <w:tcPr>
        <w:tcBorders>
          <w:top w:val="double" w:sz="4" w:space="0" w:color="FFC000" w:themeColor="accent4"/>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GridTable4-Accent5">
    <w:name w:val="Grid Table 4 Accent 5"/>
    <w:basedOn w:val="TableNormal"/>
    <w:uiPriority w:val="49"/>
    <w:rsid w:val="000041AF"/>
    <w:pPr>
      <w:spacing w:after="0"/>
    </w:p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bCs/>
        <w:color w:val="FFFFFF" w:themeColor="background1"/>
      </w:rPr>
      <w:tblPr/>
      <w:tcPr>
        <w:tcBorders>
          <w:top w:val="single" w:sz="4" w:space="0" w:color="5B9BD5" w:themeColor="accent5"/>
          <w:left w:val="single" w:sz="4" w:space="0" w:color="5B9BD5" w:themeColor="accent5"/>
          <w:bottom w:val="single" w:sz="4" w:space="0" w:color="5B9BD5" w:themeColor="accent5"/>
          <w:right w:val="single" w:sz="4" w:space="0" w:color="5B9BD5" w:themeColor="accent5"/>
          <w:insideH w:val="nil"/>
          <w:insideV w:val="nil"/>
        </w:tcBorders>
        <w:shd w:val="clear" w:color="auto" w:fill="5B9BD5" w:themeFill="accent5"/>
      </w:tcPr>
    </w:tblStylePr>
    <w:tblStylePr w:type="lastRow">
      <w:rPr>
        <w:b/>
        <w:bCs/>
      </w:rPr>
      <w:tblPr/>
      <w:tcPr>
        <w:tcBorders>
          <w:top w:val="double" w:sz="4" w:space="0" w:color="5B9BD5" w:themeColor="accent5"/>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GridTable4-Accent6">
    <w:name w:val="Grid Table 4 Accent 6"/>
    <w:basedOn w:val="TableNormal"/>
    <w:uiPriority w:val="49"/>
    <w:rsid w:val="000041AF"/>
    <w:pPr>
      <w:spacing w:after="0"/>
    </w:p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color w:val="FFFFFF" w:themeColor="background1"/>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insideH w:val="nil"/>
          <w:insideV w:val="nil"/>
        </w:tcBorders>
        <w:shd w:val="clear" w:color="auto" w:fill="70AD47" w:themeFill="accent6"/>
      </w:tcPr>
    </w:tblStylePr>
    <w:tblStylePr w:type="lastRow">
      <w:rPr>
        <w:b/>
        <w:bCs/>
      </w:rPr>
      <w:tblPr/>
      <w:tcPr>
        <w:tcBorders>
          <w:top w:val="double" w:sz="4" w:space="0" w:color="70AD47" w:themeColor="accent6"/>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GridTable5Dark">
    <w:name w:val="Grid Table 5 Dark"/>
    <w:basedOn w:val="TableNormal"/>
    <w:uiPriority w:val="50"/>
    <w:rsid w:val="000041AF"/>
    <w:pPr>
      <w:spacing w:after="0"/>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GridTable5Dark-Accent1">
    <w:name w:val="Grid Table 5 Dark Accent 1"/>
    <w:basedOn w:val="TableNormal"/>
    <w:uiPriority w:val="50"/>
    <w:rsid w:val="000041AF"/>
    <w:pPr>
      <w:spacing w:after="0"/>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9E2F3"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472C4"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472C4"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472C4"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472C4" w:themeFill="accent1"/>
      </w:tcPr>
    </w:tblStylePr>
    <w:tblStylePr w:type="band1Vert">
      <w:tblPr/>
      <w:tcPr>
        <w:shd w:val="clear" w:color="auto" w:fill="B4C6E7" w:themeFill="accent1" w:themeFillTint="66"/>
      </w:tcPr>
    </w:tblStylePr>
    <w:tblStylePr w:type="band1Horz">
      <w:tblPr/>
      <w:tcPr>
        <w:shd w:val="clear" w:color="auto" w:fill="B4C6E7" w:themeFill="accent1" w:themeFillTint="66"/>
      </w:tcPr>
    </w:tblStylePr>
  </w:style>
  <w:style w:type="table" w:styleId="GridTable5Dark-Accent2">
    <w:name w:val="Grid Table 5 Dark Accent 2"/>
    <w:basedOn w:val="TableNormal"/>
    <w:uiPriority w:val="50"/>
    <w:rsid w:val="000041AF"/>
    <w:pPr>
      <w:spacing w:after="0"/>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BE4D5"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ED7D31"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ED7D31"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ED7D31"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ED7D31" w:themeFill="accent2"/>
      </w:tcPr>
    </w:tblStylePr>
    <w:tblStylePr w:type="band1Vert">
      <w:tblPr/>
      <w:tcPr>
        <w:shd w:val="clear" w:color="auto" w:fill="F7CAAC" w:themeFill="accent2" w:themeFillTint="66"/>
      </w:tcPr>
    </w:tblStylePr>
    <w:tblStylePr w:type="band1Horz">
      <w:tblPr/>
      <w:tcPr>
        <w:shd w:val="clear" w:color="auto" w:fill="F7CAAC" w:themeFill="accent2" w:themeFillTint="66"/>
      </w:tcPr>
    </w:tblStylePr>
  </w:style>
  <w:style w:type="table" w:styleId="GridTable5Dark-Accent3">
    <w:name w:val="Grid Table 5 Dark Accent 3"/>
    <w:basedOn w:val="TableNormal"/>
    <w:uiPriority w:val="50"/>
    <w:rsid w:val="000041AF"/>
    <w:pPr>
      <w:spacing w:after="0"/>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DEDE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A5A5A5"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A5A5A5"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A5A5A5"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A5A5A5" w:themeFill="accent3"/>
      </w:tcPr>
    </w:tblStylePr>
    <w:tblStylePr w:type="band1Vert">
      <w:tblPr/>
      <w:tcPr>
        <w:shd w:val="clear" w:color="auto" w:fill="DBDBDB" w:themeFill="accent3" w:themeFillTint="66"/>
      </w:tcPr>
    </w:tblStylePr>
    <w:tblStylePr w:type="band1Horz">
      <w:tblPr/>
      <w:tcPr>
        <w:shd w:val="clear" w:color="auto" w:fill="DBDBDB" w:themeFill="accent3" w:themeFillTint="66"/>
      </w:tcPr>
    </w:tblStylePr>
  </w:style>
  <w:style w:type="table" w:styleId="GridTable5Dark-Accent4">
    <w:name w:val="Grid Table 5 Dark Accent 4"/>
    <w:basedOn w:val="TableNormal"/>
    <w:uiPriority w:val="50"/>
    <w:rsid w:val="000041AF"/>
    <w:pPr>
      <w:spacing w:after="0"/>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FF2CC"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FFC000"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FFC000"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FFC000"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FFC000" w:themeFill="accent4"/>
      </w:tcPr>
    </w:tblStylePr>
    <w:tblStylePr w:type="band1Vert">
      <w:tblPr/>
      <w:tcPr>
        <w:shd w:val="clear" w:color="auto" w:fill="FFE599" w:themeFill="accent4" w:themeFillTint="66"/>
      </w:tcPr>
    </w:tblStylePr>
    <w:tblStylePr w:type="band1Horz">
      <w:tblPr/>
      <w:tcPr>
        <w:shd w:val="clear" w:color="auto" w:fill="FFE599" w:themeFill="accent4" w:themeFillTint="66"/>
      </w:tcPr>
    </w:tblStylePr>
  </w:style>
  <w:style w:type="table" w:styleId="GridTable5Dark-Accent5">
    <w:name w:val="Grid Table 5 Dark Accent 5"/>
    <w:basedOn w:val="TableNormal"/>
    <w:uiPriority w:val="50"/>
    <w:rsid w:val="000041AF"/>
    <w:pPr>
      <w:spacing w:after="0"/>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EEAF6"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B9BD5"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B9BD5"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B9BD5"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B9BD5" w:themeFill="accent5"/>
      </w:tcPr>
    </w:tblStylePr>
    <w:tblStylePr w:type="band1Vert">
      <w:tblPr/>
      <w:tcPr>
        <w:shd w:val="clear" w:color="auto" w:fill="BDD6EE" w:themeFill="accent5" w:themeFillTint="66"/>
      </w:tcPr>
    </w:tblStylePr>
    <w:tblStylePr w:type="band1Horz">
      <w:tblPr/>
      <w:tcPr>
        <w:shd w:val="clear" w:color="auto" w:fill="BDD6EE" w:themeFill="accent5" w:themeFillTint="66"/>
      </w:tcPr>
    </w:tblStylePr>
  </w:style>
  <w:style w:type="table" w:styleId="GridTable5Dark-Accent6">
    <w:name w:val="Grid Table 5 Dark Accent 6"/>
    <w:basedOn w:val="TableNormal"/>
    <w:uiPriority w:val="50"/>
    <w:rsid w:val="000041AF"/>
    <w:pPr>
      <w:spacing w:after="0"/>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2EFD9"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70AD47"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70AD47"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70AD47"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70AD47" w:themeFill="accent6"/>
      </w:tcPr>
    </w:tblStylePr>
    <w:tblStylePr w:type="band1Vert">
      <w:tblPr/>
      <w:tcPr>
        <w:shd w:val="clear" w:color="auto" w:fill="C5E0B3" w:themeFill="accent6" w:themeFillTint="66"/>
      </w:tcPr>
    </w:tblStylePr>
    <w:tblStylePr w:type="band1Horz">
      <w:tblPr/>
      <w:tcPr>
        <w:shd w:val="clear" w:color="auto" w:fill="C5E0B3" w:themeFill="accent6" w:themeFillTint="66"/>
      </w:tcPr>
    </w:tblStylePr>
  </w:style>
  <w:style w:type="table" w:styleId="GridTable6Colorful">
    <w:name w:val="Grid Table 6 Colorful"/>
    <w:basedOn w:val="TableNormal"/>
    <w:uiPriority w:val="51"/>
    <w:rsid w:val="000041AF"/>
    <w:pPr>
      <w:spacing w:after="0"/>
    </w:pPr>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6Colorful-Accent1">
    <w:name w:val="Grid Table 6 Colorful Accent 1"/>
    <w:basedOn w:val="TableNormal"/>
    <w:uiPriority w:val="51"/>
    <w:rsid w:val="000041AF"/>
    <w:pPr>
      <w:spacing w:after="0"/>
    </w:pPr>
    <w:rPr>
      <w:color w:val="2F5496" w:themeColor="accent1" w:themeShade="BF"/>
    </w:r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rPr>
      <w:tblPr/>
      <w:tcPr>
        <w:tcBorders>
          <w:bottom w:val="single" w:sz="12" w:space="0" w:color="8EAADB" w:themeColor="accent1" w:themeTint="99"/>
        </w:tcBorders>
      </w:tcPr>
    </w:tblStylePr>
    <w:tblStylePr w:type="lastRow">
      <w:rPr>
        <w:b/>
        <w:bCs/>
      </w:rPr>
      <w:tblPr/>
      <w:tcPr>
        <w:tcBorders>
          <w:top w:val="double" w:sz="4" w:space="0" w:color="8EAADB" w:themeColor="accent1" w:themeTint="99"/>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GridTable6Colorful-Accent2">
    <w:name w:val="Grid Table 6 Colorful Accent 2"/>
    <w:basedOn w:val="TableNormal"/>
    <w:uiPriority w:val="51"/>
    <w:rsid w:val="000041AF"/>
    <w:pPr>
      <w:spacing w:after="0"/>
    </w:pPr>
    <w:rPr>
      <w:color w:val="C45911" w:themeColor="accent2" w:themeShade="BF"/>
    </w:r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rPr>
      <w:tblPr/>
      <w:tcPr>
        <w:tcBorders>
          <w:bottom w:val="single" w:sz="12" w:space="0" w:color="F4B083" w:themeColor="accent2" w:themeTint="99"/>
        </w:tcBorders>
      </w:tcPr>
    </w:tblStylePr>
    <w:tblStylePr w:type="lastRow">
      <w:rPr>
        <w:b/>
        <w:bCs/>
      </w:rPr>
      <w:tblPr/>
      <w:tcPr>
        <w:tcBorders>
          <w:top w:val="double" w:sz="4" w:space="0" w:color="F4B083" w:themeColor="accent2" w:themeTint="99"/>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GridTable6Colorful-Accent3">
    <w:name w:val="Grid Table 6 Colorful Accent 3"/>
    <w:basedOn w:val="TableNormal"/>
    <w:uiPriority w:val="51"/>
    <w:rsid w:val="000041AF"/>
    <w:pPr>
      <w:spacing w:after="0"/>
    </w:pPr>
    <w:rPr>
      <w:color w:val="7B7B7B" w:themeColor="accent3" w:themeShade="BF"/>
    </w:r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rPr>
      <w:tblPr/>
      <w:tcPr>
        <w:tcBorders>
          <w:bottom w:val="single" w:sz="12" w:space="0" w:color="C9C9C9" w:themeColor="accent3" w:themeTint="99"/>
        </w:tcBorders>
      </w:tcPr>
    </w:tblStylePr>
    <w:tblStylePr w:type="lastRow">
      <w:rPr>
        <w:b/>
        <w:bCs/>
      </w:rPr>
      <w:tblPr/>
      <w:tcPr>
        <w:tcBorders>
          <w:top w:val="double" w:sz="4" w:space="0" w:color="C9C9C9" w:themeColor="accent3" w:themeTint="99"/>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GridTable6Colorful-Accent4">
    <w:name w:val="Grid Table 6 Colorful Accent 4"/>
    <w:basedOn w:val="TableNormal"/>
    <w:uiPriority w:val="51"/>
    <w:rsid w:val="000041AF"/>
    <w:pPr>
      <w:spacing w:after="0"/>
    </w:pPr>
    <w:rPr>
      <w:color w:val="BF8F00" w:themeColor="accent4" w:themeShade="BF"/>
    </w:r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rPr>
      <w:tblPr/>
      <w:tcPr>
        <w:tcBorders>
          <w:bottom w:val="single" w:sz="12" w:space="0" w:color="FFD966" w:themeColor="accent4" w:themeTint="99"/>
        </w:tcBorders>
      </w:tcPr>
    </w:tblStylePr>
    <w:tblStylePr w:type="lastRow">
      <w:rPr>
        <w:b/>
        <w:bCs/>
      </w:rPr>
      <w:tblPr/>
      <w:tcPr>
        <w:tcBorders>
          <w:top w:val="double" w:sz="4" w:space="0" w:color="FFD966" w:themeColor="accent4" w:themeTint="99"/>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GridTable6Colorful-Accent5">
    <w:name w:val="Grid Table 6 Colorful Accent 5"/>
    <w:basedOn w:val="TableNormal"/>
    <w:uiPriority w:val="51"/>
    <w:rsid w:val="000041AF"/>
    <w:pPr>
      <w:spacing w:after="0"/>
    </w:pPr>
    <w:rPr>
      <w:color w:val="2E74B5" w:themeColor="accent5" w:themeShade="BF"/>
    </w:r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bCs/>
      </w:rPr>
      <w:tblPr/>
      <w:tcPr>
        <w:tcBorders>
          <w:bottom w:val="single" w:sz="12" w:space="0" w:color="9CC2E5" w:themeColor="accent5" w:themeTint="99"/>
        </w:tcBorders>
      </w:tcPr>
    </w:tblStylePr>
    <w:tblStylePr w:type="lastRow">
      <w:rPr>
        <w:b/>
        <w:bCs/>
      </w:rPr>
      <w:tblPr/>
      <w:tcPr>
        <w:tcBorders>
          <w:top w:val="double" w:sz="4" w:space="0" w:color="9CC2E5" w:themeColor="accent5" w:themeTint="99"/>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GridTable6Colorful-Accent6">
    <w:name w:val="Grid Table 6 Colorful Accent 6"/>
    <w:basedOn w:val="TableNormal"/>
    <w:uiPriority w:val="51"/>
    <w:rsid w:val="000041AF"/>
    <w:pPr>
      <w:spacing w:after="0"/>
    </w:pPr>
    <w:rPr>
      <w:color w:val="538135" w:themeColor="accent6" w:themeShade="BF"/>
    </w:r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rPr>
      <w:tblPr/>
      <w:tcPr>
        <w:tcBorders>
          <w:bottom w:val="single" w:sz="12" w:space="0" w:color="A8D08D" w:themeColor="accent6" w:themeTint="99"/>
        </w:tcBorders>
      </w:tcPr>
    </w:tblStylePr>
    <w:tblStylePr w:type="lastRow">
      <w:rPr>
        <w:b/>
        <w:bCs/>
      </w:rPr>
      <w:tblPr/>
      <w:tcPr>
        <w:tcBorders>
          <w:top w:val="double" w:sz="4" w:space="0" w:color="A8D08D" w:themeColor="accent6" w:themeTint="99"/>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GridTable7Colorful">
    <w:name w:val="Grid Table 7 Colorful"/>
    <w:basedOn w:val="TableNormal"/>
    <w:uiPriority w:val="52"/>
    <w:rsid w:val="000041AF"/>
    <w:pPr>
      <w:spacing w:after="0"/>
    </w:pPr>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7Colorful-Accent1">
    <w:name w:val="Grid Table 7 Colorful Accent 1"/>
    <w:basedOn w:val="TableNormal"/>
    <w:uiPriority w:val="52"/>
    <w:rsid w:val="000041AF"/>
    <w:pPr>
      <w:spacing w:after="0"/>
    </w:pPr>
    <w:rPr>
      <w:color w:val="2F5496" w:themeColor="accent1" w:themeShade="BF"/>
    </w:r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E2F3" w:themeFill="accent1" w:themeFillTint="33"/>
      </w:tcPr>
    </w:tblStylePr>
    <w:tblStylePr w:type="band1Horz">
      <w:tblPr/>
      <w:tcPr>
        <w:shd w:val="clear" w:color="auto" w:fill="D9E2F3" w:themeFill="accent1" w:themeFillTint="33"/>
      </w:tcPr>
    </w:tblStylePr>
    <w:tblStylePr w:type="neCell">
      <w:tblPr/>
      <w:tcPr>
        <w:tcBorders>
          <w:bottom w:val="single" w:sz="4" w:space="0" w:color="8EAADB" w:themeColor="accent1" w:themeTint="99"/>
        </w:tcBorders>
      </w:tcPr>
    </w:tblStylePr>
    <w:tblStylePr w:type="nwCell">
      <w:tblPr/>
      <w:tcPr>
        <w:tcBorders>
          <w:bottom w:val="single" w:sz="4" w:space="0" w:color="8EAADB" w:themeColor="accent1" w:themeTint="99"/>
        </w:tcBorders>
      </w:tcPr>
    </w:tblStylePr>
    <w:tblStylePr w:type="seCell">
      <w:tblPr/>
      <w:tcPr>
        <w:tcBorders>
          <w:top w:val="single" w:sz="4" w:space="0" w:color="8EAADB" w:themeColor="accent1" w:themeTint="99"/>
        </w:tcBorders>
      </w:tcPr>
    </w:tblStylePr>
    <w:tblStylePr w:type="swCell">
      <w:tblPr/>
      <w:tcPr>
        <w:tcBorders>
          <w:top w:val="single" w:sz="4" w:space="0" w:color="8EAADB" w:themeColor="accent1" w:themeTint="99"/>
        </w:tcBorders>
      </w:tcPr>
    </w:tblStylePr>
  </w:style>
  <w:style w:type="table" w:styleId="GridTable7Colorful-Accent2">
    <w:name w:val="Grid Table 7 Colorful Accent 2"/>
    <w:basedOn w:val="TableNormal"/>
    <w:uiPriority w:val="52"/>
    <w:rsid w:val="000041AF"/>
    <w:pPr>
      <w:spacing w:after="0"/>
    </w:pPr>
    <w:rPr>
      <w:color w:val="C45911" w:themeColor="accent2" w:themeShade="BF"/>
    </w:r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BE4D5" w:themeFill="accent2" w:themeFillTint="33"/>
      </w:tcPr>
    </w:tblStylePr>
    <w:tblStylePr w:type="band1Horz">
      <w:tblPr/>
      <w:tcPr>
        <w:shd w:val="clear" w:color="auto" w:fill="FBE4D5" w:themeFill="accent2" w:themeFillTint="33"/>
      </w:tcPr>
    </w:tblStylePr>
    <w:tblStylePr w:type="neCell">
      <w:tblPr/>
      <w:tcPr>
        <w:tcBorders>
          <w:bottom w:val="single" w:sz="4" w:space="0" w:color="F4B083" w:themeColor="accent2" w:themeTint="99"/>
        </w:tcBorders>
      </w:tcPr>
    </w:tblStylePr>
    <w:tblStylePr w:type="nwCell">
      <w:tblPr/>
      <w:tcPr>
        <w:tcBorders>
          <w:bottom w:val="single" w:sz="4" w:space="0" w:color="F4B083" w:themeColor="accent2" w:themeTint="99"/>
        </w:tcBorders>
      </w:tcPr>
    </w:tblStylePr>
    <w:tblStylePr w:type="seCell">
      <w:tblPr/>
      <w:tcPr>
        <w:tcBorders>
          <w:top w:val="single" w:sz="4" w:space="0" w:color="F4B083" w:themeColor="accent2" w:themeTint="99"/>
        </w:tcBorders>
      </w:tcPr>
    </w:tblStylePr>
    <w:tblStylePr w:type="swCell">
      <w:tblPr/>
      <w:tcPr>
        <w:tcBorders>
          <w:top w:val="single" w:sz="4" w:space="0" w:color="F4B083" w:themeColor="accent2" w:themeTint="99"/>
        </w:tcBorders>
      </w:tcPr>
    </w:tblStylePr>
  </w:style>
  <w:style w:type="table" w:styleId="GridTable7Colorful-Accent3">
    <w:name w:val="Grid Table 7 Colorful Accent 3"/>
    <w:basedOn w:val="TableNormal"/>
    <w:uiPriority w:val="52"/>
    <w:rsid w:val="000041AF"/>
    <w:pPr>
      <w:spacing w:after="0"/>
    </w:pPr>
    <w:rPr>
      <w:color w:val="7B7B7B" w:themeColor="accent3" w:themeShade="BF"/>
    </w:r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DEDED" w:themeFill="accent3" w:themeFillTint="33"/>
      </w:tcPr>
    </w:tblStylePr>
    <w:tblStylePr w:type="band1Horz">
      <w:tblPr/>
      <w:tcPr>
        <w:shd w:val="clear" w:color="auto" w:fill="EDEDED" w:themeFill="accent3" w:themeFillTint="33"/>
      </w:tcPr>
    </w:tblStylePr>
    <w:tblStylePr w:type="neCell">
      <w:tblPr/>
      <w:tcPr>
        <w:tcBorders>
          <w:bottom w:val="single" w:sz="4" w:space="0" w:color="C9C9C9" w:themeColor="accent3" w:themeTint="99"/>
        </w:tcBorders>
      </w:tcPr>
    </w:tblStylePr>
    <w:tblStylePr w:type="nwCell">
      <w:tblPr/>
      <w:tcPr>
        <w:tcBorders>
          <w:bottom w:val="single" w:sz="4" w:space="0" w:color="C9C9C9" w:themeColor="accent3" w:themeTint="99"/>
        </w:tcBorders>
      </w:tcPr>
    </w:tblStylePr>
    <w:tblStylePr w:type="seCell">
      <w:tblPr/>
      <w:tcPr>
        <w:tcBorders>
          <w:top w:val="single" w:sz="4" w:space="0" w:color="C9C9C9" w:themeColor="accent3" w:themeTint="99"/>
        </w:tcBorders>
      </w:tcPr>
    </w:tblStylePr>
    <w:tblStylePr w:type="swCell">
      <w:tblPr/>
      <w:tcPr>
        <w:tcBorders>
          <w:top w:val="single" w:sz="4" w:space="0" w:color="C9C9C9" w:themeColor="accent3" w:themeTint="99"/>
        </w:tcBorders>
      </w:tcPr>
    </w:tblStylePr>
  </w:style>
  <w:style w:type="table" w:styleId="GridTable7Colorful-Accent4">
    <w:name w:val="Grid Table 7 Colorful Accent 4"/>
    <w:basedOn w:val="TableNormal"/>
    <w:uiPriority w:val="52"/>
    <w:rsid w:val="000041AF"/>
    <w:pPr>
      <w:spacing w:after="0"/>
    </w:pPr>
    <w:rPr>
      <w:color w:val="BF8F00" w:themeColor="accent4" w:themeShade="BF"/>
    </w:r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F2CC" w:themeFill="accent4" w:themeFillTint="33"/>
      </w:tcPr>
    </w:tblStylePr>
    <w:tblStylePr w:type="band1Horz">
      <w:tblPr/>
      <w:tcPr>
        <w:shd w:val="clear" w:color="auto" w:fill="FFF2CC" w:themeFill="accent4" w:themeFillTint="33"/>
      </w:tcPr>
    </w:tblStylePr>
    <w:tblStylePr w:type="neCell">
      <w:tblPr/>
      <w:tcPr>
        <w:tcBorders>
          <w:bottom w:val="single" w:sz="4" w:space="0" w:color="FFD966" w:themeColor="accent4" w:themeTint="99"/>
        </w:tcBorders>
      </w:tcPr>
    </w:tblStylePr>
    <w:tblStylePr w:type="nwCell">
      <w:tblPr/>
      <w:tcPr>
        <w:tcBorders>
          <w:bottom w:val="single" w:sz="4" w:space="0" w:color="FFD966" w:themeColor="accent4" w:themeTint="99"/>
        </w:tcBorders>
      </w:tcPr>
    </w:tblStylePr>
    <w:tblStylePr w:type="seCell">
      <w:tblPr/>
      <w:tcPr>
        <w:tcBorders>
          <w:top w:val="single" w:sz="4" w:space="0" w:color="FFD966" w:themeColor="accent4" w:themeTint="99"/>
        </w:tcBorders>
      </w:tcPr>
    </w:tblStylePr>
    <w:tblStylePr w:type="swCell">
      <w:tblPr/>
      <w:tcPr>
        <w:tcBorders>
          <w:top w:val="single" w:sz="4" w:space="0" w:color="FFD966" w:themeColor="accent4" w:themeTint="99"/>
        </w:tcBorders>
      </w:tcPr>
    </w:tblStylePr>
  </w:style>
  <w:style w:type="table" w:styleId="GridTable7Colorful-Accent5">
    <w:name w:val="Grid Table 7 Colorful Accent 5"/>
    <w:basedOn w:val="TableNormal"/>
    <w:uiPriority w:val="52"/>
    <w:rsid w:val="000041AF"/>
    <w:pPr>
      <w:spacing w:after="0"/>
    </w:pPr>
    <w:rPr>
      <w:color w:val="2E74B5" w:themeColor="accent5" w:themeShade="BF"/>
    </w:r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EEAF6" w:themeFill="accent5" w:themeFillTint="33"/>
      </w:tcPr>
    </w:tblStylePr>
    <w:tblStylePr w:type="band1Horz">
      <w:tblPr/>
      <w:tcPr>
        <w:shd w:val="clear" w:color="auto" w:fill="DEEAF6" w:themeFill="accent5" w:themeFillTint="33"/>
      </w:tcPr>
    </w:tblStylePr>
    <w:tblStylePr w:type="neCell">
      <w:tblPr/>
      <w:tcPr>
        <w:tcBorders>
          <w:bottom w:val="single" w:sz="4" w:space="0" w:color="9CC2E5" w:themeColor="accent5" w:themeTint="99"/>
        </w:tcBorders>
      </w:tcPr>
    </w:tblStylePr>
    <w:tblStylePr w:type="nwCell">
      <w:tblPr/>
      <w:tcPr>
        <w:tcBorders>
          <w:bottom w:val="single" w:sz="4" w:space="0" w:color="9CC2E5" w:themeColor="accent5" w:themeTint="99"/>
        </w:tcBorders>
      </w:tcPr>
    </w:tblStylePr>
    <w:tblStylePr w:type="seCell">
      <w:tblPr/>
      <w:tcPr>
        <w:tcBorders>
          <w:top w:val="single" w:sz="4" w:space="0" w:color="9CC2E5" w:themeColor="accent5" w:themeTint="99"/>
        </w:tcBorders>
      </w:tcPr>
    </w:tblStylePr>
    <w:tblStylePr w:type="swCell">
      <w:tblPr/>
      <w:tcPr>
        <w:tcBorders>
          <w:top w:val="single" w:sz="4" w:space="0" w:color="9CC2E5" w:themeColor="accent5" w:themeTint="99"/>
        </w:tcBorders>
      </w:tcPr>
    </w:tblStylePr>
  </w:style>
  <w:style w:type="table" w:styleId="GridTable7Colorful-Accent6">
    <w:name w:val="Grid Table 7 Colorful Accent 6"/>
    <w:basedOn w:val="TableNormal"/>
    <w:uiPriority w:val="52"/>
    <w:rsid w:val="000041AF"/>
    <w:pPr>
      <w:spacing w:after="0"/>
    </w:pPr>
    <w:rPr>
      <w:color w:val="538135" w:themeColor="accent6" w:themeShade="BF"/>
    </w:r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2EFD9" w:themeFill="accent6" w:themeFillTint="33"/>
      </w:tcPr>
    </w:tblStylePr>
    <w:tblStylePr w:type="band1Horz">
      <w:tblPr/>
      <w:tcPr>
        <w:shd w:val="clear" w:color="auto" w:fill="E2EFD9" w:themeFill="accent6" w:themeFillTint="33"/>
      </w:tcPr>
    </w:tblStylePr>
    <w:tblStylePr w:type="neCell">
      <w:tblPr/>
      <w:tcPr>
        <w:tcBorders>
          <w:bottom w:val="single" w:sz="4" w:space="0" w:color="A8D08D" w:themeColor="accent6" w:themeTint="99"/>
        </w:tcBorders>
      </w:tcPr>
    </w:tblStylePr>
    <w:tblStylePr w:type="nwCell">
      <w:tblPr/>
      <w:tcPr>
        <w:tcBorders>
          <w:bottom w:val="single" w:sz="4" w:space="0" w:color="A8D08D" w:themeColor="accent6" w:themeTint="99"/>
        </w:tcBorders>
      </w:tcPr>
    </w:tblStylePr>
    <w:tblStylePr w:type="seCell">
      <w:tblPr/>
      <w:tcPr>
        <w:tcBorders>
          <w:top w:val="single" w:sz="4" w:space="0" w:color="A8D08D" w:themeColor="accent6" w:themeTint="99"/>
        </w:tcBorders>
      </w:tcPr>
    </w:tblStylePr>
    <w:tblStylePr w:type="swCell">
      <w:tblPr/>
      <w:tcPr>
        <w:tcBorders>
          <w:top w:val="single" w:sz="4" w:space="0" w:color="A8D08D" w:themeColor="accent6" w:themeTint="99"/>
        </w:tcBorders>
      </w:tcPr>
    </w:tblStylePr>
  </w:style>
  <w:style w:type="character" w:customStyle="1" w:styleId="Hashtag">
    <w:name w:val="Hashtag"/>
    <w:basedOn w:val="DefaultParagraphFont"/>
    <w:uiPriority w:val="99"/>
    <w:semiHidden/>
    <w:unhideWhenUsed/>
    <w:rsid w:val="000041AF"/>
    <w:rPr>
      <w:color w:val="2B579A"/>
      <w:shd w:val="clear" w:color="auto" w:fill="E1DFDD"/>
      <w:lang w:val="es-UY"/>
    </w:rPr>
  </w:style>
  <w:style w:type="character" w:styleId="HTMLAcronym">
    <w:name w:val="HTML Acronym"/>
    <w:basedOn w:val="DefaultParagraphFont"/>
    <w:uiPriority w:val="99"/>
    <w:semiHidden/>
    <w:unhideWhenUsed/>
    <w:rsid w:val="000041AF"/>
    <w:rPr>
      <w:lang w:val="es-UY"/>
    </w:rPr>
  </w:style>
  <w:style w:type="paragraph" w:styleId="HTMLAddress">
    <w:name w:val="HTML Address"/>
    <w:basedOn w:val="Normal"/>
    <w:link w:val="HTMLAddressChar"/>
    <w:uiPriority w:val="99"/>
    <w:semiHidden/>
    <w:unhideWhenUsed/>
    <w:rsid w:val="000041AF"/>
    <w:rPr>
      <w:i/>
      <w:iCs/>
    </w:rPr>
  </w:style>
  <w:style w:type="character" w:customStyle="1" w:styleId="HTMLAddressChar">
    <w:name w:val="HTML Address Char"/>
    <w:basedOn w:val="DefaultParagraphFont"/>
    <w:link w:val="HTMLAddress"/>
    <w:uiPriority w:val="99"/>
    <w:semiHidden/>
    <w:rsid w:val="000041AF"/>
    <w:rPr>
      <w:rFonts w:ascii="Times New Roman" w:eastAsia="SimSun" w:hAnsi="Times New Roman" w:cs="Times New Roman"/>
      <w:i/>
      <w:iCs/>
      <w:lang w:val="es-UY"/>
    </w:rPr>
  </w:style>
  <w:style w:type="character" w:styleId="HTMLCite">
    <w:name w:val="HTML Cite"/>
    <w:basedOn w:val="DefaultParagraphFont"/>
    <w:uiPriority w:val="99"/>
    <w:semiHidden/>
    <w:unhideWhenUsed/>
    <w:rsid w:val="000041AF"/>
    <w:rPr>
      <w:i/>
      <w:iCs/>
      <w:lang w:val="es-UY"/>
    </w:rPr>
  </w:style>
  <w:style w:type="character" w:styleId="HTMLCode">
    <w:name w:val="HTML Code"/>
    <w:basedOn w:val="DefaultParagraphFont"/>
    <w:uiPriority w:val="99"/>
    <w:semiHidden/>
    <w:unhideWhenUsed/>
    <w:rsid w:val="000041AF"/>
    <w:rPr>
      <w:rFonts w:ascii="Consolas" w:hAnsi="Consolas" w:cs="Consolas"/>
      <w:sz w:val="20"/>
      <w:szCs w:val="20"/>
      <w:lang w:val="es-UY"/>
    </w:rPr>
  </w:style>
  <w:style w:type="character" w:styleId="HTMLDefinition">
    <w:name w:val="HTML Definition"/>
    <w:basedOn w:val="DefaultParagraphFont"/>
    <w:uiPriority w:val="99"/>
    <w:semiHidden/>
    <w:unhideWhenUsed/>
    <w:rsid w:val="000041AF"/>
    <w:rPr>
      <w:i/>
      <w:iCs/>
      <w:lang w:val="es-UY"/>
    </w:rPr>
  </w:style>
  <w:style w:type="character" w:styleId="HTMLKeyboard">
    <w:name w:val="HTML Keyboard"/>
    <w:basedOn w:val="DefaultParagraphFont"/>
    <w:uiPriority w:val="99"/>
    <w:semiHidden/>
    <w:unhideWhenUsed/>
    <w:rsid w:val="000041AF"/>
    <w:rPr>
      <w:rFonts w:ascii="Consolas" w:hAnsi="Consolas" w:cs="Consolas"/>
      <w:sz w:val="20"/>
      <w:szCs w:val="20"/>
      <w:lang w:val="es-UY"/>
    </w:rPr>
  </w:style>
  <w:style w:type="paragraph" w:styleId="HTMLPreformatted">
    <w:name w:val="HTML Preformatted"/>
    <w:basedOn w:val="Normal"/>
    <w:link w:val="HTMLPreformattedChar"/>
    <w:uiPriority w:val="99"/>
    <w:semiHidden/>
    <w:unhideWhenUsed/>
    <w:rsid w:val="000041AF"/>
    <w:rPr>
      <w:rFonts w:ascii="Consolas" w:hAnsi="Consolas" w:cs="Consolas"/>
      <w:sz w:val="20"/>
      <w:szCs w:val="20"/>
    </w:rPr>
  </w:style>
  <w:style w:type="character" w:customStyle="1" w:styleId="HTMLPreformattedChar">
    <w:name w:val="HTML Preformatted Char"/>
    <w:basedOn w:val="DefaultParagraphFont"/>
    <w:link w:val="HTMLPreformatted"/>
    <w:uiPriority w:val="99"/>
    <w:semiHidden/>
    <w:rsid w:val="000041AF"/>
    <w:rPr>
      <w:rFonts w:ascii="Consolas" w:eastAsia="SimSun" w:hAnsi="Consolas" w:cs="Consolas"/>
      <w:sz w:val="20"/>
      <w:szCs w:val="20"/>
      <w:lang w:val="es-UY"/>
    </w:rPr>
  </w:style>
  <w:style w:type="character" w:styleId="HTMLSample">
    <w:name w:val="HTML Sample"/>
    <w:basedOn w:val="DefaultParagraphFont"/>
    <w:uiPriority w:val="99"/>
    <w:semiHidden/>
    <w:unhideWhenUsed/>
    <w:rsid w:val="000041AF"/>
    <w:rPr>
      <w:rFonts w:ascii="Consolas" w:hAnsi="Consolas" w:cs="Consolas"/>
      <w:sz w:val="24"/>
      <w:szCs w:val="24"/>
      <w:lang w:val="es-UY"/>
    </w:rPr>
  </w:style>
  <w:style w:type="character" w:styleId="HTMLTypewriter">
    <w:name w:val="HTML Typewriter"/>
    <w:basedOn w:val="DefaultParagraphFont"/>
    <w:uiPriority w:val="99"/>
    <w:semiHidden/>
    <w:unhideWhenUsed/>
    <w:rsid w:val="000041AF"/>
    <w:rPr>
      <w:rFonts w:ascii="Consolas" w:hAnsi="Consolas" w:cs="Consolas"/>
      <w:sz w:val="20"/>
      <w:szCs w:val="20"/>
      <w:lang w:val="es-UY"/>
    </w:rPr>
  </w:style>
  <w:style w:type="character" w:styleId="HTMLVariable">
    <w:name w:val="HTML Variable"/>
    <w:basedOn w:val="DefaultParagraphFont"/>
    <w:uiPriority w:val="99"/>
    <w:semiHidden/>
    <w:unhideWhenUsed/>
    <w:rsid w:val="000041AF"/>
    <w:rPr>
      <w:i/>
      <w:iCs/>
      <w:lang w:val="es-UY"/>
    </w:rPr>
  </w:style>
  <w:style w:type="paragraph" w:styleId="Index1">
    <w:name w:val="index 1"/>
    <w:basedOn w:val="Normal"/>
    <w:next w:val="Normal"/>
    <w:autoRedefine/>
    <w:uiPriority w:val="99"/>
    <w:semiHidden/>
    <w:unhideWhenUsed/>
    <w:rsid w:val="000041AF"/>
    <w:pPr>
      <w:tabs>
        <w:tab w:val="clear" w:pos="567"/>
        <w:tab w:val="clear" w:pos="1134"/>
        <w:tab w:val="clear" w:pos="1701"/>
        <w:tab w:val="clear" w:pos="2268"/>
      </w:tabs>
      <w:ind w:left="220" w:hanging="220"/>
    </w:pPr>
  </w:style>
  <w:style w:type="paragraph" w:styleId="Index2">
    <w:name w:val="index 2"/>
    <w:basedOn w:val="Normal"/>
    <w:next w:val="Normal"/>
    <w:autoRedefine/>
    <w:uiPriority w:val="99"/>
    <w:semiHidden/>
    <w:unhideWhenUsed/>
    <w:rsid w:val="000041AF"/>
    <w:pPr>
      <w:tabs>
        <w:tab w:val="clear" w:pos="567"/>
        <w:tab w:val="clear" w:pos="1134"/>
        <w:tab w:val="clear" w:pos="1701"/>
        <w:tab w:val="clear" w:pos="2268"/>
      </w:tabs>
      <w:ind w:left="440" w:hanging="220"/>
    </w:pPr>
  </w:style>
  <w:style w:type="paragraph" w:styleId="Index3">
    <w:name w:val="index 3"/>
    <w:basedOn w:val="Normal"/>
    <w:next w:val="Normal"/>
    <w:autoRedefine/>
    <w:uiPriority w:val="99"/>
    <w:semiHidden/>
    <w:unhideWhenUsed/>
    <w:rsid w:val="000041AF"/>
    <w:pPr>
      <w:tabs>
        <w:tab w:val="clear" w:pos="567"/>
        <w:tab w:val="clear" w:pos="1134"/>
        <w:tab w:val="clear" w:pos="1701"/>
        <w:tab w:val="clear" w:pos="2268"/>
      </w:tabs>
      <w:ind w:left="660" w:hanging="220"/>
    </w:pPr>
  </w:style>
  <w:style w:type="paragraph" w:styleId="Index4">
    <w:name w:val="index 4"/>
    <w:basedOn w:val="Normal"/>
    <w:next w:val="Normal"/>
    <w:autoRedefine/>
    <w:uiPriority w:val="99"/>
    <w:semiHidden/>
    <w:unhideWhenUsed/>
    <w:rsid w:val="000041AF"/>
    <w:pPr>
      <w:tabs>
        <w:tab w:val="clear" w:pos="567"/>
        <w:tab w:val="clear" w:pos="1134"/>
        <w:tab w:val="clear" w:pos="1701"/>
        <w:tab w:val="clear" w:pos="2268"/>
      </w:tabs>
      <w:ind w:left="880" w:hanging="220"/>
    </w:pPr>
  </w:style>
  <w:style w:type="paragraph" w:styleId="Index5">
    <w:name w:val="index 5"/>
    <w:basedOn w:val="Normal"/>
    <w:next w:val="Normal"/>
    <w:autoRedefine/>
    <w:uiPriority w:val="99"/>
    <w:semiHidden/>
    <w:unhideWhenUsed/>
    <w:rsid w:val="000041AF"/>
    <w:pPr>
      <w:tabs>
        <w:tab w:val="clear" w:pos="567"/>
        <w:tab w:val="clear" w:pos="1134"/>
        <w:tab w:val="clear" w:pos="1701"/>
        <w:tab w:val="clear" w:pos="2268"/>
      </w:tabs>
      <w:ind w:left="1100" w:hanging="220"/>
    </w:pPr>
  </w:style>
  <w:style w:type="paragraph" w:styleId="Index6">
    <w:name w:val="index 6"/>
    <w:basedOn w:val="Normal"/>
    <w:next w:val="Normal"/>
    <w:autoRedefine/>
    <w:uiPriority w:val="99"/>
    <w:semiHidden/>
    <w:unhideWhenUsed/>
    <w:rsid w:val="000041AF"/>
    <w:pPr>
      <w:tabs>
        <w:tab w:val="clear" w:pos="567"/>
        <w:tab w:val="clear" w:pos="1134"/>
        <w:tab w:val="clear" w:pos="1701"/>
        <w:tab w:val="clear" w:pos="2268"/>
      </w:tabs>
      <w:ind w:left="1320" w:hanging="220"/>
    </w:pPr>
  </w:style>
  <w:style w:type="paragraph" w:styleId="Index7">
    <w:name w:val="index 7"/>
    <w:basedOn w:val="Normal"/>
    <w:next w:val="Normal"/>
    <w:autoRedefine/>
    <w:uiPriority w:val="99"/>
    <w:semiHidden/>
    <w:unhideWhenUsed/>
    <w:rsid w:val="000041AF"/>
    <w:pPr>
      <w:tabs>
        <w:tab w:val="clear" w:pos="567"/>
        <w:tab w:val="clear" w:pos="1134"/>
        <w:tab w:val="clear" w:pos="1701"/>
        <w:tab w:val="clear" w:pos="2268"/>
      </w:tabs>
      <w:ind w:left="1540" w:hanging="220"/>
    </w:pPr>
  </w:style>
  <w:style w:type="paragraph" w:styleId="Index8">
    <w:name w:val="index 8"/>
    <w:basedOn w:val="Normal"/>
    <w:next w:val="Normal"/>
    <w:autoRedefine/>
    <w:uiPriority w:val="99"/>
    <w:semiHidden/>
    <w:unhideWhenUsed/>
    <w:rsid w:val="000041AF"/>
    <w:pPr>
      <w:tabs>
        <w:tab w:val="clear" w:pos="567"/>
        <w:tab w:val="clear" w:pos="1134"/>
        <w:tab w:val="clear" w:pos="1701"/>
        <w:tab w:val="clear" w:pos="2268"/>
      </w:tabs>
      <w:ind w:left="1760" w:hanging="220"/>
    </w:pPr>
  </w:style>
  <w:style w:type="paragraph" w:styleId="Index9">
    <w:name w:val="index 9"/>
    <w:basedOn w:val="Normal"/>
    <w:next w:val="Normal"/>
    <w:autoRedefine/>
    <w:uiPriority w:val="99"/>
    <w:semiHidden/>
    <w:unhideWhenUsed/>
    <w:rsid w:val="000041AF"/>
    <w:pPr>
      <w:tabs>
        <w:tab w:val="clear" w:pos="567"/>
        <w:tab w:val="clear" w:pos="1134"/>
        <w:tab w:val="clear" w:pos="1701"/>
        <w:tab w:val="clear" w:pos="2268"/>
      </w:tabs>
      <w:ind w:left="1980" w:hanging="220"/>
    </w:pPr>
  </w:style>
  <w:style w:type="paragraph" w:styleId="IndexHeading">
    <w:name w:val="index heading"/>
    <w:basedOn w:val="Normal"/>
    <w:next w:val="Index1"/>
    <w:uiPriority w:val="99"/>
    <w:semiHidden/>
    <w:unhideWhenUsed/>
    <w:rsid w:val="000041AF"/>
    <w:rPr>
      <w:rFonts w:asciiTheme="majorHAnsi" w:eastAsiaTheme="majorEastAsia" w:hAnsiTheme="majorHAnsi" w:cstheme="majorBidi"/>
      <w:b/>
      <w:bCs/>
    </w:rPr>
  </w:style>
  <w:style w:type="character" w:styleId="IntenseEmphasis">
    <w:name w:val="Intense Emphasis"/>
    <w:basedOn w:val="DefaultParagraphFont"/>
    <w:uiPriority w:val="21"/>
    <w:qFormat/>
    <w:rsid w:val="000041AF"/>
    <w:rPr>
      <w:i/>
      <w:iCs/>
      <w:color w:val="4472C4" w:themeColor="accent1"/>
      <w:lang w:val="es-UY"/>
    </w:rPr>
  </w:style>
  <w:style w:type="paragraph" w:styleId="IntenseQuote">
    <w:name w:val="Intense Quote"/>
    <w:basedOn w:val="Normal"/>
    <w:next w:val="Normal"/>
    <w:link w:val="IntenseQuoteChar"/>
    <w:uiPriority w:val="30"/>
    <w:qFormat/>
    <w:rsid w:val="000041AF"/>
    <w:pPr>
      <w:pBdr>
        <w:top w:val="single" w:sz="4" w:space="10" w:color="4472C4" w:themeColor="accent1"/>
        <w:bottom w:val="single" w:sz="4" w:space="10" w:color="4472C4" w:themeColor="accent1"/>
      </w:pBdr>
      <w:spacing w:before="360" w:after="360"/>
      <w:ind w:left="864" w:right="864"/>
      <w:jc w:val="center"/>
    </w:pPr>
    <w:rPr>
      <w:i/>
      <w:iCs/>
      <w:color w:val="4472C4" w:themeColor="accent1"/>
    </w:rPr>
  </w:style>
  <w:style w:type="character" w:customStyle="1" w:styleId="IntenseQuoteChar">
    <w:name w:val="Intense Quote Char"/>
    <w:basedOn w:val="DefaultParagraphFont"/>
    <w:link w:val="IntenseQuote"/>
    <w:uiPriority w:val="30"/>
    <w:rsid w:val="000041AF"/>
    <w:rPr>
      <w:rFonts w:ascii="Times New Roman" w:eastAsia="SimSun" w:hAnsi="Times New Roman" w:cs="Times New Roman"/>
      <w:i/>
      <w:iCs/>
      <w:color w:val="4472C4" w:themeColor="accent1"/>
      <w:lang w:val="es-UY"/>
    </w:rPr>
  </w:style>
  <w:style w:type="character" w:styleId="IntenseReference">
    <w:name w:val="Intense Reference"/>
    <w:basedOn w:val="DefaultParagraphFont"/>
    <w:uiPriority w:val="32"/>
    <w:qFormat/>
    <w:rsid w:val="000041AF"/>
    <w:rPr>
      <w:b/>
      <w:bCs/>
      <w:smallCaps/>
      <w:color w:val="4472C4" w:themeColor="accent1"/>
      <w:spacing w:val="5"/>
      <w:lang w:val="es-UY"/>
    </w:rPr>
  </w:style>
  <w:style w:type="table" w:styleId="LightGrid">
    <w:name w:val="Light Grid"/>
    <w:basedOn w:val="TableNormal"/>
    <w:uiPriority w:val="62"/>
    <w:semiHidden/>
    <w:unhideWhenUsed/>
    <w:rsid w:val="000041AF"/>
    <w:pPr>
      <w:spacing w:before="0" w:after="0"/>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unhideWhenUsed/>
    <w:rsid w:val="000041AF"/>
    <w:pPr>
      <w:spacing w:before="0" w:after="0"/>
    </w:p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insideH w:val="single" w:sz="8" w:space="0" w:color="4472C4" w:themeColor="accent1"/>
        <w:insideV w:val="single" w:sz="8" w:space="0" w:color="4472C4"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472C4" w:themeColor="accent1"/>
          <w:left w:val="single" w:sz="8" w:space="0" w:color="4472C4" w:themeColor="accent1"/>
          <w:bottom w:val="single" w:sz="18" w:space="0" w:color="4472C4" w:themeColor="accent1"/>
          <w:right w:val="single" w:sz="8" w:space="0" w:color="4472C4" w:themeColor="accent1"/>
          <w:insideH w:val="nil"/>
          <w:insideV w:val="single" w:sz="8" w:space="0" w:color="4472C4"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472C4" w:themeColor="accent1"/>
          <w:left w:val="single" w:sz="8" w:space="0" w:color="4472C4" w:themeColor="accent1"/>
          <w:bottom w:val="single" w:sz="8" w:space="0" w:color="4472C4" w:themeColor="accent1"/>
          <w:right w:val="single" w:sz="8" w:space="0" w:color="4472C4" w:themeColor="accent1"/>
          <w:insideH w:val="nil"/>
          <w:insideV w:val="single" w:sz="8" w:space="0" w:color="4472C4"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tcPr>
    </w:tblStylePr>
    <w:tblStylePr w:type="band1Vert">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shd w:val="clear" w:color="auto" w:fill="D0DBF0" w:themeFill="accent1" w:themeFillTint="3F"/>
      </w:tcPr>
    </w:tblStylePr>
    <w:tblStylePr w:type="band1Horz">
      <w:tblPr/>
      <w:tcPr>
        <w:tcBorders>
          <w:top w:val="single" w:sz="8" w:space="0" w:color="4472C4" w:themeColor="accent1"/>
          <w:left w:val="single" w:sz="8" w:space="0" w:color="4472C4" w:themeColor="accent1"/>
          <w:bottom w:val="single" w:sz="8" w:space="0" w:color="4472C4" w:themeColor="accent1"/>
          <w:right w:val="single" w:sz="8" w:space="0" w:color="4472C4" w:themeColor="accent1"/>
          <w:insideV w:val="single" w:sz="8" w:space="0" w:color="4472C4" w:themeColor="accent1"/>
        </w:tcBorders>
        <w:shd w:val="clear" w:color="auto" w:fill="D0DBF0" w:themeFill="accent1" w:themeFillTint="3F"/>
      </w:tcPr>
    </w:tblStylePr>
    <w:tblStylePr w:type="band2Horz">
      <w:tblPr/>
      <w:tcPr>
        <w:tcBorders>
          <w:top w:val="single" w:sz="8" w:space="0" w:color="4472C4" w:themeColor="accent1"/>
          <w:left w:val="single" w:sz="8" w:space="0" w:color="4472C4" w:themeColor="accent1"/>
          <w:bottom w:val="single" w:sz="8" w:space="0" w:color="4472C4" w:themeColor="accent1"/>
          <w:right w:val="single" w:sz="8" w:space="0" w:color="4472C4" w:themeColor="accent1"/>
          <w:insideV w:val="single" w:sz="8" w:space="0" w:color="4472C4" w:themeColor="accent1"/>
        </w:tcBorders>
      </w:tcPr>
    </w:tblStylePr>
  </w:style>
  <w:style w:type="table" w:styleId="LightGrid-Accent2">
    <w:name w:val="Light Grid Accent 2"/>
    <w:basedOn w:val="TableNormal"/>
    <w:uiPriority w:val="62"/>
    <w:semiHidden/>
    <w:unhideWhenUsed/>
    <w:rsid w:val="000041AF"/>
    <w:pPr>
      <w:spacing w:before="0" w:after="0"/>
    </w:p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insideH w:val="single" w:sz="8" w:space="0" w:color="ED7D31" w:themeColor="accent2"/>
        <w:insideV w:val="single" w:sz="8" w:space="0" w:color="ED7D31"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D7D31" w:themeColor="accent2"/>
          <w:left w:val="single" w:sz="8" w:space="0" w:color="ED7D31" w:themeColor="accent2"/>
          <w:bottom w:val="single" w:sz="18" w:space="0" w:color="ED7D31" w:themeColor="accent2"/>
          <w:right w:val="single" w:sz="8" w:space="0" w:color="ED7D31" w:themeColor="accent2"/>
          <w:insideH w:val="nil"/>
          <w:insideV w:val="single" w:sz="8" w:space="0" w:color="ED7D31"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D7D31" w:themeColor="accent2"/>
          <w:left w:val="single" w:sz="8" w:space="0" w:color="ED7D31" w:themeColor="accent2"/>
          <w:bottom w:val="single" w:sz="8" w:space="0" w:color="ED7D31" w:themeColor="accent2"/>
          <w:right w:val="single" w:sz="8" w:space="0" w:color="ED7D31" w:themeColor="accent2"/>
          <w:insideH w:val="nil"/>
          <w:insideV w:val="single" w:sz="8" w:space="0" w:color="ED7D31"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tblStylePr w:type="band1Vert">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shd w:val="clear" w:color="auto" w:fill="FADECB" w:themeFill="accent2" w:themeFillTint="3F"/>
      </w:tcPr>
    </w:tblStylePr>
    <w:tblStylePr w:type="band1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insideV w:val="single" w:sz="8" w:space="0" w:color="ED7D31" w:themeColor="accent2"/>
        </w:tcBorders>
        <w:shd w:val="clear" w:color="auto" w:fill="FADECB" w:themeFill="accent2" w:themeFillTint="3F"/>
      </w:tcPr>
    </w:tblStylePr>
    <w:tblStylePr w:type="band2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insideV w:val="single" w:sz="8" w:space="0" w:color="ED7D31" w:themeColor="accent2"/>
        </w:tcBorders>
      </w:tcPr>
    </w:tblStylePr>
  </w:style>
  <w:style w:type="table" w:styleId="LightGrid-Accent3">
    <w:name w:val="Light Grid Accent 3"/>
    <w:basedOn w:val="TableNormal"/>
    <w:uiPriority w:val="62"/>
    <w:semiHidden/>
    <w:unhideWhenUsed/>
    <w:rsid w:val="000041AF"/>
    <w:pPr>
      <w:spacing w:before="0" w:after="0"/>
    </w:p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insideH w:val="single" w:sz="8" w:space="0" w:color="A5A5A5" w:themeColor="accent3"/>
        <w:insideV w:val="single" w:sz="8" w:space="0" w:color="A5A5A5"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5A5A5" w:themeColor="accent3"/>
          <w:left w:val="single" w:sz="8" w:space="0" w:color="A5A5A5" w:themeColor="accent3"/>
          <w:bottom w:val="single" w:sz="18" w:space="0" w:color="A5A5A5" w:themeColor="accent3"/>
          <w:right w:val="single" w:sz="8" w:space="0" w:color="A5A5A5" w:themeColor="accent3"/>
          <w:insideH w:val="nil"/>
          <w:insideV w:val="single" w:sz="8" w:space="0" w:color="A5A5A5"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5A5A5" w:themeColor="accent3"/>
          <w:left w:val="single" w:sz="8" w:space="0" w:color="A5A5A5" w:themeColor="accent3"/>
          <w:bottom w:val="single" w:sz="8" w:space="0" w:color="A5A5A5" w:themeColor="accent3"/>
          <w:right w:val="single" w:sz="8" w:space="0" w:color="A5A5A5" w:themeColor="accent3"/>
          <w:insideH w:val="nil"/>
          <w:insideV w:val="single" w:sz="8" w:space="0" w:color="A5A5A5"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tblStylePr w:type="band1Vert">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shd w:val="clear" w:color="auto" w:fill="E8E8E8" w:themeFill="accent3" w:themeFillTint="3F"/>
      </w:tcPr>
    </w:tblStylePr>
    <w:tblStylePr w:type="band1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insideV w:val="single" w:sz="8" w:space="0" w:color="A5A5A5" w:themeColor="accent3"/>
        </w:tcBorders>
        <w:shd w:val="clear" w:color="auto" w:fill="E8E8E8" w:themeFill="accent3" w:themeFillTint="3F"/>
      </w:tcPr>
    </w:tblStylePr>
    <w:tblStylePr w:type="band2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insideV w:val="single" w:sz="8" w:space="0" w:color="A5A5A5" w:themeColor="accent3"/>
        </w:tcBorders>
      </w:tcPr>
    </w:tblStylePr>
  </w:style>
  <w:style w:type="table" w:styleId="LightGrid-Accent4">
    <w:name w:val="Light Grid Accent 4"/>
    <w:basedOn w:val="TableNormal"/>
    <w:uiPriority w:val="62"/>
    <w:semiHidden/>
    <w:unhideWhenUsed/>
    <w:rsid w:val="000041AF"/>
    <w:pPr>
      <w:spacing w:before="0" w:after="0"/>
    </w:p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insideH w:val="single" w:sz="8" w:space="0" w:color="FFC000" w:themeColor="accent4"/>
        <w:insideV w:val="single" w:sz="8" w:space="0" w:color="FFC000"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FC000" w:themeColor="accent4"/>
          <w:left w:val="single" w:sz="8" w:space="0" w:color="FFC000" w:themeColor="accent4"/>
          <w:bottom w:val="single" w:sz="18" w:space="0" w:color="FFC000" w:themeColor="accent4"/>
          <w:right w:val="single" w:sz="8" w:space="0" w:color="FFC000" w:themeColor="accent4"/>
          <w:insideH w:val="nil"/>
          <w:insideV w:val="single" w:sz="8" w:space="0" w:color="FFC000"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FC000" w:themeColor="accent4"/>
          <w:left w:val="single" w:sz="8" w:space="0" w:color="FFC000" w:themeColor="accent4"/>
          <w:bottom w:val="single" w:sz="8" w:space="0" w:color="FFC000" w:themeColor="accent4"/>
          <w:right w:val="single" w:sz="8" w:space="0" w:color="FFC000" w:themeColor="accent4"/>
          <w:insideH w:val="nil"/>
          <w:insideV w:val="single" w:sz="8" w:space="0" w:color="FFC000"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tblStylePr w:type="band1Vert">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shd w:val="clear" w:color="auto" w:fill="FFEFC0" w:themeFill="accent4" w:themeFillTint="3F"/>
      </w:tcPr>
    </w:tblStylePr>
    <w:tblStylePr w:type="band1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insideV w:val="single" w:sz="8" w:space="0" w:color="FFC000" w:themeColor="accent4"/>
        </w:tcBorders>
        <w:shd w:val="clear" w:color="auto" w:fill="FFEFC0" w:themeFill="accent4" w:themeFillTint="3F"/>
      </w:tcPr>
    </w:tblStylePr>
    <w:tblStylePr w:type="band2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insideV w:val="single" w:sz="8" w:space="0" w:color="FFC000" w:themeColor="accent4"/>
        </w:tcBorders>
      </w:tcPr>
    </w:tblStylePr>
  </w:style>
  <w:style w:type="table" w:styleId="LightGrid-Accent5">
    <w:name w:val="Light Grid Accent 5"/>
    <w:basedOn w:val="TableNormal"/>
    <w:uiPriority w:val="62"/>
    <w:semiHidden/>
    <w:unhideWhenUsed/>
    <w:rsid w:val="000041AF"/>
    <w:pPr>
      <w:spacing w:before="0" w:after="0"/>
    </w:pPr>
    <w:tblPr>
      <w:tblStyleRowBandSize w:val="1"/>
      <w:tblStyleColBandSize w:val="1"/>
      <w:tblBorders>
        <w:top w:val="single" w:sz="8" w:space="0" w:color="5B9BD5" w:themeColor="accent5"/>
        <w:left w:val="single" w:sz="8" w:space="0" w:color="5B9BD5" w:themeColor="accent5"/>
        <w:bottom w:val="single" w:sz="8" w:space="0" w:color="5B9BD5" w:themeColor="accent5"/>
        <w:right w:val="single" w:sz="8" w:space="0" w:color="5B9BD5" w:themeColor="accent5"/>
        <w:insideH w:val="single" w:sz="8" w:space="0" w:color="5B9BD5" w:themeColor="accent5"/>
        <w:insideV w:val="single" w:sz="8" w:space="0" w:color="5B9BD5"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B9BD5" w:themeColor="accent5"/>
          <w:left w:val="single" w:sz="8" w:space="0" w:color="5B9BD5" w:themeColor="accent5"/>
          <w:bottom w:val="single" w:sz="18" w:space="0" w:color="5B9BD5" w:themeColor="accent5"/>
          <w:right w:val="single" w:sz="8" w:space="0" w:color="5B9BD5" w:themeColor="accent5"/>
          <w:insideH w:val="nil"/>
          <w:insideV w:val="single" w:sz="8" w:space="0" w:color="5B9BD5"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B9BD5" w:themeColor="accent5"/>
          <w:left w:val="single" w:sz="8" w:space="0" w:color="5B9BD5" w:themeColor="accent5"/>
          <w:bottom w:val="single" w:sz="8" w:space="0" w:color="5B9BD5" w:themeColor="accent5"/>
          <w:right w:val="single" w:sz="8" w:space="0" w:color="5B9BD5" w:themeColor="accent5"/>
          <w:insideH w:val="nil"/>
          <w:insideV w:val="single" w:sz="8" w:space="0" w:color="5B9BD5"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tcPr>
    </w:tblStylePr>
    <w:tblStylePr w:type="band1Vert">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shd w:val="clear" w:color="auto" w:fill="D6E6F4" w:themeFill="accent5" w:themeFillTint="3F"/>
      </w:tcPr>
    </w:tblStylePr>
    <w:tblStylePr w:type="band1Horz">
      <w:tblPr/>
      <w:tcPr>
        <w:tcBorders>
          <w:top w:val="single" w:sz="8" w:space="0" w:color="5B9BD5" w:themeColor="accent5"/>
          <w:left w:val="single" w:sz="8" w:space="0" w:color="5B9BD5" w:themeColor="accent5"/>
          <w:bottom w:val="single" w:sz="8" w:space="0" w:color="5B9BD5" w:themeColor="accent5"/>
          <w:right w:val="single" w:sz="8" w:space="0" w:color="5B9BD5" w:themeColor="accent5"/>
          <w:insideV w:val="single" w:sz="8" w:space="0" w:color="5B9BD5" w:themeColor="accent5"/>
        </w:tcBorders>
        <w:shd w:val="clear" w:color="auto" w:fill="D6E6F4" w:themeFill="accent5" w:themeFillTint="3F"/>
      </w:tcPr>
    </w:tblStylePr>
    <w:tblStylePr w:type="band2Horz">
      <w:tblPr/>
      <w:tcPr>
        <w:tcBorders>
          <w:top w:val="single" w:sz="8" w:space="0" w:color="5B9BD5" w:themeColor="accent5"/>
          <w:left w:val="single" w:sz="8" w:space="0" w:color="5B9BD5" w:themeColor="accent5"/>
          <w:bottom w:val="single" w:sz="8" w:space="0" w:color="5B9BD5" w:themeColor="accent5"/>
          <w:right w:val="single" w:sz="8" w:space="0" w:color="5B9BD5" w:themeColor="accent5"/>
          <w:insideV w:val="single" w:sz="8" w:space="0" w:color="5B9BD5" w:themeColor="accent5"/>
        </w:tcBorders>
      </w:tcPr>
    </w:tblStylePr>
  </w:style>
  <w:style w:type="table" w:styleId="LightGrid-Accent6">
    <w:name w:val="Light Grid Accent 6"/>
    <w:basedOn w:val="TableNormal"/>
    <w:uiPriority w:val="62"/>
    <w:semiHidden/>
    <w:unhideWhenUsed/>
    <w:rsid w:val="000041AF"/>
    <w:pPr>
      <w:spacing w:before="0" w:after="0"/>
    </w:p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insideH w:val="single" w:sz="8" w:space="0" w:color="70AD47" w:themeColor="accent6"/>
        <w:insideV w:val="single" w:sz="8" w:space="0" w:color="70AD47"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70AD47" w:themeColor="accent6"/>
          <w:left w:val="single" w:sz="8" w:space="0" w:color="70AD47" w:themeColor="accent6"/>
          <w:bottom w:val="single" w:sz="18" w:space="0" w:color="70AD47" w:themeColor="accent6"/>
          <w:right w:val="single" w:sz="8" w:space="0" w:color="70AD47" w:themeColor="accent6"/>
          <w:insideH w:val="nil"/>
          <w:insideV w:val="single" w:sz="8" w:space="0" w:color="70AD47"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70AD47" w:themeColor="accent6"/>
          <w:left w:val="single" w:sz="8" w:space="0" w:color="70AD47" w:themeColor="accent6"/>
          <w:bottom w:val="single" w:sz="8" w:space="0" w:color="70AD47" w:themeColor="accent6"/>
          <w:right w:val="single" w:sz="8" w:space="0" w:color="70AD47" w:themeColor="accent6"/>
          <w:insideH w:val="nil"/>
          <w:insideV w:val="single" w:sz="8" w:space="0" w:color="70AD47"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tblStylePr w:type="band1Vert">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shd w:val="clear" w:color="auto" w:fill="DBEBD0" w:themeFill="accent6" w:themeFillTint="3F"/>
      </w:tcPr>
    </w:tblStylePr>
    <w:tblStylePr w:type="band1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insideV w:val="single" w:sz="8" w:space="0" w:color="70AD47" w:themeColor="accent6"/>
        </w:tcBorders>
        <w:shd w:val="clear" w:color="auto" w:fill="DBEBD0" w:themeFill="accent6" w:themeFillTint="3F"/>
      </w:tcPr>
    </w:tblStylePr>
    <w:tblStylePr w:type="band2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insideV w:val="single" w:sz="8" w:space="0" w:color="70AD47" w:themeColor="accent6"/>
        </w:tcBorders>
      </w:tcPr>
    </w:tblStylePr>
  </w:style>
  <w:style w:type="table" w:styleId="LightList">
    <w:name w:val="Light List"/>
    <w:basedOn w:val="TableNormal"/>
    <w:uiPriority w:val="61"/>
    <w:semiHidden/>
    <w:unhideWhenUsed/>
    <w:rsid w:val="000041AF"/>
    <w:pPr>
      <w:spacing w:before="0" w:after="0"/>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unhideWhenUsed/>
    <w:rsid w:val="000041AF"/>
    <w:pPr>
      <w:spacing w:before="0" w:after="0"/>
    </w:p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tblBorders>
    </w:tblPr>
    <w:tblStylePr w:type="firstRow">
      <w:pPr>
        <w:spacing w:before="0" w:after="0" w:line="240" w:lineRule="auto"/>
      </w:pPr>
      <w:rPr>
        <w:b/>
        <w:bCs/>
        <w:color w:val="FFFFFF" w:themeColor="background1"/>
      </w:rPr>
      <w:tblPr/>
      <w:tcPr>
        <w:shd w:val="clear" w:color="auto" w:fill="4472C4" w:themeFill="accent1"/>
      </w:tcPr>
    </w:tblStylePr>
    <w:tblStylePr w:type="lastRow">
      <w:pPr>
        <w:spacing w:before="0" w:after="0" w:line="240" w:lineRule="auto"/>
      </w:pPr>
      <w:rPr>
        <w:b/>
        <w:bCs/>
      </w:rPr>
      <w:tblPr/>
      <w:tcPr>
        <w:tcBorders>
          <w:top w:val="double" w:sz="6" w:space="0" w:color="4472C4" w:themeColor="accent1"/>
          <w:left w:val="single" w:sz="8" w:space="0" w:color="4472C4" w:themeColor="accent1"/>
          <w:bottom w:val="single" w:sz="8" w:space="0" w:color="4472C4" w:themeColor="accent1"/>
          <w:right w:val="single" w:sz="8" w:space="0" w:color="4472C4" w:themeColor="accent1"/>
        </w:tcBorders>
      </w:tcPr>
    </w:tblStylePr>
    <w:tblStylePr w:type="firstCol">
      <w:rPr>
        <w:b/>
        <w:bCs/>
      </w:rPr>
    </w:tblStylePr>
    <w:tblStylePr w:type="lastCol">
      <w:rPr>
        <w:b/>
        <w:bCs/>
      </w:rPr>
    </w:tblStylePr>
    <w:tblStylePr w:type="band1Vert">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tcPr>
    </w:tblStylePr>
    <w:tblStylePr w:type="band1Horz">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tcPr>
    </w:tblStylePr>
  </w:style>
  <w:style w:type="table" w:styleId="LightList-Accent2">
    <w:name w:val="Light List Accent 2"/>
    <w:basedOn w:val="TableNormal"/>
    <w:uiPriority w:val="61"/>
    <w:semiHidden/>
    <w:unhideWhenUsed/>
    <w:rsid w:val="000041AF"/>
    <w:pPr>
      <w:spacing w:before="0" w:after="0"/>
    </w:p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tblBorders>
    </w:tblPr>
    <w:tblStylePr w:type="firstRow">
      <w:pPr>
        <w:spacing w:before="0" w:after="0" w:line="240" w:lineRule="auto"/>
      </w:pPr>
      <w:rPr>
        <w:b/>
        <w:bCs/>
        <w:color w:val="FFFFFF" w:themeColor="background1"/>
      </w:rPr>
      <w:tblPr/>
      <w:tcPr>
        <w:shd w:val="clear" w:color="auto" w:fill="ED7D31" w:themeFill="accent2"/>
      </w:tcPr>
    </w:tblStylePr>
    <w:tblStylePr w:type="lastRow">
      <w:pPr>
        <w:spacing w:before="0" w:after="0" w:line="240" w:lineRule="auto"/>
      </w:pPr>
      <w:rPr>
        <w:b/>
        <w:bCs/>
      </w:rPr>
      <w:tblPr/>
      <w:tcPr>
        <w:tcBorders>
          <w:top w:val="double" w:sz="6" w:space="0" w:color="ED7D31" w:themeColor="accent2"/>
          <w:left w:val="single" w:sz="8" w:space="0" w:color="ED7D31" w:themeColor="accent2"/>
          <w:bottom w:val="single" w:sz="8" w:space="0" w:color="ED7D31" w:themeColor="accent2"/>
          <w:right w:val="single" w:sz="8" w:space="0" w:color="ED7D31" w:themeColor="accent2"/>
        </w:tcBorders>
      </w:tcPr>
    </w:tblStylePr>
    <w:tblStylePr w:type="firstCol">
      <w:rPr>
        <w:b/>
        <w:bCs/>
      </w:rPr>
    </w:tblStylePr>
    <w:tblStylePr w:type="lastCol">
      <w:rPr>
        <w:b/>
        <w:bCs/>
      </w:rPr>
    </w:tblStylePr>
    <w:tblStylePr w:type="band1Vert">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tblStylePr w:type="band1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style>
  <w:style w:type="table" w:styleId="LightList-Accent3">
    <w:name w:val="Light List Accent 3"/>
    <w:basedOn w:val="TableNormal"/>
    <w:uiPriority w:val="61"/>
    <w:semiHidden/>
    <w:unhideWhenUsed/>
    <w:rsid w:val="000041AF"/>
    <w:pPr>
      <w:spacing w:before="0" w:after="0"/>
    </w:p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tblBorders>
    </w:tblPr>
    <w:tblStylePr w:type="firstRow">
      <w:pPr>
        <w:spacing w:before="0" w:after="0" w:line="240" w:lineRule="auto"/>
      </w:pPr>
      <w:rPr>
        <w:b/>
        <w:bCs/>
        <w:color w:val="FFFFFF" w:themeColor="background1"/>
      </w:rPr>
      <w:tblPr/>
      <w:tcPr>
        <w:shd w:val="clear" w:color="auto" w:fill="A5A5A5" w:themeFill="accent3"/>
      </w:tcPr>
    </w:tblStylePr>
    <w:tblStylePr w:type="lastRow">
      <w:pPr>
        <w:spacing w:before="0" w:after="0" w:line="240" w:lineRule="auto"/>
      </w:pPr>
      <w:rPr>
        <w:b/>
        <w:bCs/>
      </w:rPr>
      <w:tblPr/>
      <w:tcPr>
        <w:tcBorders>
          <w:top w:val="double" w:sz="6" w:space="0" w:color="A5A5A5" w:themeColor="accent3"/>
          <w:left w:val="single" w:sz="8" w:space="0" w:color="A5A5A5" w:themeColor="accent3"/>
          <w:bottom w:val="single" w:sz="8" w:space="0" w:color="A5A5A5" w:themeColor="accent3"/>
          <w:right w:val="single" w:sz="8" w:space="0" w:color="A5A5A5" w:themeColor="accent3"/>
        </w:tcBorders>
      </w:tcPr>
    </w:tblStylePr>
    <w:tblStylePr w:type="firstCol">
      <w:rPr>
        <w:b/>
        <w:bCs/>
      </w:rPr>
    </w:tblStylePr>
    <w:tblStylePr w:type="lastCol">
      <w:rPr>
        <w:b/>
        <w:bCs/>
      </w:rPr>
    </w:tblStylePr>
    <w:tblStylePr w:type="band1Vert">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tblStylePr w:type="band1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style>
  <w:style w:type="table" w:styleId="LightList-Accent4">
    <w:name w:val="Light List Accent 4"/>
    <w:basedOn w:val="TableNormal"/>
    <w:uiPriority w:val="61"/>
    <w:semiHidden/>
    <w:unhideWhenUsed/>
    <w:rsid w:val="000041AF"/>
    <w:pPr>
      <w:spacing w:before="0" w:after="0"/>
    </w:p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tblBorders>
    </w:tblPr>
    <w:tblStylePr w:type="firstRow">
      <w:pPr>
        <w:spacing w:before="0" w:after="0" w:line="240" w:lineRule="auto"/>
      </w:pPr>
      <w:rPr>
        <w:b/>
        <w:bCs/>
        <w:color w:val="FFFFFF" w:themeColor="background1"/>
      </w:rPr>
      <w:tblPr/>
      <w:tcPr>
        <w:shd w:val="clear" w:color="auto" w:fill="FFC000" w:themeFill="accent4"/>
      </w:tcPr>
    </w:tblStylePr>
    <w:tblStylePr w:type="lastRow">
      <w:pPr>
        <w:spacing w:before="0" w:after="0" w:line="240" w:lineRule="auto"/>
      </w:pPr>
      <w:rPr>
        <w:b/>
        <w:bCs/>
      </w:rPr>
      <w:tblPr/>
      <w:tcPr>
        <w:tcBorders>
          <w:top w:val="double" w:sz="6" w:space="0" w:color="FFC000" w:themeColor="accent4"/>
          <w:left w:val="single" w:sz="8" w:space="0" w:color="FFC000" w:themeColor="accent4"/>
          <w:bottom w:val="single" w:sz="8" w:space="0" w:color="FFC000" w:themeColor="accent4"/>
          <w:right w:val="single" w:sz="8" w:space="0" w:color="FFC000" w:themeColor="accent4"/>
        </w:tcBorders>
      </w:tcPr>
    </w:tblStylePr>
    <w:tblStylePr w:type="firstCol">
      <w:rPr>
        <w:b/>
        <w:bCs/>
      </w:rPr>
    </w:tblStylePr>
    <w:tblStylePr w:type="lastCol">
      <w:rPr>
        <w:b/>
        <w:bCs/>
      </w:rPr>
    </w:tblStylePr>
    <w:tblStylePr w:type="band1Vert">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tblStylePr w:type="band1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style>
  <w:style w:type="table" w:styleId="LightList-Accent5">
    <w:name w:val="Light List Accent 5"/>
    <w:basedOn w:val="TableNormal"/>
    <w:uiPriority w:val="61"/>
    <w:semiHidden/>
    <w:unhideWhenUsed/>
    <w:rsid w:val="000041AF"/>
    <w:pPr>
      <w:spacing w:before="0" w:after="0"/>
    </w:pPr>
    <w:tblPr>
      <w:tblStyleRowBandSize w:val="1"/>
      <w:tblStyleColBandSize w:val="1"/>
      <w:tblBorders>
        <w:top w:val="single" w:sz="8" w:space="0" w:color="5B9BD5" w:themeColor="accent5"/>
        <w:left w:val="single" w:sz="8" w:space="0" w:color="5B9BD5" w:themeColor="accent5"/>
        <w:bottom w:val="single" w:sz="8" w:space="0" w:color="5B9BD5" w:themeColor="accent5"/>
        <w:right w:val="single" w:sz="8" w:space="0" w:color="5B9BD5" w:themeColor="accent5"/>
      </w:tblBorders>
    </w:tblPr>
    <w:tblStylePr w:type="firstRow">
      <w:pPr>
        <w:spacing w:before="0" w:after="0" w:line="240" w:lineRule="auto"/>
      </w:pPr>
      <w:rPr>
        <w:b/>
        <w:bCs/>
        <w:color w:val="FFFFFF" w:themeColor="background1"/>
      </w:rPr>
      <w:tblPr/>
      <w:tcPr>
        <w:shd w:val="clear" w:color="auto" w:fill="5B9BD5" w:themeFill="accent5"/>
      </w:tcPr>
    </w:tblStylePr>
    <w:tblStylePr w:type="lastRow">
      <w:pPr>
        <w:spacing w:before="0" w:after="0" w:line="240" w:lineRule="auto"/>
      </w:pPr>
      <w:rPr>
        <w:b/>
        <w:bCs/>
      </w:rPr>
      <w:tblPr/>
      <w:tcPr>
        <w:tcBorders>
          <w:top w:val="double" w:sz="6" w:space="0" w:color="5B9BD5" w:themeColor="accent5"/>
          <w:left w:val="single" w:sz="8" w:space="0" w:color="5B9BD5" w:themeColor="accent5"/>
          <w:bottom w:val="single" w:sz="8" w:space="0" w:color="5B9BD5" w:themeColor="accent5"/>
          <w:right w:val="single" w:sz="8" w:space="0" w:color="5B9BD5" w:themeColor="accent5"/>
        </w:tcBorders>
      </w:tcPr>
    </w:tblStylePr>
    <w:tblStylePr w:type="firstCol">
      <w:rPr>
        <w:b/>
        <w:bCs/>
      </w:rPr>
    </w:tblStylePr>
    <w:tblStylePr w:type="lastCol">
      <w:rPr>
        <w:b/>
        <w:bCs/>
      </w:rPr>
    </w:tblStylePr>
    <w:tblStylePr w:type="band1Vert">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tcPr>
    </w:tblStylePr>
    <w:tblStylePr w:type="band1Horz">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tcPr>
    </w:tblStylePr>
  </w:style>
  <w:style w:type="table" w:styleId="LightList-Accent6">
    <w:name w:val="Light List Accent 6"/>
    <w:basedOn w:val="TableNormal"/>
    <w:uiPriority w:val="61"/>
    <w:semiHidden/>
    <w:unhideWhenUsed/>
    <w:rsid w:val="000041AF"/>
    <w:pPr>
      <w:spacing w:before="0" w:after="0"/>
    </w:p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tblBorders>
    </w:tblPr>
    <w:tblStylePr w:type="firstRow">
      <w:pPr>
        <w:spacing w:before="0" w:after="0" w:line="240" w:lineRule="auto"/>
      </w:pPr>
      <w:rPr>
        <w:b/>
        <w:bCs/>
        <w:color w:val="FFFFFF" w:themeColor="background1"/>
      </w:rPr>
      <w:tblPr/>
      <w:tcPr>
        <w:shd w:val="clear" w:color="auto" w:fill="70AD47" w:themeFill="accent6"/>
      </w:tcPr>
    </w:tblStylePr>
    <w:tblStylePr w:type="lastRow">
      <w:pPr>
        <w:spacing w:before="0" w:after="0" w:line="240" w:lineRule="auto"/>
      </w:pPr>
      <w:rPr>
        <w:b/>
        <w:bCs/>
      </w:rPr>
      <w:tblPr/>
      <w:tcPr>
        <w:tcBorders>
          <w:top w:val="double" w:sz="6" w:space="0" w:color="70AD47" w:themeColor="accent6"/>
          <w:left w:val="single" w:sz="8" w:space="0" w:color="70AD47" w:themeColor="accent6"/>
          <w:bottom w:val="single" w:sz="8" w:space="0" w:color="70AD47" w:themeColor="accent6"/>
          <w:right w:val="single" w:sz="8" w:space="0" w:color="70AD47" w:themeColor="accent6"/>
        </w:tcBorders>
      </w:tcPr>
    </w:tblStylePr>
    <w:tblStylePr w:type="firstCol">
      <w:rPr>
        <w:b/>
        <w:bCs/>
      </w:rPr>
    </w:tblStylePr>
    <w:tblStylePr w:type="lastCol">
      <w:rPr>
        <w:b/>
        <w:bCs/>
      </w:rPr>
    </w:tblStylePr>
    <w:tblStylePr w:type="band1Vert">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tblStylePr w:type="band1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style>
  <w:style w:type="table" w:styleId="LightShading">
    <w:name w:val="Light Shading"/>
    <w:basedOn w:val="TableNormal"/>
    <w:uiPriority w:val="60"/>
    <w:semiHidden/>
    <w:unhideWhenUsed/>
    <w:rsid w:val="000041AF"/>
    <w:pPr>
      <w:spacing w:before="0" w:after="0"/>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unhideWhenUsed/>
    <w:rsid w:val="000041AF"/>
    <w:pPr>
      <w:spacing w:before="0" w:after="0"/>
    </w:pPr>
    <w:rPr>
      <w:color w:val="2F5496" w:themeColor="accent1" w:themeShade="BF"/>
    </w:rPr>
    <w:tblPr>
      <w:tblStyleRowBandSize w:val="1"/>
      <w:tblStyleColBandSize w:val="1"/>
      <w:tblBorders>
        <w:top w:val="single" w:sz="8" w:space="0" w:color="4472C4" w:themeColor="accent1"/>
        <w:bottom w:val="single" w:sz="8" w:space="0" w:color="4472C4" w:themeColor="accent1"/>
      </w:tblBorders>
    </w:tblPr>
    <w:tblStylePr w:type="firstRow">
      <w:pPr>
        <w:spacing w:before="0" w:after="0" w:line="240" w:lineRule="auto"/>
      </w:pPr>
      <w:rPr>
        <w:b/>
        <w:bCs/>
      </w:rPr>
      <w:tblPr/>
      <w:tcPr>
        <w:tcBorders>
          <w:top w:val="single" w:sz="8" w:space="0" w:color="4472C4" w:themeColor="accent1"/>
          <w:left w:val="nil"/>
          <w:bottom w:val="single" w:sz="8" w:space="0" w:color="4472C4" w:themeColor="accent1"/>
          <w:right w:val="nil"/>
          <w:insideH w:val="nil"/>
          <w:insideV w:val="nil"/>
        </w:tcBorders>
      </w:tcPr>
    </w:tblStylePr>
    <w:tblStylePr w:type="lastRow">
      <w:pPr>
        <w:spacing w:before="0" w:after="0" w:line="240" w:lineRule="auto"/>
      </w:pPr>
      <w:rPr>
        <w:b/>
        <w:bCs/>
      </w:rPr>
      <w:tblPr/>
      <w:tcPr>
        <w:tcBorders>
          <w:top w:val="single" w:sz="8" w:space="0" w:color="4472C4" w:themeColor="accent1"/>
          <w:left w:val="nil"/>
          <w:bottom w:val="single" w:sz="8" w:space="0" w:color="4472C4"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DBF0" w:themeFill="accent1" w:themeFillTint="3F"/>
      </w:tcPr>
    </w:tblStylePr>
    <w:tblStylePr w:type="band1Horz">
      <w:tblPr/>
      <w:tcPr>
        <w:tcBorders>
          <w:left w:val="nil"/>
          <w:right w:val="nil"/>
          <w:insideH w:val="nil"/>
          <w:insideV w:val="nil"/>
        </w:tcBorders>
        <w:shd w:val="clear" w:color="auto" w:fill="D0DBF0" w:themeFill="accent1" w:themeFillTint="3F"/>
      </w:tcPr>
    </w:tblStylePr>
  </w:style>
  <w:style w:type="table" w:styleId="LightShading-Accent2">
    <w:name w:val="Light Shading Accent 2"/>
    <w:basedOn w:val="TableNormal"/>
    <w:uiPriority w:val="60"/>
    <w:semiHidden/>
    <w:unhideWhenUsed/>
    <w:rsid w:val="000041AF"/>
    <w:pPr>
      <w:spacing w:before="0" w:after="0"/>
    </w:pPr>
    <w:rPr>
      <w:color w:val="C45911" w:themeColor="accent2" w:themeShade="BF"/>
    </w:rPr>
    <w:tblPr>
      <w:tblStyleRowBandSize w:val="1"/>
      <w:tblStyleColBandSize w:val="1"/>
      <w:tblBorders>
        <w:top w:val="single" w:sz="8" w:space="0" w:color="ED7D31" w:themeColor="accent2"/>
        <w:bottom w:val="single" w:sz="8" w:space="0" w:color="ED7D31" w:themeColor="accent2"/>
      </w:tblBorders>
    </w:tblPr>
    <w:tblStylePr w:type="firstRow">
      <w:pPr>
        <w:spacing w:before="0" w:after="0" w:line="240" w:lineRule="auto"/>
      </w:pPr>
      <w:rPr>
        <w:b/>
        <w:bCs/>
      </w:rPr>
      <w:tblPr/>
      <w:tcPr>
        <w:tcBorders>
          <w:top w:val="single" w:sz="8" w:space="0" w:color="ED7D31" w:themeColor="accent2"/>
          <w:left w:val="nil"/>
          <w:bottom w:val="single" w:sz="8" w:space="0" w:color="ED7D31" w:themeColor="accent2"/>
          <w:right w:val="nil"/>
          <w:insideH w:val="nil"/>
          <w:insideV w:val="nil"/>
        </w:tcBorders>
      </w:tcPr>
    </w:tblStylePr>
    <w:tblStylePr w:type="lastRow">
      <w:pPr>
        <w:spacing w:before="0" w:after="0" w:line="240" w:lineRule="auto"/>
      </w:pPr>
      <w:rPr>
        <w:b/>
        <w:bCs/>
      </w:rPr>
      <w:tblPr/>
      <w:tcPr>
        <w:tcBorders>
          <w:top w:val="single" w:sz="8" w:space="0" w:color="ED7D31" w:themeColor="accent2"/>
          <w:left w:val="nil"/>
          <w:bottom w:val="single" w:sz="8" w:space="0" w:color="ED7D31"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ADECB" w:themeFill="accent2" w:themeFillTint="3F"/>
      </w:tcPr>
    </w:tblStylePr>
    <w:tblStylePr w:type="band1Horz">
      <w:tblPr/>
      <w:tcPr>
        <w:tcBorders>
          <w:left w:val="nil"/>
          <w:right w:val="nil"/>
          <w:insideH w:val="nil"/>
          <w:insideV w:val="nil"/>
        </w:tcBorders>
        <w:shd w:val="clear" w:color="auto" w:fill="FADECB" w:themeFill="accent2" w:themeFillTint="3F"/>
      </w:tcPr>
    </w:tblStylePr>
  </w:style>
  <w:style w:type="table" w:styleId="LightShading-Accent3">
    <w:name w:val="Light Shading Accent 3"/>
    <w:basedOn w:val="TableNormal"/>
    <w:uiPriority w:val="60"/>
    <w:semiHidden/>
    <w:unhideWhenUsed/>
    <w:rsid w:val="000041AF"/>
    <w:pPr>
      <w:spacing w:before="0" w:after="0"/>
    </w:pPr>
    <w:rPr>
      <w:color w:val="7B7B7B" w:themeColor="accent3" w:themeShade="BF"/>
    </w:rPr>
    <w:tblPr>
      <w:tblStyleRowBandSize w:val="1"/>
      <w:tblStyleColBandSize w:val="1"/>
      <w:tblBorders>
        <w:top w:val="single" w:sz="8" w:space="0" w:color="A5A5A5" w:themeColor="accent3"/>
        <w:bottom w:val="single" w:sz="8" w:space="0" w:color="A5A5A5" w:themeColor="accent3"/>
      </w:tblBorders>
    </w:tblPr>
    <w:tblStylePr w:type="fir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la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8E8E8" w:themeFill="accent3" w:themeFillTint="3F"/>
      </w:tcPr>
    </w:tblStylePr>
    <w:tblStylePr w:type="band1Horz">
      <w:tblPr/>
      <w:tcPr>
        <w:tcBorders>
          <w:left w:val="nil"/>
          <w:right w:val="nil"/>
          <w:insideH w:val="nil"/>
          <w:insideV w:val="nil"/>
        </w:tcBorders>
        <w:shd w:val="clear" w:color="auto" w:fill="E8E8E8" w:themeFill="accent3" w:themeFillTint="3F"/>
      </w:tcPr>
    </w:tblStylePr>
  </w:style>
  <w:style w:type="table" w:styleId="LightShading-Accent4">
    <w:name w:val="Light Shading Accent 4"/>
    <w:basedOn w:val="TableNormal"/>
    <w:uiPriority w:val="60"/>
    <w:semiHidden/>
    <w:unhideWhenUsed/>
    <w:rsid w:val="000041AF"/>
    <w:pPr>
      <w:spacing w:before="0" w:after="0"/>
    </w:pPr>
    <w:rPr>
      <w:color w:val="BF8F00" w:themeColor="accent4" w:themeShade="BF"/>
    </w:rPr>
    <w:tblPr>
      <w:tblStyleRowBandSize w:val="1"/>
      <w:tblStyleColBandSize w:val="1"/>
      <w:tblBorders>
        <w:top w:val="single" w:sz="8" w:space="0" w:color="FFC000" w:themeColor="accent4"/>
        <w:bottom w:val="single" w:sz="8" w:space="0" w:color="FFC000" w:themeColor="accent4"/>
      </w:tblBorders>
    </w:tblPr>
    <w:tblStylePr w:type="firstRow">
      <w:pPr>
        <w:spacing w:before="0" w:after="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lastRow">
      <w:pPr>
        <w:spacing w:before="0" w:after="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EFC0" w:themeFill="accent4" w:themeFillTint="3F"/>
      </w:tcPr>
    </w:tblStylePr>
    <w:tblStylePr w:type="band1Horz">
      <w:tblPr/>
      <w:tcPr>
        <w:tcBorders>
          <w:left w:val="nil"/>
          <w:right w:val="nil"/>
          <w:insideH w:val="nil"/>
          <w:insideV w:val="nil"/>
        </w:tcBorders>
        <w:shd w:val="clear" w:color="auto" w:fill="FFEFC0" w:themeFill="accent4" w:themeFillTint="3F"/>
      </w:tcPr>
    </w:tblStylePr>
  </w:style>
  <w:style w:type="table" w:styleId="LightShading-Accent5">
    <w:name w:val="Light Shading Accent 5"/>
    <w:basedOn w:val="TableNormal"/>
    <w:uiPriority w:val="60"/>
    <w:semiHidden/>
    <w:unhideWhenUsed/>
    <w:rsid w:val="000041AF"/>
    <w:pPr>
      <w:spacing w:before="0" w:after="0"/>
    </w:pPr>
    <w:rPr>
      <w:color w:val="2E74B5" w:themeColor="accent5" w:themeShade="BF"/>
    </w:rPr>
    <w:tblPr>
      <w:tblStyleRowBandSize w:val="1"/>
      <w:tblStyleColBandSize w:val="1"/>
      <w:tblBorders>
        <w:top w:val="single" w:sz="8" w:space="0" w:color="5B9BD5" w:themeColor="accent5"/>
        <w:bottom w:val="single" w:sz="8" w:space="0" w:color="5B9BD5" w:themeColor="accent5"/>
      </w:tblBorders>
    </w:tblPr>
    <w:tblStylePr w:type="firstRow">
      <w:pPr>
        <w:spacing w:before="0" w:after="0" w:line="240" w:lineRule="auto"/>
      </w:pPr>
      <w:rPr>
        <w:b/>
        <w:bCs/>
      </w:rPr>
      <w:tblPr/>
      <w:tcPr>
        <w:tcBorders>
          <w:top w:val="single" w:sz="8" w:space="0" w:color="5B9BD5" w:themeColor="accent5"/>
          <w:left w:val="nil"/>
          <w:bottom w:val="single" w:sz="8" w:space="0" w:color="5B9BD5" w:themeColor="accent5"/>
          <w:right w:val="nil"/>
          <w:insideH w:val="nil"/>
          <w:insideV w:val="nil"/>
        </w:tcBorders>
      </w:tcPr>
    </w:tblStylePr>
    <w:tblStylePr w:type="lastRow">
      <w:pPr>
        <w:spacing w:before="0" w:after="0" w:line="240" w:lineRule="auto"/>
      </w:pPr>
      <w:rPr>
        <w:b/>
        <w:bCs/>
      </w:rPr>
      <w:tblPr/>
      <w:tcPr>
        <w:tcBorders>
          <w:top w:val="single" w:sz="8" w:space="0" w:color="5B9BD5" w:themeColor="accent5"/>
          <w:left w:val="nil"/>
          <w:bottom w:val="single" w:sz="8" w:space="0" w:color="5B9BD5"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6E6F4" w:themeFill="accent5" w:themeFillTint="3F"/>
      </w:tcPr>
    </w:tblStylePr>
    <w:tblStylePr w:type="band1Horz">
      <w:tblPr/>
      <w:tcPr>
        <w:tcBorders>
          <w:left w:val="nil"/>
          <w:right w:val="nil"/>
          <w:insideH w:val="nil"/>
          <w:insideV w:val="nil"/>
        </w:tcBorders>
        <w:shd w:val="clear" w:color="auto" w:fill="D6E6F4" w:themeFill="accent5" w:themeFillTint="3F"/>
      </w:tcPr>
    </w:tblStylePr>
  </w:style>
  <w:style w:type="table" w:styleId="LightShading-Accent6">
    <w:name w:val="Light Shading Accent 6"/>
    <w:basedOn w:val="TableNormal"/>
    <w:uiPriority w:val="60"/>
    <w:semiHidden/>
    <w:unhideWhenUsed/>
    <w:rsid w:val="000041AF"/>
    <w:pPr>
      <w:spacing w:before="0" w:after="0"/>
    </w:pPr>
    <w:rPr>
      <w:color w:val="538135" w:themeColor="accent6" w:themeShade="BF"/>
    </w:rPr>
    <w:tblPr>
      <w:tblStyleRowBandSize w:val="1"/>
      <w:tblStyleColBandSize w:val="1"/>
      <w:tblBorders>
        <w:top w:val="single" w:sz="8" w:space="0" w:color="70AD47" w:themeColor="accent6"/>
        <w:bottom w:val="single" w:sz="8" w:space="0" w:color="70AD47" w:themeColor="accent6"/>
      </w:tblBorders>
    </w:tblPr>
    <w:tblStylePr w:type="firstRow">
      <w:pPr>
        <w:spacing w:before="0" w:after="0" w:line="240" w:lineRule="auto"/>
      </w:pPr>
      <w:rPr>
        <w:b/>
        <w:bCs/>
      </w:rPr>
      <w:tblPr/>
      <w:tcPr>
        <w:tcBorders>
          <w:top w:val="single" w:sz="8" w:space="0" w:color="70AD47" w:themeColor="accent6"/>
          <w:left w:val="nil"/>
          <w:bottom w:val="single" w:sz="8" w:space="0" w:color="70AD47" w:themeColor="accent6"/>
          <w:right w:val="nil"/>
          <w:insideH w:val="nil"/>
          <w:insideV w:val="nil"/>
        </w:tcBorders>
      </w:tcPr>
    </w:tblStylePr>
    <w:tblStylePr w:type="lastRow">
      <w:pPr>
        <w:spacing w:before="0" w:after="0" w:line="240" w:lineRule="auto"/>
      </w:pPr>
      <w:rPr>
        <w:b/>
        <w:bCs/>
      </w:rPr>
      <w:tblPr/>
      <w:tcPr>
        <w:tcBorders>
          <w:top w:val="single" w:sz="8" w:space="0" w:color="70AD47" w:themeColor="accent6"/>
          <w:left w:val="nil"/>
          <w:bottom w:val="single" w:sz="8" w:space="0" w:color="70AD47"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BEBD0" w:themeFill="accent6" w:themeFillTint="3F"/>
      </w:tcPr>
    </w:tblStylePr>
    <w:tblStylePr w:type="band1Horz">
      <w:tblPr/>
      <w:tcPr>
        <w:tcBorders>
          <w:left w:val="nil"/>
          <w:right w:val="nil"/>
          <w:insideH w:val="nil"/>
          <w:insideV w:val="nil"/>
        </w:tcBorders>
        <w:shd w:val="clear" w:color="auto" w:fill="DBEBD0" w:themeFill="accent6" w:themeFillTint="3F"/>
      </w:tcPr>
    </w:tblStylePr>
  </w:style>
  <w:style w:type="character" w:styleId="LineNumber">
    <w:name w:val="line number"/>
    <w:basedOn w:val="DefaultParagraphFont"/>
    <w:uiPriority w:val="99"/>
    <w:semiHidden/>
    <w:unhideWhenUsed/>
    <w:rsid w:val="000041AF"/>
    <w:rPr>
      <w:lang w:val="es-UY"/>
    </w:rPr>
  </w:style>
  <w:style w:type="paragraph" w:styleId="List2">
    <w:name w:val="List 2"/>
    <w:basedOn w:val="Normal"/>
    <w:uiPriority w:val="99"/>
    <w:semiHidden/>
    <w:unhideWhenUsed/>
    <w:rsid w:val="000041AF"/>
    <w:pPr>
      <w:ind w:left="566" w:hanging="283"/>
      <w:contextualSpacing/>
    </w:pPr>
  </w:style>
  <w:style w:type="paragraph" w:styleId="List3">
    <w:name w:val="List 3"/>
    <w:basedOn w:val="Normal"/>
    <w:uiPriority w:val="99"/>
    <w:semiHidden/>
    <w:unhideWhenUsed/>
    <w:rsid w:val="000041AF"/>
    <w:pPr>
      <w:ind w:left="849" w:hanging="283"/>
      <w:contextualSpacing/>
    </w:pPr>
  </w:style>
  <w:style w:type="paragraph" w:styleId="List4">
    <w:name w:val="List 4"/>
    <w:basedOn w:val="Normal"/>
    <w:uiPriority w:val="99"/>
    <w:semiHidden/>
    <w:unhideWhenUsed/>
    <w:rsid w:val="000041AF"/>
    <w:pPr>
      <w:ind w:left="1132" w:hanging="283"/>
      <w:contextualSpacing/>
    </w:pPr>
  </w:style>
  <w:style w:type="paragraph" w:styleId="List5">
    <w:name w:val="List 5"/>
    <w:basedOn w:val="Normal"/>
    <w:uiPriority w:val="99"/>
    <w:semiHidden/>
    <w:unhideWhenUsed/>
    <w:rsid w:val="000041AF"/>
    <w:pPr>
      <w:ind w:left="1415" w:hanging="283"/>
      <w:contextualSpacing/>
    </w:pPr>
  </w:style>
  <w:style w:type="paragraph" w:styleId="ListBullet">
    <w:name w:val="List Bullet"/>
    <w:basedOn w:val="Normal"/>
    <w:uiPriority w:val="99"/>
    <w:semiHidden/>
    <w:unhideWhenUsed/>
    <w:rsid w:val="000041AF"/>
    <w:pPr>
      <w:numPr>
        <w:numId w:val="11"/>
      </w:numPr>
      <w:contextualSpacing/>
    </w:pPr>
  </w:style>
  <w:style w:type="paragraph" w:styleId="ListBullet2">
    <w:name w:val="List Bullet 2"/>
    <w:basedOn w:val="Normal"/>
    <w:uiPriority w:val="99"/>
    <w:semiHidden/>
    <w:unhideWhenUsed/>
    <w:rsid w:val="000041AF"/>
    <w:pPr>
      <w:numPr>
        <w:numId w:val="12"/>
      </w:numPr>
      <w:contextualSpacing/>
    </w:pPr>
  </w:style>
  <w:style w:type="paragraph" w:styleId="ListBullet3">
    <w:name w:val="List Bullet 3"/>
    <w:basedOn w:val="Normal"/>
    <w:uiPriority w:val="99"/>
    <w:semiHidden/>
    <w:unhideWhenUsed/>
    <w:rsid w:val="000041AF"/>
    <w:pPr>
      <w:numPr>
        <w:numId w:val="13"/>
      </w:numPr>
      <w:contextualSpacing/>
    </w:pPr>
  </w:style>
  <w:style w:type="paragraph" w:styleId="ListBullet4">
    <w:name w:val="List Bullet 4"/>
    <w:basedOn w:val="Normal"/>
    <w:uiPriority w:val="99"/>
    <w:semiHidden/>
    <w:unhideWhenUsed/>
    <w:rsid w:val="000041AF"/>
    <w:pPr>
      <w:numPr>
        <w:numId w:val="14"/>
      </w:numPr>
      <w:contextualSpacing/>
    </w:pPr>
  </w:style>
  <w:style w:type="paragraph" w:styleId="ListBullet5">
    <w:name w:val="List Bullet 5"/>
    <w:basedOn w:val="Normal"/>
    <w:uiPriority w:val="99"/>
    <w:semiHidden/>
    <w:unhideWhenUsed/>
    <w:rsid w:val="000041AF"/>
    <w:pPr>
      <w:numPr>
        <w:numId w:val="15"/>
      </w:numPr>
      <w:contextualSpacing/>
    </w:pPr>
  </w:style>
  <w:style w:type="paragraph" w:styleId="ListContinue">
    <w:name w:val="List Continue"/>
    <w:basedOn w:val="Normal"/>
    <w:uiPriority w:val="99"/>
    <w:semiHidden/>
    <w:unhideWhenUsed/>
    <w:rsid w:val="000041AF"/>
    <w:pPr>
      <w:spacing w:after="120"/>
      <w:ind w:left="283"/>
      <w:contextualSpacing/>
    </w:pPr>
  </w:style>
  <w:style w:type="paragraph" w:styleId="ListContinue2">
    <w:name w:val="List Continue 2"/>
    <w:basedOn w:val="Normal"/>
    <w:uiPriority w:val="99"/>
    <w:semiHidden/>
    <w:unhideWhenUsed/>
    <w:rsid w:val="000041AF"/>
    <w:pPr>
      <w:spacing w:after="120"/>
      <w:ind w:left="566"/>
      <w:contextualSpacing/>
    </w:pPr>
  </w:style>
  <w:style w:type="paragraph" w:styleId="ListContinue3">
    <w:name w:val="List Continue 3"/>
    <w:basedOn w:val="Normal"/>
    <w:uiPriority w:val="99"/>
    <w:semiHidden/>
    <w:unhideWhenUsed/>
    <w:rsid w:val="000041AF"/>
    <w:pPr>
      <w:spacing w:after="120"/>
      <w:ind w:left="849"/>
      <w:contextualSpacing/>
    </w:pPr>
  </w:style>
  <w:style w:type="paragraph" w:styleId="ListContinue4">
    <w:name w:val="List Continue 4"/>
    <w:basedOn w:val="Normal"/>
    <w:uiPriority w:val="99"/>
    <w:semiHidden/>
    <w:unhideWhenUsed/>
    <w:rsid w:val="000041AF"/>
    <w:pPr>
      <w:spacing w:after="120"/>
      <w:ind w:left="1132"/>
      <w:contextualSpacing/>
    </w:pPr>
  </w:style>
  <w:style w:type="paragraph" w:styleId="ListContinue5">
    <w:name w:val="List Continue 5"/>
    <w:basedOn w:val="Normal"/>
    <w:uiPriority w:val="99"/>
    <w:semiHidden/>
    <w:unhideWhenUsed/>
    <w:rsid w:val="000041AF"/>
    <w:pPr>
      <w:spacing w:after="120"/>
      <w:ind w:left="1415"/>
      <w:contextualSpacing/>
    </w:pPr>
  </w:style>
  <w:style w:type="paragraph" w:styleId="ListNumber">
    <w:name w:val="List Number"/>
    <w:basedOn w:val="Normal"/>
    <w:uiPriority w:val="99"/>
    <w:semiHidden/>
    <w:unhideWhenUsed/>
    <w:rsid w:val="000041AF"/>
    <w:pPr>
      <w:numPr>
        <w:numId w:val="17"/>
      </w:numPr>
      <w:contextualSpacing/>
    </w:pPr>
  </w:style>
  <w:style w:type="paragraph" w:styleId="ListNumber2">
    <w:name w:val="List Number 2"/>
    <w:basedOn w:val="Normal"/>
    <w:uiPriority w:val="99"/>
    <w:semiHidden/>
    <w:unhideWhenUsed/>
    <w:rsid w:val="000041AF"/>
    <w:pPr>
      <w:numPr>
        <w:numId w:val="18"/>
      </w:numPr>
      <w:contextualSpacing/>
    </w:pPr>
  </w:style>
  <w:style w:type="paragraph" w:styleId="ListNumber3">
    <w:name w:val="List Number 3"/>
    <w:basedOn w:val="Normal"/>
    <w:uiPriority w:val="99"/>
    <w:semiHidden/>
    <w:unhideWhenUsed/>
    <w:rsid w:val="000041AF"/>
    <w:pPr>
      <w:numPr>
        <w:numId w:val="19"/>
      </w:numPr>
      <w:contextualSpacing/>
    </w:pPr>
  </w:style>
  <w:style w:type="paragraph" w:styleId="ListNumber4">
    <w:name w:val="List Number 4"/>
    <w:basedOn w:val="Normal"/>
    <w:uiPriority w:val="99"/>
    <w:semiHidden/>
    <w:unhideWhenUsed/>
    <w:rsid w:val="000041AF"/>
    <w:pPr>
      <w:numPr>
        <w:numId w:val="20"/>
      </w:numPr>
      <w:contextualSpacing/>
    </w:pPr>
  </w:style>
  <w:style w:type="paragraph" w:styleId="ListNumber5">
    <w:name w:val="List Number 5"/>
    <w:basedOn w:val="Normal"/>
    <w:uiPriority w:val="99"/>
    <w:semiHidden/>
    <w:unhideWhenUsed/>
    <w:rsid w:val="000041AF"/>
    <w:pPr>
      <w:numPr>
        <w:numId w:val="21"/>
      </w:numPr>
      <w:contextualSpacing/>
    </w:pPr>
  </w:style>
  <w:style w:type="table" w:styleId="ListTable1Light">
    <w:name w:val="List Table 1 Light"/>
    <w:basedOn w:val="TableNormal"/>
    <w:uiPriority w:val="46"/>
    <w:rsid w:val="000041AF"/>
    <w:pPr>
      <w:spacing w:after="0"/>
    </w:pPr>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1Light-Accent1">
    <w:name w:val="List Table 1 Light Accent 1"/>
    <w:basedOn w:val="TableNormal"/>
    <w:uiPriority w:val="46"/>
    <w:rsid w:val="000041AF"/>
    <w:pPr>
      <w:spacing w:after="0"/>
    </w:pPr>
    <w:tblPr>
      <w:tblStyleRowBandSize w:val="1"/>
      <w:tblStyleColBandSize w:val="1"/>
    </w:tblPr>
    <w:tblStylePr w:type="firstRow">
      <w:rPr>
        <w:b/>
        <w:bCs/>
      </w:rPr>
      <w:tblPr/>
      <w:tcPr>
        <w:tcBorders>
          <w:bottom w:val="single" w:sz="4" w:space="0" w:color="8EAADB" w:themeColor="accent1" w:themeTint="99"/>
        </w:tcBorders>
      </w:tcPr>
    </w:tblStylePr>
    <w:tblStylePr w:type="lastRow">
      <w:rPr>
        <w:b/>
        <w:bCs/>
      </w:rPr>
      <w:tblPr/>
      <w:tcPr>
        <w:tcBorders>
          <w:top w:val="single" w:sz="4" w:space="0" w:color="8EAADB" w:themeColor="accent1" w:themeTint="99"/>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ListTable1Light-Accent2">
    <w:name w:val="List Table 1 Light Accent 2"/>
    <w:basedOn w:val="TableNormal"/>
    <w:uiPriority w:val="46"/>
    <w:rsid w:val="000041AF"/>
    <w:pPr>
      <w:spacing w:after="0"/>
    </w:pPr>
    <w:tblPr>
      <w:tblStyleRowBandSize w:val="1"/>
      <w:tblStyleColBandSize w:val="1"/>
    </w:tblPr>
    <w:tblStylePr w:type="firstRow">
      <w:rPr>
        <w:b/>
        <w:bCs/>
      </w:rPr>
      <w:tblPr/>
      <w:tcPr>
        <w:tcBorders>
          <w:bottom w:val="single" w:sz="4" w:space="0" w:color="F4B083" w:themeColor="accent2" w:themeTint="99"/>
        </w:tcBorders>
      </w:tcPr>
    </w:tblStylePr>
    <w:tblStylePr w:type="lastRow">
      <w:rPr>
        <w:b/>
        <w:bCs/>
      </w:rPr>
      <w:tblPr/>
      <w:tcPr>
        <w:tcBorders>
          <w:top w:val="single" w:sz="4" w:space="0" w:color="F4B083" w:themeColor="accent2" w:themeTint="99"/>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ListTable1Light-Accent3">
    <w:name w:val="List Table 1 Light Accent 3"/>
    <w:basedOn w:val="TableNormal"/>
    <w:uiPriority w:val="46"/>
    <w:rsid w:val="000041AF"/>
    <w:pPr>
      <w:spacing w:after="0"/>
    </w:pPr>
    <w:tblPr>
      <w:tblStyleRowBandSize w:val="1"/>
      <w:tblStyleColBandSize w:val="1"/>
    </w:tblPr>
    <w:tblStylePr w:type="firstRow">
      <w:rPr>
        <w:b/>
        <w:bCs/>
      </w:rPr>
      <w:tblPr/>
      <w:tcPr>
        <w:tcBorders>
          <w:bottom w:val="single" w:sz="4" w:space="0" w:color="C9C9C9" w:themeColor="accent3" w:themeTint="99"/>
        </w:tcBorders>
      </w:tcPr>
    </w:tblStylePr>
    <w:tblStylePr w:type="lastRow">
      <w:rPr>
        <w:b/>
        <w:bCs/>
      </w:rPr>
      <w:tblPr/>
      <w:tcPr>
        <w:tcBorders>
          <w:top w:val="single" w:sz="4" w:space="0" w:color="C9C9C9" w:themeColor="accent3" w:themeTint="99"/>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ListTable1Light-Accent4">
    <w:name w:val="List Table 1 Light Accent 4"/>
    <w:basedOn w:val="TableNormal"/>
    <w:uiPriority w:val="46"/>
    <w:rsid w:val="000041AF"/>
    <w:pPr>
      <w:spacing w:after="0"/>
    </w:pPr>
    <w:tblPr>
      <w:tblStyleRowBandSize w:val="1"/>
      <w:tblStyleColBandSize w:val="1"/>
    </w:tblPr>
    <w:tblStylePr w:type="firstRow">
      <w:rPr>
        <w:b/>
        <w:bCs/>
      </w:rPr>
      <w:tblPr/>
      <w:tcPr>
        <w:tcBorders>
          <w:bottom w:val="single" w:sz="4" w:space="0" w:color="FFD966" w:themeColor="accent4" w:themeTint="99"/>
        </w:tcBorders>
      </w:tcPr>
    </w:tblStylePr>
    <w:tblStylePr w:type="lastRow">
      <w:rPr>
        <w:b/>
        <w:bCs/>
      </w:rPr>
      <w:tblPr/>
      <w:tcPr>
        <w:tcBorders>
          <w:top w:val="single" w:sz="4" w:space="0" w:color="FFD966" w:themeColor="accent4" w:themeTint="99"/>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ListTable1Light-Accent5">
    <w:name w:val="List Table 1 Light Accent 5"/>
    <w:basedOn w:val="TableNormal"/>
    <w:uiPriority w:val="46"/>
    <w:rsid w:val="000041AF"/>
    <w:pPr>
      <w:spacing w:after="0"/>
    </w:pPr>
    <w:tblPr>
      <w:tblStyleRowBandSize w:val="1"/>
      <w:tblStyleColBandSize w:val="1"/>
    </w:tblPr>
    <w:tblStylePr w:type="firstRow">
      <w:rPr>
        <w:b/>
        <w:bCs/>
      </w:rPr>
      <w:tblPr/>
      <w:tcPr>
        <w:tcBorders>
          <w:bottom w:val="single" w:sz="4" w:space="0" w:color="9CC2E5" w:themeColor="accent5" w:themeTint="99"/>
        </w:tcBorders>
      </w:tcPr>
    </w:tblStylePr>
    <w:tblStylePr w:type="lastRow">
      <w:rPr>
        <w:b/>
        <w:bCs/>
      </w:rPr>
      <w:tblPr/>
      <w:tcPr>
        <w:tcBorders>
          <w:top w:val="single" w:sz="4" w:space="0" w:color="9CC2E5" w:themeColor="accent5" w:themeTint="99"/>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ListTable1Light-Accent6">
    <w:name w:val="List Table 1 Light Accent 6"/>
    <w:basedOn w:val="TableNormal"/>
    <w:uiPriority w:val="46"/>
    <w:rsid w:val="000041AF"/>
    <w:pPr>
      <w:spacing w:after="0"/>
    </w:pPr>
    <w:tblPr>
      <w:tblStyleRowBandSize w:val="1"/>
      <w:tblStyleColBandSize w:val="1"/>
    </w:tblPr>
    <w:tblStylePr w:type="firstRow">
      <w:rPr>
        <w:b/>
        <w:bCs/>
      </w:rPr>
      <w:tblPr/>
      <w:tcPr>
        <w:tcBorders>
          <w:bottom w:val="single" w:sz="4" w:space="0" w:color="A8D08D" w:themeColor="accent6" w:themeTint="99"/>
        </w:tcBorders>
      </w:tcPr>
    </w:tblStylePr>
    <w:tblStylePr w:type="lastRow">
      <w:rPr>
        <w:b/>
        <w:bCs/>
      </w:rPr>
      <w:tblPr/>
      <w:tcPr>
        <w:tcBorders>
          <w:top w:val="single" w:sz="4" w:space="0" w:color="A8D08D" w:themeColor="accent6" w:themeTint="99"/>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ListTable2">
    <w:name w:val="List Table 2"/>
    <w:basedOn w:val="TableNormal"/>
    <w:uiPriority w:val="47"/>
    <w:rsid w:val="000041AF"/>
    <w:pPr>
      <w:spacing w:after="0"/>
    </w:pPr>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2-Accent1">
    <w:name w:val="List Table 2 Accent 1"/>
    <w:basedOn w:val="TableNormal"/>
    <w:uiPriority w:val="47"/>
    <w:rsid w:val="000041AF"/>
    <w:pPr>
      <w:spacing w:after="0"/>
    </w:pPr>
    <w:tblPr>
      <w:tblStyleRowBandSize w:val="1"/>
      <w:tblStyleColBandSize w:val="1"/>
      <w:tblBorders>
        <w:top w:val="single" w:sz="4" w:space="0" w:color="8EAADB" w:themeColor="accent1" w:themeTint="99"/>
        <w:bottom w:val="single" w:sz="4" w:space="0" w:color="8EAADB" w:themeColor="accent1" w:themeTint="99"/>
        <w:insideH w:val="single" w:sz="4" w:space="0" w:color="8EAADB"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ListTable2-Accent2">
    <w:name w:val="List Table 2 Accent 2"/>
    <w:basedOn w:val="TableNormal"/>
    <w:uiPriority w:val="47"/>
    <w:rsid w:val="000041AF"/>
    <w:pPr>
      <w:spacing w:after="0"/>
    </w:pPr>
    <w:tblPr>
      <w:tblStyleRowBandSize w:val="1"/>
      <w:tblStyleColBandSize w:val="1"/>
      <w:tblBorders>
        <w:top w:val="single" w:sz="4" w:space="0" w:color="F4B083" w:themeColor="accent2" w:themeTint="99"/>
        <w:bottom w:val="single" w:sz="4" w:space="0" w:color="F4B083" w:themeColor="accent2" w:themeTint="99"/>
        <w:insideH w:val="single" w:sz="4" w:space="0" w:color="F4B083"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ListTable2-Accent3">
    <w:name w:val="List Table 2 Accent 3"/>
    <w:basedOn w:val="TableNormal"/>
    <w:uiPriority w:val="47"/>
    <w:rsid w:val="000041AF"/>
    <w:pPr>
      <w:spacing w:after="0"/>
    </w:pPr>
    <w:tblPr>
      <w:tblStyleRowBandSize w:val="1"/>
      <w:tblStyleColBandSize w:val="1"/>
      <w:tblBorders>
        <w:top w:val="single" w:sz="4" w:space="0" w:color="C9C9C9" w:themeColor="accent3" w:themeTint="99"/>
        <w:bottom w:val="single" w:sz="4" w:space="0" w:color="C9C9C9" w:themeColor="accent3" w:themeTint="99"/>
        <w:insideH w:val="single" w:sz="4" w:space="0" w:color="C9C9C9"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ListTable2-Accent4">
    <w:name w:val="List Table 2 Accent 4"/>
    <w:basedOn w:val="TableNormal"/>
    <w:uiPriority w:val="47"/>
    <w:rsid w:val="000041AF"/>
    <w:pPr>
      <w:spacing w:after="0"/>
    </w:pPr>
    <w:tblPr>
      <w:tblStyleRowBandSize w:val="1"/>
      <w:tblStyleColBandSize w:val="1"/>
      <w:tblBorders>
        <w:top w:val="single" w:sz="4" w:space="0" w:color="FFD966" w:themeColor="accent4" w:themeTint="99"/>
        <w:bottom w:val="single" w:sz="4" w:space="0" w:color="FFD966" w:themeColor="accent4" w:themeTint="99"/>
        <w:insideH w:val="single" w:sz="4" w:space="0" w:color="FFD966"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ListTable2-Accent5">
    <w:name w:val="List Table 2 Accent 5"/>
    <w:basedOn w:val="TableNormal"/>
    <w:uiPriority w:val="47"/>
    <w:rsid w:val="000041AF"/>
    <w:pPr>
      <w:spacing w:after="0"/>
    </w:pPr>
    <w:tblPr>
      <w:tblStyleRowBandSize w:val="1"/>
      <w:tblStyleColBandSize w:val="1"/>
      <w:tblBorders>
        <w:top w:val="single" w:sz="4" w:space="0" w:color="9CC2E5" w:themeColor="accent5" w:themeTint="99"/>
        <w:bottom w:val="single" w:sz="4" w:space="0" w:color="9CC2E5" w:themeColor="accent5" w:themeTint="99"/>
        <w:insideH w:val="single" w:sz="4" w:space="0" w:color="9CC2E5"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ListTable2-Accent6">
    <w:name w:val="List Table 2 Accent 6"/>
    <w:basedOn w:val="TableNormal"/>
    <w:uiPriority w:val="47"/>
    <w:rsid w:val="000041AF"/>
    <w:pPr>
      <w:spacing w:after="0"/>
    </w:pPr>
    <w:tblPr>
      <w:tblStyleRowBandSize w:val="1"/>
      <w:tblStyleColBandSize w:val="1"/>
      <w:tblBorders>
        <w:top w:val="single" w:sz="4" w:space="0" w:color="A8D08D" w:themeColor="accent6" w:themeTint="99"/>
        <w:bottom w:val="single" w:sz="4" w:space="0" w:color="A8D08D" w:themeColor="accent6" w:themeTint="99"/>
        <w:insideH w:val="single" w:sz="4" w:space="0" w:color="A8D08D"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ListTable3">
    <w:name w:val="List Table 3"/>
    <w:basedOn w:val="TableNormal"/>
    <w:uiPriority w:val="48"/>
    <w:rsid w:val="000041AF"/>
    <w:pPr>
      <w:spacing w:after="0"/>
    </w:p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ListTable3-Accent1">
    <w:name w:val="List Table 3 Accent 1"/>
    <w:basedOn w:val="TableNormal"/>
    <w:uiPriority w:val="48"/>
    <w:rsid w:val="000041AF"/>
    <w:pPr>
      <w:spacing w:after="0"/>
    </w:pPr>
    <w:tblPr>
      <w:tblStyleRowBandSize w:val="1"/>
      <w:tblStyleColBandSize w:val="1"/>
      <w:tblBorders>
        <w:top w:val="single" w:sz="4" w:space="0" w:color="4472C4" w:themeColor="accent1"/>
        <w:left w:val="single" w:sz="4" w:space="0" w:color="4472C4" w:themeColor="accent1"/>
        <w:bottom w:val="single" w:sz="4" w:space="0" w:color="4472C4" w:themeColor="accent1"/>
        <w:right w:val="single" w:sz="4" w:space="0" w:color="4472C4" w:themeColor="accent1"/>
      </w:tblBorders>
    </w:tblPr>
    <w:tblStylePr w:type="firstRow">
      <w:rPr>
        <w:b/>
        <w:bCs/>
        <w:color w:val="FFFFFF" w:themeColor="background1"/>
      </w:rPr>
      <w:tblPr/>
      <w:tcPr>
        <w:shd w:val="clear" w:color="auto" w:fill="4472C4" w:themeFill="accent1"/>
      </w:tcPr>
    </w:tblStylePr>
    <w:tblStylePr w:type="lastRow">
      <w:rPr>
        <w:b/>
        <w:bCs/>
      </w:rPr>
      <w:tblPr/>
      <w:tcPr>
        <w:tcBorders>
          <w:top w:val="double" w:sz="4" w:space="0" w:color="4472C4"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472C4" w:themeColor="accent1"/>
          <w:right w:val="single" w:sz="4" w:space="0" w:color="4472C4" w:themeColor="accent1"/>
        </w:tcBorders>
      </w:tcPr>
    </w:tblStylePr>
    <w:tblStylePr w:type="band1Horz">
      <w:tblPr/>
      <w:tcPr>
        <w:tcBorders>
          <w:top w:val="single" w:sz="4" w:space="0" w:color="4472C4" w:themeColor="accent1"/>
          <w:bottom w:val="single" w:sz="4" w:space="0" w:color="4472C4"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472C4" w:themeColor="accent1"/>
          <w:left w:val="nil"/>
        </w:tcBorders>
      </w:tcPr>
    </w:tblStylePr>
    <w:tblStylePr w:type="swCell">
      <w:tblPr/>
      <w:tcPr>
        <w:tcBorders>
          <w:top w:val="double" w:sz="4" w:space="0" w:color="4472C4" w:themeColor="accent1"/>
          <w:right w:val="nil"/>
        </w:tcBorders>
      </w:tcPr>
    </w:tblStylePr>
  </w:style>
  <w:style w:type="table" w:styleId="ListTable3-Accent2">
    <w:name w:val="List Table 3 Accent 2"/>
    <w:basedOn w:val="TableNormal"/>
    <w:uiPriority w:val="48"/>
    <w:rsid w:val="000041AF"/>
    <w:pPr>
      <w:spacing w:after="0"/>
    </w:pPr>
    <w:tblPr>
      <w:tblStyleRowBandSize w:val="1"/>
      <w:tblStyleColBandSize w:val="1"/>
      <w:tblBorders>
        <w:top w:val="single" w:sz="4" w:space="0" w:color="ED7D31" w:themeColor="accent2"/>
        <w:left w:val="single" w:sz="4" w:space="0" w:color="ED7D31" w:themeColor="accent2"/>
        <w:bottom w:val="single" w:sz="4" w:space="0" w:color="ED7D31" w:themeColor="accent2"/>
        <w:right w:val="single" w:sz="4" w:space="0" w:color="ED7D31" w:themeColor="accent2"/>
      </w:tblBorders>
    </w:tblPr>
    <w:tblStylePr w:type="firstRow">
      <w:rPr>
        <w:b/>
        <w:bCs/>
        <w:color w:val="FFFFFF" w:themeColor="background1"/>
      </w:rPr>
      <w:tblPr/>
      <w:tcPr>
        <w:shd w:val="clear" w:color="auto" w:fill="ED7D31" w:themeFill="accent2"/>
      </w:tcPr>
    </w:tblStylePr>
    <w:tblStylePr w:type="lastRow">
      <w:rPr>
        <w:b/>
        <w:bCs/>
      </w:rPr>
      <w:tblPr/>
      <w:tcPr>
        <w:tcBorders>
          <w:top w:val="double" w:sz="4" w:space="0" w:color="ED7D31"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ED7D31" w:themeColor="accent2"/>
          <w:right w:val="single" w:sz="4" w:space="0" w:color="ED7D31" w:themeColor="accent2"/>
        </w:tcBorders>
      </w:tcPr>
    </w:tblStylePr>
    <w:tblStylePr w:type="band1Horz">
      <w:tblPr/>
      <w:tcPr>
        <w:tcBorders>
          <w:top w:val="single" w:sz="4" w:space="0" w:color="ED7D31" w:themeColor="accent2"/>
          <w:bottom w:val="single" w:sz="4" w:space="0" w:color="ED7D31"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ED7D31" w:themeColor="accent2"/>
          <w:left w:val="nil"/>
        </w:tcBorders>
      </w:tcPr>
    </w:tblStylePr>
    <w:tblStylePr w:type="swCell">
      <w:tblPr/>
      <w:tcPr>
        <w:tcBorders>
          <w:top w:val="double" w:sz="4" w:space="0" w:color="ED7D31" w:themeColor="accent2"/>
          <w:right w:val="nil"/>
        </w:tcBorders>
      </w:tcPr>
    </w:tblStylePr>
  </w:style>
  <w:style w:type="table" w:styleId="ListTable3-Accent3">
    <w:name w:val="List Table 3 Accent 3"/>
    <w:basedOn w:val="TableNormal"/>
    <w:uiPriority w:val="48"/>
    <w:rsid w:val="000041AF"/>
    <w:pPr>
      <w:spacing w:after="0"/>
    </w:pPr>
    <w:tblPr>
      <w:tblStyleRowBandSize w:val="1"/>
      <w:tblStyleColBandSize w:val="1"/>
      <w:tblBorders>
        <w:top w:val="single" w:sz="4" w:space="0" w:color="A5A5A5" w:themeColor="accent3"/>
        <w:left w:val="single" w:sz="4" w:space="0" w:color="A5A5A5" w:themeColor="accent3"/>
        <w:bottom w:val="single" w:sz="4" w:space="0" w:color="A5A5A5" w:themeColor="accent3"/>
        <w:right w:val="single" w:sz="4" w:space="0" w:color="A5A5A5" w:themeColor="accent3"/>
      </w:tblBorders>
    </w:tblPr>
    <w:tblStylePr w:type="firstRow">
      <w:rPr>
        <w:b/>
        <w:bCs/>
        <w:color w:val="FFFFFF" w:themeColor="background1"/>
      </w:rPr>
      <w:tblPr/>
      <w:tcPr>
        <w:shd w:val="clear" w:color="auto" w:fill="A5A5A5" w:themeFill="accent3"/>
      </w:tcPr>
    </w:tblStylePr>
    <w:tblStylePr w:type="lastRow">
      <w:rPr>
        <w:b/>
        <w:bCs/>
      </w:rPr>
      <w:tblPr/>
      <w:tcPr>
        <w:tcBorders>
          <w:top w:val="double" w:sz="4" w:space="0" w:color="A5A5A5"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A5A5A5" w:themeColor="accent3"/>
          <w:right w:val="single" w:sz="4" w:space="0" w:color="A5A5A5" w:themeColor="accent3"/>
        </w:tcBorders>
      </w:tcPr>
    </w:tblStylePr>
    <w:tblStylePr w:type="band1Horz">
      <w:tblPr/>
      <w:tcPr>
        <w:tcBorders>
          <w:top w:val="single" w:sz="4" w:space="0" w:color="A5A5A5" w:themeColor="accent3"/>
          <w:bottom w:val="single" w:sz="4" w:space="0" w:color="A5A5A5"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A5A5A5" w:themeColor="accent3"/>
          <w:left w:val="nil"/>
        </w:tcBorders>
      </w:tcPr>
    </w:tblStylePr>
    <w:tblStylePr w:type="swCell">
      <w:tblPr/>
      <w:tcPr>
        <w:tcBorders>
          <w:top w:val="double" w:sz="4" w:space="0" w:color="A5A5A5" w:themeColor="accent3"/>
          <w:right w:val="nil"/>
        </w:tcBorders>
      </w:tcPr>
    </w:tblStylePr>
  </w:style>
  <w:style w:type="table" w:styleId="ListTable3-Accent4">
    <w:name w:val="List Table 3 Accent 4"/>
    <w:basedOn w:val="TableNormal"/>
    <w:uiPriority w:val="48"/>
    <w:rsid w:val="000041AF"/>
    <w:pPr>
      <w:spacing w:after="0"/>
    </w:pPr>
    <w:tblPr>
      <w:tblStyleRowBandSize w:val="1"/>
      <w:tblStyleColBandSize w:val="1"/>
      <w:tblBorders>
        <w:top w:val="single" w:sz="4" w:space="0" w:color="FFC000" w:themeColor="accent4"/>
        <w:left w:val="single" w:sz="4" w:space="0" w:color="FFC000" w:themeColor="accent4"/>
        <w:bottom w:val="single" w:sz="4" w:space="0" w:color="FFC000" w:themeColor="accent4"/>
        <w:right w:val="single" w:sz="4" w:space="0" w:color="FFC000" w:themeColor="accent4"/>
      </w:tblBorders>
    </w:tblPr>
    <w:tblStylePr w:type="firstRow">
      <w:rPr>
        <w:b/>
        <w:bCs/>
        <w:color w:val="FFFFFF" w:themeColor="background1"/>
      </w:rPr>
      <w:tblPr/>
      <w:tcPr>
        <w:shd w:val="clear" w:color="auto" w:fill="FFC000" w:themeFill="accent4"/>
      </w:tcPr>
    </w:tblStylePr>
    <w:tblStylePr w:type="lastRow">
      <w:rPr>
        <w:b/>
        <w:bCs/>
      </w:rPr>
      <w:tblPr/>
      <w:tcPr>
        <w:tcBorders>
          <w:top w:val="double" w:sz="4" w:space="0" w:color="FFC000"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FFC000" w:themeColor="accent4"/>
          <w:right w:val="single" w:sz="4" w:space="0" w:color="FFC000" w:themeColor="accent4"/>
        </w:tcBorders>
      </w:tcPr>
    </w:tblStylePr>
    <w:tblStylePr w:type="band1Horz">
      <w:tblPr/>
      <w:tcPr>
        <w:tcBorders>
          <w:top w:val="single" w:sz="4" w:space="0" w:color="FFC000" w:themeColor="accent4"/>
          <w:bottom w:val="single" w:sz="4" w:space="0" w:color="FFC000"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FFC000" w:themeColor="accent4"/>
          <w:left w:val="nil"/>
        </w:tcBorders>
      </w:tcPr>
    </w:tblStylePr>
    <w:tblStylePr w:type="swCell">
      <w:tblPr/>
      <w:tcPr>
        <w:tcBorders>
          <w:top w:val="double" w:sz="4" w:space="0" w:color="FFC000" w:themeColor="accent4"/>
          <w:right w:val="nil"/>
        </w:tcBorders>
      </w:tcPr>
    </w:tblStylePr>
  </w:style>
  <w:style w:type="table" w:styleId="ListTable3-Accent5">
    <w:name w:val="List Table 3 Accent 5"/>
    <w:basedOn w:val="TableNormal"/>
    <w:uiPriority w:val="48"/>
    <w:rsid w:val="000041AF"/>
    <w:pPr>
      <w:spacing w:after="0"/>
    </w:pPr>
    <w:tblPr>
      <w:tblStyleRowBandSize w:val="1"/>
      <w:tblStyleColBandSize w:val="1"/>
      <w:tblBorders>
        <w:top w:val="single" w:sz="4" w:space="0" w:color="5B9BD5" w:themeColor="accent5"/>
        <w:left w:val="single" w:sz="4" w:space="0" w:color="5B9BD5" w:themeColor="accent5"/>
        <w:bottom w:val="single" w:sz="4" w:space="0" w:color="5B9BD5" w:themeColor="accent5"/>
        <w:right w:val="single" w:sz="4" w:space="0" w:color="5B9BD5" w:themeColor="accent5"/>
      </w:tblBorders>
    </w:tblPr>
    <w:tblStylePr w:type="firstRow">
      <w:rPr>
        <w:b/>
        <w:bCs/>
        <w:color w:val="FFFFFF" w:themeColor="background1"/>
      </w:rPr>
      <w:tblPr/>
      <w:tcPr>
        <w:shd w:val="clear" w:color="auto" w:fill="5B9BD5" w:themeFill="accent5"/>
      </w:tcPr>
    </w:tblStylePr>
    <w:tblStylePr w:type="lastRow">
      <w:rPr>
        <w:b/>
        <w:bCs/>
      </w:rPr>
      <w:tblPr/>
      <w:tcPr>
        <w:tcBorders>
          <w:top w:val="double" w:sz="4" w:space="0" w:color="5B9BD5"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5B9BD5" w:themeColor="accent5"/>
          <w:right w:val="single" w:sz="4" w:space="0" w:color="5B9BD5" w:themeColor="accent5"/>
        </w:tcBorders>
      </w:tcPr>
    </w:tblStylePr>
    <w:tblStylePr w:type="band1Horz">
      <w:tblPr/>
      <w:tcPr>
        <w:tcBorders>
          <w:top w:val="single" w:sz="4" w:space="0" w:color="5B9BD5" w:themeColor="accent5"/>
          <w:bottom w:val="single" w:sz="4" w:space="0" w:color="5B9BD5"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5B9BD5" w:themeColor="accent5"/>
          <w:left w:val="nil"/>
        </w:tcBorders>
      </w:tcPr>
    </w:tblStylePr>
    <w:tblStylePr w:type="swCell">
      <w:tblPr/>
      <w:tcPr>
        <w:tcBorders>
          <w:top w:val="double" w:sz="4" w:space="0" w:color="5B9BD5" w:themeColor="accent5"/>
          <w:right w:val="nil"/>
        </w:tcBorders>
      </w:tcPr>
    </w:tblStylePr>
  </w:style>
  <w:style w:type="table" w:styleId="ListTable3-Accent6">
    <w:name w:val="List Table 3 Accent 6"/>
    <w:basedOn w:val="TableNormal"/>
    <w:uiPriority w:val="48"/>
    <w:rsid w:val="000041AF"/>
    <w:pPr>
      <w:spacing w:after="0"/>
    </w:pPr>
    <w:tblPr>
      <w:tblStyleRowBandSize w:val="1"/>
      <w:tblStyleColBandSize w:val="1"/>
      <w:tblBorders>
        <w:top w:val="single" w:sz="4" w:space="0" w:color="70AD47" w:themeColor="accent6"/>
        <w:left w:val="single" w:sz="4" w:space="0" w:color="70AD47" w:themeColor="accent6"/>
        <w:bottom w:val="single" w:sz="4" w:space="0" w:color="70AD47" w:themeColor="accent6"/>
        <w:right w:val="single" w:sz="4" w:space="0" w:color="70AD47" w:themeColor="accent6"/>
      </w:tblBorders>
    </w:tblPr>
    <w:tblStylePr w:type="firstRow">
      <w:rPr>
        <w:b/>
        <w:bCs/>
        <w:color w:val="FFFFFF" w:themeColor="background1"/>
      </w:rPr>
      <w:tblPr/>
      <w:tcPr>
        <w:shd w:val="clear" w:color="auto" w:fill="70AD47" w:themeFill="accent6"/>
      </w:tcPr>
    </w:tblStylePr>
    <w:tblStylePr w:type="lastRow">
      <w:rPr>
        <w:b/>
        <w:bCs/>
      </w:rPr>
      <w:tblPr/>
      <w:tcPr>
        <w:tcBorders>
          <w:top w:val="double" w:sz="4" w:space="0" w:color="70AD47"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70AD47" w:themeColor="accent6"/>
          <w:right w:val="single" w:sz="4" w:space="0" w:color="70AD47" w:themeColor="accent6"/>
        </w:tcBorders>
      </w:tcPr>
    </w:tblStylePr>
    <w:tblStylePr w:type="band1Horz">
      <w:tblPr/>
      <w:tcPr>
        <w:tcBorders>
          <w:top w:val="single" w:sz="4" w:space="0" w:color="70AD47" w:themeColor="accent6"/>
          <w:bottom w:val="single" w:sz="4" w:space="0" w:color="70AD47"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70AD47" w:themeColor="accent6"/>
          <w:left w:val="nil"/>
        </w:tcBorders>
      </w:tcPr>
    </w:tblStylePr>
    <w:tblStylePr w:type="swCell">
      <w:tblPr/>
      <w:tcPr>
        <w:tcBorders>
          <w:top w:val="double" w:sz="4" w:space="0" w:color="70AD47" w:themeColor="accent6"/>
          <w:right w:val="nil"/>
        </w:tcBorders>
      </w:tcPr>
    </w:tblStylePr>
  </w:style>
  <w:style w:type="table" w:styleId="ListTable4">
    <w:name w:val="List Table 4"/>
    <w:basedOn w:val="TableNormal"/>
    <w:uiPriority w:val="49"/>
    <w:rsid w:val="000041AF"/>
    <w:pPr>
      <w:spacing w:after="0"/>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4-Accent1">
    <w:name w:val="List Table 4 Accent 1"/>
    <w:basedOn w:val="TableNormal"/>
    <w:uiPriority w:val="49"/>
    <w:rsid w:val="000041AF"/>
    <w:pPr>
      <w:spacing w:after="0"/>
    </w:p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tblBorders>
    </w:tblPr>
    <w:tblStylePr w:type="firstRow">
      <w:rPr>
        <w:b/>
        <w:bCs/>
        <w:color w:val="FFFFFF" w:themeColor="background1"/>
      </w:rPr>
      <w:tblPr/>
      <w:tcPr>
        <w:tcBorders>
          <w:top w:val="single" w:sz="4" w:space="0" w:color="4472C4" w:themeColor="accent1"/>
          <w:left w:val="single" w:sz="4" w:space="0" w:color="4472C4" w:themeColor="accent1"/>
          <w:bottom w:val="single" w:sz="4" w:space="0" w:color="4472C4" w:themeColor="accent1"/>
          <w:right w:val="single" w:sz="4" w:space="0" w:color="4472C4" w:themeColor="accent1"/>
          <w:insideH w:val="nil"/>
        </w:tcBorders>
        <w:shd w:val="clear" w:color="auto" w:fill="4472C4" w:themeFill="accent1"/>
      </w:tcPr>
    </w:tblStylePr>
    <w:tblStylePr w:type="lastRow">
      <w:rPr>
        <w:b/>
        <w:bCs/>
      </w:rPr>
      <w:tblPr/>
      <w:tcPr>
        <w:tcBorders>
          <w:top w:val="double" w:sz="4" w:space="0" w:color="8EAADB" w:themeColor="accent1" w:themeTint="99"/>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ListTable4-Accent2">
    <w:name w:val="List Table 4 Accent 2"/>
    <w:basedOn w:val="TableNormal"/>
    <w:uiPriority w:val="49"/>
    <w:rsid w:val="000041AF"/>
    <w:pPr>
      <w:spacing w:after="0"/>
    </w:p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tblBorders>
    </w:tblPr>
    <w:tblStylePr w:type="firstRow">
      <w:rPr>
        <w:b/>
        <w:bCs/>
        <w:color w:val="FFFFFF" w:themeColor="background1"/>
      </w:rPr>
      <w:tblPr/>
      <w:tcPr>
        <w:tcBorders>
          <w:top w:val="single" w:sz="4" w:space="0" w:color="ED7D31" w:themeColor="accent2"/>
          <w:left w:val="single" w:sz="4" w:space="0" w:color="ED7D31" w:themeColor="accent2"/>
          <w:bottom w:val="single" w:sz="4" w:space="0" w:color="ED7D31" w:themeColor="accent2"/>
          <w:right w:val="single" w:sz="4" w:space="0" w:color="ED7D31" w:themeColor="accent2"/>
          <w:insideH w:val="nil"/>
        </w:tcBorders>
        <w:shd w:val="clear" w:color="auto" w:fill="ED7D31" w:themeFill="accent2"/>
      </w:tcPr>
    </w:tblStylePr>
    <w:tblStylePr w:type="lastRow">
      <w:rPr>
        <w:b/>
        <w:bCs/>
      </w:rPr>
      <w:tblPr/>
      <w:tcPr>
        <w:tcBorders>
          <w:top w:val="double" w:sz="4" w:space="0" w:color="F4B083" w:themeColor="accent2" w:themeTint="99"/>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ListTable4-Accent3">
    <w:name w:val="List Table 4 Accent 3"/>
    <w:basedOn w:val="TableNormal"/>
    <w:uiPriority w:val="49"/>
    <w:rsid w:val="000041AF"/>
    <w:pPr>
      <w:spacing w:after="0"/>
    </w:p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tblBorders>
    </w:tblPr>
    <w:tblStylePr w:type="firstRow">
      <w:rPr>
        <w:b/>
        <w:bCs/>
        <w:color w:val="FFFFFF" w:themeColor="background1"/>
      </w:rPr>
      <w:tblPr/>
      <w:tcPr>
        <w:tcBorders>
          <w:top w:val="single" w:sz="4" w:space="0" w:color="A5A5A5" w:themeColor="accent3"/>
          <w:left w:val="single" w:sz="4" w:space="0" w:color="A5A5A5" w:themeColor="accent3"/>
          <w:bottom w:val="single" w:sz="4" w:space="0" w:color="A5A5A5" w:themeColor="accent3"/>
          <w:right w:val="single" w:sz="4" w:space="0" w:color="A5A5A5" w:themeColor="accent3"/>
          <w:insideH w:val="nil"/>
        </w:tcBorders>
        <w:shd w:val="clear" w:color="auto" w:fill="A5A5A5" w:themeFill="accent3"/>
      </w:tcPr>
    </w:tblStylePr>
    <w:tblStylePr w:type="lastRow">
      <w:rPr>
        <w:b/>
        <w:bCs/>
      </w:rPr>
      <w:tblPr/>
      <w:tcPr>
        <w:tcBorders>
          <w:top w:val="double" w:sz="4" w:space="0" w:color="C9C9C9" w:themeColor="accent3" w:themeTint="99"/>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ListTable4-Accent4">
    <w:name w:val="List Table 4 Accent 4"/>
    <w:basedOn w:val="TableNormal"/>
    <w:uiPriority w:val="49"/>
    <w:rsid w:val="000041AF"/>
    <w:pPr>
      <w:spacing w:after="0"/>
    </w:p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tblBorders>
    </w:tblPr>
    <w:tblStylePr w:type="firstRow">
      <w:rPr>
        <w:b/>
        <w:bCs/>
        <w:color w:val="FFFFFF" w:themeColor="background1"/>
      </w:rPr>
      <w:tblPr/>
      <w:tcPr>
        <w:tcBorders>
          <w:top w:val="single" w:sz="4" w:space="0" w:color="FFC000" w:themeColor="accent4"/>
          <w:left w:val="single" w:sz="4" w:space="0" w:color="FFC000" w:themeColor="accent4"/>
          <w:bottom w:val="single" w:sz="4" w:space="0" w:color="FFC000" w:themeColor="accent4"/>
          <w:right w:val="single" w:sz="4" w:space="0" w:color="FFC000" w:themeColor="accent4"/>
          <w:insideH w:val="nil"/>
        </w:tcBorders>
        <w:shd w:val="clear" w:color="auto" w:fill="FFC000" w:themeFill="accent4"/>
      </w:tcPr>
    </w:tblStylePr>
    <w:tblStylePr w:type="lastRow">
      <w:rPr>
        <w:b/>
        <w:bCs/>
      </w:rPr>
      <w:tblPr/>
      <w:tcPr>
        <w:tcBorders>
          <w:top w:val="double" w:sz="4" w:space="0" w:color="FFD966" w:themeColor="accent4" w:themeTint="99"/>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ListTable4-Accent5">
    <w:name w:val="List Table 4 Accent 5"/>
    <w:basedOn w:val="TableNormal"/>
    <w:uiPriority w:val="49"/>
    <w:rsid w:val="000041AF"/>
    <w:pPr>
      <w:spacing w:after="0"/>
    </w:p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tblBorders>
    </w:tblPr>
    <w:tblStylePr w:type="firstRow">
      <w:rPr>
        <w:b/>
        <w:bCs/>
        <w:color w:val="FFFFFF" w:themeColor="background1"/>
      </w:rPr>
      <w:tblPr/>
      <w:tcPr>
        <w:tcBorders>
          <w:top w:val="single" w:sz="4" w:space="0" w:color="5B9BD5" w:themeColor="accent5"/>
          <w:left w:val="single" w:sz="4" w:space="0" w:color="5B9BD5" w:themeColor="accent5"/>
          <w:bottom w:val="single" w:sz="4" w:space="0" w:color="5B9BD5" w:themeColor="accent5"/>
          <w:right w:val="single" w:sz="4" w:space="0" w:color="5B9BD5" w:themeColor="accent5"/>
          <w:insideH w:val="nil"/>
        </w:tcBorders>
        <w:shd w:val="clear" w:color="auto" w:fill="5B9BD5" w:themeFill="accent5"/>
      </w:tcPr>
    </w:tblStylePr>
    <w:tblStylePr w:type="lastRow">
      <w:rPr>
        <w:b/>
        <w:bCs/>
      </w:rPr>
      <w:tblPr/>
      <w:tcPr>
        <w:tcBorders>
          <w:top w:val="double" w:sz="4" w:space="0" w:color="9CC2E5" w:themeColor="accent5" w:themeTint="99"/>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ListTable4-Accent6">
    <w:name w:val="List Table 4 Accent 6"/>
    <w:basedOn w:val="TableNormal"/>
    <w:uiPriority w:val="49"/>
    <w:rsid w:val="000041AF"/>
    <w:pPr>
      <w:spacing w:after="0"/>
    </w:p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tblBorders>
    </w:tblPr>
    <w:tblStylePr w:type="firstRow">
      <w:rPr>
        <w:b/>
        <w:bCs/>
        <w:color w:val="FFFFFF" w:themeColor="background1"/>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insideH w:val="nil"/>
        </w:tcBorders>
        <w:shd w:val="clear" w:color="auto" w:fill="70AD47" w:themeFill="accent6"/>
      </w:tcPr>
    </w:tblStylePr>
    <w:tblStylePr w:type="lastRow">
      <w:rPr>
        <w:b/>
        <w:bCs/>
      </w:rPr>
      <w:tblPr/>
      <w:tcPr>
        <w:tcBorders>
          <w:top w:val="double" w:sz="4" w:space="0" w:color="A8D08D" w:themeColor="accent6" w:themeTint="99"/>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ListTable5Dark">
    <w:name w:val="List Table 5 Dark"/>
    <w:basedOn w:val="TableNormal"/>
    <w:uiPriority w:val="50"/>
    <w:rsid w:val="000041AF"/>
    <w:pPr>
      <w:spacing w:after="0"/>
    </w:pPr>
    <w:rPr>
      <w:color w:val="FFFFFF"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1">
    <w:name w:val="List Table 5 Dark Accent 1"/>
    <w:basedOn w:val="TableNormal"/>
    <w:uiPriority w:val="50"/>
    <w:rsid w:val="000041AF"/>
    <w:pPr>
      <w:spacing w:after="0"/>
    </w:pPr>
    <w:rPr>
      <w:color w:val="FFFFFF" w:themeColor="background1"/>
    </w:rPr>
    <w:tblPr>
      <w:tblStyleRowBandSize w:val="1"/>
      <w:tblStyleColBandSize w:val="1"/>
      <w:tblBorders>
        <w:top w:val="single" w:sz="24" w:space="0" w:color="4472C4" w:themeColor="accent1"/>
        <w:left w:val="single" w:sz="24" w:space="0" w:color="4472C4" w:themeColor="accent1"/>
        <w:bottom w:val="single" w:sz="24" w:space="0" w:color="4472C4" w:themeColor="accent1"/>
        <w:right w:val="single" w:sz="24" w:space="0" w:color="4472C4" w:themeColor="accent1"/>
      </w:tblBorders>
    </w:tblPr>
    <w:tcPr>
      <w:shd w:val="clear" w:color="auto" w:fill="4472C4"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2">
    <w:name w:val="List Table 5 Dark Accent 2"/>
    <w:basedOn w:val="TableNormal"/>
    <w:uiPriority w:val="50"/>
    <w:rsid w:val="000041AF"/>
    <w:pPr>
      <w:spacing w:after="0"/>
    </w:pPr>
    <w:rPr>
      <w:color w:val="FFFFFF" w:themeColor="background1"/>
    </w:rPr>
    <w:tblPr>
      <w:tblStyleRowBandSize w:val="1"/>
      <w:tblStyleColBandSize w:val="1"/>
      <w:tblBorders>
        <w:top w:val="single" w:sz="24" w:space="0" w:color="ED7D31" w:themeColor="accent2"/>
        <w:left w:val="single" w:sz="24" w:space="0" w:color="ED7D31" w:themeColor="accent2"/>
        <w:bottom w:val="single" w:sz="24" w:space="0" w:color="ED7D31" w:themeColor="accent2"/>
        <w:right w:val="single" w:sz="24" w:space="0" w:color="ED7D31" w:themeColor="accent2"/>
      </w:tblBorders>
    </w:tblPr>
    <w:tcPr>
      <w:shd w:val="clear" w:color="auto" w:fill="ED7D31"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3">
    <w:name w:val="List Table 5 Dark Accent 3"/>
    <w:basedOn w:val="TableNormal"/>
    <w:uiPriority w:val="50"/>
    <w:rsid w:val="000041AF"/>
    <w:pPr>
      <w:spacing w:after="0"/>
    </w:pPr>
    <w:rPr>
      <w:color w:val="FFFFFF" w:themeColor="background1"/>
    </w:rPr>
    <w:tblPr>
      <w:tblStyleRowBandSize w:val="1"/>
      <w:tblStyleColBandSize w:val="1"/>
      <w:tblBorders>
        <w:top w:val="single" w:sz="24" w:space="0" w:color="A5A5A5" w:themeColor="accent3"/>
        <w:left w:val="single" w:sz="24" w:space="0" w:color="A5A5A5" w:themeColor="accent3"/>
        <w:bottom w:val="single" w:sz="24" w:space="0" w:color="A5A5A5" w:themeColor="accent3"/>
        <w:right w:val="single" w:sz="24" w:space="0" w:color="A5A5A5" w:themeColor="accent3"/>
      </w:tblBorders>
    </w:tblPr>
    <w:tcPr>
      <w:shd w:val="clear" w:color="auto" w:fill="A5A5A5"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4">
    <w:name w:val="List Table 5 Dark Accent 4"/>
    <w:basedOn w:val="TableNormal"/>
    <w:uiPriority w:val="50"/>
    <w:rsid w:val="000041AF"/>
    <w:pPr>
      <w:spacing w:after="0"/>
    </w:pPr>
    <w:rPr>
      <w:color w:val="FFFFFF" w:themeColor="background1"/>
    </w:rPr>
    <w:tblPr>
      <w:tblStyleRowBandSize w:val="1"/>
      <w:tblStyleColBandSize w:val="1"/>
      <w:tblBorders>
        <w:top w:val="single" w:sz="24" w:space="0" w:color="FFC000" w:themeColor="accent4"/>
        <w:left w:val="single" w:sz="24" w:space="0" w:color="FFC000" w:themeColor="accent4"/>
        <w:bottom w:val="single" w:sz="24" w:space="0" w:color="FFC000" w:themeColor="accent4"/>
        <w:right w:val="single" w:sz="24" w:space="0" w:color="FFC000" w:themeColor="accent4"/>
      </w:tblBorders>
    </w:tblPr>
    <w:tcPr>
      <w:shd w:val="clear" w:color="auto" w:fill="FFC000"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5">
    <w:name w:val="List Table 5 Dark Accent 5"/>
    <w:basedOn w:val="TableNormal"/>
    <w:uiPriority w:val="50"/>
    <w:rsid w:val="000041AF"/>
    <w:pPr>
      <w:spacing w:after="0"/>
    </w:pPr>
    <w:rPr>
      <w:color w:val="FFFFFF" w:themeColor="background1"/>
    </w:rPr>
    <w:tblPr>
      <w:tblStyleRowBandSize w:val="1"/>
      <w:tblStyleColBandSize w:val="1"/>
      <w:tblBorders>
        <w:top w:val="single" w:sz="24" w:space="0" w:color="5B9BD5" w:themeColor="accent5"/>
        <w:left w:val="single" w:sz="24" w:space="0" w:color="5B9BD5" w:themeColor="accent5"/>
        <w:bottom w:val="single" w:sz="24" w:space="0" w:color="5B9BD5" w:themeColor="accent5"/>
        <w:right w:val="single" w:sz="24" w:space="0" w:color="5B9BD5" w:themeColor="accent5"/>
      </w:tblBorders>
    </w:tblPr>
    <w:tcPr>
      <w:shd w:val="clear" w:color="auto" w:fill="5B9BD5"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6">
    <w:name w:val="List Table 5 Dark Accent 6"/>
    <w:basedOn w:val="TableNormal"/>
    <w:uiPriority w:val="50"/>
    <w:rsid w:val="000041AF"/>
    <w:pPr>
      <w:spacing w:after="0"/>
    </w:pPr>
    <w:rPr>
      <w:color w:val="FFFFFF" w:themeColor="background1"/>
    </w:rPr>
    <w:tblPr>
      <w:tblStyleRowBandSize w:val="1"/>
      <w:tblStyleColBandSize w:val="1"/>
      <w:tblBorders>
        <w:top w:val="single" w:sz="24" w:space="0" w:color="70AD47" w:themeColor="accent6"/>
        <w:left w:val="single" w:sz="24" w:space="0" w:color="70AD47" w:themeColor="accent6"/>
        <w:bottom w:val="single" w:sz="24" w:space="0" w:color="70AD47" w:themeColor="accent6"/>
        <w:right w:val="single" w:sz="24" w:space="0" w:color="70AD47" w:themeColor="accent6"/>
      </w:tblBorders>
    </w:tblPr>
    <w:tcPr>
      <w:shd w:val="clear" w:color="auto" w:fill="70AD47"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rful">
    <w:name w:val="List Table 6 Colorful"/>
    <w:basedOn w:val="TableNormal"/>
    <w:uiPriority w:val="51"/>
    <w:rsid w:val="000041AF"/>
    <w:pPr>
      <w:spacing w:after="0"/>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6Colorful-Accent1">
    <w:name w:val="List Table 6 Colorful Accent 1"/>
    <w:basedOn w:val="TableNormal"/>
    <w:uiPriority w:val="51"/>
    <w:rsid w:val="000041AF"/>
    <w:pPr>
      <w:spacing w:after="0"/>
    </w:pPr>
    <w:rPr>
      <w:color w:val="2F5496" w:themeColor="accent1" w:themeShade="BF"/>
    </w:rPr>
    <w:tblPr>
      <w:tblStyleRowBandSize w:val="1"/>
      <w:tblStyleColBandSize w:val="1"/>
      <w:tblBorders>
        <w:top w:val="single" w:sz="4" w:space="0" w:color="4472C4" w:themeColor="accent1"/>
        <w:bottom w:val="single" w:sz="4" w:space="0" w:color="4472C4" w:themeColor="accent1"/>
      </w:tblBorders>
    </w:tblPr>
    <w:tblStylePr w:type="firstRow">
      <w:rPr>
        <w:b/>
        <w:bCs/>
      </w:rPr>
      <w:tblPr/>
      <w:tcPr>
        <w:tcBorders>
          <w:bottom w:val="single" w:sz="4" w:space="0" w:color="4472C4" w:themeColor="accent1"/>
        </w:tcBorders>
      </w:tcPr>
    </w:tblStylePr>
    <w:tblStylePr w:type="lastRow">
      <w:rPr>
        <w:b/>
        <w:bCs/>
      </w:rPr>
      <w:tblPr/>
      <w:tcPr>
        <w:tcBorders>
          <w:top w:val="double" w:sz="4" w:space="0" w:color="4472C4" w:themeColor="accent1"/>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ListTable6Colorful-Accent2">
    <w:name w:val="List Table 6 Colorful Accent 2"/>
    <w:basedOn w:val="TableNormal"/>
    <w:uiPriority w:val="51"/>
    <w:rsid w:val="000041AF"/>
    <w:pPr>
      <w:spacing w:after="0"/>
    </w:pPr>
    <w:rPr>
      <w:color w:val="C45911" w:themeColor="accent2" w:themeShade="BF"/>
    </w:rPr>
    <w:tblPr>
      <w:tblStyleRowBandSize w:val="1"/>
      <w:tblStyleColBandSize w:val="1"/>
      <w:tblBorders>
        <w:top w:val="single" w:sz="4" w:space="0" w:color="ED7D31" w:themeColor="accent2"/>
        <w:bottom w:val="single" w:sz="4" w:space="0" w:color="ED7D31" w:themeColor="accent2"/>
      </w:tblBorders>
    </w:tblPr>
    <w:tblStylePr w:type="firstRow">
      <w:rPr>
        <w:b/>
        <w:bCs/>
      </w:rPr>
      <w:tblPr/>
      <w:tcPr>
        <w:tcBorders>
          <w:bottom w:val="single" w:sz="4" w:space="0" w:color="ED7D31" w:themeColor="accent2"/>
        </w:tcBorders>
      </w:tcPr>
    </w:tblStylePr>
    <w:tblStylePr w:type="lastRow">
      <w:rPr>
        <w:b/>
        <w:bCs/>
      </w:rPr>
      <w:tblPr/>
      <w:tcPr>
        <w:tcBorders>
          <w:top w:val="double" w:sz="4" w:space="0" w:color="ED7D31" w:themeColor="accent2"/>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ListTable6Colorful-Accent3">
    <w:name w:val="List Table 6 Colorful Accent 3"/>
    <w:basedOn w:val="TableNormal"/>
    <w:uiPriority w:val="51"/>
    <w:rsid w:val="000041AF"/>
    <w:pPr>
      <w:spacing w:after="0"/>
    </w:pPr>
    <w:rPr>
      <w:color w:val="7B7B7B" w:themeColor="accent3" w:themeShade="BF"/>
    </w:rPr>
    <w:tblPr>
      <w:tblStyleRowBandSize w:val="1"/>
      <w:tblStyleColBandSize w:val="1"/>
      <w:tblBorders>
        <w:top w:val="single" w:sz="4" w:space="0" w:color="A5A5A5" w:themeColor="accent3"/>
        <w:bottom w:val="single" w:sz="4" w:space="0" w:color="A5A5A5" w:themeColor="accent3"/>
      </w:tblBorders>
    </w:tblPr>
    <w:tblStylePr w:type="firstRow">
      <w:rPr>
        <w:b/>
        <w:bCs/>
      </w:rPr>
      <w:tblPr/>
      <w:tcPr>
        <w:tcBorders>
          <w:bottom w:val="single" w:sz="4" w:space="0" w:color="A5A5A5" w:themeColor="accent3"/>
        </w:tcBorders>
      </w:tcPr>
    </w:tblStylePr>
    <w:tblStylePr w:type="lastRow">
      <w:rPr>
        <w:b/>
        <w:bCs/>
      </w:rPr>
      <w:tblPr/>
      <w:tcPr>
        <w:tcBorders>
          <w:top w:val="double" w:sz="4" w:space="0" w:color="A5A5A5" w:themeColor="accent3"/>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ListTable6Colorful-Accent4">
    <w:name w:val="List Table 6 Colorful Accent 4"/>
    <w:basedOn w:val="TableNormal"/>
    <w:uiPriority w:val="51"/>
    <w:rsid w:val="000041AF"/>
    <w:pPr>
      <w:spacing w:after="0"/>
    </w:pPr>
    <w:rPr>
      <w:color w:val="BF8F00" w:themeColor="accent4" w:themeShade="BF"/>
    </w:rPr>
    <w:tblPr>
      <w:tblStyleRowBandSize w:val="1"/>
      <w:tblStyleColBandSize w:val="1"/>
      <w:tblBorders>
        <w:top w:val="single" w:sz="4" w:space="0" w:color="FFC000" w:themeColor="accent4"/>
        <w:bottom w:val="single" w:sz="4" w:space="0" w:color="FFC000" w:themeColor="accent4"/>
      </w:tblBorders>
    </w:tblPr>
    <w:tblStylePr w:type="firstRow">
      <w:rPr>
        <w:b/>
        <w:bCs/>
      </w:rPr>
      <w:tblPr/>
      <w:tcPr>
        <w:tcBorders>
          <w:bottom w:val="single" w:sz="4" w:space="0" w:color="FFC000" w:themeColor="accent4"/>
        </w:tcBorders>
      </w:tcPr>
    </w:tblStylePr>
    <w:tblStylePr w:type="lastRow">
      <w:rPr>
        <w:b/>
        <w:bCs/>
      </w:rPr>
      <w:tblPr/>
      <w:tcPr>
        <w:tcBorders>
          <w:top w:val="double" w:sz="4" w:space="0" w:color="FFC000" w:themeColor="accent4"/>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ListTable6Colorful-Accent5">
    <w:name w:val="List Table 6 Colorful Accent 5"/>
    <w:basedOn w:val="TableNormal"/>
    <w:uiPriority w:val="51"/>
    <w:rsid w:val="000041AF"/>
    <w:pPr>
      <w:spacing w:after="0"/>
    </w:pPr>
    <w:rPr>
      <w:color w:val="2E74B5" w:themeColor="accent5" w:themeShade="BF"/>
    </w:rPr>
    <w:tblPr>
      <w:tblStyleRowBandSize w:val="1"/>
      <w:tblStyleColBandSize w:val="1"/>
      <w:tblBorders>
        <w:top w:val="single" w:sz="4" w:space="0" w:color="5B9BD5" w:themeColor="accent5"/>
        <w:bottom w:val="single" w:sz="4" w:space="0" w:color="5B9BD5" w:themeColor="accent5"/>
      </w:tblBorders>
    </w:tblPr>
    <w:tblStylePr w:type="firstRow">
      <w:rPr>
        <w:b/>
        <w:bCs/>
      </w:rPr>
      <w:tblPr/>
      <w:tcPr>
        <w:tcBorders>
          <w:bottom w:val="single" w:sz="4" w:space="0" w:color="5B9BD5" w:themeColor="accent5"/>
        </w:tcBorders>
      </w:tcPr>
    </w:tblStylePr>
    <w:tblStylePr w:type="lastRow">
      <w:rPr>
        <w:b/>
        <w:bCs/>
      </w:rPr>
      <w:tblPr/>
      <w:tcPr>
        <w:tcBorders>
          <w:top w:val="double" w:sz="4" w:space="0" w:color="5B9BD5" w:themeColor="accent5"/>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ListTable6Colorful-Accent6">
    <w:name w:val="List Table 6 Colorful Accent 6"/>
    <w:basedOn w:val="TableNormal"/>
    <w:uiPriority w:val="51"/>
    <w:rsid w:val="000041AF"/>
    <w:pPr>
      <w:spacing w:after="0"/>
    </w:pPr>
    <w:rPr>
      <w:color w:val="538135" w:themeColor="accent6" w:themeShade="BF"/>
    </w:rPr>
    <w:tblPr>
      <w:tblStyleRowBandSize w:val="1"/>
      <w:tblStyleColBandSize w:val="1"/>
      <w:tblBorders>
        <w:top w:val="single" w:sz="4" w:space="0" w:color="70AD47" w:themeColor="accent6"/>
        <w:bottom w:val="single" w:sz="4" w:space="0" w:color="70AD47" w:themeColor="accent6"/>
      </w:tblBorders>
    </w:tblPr>
    <w:tblStylePr w:type="firstRow">
      <w:rPr>
        <w:b/>
        <w:bCs/>
      </w:rPr>
      <w:tblPr/>
      <w:tcPr>
        <w:tcBorders>
          <w:bottom w:val="single" w:sz="4" w:space="0" w:color="70AD47" w:themeColor="accent6"/>
        </w:tcBorders>
      </w:tcPr>
    </w:tblStylePr>
    <w:tblStylePr w:type="lastRow">
      <w:rPr>
        <w:b/>
        <w:bCs/>
      </w:rPr>
      <w:tblPr/>
      <w:tcPr>
        <w:tcBorders>
          <w:top w:val="double" w:sz="4" w:space="0" w:color="70AD47" w:themeColor="accent6"/>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ListTable7Colorful">
    <w:name w:val="List Table 7 Colorful"/>
    <w:basedOn w:val="TableNormal"/>
    <w:uiPriority w:val="52"/>
    <w:rsid w:val="000041AF"/>
    <w:pPr>
      <w:spacing w:after="0"/>
    </w:pPr>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1">
    <w:name w:val="List Table 7 Colorful Accent 1"/>
    <w:basedOn w:val="TableNormal"/>
    <w:uiPriority w:val="52"/>
    <w:rsid w:val="000041AF"/>
    <w:pPr>
      <w:spacing w:after="0"/>
    </w:pPr>
    <w:rPr>
      <w:color w:val="2F5496"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472C4"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472C4"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472C4"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472C4" w:themeColor="accent1"/>
        </w:tcBorders>
        <w:shd w:val="clear" w:color="auto" w:fill="FFFFFF" w:themeFill="background1"/>
      </w:tcPr>
    </w:tblStylePr>
    <w:tblStylePr w:type="band1Vert">
      <w:tblPr/>
      <w:tcPr>
        <w:shd w:val="clear" w:color="auto" w:fill="D9E2F3" w:themeFill="accent1" w:themeFillTint="33"/>
      </w:tcPr>
    </w:tblStylePr>
    <w:tblStylePr w:type="band1Horz">
      <w:tblPr/>
      <w:tcPr>
        <w:shd w:val="clear" w:color="auto" w:fill="D9E2F3"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2">
    <w:name w:val="List Table 7 Colorful Accent 2"/>
    <w:basedOn w:val="TableNormal"/>
    <w:uiPriority w:val="52"/>
    <w:rsid w:val="000041AF"/>
    <w:pPr>
      <w:spacing w:after="0"/>
    </w:pPr>
    <w:rPr>
      <w:color w:val="C45911"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ED7D31"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ED7D31"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ED7D31"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ED7D31" w:themeColor="accent2"/>
        </w:tcBorders>
        <w:shd w:val="clear" w:color="auto" w:fill="FFFFFF" w:themeFill="background1"/>
      </w:tcPr>
    </w:tblStylePr>
    <w:tblStylePr w:type="band1Vert">
      <w:tblPr/>
      <w:tcPr>
        <w:shd w:val="clear" w:color="auto" w:fill="FBE4D5" w:themeFill="accent2" w:themeFillTint="33"/>
      </w:tcPr>
    </w:tblStylePr>
    <w:tblStylePr w:type="band1Horz">
      <w:tblPr/>
      <w:tcPr>
        <w:shd w:val="clear" w:color="auto" w:fill="FBE4D5"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3">
    <w:name w:val="List Table 7 Colorful Accent 3"/>
    <w:basedOn w:val="TableNormal"/>
    <w:uiPriority w:val="52"/>
    <w:rsid w:val="000041AF"/>
    <w:pPr>
      <w:spacing w:after="0"/>
    </w:pPr>
    <w:rPr>
      <w:color w:val="7B7B7B"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A5A5A5"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A5A5A5"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A5A5A5"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A5A5A5" w:themeColor="accent3"/>
        </w:tcBorders>
        <w:shd w:val="clear" w:color="auto" w:fill="FFFFFF" w:themeFill="background1"/>
      </w:tcPr>
    </w:tblStylePr>
    <w:tblStylePr w:type="band1Vert">
      <w:tblPr/>
      <w:tcPr>
        <w:shd w:val="clear" w:color="auto" w:fill="EDEDED" w:themeFill="accent3" w:themeFillTint="33"/>
      </w:tcPr>
    </w:tblStylePr>
    <w:tblStylePr w:type="band1Horz">
      <w:tblPr/>
      <w:tcPr>
        <w:shd w:val="clear" w:color="auto" w:fill="EDEDED"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4">
    <w:name w:val="List Table 7 Colorful Accent 4"/>
    <w:basedOn w:val="TableNormal"/>
    <w:uiPriority w:val="52"/>
    <w:rsid w:val="000041AF"/>
    <w:pPr>
      <w:spacing w:after="0"/>
    </w:pPr>
    <w:rPr>
      <w:color w:val="BF8F00"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FFC000"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FFC000"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FFC000"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FFC000" w:themeColor="accent4"/>
        </w:tcBorders>
        <w:shd w:val="clear" w:color="auto" w:fill="FFFFFF" w:themeFill="background1"/>
      </w:tcPr>
    </w:tblStylePr>
    <w:tblStylePr w:type="band1Vert">
      <w:tblPr/>
      <w:tcPr>
        <w:shd w:val="clear" w:color="auto" w:fill="FFF2CC" w:themeFill="accent4" w:themeFillTint="33"/>
      </w:tcPr>
    </w:tblStylePr>
    <w:tblStylePr w:type="band1Horz">
      <w:tblPr/>
      <w:tcPr>
        <w:shd w:val="clear" w:color="auto" w:fill="FFF2CC"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5">
    <w:name w:val="List Table 7 Colorful Accent 5"/>
    <w:basedOn w:val="TableNormal"/>
    <w:uiPriority w:val="52"/>
    <w:rsid w:val="000041AF"/>
    <w:pPr>
      <w:spacing w:after="0"/>
    </w:pPr>
    <w:rPr>
      <w:color w:val="2E74B5"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5B9BD5"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5B9BD5"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5B9BD5"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5B9BD5" w:themeColor="accent5"/>
        </w:tcBorders>
        <w:shd w:val="clear" w:color="auto" w:fill="FFFFFF" w:themeFill="background1"/>
      </w:tcPr>
    </w:tblStylePr>
    <w:tblStylePr w:type="band1Vert">
      <w:tblPr/>
      <w:tcPr>
        <w:shd w:val="clear" w:color="auto" w:fill="DEEAF6" w:themeFill="accent5" w:themeFillTint="33"/>
      </w:tcPr>
    </w:tblStylePr>
    <w:tblStylePr w:type="band1Horz">
      <w:tblPr/>
      <w:tcPr>
        <w:shd w:val="clear" w:color="auto" w:fill="DEEAF6"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6">
    <w:name w:val="List Table 7 Colorful Accent 6"/>
    <w:basedOn w:val="TableNormal"/>
    <w:uiPriority w:val="52"/>
    <w:rsid w:val="000041AF"/>
    <w:pPr>
      <w:spacing w:after="0"/>
    </w:pPr>
    <w:rPr>
      <w:color w:val="538135"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0AD47"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0AD47"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0AD47"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0AD47" w:themeColor="accent6"/>
        </w:tcBorders>
        <w:shd w:val="clear" w:color="auto" w:fill="FFFFFF" w:themeFill="background1"/>
      </w:tcPr>
    </w:tblStylePr>
    <w:tblStylePr w:type="band1Vert">
      <w:tblPr/>
      <w:tcPr>
        <w:shd w:val="clear" w:color="auto" w:fill="E2EFD9" w:themeFill="accent6" w:themeFillTint="33"/>
      </w:tcPr>
    </w:tblStylePr>
    <w:tblStylePr w:type="band1Horz">
      <w:tblPr/>
      <w:tcPr>
        <w:shd w:val="clear" w:color="auto" w:fill="E2EFD9"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MacroText">
    <w:name w:val="macro"/>
    <w:link w:val="MacroTextChar"/>
    <w:uiPriority w:val="99"/>
    <w:semiHidden/>
    <w:unhideWhenUsed/>
    <w:rsid w:val="000041AF"/>
    <w:pPr>
      <w:tabs>
        <w:tab w:val="left" w:pos="480"/>
        <w:tab w:val="left" w:pos="960"/>
        <w:tab w:val="left" w:pos="1440"/>
        <w:tab w:val="left" w:pos="1920"/>
        <w:tab w:val="left" w:pos="2400"/>
        <w:tab w:val="left" w:pos="2880"/>
        <w:tab w:val="left" w:pos="3360"/>
        <w:tab w:val="left" w:pos="3840"/>
        <w:tab w:val="left" w:pos="4320"/>
      </w:tabs>
      <w:spacing w:before="0" w:after="0"/>
    </w:pPr>
    <w:rPr>
      <w:rFonts w:ascii="Consolas" w:eastAsia="SimSun" w:hAnsi="Consolas" w:cs="Consolas"/>
      <w:sz w:val="20"/>
      <w:szCs w:val="20"/>
    </w:rPr>
  </w:style>
  <w:style w:type="character" w:customStyle="1" w:styleId="MacroTextChar">
    <w:name w:val="Macro Text Char"/>
    <w:basedOn w:val="DefaultParagraphFont"/>
    <w:link w:val="MacroText"/>
    <w:uiPriority w:val="99"/>
    <w:semiHidden/>
    <w:rsid w:val="000041AF"/>
    <w:rPr>
      <w:rFonts w:ascii="Consolas" w:eastAsia="SimSun" w:hAnsi="Consolas" w:cs="Consolas"/>
      <w:sz w:val="20"/>
      <w:szCs w:val="20"/>
      <w:lang w:val="es-UY"/>
    </w:rPr>
  </w:style>
  <w:style w:type="table" w:styleId="MediumGrid1">
    <w:name w:val="Medium Grid 1"/>
    <w:basedOn w:val="TableNormal"/>
    <w:uiPriority w:val="67"/>
    <w:semiHidden/>
    <w:unhideWhenUsed/>
    <w:rsid w:val="000041AF"/>
    <w:pPr>
      <w:spacing w:before="0" w:after="0"/>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unhideWhenUsed/>
    <w:rsid w:val="000041AF"/>
    <w:pPr>
      <w:spacing w:before="0" w:after="0"/>
    </w:pPr>
    <w:tblPr>
      <w:tblStyleRowBandSize w:val="1"/>
      <w:tblStyleColBandSize w:val="1"/>
      <w:tblBorders>
        <w:top w:val="single" w:sz="8"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single" w:sz="8" w:space="0" w:color="7295D2" w:themeColor="accent1" w:themeTint="BF"/>
        <w:insideV w:val="single" w:sz="8" w:space="0" w:color="7295D2" w:themeColor="accent1" w:themeTint="BF"/>
      </w:tblBorders>
    </w:tblPr>
    <w:tcPr>
      <w:shd w:val="clear" w:color="auto" w:fill="D0DBF0" w:themeFill="accent1" w:themeFillTint="3F"/>
    </w:tcPr>
    <w:tblStylePr w:type="firstRow">
      <w:rPr>
        <w:b/>
        <w:bCs/>
      </w:rPr>
    </w:tblStylePr>
    <w:tblStylePr w:type="lastRow">
      <w:rPr>
        <w:b/>
        <w:bCs/>
      </w:rPr>
      <w:tblPr/>
      <w:tcPr>
        <w:tcBorders>
          <w:top w:val="single" w:sz="18" w:space="0" w:color="7295D2" w:themeColor="accent1" w:themeTint="BF"/>
        </w:tcBorders>
      </w:tcPr>
    </w:tblStylePr>
    <w:tblStylePr w:type="firstCol">
      <w:rPr>
        <w:b/>
        <w:bCs/>
      </w:rPr>
    </w:tblStylePr>
    <w:tblStylePr w:type="lastCol">
      <w:rPr>
        <w:b/>
        <w:bCs/>
      </w:rPr>
    </w:tblStylePr>
    <w:tblStylePr w:type="band1Vert">
      <w:tblPr/>
      <w:tcPr>
        <w:shd w:val="clear" w:color="auto" w:fill="A1B8E1" w:themeFill="accent1" w:themeFillTint="7F"/>
      </w:tcPr>
    </w:tblStylePr>
    <w:tblStylePr w:type="band1Horz">
      <w:tblPr/>
      <w:tcPr>
        <w:shd w:val="clear" w:color="auto" w:fill="A1B8E1" w:themeFill="accent1" w:themeFillTint="7F"/>
      </w:tcPr>
    </w:tblStylePr>
  </w:style>
  <w:style w:type="table" w:styleId="MediumGrid1-Accent2">
    <w:name w:val="Medium Grid 1 Accent 2"/>
    <w:basedOn w:val="TableNormal"/>
    <w:uiPriority w:val="67"/>
    <w:semiHidden/>
    <w:unhideWhenUsed/>
    <w:rsid w:val="000041AF"/>
    <w:pPr>
      <w:spacing w:before="0" w:after="0"/>
    </w:pPr>
    <w:tblPr>
      <w:tblStyleRowBandSize w:val="1"/>
      <w:tblStyleColBandSize w:val="1"/>
      <w:tbl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single" w:sz="8" w:space="0" w:color="F19D64" w:themeColor="accent2" w:themeTint="BF"/>
        <w:insideV w:val="single" w:sz="8" w:space="0" w:color="F19D64" w:themeColor="accent2" w:themeTint="BF"/>
      </w:tblBorders>
    </w:tblPr>
    <w:tcPr>
      <w:shd w:val="clear" w:color="auto" w:fill="FADECB" w:themeFill="accent2" w:themeFillTint="3F"/>
    </w:tcPr>
    <w:tblStylePr w:type="firstRow">
      <w:rPr>
        <w:b/>
        <w:bCs/>
      </w:rPr>
    </w:tblStylePr>
    <w:tblStylePr w:type="lastRow">
      <w:rPr>
        <w:b/>
        <w:bCs/>
      </w:rPr>
      <w:tblPr/>
      <w:tcPr>
        <w:tcBorders>
          <w:top w:val="single" w:sz="18" w:space="0" w:color="F19D64" w:themeColor="accent2" w:themeTint="BF"/>
        </w:tcBorders>
      </w:tcPr>
    </w:tblStylePr>
    <w:tblStylePr w:type="firstCol">
      <w:rPr>
        <w:b/>
        <w:bCs/>
      </w:rPr>
    </w:tblStylePr>
    <w:tblStylePr w:type="lastCol">
      <w:rPr>
        <w:b/>
        <w:bCs/>
      </w:rPr>
    </w:tblStylePr>
    <w:tblStylePr w:type="band1Vert">
      <w:tblPr/>
      <w:tcPr>
        <w:shd w:val="clear" w:color="auto" w:fill="F6BE98" w:themeFill="accent2" w:themeFillTint="7F"/>
      </w:tcPr>
    </w:tblStylePr>
    <w:tblStylePr w:type="band1Horz">
      <w:tblPr/>
      <w:tcPr>
        <w:shd w:val="clear" w:color="auto" w:fill="F6BE98" w:themeFill="accent2" w:themeFillTint="7F"/>
      </w:tcPr>
    </w:tblStylePr>
  </w:style>
  <w:style w:type="table" w:styleId="MediumGrid1-Accent3">
    <w:name w:val="Medium Grid 1 Accent 3"/>
    <w:basedOn w:val="TableNormal"/>
    <w:uiPriority w:val="67"/>
    <w:semiHidden/>
    <w:unhideWhenUsed/>
    <w:rsid w:val="000041AF"/>
    <w:pPr>
      <w:spacing w:before="0" w:after="0"/>
    </w:pPr>
    <w:tblPr>
      <w:tblStyleRowBandSize w:val="1"/>
      <w:tblStyleColBandSize w:val="1"/>
      <w:tbl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single" w:sz="8" w:space="0" w:color="BBBBBB" w:themeColor="accent3" w:themeTint="BF"/>
        <w:insideV w:val="single" w:sz="8" w:space="0" w:color="BBBBBB" w:themeColor="accent3" w:themeTint="BF"/>
      </w:tblBorders>
    </w:tblPr>
    <w:tcPr>
      <w:shd w:val="clear" w:color="auto" w:fill="E8E8E8" w:themeFill="accent3" w:themeFillTint="3F"/>
    </w:tcPr>
    <w:tblStylePr w:type="firstRow">
      <w:rPr>
        <w:b/>
        <w:bCs/>
      </w:rPr>
    </w:tblStylePr>
    <w:tblStylePr w:type="lastRow">
      <w:rPr>
        <w:b/>
        <w:bCs/>
      </w:rPr>
      <w:tblPr/>
      <w:tcPr>
        <w:tcBorders>
          <w:top w:val="single" w:sz="18" w:space="0" w:color="BBBBBB" w:themeColor="accent3" w:themeTint="BF"/>
        </w:tcBorders>
      </w:tcPr>
    </w:tblStylePr>
    <w:tblStylePr w:type="firstCol">
      <w:rPr>
        <w:b/>
        <w:bCs/>
      </w:rPr>
    </w:tblStylePr>
    <w:tblStylePr w:type="lastCol">
      <w:rPr>
        <w:b/>
        <w:bCs/>
      </w:rPr>
    </w:tblStylePr>
    <w:tblStylePr w:type="band1Vert">
      <w:tblPr/>
      <w:tcPr>
        <w:shd w:val="clear" w:color="auto" w:fill="D2D2D2" w:themeFill="accent3" w:themeFillTint="7F"/>
      </w:tcPr>
    </w:tblStylePr>
    <w:tblStylePr w:type="band1Horz">
      <w:tblPr/>
      <w:tcPr>
        <w:shd w:val="clear" w:color="auto" w:fill="D2D2D2" w:themeFill="accent3" w:themeFillTint="7F"/>
      </w:tcPr>
    </w:tblStylePr>
  </w:style>
  <w:style w:type="table" w:styleId="MediumGrid1-Accent4">
    <w:name w:val="Medium Grid 1 Accent 4"/>
    <w:basedOn w:val="TableNormal"/>
    <w:uiPriority w:val="67"/>
    <w:semiHidden/>
    <w:unhideWhenUsed/>
    <w:rsid w:val="000041AF"/>
    <w:pPr>
      <w:spacing w:before="0" w:after="0"/>
    </w:pPr>
    <w:tblPr>
      <w:tblStyleRowBandSize w:val="1"/>
      <w:tblStyleColBandSize w:val="1"/>
      <w:tbl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single" w:sz="8" w:space="0" w:color="FFCF40" w:themeColor="accent4" w:themeTint="BF"/>
        <w:insideV w:val="single" w:sz="8" w:space="0" w:color="FFCF40" w:themeColor="accent4" w:themeTint="BF"/>
      </w:tblBorders>
    </w:tblPr>
    <w:tcPr>
      <w:shd w:val="clear" w:color="auto" w:fill="FFEFC0" w:themeFill="accent4" w:themeFillTint="3F"/>
    </w:tcPr>
    <w:tblStylePr w:type="firstRow">
      <w:rPr>
        <w:b/>
        <w:bCs/>
      </w:rPr>
    </w:tblStylePr>
    <w:tblStylePr w:type="lastRow">
      <w:rPr>
        <w:b/>
        <w:bCs/>
      </w:rPr>
      <w:tblPr/>
      <w:tcPr>
        <w:tcBorders>
          <w:top w:val="single" w:sz="18" w:space="0" w:color="FFCF40" w:themeColor="accent4" w:themeTint="BF"/>
        </w:tcBorders>
      </w:tcPr>
    </w:tblStylePr>
    <w:tblStylePr w:type="firstCol">
      <w:rPr>
        <w:b/>
        <w:bCs/>
      </w:rPr>
    </w:tblStylePr>
    <w:tblStylePr w:type="lastCol">
      <w:rPr>
        <w:b/>
        <w:bCs/>
      </w:rPr>
    </w:tblStylePr>
    <w:tblStylePr w:type="band1Vert">
      <w:tblPr/>
      <w:tcPr>
        <w:shd w:val="clear" w:color="auto" w:fill="FFDF80" w:themeFill="accent4" w:themeFillTint="7F"/>
      </w:tcPr>
    </w:tblStylePr>
    <w:tblStylePr w:type="band1Horz">
      <w:tblPr/>
      <w:tcPr>
        <w:shd w:val="clear" w:color="auto" w:fill="FFDF80" w:themeFill="accent4" w:themeFillTint="7F"/>
      </w:tcPr>
    </w:tblStylePr>
  </w:style>
  <w:style w:type="table" w:styleId="MediumGrid1-Accent5">
    <w:name w:val="Medium Grid 1 Accent 5"/>
    <w:basedOn w:val="TableNormal"/>
    <w:uiPriority w:val="67"/>
    <w:semiHidden/>
    <w:unhideWhenUsed/>
    <w:rsid w:val="000041AF"/>
    <w:pPr>
      <w:spacing w:before="0" w:after="0"/>
    </w:pPr>
    <w:tblPr>
      <w:tblStyleRowBandSize w:val="1"/>
      <w:tblStyleColBandSize w:val="1"/>
      <w:tblBorders>
        <w:top w:val="single" w:sz="8" w:space="0" w:color="84B3DF" w:themeColor="accent5" w:themeTint="BF"/>
        <w:left w:val="single" w:sz="8" w:space="0" w:color="84B3DF" w:themeColor="accent5" w:themeTint="BF"/>
        <w:bottom w:val="single" w:sz="8" w:space="0" w:color="84B3DF" w:themeColor="accent5" w:themeTint="BF"/>
        <w:right w:val="single" w:sz="8" w:space="0" w:color="84B3DF" w:themeColor="accent5" w:themeTint="BF"/>
        <w:insideH w:val="single" w:sz="8" w:space="0" w:color="84B3DF" w:themeColor="accent5" w:themeTint="BF"/>
        <w:insideV w:val="single" w:sz="8" w:space="0" w:color="84B3DF" w:themeColor="accent5" w:themeTint="BF"/>
      </w:tblBorders>
    </w:tblPr>
    <w:tcPr>
      <w:shd w:val="clear" w:color="auto" w:fill="D6E6F4" w:themeFill="accent5" w:themeFillTint="3F"/>
    </w:tcPr>
    <w:tblStylePr w:type="firstRow">
      <w:rPr>
        <w:b/>
        <w:bCs/>
      </w:rPr>
    </w:tblStylePr>
    <w:tblStylePr w:type="lastRow">
      <w:rPr>
        <w:b/>
        <w:bCs/>
      </w:rPr>
      <w:tblPr/>
      <w:tcPr>
        <w:tcBorders>
          <w:top w:val="single" w:sz="18" w:space="0" w:color="84B3DF" w:themeColor="accent5" w:themeTint="BF"/>
        </w:tcBorders>
      </w:tcPr>
    </w:tblStylePr>
    <w:tblStylePr w:type="firstCol">
      <w:rPr>
        <w:b/>
        <w:bCs/>
      </w:rPr>
    </w:tblStylePr>
    <w:tblStylePr w:type="lastCol">
      <w:rPr>
        <w:b/>
        <w:bCs/>
      </w:rPr>
    </w:tblStylePr>
    <w:tblStylePr w:type="band1Vert">
      <w:tblPr/>
      <w:tcPr>
        <w:shd w:val="clear" w:color="auto" w:fill="ADCCEA" w:themeFill="accent5" w:themeFillTint="7F"/>
      </w:tcPr>
    </w:tblStylePr>
    <w:tblStylePr w:type="band1Horz">
      <w:tblPr/>
      <w:tcPr>
        <w:shd w:val="clear" w:color="auto" w:fill="ADCCEA" w:themeFill="accent5" w:themeFillTint="7F"/>
      </w:tcPr>
    </w:tblStylePr>
  </w:style>
  <w:style w:type="table" w:styleId="MediumGrid1-Accent6">
    <w:name w:val="Medium Grid 1 Accent 6"/>
    <w:basedOn w:val="TableNormal"/>
    <w:uiPriority w:val="67"/>
    <w:semiHidden/>
    <w:unhideWhenUsed/>
    <w:rsid w:val="000041AF"/>
    <w:pPr>
      <w:spacing w:before="0" w:after="0"/>
    </w:pPr>
    <w:tblPr>
      <w:tblStyleRowBandSize w:val="1"/>
      <w:tblStyleColBandSize w:val="1"/>
      <w:tbl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single" w:sz="8" w:space="0" w:color="93C571" w:themeColor="accent6" w:themeTint="BF"/>
        <w:insideV w:val="single" w:sz="8" w:space="0" w:color="93C571" w:themeColor="accent6" w:themeTint="BF"/>
      </w:tblBorders>
    </w:tblPr>
    <w:tcPr>
      <w:shd w:val="clear" w:color="auto" w:fill="DBEBD0" w:themeFill="accent6" w:themeFillTint="3F"/>
    </w:tcPr>
    <w:tblStylePr w:type="firstRow">
      <w:rPr>
        <w:b/>
        <w:bCs/>
      </w:rPr>
    </w:tblStylePr>
    <w:tblStylePr w:type="lastRow">
      <w:rPr>
        <w:b/>
        <w:bCs/>
      </w:rPr>
      <w:tblPr/>
      <w:tcPr>
        <w:tcBorders>
          <w:top w:val="single" w:sz="18" w:space="0" w:color="93C571" w:themeColor="accent6" w:themeTint="BF"/>
        </w:tcBorders>
      </w:tcPr>
    </w:tblStylePr>
    <w:tblStylePr w:type="firstCol">
      <w:rPr>
        <w:b/>
        <w:bCs/>
      </w:rPr>
    </w:tblStylePr>
    <w:tblStylePr w:type="lastCol">
      <w:rPr>
        <w:b/>
        <w:bCs/>
      </w:rPr>
    </w:tblStylePr>
    <w:tblStylePr w:type="band1Vert">
      <w:tblPr/>
      <w:tcPr>
        <w:shd w:val="clear" w:color="auto" w:fill="B7D8A0" w:themeFill="accent6" w:themeFillTint="7F"/>
      </w:tcPr>
    </w:tblStylePr>
    <w:tblStylePr w:type="band1Horz">
      <w:tblPr/>
      <w:tcPr>
        <w:shd w:val="clear" w:color="auto" w:fill="B7D8A0" w:themeFill="accent6" w:themeFillTint="7F"/>
      </w:tcPr>
    </w:tblStylePr>
  </w:style>
  <w:style w:type="table" w:styleId="MediumGrid2">
    <w:name w:val="Medium Grid 2"/>
    <w:basedOn w:val="TableNormal"/>
    <w:uiPriority w:val="68"/>
    <w:semiHidden/>
    <w:unhideWhenUsed/>
    <w:rsid w:val="000041AF"/>
    <w:pPr>
      <w:spacing w:before="0" w:after="0"/>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semiHidden/>
    <w:unhideWhenUsed/>
    <w:rsid w:val="000041AF"/>
    <w:pPr>
      <w:spacing w:before="0" w:after="0"/>
    </w:pPr>
    <w:rPr>
      <w:rFonts w:asciiTheme="majorHAnsi" w:eastAsiaTheme="majorEastAsia" w:hAnsiTheme="majorHAnsi" w:cstheme="majorBidi"/>
      <w:color w:val="000000" w:themeColor="text1"/>
    </w:r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insideH w:val="single" w:sz="8" w:space="0" w:color="4472C4" w:themeColor="accent1"/>
        <w:insideV w:val="single" w:sz="8" w:space="0" w:color="4472C4" w:themeColor="accent1"/>
      </w:tblBorders>
    </w:tblPr>
    <w:tcPr>
      <w:shd w:val="clear" w:color="auto" w:fill="D0DBF0" w:themeFill="accent1" w:themeFillTint="3F"/>
    </w:tcPr>
    <w:tblStylePr w:type="firstRow">
      <w:rPr>
        <w:b/>
        <w:bCs/>
        <w:color w:val="000000" w:themeColor="text1"/>
      </w:rPr>
      <w:tblPr/>
      <w:tcPr>
        <w:shd w:val="clear" w:color="auto" w:fill="ECF1F9"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E2F3" w:themeFill="accent1" w:themeFillTint="33"/>
      </w:tcPr>
    </w:tblStylePr>
    <w:tblStylePr w:type="band1Vert">
      <w:tblPr/>
      <w:tcPr>
        <w:shd w:val="clear" w:color="auto" w:fill="A1B8E1" w:themeFill="accent1" w:themeFillTint="7F"/>
      </w:tcPr>
    </w:tblStylePr>
    <w:tblStylePr w:type="band1Horz">
      <w:tblPr/>
      <w:tcPr>
        <w:tcBorders>
          <w:insideH w:val="single" w:sz="6" w:space="0" w:color="4472C4" w:themeColor="accent1"/>
          <w:insideV w:val="single" w:sz="6" w:space="0" w:color="4472C4" w:themeColor="accent1"/>
        </w:tcBorders>
        <w:shd w:val="clear" w:color="auto" w:fill="A1B8E1"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semiHidden/>
    <w:unhideWhenUsed/>
    <w:rsid w:val="000041AF"/>
    <w:pPr>
      <w:spacing w:before="0" w:after="0"/>
    </w:pPr>
    <w:rPr>
      <w:rFonts w:asciiTheme="majorHAnsi" w:eastAsiaTheme="majorEastAsia" w:hAnsiTheme="majorHAnsi" w:cstheme="majorBidi"/>
      <w:color w:val="000000" w:themeColor="text1"/>
    </w:r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insideH w:val="single" w:sz="8" w:space="0" w:color="ED7D31" w:themeColor="accent2"/>
        <w:insideV w:val="single" w:sz="8" w:space="0" w:color="ED7D31" w:themeColor="accent2"/>
      </w:tblBorders>
    </w:tblPr>
    <w:tcPr>
      <w:shd w:val="clear" w:color="auto" w:fill="FADECB" w:themeFill="accent2" w:themeFillTint="3F"/>
    </w:tcPr>
    <w:tblStylePr w:type="firstRow">
      <w:rPr>
        <w:b/>
        <w:bCs/>
        <w:color w:val="000000" w:themeColor="text1"/>
      </w:rPr>
      <w:tblPr/>
      <w:tcPr>
        <w:shd w:val="clear" w:color="auto" w:fill="FDF2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BE4D5" w:themeFill="accent2" w:themeFillTint="33"/>
      </w:tcPr>
    </w:tblStylePr>
    <w:tblStylePr w:type="band1Vert">
      <w:tblPr/>
      <w:tcPr>
        <w:shd w:val="clear" w:color="auto" w:fill="F6BE98" w:themeFill="accent2" w:themeFillTint="7F"/>
      </w:tcPr>
    </w:tblStylePr>
    <w:tblStylePr w:type="band1Horz">
      <w:tblPr/>
      <w:tcPr>
        <w:tcBorders>
          <w:insideH w:val="single" w:sz="6" w:space="0" w:color="ED7D31" w:themeColor="accent2"/>
          <w:insideV w:val="single" w:sz="6" w:space="0" w:color="ED7D31" w:themeColor="accent2"/>
        </w:tcBorders>
        <w:shd w:val="clear" w:color="auto" w:fill="F6BE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semiHidden/>
    <w:unhideWhenUsed/>
    <w:rsid w:val="000041AF"/>
    <w:pPr>
      <w:spacing w:before="0" w:after="0"/>
    </w:pPr>
    <w:rPr>
      <w:rFonts w:asciiTheme="majorHAnsi" w:eastAsiaTheme="majorEastAsia" w:hAnsiTheme="majorHAnsi" w:cstheme="majorBidi"/>
      <w:color w:val="000000" w:themeColor="text1"/>
    </w:r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insideH w:val="single" w:sz="8" w:space="0" w:color="A5A5A5" w:themeColor="accent3"/>
        <w:insideV w:val="single" w:sz="8" w:space="0" w:color="A5A5A5" w:themeColor="accent3"/>
      </w:tblBorders>
    </w:tblPr>
    <w:tcPr>
      <w:shd w:val="clear" w:color="auto" w:fill="E8E8E8" w:themeFill="accent3" w:themeFillTint="3F"/>
    </w:tcPr>
    <w:tblStylePr w:type="firstRow">
      <w:rPr>
        <w:b/>
        <w:bCs/>
        <w:color w:val="000000" w:themeColor="text1"/>
      </w:rPr>
      <w:tblPr/>
      <w:tcPr>
        <w:shd w:val="clear" w:color="auto" w:fill="F6F6F6"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DEDED" w:themeFill="accent3" w:themeFillTint="33"/>
      </w:tcPr>
    </w:tblStylePr>
    <w:tblStylePr w:type="band1Vert">
      <w:tblPr/>
      <w:tcPr>
        <w:shd w:val="clear" w:color="auto" w:fill="D2D2D2" w:themeFill="accent3" w:themeFillTint="7F"/>
      </w:tcPr>
    </w:tblStylePr>
    <w:tblStylePr w:type="band1Horz">
      <w:tblPr/>
      <w:tcPr>
        <w:tcBorders>
          <w:insideH w:val="single" w:sz="6" w:space="0" w:color="A5A5A5" w:themeColor="accent3"/>
          <w:insideV w:val="single" w:sz="6" w:space="0" w:color="A5A5A5" w:themeColor="accent3"/>
        </w:tcBorders>
        <w:shd w:val="clear" w:color="auto" w:fill="D2D2D2"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semiHidden/>
    <w:unhideWhenUsed/>
    <w:rsid w:val="000041AF"/>
    <w:pPr>
      <w:spacing w:before="0" w:after="0"/>
    </w:pPr>
    <w:rPr>
      <w:rFonts w:asciiTheme="majorHAnsi" w:eastAsiaTheme="majorEastAsia" w:hAnsiTheme="majorHAnsi" w:cstheme="majorBidi"/>
      <w:color w:val="000000" w:themeColor="text1"/>
    </w:r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insideH w:val="single" w:sz="8" w:space="0" w:color="FFC000" w:themeColor="accent4"/>
        <w:insideV w:val="single" w:sz="8" w:space="0" w:color="FFC000" w:themeColor="accent4"/>
      </w:tblBorders>
    </w:tblPr>
    <w:tcPr>
      <w:shd w:val="clear" w:color="auto" w:fill="FFEFC0" w:themeFill="accent4" w:themeFillTint="3F"/>
    </w:tcPr>
    <w:tblStylePr w:type="firstRow">
      <w:rPr>
        <w:b/>
        <w:bCs/>
        <w:color w:val="000000" w:themeColor="text1"/>
      </w:rPr>
      <w:tblPr/>
      <w:tcPr>
        <w:shd w:val="clear" w:color="auto" w:fill="FFF8E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F2CC" w:themeFill="accent4" w:themeFillTint="33"/>
      </w:tcPr>
    </w:tblStylePr>
    <w:tblStylePr w:type="band1Vert">
      <w:tblPr/>
      <w:tcPr>
        <w:shd w:val="clear" w:color="auto" w:fill="FFDF80" w:themeFill="accent4" w:themeFillTint="7F"/>
      </w:tcPr>
    </w:tblStylePr>
    <w:tblStylePr w:type="band1Horz">
      <w:tblPr/>
      <w:tcPr>
        <w:tcBorders>
          <w:insideH w:val="single" w:sz="6" w:space="0" w:color="FFC000" w:themeColor="accent4"/>
          <w:insideV w:val="single" w:sz="6" w:space="0" w:color="FFC000" w:themeColor="accent4"/>
        </w:tcBorders>
        <w:shd w:val="clear" w:color="auto" w:fill="FFDF8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semiHidden/>
    <w:unhideWhenUsed/>
    <w:rsid w:val="000041AF"/>
    <w:pPr>
      <w:spacing w:before="0" w:after="0"/>
    </w:pPr>
    <w:rPr>
      <w:rFonts w:asciiTheme="majorHAnsi" w:eastAsiaTheme="majorEastAsia" w:hAnsiTheme="majorHAnsi" w:cstheme="majorBidi"/>
      <w:color w:val="000000" w:themeColor="text1"/>
    </w:rPr>
    <w:tblPr>
      <w:tblStyleRowBandSize w:val="1"/>
      <w:tblStyleColBandSize w:val="1"/>
      <w:tblBorders>
        <w:top w:val="single" w:sz="8" w:space="0" w:color="5B9BD5" w:themeColor="accent5"/>
        <w:left w:val="single" w:sz="8" w:space="0" w:color="5B9BD5" w:themeColor="accent5"/>
        <w:bottom w:val="single" w:sz="8" w:space="0" w:color="5B9BD5" w:themeColor="accent5"/>
        <w:right w:val="single" w:sz="8" w:space="0" w:color="5B9BD5" w:themeColor="accent5"/>
        <w:insideH w:val="single" w:sz="8" w:space="0" w:color="5B9BD5" w:themeColor="accent5"/>
        <w:insideV w:val="single" w:sz="8" w:space="0" w:color="5B9BD5" w:themeColor="accent5"/>
      </w:tblBorders>
    </w:tblPr>
    <w:tcPr>
      <w:shd w:val="clear" w:color="auto" w:fill="D6E6F4" w:themeFill="accent5" w:themeFillTint="3F"/>
    </w:tcPr>
    <w:tblStylePr w:type="firstRow">
      <w:rPr>
        <w:b/>
        <w:bCs/>
        <w:color w:val="000000" w:themeColor="text1"/>
      </w:rPr>
      <w:tblPr/>
      <w:tcPr>
        <w:shd w:val="clear" w:color="auto" w:fill="EEF5FB"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EEAF6" w:themeFill="accent5" w:themeFillTint="33"/>
      </w:tcPr>
    </w:tblStylePr>
    <w:tblStylePr w:type="band1Vert">
      <w:tblPr/>
      <w:tcPr>
        <w:shd w:val="clear" w:color="auto" w:fill="ADCCEA" w:themeFill="accent5" w:themeFillTint="7F"/>
      </w:tcPr>
    </w:tblStylePr>
    <w:tblStylePr w:type="band1Horz">
      <w:tblPr/>
      <w:tcPr>
        <w:tcBorders>
          <w:insideH w:val="single" w:sz="6" w:space="0" w:color="5B9BD5" w:themeColor="accent5"/>
          <w:insideV w:val="single" w:sz="6" w:space="0" w:color="5B9BD5" w:themeColor="accent5"/>
        </w:tcBorders>
        <w:shd w:val="clear" w:color="auto" w:fill="ADCCEA"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semiHidden/>
    <w:unhideWhenUsed/>
    <w:rsid w:val="000041AF"/>
    <w:pPr>
      <w:spacing w:before="0" w:after="0"/>
    </w:pPr>
    <w:rPr>
      <w:rFonts w:asciiTheme="majorHAnsi" w:eastAsiaTheme="majorEastAsia" w:hAnsiTheme="majorHAnsi" w:cstheme="majorBidi"/>
      <w:color w:val="000000" w:themeColor="text1"/>
    </w:r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insideH w:val="single" w:sz="8" w:space="0" w:color="70AD47" w:themeColor="accent6"/>
        <w:insideV w:val="single" w:sz="8" w:space="0" w:color="70AD47" w:themeColor="accent6"/>
      </w:tblBorders>
    </w:tblPr>
    <w:tcPr>
      <w:shd w:val="clear" w:color="auto" w:fill="DBEBD0" w:themeFill="accent6" w:themeFillTint="3F"/>
    </w:tcPr>
    <w:tblStylePr w:type="firstRow">
      <w:rPr>
        <w:b/>
        <w:bCs/>
        <w:color w:val="000000" w:themeColor="text1"/>
      </w:rPr>
      <w:tblPr/>
      <w:tcPr>
        <w:shd w:val="clear" w:color="auto" w:fill="F0F7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2EFD9" w:themeFill="accent6" w:themeFillTint="33"/>
      </w:tcPr>
    </w:tblStylePr>
    <w:tblStylePr w:type="band1Vert">
      <w:tblPr/>
      <w:tcPr>
        <w:shd w:val="clear" w:color="auto" w:fill="B7D8A0" w:themeFill="accent6" w:themeFillTint="7F"/>
      </w:tcPr>
    </w:tblStylePr>
    <w:tblStylePr w:type="band1Horz">
      <w:tblPr/>
      <w:tcPr>
        <w:tcBorders>
          <w:insideH w:val="single" w:sz="6" w:space="0" w:color="70AD47" w:themeColor="accent6"/>
          <w:insideV w:val="single" w:sz="6" w:space="0" w:color="70AD47" w:themeColor="accent6"/>
        </w:tcBorders>
        <w:shd w:val="clear" w:color="auto" w:fill="B7D8A0"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semiHidden/>
    <w:unhideWhenUsed/>
    <w:rsid w:val="000041AF"/>
    <w:pPr>
      <w:spacing w:before="0" w:after="0"/>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semiHidden/>
    <w:unhideWhenUsed/>
    <w:rsid w:val="000041AF"/>
    <w:pPr>
      <w:spacing w:before="0" w:after="0"/>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DBF0"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472C4"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472C4"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472C4"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472C4"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1B8E1"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1B8E1" w:themeFill="accent1" w:themeFillTint="7F"/>
      </w:tcPr>
    </w:tblStylePr>
  </w:style>
  <w:style w:type="table" w:styleId="MediumGrid3-Accent2">
    <w:name w:val="Medium Grid 3 Accent 2"/>
    <w:basedOn w:val="TableNormal"/>
    <w:uiPriority w:val="69"/>
    <w:semiHidden/>
    <w:unhideWhenUsed/>
    <w:rsid w:val="000041AF"/>
    <w:pPr>
      <w:spacing w:before="0" w:after="0"/>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ADECB"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D7D31"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D7D31"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D7D31"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D7D31"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6BE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6BE98" w:themeFill="accent2" w:themeFillTint="7F"/>
      </w:tcPr>
    </w:tblStylePr>
  </w:style>
  <w:style w:type="table" w:styleId="MediumGrid3-Accent3">
    <w:name w:val="Medium Grid 3 Accent 3"/>
    <w:basedOn w:val="TableNormal"/>
    <w:uiPriority w:val="69"/>
    <w:semiHidden/>
    <w:unhideWhenUsed/>
    <w:rsid w:val="000041AF"/>
    <w:pPr>
      <w:spacing w:before="0" w:after="0"/>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8E8E8"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5A5A5"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5A5A5"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5A5A5"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5A5A5"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2D2D2"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2D2D2" w:themeFill="accent3" w:themeFillTint="7F"/>
      </w:tcPr>
    </w:tblStylePr>
  </w:style>
  <w:style w:type="table" w:styleId="MediumGrid3-Accent4">
    <w:name w:val="Medium Grid 3 Accent 4"/>
    <w:basedOn w:val="TableNormal"/>
    <w:uiPriority w:val="69"/>
    <w:semiHidden/>
    <w:unhideWhenUsed/>
    <w:rsid w:val="000041AF"/>
    <w:pPr>
      <w:spacing w:before="0" w:after="0"/>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FEFC0"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FC000"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FC000"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FC000"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FC000"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FDF8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FDF80" w:themeFill="accent4" w:themeFillTint="7F"/>
      </w:tcPr>
    </w:tblStylePr>
  </w:style>
  <w:style w:type="table" w:styleId="MediumGrid3-Accent5">
    <w:name w:val="Medium Grid 3 Accent 5"/>
    <w:basedOn w:val="TableNormal"/>
    <w:uiPriority w:val="69"/>
    <w:semiHidden/>
    <w:unhideWhenUsed/>
    <w:rsid w:val="000041AF"/>
    <w:pPr>
      <w:spacing w:before="0" w:after="0"/>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6E6F4"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5B9BD5"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5B9BD5"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5B9BD5"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5B9BD5"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DCCEA"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DCCEA" w:themeFill="accent5" w:themeFillTint="7F"/>
      </w:tcPr>
    </w:tblStylePr>
  </w:style>
  <w:style w:type="table" w:styleId="MediumGrid3-Accent6">
    <w:name w:val="Medium Grid 3 Accent 6"/>
    <w:basedOn w:val="TableNormal"/>
    <w:uiPriority w:val="69"/>
    <w:semiHidden/>
    <w:unhideWhenUsed/>
    <w:rsid w:val="000041AF"/>
    <w:pPr>
      <w:spacing w:before="0" w:after="0"/>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BEB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70AD47"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70AD47"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70AD47"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70AD47"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7D8A0"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7D8A0" w:themeFill="accent6" w:themeFillTint="7F"/>
      </w:tcPr>
    </w:tblStylePr>
  </w:style>
  <w:style w:type="table" w:styleId="MediumList1">
    <w:name w:val="Medium List 1"/>
    <w:basedOn w:val="TableNormal"/>
    <w:uiPriority w:val="65"/>
    <w:semiHidden/>
    <w:unhideWhenUsed/>
    <w:rsid w:val="000041AF"/>
    <w:pPr>
      <w:spacing w:before="0" w:after="0"/>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44546A"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unhideWhenUsed/>
    <w:rsid w:val="000041AF"/>
    <w:pPr>
      <w:spacing w:before="0" w:after="0"/>
    </w:pPr>
    <w:rPr>
      <w:color w:val="000000" w:themeColor="text1"/>
    </w:rPr>
    <w:tblPr>
      <w:tblStyleRowBandSize w:val="1"/>
      <w:tblStyleColBandSize w:val="1"/>
      <w:tblBorders>
        <w:top w:val="single" w:sz="8" w:space="0" w:color="4472C4" w:themeColor="accent1"/>
        <w:bottom w:val="single" w:sz="8" w:space="0" w:color="4472C4" w:themeColor="accent1"/>
      </w:tblBorders>
    </w:tblPr>
    <w:tblStylePr w:type="firstRow">
      <w:rPr>
        <w:rFonts w:asciiTheme="majorHAnsi" w:eastAsiaTheme="majorEastAsia" w:hAnsiTheme="majorHAnsi" w:cstheme="majorBidi"/>
      </w:rPr>
      <w:tblPr/>
      <w:tcPr>
        <w:tcBorders>
          <w:top w:val="nil"/>
          <w:bottom w:val="single" w:sz="8" w:space="0" w:color="4472C4" w:themeColor="accent1"/>
        </w:tcBorders>
      </w:tcPr>
    </w:tblStylePr>
    <w:tblStylePr w:type="lastRow">
      <w:rPr>
        <w:b/>
        <w:bCs/>
        <w:color w:val="44546A" w:themeColor="text2"/>
      </w:rPr>
      <w:tblPr/>
      <w:tcPr>
        <w:tcBorders>
          <w:top w:val="single" w:sz="8" w:space="0" w:color="4472C4" w:themeColor="accent1"/>
          <w:bottom w:val="single" w:sz="8" w:space="0" w:color="4472C4" w:themeColor="accent1"/>
        </w:tcBorders>
      </w:tcPr>
    </w:tblStylePr>
    <w:tblStylePr w:type="firstCol">
      <w:rPr>
        <w:b/>
        <w:bCs/>
      </w:rPr>
    </w:tblStylePr>
    <w:tblStylePr w:type="lastCol">
      <w:rPr>
        <w:b/>
        <w:bCs/>
      </w:rPr>
      <w:tblPr/>
      <w:tcPr>
        <w:tcBorders>
          <w:top w:val="single" w:sz="8" w:space="0" w:color="4472C4" w:themeColor="accent1"/>
          <w:bottom w:val="single" w:sz="8" w:space="0" w:color="4472C4" w:themeColor="accent1"/>
        </w:tcBorders>
      </w:tcPr>
    </w:tblStylePr>
    <w:tblStylePr w:type="band1Vert">
      <w:tblPr/>
      <w:tcPr>
        <w:shd w:val="clear" w:color="auto" w:fill="D0DBF0" w:themeFill="accent1" w:themeFillTint="3F"/>
      </w:tcPr>
    </w:tblStylePr>
    <w:tblStylePr w:type="band1Horz">
      <w:tblPr/>
      <w:tcPr>
        <w:shd w:val="clear" w:color="auto" w:fill="D0DBF0" w:themeFill="accent1" w:themeFillTint="3F"/>
      </w:tcPr>
    </w:tblStylePr>
  </w:style>
  <w:style w:type="table" w:styleId="MediumList1-Accent2">
    <w:name w:val="Medium List 1 Accent 2"/>
    <w:basedOn w:val="TableNormal"/>
    <w:uiPriority w:val="65"/>
    <w:semiHidden/>
    <w:unhideWhenUsed/>
    <w:rsid w:val="000041AF"/>
    <w:pPr>
      <w:spacing w:before="0" w:after="0"/>
    </w:pPr>
    <w:rPr>
      <w:color w:val="000000" w:themeColor="text1"/>
    </w:rPr>
    <w:tblPr>
      <w:tblStyleRowBandSize w:val="1"/>
      <w:tblStyleColBandSize w:val="1"/>
      <w:tblBorders>
        <w:top w:val="single" w:sz="8" w:space="0" w:color="ED7D31" w:themeColor="accent2"/>
        <w:bottom w:val="single" w:sz="8" w:space="0" w:color="ED7D31" w:themeColor="accent2"/>
      </w:tblBorders>
    </w:tblPr>
    <w:tblStylePr w:type="firstRow">
      <w:rPr>
        <w:rFonts w:asciiTheme="majorHAnsi" w:eastAsiaTheme="majorEastAsia" w:hAnsiTheme="majorHAnsi" w:cstheme="majorBidi"/>
      </w:rPr>
      <w:tblPr/>
      <w:tcPr>
        <w:tcBorders>
          <w:top w:val="nil"/>
          <w:bottom w:val="single" w:sz="8" w:space="0" w:color="ED7D31" w:themeColor="accent2"/>
        </w:tcBorders>
      </w:tcPr>
    </w:tblStylePr>
    <w:tblStylePr w:type="lastRow">
      <w:rPr>
        <w:b/>
        <w:bCs/>
        <w:color w:val="44546A" w:themeColor="text2"/>
      </w:rPr>
      <w:tblPr/>
      <w:tcPr>
        <w:tcBorders>
          <w:top w:val="single" w:sz="8" w:space="0" w:color="ED7D31" w:themeColor="accent2"/>
          <w:bottom w:val="single" w:sz="8" w:space="0" w:color="ED7D31" w:themeColor="accent2"/>
        </w:tcBorders>
      </w:tcPr>
    </w:tblStylePr>
    <w:tblStylePr w:type="firstCol">
      <w:rPr>
        <w:b/>
        <w:bCs/>
      </w:rPr>
    </w:tblStylePr>
    <w:tblStylePr w:type="lastCol">
      <w:rPr>
        <w:b/>
        <w:bCs/>
      </w:rPr>
      <w:tblPr/>
      <w:tcPr>
        <w:tcBorders>
          <w:top w:val="single" w:sz="8" w:space="0" w:color="ED7D31" w:themeColor="accent2"/>
          <w:bottom w:val="single" w:sz="8" w:space="0" w:color="ED7D31" w:themeColor="accent2"/>
        </w:tcBorders>
      </w:tcPr>
    </w:tblStylePr>
    <w:tblStylePr w:type="band1Vert">
      <w:tblPr/>
      <w:tcPr>
        <w:shd w:val="clear" w:color="auto" w:fill="FADECB" w:themeFill="accent2" w:themeFillTint="3F"/>
      </w:tcPr>
    </w:tblStylePr>
    <w:tblStylePr w:type="band1Horz">
      <w:tblPr/>
      <w:tcPr>
        <w:shd w:val="clear" w:color="auto" w:fill="FADECB" w:themeFill="accent2" w:themeFillTint="3F"/>
      </w:tcPr>
    </w:tblStylePr>
  </w:style>
  <w:style w:type="table" w:styleId="MediumList1-Accent3">
    <w:name w:val="Medium List 1 Accent 3"/>
    <w:basedOn w:val="TableNormal"/>
    <w:uiPriority w:val="65"/>
    <w:semiHidden/>
    <w:unhideWhenUsed/>
    <w:rsid w:val="000041AF"/>
    <w:pPr>
      <w:spacing w:before="0" w:after="0"/>
    </w:pPr>
    <w:rPr>
      <w:color w:val="000000" w:themeColor="text1"/>
    </w:rPr>
    <w:tblPr>
      <w:tblStyleRowBandSize w:val="1"/>
      <w:tblStyleColBandSize w:val="1"/>
      <w:tblBorders>
        <w:top w:val="single" w:sz="8" w:space="0" w:color="A5A5A5" w:themeColor="accent3"/>
        <w:bottom w:val="single" w:sz="8" w:space="0" w:color="A5A5A5" w:themeColor="accent3"/>
      </w:tblBorders>
    </w:tblPr>
    <w:tblStylePr w:type="firstRow">
      <w:rPr>
        <w:rFonts w:asciiTheme="majorHAnsi" w:eastAsiaTheme="majorEastAsia" w:hAnsiTheme="majorHAnsi" w:cstheme="majorBidi"/>
      </w:rPr>
      <w:tblPr/>
      <w:tcPr>
        <w:tcBorders>
          <w:top w:val="nil"/>
          <w:bottom w:val="single" w:sz="8" w:space="0" w:color="A5A5A5" w:themeColor="accent3"/>
        </w:tcBorders>
      </w:tcPr>
    </w:tblStylePr>
    <w:tblStylePr w:type="lastRow">
      <w:rPr>
        <w:b/>
        <w:bCs/>
        <w:color w:val="44546A" w:themeColor="text2"/>
      </w:rPr>
      <w:tblPr/>
      <w:tcPr>
        <w:tcBorders>
          <w:top w:val="single" w:sz="8" w:space="0" w:color="A5A5A5" w:themeColor="accent3"/>
          <w:bottom w:val="single" w:sz="8" w:space="0" w:color="A5A5A5" w:themeColor="accent3"/>
        </w:tcBorders>
      </w:tcPr>
    </w:tblStylePr>
    <w:tblStylePr w:type="firstCol">
      <w:rPr>
        <w:b/>
        <w:bCs/>
      </w:rPr>
    </w:tblStylePr>
    <w:tblStylePr w:type="lastCol">
      <w:rPr>
        <w:b/>
        <w:bCs/>
      </w:rPr>
      <w:tblPr/>
      <w:tcPr>
        <w:tcBorders>
          <w:top w:val="single" w:sz="8" w:space="0" w:color="A5A5A5" w:themeColor="accent3"/>
          <w:bottom w:val="single" w:sz="8" w:space="0" w:color="A5A5A5" w:themeColor="accent3"/>
        </w:tcBorders>
      </w:tcPr>
    </w:tblStylePr>
    <w:tblStylePr w:type="band1Vert">
      <w:tblPr/>
      <w:tcPr>
        <w:shd w:val="clear" w:color="auto" w:fill="E8E8E8" w:themeFill="accent3" w:themeFillTint="3F"/>
      </w:tcPr>
    </w:tblStylePr>
    <w:tblStylePr w:type="band1Horz">
      <w:tblPr/>
      <w:tcPr>
        <w:shd w:val="clear" w:color="auto" w:fill="E8E8E8" w:themeFill="accent3" w:themeFillTint="3F"/>
      </w:tcPr>
    </w:tblStylePr>
  </w:style>
  <w:style w:type="table" w:styleId="MediumList1-Accent4">
    <w:name w:val="Medium List 1 Accent 4"/>
    <w:basedOn w:val="TableNormal"/>
    <w:uiPriority w:val="65"/>
    <w:semiHidden/>
    <w:unhideWhenUsed/>
    <w:rsid w:val="000041AF"/>
    <w:pPr>
      <w:spacing w:before="0" w:after="0"/>
    </w:pPr>
    <w:rPr>
      <w:color w:val="000000" w:themeColor="text1"/>
    </w:rPr>
    <w:tblPr>
      <w:tblStyleRowBandSize w:val="1"/>
      <w:tblStyleColBandSize w:val="1"/>
      <w:tblBorders>
        <w:top w:val="single" w:sz="8" w:space="0" w:color="FFC000" w:themeColor="accent4"/>
        <w:bottom w:val="single" w:sz="8" w:space="0" w:color="FFC000" w:themeColor="accent4"/>
      </w:tblBorders>
    </w:tblPr>
    <w:tblStylePr w:type="firstRow">
      <w:rPr>
        <w:rFonts w:asciiTheme="majorHAnsi" w:eastAsiaTheme="majorEastAsia" w:hAnsiTheme="majorHAnsi" w:cstheme="majorBidi"/>
      </w:rPr>
      <w:tblPr/>
      <w:tcPr>
        <w:tcBorders>
          <w:top w:val="nil"/>
          <w:bottom w:val="single" w:sz="8" w:space="0" w:color="FFC000" w:themeColor="accent4"/>
        </w:tcBorders>
      </w:tcPr>
    </w:tblStylePr>
    <w:tblStylePr w:type="lastRow">
      <w:rPr>
        <w:b/>
        <w:bCs/>
        <w:color w:val="44546A" w:themeColor="text2"/>
      </w:rPr>
      <w:tblPr/>
      <w:tcPr>
        <w:tcBorders>
          <w:top w:val="single" w:sz="8" w:space="0" w:color="FFC000" w:themeColor="accent4"/>
          <w:bottom w:val="single" w:sz="8" w:space="0" w:color="FFC000" w:themeColor="accent4"/>
        </w:tcBorders>
      </w:tcPr>
    </w:tblStylePr>
    <w:tblStylePr w:type="firstCol">
      <w:rPr>
        <w:b/>
        <w:bCs/>
      </w:rPr>
    </w:tblStylePr>
    <w:tblStylePr w:type="lastCol">
      <w:rPr>
        <w:b/>
        <w:bCs/>
      </w:rPr>
      <w:tblPr/>
      <w:tcPr>
        <w:tcBorders>
          <w:top w:val="single" w:sz="8" w:space="0" w:color="FFC000" w:themeColor="accent4"/>
          <w:bottom w:val="single" w:sz="8" w:space="0" w:color="FFC000" w:themeColor="accent4"/>
        </w:tcBorders>
      </w:tcPr>
    </w:tblStylePr>
    <w:tblStylePr w:type="band1Vert">
      <w:tblPr/>
      <w:tcPr>
        <w:shd w:val="clear" w:color="auto" w:fill="FFEFC0" w:themeFill="accent4" w:themeFillTint="3F"/>
      </w:tcPr>
    </w:tblStylePr>
    <w:tblStylePr w:type="band1Horz">
      <w:tblPr/>
      <w:tcPr>
        <w:shd w:val="clear" w:color="auto" w:fill="FFEFC0" w:themeFill="accent4" w:themeFillTint="3F"/>
      </w:tcPr>
    </w:tblStylePr>
  </w:style>
  <w:style w:type="table" w:styleId="MediumList1-Accent5">
    <w:name w:val="Medium List 1 Accent 5"/>
    <w:basedOn w:val="TableNormal"/>
    <w:uiPriority w:val="65"/>
    <w:semiHidden/>
    <w:unhideWhenUsed/>
    <w:rsid w:val="000041AF"/>
    <w:pPr>
      <w:spacing w:before="0" w:after="0"/>
    </w:pPr>
    <w:rPr>
      <w:color w:val="000000" w:themeColor="text1"/>
    </w:rPr>
    <w:tblPr>
      <w:tblStyleRowBandSize w:val="1"/>
      <w:tblStyleColBandSize w:val="1"/>
      <w:tblBorders>
        <w:top w:val="single" w:sz="8" w:space="0" w:color="5B9BD5" w:themeColor="accent5"/>
        <w:bottom w:val="single" w:sz="8" w:space="0" w:color="5B9BD5" w:themeColor="accent5"/>
      </w:tblBorders>
    </w:tblPr>
    <w:tblStylePr w:type="firstRow">
      <w:rPr>
        <w:rFonts w:asciiTheme="majorHAnsi" w:eastAsiaTheme="majorEastAsia" w:hAnsiTheme="majorHAnsi" w:cstheme="majorBidi"/>
      </w:rPr>
      <w:tblPr/>
      <w:tcPr>
        <w:tcBorders>
          <w:top w:val="nil"/>
          <w:bottom w:val="single" w:sz="8" w:space="0" w:color="5B9BD5" w:themeColor="accent5"/>
        </w:tcBorders>
      </w:tcPr>
    </w:tblStylePr>
    <w:tblStylePr w:type="lastRow">
      <w:rPr>
        <w:b/>
        <w:bCs/>
        <w:color w:val="44546A" w:themeColor="text2"/>
      </w:rPr>
      <w:tblPr/>
      <w:tcPr>
        <w:tcBorders>
          <w:top w:val="single" w:sz="8" w:space="0" w:color="5B9BD5" w:themeColor="accent5"/>
          <w:bottom w:val="single" w:sz="8" w:space="0" w:color="5B9BD5" w:themeColor="accent5"/>
        </w:tcBorders>
      </w:tcPr>
    </w:tblStylePr>
    <w:tblStylePr w:type="firstCol">
      <w:rPr>
        <w:b/>
        <w:bCs/>
      </w:rPr>
    </w:tblStylePr>
    <w:tblStylePr w:type="lastCol">
      <w:rPr>
        <w:b/>
        <w:bCs/>
      </w:rPr>
      <w:tblPr/>
      <w:tcPr>
        <w:tcBorders>
          <w:top w:val="single" w:sz="8" w:space="0" w:color="5B9BD5" w:themeColor="accent5"/>
          <w:bottom w:val="single" w:sz="8" w:space="0" w:color="5B9BD5" w:themeColor="accent5"/>
        </w:tcBorders>
      </w:tcPr>
    </w:tblStylePr>
    <w:tblStylePr w:type="band1Vert">
      <w:tblPr/>
      <w:tcPr>
        <w:shd w:val="clear" w:color="auto" w:fill="D6E6F4" w:themeFill="accent5" w:themeFillTint="3F"/>
      </w:tcPr>
    </w:tblStylePr>
    <w:tblStylePr w:type="band1Horz">
      <w:tblPr/>
      <w:tcPr>
        <w:shd w:val="clear" w:color="auto" w:fill="D6E6F4" w:themeFill="accent5" w:themeFillTint="3F"/>
      </w:tcPr>
    </w:tblStylePr>
  </w:style>
  <w:style w:type="table" w:styleId="MediumList1-Accent6">
    <w:name w:val="Medium List 1 Accent 6"/>
    <w:basedOn w:val="TableNormal"/>
    <w:uiPriority w:val="65"/>
    <w:semiHidden/>
    <w:unhideWhenUsed/>
    <w:rsid w:val="000041AF"/>
    <w:pPr>
      <w:spacing w:before="0" w:after="0"/>
    </w:pPr>
    <w:rPr>
      <w:color w:val="000000" w:themeColor="text1"/>
    </w:rPr>
    <w:tblPr>
      <w:tblStyleRowBandSize w:val="1"/>
      <w:tblStyleColBandSize w:val="1"/>
      <w:tblBorders>
        <w:top w:val="single" w:sz="8" w:space="0" w:color="70AD47" w:themeColor="accent6"/>
        <w:bottom w:val="single" w:sz="8" w:space="0" w:color="70AD47" w:themeColor="accent6"/>
      </w:tblBorders>
    </w:tblPr>
    <w:tblStylePr w:type="firstRow">
      <w:rPr>
        <w:rFonts w:asciiTheme="majorHAnsi" w:eastAsiaTheme="majorEastAsia" w:hAnsiTheme="majorHAnsi" w:cstheme="majorBidi"/>
      </w:rPr>
      <w:tblPr/>
      <w:tcPr>
        <w:tcBorders>
          <w:top w:val="nil"/>
          <w:bottom w:val="single" w:sz="8" w:space="0" w:color="70AD47" w:themeColor="accent6"/>
        </w:tcBorders>
      </w:tcPr>
    </w:tblStylePr>
    <w:tblStylePr w:type="lastRow">
      <w:rPr>
        <w:b/>
        <w:bCs/>
        <w:color w:val="44546A" w:themeColor="text2"/>
      </w:rPr>
      <w:tblPr/>
      <w:tcPr>
        <w:tcBorders>
          <w:top w:val="single" w:sz="8" w:space="0" w:color="70AD47" w:themeColor="accent6"/>
          <w:bottom w:val="single" w:sz="8" w:space="0" w:color="70AD47" w:themeColor="accent6"/>
        </w:tcBorders>
      </w:tcPr>
    </w:tblStylePr>
    <w:tblStylePr w:type="firstCol">
      <w:rPr>
        <w:b/>
        <w:bCs/>
      </w:rPr>
    </w:tblStylePr>
    <w:tblStylePr w:type="lastCol">
      <w:rPr>
        <w:b/>
        <w:bCs/>
      </w:rPr>
      <w:tblPr/>
      <w:tcPr>
        <w:tcBorders>
          <w:top w:val="single" w:sz="8" w:space="0" w:color="70AD47" w:themeColor="accent6"/>
          <w:bottom w:val="single" w:sz="8" w:space="0" w:color="70AD47" w:themeColor="accent6"/>
        </w:tcBorders>
      </w:tcPr>
    </w:tblStylePr>
    <w:tblStylePr w:type="band1Vert">
      <w:tblPr/>
      <w:tcPr>
        <w:shd w:val="clear" w:color="auto" w:fill="DBEBD0" w:themeFill="accent6" w:themeFillTint="3F"/>
      </w:tcPr>
    </w:tblStylePr>
    <w:tblStylePr w:type="band1Horz">
      <w:tblPr/>
      <w:tcPr>
        <w:shd w:val="clear" w:color="auto" w:fill="DBEBD0" w:themeFill="accent6" w:themeFillTint="3F"/>
      </w:tcPr>
    </w:tblStylePr>
  </w:style>
  <w:style w:type="table" w:styleId="MediumList2">
    <w:name w:val="Medium List 2"/>
    <w:basedOn w:val="TableNormal"/>
    <w:uiPriority w:val="66"/>
    <w:semiHidden/>
    <w:unhideWhenUsed/>
    <w:rsid w:val="000041AF"/>
    <w:pPr>
      <w:spacing w:before="0" w:after="0"/>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semiHidden/>
    <w:unhideWhenUsed/>
    <w:rsid w:val="000041AF"/>
    <w:pPr>
      <w:spacing w:before="0" w:after="0"/>
    </w:pPr>
    <w:rPr>
      <w:rFonts w:asciiTheme="majorHAnsi" w:eastAsiaTheme="majorEastAsia" w:hAnsiTheme="majorHAnsi" w:cstheme="majorBidi"/>
      <w:color w:val="000000" w:themeColor="text1"/>
    </w:r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tblBorders>
    </w:tblPr>
    <w:tblStylePr w:type="firstRow">
      <w:rPr>
        <w:sz w:val="24"/>
        <w:szCs w:val="24"/>
      </w:rPr>
      <w:tblPr/>
      <w:tcPr>
        <w:tcBorders>
          <w:top w:val="nil"/>
          <w:left w:val="nil"/>
          <w:bottom w:val="single" w:sz="24" w:space="0" w:color="4472C4" w:themeColor="accent1"/>
          <w:right w:val="nil"/>
          <w:insideH w:val="nil"/>
          <w:insideV w:val="nil"/>
        </w:tcBorders>
        <w:shd w:val="clear" w:color="auto" w:fill="FFFFFF" w:themeFill="background1"/>
      </w:tcPr>
    </w:tblStylePr>
    <w:tblStylePr w:type="lastRow">
      <w:tblPr/>
      <w:tcPr>
        <w:tcBorders>
          <w:top w:val="single" w:sz="8" w:space="0" w:color="4472C4"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472C4" w:themeColor="accent1"/>
          <w:insideH w:val="nil"/>
          <w:insideV w:val="nil"/>
        </w:tcBorders>
        <w:shd w:val="clear" w:color="auto" w:fill="FFFFFF" w:themeFill="background1"/>
      </w:tcPr>
    </w:tblStylePr>
    <w:tblStylePr w:type="lastCol">
      <w:tblPr/>
      <w:tcPr>
        <w:tcBorders>
          <w:top w:val="nil"/>
          <w:left w:val="single" w:sz="8" w:space="0" w:color="4472C4"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DBF0" w:themeFill="accent1" w:themeFillTint="3F"/>
      </w:tcPr>
    </w:tblStylePr>
    <w:tblStylePr w:type="band1Horz">
      <w:tblPr/>
      <w:tcPr>
        <w:tcBorders>
          <w:top w:val="nil"/>
          <w:bottom w:val="nil"/>
          <w:insideH w:val="nil"/>
          <w:insideV w:val="nil"/>
        </w:tcBorders>
        <w:shd w:val="clear" w:color="auto" w:fill="D0DBF0"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semiHidden/>
    <w:unhideWhenUsed/>
    <w:rsid w:val="000041AF"/>
    <w:pPr>
      <w:spacing w:before="0" w:after="0"/>
    </w:pPr>
    <w:rPr>
      <w:rFonts w:asciiTheme="majorHAnsi" w:eastAsiaTheme="majorEastAsia" w:hAnsiTheme="majorHAnsi" w:cstheme="majorBidi"/>
      <w:color w:val="000000" w:themeColor="text1"/>
    </w:r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tblBorders>
    </w:tblPr>
    <w:tblStylePr w:type="firstRow">
      <w:rPr>
        <w:sz w:val="24"/>
        <w:szCs w:val="24"/>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tblPr/>
      <w:tcPr>
        <w:tcBorders>
          <w:top w:val="single" w:sz="8" w:space="0" w:color="ED7D31" w:themeColor="accent2"/>
          <w:left w:val="nil"/>
          <w:right w:val="nil"/>
          <w:insideH w:val="nil"/>
          <w:insideV w:val="nil"/>
        </w:tcBorders>
        <w:shd w:val="clear" w:color="auto" w:fill="FFFFFF" w:themeFill="background1"/>
      </w:tcPr>
    </w:tblStylePr>
    <w:tblStylePr w:type="firstCol">
      <w:tblPr/>
      <w:tcPr>
        <w:tcBorders>
          <w:top w:val="nil"/>
          <w:left w:val="nil"/>
          <w:bottom w:val="nil"/>
          <w:right w:val="single" w:sz="8" w:space="0" w:color="ED7D31" w:themeColor="accent2"/>
          <w:insideH w:val="nil"/>
          <w:insideV w:val="nil"/>
        </w:tcBorders>
        <w:shd w:val="clear" w:color="auto" w:fill="FFFFFF" w:themeFill="background1"/>
      </w:tcPr>
    </w:tblStylePr>
    <w:tblStylePr w:type="lastCol">
      <w:tblPr/>
      <w:tcPr>
        <w:tcBorders>
          <w:top w:val="nil"/>
          <w:left w:val="single" w:sz="8" w:space="0" w:color="ED7D31"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ADECB" w:themeFill="accent2" w:themeFillTint="3F"/>
      </w:tcPr>
    </w:tblStylePr>
    <w:tblStylePr w:type="band1Horz">
      <w:tblPr/>
      <w:tcPr>
        <w:tcBorders>
          <w:top w:val="nil"/>
          <w:bottom w:val="nil"/>
          <w:insideH w:val="nil"/>
          <w:insideV w:val="nil"/>
        </w:tcBorders>
        <w:shd w:val="clear" w:color="auto" w:fill="FADECB"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semiHidden/>
    <w:unhideWhenUsed/>
    <w:rsid w:val="000041AF"/>
    <w:pPr>
      <w:spacing w:before="0" w:after="0"/>
    </w:pPr>
    <w:rPr>
      <w:rFonts w:asciiTheme="majorHAnsi" w:eastAsiaTheme="majorEastAsia" w:hAnsiTheme="majorHAnsi" w:cstheme="majorBidi"/>
      <w:color w:val="000000" w:themeColor="text1"/>
    </w:r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tblBorders>
    </w:tblPr>
    <w:tblStylePr w:type="firstRow">
      <w:rPr>
        <w:sz w:val="24"/>
        <w:szCs w:val="24"/>
      </w:rPr>
      <w:tblPr/>
      <w:tcPr>
        <w:tcBorders>
          <w:top w:val="nil"/>
          <w:left w:val="nil"/>
          <w:bottom w:val="single" w:sz="24" w:space="0" w:color="A5A5A5" w:themeColor="accent3"/>
          <w:right w:val="nil"/>
          <w:insideH w:val="nil"/>
          <w:insideV w:val="nil"/>
        </w:tcBorders>
        <w:shd w:val="clear" w:color="auto" w:fill="FFFFFF" w:themeFill="background1"/>
      </w:tcPr>
    </w:tblStylePr>
    <w:tblStylePr w:type="lastRow">
      <w:tblPr/>
      <w:tcPr>
        <w:tcBorders>
          <w:top w:val="single" w:sz="8" w:space="0" w:color="A5A5A5"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5A5A5" w:themeColor="accent3"/>
          <w:insideH w:val="nil"/>
          <w:insideV w:val="nil"/>
        </w:tcBorders>
        <w:shd w:val="clear" w:color="auto" w:fill="FFFFFF" w:themeFill="background1"/>
      </w:tcPr>
    </w:tblStylePr>
    <w:tblStylePr w:type="lastCol">
      <w:tblPr/>
      <w:tcPr>
        <w:tcBorders>
          <w:top w:val="nil"/>
          <w:left w:val="single" w:sz="8" w:space="0" w:color="A5A5A5"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8E8E8" w:themeFill="accent3" w:themeFillTint="3F"/>
      </w:tcPr>
    </w:tblStylePr>
    <w:tblStylePr w:type="band1Horz">
      <w:tblPr/>
      <w:tcPr>
        <w:tcBorders>
          <w:top w:val="nil"/>
          <w:bottom w:val="nil"/>
          <w:insideH w:val="nil"/>
          <w:insideV w:val="nil"/>
        </w:tcBorders>
        <w:shd w:val="clear" w:color="auto" w:fill="E8E8E8"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semiHidden/>
    <w:unhideWhenUsed/>
    <w:rsid w:val="000041AF"/>
    <w:pPr>
      <w:spacing w:before="0" w:after="0"/>
    </w:pPr>
    <w:rPr>
      <w:rFonts w:asciiTheme="majorHAnsi" w:eastAsiaTheme="majorEastAsia" w:hAnsiTheme="majorHAnsi" w:cstheme="majorBidi"/>
      <w:color w:val="000000" w:themeColor="text1"/>
    </w:r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tblBorders>
    </w:tblPr>
    <w:tblStylePr w:type="firstRow">
      <w:rPr>
        <w:sz w:val="24"/>
        <w:szCs w:val="24"/>
      </w:rPr>
      <w:tblPr/>
      <w:tcPr>
        <w:tcBorders>
          <w:top w:val="nil"/>
          <w:left w:val="nil"/>
          <w:bottom w:val="single" w:sz="24" w:space="0" w:color="FFC000" w:themeColor="accent4"/>
          <w:right w:val="nil"/>
          <w:insideH w:val="nil"/>
          <w:insideV w:val="nil"/>
        </w:tcBorders>
        <w:shd w:val="clear" w:color="auto" w:fill="FFFFFF" w:themeFill="background1"/>
      </w:tcPr>
    </w:tblStylePr>
    <w:tblStylePr w:type="lastRow">
      <w:tblPr/>
      <w:tcPr>
        <w:tcBorders>
          <w:top w:val="single" w:sz="8" w:space="0" w:color="FFC000"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FC000" w:themeColor="accent4"/>
          <w:insideH w:val="nil"/>
          <w:insideV w:val="nil"/>
        </w:tcBorders>
        <w:shd w:val="clear" w:color="auto" w:fill="FFFFFF" w:themeFill="background1"/>
      </w:tcPr>
    </w:tblStylePr>
    <w:tblStylePr w:type="lastCol">
      <w:tblPr/>
      <w:tcPr>
        <w:tcBorders>
          <w:top w:val="nil"/>
          <w:left w:val="single" w:sz="8" w:space="0" w:color="FFC000"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FEFC0" w:themeFill="accent4" w:themeFillTint="3F"/>
      </w:tcPr>
    </w:tblStylePr>
    <w:tblStylePr w:type="band1Horz">
      <w:tblPr/>
      <w:tcPr>
        <w:tcBorders>
          <w:top w:val="nil"/>
          <w:bottom w:val="nil"/>
          <w:insideH w:val="nil"/>
          <w:insideV w:val="nil"/>
        </w:tcBorders>
        <w:shd w:val="clear" w:color="auto" w:fill="FFEFC0"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semiHidden/>
    <w:unhideWhenUsed/>
    <w:rsid w:val="000041AF"/>
    <w:pPr>
      <w:spacing w:before="0" w:after="0"/>
    </w:pPr>
    <w:rPr>
      <w:rFonts w:asciiTheme="majorHAnsi" w:eastAsiaTheme="majorEastAsia" w:hAnsiTheme="majorHAnsi" w:cstheme="majorBidi"/>
      <w:color w:val="000000" w:themeColor="text1"/>
    </w:rPr>
    <w:tblPr>
      <w:tblStyleRowBandSize w:val="1"/>
      <w:tblStyleColBandSize w:val="1"/>
      <w:tblBorders>
        <w:top w:val="single" w:sz="8" w:space="0" w:color="5B9BD5" w:themeColor="accent5"/>
        <w:left w:val="single" w:sz="8" w:space="0" w:color="5B9BD5" w:themeColor="accent5"/>
        <w:bottom w:val="single" w:sz="8" w:space="0" w:color="5B9BD5" w:themeColor="accent5"/>
        <w:right w:val="single" w:sz="8" w:space="0" w:color="5B9BD5" w:themeColor="accent5"/>
      </w:tblBorders>
    </w:tblPr>
    <w:tblStylePr w:type="firstRow">
      <w:rPr>
        <w:sz w:val="24"/>
        <w:szCs w:val="24"/>
      </w:rPr>
      <w:tblPr/>
      <w:tcPr>
        <w:tcBorders>
          <w:top w:val="nil"/>
          <w:left w:val="nil"/>
          <w:bottom w:val="single" w:sz="24" w:space="0" w:color="5B9BD5" w:themeColor="accent5"/>
          <w:right w:val="nil"/>
          <w:insideH w:val="nil"/>
          <w:insideV w:val="nil"/>
        </w:tcBorders>
        <w:shd w:val="clear" w:color="auto" w:fill="FFFFFF" w:themeFill="background1"/>
      </w:tcPr>
    </w:tblStylePr>
    <w:tblStylePr w:type="lastRow">
      <w:tblPr/>
      <w:tcPr>
        <w:tcBorders>
          <w:top w:val="single" w:sz="8" w:space="0" w:color="5B9BD5"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5B9BD5" w:themeColor="accent5"/>
          <w:insideH w:val="nil"/>
          <w:insideV w:val="nil"/>
        </w:tcBorders>
        <w:shd w:val="clear" w:color="auto" w:fill="FFFFFF" w:themeFill="background1"/>
      </w:tcPr>
    </w:tblStylePr>
    <w:tblStylePr w:type="lastCol">
      <w:tblPr/>
      <w:tcPr>
        <w:tcBorders>
          <w:top w:val="nil"/>
          <w:left w:val="single" w:sz="8" w:space="0" w:color="5B9BD5"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6E6F4" w:themeFill="accent5" w:themeFillTint="3F"/>
      </w:tcPr>
    </w:tblStylePr>
    <w:tblStylePr w:type="band1Horz">
      <w:tblPr/>
      <w:tcPr>
        <w:tcBorders>
          <w:top w:val="nil"/>
          <w:bottom w:val="nil"/>
          <w:insideH w:val="nil"/>
          <w:insideV w:val="nil"/>
        </w:tcBorders>
        <w:shd w:val="clear" w:color="auto" w:fill="D6E6F4"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semiHidden/>
    <w:unhideWhenUsed/>
    <w:rsid w:val="000041AF"/>
    <w:pPr>
      <w:spacing w:before="0" w:after="0"/>
    </w:pPr>
    <w:rPr>
      <w:rFonts w:asciiTheme="majorHAnsi" w:eastAsiaTheme="majorEastAsia" w:hAnsiTheme="majorHAnsi" w:cstheme="majorBidi"/>
      <w:color w:val="000000" w:themeColor="text1"/>
    </w:r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tblBorders>
    </w:tblPr>
    <w:tblStylePr w:type="firstRow">
      <w:rPr>
        <w:sz w:val="24"/>
        <w:szCs w:val="24"/>
      </w:rPr>
      <w:tblPr/>
      <w:tcPr>
        <w:tcBorders>
          <w:top w:val="nil"/>
          <w:left w:val="nil"/>
          <w:bottom w:val="single" w:sz="24" w:space="0" w:color="70AD47" w:themeColor="accent6"/>
          <w:right w:val="nil"/>
          <w:insideH w:val="nil"/>
          <w:insideV w:val="nil"/>
        </w:tcBorders>
        <w:shd w:val="clear" w:color="auto" w:fill="FFFFFF" w:themeFill="background1"/>
      </w:tcPr>
    </w:tblStylePr>
    <w:tblStylePr w:type="lastRow">
      <w:tblPr/>
      <w:tcPr>
        <w:tcBorders>
          <w:top w:val="single" w:sz="8" w:space="0" w:color="70AD47"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70AD47" w:themeColor="accent6"/>
          <w:insideH w:val="nil"/>
          <w:insideV w:val="nil"/>
        </w:tcBorders>
        <w:shd w:val="clear" w:color="auto" w:fill="FFFFFF" w:themeFill="background1"/>
      </w:tcPr>
    </w:tblStylePr>
    <w:tblStylePr w:type="lastCol">
      <w:tblPr/>
      <w:tcPr>
        <w:tcBorders>
          <w:top w:val="nil"/>
          <w:left w:val="single" w:sz="8" w:space="0" w:color="70AD47"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BEBD0" w:themeFill="accent6" w:themeFillTint="3F"/>
      </w:tcPr>
    </w:tblStylePr>
    <w:tblStylePr w:type="band1Horz">
      <w:tblPr/>
      <w:tcPr>
        <w:tcBorders>
          <w:top w:val="nil"/>
          <w:bottom w:val="nil"/>
          <w:insideH w:val="nil"/>
          <w:insideV w:val="nil"/>
        </w:tcBorders>
        <w:shd w:val="clear" w:color="auto" w:fill="DBEB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Shading1">
    <w:name w:val="Medium Shading 1"/>
    <w:basedOn w:val="TableNormal"/>
    <w:uiPriority w:val="63"/>
    <w:semiHidden/>
    <w:unhideWhenUsed/>
    <w:rsid w:val="000041AF"/>
    <w:pPr>
      <w:spacing w:before="0" w:after="0"/>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unhideWhenUsed/>
    <w:rsid w:val="000041AF"/>
    <w:pPr>
      <w:spacing w:before="0" w:after="0"/>
    </w:pPr>
    <w:tblPr>
      <w:tblStyleRowBandSize w:val="1"/>
      <w:tblStyleColBandSize w:val="1"/>
      <w:tblBorders>
        <w:top w:val="single" w:sz="8"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single" w:sz="8" w:space="0" w:color="7295D2" w:themeColor="accent1" w:themeTint="BF"/>
      </w:tblBorders>
    </w:tblPr>
    <w:tblStylePr w:type="firstRow">
      <w:pPr>
        <w:spacing w:before="0" w:after="0" w:line="240" w:lineRule="auto"/>
      </w:pPr>
      <w:rPr>
        <w:b/>
        <w:bCs/>
        <w:color w:val="FFFFFF" w:themeColor="background1"/>
      </w:rPr>
      <w:tblPr/>
      <w:tcPr>
        <w:tcBorders>
          <w:top w:val="single" w:sz="8"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nil"/>
          <w:insideV w:val="nil"/>
        </w:tcBorders>
        <w:shd w:val="clear" w:color="auto" w:fill="4472C4" w:themeFill="accent1"/>
      </w:tcPr>
    </w:tblStylePr>
    <w:tblStylePr w:type="lastRow">
      <w:pPr>
        <w:spacing w:before="0" w:after="0" w:line="240" w:lineRule="auto"/>
      </w:pPr>
      <w:rPr>
        <w:b/>
        <w:bCs/>
      </w:rPr>
      <w:tblPr/>
      <w:tcPr>
        <w:tcBorders>
          <w:top w:val="double" w:sz="6"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nil"/>
          <w:insideV w:val="nil"/>
        </w:tcBorders>
      </w:tcPr>
    </w:tblStylePr>
    <w:tblStylePr w:type="firstCol">
      <w:rPr>
        <w:b/>
        <w:bCs/>
      </w:rPr>
    </w:tblStylePr>
    <w:tblStylePr w:type="lastCol">
      <w:rPr>
        <w:b/>
        <w:bCs/>
      </w:rPr>
    </w:tblStylePr>
    <w:tblStylePr w:type="band1Vert">
      <w:tblPr/>
      <w:tcPr>
        <w:shd w:val="clear" w:color="auto" w:fill="D0DBF0" w:themeFill="accent1" w:themeFillTint="3F"/>
      </w:tcPr>
    </w:tblStylePr>
    <w:tblStylePr w:type="band1Horz">
      <w:tblPr/>
      <w:tcPr>
        <w:tcBorders>
          <w:insideH w:val="nil"/>
          <w:insideV w:val="nil"/>
        </w:tcBorders>
        <w:shd w:val="clear" w:color="auto" w:fill="D0DBF0"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unhideWhenUsed/>
    <w:rsid w:val="000041AF"/>
    <w:pPr>
      <w:spacing w:before="0" w:after="0"/>
    </w:pPr>
    <w:tblPr>
      <w:tblStyleRowBandSize w:val="1"/>
      <w:tblStyleColBandSize w:val="1"/>
      <w:tbl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single" w:sz="8" w:space="0" w:color="F19D64" w:themeColor="accent2" w:themeTint="BF"/>
      </w:tblBorders>
    </w:tblPr>
    <w:tblStylePr w:type="firstRow">
      <w:pPr>
        <w:spacing w:before="0" w:after="0" w:line="240" w:lineRule="auto"/>
      </w:pPr>
      <w:rPr>
        <w:b/>
        <w:bCs/>
        <w:color w:val="FFFFFF" w:themeColor="background1"/>
      </w:rPr>
      <w:tblPr/>
      <w:tcPr>
        <w:tc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nil"/>
          <w:insideV w:val="nil"/>
        </w:tcBorders>
        <w:shd w:val="clear" w:color="auto" w:fill="ED7D31" w:themeFill="accent2"/>
      </w:tcPr>
    </w:tblStylePr>
    <w:tblStylePr w:type="lastRow">
      <w:pPr>
        <w:spacing w:before="0" w:after="0" w:line="240" w:lineRule="auto"/>
      </w:pPr>
      <w:rPr>
        <w:b/>
        <w:bCs/>
      </w:rPr>
      <w:tblPr/>
      <w:tcPr>
        <w:tcBorders>
          <w:top w:val="double" w:sz="6"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nil"/>
          <w:insideV w:val="nil"/>
        </w:tcBorders>
      </w:tcPr>
    </w:tblStylePr>
    <w:tblStylePr w:type="firstCol">
      <w:rPr>
        <w:b/>
        <w:bCs/>
      </w:rPr>
    </w:tblStylePr>
    <w:tblStylePr w:type="lastCol">
      <w:rPr>
        <w:b/>
        <w:bCs/>
      </w:rPr>
    </w:tblStylePr>
    <w:tblStylePr w:type="band1Vert">
      <w:tblPr/>
      <w:tcPr>
        <w:shd w:val="clear" w:color="auto" w:fill="FADECB" w:themeFill="accent2" w:themeFillTint="3F"/>
      </w:tcPr>
    </w:tblStylePr>
    <w:tblStylePr w:type="band1Horz">
      <w:tblPr/>
      <w:tcPr>
        <w:tcBorders>
          <w:insideH w:val="nil"/>
          <w:insideV w:val="nil"/>
        </w:tcBorders>
        <w:shd w:val="clear" w:color="auto" w:fill="FADECB"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unhideWhenUsed/>
    <w:rsid w:val="000041AF"/>
    <w:pPr>
      <w:spacing w:before="0" w:after="0"/>
    </w:pPr>
    <w:tblPr>
      <w:tblStyleRowBandSize w:val="1"/>
      <w:tblStyleColBandSize w:val="1"/>
      <w:tbl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single" w:sz="8" w:space="0" w:color="BBBBBB" w:themeColor="accent3" w:themeTint="BF"/>
      </w:tblBorders>
    </w:tblPr>
    <w:tblStylePr w:type="firstRow">
      <w:pPr>
        <w:spacing w:before="0" w:after="0" w:line="240" w:lineRule="auto"/>
      </w:pPr>
      <w:rPr>
        <w:b/>
        <w:bCs/>
        <w:color w:val="FFFFFF" w:themeColor="background1"/>
      </w:rPr>
      <w:tblPr/>
      <w:tcPr>
        <w:tc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nil"/>
          <w:insideV w:val="nil"/>
        </w:tcBorders>
        <w:shd w:val="clear" w:color="auto" w:fill="A5A5A5" w:themeFill="accent3"/>
      </w:tcPr>
    </w:tblStylePr>
    <w:tblStylePr w:type="lastRow">
      <w:pPr>
        <w:spacing w:before="0" w:after="0" w:line="240" w:lineRule="auto"/>
      </w:pPr>
      <w:rPr>
        <w:b/>
        <w:bCs/>
      </w:rPr>
      <w:tblPr/>
      <w:tcPr>
        <w:tcBorders>
          <w:top w:val="double" w:sz="6"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nil"/>
          <w:insideV w:val="nil"/>
        </w:tcBorders>
      </w:tcPr>
    </w:tblStylePr>
    <w:tblStylePr w:type="firstCol">
      <w:rPr>
        <w:b/>
        <w:bCs/>
      </w:rPr>
    </w:tblStylePr>
    <w:tblStylePr w:type="lastCol">
      <w:rPr>
        <w:b/>
        <w:bCs/>
      </w:rPr>
    </w:tblStylePr>
    <w:tblStylePr w:type="band1Vert">
      <w:tblPr/>
      <w:tcPr>
        <w:shd w:val="clear" w:color="auto" w:fill="E8E8E8" w:themeFill="accent3" w:themeFillTint="3F"/>
      </w:tcPr>
    </w:tblStylePr>
    <w:tblStylePr w:type="band1Horz">
      <w:tblPr/>
      <w:tcPr>
        <w:tcBorders>
          <w:insideH w:val="nil"/>
          <w:insideV w:val="nil"/>
        </w:tcBorders>
        <w:shd w:val="clear" w:color="auto" w:fill="E8E8E8"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unhideWhenUsed/>
    <w:rsid w:val="000041AF"/>
    <w:pPr>
      <w:spacing w:before="0" w:after="0"/>
    </w:pPr>
    <w:tblPr>
      <w:tblStyleRowBandSize w:val="1"/>
      <w:tblStyleColBandSize w:val="1"/>
      <w:tbl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single" w:sz="8" w:space="0" w:color="FFCF40" w:themeColor="accent4" w:themeTint="BF"/>
      </w:tblBorders>
    </w:tblPr>
    <w:tblStylePr w:type="firstRow">
      <w:pPr>
        <w:spacing w:before="0" w:after="0" w:line="240" w:lineRule="auto"/>
      </w:pPr>
      <w:rPr>
        <w:b/>
        <w:bCs/>
        <w:color w:val="FFFFFF" w:themeColor="background1"/>
      </w:rPr>
      <w:tblPr/>
      <w:tcPr>
        <w:tc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nil"/>
          <w:insideV w:val="nil"/>
        </w:tcBorders>
        <w:shd w:val="clear" w:color="auto" w:fill="FFC000" w:themeFill="accent4"/>
      </w:tcPr>
    </w:tblStylePr>
    <w:tblStylePr w:type="lastRow">
      <w:pPr>
        <w:spacing w:before="0" w:after="0" w:line="240" w:lineRule="auto"/>
      </w:pPr>
      <w:rPr>
        <w:b/>
        <w:bCs/>
      </w:rPr>
      <w:tblPr/>
      <w:tcPr>
        <w:tcBorders>
          <w:top w:val="double" w:sz="6"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nil"/>
          <w:insideV w:val="nil"/>
        </w:tcBorders>
      </w:tcPr>
    </w:tblStylePr>
    <w:tblStylePr w:type="firstCol">
      <w:rPr>
        <w:b/>
        <w:bCs/>
      </w:rPr>
    </w:tblStylePr>
    <w:tblStylePr w:type="lastCol">
      <w:rPr>
        <w:b/>
        <w:bCs/>
      </w:rPr>
    </w:tblStylePr>
    <w:tblStylePr w:type="band1Vert">
      <w:tblPr/>
      <w:tcPr>
        <w:shd w:val="clear" w:color="auto" w:fill="FFEFC0" w:themeFill="accent4" w:themeFillTint="3F"/>
      </w:tcPr>
    </w:tblStylePr>
    <w:tblStylePr w:type="band1Horz">
      <w:tblPr/>
      <w:tcPr>
        <w:tcBorders>
          <w:insideH w:val="nil"/>
          <w:insideV w:val="nil"/>
        </w:tcBorders>
        <w:shd w:val="clear" w:color="auto" w:fill="FFEFC0"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unhideWhenUsed/>
    <w:rsid w:val="000041AF"/>
    <w:pPr>
      <w:spacing w:before="0" w:after="0"/>
    </w:pPr>
    <w:tblPr>
      <w:tblStyleRowBandSize w:val="1"/>
      <w:tblStyleColBandSize w:val="1"/>
      <w:tblBorders>
        <w:top w:val="single" w:sz="8" w:space="0" w:color="84B3DF" w:themeColor="accent5" w:themeTint="BF"/>
        <w:left w:val="single" w:sz="8" w:space="0" w:color="84B3DF" w:themeColor="accent5" w:themeTint="BF"/>
        <w:bottom w:val="single" w:sz="8" w:space="0" w:color="84B3DF" w:themeColor="accent5" w:themeTint="BF"/>
        <w:right w:val="single" w:sz="8" w:space="0" w:color="84B3DF" w:themeColor="accent5" w:themeTint="BF"/>
        <w:insideH w:val="single" w:sz="8" w:space="0" w:color="84B3DF" w:themeColor="accent5" w:themeTint="BF"/>
      </w:tblBorders>
    </w:tblPr>
    <w:tblStylePr w:type="firstRow">
      <w:pPr>
        <w:spacing w:before="0" w:after="0" w:line="240" w:lineRule="auto"/>
      </w:pPr>
      <w:rPr>
        <w:b/>
        <w:bCs/>
        <w:color w:val="FFFFFF" w:themeColor="background1"/>
      </w:rPr>
      <w:tblPr/>
      <w:tcPr>
        <w:tcBorders>
          <w:top w:val="single" w:sz="8" w:space="0" w:color="84B3DF" w:themeColor="accent5" w:themeTint="BF"/>
          <w:left w:val="single" w:sz="8" w:space="0" w:color="84B3DF" w:themeColor="accent5" w:themeTint="BF"/>
          <w:bottom w:val="single" w:sz="8" w:space="0" w:color="84B3DF" w:themeColor="accent5" w:themeTint="BF"/>
          <w:right w:val="single" w:sz="8" w:space="0" w:color="84B3DF" w:themeColor="accent5" w:themeTint="BF"/>
          <w:insideH w:val="nil"/>
          <w:insideV w:val="nil"/>
        </w:tcBorders>
        <w:shd w:val="clear" w:color="auto" w:fill="5B9BD5" w:themeFill="accent5"/>
      </w:tcPr>
    </w:tblStylePr>
    <w:tblStylePr w:type="lastRow">
      <w:pPr>
        <w:spacing w:before="0" w:after="0" w:line="240" w:lineRule="auto"/>
      </w:pPr>
      <w:rPr>
        <w:b/>
        <w:bCs/>
      </w:rPr>
      <w:tblPr/>
      <w:tcPr>
        <w:tcBorders>
          <w:top w:val="double" w:sz="6" w:space="0" w:color="84B3DF" w:themeColor="accent5" w:themeTint="BF"/>
          <w:left w:val="single" w:sz="8" w:space="0" w:color="84B3DF" w:themeColor="accent5" w:themeTint="BF"/>
          <w:bottom w:val="single" w:sz="8" w:space="0" w:color="84B3DF" w:themeColor="accent5" w:themeTint="BF"/>
          <w:right w:val="single" w:sz="8" w:space="0" w:color="84B3DF" w:themeColor="accent5" w:themeTint="BF"/>
          <w:insideH w:val="nil"/>
          <w:insideV w:val="nil"/>
        </w:tcBorders>
      </w:tcPr>
    </w:tblStylePr>
    <w:tblStylePr w:type="firstCol">
      <w:rPr>
        <w:b/>
        <w:bCs/>
      </w:rPr>
    </w:tblStylePr>
    <w:tblStylePr w:type="lastCol">
      <w:rPr>
        <w:b/>
        <w:bCs/>
      </w:rPr>
    </w:tblStylePr>
    <w:tblStylePr w:type="band1Vert">
      <w:tblPr/>
      <w:tcPr>
        <w:shd w:val="clear" w:color="auto" w:fill="D6E6F4" w:themeFill="accent5" w:themeFillTint="3F"/>
      </w:tcPr>
    </w:tblStylePr>
    <w:tblStylePr w:type="band1Horz">
      <w:tblPr/>
      <w:tcPr>
        <w:tcBorders>
          <w:insideH w:val="nil"/>
          <w:insideV w:val="nil"/>
        </w:tcBorders>
        <w:shd w:val="clear" w:color="auto" w:fill="D6E6F4"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unhideWhenUsed/>
    <w:rsid w:val="000041AF"/>
    <w:pPr>
      <w:spacing w:before="0" w:after="0"/>
    </w:pPr>
    <w:tblPr>
      <w:tblStyleRowBandSize w:val="1"/>
      <w:tblStyleColBandSize w:val="1"/>
      <w:tbl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single" w:sz="8" w:space="0" w:color="93C571" w:themeColor="accent6" w:themeTint="BF"/>
      </w:tblBorders>
    </w:tblPr>
    <w:tblStylePr w:type="firstRow">
      <w:pPr>
        <w:spacing w:before="0" w:after="0" w:line="240" w:lineRule="auto"/>
      </w:pPr>
      <w:rPr>
        <w:b/>
        <w:bCs/>
        <w:color w:val="FFFFFF" w:themeColor="background1"/>
      </w:rPr>
      <w:tblPr/>
      <w:tcPr>
        <w:tc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shd w:val="clear" w:color="auto" w:fill="70AD47" w:themeFill="accent6"/>
      </w:tcPr>
    </w:tblStylePr>
    <w:tblStylePr w:type="lastRow">
      <w:pPr>
        <w:spacing w:before="0" w:after="0" w:line="240" w:lineRule="auto"/>
      </w:pPr>
      <w:rPr>
        <w:b/>
        <w:bCs/>
      </w:rPr>
      <w:tblPr/>
      <w:tcPr>
        <w:tcBorders>
          <w:top w:val="double" w:sz="6"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tcPr>
    </w:tblStylePr>
    <w:tblStylePr w:type="firstCol">
      <w:rPr>
        <w:b/>
        <w:bCs/>
      </w:rPr>
    </w:tblStylePr>
    <w:tblStylePr w:type="lastCol">
      <w:rPr>
        <w:b/>
        <w:bCs/>
      </w:rPr>
    </w:tblStylePr>
    <w:tblStylePr w:type="band1Vert">
      <w:tblPr/>
      <w:tcPr>
        <w:shd w:val="clear" w:color="auto" w:fill="DBEBD0" w:themeFill="accent6" w:themeFillTint="3F"/>
      </w:tcPr>
    </w:tblStylePr>
    <w:tblStylePr w:type="band1Horz">
      <w:tblPr/>
      <w:tcPr>
        <w:tcBorders>
          <w:insideH w:val="nil"/>
          <w:insideV w:val="nil"/>
        </w:tcBorders>
        <w:shd w:val="clear" w:color="auto" w:fill="DBEB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unhideWhenUsed/>
    <w:rsid w:val="000041AF"/>
    <w:pPr>
      <w:spacing w:before="0" w:after="0"/>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unhideWhenUsed/>
    <w:rsid w:val="000041AF"/>
    <w:pPr>
      <w:spacing w:before="0" w:after="0"/>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472C4"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472C4" w:themeFill="accent1"/>
      </w:tcPr>
    </w:tblStylePr>
    <w:tblStylePr w:type="lastCol">
      <w:rPr>
        <w:b/>
        <w:bCs/>
        <w:color w:val="FFFFFF" w:themeColor="background1"/>
      </w:rPr>
      <w:tblPr/>
      <w:tcPr>
        <w:tcBorders>
          <w:left w:val="nil"/>
          <w:right w:val="nil"/>
          <w:insideH w:val="nil"/>
          <w:insideV w:val="nil"/>
        </w:tcBorders>
        <w:shd w:val="clear" w:color="auto" w:fill="4472C4"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unhideWhenUsed/>
    <w:rsid w:val="000041AF"/>
    <w:pPr>
      <w:spacing w:before="0" w:after="0"/>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D7D31"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D7D31" w:themeFill="accent2"/>
      </w:tcPr>
    </w:tblStylePr>
    <w:tblStylePr w:type="lastCol">
      <w:rPr>
        <w:b/>
        <w:bCs/>
        <w:color w:val="FFFFFF" w:themeColor="background1"/>
      </w:rPr>
      <w:tblPr/>
      <w:tcPr>
        <w:tcBorders>
          <w:left w:val="nil"/>
          <w:right w:val="nil"/>
          <w:insideH w:val="nil"/>
          <w:insideV w:val="nil"/>
        </w:tcBorders>
        <w:shd w:val="clear" w:color="auto" w:fill="ED7D31"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unhideWhenUsed/>
    <w:rsid w:val="000041AF"/>
    <w:pPr>
      <w:spacing w:before="0" w:after="0"/>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5A5A5"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5A5A5" w:themeFill="accent3"/>
      </w:tcPr>
    </w:tblStylePr>
    <w:tblStylePr w:type="lastCol">
      <w:rPr>
        <w:b/>
        <w:bCs/>
        <w:color w:val="FFFFFF" w:themeColor="background1"/>
      </w:rPr>
      <w:tblPr/>
      <w:tcPr>
        <w:tcBorders>
          <w:left w:val="nil"/>
          <w:right w:val="nil"/>
          <w:insideH w:val="nil"/>
          <w:insideV w:val="nil"/>
        </w:tcBorders>
        <w:shd w:val="clear" w:color="auto" w:fill="A5A5A5"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unhideWhenUsed/>
    <w:rsid w:val="000041AF"/>
    <w:pPr>
      <w:spacing w:before="0" w:after="0"/>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FC000"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FC000" w:themeFill="accent4"/>
      </w:tcPr>
    </w:tblStylePr>
    <w:tblStylePr w:type="lastCol">
      <w:rPr>
        <w:b/>
        <w:bCs/>
        <w:color w:val="FFFFFF" w:themeColor="background1"/>
      </w:rPr>
      <w:tblPr/>
      <w:tcPr>
        <w:tcBorders>
          <w:left w:val="nil"/>
          <w:right w:val="nil"/>
          <w:insideH w:val="nil"/>
          <w:insideV w:val="nil"/>
        </w:tcBorders>
        <w:shd w:val="clear" w:color="auto" w:fill="FFC000"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unhideWhenUsed/>
    <w:rsid w:val="000041AF"/>
    <w:pPr>
      <w:spacing w:before="0" w:after="0"/>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5B9BD5"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5B9BD5" w:themeFill="accent5"/>
      </w:tcPr>
    </w:tblStylePr>
    <w:tblStylePr w:type="lastCol">
      <w:rPr>
        <w:b/>
        <w:bCs/>
        <w:color w:val="FFFFFF" w:themeColor="background1"/>
      </w:rPr>
      <w:tblPr/>
      <w:tcPr>
        <w:tcBorders>
          <w:left w:val="nil"/>
          <w:right w:val="nil"/>
          <w:insideH w:val="nil"/>
          <w:insideV w:val="nil"/>
        </w:tcBorders>
        <w:shd w:val="clear" w:color="auto" w:fill="5B9BD5"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unhideWhenUsed/>
    <w:rsid w:val="000041AF"/>
    <w:pPr>
      <w:spacing w:before="0" w:after="0"/>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70AD47"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70AD47" w:themeFill="accent6"/>
      </w:tcPr>
    </w:tblStylePr>
    <w:tblStylePr w:type="lastCol">
      <w:rPr>
        <w:b/>
        <w:bCs/>
        <w:color w:val="FFFFFF" w:themeColor="background1"/>
      </w:rPr>
      <w:tblPr/>
      <w:tcPr>
        <w:tcBorders>
          <w:left w:val="nil"/>
          <w:right w:val="nil"/>
          <w:insideH w:val="nil"/>
          <w:insideV w:val="nil"/>
        </w:tcBorders>
        <w:shd w:val="clear" w:color="auto" w:fill="70AD47"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paragraph" w:styleId="MessageHeader">
    <w:name w:val="Message Header"/>
    <w:basedOn w:val="Normal"/>
    <w:link w:val="MessageHeaderChar"/>
    <w:uiPriority w:val="99"/>
    <w:semiHidden/>
    <w:unhideWhenUsed/>
    <w:rsid w:val="000041AF"/>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sz w:val="24"/>
      <w:szCs w:val="24"/>
    </w:rPr>
  </w:style>
  <w:style w:type="character" w:customStyle="1" w:styleId="MessageHeaderChar">
    <w:name w:val="Message Header Char"/>
    <w:basedOn w:val="DefaultParagraphFont"/>
    <w:link w:val="MessageHeader"/>
    <w:uiPriority w:val="99"/>
    <w:semiHidden/>
    <w:rsid w:val="000041AF"/>
    <w:rPr>
      <w:rFonts w:asciiTheme="majorHAnsi" w:eastAsiaTheme="majorEastAsia" w:hAnsiTheme="majorHAnsi" w:cstheme="majorBidi"/>
      <w:sz w:val="24"/>
      <w:szCs w:val="24"/>
      <w:shd w:val="pct20" w:color="auto" w:fill="auto"/>
      <w:lang w:val="es-UY"/>
    </w:rPr>
  </w:style>
  <w:style w:type="paragraph" w:styleId="NoSpacing">
    <w:name w:val="No Spacing"/>
    <w:uiPriority w:val="1"/>
    <w:qFormat/>
    <w:rsid w:val="000041AF"/>
    <w:pPr>
      <w:tabs>
        <w:tab w:val="left" w:pos="567"/>
        <w:tab w:val="left" w:pos="1134"/>
        <w:tab w:val="left" w:pos="1701"/>
        <w:tab w:val="left" w:pos="2268"/>
      </w:tabs>
      <w:spacing w:before="0" w:after="0"/>
    </w:pPr>
    <w:rPr>
      <w:rFonts w:ascii="Times New Roman" w:eastAsia="SimSun" w:hAnsi="Times New Roman" w:cs="Times New Roman"/>
    </w:rPr>
  </w:style>
  <w:style w:type="paragraph" w:styleId="NormalIndent">
    <w:name w:val="Normal Indent"/>
    <w:basedOn w:val="Normal"/>
    <w:uiPriority w:val="99"/>
    <w:semiHidden/>
    <w:unhideWhenUsed/>
    <w:rsid w:val="000041AF"/>
    <w:pPr>
      <w:ind w:left="720"/>
    </w:pPr>
  </w:style>
  <w:style w:type="paragraph" w:styleId="NoteHeading">
    <w:name w:val="Note Heading"/>
    <w:basedOn w:val="Normal"/>
    <w:next w:val="Normal"/>
    <w:link w:val="NoteHeadingChar"/>
    <w:uiPriority w:val="99"/>
    <w:semiHidden/>
    <w:unhideWhenUsed/>
    <w:rsid w:val="000041AF"/>
  </w:style>
  <w:style w:type="character" w:customStyle="1" w:styleId="NoteHeadingChar">
    <w:name w:val="Note Heading Char"/>
    <w:basedOn w:val="DefaultParagraphFont"/>
    <w:link w:val="NoteHeading"/>
    <w:uiPriority w:val="99"/>
    <w:semiHidden/>
    <w:rsid w:val="000041AF"/>
    <w:rPr>
      <w:rFonts w:ascii="Times New Roman" w:eastAsia="SimSun" w:hAnsi="Times New Roman" w:cs="Times New Roman"/>
      <w:lang w:val="es-UY"/>
    </w:rPr>
  </w:style>
  <w:style w:type="character" w:styleId="PageNumber">
    <w:name w:val="page number"/>
    <w:basedOn w:val="DefaultParagraphFont"/>
    <w:uiPriority w:val="99"/>
    <w:semiHidden/>
    <w:unhideWhenUsed/>
    <w:rsid w:val="000041AF"/>
    <w:rPr>
      <w:lang w:val="es-UY"/>
    </w:rPr>
  </w:style>
  <w:style w:type="table" w:styleId="PlainTable5">
    <w:name w:val="Plain Table 5"/>
    <w:basedOn w:val="TableNormal"/>
    <w:uiPriority w:val="45"/>
    <w:rsid w:val="000041AF"/>
    <w:pPr>
      <w:spacing w:after="0"/>
    </w:p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Quote">
    <w:name w:val="Quote"/>
    <w:basedOn w:val="Normal"/>
    <w:next w:val="Normal"/>
    <w:link w:val="QuoteChar"/>
    <w:uiPriority w:val="29"/>
    <w:qFormat/>
    <w:rsid w:val="000041AF"/>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rsid w:val="000041AF"/>
    <w:rPr>
      <w:rFonts w:ascii="Times New Roman" w:eastAsia="SimSun" w:hAnsi="Times New Roman" w:cs="Times New Roman"/>
      <w:i/>
      <w:iCs/>
      <w:color w:val="404040" w:themeColor="text1" w:themeTint="BF"/>
      <w:lang w:val="es-UY"/>
    </w:rPr>
  </w:style>
  <w:style w:type="paragraph" w:styleId="Salutation">
    <w:name w:val="Salutation"/>
    <w:basedOn w:val="Normal"/>
    <w:next w:val="Normal"/>
    <w:link w:val="SalutationChar"/>
    <w:uiPriority w:val="99"/>
    <w:semiHidden/>
    <w:unhideWhenUsed/>
    <w:rsid w:val="000041AF"/>
  </w:style>
  <w:style w:type="character" w:customStyle="1" w:styleId="SalutationChar">
    <w:name w:val="Salutation Char"/>
    <w:basedOn w:val="DefaultParagraphFont"/>
    <w:link w:val="Salutation"/>
    <w:uiPriority w:val="99"/>
    <w:semiHidden/>
    <w:rsid w:val="000041AF"/>
    <w:rPr>
      <w:rFonts w:ascii="Times New Roman" w:eastAsia="SimSun" w:hAnsi="Times New Roman" w:cs="Times New Roman"/>
      <w:lang w:val="es-UY"/>
    </w:rPr>
  </w:style>
  <w:style w:type="paragraph" w:styleId="Signature">
    <w:name w:val="Signature"/>
    <w:basedOn w:val="Normal"/>
    <w:link w:val="SignatureChar"/>
    <w:uiPriority w:val="99"/>
    <w:semiHidden/>
    <w:unhideWhenUsed/>
    <w:rsid w:val="000041AF"/>
    <w:pPr>
      <w:ind w:left="4252"/>
    </w:pPr>
  </w:style>
  <w:style w:type="character" w:customStyle="1" w:styleId="SignatureChar">
    <w:name w:val="Signature Char"/>
    <w:basedOn w:val="DefaultParagraphFont"/>
    <w:link w:val="Signature"/>
    <w:uiPriority w:val="99"/>
    <w:semiHidden/>
    <w:rsid w:val="000041AF"/>
    <w:rPr>
      <w:rFonts w:ascii="Times New Roman" w:eastAsia="SimSun" w:hAnsi="Times New Roman" w:cs="Times New Roman"/>
      <w:lang w:val="es-UY"/>
    </w:rPr>
  </w:style>
  <w:style w:type="character" w:customStyle="1" w:styleId="SmartHyperlink">
    <w:name w:val="Smart Hyperlink"/>
    <w:basedOn w:val="DefaultParagraphFont"/>
    <w:uiPriority w:val="99"/>
    <w:semiHidden/>
    <w:unhideWhenUsed/>
    <w:rsid w:val="000041AF"/>
    <w:rPr>
      <w:u w:val="dotted"/>
      <w:lang w:val="es-UY"/>
    </w:rPr>
  </w:style>
  <w:style w:type="character" w:customStyle="1" w:styleId="SmartLink1">
    <w:name w:val="SmartLink1"/>
    <w:basedOn w:val="DefaultParagraphFont"/>
    <w:uiPriority w:val="99"/>
    <w:semiHidden/>
    <w:unhideWhenUsed/>
    <w:rsid w:val="000041AF"/>
    <w:rPr>
      <w:color w:val="0000FF"/>
      <w:u w:val="single"/>
      <w:shd w:val="clear" w:color="auto" w:fill="F3F2F1"/>
      <w:lang w:val="es-UY"/>
    </w:rPr>
  </w:style>
  <w:style w:type="character" w:styleId="Strong">
    <w:name w:val="Strong"/>
    <w:basedOn w:val="DefaultParagraphFont"/>
    <w:uiPriority w:val="22"/>
    <w:qFormat/>
    <w:rsid w:val="000041AF"/>
    <w:rPr>
      <w:b/>
      <w:bCs/>
      <w:lang w:val="es-UY"/>
    </w:rPr>
  </w:style>
  <w:style w:type="character" w:styleId="SubtleEmphasis">
    <w:name w:val="Subtle Emphasis"/>
    <w:basedOn w:val="DefaultParagraphFont"/>
    <w:uiPriority w:val="19"/>
    <w:qFormat/>
    <w:rsid w:val="000041AF"/>
    <w:rPr>
      <w:i/>
      <w:iCs/>
      <w:color w:val="404040" w:themeColor="text1" w:themeTint="BF"/>
      <w:lang w:val="es-UY"/>
    </w:rPr>
  </w:style>
  <w:style w:type="character" w:styleId="SubtleReference">
    <w:name w:val="Subtle Reference"/>
    <w:basedOn w:val="DefaultParagraphFont"/>
    <w:uiPriority w:val="31"/>
    <w:qFormat/>
    <w:rsid w:val="000041AF"/>
    <w:rPr>
      <w:smallCaps/>
      <w:color w:val="5A5A5A" w:themeColor="text1" w:themeTint="A5"/>
      <w:lang w:val="es-UY"/>
    </w:rPr>
  </w:style>
  <w:style w:type="table" w:styleId="Table3Deffects1">
    <w:name w:val="Table 3D effects 1"/>
    <w:basedOn w:val="TableNormal"/>
    <w:uiPriority w:val="99"/>
    <w:semiHidden/>
    <w:unhideWhenUsed/>
    <w:rsid w:val="000041AF"/>
    <w:pPr>
      <w:tabs>
        <w:tab w:val="left" w:pos="567"/>
        <w:tab w:val="left" w:pos="1134"/>
        <w:tab w:val="left" w:pos="1701"/>
        <w:tab w:val="left" w:pos="2268"/>
      </w:tabs>
      <w:spacing w:before="0" w:after="0"/>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0041AF"/>
    <w:pPr>
      <w:tabs>
        <w:tab w:val="left" w:pos="567"/>
        <w:tab w:val="left" w:pos="1134"/>
        <w:tab w:val="left" w:pos="1701"/>
        <w:tab w:val="left" w:pos="2268"/>
      </w:tabs>
      <w:spacing w:before="0" w:after="0"/>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0041AF"/>
    <w:pPr>
      <w:tabs>
        <w:tab w:val="left" w:pos="567"/>
        <w:tab w:val="left" w:pos="1134"/>
        <w:tab w:val="left" w:pos="1701"/>
        <w:tab w:val="left" w:pos="2268"/>
      </w:tabs>
      <w:spacing w:before="0" w:after="0"/>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0041AF"/>
    <w:pPr>
      <w:tabs>
        <w:tab w:val="left" w:pos="567"/>
        <w:tab w:val="left" w:pos="1134"/>
        <w:tab w:val="left" w:pos="1701"/>
        <w:tab w:val="left" w:pos="2268"/>
      </w:tabs>
      <w:spacing w:before="0" w:after="0"/>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0041AF"/>
    <w:pPr>
      <w:tabs>
        <w:tab w:val="left" w:pos="567"/>
        <w:tab w:val="left" w:pos="1134"/>
        <w:tab w:val="left" w:pos="1701"/>
        <w:tab w:val="left" w:pos="2268"/>
      </w:tabs>
      <w:spacing w:before="0" w:after="0"/>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0041AF"/>
    <w:pPr>
      <w:tabs>
        <w:tab w:val="left" w:pos="567"/>
        <w:tab w:val="left" w:pos="1134"/>
        <w:tab w:val="left" w:pos="1701"/>
        <w:tab w:val="left" w:pos="2268"/>
      </w:tabs>
      <w:spacing w:before="0" w:after="0"/>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0041AF"/>
    <w:pPr>
      <w:tabs>
        <w:tab w:val="left" w:pos="567"/>
        <w:tab w:val="left" w:pos="1134"/>
        <w:tab w:val="left" w:pos="1701"/>
        <w:tab w:val="left" w:pos="2268"/>
      </w:tabs>
      <w:spacing w:before="0" w:after="0"/>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0041AF"/>
    <w:pPr>
      <w:tabs>
        <w:tab w:val="left" w:pos="567"/>
        <w:tab w:val="left" w:pos="1134"/>
        <w:tab w:val="left" w:pos="1701"/>
        <w:tab w:val="left" w:pos="2268"/>
      </w:tabs>
      <w:spacing w:before="0" w:after="0"/>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0041AF"/>
    <w:pPr>
      <w:tabs>
        <w:tab w:val="left" w:pos="567"/>
        <w:tab w:val="left" w:pos="1134"/>
        <w:tab w:val="left" w:pos="1701"/>
        <w:tab w:val="left" w:pos="2268"/>
      </w:tabs>
      <w:spacing w:before="0" w:after="0"/>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0041AF"/>
    <w:pPr>
      <w:tabs>
        <w:tab w:val="left" w:pos="567"/>
        <w:tab w:val="left" w:pos="1134"/>
        <w:tab w:val="left" w:pos="1701"/>
        <w:tab w:val="left" w:pos="2268"/>
      </w:tabs>
      <w:spacing w:before="0" w:after="0"/>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0041AF"/>
    <w:pPr>
      <w:tabs>
        <w:tab w:val="left" w:pos="567"/>
        <w:tab w:val="left" w:pos="1134"/>
        <w:tab w:val="left" w:pos="1701"/>
        <w:tab w:val="left" w:pos="2268"/>
      </w:tabs>
      <w:spacing w:before="0" w:after="0"/>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0041AF"/>
    <w:pPr>
      <w:tabs>
        <w:tab w:val="left" w:pos="567"/>
        <w:tab w:val="left" w:pos="1134"/>
        <w:tab w:val="left" w:pos="1701"/>
        <w:tab w:val="left" w:pos="2268"/>
      </w:tabs>
      <w:spacing w:before="0" w:after="0"/>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0041AF"/>
    <w:pPr>
      <w:tabs>
        <w:tab w:val="left" w:pos="567"/>
        <w:tab w:val="left" w:pos="1134"/>
        <w:tab w:val="left" w:pos="1701"/>
        <w:tab w:val="left" w:pos="2268"/>
      </w:tabs>
      <w:spacing w:before="0" w:after="0"/>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0041AF"/>
    <w:pPr>
      <w:tabs>
        <w:tab w:val="left" w:pos="567"/>
        <w:tab w:val="left" w:pos="1134"/>
        <w:tab w:val="left" w:pos="1701"/>
        <w:tab w:val="left" w:pos="2268"/>
      </w:tabs>
      <w:spacing w:before="0" w:after="0"/>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0041AF"/>
    <w:pPr>
      <w:tabs>
        <w:tab w:val="left" w:pos="567"/>
        <w:tab w:val="left" w:pos="1134"/>
        <w:tab w:val="left" w:pos="1701"/>
        <w:tab w:val="left" w:pos="2268"/>
      </w:tabs>
      <w:spacing w:before="0" w:after="0"/>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0041AF"/>
    <w:pPr>
      <w:tabs>
        <w:tab w:val="left" w:pos="567"/>
        <w:tab w:val="left" w:pos="1134"/>
        <w:tab w:val="left" w:pos="1701"/>
        <w:tab w:val="left" w:pos="2268"/>
      </w:tabs>
      <w:spacing w:before="0" w:after="0"/>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0041AF"/>
    <w:pPr>
      <w:tabs>
        <w:tab w:val="left" w:pos="567"/>
        <w:tab w:val="left" w:pos="1134"/>
        <w:tab w:val="left" w:pos="1701"/>
        <w:tab w:val="left" w:pos="2268"/>
      </w:tabs>
      <w:spacing w:before="0" w:after="0"/>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0">
    <w:name w:val="Table Grid 1"/>
    <w:basedOn w:val="TableNormal"/>
    <w:uiPriority w:val="99"/>
    <w:semiHidden/>
    <w:unhideWhenUsed/>
    <w:rsid w:val="000041AF"/>
    <w:pPr>
      <w:tabs>
        <w:tab w:val="left" w:pos="567"/>
        <w:tab w:val="left" w:pos="1134"/>
        <w:tab w:val="left" w:pos="1701"/>
        <w:tab w:val="left" w:pos="2268"/>
      </w:tabs>
      <w:spacing w:before="0" w:after="0"/>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0041AF"/>
    <w:pPr>
      <w:tabs>
        <w:tab w:val="left" w:pos="567"/>
        <w:tab w:val="left" w:pos="1134"/>
        <w:tab w:val="left" w:pos="1701"/>
        <w:tab w:val="left" w:pos="2268"/>
      </w:tabs>
      <w:spacing w:before="0" w:after="0"/>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0041AF"/>
    <w:pPr>
      <w:tabs>
        <w:tab w:val="left" w:pos="567"/>
        <w:tab w:val="left" w:pos="1134"/>
        <w:tab w:val="left" w:pos="1701"/>
        <w:tab w:val="left" w:pos="2268"/>
      </w:tabs>
      <w:spacing w:before="0" w:after="0"/>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0041AF"/>
    <w:pPr>
      <w:tabs>
        <w:tab w:val="left" w:pos="567"/>
        <w:tab w:val="left" w:pos="1134"/>
        <w:tab w:val="left" w:pos="1701"/>
        <w:tab w:val="left" w:pos="2268"/>
      </w:tabs>
      <w:spacing w:before="0" w:after="0"/>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0041AF"/>
    <w:pPr>
      <w:tabs>
        <w:tab w:val="left" w:pos="567"/>
        <w:tab w:val="left" w:pos="1134"/>
        <w:tab w:val="left" w:pos="1701"/>
        <w:tab w:val="left" w:pos="2268"/>
      </w:tabs>
      <w:spacing w:before="0" w:after="0"/>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0041AF"/>
    <w:pPr>
      <w:tabs>
        <w:tab w:val="left" w:pos="567"/>
        <w:tab w:val="left" w:pos="1134"/>
        <w:tab w:val="left" w:pos="1701"/>
        <w:tab w:val="left" w:pos="2268"/>
      </w:tabs>
      <w:spacing w:before="0" w:after="0"/>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0041AF"/>
    <w:pPr>
      <w:tabs>
        <w:tab w:val="left" w:pos="567"/>
        <w:tab w:val="left" w:pos="1134"/>
        <w:tab w:val="left" w:pos="1701"/>
        <w:tab w:val="left" w:pos="2268"/>
      </w:tabs>
      <w:spacing w:before="0" w:after="0"/>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0041AF"/>
    <w:pPr>
      <w:tabs>
        <w:tab w:val="left" w:pos="567"/>
        <w:tab w:val="left" w:pos="1134"/>
        <w:tab w:val="left" w:pos="1701"/>
        <w:tab w:val="left" w:pos="2268"/>
      </w:tabs>
      <w:spacing w:before="0" w:after="0"/>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GridLight">
    <w:name w:val="Grid Table Light"/>
    <w:basedOn w:val="TableNormal"/>
    <w:uiPriority w:val="40"/>
    <w:rsid w:val="000041AF"/>
    <w:pPr>
      <w:spacing w:after="0"/>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TableList1">
    <w:name w:val="Table List 1"/>
    <w:basedOn w:val="TableNormal"/>
    <w:uiPriority w:val="99"/>
    <w:semiHidden/>
    <w:unhideWhenUsed/>
    <w:rsid w:val="000041AF"/>
    <w:pPr>
      <w:tabs>
        <w:tab w:val="left" w:pos="567"/>
        <w:tab w:val="left" w:pos="1134"/>
        <w:tab w:val="left" w:pos="1701"/>
        <w:tab w:val="left" w:pos="2268"/>
      </w:tabs>
      <w:spacing w:before="0" w:after="0"/>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0041AF"/>
    <w:pPr>
      <w:tabs>
        <w:tab w:val="left" w:pos="567"/>
        <w:tab w:val="left" w:pos="1134"/>
        <w:tab w:val="left" w:pos="1701"/>
        <w:tab w:val="left" w:pos="2268"/>
      </w:tabs>
      <w:spacing w:before="0" w:after="0"/>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0041AF"/>
    <w:pPr>
      <w:tabs>
        <w:tab w:val="left" w:pos="567"/>
        <w:tab w:val="left" w:pos="1134"/>
        <w:tab w:val="left" w:pos="1701"/>
        <w:tab w:val="left" w:pos="2268"/>
      </w:tabs>
      <w:spacing w:before="0" w:after="0"/>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0041AF"/>
    <w:pPr>
      <w:tabs>
        <w:tab w:val="left" w:pos="567"/>
        <w:tab w:val="left" w:pos="1134"/>
        <w:tab w:val="left" w:pos="1701"/>
        <w:tab w:val="left" w:pos="2268"/>
      </w:tabs>
      <w:spacing w:before="0" w:after="0"/>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0041AF"/>
    <w:pPr>
      <w:tabs>
        <w:tab w:val="left" w:pos="567"/>
        <w:tab w:val="left" w:pos="1134"/>
        <w:tab w:val="left" w:pos="1701"/>
        <w:tab w:val="left" w:pos="2268"/>
      </w:tabs>
      <w:spacing w:before="0" w:after="0"/>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0041AF"/>
    <w:pPr>
      <w:tabs>
        <w:tab w:val="left" w:pos="567"/>
        <w:tab w:val="left" w:pos="1134"/>
        <w:tab w:val="left" w:pos="1701"/>
        <w:tab w:val="left" w:pos="2268"/>
      </w:tabs>
      <w:spacing w:before="0" w:after="0"/>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0041AF"/>
    <w:pPr>
      <w:tabs>
        <w:tab w:val="left" w:pos="567"/>
        <w:tab w:val="left" w:pos="1134"/>
        <w:tab w:val="left" w:pos="1701"/>
        <w:tab w:val="left" w:pos="2268"/>
      </w:tabs>
      <w:spacing w:before="0" w:after="0"/>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0041AF"/>
    <w:pPr>
      <w:tabs>
        <w:tab w:val="left" w:pos="567"/>
        <w:tab w:val="left" w:pos="1134"/>
        <w:tab w:val="left" w:pos="1701"/>
        <w:tab w:val="left" w:pos="2268"/>
      </w:tabs>
      <w:spacing w:before="0" w:after="0"/>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9"/>
    <w:semiHidden/>
    <w:unhideWhenUsed/>
    <w:rsid w:val="000041AF"/>
    <w:pPr>
      <w:tabs>
        <w:tab w:val="clear" w:pos="567"/>
        <w:tab w:val="clear" w:pos="1134"/>
        <w:tab w:val="clear" w:pos="1701"/>
        <w:tab w:val="clear" w:pos="2268"/>
      </w:tabs>
      <w:ind w:left="220" w:hanging="220"/>
    </w:pPr>
  </w:style>
  <w:style w:type="table" w:styleId="TableProfessional">
    <w:name w:val="Table Professional"/>
    <w:basedOn w:val="TableNormal"/>
    <w:uiPriority w:val="99"/>
    <w:semiHidden/>
    <w:unhideWhenUsed/>
    <w:rsid w:val="000041AF"/>
    <w:pPr>
      <w:tabs>
        <w:tab w:val="left" w:pos="567"/>
        <w:tab w:val="left" w:pos="1134"/>
        <w:tab w:val="left" w:pos="1701"/>
        <w:tab w:val="left" w:pos="2268"/>
      </w:tabs>
      <w:spacing w:before="0" w:after="0"/>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0041AF"/>
    <w:pPr>
      <w:tabs>
        <w:tab w:val="left" w:pos="567"/>
        <w:tab w:val="left" w:pos="1134"/>
        <w:tab w:val="left" w:pos="1701"/>
        <w:tab w:val="left" w:pos="2268"/>
      </w:tabs>
      <w:spacing w:before="0" w:after="0"/>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0041AF"/>
    <w:pPr>
      <w:tabs>
        <w:tab w:val="left" w:pos="567"/>
        <w:tab w:val="left" w:pos="1134"/>
        <w:tab w:val="left" w:pos="1701"/>
        <w:tab w:val="left" w:pos="2268"/>
      </w:tabs>
      <w:spacing w:before="0" w:after="0"/>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0041AF"/>
    <w:pPr>
      <w:tabs>
        <w:tab w:val="left" w:pos="567"/>
        <w:tab w:val="left" w:pos="1134"/>
        <w:tab w:val="left" w:pos="1701"/>
        <w:tab w:val="left" w:pos="2268"/>
      </w:tabs>
      <w:spacing w:before="0" w:after="0"/>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0041AF"/>
    <w:pPr>
      <w:tabs>
        <w:tab w:val="left" w:pos="567"/>
        <w:tab w:val="left" w:pos="1134"/>
        <w:tab w:val="left" w:pos="1701"/>
        <w:tab w:val="left" w:pos="2268"/>
      </w:tabs>
      <w:spacing w:before="0" w:after="0"/>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0041AF"/>
    <w:pPr>
      <w:tabs>
        <w:tab w:val="left" w:pos="567"/>
        <w:tab w:val="left" w:pos="1134"/>
        <w:tab w:val="left" w:pos="1701"/>
        <w:tab w:val="left" w:pos="2268"/>
      </w:tabs>
      <w:spacing w:before="0" w:after="0"/>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0041AF"/>
    <w:pPr>
      <w:tabs>
        <w:tab w:val="left" w:pos="567"/>
        <w:tab w:val="left" w:pos="1134"/>
        <w:tab w:val="left" w:pos="1701"/>
        <w:tab w:val="left" w:pos="2268"/>
      </w:tabs>
      <w:spacing w:before="0" w:after="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0041AF"/>
    <w:pPr>
      <w:tabs>
        <w:tab w:val="left" w:pos="567"/>
        <w:tab w:val="left" w:pos="1134"/>
        <w:tab w:val="left" w:pos="1701"/>
        <w:tab w:val="left" w:pos="2268"/>
      </w:tabs>
      <w:spacing w:before="0" w:after="0"/>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0041AF"/>
    <w:pPr>
      <w:tabs>
        <w:tab w:val="left" w:pos="567"/>
        <w:tab w:val="left" w:pos="1134"/>
        <w:tab w:val="left" w:pos="1701"/>
        <w:tab w:val="left" w:pos="2268"/>
      </w:tabs>
      <w:spacing w:before="0" w:after="0"/>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0041AF"/>
    <w:pPr>
      <w:tabs>
        <w:tab w:val="left" w:pos="567"/>
        <w:tab w:val="left" w:pos="1134"/>
        <w:tab w:val="left" w:pos="1701"/>
        <w:tab w:val="left" w:pos="2268"/>
      </w:tabs>
      <w:spacing w:before="0" w:after="0"/>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AHeading">
    <w:name w:val="toa heading"/>
    <w:basedOn w:val="Normal"/>
    <w:next w:val="Normal"/>
    <w:uiPriority w:val="99"/>
    <w:semiHidden/>
    <w:unhideWhenUsed/>
    <w:rsid w:val="000041AF"/>
    <w:pPr>
      <w:spacing w:before="120"/>
    </w:pPr>
    <w:rPr>
      <w:rFonts w:asciiTheme="majorHAnsi" w:eastAsiaTheme="majorEastAsia" w:hAnsiTheme="majorHAnsi" w:cstheme="majorBidi"/>
      <w:b/>
      <w:bCs/>
      <w:sz w:val="24"/>
      <w:szCs w:val="24"/>
    </w:rPr>
  </w:style>
  <w:style w:type="paragraph" w:styleId="TOC4">
    <w:name w:val="toc 4"/>
    <w:basedOn w:val="Normal"/>
    <w:next w:val="Normal"/>
    <w:autoRedefine/>
    <w:uiPriority w:val="39"/>
    <w:semiHidden/>
    <w:unhideWhenUsed/>
    <w:rsid w:val="000041AF"/>
    <w:pPr>
      <w:tabs>
        <w:tab w:val="clear" w:pos="567"/>
        <w:tab w:val="clear" w:pos="1134"/>
        <w:tab w:val="clear" w:pos="1701"/>
        <w:tab w:val="clear" w:pos="2268"/>
      </w:tabs>
      <w:spacing w:after="100"/>
      <w:ind w:left="660"/>
    </w:pPr>
  </w:style>
  <w:style w:type="paragraph" w:styleId="TOC5">
    <w:name w:val="toc 5"/>
    <w:basedOn w:val="Normal"/>
    <w:next w:val="Normal"/>
    <w:autoRedefine/>
    <w:uiPriority w:val="39"/>
    <w:semiHidden/>
    <w:unhideWhenUsed/>
    <w:rsid w:val="000041AF"/>
    <w:pPr>
      <w:tabs>
        <w:tab w:val="clear" w:pos="567"/>
        <w:tab w:val="clear" w:pos="1134"/>
        <w:tab w:val="clear" w:pos="1701"/>
        <w:tab w:val="clear" w:pos="2268"/>
      </w:tabs>
      <w:spacing w:after="100"/>
      <w:ind w:left="880"/>
    </w:pPr>
  </w:style>
  <w:style w:type="paragraph" w:styleId="TOC6">
    <w:name w:val="toc 6"/>
    <w:basedOn w:val="Normal"/>
    <w:next w:val="Normal"/>
    <w:autoRedefine/>
    <w:uiPriority w:val="39"/>
    <w:semiHidden/>
    <w:unhideWhenUsed/>
    <w:rsid w:val="000041AF"/>
    <w:pPr>
      <w:tabs>
        <w:tab w:val="clear" w:pos="567"/>
        <w:tab w:val="clear" w:pos="1134"/>
        <w:tab w:val="clear" w:pos="1701"/>
        <w:tab w:val="clear" w:pos="2268"/>
      </w:tabs>
      <w:spacing w:after="100"/>
      <w:ind w:left="1100"/>
    </w:pPr>
  </w:style>
  <w:style w:type="paragraph" w:styleId="TOC7">
    <w:name w:val="toc 7"/>
    <w:basedOn w:val="Normal"/>
    <w:next w:val="Normal"/>
    <w:autoRedefine/>
    <w:uiPriority w:val="39"/>
    <w:semiHidden/>
    <w:unhideWhenUsed/>
    <w:rsid w:val="000041AF"/>
    <w:pPr>
      <w:tabs>
        <w:tab w:val="clear" w:pos="567"/>
        <w:tab w:val="clear" w:pos="1134"/>
        <w:tab w:val="clear" w:pos="1701"/>
        <w:tab w:val="clear" w:pos="2268"/>
      </w:tabs>
      <w:spacing w:after="100"/>
      <w:ind w:left="1320"/>
    </w:pPr>
  </w:style>
  <w:style w:type="paragraph" w:styleId="TOC8">
    <w:name w:val="toc 8"/>
    <w:basedOn w:val="Normal"/>
    <w:next w:val="Normal"/>
    <w:autoRedefine/>
    <w:uiPriority w:val="39"/>
    <w:semiHidden/>
    <w:unhideWhenUsed/>
    <w:rsid w:val="000041AF"/>
    <w:pPr>
      <w:tabs>
        <w:tab w:val="clear" w:pos="567"/>
        <w:tab w:val="clear" w:pos="1134"/>
        <w:tab w:val="clear" w:pos="1701"/>
        <w:tab w:val="clear" w:pos="2268"/>
      </w:tabs>
      <w:spacing w:after="100"/>
      <w:ind w:left="1540"/>
    </w:pPr>
  </w:style>
  <w:style w:type="paragraph" w:styleId="TOC9">
    <w:name w:val="toc 9"/>
    <w:basedOn w:val="Normal"/>
    <w:next w:val="Normal"/>
    <w:autoRedefine/>
    <w:uiPriority w:val="39"/>
    <w:semiHidden/>
    <w:unhideWhenUsed/>
    <w:rsid w:val="000041AF"/>
    <w:pPr>
      <w:tabs>
        <w:tab w:val="clear" w:pos="567"/>
        <w:tab w:val="clear" w:pos="1134"/>
        <w:tab w:val="clear" w:pos="1701"/>
        <w:tab w:val="clear" w:pos="2268"/>
      </w:tabs>
      <w:spacing w:after="100"/>
      <w:ind w:left="176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14510693">
      <w:bodyDiv w:val="1"/>
      <w:marLeft w:val="0"/>
      <w:marRight w:val="0"/>
      <w:marTop w:val="0"/>
      <w:marBottom w:val="0"/>
      <w:divBdr>
        <w:top w:val="none" w:sz="0" w:space="0" w:color="auto"/>
        <w:left w:val="none" w:sz="0" w:space="0" w:color="auto"/>
        <w:bottom w:val="none" w:sz="0" w:space="0" w:color="auto"/>
        <w:right w:val="none" w:sz="0" w:space="0" w:color="auto"/>
      </w:divBdr>
    </w:div>
    <w:div w:id="247465844">
      <w:bodyDiv w:val="1"/>
      <w:marLeft w:val="0"/>
      <w:marRight w:val="0"/>
      <w:marTop w:val="0"/>
      <w:marBottom w:val="0"/>
      <w:divBdr>
        <w:top w:val="none" w:sz="0" w:space="0" w:color="auto"/>
        <w:left w:val="none" w:sz="0" w:space="0" w:color="auto"/>
        <w:bottom w:val="none" w:sz="0" w:space="0" w:color="auto"/>
        <w:right w:val="none" w:sz="0" w:space="0" w:color="auto"/>
      </w:divBdr>
    </w:div>
    <w:div w:id="254946496">
      <w:bodyDiv w:val="1"/>
      <w:marLeft w:val="0"/>
      <w:marRight w:val="0"/>
      <w:marTop w:val="0"/>
      <w:marBottom w:val="0"/>
      <w:divBdr>
        <w:top w:val="none" w:sz="0" w:space="0" w:color="auto"/>
        <w:left w:val="none" w:sz="0" w:space="0" w:color="auto"/>
        <w:bottom w:val="none" w:sz="0" w:space="0" w:color="auto"/>
        <w:right w:val="none" w:sz="0" w:space="0" w:color="auto"/>
      </w:divBdr>
    </w:div>
    <w:div w:id="273824484">
      <w:bodyDiv w:val="1"/>
      <w:marLeft w:val="0"/>
      <w:marRight w:val="0"/>
      <w:marTop w:val="0"/>
      <w:marBottom w:val="0"/>
      <w:divBdr>
        <w:top w:val="none" w:sz="0" w:space="0" w:color="auto"/>
        <w:left w:val="none" w:sz="0" w:space="0" w:color="auto"/>
        <w:bottom w:val="none" w:sz="0" w:space="0" w:color="auto"/>
        <w:right w:val="none" w:sz="0" w:space="0" w:color="auto"/>
      </w:divBdr>
    </w:div>
    <w:div w:id="297496200">
      <w:bodyDiv w:val="1"/>
      <w:marLeft w:val="0"/>
      <w:marRight w:val="0"/>
      <w:marTop w:val="0"/>
      <w:marBottom w:val="0"/>
      <w:divBdr>
        <w:top w:val="none" w:sz="0" w:space="0" w:color="auto"/>
        <w:left w:val="none" w:sz="0" w:space="0" w:color="auto"/>
        <w:bottom w:val="none" w:sz="0" w:space="0" w:color="auto"/>
        <w:right w:val="none" w:sz="0" w:space="0" w:color="auto"/>
      </w:divBdr>
    </w:div>
    <w:div w:id="391007337">
      <w:bodyDiv w:val="1"/>
      <w:marLeft w:val="0"/>
      <w:marRight w:val="0"/>
      <w:marTop w:val="0"/>
      <w:marBottom w:val="0"/>
      <w:divBdr>
        <w:top w:val="none" w:sz="0" w:space="0" w:color="auto"/>
        <w:left w:val="none" w:sz="0" w:space="0" w:color="auto"/>
        <w:bottom w:val="none" w:sz="0" w:space="0" w:color="auto"/>
        <w:right w:val="none" w:sz="0" w:space="0" w:color="auto"/>
      </w:divBdr>
    </w:div>
    <w:div w:id="392240787">
      <w:bodyDiv w:val="1"/>
      <w:marLeft w:val="0"/>
      <w:marRight w:val="0"/>
      <w:marTop w:val="0"/>
      <w:marBottom w:val="0"/>
      <w:divBdr>
        <w:top w:val="none" w:sz="0" w:space="0" w:color="auto"/>
        <w:left w:val="none" w:sz="0" w:space="0" w:color="auto"/>
        <w:bottom w:val="none" w:sz="0" w:space="0" w:color="auto"/>
        <w:right w:val="none" w:sz="0" w:space="0" w:color="auto"/>
      </w:divBdr>
    </w:div>
    <w:div w:id="397484473">
      <w:bodyDiv w:val="1"/>
      <w:marLeft w:val="0"/>
      <w:marRight w:val="0"/>
      <w:marTop w:val="0"/>
      <w:marBottom w:val="0"/>
      <w:divBdr>
        <w:top w:val="none" w:sz="0" w:space="0" w:color="auto"/>
        <w:left w:val="none" w:sz="0" w:space="0" w:color="auto"/>
        <w:bottom w:val="none" w:sz="0" w:space="0" w:color="auto"/>
        <w:right w:val="none" w:sz="0" w:space="0" w:color="auto"/>
      </w:divBdr>
    </w:div>
    <w:div w:id="405618028">
      <w:bodyDiv w:val="1"/>
      <w:marLeft w:val="0"/>
      <w:marRight w:val="0"/>
      <w:marTop w:val="0"/>
      <w:marBottom w:val="0"/>
      <w:divBdr>
        <w:top w:val="none" w:sz="0" w:space="0" w:color="auto"/>
        <w:left w:val="none" w:sz="0" w:space="0" w:color="auto"/>
        <w:bottom w:val="none" w:sz="0" w:space="0" w:color="auto"/>
        <w:right w:val="none" w:sz="0" w:space="0" w:color="auto"/>
      </w:divBdr>
    </w:div>
    <w:div w:id="411971694">
      <w:bodyDiv w:val="1"/>
      <w:marLeft w:val="0"/>
      <w:marRight w:val="0"/>
      <w:marTop w:val="0"/>
      <w:marBottom w:val="0"/>
      <w:divBdr>
        <w:top w:val="none" w:sz="0" w:space="0" w:color="auto"/>
        <w:left w:val="none" w:sz="0" w:space="0" w:color="auto"/>
        <w:bottom w:val="none" w:sz="0" w:space="0" w:color="auto"/>
        <w:right w:val="none" w:sz="0" w:space="0" w:color="auto"/>
      </w:divBdr>
    </w:div>
    <w:div w:id="420881569">
      <w:bodyDiv w:val="1"/>
      <w:marLeft w:val="0"/>
      <w:marRight w:val="0"/>
      <w:marTop w:val="0"/>
      <w:marBottom w:val="0"/>
      <w:divBdr>
        <w:top w:val="none" w:sz="0" w:space="0" w:color="auto"/>
        <w:left w:val="none" w:sz="0" w:space="0" w:color="auto"/>
        <w:bottom w:val="none" w:sz="0" w:space="0" w:color="auto"/>
        <w:right w:val="none" w:sz="0" w:space="0" w:color="auto"/>
      </w:divBdr>
    </w:div>
    <w:div w:id="468595302">
      <w:bodyDiv w:val="1"/>
      <w:marLeft w:val="0"/>
      <w:marRight w:val="0"/>
      <w:marTop w:val="0"/>
      <w:marBottom w:val="0"/>
      <w:divBdr>
        <w:top w:val="none" w:sz="0" w:space="0" w:color="auto"/>
        <w:left w:val="none" w:sz="0" w:space="0" w:color="auto"/>
        <w:bottom w:val="none" w:sz="0" w:space="0" w:color="auto"/>
        <w:right w:val="none" w:sz="0" w:space="0" w:color="auto"/>
      </w:divBdr>
    </w:div>
    <w:div w:id="488059953">
      <w:bodyDiv w:val="1"/>
      <w:marLeft w:val="0"/>
      <w:marRight w:val="0"/>
      <w:marTop w:val="0"/>
      <w:marBottom w:val="0"/>
      <w:divBdr>
        <w:top w:val="none" w:sz="0" w:space="0" w:color="auto"/>
        <w:left w:val="none" w:sz="0" w:space="0" w:color="auto"/>
        <w:bottom w:val="none" w:sz="0" w:space="0" w:color="auto"/>
        <w:right w:val="none" w:sz="0" w:space="0" w:color="auto"/>
      </w:divBdr>
    </w:div>
    <w:div w:id="494809523">
      <w:bodyDiv w:val="1"/>
      <w:marLeft w:val="0"/>
      <w:marRight w:val="0"/>
      <w:marTop w:val="0"/>
      <w:marBottom w:val="0"/>
      <w:divBdr>
        <w:top w:val="none" w:sz="0" w:space="0" w:color="auto"/>
        <w:left w:val="none" w:sz="0" w:space="0" w:color="auto"/>
        <w:bottom w:val="none" w:sz="0" w:space="0" w:color="auto"/>
        <w:right w:val="none" w:sz="0" w:space="0" w:color="auto"/>
      </w:divBdr>
    </w:div>
    <w:div w:id="661399083">
      <w:bodyDiv w:val="1"/>
      <w:marLeft w:val="0"/>
      <w:marRight w:val="0"/>
      <w:marTop w:val="0"/>
      <w:marBottom w:val="0"/>
      <w:divBdr>
        <w:top w:val="none" w:sz="0" w:space="0" w:color="auto"/>
        <w:left w:val="none" w:sz="0" w:space="0" w:color="auto"/>
        <w:bottom w:val="none" w:sz="0" w:space="0" w:color="auto"/>
        <w:right w:val="none" w:sz="0" w:space="0" w:color="auto"/>
      </w:divBdr>
    </w:div>
    <w:div w:id="782772666">
      <w:bodyDiv w:val="1"/>
      <w:marLeft w:val="0"/>
      <w:marRight w:val="0"/>
      <w:marTop w:val="0"/>
      <w:marBottom w:val="0"/>
      <w:divBdr>
        <w:top w:val="none" w:sz="0" w:space="0" w:color="auto"/>
        <w:left w:val="none" w:sz="0" w:space="0" w:color="auto"/>
        <w:bottom w:val="none" w:sz="0" w:space="0" w:color="auto"/>
        <w:right w:val="none" w:sz="0" w:space="0" w:color="auto"/>
      </w:divBdr>
    </w:div>
    <w:div w:id="788623227">
      <w:bodyDiv w:val="1"/>
      <w:marLeft w:val="0"/>
      <w:marRight w:val="0"/>
      <w:marTop w:val="0"/>
      <w:marBottom w:val="0"/>
      <w:divBdr>
        <w:top w:val="none" w:sz="0" w:space="0" w:color="auto"/>
        <w:left w:val="none" w:sz="0" w:space="0" w:color="auto"/>
        <w:bottom w:val="none" w:sz="0" w:space="0" w:color="auto"/>
        <w:right w:val="none" w:sz="0" w:space="0" w:color="auto"/>
      </w:divBdr>
    </w:div>
    <w:div w:id="812216767">
      <w:bodyDiv w:val="1"/>
      <w:marLeft w:val="0"/>
      <w:marRight w:val="0"/>
      <w:marTop w:val="0"/>
      <w:marBottom w:val="0"/>
      <w:divBdr>
        <w:top w:val="none" w:sz="0" w:space="0" w:color="auto"/>
        <w:left w:val="none" w:sz="0" w:space="0" w:color="auto"/>
        <w:bottom w:val="none" w:sz="0" w:space="0" w:color="auto"/>
        <w:right w:val="none" w:sz="0" w:space="0" w:color="auto"/>
      </w:divBdr>
    </w:div>
    <w:div w:id="862598925">
      <w:bodyDiv w:val="1"/>
      <w:marLeft w:val="0"/>
      <w:marRight w:val="0"/>
      <w:marTop w:val="0"/>
      <w:marBottom w:val="0"/>
      <w:divBdr>
        <w:top w:val="none" w:sz="0" w:space="0" w:color="auto"/>
        <w:left w:val="none" w:sz="0" w:space="0" w:color="auto"/>
        <w:bottom w:val="none" w:sz="0" w:space="0" w:color="auto"/>
        <w:right w:val="none" w:sz="0" w:space="0" w:color="auto"/>
      </w:divBdr>
    </w:div>
    <w:div w:id="874077343">
      <w:bodyDiv w:val="1"/>
      <w:marLeft w:val="0"/>
      <w:marRight w:val="0"/>
      <w:marTop w:val="0"/>
      <w:marBottom w:val="0"/>
      <w:divBdr>
        <w:top w:val="none" w:sz="0" w:space="0" w:color="auto"/>
        <w:left w:val="none" w:sz="0" w:space="0" w:color="auto"/>
        <w:bottom w:val="none" w:sz="0" w:space="0" w:color="auto"/>
        <w:right w:val="none" w:sz="0" w:space="0" w:color="auto"/>
      </w:divBdr>
    </w:div>
    <w:div w:id="884828222">
      <w:bodyDiv w:val="1"/>
      <w:marLeft w:val="0"/>
      <w:marRight w:val="0"/>
      <w:marTop w:val="0"/>
      <w:marBottom w:val="0"/>
      <w:divBdr>
        <w:top w:val="none" w:sz="0" w:space="0" w:color="auto"/>
        <w:left w:val="none" w:sz="0" w:space="0" w:color="auto"/>
        <w:bottom w:val="none" w:sz="0" w:space="0" w:color="auto"/>
        <w:right w:val="none" w:sz="0" w:space="0" w:color="auto"/>
      </w:divBdr>
    </w:div>
    <w:div w:id="887760758">
      <w:bodyDiv w:val="1"/>
      <w:marLeft w:val="0"/>
      <w:marRight w:val="0"/>
      <w:marTop w:val="0"/>
      <w:marBottom w:val="0"/>
      <w:divBdr>
        <w:top w:val="none" w:sz="0" w:space="0" w:color="auto"/>
        <w:left w:val="none" w:sz="0" w:space="0" w:color="auto"/>
        <w:bottom w:val="none" w:sz="0" w:space="0" w:color="auto"/>
        <w:right w:val="none" w:sz="0" w:space="0" w:color="auto"/>
      </w:divBdr>
    </w:div>
    <w:div w:id="953287482">
      <w:bodyDiv w:val="1"/>
      <w:marLeft w:val="0"/>
      <w:marRight w:val="0"/>
      <w:marTop w:val="0"/>
      <w:marBottom w:val="0"/>
      <w:divBdr>
        <w:top w:val="none" w:sz="0" w:space="0" w:color="auto"/>
        <w:left w:val="none" w:sz="0" w:space="0" w:color="auto"/>
        <w:bottom w:val="none" w:sz="0" w:space="0" w:color="auto"/>
        <w:right w:val="none" w:sz="0" w:space="0" w:color="auto"/>
      </w:divBdr>
      <w:divsChild>
        <w:div w:id="76874063">
          <w:marLeft w:val="0"/>
          <w:marRight w:val="0"/>
          <w:marTop w:val="0"/>
          <w:marBottom w:val="0"/>
          <w:divBdr>
            <w:top w:val="none" w:sz="0" w:space="0" w:color="auto"/>
            <w:left w:val="none" w:sz="0" w:space="0" w:color="auto"/>
            <w:bottom w:val="none" w:sz="0" w:space="0" w:color="auto"/>
            <w:right w:val="none" w:sz="0" w:space="0" w:color="auto"/>
          </w:divBdr>
        </w:div>
      </w:divsChild>
    </w:div>
    <w:div w:id="1010912092">
      <w:bodyDiv w:val="1"/>
      <w:marLeft w:val="0"/>
      <w:marRight w:val="0"/>
      <w:marTop w:val="0"/>
      <w:marBottom w:val="0"/>
      <w:divBdr>
        <w:top w:val="none" w:sz="0" w:space="0" w:color="auto"/>
        <w:left w:val="none" w:sz="0" w:space="0" w:color="auto"/>
        <w:bottom w:val="none" w:sz="0" w:space="0" w:color="auto"/>
        <w:right w:val="none" w:sz="0" w:space="0" w:color="auto"/>
      </w:divBdr>
    </w:div>
    <w:div w:id="1135566945">
      <w:bodyDiv w:val="1"/>
      <w:marLeft w:val="0"/>
      <w:marRight w:val="0"/>
      <w:marTop w:val="0"/>
      <w:marBottom w:val="0"/>
      <w:divBdr>
        <w:top w:val="none" w:sz="0" w:space="0" w:color="auto"/>
        <w:left w:val="none" w:sz="0" w:space="0" w:color="auto"/>
        <w:bottom w:val="none" w:sz="0" w:space="0" w:color="auto"/>
        <w:right w:val="none" w:sz="0" w:space="0" w:color="auto"/>
      </w:divBdr>
    </w:div>
    <w:div w:id="1146240466">
      <w:bodyDiv w:val="1"/>
      <w:marLeft w:val="0"/>
      <w:marRight w:val="0"/>
      <w:marTop w:val="0"/>
      <w:marBottom w:val="0"/>
      <w:divBdr>
        <w:top w:val="none" w:sz="0" w:space="0" w:color="auto"/>
        <w:left w:val="none" w:sz="0" w:space="0" w:color="auto"/>
        <w:bottom w:val="none" w:sz="0" w:space="0" w:color="auto"/>
        <w:right w:val="none" w:sz="0" w:space="0" w:color="auto"/>
      </w:divBdr>
      <w:divsChild>
        <w:div w:id="814643664">
          <w:marLeft w:val="0"/>
          <w:marRight w:val="0"/>
          <w:marTop w:val="0"/>
          <w:marBottom w:val="0"/>
          <w:divBdr>
            <w:top w:val="none" w:sz="0" w:space="0" w:color="auto"/>
            <w:left w:val="none" w:sz="0" w:space="0" w:color="auto"/>
            <w:bottom w:val="none" w:sz="0" w:space="0" w:color="auto"/>
            <w:right w:val="none" w:sz="0" w:space="0" w:color="auto"/>
          </w:divBdr>
        </w:div>
      </w:divsChild>
    </w:div>
    <w:div w:id="1369917810">
      <w:bodyDiv w:val="1"/>
      <w:marLeft w:val="0"/>
      <w:marRight w:val="0"/>
      <w:marTop w:val="0"/>
      <w:marBottom w:val="0"/>
      <w:divBdr>
        <w:top w:val="none" w:sz="0" w:space="0" w:color="auto"/>
        <w:left w:val="none" w:sz="0" w:space="0" w:color="auto"/>
        <w:bottom w:val="none" w:sz="0" w:space="0" w:color="auto"/>
        <w:right w:val="none" w:sz="0" w:space="0" w:color="auto"/>
      </w:divBdr>
    </w:div>
    <w:div w:id="1396852040">
      <w:bodyDiv w:val="1"/>
      <w:marLeft w:val="0"/>
      <w:marRight w:val="0"/>
      <w:marTop w:val="0"/>
      <w:marBottom w:val="0"/>
      <w:divBdr>
        <w:top w:val="none" w:sz="0" w:space="0" w:color="auto"/>
        <w:left w:val="none" w:sz="0" w:space="0" w:color="auto"/>
        <w:bottom w:val="none" w:sz="0" w:space="0" w:color="auto"/>
        <w:right w:val="none" w:sz="0" w:space="0" w:color="auto"/>
      </w:divBdr>
    </w:div>
    <w:div w:id="1566574095">
      <w:bodyDiv w:val="1"/>
      <w:marLeft w:val="0"/>
      <w:marRight w:val="0"/>
      <w:marTop w:val="0"/>
      <w:marBottom w:val="0"/>
      <w:divBdr>
        <w:top w:val="none" w:sz="0" w:space="0" w:color="auto"/>
        <w:left w:val="none" w:sz="0" w:space="0" w:color="auto"/>
        <w:bottom w:val="none" w:sz="0" w:space="0" w:color="auto"/>
        <w:right w:val="none" w:sz="0" w:space="0" w:color="auto"/>
      </w:divBdr>
    </w:div>
    <w:div w:id="1590237544">
      <w:bodyDiv w:val="1"/>
      <w:marLeft w:val="0"/>
      <w:marRight w:val="0"/>
      <w:marTop w:val="0"/>
      <w:marBottom w:val="0"/>
      <w:divBdr>
        <w:top w:val="none" w:sz="0" w:space="0" w:color="auto"/>
        <w:left w:val="none" w:sz="0" w:space="0" w:color="auto"/>
        <w:bottom w:val="none" w:sz="0" w:space="0" w:color="auto"/>
        <w:right w:val="none" w:sz="0" w:space="0" w:color="auto"/>
      </w:divBdr>
    </w:div>
    <w:div w:id="1751274504">
      <w:bodyDiv w:val="1"/>
      <w:marLeft w:val="0"/>
      <w:marRight w:val="0"/>
      <w:marTop w:val="0"/>
      <w:marBottom w:val="0"/>
      <w:divBdr>
        <w:top w:val="none" w:sz="0" w:space="0" w:color="auto"/>
        <w:left w:val="none" w:sz="0" w:space="0" w:color="auto"/>
        <w:bottom w:val="none" w:sz="0" w:space="0" w:color="auto"/>
        <w:right w:val="none" w:sz="0" w:space="0" w:color="auto"/>
      </w:divBdr>
    </w:div>
    <w:div w:id="1788236671">
      <w:bodyDiv w:val="1"/>
      <w:marLeft w:val="0"/>
      <w:marRight w:val="0"/>
      <w:marTop w:val="0"/>
      <w:marBottom w:val="0"/>
      <w:divBdr>
        <w:top w:val="none" w:sz="0" w:space="0" w:color="auto"/>
        <w:left w:val="none" w:sz="0" w:space="0" w:color="auto"/>
        <w:bottom w:val="none" w:sz="0" w:space="0" w:color="auto"/>
        <w:right w:val="none" w:sz="0" w:space="0" w:color="auto"/>
      </w:divBdr>
    </w:div>
    <w:div w:id="1806701807">
      <w:bodyDiv w:val="1"/>
      <w:marLeft w:val="0"/>
      <w:marRight w:val="0"/>
      <w:marTop w:val="0"/>
      <w:marBottom w:val="0"/>
      <w:divBdr>
        <w:top w:val="none" w:sz="0" w:space="0" w:color="auto"/>
        <w:left w:val="none" w:sz="0" w:space="0" w:color="auto"/>
        <w:bottom w:val="none" w:sz="0" w:space="0" w:color="auto"/>
        <w:right w:val="none" w:sz="0" w:space="0" w:color="auto"/>
      </w:divBdr>
    </w:div>
    <w:div w:id="1828933329">
      <w:bodyDiv w:val="1"/>
      <w:marLeft w:val="0"/>
      <w:marRight w:val="0"/>
      <w:marTop w:val="0"/>
      <w:marBottom w:val="0"/>
      <w:divBdr>
        <w:top w:val="none" w:sz="0" w:space="0" w:color="auto"/>
        <w:left w:val="none" w:sz="0" w:space="0" w:color="auto"/>
        <w:bottom w:val="none" w:sz="0" w:space="0" w:color="auto"/>
        <w:right w:val="none" w:sz="0" w:space="0" w:color="auto"/>
      </w:divBdr>
    </w:div>
    <w:div w:id="1846478062">
      <w:bodyDiv w:val="1"/>
      <w:marLeft w:val="0"/>
      <w:marRight w:val="0"/>
      <w:marTop w:val="0"/>
      <w:marBottom w:val="0"/>
      <w:divBdr>
        <w:top w:val="none" w:sz="0" w:space="0" w:color="auto"/>
        <w:left w:val="none" w:sz="0" w:space="0" w:color="auto"/>
        <w:bottom w:val="none" w:sz="0" w:space="0" w:color="auto"/>
        <w:right w:val="none" w:sz="0" w:space="0" w:color="auto"/>
      </w:divBdr>
    </w:div>
    <w:div w:id="1849323820">
      <w:bodyDiv w:val="1"/>
      <w:marLeft w:val="0"/>
      <w:marRight w:val="0"/>
      <w:marTop w:val="0"/>
      <w:marBottom w:val="0"/>
      <w:divBdr>
        <w:top w:val="none" w:sz="0" w:space="0" w:color="auto"/>
        <w:left w:val="none" w:sz="0" w:space="0" w:color="auto"/>
        <w:bottom w:val="none" w:sz="0" w:space="0" w:color="auto"/>
        <w:right w:val="none" w:sz="0" w:space="0" w:color="auto"/>
      </w:divBdr>
    </w:div>
    <w:div w:id="1916157981">
      <w:bodyDiv w:val="1"/>
      <w:marLeft w:val="0"/>
      <w:marRight w:val="0"/>
      <w:marTop w:val="0"/>
      <w:marBottom w:val="0"/>
      <w:divBdr>
        <w:top w:val="none" w:sz="0" w:space="0" w:color="auto"/>
        <w:left w:val="none" w:sz="0" w:space="0" w:color="auto"/>
        <w:bottom w:val="none" w:sz="0" w:space="0" w:color="auto"/>
        <w:right w:val="none" w:sz="0" w:space="0" w:color="auto"/>
      </w:divBdr>
    </w:div>
    <w:div w:id="1999072434">
      <w:bodyDiv w:val="1"/>
      <w:marLeft w:val="0"/>
      <w:marRight w:val="0"/>
      <w:marTop w:val="0"/>
      <w:marBottom w:val="0"/>
      <w:divBdr>
        <w:top w:val="none" w:sz="0" w:space="0" w:color="auto"/>
        <w:left w:val="none" w:sz="0" w:space="0" w:color="auto"/>
        <w:bottom w:val="none" w:sz="0" w:space="0" w:color="auto"/>
        <w:right w:val="none" w:sz="0" w:space="0" w:color="auto"/>
      </w:divBdr>
    </w:div>
    <w:div w:id="2003577645">
      <w:bodyDiv w:val="1"/>
      <w:marLeft w:val="0"/>
      <w:marRight w:val="0"/>
      <w:marTop w:val="0"/>
      <w:marBottom w:val="0"/>
      <w:divBdr>
        <w:top w:val="none" w:sz="0" w:space="0" w:color="auto"/>
        <w:left w:val="none" w:sz="0" w:space="0" w:color="auto"/>
        <w:bottom w:val="none" w:sz="0" w:space="0" w:color="auto"/>
        <w:right w:val="none" w:sz="0" w:space="0" w:color="auto"/>
      </w:divBdr>
    </w:div>
    <w:div w:id="2083676617">
      <w:bodyDiv w:val="1"/>
      <w:marLeft w:val="0"/>
      <w:marRight w:val="0"/>
      <w:marTop w:val="0"/>
      <w:marBottom w:val="0"/>
      <w:divBdr>
        <w:top w:val="none" w:sz="0" w:space="0" w:color="auto"/>
        <w:left w:val="none" w:sz="0" w:space="0" w:color="auto"/>
        <w:bottom w:val="none" w:sz="0" w:space="0" w:color="auto"/>
        <w:right w:val="none" w:sz="0" w:space="0" w:color="auto"/>
      </w:divBdr>
    </w:div>
    <w:div w:id="2096659610">
      <w:bodyDiv w:val="1"/>
      <w:marLeft w:val="0"/>
      <w:marRight w:val="0"/>
      <w:marTop w:val="0"/>
      <w:marBottom w:val="0"/>
      <w:divBdr>
        <w:top w:val="none" w:sz="0" w:space="0" w:color="auto"/>
        <w:left w:val="none" w:sz="0" w:space="0" w:color="auto"/>
        <w:bottom w:val="none" w:sz="0" w:space="0" w:color="auto"/>
        <w:right w:val="none" w:sz="0" w:space="0" w:color="auto"/>
      </w:divBdr>
      <w:divsChild>
        <w:div w:id="323969410">
          <w:marLeft w:val="547"/>
          <w:marRight w:val="0"/>
          <w:marTop w:val="0"/>
          <w:marBottom w:val="160"/>
          <w:divBdr>
            <w:top w:val="none" w:sz="0" w:space="0" w:color="auto"/>
            <w:left w:val="none" w:sz="0" w:space="0" w:color="auto"/>
            <w:bottom w:val="none" w:sz="0" w:space="0" w:color="auto"/>
            <w:right w:val="none" w:sz="0" w:space="0" w:color="auto"/>
          </w:divBdr>
        </w:div>
        <w:div w:id="728847486">
          <w:marLeft w:val="547"/>
          <w:marRight w:val="0"/>
          <w:marTop w:val="0"/>
          <w:marBottom w:val="160"/>
          <w:divBdr>
            <w:top w:val="none" w:sz="0" w:space="0" w:color="auto"/>
            <w:left w:val="none" w:sz="0" w:space="0" w:color="auto"/>
            <w:bottom w:val="none" w:sz="0" w:space="0" w:color="auto"/>
            <w:right w:val="none" w:sz="0" w:space="0" w:color="auto"/>
          </w:divBdr>
        </w:div>
        <w:div w:id="939602586">
          <w:marLeft w:val="547"/>
          <w:marRight w:val="0"/>
          <w:marTop w:val="0"/>
          <w:marBottom w:val="160"/>
          <w:divBdr>
            <w:top w:val="none" w:sz="0" w:space="0" w:color="auto"/>
            <w:left w:val="none" w:sz="0" w:space="0" w:color="auto"/>
            <w:bottom w:val="none" w:sz="0" w:space="0" w:color="auto"/>
            <w:right w:val="none" w:sz="0" w:space="0" w:color="auto"/>
          </w:divBdr>
        </w:div>
        <w:div w:id="1058893027">
          <w:marLeft w:val="547"/>
          <w:marRight w:val="0"/>
          <w:marTop w:val="0"/>
          <w:marBottom w:val="160"/>
          <w:divBdr>
            <w:top w:val="none" w:sz="0" w:space="0" w:color="auto"/>
            <w:left w:val="none" w:sz="0" w:space="0" w:color="auto"/>
            <w:bottom w:val="none" w:sz="0" w:space="0" w:color="auto"/>
            <w:right w:val="none" w:sz="0" w:space="0" w:color="auto"/>
          </w:divBdr>
        </w:div>
        <w:div w:id="1239897931">
          <w:marLeft w:val="547"/>
          <w:marRight w:val="0"/>
          <w:marTop w:val="0"/>
          <w:marBottom w:val="160"/>
          <w:divBdr>
            <w:top w:val="none" w:sz="0" w:space="0" w:color="auto"/>
            <w:left w:val="none" w:sz="0" w:space="0" w:color="auto"/>
            <w:bottom w:val="none" w:sz="0" w:space="0" w:color="auto"/>
            <w:right w:val="none" w:sz="0" w:space="0" w:color="auto"/>
          </w:divBdr>
        </w:div>
        <w:div w:id="1436562748">
          <w:marLeft w:val="547"/>
          <w:marRight w:val="0"/>
          <w:marTop w:val="0"/>
          <w:marBottom w:val="160"/>
          <w:divBdr>
            <w:top w:val="none" w:sz="0" w:space="0" w:color="auto"/>
            <w:left w:val="none" w:sz="0" w:space="0" w:color="auto"/>
            <w:bottom w:val="none" w:sz="0" w:space="0" w:color="auto"/>
            <w:right w:val="none" w:sz="0" w:space="0" w:color="auto"/>
          </w:divBdr>
        </w:div>
        <w:div w:id="2011639233">
          <w:marLeft w:val="547"/>
          <w:marRight w:val="0"/>
          <w:marTop w:val="0"/>
          <w:marBottom w:val="160"/>
          <w:divBdr>
            <w:top w:val="none" w:sz="0" w:space="0" w:color="auto"/>
            <w:left w:val="none" w:sz="0" w:space="0" w:color="auto"/>
            <w:bottom w:val="none" w:sz="0" w:space="0" w:color="auto"/>
            <w:right w:val="none" w:sz="0" w:space="0" w:color="auto"/>
          </w:divBdr>
        </w:div>
        <w:div w:id="2131852283">
          <w:marLeft w:val="547"/>
          <w:marRight w:val="0"/>
          <w:marTop w:val="0"/>
          <w:marBottom w:val="16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footer" Target="footer1.xml"/><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header" Target="header2.xml"/><Relationship Id="rId2" Type="http://schemas.openxmlformats.org/officeDocument/2006/relationships/customXml" Target="../customXml/item2.xml"/><Relationship Id="rId16" Type="http://schemas.openxmlformats.org/officeDocument/2006/relationships/header" Target="header1.xml"/><Relationship Id="rId20"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5" Type="http://schemas.openxmlformats.org/officeDocument/2006/relationships/numbering" Target="numbering.xml"/><Relationship Id="rId15" Type="http://schemas.openxmlformats.org/officeDocument/2006/relationships/hyperlink" Target="https://www.cbd.int/documents/CBD/SBI/4/INF/17" TargetMode="External"/><Relationship Id="rId23" Type="http://schemas.openxmlformats.org/officeDocument/2006/relationships/theme" Target="theme/theme1.xml"/><Relationship Id="rId10" Type="http://schemas.openxmlformats.org/officeDocument/2006/relationships/endnotes" Target="endnotes.xml"/><Relationship Id="rId19" Type="http://schemas.openxmlformats.org/officeDocument/2006/relationships/footer" Target="footer2.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cbd.int/decisions/cop/?m=cop-15" TargetMode="External"/><Relationship Id="rId22" Type="http://schemas.openxmlformats.org/officeDocument/2006/relationships/glossaryDocument" Target="glossary/document.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docParts>
    <w:docPart>
      <w:docPartPr>
        <w:name w:val="5C86D77FDE9647B397D2E1941A85FFF4"/>
        <w:category>
          <w:name w:val="General"/>
          <w:gallery w:val="placeholder"/>
        </w:category>
        <w:types>
          <w:type w:val="bbPlcHdr"/>
        </w:types>
        <w:behaviors>
          <w:behavior w:val="content"/>
        </w:behaviors>
        <w:guid w:val="{48397BA9-D3F2-44DF-9DCE-AE5EF7132D48}"/>
      </w:docPartPr>
      <w:docPartBody>
        <w:p w:rsidR="00A35CF4" w:rsidRDefault="00310BDE" w:rsidP="00310BDE">
          <w:pPr>
            <w:pStyle w:val="5C86D77FDE9647B397D2E1941A85FFF4"/>
          </w:pPr>
          <w:r w:rsidRPr="009B5A49">
            <w:rPr>
              <w:rStyle w:val="PlaceholderText"/>
            </w:rPr>
            <w:t>[Title]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imes New Roman Bold">
    <w:altName w:val="Times New Roman"/>
    <w:panose1 w:val="00000000000000000000"/>
    <w:charset w:val="00"/>
    <w:family w:val="roman"/>
    <w:notTrueType/>
    <w:pitch w:val="default"/>
    <w:sig w:usb0="00000003" w:usb1="00000000" w:usb2="00000000" w:usb3="00000000" w:csb0="00000001"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Yu Gothic Light">
    <w:panose1 w:val="020B0300000000000000"/>
    <w:charset w:val="80"/>
    <w:family w:val="swiss"/>
    <w:pitch w:val="variable"/>
    <w:sig w:usb0="E00002FF" w:usb1="2AC7FDFF" w:usb2="00000016" w:usb3="00000000" w:csb0="0002009F" w:csb1="00000000"/>
  </w:font>
  <w:font w:name="Segoe UI">
    <w:panose1 w:val="020B0502040204020203"/>
    <w:charset w:val="00"/>
    <w:family w:val="swiss"/>
    <w:pitch w:val="variable"/>
    <w:sig w:usb0="E4002EFF" w:usb1="C000E47F"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Angsana New">
    <w:panose1 w:val="02020603050405020304"/>
    <w:charset w:val="DE"/>
    <w:family w:val="roman"/>
    <w:pitch w:val="variable"/>
    <w:sig w:usb0="81000003" w:usb1="00000000" w:usb2="00000000" w:usb3="00000000" w:csb0="00010001" w:csb1="00000000"/>
  </w:font>
  <w:font w:name="Tahoma">
    <w:panose1 w:val="020B0604030504040204"/>
    <w:charset w:val="00"/>
    <w:family w:val="swiss"/>
    <w:pitch w:val="variable"/>
    <w:sig w:usb0="E1002EFF" w:usb1="C000605B" w:usb2="00000029" w:usb3="00000000" w:csb0="000101FF" w:csb1="00000000"/>
  </w:font>
  <w:font w:name="Malgun Gothic">
    <w:panose1 w:val="020B0503020000020004"/>
    <w:charset w:val="81"/>
    <w:family w:val="swiss"/>
    <w:pitch w:val="variable"/>
    <w:sig w:usb0="9000002F" w:usb1="29D77CFB" w:usb2="00000012" w:usb3="00000000" w:csb0="00080001" w:csb1="00000000"/>
  </w:font>
  <w:font w:name="Simplified Arabic">
    <w:charset w:val="B2"/>
    <w:family w:val="roman"/>
    <w:pitch w:val="variable"/>
    <w:sig w:usb0="00002003" w:usb1="80000000" w:usb2="00000008" w:usb3="00000000" w:csb0="00000041" w:csb1="00000000"/>
  </w:font>
  <w:font w:name="Yu Mincho">
    <w:charset w:val="80"/>
    <w:family w:val="roman"/>
    <w:pitch w:val="variable"/>
    <w:sig w:usb0="800002E7" w:usb1="2AC7FCFF" w:usb2="00000012" w:usb3="00000000" w:csb0="0002009F" w:csb1="00000000"/>
  </w:font>
  <w:font w:name="Calibri Light">
    <w:panose1 w:val="020F0302020204030204"/>
    <w:charset w:val="00"/>
    <w:family w:val="swiss"/>
    <w:pitch w:val="variable"/>
    <w:sig w:usb0="E4002EFF" w:usb1="C000247B" w:usb2="00000009" w:usb3="00000000" w:csb0="000001FF" w:csb1="00000000"/>
  </w:font>
  <w:font w:name="Consolas">
    <w:panose1 w:val="020B0609020204030204"/>
    <w:charset w:val="00"/>
    <w:family w:val="modern"/>
    <w:pitch w:val="fixed"/>
    <w:sig w:usb0="E00006FF" w:usb1="0000FCFF" w:usb2="00000001" w:usb3="00000000" w:csb0="0000019F" w:csb1="00000000"/>
  </w:font>
  <w:font w:name="Arial Unicode MS">
    <w:panose1 w:val="020B0604020202020204"/>
    <w:charset w:val="80"/>
    <w:family w:val="swiss"/>
    <w:pitch w:val="variable"/>
    <w:sig w:usb0="F7FFAFFF" w:usb1="E9DFFFFF" w:usb2="0000003F" w:usb3="00000000" w:csb0="003F01FF" w:csb1="00000000"/>
  </w:font>
  <w:font w:name="Arial (Body CS)">
    <w:panose1 w:val="00000000000000000000"/>
    <w:charset w:val="00"/>
    <w:family w:val="roman"/>
    <w:notTrueType/>
    <w:pitch w:val="default"/>
  </w:font>
  <w:font w:name="DengXian">
    <w:altName w:val="等线"/>
    <w:panose1 w:val="02010600030101010101"/>
    <w:charset w:val="86"/>
    <w:family w:val="auto"/>
    <w:pitch w:val="variable"/>
    <w:sig w:usb0="A00002BF" w:usb1="38CF7CFA" w:usb2="00000016" w:usb3="00000000" w:csb0="0004000F" w:csb1="00000000"/>
  </w:font>
  <w:font w:name="DengXian Light">
    <w:altName w:val="等线 Light"/>
    <w:charset w:val="86"/>
    <w:family w:val="auto"/>
    <w:pitch w:val="variable"/>
    <w:sig w:usb0="A00002BF" w:usb1="38CF7CFA" w:usb2="00000016" w:usb3="00000000" w:csb0="0004000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revisionView w:formatting="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10BDE"/>
    <w:rsid w:val="00011607"/>
    <w:rsid w:val="000614B3"/>
    <w:rsid w:val="000C75AD"/>
    <w:rsid w:val="0027465B"/>
    <w:rsid w:val="002B351D"/>
    <w:rsid w:val="002C1316"/>
    <w:rsid w:val="00310BDE"/>
    <w:rsid w:val="00311915"/>
    <w:rsid w:val="003844CD"/>
    <w:rsid w:val="003E5FB8"/>
    <w:rsid w:val="00466198"/>
    <w:rsid w:val="00495003"/>
    <w:rsid w:val="00546033"/>
    <w:rsid w:val="00612A96"/>
    <w:rsid w:val="00621CF2"/>
    <w:rsid w:val="00646D2C"/>
    <w:rsid w:val="00666147"/>
    <w:rsid w:val="006C67B3"/>
    <w:rsid w:val="006F503F"/>
    <w:rsid w:val="00786635"/>
    <w:rsid w:val="007E4C16"/>
    <w:rsid w:val="00837C73"/>
    <w:rsid w:val="00887E5A"/>
    <w:rsid w:val="009348E8"/>
    <w:rsid w:val="00A35CF4"/>
    <w:rsid w:val="00A8395E"/>
    <w:rsid w:val="00AA520B"/>
    <w:rsid w:val="00AF6786"/>
    <w:rsid w:val="00B323FC"/>
    <w:rsid w:val="00B57B30"/>
    <w:rsid w:val="00C12294"/>
    <w:rsid w:val="00C64E48"/>
    <w:rsid w:val="00C747AE"/>
    <w:rsid w:val="00DE79EA"/>
    <w:rsid w:val="00DF5EA2"/>
    <w:rsid w:val="00E45046"/>
    <w:rsid w:val="00F70064"/>
    <w:rsid w:val="00F83AFE"/>
    <w:rsid w:val="00FC06D2"/>
    <w:rsid w:val="00FC1C22"/>
    <w:rsid w:val="00FD65F2"/>
  </w:rsids>
  <m:mathPr>
    <m:mathFont m:val="Cambria Math"/>
    <m:brkBin m:val="before"/>
    <m:brkBinSub m:val="--"/>
    <m:smallFrac m:val="0"/>
    <m:dispDef/>
    <m:lMargin m:val="0"/>
    <m:rMargin m:val="0"/>
    <m:defJc m:val="centerGroup"/>
    <m:wrapIndent m:val="1440"/>
    <m:intLim m:val="subSup"/>
    <m:naryLim m:val="undOvr"/>
  </m:mathPr>
  <w:themeFontLang w:val="en-CA" w:eastAsia="zh-CN"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 w:val="24"/>
        <w:szCs w:val="24"/>
        <w:lang w:val="en-CA" w:eastAsia="en-CA" w:bidi="ar-SA"/>
        <w14:ligatures w14:val="standardContextual"/>
      </w:rPr>
    </w:rPrDefault>
    <w:pPrDefault>
      <w:pPr>
        <w:spacing w:after="160" w:line="278"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310BDE"/>
    <w:rPr>
      <w:color w:val="808080"/>
    </w:rPr>
  </w:style>
  <w:style w:type="paragraph" w:customStyle="1" w:styleId="5C86D77FDE9647B397D2E1941A85FFF4">
    <w:name w:val="5C86D77FDE9647B397D2E1941A85FFF4"/>
    <w:rsid w:val="00310BDE"/>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985ec44e-1bab-4c0b-9df0-6ba128686fc9" xsi:nil="true"/>
    <lcf76f155ced4ddcb4097134ff3c332f xmlns="358298e0-1b7e-4ebe-8695-94439b74f0d1">
      <Terms xmlns="http://schemas.microsoft.com/office/infopath/2007/PartnerControls"/>
    </lcf76f155ced4ddcb4097134ff3c332f>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69BFACF6D92CD24AA50050CE23F68F74" ma:contentTypeVersion="18" ma:contentTypeDescription="Create a new document." ma:contentTypeScope="" ma:versionID="56574a3974fe322614c82150facde942">
  <xsd:schema xmlns:xsd="http://www.w3.org/2001/XMLSchema" xmlns:xs="http://www.w3.org/2001/XMLSchema" xmlns:p="http://schemas.microsoft.com/office/2006/metadata/properties" xmlns:ns2="358298e0-1b7e-4ebe-8695-94439b74f0d1" xmlns:ns3="13ad741f-c0db-4e29-b5a6-03b4a1bc18ba" xmlns:ns4="985ec44e-1bab-4c0b-9df0-6ba128686fc9" targetNamespace="http://schemas.microsoft.com/office/2006/metadata/properties" ma:root="true" ma:fieldsID="9d58c0d7a53d6fd8413434503c3e2c13" ns2:_="" ns3:_="" ns4:_="">
    <xsd:import namespace="358298e0-1b7e-4ebe-8695-94439b74f0d1"/>
    <xsd:import namespace="13ad741f-c0db-4e29-b5a6-03b4a1bc18ba"/>
    <xsd:import namespace="985ec44e-1bab-4c0b-9df0-6ba128686fc9"/>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2:MediaServiceAutoKeyPoints" minOccurs="0"/>
                <xsd:element ref="ns2:MediaServiceKeyPoints" minOccurs="0"/>
                <xsd:element ref="ns2:MediaServiceLocation" minOccurs="0"/>
                <xsd:element ref="ns2:MediaLengthInSeconds" minOccurs="0"/>
                <xsd:element ref="ns2:lcf76f155ced4ddcb4097134ff3c332f" minOccurs="0"/>
                <xsd:element ref="ns4: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58298e0-1b7e-4ebe-8695-94439b74f0d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3ad741f-c0db-4e29-b5a6-03b4a1bc18ba"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85ec44e-1bab-4c0b-9df0-6ba128686fc9"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ba081904-bce8-4032-99c9-02153865886d}" ma:internalName="TaxCatchAll" ma:showField="CatchAllData" ma:web="13ad741f-c0db-4e29-b5a6-03b4a1bc18b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80A6FE8-8EFF-419C-9EB8-CD639FE30815}">
  <ds:schemaRefs>
    <ds:schemaRef ds:uri="http://schemas.microsoft.com/office/2006/metadata/properties"/>
    <ds:schemaRef ds:uri="http://schemas.microsoft.com/office/infopath/2007/PartnerControls"/>
    <ds:schemaRef ds:uri="985ec44e-1bab-4c0b-9df0-6ba128686fc9"/>
    <ds:schemaRef ds:uri="358298e0-1b7e-4ebe-8695-94439b74f0d1"/>
  </ds:schemaRefs>
</ds:datastoreItem>
</file>

<file path=customXml/itemProps2.xml><?xml version="1.0" encoding="utf-8"?>
<ds:datastoreItem xmlns:ds="http://schemas.openxmlformats.org/officeDocument/2006/customXml" ds:itemID="{9A0E1B71-C9C4-421A-ABC6-1DD06423FD8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58298e0-1b7e-4ebe-8695-94439b74f0d1"/>
    <ds:schemaRef ds:uri="13ad741f-c0db-4e29-b5a6-03b4a1bc18ba"/>
    <ds:schemaRef ds:uri="985ec44e-1bab-4c0b-9df0-6ba128686fc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E0FEA929-E220-42D8-AF99-53750059D9DF}">
  <ds:schemaRefs>
    <ds:schemaRef ds:uri="http://schemas.microsoft.com/sharepoint/v3/contenttype/forms"/>
  </ds:schemaRefs>
</ds:datastoreItem>
</file>

<file path=customXml/itemProps4.xml><?xml version="1.0" encoding="utf-8"?>
<ds:datastoreItem xmlns:ds="http://schemas.openxmlformats.org/officeDocument/2006/customXml" ds:itemID="{8DFF5921-3B50-4AFC-8A3A-26DE4C42B0E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233</TotalTime>
  <Pages>15</Pages>
  <Words>7481</Words>
  <Characters>42643</Characters>
  <Application>Microsoft Office Word</Application>
  <DocSecurity>0</DocSecurity>
  <Lines>355</Lines>
  <Paragraphs>100</Paragraphs>
  <ScaleCrop>false</ScaleCrop>
  <HeadingPairs>
    <vt:vector size="4" baseType="variant">
      <vt:variant>
        <vt:lpstr>Title</vt:lpstr>
      </vt:variant>
      <vt:variant>
        <vt:i4>1</vt:i4>
      </vt:variant>
      <vt:variant>
        <vt:lpstr>Headings</vt:lpstr>
      </vt:variant>
      <vt:variant>
        <vt:i4>17</vt:i4>
      </vt:variant>
    </vt:vector>
  </HeadingPairs>
  <TitlesOfParts>
    <vt:vector size="18" baseType="lpstr">
      <vt:lpstr>Report on the sixth review of the effectiveness of the financial mechanism</vt:lpstr>
      <vt:lpstr>I.	Introducción</vt:lpstr>
      <vt:lpstr>II.	Proyecto de elementos de una decisión</vt:lpstr>
      <vt:lpstr>I.	Introducción </vt:lpstr>
      <vt:lpstr>II.	Resumen de las conclusiones</vt:lpstr>
      <vt:lpstr>    Cumplimiento de las orientaciones de la COP </vt:lpstr>
      <vt:lpstr>    Función en la movilización de recursos </vt:lpstr>
      <vt:lpstr>    Eficacia y eficiencia de las actividades financiadas por el FMAM </vt:lpstr>
      <vt:lpstr>        Mejora de las medidas nacionales de implementación </vt:lpstr>
      <vt:lpstr>        Apoyo a la implementación de los Objetivos de Desarrollo Sostenible (ODS)</vt:lpstr>
      <vt:lpstr>        Procesos y procedimientos </vt:lpstr>
      <vt:lpstr>        Actividades de supervisión, seguimiento y evaluación </vt:lpstr>
      <vt:lpstr>        Sinergia con los acuerdos ambientales multilaterales pertinentes </vt:lpstr>
      <vt:lpstr>    Estructura y funcionamiento del FMAM </vt:lpstr>
      <vt:lpstr>        Representación y toma de decisiones operativas </vt:lpstr>
      <vt:lpstr>        Organizaciones de la sociedad civil (CSO, por sus siglas en inglés)</vt:lpstr>
      <vt:lpstr>        Política de género </vt:lpstr>
      <vt:lpstr>III.	Proyecto de recomendaciones para su consideración por la COP</vt:lpstr>
    </vt:vector>
  </TitlesOfParts>
  <Company/>
  <LinksUpToDate>false</LinksUpToDate>
  <CharactersWithSpaces>50024</CharactersWithSpaces>
  <SharedDoc>false</SharedDoc>
  <HLinks>
    <vt:vector size="834" baseType="variant">
      <vt:variant>
        <vt:i4>7340159</vt:i4>
      </vt:variant>
      <vt:variant>
        <vt:i4>564</vt:i4>
      </vt:variant>
      <vt:variant>
        <vt:i4>0</vt:i4>
      </vt:variant>
      <vt:variant>
        <vt:i4>5</vt:i4>
      </vt:variant>
      <vt:variant>
        <vt:lpwstr>https://iatiregistry.org/publisher/gef</vt:lpwstr>
      </vt:variant>
      <vt:variant>
        <vt:lpwstr/>
      </vt:variant>
      <vt:variant>
        <vt:i4>4128883</vt:i4>
      </vt:variant>
      <vt:variant>
        <vt:i4>561</vt:i4>
      </vt:variant>
      <vt:variant>
        <vt:i4>0</vt:i4>
      </vt:variant>
      <vt:variant>
        <vt:i4>5</vt:i4>
      </vt:variant>
      <vt:variant>
        <vt:lpwstr>https://www.thegef.org/council-meeting-documents/gef-c-67-03-rev-01</vt:lpwstr>
      </vt:variant>
      <vt:variant>
        <vt:lpwstr/>
      </vt:variant>
      <vt:variant>
        <vt:i4>7077924</vt:i4>
      </vt:variant>
      <vt:variant>
        <vt:i4>558</vt:i4>
      </vt:variant>
      <vt:variant>
        <vt:i4>0</vt:i4>
      </vt:variant>
      <vt:variant>
        <vt:i4>5</vt:i4>
      </vt:variant>
      <vt:variant>
        <vt:lpwstr>https://www.thegef.org/sites/default/files/documents/2024-01/EN_GEF.C.66.04_Work Program for GEF Trust Fund.pdf</vt:lpwstr>
      </vt:variant>
      <vt:variant>
        <vt:lpwstr/>
      </vt:variant>
      <vt:variant>
        <vt:i4>4390924</vt:i4>
      </vt:variant>
      <vt:variant>
        <vt:i4>555</vt:i4>
      </vt:variant>
      <vt:variant>
        <vt:i4>0</vt:i4>
      </vt:variant>
      <vt:variant>
        <vt:i4>5</vt:i4>
      </vt:variant>
      <vt:variant>
        <vt:lpwstr>https://www.thegef.org/projects-operations/projects/10920</vt:lpwstr>
      </vt:variant>
      <vt:variant>
        <vt:lpwstr/>
      </vt:variant>
      <vt:variant>
        <vt:i4>4653165</vt:i4>
      </vt:variant>
      <vt:variant>
        <vt:i4>552</vt:i4>
      </vt:variant>
      <vt:variant>
        <vt:i4>0</vt:i4>
      </vt:variant>
      <vt:variant>
        <vt:i4>5</vt:i4>
      </vt:variant>
      <vt:variant>
        <vt:lpwstr>https://www.thegef.org/sites/default/files/documents/2022-06/EN_GEF_C.62_03_Summary of Negotiations of the 8th Replenishment of the GEF Trust Fund_.pdf</vt:lpwstr>
      </vt:variant>
      <vt:variant>
        <vt:lpwstr/>
      </vt:variant>
      <vt:variant>
        <vt:i4>5308451</vt:i4>
      </vt:variant>
      <vt:variant>
        <vt:i4>549</vt:i4>
      </vt:variant>
      <vt:variant>
        <vt:i4>0</vt:i4>
      </vt:variant>
      <vt:variant>
        <vt:i4>5</vt:i4>
      </vt:variant>
      <vt:variant>
        <vt:lpwstr>https://www.thegef.org/sites/default/files/documents/2023-09/EN_GEF.C.65.04_Enhancing Policy Coherence through GEF Operations_.pdf</vt:lpwstr>
      </vt:variant>
      <vt:variant>
        <vt:lpwstr/>
      </vt:variant>
      <vt:variant>
        <vt:i4>7602299</vt:i4>
      </vt:variant>
      <vt:variant>
        <vt:i4>546</vt:i4>
      </vt:variant>
      <vt:variant>
        <vt:i4>0</vt:i4>
      </vt:variant>
      <vt:variant>
        <vt:i4>5</vt:i4>
      </vt:variant>
      <vt:variant>
        <vt:lpwstr>https://www.thegef.org/sites/default/files/documents/2024-01/EN_GEF.C.66.09_Gap_Analysis_GEF_funded_Activity_Engagement_FCV_Affected_States.pdf</vt:lpwstr>
      </vt:variant>
      <vt:variant>
        <vt:lpwstr/>
      </vt:variant>
      <vt:variant>
        <vt:i4>327757</vt:i4>
      </vt:variant>
      <vt:variant>
        <vt:i4>543</vt:i4>
      </vt:variant>
      <vt:variant>
        <vt:i4>0</vt:i4>
      </vt:variant>
      <vt:variant>
        <vt:i4>5</vt:i4>
      </vt:variant>
      <vt:variant>
        <vt:lpwstr>https://www.thegef.org/sites/default/files/documents/2024-01/EN_GEF.C.66.10_Gap Analysis of GEF Policies and Key Social Inclusion Issues.pdf</vt:lpwstr>
      </vt:variant>
      <vt:variant>
        <vt:lpwstr/>
      </vt:variant>
      <vt:variant>
        <vt:i4>4784139</vt:i4>
      </vt:variant>
      <vt:variant>
        <vt:i4>540</vt:i4>
      </vt:variant>
      <vt:variant>
        <vt:i4>0</vt:i4>
      </vt:variant>
      <vt:variant>
        <vt:i4>5</vt:i4>
      </vt:variant>
      <vt:variant>
        <vt:lpwstr>https://www.thegef.org/sites/default/files/documents/2024-01/EN_GEF.C.66.Inf_.10_Progress_Report_GEF_Agencies_Compliance_GEF_Minimum_Standards.pdf</vt:lpwstr>
      </vt:variant>
      <vt:variant>
        <vt:lpwstr/>
      </vt:variant>
      <vt:variant>
        <vt:i4>4194390</vt:i4>
      </vt:variant>
      <vt:variant>
        <vt:i4>537</vt:i4>
      </vt:variant>
      <vt:variant>
        <vt:i4>0</vt:i4>
      </vt:variant>
      <vt:variant>
        <vt:i4>5</vt:i4>
      </vt:variant>
      <vt:variant>
        <vt:lpwstr>https://www.thegef.org/sites/default/files/documents/2023-06/EN_GEF.C.64.Inf_.09_Updated_Third Party Review of Agency Compliance with GEF Minimum Standards.pdf</vt:lpwstr>
      </vt:variant>
      <vt:variant>
        <vt:lpwstr/>
      </vt:variant>
      <vt:variant>
        <vt:i4>1048635</vt:i4>
      </vt:variant>
      <vt:variant>
        <vt:i4>500</vt:i4>
      </vt:variant>
      <vt:variant>
        <vt:i4>0</vt:i4>
      </vt:variant>
      <vt:variant>
        <vt:i4>5</vt:i4>
      </vt:variant>
      <vt:variant>
        <vt:lpwstr/>
      </vt:variant>
      <vt:variant>
        <vt:lpwstr>_Toc171237859</vt:lpwstr>
      </vt:variant>
      <vt:variant>
        <vt:i4>1048635</vt:i4>
      </vt:variant>
      <vt:variant>
        <vt:i4>494</vt:i4>
      </vt:variant>
      <vt:variant>
        <vt:i4>0</vt:i4>
      </vt:variant>
      <vt:variant>
        <vt:i4>5</vt:i4>
      </vt:variant>
      <vt:variant>
        <vt:lpwstr/>
      </vt:variant>
      <vt:variant>
        <vt:lpwstr>_Toc171237858</vt:lpwstr>
      </vt:variant>
      <vt:variant>
        <vt:i4>1048635</vt:i4>
      </vt:variant>
      <vt:variant>
        <vt:i4>488</vt:i4>
      </vt:variant>
      <vt:variant>
        <vt:i4>0</vt:i4>
      </vt:variant>
      <vt:variant>
        <vt:i4>5</vt:i4>
      </vt:variant>
      <vt:variant>
        <vt:lpwstr/>
      </vt:variant>
      <vt:variant>
        <vt:lpwstr>_Toc171237857</vt:lpwstr>
      </vt:variant>
      <vt:variant>
        <vt:i4>1048635</vt:i4>
      </vt:variant>
      <vt:variant>
        <vt:i4>482</vt:i4>
      </vt:variant>
      <vt:variant>
        <vt:i4>0</vt:i4>
      </vt:variant>
      <vt:variant>
        <vt:i4>5</vt:i4>
      </vt:variant>
      <vt:variant>
        <vt:lpwstr/>
      </vt:variant>
      <vt:variant>
        <vt:lpwstr>_Toc171237856</vt:lpwstr>
      </vt:variant>
      <vt:variant>
        <vt:i4>1048635</vt:i4>
      </vt:variant>
      <vt:variant>
        <vt:i4>476</vt:i4>
      </vt:variant>
      <vt:variant>
        <vt:i4>0</vt:i4>
      </vt:variant>
      <vt:variant>
        <vt:i4>5</vt:i4>
      </vt:variant>
      <vt:variant>
        <vt:lpwstr/>
      </vt:variant>
      <vt:variant>
        <vt:lpwstr>_Toc171237855</vt:lpwstr>
      </vt:variant>
      <vt:variant>
        <vt:i4>1048635</vt:i4>
      </vt:variant>
      <vt:variant>
        <vt:i4>470</vt:i4>
      </vt:variant>
      <vt:variant>
        <vt:i4>0</vt:i4>
      </vt:variant>
      <vt:variant>
        <vt:i4>5</vt:i4>
      </vt:variant>
      <vt:variant>
        <vt:lpwstr/>
      </vt:variant>
      <vt:variant>
        <vt:lpwstr>_Toc171237854</vt:lpwstr>
      </vt:variant>
      <vt:variant>
        <vt:i4>1048635</vt:i4>
      </vt:variant>
      <vt:variant>
        <vt:i4>464</vt:i4>
      </vt:variant>
      <vt:variant>
        <vt:i4>0</vt:i4>
      </vt:variant>
      <vt:variant>
        <vt:i4>5</vt:i4>
      </vt:variant>
      <vt:variant>
        <vt:lpwstr/>
      </vt:variant>
      <vt:variant>
        <vt:lpwstr>_Toc171237853</vt:lpwstr>
      </vt:variant>
      <vt:variant>
        <vt:i4>1048635</vt:i4>
      </vt:variant>
      <vt:variant>
        <vt:i4>458</vt:i4>
      </vt:variant>
      <vt:variant>
        <vt:i4>0</vt:i4>
      </vt:variant>
      <vt:variant>
        <vt:i4>5</vt:i4>
      </vt:variant>
      <vt:variant>
        <vt:lpwstr/>
      </vt:variant>
      <vt:variant>
        <vt:lpwstr>_Toc171237852</vt:lpwstr>
      </vt:variant>
      <vt:variant>
        <vt:i4>1048635</vt:i4>
      </vt:variant>
      <vt:variant>
        <vt:i4>452</vt:i4>
      </vt:variant>
      <vt:variant>
        <vt:i4>0</vt:i4>
      </vt:variant>
      <vt:variant>
        <vt:i4>5</vt:i4>
      </vt:variant>
      <vt:variant>
        <vt:lpwstr/>
      </vt:variant>
      <vt:variant>
        <vt:lpwstr>_Toc171237851</vt:lpwstr>
      </vt:variant>
      <vt:variant>
        <vt:i4>1048635</vt:i4>
      </vt:variant>
      <vt:variant>
        <vt:i4>446</vt:i4>
      </vt:variant>
      <vt:variant>
        <vt:i4>0</vt:i4>
      </vt:variant>
      <vt:variant>
        <vt:i4>5</vt:i4>
      </vt:variant>
      <vt:variant>
        <vt:lpwstr/>
      </vt:variant>
      <vt:variant>
        <vt:lpwstr>_Toc171237850</vt:lpwstr>
      </vt:variant>
      <vt:variant>
        <vt:i4>1179707</vt:i4>
      </vt:variant>
      <vt:variant>
        <vt:i4>437</vt:i4>
      </vt:variant>
      <vt:variant>
        <vt:i4>0</vt:i4>
      </vt:variant>
      <vt:variant>
        <vt:i4>5</vt:i4>
      </vt:variant>
      <vt:variant>
        <vt:lpwstr/>
      </vt:variant>
      <vt:variant>
        <vt:lpwstr>_Toc161334845</vt:lpwstr>
      </vt:variant>
      <vt:variant>
        <vt:i4>1179707</vt:i4>
      </vt:variant>
      <vt:variant>
        <vt:i4>431</vt:i4>
      </vt:variant>
      <vt:variant>
        <vt:i4>0</vt:i4>
      </vt:variant>
      <vt:variant>
        <vt:i4>5</vt:i4>
      </vt:variant>
      <vt:variant>
        <vt:lpwstr/>
      </vt:variant>
      <vt:variant>
        <vt:lpwstr>_Toc161334844</vt:lpwstr>
      </vt:variant>
      <vt:variant>
        <vt:i4>1179707</vt:i4>
      </vt:variant>
      <vt:variant>
        <vt:i4>425</vt:i4>
      </vt:variant>
      <vt:variant>
        <vt:i4>0</vt:i4>
      </vt:variant>
      <vt:variant>
        <vt:i4>5</vt:i4>
      </vt:variant>
      <vt:variant>
        <vt:lpwstr/>
      </vt:variant>
      <vt:variant>
        <vt:lpwstr>_Toc161334843</vt:lpwstr>
      </vt:variant>
      <vt:variant>
        <vt:i4>1179707</vt:i4>
      </vt:variant>
      <vt:variant>
        <vt:i4>419</vt:i4>
      </vt:variant>
      <vt:variant>
        <vt:i4>0</vt:i4>
      </vt:variant>
      <vt:variant>
        <vt:i4>5</vt:i4>
      </vt:variant>
      <vt:variant>
        <vt:lpwstr/>
      </vt:variant>
      <vt:variant>
        <vt:lpwstr>_Toc161334842</vt:lpwstr>
      </vt:variant>
      <vt:variant>
        <vt:i4>1179707</vt:i4>
      </vt:variant>
      <vt:variant>
        <vt:i4>413</vt:i4>
      </vt:variant>
      <vt:variant>
        <vt:i4>0</vt:i4>
      </vt:variant>
      <vt:variant>
        <vt:i4>5</vt:i4>
      </vt:variant>
      <vt:variant>
        <vt:lpwstr/>
      </vt:variant>
      <vt:variant>
        <vt:lpwstr>_Toc161334841</vt:lpwstr>
      </vt:variant>
      <vt:variant>
        <vt:i4>1179707</vt:i4>
      </vt:variant>
      <vt:variant>
        <vt:i4>407</vt:i4>
      </vt:variant>
      <vt:variant>
        <vt:i4>0</vt:i4>
      </vt:variant>
      <vt:variant>
        <vt:i4>5</vt:i4>
      </vt:variant>
      <vt:variant>
        <vt:lpwstr/>
      </vt:variant>
      <vt:variant>
        <vt:lpwstr>_Toc161334840</vt:lpwstr>
      </vt:variant>
      <vt:variant>
        <vt:i4>1114171</vt:i4>
      </vt:variant>
      <vt:variant>
        <vt:i4>398</vt:i4>
      </vt:variant>
      <vt:variant>
        <vt:i4>0</vt:i4>
      </vt:variant>
      <vt:variant>
        <vt:i4>5</vt:i4>
      </vt:variant>
      <vt:variant>
        <vt:lpwstr/>
      </vt:variant>
      <vt:variant>
        <vt:lpwstr>_Toc171237847</vt:lpwstr>
      </vt:variant>
      <vt:variant>
        <vt:i4>1114171</vt:i4>
      </vt:variant>
      <vt:variant>
        <vt:i4>392</vt:i4>
      </vt:variant>
      <vt:variant>
        <vt:i4>0</vt:i4>
      </vt:variant>
      <vt:variant>
        <vt:i4>5</vt:i4>
      </vt:variant>
      <vt:variant>
        <vt:lpwstr/>
      </vt:variant>
      <vt:variant>
        <vt:lpwstr>_Toc171237846</vt:lpwstr>
      </vt:variant>
      <vt:variant>
        <vt:i4>1114171</vt:i4>
      </vt:variant>
      <vt:variant>
        <vt:i4>386</vt:i4>
      </vt:variant>
      <vt:variant>
        <vt:i4>0</vt:i4>
      </vt:variant>
      <vt:variant>
        <vt:i4>5</vt:i4>
      </vt:variant>
      <vt:variant>
        <vt:lpwstr/>
      </vt:variant>
      <vt:variant>
        <vt:lpwstr>_Toc171237845</vt:lpwstr>
      </vt:variant>
      <vt:variant>
        <vt:i4>1114171</vt:i4>
      </vt:variant>
      <vt:variant>
        <vt:i4>380</vt:i4>
      </vt:variant>
      <vt:variant>
        <vt:i4>0</vt:i4>
      </vt:variant>
      <vt:variant>
        <vt:i4>5</vt:i4>
      </vt:variant>
      <vt:variant>
        <vt:lpwstr/>
      </vt:variant>
      <vt:variant>
        <vt:lpwstr>_Toc171237844</vt:lpwstr>
      </vt:variant>
      <vt:variant>
        <vt:i4>1114171</vt:i4>
      </vt:variant>
      <vt:variant>
        <vt:i4>374</vt:i4>
      </vt:variant>
      <vt:variant>
        <vt:i4>0</vt:i4>
      </vt:variant>
      <vt:variant>
        <vt:i4>5</vt:i4>
      </vt:variant>
      <vt:variant>
        <vt:lpwstr/>
      </vt:variant>
      <vt:variant>
        <vt:lpwstr>_Toc171237843</vt:lpwstr>
      </vt:variant>
      <vt:variant>
        <vt:i4>1114171</vt:i4>
      </vt:variant>
      <vt:variant>
        <vt:i4>368</vt:i4>
      </vt:variant>
      <vt:variant>
        <vt:i4>0</vt:i4>
      </vt:variant>
      <vt:variant>
        <vt:i4>5</vt:i4>
      </vt:variant>
      <vt:variant>
        <vt:lpwstr/>
      </vt:variant>
      <vt:variant>
        <vt:lpwstr>_Toc171237842</vt:lpwstr>
      </vt:variant>
      <vt:variant>
        <vt:i4>1114171</vt:i4>
      </vt:variant>
      <vt:variant>
        <vt:i4>362</vt:i4>
      </vt:variant>
      <vt:variant>
        <vt:i4>0</vt:i4>
      </vt:variant>
      <vt:variant>
        <vt:i4>5</vt:i4>
      </vt:variant>
      <vt:variant>
        <vt:lpwstr/>
      </vt:variant>
      <vt:variant>
        <vt:lpwstr>_Toc171237841</vt:lpwstr>
      </vt:variant>
      <vt:variant>
        <vt:i4>1114171</vt:i4>
      </vt:variant>
      <vt:variant>
        <vt:i4>356</vt:i4>
      </vt:variant>
      <vt:variant>
        <vt:i4>0</vt:i4>
      </vt:variant>
      <vt:variant>
        <vt:i4>5</vt:i4>
      </vt:variant>
      <vt:variant>
        <vt:lpwstr/>
      </vt:variant>
      <vt:variant>
        <vt:lpwstr>_Toc171237840</vt:lpwstr>
      </vt:variant>
      <vt:variant>
        <vt:i4>1441851</vt:i4>
      </vt:variant>
      <vt:variant>
        <vt:i4>350</vt:i4>
      </vt:variant>
      <vt:variant>
        <vt:i4>0</vt:i4>
      </vt:variant>
      <vt:variant>
        <vt:i4>5</vt:i4>
      </vt:variant>
      <vt:variant>
        <vt:lpwstr/>
      </vt:variant>
      <vt:variant>
        <vt:lpwstr>_Toc171237839</vt:lpwstr>
      </vt:variant>
      <vt:variant>
        <vt:i4>1441851</vt:i4>
      </vt:variant>
      <vt:variant>
        <vt:i4>344</vt:i4>
      </vt:variant>
      <vt:variant>
        <vt:i4>0</vt:i4>
      </vt:variant>
      <vt:variant>
        <vt:i4>5</vt:i4>
      </vt:variant>
      <vt:variant>
        <vt:lpwstr/>
      </vt:variant>
      <vt:variant>
        <vt:lpwstr>_Toc171237838</vt:lpwstr>
      </vt:variant>
      <vt:variant>
        <vt:i4>1441851</vt:i4>
      </vt:variant>
      <vt:variant>
        <vt:i4>338</vt:i4>
      </vt:variant>
      <vt:variant>
        <vt:i4>0</vt:i4>
      </vt:variant>
      <vt:variant>
        <vt:i4>5</vt:i4>
      </vt:variant>
      <vt:variant>
        <vt:lpwstr/>
      </vt:variant>
      <vt:variant>
        <vt:lpwstr>_Toc171237837</vt:lpwstr>
      </vt:variant>
      <vt:variant>
        <vt:i4>1441851</vt:i4>
      </vt:variant>
      <vt:variant>
        <vt:i4>332</vt:i4>
      </vt:variant>
      <vt:variant>
        <vt:i4>0</vt:i4>
      </vt:variant>
      <vt:variant>
        <vt:i4>5</vt:i4>
      </vt:variant>
      <vt:variant>
        <vt:lpwstr/>
      </vt:variant>
      <vt:variant>
        <vt:lpwstr>_Toc171237836</vt:lpwstr>
      </vt:variant>
      <vt:variant>
        <vt:i4>1441851</vt:i4>
      </vt:variant>
      <vt:variant>
        <vt:i4>326</vt:i4>
      </vt:variant>
      <vt:variant>
        <vt:i4>0</vt:i4>
      </vt:variant>
      <vt:variant>
        <vt:i4>5</vt:i4>
      </vt:variant>
      <vt:variant>
        <vt:lpwstr/>
      </vt:variant>
      <vt:variant>
        <vt:lpwstr>_Toc171237835</vt:lpwstr>
      </vt:variant>
      <vt:variant>
        <vt:i4>1441851</vt:i4>
      </vt:variant>
      <vt:variant>
        <vt:i4>320</vt:i4>
      </vt:variant>
      <vt:variant>
        <vt:i4>0</vt:i4>
      </vt:variant>
      <vt:variant>
        <vt:i4>5</vt:i4>
      </vt:variant>
      <vt:variant>
        <vt:lpwstr/>
      </vt:variant>
      <vt:variant>
        <vt:lpwstr>_Toc171237834</vt:lpwstr>
      </vt:variant>
      <vt:variant>
        <vt:i4>1441851</vt:i4>
      </vt:variant>
      <vt:variant>
        <vt:i4>314</vt:i4>
      </vt:variant>
      <vt:variant>
        <vt:i4>0</vt:i4>
      </vt:variant>
      <vt:variant>
        <vt:i4>5</vt:i4>
      </vt:variant>
      <vt:variant>
        <vt:lpwstr/>
      </vt:variant>
      <vt:variant>
        <vt:lpwstr>_Toc171237833</vt:lpwstr>
      </vt:variant>
      <vt:variant>
        <vt:i4>1441851</vt:i4>
      </vt:variant>
      <vt:variant>
        <vt:i4>308</vt:i4>
      </vt:variant>
      <vt:variant>
        <vt:i4>0</vt:i4>
      </vt:variant>
      <vt:variant>
        <vt:i4>5</vt:i4>
      </vt:variant>
      <vt:variant>
        <vt:lpwstr/>
      </vt:variant>
      <vt:variant>
        <vt:lpwstr>_Toc171237832</vt:lpwstr>
      </vt:variant>
      <vt:variant>
        <vt:i4>1441851</vt:i4>
      </vt:variant>
      <vt:variant>
        <vt:i4>302</vt:i4>
      </vt:variant>
      <vt:variant>
        <vt:i4>0</vt:i4>
      </vt:variant>
      <vt:variant>
        <vt:i4>5</vt:i4>
      </vt:variant>
      <vt:variant>
        <vt:lpwstr/>
      </vt:variant>
      <vt:variant>
        <vt:lpwstr>_Toc171237831</vt:lpwstr>
      </vt:variant>
      <vt:variant>
        <vt:i4>1441851</vt:i4>
      </vt:variant>
      <vt:variant>
        <vt:i4>296</vt:i4>
      </vt:variant>
      <vt:variant>
        <vt:i4>0</vt:i4>
      </vt:variant>
      <vt:variant>
        <vt:i4>5</vt:i4>
      </vt:variant>
      <vt:variant>
        <vt:lpwstr/>
      </vt:variant>
      <vt:variant>
        <vt:lpwstr>_Toc171237830</vt:lpwstr>
      </vt:variant>
      <vt:variant>
        <vt:i4>1507387</vt:i4>
      </vt:variant>
      <vt:variant>
        <vt:i4>290</vt:i4>
      </vt:variant>
      <vt:variant>
        <vt:i4>0</vt:i4>
      </vt:variant>
      <vt:variant>
        <vt:i4>5</vt:i4>
      </vt:variant>
      <vt:variant>
        <vt:lpwstr/>
      </vt:variant>
      <vt:variant>
        <vt:lpwstr>_Toc171237829</vt:lpwstr>
      </vt:variant>
      <vt:variant>
        <vt:i4>1507387</vt:i4>
      </vt:variant>
      <vt:variant>
        <vt:i4>284</vt:i4>
      </vt:variant>
      <vt:variant>
        <vt:i4>0</vt:i4>
      </vt:variant>
      <vt:variant>
        <vt:i4>5</vt:i4>
      </vt:variant>
      <vt:variant>
        <vt:lpwstr/>
      </vt:variant>
      <vt:variant>
        <vt:lpwstr>_Toc171237828</vt:lpwstr>
      </vt:variant>
      <vt:variant>
        <vt:i4>1507387</vt:i4>
      </vt:variant>
      <vt:variant>
        <vt:i4>278</vt:i4>
      </vt:variant>
      <vt:variant>
        <vt:i4>0</vt:i4>
      </vt:variant>
      <vt:variant>
        <vt:i4>5</vt:i4>
      </vt:variant>
      <vt:variant>
        <vt:lpwstr/>
      </vt:variant>
      <vt:variant>
        <vt:lpwstr>_Toc171237827</vt:lpwstr>
      </vt:variant>
      <vt:variant>
        <vt:i4>1507387</vt:i4>
      </vt:variant>
      <vt:variant>
        <vt:i4>272</vt:i4>
      </vt:variant>
      <vt:variant>
        <vt:i4>0</vt:i4>
      </vt:variant>
      <vt:variant>
        <vt:i4>5</vt:i4>
      </vt:variant>
      <vt:variant>
        <vt:lpwstr/>
      </vt:variant>
      <vt:variant>
        <vt:lpwstr>_Toc171237826</vt:lpwstr>
      </vt:variant>
      <vt:variant>
        <vt:i4>1507387</vt:i4>
      </vt:variant>
      <vt:variant>
        <vt:i4>266</vt:i4>
      </vt:variant>
      <vt:variant>
        <vt:i4>0</vt:i4>
      </vt:variant>
      <vt:variant>
        <vt:i4>5</vt:i4>
      </vt:variant>
      <vt:variant>
        <vt:lpwstr/>
      </vt:variant>
      <vt:variant>
        <vt:lpwstr>_Toc171237825</vt:lpwstr>
      </vt:variant>
      <vt:variant>
        <vt:i4>1507387</vt:i4>
      </vt:variant>
      <vt:variant>
        <vt:i4>260</vt:i4>
      </vt:variant>
      <vt:variant>
        <vt:i4>0</vt:i4>
      </vt:variant>
      <vt:variant>
        <vt:i4>5</vt:i4>
      </vt:variant>
      <vt:variant>
        <vt:lpwstr/>
      </vt:variant>
      <vt:variant>
        <vt:lpwstr>_Toc171237824</vt:lpwstr>
      </vt:variant>
      <vt:variant>
        <vt:i4>1507387</vt:i4>
      </vt:variant>
      <vt:variant>
        <vt:i4>254</vt:i4>
      </vt:variant>
      <vt:variant>
        <vt:i4>0</vt:i4>
      </vt:variant>
      <vt:variant>
        <vt:i4>5</vt:i4>
      </vt:variant>
      <vt:variant>
        <vt:lpwstr/>
      </vt:variant>
      <vt:variant>
        <vt:lpwstr>_Toc171237823</vt:lpwstr>
      </vt:variant>
      <vt:variant>
        <vt:i4>1507387</vt:i4>
      </vt:variant>
      <vt:variant>
        <vt:i4>248</vt:i4>
      </vt:variant>
      <vt:variant>
        <vt:i4>0</vt:i4>
      </vt:variant>
      <vt:variant>
        <vt:i4>5</vt:i4>
      </vt:variant>
      <vt:variant>
        <vt:lpwstr/>
      </vt:variant>
      <vt:variant>
        <vt:lpwstr>_Toc171237822</vt:lpwstr>
      </vt:variant>
      <vt:variant>
        <vt:i4>1507387</vt:i4>
      </vt:variant>
      <vt:variant>
        <vt:i4>242</vt:i4>
      </vt:variant>
      <vt:variant>
        <vt:i4>0</vt:i4>
      </vt:variant>
      <vt:variant>
        <vt:i4>5</vt:i4>
      </vt:variant>
      <vt:variant>
        <vt:lpwstr/>
      </vt:variant>
      <vt:variant>
        <vt:lpwstr>_Toc171237821</vt:lpwstr>
      </vt:variant>
      <vt:variant>
        <vt:i4>1507387</vt:i4>
      </vt:variant>
      <vt:variant>
        <vt:i4>236</vt:i4>
      </vt:variant>
      <vt:variant>
        <vt:i4>0</vt:i4>
      </vt:variant>
      <vt:variant>
        <vt:i4>5</vt:i4>
      </vt:variant>
      <vt:variant>
        <vt:lpwstr/>
      </vt:variant>
      <vt:variant>
        <vt:lpwstr>_Toc171237820</vt:lpwstr>
      </vt:variant>
      <vt:variant>
        <vt:i4>1310779</vt:i4>
      </vt:variant>
      <vt:variant>
        <vt:i4>230</vt:i4>
      </vt:variant>
      <vt:variant>
        <vt:i4>0</vt:i4>
      </vt:variant>
      <vt:variant>
        <vt:i4>5</vt:i4>
      </vt:variant>
      <vt:variant>
        <vt:lpwstr/>
      </vt:variant>
      <vt:variant>
        <vt:lpwstr>_Toc171237819</vt:lpwstr>
      </vt:variant>
      <vt:variant>
        <vt:i4>1310779</vt:i4>
      </vt:variant>
      <vt:variant>
        <vt:i4>224</vt:i4>
      </vt:variant>
      <vt:variant>
        <vt:i4>0</vt:i4>
      </vt:variant>
      <vt:variant>
        <vt:i4>5</vt:i4>
      </vt:variant>
      <vt:variant>
        <vt:lpwstr/>
      </vt:variant>
      <vt:variant>
        <vt:lpwstr>_Toc171237818</vt:lpwstr>
      </vt:variant>
      <vt:variant>
        <vt:i4>1310779</vt:i4>
      </vt:variant>
      <vt:variant>
        <vt:i4>218</vt:i4>
      </vt:variant>
      <vt:variant>
        <vt:i4>0</vt:i4>
      </vt:variant>
      <vt:variant>
        <vt:i4>5</vt:i4>
      </vt:variant>
      <vt:variant>
        <vt:lpwstr/>
      </vt:variant>
      <vt:variant>
        <vt:lpwstr>_Toc171237817</vt:lpwstr>
      </vt:variant>
      <vt:variant>
        <vt:i4>1310779</vt:i4>
      </vt:variant>
      <vt:variant>
        <vt:i4>212</vt:i4>
      </vt:variant>
      <vt:variant>
        <vt:i4>0</vt:i4>
      </vt:variant>
      <vt:variant>
        <vt:i4>5</vt:i4>
      </vt:variant>
      <vt:variant>
        <vt:lpwstr/>
      </vt:variant>
      <vt:variant>
        <vt:lpwstr>_Toc171237816</vt:lpwstr>
      </vt:variant>
      <vt:variant>
        <vt:i4>1310779</vt:i4>
      </vt:variant>
      <vt:variant>
        <vt:i4>206</vt:i4>
      </vt:variant>
      <vt:variant>
        <vt:i4>0</vt:i4>
      </vt:variant>
      <vt:variant>
        <vt:i4>5</vt:i4>
      </vt:variant>
      <vt:variant>
        <vt:lpwstr/>
      </vt:variant>
      <vt:variant>
        <vt:lpwstr>_Toc171237815</vt:lpwstr>
      </vt:variant>
      <vt:variant>
        <vt:i4>1310779</vt:i4>
      </vt:variant>
      <vt:variant>
        <vt:i4>200</vt:i4>
      </vt:variant>
      <vt:variant>
        <vt:i4>0</vt:i4>
      </vt:variant>
      <vt:variant>
        <vt:i4>5</vt:i4>
      </vt:variant>
      <vt:variant>
        <vt:lpwstr/>
      </vt:variant>
      <vt:variant>
        <vt:lpwstr>_Toc171237814</vt:lpwstr>
      </vt:variant>
      <vt:variant>
        <vt:i4>1310779</vt:i4>
      </vt:variant>
      <vt:variant>
        <vt:i4>194</vt:i4>
      </vt:variant>
      <vt:variant>
        <vt:i4>0</vt:i4>
      </vt:variant>
      <vt:variant>
        <vt:i4>5</vt:i4>
      </vt:variant>
      <vt:variant>
        <vt:lpwstr/>
      </vt:variant>
      <vt:variant>
        <vt:lpwstr>_Toc171237813</vt:lpwstr>
      </vt:variant>
      <vt:variant>
        <vt:i4>1310779</vt:i4>
      </vt:variant>
      <vt:variant>
        <vt:i4>188</vt:i4>
      </vt:variant>
      <vt:variant>
        <vt:i4>0</vt:i4>
      </vt:variant>
      <vt:variant>
        <vt:i4>5</vt:i4>
      </vt:variant>
      <vt:variant>
        <vt:lpwstr/>
      </vt:variant>
      <vt:variant>
        <vt:lpwstr>_Toc171237812</vt:lpwstr>
      </vt:variant>
      <vt:variant>
        <vt:i4>1310779</vt:i4>
      </vt:variant>
      <vt:variant>
        <vt:i4>182</vt:i4>
      </vt:variant>
      <vt:variant>
        <vt:i4>0</vt:i4>
      </vt:variant>
      <vt:variant>
        <vt:i4>5</vt:i4>
      </vt:variant>
      <vt:variant>
        <vt:lpwstr/>
      </vt:variant>
      <vt:variant>
        <vt:lpwstr>_Toc171237811</vt:lpwstr>
      </vt:variant>
      <vt:variant>
        <vt:i4>1310779</vt:i4>
      </vt:variant>
      <vt:variant>
        <vt:i4>176</vt:i4>
      </vt:variant>
      <vt:variant>
        <vt:i4>0</vt:i4>
      </vt:variant>
      <vt:variant>
        <vt:i4>5</vt:i4>
      </vt:variant>
      <vt:variant>
        <vt:lpwstr/>
      </vt:variant>
      <vt:variant>
        <vt:lpwstr>_Toc171237810</vt:lpwstr>
      </vt:variant>
      <vt:variant>
        <vt:i4>1376315</vt:i4>
      </vt:variant>
      <vt:variant>
        <vt:i4>170</vt:i4>
      </vt:variant>
      <vt:variant>
        <vt:i4>0</vt:i4>
      </vt:variant>
      <vt:variant>
        <vt:i4>5</vt:i4>
      </vt:variant>
      <vt:variant>
        <vt:lpwstr/>
      </vt:variant>
      <vt:variant>
        <vt:lpwstr>_Toc171237809</vt:lpwstr>
      </vt:variant>
      <vt:variant>
        <vt:i4>1376315</vt:i4>
      </vt:variant>
      <vt:variant>
        <vt:i4>164</vt:i4>
      </vt:variant>
      <vt:variant>
        <vt:i4>0</vt:i4>
      </vt:variant>
      <vt:variant>
        <vt:i4>5</vt:i4>
      </vt:variant>
      <vt:variant>
        <vt:lpwstr/>
      </vt:variant>
      <vt:variant>
        <vt:lpwstr>_Toc171237808</vt:lpwstr>
      </vt:variant>
      <vt:variant>
        <vt:i4>1376315</vt:i4>
      </vt:variant>
      <vt:variant>
        <vt:i4>158</vt:i4>
      </vt:variant>
      <vt:variant>
        <vt:i4>0</vt:i4>
      </vt:variant>
      <vt:variant>
        <vt:i4>5</vt:i4>
      </vt:variant>
      <vt:variant>
        <vt:lpwstr/>
      </vt:variant>
      <vt:variant>
        <vt:lpwstr>_Toc171237807</vt:lpwstr>
      </vt:variant>
      <vt:variant>
        <vt:i4>1376315</vt:i4>
      </vt:variant>
      <vt:variant>
        <vt:i4>152</vt:i4>
      </vt:variant>
      <vt:variant>
        <vt:i4>0</vt:i4>
      </vt:variant>
      <vt:variant>
        <vt:i4>5</vt:i4>
      </vt:variant>
      <vt:variant>
        <vt:lpwstr/>
      </vt:variant>
      <vt:variant>
        <vt:lpwstr>_Toc171237806</vt:lpwstr>
      </vt:variant>
      <vt:variant>
        <vt:i4>1376315</vt:i4>
      </vt:variant>
      <vt:variant>
        <vt:i4>146</vt:i4>
      </vt:variant>
      <vt:variant>
        <vt:i4>0</vt:i4>
      </vt:variant>
      <vt:variant>
        <vt:i4>5</vt:i4>
      </vt:variant>
      <vt:variant>
        <vt:lpwstr/>
      </vt:variant>
      <vt:variant>
        <vt:lpwstr>_Toc171237805</vt:lpwstr>
      </vt:variant>
      <vt:variant>
        <vt:i4>1376315</vt:i4>
      </vt:variant>
      <vt:variant>
        <vt:i4>140</vt:i4>
      </vt:variant>
      <vt:variant>
        <vt:i4>0</vt:i4>
      </vt:variant>
      <vt:variant>
        <vt:i4>5</vt:i4>
      </vt:variant>
      <vt:variant>
        <vt:lpwstr/>
      </vt:variant>
      <vt:variant>
        <vt:lpwstr>_Toc171237804</vt:lpwstr>
      </vt:variant>
      <vt:variant>
        <vt:i4>1376315</vt:i4>
      </vt:variant>
      <vt:variant>
        <vt:i4>134</vt:i4>
      </vt:variant>
      <vt:variant>
        <vt:i4>0</vt:i4>
      </vt:variant>
      <vt:variant>
        <vt:i4>5</vt:i4>
      </vt:variant>
      <vt:variant>
        <vt:lpwstr/>
      </vt:variant>
      <vt:variant>
        <vt:lpwstr>_Toc171237803</vt:lpwstr>
      </vt:variant>
      <vt:variant>
        <vt:i4>1376315</vt:i4>
      </vt:variant>
      <vt:variant>
        <vt:i4>128</vt:i4>
      </vt:variant>
      <vt:variant>
        <vt:i4>0</vt:i4>
      </vt:variant>
      <vt:variant>
        <vt:i4>5</vt:i4>
      </vt:variant>
      <vt:variant>
        <vt:lpwstr/>
      </vt:variant>
      <vt:variant>
        <vt:lpwstr>_Toc171237802</vt:lpwstr>
      </vt:variant>
      <vt:variant>
        <vt:i4>1376315</vt:i4>
      </vt:variant>
      <vt:variant>
        <vt:i4>122</vt:i4>
      </vt:variant>
      <vt:variant>
        <vt:i4>0</vt:i4>
      </vt:variant>
      <vt:variant>
        <vt:i4>5</vt:i4>
      </vt:variant>
      <vt:variant>
        <vt:lpwstr/>
      </vt:variant>
      <vt:variant>
        <vt:lpwstr>_Toc171237801</vt:lpwstr>
      </vt:variant>
      <vt:variant>
        <vt:i4>1376315</vt:i4>
      </vt:variant>
      <vt:variant>
        <vt:i4>116</vt:i4>
      </vt:variant>
      <vt:variant>
        <vt:i4>0</vt:i4>
      </vt:variant>
      <vt:variant>
        <vt:i4>5</vt:i4>
      </vt:variant>
      <vt:variant>
        <vt:lpwstr/>
      </vt:variant>
      <vt:variant>
        <vt:lpwstr>_Toc171237800</vt:lpwstr>
      </vt:variant>
      <vt:variant>
        <vt:i4>1835060</vt:i4>
      </vt:variant>
      <vt:variant>
        <vt:i4>110</vt:i4>
      </vt:variant>
      <vt:variant>
        <vt:i4>0</vt:i4>
      </vt:variant>
      <vt:variant>
        <vt:i4>5</vt:i4>
      </vt:variant>
      <vt:variant>
        <vt:lpwstr/>
      </vt:variant>
      <vt:variant>
        <vt:lpwstr>_Toc171237799</vt:lpwstr>
      </vt:variant>
      <vt:variant>
        <vt:i4>1835060</vt:i4>
      </vt:variant>
      <vt:variant>
        <vt:i4>104</vt:i4>
      </vt:variant>
      <vt:variant>
        <vt:i4>0</vt:i4>
      </vt:variant>
      <vt:variant>
        <vt:i4>5</vt:i4>
      </vt:variant>
      <vt:variant>
        <vt:lpwstr/>
      </vt:variant>
      <vt:variant>
        <vt:lpwstr>_Toc171237798</vt:lpwstr>
      </vt:variant>
      <vt:variant>
        <vt:i4>1835060</vt:i4>
      </vt:variant>
      <vt:variant>
        <vt:i4>98</vt:i4>
      </vt:variant>
      <vt:variant>
        <vt:i4>0</vt:i4>
      </vt:variant>
      <vt:variant>
        <vt:i4>5</vt:i4>
      </vt:variant>
      <vt:variant>
        <vt:lpwstr/>
      </vt:variant>
      <vt:variant>
        <vt:lpwstr>_Toc171237797</vt:lpwstr>
      </vt:variant>
      <vt:variant>
        <vt:i4>1835060</vt:i4>
      </vt:variant>
      <vt:variant>
        <vt:i4>92</vt:i4>
      </vt:variant>
      <vt:variant>
        <vt:i4>0</vt:i4>
      </vt:variant>
      <vt:variant>
        <vt:i4>5</vt:i4>
      </vt:variant>
      <vt:variant>
        <vt:lpwstr/>
      </vt:variant>
      <vt:variant>
        <vt:lpwstr>_Toc171237796</vt:lpwstr>
      </vt:variant>
      <vt:variant>
        <vt:i4>1835060</vt:i4>
      </vt:variant>
      <vt:variant>
        <vt:i4>86</vt:i4>
      </vt:variant>
      <vt:variant>
        <vt:i4>0</vt:i4>
      </vt:variant>
      <vt:variant>
        <vt:i4>5</vt:i4>
      </vt:variant>
      <vt:variant>
        <vt:lpwstr/>
      </vt:variant>
      <vt:variant>
        <vt:lpwstr>_Toc171237795</vt:lpwstr>
      </vt:variant>
      <vt:variant>
        <vt:i4>1835060</vt:i4>
      </vt:variant>
      <vt:variant>
        <vt:i4>80</vt:i4>
      </vt:variant>
      <vt:variant>
        <vt:i4>0</vt:i4>
      </vt:variant>
      <vt:variant>
        <vt:i4>5</vt:i4>
      </vt:variant>
      <vt:variant>
        <vt:lpwstr/>
      </vt:variant>
      <vt:variant>
        <vt:lpwstr>_Toc171237794</vt:lpwstr>
      </vt:variant>
      <vt:variant>
        <vt:i4>1835060</vt:i4>
      </vt:variant>
      <vt:variant>
        <vt:i4>74</vt:i4>
      </vt:variant>
      <vt:variant>
        <vt:i4>0</vt:i4>
      </vt:variant>
      <vt:variant>
        <vt:i4>5</vt:i4>
      </vt:variant>
      <vt:variant>
        <vt:lpwstr/>
      </vt:variant>
      <vt:variant>
        <vt:lpwstr>_Toc171237793</vt:lpwstr>
      </vt:variant>
      <vt:variant>
        <vt:i4>1835060</vt:i4>
      </vt:variant>
      <vt:variant>
        <vt:i4>68</vt:i4>
      </vt:variant>
      <vt:variant>
        <vt:i4>0</vt:i4>
      </vt:variant>
      <vt:variant>
        <vt:i4>5</vt:i4>
      </vt:variant>
      <vt:variant>
        <vt:lpwstr/>
      </vt:variant>
      <vt:variant>
        <vt:lpwstr>_Toc171237792</vt:lpwstr>
      </vt:variant>
      <vt:variant>
        <vt:i4>1835060</vt:i4>
      </vt:variant>
      <vt:variant>
        <vt:i4>62</vt:i4>
      </vt:variant>
      <vt:variant>
        <vt:i4>0</vt:i4>
      </vt:variant>
      <vt:variant>
        <vt:i4>5</vt:i4>
      </vt:variant>
      <vt:variant>
        <vt:lpwstr/>
      </vt:variant>
      <vt:variant>
        <vt:lpwstr>_Toc171237791</vt:lpwstr>
      </vt:variant>
      <vt:variant>
        <vt:i4>1835060</vt:i4>
      </vt:variant>
      <vt:variant>
        <vt:i4>56</vt:i4>
      </vt:variant>
      <vt:variant>
        <vt:i4>0</vt:i4>
      </vt:variant>
      <vt:variant>
        <vt:i4>5</vt:i4>
      </vt:variant>
      <vt:variant>
        <vt:lpwstr/>
      </vt:variant>
      <vt:variant>
        <vt:lpwstr>_Toc171237790</vt:lpwstr>
      </vt:variant>
      <vt:variant>
        <vt:i4>1900596</vt:i4>
      </vt:variant>
      <vt:variant>
        <vt:i4>50</vt:i4>
      </vt:variant>
      <vt:variant>
        <vt:i4>0</vt:i4>
      </vt:variant>
      <vt:variant>
        <vt:i4>5</vt:i4>
      </vt:variant>
      <vt:variant>
        <vt:lpwstr/>
      </vt:variant>
      <vt:variant>
        <vt:lpwstr>_Toc171237789</vt:lpwstr>
      </vt:variant>
      <vt:variant>
        <vt:i4>1900596</vt:i4>
      </vt:variant>
      <vt:variant>
        <vt:i4>44</vt:i4>
      </vt:variant>
      <vt:variant>
        <vt:i4>0</vt:i4>
      </vt:variant>
      <vt:variant>
        <vt:i4>5</vt:i4>
      </vt:variant>
      <vt:variant>
        <vt:lpwstr/>
      </vt:variant>
      <vt:variant>
        <vt:lpwstr>_Toc171237788</vt:lpwstr>
      </vt:variant>
      <vt:variant>
        <vt:i4>1900596</vt:i4>
      </vt:variant>
      <vt:variant>
        <vt:i4>38</vt:i4>
      </vt:variant>
      <vt:variant>
        <vt:i4>0</vt:i4>
      </vt:variant>
      <vt:variant>
        <vt:i4>5</vt:i4>
      </vt:variant>
      <vt:variant>
        <vt:lpwstr/>
      </vt:variant>
      <vt:variant>
        <vt:lpwstr>_Toc171237787</vt:lpwstr>
      </vt:variant>
      <vt:variant>
        <vt:i4>1900596</vt:i4>
      </vt:variant>
      <vt:variant>
        <vt:i4>32</vt:i4>
      </vt:variant>
      <vt:variant>
        <vt:i4>0</vt:i4>
      </vt:variant>
      <vt:variant>
        <vt:i4>5</vt:i4>
      </vt:variant>
      <vt:variant>
        <vt:lpwstr/>
      </vt:variant>
      <vt:variant>
        <vt:lpwstr>_Toc171237786</vt:lpwstr>
      </vt:variant>
      <vt:variant>
        <vt:i4>1900596</vt:i4>
      </vt:variant>
      <vt:variant>
        <vt:i4>26</vt:i4>
      </vt:variant>
      <vt:variant>
        <vt:i4>0</vt:i4>
      </vt:variant>
      <vt:variant>
        <vt:i4>5</vt:i4>
      </vt:variant>
      <vt:variant>
        <vt:lpwstr/>
      </vt:variant>
      <vt:variant>
        <vt:lpwstr>_Toc171237785</vt:lpwstr>
      </vt:variant>
      <vt:variant>
        <vt:i4>1900596</vt:i4>
      </vt:variant>
      <vt:variant>
        <vt:i4>20</vt:i4>
      </vt:variant>
      <vt:variant>
        <vt:i4>0</vt:i4>
      </vt:variant>
      <vt:variant>
        <vt:i4>5</vt:i4>
      </vt:variant>
      <vt:variant>
        <vt:lpwstr/>
      </vt:variant>
      <vt:variant>
        <vt:lpwstr>_Toc171237784</vt:lpwstr>
      </vt:variant>
      <vt:variant>
        <vt:i4>1900596</vt:i4>
      </vt:variant>
      <vt:variant>
        <vt:i4>14</vt:i4>
      </vt:variant>
      <vt:variant>
        <vt:i4>0</vt:i4>
      </vt:variant>
      <vt:variant>
        <vt:i4>5</vt:i4>
      </vt:variant>
      <vt:variant>
        <vt:lpwstr/>
      </vt:variant>
      <vt:variant>
        <vt:lpwstr>_Toc171237783</vt:lpwstr>
      </vt:variant>
      <vt:variant>
        <vt:i4>1900596</vt:i4>
      </vt:variant>
      <vt:variant>
        <vt:i4>8</vt:i4>
      </vt:variant>
      <vt:variant>
        <vt:i4>0</vt:i4>
      </vt:variant>
      <vt:variant>
        <vt:i4>5</vt:i4>
      </vt:variant>
      <vt:variant>
        <vt:lpwstr/>
      </vt:variant>
      <vt:variant>
        <vt:lpwstr>_Toc171237782</vt:lpwstr>
      </vt:variant>
      <vt:variant>
        <vt:i4>1900596</vt:i4>
      </vt:variant>
      <vt:variant>
        <vt:i4>2</vt:i4>
      </vt:variant>
      <vt:variant>
        <vt:i4>0</vt:i4>
      </vt:variant>
      <vt:variant>
        <vt:i4>5</vt:i4>
      </vt:variant>
      <vt:variant>
        <vt:lpwstr/>
      </vt:variant>
      <vt:variant>
        <vt:lpwstr>_Toc171237781</vt:lpwstr>
      </vt:variant>
      <vt:variant>
        <vt:i4>22</vt:i4>
      </vt:variant>
      <vt:variant>
        <vt:i4>141</vt:i4>
      </vt:variant>
      <vt:variant>
        <vt:i4>0</vt:i4>
      </vt:variant>
      <vt:variant>
        <vt:i4>5</vt:i4>
      </vt:variant>
      <vt:variant>
        <vt:lpwstr>https://www.thegef.org/council-meeting-documents/gef-c-67-08</vt:lpwstr>
      </vt:variant>
      <vt:variant>
        <vt:lpwstr/>
      </vt:variant>
      <vt:variant>
        <vt:i4>851990</vt:i4>
      </vt:variant>
      <vt:variant>
        <vt:i4>138</vt:i4>
      </vt:variant>
      <vt:variant>
        <vt:i4>0</vt:i4>
      </vt:variant>
      <vt:variant>
        <vt:i4>5</vt:i4>
      </vt:variant>
      <vt:variant>
        <vt:lpwstr>https://www.thegef.org/council-meeting-documents/gef-c-66-15</vt:lpwstr>
      </vt:variant>
      <vt:variant>
        <vt:lpwstr/>
      </vt:variant>
      <vt:variant>
        <vt:i4>4522065</vt:i4>
      </vt:variant>
      <vt:variant>
        <vt:i4>135</vt:i4>
      </vt:variant>
      <vt:variant>
        <vt:i4>0</vt:i4>
      </vt:variant>
      <vt:variant>
        <vt:i4>5</vt:i4>
      </vt:variant>
      <vt:variant>
        <vt:lpwstr>https://www.gefieo.org/sites/default/files/documents/council-documents/c-66-e-02.pdf</vt:lpwstr>
      </vt:variant>
      <vt:variant>
        <vt:lpwstr/>
      </vt:variant>
      <vt:variant>
        <vt:i4>786454</vt:i4>
      </vt:variant>
      <vt:variant>
        <vt:i4>132</vt:i4>
      </vt:variant>
      <vt:variant>
        <vt:i4>0</vt:i4>
      </vt:variant>
      <vt:variant>
        <vt:i4>5</vt:i4>
      </vt:variant>
      <vt:variant>
        <vt:lpwstr>https://www.thegef.org/council-meeting-documents/gef-c-66-14</vt:lpwstr>
      </vt:variant>
      <vt:variant>
        <vt:lpwstr/>
      </vt:variant>
      <vt:variant>
        <vt:i4>2556028</vt:i4>
      </vt:variant>
      <vt:variant>
        <vt:i4>129</vt:i4>
      </vt:variant>
      <vt:variant>
        <vt:i4>0</vt:i4>
      </vt:variant>
      <vt:variant>
        <vt:i4>5</vt:i4>
      </vt:variant>
      <vt:variant>
        <vt:lpwstr>https://www.gefieo.org/sites/default/files/documents/council-documents/c-66-e-01-a.pdf</vt:lpwstr>
      </vt:variant>
      <vt:variant>
        <vt:lpwstr/>
      </vt:variant>
      <vt:variant>
        <vt:i4>786452</vt:i4>
      </vt:variant>
      <vt:variant>
        <vt:i4>126</vt:i4>
      </vt:variant>
      <vt:variant>
        <vt:i4>0</vt:i4>
      </vt:variant>
      <vt:variant>
        <vt:i4>5</vt:i4>
      </vt:variant>
      <vt:variant>
        <vt:lpwstr>https://www.thegef.org/council-meeting-documents/gef-c-64-14</vt:lpwstr>
      </vt:variant>
      <vt:variant>
        <vt:lpwstr/>
      </vt:variant>
      <vt:variant>
        <vt:i4>2949181</vt:i4>
      </vt:variant>
      <vt:variant>
        <vt:i4>123</vt:i4>
      </vt:variant>
      <vt:variant>
        <vt:i4>0</vt:i4>
      </vt:variant>
      <vt:variant>
        <vt:i4>5</vt:i4>
      </vt:variant>
      <vt:variant>
        <vt:lpwstr>https://www.gefieo.org/sites/default/files/documents/council-documents/c-64-e-02-rev-01.pdf</vt:lpwstr>
      </vt:variant>
      <vt:variant>
        <vt:lpwstr/>
      </vt:variant>
      <vt:variant>
        <vt:i4>3670135</vt:i4>
      </vt:variant>
      <vt:variant>
        <vt:i4>120</vt:i4>
      </vt:variant>
      <vt:variant>
        <vt:i4>0</vt:i4>
      </vt:variant>
      <vt:variant>
        <vt:i4>5</vt:i4>
      </vt:variant>
      <vt:variant>
        <vt:lpwstr>https://www.thegef.org/council-meeting-documents/gef-c-62-14-rev-01</vt:lpwstr>
      </vt:variant>
      <vt:variant>
        <vt:lpwstr/>
      </vt:variant>
      <vt:variant>
        <vt:i4>4522069</vt:i4>
      </vt:variant>
      <vt:variant>
        <vt:i4>117</vt:i4>
      </vt:variant>
      <vt:variant>
        <vt:i4>0</vt:i4>
      </vt:variant>
      <vt:variant>
        <vt:i4>5</vt:i4>
      </vt:variant>
      <vt:variant>
        <vt:lpwstr>https://www.gefieo.org/sites/default/files/documents/council-documents/c-62-e-02.pdf</vt:lpwstr>
      </vt:variant>
      <vt:variant>
        <vt:lpwstr/>
      </vt:variant>
      <vt:variant>
        <vt:i4>3997759</vt:i4>
      </vt:variant>
      <vt:variant>
        <vt:i4>114</vt:i4>
      </vt:variant>
      <vt:variant>
        <vt:i4>0</vt:i4>
      </vt:variant>
      <vt:variant>
        <vt:i4>5</vt:i4>
      </vt:variant>
      <vt:variant>
        <vt:lpwstr>https://www.thegef.org/sites/default/files/documents/2024-06/GEFScorecard_June2024_v2.pdf</vt:lpwstr>
      </vt:variant>
      <vt:variant>
        <vt:lpwstr/>
      </vt:variant>
      <vt:variant>
        <vt:i4>3997759</vt:i4>
      </vt:variant>
      <vt:variant>
        <vt:i4>111</vt:i4>
      </vt:variant>
      <vt:variant>
        <vt:i4>0</vt:i4>
      </vt:variant>
      <vt:variant>
        <vt:i4>5</vt:i4>
      </vt:variant>
      <vt:variant>
        <vt:lpwstr>https://www.thegef.org/sites/default/files/documents/2024-06/GEFScorecard_June2024_v2.pdf</vt:lpwstr>
      </vt:variant>
      <vt:variant>
        <vt:lpwstr/>
      </vt:variant>
      <vt:variant>
        <vt:i4>7929866</vt:i4>
      </vt:variant>
      <vt:variant>
        <vt:i4>108</vt:i4>
      </vt:variant>
      <vt:variant>
        <vt:i4>0</vt:i4>
      </vt:variant>
      <vt:variant>
        <vt:i4>5</vt:i4>
      </vt:variant>
      <vt:variant>
        <vt:lpwstr>https://www.thegef.org/sites/default/files/documents/2022-06/EN_GEF.C.62.Inf_.04_GEF_Corporate_Scorecard_June_2020.pdf</vt:lpwstr>
      </vt:variant>
      <vt:variant>
        <vt:lpwstr/>
      </vt:variant>
      <vt:variant>
        <vt:i4>7209048</vt:i4>
      </vt:variant>
      <vt:variant>
        <vt:i4>105</vt:i4>
      </vt:variant>
      <vt:variant>
        <vt:i4>0</vt:i4>
      </vt:variant>
      <vt:variant>
        <vt:i4>5</vt:i4>
      </vt:variant>
      <vt:variant>
        <vt:lpwstr>http://www.thegef.org/sites/default/files/council-meeting-documents/EN_GEF.C.54.11.Rev_.02_Results.pdf</vt:lpwstr>
      </vt:variant>
      <vt:variant>
        <vt:lpwstr/>
      </vt:variant>
      <vt:variant>
        <vt:i4>5439587</vt:i4>
      </vt:variant>
      <vt:variant>
        <vt:i4>102</vt:i4>
      </vt:variant>
      <vt:variant>
        <vt:i4>0</vt:i4>
      </vt:variant>
      <vt:variant>
        <vt:i4>5</vt:i4>
      </vt:variant>
      <vt:variant>
        <vt:lpwstr>https://www.thegef.org/sites/default/files/council-meeting-documents/EN_GEF.C.56.03.Rev_.01_Policy_on_Monitoring.pdf</vt:lpwstr>
      </vt:variant>
      <vt:variant>
        <vt:lpwstr/>
      </vt:variant>
      <vt:variant>
        <vt:i4>7208997</vt:i4>
      </vt:variant>
      <vt:variant>
        <vt:i4>99</vt:i4>
      </vt:variant>
      <vt:variant>
        <vt:i4>0</vt:i4>
      </vt:variant>
      <vt:variant>
        <vt:i4>5</vt:i4>
      </vt:variant>
      <vt:variant>
        <vt:lpwstr>https://www.thegef.org/council-meeting-documents/gef-gbff-02-03</vt:lpwstr>
      </vt:variant>
      <vt:variant>
        <vt:lpwstr/>
      </vt:variant>
      <vt:variant>
        <vt:i4>3866658</vt:i4>
      </vt:variant>
      <vt:variant>
        <vt:i4>96</vt:i4>
      </vt:variant>
      <vt:variant>
        <vt:i4>0</vt:i4>
      </vt:variant>
      <vt:variant>
        <vt:i4>5</vt:i4>
      </vt:variant>
      <vt:variant>
        <vt:lpwstr>https://www.thegef.org/council-meeting-documents/gef-gbff-01-03-rev-03</vt:lpwstr>
      </vt:variant>
      <vt:variant>
        <vt:lpwstr/>
      </vt:variant>
      <vt:variant>
        <vt:i4>6357094</vt:i4>
      </vt:variant>
      <vt:variant>
        <vt:i4>93</vt:i4>
      </vt:variant>
      <vt:variant>
        <vt:i4>0</vt:i4>
      </vt:variant>
      <vt:variant>
        <vt:i4>5</vt:i4>
      </vt:variant>
      <vt:variant>
        <vt:lpwstr>https://www.thegef.org/council-meeting-documents/gef-gbff-02-inf-01</vt:lpwstr>
      </vt:variant>
      <vt:variant>
        <vt:lpwstr/>
      </vt:variant>
      <vt:variant>
        <vt:i4>3801125</vt:i4>
      </vt:variant>
      <vt:variant>
        <vt:i4>90</vt:i4>
      </vt:variant>
      <vt:variant>
        <vt:i4>0</vt:i4>
      </vt:variant>
      <vt:variant>
        <vt:i4>5</vt:i4>
      </vt:variant>
      <vt:variant>
        <vt:lpwstr>https://www.thegef.org/council-meeting-documents/gef-gbff-01-04-rev-02</vt:lpwstr>
      </vt:variant>
      <vt:variant>
        <vt:lpwstr/>
      </vt:variant>
      <vt:variant>
        <vt:i4>6422582</vt:i4>
      </vt:variant>
      <vt:variant>
        <vt:i4>87</vt:i4>
      </vt:variant>
      <vt:variant>
        <vt:i4>0</vt:i4>
      </vt:variant>
      <vt:variant>
        <vt:i4>5</vt:i4>
      </vt:variant>
      <vt:variant>
        <vt:lpwstr>https://www.cbd.int/notifications/2023-062</vt:lpwstr>
      </vt:variant>
      <vt:variant>
        <vt:lpwstr/>
      </vt:variant>
      <vt:variant>
        <vt:i4>6684725</vt:i4>
      </vt:variant>
      <vt:variant>
        <vt:i4>84</vt:i4>
      </vt:variant>
      <vt:variant>
        <vt:i4>0</vt:i4>
      </vt:variant>
      <vt:variant>
        <vt:i4>5</vt:i4>
      </vt:variant>
      <vt:variant>
        <vt:lpwstr>https://www.cbd.int/notifications/2023-056</vt:lpwstr>
      </vt:variant>
      <vt:variant>
        <vt:lpwstr/>
      </vt:variant>
      <vt:variant>
        <vt:i4>6684725</vt:i4>
      </vt:variant>
      <vt:variant>
        <vt:i4>81</vt:i4>
      </vt:variant>
      <vt:variant>
        <vt:i4>0</vt:i4>
      </vt:variant>
      <vt:variant>
        <vt:i4>5</vt:i4>
      </vt:variant>
      <vt:variant>
        <vt:lpwstr>https://www.cbd.int/notifications/2023-056</vt:lpwstr>
      </vt:variant>
      <vt:variant>
        <vt:lpwstr/>
      </vt:variant>
      <vt:variant>
        <vt:i4>6357044</vt:i4>
      </vt:variant>
      <vt:variant>
        <vt:i4>78</vt:i4>
      </vt:variant>
      <vt:variant>
        <vt:i4>0</vt:i4>
      </vt:variant>
      <vt:variant>
        <vt:i4>5</vt:i4>
      </vt:variant>
      <vt:variant>
        <vt:lpwstr>https://www.cbd.int/notifications/2023-041</vt:lpwstr>
      </vt:variant>
      <vt:variant>
        <vt:lpwstr/>
      </vt:variant>
      <vt:variant>
        <vt:i4>6357044</vt:i4>
      </vt:variant>
      <vt:variant>
        <vt:i4>75</vt:i4>
      </vt:variant>
      <vt:variant>
        <vt:i4>0</vt:i4>
      </vt:variant>
      <vt:variant>
        <vt:i4>5</vt:i4>
      </vt:variant>
      <vt:variant>
        <vt:lpwstr>https://www.cbd.int/notifications/2023-041</vt:lpwstr>
      </vt:variant>
      <vt:variant>
        <vt:lpwstr/>
      </vt:variant>
      <vt:variant>
        <vt:i4>7208997</vt:i4>
      </vt:variant>
      <vt:variant>
        <vt:i4>72</vt:i4>
      </vt:variant>
      <vt:variant>
        <vt:i4>0</vt:i4>
      </vt:variant>
      <vt:variant>
        <vt:i4>5</vt:i4>
      </vt:variant>
      <vt:variant>
        <vt:lpwstr>https://www.thegef.org/council-meeting-documents/gef-gbff-02-04</vt:lpwstr>
      </vt:variant>
      <vt:variant>
        <vt:lpwstr/>
      </vt:variant>
      <vt:variant>
        <vt:i4>8257640</vt:i4>
      </vt:variant>
      <vt:variant>
        <vt:i4>69</vt:i4>
      </vt:variant>
      <vt:variant>
        <vt:i4>0</vt:i4>
      </vt:variant>
      <vt:variant>
        <vt:i4>5</vt:i4>
      </vt:variant>
      <vt:variant>
        <vt:lpwstr>https://www.thegef.org/sites/default/files/documents/2023-09/EN_GEF.C.64.06.Rev_.02_GBF_Fund_Programming_Directions.pdf</vt:lpwstr>
      </vt:variant>
      <vt:variant>
        <vt:lpwstr/>
      </vt:variant>
      <vt:variant>
        <vt:i4>4325487</vt:i4>
      </vt:variant>
      <vt:variant>
        <vt:i4>66</vt:i4>
      </vt:variant>
      <vt:variant>
        <vt:i4>0</vt:i4>
      </vt:variant>
      <vt:variant>
        <vt:i4>5</vt:i4>
      </vt:variant>
      <vt:variant>
        <vt:lpwstr>https://www.thegef.org/sites/default/files/documents/2023-07/EN_GEF.C.64.05.REV01_Global Biodiversity_Framework_Fund_Establishment final checked.pdf</vt:lpwstr>
      </vt:variant>
      <vt:variant>
        <vt:lpwstr/>
      </vt:variant>
      <vt:variant>
        <vt:i4>655384</vt:i4>
      </vt:variant>
      <vt:variant>
        <vt:i4>63</vt:i4>
      </vt:variant>
      <vt:variant>
        <vt:i4>0</vt:i4>
      </vt:variant>
      <vt:variant>
        <vt:i4>5</vt:i4>
      </vt:variant>
      <vt:variant>
        <vt:lpwstr>https://www.thegef.org/sites/default/files/documents/2024-02/EN_GEF.C.66.08.Rev_.03_Streamlining_GEF_Project_Cycle.pdf</vt:lpwstr>
      </vt:variant>
      <vt:variant>
        <vt:lpwstr/>
      </vt:variant>
      <vt:variant>
        <vt:i4>4915271</vt:i4>
      </vt:variant>
      <vt:variant>
        <vt:i4>60</vt:i4>
      </vt:variant>
      <vt:variant>
        <vt:i4>0</vt:i4>
      </vt:variant>
      <vt:variant>
        <vt:i4>5</vt:i4>
      </vt:variant>
      <vt:variant>
        <vt:lpwstr>https://www.ebrd.com/documents/environment/mdb-common-principles-to-nature-positive-finance-tracking.pdf</vt:lpwstr>
      </vt:variant>
      <vt:variant>
        <vt:lpwstr/>
      </vt:variant>
      <vt:variant>
        <vt:i4>1900550</vt:i4>
      </vt:variant>
      <vt:variant>
        <vt:i4>57</vt:i4>
      </vt:variant>
      <vt:variant>
        <vt:i4>0</vt:i4>
      </vt:variant>
      <vt:variant>
        <vt:i4>5</vt:i4>
      </vt:variant>
      <vt:variant>
        <vt:lpwstr>https://ukcop26.org/mdb-joint-statement/</vt:lpwstr>
      </vt:variant>
      <vt:variant>
        <vt:lpwstr/>
      </vt:variant>
      <vt:variant>
        <vt:i4>4718598</vt:i4>
      </vt:variant>
      <vt:variant>
        <vt:i4>54</vt:i4>
      </vt:variant>
      <vt:variant>
        <vt:i4>0</vt:i4>
      </vt:variant>
      <vt:variant>
        <vt:i4>5</vt:i4>
      </vt:variant>
      <vt:variant>
        <vt:lpwstr>https://www.thegef.org/sites/default/files/documents/gef_environmental_social_safeguards_policy.pdf</vt:lpwstr>
      </vt:variant>
      <vt:variant>
        <vt:lpwstr/>
      </vt:variant>
      <vt:variant>
        <vt:i4>5636111</vt:i4>
      </vt:variant>
      <vt:variant>
        <vt:i4>51</vt:i4>
      </vt:variant>
      <vt:variant>
        <vt:i4>0</vt:i4>
      </vt:variant>
      <vt:variant>
        <vt:i4>5</vt:i4>
      </vt:variant>
      <vt:variant>
        <vt:lpwstr>https://www.thegef.org/sites/default/files/documents/Gender_Equality_Policy.pdf</vt:lpwstr>
      </vt:variant>
      <vt:variant>
        <vt:lpwstr/>
      </vt:variant>
      <vt:variant>
        <vt:i4>3866658</vt:i4>
      </vt:variant>
      <vt:variant>
        <vt:i4>48</vt:i4>
      </vt:variant>
      <vt:variant>
        <vt:i4>0</vt:i4>
      </vt:variant>
      <vt:variant>
        <vt:i4>5</vt:i4>
      </vt:variant>
      <vt:variant>
        <vt:lpwstr>https://www.thegef.org/council-meeting-documents/gef-gbff-01-03-rev-03</vt:lpwstr>
      </vt:variant>
      <vt:variant>
        <vt:lpwstr/>
      </vt:variant>
      <vt:variant>
        <vt:i4>8257640</vt:i4>
      </vt:variant>
      <vt:variant>
        <vt:i4>45</vt:i4>
      </vt:variant>
      <vt:variant>
        <vt:i4>0</vt:i4>
      </vt:variant>
      <vt:variant>
        <vt:i4>5</vt:i4>
      </vt:variant>
      <vt:variant>
        <vt:lpwstr>https://www.thegef.org/sites/default/files/documents/2023-09/EN_GEF.C.64.06.Rev_.02_GBF_Fund_Programming_Directions.pdf</vt:lpwstr>
      </vt:variant>
      <vt:variant>
        <vt:lpwstr/>
      </vt:variant>
      <vt:variant>
        <vt:i4>4325487</vt:i4>
      </vt:variant>
      <vt:variant>
        <vt:i4>42</vt:i4>
      </vt:variant>
      <vt:variant>
        <vt:i4>0</vt:i4>
      </vt:variant>
      <vt:variant>
        <vt:i4>5</vt:i4>
      </vt:variant>
      <vt:variant>
        <vt:lpwstr>https://www.thegef.org/sites/default/files/documents/2023-07/EN_GEF.C.64.05.REV01_Global Biodiversity_Framework_Fund_Establishment final checked.pdf</vt:lpwstr>
      </vt:variant>
      <vt:variant>
        <vt:lpwstr/>
      </vt:variant>
      <vt:variant>
        <vt:i4>6422582</vt:i4>
      </vt:variant>
      <vt:variant>
        <vt:i4>39</vt:i4>
      </vt:variant>
      <vt:variant>
        <vt:i4>0</vt:i4>
      </vt:variant>
      <vt:variant>
        <vt:i4>5</vt:i4>
      </vt:variant>
      <vt:variant>
        <vt:lpwstr>https://www.cbd.int/notifications/2023-062</vt:lpwstr>
      </vt:variant>
      <vt:variant>
        <vt:lpwstr/>
      </vt:variant>
      <vt:variant>
        <vt:i4>6684725</vt:i4>
      </vt:variant>
      <vt:variant>
        <vt:i4>36</vt:i4>
      </vt:variant>
      <vt:variant>
        <vt:i4>0</vt:i4>
      </vt:variant>
      <vt:variant>
        <vt:i4>5</vt:i4>
      </vt:variant>
      <vt:variant>
        <vt:lpwstr>https://www.cbd.int/notifications/2023-056</vt:lpwstr>
      </vt:variant>
      <vt:variant>
        <vt:lpwstr/>
      </vt:variant>
      <vt:variant>
        <vt:i4>6684725</vt:i4>
      </vt:variant>
      <vt:variant>
        <vt:i4>33</vt:i4>
      </vt:variant>
      <vt:variant>
        <vt:i4>0</vt:i4>
      </vt:variant>
      <vt:variant>
        <vt:i4>5</vt:i4>
      </vt:variant>
      <vt:variant>
        <vt:lpwstr>https://www.cbd.int/notifications/2023-056</vt:lpwstr>
      </vt:variant>
      <vt:variant>
        <vt:lpwstr/>
      </vt:variant>
      <vt:variant>
        <vt:i4>6357044</vt:i4>
      </vt:variant>
      <vt:variant>
        <vt:i4>30</vt:i4>
      </vt:variant>
      <vt:variant>
        <vt:i4>0</vt:i4>
      </vt:variant>
      <vt:variant>
        <vt:i4>5</vt:i4>
      </vt:variant>
      <vt:variant>
        <vt:lpwstr>https://www.cbd.int/notifications/2023-041</vt:lpwstr>
      </vt:variant>
      <vt:variant>
        <vt:lpwstr/>
      </vt:variant>
      <vt:variant>
        <vt:i4>6357044</vt:i4>
      </vt:variant>
      <vt:variant>
        <vt:i4>27</vt:i4>
      </vt:variant>
      <vt:variant>
        <vt:i4>0</vt:i4>
      </vt:variant>
      <vt:variant>
        <vt:i4>5</vt:i4>
      </vt:variant>
      <vt:variant>
        <vt:lpwstr>https://www.cbd.int/notifications/2023-041</vt:lpwstr>
      </vt:variant>
      <vt:variant>
        <vt:lpwstr/>
      </vt:variant>
      <vt:variant>
        <vt:i4>655384</vt:i4>
      </vt:variant>
      <vt:variant>
        <vt:i4>24</vt:i4>
      </vt:variant>
      <vt:variant>
        <vt:i4>0</vt:i4>
      </vt:variant>
      <vt:variant>
        <vt:i4>5</vt:i4>
      </vt:variant>
      <vt:variant>
        <vt:lpwstr>https://www.thegef.org/sites/default/files/documents/2024-02/EN_GEF.C.66.08.Rev_.03_Streamlining_GEF_Project_Cycle.pdf</vt:lpwstr>
      </vt:variant>
      <vt:variant>
        <vt:lpwstr/>
      </vt:variant>
      <vt:variant>
        <vt:i4>720970</vt:i4>
      </vt:variant>
      <vt:variant>
        <vt:i4>21</vt:i4>
      </vt:variant>
      <vt:variant>
        <vt:i4>0</vt:i4>
      </vt:variant>
      <vt:variant>
        <vt:i4>5</vt:i4>
      </vt:variant>
      <vt:variant>
        <vt:lpwstr>https://www.cbd.int/doc/decisions/cop-15/cop-15-dec-15-en.pdf</vt:lpwstr>
      </vt:variant>
      <vt:variant>
        <vt:lpwstr/>
      </vt:variant>
      <vt:variant>
        <vt:i4>5963790</vt:i4>
      </vt:variant>
      <vt:variant>
        <vt:i4>18</vt:i4>
      </vt:variant>
      <vt:variant>
        <vt:i4>0</vt:i4>
      </vt:variant>
      <vt:variant>
        <vt:i4>5</vt:i4>
      </vt:variant>
      <vt:variant>
        <vt:lpwstr>https://sgp.undp.org/innovation-library/item/2458-gef-small-grants-programme-annual-monitoring-report-2022---2023-(summary-infographic).html</vt:lpwstr>
      </vt:variant>
      <vt:variant>
        <vt:lpwstr/>
      </vt:variant>
      <vt:variant>
        <vt:i4>983063</vt:i4>
      </vt:variant>
      <vt:variant>
        <vt:i4>15</vt:i4>
      </vt:variant>
      <vt:variant>
        <vt:i4>0</vt:i4>
      </vt:variant>
      <vt:variant>
        <vt:i4>5</vt:i4>
      </vt:variant>
      <vt:variant>
        <vt:lpwstr>https://www.thegef.org/council-meeting-documents/gef-c-66-07</vt:lpwstr>
      </vt:variant>
      <vt:variant>
        <vt:lpwstr/>
      </vt:variant>
      <vt:variant>
        <vt:i4>7995448</vt:i4>
      </vt:variant>
      <vt:variant>
        <vt:i4>12</vt:i4>
      </vt:variant>
      <vt:variant>
        <vt:i4>0</vt:i4>
      </vt:variant>
      <vt:variant>
        <vt:i4>5</vt:i4>
      </vt:variant>
      <vt:variant>
        <vt:lpwstr>https://www.cbd.int/gbf/targets</vt:lpwstr>
      </vt:variant>
      <vt:variant>
        <vt:lpwstr/>
      </vt:variant>
      <vt:variant>
        <vt:i4>8257640</vt:i4>
      </vt:variant>
      <vt:variant>
        <vt:i4>6</vt:i4>
      </vt:variant>
      <vt:variant>
        <vt:i4>0</vt:i4>
      </vt:variant>
      <vt:variant>
        <vt:i4>5</vt:i4>
      </vt:variant>
      <vt:variant>
        <vt:lpwstr>https://www.thegef.org/sites/default/files/documents/2023-09/EN_GEF.C.64.06.Rev_.02_GBF_Fund_Programming_Directions.pdf</vt:lpwstr>
      </vt:variant>
      <vt:variant>
        <vt:lpwstr/>
      </vt:variant>
      <vt:variant>
        <vt:i4>4325487</vt:i4>
      </vt:variant>
      <vt:variant>
        <vt:i4>3</vt:i4>
      </vt:variant>
      <vt:variant>
        <vt:i4>0</vt:i4>
      </vt:variant>
      <vt:variant>
        <vt:i4>5</vt:i4>
      </vt:variant>
      <vt:variant>
        <vt:lpwstr>https://www.thegef.org/sites/default/files/documents/2023-07/EN_GEF.C.64.05.REV01_Global Biodiversity_Framework_Fund_Establishment final checked.pdf</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Informe sobre el sexto examen de la eficacia del mecanismo financiero</dc:title>
  <dc:subject>CBD/COP/15/8</dc:subject>
  <dc:creator>Mark Thomas Zimsky</dc:creator>
  <cp:keywords>Subsidiary Body on Implementation, third meeting</cp:keywords>
  <dc:description/>
  <cp:lastModifiedBy>Rosario </cp:lastModifiedBy>
  <cp:revision>107</cp:revision>
  <cp:lastPrinted>2024-09-19T20:31:00Z</cp:lastPrinted>
  <dcterms:created xsi:type="dcterms:W3CDTF">2024-09-24T18:40:00Z</dcterms:created>
  <dcterms:modified xsi:type="dcterms:W3CDTF">2024-09-30T11:49:00Z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0x01010069BFACF6D92CD24AA50050CE23F68F74</vt:lpwstr>
  </property>
  <property fmtid="{D5CDD505-2E9C-101B-9397-08002B2CF9AE}" pid="3" name="MediaServiceImageTags">
    <vt:lpwstr/>
  </property>
  <property fmtid="{D5CDD505-2E9C-101B-9397-08002B2CF9AE}" pid="4" name="CBD-Category">
    <vt:lpwstr>CBD</vt:lpwstr>
  </property>
  <property fmtid="{D5CDD505-2E9C-101B-9397-08002B2CF9AE}" pid="5" name="CBD-Language">
    <vt:lpwstr>EN</vt:lpwstr>
  </property>
  <property fmtid="{D5CDD505-2E9C-101B-9397-08002B2CF9AE}" pid="6" name="CBD-Generator">
    <vt:lpwstr>0</vt:lpwstr>
  </property>
</Properties>
</file>