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6C8A2" w14:textId="77777777" w:rsidR="008A1499" w:rsidRDefault="008A1499" w:rsidP="00D25B1F">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975"/>
        <w:gridCol w:w="1434"/>
        <w:gridCol w:w="7548"/>
      </w:tblGrid>
      <w:tr w:rsidR="000A4B43" w:rsidRPr="000A4B43" w14:paraId="73E79A48" w14:textId="77777777" w:rsidTr="007648BF">
        <w:trPr>
          <w:trHeight w:val="769"/>
        </w:trPr>
        <w:tc>
          <w:tcPr>
            <w:tcW w:w="975" w:type="dxa"/>
            <w:tcBorders>
              <w:top w:val="nil"/>
              <w:left w:val="nil"/>
              <w:bottom w:val="nil"/>
              <w:right w:val="nil"/>
            </w:tcBorders>
            <w:tcMar>
              <w:top w:w="80" w:type="dxa"/>
              <w:left w:w="80" w:type="dxa"/>
              <w:bottom w:w="80" w:type="dxa"/>
              <w:right w:w="80" w:type="dxa"/>
            </w:tcMar>
            <w:vAlign w:val="bottom"/>
          </w:tcPr>
          <w:p w14:paraId="481BB80E" w14:textId="77777777" w:rsidR="000A4B43" w:rsidRPr="000A4B43" w:rsidRDefault="00F565B8" w:rsidP="000A4B43">
            <w:pPr>
              <w:spacing w:before="40"/>
              <w:jc w:val="left"/>
              <w:rPr>
                <w:sz w:val="4"/>
              </w:rPr>
            </w:pPr>
            <w:r w:rsidRPr="00F565B8">
              <w:rPr>
                <w:noProof/>
                <w:sz w:val="24"/>
              </w:rPr>
              <w:drawing>
                <wp:inline distT="0" distB="0" distL="0" distR="0" wp14:anchorId="177FB9CE" wp14:editId="1A07D1E1">
                  <wp:extent cx="449580" cy="381635"/>
                  <wp:effectExtent l="0" t="0" r="0" b="0"/>
                  <wp:docPr id="1" name="officeArt object"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9580" cy="381635"/>
                          </a:xfrm>
                          <a:prstGeom prst="rect">
                            <a:avLst/>
                          </a:prstGeom>
                          <a:noFill/>
                          <a:ln>
                            <a:noFill/>
                          </a:ln>
                        </pic:spPr>
                      </pic:pic>
                    </a:graphicData>
                  </a:graphic>
                </wp:inline>
              </w:drawing>
            </w:r>
            <w:r w:rsidR="000A4B43" w:rsidRPr="000A4B43">
              <w:rPr>
                <w:sz w:val="4"/>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6A70DCAE" w14:textId="77777777" w:rsidR="000A4B43" w:rsidRPr="000A4B43" w:rsidRDefault="00000000" w:rsidP="000A4B43">
            <w:pPr>
              <w:spacing w:before="60"/>
              <w:rPr>
                <w:rFonts w:eastAsia="SimHei"/>
                <w:sz w:val="20"/>
                <w:szCs w:val="20"/>
                <w:lang w:eastAsia="zh-CN"/>
              </w:rPr>
            </w:pPr>
            <w:r>
              <w:rPr>
                <w:noProof/>
              </w:rPr>
              <w:drawing>
                <wp:anchor distT="0" distB="0" distL="114300" distR="114300" simplePos="0" relativeHeight="251658240" behindDoc="0" locked="0" layoutInCell="1" allowOverlap="1" wp14:anchorId="390B6780" wp14:editId="058E6D46">
                  <wp:simplePos x="0" y="0"/>
                  <wp:positionH relativeFrom="column">
                    <wp:posOffset>407035</wp:posOffset>
                  </wp:positionH>
                  <wp:positionV relativeFrom="paragraph">
                    <wp:posOffset>22225</wp:posOffset>
                  </wp:positionV>
                  <wp:extent cx="180975" cy="191770"/>
                  <wp:effectExtent l="0" t="0" r="0" b="0"/>
                  <wp:wrapNone/>
                  <wp:docPr id="1490114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0A4B43" w:rsidRPr="000A4B43">
              <w:rPr>
                <w:rFonts w:eastAsia="SimHei" w:hint="eastAsia"/>
                <w:sz w:val="20"/>
                <w:szCs w:val="20"/>
                <w:lang w:eastAsia="zh-CN"/>
              </w:rPr>
              <w:t>联合国</w:t>
            </w:r>
          </w:p>
          <w:p w14:paraId="06CEF920" w14:textId="77777777" w:rsidR="000A4B43" w:rsidRPr="000A4B43" w:rsidRDefault="000A4B43" w:rsidP="000A4B43">
            <w:pPr>
              <w:spacing w:before="40"/>
              <w:jc w:val="left"/>
              <w:rPr>
                <w:sz w:val="4"/>
              </w:rPr>
            </w:pPr>
            <w:r w:rsidRPr="000A4B43">
              <w:rPr>
                <w:rFonts w:eastAsia="SimHei" w:hint="eastAsia"/>
                <w:sz w:val="20"/>
                <w:szCs w:val="20"/>
                <w:lang w:eastAsia="zh-CN"/>
              </w:rPr>
              <w:t>环境规划署</w:t>
            </w:r>
          </w:p>
        </w:tc>
        <w:tc>
          <w:tcPr>
            <w:tcW w:w="7548" w:type="dxa"/>
            <w:tcBorders>
              <w:top w:val="nil"/>
              <w:left w:val="nil"/>
              <w:bottom w:val="nil"/>
              <w:right w:val="nil"/>
            </w:tcBorders>
            <w:tcMar>
              <w:top w:w="80" w:type="dxa"/>
              <w:left w:w="2099" w:type="dxa"/>
              <w:bottom w:w="80" w:type="dxa"/>
              <w:right w:w="80" w:type="dxa"/>
            </w:tcMar>
            <w:vAlign w:val="bottom"/>
          </w:tcPr>
          <w:p w14:paraId="4D37E20B" w14:textId="06089670" w:rsidR="000A4B43" w:rsidRPr="000A4B43" w:rsidRDefault="000A4B43" w:rsidP="000A4B43">
            <w:pPr>
              <w:tabs>
                <w:tab w:val="left" w:pos="1871"/>
                <w:tab w:val="left" w:pos="2495"/>
                <w:tab w:val="right" w:pos="2920"/>
                <w:tab w:val="left" w:pos="3119"/>
                <w:tab w:val="left" w:pos="3742"/>
                <w:tab w:val="left" w:pos="4366"/>
                <w:tab w:val="left" w:pos="4990"/>
              </w:tabs>
              <w:spacing w:after="120"/>
              <w:ind w:left="2019"/>
              <w:jc w:val="right"/>
              <w:rPr>
                <w:sz w:val="20"/>
                <w:szCs w:val="20"/>
                <w:lang w:eastAsia="zh-CN"/>
              </w:rPr>
            </w:pPr>
            <w:r w:rsidRPr="000A4B43">
              <w:rPr>
                <w:sz w:val="40"/>
                <w:szCs w:val="40"/>
              </w:rPr>
              <w:t>CBD</w:t>
            </w:r>
            <w:r w:rsidRPr="009A7612">
              <w:rPr>
                <w:sz w:val="24"/>
                <w:szCs w:val="24"/>
              </w:rPr>
              <w:t>/SBI/6/</w:t>
            </w:r>
            <w:r w:rsidR="009A7612">
              <w:rPr>
                <w:rFonts w:hint="eastAsia"/>
                <w:sz w:val="24"/>
                <w:szCs w:val="24"/>
                <w:lang w:eastAsia="zh-CN"/>
              </w:rPr>
              <w:t>L</w:t>
            </w:r>
            <w:r w:rsidR="009715A2" w:rsidRPr="009A7612">
              <w:rPr>
                <w:sz w:val="24"/>
                <w:szCs w:val="24"/>
                <w:lang w:eastAsia="zh-CN"/>
              </w:rPr>
              <w:t>.</w:t>
            </w:r>
            <w:r w:rsidR="009A7612">
              <w:rPr>
                <w:rFonts w:hint="eastAsia"/>
                <w:sz w:val="24"/>
                <w:szCs w:val="24"/>
                <w:lang w:eastAsia="zh-CN"/>
              </w:rPr>
              <w:t>6</w:t>
            </w:r>
          </w:p>
        </w:tc>
      </w:tr>
    </w:tbl>
    <w:p w14:paraId="1716B7A4" w14:textId="77777777" w:rsidR="000A4B43" w:rsidRPr="000A4B43" w:rsidRDefault="000A4B43" w:rsidP="000A4B43">
      <w:pPr>
        <w:tabs>
          <w:tab w:val="clear" w:pos="567"/>
          <w:tab w:val="clear" w:pos="1134"/>
          <w:tab w:val="clear" w:pos="1701"/>
          <w:tab w:val="clear" w:pos="2268"/>
        </w:tabs>
        <w:jc w:val="left"/>
        <w:rPr>
          <w:sz w:val="2"/>
        </w:rPr>
      </w:pPr>
    </w:p>
    <w:p w14:paraId="5D8FCF3D" w14:textId="77777777" w:rsidR="000A4B43" w:rsidRPr="000A4B43" w:rsidRDefault="000A4B43" w:rsidP="000A4B43">
      <w:pPr>
        <w:tabs>
          <w:tab w:val="clear" w:pos="567"/>
          <w:tab w:val="clear" w:pos="1134"/>
          <w:tab w:val="clear" w:pos="1701"/>
          <w:tab w:val="clear" w:pos="2268"/>
        </w:tabs>
        <w:jc w:val="left"/>
        <w:rPr>
          <w:sz w:val="2"/>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6838"/>
        <w:gridCol w:w="3119"/>
      </w:tblGrid>
      <w:tr w:rsidR="000A4B43" w:rsidRPr="000A4B43" w14:paraId="375EC701" w14:textId="77777777" w:rsidTr="007648BF">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710E4DFE" w14:textId="77777777" w:rsidR="000A4B43" w:rsidRPr="000A4B43" w:rsidRDefault="000A4B43" w:rsidP="000A4B43">
            <w:pPr>
              <w:spacing w:before="120"/>
              <w:contextualSpacing/>
              <w:jc w:val="left"/>
              <w:rPr>
                <w:sz w:val="8"/>
              </w:rPr>
            </w:pPr>
            <w:r w:rsidRPr="000A4B43">
              <w:rPr>
                <w:sz w:val="8"/>
              </w:rPr>
              <w:t xml:space="preserve"> </w:t>
            </w:r>
            <w:r w:rsidR="00F565B8" w:rsidRPr="00F565B8">
              <w:rPr>
                <w:b/>
                <w:noProof/>
                <w:sz w:val="24"/>
                <w:szCs w:val="24"/>
                <w:lang w:val="en-US" w:eastAsia="zh-CN"/>
              </w:rPr>
              <w:drawing>
                <wp:inline distT="0" distB="0" distL="0" distR="0" wp14:anchorId="4402CCC1" wp14:editId="3A75D60A">
                  <wp:extent cx="2880360" cy="106616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0360" cy="1066165"/>
                          </a:xfrm>
                          <a:prstGeom prst="rect">
                            <a:avLst/>
                          </a:prstGeom>
                          <a:noFill/>
                          <a:ln>
                            <a:noFill/>
                          </a:ln>
                        </pic:spPr>
                      </pic:pic>
                    </a:graphicData>
                  </a:graphic>
                </wp:inline>
              </w:drawing>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4CD30C9F" w14:textId="77777777" w:rsidR="000A4B43" w:rsidRPr="000A4B43" w:rsidRDefault="000A4B43" w:rsidP="000A4B43">
            <w:pPr>
              <w:jc w:val="left"/>
              <w:rPr>
                <w:sz w:val="24"/>
              </w:rPr>
            </w:pPr>
            <w:r w:rsidRPr="000A4B43">
              <w:rPr>
                <w:sz w:val="24"/>
              </w:rPr>
              <w:t>Distr.: Limited</w:t>
            </w:r>
          </w:p>
          <w:p w14:paraId="579819A2" w14:textId="4CD32502" w:rsidR="000A4B43" w:rsidRPr="000A4B43" w:rsidRDefault="000A4B43" w:rsidP="000A4B43">
            <w:pPr>
              <w:jc w:val="left"/>
              <w:rPr>
                <w:sz w:val="24"/>
              </w:rPr>
            </w:pPr>
            <w:r w:rsidRPr="000A4B43">
              <w:rPr>
                <w:sz w:val="24"/>
              </w:rPr>
              <w:t>1</w:t>
            </w:r>
            <w:r w:rsidR="009A7612">
              <w:rPr>
                <w:rFonts w:hint="eastAsia"/>
                <w:sz w:val="24"/>
                <w:lang w:eastAsia="zh-CN"/>
              </w:rPr>
              <w:t>9</w:t>
            </w:r>
            <w:r w:rsidRPr="000A4B43">
              <w:rPr>
                <w:sz w:val="24"/>
              </w:rPr>
              <w:t xml:space="preserve"> February 2026</w:t>
            </w:r>
          </w:p>
          <w:p w14:paraId="2925C724" w14:textId="77777777" w:rsidR="009A7612" w:rsidRDefault="009A7612" w:rsidP="000A4B43">
            <w:pPr>
              <w:jc w:val="left"/>
              <w:rPr>
                <w:sz w:val="24"/>
                <w:lang w:eastAsia="zh-CN"/>
              </w:rPr>
            </w:pPr>
          </w:p>
          <w:p w14:paraId="011C4EF2" w14:textId="229E2CB4" w:rsidR="000A4B43" w:rsidRPr="000A4B43" w:rsidRDefault="000A4B43" w:rsidP="000A4B43">
            <w:pPr>
              <w:jc w:val="left"/>
              <w:rPr>
                <w:sz w:val="24"/>
                <w:lang w:eastAsia="zh-CN"/>
              </w:rPr>
            </w:pPr>
            <w:r w:rsidRPr="000A4B43">
              <w:rPr>
                <w:sz w:val="24"/>
                <w:lang w:eastAsia="zh-CN"/>
              </w:rPr>
              <w:t>Chinese</w:t>
            </w:r>
          </w:p>
          <w:p w14:paraId="360D4D64" w14:textId="77777777" w:rsidR="000A4B43" w:rsidRPr="000A4B43" w:rsidRDefault="000A4B43" w:rsidP="000A4B43">
            <w:pPr>
              <w:jc w:val="left"/>
              <w:rPr>
                <w:sz w:val="24"/>
              </w:rPr>
            </w:pPr>
            <w:r w:rsidRPr="000A4B43">
              <w:rPr>
                <w:sz w:val="24"/>
              </w:rPr>
              <w:t xml:space="preserve">Original: English </w:t>
            </w:r>
          </w:p>
        </w:tc>
      </w:tr>
    </w:tbl>
    <w:p w14:paraId="4A052FDA" w14:textId="77777777" w:rsidR="000A4B43" w:rsidRPr="000A4B43" w:rsidRDefault="000A4B43" w:rsidP="000A4B43">
      <w:pPr>
        <w:widowControl w:val="0"/>
        <w:tabs>
          <w:tab w:val="clear" w:pos="567"/>
          <w:tab w:val="clear" w:pos="1134"/>
          <w:tab w:val="clear" w:pos="1701"/>
          <w:tab w:val="clear" w:pos="2268"/>
        </w:tabs>
        <w:jc w:val="left"/>
        <w:rPr>
          <w:sz w:val="2"/>
        </w:rPr>
      </w:pPr>
    </w:p>
    <w:p w14:paraId="4409AAC4" w14:textId="77777777" w:rsidR="000A4B43" w:rsidRPr="000A4B43" w:rsidRDefault="000A4B43" w:rsidP="000A4B43">
      <w:pPr>
        <w:tabs>
          <w:tab w:val="clear" w:pos="567"/>
          <w:tab w:val="clear" w:pos="1134"/>
          <w:tab w:val="clear" w:pos="1701"/>
          <w:tab w:val="clear" w:pos="2268"/>
        </w:tabs>
        <w:jc w:val="left"/>
        <w:rPr>
          <w:sz w:val="2"/>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5704"/>
        <w:gridCol w:w="4253"/>
      </w:tblGrid>
      <w:tr w:rsidR="000A4B43" w:rsidRPr="000A4B43" w14:paraId="27734BEC" w14:textId="77777777" w:rsidTr="007648BF">
        <w:trPr>
          <w:trHeight w:val="1731"/>
        </w:trPr>
        <w:tc>
          <w:tcPr>
            <w:tcW w:w="5704" w:type="dxa"/>
            <w:tcBorders>
              <w:top w:val="nil"/>
              <w:left w:val="nil"/>
              <w:bottom w:val="nil"/>
              <w:right w:val="nil"/>
            </w:tcBorders>
          </w:tcPr>
          <w:p w14:paraId="41E9029C" w14:textId="77777777" w:rsidR="000A4B43" w:rsidRPr="000A4B43" w:rsidRDefault="000A4B43" w:rsidP="000A4B43">
            <w:pPr>
              <w:jc w:val="left"/>
              <w:rPr>
                <w:b/>
                <w:bCs/>
                <w:sz w:val="24"/>
                <w:lang w:val="en-US" w:eastAsia="zh-CN"/>
              </w:rPr>
            </w:pPr>
            <w:r w:rsidRPr="000A4B43">
              <w:rPr>
                <w:rFonts w:hint="eastAsia"/>
                <w:b/>
                <w:bCs/>
                <w:sz w:val="24"/>
                <w:lang w:val="en-CA" w:eastAsia="zh-CN"/>
              </w:rPr>
              <w:t>执行问题附属机构</w:t>
            </w:r>
          </w:p>
          <w:p w14:paraId="2315F99C" w14:textId="77777777" w:rsidR="000A4B43" w:rsidRPr="000A4B43" w:rsidRDefault="000A4B43" w:rsidP="000A4B43">
            <w:pPr>
              <w:jc w:val="left"/>
              <w:rPr>
                <w:b/>
                <w:sz w:val="24"/>
                <w:lang w:eastAsia="zh-CN"/>
              </w:rPr>
            </w:pPr>
            <w:r w:rsidRPr="000A4B43">
              <w:rPr>
                <w:rFonts w:hint="eastAsia"/>
                <w:b/>
                <w:bCs/>
                <w:sz w:val="24"/>
                <w:lang w:eastAsia="zh-CN"/>
              </w:rPr>
              <w:t>第六次会议</w:t>
            </w:r>
          </w:p>
          <w:p w14:paraId="1D158E78" w14:textId="77777777" w:rsidR="000A4B43" w:rsidRPr="000A4B43" w:rsidRDefault="000A4B43" w:rsidP="000A4B43">
            <w:pPr>
              <w:jc w:val="left"/>
              <w:rPr>
                <w:sz w:val="24"/>
                <w:lang w:eastAsia="zh-CN"/>
              </w:rPr>
            </w:pPr>
            <w:r w:rsidRPr="000A4B43">
              <w:rPr>
                <w:sz w:val="24"/>
                <w:lang w:val="zh-CN" w:eastAsia="zh-CN"/>
              </w:rPr>
              <w:t>2026</w:t>
            </w:r>
            <w:r w:rsidRPr="000A4B43">
              <w:rPr>
                <w:rFonts w:hint="eastAsia"/>
                <w:sz w:val="24"/>
                <w:lang w:val="zh-CN" w:eastAsia="zh-CN"/>
              </w:rPr>
              <w:t>年</w:t>
            </w:r>
            <w:r w:rsidRPr="000A4B43">
              <w:rPr>
                <w:sz w:val="24"/>
                <w:lang w:val="zh-CN" w:eastAsia="zh-CN"/>
              </w:rPr>
              <w:t>2</w:t>
            </w:r>
            <w:r w:rsidRPr="000A4B43">
              <w:rPr>
                <w:rFonts w:hint="eastAsia"/>
                <w:sz w:val="24"/>
                <w:lang w:val="zh-CN" w:eastAsia="zh-CN"/>
              </w:rPr>
              <w:t>月</w:t>
            </w:r>
            <w:r w:rsidRPr="000A4B43">
              <w:rPr>
                <w:sz w:val="24"/>
                <w:lang w:val="zh-CN" w:eastAsia="zh-CN"/>
              </w:rPr>
              <w:t>16</w:t>
            </w:r>
            <w:r w:rsidRPr="000A4B43">
              <w:rPr>
                <w:rFonts w:hint="eastAsia"/>
                <w:sz w:val="24"/>
                <w:lang w:val="zh-CN" w:eastAsia="zh-CN"/>
              </w:rPr>
              <w:t>日至</w:t>
            </w:r>
            <w:r w:rsidRPr="000A4B43">
              <w:rPr>
                <w:sz w:val="24"/>
                <w:lang w:val="zh-CN" w:eastAsia="zh-CN"/>
              </w:rPr>
              <w:t>19</w:t>
            </w:r>
            <w:r w:rsidRPr="000A4B43">
              <w:rPr>
                <w:rFonts w:hint="eastAsia"/>
                <w:sz w:val="24"/>
                <w:lang w:val="zh-CN" w:eastAsia="zh-CN"/>
              </w:rPr>
              <w:t>日，罗马</w:t>
            </w:r>
          </w:p>
          <w:p w14:paraId="5F075F4B" w14:textId="77777777" w:rsidR="000A4B43" w:rsidRPr="000A4B43" w:rsidRDefault="000A4B43" w:rsidP="000A4B43">
            <w:pPr>
              <w:jc w:val="left"/>
              <w:rPr>
                <w:sz w:val="24"/>
                <w:lang w:eastAsia="zh-CN"/>
              </w:rPr>
            </w:pPr>
            <w:r w:rsidRPr="000A4B43">
              <w:rPr>
                <w:rFonts w:hint="eastAsia"/>
                <w:sz w:val="24"/>
                <w:lang w:eastAsia="zh-CN"/>
              </w:rPr>
              <w:t>议程项目</w:t>
            </w:r>
            <w:r w:rsidR="009715A2">
              <w:rPr>
                <w:sz w:val="24"/>
                <w:lang w:eastAsia="zh-CN"/>
              </w:rPr>
              <w:t>7</w:t>
            </w:r>
          </w:p>
          <w:p w14:paraId="38DFA7F3" w14:textId="77777777" w:rsidR="000A4B43" w:rsidRPr="000A4B43" w:rsidRDefault="009715A2" w:rsidP="000A4B43">
            <w:pPr>
              <w:jc w:val="left"/>
              <w:rPr>
                <w:b/>
                <w:lang w:eastAsia="zh-CN"/>
              </w:rPr>
            </w:pPr>
            <w:r w:rsidRPr="009715A2">
              <w:rPr>
                <w:rFonts w:hint="eastAsia"/>
                <w:b/>
                <w:sz w:val="24"/>
                <w:lang w:eastAsia="zh-CN"/>
              </w:rPr>
              <w:t>与其他公约和国际组织的合作</w:t>
            </w:r>
          </w:p>
        </w:tc>
        <w:tc>
          <w:tcPr>
            <w:tcW w:w="4253" w:type="dxa"/>
            <w:tcBorders>
              <w:top w:val="nil"/>
              <w:left w:val="nil"/>
              <w:bottom w:val="nil"/>
              <w:right w:val="nil"/>
            </w:tcBorders>
            <w:tcMar>
              <w:top w:w="0" w:type="dxa"/>
              <w:left w:w="80" w:type="dxa"/>
              <w:bottom w:w="0" w:type="dxa"/>
              <w:right w:w="80" w:type="dxa"/>
            </w:tcMar>
          </w:tcPr>
          <w:p w14:paraId="773AD7BC" w14:textId="77777777" w:rsidR="000A4B43" w:rsidRPr="000A4B43" w:rsidRDefault="000A4B43" w:rsidP="000A4B43">
            <w:pPr>
              <w:rPr>
                <w:sz w:val="24"/>
                <w:lang w:eastAsia="zh-CN"/>
              </w:rPr>
            </w:pPr>
          </w:p>
        </w:tc>
      </w:tr>
    </w:tbl>
    <w:p w14:paraId="2DE157AA" w14:textId="77777777" w:rsidR="008A1499" w:rsidRPr="00866063" w:rsidRDefault="008A1499" w:rsidP="00D25B1F">
      <w:pPr>
        <w:pStyle w:val="AISpacer"/>
        <w:rPr>
          <w:lang w:eastAsia="zh-CN"/>
        </w:rPr>
      </w:pPr>
    </w:p>
    <w:p w14:paraId="38ECF0D8" w14:textId="77777777" w:rsidR="00C9161D" w:rsidRPr="00866063" w:rsidRDefault="00D25B1F" w:rsidP="00D25B1F">
      <w:pPr>
        <w:pStyle w:val="CBDTitle"/>
        <w:tabs>
          <w:tab w:val="clear" w:pos="567"/>
          <w:tab w:val="clear" w:pos="1134"/>
          <w:tab w:val="clear" w:pos="1701"/>
          <w:tab w:val="clear" w:pos="2268"/>
          <w:tab w:val="clear" w:pos="2835"/>
          <w:tab w:val="clear" w:pos="3402"/>
        </w:tabs>
        <w:ind w:left="490"/>
        <w:rPr>
          <w:caps/>
          <w:lang w:eastAsia="zh-CN"/>
        </w:rPr>
      </w:pPr>
      <w:r w:rsidRPr="00D25B1F">
        <w:rPr>
          <w:rFonts w:ascii="SimHei" w:eastAsia="SimHei" w:hAnsi="SimHei" w:hint="eastAsia"/>
          <w:b w:val="0"/>
          <w:bCs/>
          <w:lang w:eastAsia="zh-CN"/>
        </w:rPr>
        <w:t>与其他公约和国际组织的合作</w:t>
      </w:r>
      <w:r w:rsidR="00105372" w:rsidRPr="00866063">
        <w:rPr>
          <w:caps/>
          <w:lang w:eastAsia="zh-CN"/>
        </w:rPr>
        <w:t xml:space="preserve"> </w:t>
      </w:r>
    </w:p>
    <w:p w14:paraId="74E0715F" w14:textId="77777777" w:rsidR="00F6586C" w:rsidRPr="00D25B1F" w:rsidRDefault="009715A2" w:rsidP="00D25B1F">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616A40B9" w14:textId="77777777" w:rsidR="00A71F25" w:rsidRPr="00A71F25" w:rsidRDefault="00A71F25" w:rsidP="00A71F25">
      <w:pPr>
        <w:tabs>
          <w:tab w:val="clear" w:pos="567"/>
          <w:tab w:val="clear" w:pos="1134"/>
          <w:tab w:val="clear" w:pos="1701"/>
          <w:tab w:val="clear" w:pos="2268"/>
        </w:tabs>
        <w:spacing w:before="120" w:after="120" w:line="240" w:lineRule="atLeast"/>
        <w:ind w:left="490" w:firstLine="490"/>
        <w:rPr>
          <w:sz w:val="24"/>
          <w:szCs w:val="24"/>
          <w:lang w:val="en-US" w:eastAsia="zh-CN"/>
        </w:rPr>
      </w:pPr>
      <w:r w:rsidRPr="00A71F25">
        <w:rPr>
          <w:rFonts w:eastAsia="KaiTi" w:hint="eastAsia"/>
          <w:sz w:val="24"/>
          <w:szCs w:val="24"/>
          <w:lang w:val="en-US" w:eastAsia="zh-CN"/>
        </w:rPr>
        <w:t>执行问题附属机构</w:t>
      </w:r>
      <w:r w:rsidRPr="00A71F25">
        <w:rPr>
          <w:rFonts w:hint="eastAsia"/>
          <w:sz w:val="24"/>
          <w:szCs w:val="24"/>
          <w:lang w:val="en-US" w:eastAsia="zh-CN"/>
        </w:rPr>
        <w:t>，</w:t>
      </w:r>
    </w:p>
    <w:p w14:paraId="4441D2BF" w14:textId="77777777" w:rsidR="00A71F25" w:rsidRPr="00A71F25" w:rsidRDefault="00A71F25" w:rsidP="00A71F25">
      <w:pPr>
        <w:tabs>
          <w:tab w:val="clear" w:pos="567"/>
          <w:tab w:val="clear" w:pos="1134"/>
          <w:tab w:val="clear" w:pos="1701"/>
          <w:tab w:val="clear" w:pos="2268"/>
        </w:tabs>
        <w:spacing w:before="120" w:after="120" w:line="240" w:lineRule="atLeast"/>
        <w:ind w:left="490" w:firstLine="490"/>
        <w:rPr>
          <w:sz w:val="24"/>
          <w:szCs w:val="24"/>
          <w:lang w:val="en-US" w:eastAsia="zh-CN"/>
        </w:rPr>
      </w:pPr>
      <w:r w:rsidRPr="00A71F25">
        <w:rPr>
          <w:rFonts w:eastAsia="KaiTi" w:hint="eastAsia"/>
          <w:sz w:val="24"/>
          <w:szCs w:val="24"/>
          <w:lang w:val="en-US" w:eastAsia="zh-CN"/>
        </w:rPr>
        <w:t>建议</w:t>
      </w:r>
      <w:r w:rsidRPr="00A71F25">
        <w:rPr>
          <w:rFonts w:hint="eastAsia"/>
          <w:sz w:val="24"/>
          <w:szCs w:val="24"/>
          <w:lang w:val="en-US" w:eastAsia="zh-CN"/>
        </w:rPr>
        <w:t>缔约方大会第十七届会议通过一项内容大致如下的决定：</w:t>
      </w:r>
    </w:p>
    <w:p w14:paraId="2C3EC58D" w14:textId="77777777" w:rsidR="00A71F25" w:rsidRPr="00A71F25" w:rsidRDefault="00A71F25" w:rsidP="0086353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71F25">
        <w:rPr>
          <w:rFonts w:eastAsia="KaiTi" w:hint="eastAsia"/>
          <w:sz w:val="24"/>
          <w:szCs w:val="24"/>
          <w:lang w:val="en-US" w:eastAsia="zh-CN"/>
        </w:rPr>
        <w:t>缔约方大会</w:t>
      </w:r>
      <w:r w:rsidRPr="00A71F25">
        <w:rPr>
          <w:rFonts w:hint="eastAsia"/>
          <w:sz w:val="24"/>
          <w:szCs w:val="24"/>
          <w:lang w:val="en-US" w:eastAsia="zh-CN"/>
        </w:rPr>
        <w:t>，</w:t>
      </w:r>
    </w:p>
    <w:p w14:paraId="7F2D75BB" w14:textId="77777777" w:rsidR="00A71F25" w:rsidRPr="00A71F25" w:rsidRDefault="00A71F25" w:rsidP="0086353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71F25">
        <w:rPr>
          <w:rFonts w:eastAsia="KaiTi" w:hint="eastAsia"/>
          <w:sz w:val="24"/>
          <w:szCs w:val="24"/>
          <w:lang w:val="en-US" w:eastAsia="zh-CN"/>
        </w:rPr>
        <w:t>回顾</w:t>
      </w:r>
      <w:r w:rsidRPr="00A71F25">
        <w:rPr>
          <w:rFonts w:hint="eastAsia"/>
          <w:sz w:val="24"/>
          <w:szCs w:val="24"/>
          <w:lang w:val="en-US" w:eastAsia="zh-CN"/>
        </w:rPr>
        <w:t>其</w:t>
      </w:r>
      <w:r w:rsidRPr="00A71F25">
        <w:rPr>
          <w:sz w:val="24"/>
          <w:szCs w:val="24"/>
          <w:lang w:val="en-US" w:eastAsia="zh-CN"/>
        </w:rPr>
        <w:t>2016</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17</w:t>
      </w:r>
      <w:r w:rsidRPr="00A71F25">
        <w:rPr>
          <w:rFonts w:hint="eastAsia"/>
          <w:sz w:val="24"/>
          <w:szCs w:val="24"/>
          <w:lang w:val="en-US" w:eastAsia="zh-CN"/>
        </w:rPr>
        <w:t>日第</w:t>
      </w:r>
      <w:r>
        <w:fldChar w:fldCharType="begin"/>
      </w:r>
      <w:r>
        <w:instrText>HYPERLINK "https://www.cbd.int/doc/decisions/cop-13/cop-13-dec-24-zh.pdf"</w:instrText>
      </w:r>
      <w:r>
        <w:fldChar w:fldCharType="separate"/>
      </w:r>
      <w:r w:rsidRPr="00A71F25">
        <w:rPr>
          <w:color w:val="0000FF"/>
          <w:sz w:val="24"/>
          <w:szCs w:val="24"/>
          <w:u w:val="single"/>
          <w:lang w:val="en-US" w:eastAsia="zh-CN"/>
        </w:rPr>
        <w:t>XIII/24</w:t>
      </w:r>
      <w:r>
        <w:fldChar w:fldCharType="end"/>
      </w:r>
      <w:r w:rsidRPr="00A71F25">
        <w:rPr>
          <w:rFonts w:hint="eastAsia"/>
          <w:sz w:val="24"/>
          <w:szCs w:val="24"/>
          <w:lang w:val="en-US" w:eastAsia="zh-CN"/>
        </w:rPr>
        <w:t>号决定、</w:t>
      </w:r>
      <w:r w:rsidRPr="00A71F25">
        <w:rPr>
          <w:sz w:val="24"/>
          <w:szCs w:val="24"/>
          <w:lang w:val="en-US" w:eastAsia="zh-CN"/>
        </w:rPr>
        <w:t>2018</w:t>
      </w:r>
      <w:r w:rsidRPr="00A71F25">
        <w:rPr>
          <w:rFonts w:hint="eastAsia"/>
          <w:sz w:val="24"/>
          <w:szCs w:val="24"/>
          <w:lang w:val="en-US" w:eastAsia="zh-CN"/>
        </w:rPr>
        <w:t>年</w:t>
      </w:r>
      <w:r w:rsidRPr="00A71F25">
        <w:rPr>
          <w:sz w:val="24"/>
          <w:szCs w:val="24"/>
          <w:lang w:val="en-US" w:eastAsia="zh-CN"/>
        </w:rPr>
        <w:t>11</w:t>
      </w:r>
      <w:r w:rsidRPr="00A71F25">
        <w:rPr>
          <w:rFonts w:hint="eastAsia"/>
          <w:sz w:val="24"/>
          <w:szCs w:val="24"/>
          <w:lang w:val="en-US" w:eastAsia="zh-CN"/>
        </w:rPr>
        <w:t>月</w:t>
      </w:r>
      <w:r w:rsidRPr="00A71F25">
        <w:rPr>
          <w:sz w:val="24"/>
          <w:szCs w:val="24"/>
          <w:lang w:val="en-US" w:eastAsia="zh-CN"/>
        </w:rPr>
        <w:t>29</w:t>
      </w:r>
      <w:r w:rsidRPr="00A71F25">
        <w:rPr>
          <w:rFonts w:hint="eastAsia"/>
          <w:sz w:val="24"/>
          <w:szCs w:val="24"/>
          <w:lang w:val="en-US" w:eastAsia="zh-CN"/>
        </w:rPr>
        <w:t>日第</w:t>
      </w:r>
      <w:r>
        <w:fldChar w:fldCharType="begin"/>
      </w:r>
      <w:r>
        <w:instrText>HYPERLINK "https://www.cbd.int/doc/decisions/cop-14/cop-14-dec-30-zh.pdf"</w:instrText>
      </w:r>
      <w:r>
        <w:fldChar w:fldCharType="separate"/>
      </w:r>
      <w:r w:rsidRPr="00A71F25">
        <w:rPr>
          <w:color w:val="0000FF"/>
          <w:sz w:val="24"/>
          <w:szCs w:val="24"/>
          <w:u w:val="single"/>
          <w:lang w:val="en-US" w:eastAsia="zh-CN"/>
        </w:rPr>
        <w:t>14/30</w:t>
      </w:r>
      <w:r>
        <w:fldChar w:fldCharType="end"/>
      </w:r>
      <w:r w:rsidRPr="00A71F25">
        <w:rPr>
          <w:rFonts w:hint="eastAsia"/>
          <w:sz w:val="24"/>
          <w:szCs w:val="24"/>
          <w:lang w:val="en-US" w:eastAsia="zh-CN"/>
        </w:rPr>
        <w:t>号决定、</w:t>
      </w:r>
      <w:r w:rsidRPr="00A71F25">
        <w:rPr>
          <w:sz w:val="24"/>
          <w:szCs w:val="24"/>
          <w:lang w:val="en-US" w:eastAsia="zh-CN"/>
        </w:rPr>
        <w:t>2022</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19</w:t>
      </w:r>
      <w:r w:rsidRPr="00A71F25">
        <w:rPr>
          <w:rFonts w:hint="eastAsia"/>
          <w:sz w:val="24"/>
          <w:szCs w:val="24"/>
          <w:lang w:val="en-US" w:eastAsia="zh-CN"/>
        </w:rPr>
        <w:t>日第</w:t>
      </w:r>
      <w:r>
        <w:fldChar w:fldCharType="begin"/>
      </w:r>
      <w:r>
        <w:instrText>HYPERLINK "https://www.cbd.int/decisions/cop/?m=cop-15"</w:instrText>
      </w:r>
      <w:r>
        <w:fldChar w:fldCharType="separate"/>
      </w:r>
      <w:r w:rsidRPr="00A71F25">
        <w:rPr>
          <w:color w:val="0000FF"/>
          <w:sz w:val="24"/>
          <w:szCs w:val="24"/>
          <w:u w:val="single"/>
          <w:lang w:val="en-US" w:eastAsia="zh-CN"/>
        </w:rPr>
        <w:t>15/4</w:t>
      </w:r>
      <w:r>
        <w:fldChar w:fldCharType="end"/>
      </w:r>
      <w:r w:rsidRPr="00A71F25">
        <w:rPr>
          <w:rFonts w:hint="eastAsia"/>
          <w:sz w:val="24"/>
          <w:szCs w:val="24"/>
          <w:lang w:val="en-US" w:eastAsia="zh-CN"/>
        </w:rPr>
        <w:t>号和第</w:t>
      </w:r>
      <w:r>
        <w:fldChar w:fldCharType="begin"/>
      </w:r>
      <w:r>
        <w:instrText>HYPERLINK "https://www.cbd.int/decisions/cop/?m=cop-15"</w:instrText>
      </w:r>
      <w:r>
        <w:fldChar w:fldCharType="separate"/>
      </w:r>
      <w:r w:rsidRPr="00A71F25">
        <w:rPr>
          <w:color w:val="0000FF"/>
          <w:sz w:val="24"/>
          <w:szCs w:val="24"/>
          <w:u w:val="single"/>
          <w:lang w:val="en-US" w:eastAsia="zh-CN"/>
        </w:rPr>
        <w:t>15/13</w:t>
      </w:r>
      <w:r>
        <w:fldChar w:fldCharType="end"/>
      </w:r>
      <w:r w:rsidRPr="00A71F25">
        <w:rPr>
          <w:rFonts w:hint="eastAsia"/>
          <w:sz w:val="24"/>
          <w:szCs w:val="24"/>
          <w:lang w:val="en-US" w:eastAsia="zh-CN"/>
        </w:rPr>
        <w:t>号决定和</w:t>
      </w:r>
      <w:r w:rsidRPr="00A71F25">
        <w:rPr>
          <w:sz w:val="24"/>
          <w:szCs w:val="24"/>
          <w:lang w:val="en-US" w:eastAsia="zh-CN"/>
        </w:rPr>
        <w:t>2025</w:t>
      </w:r>
      <w:r w:rsidRPr="00A71F25">
        <w:rPr>
          <w:rFonts w:hint="eastAsia"/>
          <w:sz w:val="24"/>
          <w:szCs w:val="24"/>
          <w:lang w:val="en-US" w:eastAsia="zh-CN"/>
        </w:rPr>
        <w:t>年</w:t>
      </w:r>
      <w:r w:rsidRPr="00A71F25">
        <w:rPr>
          <w:sz w:val="24"/>
          <w:szCs w:val="24"/>
          <w:lang w:val="en-US" w:eastAsia="zh-CN"/>
        </w:rPr>
        <w:t>2</w:t>
      </w:r>
      <w:r w:rsidRPr="00A71F25">
        <w:rPr>
          <w:rFonts w:hint="eastAsia"/>
          <w:sz w:val="24"/>
          <w:szCs w:val="24"/>
          <w:lang w:val="en-US" w:eastAsia="zh-CN"/>
        </w:rPr>
        <w:t>月</w:t>
      </w:r>
      <w:r w:rsidRPr="00A71F25">
        <w:rPr>
          <w:sz w:val="24"/>
          <w:szCs w:val="24"/>
          <w:lang w:val="en-US" w:eastAsia="zh-CN"/>
        </w:rPr>
        <w:t>27</w:t>
      </w:r>
      <w:r w:rsidRPr="00A71F25">
        <w:rPr>
          <w:rFonts w:hint="eastAsia"/>
          <w:sz w:val="24"/>
          <w:szCs w:val="24"/>
          <w:lang w:val="en-US" w:eastAsia="zh-CN"/>
        </w:rPr>
        <w:t>日第</w:t>
      </w:r>
      <w:r>
        <w:fldChar w:fldCharType="begin"/>
      </w:r>
      <w:r>
        <w:instrText>HYPERLINK "https://www.cbd.int/decisions/cop/?m=cop-16"</w:instrText>
      </w:r>
      <w:r>
        <w:fldChar w:fldCharType="separate"/>
      </w:r>
      <w:r w:rsidRPr="00A71F25">
        <w:rPr>
          <w:color w:val="0000FF"/>
          <w:sz w:val="24"/>
          <w:szCs w:val="24"/>
          <w:u w:val="single"/>
          <w:lang w:val="en-US" w:eastAsia="zh-CN"/>
        </w:rPr>
        <w:t>16/35</w:t>
      </w:r>
      <w:r>
        <w:fldChar w:fldCharType="end"/>
      </w:r>
      <w:r w:rsidRPr="00A71F25">
        <w:rPr>
          <w:rFonts w:hint="eastAsia"/>
          <w:sz w:val="24"/>
          <w:szCs w:val="24"/>
          <w:lang w:val="en-US" w:eastAsia="zh-CN"/>
        </w:rPr>
        <w:t>号决定，</w:t>
      </w:r>
      <w:r w:rsidRPr="00A71F25">
        <w:rPr>
          <w:sz w:val="24"/>
          <w:szCs w:val="24"/>
          <w:lang w:val="en-US" w:eastAsia="zh-CN"/>
        </w:rPr>
        <w:t xml:space="preserve"> </w:t>
      </w:r>
    </w:p>
    <w:p w14:paraId="0E0A7A07" w14:textId="77777777" w:rsidR="00A71F25" w:rsidRPr="00A71F25" w:rsidRDefault="00A71F25" w:rsidP="0086353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71F25">
        <w:rPr>
          <w:rFonts w:eastAsia="KaiTi" w:hint="eastAsia"/>
          <w:sz w:val="24"/>
          <w:szCs w:val="24"/>
          <w:lang w:val="en-US" w:eastAsia="zh-CN"/>
        </w:rPr>
        <w:t>表示注意到</w:t>
      </w:r>
      <w:r w:rsidRPr="00A71F25">
        <w:rPr>
          <w:rFonts w:hint="eastAsia"/>
          <w:sz w:val="24"/>
          <w:szCs w:val="24"/>
          <w:lang w:val="en-US" w:eastAsia="zh-CN"/>
        </w:rPr>
        <w:t>联合国大会</w:t>
      </w:r>
      <w:r w:rsidRPr="00A71F25">
        <w:rPr>
          <w:sz w:val="24"/>
          <w:szCs w:val="24"/>
          <w:lang w:val="en-US" w:eastAsia="zh-CN"/>
        </w:rPr>
        <w:t>2025</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19</w:t>
      </w:r>
      <w:r w:rsidRPr="00A71F25">
        <w:rPr>
          <w:rFonts w:hint="eastAsia"/>
          <w:sz w:val="24"/>
          <w:szCs w:val="24"/>
          <w:lang w:val="en-US" w:eastAsia="zh-CN"/>
        </w:rPr>
        <w:t>日第</w:t>
      </w:r>
      <w:r>
        <w:fldChar w:fldCharType="begin"/>
      </w:r>
      <w:r>
        <w:instrText>HYPERLINK "https://docs.un.org/zh/A/RES/80/140"</w:instrText>
      </w:r>
      <w:r>
        <w:fldChar w:fldCharType="separate"/>
      </w:r>
      <w:r w:rsidRPr="00A71F25">
        <w:rPr>
          <w:rFonts w:eastAsia="Times New Roman"/>
          <w:color w:val="0000FF"/>
          <w:sz w:val="24"/>
          <w:szCs w:val="24"/>
          <w:u w:val="single"/>
          <w:lang w:val="en-CA" w:eastAsia="zh-CN"/>
        </w:rPr>
        <w:t>80/140</w:t>
      </w:r>
      <w:r>
        <w:fldChar w:fldCharType="end"/>
      </w:r>
      <w:r w:rsidRPr="00A71F25">
        <w:rPr>
          <w:rFonts w:hint="eastAsia"/>
          <w:sz w:val="24"/>
          <w:szCs w:val="24"/>
          <w:lang w:val="en-US" w:eastAsia="zh-CN"/>
        </w:rPr>
        <w:t>号决议和以往有关《生物多样性公约》</w:t>
      </w:r>
      <w:r w:rsidRPr="00A71F25">
        <w:rPr>
          <w:sz w:val="24"/>
          <w:szCs w:val="24"/>
          <w:vertAlign w:val="superscript"/>
          <w:lang w:val="en-US" w:eastAsia="zh-CN"/>
        </w:rPr>
        <w:footnoteReference w:id="1"/>
      </w:r>
      <w:r w:rsidRPr="00A71F25">
        <w:rPr>
          <w:rFonts w:hint="eastAsia"/>
          <w:sz w:val="24"/>
          <w:szCs w:val="24"/>
          <w:lang w:val="en-US" w:eastAsia="zh-CN"/>
        </w:rPr>
        <w:t>的各项决议，</w:t>
      </w:r>
    </w:p>
    <w:p w14:paraId="42F81205" w14:textId="62DDAE27" w:rsidR="00A71F25" w:rsidRPr="00A71F25" w:rsidRDefault="00A71F25" w:rsidP="00863536">
      <w:pPr>
        <w:tabs>
          <w:tab w:val="clear" w:pos="567"/>
          <w:tab w:val="left" w:pos="2835"/>
          <w:tab w:val="left" w:pos="3402"/>
        </w:tabs>
        <w:spacing w:after="120"/>
        <w:ind w:left="979" w:firstLine="490"/>
        <w:rPr>
          <w:sz w:val="24"/>
          <w:szCs w:val="24"/>
          <w:lang w:val="en-US" w:eastAsia="zh-CN"/>
        </w:rPr>
      </w:pPr>
      <w:r w:rsidRPr="00A71F25">
        <w:rPr>
          <w:rFonts w:ascii="KaiTi" w:eastAsia="KaiTi" w:hAnsi="KaiTi" w:hint="eastAsia"/>
          <w:sz w:val="24"/>
          <w:szCs w:val="24"/>
          <w:lang w:eastAsia="zh-CN"/>
        </w:rPr>
        <w:t>认识到</w:t>
      </w:r>
      <w:r w:rsidRPr="00A71F25">
        <w:rPr>
          <w:rFonts w:hint="eastAsia"/>
          <w:sz w:val="24"/>
          <w:szCs w:val="24"/>
          <w:lang w:eastAsia="zh-CN"/>
        </w:rPr>
        <w:t>，促进多边环境协定和相关组织间的合作、协同作用和互补性，必须采取</w:t>
      </w:r>
      <w:r w:rsidRPr="00A71F25">
        <w:rPr>
          <w:rFonts w:hint="eastAsia"/>
          <w:sz w:val="24"/>
          <w:szCs w:val="24"/>
          <w:lang w:val="en-CA" w:eastAsia="zh-CN"/>
        </w:rPr>
        <w:t>缔约方驱动的方式，并具有充足的执行手段，包括资金、能力建设以及自愿和共同商定条件下的技术转让，与此同时，避免重复劳动和额外的行政负担，主要是通过显著降低国家、特别是发展中国家包括其中的最不发达国家和小岛屿发展中国家的报告和交易成本；</w:t>
      </w:r>
    </w:p>
    <w:p w14:paraId="41D81B7D" w14:textId="77777777" w:rsidR="00A71F25" w:rsidRPr="00A71F25" w:rsidRDefault="00A71F25" w:rsidP="00A71F25">
      <w:pPr>
        <w:numPr>
          <w:ilvl w:val="0"/>
          <w:numId w:val="2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欢迎</w:t>
      </w:r>
      <w:r w:rsidRPr="00A71F25">
        <w:rPr>
          <w:rFonts w:hint="eastAsia"/>
          <w:sz w:val="24"/>
          <w:szCs w:val="24"/>
          <w:lang w:val="en-US" w:eastAsia="zh-CN"/>
        </w:rPr>
        <w:t>联合国环境管理小组在加强将生物多样性和基于自然的解决方案促进可持续发展纳入联合国政策和方案规划和交付的共同做法</w:t>
      </w:r>
      <w:r w:rsidRPr="00A71F25">
        <w:rPr>
          <w:sz w:val="24"/>
          <w:szCs w:val="24"/>
          <w:vertAlign w:val="superscript"/>
          <w:lang w:val="en-US" w:eastAsia="zh-CN"/>
        </w:rPr>
        <w:footnoteReference w:id="2"/>
      </w:r>
      <w:r w:rsidRPr="00A71F25">
        <w:rPr>
          <w:rFonts w:hint="eastAsia"/>
          <w:sz w:val="24"/>
          <w:szCs w:val="24"/>
          <w:lang w:val="en-US" w:eastAsia="zh-CN"/>
        </w:rPr>
        <w:t>方面的工作及其生物多样性问题管理小组的工作；</w:t>
      </w:r>
    </w:p>
    <w:p w14:paraId="1AA363CD" w14:textId="77777777" w:rsidR="00A71F25" w:rsidRPr="00A71F25" w:rsidRDefault="00A71F25" w:rsidP="009A7612">
      <w:pPr>
        <w:widowControl w:val="0"/>
        <w:numPr>
          <w:ilvl w:val="0"/>
          <w:numId w:val="2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又欢迎</w:t>
      </w:r>
      <w:r w:rsidRPr="00A71F25">
        <w:rPr>
          <w:rFonts w:hint="eastAsia"/>
          <w:sz w:val="24"/>
          <w:szCs w:val="24"/>
          <w:lang w:val="en-US" w:eastAsia="zh-CN"/>
        </w:rPr>
        <w:t>联合国环境规划署持续致力于促进生物多样性相关公约和其他相关多边环境协定之间的合作，包括通过“伯尔尼进程”，以支持有效和高效</w:t>
      </w:r>
      <w:r w:rsidRPr="00A71F25">
        <w:rPr>
          <w:rFonts w:hint="eastAsia"/>
          <w:sz w:val="24"/>
          <w:szCs w:val="24"/>
          <w:lang w:val="en-US" w:eastAsia="zh-CN"/>
        </w:rPr>
        <w:lastRenderedPageBreak/>
        <w:t>地实施《</w:t>
      </w:r>
      <w:r w:rsidRPr="00A71F25">
        <w:rPr>
          <w:rFonts w:hint="eastAsia"/>
          <w:sz w:val="24"/>
          <w:szCs w:val="24"/>
          <w:lang w:val="en-CA" w:eastAsia="zh-CN"/>
        </w:rPr>
        <w:t>昆明</w:t>
      </w:r>
      <w:r w:rsidRPr="00A71F25">
        <w:rPr>
          <w:sz w:val="24"/>
          <w:szCs w:val="24"/>
          <w:lang w:val="en-CA" w:eastAsia="zh-CN"/>
        </w:rPr>
        <w:t>—</w:t>
      </w:r>
      <w:r w:rsidRPr="00A71F25">
        <w:rPr>
          <w:rFonts w:hint="eastAsia"/>
          <w:sz w:val="24"/>
          <w:szCs w:val="24"/>
          <w:lang w:val="en-CA" w:eastAsia="zh-CN"/>
        </w:rPr>
        <w:t>蒙特利尔全球生物多样性框架</w:t>
      </w:r>
      <w:r w:rsidRPr="00A71F25">
        <w:rPr>
          <w:rFonts w:hint="eastAsia"/>
          <w:sz w:val="24"/>
          <w:szCs w:val="24"/>
          <w:lang w:val="en-US" w:eastAsia="zh-CN"/>
        </w:rPr>
        <w:t>》</w:t>
      </w:r>
      <w:r w:rsidR="00353D27" w:rsidRPr="00353D27">
        <w:rPr>
          <w:sz w:val="24"/>
          <w:szCs w:val="24"/>
          <w:vertAlign w:val="superscript"/>
          <w:lang w:eastAsia="zh-CN"/>
        </w:rPr>
        <w:footnoteReference w:id="3"/>
      </w:r>
      <w:r w:rsidRPr="00A71F25">
        <w:rPr>
          <w:rFonts w:hint="eastAsia"/>
          <w:sz w:val="24"/>
          <w:szCs w:val="24"/>
          <w:lang w:val="en-US" w:eastAsia="zh-CN"/>
        </w:rPr>
        <w:t>；</w:t>
      </w:r>
    </w:p>
    <w:p w14:paraId="09387DB4" w14:textId="77777777" w:rsidR="00A71F25" w:rsidRDefault="00A71F25" w:rsidP="009A7612">
      <w:pPr>
        <w:widowControl w:val="0"/>
        <w:numPr>
          <w:ilvl w:val="0"/>
          <w:numId w:val="2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还欢迎</w:t>
      </w:r>
      <w:r w:rsidRPr="00A71F25">
        <w:rPr>
          <w:rFonts w:hint="eastAsia"/>
          <w:sz w:val="24"/>
          <w:szCs w:val="24"/>
          <w:lang w:val="en-US" w:eastAsia="zh-CN"/>
        </w:rPr>
        <w:t>联合国环境规划署环境大会第七届会议关于促进国家执行多边环境协定和其他相关环境文书方面的协同增效、合作或协作的成果；</w:t>
      </w:r>
    </w:p>
    <w:p w14:paraId="573B07C7" w14:textId="77777777" w:rsidR="00863536" w:rsidRPr="00A71F25" w:rsidRDefault="00863536" w:rsidP="009A7612">
      <w:pPr>
        <w:widowControl w:val="0"/>
        <w:numPr>
          <w:ilvl w:val="0"/>
          <w:numId w:val="2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863536">
        <w:rPr>
          <w:sz w:val="24"/>
          <w:szCs w:val="24"/>
          <w:lang w:val="en-US" w:eastAsia="zh-CN"/>
        </w:rPr>
        <w:t>[</w:t>
      </w:r>
      <w:r w:rsidRPr="00353D27">
        <w:rPr>
          <w:rFonts w:ascii="KaiTi" w:eastAsia="KaiTi" w:hAnsi="KaiTi" w:hint="eastAsia"/>
          <w:sz w:val="24"/>
          <w:szCs w:val="24"/>
          <w:lang w:val="en-US" w:eastAsia="zh-CN"/>
        </w:rPr>
        <w:t>欢迎</w:t>
      </w:r>
      <w:r w:rsidRPr="00863536">
        <w:rPr>
          <w:sz w:val="24"/>
          <w:szCs w:val="24"/>
          <w:lang w:val="en-US" w:eastAsia="zh-CN"/>
        </w:rPr>
        <w:t>][</w:t>
      </w:r>
      <w:r w:rsidRPr="00353D27">
        <w:rPr>
          <w:rFonts w:ascii="KaiTi" w:eastAsia="KaiTi" w:hAnsi="KaiTi" w:hint="eastAsia"/>
          <w:sz w:val="24"/>
          <w:szCs w:val="24"/>
          <w:lang w:val="en-US" w:eastAsia="zh-CN"/>
        </w:rPr>
        <w:t>注意到</w:t>
      </w:r>
      <w:r w:rsidRPr="00863536">
        <w:rPr>
          <w:sz w:val="24"/>
          <w:szCs w:val="24"/>
          <w:lang w:val="en-US" w:eastAsia="zh-CN"/>
        </w:rPr>
        <w:t>]</w:t>
      </w:r>
      <w:r w:rsidRPr="00AB73A4">
        <w:rPr>
          <w:sz w:val="24"/>
          <w:lang w:eastAsia="zh-CN"/>
        </w:rPr>
        <w:t xml:space="preserve"> </w:t>
      </w:r>
      <w:r w:rsidRPr="00863536">
        <w:rPr>
          <w:rFonts w:hint="eastAsia"/>
          <w:sz w:val="24"/>
          <w:szCs w:val="24"/>
          <w:lang w:val="en-US" w:eastAsia="zh-CN"/>
        </w:rPr>
        <w:t>《</w:t>
      </w:r>
      <w:r w:rsidRPr="00353D27">
        <w:rPr>
          <w:rFonts w:hint="eastAsia"/>
          <w:sz w:val="24"/>
          <w:szCs w:val="24"/>
          <w:lang w:val="en-US" w:eastAsia="zh-CN"/>
        </w:rPr>
        <w:t>联合国海洋法公约下国家管辖范围以外区域海洋生物多样性的养护和可持续利用协定</w:t>
      </w:r>
      <w:r w:rsidRPr="00863536">
        <w:rPr>
          <w:rFonts w:hint="eastAsia"/>
          <w:sz w:val="24"/>
          <w:szCs w:val="24"/>
          <w:lang w:val="en-US" w:eastAsia="zh-CN"/>
        </w:rPr>
        <w:t>》</w:t>
      </w:r>
      <w:r w:rsidR="00353D27" w:rsidRPr="00353D27">
        <w:rPr>
          <w:sz w:val="24"/>
          <w:szCs w:val="24"/>
          <w:vertAlign w:val="superscript"/>
          <w:lang w:eastAsia="zh-CN"/>
        </w:rPr>
        <w:footnoteReference w:id="4"/>
      </w:r>
      <w:r w:rsidRPr="00863536">
        <w:rPr>
          <w:rFonts w:hint="eastAsia"/>
          <w:sz w:val="24"/>
          <w:szCs w:val="24"/>
          <w:lang w:val="en-US" w:eastAsia="zh-CN"/>
        </w:rPr>
        <w:t>生效，</w:t>
      </w:r>
      <w:r w:rsidRPr="00863536">
        <w:rPr>
          <w:sz w:val="24"/>
          <w:szCs w:val="24"/>
          <w:lang w:val="en-US" w:eastAsia="zh-CN"/>
        </w:rPr>
        <w:t>[</w:t>
      </w:r>
      <w:r w:rsidRPr="00863536">
        <w:rPr>
          <w:rFonts w:hint="eastAsia"/>
          <w:sz w:val="24"/>
          <w:szCs w:val="24"/>
          <w:lang w:val="en-US" w:eastAsia="zh-CN"/>
        </w:rPr>
        <w:t>认识到确保</w:t>
      </w:r>
      <w:r>
        <w:rPr>
          <w:rFonts w:hint="eastAsia"/>
          <w:sz w:val="24"/>
          <w:szCs w:val="24"/>
          <w:lang w:val="en-US" w:eastAsia="zh-CN"/>
        </w:rPr>
        <w:t>使</w:t>
      </w:r>
      <w:r w:rsidRPr="00863536">
        <w:rPr>
          <w:rFonts w:hint="eastAsia"/>
          <w:sz w:val="24"/>
          <w:szCs w:val="24"/>
          <w:lang w:val="en-US" w:eastAsia="zh-CN"/>
        </w:rPr>
        <w:t>该协定</w:t>
      </w:r>
      <w:r>
        <w:rPr>
          <w:rFonts w:hint="eastAsia"/>
          <w:sz w:val="24"/>
          <w:szCs w:val="24"/>
          <w:lang w:val="en-US" w:eastAsia="zh-CN"/>
        </w:rPr>
        <w:t>的执行</w:t>
      </w:r>
      <w:r w:rsidRPr="00863536">
        <w:rPr>
          <w:rFonts w:hint="eastAsia"/>
          <w:sz w:val="24"/>
          <w:szCs w:val="24"/>
          <w:lang w:val="en-US" w:eastAsia="zh-CN"/>
        </w:rPr>
        <w:t>与《生物多样性公约》的执行保持一致、互补和相互支持的重要性，</w:t>
      </w:r>
      <w:r w:rsidRPr="00863536">
        <w:rPr>
          <w:sz w:val="24"/>
          <w:szCs w:val="24"/>
          <w:lang w:val="en-US" w:eastAsia="zh-CN"/>
        </w:rPr>
        <w:t>][</w:t>
      </w:r>
      <w:r w:rsidRPr="00863536">
        <w:rPr>
          <w:rFonts w:hint="eastAsia"/>
          <w:sz w:val="24"/>
          <w:szCs w:val="24"/>
          <w:lang w:val="en-US" w:eastAsia="zh-CN"/>
        </w:rPr>
        <w:t>并表示</w:t>
      </w:r>
      <w:r w:rsidR="00AB73A4">
        <w:rPr>
          <w:rFonts w:hint="eastAsia"/>
          <w:sz w:val="24"/>
          <w:szCs w:val="24"/>
          <w:lang w:val="en-US" w:eastAsia="zh-CN"/>
        </w:rPr>
        <w:t>准备</w:t>
      </w:r>
      <w:r w:rsidRPr="00863536">
        <w:rPr>
          <w:rFonts w:hint="eastAsia"/>
          <w:sz w:val="24"/>
          <w:szCs w:val="24"/>
          <w:lang w:val="en-US" w:eastAsia="zh-CN"/>
        </w:rPr>
        <w:t>加强公约秘书处与该协定临时秘书处之间的合作与相互支持</w:t>
      </w:r>
      <w:proofErr w:type="gramStart"/>
      <w:r w:rsidRPr="00863536">
        <w:rPr>
          <w:sz w:val="24"/>
          <w:szCs w:val="24"/>
          <w:lang w:val="en-US" w:eastAsia="zh-CN"/>
        </w:rPr>
        <w:t>]</w:t>
      </w:r>
      <w:r w:rsidRPr="00863536">
        <w:rPr>
          <w:rFonts w:hint="eastAsia"/>
          <w:sz w:val="24"/>
          <w:szCs w:val="24"/>
          <w:lang w:val="en-US" w:eastAsia="zh-CN"/>
        </w:rPr>
        <w:t>；</w:t>
      </w:r>
      <w:proofErr w:type="gramEnd"/>
    </w:p>
    <w:p w14:paraId="0EA64FA3" w14:textId="77777777" w:rsidR="00A71F25" w:rsidRPr="00A71F25" w:rsidRDefault="00863536" w:rsidP="009715A2">
      <w:pPr>
        <w:tabs>
          <w:tab w:val="clear" w:pos="567"/>
          <w:tab w:val="clear" w:pos="1134"/>
          <w:tab w:val="clear" w:pos="1701"/>
          <w:tab w:val="clear" w:pos="2268"/>
        </w:tabs>
        <w:spacing w:before="120" w:after="120" w:line="240" w:lineRule="atLeast"/>
        <w:ind w:left="979" w:firstLine="490"/>
        <w:jc w:val="left"/>
        <w:rPr>
          <w:sz w:val="24"/>
          <w:szCs w:val="24"/>
          <w:lang w:eastAsia="zh-CN"/>
        </w:rPr>
      </w:pPr>
      <w:r w:rsidRPr="00A71F25">
        <w:rPr>
          <w:sz w:val="24"/>
          <w:szCs w:val="24"/>
          <w:lang w:eastAsia="zh-CN"/>
        </w:rPr>
        <w:t>[</w:t>
      </w:r>
      <w:r w:rsidR="009715A2">
        <w:rPr>
          <w:sz w:val="24"/>
          <w:szCs w:val="24"/>
          <w:lang w:eastAsia="zh-CN"/>
        </w:rPr>
        <w:t>5</w:t>
      </w:r>
      <w:r w:rsidR="00A71F25" w:rsidRPr="00A71F25">
        <w:rPr>
          <w:sz w:val="24"/>
          <w:szCs w:val="24"/>
          <w:lang w:eastAsia="zh-CN"/>
        </w:rPr>
        <w:t>.</w:t>
      </w:r>
      <w:r w:rsidR="00A71F25" w:rsidRPr="00A71F25">
        <w:rPr>
          <w:sz w:val="24"/>
          <w:szCs w:val="24"/>
          <w:lang w:eastAsia="zh-CN"/>
        </w:rPr>
        <w:tab/>
      </w:r>
      <w:r w:rsidR="00A71F25" w:rsidRPr="009715A2">
        <w:rPr>
          <w:rFonts w:ascii="KaiTi" w:eastAsia="KaiTi" w:hAnsi="KaiTi" w:hint="eastAsia"/>
          <w:sz w:val="24"/>
          <w:szCs w:val="24"/>
          <w:lang w:val="en-US" w:eastAsia="zh-CN"/>
        </w:rPr>
        <w:t>欢迎</w:t>
      </w:r>
      <w:r w:rsidR="00A71F25" w:rsidRPr="009715A2">
        <w:rPr>
          <w:rFonts w:hint="eastAsia"/>
          <w:sz w:val="24"/>
          <w:szCs w:val="24"/>
          <w:lang w:val="en-US" w:eastAsia="zh-CN"/>
        </w:rPr>
        <w:t>联合国人权事务高级专员根据人权理事会</w:t>
      </w:r>
      <w:r w:rsidR="00A71F25" w:rsidRPr="00A71F25">
        <w:rPr>
          <w:sz w:val="24"/>
          <w:szCs w:val="24"/>
          <w:lang w:val="en-US" w:eastAsia="zh-CN"/>
        </w:rPr>
        <w:t>2024</w:t>
      </w:r>
      <w:r w:rsidR="00A71F25" w:rsidRPr="00A71F25">
        <w:rPr>
          <w:rFonts w:hint="eastAsia"/>
          <w:sz w:val="24"/>
          <w:szCs w:val="24"/>
          <w:lang w:val="en-US" w:eastAsia="zh-CN"/>
        </w:rPr>
        <w:t>年</w:t>
      </w:r>
      <w:r w:rsidR="00A71F25" w:rsidRPr="00A71F25">
        <w:rPr>
          <w:sz w:val="24"/>
          <w:szCs w:val="24"/>
          <w:lang w:val="en-US" w:eastAsia="zh-CN"/>
        </w:rPr>
        <w:t>10</w:t>
      </w:r>
      <w:r w:rsidR="00A71F25" w:rsidRPr="00A71F25">
        <w:rPr>
          <w:rFonts w:hint="eastAsia"/>
          <w:sz w:val="24"/>
          <w:szCs w:val="24"/>
          <w:lang w:val="en-US" w:eastAsia="zh-CN"/>
        </w:rPr>
        <w:t>月</w:t>
      </w:r>
      <w:r w:rsidR="00A71F25" w:rsidRPr="00A71F25">
        <w:rPr>
          <w:sz w:val="24"/>
          <w:szCs w:val="24"/>
          <w:lang w:val="en-US" w:eastAsia="zh-CN"/>
        </w:rPr>
        <w:t>11</w:t>
      </w:r>
      <w:r w:rsidR="00A71F25" w:rsidRPr="00A71F25">
        <w:rPr>
          <w:rFonts w:hint="eastAsia"/>
          <w:sz w:val="24"/>
          <w:szCs w:val="24"/>
          <w:lang w:val="en-US" w:eastAsia="zh-CN"/>
        </w:rPr>
        <w:t>日与《公约》有关的第</w:t>
      </w:r>
      <w:r w:rsidR="00A71F25" w:rsidRPr="00A71F25">
        <w:rPr>
          <w:sz w:val="24"/>
          <w:szCs w:val="24"/>
          <w:lang w:eastAsia="zh-CN"/>
        </w:rPr>
        <w:t>57/28</w:t>
      </w:r>
      <w:r w:rsidR="00A71F25" w:rsidRPr="00A71F25">
        <w:rPr>
          <w:rFonts w:hint="eastAsia"/>
          <w:sz w:val="24"/>
          <w:szCs w:val="24"/>
          <w:lang w:eastAsia="zh-CN"/>
        </w:rPr>
        <w:t>号决议，</w:t>
      </w:r>
      <w:r w:rsidR="00A71F25" w:rsidRPr="00A71F25">
        <w:rPr>
          <w:rFonts w:hint="eastAsia"/>
          <w:sz w:val="24"/>
          <w:szCs w:val="24"/>
          <w:lang w:val="en-US" w:eastAsia="zh-CN"/>
        </w:rPr>
        <w:t>为人权理事会第六十一届会议编制的“</w:t>
      </w:r>
      <w:r w:rsidR="00A71F25" w:rsidRPr="00A71F25">
        <w:rPr>
          <w:rFonts w:hint="eastAsia"/>
          <w:sz w:val="24"/>
          <w:szCs w:val="24"/>
          <w:lang w:val="en-CA" w:eastAsia="zh-CN"/>
        </w:rPr>
        <w:t>关于将基于人权的方法纳入《</w:t>
      </w:r>
      <w:r w:rsidR="009715A2">
        <w:rPr>
          <w:rFonts w:hint="eastAsia"/>
          <w:sz w:val="24"/>
          <w:szCs w:val="24"/>
          <w:lang w:val="en-CA" w:eastAsia="zh-CN"/>
        </w:rPr>
        <w:t>昆蒙</w:t>
      </w:r>
      <w:r w:rsidR="00A71F25" w:rsidRPr="00A71F25">
        <w:rPr>
          <w:rFonts w:hint="eastAsia"/>
          <w:sz w:val="24"/>
          <w:szCs w:val="24"/>
          <w:lang w:val="en-CA" w:eastAsia="zh-CN"/>
        </w:rPr>
        <w:t>框架》目标和具体目标的全球分析研究”</w:t>
      </w:r>
      <w:r w:rsidR="00A71F25" w:rsidRPr="00A71F25">
        <w:rPr>
          <w:sz w:val="28"/>
          <w:szCs w:val="24"/>
          <w:vertAlign w:val="superscript"/>
          <w:lang w:eastAsia="en-CA"/>
        </w:rPr>
        <w:footnoteReference w:id="5"/>
      </w:r>
      <w:r w:rsidR="00A71F25" w:rsidRPr="00A71F25">
        <w:rPr>
          <w:rFonts w:hint="eastAsia"/>
          <w:sz w:val="24"/>
          <w:szCs w:val="24"/>
          <w:lang w:val="en-CA" w:eastAsia="zh-CN"/>
        </w:rPr>
        <w:t>，</w:t>
      </w:r>
      <w:r w:rsidR="00A71F25" w:rsidRPr="00A71F25">
        <w:rPr>
          <w:rFonts w:hint="eastAsia"/>
          <w:sz w:val="24"/>
          <w:szCs w:val="24"/>
          <w:lang w:eastAsia="zh-CN"/>
        </w:rPr>
        <w:t>并鼓励缔约方和其他国家政府在本国执行以及通过各种集体努力执行</w:t>
      </w:r>
      <w:r w:rsidR="00A71F25" w:rsidRPr="00A71F25">
        <w:rPr>
          <w:rFonts w:hint="eastAsia"/>
          <w:sz w:val="24"/>
          <w:szCs w:val="24"/>
          <w:lang w:val="en-CA" w:eastAsia="zh-CN"/>
        </w:rPr>
        <w:t>《</w:t>
      </w:r>
      <w:r w:rsidR="009715A2">
        <w:rPr>
          <w:rFonts w:hint="eastAsia"/>
          <w:sz w:val="24"/>
          <w:szCs w:val="24"/>
          <w:lang w:val="en-CA" w:eastAsia="zh-CN"/>
        </w:rPr>
        <w:t>昆蒙</w:t>
      </w:r>
      <w:r w:rsidR="00A71F25" w:rsidRPr="00A71F25">
        <w:rPr>
          <w:rFonts w:hint="eastAsia"/>
          <w:sz w:val="24"/>
          <w:szCs w:val="24"/>
          <w:lang w:val="en-CA" w:eastAsia="zh-CN"/>
        </w:rPr>
        <w:t>框架》</w:t>
      </w:r>
      <w:r w:rsidR="00A71F25" w:rsidRPr="00A71F25">
        <w:rPr>
          <w:rFonts w:hint="eastAsia"/>
          <w:sz w:val="24"/>
          <w:szCs w:val="24"/>
          <w:lang w:eastAsia="zh-CN"/>
        </w:rPr>
        <w:t>时，利用该项研究和接受其主要的信息；</w:t>
      </w:r>
      <w:r w:rsidR="00A71F25" w:rsidRPr="00A71F25">
        <w:rPr>
          <w:sz w:val="24"/>
          <w:szCs w:val="24"/>
          <w:lang w:eastAsia="zh-CN"/>
        </w:rPr>
        <w:t>]</w:t>
      </w:r>
    </w:p>
    <w:p w14:paraId="1D49DABC"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Times New Roman"/>
          <w:sz w:val="24"/>
          <w:szCs w:val="24"/>
          <w:lang w:val="en-CA" w:eastAsia="zh-CN"/>
        </w:rPr>
        <w:t>[</w:t>
      </w:r>
      <w:r w:rsidRPr="00A71F25">
        <w:rPr>
          <w:rFonts w:eastAsia="KaiTi" w:hint="eastAsia"/>
          <w:sz w:val="24"/>
          <w:szCs w:val="24"/>
          <w:lang w:val="en-US" w:eastAsia="zh-CN"/>
        </w:rPr>
        <w:t>又欢迎</w:t>
      </w:r>
      <w:r w:rsidRPr="00A71F25">
        <w:rPr>
          <w:rFonts w:eastAsia="Times New Roman"/>
          <w:sz w:val="24"/>
          <w:szCs w:val="24"/>
          <w:lang w:val="en-CA" w:eastAsia="zh-CN"/>
        </w:rPr>
        <w:t>][</w:t>
      </w:r>
      <w:r w:rsidRPr="00A71F25">
        <w:rPr>
          <w:rFonts w:ascii="KaiTi" w:eastAsia="KaiTi" w:hAnsi="KaiTi" w:cs="SimSun" w:hint="eastAsia"/>
          <w:sz w:val="24"/>
          <w:szCs w:val="24"/>
          <w:lang w:val="en-CA" w:eastAsia="zh-CN"/>
        </w:rPr>
        <w:t>注意到</w:t>
      </w:r>
      <w:r w:rsidRPr="00A71F25">
        <w:rPr>
          <w:rFonts w:eastAsia="Times New Roman"/>
          <w:sz w:val="24"/>
          <w:szCs w:val="24"/>
          <w:lang w:val="en-CA" w:eastAsia="zh-CN"/>
        </w:rPr>
        <w:t>]</w:t>
      </w:r>
      <w:r w:rsidRPr="00A71F25">
        <w:rPr>
          <w:rFonts w:hint="eastAsia"/>
          <w:sz w:val="24"/>
          <w:szCs w:val="24"/>
          <w:lang w:val="en-US" w:eastAsia="zh-CN"/>
        </w:rPr>
        <w:t>缔约方、其他里约公约、生物多样性相关公约、</w:t>
      </w:r>
      <w:r w:rsidRPr="009715A2">
        <w:rPr>
          <w:rFonts w:ascii="SimSun" w:hAnsi="SimSun" w:cs="SimSun" w:hint="eastAsia"/>
          <w:sz w:val="24"/>
          <w:szCs w:val="24"/>
          <w:lang w:val="en-CA" w:eastAsia="zh-CN"/>
        </w:rPr>
        <w:t>化学品和废物相关公约和其他相关多边环境协定的理事机构和秘书处</w:t>
      </w:r>
      <w:r w:rsidRPr="00A71F25">
        <w:rPr>
          <w:rFonts w:hint="eastAsia"/>
          <w:sz w:val="24"/>
          <w:szCs w:val="24"/>
          <w:lang w:val="en-US" w:eastAsia="zh-CN"/>
        </w:rPr>
        <w:t>、联合国各实体、其他相关组织和利益攸关方，包括与专题部分相关的金融机构和倡议，为加强在《昆明</w:t>
      </w:r>
      <w:r w:rsidRPr="00A71F25">
        <w:rPr>
          <w:sz w:val="24"/>
          <w:szCs w:val="24"/>
          <w:lang w:val="en-US" w:eastAsia="zh-CN"/>
        </w:rPr>
        <w:t>-</w:t>
      </w:r>
      <w:r w:rsidRPr="00A71F25">
        <w:rPr>
          <w:rFonts w:hint="eastAsia"/>
          <w:sz w:val="24"/>
          <w:szCs w:val="24"/>
          <w:lang w:val="en-US" w:eastAsia="zh-CN"/>
        </w:rPr>
        <w:t>蒙特利尔全球生物多样性框架》及其他相关框架下的合作所持续开展的努力和采取的行动；</w:t>
      </w:r>
    </w:p>
    <w:p w14:paraId="355932D1"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Times New Roman"/>
          <w:sz w:val="24"/>
          <w:szCs w:val="24"/>
          <w:lang w:val="en-CA" w:eastAsia="zh-CN"/>
        </w:rPr>
        <w:t>[</w:t>
      </w:r>
      <w:r w:rsidRPr="00A71F25">
        <w:rPr>
          <w:rFonts w:eastAsia="KaiTi" w:hint="eastAsia"/>
          <w:sz w:val="24"/>
          <w:szCs w:val="24"/>
          <w:lang w:val="en-US" w:eastAsia="zh-CN"/>
        </w:rPr>
        <w:t>还欢迎</w:t>
      </w:r>
      <w:r w:rsidRPr="00A71F25">
        <w:rPr>
          <w:rFonts w:eastAsia="Times New Roman"/>
          <w:sz w:val="24"/>
          <w:szCs w:val="24"/>
          <w:lang w:val="en-CA" w:eastAsia="zh-CN"/>
        </w:rPr>
        <w:t>] [</w:t>
      </w:r>
      <w:r w:rsidRPr="00A71F25">
        <w:rPr>
          <w:rFonts w:eastAsia="KaiTi" w:hint="eastAsia"/>
          <w:sz w:val="24"/>
          <w:szCs w:val="24"/>
          <w:lang w:val="en-US" w:eastAsia="zh-CN"/>
        </w:rPr>
        <w:t>注意到</w:t>
      </w:r>
      <w:r w:rsidRPr="00A71F25">
        <w:rPr>
          <w:rFonts w:eastAsia="Times New Roman"/>
          <w:sz w:val="24"/>
          <w:szCs w:val="24"/>
          <w:lang w:val="en-CA" w:eastAsia="zh-CN"/>
        </w:rPr>
        <w:t xml:space="preserve">] </w:t>
      </w:r>
      <w:r w:rsidRPr="00A71F25">
        <w:rPr>
          <w:rFonts w:hint="eastAsia"/>
          <w:sz w:val="24"/>
          <w:szCs w:val="24"/>
          <w:lang w:val="en-US" w:eastAsia="zh-CN"/>
        </w:rPr>
        <w:t>里约三公约联合联络小组与生物多样性相关公约联络小组的协作努力，并邀请各公约秘书处查明改进会议成效的最佳做法，并在相关秘书处之间分享结论，供其各自的理事机构审议；</w:t>
      </w:r>
    </w:p>
    <w:p w14:paraId="39FF5192" w14:textId="47C1E0DC" w:rsidR="006F0405" w:rsidRPr="00D25B1F" w:rsidRDefault="009A7612"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lang w:eastAsia="zh-CN"/>
        </w:rPr>
      </w:pPr>
      <w:r w:rsidRPr="00A71F25">
        <w:rPr>
          <w:rFonts w:eastAsia="Times New Roman"/>
          <w:sz w:val="24"/>
          <w:szCs w:val="24"/>
          <w:lang w:val="en-CA" w:eastAsia="zh-CN"/>
        </w:rPr>
        <w:t>[</w:t>
      </w:r>
      <w:r w:rsidR="00A71F25" w:rsidRPr="00A71F25">
        <w:rPr>
          <w:rFonts w:eastAsia="Times New Roman"/>
          <w:sz w:val="24"/>
          <w:szCs w:val="24"/>
          <w:lang w:val="en-CA" w:eastAsia="zh-CN"/>
        </w:rPr>
        <w:t xml:space="preserve"> [</w:t>
      </w:r>
      <w:r w:rsidR="00A71F25" w:rsidRPr="00A71F25">
        <w:rPr>
          <w:rFonts w:eastAsia="KaiTi" w:hint="eastAsia"/>
          <w:sz w:val="24"/>
          <w:szCs w:val="24"/>
          <w:lang w:val="en-US" w:eastAsia="zh-CN"/>
        </w:rPr>
        <w:t>注意到</w:t>
      </w:r>
      <w:r w:rsidR="00A71F25" w:rsidRPr="00A71F25">
        <w:rPr>
          <w:rFonts w:eastAsia="Times New Roman"/>
          <w:sz w:val="24"/>
          <w:szCs w:val="24"/>
          <w:lang w:val="en-CA" w:eastAsia="zh-CN"/>
        </w:rPr>
        <w:t>] [</w:t>
      </w:r>
      <w:r w:rsidR="00A71F25" w:rsidRPr="00A71F25">
        <w:rPr>
          <w:rFonts w:eastAsia="KaiTi" w:hint="eastAsia"/>
          <w:sz w:val="24"/>
          <w:szCs w:val="24"/>
          <w:lang w:val="en-US" w:eastAsia="zh-CN"/>
        </w:rPr>
        <w:t>欢迎</w:t>
      </w:r>
      <w:r w:rsidR="00A71F25" w:rsidRPr="00A71F25">
        <w:rPr>
          <w:rFonts w:eastAsia="Times New Roman"/>
          <w:sz w:val="24"/>
          <w:szCs w:val="24"/>
          <w:lang w:val="en-CA" w:eastAsia="zh-CN"/>
        </w:rPr>
        <w:t>]</w:t>
      </w:r>
      <w:r w:rsidR="00A71F25" w:rsidRPr="00A71F25">
        <w:rPr>
          <w:rFonts w:eastAsia="Times New Roman"/>
          <w:sz w:val="24"/>
          <w:szCs w:val="24"/>
          <w:lang w:val="en-CA" w:eastAsia="zh-Hans"/>
        </w:rPr>
        <w:t xml:space="preserve"> </w:t>
      </w:r>
      <w:r w:rsidR="00A71F25" w:rsidRPr="00353D27">
        <w:rPr>
          <w:rFonts w:hint="eastAsia"/>
          <w:sz w:val="24"/>
          <w:szCs w:val="24"/>
          <w:lang w:val="en-US" w:eastAsia="zh-CN"/>
        </w:rPr>
        <w:t>政府间化学品、</w:t>
      </w:r>
      <w:r w:rsidR="00A71F25" w:rsidRPr="00A71F25">
        <w:rPr>
          <w:rFonts w:hint="eastAsia"/>
          <w:sz w:val="24"/>
          <w:szCs w:val="24"/>
          <w:lang w:val="en-US" w:eastAsia="zh-CN"/>
        </w:rPr>
        <w:t>废物和污染问题科学与政策委员</w:t>
      </w:r>
      <w:r w:rsidR="00A71F25" w:rsidRPr="00353D27">
        <w:rPr>
          <w:rFonts w:hint="eastAsia"/>
          <w:sz w:val="24"/>
          <w:szCs w:val="24"/>
          <w:lang w:val="en-US" w:eastAsia="zh-CN"/>
        </w:rPr>
        <w:t>会的设立，</w:t>
      </w:r>
      <w:r>
        <w:rPr>
          <w:rFonts w:hint="eastAsia"/>
          <w:sz w:val="24"/>
          <w:szCs w:val="24"/>
          <w:lang w:val="en-US" w:eastAsia="zh-CN"/>
        </w:rPr>
        <w:t>邀请</w:t>
      </w:r>
      <w:r w:rsidR="009715A2">
        <w:rPr>
          <w:rFonts w:hint="eastAsia"/>
          <w:sz w:val="24"/>
          <w:szCs w:val="24"/>
          <w:lang w:val="en-US" w:eastAsia="zh-CN"/>
        </w:rPr>
        <w:t>该</w:t>
      </w:r>
      <w:r>
        <w:rPr>
          <w:rFonts w:hint="eastAsia"/>
          <w:sz w:val="24"/>
          <w:szCs w:val="24"/>
          <w:lang w:val="en-US" w:eastAsia="zh-CN"/>
        </w:rPr>
        <w:t>委员会</w:t>
      </w:r>
      <w:r w:rsidR="00A71F25" w:rsidRPr="009715A2">
        <w:rPr>
          <w:rFonts w:hint="eastAsia"/>
          <w:sz w:val="24"/>
          <w:szCs w:val="24"/>
          <w:lang w:val="en-US" w:eastAsia="zh-CN"/>
        </w:rPr>
        <w:t>和生物多样性和生态系统服务政府间科学</w:t>
      </w:r>
      <w:r w:rsidR="00A71F25" w:rsidRPr="00353D27">
        <w:rPr>
          <w:sz w:val="24"/>
          <w:szCs w:val="24"/>
          <w:lang w:val="en-US" w:eastAsia="zh-CN"/>
        </w:rPr>
        <w:t>-</w:t>
      </w:r>
      <w:r w:rsidR="00A71F25" w:rsidRPr="00353D27">
        <w:rPr>
          <w:rFonts w:hint="eastAsia"/>
          <w:sz w:val="24"/>
          <w:szCs w:val="24"/>
          <w:lang w:val="en-US" w:eastAsia="zh-CN"/>
        </w:rPr>
        <w:t>政策平台</w:t>
      </w:r>
      <w:r>
        <w:rPr>
          <w:rFonts w:hint="eastAsia"/>
          <w:sz w:val="24"/>
          <w:szCs w:val="24"/>
          <w:lang w:val="en-US" w:eastAsia="zh-CN"/>
        </w:rPr>
        <w:t>一道，并会同</w:t>
      </w:r>
      <w:r w:rsidR="00A71F25" w:rsidRPr="00353D27">
        <w:rPr>
          <w:rFonts w:hint="eastAsia"/>
          <w:sz w:val="24"/>
          <w:szCs w:val="24"/>
          <w:lang w:val="en-US" w:eastAsia="zh-CN"/>
        </w:rPr>
        <w:t>政府间气候变化专门委员会和联合国关于在发生严重干旱和</w:t>
      </w:r>
      <w:r w:rsidR="00A71F25" w:rsidRPr="00353D27">
        <w:rPr>
          <w:sz w:val="24"/>
          <w:szCs w:val="24"/>
          <w:lang w:val="en-US" w:eastAsia="zh-CN"/>
        </w:rPr>
        <w:t>/</w:t>
      </w:r>
      <w:r w:rsidR="00A71F25" w:rsidRPr="00353D27">
        <w:rPr>
          <w:rFonts w:hint="eastAsia"/>
          <w:sz w:val="24"/>
          <w:szCs w:val="24"/>
          <w:lang w:val="en-US" w:eastAsia="zh-CN"/>
        </w:rPr>
        <w:t>或荒漠化的国家特别是在非洲防治荒漠化的公约</w:t>
      </w:r>
      <w:r w:rsidR="0068204A" w:rsidRPr="0068204A">
        <w:rPr>
          <w:sz w:val="24"/>
          <w:szCs w:val="24"/>
          <w:vertAlign w:val="superscript"/>
          <w:lang w:val="en-CA" w:eastAsia="zh-CN"/>
        </w:rPr>
        <w:footnoteReference w:id="6"/>
      </w:r>
      <w:r>
        <w:rPr>
          <w:rFonts w:hint="eastAsia"/>
          <w:sz w:val="24"/>
          <w:szCs w:val="24"/>
          <w:lang w:val="en-US" w:eastAsia="zh-CN"/>
        </w:rPr>
        <w:t>，开展</w:t>
      </w:r>
      <w:r w:rsidR="00A71F25" w:rsidRPr="00353D27">
        <w:rPr>
          <w:rFonts w:hint="eastAsia"/>
          <w:sz w:val="24"/>
          <w:szCs w:val="24"/>
          <w:lang w:val="en-US" w:eastAsia="zh-CN"/>
        </w:rPr>
        <w:t>协作</w:t>
      </w:r>
      <w:r w:rsidR="00A71F25" w:rsidRPr="00A71F25">
        <w:rPr>
          <w:rFonts w:ascii="SimSun" w:hAnsi="SimSun" w:cs="SimSun" w:hint="eastAsia"/>
          <w:sz w:val="24"/>
          <w:szCs w:val="24"/>
          <w:lang w:val="en-CA" w:eastAsia="zh-CN"/>
        </w:rPr>
        <w:t>；</w:t>
      </w:r>
      <w:r w:rsidRPr="00A71F25">
        <w:rPr>
          <w:rFonts w:eastAsia="Times New Roman"/>
          <w:sz w:val="24"/>
          <w:szCs w:val="24"/>
          <w:lang w:val="en-CA" w:eastAsia="zh-CN"/>
        </w:rPr>
        <w:t>]</w:t>
      </w:r>
    </w:p>
    <w:p w14:paraId="12E9191F" w14:textId="77777777" w:rsidR="00A71F25" w:rsidRPr="00A71F25" w:rsidRDefault="009715A2"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rFonts w:eastAsia="KaiTi" w:hint="eastAsia"/>
          <w:sz w:val="24"/>
          <w:szCs w:val="24"/>
          <w:lang w:val="en-US" w:eastAsia="zh-CN"/>
        </w:rPr>
        <w:t>又</w:t>
      </w:r>
      <w:r w:rsidR="00A71F25" w:rsidRPr="00A71F25">
        <w:rPr>
          <w:rFonts w:eastAsia="KaiTi" w:hint="eastAsia"/>
          <w:sz w:val="24"/>
          <w:szCs w:val="24"/>
          <w:lang w:val="en-US" w:eastAsia="zh-CN"/>
        </w:rPr>
        <w:t>欢迎</w:t>
      </w:r>
      <w:r w:rsidR="00A71F25" w:rsidRPr="00A71F25">
        <w:rPr>
          <w:rFonts w:hint="eastAsia"/>
          <w:sz w:val="24"/>
          <w:szCs w:val="24"/>
          <w:lang w:val="en-US" w:eastAsia="zh-CN"/>
        </w:rPr>
        <w:t>其他公约、组织和方案的理事机构为支持协调一致地执行和监测《昆蒙框架》</w:t>
      </w:r>
      <w:r w:rsidR="00A71F25" w:rsidRPr="00A71F25">
        <w:rPr>
          <w:rFonts w:ascii="SimSun" w:hAnsi="SimSun" w:cs="SimSun" w:hint="eastAsia"/>
          <w:sz w:val="24"/>
          <w:szCs w:val="24"/>
          <w:lang w:val="en-CA" w:eastAsia="zh-CN"/>
        </w:rPr>
        <w:t>而通过的决议和决定</w:t>
      </w:r>
      <w:r w:rsidR="00A71F25" w:rsidRPr="00A71F25">
        <w:rPr>
          <w:rFonts w:hint="eastAsia"/>
          <w:sz w:val="24"/>
          <w:szCs w:val="24"/>
          <w:lang w:val="en-US" w:eastAsia="zh-CN"/>
        </w:rPr>
        <w:t>，包括将生物多样性纳入各行各业主流；</w:t>
      </w:r>
    </w:p>
    <w:p w14:paraId="13756DE4"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邀请</w:t>
      </w:r>
      <w:r w:rsidRPr="00A71F25">
        <w:rPr>
          <w:rFonts w:hint="eastAsia"/>
          <w:sz w:val="24"/>
          <w:szCs w:val="24"/>
          <w:lang w:val="en-US" w:eastAsia="zh-CN"/>
        </w:rPr>
        <w:t>所有相关公约、组织和方案的理事机构继续通过相互支持的决定或决定要素，加强在制定国际政策和执行里约三公约、生物多样性相关公约及其他相关多边环境协定方面的合作和一致性，并在各自职权范围内加速和促进各级执行《</w:t>
      </w:r>
      <w:r w:rsidR="009715A2">
        <w:rPr>
          <w:rFonts w:hint="eastAsia"/>
          <w:sz w:val="24"/>
          <w:szCs w:val="24"/>
          <w:lang w:val="en-US" w:eastAsia="zh-CN"/>
        </w:rPr>
        <w:t>昆蒙</w:t>
      </w:r>
      <w:r w:rsidRPr="00A71F25">
        <w:rPr>
          <w:rFonts w:hint="eastAsia"/>
          <w:sz w:val="24"/>
          <w:szCs w:val="24"/>
          <w:lang w:val="en-US" w:eastAsia="zh-CN"/>
        </w:rPr>
        <w:t>框架》和监测进展的行动，加速和促进取得显著成果；</w:t>
      </w:r>
    </w:p>
    <w:p w14:paraId="1B057D13"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sz w:val="24"/>
          <w:szCs w:val="24"/>
          <w:lang w:val="en-US" w:eastAsia="zh-CN"/>
        </w:rPr>
        <w:t xml:space="preserve"> </w:t>
      </w:r>
      <w:r>
        <w:rPr>
          <w:sz w:val="24"/>
          <w:szCs w:val="24"/>
          <w:lang w:val="en-US" w:eastAsia="zh-CN"/>
        </w:rPr>
        <w:t>[</w:t>
      </w:r>
      <w:r w:rsidRPr="009715A2">
        <w:rPr>
          <w:rFonts w:eastAsia="KaiTi" w:hint="eastAsia"/>
          <w:sz w:val="24"/>
          <w:szCs w:val="24"/>
          <w:lang w:val="en-US" w:eastAsia="zh-CN"/>
        </w:rPr>
        <w:t>为</w:t>
      </w:r>
      <w:r w:rsidRPr="009715A2">
        <w:rPr>
          <w:rFonts w:eastAsia="KaiTi" w:hint="eastAsia"/>
          <w:sz w:val="24"/>
          <w:szCs w:val="24"/>
          <w:lang w:val="en-CA" w:eastAsia="zh-CN"/>
        </w:rPr>
        <w:t>科学</w:t>
      </w:r>
      <w:r w:rsidRPr="00A71F25">
        <w:rPr>
          <w:rFonts w:hint="eastAsia"/>
          <w:sz w:val="24"/>
          <w:szCs w:val="24"/>
          <w:lang w:val="en-CA" w:eastAsia="zh-CN"/>
        </w:rPr>
        <w:t>、</w:t>
      </w:r>
      <w:r w:rsidRPr="00A71F25">
        <w:rPr>
          <w:rFonts w:ascii="SimSun" w:hAnsi="SimSun" w:cs="SimSun" w:hint="eastAsia"/>
          <w:sz w:val="24"/>
          <w:szCs w:val="24"/>
          <w:lang w:val="en-CA" w:eastAsia="zh-CN"/>
        </w:rPr>
        <w:t>技术和工艺咨询附属机构第</w:t>
      </w:r>
      <w:hyperlink r:id="rId15" w:history="1">
        <w:r w:rsidRPr="009715A2">
          <w:rPr>
            <w:rStyle w:val="Hyperlink"/>
            <w:sz w:val="24"/>
            <w:szCs w:val="24"/>
            <w:lang w:val="en-CA" w:eastAsia="zh-CN"/>
          </w:rPr>
          <w:t>27/3</w:t>
        </w:r>
      </w:hyperlink>
      <w:r w:rsidRPr="00A71F25">
        <w:rPr>
          <w:rFonts w:hint="eastAsia"/>
          <w:sz w:val="24"/>
          <w:szCs w:val="24"/>
          <w:lang w:val="en-CA" w:eastAsia="zh-CN"/>
        </w:rPr>
        <w:t>号建议第</w:t>
      </w:r>
      <w:r w:rsidRPr="00A71F25">
        <w:rPr>
          <w:sz w:val="24"/>
          <w:szCs w:val="24"/>
          <w:lang w:val="en-CA" w:eastAsia="zh-CN"/>
        </w:rPr>
        <w:t>6</w:t>
      </w:r>
      <w:r w:rsidRPr="00A71F25">
        <w:rPr>
          <w:rFonts w:hint="eastAsia"/>
          <w:sz w:val="24"/>
          <w:szCs w:val="24"/>
          <w:lang w:val="en-CA" w:eastAsia="zh-CN"/>
        </w:rPr>
        <w:t>段的成果相关内容预留</w:t>
      </w:r>
      <w:r w:rsidR="009715A2">
        <w:rPr>
          <w:rFonts w:hint="eastAsia"/>
          <w:sz w:val="24"/>
          <w:szCs w:val="24"/>
          <w:lang w:val="en-CA" w:eastAsia="zh-CN"/>
        </w:rPr>
        <w:t>占位符</w:t>
      </w:r>
      <w:proofErr w:type="gramStart"/>
      <w:r>
        <w:rPr>
          <w:sz w:val="24"/>
          <w:szCs w:val="24"/>
          <w:lang w:val="en-US" w:eastAsia="zh-CN"/>
        </w:rPr>
        <w:t>]</w:t>
      </w:r>
      <w:r w:rsidRPr="00A71F25">
        <w:rPr>
          <w:rFonts w:hint="eastAsia"/>
          <w:sz w:val="24"/>
          <w:szCs w:val="24"/>
          <w:lang w:val="en-US" w:eastAsia="zh-CN"/>
        </w:rPr>
        <w:t>；</w:t>
      </w:r>
      <w:proofErr w:type="gramEnd"/>
    </w:p>
    <w:p w14:paraId="3C9C130D"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邀请</w:t>
      </w:r>
      <w:r w:rsidRPr="00A71F25">
        <w:rPr>
          <w:rFonts w:hint="eastAsia"/>
          <w:sz w:val="24"/>
          <w:szCs w:val="24"/>
          <w:lang w:val="en-US" w:eastAsia="zh-CN"/>
        </w:rPr>
        <w:t>缔约方和其他国家政府继续加强《生物多样性公约》及其议定书的国家联络点、与执行《昆蒙框架》相关的其他公约和进程的国家联络点以及</w:t>
      </w:r>
      <w:r w:rsidRPr="00A71F25">
        <w:rPr>
          <w:rFonts w:hint="eastAsia"/>
          <w:sz w:val="24"/>
          <w:szCs w:val="24"/>
          <w:lang w:val="en-US" w:eastAsia="zh-CN"/>
        </w:rPr>
        <w:lastRenderedPageBreak/>
        <w:t>相关利益攸关方之间的国家合作与协调，根据国家优先事项和具体情况，制定和执行国家生物多样性战略和行动计划，编写国家报告；</w:t>
      </w:r>
    </w:p>
    <w:p w14:paraId="4A93A8B2" w14:textId="77777777" w:rsidR="00A71F25" w:rsidRPr="00A71F25" w:rsidRDefault="009715A2" w:rsidP="00863536">
      <w:pPr>
        <w:tabs>
          <w:tab w:val="clear" w:pos="567"/>
          <w:tab w:val="clear" w:pos="1134"/>
          <w:tab w:val="clear" w:pos="1701"/>
          <w:tab w:val="clear" w:pos="2268"/>
        </w:tabs>
        <w:spacing w:before="120" w:after="120" w:line="240" w:lineRule="atLeast"/>
        <w:ind w:left="979" w:firstLine="490"/>
        <w:jc w:val="left"/>
        <w:rPr>
          <w:sz w:val="24"/>
          <w:szCs w:val="24"/>
          <w:lang w:val="en-CA" w:eastAsia="zh-CN"/>
        </w:rPr>
      </w:pPr>
      <w:r>
        <w:rPr>
          <w:sz w:val="24"/>
          <w:szCs w:val="24"/>
          <w:lang w:val="en-US" w:eastAsia="zh-CN"/>
        </w:rPr>
        <w:t>[13</w:t>
      </w:r>
      <w:r w:rsidR="00AB73A4" w:rsidRPr="00A71F25">
        <w:rPr>
          <w:sz w:val="24"/>
          <w:szCs w:val="24"/>
          <w:lang w:val="en-US" w:eastAsia="zh-CN"/>
        </w:rPr>
        <w:t xml:space="preserve">. </w:t>
      </w:r>
      <w:r w:rsidR="00A71F25" w:rsidRPr="00A71F25">
        <w:rPr>
          <w:sz w:val="24"/>
          <w:szCs w:val="24"/>
          <w:lang w:val="en-US" w:eastAsia="zh-CN"/>
        </w:rPr>
        <w:t xml:space="preserve">  </w:t>
      </w:r>
      <w:r w:rsidR="00A71F25" w:rsidRPr="00A71F25">
        <w:rPr>
          <w:rFonts w:ascii="KaiTi" w:eastAsia="KaiTi" w:hAnsi="KaiTi" w:hint="eastAsia"/>
          <w:sz w:val="24"/>
          <w:szCs w:val="24"/>
          <w:lang w:val="en-US" w:eastAsia="zh-CN"/>
        </w:rPr>
        <w:t>邀请</w:t>
      </w:r>
      <w:r w:rsidR="00A71F25" w:rsidRPr="00A71F25">
        <w:rPr>
          <w:rFonts w:hint="eastAsia"/>
          <w:sz w:val="24"/>
          <w:szCs w:val="24"/>
          <w:lang w:val="en-US" w:eastAsia="zh-CN"/>
        </w:rPr>
        <w:t>缔约方</w:t>
      </w:r>
      <w:r w:rsidR="00211F36">
        <w:rPr>
          <w:sz w:val="24"/>
          <w:szCs w:val="24"/>
          <w:lang w:val="en-US" w:eastAsia="zh-CN"/>
        </w:rPr>
        <w:t>[</w:t>
      </w:r>
      <w:r w:rsidR="00211F36">
        <w:rPr>
          <w:rFonts w:hint="eastAsia"/>
          <w:sz w:val="24"/>
          <w:szCs w:val="24"/>
          <w:lang w:val="en-US" w:eastAsia="zh-CN"/>
        </w:rPr>
        <w:t>酌情</w:t>
      </w:r>
      <w:r w:rsidR="00211F36">
        <w:rPr>
          <w:sz w:val="24"/>
          <w:szCs w:val="24"/>
          <w:lang w:val="en-US" w:eastAsia="zh-CN"/>
        </w:rPr>
        <w:t xml:space="preserve">] </w:t>
      </w:r>
      <w:r>
        <w:rPr>
          <w:sz w:val="24"/>
          <w:szCs w:val="24"/>
          <w:lang w:val="en-US" w:eastAsia="zh-CN"/>
        </w:rPr>
        <w:t>[</w:t>
      </w:r>
      <w:r>
        <w:rPr>
          <w:rFonts w:hint="eastAsia"/>
          <w:sz w:val="24"/>
          <w:szCs w:val="24"/>
          <w:lang w:val="en-US" w:eastAsia="zh-CN"/>
        </w:rPr>
        <w:t>根据</w:t>
      </w:r>
      <w:r w:rsidR="00211F36" w:rsidRPr="00211F36">
        <w:rPr>
          <w:rFonts w:hint="eastAsia"/>
          <w:sz w:val="24"/>
          <w:szCs w:val="24"/>
          <w:lang w:eastAsia="zh-CN"/>
        </w:rPr>
        <w:t>共同但有区别的责任</w:t>
      </w:r>
      <w:r w:rsidR="00211F36">
        <w:rPr>
          <w:rFonts w:hint="eastAsia"/>
          <w:sz w:val="24"/>
          <w:szCs w:val="24"/>
          <w:lang w:eastAsia="zh-CN"/>
        </w:rPr>
        <w:t>原则，并认识到凡为养护、保护、恢复或可持续利用生物多样性所采取的措施，包括单方面措施，均不应构成任意或毫无依据的歧视或伪装下的对国际贸易的限制，</w:t>
      </w:r>
      <w:r>
        <w:rPr>
          <w:sz w:val="24"/>
          <w:szCs w:val="24"/>
          <w:lang w:val="en-US" w:eastAsia="zh-CN"/>
        </w:rPr>
        <w:t>]</w:t>
      </w:r>
      <w:r w:rsidR="00A71F25" w:rsidRPr="00A71F25">
        <w:rPr>
          <w:rFonts w:hint="eastAsia"/>
          <w:sz w:val="24"/>
          <w:szCs w:val="24"/>
          <w:lang w:val="en-US" w:eastAsia="zh-CN"/>
        </w:rPr>
        <w:t>考虑促进和加强</w:t>
      </w:r>
      <w:r w:rsidR="00A71F25" w:rsidRPr="00A71F25">
        <w:rPr>
          <w:rFonts w:hint="eastAsia"/>
          <w:sz w:val="24"/>
          <w:szCs w:val="24"/>
          <w:lang w:val="en-CA" w:eastAsia="zh-CN"/>
        </w:rPr>
        <w:t>《公约》与环境部门以外其他部门</w:t>
      </w:r>
      <w:r w:rsidR="002015D4">
        <w:rPr>
          <w:rFonts w:hint="eastAsia"/>
          <w:sz w:val="24"/>
          <w:szCs w:val="24"/>
          <w:lang w:val="en-CA" w:eastAsia="zh-CN"/>
        </w:rPr>
        <w:t>的</w:t>
      </w:r>
      <w:r w:rsidR="00A71F25" w:rsidRPr="00A71F25">
        <w:rPr>
          <w:rFonts w:hint="eastAsia"/>
          <w:sz w:val="24"/>
          <w:szCs w:val="24"/>
          <w:lang w:val="en-CA" w:eastAsia="zh-CN"/>
        </w:rPr>
        <w:t>多边协定之间产生协同增效作用的机会</w:t>
      </w:r>
      <w:r>
        <w:rPr>
          <w:sz w:val="24"/>
          <w:szCs w:val="24"/>
          <w:lang w:val="en-CA" w:eastAsia="zh-CN"/>
        </w:rPr>
        <w:t>]</w:t>
      </w:r>
      <w:r w:rsidR="00A71F25" w:rsidRPr="00A71F25">
        <w:rPr>
          <w:sz w:val="24"/>
          <w:szCs w:val="24"/>
          <w:lang w:val="en-CA" w:eastAsia="zh-CN"/>
        </w:rPr>
        <w:t>;</w:t>
      </w:r>
    </w:p>
    <w:p w14:paraId="1DBB9FBD" w14:textId="77777777" w:rsidR="00A71F25" w:rsidRPr="00A71F25" w:rsidRDefault="00A71F25" w:rsidP="002015D4">
      <w:pPr>
        <w:numPr>
          <w:ilvl w:val="0"/>
          <w:numId w:val="24"/>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鼓励</w:t>
      </w:r>
      <w:r w:rsidRPr="00A71F25">
        <w:rPr>
          <w:rFonts w:hint="eastAsia"/>
          <w:sz w:val="24"/>
          <w:szCs w:val="24"/>
          <w:lang w:val="en-US" w:eastAsia="zh-CN"/>
        </w:rPr>
        <w:t>其他里约公约、生物多样性相关公约和其他相关多边环境协定以及其他相关组织的秘书处在各自职权范围内酌情继续加强在执行《昆蒙框架》和监测进展方面的协作、合作和一致性；</w:t>
      </w:r>
      <w:r w:rsidRPr="00A71F25">
        <w:rPr>
          <w:sz w:val="24"/>
          <w:szCs w:val="24"/>
          <w:lang w:val="en-US" w:eastAsia="zh-CN"/>
        </w:rPr>
        <w:t xml:space="preserve"> </w:t>
      </w:r>
    </w:p>
    <w:p w14:paraId="41EBDECA" w14:textId="77777777" w:rsidR="00A71F25" w:rsidRPr="00A71F25" w:rsidRDefault="002015D4" w:rsidP="002015D4">
      <w:pPr>
        <w:tabs>
          <w:tab w:val="clear" w:pos="567"/>
          <w:tab w:val="clear" w:pos="1134"/>
          <w:tab w:val="clear" w:pos="1701"/>
          <w:tab w:val="clear" w:pos="2268"/>
        </w:tabs>
        <w:spacing w:before="120" w:after="120" w:line="240" w:lineRule="atLeast"/>
        <w:ind w:left="979" w:firstLine="490"/>
        <w:jc w:val="left"/>
        <w:rPr>
          <w:sz w:val="24"/>
          <w:szCs w:val="24"/>
          <w:lang w:val="en-CA" w:eastAsia="zh-CN"/>
        </w:rPr>
      </w:pPr>
      <w:r>
        <w:rPr>
          <w:sz w:val="24"/>
          <w:szCs w:val="24"/>
          <w:lang w:val="en-US" w:eastAsia="zh-CN"/>
        </w:rPr>
        <w:t>[15.</w:t>
      </w:r>
      <w:r>
        <w:rPr>
          <w:sz w:val="24"/>
          <w:szCs w:val="24"/>
          <w:lang w:val="en-US" w:eastAsia="zh-CN"/>
        </w:rPr>
        <w:tab/>
      </w:r>
      <w:r w:rsidR="00A71F25" w:rsidRPr="002015D4">
        <w:rPr>
          <w:rFonts w:ascii="KaiTi" w:eastAsia="KaiTi" w:hAnsi="KaiTi" w:hint="eastAsia"/>
          <w:sz w:val="24"/>
          <w:szCs w:val="24"/>
          <w:lang w:val="en-US" w:eastAsia="zh-CN"/>
        </w:rPr>
        <w:t>邀请</w:t>
      </w:r>
      <w:r w:rsidR="00A71F25" w:rsidRPr="002015D4">
        <w:rPr>
          <w:rFonts w:hint="eastAsia"/>
          <w:sz w:val="24"/>
          <w:szCs w:val="24"/>
          <w:lang w:val="en-US" w:eastAsia="zh-CN"/>
        </w:rPr>
        <w:t>联合国环境规划署以伯尔尼进程为基础</w:t>
      </w:r>
      <w:r w:rsidR="00A71F25" w:rsidRPr="00A71F25">
        <w:rPr>
          <w:rFonts w:hint="eastAsia"/>
          <w:sz w:val="24"/>
          <w:szCs w:val="24"/>
          <w:lang w:val="en-CA" w:eastAsia="zh-CN"/>
        </w:rPr>
        <w:t>，继续加强生物多样性相关公约和其他相关多边环境协定之间的相互合作，促进以高成效和高效率的方式执行《</w:t>
      </w:r>
      <w:r>
        <w:rPr>
          <w:rFonts w:hint="eastAsia"/>
          <w:sz w:val="24"/>
          <w:szCs w:val="24"/>
          <w:lang w:val="en-CA" w:eastAsia="zh-CN"/>
        </w:rPr>
        <w:t>昆蒙</w:t>
      </w:r>
      <w:r w:rsidR="00A71F25" w:rsidRPr="00A71F25">
        <w:rPr>
          <w:rFonts w:hint="eastAsia"/>
          <w:sz w:val="24"/>
          <w:szCs w:val="24"/>
          <w:lang w:val="en-CA" w:eastAsia="zh-CN"/>
        </w:rPr>
        <w:t>框架》，包括为此处理《昆蒙框架》</w:t>
      </w:r>
      <w:r>
        <w:rPr>
          <w:rFonts w:hint="eastAsia"/>
          <w:sz w:val="24"/>
          <w:szCs w:val="24"/>
          <w:lang w:val="en-CA" w:eastAsia="zh-CN"/>
        </w:rPr>
        <w:t>集体</w:t>
      </w:r>
      <w:r w:rsidR="00A71F25" w:rsidRPr="00A71F25">
        <w:rPr>
          <w:rFonts w:hint="eastAsia"/>
          <w:sz w:val="24"/>
          <w:szCs w:val="24"/>
          <w:lang w:val="en-CA" w:eastAsia="zh-CN"/>
        </w:rPr>
        <w:t>执行</w:t>
      </w:r>
      <w:r>
        <w:rPr>
          <w:rFonts w:hint="eastAsia"/>
          <w:sz w:val="24"/>
          <w:szCs w:val="24"/>
          <w:lang w:val="en-CA" w:eastAsia="zh-CN"/>
        </w:rPr>
        <w:t>进度</w:t>
      </w:r>
      <w:r w:rsidR="00A71F25" w:rsidRPr="00A71F25">
        <w:rPr>
          <w:rFonts w:hint="eastAsia"/>
          <w:sz w:val="24"/>
          <w:szCs w:val="24"/>
          <w:lang w:val="en-CA" w:eastAsia="zh-CN"/>
        </w:rPr>
        <w:t>全球审查的结果，并请执行秘书继续参与伯尔尼进程</w:t>
      </w:r>
      <w:r>
        <w:rPr>
          <w:rFonts w:hint="eastAsia"/>
          <w:sz w:val="24"/>
          <w:szCs w:val="24"/>
          <w:lang w:val="en-CA" w:eastAsia="zh-CN"/>
        </w:rPr>
        <w:t>；</w:t>
      </w:r>
      <w:r>
        <w:rPr>
          <w:sz w:val="24"/>
          <w:szCs w:val="24"/>
          <w:lang w:val="en-CA" w:eastAsia="zh-CN"/>
        </w:rPr>
        <w:t>]</w:t>
      </w:r>
    </w:p>
    <w:p w14:paraId="10CED004" w14:textId="77777777" w:rsidR="00A71F25" w:rsidRPr="00AB73A4" w:rsidRDefault="002015D4" w:rsidP="002015D4">
      <w:pPr>
        <w:tabs>
          <w:tab w:val="clear" w:pos="567"/>
          <w:tab w:val="clear" w:pos="1134"/>
          <w:tab w:val="clear" w:pos="1701"/>
          <w:tab w:val="clear" w:pos="2268"/>
        </w:tabs>
        <w:spacing w:before="120" w:after="120" w:line="240" w:lineRule="atLeast"/>
        <w:ind w:left="979" w:firstLine="490"/>
        <w:jc w:val="left"/>
        <w:rPr>
          <w:i/>
          <w:sz w:val="24"/>
          <w:szCs w:val="24"/>
          <w:lang w:eastAsia="zh-CN"/>
        </w:rPr>
      </w:pPr>
      <w:r>
        <w:rPr>
          <w:sz w:val="24"/>
          <w:szCs w:val="24"/>
          <w:lang w:val="en-US" w:eastAsia="zh-CN"/>
        </w:rPr>
        <w:t>16.</w:t>
      </w:r>
      <w:r>
        <w:rPr>
          <w:sz w:val="24"/>
          <w:szCs w:val="24"/>
          <w:lang w:val="en-US" w:eastAsia="zh-CN"/>
        </w:rPr>
        <w:tab/>
      </w:r>
      <w:r w:rsidR="00A71F25" w:rsidRPr="002015D4">
        <w:rPr>
          <w:rFonts w:ascii="KaiTi" w:eastAsia="KaiTi" w:hAnsi="KaiTi" w:hint="eastAsia"/>
          <w:sz w:val="24"/>
          <w:szCs w:val="24"/>
          <w:lang w:val="en-US" w:eastAsia="zh-CN"/>
        </w:rPr>
        <w:t>请</w:t>
      </w:r>
      <w:r w:rsidR="00A71F25" w:rsidRPr="002015D4">
        <w:rPr>
          <w:rFonts w:hint="eastAsia"/>
          <w:sz w:val="24"/>
          <w:szCs w:val="24"/>
          <w:lang w:val="en-US" w:eastAsia="zh-CN"/>
        </w:rPr>
        <w:t>生物多样性公约执行秘书在资源许可的情况下进行以下工作</w:t>
      </w:r>
      <w:r w:rsidR="00A71F25" w:rsidRPr="00AB73A4">
        <w:rPr>
          <w:rFonts w:hint="eastAsia"/>
          <w:sz w:val="24"/>
          <w:szCs w:val="24"/>
          <w:lang w:eastAsia="zh-CN"/>
        </w:rPr>
        <w:t>：</w:t>
      </w:r>
    </w:p>
    <w:p w14:paraId="690EDAC1" w14:textId="77777777" w:rsidR="00A71F25" w:rsidRPr="00A71F25"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(a)</w:t>
      </w:r>
      <w:r w:rsidRPr="00A71F25">
        <w:rPr>
          <w:sz w:val="24"/>
          <w:szCs w:val="24"/>
          <w:lang w:eastAsia="zh-CN"/>
        </w:rPr>
        <w:tab/>
      </w:r>
      <w:r w:rsidRPr="00A71F25">
        <w:rPr>
          <w:rFonts w:hint="eastAsia"/>
          <w:sz w:val="24"/>
          <w:szCs w:val="24"/>
          <w:lang w:val="zh-CN" w:eastAsia="zh-CN"/>
        </w:rPr>
        <w:t>与其他里约公约、生物多样性相关公约和其他相关多边环境协定的秘书处</w:t>
      </w:r>
      <w:r w:rsidR="002015D4">
        <w:rPr>
          <w:rFonts w:hint="eastAsia"/>
          <w:sz w:val="24"/>
          <w:szCs w:val="24"/>
          <w:lang w:val="zh-CN" w:eastAsia="zh-CN"/>
        </w:rPr>
        <w:t>、联合国实体</w:t>
      </w:r>
      <w:r w:rsidRPr="00A71F25">
        <w:rPr>
          <w:rFonts w:hint="eastAsia"/>
          <w:sz w:val="24"/>
          <w:szCs w:val="24"/>
          <w:lang w:val="zh-CN" w:eastAsia="zh-CN"/>
        </w:rPr>
        <w:t>和其他相关组织进一步持续开展协作与合作</w:t>
      </w:r>
      <w:r w:rsidRPr="00A71F25">
        <w:rPr>
          <w:rFonts w:hint="eastAsia"/>
          <w:sz w:val="24"/>
          <w:szCs w:val="24"/>
          <w:lang w:eastAsia="zh-CN"/>
        </w:rPr>
        <w:t>，</w:t>
      </w:r>
      <w:r w:rsidR="002015D4" w:rsidRPr="00A71F25">
        <w:rPr>
          <w:rFonts w:hint="eastAsia"/>
          <w:sz w:val="24"/>
          <w:szCs w:val="24"/>
          <w:lang w:val="zh-CN" w:eastAsia="zh-CN"/>
        </w:rPr>
        <w:t>支持</w:t>
      </w:r>
      <w:r w:rsidR="002015D4">
        <w:rPr>
          <w:sz w:val="24"/>
          <w:szCs w:val="24"/>
          <w:lang w:eastAsia="zh-CN"/>
        </w:rPr>
        <w:t xml:space="preserve"> [</w:t>
      </w:r>
      <w:r w:rsidR="002015D4">
        <w:rPr>
          <w:rFonts w:hint="eastAsia"/>
          <w:sz w:val="24"/>
          <w:szCs w:val="24"/>
          <w:lang w:eastAsia="zh-CN"/>
        </w:rPr>
        <w:t>《公约》和</w:t>
      </w:r>
      <w:r w:rsidR="002015D4">
        <w:rPr>
          <w:sz w:val="24"/>
          <w:szCs w:val="24"/>
          <w:lang w:eastAsia="zh-CN"/>
        </w:rPr>
        <w:t>]</w:t>
      </w:r>
      <w:r w:rsidR="002015D4">
        <w:rPr>
          <w:rFonts w:hint="eastAsia"/>
          <w:sz w:val="24"/>
          <w:szCs w:val="24"/>
          <w:lang w:eastAsia="zh-CN"/>
        </w:rPr>
        <w:t>《昆蒙框架》执行中的</w:t>
      </w:r>
      <w:r w:rsidRPr="00A71F25">
        <w:rPr>
          <w:rFonts w:hint="eastAsia"/>
          <w:sz w:val="24"/>
          <w:szCs w:val="24"/>
          <w:lang w:val="zh-CN" w:eastAsia="zh-CN"/>
        </w:rPr>
        <w:t>互补性努力</w:t>
      </w:r>
      <w:r w:rsidRPr="00A71F25">
        <w:rPr>
          <w:rFonts w:hint="eastAsia"/>
          <w:sz w:val="24"/>
          <w:szCs w:val="24"/>
          <w:lang w:eastAsia="zh-CN"/>
        </w:rPr>
        <w:t>，</w:t>
      </w:r>
      <w:proofErr w:type="gramStart"/>
      <w:r w:rsidRPr="00A71F25">
        <w:rPr>
          <w:rFonts w:hint="eastAsia"/>
          <w:sz w:val="24"/>
          <w:szCs w:val="24"/>
          <w:lang w:val="zh-CN" w:eastAsia="zh-CN"/>
        </w:rPr>
        <w:t>但不妨碍</w:t>
      </w:r>
      <w:r w:rsidR="002015D4">
        <w:rPr>
          <w:rFonts w:hint="eastAsia"/>
          <w:sz w:val="24"/>
          <w:szCs w:val="24"/>
          <w:lang w:val="zh-CN" w:eastAsia="zh-CN"/>
        </w:rPr>
        <w:t>其各自的目标和任务授权</w:t>
      </w:r>
      <w:r w:rsidRPr="00A71F25">
        <w:rPr>
          <w:rFonts w:hint="eastAsia"/>
          <w:sz w:val="24"/>
          <w:szCs w:val="24"/>
          <w:lang w:eastAsia="zh-CN"/>
        </w:rPr>
        <w:t>；</w:t>
      </w:r>
      <w:proofErr w:type="gramEnd"/>
    </w:p>
    <w:p w14:paraId="79EB0BE1" w14:textId="77777777" w:rsidR="00A71F25" w:rsidRPr="00A71F25"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A71F25">
        <w:rPr>
          <w:rFonts w:ascii="SimSun"/>
          <w:b/>
          <w:sz w:val="24"/>
          <w:szCs w:val="24"/>
          <w:lang w:eastAsia="zh-CN"/>
        </w:rPr>
        <w:t>(</w:t>
      </w:r>
      <w:r w:rsidR="002015D4">
        <w:rPr>
          <w:rFonts w:ascii="SimSun"/>
          <w:b/>
          <w:sz w:val="24"/>
          <w:szCs w:val="24"/>
          <w:lang w:eastAsia="zh-CN"/>
        </w:rPr>
        <w:t>b</w:t>
      </w:r>
      <w:r w:rsidRPr="00A71F25">
        <w:rPr>
          <w:rFonts w:ascii="SimSun"/>
          <w:b/>
          <w:sz w:val="24"/>
          <w:szCs w:val="24"/>
          <w:lang w:eastAsia="zh-CN"/>
        </w:rPr>
        <w:t>)</w:t>
      </w:r>
      <w:r w:rsidRPr="00A71F25">
        <w:rPr>
          <w:rFonts w:ascii="SimSun"/>
          <w:sz w:val="24"/>
          <w:szCs w:val="24"/>
          <w:lang w:eastAsia="zh-CN"/>
        </w:rPr>
        <w:t xml:space="preserve"> </w:t>
      </w:r>
      <w:r w:rsidRPr="00A71F25">
        <w:rPr>
          <w:rFonts w:hint="eastAsia"/>
          <w:sz w:val="24"/>
          <w:szCs w:val="24"/>
          <w:lang w:val="zh-CN" w:eastAsia="zh-CN"/>
        </w:rPr>
        <w:t>征求缔约方、其他国家政府、</w:t>
      </w:r>
      <w:r w:rsidR="0031699E">
        <w:rPr>
          <w:rFonts w:hint="eastAsia"/>
          <w:sz w:val="24"/>
          <w:szCs w:val="24"/>
          <w:lang w:val="zh-CN" w:eastAsia="zh-CN"/>
        </w:rPr>
        <w:t>里约三</w:t>
      </w:r>
      <w:r w:rsidRPr="00A71F25">
        <w:rPr>
          <w:rFonts w:hint="eastAsia"/>
          <w:sz w:val="24"/>
          <w:szCs w:val="24"/>
          <w:lang w:val="zh-CN" w:eastAsia="zh-CN"/>
        </w:rPr>
        <w:t>公约</w:t>
      </w:r>
      <w:r w:rsidR="0031699E" w:rsidRPr="00A71F25">
        <w:rPr>
          <w:rFonts w:hint="eastAsia"/>
          <w:sz w:val="24"/>
          <w:szCs w:val="24"/>
          <w:lang w:val="zh-CN" w:eastAsia="zh-CN"/>
        </w:rPr>
        <w:t>秘书处</w:t>
      </w:r>
      <w:r w:rsidR="0031699E">
        <w:rPr>
          <w:rFonts w:hint="eastAsia"/>
          <w:sz w:val="24"/>
          <w:szCs w:val="24"/>
          <w:lang w:val="zh-CN" w:eastAsia="zh-CN"/>
        </w:rPr>
        <w:t>、生物多样性相关公约、其他多边环境协定、相关</w:t>
      </w:r>
      <w:r w:rsidRPr="00A71F25">
        <w:rPr>
          <w:rFonts w:hint="eastAsia"/>
          <w:sz w:val="24"/>
          <w:szCs w:val="24"/>
          <w:lang w:val="zh-CN" w:eastAsia="zh-CN"/>
        </w:rPr>
        <w:t>组织、土著人民和地方社区、妇女</w:t>
      </w:r>
      <w:r w:rsidR="0031699E">
        <w:rPr>
          <w:rFonts w:hint="eastAsia"/>
          <w:sz w:val="24"/>
          <w:szCs w:val="24"/>
          <w:lang w:val="zh-CN" w:eastAsia="zh-CN"/>
        </w:rPr>
        <w:t>、</w:t>
      </w:r>
      <w:r w:rsidRPr="00A71F25">
        <w:rPr>
          <w:rFonts w:hint="eastAsia"/>
          <w:sz w:val="24"/>
          <w:szCs w:val="24"/>
          <w:lang w:val="zh-CN" w:eastAsia="zh-CN"/>
        </w:rPr>
        <w:t>青年以及其他利益攸关方的意见</w:t>
      </w:r>
      <w:r w:rsidRPr="00A71F25">
        <w:rPr>
          <w:rFonts w:hint="eastAsia"/>
          <w:sz w:val="24"/>
          <w:szCs w:val="24"/>
          <w:lang w:eastAsia="zh-CN"/>
        </w:rPr>
        <w:t>，</w:t>
      </w:r>
      <w:r w:rsidRPr="00A71F25">
        <w:rPr>
          <w:rFonts w:hint="eastAsia"/>
          <w:sz w:val="24"/>
          <w:szCs w:val="24"/>
          <w:lang w:val="zh-CN" w:eastAsia="zh-CN"/>
        </w:rPr>
        <w:t>以了解如何更系统地评估和跟踪</w:t>
      </w:r>
      <w:r w:rsidR="0031699E">
        <w:rPr>
          <w:rFonts w:hint="eastAsia"/>
          <w:sz w:val="24"/>
          <w:szCs w:val="24"/>
          <w:lang w:val="zh-CN" w:eastAsia="zh-CN"/>
        </w:rPr>
        <w:t>《生物多样性公约》</w:t>
      </w:r>
      <w:r w:rsidRPr="00A71F25">
        <w:rPr>
          <w:rFonts w:hint="eastAsia"/>
          <w:sz w:val="24"/>
          <w:szCs w:val="24"/>
          <w:lang w:val="zh-CN" w:eastAsia="zh-CN"/>
        </w:rPr>
        <w:t>与其他公约和组织合作方面的</w:t>
      </w:r>
      <w:r w:rsidR="0031699E">
        <w:rPr>
          <w:rFonts w:hint="eastAsia"/>
          <w:sz w:val="24"/>
          <w:szCs w:val="24"/>
          <w:lang w:val="zh-CN" w:eastAsia="zh-CN"/>
        </w:rPr>
        <w:t>良好做法、</w:t>
      </w:r>
      <w:r w:rsidRPr="00A71F25">
        <w:rPr>
          <w:rFonts w:hint="eastAsia"/>
          <w:sz w:val="24"/>
          <w:szCs w:val="24"/>
          <w:lang w:val="zh-CN" w:eastAsia="zh-CN"/>
        </w:rPr>
        <w:t>改进</w:t>
      </w:r>
      <w:r w:rsidR="0031699E">
        <w:rPr>
          <w:rFonts w:hint="eastAsia"/>
          <w:sz w:val="24"/>
          <w:szCs w:val="24"/>
          <w:lang w:val="zh-CN" w:eastAsia="zh-CN"/>
        </w:rPr>
        <w:t>和成果</w:t>
      </w:r>
      <w:r w:rsidRPr="00A71F25">
        <w:rPr>
          <w:rFonts w:hint="eastAsia"/>
          <w:sz w:val="24"/>
          <w:szCs w:val="24"/>
          <w:lang w:eastAsia="zh-CN"/>
        </w:rPr>
        <w:t>；</w:t>
      </w:r>
    </w:p>
    <w:p w14:paraId="4933BAE9" w14:textId="77777777" w:rsidR="00A71F25" w:rsidRPr="00A71F25"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(c)</w:t>
      </w:r>
      <w:r w:rsidRPr="00A71F25">
        <w:rPr>
          <w:rFonts w:ascii="SimSun"/>
          <w:sz w:val="24"/>
          <w:szCs w:val="24"/>
          <w:lang w:eastAsia="zh-CN"/>
        </w:rPr>
        <w:tab/>
      </w:r>
      <w:r w:rsidRPr="00A71F25">
        <w:rPr>
          <w:rFonts w:hint="eastAsia"/>
          <w:sz w:val="24"/>
          <w:szCs w:val="24"/>
          <w:lang w:val="zh-CN" w:eastAsia="zh-CN"/>
        </w:rPr>
        <w:t>与里约三公约联合联络小组的其他成员合作</w:t>
      </w:r>
      <w:r w:rsidRPr="00A71F25">
        <w:rPr>
          <w:rFonts w:hint="eastAsia"/>
          <w:sz w:val="24"/>
          <w:szCs w:val="24"/>
          <w:lang w:eastAsia="zh-CN"/>
        </w:rPr>
        <w:t>，</w:t>
      </w:r>
      <w:r w:rsidRPr="00A71F25">
        <w:rPr>
          <w:rFonts w:hint="eastAsia"/>
          <w:sz w:val="24"/>
          <w:szCs w:val="24"/>
          <w:lang w:val="zh-CN" w:eastAsia="zh-CN"/>
        </w:rPr>
        <w:t>分析三项公约在规划、监测、报告和审查框架方面的重叠之处</w:t>
      </w:r>
      <w:r w:rsidRPr="00A71F25">
        <w:rPr>
          <w:rFonts w:hint="eastAsia"/>
          <w:sz w:val="24"/>
          <w:szCs w:val="24"/>
          <w:lang w:eastAsia="zh-CN"/>
        </w:rPr>
        <w:t>，</w:t>
      </w:r>
      <w:r w:rsidRPr="00A71F25">
        <w:rPr>
          <w:rFonts w:hint="eastAsia"/>
          <w:sz w:val="24"/>
          <w:szCs w:val="24"/>
          <w:lang w:val="zh-CN" w:eastAsia="zh-CN"/>
        </w:rPr>
        <w:t>并酌情在其各自职权范围内提出加强协调</w:t>
      </w:r>
      <w:r w:rsidR="0031699E">
        <w:rPr>
          <w:rFonts w:hint="eastAsia"/>
          <w:sz w:val="24"/>
          <w:szCs w:val="24"/>
          <w:lang w:val="zh-CN" w:eastAsia="zh-CN"/>
        </w:rPr>
        <w:t>和简化工作的备选办法</w:t>
      </w:r>
      <w:r w:rsidRPr="00A71F25">
        <w:rPr>
          <w:rFonts w:hint="eastAsia"/>
          <w:sz w:val="24"/>
          <w:szCs w:val="24"/>
          <w:lang w:eastAsia="zh-CN"/>
        </w:rPr>
        <w:t>；</w:t>
      </w:r>
    </w:p>
    <w:p w14:paraId="6096665E" w14:textId="5255830F" w:rsidR="00A71F25" w:rsidRPr="00A71F25" w:rsidRDefault="00552C0C" w:rsidP="0068204A">
      <w:pPr>
        <w:tabs>
          <w:tab w:val="clear" w:pos="567"/>
          <w:tab w:val="clear" w:pos="1134"/>
          <w:tab w:val="clear" w:pos="1701"/>
          <w:tab w:val="clear" w:pos="2268"/>
        </w:tabs>
        <w:topLinePunct/>
        <w:spacing w:after="120"/>
        <w:ind w:left="979" w:firstLine="490"/>
        <w:rPr>
          <w:sz w:val="24"/>
          <w:szCs w:val="24"/>
          <w:lang w:eastAsia="zh-CN"/>
        </w:rPr>
      </w:pPr>
      <w:r>
        <w:rPr>
          <w:sz w:val="24"/>
          <w:szCs w:val="24"/>
          <w:lang w:val="en-US" w:eastAsia="zh-CN"/>
        </w:rPr>
        <w:t>[</w:t>
      </w:r>
      <w:r w:rsidRPr="00A71F25">
        <w:rPr>
          <w:noProof/>
          <w:sz w:val="24"/>
          <w:szCs w:val="24"/>
          <w:lang w:eastAsia="zh-CN"/>
        </w:rPr>
        <w:t xml:space="preserve"> </w:t>
      </w:r>
      <w:r w:rsidR="00A71F25" w:rsidRPr="00A71F25">
        <w:rPr>
          <w:noProof/>
          <w:sz w:val="24"/>
          <w:szCs w:val="24"/>
          <w:lang w:eastAsia="zh-CN"/>
        </w:rPr>
        <w:t>(d)</w:t>
      </w:r>
      <w:r w:rsidR="00A71F25" w:rsidRPr="00A71F25">
        <w:rPr>
          <w:rFonts w:ascii="SimSun"/>
          <w:sz w:val="24"/>
          <w:szCs w:val="24"/>
          <w:lang w:eastAsia="zh-CN"/>
        </w:rPr>
        <w:tab/>
      </w:r>
      <w:r w:rsidR="00A71F25" w:rsidRPr="00A71F25">
        <w:rPr>
          <w:rFonts w:hint="eastAsia"/>
          <w:sz w:val="24"/>
          <w:szCs w:val="24"/>
          <w:lang w:val="zh-CN" w:eastAsia="zh-CN"/>
        </w:rPr>
        <w:t>加强宣传工作</w:t>
      </w:r>
      <w:r w:rsidR="00A71F25" w:rsidRPr="00A71F25">
        <w:rPr>
          <w:rFonts w:hint="eastAsia"/>
          <w:sz w:val="24"/>
          <w:szCs w:val="24"/>
          <w:lang w:eastAsia="zh-CN"/>
        </w:rPr>
        <w:t>，</w:t>
      </w:r>
      <w:r w:rsidR="00A71F25" w:rsidRPr="00A71F25">
        <w:rPr>
          <w:rFonts w:hint="eastAsia"/>
          <w:sz w:val="24"/>
          <w:szCs w:val="24"/>
          <w:lang w:val="zh-CN" w:eastAsia="zh-CN"/>
        </w:rPr>
        <w:t>使其与关于生物多样性丧失、气候变化</w:t>
      </w:r>
      <w:r w:rsidR="00A71F25" w:rsidRPr="0031699E">
        <w:rPr>
          <w:rFonts w:hint="eastAsia"/>
          <w:sz w:val="24"/>
          <w:szCs w:val="24"/>
          <w:lang w:val="zh-CN" w:eastAsia="zh-CN"/>
        </w:rPr>
        <w:t>、土地</w:t>
      </w:r>
      <w:r w:rsidR="00A71F25" w:rsidRPr="00A71F25">
        <w:rPr>
          <w:rFonts w:hint="eastAsia"/>
          <w:sz w:val="24"/>
          <w:szCs w:val="24"/>
          <w:lang w:val="zh-CN" w:eastAsia="zh-CN"/>
        </w:rPr>
        <w:t>退化和污染挑战相互关联的传播、教育和公众意识工作方案的目标相一致</w:t>
      </w:r>
      <w:r w:rsidR="00A71F25" w:rsidRPr="00A71F25">
        <w:rPr>
          <w:rFonts w:hint="eastAsia"/>
          <w:sz w:val="24"/>
          <w:szCs w:val="24"/>
          <w:lang w:eastAsia="zh-CN"/>
        </w:rPr>
        <w:t>，</w:t>
      </w:r>
      <w:r w:rsidR="00A71F25" w:rsidRPr="00A71F25">
        <w:rPr>
          <w:rFonts w:hint="eastAsia"/>
          <w:sz w:val="24"/>
          <w:szCs w:val="24"/>
          <w:lang w:val="zh-CN" w:eastAsia="zh-CN"/>
        </w:rPr>
        <w:t>包括</w:t>
      </w:r>
      <w:r w:rsidR="00353D27">
        <w:rPr>
          <w:rFonts w:hint="eastAsia"/>
          <w:sz w:val="24"/>
          <w:szCs w:val="24"/>
          <w:lang w:val="zh-CN" w:eastAsia="zh-CN"/>
        </w:rPr>
        <w:t>宣传导致</w:t>
      </w:r>
      <w:r w:rsidR="00A71F25" w:rsidRPr="00A71F25">
        <w:rPr>
          <w:rFonts w:hint="eastAsia"/>
          <w:sz w:val="24"/>
          <w:szCs w:val="24"/>
          <w:lang w:val="zh-CN" w:eastAsia="zh-CN"/>
        </w:rPr>
        <w:t>生物多样性丧失的相互关联的直接和间接驱动因素</w:t>
      </w:r>
      <w:r w:rsidR="00A71F25" w:rsidRPr="00A71F25">
        <w:rPr>
          <w:rFonts w:hint="eastAsia"/>
          <w:sz w:val="24"/>
          <w:szCs w:val="24"/>
          <w:lang w:eastAsia="zh-CN"/>
        </w:rPr>
        <w:t>，</w:t>
      </w:r>
      <w:proofErr w:type="gramStart"/>
      <w:r w:rsidR="00A71F25" w:rsidRPr="00A71F25">
        <w:rPr>
          <w:rFonts w:hint="eastAsia"/>
          <w:sz w:val="24"/>
          <w:szCs w:val="24"/>
          <w:lang w:val="zh-CN" w:eastAsia="zh-CN"/>
        </w:rPr>
        <w:t>以及协调应对这些挑战的好处</w:t>
      </w:r>
      <w:r w:rsidR="00A71F25" w:rsidRPr="00A71F25">
        <w:rPr>
          <w:rFonts w:hint="eastAsia"/>
          <w:sz w:val="24"/>
          <w:szCs w:val="24"/>
          <w:lang w:eastAsia="zh-CN"/>
        </w:rPr>
        <w:t>；</w:t>
      </w:r>
      <w:proofErr w:type="gramEnd"/>
    </w:p>
    <w:p w14:paraId="04E2094E" w14:textId="77777777" w:rsidR="00A71F25" w:rsidRPr="00353D27"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AB73A4">
        <w:rPr>
          <w:sz w:val="24"/>
          <w:szCs w:val="24"/>
          <w:lang w:val="en-US" w:eastAsia="zh-CN"/>
        </w:rPr>
        <w:t>(</w:t>
      </w:r>
      <w:r w:rsidR="00353D27">
        <w:rPr>
          <w:rFonts w:ascii="SimSun"/>
          <w:b/>
          <w:sz w:val="24"/>
          <w:szCs w:val="24"/>
          <w:lang w:val="en-US" w:eastAsia="zh-CN"/>
        </w:rPr>
        <w:t>e</w:t>
      </w:r>
      <w:r w:rsidRPr="00AB73A4">
        <w:rPr>
          <w:sz w:val="24"/>
          <w:szCs w:val="24"/>
          <w:lang w:val="en-US" w:eastAsia="zh-CN"/>
        </w:rPr>
        <w:t>)</w:t>
      </w:r>
      <w:r w:rsidRPr="00A71F25">
        <w:rPr>
          <w:sz w:val="24"/>
          <w:szCs w:val="24"/>
          <w:lang w:eastAsia="zh-CN"/>
        </w:rPr>
        <w:tab/>
      </w:r>
      <w:r w:rsidRPr="00A71F25">
        <w:rPr>
          <w:rFonts w:hint="eastAsia"/>
          <w:sz w:val="24"/>
          <w:szCs w:val="24"/>
          <w:lang w:val="zh-CN" w:eastAsia="zh-CN"/>
        </w:rPr>
        <w:t>继续与联合国人权事务高级专员办事处合作</w:t>
      </w:r>
      <w:r w:rsidRPr="00A71F25">
        <w:rPr>
          <w:rFonts w:hint="eastAsia"/>
          <w:sz w:val="24"/>
          <w:szCs w:val="24"/>
          <w:lang w:eastAsia="zh-CN"/>
        </w:rPr>
        <w:t>，</w:t>
      </w:r>
      <w:r w:rsidRPr="00A71F25">
        <w:rPr>
          <w:rFonts w:hint="eastAsia"/>
          <w:sz w:val="24"/>
          <w:szCs w:val="24"/>
          <w:lang w:val="zh-CN" w:eastAsia="zh-CN"/>
        </w:rPr>
        <w:t>并根据</w:t>
      </w:r>
      <w:r>
        <w:fldChar w:fldCharType="begin"/>
      </w:r>
      <w:r>
        <w:instrText>HYPERLINK "https://www.cbd.int/decisions/cop/?m=cop-16"</w:instrText>
      </w:r>
      <w:r>
        <w:fldChar w:fldCharType="separate"/>
      </w:r>
      <w:r w:rsidRPr="00353D27">
        <w:rPr>
          <w:rStyle w:val="Hyperlink"/>
          <w:sz w:val="24"/>
          <w:szCs w:val="24"/>
          <w:lang w:eastAsia="zh-CN"/>
        </w:rPr>
        <w:t>16/35</w:t>
      </w:r>
      <w:r>
        <w:fldChar w:fldCharType="end"/>
      </w:r>
      <w:r w:rsidRPr="00A71F25">
        <w:rPr>
          <w:rFonts w:hint="eastAsia"/>
          <w:sz w:val="24"/>
          <w:szCs w:val="24"/>
          <w:lang w:val="zh-CN" w:eastAsia="zh-CN"/>
        </w:rPr>
        <w:t>号决定第</w:t>
      </w:r>
      <w:r w:rsidRPr="00A71F25">
        <w:rPr>
          <w:sz w:val="24"/>
          <w:szCs w:val="24"/>
          <w:lang w:eastAsia="zh-CN"/>
        </w:rPr>
        <w:t>20</w:t>
      </w:r>
      <w:r w:rsidRPr="00A71F25">
        <w:rPr>
          <w:rFonts w:hint="eastAsia"/>
          <w:sz w:val="24"/>
          <w:szCs w:val="24"/>
          <w:lang w:val="zh-CN" w:eastAsia="zh-CN"/>
        </w:rPr>
        <w:t>段提供由联合国人权事务高级专员办事处制定的关于以人权为基础的实施《昆蒙框架》的工具和指导</w:t>
      </w:r>
      <w:r w:rsidR="00353D27">
        <w:rPr>
          <w:rFonts w:hint="eastAsia"/>
          <w:sz w:val="24"/>
          <w:szCs w:val="24"/>
          <w:lang w:val="zh-CN" w:eastAsia="zh-CN"/>
        </w:rPr>
        <w:t>意见</w:t>
      </w:r>
      <w:r w:rsidRPr="00A71F25">
        <w:rPr>
          <w:rFonts w:hint="eastAsia"/>
          <w:sz w:val="24"/>
          <w:szCs w:val="24"/>
          <w:lang w:eastAsia="zh-CN"/>
        </w:rPr>
        <w:t>；</w:t>
      </w:r>
      <w:r w:rsidR="0068204A">
        <w:rPr>
          <w:rStyle w:val="FootnoteReference"/>
          <w:sz w:val="24"/>
          <w:szCs w:val="24"/>
          <w:lang w:eastAsia="zh-CN"/>
        </w:rPr>
        <w:footnoteReference w:id="7"/>
      </w:r>
    </w:p>
    <w:p w14:paraId="6E8BB10D" w14:textId="77777777" w:rsidR="00A71F25" w:rsidRPr="00A71F25" w:rsidRDefault="00A71F25" w:rsidP="005D24E0">
      <w:pPr>
        <w:widowControl w:val="0"/>
        <w:tabs>
          <w:tab w:val="clear" w:pos="567"/>
          <w:tab w:val="clear" w:pos="1134"/>
          <w:tab w:val="clear" w:pos="1701"/>
          <w:tab w:val="clear" w:pos="2268"/>
        </w:tabs>
        <w:topLinePunct/>
        <w:spacing w:after="120"/>
        <w:ind w:left="979" w:firstLine="490"/>
        <w:rPr>
          <w:sz w:val="24"/>
          <w:szCs w:val="24"/>
          <w:lang w:eastAsia="zh-CN"/>
        </w:rPr>
      </w:pPr>
      <w:r w:rsidRPr="005D24E0">
        <w:rPr>
          <w:sz w:val="24"/>
          <w:szCs w:val="24"/>
          <w:lang w:val="en-US" w:eastAsia="zh-CN"/>
        </w:rPr>
        <w:t>(</w:t>
      </w:r>
      <w:r w:rsidR="00353D27" w:rsidRPr="005D24E0">
        <w:rPr>
          <w:rFonts w:ascii="SimSun"/>
          <w:sz w:val="24"/>
          <w:szCs w:val="24"/>
          <w:lang w:val="en-US" w:eastAsia="zh-CN"/>
        </w:rPr>
        <w:t>f</w:t>
      </w:r>
      <w:r w:rsidRPr="005D24E0">
        <w:rPr>
          <w:sz w:val="24"/>
          <w:szCs w:val="24"/>
          <w:lang w:val="en-US" w:eastAsia="zh-CN"/>
        </w:rPr>
        <w:t>)</w:t>
      </w:r>
      <w:r w:rsidRPr="00A71F25">
        <w:rPr>
          <w:sz w:val="24"/>
          <w:szCs w:val="24"/>
          <w:lang w:eastAsia="zh-CN"/>
        </w:rPr>
        <w:tab/>
      </w:r>
      <w:r w:rsidRPr="00A71F25">
        <w:rPr>
          <w:rFonts w:hint="eastAsia"/>
          <w:sz w:val="24"/>
          <w:szCs w:val="24"/>
          <w:lang w:val="zh-CN" w:eastAsia="zh-CN"/>
        </w:rPr>
        <w:t>与联合国海洋法公约下国家管辖范围以外区域海洋生物多样性的保护和可持续利用协定秘书处</w:t>
      </w:r>
      <w:r w:rsidRPr="00A71F25">
        <w:rPr>
          <w:rFonts w:hint="eastAsia"/>
          <w:sz w:val="24"/>
          <w:szCs w:val="24"/>
          <w:lang w:eastAsia="zh-CN"/>
        </w:rPr>
        <w:t>（</w:t>
      </w:r>
      <w:r w:rsidRPr="00A71F25">
        <w:rPr>
          <w:rFonts w:hint="eastAsia"/>
          <w:sz w:val="24"/>
          <w:szCs w:val="24"/>
          <w:lang w:val="zh-CN" w:eastAsia="zh-CN"/>
        </w:rPr>
        <w:t>包括临时秘书处</w:t>
      </w:r>
      <w:r w:rsidRPr="00A71F25">
        <w:rPr>
          <w:rFonts w:hint="eastAsia"/>
          <w:sz w:val="24"/>
          <w:szCs w:val="24"/>
          <w:lang w:eastAsia="zh-CN"/>
        </w:rPr>
        <w:t>）</w:t>
      </w:r>
      <w:r w:rsidRPr="00A71F25">
        <w:rPr>
          <w:rFonts w:hint="eastAsia"/>
          <w:sz w:val="24"/>
          <w:szCs w:val="24"/>
          <w:lang w:val="zh-CN" w:eastAsia="zh-CN"/>
        </w:rPr>
        <w:t>合作并分享相关信息</w:t>
      </w:r>
      <w:r w:rsidRPr="00A71F25">
        <w:rPr>
          <w:rFonts w:hint="eastAsia"/>
          <w:sz w:val="24"/>
          <w:szCs w:val="24"/>
          <w:lang w:eastAsia="zh-CN"/>
        </w:rPr>
        <w:t>，</w:t>
      </w:r>
      <w:proofErr w:type="gramStart"/>
      <w:r w:rsidRPr="00A71F25">
        <w:rPr>
          <w:rFonts w:hint="eastAsia"/>
          <w:sz w:val="24"/>
          <w:szCs w:val="24"/>
          <w:lang w:val="zh-CN" w:eastAsia="zh-CN"/>
        </w:rPr>
        <w:t>并注意到</w:t>
      </w:r>
      <w:r w:rsidRPr="00A71F25">
        <w:rPr>
          <w:rFonts w:hint="eastAsia"/>
          <w:sz w:val="24"/>
          <w:szCs w:val="24"/>
          <w:lang w:val="zh-CN" w:eastAsia="zh-CN"/>
        </w:rPr>
        <w:lastRenderedPageBreak/>
        <w:t>公约与协定之间潜在的重要协同增效作用</w:t>
      </w:r>
      <w:r w:rsidRPr="00A71F25">
        <w:rPr>
          <w:rFonts w:hint="eastAsia"/>
          <w:sz w:val="24"/>
          <w:szCs w:val="24"/>
          <w:lang w:eastAsia="zh-CN"/>
        </w:rPr>
        <w:t>；</w:t>
      </w:r>
      <w:proofErr w:type="gramEnd"/>
    </w:p>
    <w:p w14:paraId="60F809EC" w14:textId="749282C6" w:rsidR="00552C0C" w:rsidRDefault="00A71F25" w:rsidP="00863536">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w:t>
      </w:r>
      <w:r w:rsidR="00353D27">
        <w:rPr>
          <w:noProof/>
          <w:sz w:val="24"/>
          <w:szCs w:val="24"/>
          <w:lang w:eastAsia="zh-CN"/>
        </w:rPr>
        <w:t>g</w:t>
      </w:r>
      <w:r w:rsidRPr="00A71F25">
        <w:rPr>
          <w:noProof/>
          <w:sz w:val="24"/>
          <w:szCs w:val="24"/>
          <w:lang w:eastAsia="zh-CN"/>
        </w:rPr>
        <w:t>)</w:t>
      </w:r>
      <w:r w:rsidRPr="00A71F25">
        <w:rPr>
          <w:sz w:val="24"/>
          <w:szCs w:val="24"/>
          <w:lang w:eastAsia="zh-CN"/>
        </w:rPr>
        <w:tab/>
      </w:r>
      <w:r w:rsidR="00552C0C" w:rsidRPr="00A71F25">
        <w:rPr>
          <w:rFonts w:hint="eastAsia"/>
          <w:sz w:val="24"/>
          <w:szCs w:val="24"/>
          <w:lang w:val="zh-CN" w:eastAsia="zh-CN"/>
        </w:rPr>
        <w:t>在缔约方大会第十八届会议之前举行的一次会议</w:t>
      </w:r>
      <w:r w:rsidR="00552C0C">
        <w:rPr>
          <w:rFonts w:hint="eastAsia"/>
          <w:sz w:val="24"/>
          <w:szCs w:val="24"/>
          <w:lang w:val="zh-CN" w:eastAsia="zh-CN"/>
        </w:rPr>
        <w:t>上，</w:t>
      </w:r>
      <w:r w:rsidR="00552C0C" w:rsidRPr="00A71F25">
        <w:rPr>
          <w:rFonts w:hint="eastAsia"/>
          <w:sz w:val="24"/>
          <w:szCs w:val="24"/>
          <w:lang w:val="zh-CN" w:eastAsia="zh-CN"/>
        </w:rPr>
        <w:t>向执行问题附属机构</w:t>
      </w:r>
      <w:r w:rsidR="00552C0C">
        <w:rPr>
          <w:rFonts w:hint="eastAsia"/>
          <w:sz w:val="24"/>
          <w:szCs w:val="24"/>
          <w:lang w:val="zh-CN" w:eastAsia="zh-CN"/>
        </w:rPr>
        <w:t>以及</w:t>
      </w:r>
      <w:r w:rsidR="00552C0C" w:rsidRPr="00552C0C">
        <w:rPr>
          <w:sz w:val="24"/>
          <w:szCs w:val="24"/>
          <w:lang w:eastAsia="zh-CN"/>
        </w:rPr>
        <w:t>生物多样性公约关于土著人民和地方社区的第</w:t>
      </w:r>
      <w:r w:rsidR="00552C0C" w:rsidRPr="00552C0C">
        <w:rPr>
          <w:sz w:val="24"/>
          <w:szCs w:val="24"/>
          <w:lang w:eastAsia="zh-CN"/>
        </w:rPr>
        <w:t xml:space="preserve"> 8(j)</w:t>
      </w:r>
      <w:r w:rsidR="00552C0C" w:rsidRPr="00552C0C">
        <w:rPr>
          <w:sz w:val="24"/>
          <w:szCs w:val="24"/>
          <w:lang w:eastAsia="zh-CN"/>
        </w:rPr>
        <w:t>条和其他条款附属机构</w:t>
      </w:r>
      <w:r w:rsidR="00552C0C" w:rsidRPr="00A71F25">
        <w:rPr>
          <w:rFonts w:hint="eastAsia"/>
          <w:sz w:val="24"/>
          <w:szCs w:val="24"/>
          <w:lang w:val="zh-CN" w:eastAsia="zh-CN"/>
        </w:rPr>
        <w:t>报告本段所列活动的进展情况和根据第</w:t>
      </w:r>
      <w:hyperlink r:id="rId16" w:history="1">
        <w:r w:rsidR="00552C0C" w:rsidRPr="00353D27">
          <w:rPr>
            <w:rStyle w:val="Hyperlink"/>
            <w:sz w:val="24"/>
            <w:szCs w:val="24"/>
            <w:lang w:eastAsia="zh-CN"/>
          </w:rPr>
          <w:t>16/35</w:t>
        </w:r>
      </w:hyperlink>
      <w:proofErr w:type="gramStart"/>
      <w:r w:rsidR="00552C0C" w:rsidRPr="00A71F25">
        <w:rPr>
          <w:rFonts w:hint="eastAsia"/>
          <w:sz w:val="24"/>
          <w:szCs w:val="24"/>
          <w:lang w:val="zh-CN" w:eastAsia="zh-CN"/>
        </w:rPr>
        <w:t>号决定开展的进一步工作</w:t>
      </w:r>
      <w:r w:rsidR="00552C0C" w:rsidRPr="00A71F25">
        <w:rPr>
          <w:rFonts w:hint="eastAsia"/>
          <w:sz w:val="24"/>
          <w:szCs w:val="24"/>
          <w:lang w:eastAsia="zh-CN"/>
        </w:rPr>
        <w:t>；</w:t>
      </w:r>
      <w:proofErr w:type="gramEnd"/>
    </w:p>
    <w:p w14:paraId="228F2829" w14:textId="77777777" w:rsidR="00A71F25" w:rsidRPr="00A71F25" w:rsidRDefault="00A71F25" w:rsidP="00863536">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w:t>
      </w:r>
      <w:r w:rsidR="00353D27">
        <w:rPr>
          <w:noProof/>
          <w:sz w:val="24"/>
          <w:szCs w:val="24"/>
          <w:lang w:eastAsia="zh-CN"/>
        </w:rPr>
        <w:t>h</w:t>
      </w:r>
      <w:r w:rsidRPr="00A71F25">
        <w:rPr>
          <w:noProof/>
          <w:sz w:val="24"/>
          <w:szCs w:val="24"/>
          <w:lang w:eastAsia="zh-CN"/>
        </w:rPr>
        <w:t>)</w:t>
      </w:r>
      <w:r w:rsidRPr="00A71F25">
        <w:rPr>
          <w:sz w:val="24"/>
          <w:szCs w:val="24"/>
          <w:lang w:eastAsia="zh-CN"/>
        </w:rPr>
        <w:tab/>
      </w:r>
      <w:r w:rsidRPr="00A71F25">
        <w:rPr>
          <w:rFonts w:hint="eastAsia"/>
          <w:sz w:val="24"/>
          <w:szCs w:val="24"/>
          <w:lang w:val="zh-CN" w:eastAsia="zh-CN"/>
        </w:rPr>
        <w:t>与全球环境基金及其他相关财务机制和倡议</w:t>
      </w:r>
      <w:r w:rsidRPr="00A71F25">
        <w:rPr>
          <w:rFonts w:hint="eastAsia"/>
          <w:sz w:val="24"/>
          <w:szCs w:val="24"/>
          <w:lang w:eastAsia="zh-CN"/>
        </w:rPr>
        <w:t>（</w:t>
      </w:r>
      <w:r w:rsidRPr="00A71F25">
        <w:rPr>
          <w:rFonts w:hint="eastAsia"/>
          <w:sz w:val="24"/>
          <w:szCs w:val="24"/>
          <w:lang w:val="zh-CN" w:eastAsia="zh-CN"/>
        </w:rPr>
        <w:t>例如生物多样性融资倡议</w:t>
      </w:r>
      <w:r w:rsidRPr="00A71F25">
        <w:rPr>
          <w:rFonts w:hint="eastAsia"/>
          <w:sz w:val="24"/>
          <w:szCs w:val="24"/>
          <w:lang w:eastAsia="zh-CN"/>
        </w:rPr>
        <w:t>）</w:t>
      </w:r>
      <w:r w:rsidRPr="00A71F25">
        <w:rPr>
          <w:rFonts w:hint="eastAsia"/>
          <w:sz w:val="24"/>
          <w:szCs w:val="24"/>
          <w:lang w:val="zh-CN" w:eastAsia="zh-CN"/>
        </w:rPr>
        <w:t>合作</w:t>
      </w:r>
      <w:r w:rsidRPr="00A71F25">
        <w:rPr>
          <w:rFonts w:hint="eastAsia"/>
          <w:sz w:val="24"/>
          <w:szCs w:val="24"/>
          <w:lang w:eastAsia="zh-CN"/>
        </w:rPr>
        <w:t>，</w:t>
      </w:r>
      <w:r w:rsidRPr="00A71F25">
        <w:rPr>
          <w:rFonts w:hint="eastAsia"/>
          <w:sz w:val="24"/>
          <w:szCs w:val="24"/>
          <w:lang w:val="zh-CN" w:eastAsia="zh-CN"/>
        </w:rPr>
        <w:t>探讨综合方案规划和协同融资方案</w:t>
      </w:r>
      <w:r w:rsidRPr="00A71F25">
        <w:rPr>
          <w:rFonts w:hint="eastAsia"/>
          <w:sz w:val="24"/>
          <w:szCs w:val="24"/>
          <w:lang w:eastAsia="zh-CN"/>
        </w:rPr>
        <w:t>，</w:t>
      </w:r>
      <w:r w:rsidRPr="00A71F25">
        <w:rPr>
          <w:rFonts w:hint="eastAsia"/>
          <w:sz w:val="24"/>
          <w:szCs w:val="24"/>
          <w:lang w:val="zh-CN" w:eastAsia="zh-CN"/>
        </w:rPr>
        <w:t>以便缔约方提交关于生物多样性丧失、气候变化、</w:t>
      </w:r>
      <w:proofErr w:type="gramStart"/>
      <w:r w:rsidRPr="00A71F25">
        <w:rPr>
          <w:rFonts w:hint="eastAsia"/>
          <w:sz w:val="24"/>
          <w:szCs w:val="24"/>
          <w:lang w:val="zh-CN" w:eastAsia="zh-CN"/>
        </w:rPr>
        <w:t>土地退化和污染的联合项目</w:t>
      </w:r>
      <w:r w:rsidRPr="00A71F25">
        <w:rPr>
          <w:rFonts w:hint="eastAsia"/>
          <w:sz w:val="24"/>
          <w:szCs w:val="24"/>
          <w:lang w:eastAsia="zh-CN"/>
        </w:rPr>
        <w:t>；</w:t>
      </w:r>
      <w:proofErr w:type="gramEnd"/>
    </w:p>
    <w:p w14:paraId="69047DF7" w14:textId="1497531C" w:rsidR="00880D88" w:rsidRPr="00D25B1F" w:rsidDel="00125EED" w:rsidRDefault="00A71F25" w:rsidP="00863536">
      <w:pPr>
        <w:tabs>
          <w:tab w:val="clear" w:pos="567"/>
          <w:tab w:val="clear" w:pos="1134"/>
          <w:tab w:val="clear" w:pos="1701"/>
          <w:tab w:val="clear" w:pos="2268"/>
        </w:tabs>
        <w:topLinePunct/>
        <w:spacing w:after="120"/>
        <w:ind w:left="979" w:firstLine="490"/>
        <w:rPr>
          <w:sz w:val="24"/>
          <w:lang w:eastAsia="zh-CN"/>
        </w:rPr>
      </w:pPr>
      <w:r w:rsidRPr="00AB73A4">
        <w:rPr>
          <w:noProof/>
          <w:sz w:val="24"/>
          <w:szCs w:val="24"/>
          <w:lang w:eastAsia="zh-CN"/>
        </w:rPr>
        <w:t>(</w:t>
      </w:r>
      <w:r w:rsidR="00353D27">
        <w:rPr>
          <w:noProof/>
          <w:sz w:val="24"/>
          <w:szCs w:val="24"/>
          <w:lang w:eastAsia="zh-CN"/>
        </w:rPr>
        <w:t>i</w:t>
      </w:r>
      <w:r w:rsidRPr="00AB73A4">
        <w:rPr>
          <w:noProof/>
          <w:sz w:val="24"/>
          <w:szCs w:val="24"/>
          <w:lang w:eastAsia="zh-CN"/>
        </w:rPr>
        <w:t>)</w:t>
      </w:r>
      <w:r w:rsidRPr="00AB73A4">
        <w:rPr>
          <w:sz w:val="24"/>
          <w:szCs w:val="24"/>
          <w:lang w:eastAsia="zh-CN"/>
        </w:rPr>
        <w:tab/>
      </w:r>
      <w:r w:rsidRPr="00AB73A4">
        <w:rPr>
          <w:rFonts w:hint="eastAsia"/>
          <w:sz w:val="24"/>
          <w:szCs w:val="24"/>
          <w:lang w:val="zh-CN" w:eastAsia="zh-CN"/>
        </w:rPr>
        <w:t>继续与里约三公约联合联络小组的其他成员合作</w:t>
      </w:r>
      <w:r w:rsidRPr="00AB73A4">
        <w:rPr>
          <w:rFonts w:hint="eastAsia"/>
          <w:sz w:val="24"/>
          <w:szCs w:val="24"/>
          <w:lang w:eastAsia="zh-CN"/>
        </w:rPr>
        <w:t>，</w:t>
      </w:r>
      <w:r w:rsidRPr="00AB73A4">
        <w:rPr>
          <w:rFonts w:hint="eastAsia"/>
          <w:sz w:val="24"/>
          <w:szCs w:val="24"/>
          <w:lang w:val="zh-CN" w:eastAsia="zh-CN"/>
        </w:rPr>
        <w:t>开展共同能力建设活动</w:t>
      </w:r>
      <w:r w:rsidRPr="00AB73A4">
        <w:rPr>
          <w:rFonts w:hint="eastAsia"/>
          <w:sz w:val="24"/>
          <w:szCs w:val="24"/>
          <w:lang w:eastAsia="zh-CN"/>
        </w:rPr>
        <w:t>，</w:t>
      </w:r>
      <w:r w:rsidRPr="00AB73A4">
        <w:rPr>
          <w:rFonts w:hint="eastAsia"/>
          <w:sz w:val="24"/>
          <w:szCs w:val="24"/>
          <w:lang w:val="en-US" w:eastAsia="zh-CN"/>
        </w:rPr>
        <w:t>包括在三个公约框架内开展土著人民和地方社区传统知识方面的能力建设活动</w:t>
      </w:r>
      <w:r w:rsidRPr="00AB73A4">
        <w:rPr>
          <w:rFonts w:hint="eastAsia"/>
          <w:sz w:val="24"/>
          <w:szCs w:val="24"/>
          <w:lang w:eastAsia="zh-CN"/>
        </w:rPr>
        <w:t>，</w:t>
      </w:r>
      <w:r w:rsidRPr="00AB73A4">
        <w:rPr>
          <w:rFonts w:hint="eastAsia"/>
          <w:sz w:val="24"/>
          <w:szCs w:val="24"/>
          <w:lang w:val="zh-CN" w:eastAsia="zh-CN"/>
        </w:rPr>
        <w:t>以促进在其各自职权范围内的合作与协同增效作用。</w:t>
      </w:r>
      <w:r w:rsidR="00552C0C">
        <w:rPr>
          <w:sz w:val="24"/>
          <w:szCs w:val="24"/>
          <w:lang w:val="en-CA" w:eastAsia="zh-CN"/>
        </w:rPr>
        <w:t>]</w:t>
      </w:r>
    </w:p>
    <w:p w14:paraId="6C6168BC" w14:textId="77777777" w:rsidR="00A71F25" w:rsidRDefault="00A71F25" w:rsidP="00863536">
      <w:pPr>
        <w:pStyle w:val="Para1"/>
        <w:numPr>
          <w:ilvl w:val="0"/>
          <w:numId w:val="0"/>
        </w:numPr>
        <w:tabs>
          <w:tab w:val="clear" w:pos="567"/>
          <w:tab w:val="clear" w:pos="1134"/>
          <w:tab w:val="clear" w:pos="1701"/>
          <w:tab w:val="clear" w:pos="2268"/>
        </w:tabs>
        <w:ind w:left="979" w:firstLine="490"/>
        <w:jc w:val="center"/>
        <w:rPr>
          <w:sz w:val="24"/>
          <w:lang w:eastAsia="zh-CN"/>
        </w:rPr>
      </w:pPr>
    </w:p>
    <w:p w14:paraId="6FFBE5BC" w14:textId="77777777" w:rsidR="00A111D1" w:rsidRPr="00D25B1F" w:rsidRDefault="00A111D1" w:rsidP="00863536">
      <w:pPr>
        <w:pStyle w:val="Para1"/>
        <w:numPr>
          <w:ilvl w:val="0"/>
          <w:numId w:val="0"/>
        </w:numPr>
        <w:tabs>
          <w:tab w:val="clear" w:pos="567"/>
          <w:tab w:val="clear" w:pos="1134"/>
          <w:tab w:val="clear" w:pos="1701"/>
          <w:tab w:val="clear" w:pos="2268"/>
        </w:tabs>
        <w:ind w:left="490"/>
        <w:jc w:val="center"/>
        <w:rPr>
          <w:sz w:val="24"/>
        </w:rPr>
      </w:pPr>
      <w:r w:rsidRPr="00D25B1F" w:rsidDel="00125EED">
        <w:rPr>
          <w:sz w:val="24"/>
        </w:rPr>
        <w:t>_</w:t>
      </w:r>
      <w:r w:rsidRPr="00D25B1F">
        <w:rPr>
          <w:sz w:val="24"/>
        </w:rPr>
        <w:t>_________</w:t>
      </w:r>
    </w:p>
    <w:p w14:paraId="2DA95DCD" w14:textId="77777777" w:rsidR="00A25031" w:rsidRPr="00D25B1F" w:rsidRDefault="00A25031" w:rsidP="00D25B1F">
      <w:pPr>
        <w:pStyle w:val="Para1"/>
        <w:numPr>
          <w:ilvl w:val="0"/>
          <w:numId w:val="0"/>
        </w:numPr>
        <w:tabs>
          <w:tab w:val="clear" w:pos="567"/>
          <w:tab w:val="clear" w:pos="1134"/>
          <w:tab w:val="clear" w:pos="1701"/>
          <w:tab w:val="clear" w:pos="2268"/>
        </w:tabs>
        <w:ind w:left="567"/>
        <w:jc w:val="left"/>
        <w:rPr>
          <w:sz w:val="24"/>
        </w:rPr>
      </w:pPr>
    </w:p>
    <w:p w14:paraId="558048BA" w14:textId="77777777" w:rsidR="00A25031" w:rsidRPr="00D25B1F" w:rsidRDefault="00A25031" w:rsidP="00D25B1F">
      <w:pPr>
        <w:pStyle w:val="Para1"/>
        <w:numPr>
          <w:ilvl w:val="0"/>
          <w:numId w:val="0"/>
        </w:numPr>
        <w:tabs>
          <w:tab w:val="clear" w:pos="567"/>
          <w:tab w:val="clear" w:pos="1134"/>
          <w:tab w:val="clear" w:pos="1701"/>
          <w:tab w:val="clear" w:pos="2268"/>
        </w:tabs>
        <w:ind w:left="567"/>
        <w:jc w:val="center"/>
        <w:rPr>
          <w:sz w:val="24"/>
        </w:rPr>
      </w:pPr>
    </w:p>
    <w:p w14:paraId="3572FDCF" w14:textId="77777777" w:rsidR="00B5569E" w:rsidRPr="00D25B1F" w:rsidRDefault="00B5569E" w:rsidP="00D25B1F">
      <w:pPr>
        <w:pStyle w:val="Para1"/>
        <w:numPr>
          <w:ilvl w:val="0"/>
          <w:numId w:val="0"/>
        </w:numPr>
        <w:tabs>
          <w:tab w:val="clear" w:pos="567"/>
          <w:tab w:val="clear" w:pos="1134"/>
          <w:tab w:val="clear" w:pos="1701"/>
          <w:tab w:val="clear" w:pos="2268"/>
        </w:tabs>
        <w:ind w:left="567"/>
        <w:jc w:val="center"/>
        <w:rPr>
          <w:sz w:val="24"/>
        </w:rPr>
      </w:pPr>
    </w:p>
    <w:sectPr w:rsidR="00B5569E" w:rsidRPr="00D25B1F" w:rsidSect="005F16D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4E7ED" w14:textId="77777777" w:rsidR="00BF4293" w:rsidRPr="00866063" w:rsidRDefault="00BF4293" w:rsidP="00CF1848">
      <w:r w:rsidRPr="00866063">
        <w:separator/>
      </w:r>
    </w:p>
  </w:endnote>
  <w:endnote w:type="continuationSeparator" w:id="0">
    <w:p w14:paraId="403D1418" w14:textId="77777777" w:rsidR="00BF4293" w:rsidRPr="00866063" w:rsidRDefault="00BF429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49E88" w14:textId="77777777" w:rsidR="00D75CA6" w:rsidRPr="00552C0C" w:rsidRDefault="00D75CA6" w:rsidP="00D75CA6">
    <w:pPr>
      <w:pStyle w:val="Footer"/>
      <w:jc w:val="left"/>
      <w:rPr>
        <w:sz w:val="22"/>
        <w:szCs w:val="24"/>
      </w:rPr>
    </w:pPr>
    <w:r w:rsidRPr="00552C0C">
      <w:rPr>
        <w:b/>
        <w:bCs/>
        <w:sz w:val="22"/>
      </w:rPr>
      <w:fldChar w:fldCharType="begin"/>
    </w:r>
    <w:r w:rsidRPr="00552C0C">
      <w:rPr>
        <w:b/>
        <w:bCs/>
        <w:sz w:val="22"/>
      </w:rPr>
      <w:instrText xml:space="preserve"> PAGE </w:instrText>
    </w:r>
    <w:r w:rsidRPr="00552C0C">
      <w:rPr>
        <w:b/>
        <w:bCs/>
        <w:sz w:val="22"/>
      </w:rPr>
      <w:fldChar w:fldCharType="separate"/>
    </w:r>
    <w:r w:rsidRPr="00552C0C">
      <w:rPr>
        <w:b/>
        <w:bCs/>
        <w:noProof/>
        <w:sz w:val="22"/>
      </w:rPr>
      <w:t>2</w:t>
    </w:r>
    <w:r w:rsidRPr="00552C0C">
      <w:rPr>
        <w:b/>
        <w:bCs/>
        <w:sz w:val="22"/>
      </w:rPr>
      <w:fldChar w:fldCharType="end"/>
    </w:r>
    <w:r w:rsidRPr="00552C0C">
      <w:rPr>
        <w:sz w:val="22"/>
      </w:rPr>
      <w:t>/</w:t>
    </w:r>
    <w:r w:rsidRPr="00552C0C">
      <w:rPr>
        <w:b/>
        <w:bCs/>
        <w:sz w:val="22"/>
      </w:rPr>
      <w:fldChar w:fldCharType="begin"/>
    </w:r>
    <w:r w:rsidRPr="00552C0C">
      <w:rPr>
        <w:b/>
        <w:bCs/>
        <w:sz w:val="22"/>
      </w:rPr>
      <w:instrText xml:space="preserve"> NUMPAGES  </w:instrText>
    </w:r>
    <w:r w:rsidRPr="00552C0C">
      <w:rPr>
        <w:b/>
        <w:bCs/>
        <w:sz w:val="22"/>
      </w:rPr>
      <w:fldChar w:fldCharType="separate"/>
    </w:r>
    <w:r w:rsidRPr="00552C0C">
      <w:rPr>
        <w:b/>
        <w:bCs/>
        <w:noProof/>
        <w:sz w:val="22"/>
      </w:rPr>
      <w:t>2</w:t>
    </w:r>
    <w:r w:rsidRPr="00552C0C">
      <w:rPr>
        <w:b/>
        <w:bCs/>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0B32" w14:textId="77777777" w:rsidR="00D75CA6" w:rsidRPr="00552C0C" w:rsidRDefault="00D75CA6" w:rsidP="00FD7B19">
    <w:pPr>
      <w:pStyle w:val="Footer"/>
      <w:jc w:val="right"/>
      <w:rPr>
        <w:sz w:val="22"/>
        <w:szCs w:val="24"/>
      </w:rPr>
    </w:pPr>
    <w:r w:rsidRPr="00552C0C">
      <w:rPr>
        <w:b/>
        <w:bCs/>
        <w:sz w:val="22"/>
      </w:rPr>
      <w:fldChar w:fldCharType="begin"/>
    </w:r>
    <w:r w:rsidRPr="00552C0C">
      <w:rPr>
        <w:b/>
        <w:bCs/>
        <w:sz w:val="22"/>
      </w:rPr>
      <w:instrText xml:space="preserve"> PAGE </w:instrText>
    </w:r>
    <w:r w:rsidRPr="00552C0C">
      <w:rPr>
        <w:b/>
        <w:bCs/>
        <w:sz w:val="22"/>
      </w:rPr>
      <w:fldChar w:fldCharType="separate"/>
    </w:r>
    <w:r w:rsidRPr="00552C0C">
      <w:rPr>
        <w:b/>
        <w:bCs/>
        <w:sz w:val="22"/>
      </w:rPr>
      <w:t>2</w:t>
    </w:r>
    <w:r w:rsidRPr="00552C0C">
      <w:rPr>
        <w:b/>
        <w:bCs/>
        <w:sz w:val="22"/>
      </w:rPr>
      <w:fldChar w:fldCharType="end"/>
    </w:r>
    <w:r w:rsidRPr="00552C0C">
      <w:rPr>
        <w:sz w:val="22"/>
      </w:rPr>
      <w:t>/</w:t>
    </w:r>
    <w:r w:rsidRPr="00552C0C">
      <w:rPr>
        <w:b/>
        <w:bCs/>
        <w:sz w:val="22"/>
      </w:rPr>
      <w:fldChar w:fldCharType="begin"/>
    </w:r>
    <w:r w:rsidRPr="00552C0C">
      <w:rPr>
        <w:b/>
        <w:bCs/>
        <w:sz w:val="22"/>
      </w:rPr>
      <w:instrText xml:space="preserve"> NUMPAGES  </w:instrText>
    </w:r>
    <w:r w:rsidRPr="00552C0C">
      <w:rPr>
        <w:b/>
        <w:bCs/>
        <w:sz w:val="22"/>
      </w:rPr>
      <w:fldChar w:fldCharType="separate"/>
    </w:r>
    <w:r w:rsidRPr="00552C0C">
      <w:rPr>
        <w:b/>
        <w:bCs/>
        <w:sz w:val="22"/>
      </w:rPr>
      <w:t>3</w:t>
    </w:r>
    <w:r w:rsidRPr="00552C0C">
      <w:rPr>
        <w:b/>
        <w:bCs/>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8BF7" w14:textId="77777777" w:rsidR="00552C0C" w:rsidRDefault="00552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7B779" w14:textId="77777777" w:rsidR="00BF4293" w:rsidRPr="00866063" w:rsidRDefault="00BF4293" w:rsidP="00CF1848">
      <w:r w:rsidRPr="00866063">
        <w:separator/>
      </w:r>
    </w:p>
  </w:footnote>
  <w:footnote w:type="continuationSeparator" w:id="0">
    <w:p w14:paraId="183ADB30" w14:textId="77777777" w:rsidR="00BF4293" w:rsidRPr="00866063" w:rsidRDefault="00BF4293" w:rsidP="00CF1848">
      <w:r w:rsidRPr="00866063">
        <w:continuationSeparator/>
      </w:r>
    </w:p>
  </w:footnote>
  <w:footnote w:id="1">
    <w:p w14:paraId="3F0174CB" w14:textId="77777777" w:rsidR="007700DC" w:rsidRDefault="00A71F25" w:rsidP="00A71F25">
      <w:pPr>
        <w:pStyle w:val="FootnoteText"/>
        <w:rPr>
          <w:lang w:eastAsia="zh-CN"/>
        </w:rPr>
      </w:pPr>
      <w:r w:rsidRPr="00D16DD5">
        <w:rPr>
          <w:rStyle w:val="FootnoteReference"/>
          <w:sz w:val="20"/>
          <w:lang w:eastAsia="en-US"/>
        </w:rPr>
        <w:footnoteRef/>
      </w:r>
      <w:r w:rsidRPr="006F415E">
        <w:rPr>
          <w:sz w:val="20"/>
          <w:lang w:val="fr-CA" w:eastAsia="zh-CN"/>
        </w:rPr>
        <w:t xml:space="preserve"> </w:t>
      </w:r>
      <w:r w:rsidRPr="00D16DD5">
        <w:rPr>
          <w:rFonts w:hint="eastAsia"/>
          <w:sz w:val="20"/>
          <w:lang w:eastAsia="zh-CN"/>
        </w:rPr>
        <w:t>联合国</w:t>
      </w:r>
      <w:r w:rsidRPr="006F415E">
        <w:rPr>
          <w:rFonts w:hint="eastAsia"/>
          <w:sz w:val="20"/>
          <w:lang w:val="fr-CA" w:eastAsia="zh-CN"/>
        </w:rPr>
        <w:t>，</w:t>
      </w:r>
      <w:r w:rsidRPr="00D16DD5">
        <w:rPr>
          <w:rFonts w:hint="eastAsia"/>
          <w:sz w:val="20"/>
          <w:lang w:eastAsia="zh-CN"/>
        </w:rPr>
        <w:t>《条约汇编》</w:t>
      </w:r>
      <w:r w:rsidRPr="006F415E">
        <w:rPr>
          <w:rFonts w:hint="eastAsia"/>
          <w:sz w:val="20"/>
          <w:lang w:val="fr-CA" w:eastAsia="zh-CN"/>
        </w:rPr>
        <w:t>，</w:t>
      </w:r>
      <w:r w:rsidRPr="00D16DD5">
        <w:rPr>
          <w:rFonts w:hint="eastAsia"/>
          <w:sz w:val="20"/>
          <w:lang w:eastAsia="zh-CN"/>
        </w:rPr>
        <w:t>第</w:t>
      </w:r>
      <w:r w:rsidRPr="006F415E">
        <w:rPr>
          <w:sz w:val="20"/>
          <w:lang w:val="fr-CA" w:eastAsia="zh-CN"/>
        </w:rPr>
        <w:t>1760</w:t>
      </w:r>
      <w:r w:rsidRPr="00D16DD5">
        <w:rPr>
          <w:rFonts w:hint="eastAsia"/>
          <w:sz w:val="20"/>
          <w:lang w:eastAsia="zh-CN"/>
        </w:rPr>
        <w:t>卷</w:t>
      </w:r>
      <w:r w:rsidRPr="006F415E">
        <w:rPr>
          <w:rFonts w:hint="eastAsia"/>
          <w:sz w:val="20"/>
          <w:lang w:val="fr-CA" w:eastAsia="zh-CN"/>
        </w:rPr>
        <w:t>，</w:t>
      </w:r>
      <w:r w:rsidRPr="00D16DD5">
        <w:rPr>
          <w:rFonts w:hint="eastAsia"/>
          <w:sz w:val="20"/>
          <w:lang w:eastAsia="zh-CN"/>
        </w:rPr>
        <w:t>第</w:t>
      </w:r>
      <w:r w:rsidRPr="006F415E">
        <w:rPr>
          <w:sz w:val="20"/>
          <w:lang w:val="fr-CA" w:eastAsia="zh-CN"/>
        </w:rPr>
        <w:t>30619</w:t>
      </w:r>
      <w:r w:rsidRPr="00D16DD5">
        <w:rPr>
          <w:rFonts w:hint="eastAsia"/>
          <w:sz w:val="20"/>
          <w:lang w:eastAsia="zh-CN"/>
        </w:rPr>
        <w:t>号。</w:t>
      </w:r>
    </w:p>
  </w:footnote>
  <w:footnote w:id="2">
    <w:p w14:paraId="35EA64A4" w14:textId="77777777" w:rsidR="007700DC" w:rsidRDefault="00A71F25" w:rsidP="00A71F25">
      <w:pPr>
        <w:pStyle w:val="FootnoteText"/>
      </w:pPr>
      <w:r w:rsidRPr="00D16DD5">
        <w:rPr>
          <w:rStyle w:val="FootnoteReference"/>
          <w:sz w:val="20"/>
          <w:lang w:eastAsia="en-US"/>
        </w:rPr>
        <w:footnoteRef/>
      </w:r>
      <w:r w:rsidRPr="00BB44C6">
        <w:rPr>
          <w:sz w:val="20"/>
        </w:rPr>
        <w:t xml:space="preserve"> CEB/2021/1/Add.1</w:t>
      </w:r>
      <w:r w:rsidRPr="00D16DD5">
        <w:rPr>
          <w:rFonts w:hint="eastAsia"/>
          <w:sz w:val="20"/>
          <w:lang w:eastAsia="zh-CN"/>
        </w:rPr>
        <w:t>。</w:t>
      </w:r>
    </w:p>
  </w:footnote>
  <w:footnote w:id="3">
    <w:p w14:paraId="7C23B9B2" w14:textId="77777777" w:rsidR="007700DC" w:rsidRDefault="00353D27" w:rsidP="00353D27">
      <w:pPr>
        <w:pStyle w:val="FootnoteText"/>
      </w:pPr>
      <w:r w:rsidRPr="00353D27">
        <w:rPr>
          <w:rStyle w:val="FootnoteReference"/>
          <w:sz w:val="20"/>
          <w:lang w:eastAsia="en-US"/>
        </w:rPr>
        <w:footnoteRef/>
      </w:r>
      <w:r w:rsidRPr="00BB44C6">
        <w:rPr>
          <w:sz w:val="20"/>
        </w:rPr>
        <w:t xml:space="preserve"> </w:t>
      </w:r>
      <w:r w:rsidRPr="00353D27">
        <w:rPr>
          <w:rFonts w:hint="eastAsia"/>
          <w:sz w:val="20"/>
          <w:lang w:val="en-US" w:eastAsia="zh-CN"/>
        </w:rPr>
        <w:t>第</w:t>
      </w:r>
      <w:hyperlink r:id="rId1" w:history="1">
        <w:r w:rsidRPr="00BB44C6">
          <w:rPr>
            <w:rStyle w:val="Hyperlink"/>
            <w:sz w:val="20"/>
            <w:lang w:eastAsia="en-US"/>
          </w:rPr>
          <w:t>15/4</w:t>
        </w:r>
      </w:hyperlink>
      <w:r w:rsidRPr="00353D27">
        <w:rPr>
          <w:rFonts w:hint="eastAsia"/>
          <w:sz w:val="20"/>
          <w:lang w:val="en-US" w:eastAsia="zh-CN"/>
        </w:rPr>
        <w:t>号决定</w:t>
      </w:r>
      <w:r w:rsidRPr="00BB44C6">
        <w:rPr>
          <w:rFonts w:hint="eastAsia"/>
          <w:sz w:val="20"/>
          <w:lang w:eastAsia="zh-CN"/>
        </w:rPr>
        <w:t>，</w:t>
      </w:r>
      <w:r w:rsidRPr="00353D27">
        <w:rPr>
          <w:rFonts w:hint="eastAsia"/>
          <w:sz w:val="20"/>
          <w:lang w:val="en-US" w:eastAsia="zh-CN"/>
        </w:rPr>
        <w:t>附件。</w:t>
      </w:r>
      <w:r w:rsidRPr="00BB44C6">
        <w:rPr>
          <w:sz w:val="20"/>
        </w:rPr>
        <w:t xml:space="preserve"> </w:t>
      </w:r>
    </w:p>
  </w:footnote>
  <w:footnote w:id="4">
    <w:p w14:paraId="0197E4DE" w14:textId="77777777" w:rsidR="007700DC" w:rsidRDefault="00353D27" w:rsidP="00353D27">
      <w:r>
        <w:rPr>
          <w:rStyle w:val="FootnoteReference"/>
          <w:lang w:eastAsia="en-US"/>
        </w:rPr>
        <w:footnoteRef/>
      </w:r>
      <w:r w:rsidRPr="00BB44C6">
        <w:t xml:space="preserve"> </w:t>
      </w:r>
      <w:r w:rsidRPr="00BB44C6">
        <w:rPr>
          <w:spacing w:val="-6"/>
          <w:sz w:val="20"/>
          <w:szCs w:val="20"/>
        </w:rPr>
        <w:t>A/CONF.232/2023/4</w:t>
      </w:r>
      <w:r>
        <w:rPr>
          <w:rFonts w:hint="eastAsia"/>
          <w:spacing w:val="-6"/>
          <w:sz w:val="20"/>
          <w:szCs w:val="20"/>
          <w:lang w:val="en-US" w:eastAsia="zh-CN"/>
        </w:rPr>
        <w:t>。</w:t>
      </w:r>
    </w:p>
  </w:footnote>
  <w:footnote w:id="5">
    <w:p w14:paraId="3B33CE39" w14:textId="77777777" w:rsidR="007700DC" w:rsidRDefault="00A71F25" w:rsidP="00A71F25">
      <w:pPr>
        <w:pStyle w:val="FootnoteText"/>
      </w:pPr>
      <w:r w:rsidRPr="00353D27">
        <w:rPr>
          <w:rStyle w:val="FootnoteReference"/>
          <w:sz w:val="20"/>
          <w:lang w:eastAsia="en-US"/>
        </w:rPr>
        <w:footnoteRef/>
      </w:r>
      <w:r w:rsidRPr="00BB44C6">
        <w:rPr>
          <w:rStyle w:val="FootnoteReference"/>
          <w:sz w:val="20"/>
          <w:lang w:eastAsia="en-US"/>
        </w:rPr>
        <w:t xml:space="preserve">  </w:t>
      </w:r>
      <w:r w:rsidRPr="00BB44C6">
        <w:rPr>
          <w:sz w:val="20"/>
        </w:rPr>
        <w:t>A/HRC/61/36</w:t>
      </w:r>
      <w:r w:rsidRPr="00353D27">
        <w:rPr>
          <w:rFonts w:ascii="SimSun" w:hAnsi="SimSun" w:cs="SimSun" w:hint="eastAsia"/>
          <w:sz w:val="20"/>
          <w:lang w:eastAsia="zh-CN"/>
        </w:rPr>
        <w:t>。</w:t>
      </w:r>
    </w:p>
  </w:footnote>
  <w:footnote w:id="6">
    <w:p w14:paraId="4D7B35AD" w14:textId="77777777" w:rsidR="007700DC" w:rsidRDefault="0068204A" w:rsidP="0068204A">
      <w:pPr>
        <w:pStyle w:val="FootnoteText"/>
      </w:pPr>
      <w:r w:rsidRPr="00BB44C6">
        <w:rPr>
          <w:rStyle w:val="FootnoteReference"/>
          <w:sz w:val="20"/>
          <w:lang w:eastAsia="zh-CN"/>
        </w:rPr>
        <w:t>6</w:t>
      </w:r>
      <w:r w:rsidRPr="00BB44C6">
        <w:rPr>
          <w:sz w:val="20"/>
          <w:lang w:eastAsia="zh-CN"/>
        </w:rPr>
        <w:t xml:space="preserve"> </w:t>
      </w:r>
      <w:r w:rsidRPr="00353D27">
        <w:rPr>
          <w:rFonts w:hint="eastAsia"/>
          <w:sz w:val="20"/>
          <w:lang w:eastAsia="zh-CN"/>
        </w:rPr>
        <w:t>联合国</w:t>
      </w:r>
      <w:r w:rsidRPr="00BB44C6">
        <w:rPr>
          <w:rFonts w:hint="eastAsia"/>
          <w:sz w:val="20"/>
          <w:lang w:eastAsia="zh-CN"/>
        </w:rPr>
        <w:t>，</w:t>
      </w:r>
      <w:r w:rsidRPr="00353D27">
        <w:rPr>
          <w:rFonts w:hint="eastAsia"/>
          <w:sz w:val="20"/>
          <w:lang w:eastAsia="zh-CN"/>
        </w:rPr>
        <w:t>《条约汇编》</w:t>
      </w:r>
      <w:r w:rsidRPr="00BB44C6">
        <w:rPr>
          <w:rFonts w:hint="eastAsia"/>
          <w:sz w:val="20"/>
          <w:lang w:eastAsia="zh-CN"/>
        </w:rPr>
        <w:t>，</w:t>
      </w:r>
      <w:r w:rsidRPr="00353D27">
        <w:rPr>
          <w:rFonts w:hint="eastAsia"/>
          <w:sz w:val="20"/>
          <w:lang w:eastAsia="zh-CN"/>
        </w:rPr>
        <w:t>第</w:t>
      </w:r>
      <w:r w:rsidRPr="00BB44C6">
        <w:rPr>
          <w:sz w:val="20"/>
          <w:lang w:eastAsia="zh-CN"/>
        </w:rPr>
        <w:t>1954</w:t>
      </w:r>
      <w:r w:rsidRPr="00353D27">
        <w:rPr>
          <w:rFonts w:hint="eastAsia"/>
          <w:sz w:val="20"/>
          <w:lang w:eastAsia="zh-CN"/>
        </w:rPr>
        <w:t>卷</w:t>
      </w:r>
      <w:r w:rsidRPr="00BB44C6">
        <w:rPr>
          <w:rFonts w:hint="eastAsia"/>
          <w:sz w:val="20"/>
          <w:lang w:eastAsia="zh-CN"/>
        </w:rPr>
        <w:t>，</w:t>
      </w:r>
      <w:r w:rsidRPr="00353D27">
        <w:rPr>
          <w:rFonts w:hint="eastAsia"/>
          <w:sz w:val="20"/>
          <w:lang w:eastAsia="zh-CN"/>
        </w:rPr>
        <w:t>第</w:t>
      </w:r>
      <w:r w:rsidRPr="00BB44C6">
        <w:rPr>
          <w:sz w:val="20"/>
          <w:lang w:eastAsia="zh-CN"/>
        </w:rPr>
        <w:t>33480</w:t>
      </w:r>
      <w:r w:rsidRPr="00353D27">
        <w:rPr>
          <w:rFonts w:hint="eastAsia"/>
          <w:sz w:val="20"/>
          <w:lang w:eastAsia="zh-CN"/>
        </w:rPr>
        <w:t>号。</w:t>
      </w:r>
    </w:p>
  </w:footnote>
  <w:footnote w:id="7">
    <w:p w14:paraId="0AC71268" w14:textId="7E52E80F" w:rsidR="0068204A" w:rsidRPr="0068204A" w:rsidRDefault="0068204A" w:rsidP="00A71F25">
      <w:pPr>
        <w:pStyle w:val="FootnoteText"/>
        <w:rPr>
          <w:sz w:val="20"/>
          <w:lang w:eastAsia="zh-CN"/>
        </w:rPr>
      </w:pPr>
      <w:r w:rsidRPr="0068204A">
        <w:rPr>
          <w:rStyle w:val="FootnoteReference"/>
          <w:sz w:val="20"/>
          <w:lang w:eastAsia="en-US"/>
        </w:rPr>
        <w:footnoteRef/>
      </w:r>
      <w:r w:rsidRPr="0068204A">
        <w:rPr>
          <w:sz w:val="20"/>
          <w:lang w:eastAsia="zh-CN"/>
        </w:rPr>
        <w:t xml:space="preserve">  </w:t>
      </w:r>
      <w:r w:rsidR="00552C0C">
        <w:rPr>
          <w:rFonts w:hint="eastAsia"/>
          <w:sz w:val="20"/>
          <w:lang w:eastAsia="zh-CN"/>
        </w:rPr>
        <w:t>“</w:t>
      </w:r>
      <w:r w:rsidRPr="0068204A">
        <w:rPr>
          <w:rFonts w:ascii="SimSun" w:hint="eastAsia"/>
          <w:sz w:val="20"/>
          <w:lang w:val="zh-CN" w:eastAsia="zh-CN"/>
        </w:rPr>
        <w:t>根据《昆明</w:t>
      </w:r>
      <w:r w:rsidRPr="0068204A">
        <w:rPr>
          <w:sz w:val="20"/>
          <w:lang w:eastAsia="zh-CN"/>
        </w:rPr>
        <w:t>-</w:t>
      </w:r>
      <w:r w:rsidRPr="0068204A">
        <w:rPr>
          <w:rFonts w:ascii="SimSun" w:hint="eastAsia"/>
          <w:sz w:val="20"/>
          <w:lang w:val="zh-CN" w:eastAsia="zh-CN"/>
        </w:rPr>
        <w:t>蒙特利尔全球生物多样性框架》促进采用基于人权的方法的简报</w:t>
      </w:r>
      <w:r w:rsidR="00552C0C">
        <w:rPr>
          <w:rFonts w:hint="eastAsia"/>
          <w:sz w:val="20"/>
          <w:lang w:eastAsia="zh-CN"/>
        </w:rPr>
        <w:t>”</w:t>
      </w:r>
      <w:r w:rsidRPr="0068204A">
        <w:rPr>
          <w:rFonts w:ascii="SimSun" w:hint="eastAsia"/>
          <w:sz w:val="20"/>
          <w:lang w:val="zh-CN" w:eastAsia="zh-CN"/>
        </w:rPr>
        <w:t>。联合国人权事务高级专员办事处和生物多样性公约秘书处共同发布的这份出版物并不反映公约缔约方、成员国或公约缔约方大会的观点。这是初稿</w:t>
      </w:r>
      <w:r w:rsidRPr="0068204A">
        <w:rPr>
          <w:rFonts w:ascii="SimSun" w:hint="eastAsia"/>
          <w:sz w:val="20"/>
          <w:lang w:val="en-US" w:eastAsia="zh-CN"/>
        </w:rPr>
        <w:t>，</w:t>
      </w:r>
      <w:r w:rsidRPr="0068204A">
        <w:rPr>
          <w:rFonts w:ascii="SimSun" w:hint="eastAsia"/>
          <w:sz w:val="20"/>
          <w:lang w:val="zh-CN" w:eastAsia="zh-CN"/>
        </w:rPr>
        <w:t>未经编辑</w:t>
      </w:r>
      <w:r w:rsidRPr="0068204A">
        <w:rPr>
          <w:rFonts w:ascii="SimSun" w:hint="eastAsia"/>
          <w:sz w:val="20"/>
          <w:lang w:val="en-US" w:eastAsia="zh-CN"/>
        </w:rPr>
        <w:t>，</w:t>
      </w:r>
      <w:r w:rsidRPr="0068204A">
        <w:rPr>
          <w:rFonts w:ascii="SimSun" w:hint="eastAsia"/>
          <w:sz w:val="20"/>
          <w:lang w:val="zh-CN" w:eastAsia="zh-CN"/>
        </w:rPr>
        <w:t>可能会根据收到的意见作出进一步修改</w:t>
      </w:r>
      <w:r w:rsidRPr="0068204A">
        <w:rPr>
          <w:rFonts w:ascii="SimSun" w:hint="eastAsia"/>
          <w:sz w:val="20"/>
          <w:lang w:val="en-US" w:eastAsia="zh-CN"/>
        </w:rPr>
        <w:t>：</w:t>
      </w:r>
      <w:r w:rsidRPr="0068204A">
        <w:rPr>
          <w:sz w:val="20"/>
          <w:lang w:eastAsia="zh-CN"/>
        </w:rPr>
        <w:t xml:space="preserve"> </w:t>
      </w:r>
    </w:p>
    <w:p w14:paraId="1219CA1E" w14:textId="77777777" w:rsidR="0068204A" w:rsidRPr="0068204A" w:rsidRDefault="0068204A" w:rsidP="00A71F25">
      <w:pPr>
        <w:pStyle w:val="FootnoteText"/>
        <w:rPr>
          <w:sz w:val="20"/>
        </w:rPr>
      </w:pPr>
      <w:hyperlink r:id="rId2" w:history="1">
        <w:r w:rsidRPr="0068204A">
          <w:rPr>
            <w:rStyle w:val="Hyperlink"/>
            <w:sz w:val="20"/>
            <w:lang w:eastAsia="en-US"/>
          </w:rPr>
          <w:t>https://www.ohchr.org/sites/default/files/documents/issues/climatechange/materials/briefing-note-applying-a-human-rights-based-approach-in-line-with-sectionc-kunming-montreal.pdf</w:t>
        </w:r>
      </w:hyperlink>
      <w:r w:rsidRPr="0068204A">
        <w:rPr>
          <w:rFonts w:ascii="SimSun" w:hint="eastAsia"/>
          <w:sz w:val="20"/>
          <w:lang w:val="zh-CN"/>
        </w:rPr>
        <w:t>。</w:t>
      </w:r>
    </w:p>
    <w:p w14:paraId="026BAC6E" w14:textId="77777777" w:rsidR="007700DC" w:rsidRDefault="007700DC" w:rsidP="00A71F2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34BEF" w14:textId="518242F5" w:rsidR="00534681" w:rsidRPr="009A7612" w:rsidRDefault="0068204A" w:rsidP="00AB73A4">
    <w:pPr>
      <w:pStyle w:val="Header"/>
      <w:spacing w:after="240"/>
      <w:rPr>
        <w:sz w:val="24"/>
        <w:szCs w:val="24"/>
      </w:rPr>
    </w:pPr>
    <w:r w:rsidRPr="009A7612">
      <w:rPr>
        <w:sz w:val="24"/>
        <w:szCs w:val="24"/>
      </w:rPr>
      <w:t>CBD/SBI/6/</w:t>
    </w:r>
    <w:r w:rsidR="009A7612">
      <w:rPr>
        <w:rFonts w:hint="eastAsia"/>
        <w:sz w:val="24"/>
        <w:szCs w:val="24"/>
        <w:lang w:eastAsia="zh-CN"/>
      </w:rPr>
      <w:t>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236D" w14:textId="1FD852B5" w:rsidR="009505C9" w:rsidRPr="009A7612" w:rsidRDefault="009A7612" w:rsidP="009A7612">
    <w:pPr>
      <w:pStyle w:val="Header"/>
      <w:spacing w:after="240"/>
      <w:jc w:val="right"/>
    </w:pPr>
    <w:r w:rsidRPr="009A7612">
      <w:rPr>
        <w:sz w:val="24"/>
        <w:szCs w:val="24"/>
      </w:rPr>
      <w:t>CBD/SBI/6/</w:t>
    </w:r>
    <w:r>
      <w:rPr>
        <w:rFonts w:hint="eastAsia"/>
        <w:sz w:val="24"/>
        <w:szCs w:val="24"/>
        <w:lang w:eastAsia="zh-CN"/>
      </w:rPr>
      <w:t>L.6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834C6" w14:textId="77777777" w:rsidR="00552C0C" w:rsidRDefault="00552C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30222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94CA7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B2A63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41EC59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B504FE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32AF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F290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6E36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81A90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F7E10"/>
    <w:multiLevelType w:val="hybridMultilevel"/>
    <w:tmpl w:val="FFFFFFFF"/>
    <w:lvl w:ilvl="0" w:tplc="B7EC8F02">
      <w:start w:val="6"/>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4B56E12"/>
    <w:multiLevelType w:val="hybridMultilevel"/>
    <w:tmpl w:val="FFFFFFFF"/>
    <w:lvl w:ilvl="0" w:tplc="FFFFFFFF">
      <w:start w:val="1"/>
      <w:numFmt w:val="decimal"/>
      <w:lvlText w:val="%1."/>
      <w:lvlJc w:val="left"/>
      <w:pPr>
        <w:ind w:left="1210" w:hanging="360"/>
      </w:pPr>
      <w:rPr>
        <w:rFonts w:cs="Times New Roman" w:hint="default"/>
      </w:rPr>
    </w:lvl>
    <w:lvl w:ilvl="1" w:tplc="FFFFFFFF">
      <w:start w:val="1"/>
      <w:numFmt w:val="lowerLetter"/>
      <w:lvlText w:val="%2."/>
      <w:lvlJc w:val="left"/>
      <w:pPr>
        <w:ind w:left="1930" w:hanging="360"/>
      </w:pPr>
      <w:rPr>
        <w:rFonts w:cs="Times New Roman"/>
      </w:rPr>
    </w:lvl>
    <w:lvl w:ilvl="2" w:tplc="FFFFFFFF">
      <w:start w:val="1"/>
      <w:numFmt w:val="lowerRoman"/>
      <w:lvlText w:val="%3."/>
      <w:lvlJc w:val="right"/>
      <w:pPr>
        <w:ind w:left="2650" w:hanging="180"/>
      </w:pPr>
      <w:rPr>
        <w:rFonts w:cs="Times New Roman"/>
      </w:rPr>
    </w:lvl>
    <w:lvl w:ilvl="3" w:tplc="FFFFFFFF">
      <w:start w:val="1"/>
      <w:numFmt w:val="decimal"/>
      <w:lvlText w:val="%4."/>
      <w:lvlJc w:val="left"/>
      <w:pPr>
        <w:ind w:left="3370" w:hanging="360"/>
      </w:pPr>
      <w:rPr>
        <w:rFonts w:cs="Times New Roman"/>
      </w:rPr>
    </w:lvl>
    <w:lvl w:ilvl="4" w:tplc="FFFFFFFF" w:tentative="1">
      <w:start w:val="1"/>
      <w:numFmt w:val="lowerLetter"/>
      <w:lvlText w:val="%5."/>
      <w:lvlJc w:val="left"/>
      <w:pPr>
        <w:ind w:left="4090" w:hanging="360"/>
      </w:pPr>
      <w:rPr>
        <w:rFonts w:cs="Times New Roman"/>
      </w:rPr>
    </w:lvl>
    <w:lvl w:ilvl="5" w:tplc="FFFFFFFF" w:tentative="1">
      <w:start w:val="1"/>
      <w:numFmt w:val="lowerRoman"/>
      <w:lvlText w:val="%6."/>
      <w:lvlJc w:val="right"/>
      <w:pPr>
        <w:ind w:left="4810" w:hanging="180"/>
      </w:pPr>
      <w:rPr>
        <w:rFonts w:cs="Times New Roman"/>
      </w:rPr>
    </w:lvl>
    <w:lvl w:ilvl="6" w:tplc="FFFFFFFF" w:tentative="1">
      <w:start w:val="1"/>
      <w:numFmt w:val="decimal"/>
      <w:lvlText w:val="%7."/>
      <w:lvlJc w:val="left"/>
      <w:pPr>
        <w:ind w:left="5530" w:hanging="360"/>
      </w:pPr>
      <w:rPr>
        <w:rFonts w:cs="Times New Roman"/>
      </w:rPr>
    </w:lvl>
    <w:lvl w:ilvl="7" w:tplc="FFFFFFFF" w:tentative="1">
      <w:start w:val="1"/>
      <w:numFmt w:val="lowerLetter"/>
      <w:lvlText w:val="%8."/>
      <w:lvlJc w:val="left"/>
      <w:pPr>
        <w:ind w:left="6250" w:hanging="360"/>
      </w:pPr>
      <w:rPr>
        <w:rFonts w:cs="Times New Roman"/>
      </w:rPr>
    </w:lvl>
    <w:lvl w:ilvl="8" w:tplc="FFFFFFFF" w:tentative="1">
      <w:start w:val="1"/>
      <w:numFmt w:val="lowerRoman"/>
      <w:lvlText w:val="%9."/>
      <w:lvlJc w:val="right"/>
      <w:pPr>
        <w:ind w:left="6970" w:hanging="180"/>
      </w:pPr>
      <w:rPr>
        <w:rFonts w:cs="Times New Roman"/>
      </w:rPr>
    </w:lvl>
  </w:abstractNum>
  <w:abstractNum w:abstractNumId="12" w15:restartNumberingAfterBreak="0">
    <w:nsid w:val="322F77F3"/>
    <w:multiLevelType w:val="hybridMultilevel"/>
    <w:tmpl w:val="FFFFFFFF"/>
    <w:lvl w:ilvl="0" w:tplc="AEB005AC">
      <w:start w:val="14"/>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67961CE"/>
    <w:multiLevelType w:val="hybridMultilevel"/>
    <w:tmpl w:val="FFFFFFFF"/>
    <w:lvl w:ilvl="0" w:tplc="371C7C0E">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15:restartNumberingAfterBreak="0">
    <w:nsid w:val="48E4287B"/>
    <w:multiLevelType w:val="multilevel"/>
    <w:tmpl w:val="FFFFFFFF"/>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99D5F66"/>
    <w:multiLevelType w:val="multilevel"/>
    <w:tmpl w:val="FFFFFFFF"/>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6" w15:restartNumberingAfterBreak="0">
    <w:nsid w:val="4E0442B4"/>
    <w:multiLevelType w:val="multilevel"/>
    <w:tmpl w:val="FFFFFFFF"/>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D943BEE"/>
    <w:multiLevelType w:val="multilevel"/>
    <w:tmpl w:val="FFFFFFFF"/>
    <w:numStyleLink w:val="ListCBD"/>
  </w:abstractNum>
  <w:abstractNum w:abstractNumId="18" w15:restartNumberingAfterBreak="0">
    <w:nsid w:val="69B46C5F"/>
    <w:multiLevelType w:val="hybridMultilevel"/>
    <w:tmpl w:val="FFFFFFFF"/>
    <w:lvl w:ilvl="0" w:tplc="CD84D3E8">
      <w:start w:val="1"/>
      <w:numFmt w:val="decimal"/>
      <w:lvlText w:val="%1."/>
      <w:lvlJc w:val="left"/>
      <w:pPr>
        <w:ind w:left="1210" w:hanging="360"/>
      </w:pPr>
      <w:rPr>
        <w:rFonts w:cs="Times New Roman" w:hint="default"/>
        <w:i w:val="0"/>
        <w:iCs/>
        <w:sz w:val="24"/>
        <w:szCs w:val="24"/>
      </w:rPr>
    </w:lvl>
    <w:lvl w:ilvl="1" w:tplc="04090019">
      <w:start w:val="1"/>
      <w:numFmt w:val="lowerLetter"/>
      <w:lvlText w:val="%2."/>
      <w:lvlJc w:val="left"/>
      <w:pPr>
        <w:ind w:left="1930" w:hanging="360"/>
      </w:pPr>
      <w:rPr>
        <w:rFonts w:cs="Times New Roman"/>
      </w:rPr>
    </w:lvl>
    <w:lvl w:ilvl="2" w:tplc="0409001B">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9" w15:restartNumberingAfterBreak="0">
    <w:nsid w:val="6D191DF4"/>
    <w:multiLevelType w:val="multilevel"/>
    <w:tmpl w:val="FFFFFFFF"/>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6ED82968"/>
    <w:multiLevelType w:val="hybridMultilevel"/>
    <w:tmpl w:val="FFFFFFFF"/>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F7321D"/>
    <w:multiLevelType w:val="multilevel"/>
    <w:tmpl w:val="FFFFFFFF"/>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2" w15:restartNumberingAfterBreak="0">
    <w:nsid w:val="7BFF494A"/>
    <w:multiLevelType w:val="hybridMultilevel"/>
    <w:tmpl w:val="FFFFFFFF"/>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716078380">
    <w:abstractNumId w:val="9"/>
  </w:num>
  <w:num w:numId="2" w16cid:durableId="1571188996">
    <w:abstractNumId w:val="7"/>
  </w:num>
  <w:num w:numId="3" w16cid:durableId="33580429">
    <w:abstractNumId w:val="6"/>
  </w:num>
  <w:num w:numId="4" w16cid:durableId="1699695131">
    <w:abstractNumId w:val="5"/>
  </w:num>
  <w:num w:numId="5" w16cid:durableId="825510505">
    <w:abstractNumId w:val="4"/>
  </w:num>
  <w:num w:numId="6" w16cid:durableId="1356006752">
    <w:abstractNumId w:val="8"/>
  </w:num>
  <w:num w:numId="7" w16cid:durableId="1939488425">
    <w:abstractNumId w:val="3"/>
  </w:num>
  <w:num w:numId="8" w16cid:durableId="2133551894">
    <w:abstractNumId w:val="2"/>
  </w:num>
  <w:num w:numId="9" w16cid:durableId="1281063864">
    <w:abstractNumId w:val="1"/>
  </w:num>
  <w:num w:numId="10" w16cid:durableId="1379433751">
    <w:abstractNumId w:val="0"/>
  </w:num>
  <w:num w:numId="11" w16cid:durableId="2133867383">
    <w:abstractNumId w:val="16"/>
  </w:num>
  <w:num w:numId="12" w16cid:durableId="357511766">
    <w:abstractNumId w:val="14"/>
  </w:num>
  <w:num w:numId="13" w16cid:durableId="1126779881">
    <w:abstractNumId w:val="20"/>
  </w:num>
  <w:num w:numId="14" w16cid:durableId="2010985525">
    <w:abstractNumId w:val="21"/>
  </w:num>
  <w:num w:numId="15" w16cid:durableId="493838728">
    <w:abstractNumId w:val="15"/>
  </w:num>
  <w:num w:numId="16" w16cid:durableId="1586305503">
    <w:abstractNumId w:val="19"/>
  </w:num>
  <w:num w:numId="17" w16cid:durableId="975254060">
    <w:abstractNumId w:val="17"/>
    <w:lvlOverride w:ilvl="0">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vertAlign w:val="baseline"/>
        </w:rPr>
      </w:lvl>
    </w:lvlOverride>
  </w:num>
  <w:num w:numId="18" w16cid:durableId="1825506960">
    <w:abstractNumId w:val="13"/>
  </w:num>
  <w:num w:numId="19" w16cid:durableId="1817339691">
    <w:abstractNumId w:val="22"/>
  </w:num>
  <w:num w:numId="20" w16cid:durableId="898051963">
    <w:abstractNumId w:val="18"/>
  </w:num>
  <w:num w:numId="21" w16cid:durableId="1048260506">
    <w:abstractNumId w:val="11"/>
  </w:num>
  <w:num w:numId="22" w16cid:durableId="1464731481">
    <w:abstractNumId w:val="8"/>
  </w:num>
  <w:num w:numId="23" w16cid:durableId="470486585">
    <w:abstractNumId w:val="10"/>
  </w:num>
  <w:num w:numId="24" w16cid:durableId="1438983589">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D45"/>
    <w:rsid w:val="00000A76"/>
    <w:rsid w:val="00000AB7"/>
    <w:rsid w:val="00001770"/>
    <w:rsid w:val="00002886"/>
    <w:rsid w:val="00002F52"/>
    <w:rsid w:val="00003889"/>
    <w:rsid w:val="00004254"/>
    <w:rsid w:val="00004AE6"/>
    <w:rsid w:val="00004D04"/>
    <w:rsid w:val="000051AD"/>
    <w:rsid w:val="000056FF"/>
    <w:rsid w:val="00005DF8"/>
    <w:rsid w:val="00010851"/>
    <w:rsid w:val="00010FEF"/>
    <w:rsid w:val="00011703"/>
    <w:rsid w:val="00011D3E"/>
    <w:rsid w:val="0001229E"/>
    <w:rsid w:val="00012A69"/>
    <w:rsid w:val="00012AE7"/>
    <w:rsid w:val="00013414"/>
    <w:rsid w:val="000140EE"/>
    <w:rsid w:val="0001426D"/>
    <w:rsid w:val="0001510C"/>
    <w:rsid w:val="0001595E"/>
    <w:rsid w:val="00015D2F"/>
    <w:rsid w:val="00016157"/>
    <w:rsid w:val="0001669D"/>
    <w:rsid w:val="000169AA"/>
    <w:rsid w:val="00016B89"/>
    <w:rsid w:val="00017180"/>
    <w:rsid w:val="000207F5"/>
    <w:rsid w:val="00020BE1"/>
    <w:rsid w:val="00020D0E"/>
    <w:rsid w:val="00020D85"/>
    <w:rsid w:val="00020EBE"/>
    <w:rsid w:val="00021BD9"/>
    <w:rsid w:val="000220C0"/>
    <w:rsid w:val="000223C9"/>
    <w:rsid w:val="00023568"/>
    <w:rsid w:val="000235A0"/>
    <w:rsid w:val="00024EDC"/>
    <w:rsid w:val="00025526"/>
    <w:rsid w:val="00026C0E"/>
    <w:rsid w:val="00026DCB"/>
    <w:rsid w:val="0003030D"/>
    <w:rsid w:val="0003033E"/>
    <w:rsid w:val="00031D5A"/>
    <w:rsid w:val="0003265C"/>
    <w:rsid w:val="00033989"/>
    <w:rsid w:val="000344BD"/>
    <w:rsid w:val="00034CBC"/>
    <w:rsid w:val="00035D40"/>
    <w:rsid w:val="0003676F"/>
    <w:rsid w:val="00036A71"/>
    <w:rsid w:val="00036D3E"/>
    <w:rsid w:val="0003713F"/>
    <w:rsid w:val="000402D5"/>
    <w:rsid w:val="00041A0F"/>
    <w:rsid w:val="000433B2"/>
    <w:rsid w:val="0004354C"/>
    <w:rsid w:val="00043CCC"/>
    <w:rsid w:val="00044494"/>
    <w:rsid w:val="000457E4"/>
    <w:rsid w:val="00045C63"/>
    <w:rsid w:val="00045F63"/>
    <w:rsid w:val="00047B3C"/>
    <w:rsid w:val="00047F02"/>
    <w:rsid w:val="00050477"/>
    <w:rsid w:val="00050B64"/>
    <w:rsid w:val="000517CA"/>
    <w:rsid w:val="00054639"/>
    <w:rsid w:val="00055DA4"/>
    <w:rsid w:val="00055F69"/>
    <w:rsid w:val="00060A05"/>
    <w:rsid w:val="00060C6C"/>
    <w:rsid w:val="00060F12"/>
    <w:rsid w:val="00062CF3"/>
    <w:rsid w:val="00062D81"/>
    <w:rsid w:val="00063659"/>
    <w:rsid w:val="00064DB4"/>
    <w:rsid w:val="00065E80"/>
    <w:rsid w:val="00066568"/>
    <w:rsid w:val="00066FC9"/>
    <w:rsid w:val="00070FB8"/>
    <w:rsid w:val="0007135B"/>
    <w:rsid w:val="000713F5"/>
    <w:rsid w:val="0007171B"/>
    <w:rsid w:val="00072B3A"/>
    <w:rsid w:val="00072BAB"/>
    <w:rsid w:val="00072F03"/>
    <w:rsid w:val="000732E1"/>
    <w:rsid w:val="0007330D"/>
    <w:rsid w:val="0007330F"/>
    <w:rsid w:val="00073EEC"/>
    <w:rsid w:val="0007489F"/>
    <w:rsid w:val="00074F26"/>
    <w:rsid w:val="000751B8"/>
    <w:rsid w:val="0007779B"/>
    <w:rsid w:val="00077E72"/>
    <w:rsid w:val="0008051B"/>
    <w:rsid w:val="00080906"/>
    <w:rsid w:val="00080F04"/>
    <w:rsid w:val="00082C74"/>
    <w:rsid w:val="00082E68"/>
    <w:rsid w:val="000850D1"/>
    <w:rsid w:val="00086548"/>
    <w:rsid w:val="000874A4"/>
    <w:rsid w:val="000911DA"/>
    <w:rsid w:val="000919CE"/>
    <w:rsid w:val="00092042"/>
    <w:rsid w:val="0009231D"/>
    <w:rsid w:val="00094C8A"/>
    <w:rsid w:val="00095643"/>
    <w:rsid w:val="00097713"/>
    <w:rsid w:val="000A048B"/>
    <w:rsid w:val="000A15E6"/>
    <w:rsid w:val="000A34DE"/>
    <w:rsid w:val="000A3C0B"/>
    <w:rsid w:val="000A3C45"/>
    <w:rsid w:val="000A3F9D"/>
    <w:rsid w:val="000A4850"/>
    <w:rsid w:val="000A4B43"/>
    <w:rsid w:val="000A5BE3"/>
    <w:rsid w:val="000A5D65"/>
    <w:rsid w:val="000A5E34"/>
    <w:rsid w:val="000A672A"/>
    <w:rsid w:val="000A7311"/>
    <w:rsid w:val="000A7391"/>
    <w:rsid w:val="000B0CC3"/>
    <w:rsid w:val="000B14A8"/>
    <w:rsid w:val="000B1E56"/>
    <w:rsid w:val="000B41B3"/>
    <w:rsid w:val="000B44BB"/>
    <w:rsid w:val="000B4794"/>
    <w:rsid w:val="000B5AC7"/>
    <w:rsid w:val="000B5F1B"/>
    <w:rsid w:val="000B6E09"/>
    <w:rsid w:val="000B7788"/>
    <w:rsid w:val="000B7952"/>
    <w:rsid w:val="000C0191"/>
    <w:rsid w:val="000C266C"/>
    <w:rsid w:val="000C2976"/>
    <w:rsid w:val="000C3EA6"/>
    <w:rsid w:val="000C460A"/>
    <w:rsid w:val="000C4C0A"/>
    <w:rsid w:val="000C505C"/>
    <w:rsid w:val="000C5CD2"/>
    <w:rsid w:val="000C62F2"/>
    <w:rsid w:val="000C6C54"/>
    <w:rsid w:val="000C7B58"/>
    <w:rsid w:val="000D0C3C"/>
    <w:rsid w:val="000D0F47"/>
    <w:rsid w:val="000D0F68"/>
    <w:rsid w:val="000D1312"/>
    <w:rsid w:val="000D26DD"/>
    <w:rsid w:val="000D28F1"/>
    <w:rsid w:val="000D3EF1"/>
    <w:rsid w:val="000D482F"/>
    <w:rsid w:val="000D49E7"/>
    <w:rsid w:val="000D5ACC"/>
    <w:rsid w:val="000D5BA4"/>
    <w:rsid w:val="000D5EC8"/>
    <w:rsid w:val="000E016E"/>
    <w:rsid w:val="000E054E"/>
    <w:rsid w:val="000E0C99"/>
    <w:rsid w:val="000E0E78"/>
    <w:rsid w:val="000E127A"/>
    <w:rsid w:val="000E13C4"/>
    <w:rsid w:val="000E1C67"/>
    <w:rsid w:val="000E2EAD"/>
    <w:rsid w:val="000E30B4"/>
    <w:rsid w:val="000E31E8"/>
    <w:rsid w:val="000E32FC"/>
    <w:rsid w:val="000E33CD"/>
    <w:rsid w:val="000E38A5"/>
    <w:rsid w:val="000E464F"/>
    <w:rsid w:val="000E5577"/>
    <w:rsid w:val="000E60CB"/>
    <w:rsid w:val="000E60D4"/>
    <w:rsid w:val="000E6140"/>
    <w:rsid w:val="000E6340"/>
    <w:rsid w:val="000E673A"/>
    <w:rsid w:val="000E76F4"/>
    <w:rsid w:val="000F0183"/>
    <w:rsid w:val="000F1113"/>
    <w:rsid w:val="000F2BED"/>
    <w:rsid w:val="000F3098"/>
    <w:rsid w:val="000F3322"/>
    <w:rsid w:val="000F3AE8"/>
    <w:rsid w:val="000F4496"/>
    <w:rsid w:val="000F508D"/>
    <w:rsid w:val="000F5871"/>
    <w:rsid w:val="000F5CC0"/>
    <w:rsid w:val="000F6415"/>
    <w:rsid w:val="000F65E8"/>
    <w:rsid w:val="000F68C3"/>
    <w:rsid w:val="000F6945"/>
    <w:rsid w:val="000F6C58"/>
    <w:rsid w:val="000F6D4E"/>
    <w:rsid w:val="000F7428"/>
    <w:rsid w:val="000F74F5"/>
    <w:rsid w:val="000F78FC"/>
    <w:rsid w:val="000F7C45"/>
    <w:rsid w:val="001001F6"/>
    <w:rsid w:val="001008F3"/>
    <w:rsid w:val="00101901"/>
    <w:rsid w:val="0010202C"/>
    <w:rsid w:val="001031CE"/>
    <w:rsid w:val="001039BD"/>
    <w:rsid w:val="00103B5B"/>
    <w:rsid w:val="00104A05"/>
    <w:rsid w:val="00105317"/>
    <w:rsid w:val="00105372"/>
    <w:rsid w:val="001054A6"/>
    <w:rsid w:val="00105CF4"/>
    <w:rsid w:val="001078A1"/>
    <w:rsid w:val="00110024"/>
    <w:rsid w:val="0011096A"/>
    <w:rsid w:val="00110F8F"/>
    <w:rsid w:val="00111E6A"/>
    <w:rsid w:val="0011215A"/>
    <w:rsid w:val="00112987"/>
    <w:rsid w:val="00112C1A"/>
    <w:rsid w:val="001137B4"/>
    <w:rsid w:val="001139B7"/>
    <w:rsid w:val="00113B35"/>
    <w:rsid w:val="001156CD"/>
    <w:rsid w:val="00115933"/>
    <w:rsid w:val="001160EA"/>
    <w:rsid w:val="00116E99"/>
    <w:rsid w:val="0011774B"/>
    <w:rsid w:val="00117843"/>
    <w:rsid w:val="0012054E"/>
    <w:rsid w:val="0012135E"/>
    <w:rsid w:val="00121A8C"/>
    <w:rsid w:val="001235A5"/>
    <w:rsid w:val="00123935"/>
    <w:rsid w:val="00124227"/>
    <w:rsid w:val="00124BE0"/>
    <w:rsid w:val="0012529C"/>
    <w:rsid w:val="00125EED"/>
    <w:rsid w:val="00126102"/>
    <w:rsid w:val="00127092"/>
    <w:rsid w:val="0012772E"/>
    <w:rsid w:val="00127DFB"/>
    <w:rsid w:val="001306D7"/>
    <w:rsid w:val="001312AD"/>
    <w:rsid w:val="0013183B"/>
    <w:rsid w:val="00131B71"/>
    <w:rsid w:val="00131E7A"/>
    <w:rsid w:val="00132126"/>
    <w:rsid w:val="0013429B"/>
    <w:rsid w:val="00134399"/>
    <w:rsid w:val="001346BD"/>
    <w:rsid w:val="00134846"/>
    <w:rsid w:val="001349E5"/>
    <w:rsid w:val="00134B9A"/>
    <w:rsid w:val="00134D5A"/>
    <w:rsid w:val="00135652"/>
    <w:rsid w:val="00135A2F"/>
    <w:rsid w:val="00135B91"/>
    <w:rsid w:val="00136076"/>
    <w:rsid w:val="001362E6"/>
    <w:rsid w:val="001365C0"/>
    <w:rsid w:val="00137075"/>
    <w:rsid w:val="00137300"/>
    <w:rsid w:val="00137EC6"/>
    <w:rsid w:val="001402D4"/>
    <w:rsid w:val="001407F1"/>
    <w:rsid w:val="001411B0"/>
    <w:rsid w:val="00142C38"/>
    <w:rsid w:val="0014328B"/>
    <w:rsid w:val="00143F79"/>
    <w:rsid w:val="001447A2"/>
    <w:rsid w:val="0014537C"/>
    <w:rsid w:val="00145B84"/>
    <w:rsid w:val="00146073"/>
    <w:rsid w:val="00146218"/>
    <w:rsid w:val="00146C52"/>
    <w:rsid w:val="001471DF"/>
    <w:rsid w:val="0014751E"/>
    <w:rsid w:val="001479C5"/>
    <w:rsid w:val="00147FBF"/>
    <w:rsid w:val="0015009A"/>
    <w:rsid w:val="00150DF5"/>
    <w:rsid w:val="00151C5D"/>
    <w:rsid w:val="00152594"/>
    <w:rsid w:val="00153C30"/>
    <w:rsid w:val="00155157"/>
    <w:rsid w:val="00156970"/>
    <w:rsid w:val="00157525"/>
    <w:rsid w:val="00157C87"/>
    <w:rsid w:val="00157E64"/>
    <w:rsid w:val="0016005D"/>
    <w:rsid w:val="00161616"/>
    <w:rsid w:val="00162BA3"/>
    <w:rsid w:val="00162E08"/>
    <w:rsid w:val="00163A8E"/>
    <w:rsid w:val="00163EA8"/>
    <w:rsid w:val="00165A5E"/>
    <w:rsid w:val="001660B5"/>
    <w:rsid w:val="00166276"/>
    <w:rsid w:val="0016632D"/>
    <w:rsid w:val="00167143"/>
    <w:rsid w:val="001671E2"/>
    <w:rsid w:val="001675B1"/>
    <w:rsid w:val="00170810"/>
    <w:rsid w:val="0017121A"/>
    <w:rsid w:val="00171A5A"/>
    <w:rsid w:val="001726F8"/>
    <w:rsid w:val="00172810"/>
    <w:rsid w:val="00172AF6"/>
    <w:rsid w:val="0017321F"/>
    <w:rsid w:val="00173E2C"/>
    <w:rsid w:val="00174AC3"/>
    <w:rsid w:val="001767E7"/>
    <w:rsid w:val="00176A3E"/>
    <w:rsid w:val="00176CEE"/>
    <w:rsid w:val="00177455"/>
    <w:rsid w:val="001775B0"/>
    <w:rsid w:val="00177AA5"/>
    <w:rsid w:val="00177AD7"/>
    <w:rsid w:val="00177FD3"/>
    <w:rsid w:val="00180054"/>
    <w:rsid w:val="001802B7"/>
    <w:rsid w:val="0018065E"/>
    <w:rsid w:val="00180701"/>
    <w:rsid w:val="00180D38"/>
    <w:rsid w:val="00180E4A"/>
    <w:rsid w:val="00182267"/>
    <w:rsid w:val="00182B0A"/>
    <w:rsid w:val="00182F95"/>
    <w:rsid w:val="001840DE"/>
    <w:rsid w:val="001841D3"/>
    <w:rsid w:val="0018425F"/>
    <w:rsid w:val="001843CB"/>
    <w:rsid w:val="001844EA"/>
    <w:rsid w:val="001847FD"/>
    <w:rsid w:val="00185A53"/>
    <w:rsid w:val="001861DC"/>
    <w:rsid w:val="0018697D"/>
    <w:rsid w:val="00186C02"/>
    <w:rsid w:val="00186D51"/>
    <w:rsid w:val="00186DD8"/>
    <w:rsid w:val="00187186"/>
    <w:rsid w:val="00187738"/>
    <w:rsid w:val="00190571"/>
    <w:rsid w:val="00190BFB"/>
    <w:rsid w:val="00190FC9"/>
    <w:rsid w:val="00191DAD"/>
    <w:rsid w:val="001928E7"/>
    <w:rsid w:val="001942D6"/>
    <w:rsid w:val="00194A83"/>
    <w:rsid w:val="0019500E"/>
    <w:rsid w:val="00196144"/>
    <w:rsid w:val="00196D08"/>
    <w:rsid w:val="001978D3"/>
    <w:rsid w:val="00197E03"/>
    <w:rsid w:val="00197F85"/>
    <w:rsid w:val="001A0BA5"/>
    <w:rsid w:val="001A1004"/>
    <w:rsid w:val="001A221F"/>
    <w:rsid w:val="001A24ED"/>
    <w:rsid w:val="001A2B30"/>
    <w:rsid w:val="001A353F"/>
    <w:rsid w:val="001A35EC"/>
    <w:rsid w:val="001A3712"/>
    <w:rsid w:val="001A45F6"/>
    <w:rsid w:val="001A5EFF"/>
    <w:rsid w:val="001A6C6E"/>
    <w:rsid w:val="001A6DB5"/>
    <w:rsid w:val="001A715F"/>
    <w:rsid w:val="001A7900"/>
    <w:rsid w:val="001A79B7"/>
    <w:rsid w:val="001B030A"/>
    <w:rsid w:val="001B08E3"/>
    <w:rsid w:val="001B0EE8"/>
    <w:rsid w:val="001B13FE"/>
    <w:rsid w:val="001B191E"/>
    <w:rsid w:val="001B1D29"/>
    <w:rsid w:val="001B1D82"/>
    <w:rsid w:val="001B215F"/>
    <w:rsid w:val="001B25C0"/>
    <w:rsid w:val="001B2790"/>
    <w:rsid w:val="001B297B"/>
    <w:rsid w:val="001B2CB5"/>
    <w:rsid w:val="001B346D"/>
    <w:rsid w:val="001B3C17"/>
    <w:rsid w:val="001B4235"/>
    <w:rsid w:val="001B574B"/>
    <w:rsid w:val="001B74F3"/>
    <w:rsid w:val="001B7FB6"/>
    <w:rsid w:val="001C03A9"/>
    <w:rsid w:val="001C11E6"/>
    <w:rsid w:val="001C2EBC"/>
    <w:rsid w:val="001C53FD"/>
    <w:rsid w:val="001C56D3"/>
    <w:rsid w:val="001C6246"/>
    <w:rsid w:val="001C697D"/>
    <w:rsid w:val="001C6F0E"/>
    <w:rsid w:val="001C7340"/>
    <w:rsid w:val="001C73D3"/>
    <w:rsid w:val="001C7EE9"/>
    <w:rsid w:val="001D1164"/>
    <w:rsid w:val="001D171A"/>
    <w:rsid w:val="001D1E1F"/>
    <w:rsid w:val="001D29B1"/>
    <w:rsid w:val="001D2BA2"/>
    <w:rsid w:val="001D3E24"/>
    <w:rsid w:val="001D3E5F"/>
    <w:rsid w:val="001D40A3"/>
    <w:rsid w:val="001D4206"/>
    <w:rsid w:val="001D49E2"/>
    <w:rsid w:val="001D4A79"/>
    <w:rsid w:val="001D4D04"/>
    <w:rsid w:val="001D523C"/>
    <w:rsid w:val="001D558E"/>
    <w:rsid w:val="001E1064"/>
    <w:rsid w:val="001E1C4B"/>
    <w:rsid w:val="001E359B"/>
    <w:rsid w:val="001E3A8F"/>
    <w:rsid w:val="001E4011"/>
    <w:rsid w:val="001E4038"/>
    <w:rsid w:val="001E49BB"/>
    <w:rsid w:val="001E5406"/>
    <w:rsid w:val="001E59D0"/>
    <w:rsid w:val="001E5C6B"/>
    <w:rsid w:val="001E5F68"/>
    <w:rsid w:val="001E63D3"/>
    <w:rsid w:val="001E6D33"/>
    <w:rsid w:val="001E7C84"/>
    <w:rsid w:val="001E7DA2"/>
    <w:rsid w:val="001F0116"/>
    <w:rsid w:val="001F0EAD"/>
    <w:rsid w:val="001F1546"/>
    <w:rsid w:val="001F15FB"/>
    <w:rsid w:val="001F1CC6"/>
    <w:rsid w:val="001F28FE"/>
    <w:rsid w:val="001F2F12"/>
    <w:rsid w:val="001F3630"/>
    <w:rsid w:val="001F462C"/>
    <w:rsid w:val="001F4E37"/>
    <w:rsid w:val="001F4F3C"/>
    <w:rsid w:val="001F5E26"/>
    <w:rsid w:val="001F67D1"/>
    <w:rsid w:val="001F6AFD"/>
    <w:rsid w:val="001F6DF9"/>
    <w:rsid w:val="001F702E"/>
    <w:rsid w:val="001F7470"/>
    <w:rsid w:val="001F790E"/>
    <w:rsid w:val="002000CE"/>
    <w:rsid w:val="002007CE"/>
    <w:rsid w:val="0020120F"/>
    <w:rsid w:val="002013C5"/>
    <w:rsid w:val="002015D4"/>
    <w:rsid w:val="00201772"/>
    <w:rsid w:val="0020186F"/>
    <w:rsid w:val="00202D63"/>
    <w:rsid w:val="0020340F"/>
    <w:rsid w:val="00204873"/>
    <w:rsid w:val="00204AA4"/>
    <w:rsid w:val="00204EB4"/>
    <w:rsid w:val="00206258"/>
    <w:rsid w:val="0020626D"/>
    <w:rsid w:val="00207819"/>
    <w:rsid w:val="0020797F"/>
    <w:rsid w:val="00210B24"/>
    <w:rsid w:val="00211332"/>
    <w:rsid w:val="00211E23"/>
    <w:rsid w:val="00211F36"/>
    <w:rsid w:val="0021272A"/>
    <w:rsid w:val="0021276E"/>
    <w:rsid w:val="00213365"/>
    <w:rsid w:val="0021392C"/>
    <w:rsid w:val="00213ED4"/>
    <w:rsid w:val="00214442"/>
    <w:rsid w:val="00214CCD"/>
    <w:rsid w:val="00214FB6"/>
    <w:rsid w:val="00215891"/>
    <w:rsid w:val="00215AE5"/>
    <w:rsid w:val="0021627D"/>
    <w:rsid w:val="00216E93"/>
    <w:rsid w:val="00217247"/>
    <w:rsid w:val="00221165"/>
    <w:rsid w:val="0022121C"/>
    <w:rsid w:val="00221E34"/>
    <w:rsid w:val="00221FA2"/>
    <w:rsid w:val="002227D4"/>
    <w:rsid w:val="002233BB"/>
    <w:rsid w:val="00223BB8"/>
    <w:rsid w:val="002241EE"/>
    <w:rsid w:val="00224321"/>
    <w:rsid w:val="00225216"/>
    <w:rsid w:val="002259A1"/>
    <w:rsid w:val="002260DF"/>
    <w:rsid w:val="0022648B"/>
    <w:rsid w:val="00226B2A"/>
    <w:rsid w:val="0022776F"/>
    <w:rsid w:val="00227D94"/>
    <w:rsid w:val="00227E71"/>
    <w:rsid w:val="00230F0C"/>
    <w:rsid w:val="0023210A"/>
    <w:rsid w:val="00232184"/>
    <w:rsid w:val="00232A61"/>
    <w:rsid w:val="00233871"/>
    <w:rsid w:val="00234504"/>
    <w:rsid w:val="002353C8"/>
    <w:rsid w:val="002354F8"/>
    <w:rsid w:val="00235B21"/>
    <w:rsid w:val="002360E4"/>
    <w:rsid w:val="00236163"/>
    <w:rsid w:val="00237025"/>
    <w:rsid w:val="0023702E"/>
    <w:rsid w:val="0023730B"/>
    <w:rsid w:val="002377AF"/>
    <w:rsid w:val="00237923"/>
    <w:rsid w:val="00237E07"/>
    <w:rsid w:val="002410A7"/>
    <w:rsid w:val="0024154C"/>
    <w:rsid w:val="00242384"/>
    <w:rsid w:val="00242C88"/>
    <w:rsid w:val="0024303B"/>
    <w:rsid w:val="00243C2C"/>
    <w:rsid w:val="002448C1"/>
    <w:rsid w:val="00244E80"/>
    <w:rsid w:val="00246136"/>
    <w:rsid w:val="0024629A"/>
    <w:rsid w:val="00246319"/>
    <w:rsid w:val="0024668D"/>
    <w:rsid w:val="00247784"/>
    <w:rsid w:val="00250988"/>
    <w:rsid w:val="00251451"/>
    <w:rsid w:val="00252A6A"/>
    <w:rsid w:val="00253FC7"/>
    <w:rsid w:val="0025482E"/>
    <w:rsid w:val="002557CD"/>
    <w:rsid w:val="00255BE0"/>
    <w:rsid w:val="0025622D"/>
    <w:rsid w:val="002562D8"/>
    <w:rsid w:val="002566E6"/>
    <w:rsid w:val="0025700A"/>
    <w:rsid w:val="0025718B"/>
    <w:rsid w:val="00257C51"/>
    <w:rsid w:val="002606A7"/>
    <w:rsid w:val="002617F5"/>
    <w:rsid w:val="00261892"/>
    <w:rsid w:val="00261CDF"/>
    <w:rsid w:val="00261D1E"/>
    <w:rsid w:val="00262B7B"/>
    <w:rsid w:val="00263203"/>
    <w:rsid w:val="0026488D"/>
    <w:rsid w:val="00264D47"/>
    <w:rsid w:val="0026504C"/>
    <w:rsid w:val="002659C9"/>
    <w:rsid w:val="00266AF7"/>
    <w:rsid w:val="00266CBC"/>
    <w:rsid w:val="00266D61"/>
    <w:rsid w:val="0026764D"/>
    <w:rsid w:val="002713D9"/>
    <w:rsid w:val="002719E5"/>
    <w:rsid w:val="00271E29"/>
    <w:rsid w:val="0027249E"/>
    <w:rsid w:val="002727E3"/>
    <w:rsid w:val="00272CD5"/>
    <w:rsid w:val="00273799"/>
    <w:rsid w:val="00274A76"/>
    <w:rsid w:val="0027534A"/>
    <w:rsid w:val="00275901"/>
    <w:rsid w:val="00275DEC"/>
    <w:rsid w:val="00275F04"/>
    <w:rsid w:val="002760A5"/>
    <w:rsid w:val="002764DB"/>
    <w:rsid w:val="00276EA4"/>
    <w:rsid w:val="00277552"/>
    <w:rsid w:val="00277907"/>
    <w:rsid w:val="00277918"/>
    <w:rsid w:val="00277A7A"/>
    <w:rsid w:val="00281098"/>
    <w:rsid w:val="002815AC"/>
    <w:rsid w:val="00281842"/>
    <w:rsid w:val="0028237F"/>
    <w:rsid w:val="00283A25"/>
    <w:rsid w:val="00283C30"/>
    <w:rsid w:val="00283C8F"/>
    <w:rsid w:val="00283F02"/>
    <w:rsid w:val="002845B1"/>
    <w:rsid w:val="0028484A"/>
    <w:rsid w:val="00284A1D"/>
    <w:rsid w:val="00286901"/>
    <w:rsid w:val="00286B51"/>
    <w:rsid w:val="002879DB"/>
    <w:rsid w:val="00290304"/>
    <w:rsid w:val="002913F5"/>
    <w:rsid w:val="0029164A"/>
    <w:rsid w:val="00291B77"/>
    <w:rsid w:val="00291E6F"/>
    <w:rsid w:val="00291FCA"/>
    <w:rsid w:val="00292C70"/>
    <w:rsid w:val="00293903"/>
    <w:rsid w:val="00293AF2"/>
    <w:rsid w:val="002941ED"/>
    <w:rsid w:val="00294B6B"/>
    <w:rsid w:val="00294C0E"/>
    <w:rsid w:val="00294E2E"/>
    <w:rsid w:val="00295D74"/>
    <w:rsid w:val="00295DCC"/>
    <w:rsid w:val="00295EB6"/>
    <w:rsid w:val="00296591"/>
    <w:rsid w:val="0029783D"/>
    <w:rsid w:val="00297A40"/>
    <w:rsid w:val="00297F1D"/>
    <w:rsid w:val="002A006A"/>
    <w:rsid w:val="002A0B40"/>
    <w:rsid w:val="002A0C96"/>
    <w:rsid w:val="002A14E6"/>
    <w:rsid w:val="002A3124"/>
    <w:rsid w:val="002A356D"/>
    <w:rsid w:val="002A3F65"/>
    <w:rsid w:val="002A4FDC"/>
    <w:rsid w:val="002A5DB8"/>
    <w:rsid w:val="002A6129"/>
    <w:rsid w:val="002A665E"/>
    <w:rsid w:val="002A6A67"/>
    <w:rsid w:val="002A7EA6"/>
    <w:rsid w:val="002B0841"/>
    <w:rsid w:val="002B0EF8"/>
    <w:rsid w:val="002B162D"/>
    <w:rsid w:val="002B162E"/>
    <w:rsid w:val="002B3F5F"/>
    <w:rsid w:val="002B4616"/>
    <w:rsid w:val="002B591D"/>
    <w:rsid w:val="002B5D15"/>
    <w:rsid w:val="002B69D6"/>
    <w:rsid w:val="002B7947"/>
    <w:rsid w:val="002B7FD3"/>
    <w:rsid w:val="002C0701"/>
    <w:rsid w:val="002C2C74"/>
    <w:rsid w:val="002C3B1B"/>
    <w:rsid w:val="002C52D8"/>
    <w:rsid w:val="002C532A"/>
    <w:rsid w:val="002C6272"/>
    <w:rsid w:val="002C65E5"/>
    <w:rsid w:val="002C7766"/>
    <w:rsid w:val="002C7A81"/>
    <w:rsid w:val="002D08E5"/>
    <w:rsid w:val="002D0CB8"/>
    <w:rsid w:val="002D0E68"/>
    <w:rsid w:val="002D1E97"/>
    <w:rsid w:val="002D27E3"/>
    <w:rsid w:val="002D28D1"/>
    <w:rsid w:val="002D3A92"/>
    <w:rsid w:val="002D5835"/>
    <w:rsid w:val="002E076A"/>
    <w:rsid w:val="002E1003"/>
    <w:rsid w:val="002E155D"/>
    <w:rsid w:val="002E1CE7"/>
    <w:rsid w:val="002E2183"/>
    <w:rsid w:val="002E2755"/>
    <w:rsid w:val="002E3EE5"/>
    <w:rsid w:val="002E4435"/>
    <w:rsid w:val="002E4BC1"/>
    <w:rsid w:val="002E51D7"/>
    <w:rsid w:val="002E6489"/>
    <w:rsid w:val="002E6969"/>
    <w:rsid w:val="002E7E4B"/>
    <w:rsid w:val="002E7E6A"/>
    <w:rsid w:val="002F01C4"/>
    <w:rsid w:val="002F0FB4"/>
    <w:rsid w:val="002F3582"/>
    <w:rsid w:val="002F3FF1"/>
    <w:rsid w:val="002F47FE"/>
    <w:rsid w:val="002F4ACE"/>
    <w:rsid w:val="002F4B00"/>
    <w:rsid w:val="002F4FFA"/>
    <w:rsid w:val="002F5AFF"/>
    <w:rsid w:val="002F647F"/>
    <w:rsid w:val="002F7004"/>
    <w:rsid w:val="002F735A"/>
    <w:rsid w:val="002F7E12"/>
    <w:rsid w:val="003000CA"/>
    <w:rsid w:val="003008FE"/>
    <w:rsid w:val="003010BC"/>
    <w:rsid w:val="0030124B"/>
    <w:rsid w:val="0030169D"/>
    <w:rsid w:val="00301AF8"/>
    <w:rsid w:val="00301EFD"/>
    <w:rsid w:val="00301F85"/>
    <w:rsid w:val="0030234F"/>
    <w:rsid w:val="003033A7"/>
    <w:rsid w:val="0030392F"/>
    <w:rsid w:val="003041BF"/>
    <w:rsid w:val="00305922"/>
    <w:rsid w:val="003060EB"/>
    <w:rsid w:val="003065F6"/>
    <w:rsid w:val="003100E9"/>
    <w:rsid w:val="00310C57"/>
    <w:rsid w:val="00311EDE"/>
    <w:rsid w:val="00312483"/>
    <w:rsid w:val="003124E9"/>
    <w:rsid w:val="00312963"/>
    <w:rsid w:val="003153EB"/>
    <w:rsid w:val="00315CD3"/>
    <w:rsid w:val="003166C4"/>
    <w:rsid w:val="0031699E"/>
    <w:rsid w:val="00320D10"/>
    <w:rsid w:val="00320D3C"/>
    <w:rsid w:val="00320EC7"/>
    <w:rsid w:val="00321384"/>
    <w:rsid w:val="00321660"/>
    <w:rsid w:val="00321985"/>
    <w:rsid w:val="00322435"/>
    <w:rsid w:val="003243E0"/>
    <w:rsid w:val="00324A24"/>
    <w:rsid w:val="0032557D"/>
    <w:rsid w:val="00325DD6"/>
    <w:rsid w:val="003262BD"/>
    <w:rsid w:val="003268CF"/>
    <w:rsid w:val="00327230"/>
    <w:rsid w:val="00327964"/>
    <w:rsid w:val="00331235"/>
    <w:rsid w:val="00331500"/>
    <w:rsid w:val="00335B93"/>
    <w:rsid w:val="003370EE"/>
    <w:rsid w:val="00337738"/>
    <w:rsid w:val="00340173"/>
    <w:rsid w:val="00342C97"/>
    <w:rsid w:val="00342D44"/>
    <w:rsid w:val="00342EA8"/>
    <w:rsid w:val="00343525"/>
    <w:rsid w:val="00343595"/>
    <w:rsid w:val="0034383F"/>
    <w:rsid w:val="00343F3E"/>
    <w:rsid w:val="00344D5C"/>
    <w:rsid w:val="00345483"/>
    <w:rsid w:val="00345B96"/>
    <w:rsid w:val="00346EAF"/>
    <w:rsid w:val="00347093"/>
    <w:rsid w:val="00347E48"/>
    <w:rsid w:val="00351205"/>
    <w:rsid w:val="00351327"/>
    <w:rsid w:val="00351899"/>
    <w:rsid w:val="00351BC1"/>
    <w:rsid w:val="00351DD4"/>
    <w:rsid w:val="0035293C"/>
    <w:rsid w:val="00353D27"/>
    <w:rsid w:val="00353FD6"/>
    <w:rsid w:val="0035418E"/>
    <w:rsid w:val="00354639"/>
    <w:rsid w:val="0035517F"/>
    <w:rsid w:val="0035535F"/>
    <w:rsid w:val="0035574B"/>
    <w:rsid w:val="00355BF2"/>
    <w:rsid w:val="0035613C"/>
    <w:rsid w:val="00356297"/>
    <w:rsid w:val="0035668A"/>
    <w:rsid w:val="00356B5E"/>
    <w:rsid w:val="00357F56"/>
    <w:rsid w:val="00360460"/>
    <w:rsid w:val="00360AF4"/>
    <w:rsid w:val="00361127"/>
    <w:rsid w:val="003620A3"/>
    <w:rsid w:val="003621AD"/>
    <w:rsid w:val="0036259B"/>
    <w:rsid w:val="003627C4"/>
    <w:rsid w:val="00362BF1"/>
    <w:rsid w:val="003638ED"/>
    <w:rsid w:val="00363C89"/>
    <w:rsid w:val="00363E48"/>
    <w:rsid w:val="003641DF"/>
    <w:rsid w:val="00364606"/>
    <w:rsid w:val="003647C6"/>
    <w:rsid w:val="00365EB0"/>
    <w:rsid w:val="00365F6D"/>
    <w:rsid w:val="00367224"/>
    <w:rsid w:val="0036734E"/>
    <w:rsid w:val="003678BD"/>
    <w:rsid w:val="00370122"/>
    <w:rsid w:val="003701C0"/>
    <w:rsid w:val="003706DF"/>
    <w:rsid w:val="003708A2"/>
    <w:rsid w:val="003708C5"/>
    <w:rsid w:val="003708EA"/>
    <w:rsid w:val="00370D5B"/>
    <w:rsid w:val="00372904"/>
    <w:rsid w:val="00372B49"/>
    <w:rsid w:val="00372C97"/>
    <w:rsid w:val="00372F27"/>
    <w:rsid w:val="00372F74"/>
    <w:rsid w:val="00373922"/>
    <w:rsid w:val="00374ED7"/>
    <w:rsid w:val="00376709"/>
    <w:rsid w:val="00377A38"/>
    <w:rsid w:val="00377AF5"/>
    <w:rsid w:val="0038097C"/>
    <w:rsid w:val="00380DD4"/>
    <w:rsid w:val="00380E73"/>
    <w:rsid w:val="00381D8C"/>
    <w:rsid w:val="003822EA"/>
    <w:rsid w:val="003827A5"/>
    <w:rsid w:val="003829A3"/>
    <w:rsid w:val="00382A71"/>
    <w:rsid w:val="00382BED"/>
    <w:rsid w:val="00382D56"/>
    <w:rsid w:val="0038303A"/>
    <w:rsid w:val="00385481"/>
    <w:rsid w:val="00387BE1"/>
    <w:rsid w:val="00387CD3"/>
    <w:rsid w:val="00387D87"/>
    <w:rsid w:val="00390672"/>
    <w:rsid w:val="0039182D"/>
    <w:rsid w:val="00391CB0"/>
    <w:rsid w:val="00392B7D"/>
    <w:rsid w:val="0039544F"/>
    <w:rsid w:val="00395A63"/>
    <w:rsid w:val="00396B06"/>
    <w:rsid w:val="003A0931"/>
    <w:rsid w:val="003A095B"/>
    <w:rsid w:val="003A0A77"/>
    <w:rsid w:val="003A0CDA"/>
    <w:rsid w:val="003A135F"/>
    <w:rsid w:val="003A319A"/>
    <w:rsid w:val="003A36D1"/>
    <w:rsid w:val="003A4297"/>
    <w:rsid w:val="003A5445"/>
    <w:rsid w:val="003A58A6"/>
    <w:rsid w:val="003A72E0"/>
    <w:rsid w:val="003A77B3"/>
    <w:rsid w:val="003B0485"/>
    <w:rsid w:val="003B09A8"/>
    <w:rsid w:val="003B0B33"/>
    <w:rsid w:val="003B268F"/>
    <w:rsid w:val="003B30C6"/>
    <w:rsid w:val="003B40F0"/>
    <w:rsid w:val="003B484C"/>
    <w:rsid w:val="003B4CCE"/>
    <w:rsid w:val="003B5567"/>
    <w:rsid w:val="003B60A8"/>
    <w:rsid w:val="003B621E"/>
    <w:rsid w:val="003B7A56"/>
    <w:rsid w:val="003C133E"/>
    <w:rsid w:val="003C19C2"/>
    <w:rsid w:val="003C1B29"/>
    <w:rsid w:val="003C1D4F"/>
    <w:rsid w:val="003C1D8D"/>
    <w:rsid w:val="003C205D"/>
    <w:rsid w:val="003C2319"/>
    <w:rsid w:val="003C294B"/>
    <w:rsid w:val="003C477F"/>
    <w:rsid w:val="003C47B4"/>
    <w:rsid w:val="003C5FE9"/>
    <w:rsid w:val="003C6AB0"/>
    <w:rsid w:val="003C72CF"/>
    <w:rsid w:val="003D0002"/>
    <w:rsid w:val="003D0475"/>
    <w:rsid w:val="003D123F"/>
    <w:rsid w:val="003D162C"/>
    <w:rsid w:val="003D1D93"/>
    <w:rsid w:val="003D1E9A"/>
    <w:rsid w:val="003D2688"/>
    <w:rsid w:val="003D41F2"/>
    <w:rsid w:val="003D41FA"/>
    <w:rsid w:val="003D4ACC"/>
    <w:rsid w:val="003D533F"/>
    <w:rsid w:val="003D59E1"/>
    <w:rsid w:val="003D6496"/>
    <w:rsid w:val="003D66B7"/>
    <w:rsid w:val="003D69DC"/>
    <w:rsid w:val="003D7A23"/>
    <w:rsid w:val="003E0E48"/>
    <w:rsid w:val="003E32C7"/>
    <w:rsid w:val="003E332E"/>
    <w:rsid w:val="003E390F"/>
    <w:rsid w:val="003E3F7A"/>
    <w:rsid w:val="003E4642"/>
    <w:rsid w:val="003E522E"/>
    <w:rsid w:val="003E6D3F"/>
    <w:rsid w:val="003E7D5F"/>
    <w:rsid w:val="003E7ED8"/>
    <w:rsid w:val="003F231A"/>
    <w:rsid w:val="003F3658"/>
    <w:rsid w:val="003F4143"/>
    <w:rsid w:val="003F51E2"/>
    <w:rsid w:val="003F6B86"/>
    <w:rsid w:val="003F6BDD"/>
    <w:rsid w:val="003F7224"/>
    <w:rsid w:val="004013D5"/>
    <w:rsid w:val="00401503"/>
    <w:rsid w:val="0040156A"/>
    <w:rsid w:val="004016AB"/>
    <w:rsid w:val="00401B03"/>
    <w:rsid w:val="00401C02"/>
    <w:rsid w:val="00401CFA"/>
    <w:rsid w:val="00401F9C"/>
    <w:rsid w:val="00402AED"/>
    <w:rsid w:val="00402D2C"/>
    <w:rsid w:val="00402D75"/>
    <w:rsid w:val="0040308D"/>
    <w:rsid w:val="00403C94"/>
    <w:rsid w:val="0040415C"/>
    <w:rsid w:val="00404D0F"/>
    <w:rsid w:val="00405B78"/>
    <w:rsid w:val="0040698B"/>
    <w:rsid w:val="00407C7E"/>
    <w:rsid w:val="00407D63"/>
    <w:rsid w:val="00411C3F"/>
    <w:rsid w:val="00411C46"/>
    <w:rsid w:val="00411D28"/>
    <w:rsid w:val="004121CC"/>
    <w:rsid w:val="00412C74"/>
    <w:rsid w:val="00413BCA"/>
    <w:rsid w:val="004156F5"/>
    <w:rsid w:val="00415E68"/>
    <w:rsid w:val="00420430"/>
    <w:rsid w:val="0042091D"/>
    <w:rsid w:val="00420A16"/>
    <w:rsid w:val="00420E88"/>
    <w:rsid w:val="00421A74"/>
    <w:rsid w:val="00422475"/>
    <w:rsid w:val="0042278F"/>
    <w:rsid w:val="0042510A"/>
    <w:rsid w:val="004261ED"/>
    <w:rsid w:val="00426D6D"/>
    <w:rsid w:val="00427D21"/>
    <w:rsid w:val="00430004"/>
    <w:rsid w:val="00430128"/>
    <w:rsid w:val="0043030E"/>
    <w:rsid w:val="00430F0E"/>
    <w:rsid w:val="0043106B"/>
    <w:rsid w:val="0043163C"/>
    <w:rsid w:val="0043176C"/>
    <w:rsid w:val="004329E8"/>
    <w:rsid w:val="00432B20"/>
    <w:rsid w:val="00433F2F"/>
    <w:rsid w:val="0043594A"/>
    <w:rsid w:val="00435B0D"/>
    <w:rsid w:val="00435E5E"/>
    <w:rsid w:val="004363B0"/>
    <w:rsid w:val="00436CFE"/>
    <w:rsid w:val="004378E2"/>
    <w:rsid w:val="00437B89"/>
    <w:rsid w:val="0044017D"/>
    <w:rsid w:val="00440C09"/>
    <w:rsid w:val="00441EB9"/>
    <w:rsid w:val="00442689"/>
    <w:rsid w:val="00442E8E"/>
    <w:rsid w:val="00442F08"/>
    <w:rsid w:val="004434E3"/>
    <w:rsid w:val="0044410D"/>
    <w:rsid w:val="00444293"/>
    <w:rsid w:val="00444F43"/>
    <w:rsid w:val="00446241"/>
    <w:rsid w:val="00446A0E"/>
    <w:rsid w:val="00447110"/>
    <w:rsid w:val="00447797"/>
    <w:rsid w:val="00447F4A"/>
    <w:rsid w:val="00451EFB"/>
    <w:rsid w:val="004525A5"/>
    <w:rsid w:val="00452DC7"/>
    <w:rsid w:val="004552C5"/>
    <w:rsid w:val="00455AF2"/>
    <w:rsid w:val="00456CDA"/>
    <w:rsid w:val="00456DBF"/>
    <w:rsid w:val="00456F67"/>
    <w:rsid w:val="00460EF5"/>
    <w:rsid w:val="00461D77"/>
    <w:rsid w:val="00461E83"/>
    <w:rsid w:val="004623B6"/>
    <w:rsid w:val="00462585"/>
    <w:rsid w:val="00462AF2"/>
    <w:rsid w:val="0046376D"/>
    <w:rsid w:val="00463A0F"/>
    <w:rsid w:val="004644C2"/>
    <w:rsid w:val="00464D7B"/>
    <w:rsid w:val="004657F6"/>
    <w:rsid w:val="004662B2"/>
    <w:rsid w:val="0046799B"/>
    <w:rsid w:val="00467A39"/>
    <w:rsid w:val="00467F9C"/>
    <w:rsid w:val="00470BFB"/>
    <w:rsid w:val="00470E51"/>
    <w:rsid w:val="00472899"/>
    <w:rsid w:val="00473B8F"/>
    <w:rsid w:val="004743D6"/>
    <w:rsid w:val="004743EE"/>
    <w:rsid w:val="004774EA"/>
    <w:rsid w:val="00477999"/>
    <w:rsid w:val="00480031"/>
    <w:rsid w:val="00480A8B"/>
    <w:rsid w:val="00480B13"/>
    <w:rsid w:val="00484057"/>
    <w:rsid w:val="00485497"/>
    <w:rsid w:val="004863E8"/>
    <w:rsid w:val="00486684"/>
    <w:rsid w:val="00487696"/>
    <w:rsid w:val="00491B3E"/>
    <w:rsid w:val="004923AA"/>
    <w:rsid w:val="0049343F"/>
    <w:rsid w:val="00493469"/>
    <w:rsid w:val="00495468"/>
    <w:rsid w:val="004971F6"/>
    <w:rsid w:val="004A0C38"/>
    <w:rsid w:val="004A1DB3"/>
    <w:rsid w:val="004A1F47"/>
    <w:rsid w:val="004A303C"/>
    <w:rsid w:val="004A34DF"/>
    <w:rsid w:val="004A362E"/>
    <w:rsid w:val="004A451A"/>
    <w:rsid w:val="004A5A4B"/>
    <w:rsid w:val="004A5ABA"/>
    <w:rsid w:val="004A6173"/>
    <w:rsid w:val="004A6640"/>
    <w:rsid w:val="004A6983"/>
    <w:rsid w:val="004B08CC"/>
    <w:rsid w:val="004B2048"/>
    <w:rsid w:val="004B214B"/>
    <w:rsid w:val="004B2664"/>
    <w:rsid w:val="004B3C05"/>
    <w:rsid w:val="004B4261"/>
    <w:rsid w:val="004B4E48"/>
    <w:rsid w:val="004B65D9"/>
    <w:rsid w:val="004B756D"/>
    <w:rsid w:val="004B7FFA"/>
    <w:rsid w:val="004C0CFA"/>
    <w:rsid w:val="004C205A"/>
    <w:rsid w:val="004C2E7C"/>
    <w:rsid w:val="004C2F64"/>
    <w:rsid w:val="004C4476"/>
    <w:rsid w:val="004C4A0B"/>
    <w:rsid w:val="004C4FAF"/>
    <w:rsid w:val="004C5E61"/>
    <w:rsid w:val="004C68BD"/>
    <w:rsid w:val="004D0336"/>
    <w:rsid w:val="004D03D5"/>
    <w:rsid w:val="004D03DB"/>
    <w:rsid w:val="004D15AF"/>
    <w:rsid w:val="004D1CDA"/>
    <w:rsid w:val="004D1FB8"/>
    <w:rsid w:val="004D54DF"/>
    <w:rsid w:val="004D5822"/>
    <w:rsid w:val="004D587A"/>
    <w:rsid w:val="004D5A16"/>
    <w:rsid w:val="004D5B09"/>
    <w:rsid w:val="004D62E9"/>
    <w:rsid w:val="004D6968"/>
    <w:rsid w:val="004E1125"/>
    <w:rsid w:val="004E132F"/>
    <w:rsid w:val="004E2171"/>
    <w:rsid w:val="004E2221"/>
    <w:rsid w:val="004E2DF7"/>
    <w:rsid w:val="004E309A"/>
    <w:rsid w:val="004E3BDA"/>
    <w:rsid w:val="004E5301"/>
    <w:rsid w:val="004E58C8"/>
    <w:rsid w:val="004E6AE4"/>
    <w:rsid w:val="004E7332"/>
    <w:rsid w:val="004F1F3C"/>
    <w:rsid w:val="004F2140"/>
    <w:rsid w:val="004F2D02"/>
    <w:rsid w:val="004F3E21"/>
    <w:rsid w:val="004F419A"/>
    <w:rsid w:val="004F4474"/>
    <w:rsid w:val="004F49B0"/>
    <w:rsid w:val="004F5FBC"/>
    <w:rsid w:val="004F601E"/>
    <w:rsid w:val="004F633A"/>
    <w:rsid w:val="004F6FBD"/>
    <w:rsid w:val="0050022E"/>
    <w:rsid w:val="00500396"/>
    <w:rsid w:val="005023E4"/>
    <w:rsid w:val="005036DF"/>
    <w:rsid w:val="00503ED3"/>
    <w:rsid w:val="005043DF"/>
    <w:rsid w:val="00504549"/>
    <w:rsid w:val="00504973"/>
    <w:rsid w:val="00504C35"/>
    <w:rsid w:val="0050535F"/>
    <w:rsid w:val="005059F6"/>
    <w:rsid w:val="00505DA1"/>
    <w:rsid w:val="00507305"/>
    <w:rsid w:val="005074DF"/>
    <w:rsid w:val="00507A12"/>
    <w:rsid w:val="0051006C"/>
    <w:rsid w:val="00510C1D"/>
    <w:rsid w:val="00510E8A"/>
    <w:rsid w:val="00510FB4"/>
    <w:rsid w:val="005134ED"/>
    <w:rsid w:val="005144F5"/>
    <w:rsid w:val="00515373"/>
    <w:rsid w:val="00515A4A"/>
    <w:rsid w:val="00515CA1"/>
    <w:rsid w:val="005163D5"/>
    <w:rsid w:val="00516B00"/>
    <w:rsid w:val="00516CDD"/>
    <w:rsid w:val="0051729B"/>
    <w:rsid w:val="00517D62"/>
    <w:rsid w:val="0052047A"/>
    <w:rsid w:val="00520486"/>
    <w:rsid w:val="0052091B"/>
    <w:rsid w:val="00521D5F"/>
    <w:rsid w:val="00523213"/>
    <w:rsid w:val="00523596"/>
    <w:rsid w:val="00523B7D"/>
    <w:rsid w:val="00523EE6"/>
    <w:rsid w:val="005254C3"/>
    <w:rsid w:val="005255D4"/>
    <w:rsid w:val="00526BC4"/>
    <w:rsid w:val="0052756E"/>
    <w:rsid w:val="00527A9C"/>
    <w:rsid w:val="00530AFE"/>
    <w:rsid w:val="0053196D"/>
    <w:rsid w:val="00532AEB"/>
    <w:rsid w:val="005335FC"/>
    <w:rsid w:val="005343D9"/>
    <w:rsid w:val="00534681"/>
    <w:rsid w:val="00535431"/>
    <w:rsid w:val="005357DD"/>
    <w:rsid w:val="00535CCF"/>
    <w:rsid w:val="005375AC"/>
    <w:rsid w:val="00537A23"/>
    <w:rsid w:val="00537CD8"/>
    <w:rsid w:val="00541232"/>
    <w:rsid w:val="00541CFF"/>
    <w:rsid w:val="00541D74"/>
    <w:rsid w:val="00541E0D"/>
    <w:rsid w:val="00542613"/>
    <w:rsid w:val="00542741"/>
    <w:rsid w:val="00542F84"/>
    <w:rsid w:val="005440E8"/>
    <w:rsid w:val="0054420D"/>
    <w:rsid w:val="00544431"/>
    <w:rsid w:val="00545F93"/>
    <w:rsid w:val="00546586"/>
    <w:rsid w:val="0054742A"/>
    <w:rsid w:val="00547B0D"/>
    <w:rsid w:val="00550E6F"/>
    <w:rsid w:val="00551BDE"/>
    <w:rsid w:val="00552B7A"/>
    <w:rsid w:val="00552C0C"/>
    <w:rsid w:val="00552D21"/>
    <w:rsid w:val="005533FE"/>
    <w:rsid w:val="00553DF9"/>
    <w:rsid w:val="00553F2A"/>
    <w:rsid w:val="0055488F"/>
    <w:rsid w:val="00554BD5"/>
    <w:rsid w:val="00555411"/>
    <w:rsid w:val="00555D6D"/>
    <w:rsid w:val="00556341"/>
    <w:rsid w:val="005564B4"/>
    <w:rsid w:val="005568DA"/>
    <w:rsid w:val="00556D3E"/>
    <w:rsid w:val="00560631"/>
    <w:rsid w:val="0056068E"/>
    <w:rsid w:val="005619BC"/>
    <w:rsid w:val="00561D65"/>
    <w:rsid w:val="005628E4"/>
    <w:rsid w:val="00563422"/>
    <w:rsid w:val="00563442"/>
    <w:rsid w:val="0056348E"/>
    <w:rsid w:val="005636D9"/>
    <w:rsid w:val="0056378E"/>
    <w:rsid w:val="00564820"/>
    <w:rsid w:val="00565B42"/>
    <w:rsid w:val="00565E6F"/>
    <w:rsid w:val="0056609C"/>
    <w:rsid w:val="00566192"/>
    <w:rsid w:val="005663F2"/>
    <w:rsid w:val="005669C5"/>
    <w:rsid w:val="00566A6B"/>
    <w:rsid w:val="00566EC1"/>
    <w:rsid w:val="0056793B"/>
    <w:rsid w:val="00570F5D"/>
    <w:rsid w:val="00571744"/>
    <w:rsid w:val="00573590"/>
    <w:rsid w:val="00573983"/>
    <w:rsid w:val="005751E5"/>
    <w:rsid w:val="00577CAB"/>
    <w:rsid w:val="0058026F"/>
    <w:rsid w:val="005814BB"/>
    <w:rsid w:val="005815ED"/>
    <w:rsid w:val="00581D45"/>
    <w:rsid w:val="00582066"/>
    <w:rsid w:val="005824AE"/>
    <w:rsid w:val="0058320D"/>
    <w:rsid w:val="0058438F"/>
    <w:rsid w:val="0058487A"/>
    <w:rsid w:val="005850A0"/>
    <w:rsid w:val="005855D3"/>
    <w:rsid w:val="005868B7"/>
    <w:rsid w:val="0058726E"/>
    <w:rsid w:val="005873FD"/>
    <w:rsid w:val="005878E1"/>
    <w:rsid w:val="00591D9E"/>
    <w:rsid w:val="00591E62"/>
    <w:rsid w:val="005920B1"/>
    <w:rsid w:val="005923DF"/>
    <w:rsid w:val="00593243"/>
    <w:rsid w:val="00593D25"/>
    <w:rsid w:val="00593FE6"/>
    <w:rsid w:val="005945E0"/>
    <w:rsid w:val="00595BD1"/>
    <w:rsid w:val="00596072"/>
    <w:rsid w:val="005964DD"/>
    <w:rsid w:val="00596B55"/>
    <w:rsid w:val="00596BD3"/>
    <w:rsid w:val="00597C30"/>
    <w:rsid w:val="005A29DD"/>
    <w:rsid w:val="005A29E1"/>
    <w:rsid w:val="005A3214"/>
    <w:rsid w:val="005A3940"/>
    <w:rsid w:val="005A3B33"/>
    <w:rsid w:val="005A3BDA"/>
    <w:rsid w:val="005A3E9A"/>
    <w:rsid w:val="005A40BC"/>
    <w:rsid w:val="005A4319"/>
    <w:rsid w:val="005A5BBF"/>
    <w:rsid w:val="005A5E73"/>
    <w:rsid w:val="005A6588"/>
    <w:rsid w:val="005A65E6"/>
    <w:rsid w:val="005A788E"/>
    <w:rsid w:val="005A7983"/>
    <w:rsid w:val="005A7CEC"/>
    <w:rsid w:val="005B08D0"/>
    <w:rsid w:val="005B102E"/>
    <w:rsid w:val="005B118F"/>
    <w:rsid w:val="005B283B"/>
    <w:rsid w:val="005B2D42"/>
    <w:rsid w:val="005B340B"/>
    <w:rsid w:val="005B35E2"/>
    <w:rsid w:val="005B4AF1"/>
    <w:rsid w:val="005B538D"/>
    <w:rsid w:val="005B542C"/>
    <w:rsid w:val="005B5A29"/>
    <w:rsid w:val="005B6723"/>
    <w:rsid w:val="005B68E6"/>
    <w:rsid w:val="005B7141"/>
    <w:rsid w:val="005B779C"/>
    <w:rsid w:val="005B7931"/>
    <w:rsid w:val="005C1ABA"/>
    <w:rsid w:val="005C219F"/>
    <w:rsid w:val="005C2F24"/>
    <w:rsid w:val="005C4B5A"/>
    <w:rsid w:val="005C4CE6"/>
    <w:rsid w:val="005C5582"/>
    <w:rsid w:val="005C6B17"/>
    <w:rsid w:val="005C6B95"/>
    <w:rsid w:val="005C7BBE"/>
    <w:rsid w:val="005D24E0"/>
    <w:rsid w:val="005D3248"/>
    <w:rsid w:val="005D3B7A"/>
    <w:rsid w:val="005D4269"/>
    <w:rsid w:val="005D5123"/>
    <w:rsid w:val="005D595C"/>
    <w:rsid w:val="005D6EBA"/>
    <w:rsid w:val="005D7935"/>
    <w:rsid w:val="005D79AE"/>
    <w:rsid w:val="005D7CEF"/>
    <w:rsid w:val="005E08AD"/>
    <w:rsid w:val="005E08CD"/>
    <w:rsid w:val="005E0D2B"/>
    <w:rsid w:val="005E143D"/>
    <w:rsid w:val="005E1CBB"/>
    <w:rsid w:val="005E22AD"/>
    <w:rsid w:val="005E2C63"/>
    <w:rsid w:val="005E3621"/>
    <w:rsid w:val="005E3B3C"/>
    <w:rsid w:val="005E4177"/>
    <w:rsid w:val="005E5C60"/>
    <w:rsid w:val="005E6297"/>
    <w:rsid w:val="005F04EA"/>
    <w:rsid w:val="005F09CA"/>
    <w:rsid w:val="005F1267"/>
    <w:rsid w:val="005F16D5"/>
    <w:rsid w:val="005F1BC6"/>
    <w:rsid w:val="005F1BCD"/>
    <w:rsid w:val="005F2C2A"/>
    <w:rsid w:val="005F3918"/>
    <w:rsid w:val="005F5D4C"/>
    <w:rsid w:val="005F6091"/>
    <w:rsid w:val="006000E1"/>
    <w:rsid w:val="00602DE2"/>
    <w:rsid w:val="006035F5"/>
    <w:rsid w:val="0060373E"/>
    <w:rsid w:val="0060583E"/>
    <w:rsid w:val="0060598C"/>
    <w:rsid w:val="00605A7C"/>
    <w:rsid w:val="00605AAE"/>
    <w:rsid w:val="00605E5F"/>
    <w:rsid w:val="00607DB3"/>
    <w:rsid w:val="00610043"/>
    <w:rsid w:val="00611DCE"/>
    <w:rsid w:val="006122BA"/>
    <w:rsid w:val="00612ACE"/>
    <w:rsid w:val="00613372"/>
    <w:rsid w:val="00614041"/>
    <w:rsid w:val="00614B51"/>
    <w:rsid w:val="0061578F"/>
    <w:rsid w:val="00615895"/>
    <w:rsid w:val="00616057"/>
    <w:rsid w:val="00616154"/>
    <w:rsid w:val="0061681A"/>
    <w:rsid w:val="006203F9"/>
    <w:rsid w:val="0062087F"/>
    <w:rsid w:val="006210AB"/>
    <w:rsid w:val="00622F49"/>
    <w:rsid w:val="006230EE"/>
    <w:rsid w:val="006233A3"/>
    <w:rsid w:val="00624595"/>
    <w:rsid w:val="00624961"/>
    <w:rsid w:val="00625283"/>
    <w:rsid w:val="00625EBB"/>
    <w:rsid w:val="006271FA"/>
    <w:rsid w:val="006279E4"/>
    <w:rsid w:val="00627F4C"/>
    <w:rsid w:val="006319C4"/>
    <w:rsid w:val="00631D99"/>
    <w:rsid w:val="00632022"/>
    <w:rsid w:val="00632BE0"/>
    <w:rsid w:val="00633493"/>
    <w:rsid w:val="006339BA"/>
    <w:rsid w:val="006346B7"/>
    <w:rsid w:val="00635AE1"/>
    <w:rsid w:val="00635C7E"/>
    <w:rsid w:val="00637559"/>
    <w:rsid w:val="00640057"/>
    <w:rsid w:val="00640677"/>
    <w:rsid w:val="006421DF"/>
    <w:rsid w:val="006422D4"/>
    <w:rsid w:val="006440A0"/>
    <w:rsid w:val="00644597"/>
    <w:rsid w:val="00644A3D"/>
    <w:rsid w:val="00644B34"/>
    <w:rsid w:val="00644DB7"/>
    <w:rsid w:val="00644F24"/>
    <w:rsid w:val="0064503E"/>
    <w:rsid w:val="00645769"/>
    <w:rsid w:val="00645DC0"/>
    <w:rsid w:val="00646425"/>
    <w:rsid w:val="00646508"/>
    <w:rsid w:val="00646F99"/>
    <w:rsid w:val="006478BF"/>
    <w:rsid w:val="00647FAB"/>
    <w:rsid w:val="0065040A"/>
    <w:rsid w:val="00651B45"/>
    <w:rsid w:val="006524BF"/>
    <w:rsid w:val="0065291B"/>
    <w:rsid w:val="00653ABD"/>
    <w:rsid w:val="00654D38"/>
    <w:rsid w:val="00655462"/>
    <w:rsid w:val="00655B1C"/>
    <w:rsid w:val="00656B56"/>
    <w:rsid w:val="0065774E"/>
    <w:rsid w:val="00657D3D"/>
    <w:rsid w:val="00660B19"/>
    <w:rsid w:val="00661442"/>
    <w:rsid w:val="00662B74"/>
    <w:rsid w:val="006634EF"/>
    <w:rsid w:val="0066433F"/>
    <w:rsid w:val="006645A4"/>
    <w:rsid w:val="006646CC"/>
    <w:rsid w:val="00664E03"/>
    <w:rsid w:val="00666363"/>
    <w:rsid w:val="006668F0"/>
    <w:rsid w:val="00666992"/>
    <w:rsid w:val="00667160"/>
    <w:rsid w:val="00667DCA"/>
    <w:rsid w:val="006708ED"/>
    <w:rsid w:val="00670E60"/>
    <w:rsid w:val="00673131"/>
    <w:rsid w:val="006735B4"/>
    <w:rsid w:val="006742F5"/>
    <w:rsid w:val="00675035"/>
    <w:rsid w:val="006751D0"/>
    <w:rsid w:val="00675D0D"/>
    <w:rsid w:val="006765D3"/>
    <w:rsid w:val="0067715C"/>
    <w:rsid w:val="006777E5"/>
    <w:rsid w:val="006777FD"/>
    <w:rsid w:val="00677D09"/>
    <w:rsid w:val="0068009B"/>
    <w:rsid w:val="00680379"/>
    <w:rsid w:val="0068141D"/>
    <w:rsid w:val="00681738"/>
    <w:rsid w:val="0068204A"/>
    <w:rsid w:val="0068258D"/>
    <w:rsid w:val="00683C4E"/>
    <w:rsid w:val="00683FFC"/>
    <w:rsid w:val="00684563"/>
    <w:rsid w:val="00684F41"/>
    <w:rsid w:val="006851A1"/>
    <w:rsid w:val="00685596"/>
    <w:rsid w:val="00685997"/>
    <w:rsid w:val="00685D48"/>
    <w:rsid w:val="006866AE"/>
    <w:rsid w:val="00686C9F"/>
    <w:rsid w:val="00686D0E"/>
    <w:rsid w:val="0068741C"/>
    <w:rsid w:val="0068746E"/>
    <w:rsid w:val="00687856"/>
    <w:rsid w:val="00687E77"/>
    <w:rsid w:val="00690CB2"/>
    <w:rsid w:val="00691BB6"/>
    <w:rsid w:val="00691D2D"/>
    <w:rsid w:val="00692746"/>
    <w:rsid w:val="00692D45"/>
    <w:rsid w:val="00694317"/>
    <w:rsid w:val="00694366"/>
    <w:rsid w:val="006953BA"/>
    <w:rsid w:val="00696425"/>
    <w:rsid w:val="00696A71"/>
    <w:rsid w:val="00697B84"/>
    <w:rsid w:val="00697ED3"/>
    <w:rsid w:val="006A0111"/>
    <w:rsid w:val="006A0C8A"/>
    <w:rsid w:val="006A1376"/>
    <w:rsid w:val="006A17CE"/>
    <w:rsid w:val="006A208B"/>
    <w:rsid w:val="006A2415"/>
    <w:rsid w:val="006A2D84"/>
    <w:rsid w:val="006A2F57"/>
    <w:rsid w:val="006A38DD"/>
    <w:rsid w:val="006A3BE7"/>
    <w:rsid w:val="006A4EE0"/>
    <w:rsid w:val="006A538B"/>
    <w:rsid w:val="006A5FC5"/>
    <w:rsid w:val="006A68E8"/>
    <w:rsid w:val="006A6946"/>
    <w:rsid w:val="006A7381"/>
    <w:rsid w:val="006A73C1"/>
    <w:rsid w:val="006A7B98"/>
    <w:rsid w:val="006B0234"/>
    <w:rsid w:val="006B121F"/>
    <w:rsid w:val="006B1BB9"/>
    <w:rsid w:val="006B1C4A"/>
    <w:rsid w:val="006B2290"/>
    <w:rsid w:val="006B24A1"/>
    <w:rsid w:val="006B2B6A"/>
    <w:rsid w:val="006B3115"/>
    <w:rsid w:val="006B5490"/>
    <w:rsid w:val="006B64A9"/>
    <w:rsid w:val="006C2D8C"/>
    <w:rsid w:val="006C3B8C"/>
    <w:rsid w:val="006C418A"/>
    <w:rsid w:val="006C5DC6"/>
    <w:rsid w:val="006C6347"/>
    <w:rsid w:val="006C6862"/>
    <w:rsid w:val="006C7BA2"/>
    <w:rsid w:val="006C7BFB"/>
    <w:rsid w:val="006D039D"/>
    <w:rsid w:val="006D0F16"/>
    <w:rsid w:val="006D356F"/>
    <w:rsid w:val="006D4180"/>
    <w:rsid w:val="006D464A"/>
    <w:rsid w:val="006D4CA5"/>
    <w:rsid w:val="006D54FA"/>
    <w:rsid w:val="006D561E"/>
    <w:rsid w:val="006D625B"/>
    <w:rsid w:val="006D6595"/>
    <w:rsid w:val="006D6AB8"/>
    <w:rsid w:val="006D6B52"/>
    <w:rsid w:val="006D743B"/>
    <w:rsid w:val="006D76B0"/>
    <w:rsid w:val="006D7C24"/>
    <w:rsid w:val="006E0C22"/>
    <w:rsid w:val="006E1121"/>
    <w:rsid w:val="006E1DAF"/>
    <w:rsid w:val="006E3653"/>
    <w:rsid w:val="006E3E21"/>
    <w:rsid w:val="006E3EA6"/>
    <w:rsid w:val="006E414D"/>
    <w:rsid w:val="006E4160"/>
    <w:rsid w:val="006E48DD"/>
    <w:rsid w:val="006E5833"/>
    <w:rsid w:val="006E6796"/>
    <w:rsid w:val="006E79BD"/>
    <w:rsid w:val="006F0405"/>
    <w:rsid w:val="006F10C9"/>
    <w:rsid w:val="006F120C"/>
    <w:rsid w:val="006F243A"/>
    <w:rsid w:val="006F3126"/>
    <w:rsid w:val="006F32C4"/>
    <w:rsid w:val="006F3CA3"/>
    <w:rsid w:val="006F415E"/>
    <w:rsid w:val="006F41BC"/>
    <w:rsid w:val="006F4A4D"/>
    <w:rsid w:val="006F5438"/>
    <w:rsid w:val="006F5AE3"/>
    <w:rsid w:val="006F6095"/>
    <w:rsid w:val="006F6843"/>
    <w:rsid w:val="006F696C"/>
    <w:rsid w:val="006F7A2E"/>
    <w:rsid w:val="006F7A33"/>
    <w:rsid w:val="00700560"/>
    <w:rsid w:val="0070225C"/>
    <w:rsid w:val="00702824"/>
    <w:rsid w:val="00703005"/>
    <w:rsid w:val="00704639"/>
    <w:rsid w:val="0070487E"/>
    <w:rsid w:val="00704BB4"/>
    <w:rsid w:val="007051F7"/>
    <w:rsid w:val="0070646D"/>
    <w:rsid w:val="00706CC2"/>
    <w:rsid w:val="007072A6"/>
    <w:rsid w:val="0071125A"/>
    <w:rsid w:val="00711830"/>
    <w:rsid w:val="00711F9B"/>
    <w:rsid w:val="00712E56"/>
    <w:rsid w:val="0071413C"/>
    <w:rsid w:val="00714171"/>
    <w:rsid w:val="00714459"/>
    <w:rsid w:val="007156EA"/>
    <w:rsid w:val="00715B3F"/>
    <w:rsid w:val="00715DEB"/>
    <w:rsid w:val="00716722"/>
    <w:rsid w:val="00717369"/>
    <w:rsid w:val="007174F4"/>
    <w:rsid w:val="00717D88"/>
    <w:rsid w:val="007202AD"/>
    <w:rsid w:val="00721DA9"/>
    <w:rsid w:val="0072264E"/>
    <w:rsid w:val="007232AA"/>
    <w:rsid w:val="00723902"/>
    <w:rsid w:val="00723C98"/>
    <w:rsid w:val="00724131"/>
    <w:rsid w:val="00724189"/>
    <w:rsid w:val="00724522"/>
    <w:rsid w:val="007257C4"/>
    <w:rsid w:val="0072607E"/>
    <w:rsid w:val="00726A2D"/>
    <w:rsid w:val="00726A43"/>
    <w:rsid w:val="00726C50"/>
    <w:rsid w:val="0072740A"/>
    <w:rsid w:val="00727CA7"/>
    <w:rsid w:val="00730AA9"/>
    <w:rsid w:val="00730CFF"/>
    <w:rsid w:val="007315CB"/>
    <w:rsid w:val="00733317"/>
    <w:rsid w:val="00733A22"/>
    <w:rsid w:val="00733E60"/>
    <w:rsid w:val="00734062"/>
    <w:rsid w:val="0073463F"/>
    <w:rsid w:val="00735257"/>
    <w:rsid w:val="00735655"/>
    <w:rsid w:val="00736AEC"/>
    <w:rsid w:val="00736C82"/>
    <w:rsid w:val="00737655"/>
    <w:rsid w:val="0074013F"/>
    <w:rsid w:val="0074084A"/>
    <w:rsid w:val="00741254"/>
    <w:rsid w:val="00744781"/>
    <w:rsid w:val="007449B8"/>
    <w:rsid w:val="00744C7A"/>
    <w:rsid w:val="00745C14"/>
    <w:rsid w:val="0074682E"/>
    <w:rsid w:val="007469F0"/>
    <w:rsid w:val="00746A64"/>
    <w:rsid w:val="007476EF"/>
    <w:rsid w:val="00747EE1"/>
    <w:rsid w:val="007509D2"/>
    <w:rsid w:val="00751DBB"/>
    <w:rsid w:val="0075250D"/>
    <w:rsid w:val="00752759"/>
    <w:rsid w:val="00752BB1"/>
    <w:rsid w:val="00752C67"/>
    <w:rsid w:val="0075312B"/>
    <w:rsid w:val="00753637"/>
    <w:rsid w:val="00753D20"/>
    <w:rsid w:val="00753D66"/>
    <w:rsid w:val="00754825"/>
    <w:rsid w:val="0075594C"/>
    <w:rsid w:val="00755E62"/>
    <w:rsid w:val="00760128"/>
    <w:rsid w:val="007604AB"/>
    <w:rsid w:val="00761379"/>
    <w:rsid w:val="00761BC4"/>
    <w:rsid w:val="00761CA0"/>
    <w:rsid w:val="00761F6E"/>
    <w:rsid w:val="00762022"/>
    <w:rsid w:val="00762421"/>
    <w:rsid w:val="007627F9"/>
    <w:rsid w:val="0076298B"/>
    <w:rsid w:val="00763245"/>
    <w:rsid w:val="0076420E"/>
    <w:rsid w:val="00764521"/>
    <w:rsid w:val="0076479E"/>
    <w:rsid w:val="007648BF"/>
    <w:rsid w:val="007654E5"/>
    <w:rsid w:val="00765F65"/>
    <w:rsid w:val="007661AD"/>
    <w:rsid w:val="007663EE"/>
    <w:rsid w:val="007700DC"/>
    <w:rsid w:val="00771764"/>
    <w:rsid w:val="007743A2"/>
    <w:rsid w:val="00774FB3"/>
    <w:rsid w:val="00776554"/>
    <w:rsid w:val="0077739A"/>
    <w:rsid w:val="00777B1C"/>
    <w:rsid w:val="00777DBB"/>
    <w:rsid w:val="00777DF1"/>
    <w:rsid w:val="00777F4C"/>
    <w:rsid w:val="00777FDA"/>
    <w:rsid w:val="0078121B"/>
    <w:rsid w:val="00781927"/>
    <w:rsid w:val="00781C12"/>
    <w:rsid w:val="0078245E"/>
    <w:rsid w:val="0078347B"/>
    <w:rsid w:val="007835AE"/>
    <w:rsid w:val="00783648"/>
    <w:rsid w:val="00784D12"/>
    <w:rsid w:val="00784DBB"/>
    <w:rsid w:val="007859F7"/>
    <w:rsid w:val="00785D12"/>
    <w:rsid w:val="00786056"/>
    <w:rsid w:val="0078696B"/>
    <w:rsid w:val="00786DED"/>
    <w:rsid w:val="007901EF"/>
    <w:rsid w:val="00790390"/>
    <w:rsid w:val="0079134E"/>
    <w:rsid w:val="00791477"/>
    <w:rsid w:val="0079162D"/>
    <w:rsid w:val="00791F6B"/>
    <w:rsid w:val="007942D3"/>
    <w:rsid w:val="0079450C"/>
    <w:rsid w:val="0079520C"/>
    <w:rsid w:val="007958B3"/>
    <w:rsid w:val="00796BC5"/>
    <w:rsid w:val="00796DDD"/>
    <w:rsid w:val="00796F02"/>
    <w:rsid w:val="00797268"/>
    <w:rsid w:val="0079733D"/>
    <w:rsid w:val="00797590"/>
    <w:rsid w:val="00797A8B"/>
    <w:rsid w:val="00797F37"/>
    <w:rsid w:val="007A0400"/>
    <w:rsid w:val="007A0BA0"/>
    <w:rsid w:val="007A19F2"/>
    <w:rsid w:val="007A1CD2"/>
    <w:rsid w:val="007A1EF5"/>
    <w:rsid w:val="007A4DD9"/>
    <w:rsid w:val="007A529B"/>
    <w:rsid w:val="007A5668"/>
    <w:rsid w:val="007A5964"/>
    <w:rsid w:val="007A6219"/>
    <w:rsid w:val="007A6E56"/>
    <w:rsid w:val="007A70D7"/>
    <w:rsid w:val="007A7C02"/>
    <w:rsid w:val="007A7E7A"/>
    <w:rsid w:val="007B004E"/>
    <w:rsid w:val="007B1639"/>
    <w:rsid w:val="007B2099"/>
    <w:rsid w:val="007B3B3A"/>
    <w:rsid w:val="007B406A"/>
    <w:rsid w:val="007B44FF"/>
    <w:rsid w:val="007B484F"/>
    <w:rsid w:val="007B552C"/>
    <w:rsid w:val="007B5B65"/>
    <w:rsid w:val="007B6C09"/>
    <w:rsid w:val="007B705B"/>
    <w:rsid w:val="007B7311"/>
    <w:rsid w:val="007B75BE"/>
    <w:rsid w:val="007B7741"/>
    <w:rsid w:val="007B7BBE"/>
    <w:rsid w:val="007C1629"/>
    <w:rsid w:val="007C16C0"/>
    <w:rsid w:val="007C1C95"/>
    <w:rsid w:val="007C2666"/>
    <w:rsid w:val="007C2FD4"/>
    <w:rsid w:val="007C3867"/>
    <w:rsid w:val="007C3AF6"/>
    <w:rsid w:val="007C44C3"/>
    <w:rsid w:val="007C4614"/>
    <w:rsid w:val="007C4951"/>
    <w:rsid w:val="007C4BEC"/>
    <w:rsid w:val="007C4DB2"/>
    <w:rsid w:val="007C5EF2"/>
    <w:rsid w:val="007C68F6"/>
    <w:rsid w:val="007C71CA"/>
    <w:rsid w:val="007C72EB"/>
    <w:rsid w:val="007D0C61"/>
    <w:rsid w:val="007D0E28"/>
    <w:rsid w:val="007D2F7D"/>
    <w:rsid w:val="007D36FC"/>
    <w:rsid w:val="007D53D3"/>
    <w:rsid w:val="007D63F1"/>
    <w:rsid w:val="007D676D"/>
    <w:rsid w:val="007D6957"/>
    <w:rsid w:val="007D7542"/>
    <w:rsid w:val="007E0711"/>
    <w:rsid w:val="007E09DA"/>
    <w:rsid w:val="007E0F8A"/>
    <w:rsid w:val="007E1A46"/>
    <w:rsid w:val="007E2A73"/>
    <w:rsid w:val="007E497C"/>
    <w:rsid w:val="007E5F5A"/>
    <w:rsid w:val="007E6E5F"/>
    <w:rsid w:val="007E763D"/>
    <w:rsid w:val="007E7FB2"/>
    <w:rsid w:val="007F039A"/>
    <w:rsid w:val="007F1BE2"/>
    <w:rsid w:val="007F31F9"/>
    <w:rsid w:val="007F383C"/>
    <w:rsid w:val="007F4B6A"/>
    <w:rsid w:val="007F51C5"/>
    <w:rsid w:val="007F53AB"/>
    <w:rsid w:val="007F5E37"/>
    <w:rsid w:val="007F6521"/>
    <w:rsid w:val="007F67DD"/>
    <w:rsid w:val="007F718D"/>
    <w:rsid w:val="007F7FEB"/>
    <w:rsid w:val="00800275"/>
    <w:rsid w:val="00800698"/>
    <w:rsid w:val="008006E4"/>
    <w:rsid w:val="00801713"/>
    <w:rsid w:val="00801FAD"/>
    <w:rsid w:val="00804F4F"/>
    <w:rsid w:val="00805ADF"/>
    <w:rsid w:val="0080680C"/>
    <w:rsid w:val="00810B68"/>
    <w:rsid w:val="008126B0"/>
    <w:rsid w:val="00812C29"/>
    <w:rsid w:val="0081368A"/>
    <w:rsid w:val="008149CB"/>
    <w:rsid w:val="0081585E"/>
    <w:rsid w:val="00816DD1"/>
    <w:rsid w:val="00816F23"/>
    <w:rsid w:val="0081709C"/>
    <w:rsid w:val="00817641"/>
    <w:rsid w:val="008178B6"/>
    <w:rsid w:val="00817A1C"/>
    <w:rsid w:val="0082020F"/>
    <w:rsid w:val="008212F8"/>
    <w:rsid w:val="00821989"/>
    <w:rsid w:val="00823D0A"/>
    <w:rsid w:val="00824A77"/>
    <w:rsid w:val="00824D61"/>
    <w:rsid w:val="00826AA1"/>
    <w:rsid w:val="008271B2"/>
    <w:rsid w:val="00827A5F"/>
    <w:rsid w:val="00830728"/>
    <w:rsid w:val="00831F86"/>
    <w:rsid w:val="0083278E"/>
    <w:rsid w:val="00833818"/>
    <w:rsid w:val="00833A9F"/>
    <w:rsid w:val="00835A0B"/>
    <w:rsid w:val="00835A99"/>
    <w:rsid w:val="00835BE3"/>
    <w:rsid w:val="00835E71"/>
    <w:rsid w:val="00836CC5"/>
    <w:rsid w:val="008370AA"/>
    <w:rsid w:val="00837182"/>
    <w:rsid w:val="00837AA4"/>
    <w:rsid w:val="00837D5B"/>
    <w:rsid w:val="0084007E"/>
    <w:rsid w:val="0084029F"/>
    <w:rsid w:val="008403D5"/>
    <w:rsid w:val="00842349"/>
    <w:rsid w:val="00842698"/>
    <w:rsid w:val="00843398"/>
    <w:rsid w:val="00843A81"/>
    <w:rsid w:val="0084475A"/>
    <w:rsid w:val="008456E6"/>
    <w:rsid w:val="008467D1"/>
    <w:rsid w:val="00846A60"/>
    <w:rsid w:val="00847539"/>
    <w:rsid w:val="008500E7"/>
    <w:rsid w:val="00850514"/>
    <w:rsid w:val="008507CD"/>
    <w:rsid w:val="0085080C"/>
    <w:rsid w:val="00850858"/>
    <w:rsid w:val="00850886"/>
    <w:rsid w:val="00851137"/>
    <w:rsid w:val="008516DA"/>
    <w:rsid w:val="00851846"/>
    <w:rsid w:val="00851C9A"/>
    <w:rsid w:val="00852476"/>
    <w:rsid w:val="00852668"/>
    <w:rsid w:val="008536B5"/>
    <w:rsid w:val="0085523C"/>
    <w:rsid w:val="00856016"/>
    <w:rsid w:val="008566F3"/>
    <w:rsid w:val="008569C7"/>
    <w:rsid w:val="008575B9"/>
    <w:rsid w:val="008603FD"/>
    <w:rsid w:val="00860CA8"/>
    <w:rsid w:val="0086127D"/>
    <w:rsid w:val="00862581"/>
    <w:rsid w:val="00862B81"/>
    <w:rsid w:val="00863536"/>
    <w:rsid w:val="008643B1"/>
    <w:rsid w:val="00864729"/>
    <w:rsid w:val="008648D5"/>
    <w:rsid w:val="00864B9C"/>
    <w:rsid w:val="00864FAE"/>
    <w:rsid w:val="00865102"/>
    <w:rsid w:val="008656B2"/>
    <w:rsid w:val="00865B74"/>
    <w:rsid w:val="00866063"/>
    <w:rsid w:val="0086685A"/>
    <w:rsid w:val="00866A99"/>
    <w:rsid w:val="008672A1"/>
    <w:rsid w:val="008674C9"/>
    <w:rsid w:val="00867E28"/>
    <w:rsid w:val="0087055D"/>
    <w:rsid w:val="00870F79"/>
    <w:rsid w:val="00871B58"/>
    <w:rsid w:val="0087305A"/>
    <w:rsid w:val="00873396"/>
    <w:rsid w:val="008735BD"/>
    <w:rsid w:val="0087418C"/>
    <w:rsid w:val="008748B0"/>
    <w:rsid w:val="00875F44"/>
    <w:rsid w:val="00876376"/>
    <w:rsid w:val="00876E52"/>
    <w:rsid w:val="00877E88"/>
    <w:rsid w:val="00877EB2"/>
    <w:rsid w:val="00880D88"/>
    <w:rsid w:val="008811F7"/>
    <w:rsid w:val="00881BF0"/>
    <w:rsid w:val="00881D1D"/>
    <w:rsid w:val="008822A5"/>
    <w:rsid w:val="008826F6"/>
    <w:rsid w:val="00883163"/>
    <w:rsid w:val="00884C5C"/>
    <w:rsid w:val="00884C6A"/>
    <w:rsid w:val="00884E17"/>
    <w:rsid w:val="00884F5E"/>
    <w:rsid w:val="00885E28"/>
    <w:rsid w:val="0088705A"/>
    <w:rsid w:val="008872FD"/>
    <w:rsid w:val="0088790F"/>
    <w:rsid w:val="00887B0A"/>
    <w:rsid w:val="00887EE9"/>
    <w:rsid w:val="008906D9"/>
    <w:rsid w:val="00890C5B"/>
    <w:rsid w:val="00891B27"/>
    <w:rsid w:val="008921A4"/>
    <w:rsid w:val="0089224F"/>
    <w:rsid w:val="008925F3"/>
    <w:rsid w:val="00892766"/>
    <w:rsid w:val="0089286F"/>
    <w:rsid w:val="008928E2"/>
    <w:rsid w:val="00893AF1"/>
    <w:rsid w:val="00894F44"/>
    <w:rsid w:val="00894F58"/>
    <w:rsid w:val="008952FF"/>
    <w:rsid w:val="008953A2"/>
    <w:rsid w:val="00895667"/>
    <w:rsid w:val="00895BC3"/>
    <w:rsid w:val="00895F5F"/>
    <w:rsid w:val="00896192"/>
    <w:rsid w:val="008963FE"/>
    <w:rsid w:val="00897466"/>
    <w:rsid w:val="008974F0"/>
    <w:rsid w:val="00897F47"/>
    <w:rsid w:val="00897F4A"/>
    <w:rsid w:val="008A03D8"/>
    <w:rsid w:val="008A1006"/>
    <w:rsid w:val="008A1499"/>
    <w:rsid w:val="008A1FE7"/>
    <w:rsid w:val="008A2914"/>
    <w:rsid w:val="008A34A8"/>
    <w:rsid w:val="008A34F3"/>
    <w:rsid w:val="008A3C50"/>
    <w:rsid w:val="008A4C5C"/>
    <w:rsid w:val="008A6827"/>
    <w:rsid w:val="008A6E8A"/>
    <w:rsid w:val="008B00C0"/>
    <w:rsid w:val="008B012A"/>
    <w:rsid w:val="008B0650"/>
    <w:rsid w:val="008B0689"/>
    <w:rsid w:val="008B1454"/>
    <w:rsid w:val="008B1DEF"/>
    <w:rsid w:val="008B206C"/>
    <w:rsid w:val="008B2263"/>
    <w:rsid w:val="008B3191"/>
    <w:rsid w:val="008B3340"/>
    <w:rsid w:val="008B35DF"/>
    <w:rsid w:val="008B37F0"/>
    <w:rsid w:val="008B43AB"/>
    <w:rsid w:val="008B4423"/>
    <w:rsid w:val="008B62EA"/>
    <w:rsid w:val="008B6728"/>
    <w:rsid w:val="008B6791"/>
    <w:rsid w:val="008B71E9"/>
    <w:rsid w:val="008B7BA3"/>
    <w:rsid w:val="008C0240"/>
    <w:rsid w:val="008C2062"/>
    <w:rsid w:val="008C2A7B"/>
    <w:rsid w:val="008C419C"/>
    <w:rsid w:val="008C71F5"/>
    <w:rsid w:val="008C7C5D"/>
    <w:rsid w:val="008C7E00"/>
    <w:rsid w:val="008D0EDB"/>
    <w:rsid w:val="008D15B5"/>
    <w:rsid w:val="008D1F2E"/>
    <w:rsid w:val="008D24B4"/>
    <w:rsid w:val="008D260F"/>
    <w:rsid w:val="008D2EF5"/>
    <w:rsid w:val="008D3182"/>
    <w:rsid w:val="008D372E"/>
    <w:rsid w:val="008D3C5C"/>
    <w:rsid w:val="008D41A7"/>
    <w:rsid w:val="008D4704"/>
    <w:rsid w:val="008D4CDB"/>
    <w:rsid w:val="008D4ED3"/>
    <w:rsid w:val="008D55A3"/>
    <w:rsid w:val="008D6FE3"/>
    <w:rsid w:val="008D72C9"/>
    <w:rsid w:val="008D7D28"/>
    <w:rsid w:val="008E1FD2"/>
    <w:rsid w:val="008E2616"/>
    <w:rsid w:val="008E2640"/>
    <w:rsid w:val="008E2A1F"/>
    <w:rsid w:val="008E49F5"/>
    <w:rsid w:val="008E4ABD"/>
    <w:rsid w:val="008E4F4D"/>
    <w:rsid w:val="008E52CE"/>
    <w:rsid w:val="008E75FA"/>
    <w:rsid w:val="008E76FB"/>
    <w:rsid w:val="008E7DA9"/>
    <w:rsid w:val="008F2434"/>
    <w:rsid w:val="008F3C3E"/>
    <w:rsid w:val="008F4095"/>
    <w:rsid w:val="008F432A"/>
    <w:rsid w:val="008F6DF2"/>
    <w:rsid w:val="008F78A0"/>
    <w:rsid w:val="00900F74"/>
    <w:rsid w:val="0090131D"/>
    <w:rsid w:val="00901504"/>
    <w:rsid w:val="00901F87"/>
    <w:rsid w:val="00902EDC"/>
    <w:rsid w:val="0090471D"/>
    <w:rsid w:val="00904A4A"/>
    <w:rsid w:val="00905B1B"/>
    <w:rsid w:val="00905EF4"/>
    <w:rsid w:val="00906912"/>
    <w:rsid w:val="00906E17"/>
    <w:rsid w:val="00906F2E"/>
    <w:rsid w:val="00907121"/>
    <w:rsid w:val="009071CE"/>
    <w:rsid w:val="00907662"/>
    <w:rsid w:val="00910681"/>
    <w:rsid w:val="00911152"/>
    <w:rsid w:val="00911DF8"/>
    <w:rsid w:val="009126D3"/>
    <w:rsid w:val="009135B2"/>
    <w:rsid w:val="00913A6D"/>
    <w:rsid w:val="009143C1"/>
    <w:rsid w:val="00914510"/>
    <w:rsid w:val="0091464A"/>
    <w:rsid w:val="00915000"/>
    <w:rsid w:val="009155E2"/>
    <w:rsid w:val="00915C65"/>
    <w:rsid w:val="0091609F"/>
    <w:rsid w:val="00916EA8"/>
    <w:rsid w:val="009175D4"/>
    <w:rsid w:val="00917F83"/>
    <w:rsid w:val="00920E59"/>
    <w:rsid w:val="00923235"/>
    <w:rsid w:val="009247F1"/>
    <w:rsid w:val="00924E45"/>
    <w:rsid w:val="009267CA"/>
    <w:rsid w:val="00926AFB"/>
    <w:rsid w:val="00927AB9"/>
    <w:rsid w:val="00927C0F"/>
    <w:rsid w:val="009304A9"/>
    <w:rsid w:val="00930697"/>
    <w:rsid w:val="00930BA1"/>
    <w:rsid w:val="0093169E"/>
    <w:rsid w:val="00931E00"/>
    <w:rsid w:val="00931EEF"/>
    <w:rsid w:val="009325F7"/>
    <w:rsid w:val="009338B6"/>
    <w:rsid w:val="00934029"/>
    <w:rsid w:val="0093434E"/>
    <w:rsid w:val="009350A8"/>
    <w:rsid w:val="009353BA"/>
    <w:rsid w:val="00936D9B"/>
    <w:rsid w:val="00937844"/>
    <w:rsid w:val="00941DC9"/>
    <w:rsid w:val="009421DA"/>
    <w:rsid w:val="00942414"/>
    <w:rsid w:val="00942E07"/>
    <w:rsid w:val="0094374B"/>
    <w:rsid w:val="00945D96"/>
    <w:rsid w:val="00946BF6"/>
    <w:rsid w:val="00946C7D"/>
    <w:rsid w:val="009476D3"/>
    <w:rsid w:val="00947CE8"/>
    <w:rsid w:val="00947EF1"/>
    <w:rsid w:val="00950277"/>
    <w:rsid w:val="009505C9"/>
    <w:rsid w:val="00950752"/>
    <w:rsid w:val="00951EC6"/>
    <w:rsid w:val="0095353A"/>
    <w:rsid w:val="00954C62"/>
    <w:rsid w:val="00954D21"/>
    <w:rsid w:val="0095525B"/>
    <w:rsid w:val="009555AA"/>
    <w:rsid w:val="0095602E"/>
    <w:rsid w:val="00956665"/>
    <w:rsid w:val="00956915"/>
    <w:rsid w:val="00957D09"/>
    <w:rsid w:val="009601FE"/>
    <w:rsid w:val="00960CB9"/>
    <w:rsid w:val="009611D5"/>
    <w:rsid w:val="009614BC"/>
    <w:rsid w:val="00961BFC"/>
    <w:rsid w:val="00961CA3"/>
    <w:rsid w:val="009623DB"/>
    <w:rsid w:val="009626B0"/>
    <w:rsid w:val="00962A9B"/>
    <w:rsid w:val="00962E6C"/>
    <w:rsid w:val="009632B0"/>
    <w:rsid w:val="009635DA"/>
    <w:rsid w:val="00963A7B"/>
    <w:rsid w:val="0096471F"/>
    <w:rsid w:val="009660F1"/>
    <w:rsid w:val="00966424"/>
    <w:rsid w:val="009670D0"/>
    <w:rsid w:val="00967258"/>
    <w:rsid w:val="009703FF"/>
    <w:rsid w:val="009709FC"/>
    <w:rsid w:val="009712BE"/>
    <w:rsid w:val="009715A2"/>
    <w:rsid w:val="009719FA"/>
    <w:rsid w:val="00971B88"/>
    <w:rsid w:val="0097202A"/>
    <w:rsid w:val="009724FE"/>
    <w:rsid w:val="009746BA"/>
    <w:rsid w:val="009755AA"/>
    <w:rsid w:val="00975D95"/>
    <w:rsid w:val="00976569"/>
    <w:rsid w:val="00977A3D"/>
    <w:rsid w:val="00977B54"/>
    <w:rsid w:val="00977B99"/>
    <w:rsid w:val="00977CC1"/>
    <w:rsid w:val="00977F01"/>
    <w:rsid w:val="009802BD"/>
    <w:rsid w:val="00980790"/>
    <w:rsid w:val="00980911"/>
    <w:rsid w:val="00981250"/>
    <w:rsid w:val="0098184E"/>
    <w:rsid w:val="009818B5"/>
    <w:rsid w:val="0098319E"/>
    <w:rsid w:val="009836B2"/>
    <w:rsid w:val="0098454B"/>
    <w:rsid w:val="00984D0A"/>
    <w:rsid w:val="0098515D"/>
    <w:rsid w:val="0098547D"/>
    <w:rsid w:val="00985983"/>
    <w:rsid w:val="00986B2D"/>
    <w:rsid w:val="00987C68"/>
    <w:rsid w:val="00990668"/>
    <w:rsid w:val="00990867"/>
    <w:rsid w:val="009910CB"/>
    <w:rsid w:val="0099201E"/>
    <w:rsid w:val="00993308"/>
    <w:rsid w:val="00994D66"/>
    <w:rsid w:val="00994D75"/>
    <w:rsid w:val="00996F53"/>
    <w:rsid w:val="00997451"/>
    <w:rsid w:val="009A01EA"/>
    <w:rsid w:val="009A07F3"/>
    <w:rsid w:val="009A203F"/>
    <w:rsid w:val="009A29C4"/>
    <w:rsid w:val="009A4B86"/>
    <w:rsid w:val="009A5F2E"/>
    <w:rsid w:val="009A65D9"/>
    <w:rsid w:val="009A7612"/>
    <w:rsid w:val="009B04E1"/>
    <w:rsid w:val="009B0A79"/>
    <w:rsid w:val="009B0D5E"/>
    <w:rsid w:val="009B1B02"/>
    <w:rsid w:val="009B20C6"/>
    <w:rsid w:val="009B2E4A"/>
    <w:rsid w:val="009B3892"/>
    <w:rsid w:val="009B3DA7"/>
    <w:rsid w:val="009B3EE2"/>
    <w:rsid w:val="009B410F"/>
    <w:rsid w:val="009B4E26"/>
    <w:rsid w:val="009B5265"/>
    <w:rsid w:val="009B60B6"/>
    <w:rsid w:val="009B64B8"/>
    <w:rsid w:val="009B6A67"/>
    <w:rsid w:val="009B6FE4"/>
    <w:rsid w:val="009B7C3F"/>
    <w:rsid w:val="009B7EE5"/>
    <w:rsid w:val="009C1254"/>
    <w:rsid w:val="009C1A98"/>
    <w:rsid w:val="009C1C4A"/>
    <w:rsid w:val="009C1F85"/>
    <w:rsid w:val="009C20B5"/>
    <w:rsid w:val="009C22D1"/>
    <w:rsid w:val="009C2A48"/>
    <w:rsid w:val="009C2DE6"/>
    <w:rsid w:val="009C3D63"/>
    <w:rsid w:val="009C58FA"/>
    <w:rsid w:val="009C60B6"/>
    <w:rsid w:val="009C6954"/>
    <w:rsid w:val="009C70C1"/>
    <w:rsid w:val="009C7351"/>
    <w:rsid w:val="009D0CFE"/>
    <w:rsid w:val="009D0DC9"/>
    <w:rsid w:val="009D241B"/>
    <w:rsid w:val="009D550D"/>
    <w:rsid w:val="009D617D"/>
    <w:rsid w:val="009D6C64"/>
    <w:rsid w:val="009D6DF2"/>
    <w:rsid w:val="009D7221"/>
    <w:rsid w:val="009D72A9"/>
    <w:rsid w:val="009D7ABB"/>
    <w:rsid w:val="009D7EDC"/>
    <w:rsid w:val="009E0BE9"/>
    <w:rsid w:val="009E19BC"/>
    <w:rsid w:val="009E1C89"/>
    <w:rsid w:val="009E1D82"/>
    <w:rsid w:val="009E3987"/>
    <w:rsid w:val="009E426C"/>
    <w:rsid w:val="009E4739"/>
    <w:rsid w:val="009E4F2D"/>
    <w:rsid w:val="009E5044"/>
    <w:rsid w:val="009E5391"/>
    <w:rsid w:val="009E55B3"/>
    <w:rsid w:val="009E60B8"/>
    <w:rsid w:val="009E6642"/>
    <w:rsid w:val="009F0938"/>
    <w:rsid w:val="009F0E87"/>
    <w:rsid w:val="009F22BA"/>
    <w:rsid w:val="009F2985"/>
    <w:rsid w:val="009F4ADA"/>
    <w:rsid w:val="009F66C5"/>
    <w:rsid w:val="009F676A"/>
    <w:rsid w:val="009F6CE7"/>
    <w:rsid w:val="009F6FB4"/>
    <w:rsid w:val="009F726C"/>
    <w:rsid w:val="009F7F4F"/>
    <w:rsid w:val="00A00776"/>
    <w:rsid w:val="00A0100F"/>
    <w:rsid w:val="00A0146A"/>
    <w:rsid w:val="00A01C71"/>
    <w:rsid w:val="00A02683"/>
    <w:rsid w:val="00A02DD7"/>
    <w:rsid w:val="00A02F37"/>
    <w:rsid w:val="00A03B8E"/>
    <w:rsid w:val="00A10BC6"/>
    <w:rsid w:val="00A10EAE"/>
    <w:rsid w:val="00A10F6D"/>
    <w:rsid w:val="00A11192"/>
    <w:rsid w:val="00A111D1"/>
    <w:rsid w:val="00A112BA"/>
    <w:rsid w:val="00A114EB"/>
    <w:rsid w:val="00A117DE"/>
    <w:rsid w:val="00A12006"/>
    <w:rsid w:val="00A12FF9"/>
    <w:rsid w:val="00A13AF0"/>
    <w:rsid w:val="00A141E1"/>
    <w:rsid w:val="00A14AE5"/>
    <w:rsid w:val="00A14EF5"/>
    <w:rsid w:val="00A1539E"/>
    <w:rsid w:val="00A16DEA"/>
    <w:rsid w:val="00A175E4"/>
    <w:rsid w:val="00A17E83"/>
    <w:rsid w:val="00A2027E"/>
    <w:rsid w:val="00A2227C"/>
    <w:rsid w:val="00A228A7"/>
    <w:rsid w:val="00A22C01"/>
    <w:rsid w:val="00A22E15"/>
    <w:rsid w:val="00A23603"/>
    <w:rsid w:val="00A242F2"/>
    <w:rsid w:val="00A24375"/>
    <w:rsid w:val="00A24A51"/>
    <w:rsid w:val="00A25031"/>
    <w:rsid w:val="00A25CBF"/>
    <w:rsid w:val="00A26157"/>
    <w:rsid w:val="00A26812"/>
    <w:rsid w:val="00A26F57"/>
    <w:rsid w:val="00A27B08"/>
    <w:rsid w:val="00A27BA7"/>
    <w:rsid w:val="00A27F17"/>
    <w:rsid w:val="00A305BB"/>
    <w:rsid w:val="00A30601"/>
    <w:rsid w:val="00A30632"/>
    <w:rsid w:val="00A30730"/>
    <w:rsid w:val="00A314B2"/>
    <w:rsid w:val="00A31852"/>
    <w:rsid w:val="00A31961"/>
    <w:rsid w:val="00A31A3F"/>
    <w:rsid w:val="00A31B44"/>
    <w:rsid w:val="00A32331"/>
    <w:rsid w:val="00A328F1"/>
    <w:rsid w:val="00A332B8"/>
    <w:rsid w:val="00A33A3F"/>
    <w:rsid w:val="00A33D8E"/>
    <w:rsid w:val="00A33F05"/>
    <w:rsid w:val="00A3407B"/>
    <w:rsid w:val="00A365DC"/>
    <w:rsid w:val="00A3718D"/>
    <w:rsid w:val="00A371E9"/>
    <w:rsid w:val="00A372F8"/>
    <w:rsid w:val="00A375CF"/>
    <w:rsid w:val="00A37D75"/>
    <w:rsid w:val="00A37FE1"/>
    <w:rsid w:val="00A40FB3"/>
    <w:rsid w:val="00A4134E"/>
    <w:rsid w:val="00A4311D"/>
    <w:rsid w:val="00A437DD"/>
    <w:rsid w:val="00A444EF"/>
    <w:rsid w:val="00A45BAD"/>
    <w:rsid w:val="00A46366"/>
    <w:rsid w:val="00A47F53"/>
    <w:rsid w:val="00A5113F"/>
    <w:rsid w:val="00A5199B"/>
    <w:rsid w:val="00A523AC"/>
    <w:rsid w:val="00A537CE"/>
    <w:rsid w:val="00A53D43"/>
    <w:rsid w:val="00A5415E"/>
    <w:rsid w:val="00A54235"/>
    <w:rsid w:val="00A5457B"/>
    <w:rsid w:val="00A54EA6"/>
    <w:rsid w:val="00A56AFA"/>
    <w:rsid w:val="00A57265"/>
    <w:rsid w:val="00A574A3"/>
    <w:rsid w:val="00A578FA"/>
    <w:rsid w:val="00A61909"/>
    <w:rsid w:val="00A62289"/>
    <w:rsid w:val="00A62314"/>
    <w:rsid w:val="00A634D3"/>
    <w:rsid w:val="00A63EFD"/>
    <w:rsid w:val="00A640BD"/>
    <w:rsid w:val="00A65C52"/>
    <w:rsid w:val="00A66309"/>
    <w:rsid w:val="00A66449"/>
    <w:rsid w:val="00A66B57"/>
    <w:rsid w:val="00A670B5"/>
    <w:rsid w:val="00A672C7"/>
    <w:rsid w:val="00A67A46"/>
    <w:rsid w:val="00A67CCD"/>
    <w:rsid w:val="00A708DE"/>
    <w:rsid w:val="00A70C1B"/>
    <w:rsid w:val="00A719A2"/>
    <w:rsid w:val="00A71F25"/>
    <w:rsid w:val="00A72126"/>
    <w:rsid w:val="00A72FBD"/>
    <w:rsid w:val="00A733FB"/>
    <w:rsid w:val="00A73767"/>
    <w:rsid w:val="00A73BBE"/>
    <w:rsid w:val="00A74C97"/>
    <w:rsid w:val="00A750D7"/>
    <w:rsid w:val="00A7521E"/>
    <w:rsid w:val="00A7534E"/>
    <w:rsid w:val="00A75514"/>
    <w:rsid w:val="00A75E64"/>
    <w:rsid w:val="00A7742C"/>
    <w:rsid w:val="00A77589"/>
    <w:rsid w:val="00A80852"/>
    <w:rsid w:val="00A80979"/>
    <w:rsid w:val="00A80B13"/>
    <w:rsid w:val="00A80FE0"/>
    <w:rsid w:val="00A81D12"/>
    <w:rsid w:val="00A821A4"/>
    <w:rsid w:val="00A82DE2"/>
    <w:rsid w:val="00A835A9"/>
    <w:rsid w:val="00A83E25"/>
    <w:rsid w:val="00A84123"/>
    <w:rsid w:val="00A84712"/>
    <w:rsid w:val="00A84A69"/>
    <w:rsid w:val="00A84ADF"/>
    <w:rsid w:val="00A8509B"/>
    <w:rsid w:val="00A862DF"/>
    <w:rsid w:val="00A86C51"/>
    <w:rsid w:val="00A86DCD"/>
    <w:rsid w:val="00A87169"/>
    <w:rsid w:val="00A87B1B"/>
    <w:rsid w:val="00A911A2"/>
    <w:rsid w:val="00A9125A"/>
    <w:rsid w:val="00A91474"/>
    <w:rsid w:val="00A91787"/>
    <w:rsid w:val="00A9185D"/>
    <w:rsid w:val="00A91F57"/>
    <w:rsid w:val="00A91FE6"/>
    <w:rsid w:val="00A923B3"/>
    <w:rsid w:val="00A936D3"/>
    <w:rsid w:val="00A93825"/>
    <w:rsid w:val="00A93C5E"/>
    <w:rsid w:val="00A94D6E"/>
    <w:rsid w:val="00A95ABF"/>
    <w:rsid w:val="00A95D19"/>
    <w:rsid w:val="00A96B3D"/>
    <w:rsid w:val="00A970A5"/>
    <w:rsid w:val="00A9725B"/>
    <w:rsid w:val="00A97524"/>
    <w:rsid w:val="00A9781A"/>
    <w:rsid w:val="00A97A81"/>
    <w:rsid w:val="00A97D84"/>
    <w:rsid w:val="00AA01F3"/>
    <w:rsid w:val="00AA08EC"/>
    <w:rsid w:val="00AA0B63"/>
    <w:rsid w:val="00AA229D"/>
    <w:rsid w:val="00AA2F59"/>
    <w:rsid w:val="00AA39BB"/>
    <w:rsid w:val="00AA3C10"/>
    <w:rsid w:val="00AA4348"/>
    <w:rsid w:val="00AA5650"/>
    <w:rsid w:val="00AA5947"/>
    <w:rsid w:val="00AA671C"/>
    <w:rsid w:val="00AA6F92"/>
    <w:rsid w:val="00AA79ED"/>
    <w:rsid w:val="00AB1147"/>
    <w:rsid w:val="00AB291A"/>
    <w:rsid w:val="00AB389A"/>
    <w:rsid w:val="00AB42AD"/>
    <w:rsid w:val="00AB49DB"/>
    <w:rsid w:val="00AB60EB"/>
    <w:rsid w:val="00AB6230"/>
    <w:rsid w:val="00AB65B0"/>
    <w:rsid w:val="00AB66AB"/>
    <w:rsid w:val="00AB6934"/>
    <w:rsid w:val="00AB6989"/>
    <w:rsid w:val="00AB7244"/>
    <w:rsid w:val="00AB73A4"/>
    <w:rsid w:val="00AB7832"/>
    <w:rsid w:val="00AB7E18"/>
    <w:rsid w:val="00AC14CF"/>
    <w:rsid w:val="00AC165C"/>
    <w:rsid w:val="00AC1F36"/>
    <w:rsid w:val="00AC387F"/>
    <w:rsid w:val="00AC3BF2"/>
    <w:rsid w:val="00AC4218"/>
    <w:rsid w:val="00AC43C0"/>
    <w:rsid w:val="00AC5573"/>
    <w:rsid w:val="00AC6EB3"/>
    <w:rsid w:val="00AC72F1"/>
    <w:rsid w:val="00AC7E21"/>
    <w:rsid w:val="00AD125E"/>
    <w:rsid w:val="00AD20F3"/>
    <w:rsid w:val="00AD2A05"/>
    <w:rsid w:val="00AD2DAD"/>
    <w:rsid w:val="00AD3726"/>
    <w:rsid w:val="00AD3D59"/>
    <w:rsid w:val="00AD46A5"/>
    <w:rsid w:val="00AD5437"/>
    <w:rsid w:val="00AD5CFA"/>
    <w:rsid w:val="00AD70B4"/>
    <w:rsid w:val="00AD77C4"/>
    <w:rsid w:val="00AE07C4"/>
    <w:rsid w:val="00AE07D9"/>
    <w:rsid w:val="00AE0F34"/>
    <w:rsid w:val="00AE18BD"/>
    <w:rsid w:val="00AE3641"/>
    <w:rsid w:val="00AE3A75"/>
    <w:rsid w:val="00AE4A2D"/>
    <w:rsid w:val="00AE5DB8"/>
    <w:rsid w:val="00AE6338"/>
    <w:rsid w:val="00AE640B"/>
    <w:rsid w:val="00AE6F7E"/>
    <w:rsid w:val="00AF0888"/>
    <w:rsid w:val="00AF16BB"/>
    <w:rsid w:val="00AF17D2"/>
    <w:rsid w:val="00AF284F"/>
    <w:rsid w:val="00AF3865"/>
    <w:rsid w:val="00AF42DE"/>
    <w:rsid w:val="00AF4EAB"/>
    <w:rsid w:val="00AF51C2"/>
    <w:rsid w:val="00AF5306"/>
    <w:rsid w:val="00AF566D"/>
    <w:rsid w:val="00AF66AC"/>
    <w:rsid w:val="00B00F51"/>
    <w:rsid w:val="00B01924"/>
    <w:rsid w:val="00B01D02"/>
    <w:rsid w:val="00B02023"/>
    <w:rsid w:val="00B027E9"/>
    <w:rsid w:val="00B028F4"/>
    <w:rsid w:val="00B02BB3"/>
    <w:rsid w:val="00B02C87"/>
    <w:rsid w:val="00B0352E"/>
    <w:rsid w:val="00B03762"/>
    <w:rsid w:val="00B047E5"/>
    <w:rsid w:val="00B04BEC"/>
    <w:rsid w:val="00B0511C"/>
    <w:rsid w:val="00B051C2"/>
    <w:rsid w:val="00B057D8"/>
    <w:rsid w:val="00B05AB6"/>
    <w:rsid w:val="00B05C05"/>
    <w:rsid w:val="00B05CEE"/>
    <w:rsid w:val="00B11EFA"/>
    <w:rsid w:val="00B12B52"/>
    <w:rsid w:val="00B13D9B"/>
    <w:rsid w:val="00B1431E"/>
    <w:rsid w:val="00B14D83"/>
    <w:rsid w:val="00B1504E"/>
    <w:rsid w:val="00B16637"/>
    <w:rsid w:val="00B166CA"/>
    <w:rsid w:val="00B16788"/>
    <w:rsid w:val="00B1721A"/>
    <w:rsid w:val="00B1726F"/>
    <w:rsid w:val="00B177E9"/>
    <w:rsid w:val="00B179C3"/>
    <w:rsid w:val="00B21C60"/>
    <w:rsid w:val="00B22010"/>
    <w:rsid w:val="00B221EA"/>
    <w:rsid w:val="00B22463"/>
    <w:rsid w:val="00B2250A"/>
    <w:rsid w:val="00B22711"/>
    <w:rsid w:val="00B22924"/>
    <w:rsid w:val="00B229D0"/>
    <w:rsid w:val="00B22D35"/>
    <w:rsid w:val="00B23FDC"/>
    <w:rsid w:val="00B241C3"/>
    <w:rsid w:val="00B24250"/>
    <w:rsid w:val="00B24709"/>
    <w:rsid w:val="00B2504C"/>
    <w:rsid w:val="00B2515C"/>
    <w:rsid w:val="00B25441"/>
    <w:rsid w:val="00B25BCB"/>
    <w:rsid w:val="00B262F4"/>
    <w:rsid w:val="00B26565"/>
    <w:rsid w:val="00B2742F"/>
    <w:rsid w:val="00B30095"/>
    <w:rsid w:val="00B30B3C"/>
    <w:rsid w:val="00B30DBF"/>
    <w:rsid w:val="00B30FD1"/>
    <w:rsid w:val="00B322AE"/>
    <w:rsid w:val="00B324EA"/>
    <w:rsid w:val="00B32785"/>
    <w:rsid w:val="00B33202"/>
    <w:rsid w:val="00B3369F"/>
    <w:rsid w:val="00B33C00"/>
    <w:rsid w:val="00B35389"/>
    <w:rsid w:val="00B3545B"/>
    <w:rsid w:val="00B36339"/>
    <w:rsid w:val="00B3637B"/>
    <w:rsid w:val="00B365A8"/>
    <w:rsid w:val="00B37FAC"/>
    <w:rsid w:val="00B3A519"/>
    <w:rsid w:val="00B40277"/>
    <w:rsid w:val="00B4071E"/>
    <w:rsid w:val="00B417E5"/>
    <w:rsid w:val="00B42062"/>
    <w:rsid w:val="00B42968"/>
    <w:rsid w:val="00B42F5F"/>
    <w:rsid w:val="00B44557"/>
    <w:rsid w:val="00B445A6"/>
    <w:rsid w:val="00B452CA"/>
    <w:rsid w:val="00B45B3D"/>
    <w:rsid w:val="00B464A0"/>
    <w:rsid w:val="00B47F21"/>
    <w:rsid w:val="00B50D98"/>
    <w:rsid w:val="00B5198D"/>
    <w:rsid w:val="00B5426B"/>
    <w:rsid w:val="00B547E9"/>
    <w:rsid w:val="00B55190"/>
    <w:rsid w:val="00B55208"/>
    <w:rsid w:val="00B55379"/>
    <w:rsid w:val="00B555CA"/>
    <w:rsid w:val="00B5569E"/>
    <w:rsid w:val="00B5628F"/>
    <w:rsid w:val="00B567EA"/>
    <w:rsid w:val="00B56CB7"/>
    <w:rsid w:val="00B6037E"/>
    <w:rsid w:val="00B60D87"/>
    <w:rsid w:val="00B60F40"/>
    <w:rsid w:val="00B625B3"/>
    <w:rsid w:val="00B63246"/>
    <w:rsid w:val="00B6492A"/>
    <w:rsid w:val="00B64BF3"/>
    <w:rsid w:val="00B64F9A"/>
    <w:rsid w:val="00B651DF"/>
    <w:rsid w:val="00B654E1"/>
    <w:rsid w:val="00B6652B"/>
    <w:rsid w:val="00B66A67"/>
    <w:rsid w:val="00B67880"/>
    <w:rsid w:val="00B67EA5"/>
    <w:rsid w:val="00B700C5"/>
    <w:rsid w:val="00B70E9B"/>
    <w:rsid w:val="00B716CA"/>
    <w:rsid w:val="00B71D6F"/>
    <w:rsid w:val="00B72CA4"/>
    <w:rsid w:val="00B73C59"/>
    <w:rsid w:val="00B740BC"/>
    <w:rsid w:val="00B74B36"/>
    <w:rsid w:val="00B758C5"/>
    <w:rsid w:val="00B75992"/>
    <w:rsid w:val="00B809DB"/>
    <w:rsid w:val="00B80C19"/>
    <w:rsid w:val="00B80C7B"/>
    <w:rsid w:val="00B80E36"/>
    <w:rsid w:val="00B810CB"/>
    <w:rsid w:val="00B8154F"/>
    <w:rsid w:val="00B81557"/>
    <w:rsid w:val="00B8275D"/>
    <w:rsid w:val="00B838D1"/>
    <w:rsid w:val="00B84B11"/>
    <w:rsid w:val="00B85D46"/>
    <w:rsid w:val="00B862AB"/>
    <w:rsid w:val="00B86814"/>
    <w:rsid w:val="00B8785F"/>
    <w:rsid w:val="00B87ABA"/>
    <w:rsid w:val="00B87AF4"/>
    <w:rsid w:val="00B906D3"/>
    <w:rsid w:val="00B90C3E"/>
    <w:rsid w:val="00B922C0"/>
    <w:rsid w:val="00B925F3"/>
    <w:rsid w:val="00B92B92"/>
    <w:rsid w:val="00B930A4"/>
    <w:rsid w:val="00B93E0D"/>
    <w:rsid w:val="00B93FD6"/>
    <w:rsid w:val="00B94CF2"/>
    <w:rsid w:val="00B94E6C"/>
    <w:rsid w:val="00B95218"/>
    <w:rsid w:val="00B958A0"/>
    <w:rsid w:val="00B97E98"/>
    <w:rsid w:val="00B97FEF"/>
    <w:rsid w:val="00BA101C"/>
    <w:rsid w:val="00BA16CF"/>
    <w:rsid w:val="00BA240F"/>
    <w:rsid w:val="00BA29F4"/>
    <w:rsid w:val="00BA3363"/>
    <w:rsid w:val="00BA3FF3"/>
    <w:rsid w:val="00BA4641"/>
    <w:rsid w:val="00BA48E5"/>
    <w:rsid w:val="00BA4A30"/>
    <w:rsid w:val="00BA4B19"/>
    <w:rsid w:val="00BA4B21"/>
    <w:rsid w:val="00BA6A71"/>
    <w:rsid w:val="00BA6E85"/>
    <w:rsid w:val="00BA70DC"/>
    <w:rsid w:val="00BB158E"/>
    <w:rsid w:val="00BB1942"/>
    <w:rsid w:val="00BB1DFA"/>
    <w:rsid w:val="00BB238F"/>
    <w:rsid w:val="00BB26CD"/>
    <w:rsid w:val="00BB2D5A"/>
    <w:rsid w:val="00BB2DB3"/>
    <w:rsid w:val="00BB30C3"/>
    <w:rsid w:val="00BB377A"/>
    <w:rsid w:val="00BB44C6"/>
    <w:rsid w:val="00BB4606"/>
    <w:rsid w:val="00BB490A"/>
    <w:rsid w:val="00BB4B9A"/>
    <w:rsid w:val="00BB52DA"/>
    <w:rsid w:val="00BB56A7"/>
    <w:rsid w:val="00BB6DE1"/>
    <w:rsid w:val="00BB7F1C"/>
    <w:rsid w:val="00BC0084"/>
    <w:rsid w:val="00BC00BC"/>
    <w:rsid w:val="00BC0D84"/>
    <w:rsid w:val="00BC0E3C"/>
    <w:rsid w:val="00BC1144"/>
    <w:rsid w:val="00BC1222"/>
    <w:rsid w:val="00BC19D7"/>
    <w:rsid w:val="00BC45AE"/>
    <w:rsid w:val="00BC484C"/>
    <w:rsid w:val="00BC581C"/>
    <w:rsid w:val="00BC7236"/>
    <w:rsid w:val="00BD04E4"/>
    <w:rsid w:val="00BD072C"/>
    <w:rsid w:val="00BD0743"/>
    <w:rsid w:val="00BD07F3"/>
    <w:rsid w:val="00BD0896"/>
    <w:rsid w:val="00BD0AE2"/>
    <w:rsid w:val="00BD12A3"/>
    <w:rsid w:val="00BD1571"/>
    <w:rsid w:val="00BD17DA"/>
    <w:rsid w:val="00BD1A54"/>
    <w:rsid w:val="00BD23E1"/>
    <w:rsid w:val="00BD2BE6"/>
    <w:rsid w:val="00BD2C2F"/>
    <w:rsid w:val="00BD3436"/>
    <w:rsid w:val="00BD358B"/>
    <w:rsid w:val="00BD39AE"/>
    <w:rsid w:val="00BD3BBF"/>
    <w:rsid w:val="00BD55AA"/>
    <w:rsid w:val="00BD5929"/>
    <w:rsid w:val="00BD6675"/>
    <w:rsid w:val="00BD6DD3"/>
    <w:rsid w:val="00BD6FFE"/>
    <w:rsid w:val="00BD7C45"/>
    <w:rsid w:val="00BE0D25"/>
    <w:rsid w:val="00BE1159"/>
    <w:rsid w:val="00BE17D4"/>
    <w:rsid w:val="00BE1E56"/>
    <w:rsid w:val="00BE32A6"/>
    <w:rsid w:val="00BE366D"/>
    <w:rsid w:val="00BE4CA5"/>
    <w:rsid w:val="00BE4F5C"/>
    <w:rsid w:val="00BE5038"/>
    <w:rsid w:val="00BE58DD"/>
    <w:rsid w:val="00BE6E61"/>
    <w:rsid w:val="00BE74D3"/>
    <w:rsid w:val="00BF04A1"/>
    <w:rsid w:val="00BF05D4"/>
    <w:rsid w:val="00BF098D"/>
    <w:rsid w:val="00BF119A"/>
    <w:rsid w:val="00BF26CB"/>
    <w:rsid w:val="00BF2D7F"/>
    <w:rsid w:val="00BF2E22"/>
    <w:rsid w:val="00BF3B34"/>
    <w:rsid w:val="00BF4293"/>
    <w:rsid w:val="00BF47AB"/>
    <w:rsid w:val="00BF4FE3"/>
    <w:rsid w:val="00BF6577"/>
    <w:rsid w:val="00BF6B76"/>
    <w:rsid w:val="00BF727D"/>
    <w:rsid w:val="00BF74D9"/>
    <w:rsid w:val="00C00796"/>
    <w:rsid w:val="00C00C6A"/>
    <w:rsid w:val="00C01E16"/>
    <w:rsid w:val="00C021C6"/>
    <w:rsid w:val="00C032EC"/>
    <w:rsid w:val="00C039C3"/>
    <w:rsid w:val="00C03CB6"/>
    <w:rsid w:val="00C03CE3"/>
    <w:rsid w:val="00C04DF7"/>
    <w:rsid w:val="00C056EE"/>
    <w:rsid w:val="00C05F5E"/>
    <w:rsid w:val="00C0615B"/>
    <w:rsid w:val="00C061B5"/>
    <w:rsid w:val="00C06832"/>
    <w:rsid w:val="00C07560"/>
    <w:rsid w:val="00C07A6E"/>
    <w:rsid w:val="00C11951"/>
    <w:rsid w:val="00C11C31"/>
    <w:rsid w:val="00C11F35"/>
    <w:rsid w:val="00C13200"/>
    <w:rsid w:val="00C13679"/>
    <w:rsid w:val="00C13AD6"/>
    <w:rsid w:val="00C14903"/>
    <w:rsid w:val="00C14C78"/>
    <w:rsid w:val="00C15B02"/>
    <w:rsid w:val="00C16120"/>
    <w:rsid w:val="00C16A14"/>
    <w:rsid w:val="00C172DA"/>
    <w:rsid w:val="00C17B83"/>
    <w:rsid w:val="00C2137B"/>
    <w:rsid w:val="00C222AE"/>
    <w:rsid w:val="00C22545"/>
    <w:rsid w:val="00C22BDA"/>
    <w:rsid w:val="00C23D2F"/>
    <w:rsid w:val="00C240B1"/>
    <w:rsid w:val="00C2474B"/>
    <w:rsid w:val="00C24AB3"/>
    <w:rsid w:val="00C24B6A"/>
    <w:rsid w:val="00C25379"/>
    <w:rsid w:val="00C2553B"/>
    <w:rsid w:val="00C25999"/>
    <w:rsid w:val="00C25A7E"/>
    <w:rsid w:val="00C26243"/>
    <w:rsid w:val="00C30515"/>
    <w:rsid w:val="00C306B2"/>
    <w:rsid w:val="00C30925"/>
    <w:rsid w:val="00C31172"/>
    <w:rsid w:val="00C32225"/>
    <w:rsid w:val="00C33FC5"/>
    <w:rsid w:val="00C34432"/>
    <w:rsid w:val="00C34456"/>
    <w:rsid w:val="00C346F7"/>
    <w:rsid w:val="00C34796"/>
    <w:rsid w:val="00C35CD5"/>
    <w:rsid w:val="00C3771D"/>
    <w:rsid w:val="00C37BF3"/>
    <w:rsid w:val="00C37C41"/>
    <w:rsid w:val="00C41B39"/>
    <w:rsid w:val="00C41C36"/>
    <w:rsid w:val="00C429A2"/>
    <w:rsid w:val="00C4348A"/>
    <w:rsid w:val="00C441A2"/>
    <w:rsid w:val="00C443BD"/>
    <w:rsid w:val="00C451C5"/>
    <w:rsid w:val="00C51292"/>
    <w:rsid w:val="00C518B2"/>
    <w:rsid w:val="00C52267"/>
    <w:rsid w:val="00C5261D"/>
    <w:rsid w:val="00C52D49"/>
    <w:rsid w:val="00C52E00"/>
    <w:rsid w:val="00C5321A"/>
    <w:rsid w:val="00C53DA0"/>
    <w:rsid w:val="00C55CBB"/>
    <w:rsid w:val="00C55EB9"/>
    <w:rsid w:val="00C5623A"/>
    <w:rsid w:val="00C5624D"/>
    <w:rsid w:val="00C5772C"/>
    <w:rsid w:val="00C60777"/>
    <w:rsid w:val="00C60A1C"/>
    <w:rsid w:val="00C619B9"/>
    <w:rsid w:val="00C61E1C"/>
    <w:rsid w:val="00C61F0F"/>
    <w:rsid w:val="00C62211"/>
    <w:rsid w:val="00C62826"/>
    <w:rsid w:val="00C62C20"/>
    <w:rsid w:val="00C62F4D"/>
    <w:rsid w:val="00C66CE6"/>
    <w:rsid w:val="00C66F65"/>
    <w:rsid w:val="00C67880"/>
    <w:rsid w:val="00C67F9E"/>
    <w:rsid w:val="00C67FD5"/>
    <w:rsid w:val="00C7000D"/>
    <w:rsid w:val="00C70534"/>
    <w:rsid w:val="00C70E70"/>
    <w:rsid w:val="00C7224A"/>
    <w:rsid w:val="00C72389"/>
    <w:rsid w:val="00C730A7"/>
    <w:rsid w:val="00C73493"/>
    <w:rsid w:val="00C74941"/>
    <w:rsid w:val="00C74DA4"/>
    <w:rsid w:val="00C76305"/>
    <w:rsid w:val="00C77F54"/>
    <w:rsid w:val="00C813D1"/>
    <w:rsid w:val="00C83014"/>
    <w:rsid w:val="00C83E1C"/>
    <w:rsid w:val="00C86A97"/>
    <w:rsid w:val="00C905F2"/>
    <w:rsid w:val="00C9161D"/>
    <w:rsid w:val="00C916C3"/>
    <w:rsid w:val="00C91F1D"/>
    <w:rsid w:val="00C928B9"/>
    <w:rsid w:val="00C92C38"/>
    <w:rsid w:val="00C9350D"/>
    <w:rsid w:val="00C936D4"/>
    <w:rsid w:val="00C941DA"/>
    <w:rsid w:val="00C9452C"/>
    <w:rsid w:val="00C94FB7"/>
    <w:rsid w:val="00C952E0"/>
    <w:rsid w:val="00C95E03"/>
    <w:rsid w:val="00C96070"/>
    <w:rsid w:val="00C96174"/>
    <w:rsid w:val="00C964B7"/>
    <w:rsid w:val="00C96D12"/>
    <w:rsid w:val="00CA09DD"/>
    <w:rsid w:val="00CA0C1D"/>
    <w:rsid w:val="00CA1352"/>
    <w:rsid w:val="00CA1370"/>
    <w:rsid w:val="00CA13AC"/>
    <w:rsid w:val="00CA1498"/>
    <w:rsid w:val="00CA224F"/>
    <w:rsid w:val="00CA2558"/>
    <w:rsid w:val="00CA37B5"/>
    <w:rsid w:val="00CA3D0E"/>
    <w:rsid w:val="00CA4572"/>
    <w:rsid w:val="00CA4CF8"/>
    <w:rsid w:val="00CA5E17"/>
    <w:rsid w:val="00CA5F7D"/>
    <w:rsid w:val="00CA6764"/>
    <w:rsid w:val="00CA6856"/>
    <w:rsid w:val="00CA795C"/>
    <w:rsid w:val="00CB0B1F"/>
    <w:rsid w:val="00CB0EF6"/>
    <w:rsid w:val="00CB1F6E"/>
    <w:rsid w:val="00CB2183"/>
    <w:rsid w:val="00CB287A"/>
    <w:rsid w:val="00CB3298"/>
    <w:rsid w:val="00CB3C1E"/>
    <w:rsid w:val="00CB44A5"/>
    <w:rsid w:val="00CB497E"/>
    <w:rsid w:val="00CB4CC6"/>
    <w:rsid w:val="00CB5FD6"/>
    <w:rsid w:val="00CB6ABC"/>
    <w:rsid w:val="00CB7165"/>
    <w:rsid w:val="00CB7C2E"/>
    <w:rsid w:val="00CB7E5F"/>
    <w:rsid w:val="00CC1E56"/>
    <w:rsid w:val="00CC2B63"/>
    <w:rsid w:val="00CC2B9C"/>
    <w:rsid w:val="00CC2C6A"/>
    <w:rsid w:val="00CC3842"/>
    <w:rsid w:val="00CC3A60"/>
    <w:rsid w:val="00CC3D9F"/>
    <w:rsid w:val="00CC5789"/>
    <w:rsid w:val="00CC5B74"/>
    <w:rsid w:val="00CC6A83"/>
    <w:rsid w:val="00CC7FBA"/>
    <w:rsid w:val="00CD2029"/>
    <w:rsid w:val="00CD2E4A"/>
    <w:rsid w:val="00CD38FB"/>
    <w:rsid w:val="00CD399C"/>
    <w:rsid w:val="00CD3B33"/>
    <w:rsid w:val="00CD5A43"/>
    <w:rsid w:val="00CD5D9B"/>
    <w:rsid w:val="00CE05C7"/>
    <w:rsid w:val="00CE3223"/>
    <w:rsid w:val="00CE3250"/>
    <w:rsid w:val="00CE365A"/>
    <w:rsid w:val="00CE390E"/>
    <w:rsid w:val="00CE3F30"/>
    <w:rsid w:val="00CE4980"/>
    <w:rsid w:val="00CE4F34"/>
    <w:rsid w:val="00CE571E"/>
    <w:rsid w:val="00CE5C88"/>
    <w:rsid w:val="00CE6793"/>
    <w:rsid w:val="00CE71BE"/>
    <w:rsid w:val="00CE7EED"/>
    <w:rsid w:val="00CF0488"/>
    <w:rsid w:val="00CF0A6F"/>
    <w:rsid w:val="00CF1848"/>
    <w:rsid w:val="00CF1C1C"/>
    <w:rsid w:val="00CF1F66"/>
    <w:rsid w:val="00CF2210"/>
    <w:rsid w:val="00CF240F"/>
    <w:rsid w:val="00CF2942"/>
    <w:rsid w:val="00CF3BF9"/>
    <w:rsid w:val="00CF4EE6"/>
    <w:rsid w:val="00CF579C"/>
    <w:rsid w:val="00CF5901"/>
    <w:rsid w:val="00CF5C0A"/>
    <w:rsid w:val="00CF63AE"/>
    <w:rsid w:val="00CF69A2"/>
    <w:rsid w:val="00CF69B4"/>
    <w:rsid w:val="00CF69C6"/>
    <w:rsid w:val="00CF7650"/>
    <w:rsid w:val="00CF7938"/>
    <w:rsid w:val="00D01624"/>
    <w:rsid w:val="00D01DA9"/>
    <w:rsid w:val="00D025DF"/>
    <w:rsid w:val="00D02F91"/>
    <w:rsid w:val="00D0335D"/>
    <w:rsid w:val="00D04372"/>
    <w:rsid w:val="00D0458D"/>
    <w:rsid w:val="00D078F5"/>
    <w:rsid w:val="00D1012A"/>
    <w:rsid w:val="00D11206"/>
    <w:rsid w:val="00D12044"/>
    <w:rsid w:val="00D129D7"/>
    <w:rsid w:val="00D13054"/>
    <w:rsid w:val="00D1361A"/>
    <w:rsid w:val="00D13FF0"/>
    <w:rsid w:val="00D1410A"/>
    <w:rsid w:val="00D14E72"/>
    <w:rsid w:val="00D154C9"/>
    <w:rsid w:val="00D1600C"/>
    <w:rsid w:val="00D16DD5"/>
    <w:rsid w:val="00D16EE7"/>
    <w:rsid w:val="00D170D9"/>
    <w:rsid w:val="00D178D2"/>
    <w:rsid w:val="00D17DC8"/>
    <w:rsid w:val="00D2013B"/>
    <w:rsid w:val="00D20148"/>
    <w:rsid w:val="00D20221"/>
    <w:rsid w:val="00D2052D"/>
    <w:rsid w:val="00D20B74"/>
    <w:rsid w:val="00D20EEE"/>
    <w:rsid w:val="00D214E7"/>
    <w:rsid w:val="00D21781"/>
    <w:rsid w:val="00D21CD1"/>
    <w:rsid w:val="00D21FB2"/>
    <w:rsid w:val="00D22505"/>
    <w:rsid w:val="00D23309"/>
    <w:rsid w:val="00D25591"/>
    <w:rsid w:val="00D2570D"/>
    <w:rsid w:val="00D25B1F"/>
    <w:rsid w:val="00D26555"/>
    <w:rsid w:val="00D2723F"/>
    <w:rsid w:val="00D2732A"/>
    <w:rsid w:val="00D3197B"/>
    <w:rsid w:val="00D319B7"/>
    <w:rsid w:val="00D31CBD"/>
    <w:rsid w:val="00D3203B"/>
    <w:rsid w:val="00D32134"/>
    <w:rsid w:val="00D322B0"/>
    <w:rsid w:val="00D3243A"/>
    <w:rsid w:val="00D32653"/>
    <w:rsid w:val="00D32AB5"/>
    <w:rsid w:val="00D32E9C"/>
    <w:rsid w:val="00D33103"/>
    <w:rsid w:val="00D338EC"/>
    <w:rsid w:val="00D33AFF"/>
    <w:rsid w:val="00D33EFC"/>
    <w:rsid w:val="00D34030"/>
    <w:rsid w:val="00D35239"/>
    <w:rsid w:val="00D36043"/>
    <w:rsid w:val="00D3669D"/>
    <w:rsid w:val="00D367F8"/>
    <w:rsid w:val="00D36957"/>
    <w:rsid w:val="00D36D44"/>
    <w:rsid w:val="00D37C24"/>
    <w:rsid w:val="00D401EC"/>
    <w:rsid w:val="00D409A8"/>
    <w:rsid w:val="00D40DBC"/>
    <w:rsid w:val="00D40EE2"/>
    <w:rsid w:val="00D41367"/>
    <w:rsid w:val="00D41D7B"/>
    <w:rsid w:val="00D41F58"/>
    <w:rsid w:val="00D42C6F"/>
    <w:rsid w:val="00D42FFE"/>
    <w:rsid w:val="00D433A6"/>
    <w:rsid w:val="00D43BCA"/>
    <w:rsid w:val="00D44205"/>
    <w:rsid w:val="00D453BE"/>
    <w:rsid w:val="00D464E2"/>
    <w:rsid w:val="00D478C8"/>
    <w:rsid w:val="00D47CAA"/>
    <w:rsid w:val="00D5013C"/>
    <w:rsid w:val="00D5043F"/>
    <w:rsid w:val="00D5047D"/>
    <w:rsid w:val="00D5184C"/>
    <w:rsid w:val="00D52B27"/>
    <w:rsid w:val="00D53393"/>
    <w:rsid w:val="00D541BD"/>
    <w:rsid w:val="00D543A4"/>
    <w:rsid w:val="00D547E1"/>
    <w:rsid w:val="00D55723"/>
    <w:rsid w:val="00D57C80"/>
    <w:rsid w:val="00D60B6E"/>
    <w:rsid w:val="00D60E44"/>
    <w:rsid w:val="00D61114"/>
    <w:rsid w:val="00D61C85"/>
    <w:rsid w:val="00D61F9C"/>
    <w:rsid w:val="00D620AA"/>
    <w:rsid w:val="00D627DA"/>
    <w:rsid w:val="00D637AF"/>
    <w:rsid w:val="00D64819"/>
    <w:rsid w:val="00D65BC7"/>
    <w:rsid w:val="00D66378"/>
    <w:rsid w:val="00D66475"/>
    <w:rsid w:val="00D70C25"/>
    <w:rsid w:val="00D71C0B"/>
    <w:rsid w:val="00D71F3B"/>
    <w:rsid w:val="00D72D64"/>
    <w:rsid w:val="00D7333F"/>
    <w:rsid w:val="00D733DC"/>
    <w:rsid w:val="00D737AD"/>
    <w:rsid w:val="00D74A5D"/>
    <w:rsid w:val="00D753DD"/>
    <w:rsid w:val="00D75CA6"/>
    <w:rsid w:val="00D76818"/>
    <w:rsid w:val="00D76A18"/>
    <w:rsid w:val="00D76E24"/>
    <w:rsid w:val="00D777E6"/>
    <w:rsid w:val="00D802B6"/>
    <w:rsid w:val="00D804A7"/>
    <w:rsid w:val="00D80521"/>
    <w:rsid w:val="00D80622"/>
    <w:rsid w:val="00D80849"/>
    <w:rsid w:val="00D8206C"/>
    <w:rsid w:val="00D82E8F"/>
    <w:rsid w:val="00D84CFE"/>
    <w:rsid w:val="00D85150"/>
    <w:rsid w:val="00D85349"/>
    <w:rsid w:val="00D87018"/>
    <w:rsid w:val="00D87088"/>
    <w:rsid w:val="00D87270"/>
    <w:rsid w:val="00D87396"/>
    <w:rsid w:val="00D87AA6"/>
    <w:rsid w:val="00D902BF"/>
    <w:rsid w:val="00D91748"/>
    <w:rsid w:val="00D919ED"/>
    <w:rsid w:val="00D91D84"/>
    <w:rsid w:val="00D94555"/>
    <w:rsid w:val="00D94570"/>
    <w:rsid w:val="00D9545A"/>
    <w:rsid w:val="00D95505"/>
    <w:rsid w:val="00D95B1F"/>
    <w:rsid w:val="00D95CD7"/>
    <w:rsid w:val="00D96230"/>
    <w:rsid w:val="00D9698F"/>
    <w:rsid w:val="00D971DD"/>
    <w:rsid w:val="00D97702"/>
    <w:rsid w:val="00D97E4B"/>
    <w:rsid w:val="00DA2A59"/>
    <w:rsid w:val="00DA33F7"/>
    <w:rsid w:val="00DA3790"/>
    <w:rsid w:val="00DA380F"/>
    <w:rsid w:val="00DA3A3B"/>
    <w:rsid w:val="00DA4404"/>
    <w:rsid w:val="00DA4713"/>
    <w:rsid w:val="00DA4E67"/>
    <w:rsid w:val="00DA4F89"/>
    <w:rsid w:val="00DA54F5"/>
    <w:rsid w:val="00DA62C4"/>
    <w:rsid w:val="00DA6D20"/>
    <w:rsid w:val="00DA6E61"/>
    <w:rsid w:val="00DA7319"/>
    <w:rsid w:val="00DA73C2"/>
    <w:rsid w:val="00DA7A0D"/>
    <w:rsid w:val="00DB0C45"/>
    <w:rsid w:val="00DB0C9B"/>
    <w:rsid w:val="00DB132D"/>
    <w:rsid w:val="00DB20C9"/>
    <w:rsid w:val="00DB24E5"/>
    <w:rsid w:val="00DB3D28"/>
    <w:rsid w:val="00DB4F50"/>
    <w:rsid w:val="00DB5592"/>
    <w:rsid w:val="00DB5B0A"/>
    <w:rsid w:val="00DB5BB0"/>
    <w:rsid w:val="00DB5E0F"/>
    <w:rsid w:val="00DB6488"/>
    <w:rsid w:val="00DB6BC2"/>
    <w:rsid w:val="00DB6C06"/>
    <w:rsid w:val="00DB7BA4"/>
    <w:rsid w:val="00DB7FE6"/>
    <w:rsid w:val="00DC03DF"/>
    <w:rsid w:val="00DC1A3E"/>
    <w:rsid w:val="00DC1D3B"/>
    <w:rsid w:val="00DC1DE4"/>
    <w:rsid w:val="00DC3DEE"/>
    <w:rsid w:val="00DC3E48"/>
    <w:rsid w:val="00DC3EDA"/>
    <w:rsid w:val="00DC5231"/>
    <w:rsid w:val="00DC589C"/>
    <w:rsid w:val="00DC60A6"/>
    <w:rsid w:val="00DC6E81"/>
    <w:rsid w:val="00DC7592"/>
    <w:rsid w:val="00DC7BD6"/>
    <w:rsid w:val="00DC7C42"/>
    <w:rsid w:val="00DC7F58"/>
    <w:rsid w:val="00DD023C"/>
    <w:rsid w:val="00DD030A"/>
    <w:rsid w:val="00DD036A"/>
    <w:rsid w:val="00DD118C"/>
    <w:rsid w:val="00DD28D0"/>
    <w:rsid w:val="00DD3AD1"/>
    <w:rsid w:val="00DD3BCF"/>
    <w:rsid w:val="00DD40FB"/>
    <w:rsid w:val="00DD41FF"/>
    <w:rsid w:val="00DD467E"/>
    <w:rsid w:val="00DD6096"/>
    <w:rsid w:val="00DD61AC"/>
    <w:rsid w:val="00DD6827"/>
    <w:rsid w:val="00DD6A9C"/>
    <w:rsid w:val="00DD7BB2"/>
    <w:rsid w:val="00DE0456"/>
    <w:rsid w:val="00DE2EB9"/>
    <w:rsid w:val="00DE3A33"/>
    <w:rsid w:val="00DE466A"/>
    <w:rsid w:val="00DE531F"/>
    <w:rsid w:val="00DE570A"/>
    <w:rsid w:val="00DE5CA6"/>
    <w:rsid w:val="00DE765C"/>
    <w:rsid w:val="00DE796C"/>
    <w:rsid w:val="00DE79A3"/>
    <w:rsid w:val="00DE7A5E"/>
    <w:rsid w:val="00DE7CBC"/>
    <w:rsid w:val="00DF0189"/>
    <w:rsid w:val="00DF026A"/>
    <w:rsid w:val="00DF07C6"/>
    <w:rsid w:val="00DF08AB"/>
    <w:rsid w:val="00DF1D4E"/>
    <w:rsid w:val="00DF218B"/>
    <w:rsid w:val="00DF3037"/>
    <w:rsid w:val="00DF3430"/>
    <w:rsid w:val="00DF3F17"/>
    <w:rsid w:val="00DF4558"/>
    <w:rsid w:val="00DF4B48"/>
    <w:rsid w:val="00DF592D"/>
    <w:rsid w:val="00DF6144"/>
    <w:rsid w:val="00DF66E0"/>
    <w:rsid w:val="00DF6A67"/>
    <w:rsid w:val="00DF79C3"/>
    <w:rsid w:val="00DF7A24"/>
    <w:rsid w:val="00DF7CB3"/>
    <w:rsid w:val="00E00CDE"/>
    <w:rsid w:val="00E01C6A"/>
    <w:rsid w:val="00E029AD"/>
    <w:rsid w:val="00E0397C"/>
    <w:rsid w:val="00E048DF"/>
    <w:rsid w:val="00E04C80"/>
    <w:rsid w:val="00E04D82"/>
    <w:rsid w:val="00E051AB"/>
    <w:rsid w:val="00E06457"/>
    <w:rsid w:val="00E069DA"/>
    <w:rsid w:val="00E07DB5"/>
    <w:rsid w:val="00E1022F"/>
    <w:rsid w:val="00E1102E"/>
    <w:rsid w:val="00E12AC3"/>
    <w:rsid w:val="00E12DBA"/>
    <w:rsid w:val="00E13701"/>
    <w:rsid w:val="00E13A9D"/>
    <w:rsid w:val="00E13E33"/>
    <w:rsid w:val="00E13EF4"/>
    <w:rsid w:val="00E1497C"/>
    <w:rsid w:val="00E16053"/>
    <w:rsid w:val="00E164B3"/>
    <w:rsid w:val="00E16CB1"/>
    <w:rsid w:val="00E1779B"/>
    <w:rsid w:val="00E201AE"/>
    <w:rsid w:val="00E20666"/>
    <w:rsid w:val="00E2092D"/>
    <w:rsid w:val="00E2201B"/>
    <w:rsid w:val="00E22095"/>
    <w:rsid w:val="00E234C8"/>
    <w:rsid w:val="00E24A5A"/>
    <w:rsid w:val="00E27B5F"/>
    <w:rsid w:val="00E30557"/>
    <w:rsid w:val="00E307B5"/>
    <w:rsid w:val="00E30A8E"/>
    <w:rsid w:val="00E313A9"/>
    <w:rsid w:val="00E325BB"/>
    <w:rsid w:val="00E32ECF"/>
    <w:rsid w:val="00E33099"/>
    <w:rsid w:val="00E331D3"/>
    <w:rsid w:val="00E3411F"/>
    <w:rsid w:val="00E34175"/>
    <w:rsid w:val="00E344A4"/>
    <w:rsid w:val="00E3481A"/>
    <w:rsid w:val="00E34AF5"/>
    <w:rsid w:val="00E35490"/>
    <w:rsid w:val="00E35823"/>
    <w:rsid w:val="00E35AF5"/>
    <w:rsid w:val="00E35D97"/>
    <w:rsid w:val="00E363CB"/>
    <w:rsid w:val="00E36F0D"/>
    <w:rsid w:val="00E40ABB"/>
    <w:rsid w:val="00E40D71"/>
    <w:rsid w:val="00E42A04"/>
    <w:rsid w:val="00E42BA6"/>
    <w:rsid w:val="00E42BE6"/>
    <w:rsid w:val="00E43603"/>
    <w:rsid w:val="00E4368E"/>
    <w:rsid w:val="00E44B51"/>
    <w:rsid w:val="00E44F5C"/>
    <w:rsid w:val="00E45458"/>
    <w:rsid w:val="00E4656B"/>
    <w:rsid w:val="00E46BF2"/>
    <w:rsid w:val="00E47128"/>
    <w:rsid w:val="00E47950"/>
    <w:rsid w:val="00E47E2B"/>
    <w:rsid w:val="00E5097C"/>
    <w:rsid w:val="00E51FA1"/>
    <w:rsid w:val="00E52229"/>
    <w:rsid w:val="00E5264A"/>
    <w:rsid w:val="00E55629"/>
    <w:rsid w:val="00E55D9E"/>
    <w:rsid w:val="00E5678F"/>
    <w:rsid w:val="00E576F5"/>
    <w:rsid w:val="00E57722"/>
    <w:rsid w:val="00E57D62"/>
    <w:rsid w:val="00E57EF6"/>
    <w:rsid w:val="00E6032B"/>
    <w:rsid w:val="00E61071"/>
    <w:rsid w:val="00E615D6"/>
    <w:rsid w:val="00E62325"/>
    <w:rsid w:val="00E63642"/>
    <w:rsid w:val="00E65B42"/>
    <w:rsid w:val="00E65D58"/>
    <w:rsid w:val="00E66235"/>
    <w:rsid w:val="00E66DDC"/>
    <w:rsid w:val="00E66EF1"/>
    <w:rsid w:val="00E671FB"/>
    <w:rsid w:val="00E70288"/>
    <w:rsid w:val="00E70B37"/>
    <w:rsid w:val="00E70B44"/>
    <w:rsid w:val="00E73127"/>
    <w:rsid w:val="00E737A4"/>
    <w:rsid w:val="00E73947"/>
    <w:rsid w:val="00E73B38"/>
    <w:rsid w:val="00E73E56"/>
    <w:rsid w:val="00E747D7"/>
    <w:rsid w:val="00E748A1"/>
    <w:rsid w:val="00E74C18"/>
    <w:rsid w:val="00E7528B"/>
    <w:rsid w:val="00E755D3"/>
    <w:rsid w:val="00E75C4E"/>
    <w:rsid w:val="00E7611B"/>
    <w:rsid w:val="00E76725"/>
    <w:rsid w:val="00E811A8"/>
    <w:rsid w:val="00E811D0"/>
    <w:rsid w:val="00E81266"/>
    <w:rsid w:val="00E818A0"/>
    <w:rsid w:val="00E81FA3"/>
    <w:rsid w:val="00E83C24"/>
    <w:rsid w:val="00E84656"/>
    <w:rsid w:val="00E859DE"/>
    <w:rsid w:val="00E85A7C"/>
    <w:rsid w:val="00E85AC4"/>
    <w:rsid w:val="00E876A1"/>
    <w:rsid w:val="00E90156"/>
    <w:rsid w:val="00E911C4"/>
    <w:rsid w:val="00E9189D"/>
    <w:rsid w:val="00E92BBA"/>
    <w:rsid w:val="00E93142"/>
    <w:rsid w:val="00E9318D"/>
    <w:rsid w:val="00E93278"/>
    <w:rsid w:val="00E93866"/>
    <w:rsid w:val="00E93F3E"/>
    <w:rsid w:val="00E93F83"/>
    <w:rsid w:val="00E94A83"/>
    <w:rsid w:val="00E94EDA"/>
    <w:rsid w:val="00E9617D"/>
    <w:rsid w:val="00E968FA"/>
    <w:rsid w:val="00E96AF3"/>
    <w:rsid w:val="00E972EE"/>
    <w:rsid w:val="00E977E1"/>
    <w:rsid w:val="00E97ECE"/>
    <w:rsid w:val="00EA15A9"/>
    <w:rsid w:val="00EA15E2"/>
    <w:rsid w:val="00EA3552"/>
    <w:rsid w:val="00EA366E"/>
    <w:rsid w:val="00EA4713"/>
    <w:rsid w:val="00EA532F"/>
    <w:rsid w:val="00EA5938"/>
    <w:rsid w:val="00EA6A1E"/>
    <w:rsid w:val="00EA6FB1"/>
    <w:rsid w:val="00EB02BA"/>
    <w:rsid w:val="00EB1701"/>
    <w:rsid w:val="00EB26D8"/>
    <w:rsid w:val="00EB27F9"/>
    <w:rsid w:val="00EB3079"/>
    <w:rsid w:val="00EB32BF"/>
    <w:rsid w:val="00EB464B"/>
    <w:rsid w:val="00EB4B03"/>
    <w:rsid w:val="00EB4F9E"/>
    <w:rsid w:val="00EB5085"/>
    <w:rsid w:val="00EB59D0"/>
    <w:rsid w:val="00EB5CF1"/>
    <w:rsid w:val="00EB5FE0"/>
    <w:rsid w:val="00EB60F9"/>
    <w:rsid w:val="00EB67AA"/>
    <w:rsid w:val="00EC0005"/>
    <w:rsid w:val="00EC1E1B"/>
    <w:rsid w:val="00EC277D"/>
    <w:rsid w:val="00EC32D5"/>
    <w:rsid w:val="00EC3B63"/>
    <w:rsid w:val="00EC3EED"/>
    <w:rsid w:val="00EC42F3"/>
    <w:rsid w:val="00EC44C4"/>
    <w:rsid w:val="00EC5681"/>
    <w:rsid w:val="00EC56C5"/>
    <w:rsid w:val="00EC5E33"/>
    <w:rsid w:val="00EC61E7"/>
    <w:rsid w:val="00EC62C5"/>
    <w:rsid w:val="00EC6E9D"/>
    <w:rsid w:val="00ED0ECF"/>
    <w:rsid w:val="00ED12F7"/>
    <w:rsid w:val="00ED1B2A"/>
    <w:rsid w:val="00ED1E36"/>
    <w:rsid w:val="00ED1EB7"/>
    <w:rsid w:val="00ED2A2F"/>
    <w:rsid w:val="00ED2D59"/>
    <w:rsid w:val="00ED30A0"/>
    <w:rsid w:val="00ED3782"/>
    <w:rsid w:val="00ED480B"/>
    <w:rsid w:val="00ED4A5B"/>
    <w:rsid w:val="00ED5725"/>
    <w:rsid w:val="00ED671A"/>
    <w:rsid w:val="00ED71EA"/>
    <w:rsid w:val="00ED751F"/>
    <w:rsid w:val="00EE0C03"/>
    <w:rsid w:val="00EE1869"/>
    <w:rsid w:val="00EE2486"/>
    <w:rsid w:val="00EE2919"/>
    <w:rsid w:val="00EE3C25"/>
    <w:rsid w:val="00EE3CDB"/>
    <w:rsid w:val="00EE45C9"/>
    <w:rsid w:val="00EE4FA7"/>
    <w:rsid w:val="00EE541A"/>
    <w:rsid w:val="00EE5C1D"/>
    <w:rsid w:val="00EE6800"/>
    <w:rsid w:val="00EE6957"/>
    <w:rsid w:val="00EE6FB9"/>
    <w:rsid w:val="00EF145F"/>
    <w:rsid w:val="00EF1CAA"/>
    <w:rsid w:val="00EF2363"/>
    <w:rsid w:val="00EF28CC"/>
    <w:rsid w:val="00EF2A91"/>
    <w:rsid w:val="00EF2FCA"/>
    <w:rsid w:val="00EF36B6"/>
    <w:rsid w:val="00EF37C2"/>
    <w:rsid w:val="00EF4125"/>
    <w:rsid w:val="00EF627C"/>
    <w:rsid w:val="00EF7295"/>
    <w:rsid w:val="00F016E4"/>
    <w:rsid w:val="00F01CBF"/>
    <w:rsid w:val="00F02AD7"/>
    <w:rsid w:val="00F02E80"/>
    <w:rsid w:val="00F02EDA"/>
    <w:rsid w:val="00F031E0"/>
    <w:rsid w:val="00F03562"/>
    <w:rsid w:val="00F063C2"/>
    <w:rsid w:val="00F068FB"/>
    <w:rsid w:val="00F06DB3"/>
    <w:rsid w:val="00F07164"/>
    <w:rsid w:val="00F0784F"/>
    <w:rsid w:val="00F10DE0"/>
    <w:rsid w:val="00F10F7B"/>
    <w:rsid w:val="00F114F2"/>
    <w:rsid w:val="00F124ED"/>
    <w:rsid w:val="00F12679"/>
    <w:rsid w:val="00F1267C"/>
    <w:rsid w:val="00F12CE1"/>
    <w:rsid w:val="00F132DF"/>
    <w:rsid w:val="00F13384"/>
    <w:rsid w:val="00F13A80"/>
    <w:rsid w:val="00F158F1"/>
    <w:rsid w:val="00F15BFF"/>
    <w:rsid w:val="00F16644"/>
    <w:rsid w:val="00F16D04"/>
    <w:rsid w:val="00F17145"/>
    <w:rsid w:val="00F17D21"/>
    <w:rsid w:val="00F17DB9"/>
    <w:rsid w:val="00F202D5"/>
    <w:rsid w:val="00F20759"/>
    <w:rsid w:val="00F212C8"/>
    <w:rsid w:val="00F218D4"/>
    <w:rsid w:val="00F22E1E"/>
    <w:rsid w:val="00F238CE"/>
    <w:rsid w:val="00F238ED"/>
    <w:rsid w:val="00F23B5C"/>
    <w:rsid w:val="00F23DC8"/>
    <w:rsid w:val="00F2442C"/>
    <w:rsid w:val="00F24A09"/>
    <w:rsid w:val="00F24A3E"/>
    <w:rsid w:val="00F24F7C"/>
    <w:rsid w:val="00F25104"/>
    <w:rsid w:val="00F254E2"/>
    <w:rsid w:val="00F25E8F"/>
    <w:rsid w:val="00F26289"/>
    <w:rsid w:val="00F27825"/>
    <w:rsid w:val="00F307F9"/>
    <w:rsid w:val="00F309B6"/>
    <w:rsid w:val="00F30C82"/>
    <w:rsid w:val="00F3148F"/>
    <w:rsid w:val="00F32C97"/>
    <w:rsid w:val="00F346D0"/>
    <w:rsid w:val="00F3477C"/>
    <w:rsid w:val="00F34A55"/>
    <w:rsid w:val="00F35163"/>
    <w:rsid w:val="00F3524B"/>
    <w:rsid w:val="00F3629A"/>
    <w:rsid w:val="00F36639"/>
    <w:rsid w:val="00F366F1"/>
    <w:rsid w:val="00F37870"/>
    <w:rsid w:val="00F41086"/>
    <w:rsid w:val="00F41126"/>
    <w:rsid w:val="00F4134E"/>
    <w:rsid w:val="00F416F0"/>
    <w:rsid w:val="00F41C44"/>
    <w:rsid w:val="00F42D11"/>
    <w:rsid w:val="00F42D8A"/>
    <w:rsid w:val="00F439F9"/>
    <w:rsid w:val="00F44638"/>
    <w:rsid w:val="00F44959"/>
    <w:rsid w:val="00F468CD"/>
    <w:rsid w:val="00F47C25"/>
    <w:rsid w:val="00F50ABE"/>
    <w:rsid w:val="00F510D6"/>
    <w:rsid w:val="00F52070"/>
    <w:rsid w:val="00F53193"/>
    <w:rsid w:val="00F53399"/>
    <w:rsid w:val="00F5357E"/>
    <w:rsid w:val="00F5529F"/>
    <w:rsid w:val="00F55AA7"/>
    <w:rsid w:val="00F55F49"/>
    <w:rsid w:val="00F565B8"/>
    <w:rsid w:val="00F569A0"/>
    <w:rsid w:val="00F569A6"/>
    <w:rsid w:val="00F60205"/>
    <w:rsid w:val="00F61554"/>
    <w:rsid w:val="00F62DBB"/>
    <w:rsid w:val="00F6308C"/>
    <w:rsid w:val="00F64113"/>
    <w:rsid w:val="00F64979"/>
    <w:rsid w:val="00F64B64"/>
    <w:rsid w:val="00F651B3"/>
    <w:rsid w:val="00F6586C"/>
    <w:rsid w:val="00F65A4E"/>
    <w:rsid w:val="00F66633"/>
    <w:rsid w:val="00F66BF1"/>
    <w:rsid w:val="00F67019"/>
    <w:rsid w:val="00F674B3"/>
    <w:rsid w:val="00F679C9"/>
    <w:rsid w:val="00F70DE1"/>
    <w:rsid w:val="00F70F24"/>
    <w:rsid w:val="00F71565"/>
    <w:rsid w:val="00F715FE"/>
    <w:rsid w:val="00F7194D"/>
    <w:rsid w:val="00F71DCC"/>
    <w:rsid w:val="00F75335"/>
    <w:rsid w:val="00F75A55"/>
    <w:rsid w:val="00F76C34"/>
    <w:rsid w:val="00F77270"/>
    <w:rsid w:val="00F77755"/>
    <w:rsid w:val="00F81315"/>
    <w:rsid w:val="00F8136A"/>
    <w:rsid w:val="00F8207F"/>
    <w:rsid w:val="00F8258B"/>
    <w:rsid w:val="00F85443"/>
    <w:rsid w:val="00F85451"/>
    <w:rsid w:val="00F855FE"/>
    <w:rsid w:val="00F86508"/>
    <w:rsid w:val="00F86DAE"/>
    <w:rsid w:val="00F879B9"/>
    <w:rsid w:val="00F901BF"/>
    <w:rsid w:val="00F9038B"/>
    <w:rsid w:val="00F90432"/>
    <w:rsid w:val="00F90D69"/>
    <w:rsid w:val="00F90FAA"/>
    <w:rsid w:val="00F91129"/>
    <w:rsid w:val="00F93556"/>
    <w:rsid w:val="00F9374F"/>
    <w:rsid w:val="00F94774"/>
    <w:rsid w:val="00F95443"/>
    <w:rsid w:val="00F95A3E"/>
    <w:rsid w:val="00F95E86"/>
    <w:rsid w:val="00F96A3C"/>
    <w:rsid w:val="00F96A4F"/>
    <w:rsid w:val="00F96A68"/>
    <w:rsid w:val="00F96C6D"/>
    <w:rsid w:val="00F96E30"/>
    <w:rsid w:val="00F97492"/>
    <w:rsid w:val="00F9754C"/>
    <w:rsid w:val="00F97CC1"/>
    <w:rsid w:val="00FA021E"/>
    <w:rsid w:val="00FA073D"/>
    <w:rsid w:val="00FA0B00"/>
    <w:rsid w:val="00FA193A"/>
    <w:rsid w:val="00FA27DE"/>
    <w:rsid w:val="00FA3F9A"/>
    <w:rsid w:val="00FA40A5"/>
    <w:rsid w:val="00FA4247"/>
    <w:rsid w:val="00FA43DF"/>
    <w:rsid w:val="00FA4EE7"/>
    <w:rsid w:val="00FA5ACE"/>
    <w:rsid w:val="00FA663B"/>
    <w:rsid w:val="00FA7265"/>
    <w:rsid w:val="00FA7863"/>
    <w:rsid w:val="00FB0D61"/>
    <w:rsid w:val="00FB156E"/>
    <w:rsid w:val="00FB2D19"/>
    <w:rsid w:val="00FB2F0A"/>
    <w:rsid w:val="00FB31E5"/>
    <w:rsid w:val="00FB3568"/>
    <w:rsid w:val="00FB37EB"/>
    <w:rsid w:val="00FB3FB5"/>
    <w:rsid w:val="00FB4B4A"/>
    <w:rsid w:val="00FB4D52"/>
    <w:rsid w:val="00FB52C2"/>
    <w:rsid w:val="00FB5F91"/>
    <w:rsid w:val="00FB7E89"/>
    <w:rsid w:val="00FC0731"/>
    <w:rsid w:val="00FC08DC"/>
    <w:rsid w:val="00FC08F2"/>
    <w:rsid w:val="00FC0D37"/>
    <w:rsid w:val="00FC1322"/>
    <w:rsid w:val="00FC3F23"/>
    <w:rsid w:val="00FC3F9E"/>
    <w:rsid w:val="00FC4522"/>
    <w:rsid w:val="00FC53DB"/>
    <w:rsid w:val="00FC5520"/>
    <w:rsid w:val="00FC5EBA"/>
    <w:rsid w:val="00FC672A"/>
    <w:rsid w:val="00FC7AC5"/>
    <w:rsid w:val="00FD0217"/>
    <w:rsid w:val="00FD07CD"/>
    <w:rsid w:val="00FD0ABC"/>
    <w:rsid w:val="00FD1048"/>
    <w:rsid w:val="00FD1A1D"/>
    <w:rsid w:val="00FD2920"/>
    <w:rsid w:val="00FD2B72"/>
    <w:rsid w:val="00FD2EDE"/>
    <w:rsid w:val="00FD32AF"/>
    <w:rsid w:val="00FD3D5D"/>
    <w:rsid w:val="00FD533C"/>
    <w:rsid w:val="00FD62B1"/>
    <w:rsid w:val="00FD6D52"/>
    <w:rsid w:val="00FD7555"/>
    <w:rsid w:val="00FD7B19"/>
    <w:rsid w:val="00FD7C30"/>
    <w:rsid w:val="00FE04AE"/>
    <w:rsid w:val="00FE05D4"/>
    <w:rsid w:val="00FE1E49"/>
    <w:rsid w:val="00FE2AE9"/>
    <w:rsid w:val="00FE4266"/>
    <w:rsid w:val="00FE450D"/>
    <w:rsid w:val="00FE4CF0"/>
    <w:rsid w:val="00FE5CA0"/>
    <w:rsid w:val="00FE7149"/>
    <w:rsid w:val="00FE7770"/>
    <w:rsid w:val="00FE7A02"/>
    <w:rsid w:val="00FF0454"/>
    <w:rsid w:val="00FF0516"/>
    <w:rsid w:val="00FF1675"/>
    <w:rsid w:val="00FF1A7B"/>
    <w:rsid w:val="00FF3C56"/>
    <w:rsid w:val="00FF4C34"/>
    <w:rsid w:val="00FF4DD2"/>
    <w:rsid w:val="00FF4F02"/>
    <w:rsid w:val="00FF5EFC"/>
    <w:rsid w:val="00FF7ED9"/>
    <w:rsid w:val="01C8FDE9"/>
    <w:rsid w:val="02880EA9"/>
    <w:rsid w:val="030A2B06"/>
    <w:rsid w:val="038B5956"/>
    <w:rsid w:val="05CBFEBB"/>
    <w:rsid w:val="0738F7E3"/>
    <w:rsid w:val="073EAEFF"/>
    <w:rsid w:val="078E7DC5"/>
    <w:rsid w:val="093FD6C1"/>
    <w:rsid w:val="0A480C38"/>
    <w:rsid w:val="0A886F26"/>
    <w:rsid w:val="0E57A4DA"/>
    <w:rsid w:val="0EBE7C43"/>
    <w:rsid w:val="0FA6AD41"/>
    <w:rsid w:val="1044870C"/>
    <w:rsid w:val="123026FC"/>
    <w:rsid w:val="1793EF8A"/>
    <w:rsid w:val="1A83B7A2"/>
    <w:rsid w:val="1A9EF883"/>
    <w:rsid w:val="1AE49C6D"/>
    <w:rsid w:val="1D036340"/>
    <w:rsid w:val="1D0C8C99"/>
    <w:rsid w:val="1FA3BDE3"/>
    <w:rsid w:val="25A4D913"/>
    <w:rsid w:val="25B3711B"/>
    <w:rsid w:val="26531F37"/>
    <w:rsid w:val="2690E04D"/>
    <w:rsid w:val="27AAE5E0"/>
    <w:rsid w:val="2813C4D2"/>
    <w:rsid w:val="28D0F416"/>
    <w:rsid w:val="2B3ECBB8"/>
    <w:rsid w:val="2D62BE1E"/>
    <w:rsid w:val="2E901027"/>
    <w:rsid w:val="3051DEF4"/>
    <w:rsid w:val="327C7311"/>
    <w:rsid w:val="32C887AA"/>
    <w:rsid w:val="3324E5E1"/>
    <w:rsid w:val="33F79803"/>
    <w:rsid w:val="344E20A8"/>
    <w:rsid w:val="35E8D00D"/>
    <w:rsid w:val="368B4436"/>
    <w:rsid w:val="36B9314E"/>
    <w:rsid w:val="37213443"/>
    <w:rsid w:val="37A0C986"/>
    <w:rsid w:val="3A90CF66"/>
    <w:rsid w:val="3B7966E1"/>
    <w:rsid w:val="3BA21EDB"/>
    <w:rsid w:val="3C21E857"/>
    <w:rsid w:val="3E6E864B"/>
    <w:rsid w:val="3EF21FB9"/>
    <w:rsid w:val="3F4B949C"/>
    <w:rsid w:val="400D4362"/>
    <w:rsid w:val="401882C1"/>
    <w:rsid w:val="40415716"/>
    <w:rsid w:val="40B1AAD6"/>
    <w:rsid w:val="40CB5BC2"/>
    <w:rsid w:val="419102AF"/>
    <w:rsid w:val="41AB1BFC"/>
    <w:rsid w:val="44DCF6A5"/>
    <w:rsid w:val="45B40A8A"/>
    <w:rsid w:val="46EA117C"/>
    <w:rsid w:val="47339AFD"/>
    <w:rsid w:val="473B4D05"/>
    <w:rsid w:val="47565507"/>
    <w:rsid w:val="47B5F791"/>
    <w:rsid w:val="4A124690"/>
    <w:rsid w:val="4A5C057C"/>
    <w:rsid w:val="4B006360"/>
    <w:rsid w:val="4C4FEB3C"/>
    <w:rsid w:val="4DD2404B"/>
    <w:rsid w:val="4F6A40DB"/>
    <w:rsid w:val="4FA87A17"/>
    <w:rsid w:val="4FF76C86"/>
    <w:rsid w:val="50A38A63"/>
    <w:rsid w:val="5674A809"/>
    <w:rsid w:val="59E9F5A1"/>
    <w:rsid w:val="5A7A585A"/>
    <w:rsid w:val="5B017602"/>
    <w:rsid w:val="5B92E326"/>
    <w:rsid w:val="5C3B2166"/>
    <w:rsid w:val="5DC4572C"/>
    <w:rsid w:val="5FE41272"/>
    <w:rsid w:val="65BA4956"/>
    <w:rsid w:val="6678EC8C"/>
    <w:rsid w:val="69154AB9"/>
    <w:rsid w:val="6B70007F"/>
    <w:rsid w:val="6C011403"/>
    <w:rsid w:val="6C440DB9"/>
    <w:rsid w:val="6D73F503"/>
    <w:rsid w:val="6DE4F716"/>
    <w:rsid w:val="6DEE92C2"/>
    <w:rsid w:val="6E1D756D"/>
    <w:rsid w:val="6E6AE699"/>
    <w:rsid w:val="6EAFDE5A"/>
    <w:rsid w:val="6FE16D9E"/>
    <w:rsid w:val="710AB765"/>
    <w:rsid w:val="721F9B56"/>
    <w:rsid w:val="76339AE8"/>
    <w:rsid w:val="77261391"/>
    <w:rsid w:val="790193B5"/>
    <w:rsid w:val="79CDE76E"/>
    <w:rsid w:val="7AE3B4F9"/>
    <w:rsid w:val="7C13B9A7"/>
    <w:rsid w:val="7C3363A0"/>
    <w:rsid w:val="7CC94A8B"/>
    <w:rsid w:val="7DAE63D8"/>
    <w:rsid w:val="7FC6D4AE"/>
    <w:rsid w:val="7FE3C5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02C9A4"/>
  <w14:defaultImageDpi w14:val="96"/>
  <w15:docId w15:val="{EF06B4CF-837B-4D26-8390-6BCDAE84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Heading1">
    <w:name w:val="heading 1"/>
    <w:basedOn w:val="Normal"/>
    <w:next w:val="Heading2"/>
    <w:link w:val="Heading1Char"/>
    <w:uiPriority w:val="9"/>
    <w:qFormat/>
    <w:rsid w:val="00866063"/>
    <w:pPr>
      <w:keepNext/>
      <w:keepLines/>
      <w:numPr>
        <w:numId w:val="16"/>
      </w:numPr>
      <w:spacing w:before="240" w:after="120"/>
      <w:jc w:val="left"/>
      <w:outlineLvl w:val="0"/>
    </w:pPr>
    <w:rPr>
      <w:rFonts w:eastAsiaTheme="majorEastAsia"/>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16"/>
      </w:numPr>
      <w:spacing w:before="120" w:after="120"/>
      <w:jc w:val="left"/>
      <w:outlineLvl w:val="1"/>
    </w:pPr>
    <w:rPr>
      <w:rFonts w:ascii="Times New Roman Bold" w:eastAsiaTheme="majorEastAsia" w:hAnsi="Times New Roman Bold"/>
      <w:b/>
      <w:sz w:val="24"/>
      <w:szCs w:val="26"/>
    </w:rPr>
  </w:style>
  <w:style w:type="paragraph" w:styleId="Heading3">
    <w:name w:val="heading 3"/>
    <w:basedOn w:val="Normal"/>
    <w:next w:val="CBDNormalNumber"/>
    <w:link w:val="Heading3Char"/>
    <w:uiPriority w:val="9"/>
    <w:qFormat/>
    <w:rsid w:val="00866063"/>
    <w:pPr>
      <w:keepNext/>
      <w:keepLines/>
      <w:numPr>
        <w:ilvl w:val="2"/>
        <w:numId w:val="1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
    <w:qFormat/>
    <w:rsid w:val="00866063"/>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
    <w:qFormat/>
    <w:rsid w:val="00866063"/>
    <w:pPr>
      <w:keepNext/>
      <w:widowControl w:val="0"/>
      <w:numPr>
        <w:ilvl w:val="8"/>
        <w:numId w:val="1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063"/>
    <w:rPr>
      <w:rFonts w:ascii="Times New Roman" w:eastAsiaTheme="majorEastAsia" w:hAnsi="Times New Roman"/>
      <w:b/>
      <w:bCs/>
      <w:kern w:val="2"/>
      <w:sz w:val="28"/>
      <w:szCs w:val="32"/>
      <w:lang w:val="en-GB"/>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b/>
      <w:szCs w:val="26"/>
      <w:lang w:val="en-GB"/>
    </w:rPr>
  </w:style>
  <w:style w:type="character" w:customStyle="1" w:styleId="Heading3Char">
    <w:name w:val="Heading 3 Char"/>
    <w:basedOn w:val="DefaultParagraphFont"/>
    <w:link w:val="Heading3"/>
    <w:uiPriority w:val="9"/>
    <w:rsid w:val="00866063"/>
    <w:rPr>
      <w:rFonts w:ascii="Times New Roman" w:eastAsiaTheme="majorEastAsia" w:hAnsi="Times New Roman"/>
      <w:b/>
      <w:bCs/>
      <w:sz w:val="22"/>
      <w:szCs w:val="22"/>
      <w:lang w:val="en-GB"/>
    </w:rPr>
  </w:style>
  <w:style w:type="character" w:customStyle="1" w:styleId="Heading4Char">
    <w:name w:val="Heading 4 Char"/>
    <w:basedOn w:val="DefaultParagraphFont"/>
    <w:link w:val="Heading4"/>
    <w:uiPriority w:val="9"/>
    <w:rsid w:val="00866063"/>
    <w:rPr>
      <w:rFonts w:ascii="Times New Roman" w:eastAsiaTheme="majorEastAsia" w:hAnsi="Times New Roman"/>
      <w:b/>
      <w:bCs/>
      <w:sz w:val="22"/>
      <w:szCs w:val="22"/>
      <w:lang w:val="en-GB"/>
    </w:rPr>
  </w:style>
  <w:style w:type="character" w:customStyle="1" w:styleId="Heading5Char">
    <w:name w:val="Heading 5 Char"/>
    <w:basedOn w:val="DefaultParagraphFont"/>
    <w:link w:val="Heading5"/>
    <w:uiPriority w:val="9"/>
    <w:rsid w:val="00866063"/>
    <w:rPr>
      <w:rFonts w:ascii="Times New Roman" w:eastAsiaTheme="majorEastAsia" w:hAnsi="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b/>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b/>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sz w:val="22"/>
      <w:szCs w:val="22"/>
      <w:u w:val="single"/>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eastAsia="x-none"/>
    </w:rPr>
  </w:style>
  <w:style w:type="character" w:styleId="PlaceholderText">
    <w:name w:val="Placeholder Text"/>
    <w:basedOn w:val="DefaultParagraphFont"/>
    <w:uiPriority w:val="99"/>
    <w:semiHidden/>
    <w:rsid w:val="00105372"/>
    <w:rPr>
      <w:rFonts w:cs="Times New Roman"/>
      <w:color w:val="808080"/>
      <w:lang w:val="en-GB" w:eastAsia="x-none"/>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2"/>
      <w:szCs w:val="22"/>
      <w:lang w:val="en-GB" w:eastAsia="x-none"/>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2"/>
      <w:szCs w:val="22"/>
      <w:lang w:val="en-GB" w:eastAsia="x-none"/>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imes New Roman"/>
      <w:color w:val="17365D" w:themeColor="text2" w:themeShade="BF"/>
      <w:spacing w:val="5"/>
      <w:kern w:val="28"/>
      <w:sz w:val="52"/>
      <w:szCs w:val="52"/>
      <w:lang w:val="en-GB" w:eastAsia="x-none"/>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imes New Roman"/>
      <w:i/>
      <w:iCs/>
      <w:color w:val="4F81BD" w:themeColor="accent1"/>
      <w:spacing w:val="15"/>
      <w:sz w:val="22"/>
      <w:szCs w:val="22"/>
      <w:lang w:val="en-GB" w:eastAsia="x-none"/>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EastAsia" w:hAnsiTheme="minorHAnsi"/>
      <w:kern w:val="2"/>
    </w:rPr>
  </w:style>
  <w:style w:type="character" w:customStyle="1" w:styleId="BodyTextChar">
    <w:name w:val="Body Text Char"/>
    <w:basedOn w:val="DefaultParagraphFont"/>
    <w:link w:val="BodyText"/>
    <w:uiPriority w:val="99"/>
    <w:rsid w:val="00866063"/>
    <w:rPr>
      <w:rFonts w:eastAsia="Times New Roman" w:cs="Times New Roman"/>
      <w:kern w:val="2"/>
      <w:sz w:val="22"/>
      <w:szCs w:val="22"/>
      <w:lang w:val="en-GB" w:eastAsia="x-none"/>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eastAsia="x-none"/>
    </w:rPr>
  </w:style>
  <w:style w:type="character" w:styleId="CommentReference">
    <w:name w:val="annotation reference"/>
    <w:basedOn w:val="DefaultParagraphFont"/>
    <w:uiPriority w:val="99"/>
    <w:semiHidden/>
    <w:unhideWhenUsed/>
    <w:rsid w:val="00866063"/>
    <w:rPr>
      <w:rFonts w:cs="Times New Roman"/>
      <w:sz w:val="16"/>
      <w:szCs w:val="16"/>
      <w:lang w:val="en-GB" w:eastAsia="x-none"/>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eastAsia="x-none"/>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basedOn w:val="DefaultParagraphFont"/>
    <w:uiPriority w:val="99"/>
    <w:semiHidden/>
    <w:rsid w:val="007E09DA"/>
    <w:rPr>
      <w:vertAlign w:val="superscript"/>
      <w:lang w:val="en-GB" w:eastAsia="x-none"/>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eastAsia="x-none"/>
    </w:rPr>
  </w:style>
  <w:style w:type="character" w:styleId="FollowedHyperlink">
    <w:name w:val="FollowedHyperlink"/>
    <w:basedOn w:val="DefaultParagraphFont"/>
    <w:uiPriority w:val="99"/>
    <w:rsid w:val="007E09DA"/>
    <w:rPr>
      <w:color w:val="800080"/>
      <w:u w:val="single"/>
      <w:lang w:val="en-GB"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unhideWhenUsed/>
    <w:qFormat/>
    <w:rsid w:val="00866063"/>
    <w:rPr>
      <w:rFonts w:cs="Times New Roman"/>
      <w:vertAlign w:val="superscript"/>
      <w:lang w:val="en-GB" w:eastAsia="x-no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rsid w:val="00866063"/>
    <w:rPr>
      <w:rFonts w:ascii="Times New Roman" w:eastAsia="SimSun" w:hAnsi="Times New Roman" w:cs="Times New Roman"/>
      <w:sz w:val="20"/>
      <w:szCs w:val="20"/>
      <w:lang w:val="en-GB" w:eastAsia="x-none"/>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paragraph" w:customStyle="1" w:styleId="Heading4indent">
    <w:name w:val="Heading 4 indent"/>
    <w:basedOn w:val="Heading4"/>
    <w:rsid w:val="007E09DA"/>
    <w:pPr>
      <w:ind w:left="720"/>
      <w:outlineLvl w:val="9"/>
    </w:pPr>
  </w:style>
  <w:style w:type="character" w:styleId="PageNumber">
    <w:name w:val="page number"/>
    <w:basedOn w:val="DefaultParagraphFont"/>
    <w:uiPriority w:val="99"/>
    <w:rsid w:val="007E09DA"/>
    <w:rPr>
      <w:rFonts w:ascii="Times New Roman" w:hAnsi="Times New Roman"/>
      <w:sz w:val="22"/>
      <w:lang w:val="en-GB" w:eastAsia="x-none"/>
    </w:rPr>
  </w:style>
  <w:style w:type="paragraph" w:customStyle="1" w:styleId="Para1">
    <w:name w:val="Para1"/>
    <w:basedOn w:val="Normal"/>
    <w:link w:val="Para1Char"/>
    <w:rsid w:val="005B35E2"/>
    <w:pPr>
      <w:numPr>
        <w:numId w:val="11"/>
      </w:numPr>
      <w:tabs>
        <w:tab w:val="clear" w:pos="360"/>
      </w:tabs>
      <w:spacing w:before="120" w:after="120"/>
      <w:ind w:left="567"/>
    </w:pPr>
    <w:rPr>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eastAsia="x-no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heme="minorEastAsia"/>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heme="minorEastAsia"/>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heme="minorEastAsia"/>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heme="minorEastAsia"/>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heme="minorEastAsia"/>
      <w:szCs w:val="18"/>
    </w:rPr>
  </w:style>
  <w:style w:type="paragraph" w:styleId="TOC6">
    <w:name w:val="toc 6"/>
    <w:basedOn w:val="Normal"/>
    <w:next w:val="Normal"/>
    <w:uiPriority w:val="3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heme="minorEastAsia"/>
      <w:sz w:val="18"/>
      <w:szCs w:val="18"/>
    </w:rPr>
  </w:style>
  <w:style w:type="paragraph" w:styleId="TOC7">
    <w:name w:val="toc 7"/>
    <w:basedOn w:val="Normal"/>
    <w:next w:val="Normal"/>
    <w:autoRedefine/>
    <w:uiPriority w:val="3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heme="minorEastAsia"/>
      <w:sz w:val="18"/>
      <w:szCs w:val="18"/>
    </w:rPr>
  </w:style>
  <w:style w:type="paragraph" w:styleId="TOC8">
    <w:name w:val="toc 8"/>
    <w:basedOn w:val="Normal"/>
    <w:next w:val="Normal"/>
    <w:autoRedefine/>
    <w:uiPriority w:val="3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heme="minorEastAsia"/>
      <w:sz w:val="18"/>
      <w:szCs w:val="18"/>
    </w:rPr>
  </w:style>
  <w:style w:type="paragraph" w:styleId="TOC9">
    <w:name w:val="toc 9"/>
    <w:basedOn w:val="Normal"/>
    <w:next w:val="Normal"/>
    <w:autoRedefine/>
    <w:uiPriority w:val="3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heme="minorEastAsia"/>
      <w:sz w:val="18"/>
      <w:szCs w:val="18"/>
    </w:rPr>
  </w:style>
  <w:style w:type="character" w:styleId="Hyperlink">
    <w:name w:val="Hyperlink"/>
    <w:basedOn w:val="DefaultParagraphFont"/>
    <w:uiPriority w:val="99"/>
    <w:unhideWhenUsed/>
    <w:rsid w:val="00866063"/>
    <w:rPr>
      <w:rFonts w:ascii="Times New Roman" w:hAnsi="Times New Roman" w:cs="Times New Roman"/>
      <w:color w:val="0000FF" w:themeColor="hyperlink"/>
      <w:u w:val="single"/>
      <w:lang w:val="en-GB" w:eastAsia="x-none"/>
    </w:rPr>
  </w:style>
  <w:style w:type="character" w:customStyle="1" w:styleId="Para1Char">
    <w:name w:val="Para1 Char"/>
    <w:link w:val="Para1"/>
    <w:locked/>
    <w:rsid w:val="005B35E2"/>
    <w:rPr>
      <w:rFonts w:ascii="Times New Roman" w:eastAsia="SimSun" w:hAnsi="Times New Roman"/>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3"/>
      </w:numPr>
      <w:spacing w:after="120"/>
    </w:pPr>
    <w:rPr>
      <w:rFonts w:cs="Angsana New"/>
    </w:rPr>
  </w:style>
  <w:style w:type="paragraph" w:styleId="ListParagraph">
    <w:name w:val="List Paragraph"/>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eastAsia="x-none"/>
    </w:rPr>
  </w:style>
  <w:style w:type="paragraph" w:customStyle="1" w:styleId="Item">
    <w:name w:val="Item"/>
    <w:basedOn w:val="Normal"/>
    <w:qFormat/>
    <w:rsid w:val="00866063"/>
    <w:pPr>
      <w:suppressLineNumbers/>
      <w:suppressAutoHyphens/>
      <w:spacing w:before="240" w:after="120"/>
      <w:jc w:val="left"/>
    </w:pPr>
    <w:rPr>
      <w:rFonts w:eastAsiaTheme="minorEastAsia"/>
      <w:b/>
      <w:iCs/>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sz w:val="22"/>
      <w:szCs w:val="22"/>
      <w:lang w:val="en-GB"/>
    </w:rPr>
  </w:style>
  <w:style w:type="paragraph" w:styleId="List">
    <w:name w:val="List"/>
    <w:basedOn w:val="Normal"/>
    <w:uiPriority w:val="99"/>
    <w:semiHidden/>
    <w:rsid w:val="00866063"/>
    <w:pPr>
      <w:contextualSpacing/>
    </w:pPr>
  </w:style>
  <w:style w:type="paragraph" w:customStyle="1" w:styleId="AISpacer">
    <w:name w:val="AI_Spacer"/>
    <w:next w:val="Normal"/>
    <w:unhideWhenUsed/>
    <w:qFormat/>
    <w:rsid w:val="00866063"/>
    <w:rPr>
      <w:rFonts w:ascii="Times New Roman" w:eastAsia="SimSun" w:hAnsi="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uiPriority w:val="99"/>
    <w:qFormat/>
    <w:rsid w:val="00866063"/>
    <w:pPr>
      <w:spacing w:after="120"/>
      <w:ind w:left="567" w:firstLine="567"/>
    </w:pPr>
  </w:style>
  <w:style w:type="paragraph" w:customStyle="1" w:styleId="CBDDesicionAnnex">
    <w:name w:val="CBD_DesicionAnnex"/>
    <w:basedOn w:val="CBDNormal"/>
    <w:next w:val="CBDDesicionText"/>
    <w:uiPriority w:val="99"/>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eastAsia="x-none"/>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eastAsia="x-none"/>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eastAsia="x-none"/>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eastAsia="x-none"/>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eastAsia="x-none"/>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eastAsia="x-none"/>
    </w:rPr>
  </w:style>
  <w:style w:type="character" w:styleId="BookTitle">
    <w:name w:val="Book Title"/>
    <w:basedOn w:val="DefaultParagraphFont"/>
    <w:uiPriority w:val="33"/>
    <w:qFormat/>
    <w:rsid w:val="00A111D1"/>
    <w:rPr>
      <w:rFonts w:cs="Times New Roman"/>
      <w:b/>
      <w:bCs/>
      <w:i/>
      <w:iCs/>
      <w:spacing w:val="5"/>
      <w:lang w:val="en-GB" w:eastAsia="x-none"/>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eastAsia="x-none"/>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cs="Times New Roman"/>
        <w:b/>
        <w:bCs/>
      </w:rPr>
      <w:tblPr/>
      <w:tcPr>
        <w:shd w:val="clear" w:color="auto" w:fill="999999" w:themeFill="text1" w:themeFillTint="66"/>
      </w:tcPr>
    </w:tblStylePr>
    <w:tblStylePr w:type="lastRow">
      <w:rPr>
        <w:rFonts w:cs="Times New Roman"/>
        <w:b/>
        <w:bCs/>
        <w:color w:val="000000" w:themeColor="text1"/>
      </w:rPr>
      <w:tblPr/>
      <w:tcPr>
        <w:shd w:val="clear" w:color="auto" w:fill="999999" w:themeFill="text1" w:themeFillTint="66"/>
      </w:tcPr>
    </w:tblStylePr>
    <w:tblStylePr w:type="firstCol">
      <w:rPr>
        <w:rFonts w:cs="Times New Roman"/>
        <w:color w:val="FFFFFF" w:themeColor="background1"/>
      </w:rPr>
      <w:tblPr/>
      <w:tcPr>
        <w:shd w:val="clear" w:color="auto" w:fill="000000" w:themeFill="text1" w:themeFillShade="BF"/>
      </w:tcPr>
    </w:tblStylePr>
    <w:tblStylePr w:type="lastCol">
      <w:rPr>
        <w:rFonts w:cs="Times New Roman"/>
        <w:color w:val="FFFFFF" w:themeColor="background1"/>
      </w:rPr>
      <w:tblPr/>
      <w:tcPr>
        <w:shd w:val="clear" w:color="auto" w:fill="000000" w:themeFill="text1" w:themeFillShade="BF"/>
      </w:tc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cs="Times New Roman"/>
        <w:b/>
        <w:bCs/>
      </w:rPr>
      <w:tblPr/>
      <w:tcPr>
        <w:shd w:val="clear" w:color="auto" w:fill="B8CCE4" w:themeFill="accent1" w:themeFillTint="66"/>
      </w:tcPr>
    </w:tblStylePr>
    <w:tblStylePr w:type="lastRow">
      <w:rPr>
        <w:rFonts w:cs="Times New Roman"/>
        <w:b/>
        <w:bCs/>
        <w:color w:val="000000" w:themeColor="text1"/>
      </w:rPr>
      <w:tblPr/>
      <w:tcPr>
        <w:shd w:val="clear" w:color="auto" w:fill="B8CCE4" w:themeFill="accent1" w:themeFillTint="66"/>
      </w:tcPr>
    </w:tblStylePr>
    <w:tblStylePr w:type="firstCol">
      <w:rPr>
        <w:rFonts w:cs="Times New Roman"/>
        <w:color w:val="FFFFFF" w:themeColor="background1"/>
      </w:rPr>
      <w:tblPr/>
      <w:tcPr>
        <w:shd w:val="clear" w:color="auto" w:fill="365F91" w:themeFill="accent1" w:themeFillShade="BF"/>
      </w:tcPr>
    </w:tblStylePr>
    <w:tblStylePr w:type="lastCol">
      <w:rPr>
        <w:rFonts w:cs="Times New Roman"/>
        <w:color w:val="FFFFFF" w:themeColor="background1"/>
      </w:rPr>
      <w:tblPr/>
      <w:tcPr>
        <w:shd w:val="clear" w:color="auto" w:fill="365F91" w:themeFill="accent1" w:themeFillShade="BF"/>
      </w:tcPr>
    </w:tblStylePr>
    <w:tblStylePr w:type="band1Vert">
      <w:rPr>
        <w:rFonts w:cs="Times New Roman"/>
      </w:rPr>
      <w:tblPr/>
      <w:tcPr>
        <w:shd w:val="clear" w:color="auto" w:fill="A7BFDE" w:themeFill="accent1" w:themeFillTint="7F"/>
      </w:tcPr>
    </w:tblStylePr>
    <w:tblStylePr w:type="band1Horz">
      <w:rPr>
        <w:rFonts w:cs="Times New Roman"/>
      </w:rPr>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cs="Times New Roman"/>
        <w:b/>
        <w:bCs/>
      </w:rPr>
      <w:tblPr/>
      <w:tcPr>
        <w:shd w:val="clear" w:color="auto" w:fill="E5B8B7" w:themeFill="accent2" w:themeFillTint="66"/>
      </w:tcPr>
    </w:tblStylePr>
    <w:tblStylePr w:type="lastRow">
      <w:rPr>
        <w:rFonts w:cs="Times New Roman"/>
        <w:b/>
        <w:bCs/>
        <w:color w:val="000000" w:themeColor="text1"/>
      </w:rPr>
      <w:tblPr/>
      <w:tcPr>
        <w:shd w:val="clear" w:color="auto" w:fill="E5B8B7" w:themeFill="accent2" w:themeFillTint="66"/>
      </w:tcPr>
    </w:tblStylePr>
    <w:tblStylePr w:type="firstCol">
      <w:rPr>
        <w:rFonts w:cs="Times New Roman"/>
        <w:color w:val="FFFFFF" w:themeColor="background1"/>
      </w:rPr>
      <w:tblPr/>
      <w:tcPr>
        <w:shd w:val="clear" w:color="auto" w:fill="943634" w:themeFill="accent2" w:themeFillShade="BF"/>
      </w:tcPr>
    </w:tblStylePr>
    <w:tblStylePr w:type="lastCol">
      <w:rPr>
        <w:rFonts w:cs="Times New Roman"/>
        <w:color w:val="FFFFFF" w:themeColor="background1"/>
      </w:rPr>
      <w:tblPr/>
      <w:tcPr>
        <w:shd w:val="clear" w:color="auto" w:fill="943634" w:themeFill="accent2" w:themeFillShade="BF"/>
      </w:tc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cs="Times New Roman"/>
        <w:b/>
        <w:bCs/>
      </w:rPr>
      <w:tblPr/>
      <w:tcPr>
        <w:shd w:val="clear" w:color="auto" w:fill="D6E3BC" w:themeFill="accent3" w:themeFillTint="66"/>
      </w:tcPr>
    </w:tblStylePr>
    <w:tblStylePr w:type="lastRow">
      <w:rPr>
        <w:rFonts w:cs="Times New Roman"/>
        <w:b/>
        <w:bCs/>
        <w:color w:val="000000" w:themeColor="text1"/>
      </w:rPr>
      <w:tblPr/>
      <w:tcPr>
        <w:shd w:val="clear" w:color="auto" w:fill="D6E3BC" w:themeFill="accent3" w:themeFillTint="66"/>
      </w:tcPr>
    </w:tblStylePr>
    <w:tblStylePr w:type="firstCol">
      <w:rPr>
        <w:rFonts w:cs="Times New Roman"/>
        <w:color w:val="FFFFFF" w:themeColor="background1"/>
      </w:rPr>
      <w:tblPr/>
      <w:tcPr>
        <w:shd w:val="clear" w:color="auto" w:fill="76923C" w:themeFill="accent3" w:themeFillShade="BF"/>
      </w:tcPr>
    </w:tblStylePr>
    <w:tblStylePr w:type="lastCol">
      <w:rPr>
        <w:rFonts w:cs="Times New Roman"/>
        <w:color w:val="FFFFFF" w:themeColor="background1"/>
      </w:rPr>
      <w:tblPr/>
      <w:tcPr>
        <w:shd w:val="clear" w:color="auto" w:fill="76923C" w:themeFill="accent3" w:themeFillShade="BF"/>
      </w:tcPr>
    </w:tblStylePr>
    <w:tblStylePr w:type="band1Vert">
      <w:rPr>
        <w:rFonts w:cs="Times New Roman"/>
      </w:rPr>
      <w:tblPr/>
      <w:tcPr>
        <w:shd w:val="clear" w:color="auto" w:fill="CDDDAC" w:themeFill="accent3" w:themeFillTint="7F"/>
      </w:tcPr>
    </w:tblStylePr>
    <w:tblStylePr w:type="band1Horz">
      <w:rPr>
        <w:rFonts w:cs="Times New Roman"/>
      </w:rPr>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cs="Times New Roman"/>
        <w:b/>
        <w:bCs/>
      </w:rPr>
      <w:tblPr/>
      <w:tcPr>
        <w:shd w:val="clear" w:color="auto" w:fill="CCC0D9" w:themeFill="accent4" w:themeFillTint="66"/>
      </w:tcPr>
    </w:tblStylePr>
    <w:tblStylePr w:type="lastRow">
      <w:rPr>
        <w:rFonts w:cs="Times New Roman"/>
        <w:b/>
        <w:bCs/>
        <w:color w:val="000000" w:themeColor="text1"/>
      </w:rPr>
      <w:tblPr/>
      <w:tcPr>
        <w:shd w:val="clear" w:color="auto" w:fill="CCC0D9" w:themeFill="accent4" w:themeFillTint="66"/>
      </w:tcPr>
    </w:tblStylePr>
    <w:tblStylePr w:type="firstCol">
      <w:rPr>
        <w:rFonts w:cs="Times New Roman"/>
        <w:color w:val="FFFFFF" w:themeColor="background1"/>
      </w:rPr>
      <w:tblPr/>
      <w:tcPr>
        <w:shd w:val="clear" w:color="auto" w:fill="5F497A" w:themeFill="accent4" w:themeFillShade="BF"/>
      </w:tcPr>
    </w:tblStylePr>
    <w:tblStylePr w:type="lastCol">
      <w:rPr>
        <w:rFonts w:cs="Times New Roman"/>
        <w:color w:val="FFFFFF" w:themeColor="background1"/>
      </w:rPr>
      <w:tblPr/>
      <w:tcPr>
        <w:shd w:val="clear" w:color="auto" w:fill="5F497A" w:themeFill="accent4" w:themeFillShade="BF"/>
      </w:tcPr>
    </w:tblStylePr>
    <w:tblStylePr w:type="band1Vert">
      <w:rPr>
        <w:rFonts w:cs="Times New Roman"/>
      </w:rPr>
      <w:tblPr/>
      <w:tcPr>
        <w:shd w:val="clear" w:color="auto" w:fill="BFB1D0" w:themeFill="accent4" w:themeFillTint="7F"/>
      </w:tcPr>
    </w:tblStylePr>
    <w:tblStylePr w:type="band1Horz">
      <w:rPr>
        <w:rFonts w:cs="Times New Roman"/>
      </w:rPr>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cs="Times New Roman"/>
        <w:b/>
        <w:bCs/>
      </w:rPr>
      <w:tblPr/>
      <w:tcPr>
        <w:shd w:val="clear" w:color="auto" w:fill="B6DDE8" w:themeFill="accent5" w:themeFillTint="66"/>
      </w:tcPr>
    </w:tblStylePr>
    <w:tblStylePr w:type="lastRow">
      <w:rPr>
        <w:rFonts w:cs="Times New Roman"/>
        <w:b/>
        <w:bCs/>
        <w:color w:val="000000" w:themeColor="text1"/>
      </w:rPr>
      <w:tblPr/>
      <w:tcPr>
        <w:shd w:val="clear" w:color="auto" w:fill="B6DDE8" w:themeFill="accent5" w:themeFillTint="66"/>
      </w:tcPr>
    </w:tblStylePr>
    <w:tblStylePr w:type="firstCol">
      <w:rPr>
        <w:rFonts w:cs="Times New Roman"/>
        <w:color w:val="FFFFFF" w:themeColor="background1"/>
      </w:rPr>
      <w:tblPr/>
      <w:tcPr>
        <w:shd w:val="clear" w:color="auto" w:fill="31849B" w:themeFill="accent5" w:themeFillShade="BF"/>
      </w:tcPr>
    </w:tblStylePr>
    <w:tblStylePr w:type="lastCol">
      <w:rPr>
        <w:rFonts w:cs="Times New Roman"/>
        <w:color w:val="FFFFFF" w:themeColor="background1"/>
      </w:rPr>
      <w:tblPr/>
      <w:tcPr>
        <w:shd w:val="clear" w:color="auto" w:fill="31849B" w:themeFill="accent5" w:themeFillShade="BF"/>
      </w:tcPr>
    </w:tblStylePr>
    <w:tblStylePr w:type="band1Vert">
      <w:rPr>
        <w:rFonts w:cs="Times New Roman"/>
      </w:rPr>
      <w:tblPr/>
      <w:tcPr>
        <w:shd w:val="clear" w:color="auto" w:fill="A5D5E2" w:themeFill="accent5" w:themeFillTint="7F"/>
      </w:tcPr>
    </w:tblStylePr>
    <w:tblStylePr w:type="band1Horz">
      <w:rPr>
        <w:rFonts w:cs="Times New Roman"/>
      </w:rPr>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cs="Times New Roman"/>
        <w:b/>
        <w:bCs/>
      </w:rPr>
      <w:tblPr/>
      <w:tcPr>
        <w:shd w:val="clear" w:color="auto" w:fill="FBD4B4" w:themeFill="accent6" w:themeFillTint="66"/>
      </w:tcPr>
    </w:tblStylePr>
    <w:tblStylePr w:type="lastRow">
      <w:rPr>
        <w:rFonts w:cs="Times New Roman"/>
        <w:b/>
        <w:bCs/>
        <w:color w:val="000000" w:themeColor="text1"/>
      </w:rPr>
      <w:tblPr/>
      <w:tcPr>
        <w:shd w:val="clear" w:color="auto" w:fill="FBD4B4" w:themeFill="accent6" w:themeFillTint="66"/>
      </w:tcPr>
    </w:tblStylePr>
    <w:tblStylePr w:type="firstCol">
      <w:rPr>
        <w:rFonts w:cs="Times New Roman"/>
        <w:color w:val="FFFFFF" w:themeColor="background1"/>
      </w:rPr>
      <w:tblPr/>
      <w:tcPr>
        <w:shd w:val="clear" w:color="auto" w:fill="E36C0A" w:themeFill="accent6" w:themeFillShade="BF"/>
      </w:tcPr>
    </w:tblStylePr>
    <w:tblStylePr w:type="lastCol">
      <w:rPr>
        <w:rFonts w:cs="Times New Roman"/>
        <w:color w:val="FFFFFF" w:themeColor="background1"/>
      </w:rPr>
      <w:tblPr/>
      <w:tcPr>
        <w:shd w:val="clear" w:color="auto" w:fill="E36C0A" w:themeFill="accent6" w:themeFillShade="BF"/>
      </w:tc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hemeFill="text1" w:themeFillTint="3F"/>
      </w:tcPr>
    </w:tblStylePr>
    <w:tblStylePr w:type="band1Horz">
      <w:rPr>
        <w:rFonts w:cs="Times New Roman"/>
      </w:rPr>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hemeFill="accent1" w:themeFillTint="3F"/>
      </w:tcPr>
    </w:tblStylePr>
    <w:tblStylePr w:type="band1Horz">
      <w:rPr>
        <w:rFonts w:cs="Times New Roman"/>
      </w:rPr>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hemeFill="accent2" w:themeFillTint="3F"/>
      </w:tcPr>
    </w:tblStylePr>
    <w:tblStylePr w:type="band1Horz">
      <w:rPr>
        <w:rFonts w:cs="Times New Roman"/>
      </w:rPr>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rFonts w:cs="Times New Roman"/>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cs="Times New Roman"/>
        <w:b/>
        <w:bCs/>
        <w:color w:val="664E82" w:themeColor="accent4"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hemeFill="accent3" w:themeFillTint="3F"/>
      </w:tcPr>
    </w:tblStylePr>
    <w:tblStylePr w:type="band1Horz">
      <w:rPr>
        <w:rFonts w:cs="Times New Roman"/>
      </w:rPr>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rFonts w:cs="Times New Roman"/>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cs="Times New Roman"/>
        <w:b/>
        <w:bCs/>
        <w:color w:val="7E9C40" w:themeColor="accent3"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hemeFill="accent4" w:themeFillTint="3F"/>
      </w:tcPr>
    </w:tblStylePr>
    <w:tblStylePr w:type="band1Horz">
      <w:rPr>
        <w:rFonts w:cs="Times New Roman"/>
      </w:rPr>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rFonts w:cs="Times New Roman"/>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cs="Times New Roman"/>
        <w:b/>
        <w:bCs/>
        <w:color w:val="F2730A" w:themeColor="accent6"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2EAF1" w:themeFill="accent5" w:themeFillTint="3F"/>
      </w:tcPr>
    </w:tblStylePr>
    <w:tblStylePr w:type="band1Horz">
      <w:rPr>
        <w:rFonts w:cs="Times New Roman"/>
      </w:rPr>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rFonts w:cs="Times New Roman"/>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cs="Times New Roman"/>
        <w:b/>
        <w:bCs/>
        <w:color w:val="348DA5" w:themeColor="accent5"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hemeFill="accent6" w:themeFillTint="3F"/>
      </w:tcPr>
    </w:tblStylePr>
    <w:tblStylePr w:type="band1Horz">
      <w:rPr>
        <w:rFonts w:cs="Times New Roman"/>
      </w:rPr>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cs="Times New Roman"/>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808080" w:themeFill="tex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cs="Times New Roman"/>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rPr>
        <w:rFonts w:cs="Times New Roman"/>
      </w:rPr>
      <w:tblPr/>
      <w:tcPr>
        <w:shd w:val="clear" w:color="auto" w:fill="B8CCE4" w:themeFill="accent1" w:themeFillTint="66"/>
      </w:tcPr>
    </w:tblStylePr>
    <w:tblStylePr w:type="band1Horz">
      <w:rPr>
        <w:rFonts w:cs="Times New Roman"/>
      </w:rPr>
      <w:tblPr/>
      <w:tcPr>
        <w:shd w:val="clear" w:color="auto" w:fill="A7BFDE" w:themeFill="accen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cs="Times New Roman"/>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rPr>
        <w:rFonts w:cs="Times New Roman"/>
      </w:rPr>
      <w:tblPr/>
      <w:tcPr>
        <w:shd w:val="clear" w:color="auto" w:fill="E5B8B7" w:themeFill="accent2" w:themeFillTint="66"/>
      </w:tcPr>
    </w:tblStylePr>
    <w:tblStylePr w:type="band1Horz">
      <w:rPr>
        <w:rFonts w:cs="Times New Roman"/>
      </w:rPr>
      <w:tblPr/>
      <w:tcPr>
        <w:shd w:val="clear" w:color="auto" w:fill="DFA7A6" w:themeFill="accent2"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cs="Times New Roman"/>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cs="Times New Roman"/>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rPr>
        <w:rFonts w:cs="Times New Roman"/>
      </w:rPr>
      <w:tblPr/>
      <w:tcPr>
        <w:shd w:val="clear" w:color="auto" w:fill="D6E3BC" w:themeFill="accent3" w:themeFillTint="66"/>
      </w:tcPr>
    </w:tblStylePr>
    <w:tblStylePr w:type="band1Horz">
      <w:rPr>
        <w:rFonts w:cs="Times New Roman"/>
      </w:rPr>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cs="Times New Roman"/>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cs="Times New Roman"/>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rPr>
        <w:rFonts w:cs="Times New Roman"/>
      </w:rPr>
      <w:tblPr/>
      <w:tcPr>
        <w:shd w:val="clear" w:color="auto" w:fill="CCC0D9" w:themeFill="accent4" w:themeFillTint="66"/>
      </w:tcPr>
    </w:tblStylePr>
    <w:tblStylePr w:type="band1Horz">
      <w:rPr>
        <w:rFonts w:cs="Times New Roman"/>
      </w:rPr>
      <w:tblPr/>
      <w:tcPr>
        <w:shd w:val="clear" w:color="auto" w:fill="BFB1D0" w:themeFill="accent4"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cs="Times New Roman"/>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cs="Times New Roman"/>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rPr>
        <w:rFonts w:cs="Times New Roman"/>
      </w:rPr>
      <w:tblPr/>
      <w:tcPr>
        <w:shd w:val="clear" w:color="auto" w:fill="B6DDE8" w:themeFill="accent5" w:themeFillTint="66"/>
      </w:tcPr>
    </w:tblStylePr>
    <w:tblStylePr w:type="band1Horz">
      <w:rPr>
        <w:rFonts w:cs="Times New Roman"/>
      </w:rPr>
      <w:tblPr/>
      <w:tcPr>
        <w:shd w:val="clear" w:color="auto" w:fill="A5D5E2" w:themeFill="accent5"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cs="Times New Roman"/>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cs="Times New Roman"/>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rPr>
        <w:rFonts w:cs="Times New Roman"/>
      </w:rPr>
      <w:tblPr/>
      <w:tcPr>
        <w:shd w:val="clear" w:color="auto" w:fill="FBD4B4" w:themeFill="accent6" w:themeFillTint="66"/>
      </w:tcPr>
    </w:tblStylePr>
    <w:tblStylePr w:type="band1Horz">
      <w:rPr>
        <w:rFonts w:cs="Times New Roman"/>
      </w:rPr>
      <w:tblPr/>
      <w:tcPr>
        <w:shd w:val="clear" w:color="auto" w:fill="FBCAA2" w:themeFill="accent6"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rPr>
        <w:rFonts w:cs="Times New Roman"/>
      </w:rPr>
      <w:tblPr/>
      <w:tcPr>
        <w:tcBorders>
          <w:top w:val="nil"/>
          <w:left w:val="nil"/>
          <w:bottom w:val="nil"/>
          <w:right w:val="nil"/>
          <w:insideH w:val="nil"/>
          <w:insideV w:val="nil"/>
        </w:tcBorders>
        <w:shd w:val="clear" w:color="auto" w:fill="000000" w:themeFill="text1" w:themeFillShade="BF"/>
      </w:tcPr>
    </w:tblStylePr>
    <w:tblStylePr w:type="band1Horz">
      <w:rPr>
        <w:rFonts w:cs="Times New Roman"/>
      </w:rPr>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rPr>
        <w:rFonts w:cs="Times New Roman"/>
      </w:rPr>
      <w:tblPr/>
      <w:tcPr>
        <w:tcBorders>
          <w:top w:val="nil"/>
          <w:left w:val="nil"/>
          <w:bottom w:val="nil"/>
          <w:right w:val="nil"/>
          <w:insideH w:val="nil"/>
          <w:insideV w:val="nil"/>
        </w:tcBorders>
        <w:shd w:val="clear" w:color="auto" w:fill="365F91" w:themeFill="accent1" w:themeFillShade="BF"/>
      </w:tcPr>
    </w:tblStylePr>
    <w:tblStylePr w:type="band1Horz">
      <w:rPr>
        <w:rFonts w:cs="Times New Roman"/>
      </w:rPr>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rPr>
        <w:rFonts w:cs="Times New Roman"/>
      </w:rPr>
      <w:tblPr/>
      <w:tcPr>
        <w:tcBorders>
          <w:top w:val="nil"/>
          <w:left w:val="nil"/>
          <w:bottom w:val="nil"/>
          <w:right w:val="nil"/>
          <w:insideH w:val="nil"/>
          <w:insideV w:val="nil"/>
        </w:tcBorders>
        <w:shd w:val="clear" w:color="auto" w:fill="943634" w:themeFill="accent2" w:themeFillShade="BF"/>
      </w:tcPr>
    </w:tblStylePr>
    <w:tblStylePr w:type="band1Horz">
      <w:rPr>
        <w:rFonts w:cs="Times New Roman"/>
      </w:rPr>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rPr>
        <w:rFonts w:cs="Times New Roman"/>
      </w:rPr>
      <w:tblPr/>
      <w:tcPr>
        <w:tcBorders>
          <w:top w:val="nil"/>
          <w:left w:val="nil"/>
          <w:bottom w:val="nil"/>
          <w:right w:val="nil"/>
          <w:insideH w:val="nil"/>
          <w:insideV w:val="nil"/>
        </w:tcBorders>
        <w:shd w:val="clear" w:color="auto" w:fill="76923C" w:themeFill="accent3" w:themeFillShade="BF"/>
      </w:tcPr>
    </w:tblStylePr>
    <w:tblStylePr w:type="band1Horz">
      <w:rPr>
        <w:rFonts w:cs="Times New Roman"/>
      </w:rPr>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rPr>
        <w:rFonts w:cs="Times New Roman"/>
      </w:rPr>
      <w:tblPr/>
      <w:tcPr>
        <w:tcBorders>
          <w:top w:val="nil"/>
          <w:left w:val="nil"/>
          <w:bottom w:val="nil"/>
          <w:right w:val="nil"/>
          <w:insideH w:val="nil"/>
          <w:insideV w:val="nil"/>
        </w:tcBorders>
        <w:shd w:val="clear" w:color="auto" w:fill="5F497A" w:themeFill="accent4" w:themeFillShade="BF"/>
      </w:tcPr>
    </w:tblStylePr>
    <w:tblStylePr w:type="band1Horz">
      <w:rPr>
        <w:rFonts w:cs="Times New Roman"/>
      </w:rPr>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rPr>
        <w:rFonts w:cs="Times New Roman"/>
      </w:rPr>
      <w:tblPr/>
      <w:tcPr>
        <w:tcBorders>
          <w:top w:val="nil"/>
          <w:left w:val="nil"/>
          <w:bottom w:val="nil"/>
          <w:right w:val="nil"/>
          <w:insideH w:val="nil"/>
          <w:insideV w:val="nil"/>
        </w:tcBorders>
        <w:shd w:val="clear" w:color="auto" w:fill="31849B" w:themeFill="accent5" w:themeFillShade="BF"/>
      </w:tcPr>
    </w:tblStylePr>
    <w:tblStylePr w:type="band1Horz">
      <w:rPr>
        <w:rFonts w:cs="Times New Roman"/>
      </w:rPr>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rPr>
        <w:rFonts w:cs="Times New Roman"/>
      </w:rPr>
      <w:tblPr/>
      <w:tcPr>
        <w:tcBorders>
          <w:top w:val="nil"/>
          <w:left w:val="nil"/>
          <w:bottom w:val="nil"/>
          <w:right w:val="nil"/>
          <w:insideH w:val="nil"/>
          <w:insideV w:val="nil"/>
        </w:tcBorders>
        <w:shd w:val="clear" w:color="auto" w:fill="E36C0A" w:themeFill="accent6" w:themeFillShade="BF"/>
      </w:tcPr>
    </w:tblStylePr>
    <w:tblStylePr w:type="band1Horz">
      <w:rPr>
        <w:rFonts w:cs="Times New Roman"/>
      </w:rPr>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eastAsia="x-none"/>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eastAsia="x-none"/>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eastAsia="x-none"/>
    </w:rPr>
  </w:style>
  <w:style w:type="character" w:styleId="Emphasis">
    <w:name w:val="Emphasis"/>
    <w:basedOn w:val="DefaultParagraphFont"/>
    <w:uiPriority w:val="20"/>
    <w:qFormat/>
    <w:rsid w:val="00A111D1"/>
    <w:rPr>
      <w:rFonts w:cs="Times New Roman"/>
      <w:i/>
      <w:iCs/>
      <w:lang w:val="en-GB" w:eastAsia="x-none"/>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rFonts w:cs="Times New Roman"/>
        <w:b/>
        <w:bCs/>
      </w:rPr>
      <w:tblPr/>
      <w:tcPr>
        <w:tcBorders>
          <w:bottom w:val="single" w:sz="12" w:space="0" w:color="D99594" w:themeColor="accent2" w:themeTint="99"/>
        </w:tcBorders>
      </w:tcPr>
    </w:tblStylePr>
    <w:tblStylePr w:type="lastRow">
      <w:rPr>
        <w:rFonts w:cs="Times New Roman"/>
        <w:b/>
        <w:bCs/>
      </w:rPr>
      <w:tblPr/>
      <w:tcPr>
        <w:tcBorders>
          <w:top w:val="double" w:sz="2" w:space="0" w:color="D99594" w:themeColor="accent2" w:themeTint="99"/>
        </w:tcBorders>
      </w:tcPr>
    </w:tblStylePr>
    <w:tblStylePr w:type="firstCol">
      <w:rPr>
        <w:rFonts w:cs="Times New Roman"/>
        <w:b/>
        <w:bCs/>
      </w:rPr>
    </w:tblStylePr>
    <w:tblStylePr w:type="lastCol">
      <w:rPr>
        <w:rFonts w:cs="Times New Roman"/>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rFonts w:cs="Times New Roman"/>
        <w:b/>
        <w:bCs/>
      </w:rPr>
      <w:tblPr/>
      <w:tcPr>
        <w:tcBorders>
          <w:bottom w:val="single" w:sz="12" w:space="0" w:color="C2D69B" w:themeColor="accent3" w:themeTint="99"/>
        </w:tcBorders>
      </w:tcPr>
    </w:tblStylePr>
    <w:tblStylePr w:type="lastRow">
      <w:rPr>
        <w:rFonts w:cs="Times New Roman"/>
        <w:b/>
        <w:bCs/>
      </w:rPr>
      <w:tblPr/>
      <w:tcPr>
        <w:tcBorders>
          <w:top w:val="double" w:sz="2" w:space="0" w:color="C2D69B" w:themeColor="accent3" w:themeTint="99"/>
        </w:tcBorders>
      </w:tcPr>
    </w:tblStylePr>
    <w:tblStylePr w:type="firstCol">
      <w:rPr>
        <w:rFonts w:cs="Times New Roman"/>
        <w:b/>
        <w:bCs/>
      </w:rPr>
    </w:tblStylePr>
    <w:tblStylePr w:type="lastCol">
      <w:rPr>
        <w:rFonts w:cs="Times New Roman"/>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rFonts w:cs="Times New Roman"/>
        <w:b/>
        <w:bCs/>
      </w:rPr>
      <w:tblPr/>
      <w:tcPr>
        <w:tcBorders>
          <w:bottom w:val="single" w:sz="12" w:space="0" w:color="B2A1C7" w:themeColor="accent4" w:themeTint="99"/>
        </w:tcBorders>
      </w:tcPr>
    </w:tblStylePr>
    <w:tblStylePr w:type="lastRow">
      <w:rPr>
        <w:rFonts w:cs="Times New Roman"/>
        <w:b/>
        <w:bCs/>
      </w:rPr>
      <w:tblPr/>
      <w:tcPr>
        <w:tcBorders>
          <w:top w:val="double" w:sz="2" w:space="0" w:color="B2A1C7" w:themeColor="accent4" w:themeTint="99"/>
        </w:tcBorders>
      </w:tcPr>
    </w:tblStylePr>
    <w:tblStylePr w:type="firstCol">
      <w:rPr>
        <w:rFonts w:cs="Times New Roman"/>
        <w:b/>
        <w:bCs/>
      </w:rPr>
    </w:tblStylePr>
    <w:tblStylePr w:type="lastCol">
      <w:rPr>
        <w:rFonts w:cs="Times New Roman"/>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rFonts w:cs="Times New Roman"/>
        <w:b/>
        <w:bCs/>
      </w:rPr>
      <w:tblPr/>
      <w:tcPr>
        <w:tcBorders>
          <w:bottom w:val="single" w:sz="12" w:space="0" w:color="92CDDC" w:themeColor="accent5" w:themeTint="99"/>
        </w:tcBorders>
      </w:tcPr>
    </w:tblStylePr>
    <w:tblStylePr w:type="lastRow">
      <w:rPr>
        <w:rFonts w:cs="Times New Roman"/>
        <w:b/>
        <w:bCs/>
      </w:rPr>
      <w:tblPr/>
      <w:tcPr>
        <w:tcBorders>
          <w:top w:val="double" w:sz="2" w:space="0" w:color="92CDDC" w:themeColor="accent5" w:themeTint="99"/>
        </w:tcBorders>
      </w:tcPr>
    </w:tblStylePr>
    <w:tblStylePr w:type="firstCol">
      <w:rPr>
        <w:rFonts w:cs="Times New Roman"/>
        <w:b/>
        <w:bCs/>
      </w:rPr>
    </w:tblStylePr>
    <w:tblStylePr w:type="lastCol">
      <w:rPr>
        <w:rFonts w:cs="Times New Roman"/>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rFonts w:cs="Times New Roman"/>
        <w:b/>
        <w:bCs/>
      </w:rPr>
      <w:tblPr/>
      <w:tcPr>
        <w:tcBorders>
          <w:bottom w:val="single" w:sz="12" w:space="0" w:color="FABF8F" w:themeColor="accent6" w:themeTint="99"/>
        </w:tcBorders>
      </w:tcPr>
    </w:tblStylePr>
    <w:tblStylePr w:type="lastRow">
      <w:rPr>
        <w:rFonts w:cs="Times New Roman"/>
        <w:b/>
        <w:bCs/>
      </w:rPr>
      <w:tblPr/>
      <w:tcPr>
        <w:tcBorders>
          <w:top w:val="double" w:sz="2" w:space="0" w:color="FABF8F" w:themeColor="accent6" w:themeTint="99"/>
        </w:tcBorders>
      </w:tcPr>
    </w:tblStylePr>
    <w:tblStylePr w:type="firstCol">
      <w:rPr>
        <w:rFonts w:cs="Times New Roman"/>
        <w:b/>
        <w:bCs/>
      </w:rPr>
    </w:tblStylePr>
    <w:tblStylePr w:type="lastCol">
      <w:rPr>
        <w:rFonts w:cs="Times New Roman"/>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rFonts w:cs="Times New Roman"/>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rFonts w:cs="Times New Roman"/>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rFonts w:cs="Times New Roman"/>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rFonts w:cs="Times New Roman"/>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rFonts w:cs="Times New Roman"/>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rFonts w:cs="Times New Roman"/>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rFonts w:cs="Times New Roman"/>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rFonts w:cs="Times New Roman"/>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rFonts w:cs="Times New Roman"/>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rFonts w:cs="Times New Roman"/>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rFonts w:cs="Times New Roman"/>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rFonts w:cs="Times New Roman"/>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rFonts w:cs="Times New Roman"/>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rFonts w:cs="Times New Roman"/>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bottom w:val="single" w:sz="4" w:space="0" w:color="95B3D7" w:themeColor="accent1" w:themeTint="99"/>
        </w:tcBorders>
      </w:tcPr>
    </w:tblStylePr>
    <w:tblStylePr w:type="nwCell">
      <w:rPr>
        <w:rFonts w:cs="Times New Roman"/>
      </w:rPr>
      <w:tblPr/>
      <w:tcPr>
        <w:tcBorders>
          <w:bottom w:val="single" w:sz="4" w:space="0" w:color="95B3D7" w:themeColor="accent1" w:themeTint="99"/>
        </w:tcBorders>
      </w:tcPr>
    </w:tblStylePr>
    <w:tblStylePr w:type="seCell">
      <w:rPr>
        <w:rFonts w:cs="Times New Roman"/>
      </w:rPr>
      <w:tblPr/>
      <w:tcPr>
        <w:tcBorders>
          <w:top w:val="single" w:sz="4" w:space="0" w:color="95B3D7" w:themeColor="accent1" w:themeTint="99"/>
        </w:tcBorders>
      </w:tcPr>
    </w:tblStylePr>
    <w:tblStylePr w:type="swCell">
      <w:rPr>
        <w:rFonts w:cs="Times New Roman"/>
      </w:rPr>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bottom w:val="single" w:sz="4" w:space="0" w:color="D99594" w:themeColor="accent2" w:themeTint="99"/>
        </w:tcBorders>
      </w:tcPr>
    </w:tblStylePr>
    <w:tblStylePr w:type="nwCell">
      <w:rPr>
        <w:rFonts w:cs="Times New Roman"/>
      </w:rPr>
      <w:tblPr/>
      <w:tcPr>
        <w:tcBorders>
          <w:bottom w:val="single" w:sz="4" w:space="0" w:color="D99594" w:themeColor="accent2" w:themeTint="99"/>
        </w:tcBorders>
      </w:tcPr>
    </w:tblStylePr>
    <w:tblStylePr w:type="seCell">
      <w:rPr>
        <w:rFonts w:cs="Times New Roman"/>
      </w:rPr>
      <w:tblPr/>
      <w:tcPr>
        <w:tcBorders>
          <w:top w:val="single" w:sz="4" w:space="0" w:color="D99594" w:themeColor="accent2" w:themeTint="99"/>
        </w:tcBorders>
      </w:tcPr>
    </w:tblStylePr>
    <w:tblStylePr w:type="swCell">
      <w:rPr>
        <w:rFonts w:cs="Times New Roman"/>
      </w:rPr>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bottom w:val="single" w:sz="4" w:space="0" w:color="C2D69B" w:themeColor="accent3" w:themeTint="99"/>
        </w:tcBorders>
      </w:tcPr>
    </w:tblStylePr>
    <w:tblStylePr w:type="nwCell">
      <w:rPr>
        <w:rFonts w:cs="Times New Roman"/>
      </w:rPr>
      <w:tblPr/>
      <w:tcPr>
        <w:tcBorders>
          <w:bottom w:val="single" w:sz="4" w:space="0" w:color="C2D69B" w:themeColor="accent3" w:themeTint="99"/>
        </w:tcBorders>
      </w:tcPr>
    </w:tblStylePr>
    <w:tblStylePr w:type="seCell">
      <w:rPr>
        <w:rFonts w:cs="Times New Roman"/>
      </w:rPr>
      <w:tblPr/>
      <w:tcPr>
        <w:tcBorders>
          <w:top w:val="single" w:sz="4" w:space="0" w:color="C2D69B" w:themeColor="accent3" w:themeTint="99"/>
        </w:tcBorders>
      </w:tcPr>
    </w:tblStylePr>
    <w:tblStylePr w:type="swCell">
      <w:rPr>
        <w:rFonts w:cs="Times New Roman"/>
      </w:rPr>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bottom w:val="single" w:sz="4" w:space="0" w:color="B2A1C7" w:themeColor="accent4" w:themeTint="99"/>
        </w:tcBorders>
      </w:tcPr>
    </w:tblStylePr>
    <w:tblStylePr w:type="nwCell">
      <w:rPr>
        <w:rFonts w:cs="Times New Roman"/>
      </w:rPr>
      <w:tblPr/>
      <w:tcPr>
        <w:tcBorders>
          <w:bottom w:val="single" w:sz="4" w:space="0" w:color="B2A1C7" w:themeColor="accent4" w:themeTint="99"/>
        </w:tcBorders>
      </w:tcPr>
    </w:tblStylePr>
    <w:tblStylePr w:type="seCell">
      <w:rPr>
        <w:rFonts w:cs="Times New Roman"/>
      </w:rPr>
      <w:tblPr/>
      <w:tcPr>
        <w:tcBorders>
          <w:top w:val="single" w:sz="4" w:space="0" w:color="B2A1C7" w:themeColor="accent4" w:themeTint="99"/>
        </w:tcBorders>
      </w:tcPr>
    </w:tblStylePr>
    <w:tblStylePr w:type="swCell">
      <w:rPr>
        <w:rFonts w:cs="Times New Roman"/>
      </w:rPr>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bottom w:val="single" w:sz="4" w:space="0" w:color="92CDDC" w:themeColor="accent5" w:themeTint="99"/>
        </w:tcBorders>
      </w:tcPr>
    </w:tblStylePr>
    <w:tblStylePr w:type="nwCell">
      <w:rPr>
        <w:rFonts w:cs="Times New Roman"/>
      </w:rPr>
      <w:tblPr/>
      <w:tcPr>
        <w:tcBorders>
          <w:bottom w:val="single" w:sz="4" w:space="0" w:color="92CDDC" w:themeColor="accent5" w:themeTint="99"/>
        </w:tcBorders>
      </w:tcPr>
    </w:tblStylePr>
    <w:tblStylePr w:type="seCell">
      <w:rPr>
        <w:rFonts w:cs="Times New Roman"/>
      </w:rPr>
      <w:tblPr/>
      <w:tcPr>
        <w:tcBorders>
          <w:top w:val="single" w:sz="4" w:space="0" w:color="92CDDC" w:themeColor="accent5" w:themeTint="99"/>
        </w:tcBorders>
      </w:tcPr>
    </w:tblStylePr>
    <w:tblStylePr w:type="swCell">
      <w:rPr>
        <w:rFonts w:cs="Times New Roman"/>
      </w:rPr>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bottom w:val="single" w:sz="4" w:space="0" w:color="FABF8F" w:themeColor="accent6" w:themeTint="99"/>
        </w:tcBorders>
      </w:tcPr>
    </w:tblStylePr>
    <w:tblStylePr w:type="nwCell">
      <w:rPr>
        <w:rFonts w:cs="Times New Roman"/>
      </w:rPr>
      <w:tblPr/>
      <w:tcPr>
        <w:tcBorders>
          <w:bottom w:val="single" w:sz="4" w:space="0" w:color="FABF8F" w:themeColor="accent6" w:themeTint="99"/>
        </w:tcBorders>
      </w:tcPr>
    </w:tblStylePr>
    <w:tblStylePr w:type="seCell">
      <w:rPr>
        <w:rFonts w:cs="Times New Roman"/>
      </w:rPr>
      <w:tblPr/>
      <w:tcPr>
        <w:tcBorders>
          <w:top w:val="single" w:sz="4" w:space="0" w:color="FABF8F" w:themeColor="accent6" w:themeTint="99"/>
        </w:tcBorders>
      </w:tcPr>
    </w:tblStylePr>
    <w:tblStylePr w:type="swCell">
      <w:rPr>
        <w:rFonts w:cs="Times New Roman"/>
      </w:rPr>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rFonts w:cs="Times New Roman"/>
        <w:b/>
        <w:bCs/>
      </w:rPr>
      <w:tblPr/>
      <w:tcPr>
        <w:tcBorders>
          <w:top w:val="double" w:sz="4"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rFonts w:cs="Times New Roman"/>
        <w:b/>
        <w:bCs/>
      </w:rPr>
      <w:tblPr/>
      <w:tcPr>
        <w:tcBorders>
          <w:top w:val="double" w:sz="4"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rPr>
        <w:rFonts w:cs="Times New Roman"/>
      </w:rPr>
      <w:tblPr/>
      <w:tcPr>
        <w:shd w:val="clear" w:color="auto" w:fill="B8CCE4" w:themeFill="accent1" w:themeFillTint="66"/>
      </w:tcPr>
    </w:tblStylePr>
    <w:tblStylePr w:type="band1Horz">
      <w:rPr>
        <w:rFonts w:cs="Times New Roman"/>
      </w:rPr>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rPr>
        <w:rFonts w:cs="Times New Roman"/>
      </w:rPr>
      <w:tblPr/>
      <w:tcPr>
        <w:shd w:val="clear" w:color="auto" w:fill="E5B8B7" w:themeFill="accent2" w:themeFillTint="66"/>
      </w:tcPr>
    </w:tblStylePr>
    <w:tblStylePr w:type="band1Horz">
      <w:rPr>
        <w:rFonts w:cs="Times New Roman"/>
      </w:rPr>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rPr>
        <w:rFonts w:cs="Times New Roman"/>
      </w:rPr>
      <w:tblPr/>
      <w:tcPr>
        <w:shd w:val="clear" w:color="auto" w:fill="D6E3BC" w:themeFill="accent3" w:themeFillTint="66"/>
      </w:tcPr>
    </w:tblStylePr>
    <w:tblStylePr w:type="band1Horz">
      <w:rPr>
        <w:rFonts w:cs="Times New Roman"/>
      </w:rPr>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rPr>
        <w:rFonts w:cs="Times New Roman"/>
      </w:rPr>
      <w:tblPr/>
      <w:tcPr>
        <w:shd w:val="clear" w:color="auto" w:fill="CCC0D9" w:themeFill="accent4" w:themeFillTint="66"/>
      </w:tcPr>
    </w:tblStylePr>
    <w:tblStylePr w:type="band1Horz">
      <w:rPr>
        <w:rFonts w:cs="Times New Roman"/>
      </w:rPr>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rPr>
        <w:rFonts w:cs="Times New Roman"/>
      </w:rPr>
      <w:tblPr/>
      <w:tcPr>
        <w:shd w:val="clear" w:color="auto" w:fill="B6DDE8" w:themeFill="accent5" w:themeFillTint="66"/>
      </w:tcPr>
    </w:tblStylePr>
    <w:tblStylePr w:type="band1Horz">
      <w:rPr>
        <w:rFonts w:cs="Times New Roman"/>
      </w:rPr>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rPr>
        <w:rFonts w:cs="Times New Roman"/>
      </w:rPr>
      <w:tblPr/>
      <w:tcPr>
        <w:shd w:val="clear" w:color="auto" w:fill="FBD4B4" w:themeFill="accent6" w:themeFillTint="66"/>
      </w:tcPr>
    </w:tblStylePr>
    <w:tblStylePr w:type="band1Horz">
      <w:rPr>
        <w:rFonts w:cs="Times New Roman"/>
      </w:rPr>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bottom w:val="single" w:sz="12" w:space="0" w:color="D99594" w:themeColor="accent2" w:themeTint="99"/>
        </w:tcBorders>
      </w:tcPr>
    </w:tblStylePr>
    <w:tblStylePr w:type="lastRow">
      <w:rPr>
        <w:rFonts w:cs="Times New Roman"/>
        <w:b/>
        <w:bCs/>
      </w:rPr>
      <w:tblPr/>
      <w:tcPr>
        <w:tcBorders>
          <w:top w:val="doub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bottom w:val="single" w:sz="12" w:space="0" w:color="C2D69B" w:themeColor="accent3" w:themeTint="99"/>
        </w:tcBorders>
      </w:tcPr>
    </w:tblStylePr>
    <w:tblStylePr w:type="lastRow">
      <w:rPr>
        <w:rFonts w:cs="Times New Roman"/>
        <w:b/>
        <w:bCs/>
      </w:rPr>
      <w:tblPr/>
      <w:tcPr>
        <w:tcBorders>
          <w:top w:val="doub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bottom w:val="single" w:sz="12" w:space="0" w:color="B2A1C7" w:themeColor="accent4" w:themeTint="99"/>
        </w:tcBorders>
      </w:tcPr>
    </w:tblStylePr>
    <w:tblStylePr w:type="lastRow">
      <w:rPr>
        <w:rFonts w:cs="Times New Roman"/>
        <w:b/>
        <w:bCs/>
      </w:rPr>
      <w:tblPr/>
      <w:tcPr>
        <w:tcBorders>
          <w:top w:val="doub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bottom w:val="single" w:sz="12" w:space="0" w:color="92CDDC" w:themeColor="accent5" w:themeTint="99"/>
        </w:tcBorders>
      </w:tcPr>
    </w:tblStylePr>
    <w:tblStylePr w:type="lastRow">
      <w:rPr>
        <w:rFonts w:cs="Times New Roman"/>
        <w:b/>
        <w:bCs/>
      </w:rPr>
      <w:tblPr/>
      <w:tcPr>
        <w:tcBorders>
          <w:top w:val="doub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bottom w:val="single" w:sz="12" w:space="0" w:color="FABF8F" w:themeColor="accent6" w:themeTint="99"/>
        </w:tcBorders>
      </w:tcPr>
    </w:tblStylePr>
    <w:tblStylePr w:type="lastRow">
      <w:rPr>
        <w:rFonts w:cs="Times New Roman"/>
        <w:b/>
        <w:bCs/>
      </w:rPr>
      <w:tblPr/>
      <w:tcPr>
        <w:tcBorders>
          <w:top w:val="doub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bottom w:val="single" w:sz="4" w:space="0" w:color="95B3D7" w:themeColor="accent1" w:themeTint="99"/>
        </w:tcBorders>
      </w:tcPr>
    </w:tblStylePr>
    <w:tblStylePr w:type="nwCell">
      <w:rPr>
        <w:rFonts w:cs="Times New Roman"/>
      </w:rPr>
      <w:tblPr/>
      <w:tcPr>
        <w:tcBorders>
          <w:bottom w:val="single" w:sz="4" w:space="0" w:color="95B3D7" w:themeColor="accent1" w:themeTint="99"/>
        </w:tcBorders>
      </w:tcPr>
    </w:tblStylePr>
    <w:tblStylePr w:type="seCell">
      <w:rPr>
        <w:rFonts w:cs="Times New Roman"/>
      </w:rPr>
      <w:tblPr/>
      <w:tcPr>
        <w:tcBorders>
          <w:top w:val="single" w:sz="4" w:space="0" w:color="95B3D7" w:themeColor="accent1" w:themeTint="99"/>
        </w:tcBorders>
      </w:tcPr>
    </w:tblStylePr>
    <w:tblStylePr w:type="swCell">
      <w:rPr>
        <w:rFonts w:cs="Times New Roman"/>
      </w:rPr>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bottom w:val="single" w:sz="4" w:space="0" w:color="D99594" w:themeColor="accent2" w:themeTint="99"/>
        </w:tcBorders>
      </w:tcPr>
    </w:tblStylePr>
    <w:tblStylePr w:type="nwCell">
      <w:rPr>
        <w:rFonts w:cs="Times New Roman"/>
      </w:rPr>
      <w:tblPr/>
      <w:tcPr>
        <w:tcBorders>
          <w:bottom w:val="single" w:sz="4" w:space="0" w:color="D99594" w:themeColor="accent2" w:themeTint="99"/>
        </w:tcBorders>
      </w:tcPr>
    </w:tblStylePr>
    <w:tblStylePr w:type="seCell">
      <w:rPr>
        <w:rFonts w:cs="Times New Roman"/>
      </w:rPr>
      <w:tblPr/>
      <w:tcPr>
        <w:tcBorders>
          <w:top w:val="single" w:sz="4" w:space="0" w:color="D99594" w:themeColor="accent2" w:themeTint="99"/>
        </w:tcBorders>
      </w:tcPr>
    </w:tblStylePr>
    <w:tblStylePr w:type="swCell">
      <w:rPr>
        <w:rFonts w:cs="Times New Roman"/>
      </w:rPr>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bottom w:val="single" w:sz="4" w:space="0" w:color="C2D69B" w:themeColor="accent3" w:themeTint="99"/>
        </w:tcBorders>
      </w:tcPr>
    </w:tblStylePr>
    <w:tblStylePr w:type="nwCell">
      <w:rPr>
        <w:rFonts w:cs="Times New Roman"/>
      </w:rPr>
      <w:tblPr/>
      <w:tcPr>
        <w:tcBorders>
          <w:bottom w:val="single" w:sz="4" w:space="0" w:color="C2D69B" w:themeColor="accent3" w:themeTint="99"/>
        </w:tcBorders>
      </w:tcPr>
    </w:tblStylePr>
    <w:tblStylePr w:type="seCell">
      <w:rPr>
        <w:rFonts w:cs="Times New Roman"/>
      </w:rPr>
      <w:tblPr/>
      <w:tcPr>
        <w:tcBorders>
          <w:top w:val="single" w:sz="4" w:space="0" w:color="C2D69B" w:themeColor="accent3" w:themeTint="99"/>
        </w:tcBorders>
      </w:tcPr>
    </w:tblStylePr>
    <w:tblStylePr w:type="swCell">
      <w:rPr>
        <w:rFonts w:cs="Times New Roman"/>
      </w:rPr>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bottom w:val="single" w:sz="4" w:space="0" w:color="B2A1C7" w:themeColor="accent4" w:themeTint="99"/>
        </w:tcBorders>
      </w:tcPr>
    </w:tblStylePr>
    <w:tblStylePr w:type="nwCell">
      <w:rPr>
        <w:rFonts w:cs="Times New Roman"/>
      </w:rPr>
      <w:tblPr/>
      <w:tcPr>
        <w:tcBorders>
          <w:bottom w:val="single" w:sz="4" w:space="0" w:color="B2A1C7" w:themeColor="accent4" w:themeTint="99"/>
        </w:tcBorders>
      </w:tcPr>
    </w:tblStylePr>
    <w:tblStylePr w:type="seCell">
      <w:rPr>
        <w:rFonts w:cs="Times New Roman"/>
      </w:rPr>
      <w:tblPr/>
      <w:tcPr>
        <w:tcBorders>
          <w:top w:val="single" w:sz="4" w:space="0" w:color="B2A1C7" w:themeColor="accent4" w:themeTint="99"/>
        </w:tcBorders>
      </w:tcPr>
    </w:tblStylePr>
    <w:tblStylePr w:type="swCell">
      <w:rPr>
        <w:rFonts w:cs="Times New Roman"/>
      </w:rPr>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bottom w:val="single" w:sz="4" w:space="0" w:color="92CDDC" w:themeColor="accent5" w:themeTint="99"/>
        </w:tcBorders>
      </w:tcPr>
    </w:tblStylePr>
    <w:tblStylePr w:type="nwCell">
      <w:rPr>
        <w:rFonts w:cs="Times New Roman"/>
      </w:rPr>
      <w:tblPr/>
      <w:tcPr>
        <w:tcBorders>
          <w:bottom w:val="single" w:sz="4" w:space="0" w:color="92CDDC" w:themeColor="accent5" w:themeTint="99"/>
        </w:tcBorders>
      </w:tcPr>
    </w:tblStylePr>
    <w:tblStylePr w:type="seCell">
      <w:rPr>
        <w:rFonts w:cs="Times New Roman"/>
      </w:rPr>
      <w:tblPr/>
      <w:tcPr>
        <w:tcBorders>
          <w:top w:val="single" w:sz="4" w:space="0" w:color="92CDDC" w:themeColor="accent5" w:themeTint="99"/>
        </w:tcBorders>
      </w:tcPr>
    </w:tblStylePr>
    <w:tblStylePr w:type="swCell">
      <w:rPr>
        <w:rFonts w:cs="Times New Roman"/>
      </w:rPr>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bottom w:val="single" w:sz="4" w:space="0" w:color="FABF8F" w:themeColor="accent6" w:themeTint="99"/>
        </w:tcBorders>
      </w:tcPr>
    </w:tblStylePr>
    <w:tblStylePr w:type="nwCell">
      <w:rPr>
        <w:rFonts w:cs="Times New Roman"/>
      </w:rPr>
      <w:tblPr/>
      <w:tcPr>
        <w:tcBorders>
          <w:bottom w:val="single" w:sz="4" w:space="0" w:color="FABF8F" w:themeColor="accent6" w:themeTint="99"/>
        </w:tcBorders>
      </w:tcPr>
    </w:tblStylePr>
    <w:tblStylePr w:type="seCell">
      <w:rPr>
        <w:rFonts w:cs="Times New Roman"/>
      </w:rPr>
      <w:tblPr/>
      <w:tcPr>
        <w:tcBorders>
          <w:top w:val="single" w:sz="4" w:space="0" w:color="FABF8F" w:themeColor="accent6" w:themeTint="99"/>
        </w:tcBorders>
      </w:tcPr>
    </w:tblStylePr>
    <w:tblStylePr w:type="swCell">
      <w:rPr>
        <w:rFonts w:cs="Times New Roman"/>
      </w:rPr>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rFonts w:cs="Times New Roman"/>
      <w:color w:val="2B579A"/>
      <w:shd w:val="clear" w:color="auto" w:fill="E1DFDD"/>
      <w:lang w:val="en-GB" w:eastAsia="x-none"/>
    </w:rPr>
  </w:style>
  <w:style w:type="character" w:styleId="HTMLAcronym">
    <w:name w:val="HTML Acronym"/>
    <w:basedOn w:val="DefaultParagraphFont"/>
    <w:uiPriority w:val="99"/>
    <w:semiHidden/>
    <w:unhideWhenUsed/>
    <w:rsid w:val="00A111D1"/>
    <w:rPr>
      <w:rFonts w:cs="Times New Roman"/>
      <w:lang w:val="en-GB" w:eastAsia="x-none"/>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eastAsia="x-none"/>
    </w:rPr>
  </w:style>
  <w:style w:type="character" w:styleId="HTMLCite">
    <w:name w:val="HTML Cite"/>
    <w:basedOn w:val="DefaultParagraphFont"/>
    <w:uiPriority w:val="99"/>
    <w:semiHidden/>
    <w:unhideWhenUsed/>
    <w:rsid w:val="00A111D1"/>
    <w:rPr>
      <w:rFonts w:cs="Times New Roman"/>
      <w:i/>
      <w:iCs/>
      <w:lang w:val="en-GB" w:eastAsia="x-none"/>
    </w:rPr>
  </w:style>
  <w:style w:type="character" w:styleId="HTMLCode">
    <w:name w:val="HTML Code"/>
    <w:basedOn w:val="DefaultParagraphFont"/>
    <w:uiPriority w:val="99"/>
    <w:semiHidden/>
    <w:unhideWhenUsed/>
    <w:rsid w:val="00A111D1"/>
    <w:rPr>
      <w:rFonts w:ascii="Consolas" w:hAnsi="Consolas" w:cs="Times New Roman"/>
      <w:sz w:val="20"/>
      <w:szCs w:val="20"/>
      <w:lang w:val="en-GB" w:eastAsia="x-none"/>
    </w:rPr>
  </w:style>
  <w:style w:type="character" w:styleId="HTMLDefinition">
    <w:name w:val="HTML Definition"/>
    <w:basedOn w:val="DefaultParagraphFont"/>
    <w:uiPriority w:val="99"/>
    <w:semiHidden/>
    <w:unhideWhenUsed/>
    <w:rsid w:val="00A111D1"/>
    <w:rPr>
      <w:rFonts w:cs="Times New Roman"/>
      <w:i/>
      <w:iCs/>
      <w:lang w:val="en-GB" w:eastAsia="x-none"/>
    </w:rPr>
  </w:style>
  <w:style w:type="character" w:styleId="HTMLKeyboard">
    <w:name w:val="HTML Keyboard"/>
    <w:basedOn w:val="DefaultParagraphFont"/>
    <w:uiPriority w:val="99"/>
    <w:semiHidden/>
    <w:unhideWhenUsed/>
    <w:rsid w:val="00A111D1"/>
    <w:rPr>
      <w:rFonts w:ascii="Consolas" w:hAnsi="Consolas" w:cs="Times New Roman"/>
      <w:sz w:val="20"/>
      <w:szCs w:val="20"/>
      <w:lang w:val="en-GB" w:eastAsia="x-none"/>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eastAsia="x-none"/>
    </w:rPr>
  </w:style>
  <w:style w:type="character" w:styleId="HTMLSample">
    <w:name w:val="HTML Sample"/>
    <w:basedOn w:val="DefaultParagraphFont"/>
    <w:uiPriority w:val="99"/>
    <w:semiHidden/>
    <w:unhideWhenUsed/>
    <w:rsid w:val="00A111D1"/>
    <w:rPr>
      <w:rFonts w:ascii="Consolas" w:hAnsi="Consolas" w:cs="Times New Roman"/>
      <w:sz w:val="24"/>
      <w:szCs w:val="24"/>
      <w:lang w:val="en-GB" w:eastAsia="x-none"/>
    </w:rPr>
  </w:style>
  <w:style w:type="character" w:styleId="HTMLTypewriter">
    <w:name w:val="HTML Typewriter"/>
    <w:basedOn w:val="DefaultParagraphFont"/>
    <w:uiPriority w:val="99"/>
    <w:semiHidden/>
    <w:unhideWhenUsed/>
    <w:rsid w:val="00A111D1"/>
    <w:rPr>
      <w:rFonts w:ascii="Consolas" w:hAnsi="Consolas" w:cs="Times New Roman"/>
      <w:sz w:val="20"/>
      <w:szCs w:val="20"/>
      <w:lang w:val="en-GB" w:eastAsia="x-none"/>
    </w:rPr>
  </w:style>
  <w:style w:type="character" w:styleId="HTMLVariable">
    <w:name w:val="HTML Variable"/>
    <w:basedOn w:val="DefaultParagraphFont"/>
    <w:uiPriority w:val="99"/>
    <w:semiHidden/>
    <w:unhideWhenUsed/>
    <w:rsid w:val="00A111D1"/>
    <w:rPr>
      <w:rFonts w:cs="Times New Roman"/>
      <w:i/>
      <w:iCs/>
      <w:lang w:val="en-GB" w:eastAsia="x-none"/>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b/>
      <w:bCs/>
    </w:rPr>
  </w:style>
  <w:style w:type="character" w:styleId="IntenseEmphasis">
    <w:name w:val="Intense Emphasis"/>
    <w:basedOn w:val="DefaultParagraphFont"/>
    <w:uiPriority w:val="21"/>
    <w:qFormat/>
    <w:rsid w:val="00A111D1"/>
    <w:rPr>
      <w:rFonts w:cs="Times New Roman"/>
      <w:i/>
      <w:iCs/>
      <w:color w:val="4F81BD" w:themeColor="accent1"/>
      <w:lang w:val="en-GB" w:eastAsia="x-none"/>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eastAsia="x-none"/>
    </w:rPr>
  </w:style>
  <w:style w:type="character" w:styleId="IntenseReference">
    <w:name w:val="Intense Reference"/>
    <w:basedOn w:val="DefaultParagraphFont"/>
    <w:uiPriority w:val="32"/>
    <w:qFormat/>
    <w:rsid w:val="00A111D1"/>
    <w:rPr>
      <w:rFonts w:cs="Times New Roman"/>
      <w:b/>
      <w:bCs/>
      <w:smallCaps/>
      <w:color w:val="4F81BD" w:themeColor="accent1"/>
      <w:spacing w:val="5"/>
      <w:lang w:val="en-GB" w:eastAsia="x-none"/>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pPr>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pPr>
      <w:rPr>
        <w:rFonts w:asciiTheme="majorHAnsi" w:eastAsiaTheme="majorEastAsia" w:hAnsiTheme="majorHAnsi"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pPr>
      <w:rPr>
        <w:rFonts w:asciiTheme="majorHAnsi" w:eastAsiaTheme="majorEastAsia" w:hAnsiTheme="majorHAnsi"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pPr>
      <w:rPr>
        <w:rFonts w:asciiTheme="majorHAnsi" w:eastAsiaTheme="majorEastAsia" w:hAnsiTheme="majorHAnsi"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pPr>
      <w:rPr>
        <w:rFonts w:asciiTheme="majorHAnsi" w:eastAsiaTheme="majorEastAsia" w:hAnsiTheme="majorHAnsi"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pPr>
      <w:rPr>
        <w:rFonts w:asciiTheme="majorHAnsi" w:eastAsiaTheme="majorEastAsia" w:hAnsiTheme="majorHAnsi"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pPr>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pPr>
      <w:rPr>
        <w:rFonts w:asciiTheme="majorHAnsi" w:eastAsiaTheme="majorEastAsia" w:hAnsiTheme="majorHAnsi"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pPr>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pPr>
      <w:rPr>
        <w:rFonts w:asciiTheme="majorHAnsi" w:eastAsiaTheme="majorEastAsia" w:hAnsiTheme="majorHAnsi"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pPr>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pPr>
      <w:rPr>
        <w:rFonts w:asciiTheme="majorHAnsi" w:eastAsiaTheme="majorEastAsia" w:hAnsiTheme="majorHAnsi"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pPr>
      <w:rPr>
        <w:rFonts w:cs="Times New Roman"/>
        <w:b/>
        <w:bCs/>
        <w:color w:val="FFFFFF" w:themeColor="background1"/>
      </w:rPr>
      <w:tblPr/>
      <w:tcPr>
        <w:shd w:val="clear" w:color="auto" w:fill="C0504D" w:themeFill="accent2"/>
      </w:tcPr>
    </w:tblStylePr>
    <w:tblStylePr w:type="lastRow">
      <w:pPr>
        <w:spacing w:before="0" w:after="0"/>
      </w:pPr>
      <w:rPr>
        <w:rFonts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pPr>
      <w:rPr>
        <w:rFonts w:cs="Times New Roman"/>
        <w:b/>
        <w:bCs/>
        <w:color w:val="FFFFFF" w:themeColor="background1"/>
      </w:rPr>
      <w:tblPr/>
      <w:tcPr>
        <w:shd w:val="clear" w:color="auto" w:fill="9BBB59" w:themeFill="accent3"/>
      </w:tcPr>
    </w:tblStylePr>
    <w:tblStylePr w:type="lastRow">
      <w:pPr>
        <w:spacing w:before="0" w:after="0"/>
      </w:pPr>
      <w:rPr>
        <w:rFonts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pPr>
      <w:rPr>
        <w:rFonts w:cs="Times New Roman"/>
        <w:b/>
        <w:bCs/>
        <w:color w:val="FFFFFF" w:themeColor="background1"/>
      </w:rPr>
      <w:tblPr/>
      <w:tcPr>
        <w:shd w:val="clear" w:color="auto" w:fill="8064A2" w:themeFill="accent4"/>
      </w:tcPr>
    </w:tblStylePr>
    <w:tblStylePr w:type="lastRow">
      <w:pPr>
        <w:spacing w:before="0" w:after="0"/>
      </w:pPr>
      <w:rPr>
        <w:rFonts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pPr>
      <w:rPr>
        <w:rFonts w:cs="Times New Roman"/>
        <w:b/>
        <w:bCs/>
        <w:color w:val="FFFFFF" w:themeColor="background1"/>
      </w:rPr>
      <w:tblPr/>
      <w:tcPr>
        <w:shd w:val="clear" w:color="auto" w:fill="4BACC6" w:themeFill="accent5"/>
      </w:tcPr>
    </w:tblStylePr>
    <w:tblStylePr w:type="lastRow">
      <w:pPr>
        <w:spacing w:before="0" w:after="0"/>
      </w:pPr>
      <w:rPr>
        <w:rFonts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pPr>
      <w:rPr>
        <w:rFonts w:cs="Times New Roman"/>
        <w:b/>
        <w:bCs/>
        <w:color w:val="FFFFFF" w:themeColor="background1"/>
      </w:rPr>
      <w:tblPr/>
      <w:tcPr>
        <w:shd w:val="clear" w:color="auto" w:fill="F79646" w:themeFill="accent6"/>
      </w:tcPr>
    </w:tblStylePr>
    <w:tblStylePr w:type="lastRow">
      <w:pPr>
        <w:spacing w:before="0" w:after="0"/>
      </w:pPr>
      <w:rPr>
        <w:rFonts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pPr>
      <w:rPr>
        <w:rFonts w:cs="Times New Roman"/>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pPr>
      <w:rPr>
        <w:rFonts w:cs="Times New Roman"/>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pPr>
      <w:rPr>
        <w:rFonts w:cs="Times New Roman"/>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pPr>
      <w:rPr>
        <w:rFonts w:cs="Times New Roman"/>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pPr>
      <w:rPr>
        <w:rFonts w:cs="Times New Roman"/>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pPr>
      <w:rPr>
        <w:rFonts w:cs="Times New Roman"/>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pPr>
      <w:rPr>
        <w:rFonts w:cs="Times New Roman"/>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pPr>
      <w:rPr>
        <w:rFonts w:cs="Times New Roman"/>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rFonts w:cs="Times New Roman"/>
      <w:lang w:val="en-GB" w:eastAsia="x-none"/>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rFonts w:cs="Times New Roman"/>
        <w:b/>
        <w:bCs/>
      </w:rPr>
      <w:tblPr/>
      <w:tcPr>
        <w:tcBorders>
          <w:bottom w:val="single" w:sz="4" w:space="0" w:color="666666" w:themeColor="text1" w:themeTint="99"/>
        </w:tcBorders>
      </w:tcPr>
    </w:tblStylePr>
    <w:tblStylePr w:type="lastRow">
      <w:rPr>
        <w:rFonts w:cs="Times New Roman"/>
        <w:b/>
        <w:bCs/>
      </w:rPr>
      <w:tblPr/>
      <w:tcPr>
        <w:tcBorders>
          <w:top w:val="sing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rFonts w:cs="Times New Roman"/>
        <w:b/>
        <w:bCs/>
      </w:rPr>
      <w:tblPr/>
      <w:tcPr>
        <w:tcBorders>
          <w:bottom w:val="single" w:sz="4" w:space="0" w:color="95B3D7" w:themeColor="accent1" w:themeTint="99"/>
        </w:tcBorders>
      </w:tcPr>
    </w:tblStylePr>
    <w:tblStylePr w:type="lastRow">
      <w:rPr>
        <w:rFonts w:cs="Times New Roman"/>
        <w:b/>
        <w:bCs/>
      </w:rPr>
      <w:tblPr/>
      <w:tcPr>
        <w:tcBorders>
          <w:top w:val="sing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rFonts w:cs="Times New Roman"/>
        <w:b/>
        <w:bCs/>
      </w:rPr>
      <w:tblPr/>
      <w:tcPr>
        <w:tcBorders>
          <w:bottom w:val="single" w:sz="4" w:space="0" w:color="D99594" w:themeColor="accent2" w:themeTint="99"/>
        </w:tcBorders>
      </w:tcPr>
    </w:tblStylePr>
    <w:tblStylePr w:type="lastRow">
      <w:rPr>
        <w:rFonts w:cs="Times New Roman"/>
        <w:b/>
        <w:bCs/>
      </w:rPr>
      <w:tblPr/>
      <w:tcPr>
        <w:tcBorders>
          <w:top w:val="sing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rFonts w:cs="Times New Roman"/>
        <w:b/>
        <w:bCs/>
      </w:rPr>
      <w:tblPr/>
      <w:tcPr>
        <w:tcBorders>
          <w:bottom w:val="single" w:sz="4" w:space="0" w:color="C2D69B" w:themeColor="accent3" w:themeTint="99"/>
        </w:tcBorders>
      </w:tcPr>
    </w:tblStylePr>
    <w:tblStylePr w:type="lastRow">
      <w:rPr>
        <w:rFonts w:cs="Times New Roman"/>
        <w:b/>
        <w:bCs/>
      </w:rPr>
      <w:tblPr/>
      <w:tcPr>
        <w:tcBorders>
          <w:top w:val="sing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rFonts w:cs="Times New Roman"/>
        <w:b/>
        <w:bCs/>
      </w:rPr>
      <w:tblPr/>
      <w:tcPr>
        <w:tcBorders>
          <w:bottom w:val="single" w:sz="4" w:space="0" w:color="B2A1C7" w:themeColor="accent4" w:themeTint="99"/>
        </w:tcBorders>
      </w:tcPr>
    </w:tblStylePr>
    <w:tblStylePr w:type="lastRow">
      <w:rPr>
        <w:rFonts w:cs="Times New Roman"/>
        <w:b/>
        <w:bCs/>
      </w:rPr>
      <w:tblPr/>
      <w:tcPr>
        <w:tcBorders>
          <w:top w:val="sing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rFonts w:cs="Times New Roman"/>
        <w:b/>
        <w:bCs/>
      </w:rPr>
      <w:tblPr/>
      <w:tcPr>
        <w:tcBorders>
          <w:bottom w:val="single" w:sz="4" w:space="0" w:color="92CDDC" w:themeColor="accent5" w:themeTint="99"/>
        </w:tcBorders>
      </w:tcPr>
    </w:tblStylePr>
    <w:tblStylePr w:type="lastRow">
      <w:rPr>
        <w:rFonts w:cs="Times New Roman"/>
        <w:b/>
        <w:bCs/>
      </w:rPr>
      <w:tblPr/>
      <w:tcPr>
        <w:tcBorders>
          <w:top w:val="sing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rFonts w:cs="Times New Roman"/>
        <w:b/>
        <w:bCs/>
      </w:rPr>
      <w:tblPr/>
      <w:tcPr>
        <w:tcBorders>
          <w:bottom w:val="single" w:sz="4" w:space="0" w:color="FABF8F" w:themeColor="accent6" w:themeTint="99"/>
        </w:tcBorders>
      </w:tcPr>
    </w:tblStylePr>
    <w:tblStylePr w:type="lastRow">
      <w:rPr>
        <w:rFonts w:cs="Times New Roman"/>
        <w:b/>
        <w:bCs/>
      </w:rPr>
      <w:tblPr/>
      <w:tcPr>
        <w:tcBorders>
          <w:top w:val="sing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cs="Times New Roman"/>
        <w:b/>
        <w:bCs/>
        <w:color w:val="FFFFFF" w:themeColor="background1"/>
      </w:rPr>
      <w:tblPr/>
      <w:tcPr>
        <w:shd w:val="clear" w:color="auto" w:fill="000000" w:themeFill="text1"/>
      </w:tcPr>
    </w:tblStylePr>
    <w:tblStylePr w:type="lastRow">
      <w:rPr>
        <w:rFonts w:cs="Times New Roman"/>
        <w:b/>
        <w:bCs/>
      </w:rPr>
      <w:tblPr/>
      <w:tcPr>
        <w:tcBorders>
          <w:top w:val="double" w:sz="4" w:space="0" w:color="000000" w:themeColor="tex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000000" w:themeColor="text1"/>
          <w:right w:val="single" w:sz="4" w:space="0" w:color="000000" w:themeColor="text1"/>
        </w:tcBorders>
      </w:tcPr>
    </w:tblStylePr>
    <w:tblStylePr w:type="band1Horz">
      <w:rPr>
        <w:rFonts w:cs="Times New Roman"/>
      </w:rPr>
      <w:tblPr/>
      <w:tcPr>
        <w:tcBorders>
          <w:top w:val="single" w:sz="4" w:space="0" w:color="000000" w:themeColor="text1"/>
          <w:bottom w:val="single" w:sz="4" w:space="0" w:color="000000" w:themeColor="tex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themeColor="text1"/>
          <w:left w:val="nil"/>
        </w:tcBorders>
      </w:tcPr>
    </w:tblStylePr>
    <w:tblStylePr w:type="swCell">
      <w:rPr>
        <w:rFonts w:cs="Times New Roman"/>
      </w:rPr>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rFonts w:cs="Times New Roman"/>
        <w:b/>
        <w:bCs/>
        <w:color w:val="FFFFFF" w:themeColor="background1"/>
      </w:rPr>
      <w:tblPr/>
      <w:tcPr>
        <w:shd w:val="clear" w:color="auto" w:fill="C0504D" w:themeFill="accent2"/>
      </w:tcPr>
    </w:tblStylePr>
    <w:tblStylePr w:type="lastRow">
      <w:rPr>
        <w:rFonts w:cs="Times New Roman"/>
        <w:b/>
        <w:bCs/>
      </w:rPr>
      <w:tblPr/>
      <w:tcPr>
        <w:tcBorders>
          <w:top w:val="double" w:sz="4" w:space="0" w:color="C0504D" w:themeColor="accent2"/>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C0504D" w:themeColor="accent2"/>
          <w:right w:val="single" w:sz="4" w:space="0" w:color="C0504D" w:themeColor="accent2"/>
        </w:tcBorders>
      </w:tcPr>
    </w:tblStylePr>
    <w:tblStylePr w:type="band1Horz">
      <w:rPr>
        <w:rFonts w:cs="Times New Roman"/>
      </w:rPr>
      <w:tblPr/>
      <w:tcPr>
        <w:tcBorders>
          <w:top w:val="single" w:sz="4" w:space="0" w:color="C0504D" w:themeColor="accent2"/>
          <w:bottom w:val="single" w:sz="4" w:space="0" w:color="C0504D" w:themeColor="accent2"/>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C0504D" w:themeColor="accent2"/>
          <w:left w:val="nil"/>
        </w:tcBorders>
      </w:tcPr>
    </w:tblStylePr>
    <w:tblStylePr w:type="swCell">
      <w:rPr>
        <w:rFonts w:cs="Times New Roman"/>
      </w:rPr>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rFonts w:cs="Times New Roman"/>
        <w:b/>
        <w:bCs/>
        <w:color w:val="FFFFFF" w:themeColor="background1"/>
      </w:rPr>
      <w:tblPr/>
      <w:tcPr>
        <w:shd w:val="clear" w:color="auto" w:fill="9BBB59" w:themeFill="accent3"/>
      </w:tcPr>
    </w:tblStylePr>
    <w:tblStylePr w:type="lastRow">
      <w:rPr>
        <w:rFonts w:cs="Times New Roman"/>
        <w:b/>
        <w:bCs/>
      </w:rPr>
      <w:tblPr/>
      <w:tcPr>
        <w:tcBorders>
          <w:top w:val="double" w:sz="4" w:space="0" w:color="9BBB59" w:themeColor="accent3"/>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9BBB59" w:themeColor="accent3"/>
          <w:right w:val="single" w:sz="4" w:space="0" w:color="9BBB59" w:themeColor="accent3"/>
        </w:tcBorders>
      </w:tcPr>
    </w:tblStylePr>
    <w:tblStylePr w:type="band1Horz">
      <w:rPr>
        <w:rFonts w:cs="Times New Roman"/>
      </w:rPr>
      <w:tblPr/>
      <w:tcPr>
        <w:tcBorders>
          <w:top w:val="single" w:sz="4" w:space="0" w:color="9BBB59" w:themeColor="accent3"/>
          <w:bottom w:val="single" w:sz="4" w:space="0" w:color="9BBB59" w:themeColor="accent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9BBB59" w:themeColor="accent3"/>
          <w:left w:val="nil"/>
        </w:tcBorders>
      </w:tcPr>
    </w:tblStylePr>
    <w:tblStylePr w:type="swCell">
      <w:rPr>
        <w:rFonts w:cs="Times New Roman"/>
      </w:rPr>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rFonts w:cs="Times New Roman"/>
        <w:b/>
        <w:bCs/>
        <w:color w:val="FFFFFF" w:themeColor="background1"/>
      </w:rPr>
      <w:tblPr/>
      <w:tcPr>
        <w:shd w:val="clear" w:color="auto" w:fill="8064A2" w:themeFill="accent4"/>
      </w:tcPr>
    </w:tblStylePr>
    <w:tblStylePr w:type="lastRow">
      <w:rPr>
        <w:rFonts w:cs="Times New Roman"/>
        <w:b/>
        <w:bCs/>
      </w:rPr>
      <w:tblPr/>
      <w:tcPr>
        <w:tcBorders>
          <w:top w:val="double" w:sz="4" w:space="0" w:color="8064A2" w:themeColor="accent4"/>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8064A2" w:themeColor="accent4"/>
          <w:right w:val="single" w:sz="4" w:space="0" w:color="8064A2" w:themeColor="accent4"/>
        </w:tcBorders>
      </w:tcPr>
    </w:tblStylePr>
    <w:tblStylePr w:type="band1Horz">
      <w:rPr>
        <w:rFonts w:cs="Times New Roman"/>
      </w:rPr>
      <w:tblPr/>
      <w:tcPr>
        <w:tcBorders>
          <w:top w:val="single" w:sz="4" w:space="0" w:color="8064A2" w:themeColor="accent4"/>
          <w:bottom w:val="single" w:sz="4" w:space="0" w:color="8064A2" w:themeColor="accent4"/>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8064A2" w:themeColor="accent4"/>
          <w:left w:val="nil"/>
        </w:tcBorders>
      </w:tcPr>
    </w:tblStylePr>
    <w:tblStylePr w:type="swCell">
      <w:rPr>
        <w:rFonts w:cs="Times New Roman"/>
      </w:rPr>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rFonts w:cs="Times New Roman"/>
        <w:b/>
        <w:bCs/>
        <w:color w:val="FFFFFF" w:themeColor="background1"/>
      </w:rPr>
      <w:tblPr/>
      <w:tcPr>
        <w:shd w:val="clear" w:color="auto" w:fill="4BACC6" w:themeFill="accent5"/>
      </w:tcPr>
    </w:tblStylePr>
    <w:tblStylePr w:type="lastRow">
      <w:rPr>
        <w:rFonts w:cs="Times New Roman"/>
        <w:b/>
        <w:bCs/>
      </w:rPr>
      <w:tblPr/>
      <w:tcPr>
        <w:tcBorders>
          <w:top w:val="double" w:sz="4" w:space="0" w:color="4BACC6" w:themeColor="accent5"/>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BACC6" w:themeColor="accent5"/>
          <w:right w:val="single" w:sz="4" w:space="0" w:color="4BACC6" w:themeColor="accent5"/>
        </w:tcBorders>
      </w:tcPr>
    </w:tblStylePr>
    <w:tblStylePr w:type="band1Horz">
      <w:rPr>
        <w:rFonts w:cs="Times New Roman"/>
      </w:rPr>
      <w:tblPr/>
      <w:tcPr>
        <w:tcBorders>
          <w:top w:val="single" w:sz="4" w:space="0" w:color="4BACC6" w:themeColor="accent5"/>
          <w:bottom w:val="single" w:sz="4" w:space="0" w:color="4BACC6" w:themeColor="accent5"/>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BACC6" w:themeColor="accent5"/>
          <w:left w:val="nil"/>
        </w:tcBorders>
      </w:tcPr>
    </w:tblStylePr>
    <w:tblStylePr w:type="swCell">
      <w:rPr>
        <w:rFonts w:cs="Times New Roman"/>
      </w:rPr>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rFonts w:cs="Times New Roman"/>
        <w:b/>
        <w:bCs/>
        <w:color w:val="FFFFFF" w:themeColor="background1"/>
      </w:rPr>
      <w:tblPr/>
      <w:tcPr>
        <w:shd w:val="clear" w:color="auto" w:fill="F79646" w:themeFill="accent6"/>
      </w:tcPr>
    </w:tblStylePr>
    <w:tblStylePr w:type="lastRow">
      <w:rPr>
        <w:rFonts w:cs="Times New Roman"/>
        <w:b/>
        <w:bCs/>
      </w:rPr>
      <w:tblPr/>
      <w:tcPr>
        <w:tcBorders>
          <w:top w:val="double" w:sz="4" w:space="0" w:color="F79646" w:themeColor="accent6"/>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F79646" w:themeColor="accent6"/>
          <w:right w:val="single" w:sz="4" w:space="0" w:color="F79646" w:themeColor="accent6"/>
        </w:tcBorders>
      </w:tcPr>
    </w:tblStylePr>
    <w:tblStylePr w:type="band1Horz">
      <w:rPr>
        <w:rFonts w:cs="Times New Roman"/>
      </w:rPr>
      <w:tblPr/>
      <w:tcPr>
        <w:tcBorders>
          <w:top w:val="single" w:sz="4" w:space="0" w:color="F79646" w:themeColor="accent6"/>
          <w:bottom w:val="single" w:sz="4" w:space="0" w:color="F79646" w:themeColor="accent6"/>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79646" w:themeColor="accent6"/>
          <w:left w:val="nil"/>
        </w:tcBorders>
      </w:tcPr>
    </w:tblStylePr>
    <w:tblStylePr w:type="swCell">
      <w:rPr>
        <w:rFonts w:cs="Times New Roman"/>
      </w:rPr>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rFonts w:cs="Times New Roman"/>
        <w:b/>
        <w:bCs/>
      </w:rPr>
      <w:tblPr/>
      <w:tcPr>
        <w:tcBorders>
          <w:top w:val="doub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rFonts w:cs="Times New Roman"/>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rFonts w:cs="Times New Roman"/>
        <w:b/>
        <w:bCs/>
      </w:rPr>
      <w:tblPr/>
      <w:tcPr>
        <w:tcBorders>
          <w:top w:val="doub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rFonts w:cs="Times New Roman"/>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rFonts w:cs="Times New Roman"/>
        <w:b/>
        <w:bCs/>
      </w:rPr>
      <w:tblPr/>
      <w:tcPr>
        <w:tcBorders>
          <w:top w:val="doub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rFonts w:cs="Times New Roman"/>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rFonts w:cs="Times New Roman"/>
        <w:b/>
        <w:bCs/>
      </w:rPr>
      <w:tblPr/>
      <w:tcPr>
        <w:tcBorders>
          <w:top w:val="doub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rFonts w:cs="Times New Roman"/>
        <w:b/>
        <w:bCs/>
      </w:rPr>
      <w:tblPr/>
      <w:tcPr>
        <w:tcBorders>
          <w:top w:val="doub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rFonts w:cs="Times New Roman"/>
        <w:b/>
        <w:bCs/>
      </w:rPr>
      <w:tblPr/>
      <w:tcPr>
        <w:tcBorders>
          <w:top w:val="doub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rFonts w:cs="Times New Roman"/>
        <w:b/>
        <w:bCs/>
      </w:rPr>
      <w:tblPr/>
      <w:tcPr>
        <w:tcBorders>
          <w:bottom w:val="single" w:sz="4" w:space="0" w:color="000000" w:themeColor="text1"/>
        </w:tcBorders>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rFonts w:cs="Times New Roman"/>
        <w:b/>
        <w:bCs/>
      </w:rPr>
      <w:tblPr/>
      <w:tcPr>
        <w:tcBorders>
          <w:bottom w:val="single" w:sz="4" w:space="0" w:color="4F81BD" w:themeColor="accent1"/>
        </w:tcBorders>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rFonts w:cs="Times New Roman"/>
        <w:b/>
        <w:bCs/>
      </w:rPr>
      <w:tblPr/>
      <w:tcPr>
        <w:tcBorders>
          <w:bottom w:val="single" w:sz="4" w:space="0" w:color="C0504D" w:themeColor="accent2"/>
        </w:tcBorders>
      </w:tcPr>
    </w:tblStylePr>
    <w:tblStylePr w:type="lastRow">
      <w:rPr>
        <w:rFonts w:cs="Times New Roman"/>
        <w:b/>
        <w:bCs/>
      </w:rPr>
      <w:tblPr/>
      <w:tcPr>
        <w:tcBorders>
          <w:top w:val="double" w:sz="4"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rFonts w:cs="Times New Roman"/>
        <w:b/>
        <w:bCs/>
      </w:rPr>
      <w:tblPr/>
      <w:tcPr>
        <w:tcBorders>
          <w:bottom w:val="single" w:sz="4" w:space="0" w:color="9BBB59" w:themeColor="accent3"/>
        </w:tcBorders>
      </w:tcPr>
    </w:tblStylePr>
    <w:tblStylePr w:type="lastRow">
      <w:rPr>
        <w:rFonts w:cs="Times New Roman"/>
        <w:b/>
        <w:bCs/>
      </w:rPr>
      <w:tblPr/>
      <w:tcPr>
        <w:tcBorders>
          <w:top w:val="double" w:sz="4"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rFonts w:cs="Times New Roman"/>
        <w:b/>
        <w:bCs/>
      </w:rPr>
      <w:tblPr/>
      <w:tcPr>
        <w:tcBorders>
          <w:bottom w:val="single" w:sz="4" w:space="0" w:color="8064A2" w:themeColor="accent4"/>
        </w:tcBorders>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rFonts w:cs="Times New Roman"/>
        <w:b/>
        <w:bCs/>
      </w:rPr>
      <w:tblPr/>
      <w:tcPr>
        <w:tcBorders>
          <w:bottom w:val="single" w:sz="4" w:space="0" w:color="4BACC6" w:themeColor="accent5"/>
        </w:tcBorders>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rFonts w:cs="Times New Roman"/>
        <w:b/>
        <w:bCs/>
      </w:rPr>
      <w:tblPr/>
      <w:tcPr>
        <w:tcBorders>
          <w:bottom w:val="single" w:sz="4" w:space="0" w:color="F79646" w:themeColor="accent6"/>
        </w:tcBorders>
      </w:tcPr>
    </w:tblStylePr>
    <w:tblStylePr w:type="lastRow">
      <w:rPr>
        <w:rFonts w:cs="Times New Roman"/>
        <w:b/>
        <w:bCs/>
      </w:rPr>
      <w:tblPr/>
      <w:tcPr>
        <w:tcBorders>
          <w:top w:val="double" w:sz="4"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000000" w:themeColor="text1"/>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4F81BD" w:themeColor="accent1"/>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C0504D" w:themeColor="accent2"/>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9BBB59" w:themeColor="accent3"/>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8064A2" w:themeColor="accent4"/>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4BACC6" w:themeColor="accent5"/>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F79646" w:themeColor="accent6"/>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eastAsia="x-none"/>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cs="Times New Roman"/>
        <w:b/>
        <w:bCs/>
      </w:rPr>
    </w:tblStylePr>
    <w:tblStylePr w:type="lastRow">
      <w:rPr>
        <w:rFonts w:cs="Times New Roman"/>
        <w:b/>
        <w:bCs/>
      </w:rPr>
      <w:tblPr/>
      <w:tcPr>
        <w:tcBorders>
          <w:top w:val="single" w:sz="18" w:space="0" w:color="404040" w:themeColor="tex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cs="Times New Roman"/>
        <w:b/>
        <w:bCs/>
      </w:rPr>
    </w:tblStylePr>
    <w:tblStylePr w:type="lastRow">
      <w:rPr>
        <w:rFonts w:cs="Times New Roman"/>
        <w:b/>
        <w:bCs/>
      </w:rPr>
      <w:tblPr/>
      <w:tcPr>
        <w:tcBorders>
          <w:top w:val="single" w:sz="18" w:space="0" w:color="7BA0CD" w:themeColor="accen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hemeFill="accent1" w:themeFillTint="7F"/>
      </w:tcPr>
    </w:tblStylePr>
    <w:tblStylePr w:type="band1Horz">
      <w:rPr>
        <w:rFonts w:cs="Times New Roman"/>
      </w:rPr>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cs="Times New Roman"/>
        <w:b/>
        <w:bCs/>
      </w:rPr>
    </w:tblStylePr>
    <w:tblStylePr w:type="lastRow">
      <w:rPr>
        <w:rFonts w:cs="Times New Roman"/>
        <w:b/>
        <w:bCs/>
      </w:rPr>
      <w:tblPr/>
      <w:tcPr>
        <w:tcBorders>
          <w:top w:val="single" w:sz="18" w:space="0" w:color="CF7B79" w:themeColor="accent2"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cs="Times New Roman"/>
        <w:b/>
        <w:bCs/>
      </w:rPr>
    </w:tblStylePr>
    <w:tblStylePr w:type="lastRow">
      <w:rPr>
        <w:rFonts w:cs="Times New Roman"/>
        <w:b/>
        <w:bCs/>
      </w:rPr>
      <w:tblPr/>
      <w:tcPr>
        <w:tcBorders>
          <w:top w:val="single" w:sz="18" w:space="0" w:color="B3CC82" w:themeColor="accent3"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hemeFill="accent3" w:themeFillTint="7F"/>
      </w:tcPr>
    </w:tblStylePr>
    <w:tblStylePr w:type="band1Horz">
      <w:rPr>
        <w:rFonts w:cs="Times New Roman"/>
      </w:rPr>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cs="Times New Roman"/>
        <w:b/>
        <w:bCs/>
      </w:rPr>
    </w:tblStylePr>
    <w:tblStylePr w:type="lastRow">
      <w:rPr>
        <w:rFonts w:cs="Times New Roman"/>
        <w:b/>
        <w:bCs/>
      </w:rPr>
      <w:tblPr/>
      <w:tcPr>
        <w:tcBorders>
          <w:top w:val="single" w:sz="18" w:space="0" w:color="9F8AB9" w:themeColor="accent4"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hemeFill="accent4" w:themeFillTint="7F"/>
      </w:tcPr>
    </w:tblStylePr>
    <w:tblStylePr w:type="band1Horz">
      <w:rPr>
        <w:rFonts w:cs="Times New Roman"/>
      </w:rPr>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cs="Times New Roman"/>
        <w:b/>
        <w:bCs/>
      </w:rPr>
    </w:tblStylePr>
    <w:tblStylePr w:type="lastRow">
      <w:rPr>
        <w:rFonts w:cs="Times New Roman"/>
        <w:b/>
        <w:bCs/>
      </w:rPr>
      <w:tblPr/>
      <w:tcPr>
        <w:tcBorders>
          <w:top w:val="single" w:sz="18" w:space="0" w:color="78C0D4" w:themeColor="accent5"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hemeFill="accent5" w:themeFillTint="7F"/>
      </w:tcPr>
    </w:tblStylePr>
    <w:tblStylePr w:type="band1Horz">
      <w:rPr>
        <w:rFonts w:cs="Times New Roman"/>
      </w:rPr>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cs="Times New Roman"/>
        <w:b/>
        <w:bCs/>
      </w:rPr>
    </w:tblStylePr>
    <w:tblStylePr w:type="lastRow">
      <w:rPr>
        <w:rFonts w:cs="Times New Roman"/>
        <w:b/>
        <w:bCs/>
      </w:rPr>
      <w:tblPr/>
      <w:tcPr>
        <w:tcBorders>
          <w:top w:val="single" w:sz="18" w:space="0" w:color="F9B074" w:themeColor="accent6"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cs="Times New Roman"/>
        <w:b/>
        <w:bCs/>
        <w:color w:val="000000" w:themeColor="text1"/>
      </w:rPr>
      <w:tblPr/>
      <w:tcPr>
        <w:shd w:val="clear" w:color="auto" w:fill="E6E6E6" w:themeFill="text1"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rPr>
        <w:rFonts w:cs="Times New Roman"/>
      </w:rPr>
      <w:tblPr/>
      <w:tcPr>
        <w:shd w:val="clear" w:color="auto" w:fill="808080" w:themeFill="text1" w:themeFillTint="7F"/>
      </w:tcPr>
    </w:tblStylePr>
    <w:tblStylePr w:type="band1Horz">
      <w:rPr>
        <w:rFonts w:cs="Times New Roman"/>
      </w:rPr>
      <w:tblPr/>
      <w:tcPr>
        <w:tcBorders>
          <w:insideH w:val="single" w:sz="6" w:space="0" w:color="000000" w:themeColor="text1"/>
          <w:insideV w:val="single" w:sz="6" w:space="0" w:color="000000" w:themeColor="text1"/>
        </w:tcBorders>
        <w:shd w:val="clear" w:color="auto" w:fill="808080" w:themeFill="text1" w:themeFillTint="7F"/>
      </w:tcPr>
    </w:tblStylePr>
    <w:tblStylePr w:type="nwCell">
      <w:rPr>
        <w:rFonts w:cs="Times New Roman"/>
      </w:rPr>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cs="Times New Roman"/>
        <w:b/>
        <w:bCs/>
        <w:color w:val="000000" w:themeColor="text1"/>
      </w:rPr>
      <w:tblPr/>
      <w:tcPr>
        <w:shd w:val="clear" w:color="auto" w:fill="EDF2F8" w:themeFill="accent1"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rPr>
        <w:rFonts w:cs="Times New Roman"/>
      </w:rPr>
      <w:tblPr/>
      <w:tcPr>
        <w:shd w:val="clear" w:color="auto" w:fill="A7BFDE" w:themeFill="accent1" w:themeFillTint="7F"/>
      </w:tcPr>
    </w:tblStylePr>
    <w:tblStylePr w:type="band1Horz">
      <w:rPr>
        <w:rFonts w:cs="Times New Roman"/>
      </w:rPr>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rPr>
        <w:rFonts w:cs="Times New Roman"/>
      </w:rPr>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cs="Times New Roman"/>
        <w:b/>
        <w:bCs/>
        <w:color w:val="000000" w:themeColor="text1"/>
      </w:rPr>
      <w:tblPr/>
      <w:tcPr>
        <w:shd w:val="clear" w:color="auto" w:fill="F8EDED" w:themeFill="accent2"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rPr>
        <w:rFonts w:cs="Times New Roman"/>
      </w:rPr>
      <w:tblPr/>
      <w:tcPr>
        <w:shd w:val="clear" w:color="auto" w:fill="DFA7A6" w:themeFill="accent2" w:themeFillTint="7F"/>
      </w:tcPr>
    </w:tblStylePr>
    <w:tblStylePr w:type="band1Horz">
      <w:rPr>
        <w:rFonts w:cs="Times New Roman"/>
      </w:rPr>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rPr>
        <w:rFonts w:cs="Times New Roman"/>
      </w:rPr>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cs="Times New Roman"/>
        <w:b/>
        <w:bCs/>
        <w:color w:val="000000" w:themeColor="text1"/>
      </w:rPr>
      <w:tblPr/>
      <w:tcPr>
        <w:shd w:val="clear" w:color="auto" w:fill="F5F8EE" w:themeFill="accent3"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rPr>
        <w:rFonts w:cs="Times New Roman"/>
      </w:rPr>
      <w:tblPr/>
      <w:tcPr>
        <w:shd w:val="clear" w:color="auto" w:fill="CDDDAC" w:themeFill="accent3" w:themeFillTint="7F"/>
      </w:tcPr>
    </w:tblStylePr>
    <w:tblStylePr w:type="band1Horz">
      <w:rPr>
        <w:rFonts w:cs="Times New Roman"/>
      </w:rPr>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rPr>
        <w:rFonts w:cs="Times New Roman"/>
      </w:rPr>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cs="Times New Roman"/>
        <w:b/>
        <w:bCs/>
        <w:color w:val="000000" w:themeColor="text1"/>
      </w:rPr>
      <w:tblPr/>
      <w:tcPr>
        <w:shd w:val="clear" w:color="auto" w:fill="F2EFF6" w:themeFill="accent4"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rPr>
        <w:rFonts w:cs="Times New Roman"/>
      </w:rPr>
      <w:tblPr/>
      <w:tcPr>
        <w:shd w:val="clear" w:color="auto" w:fill="BFB1D0" w:themeFill="accent4" w:themeFillTint="7F"/>
      </w:tcPr>
    </w:tblStylePr>
    <w:tblStylePr w:type="band1Horz">
      <w:rPr>
        <w:rFonts w:cs="Times New Roman"/>
      </w:rPr>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rPr>
        <w:rFonts w:cs="Times New Roman"/>
      </w:rPr>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cs="Times New Roman"/>
        <w:b/>
        <w:bCs/>
        <w:color w:val="000000" w:themeColor="text1"/>
      </w:rPr>
      <w:tblPr/>
      <w:tcPr>
        <w:shd w:val="clear" w:color="auto" w:fill="EDF6F9" w:themeFill="accent5"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rPr>
        <w:rFonts w:cs="Times New Roman"/>
      </w:rPr>
      <w:tblPr/>
      <w:tcPr>
        <w:shd w:val="clear" w:color="auto" w:fill="A5D5E2" w:themeFill="accent5" w:themeFillTint="7F"/>
      </w:tcPr>
    </w:tblStylePr>
    <w:tblStylePr w:type="band1Horz">
      <w:rPr>
        <w:rFonts w:cs="Times New Roman"/>
      </w:rPr>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rPr>
        <w:rFonts w:cs="Times New Roman"/>
      </w:rPr>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cs="Times New Roman"/>
        <w:b/>
        <w:bCs/>
        <w:color w:val="000000" w:themeColor="text1"/>
      </w:rPr>
      <w:tblPr/>
      <w:tcPr>
        <w:shd w:val="clear" w:color="auto" w:fill="FEF4EC" w:themeFill="accent6"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rPr>
        <w:rFonts w:cs="Times New Roman"/>
      </w:rPr>
      <w:tblPr/>
      <w:tcPr>
        <w:shd w:val="clear" w:color="auto" w:fill="FBCAA2" w:themeFill="accent6" w:themeFillTint="7F"/>
      </w:tcPr>
    </w:tblStylePr>
    <w:tblStylePr w:type="band1Horz">
      <w:rPr>
        <w:rFonts w:cs="Times New Roman"/>
      </w:rPr>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rPr>
        <w:rFonts w:cs="Times New Roman"/>
      </w:rPr>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imes New Roman"/>
      </w:rPr>
      <w:tblPr/>
      <w:tcPr>
        <w:tcBorders>
          <w:top w:val="nil"/>
          <w:bottom w:val="single" w:sz="8" w:space="0" w:color="000000" w:themeColor="text1"/>
        </w:tcBorders>
      </w:tcPr>
    </w:tblStylePr>
    <w:tblStylePr w:type="lastRow">
      <w:rPr>
        <w:rFonts w:cs="Times New Roman"/>
        <w:b/>
        <w:bCs/>
        <w:color w:val="1F497D" w:themeColor="text2"/>
      </w:rPr>
      <w:tblPr/>
      <w:tcPr>
        <w:tcBorders>
          <w:top w:val="single" w:sz="8" w:space="0" w:color="000000" w:themeColor="text1"/>
          <w:bottom w:val="single" w:sz="8" w:space="0" w:color="000000" w:themeColor="text1"/>
        </w:tcBorders>
      </w:tcPr>
    </w:tblStylePr>
    <w:tblStylePr w:type="firstCol">
      <w:rPr>
        <w:rFonts w:cs="Times New Roman"/>
        <w:b/>
        <w:bCs/>
      </w:rPr>
    </w:tblStylePr>
    <w:tblStylePr w:type="lastCol">
      <w:rPr>
        <w:rFonts w:cs="Times New Roman"/>
        <w:b/>
        <w:bCs/>
      </w:rPr>
      <w:tblPr/>
      <w:tcPr>
        <w:tcBorders>
          <w:top w:val="single" w:sz="8" w:space="0" w:color="000000" w:themeColor="text1"/>
          <w:bottom w:val="single" w:sz="8" w:space="0" w:color="000000" w:themeColor="text1"/>
        </w:tcBorders>
      </w:tcPr>
    </w:tblStylePr>
    <w:tblStylePr w:type="band1Vert">
      <w:rPr>
        <w:rFonts w:cs="Times New Roman"/>
      </w:rPr>
      <w:tblPr/>
      <w:tcPr>
        <w:shd w:val="clear" w:color="auto" w:fill="C0C0C0" w:themeFill="text1" w:themeFillTint="3F"/>
      </w:tcPr>
    </w:tblStylePr>
    <w:tblStylePr w:type="band1Horz">
      <w:rPr>
        <w:rFonts w:cs="Times New Roman"/>
      </w:rPr>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imes New Roman"/>
      </w:rPr>
      <w:tblPr/>
      <w:tcPr>
        <w:tcBorders>
          <w:top w:val="nil"/>
          <w:bottom w:val="single" w:sz="8" w:space="0" w:color="4F81BD" w:themeColor="accent1"/>
        </w:tcBorders>
      </w:tcPr>
    </w:tblStylePr>
    <w:tblStylePr w:type="lastRow">
      <w:rPr>
        <w:rFonts w:cs="Times New Roman"/>
        <w:b/>
        <w:bCs/>
        <w:color w:val="1F497D" w:themeColor="text2"/>
      </w:rPr>
      <w:tblPr/>
      <w:tcPr>
        <w:tcBorders>
          <w:top w:val="single" w:sz="8" w:space="0" w:color="4F81BD" w:themeColor="accent1"/>
          <w:bottom w:val="single" w:sz="8" w:space="0" w:color="4F81BD" w:themeColor="accent1"/>
        </w:tcBorders>
      </w:tcPr>
    </w:tblStylePr>
    <w:tblStylePr w:type="firstCol">
      <w:rPr>
        <w:rFonts w:cs="Times New Roman"/>
        <w:b/>
        <w:bCs/>
      </w:rPr>
    </w:tblStylePr>
    <w:tblStylePr w:type="lastCol">
      <w:rPr>
        <w:rFonts w:cs="Times New Roman"/>
        <w:b/>
        <w:bCs/>
      </w:rPr>
      <w:tblPr/>
      <w:tcPr>
        <w:tcBorders>
          <w:top w:val="single" w:sz="8" w:space="0" w:color="4F81BD" w:themeColor="accent1"/>
          <w:bottom w:val="single" w:sz="8" w:space="0" w:color="4F81BD" w:themeColor="accent1"/>
        </w:tcBorders>
      </w:tcPr>
    </w:tblStylePr>
    <w:tblStylePr w:type="band1Vert">
      <w:rPr>
        <w:rFonts w:cs="Times New Roman"/>
      </w:rPr>
      <w:tblPr/>
      <w:tcPr>
        <w:shd w:val="clear" w:color="auto" w:fill="D3DFEE" w:themeFill="accent1" w:themeFillTint="3F"/>
      </w:tcPr>
    </w:tblStylePr>
    <w:tblStylePr w:type="band1Horz">
      <w:rPr>
        <w:rFonts w:cs="Times New Roman"/>
      </w:rPr>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imes New Roman"/>
      </w:rPr>
      <w:tblPr/>
      <w:tcPr>
        <w:tcBorders>
          <w:top w:val="nil"/>
          <w:bottom w:val="single" w:sz="8" w:space="0" w:color="C0504D" w:themeColor="accent2"/>
        </w:tcBorders>
      </w:tcPr>
    </w:tblStylePr>
    <w:tblStylePr w:type="lastRow">
      <w:rPr>
        <w:rFonts w:cs="Times New Roman"/>
        <w:b/>
        <w:bCs/>
        <w:color w:val="1F497D" w:themeColor="text2"/>
      </w:rPr>
      <w:tblPr/>
      <w:tcPr>
        <w:tcBorders>
          <w:top w:val="single" w:sz="8" w:space="0" w:color="C0504D" w:themeColor="accent2"/>
          <w:bottom w:val="single" w:sz="8" w:space="0" w:color="C0504D" w:themeColor="accent2"/>
        </w:tcBorders>
      </w:tcPr>
    </w:tblStylePr>
    <w:tblStylePr w:type="firstCol">
      <w:rPr>
        <w:rFonts w:cs="Times New Roman"/>
        <w:b/>
        <w:bCs/>
      </w:rPr>
    </w:tblStylePr>
    <w:tblStylePr w:type="lastCol">
      <w:rPr>
        <w:rFonts w:cs="Times New Roman"/>
        <w:b/>
        <w:bCs/>
      </w:rPr>
      <w:tblPr/>
      <w:tcPr>
        <w:tcBorders>
          <w:top w:val="single" w:sz="8" w:space="0" w:color="C0504D" w:themeColor="accent2"/>
          <w:bottom w:val="single" w:sz="8" w:space="0" w:color="C0504D" w:themeColor="accent2"/>
        </w:tcBorders>
      </w:tcPr>
    </w:tblStylePr>
    <w:tblStylePr w:type="band1Vert">
      <w:rPr>
        <w:rFonts w:cs="Times New Roman"/>
      </w:rPr>
      <w:tblPr/>
      <w:tcPr>
        <w:shd w:val="clear" w:color="auto" w:fill="EFD3D2" w:themeFill="accent2" w:themeFillTint="3F"/>
      </w:tcPr>
    </w:tblStylePr>
    <w:tblStylePr w:type="band1Horz">
      <w:rPr>
        <w:rFonts w:cs="Times New Roman"/>
      </w:rPr>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imes New Roman"/>
      </w:rPr>
      <w:tblPr/>
      <w:tcPr>
        <w:tcBorders>
          <w:top w:val="nil"/>
          <w:bottom w:val="single" w:sz="8" w:space="0" w:color="9BBB59" w:themeColor="accent3"/>
        </w:tcBorders>
      </w:tcPr>
    </w:tblStylePr>
    <w:tblStylePr w:type="lastRow">
      <w:rPr>
        <w:rFonts w:cs="Times New Roman"/>
        <w:b/>
        <w:bCs/>
        <w:color w:val="1F497D" w:themeColor="text2"/>
      </w:rPr>
      <w:tblPr/>
      <w:tcPr>
        <w:tcBorders>
          <w:top w:val="single" w:sz="8" w:space="0" w:color="9BBB59" w:themeColor="accent3"/>
          <w:bottom w:val="single" w:sz="8" w:space="0" w:color="9BBB59" w:themeColor="accent3"/>
        </w:tcBorders>
      </w:tcPr>
    </w:tblStylePr>
    <w:tblStylePr w:type="firstCol">
      <w:rPr>
        <w:rFonts w:cs="Times New Roman"/>
        <w:b/>
        <w:bCs/>
      </w:rPr>
    </w:tblStylePr>
    <w:tblStylePr w:type="lastCol">
      <w:rPr>
        <w:rFonts w:cs="Times New Roman"/>
        <w:b/>
        <w:bCs/>
      </w:rPr>
      <w:tblPr/>
      <w:tcPr>
        <w:tcBorders>
          <w:top w:val="single" w:sz="8" w:space="0" w:color="9BBB59" w:themeColor="accent3"/>
          <w:bottom w:val="single" w:sz="8" w:space="0" w:color="9BBB59" w:themeColor="accent3"/>
        </w:tcBorders>
      </w:tcPr>
    </w:tblStylePr>
    <w:tblStylePr w:type="band1Vert">
      <w:rPr>
        <w:rFonts w:cs="Times New Roman"/>
      </w:rPr>
      <w:tblPr/>
      <w:tcPr>
        <w:shd w:val="clear" w:color="auto" w:fill="E6EED5" w:themeFill="accent3" w:themeFillTint="3F"/>
      </w:tcPr>
    </w:tblStylePr>
    <w:tblStylePr w:type="band1Horz">
      <w:rPr>
        <w:rFonts w:cs="Times New Roman"/>
      </w:rPr>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imes New Roman"/>
      </w:rPr>
      <w:tblPr/>
      <w:tcPr>
        <w:tcBorders>
          <w:top w:val="nil"/>
          <w:bottom w:val="single" w:sz="8" w:space="0" w:color="8064A2" w:themeColor="accent4"/>
        </w:tcBorders>
      </w:tcPr>
    </w:tblStylePr>
    <w:tblStylePr w:type="lastRow">
      <w:rPr>
        <w:rFonts w:cs="Times New Roman"/>
        <w:b/>
        <w:bCs/>
        <w:color w:val="1F497D" w:themeColor="text2"/>
      </w:rPr>
      <w:tblPr/>
      <w:tcPr>
        <w:tcBorders>
          <w:top w:val="single" w:sz="8" w:space="0" w:color="8064A2" w:themeColor="accent4"/>
          <w:bottom w:val="single" w:sz="8" w:space="0" w:color="8064A2" w:themeColor="accent4"/>
        </w:tcBorders>
      </w:tcPr>
    </w:tblStylePr>
    <w:tblStylePr w:type="firstCol">
      <w:rPr>
        <w:rFonts w:cs="Times New Roman"/>
        <w:b/>
        <w:bCs/>
      </w:rPr>
    </w:tblStylePr>
    <w:tblStylePr w:type="lastCol">
      <w:rPr>
        <w:rFonts w:cs="Times New Roman"/>
        <w:b/>
        <w:bCs/>
      </w:rPr>
      <w:tblPr/>
      <w:tcPr>
        <w:tcBorders>
          <w:top w:val="single" w:sz="8" w:space="0" w:color="8064A2" w:themeColor="accent4"/>
          <w:bottom w:val="single" w:sz="8" w:space="0" w:color="8064A2" w:themeColor="accent4"/>
        </w:tcBorders>
      </w:tcPr>
    </w:tblStylePr>
    <w:tblStylePr w:type="band1Vert">
      <w:rPr>
        <w:rFonts w:cs="Times New Roman"/>
      </w:rPr>
      <w:tblPr/>
      <w:tcPr>
        <w:shd w:val="clear" w:color="auto" w:fill="DFD8E8" w:themeFill="accent4" w:themeFillTint="3F"/>
      </w:tcPr>
    </w:tblStylePr>
    <w:tblStylePr w:type="band1Horz">
      <w:rPr>
        <w:rFonts w:cs="Times New Roman"/>
      </w:rPr>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imes New Roman"/>
      </w:rPr>
      <w:tblPr/>
      <w:tcPr>
        <w:tcBorders>
          <w:top w:val="nil"/>
          <w:bottom w:val="single" w:sz="8" w:space="0" w:color="4BACC6" w:themeColor="accent5"/>
        </w:tcBorders>
      </w:tcPr>
    </w:tblStylePr>
    <w:tblStylePr w:type="lastRow">
      <w:rPr>
        <w:rFonts w:cs="Times New Roman"/>
        <w:b/>
        <w:bCs/>
        <w:color w:val="1F497D" w:themeColor="text2"/>
      </w:rPr>
      <w:tblPr/>
      <w:tcPr>
        <w:tcBorders>
          <w:top w:val="single" w:sz="8" w:space="0" w:color="4BACC6" w:themeColor="accent5"/>
          <w:bottom w:val="single" w:sz="8" w:space="0" w:color="4BACC6" w:themeColor="accent5"/>
        </w:tcBorders>
      </w:tcPr>
    </w:tblStylePr>
    <w:tblStylePr w:type="firstCol">
      <w:rPr>
        <w:rFonts w:cs="Times New Roman"/>
        <w:b/>
        <w:bCs/>
      </w:rPr>
    </w:tblStylePr>
    <w:tblStylePr w:type="lastCol">
      <w:rPr>
        <w:rFonts w:cs="Times New Roman"/>
        <w:b/>
        <w:bCs/>
      </w:rPr>
      <w:tblPr/>
      <w:tcPr>
        <w:tcBorders>
          <w:top w:val="single" w:sz="8" w:space="0" w:color="4BACC6" w:themeColor="accent5"/>
          <w:bottom w:val="single" w:sz="8" w:space="0" w:color="4BACC6" w:themeColor="accent5"/>
        </w:tcBorders>
      </w:tcPr>
    </w:tblStylePr>
    <w:tblStylePr w:type="band1Vert">
      <w:rPr>
        <w:rFonts w:cs="Times New Roman"/>
      </w:rPr>
      <w:tblPr/>
      <w:tcPr>
        <w:shd w:val="clear" w:color="auto" w:fill="D2EAF1" w:themeFill="accent5" w:themeFillTint="3F"/>
      </w:tcPr>
    </w:tblStylePr>
    <w:tblStylePr w:type="band1Horz">
      <w:rPr>
        <w:rFonts w:cs="Times New Roman"/>
      </w:rPr>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imes New Roman"/>
      </w:rPr>
      <w:tblPr/>
      <w:tcPr>
        <w:tcBorders>
          <w:top w:val="nil"/>
          <w:bottom w:val="single" w:sz="8" w:space="0" w:color="F79646" w:themeColor="accent6"/>
        </w:tcBorders>
      </w:tcPr>
    </w:tblStylePr>
    <w:tblStylePr w:type="lastRow">
      <w:rPr>
        <w:rFonts w:cs="Times New Roman"/>
        <w:b/>
        <w:bCs/>
        <w:color w:val="1F497D" w:themeColor="text2"/>
      </w:rPr>
      <w:tblPr/>
      <w:tcPr>
        <w:tcBorders>
          <w:top w:val="single" w:sz="8" w:space="0" w:color="F79646" w:themeColor="accent6"/>
          <w:bottom w:val="single" w:sz="8" w:space="0" w:color="F79646" w:themeColor="accent6"/>
        </w:tcBorders>
      </w:tcPr>
    </w:tblStylePr>
    <w:tblStylePr w:type="firstCol">
      <w:rPr>
        <w:rFonts w:cs="Times New Roman"/>
        <w:b/>
        <w:bCs/>
      </w:rPr>
    </w:tblStylePr>
    <w:tblStylePr w:type="lastCol">
      <w:rPr>
        <w:rFonts w:cs="Times New Roman"/>
        <w:b/>
        <w:bCs/>
      </w:rPr>
      <w:tblPr/>
      <w:tcPr>
        <w:tcBorders>
          <w:top w:val="single" w:sz="8" w:space="0" w:color="F79646" w:themeColor="accent6"/>
          <w:bottom w:val="single" w:sz="8" w:space="0" w:color="F79646" w:themeColor="accent6"/>
        </w:tcBorders>
      </w:tcPr>
    </w:tblStylePr>
    <w:tblStylePr w:type="band1Vert">
      <w:rPr>
        <w:rFonts w:cs="Times New Roman"/>
      </w:rPr>
      <w:tblPr/>
      <w:tcPr>
        <w:shd w:val="clear" w:color="auto" w:fill="FDE4D0" w:themeFill="accent6" w:themeFillTint="3F"/>
      </w:tcPr>
    </w:tblStylePr>
    <w:tblStylePr w:type="band1Horz">
      <w:rPr>
        <w:rFonts w:cs="Times New Roman"/>
      </w:rPr>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cs="Times New Roman"/>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rPr>
        <w:rFonts w:cs="Times New Roman"/>
      </w:rPr>
      <w:tblPr/>
      <w:tcPr>
        <w:tcBorders>
          <w:top w:val="single" w:sz="8" w:space="0" w:color="000000" w:themeColor="tex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000000" w:themeColor="text1"/>
          <w:insideH w:val="nil"/>
          <w:insideV w:val="nil"/>
        </w:tcBorders>
        <w:shd w:val="clear" w:color="auto" w:fill="FFFFFF" w:themeFill="background1"/>
      </w:tcPr>
    </w:tblStylePr>
    <w:tblStylePr w:type="lastCol">
      <w:rPr>
        <w:rFonts w:cs="Times New Roman"/>
      </w:rPr>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top w:val="nil"/>
          <w:bottom w:val="nil"/>
          <w:insideH w:val="nil"/>
          <w:insideV w:val="nil"/>
        </w:tcBorders>
        <w:shd w:val="clear" w:color="auto" w:fill="C0C0C0" w:themeFill="tex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cs="Times New Roman"/>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rPr>
        <w:rFonts w:cs="Times New Roman"/>
      </w:r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rPr>
        <w:rFonts w:cs="Times New Roman"/>
      </w:r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top w:val="nil"/>
          <w:bottom w:val="nil"/>
          <w:insideH w:val="nil"/>
          <w:insideV w:val="nil"/>
        </w:tcBorders>
        <w:shd w:val="clear" w:color="auto" w:fill="D3DFEE"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cs="Times New Roman"/>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rPr>
      <w:tblPr/>
      <w:tcPr>
        <w:tcBorders>
          <w:top w:val="single" w:sz="8" w:space="0" w:color="C0504D" w:themeColor="accent2"/>
          <w:left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rPr>
        <w:rFonts w:cs="Times New Roman"/>
      </w:rPr>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top w:val="nil"/>
          <w:bottom w:val="nil"/>
          <w:insideH w:val="nil"/>
          <w:insideV w:val="nil"/>
        </w:tcBorders>
        <w:shd w:val="clear" w:color="auto" w:fill="EFD3D2" w:themeFill="accent2"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cs="Times New Roman"/>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cs="Times New Roman"/>
      </w:rPr>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rPr>
        <w:rFonts w:cs="Times New Roman"/>
      </w:rPr>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top w:val="nil"/>
          <w:bottom w:val="nil"/>
          <w:insideH w:val="nil"/>
          <w:insideV w:val="nil"/>
        </w:tcBorders>
        <w:shd w:val="clear" w:color="auto" w:fill="E6EED5" w:themeFill="accent3"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cs="Times New Roman"/>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cs="Times New Roman"/>
      </w:rPr>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rPr>
        <w:rFonts w:cs="Times New Roman"/>
      </w:rPr>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top w:val="nil"/>
          <w:bottom w:val="nil"/>
          <w:insideH w:val="nil"/>
          <w:insideV w:val="nil"/>
        </w:tcBorders>
        <w:shd w:val="clear" w:color="auto" w:fill="DFD8E8" w:themeFill="accent4"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cs="Times New Roman"/>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cs="Times New Roman"/>
      </w:rPr>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rPr>
        <w:rFonts w:cs="Times New Roman"/>
      </w:rPr>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top w:val="nil"/>
          <w:bottom w:val="nil"/>
          <w:insideH w:val="nil"/>
          <w:insideV w:val="nil"/>
        </w:tcBorders>
        <w:shd w:val="clear" w:color="auto" w:fill="D2EAF1" w:themeFill="accent5"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cs="Times New Roman"/>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cs="Times New Roman"/>
      </w:rPr>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rPr>
        <w:rFonts w:cs="Times New Roman"/>
      </w:rPr>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top w:val="nil"/>
          <w:bottom w:val="nil"/>
          <w:insideH w:val="nil"/>
          <w:insideV w:val="nil"/>
        </w:tcBorders>
        <w:shd w:val="clear" w:color="auto" w:fill="FDE4D0" w:themeFill="accent6"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pPr>
      <w:rPr>
        <w:rFonts w:cs="Times New Roman"/>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pPr>
      <w:rPr>
        <w:rFonts w:cs="Times New Roman"/>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hemeFill="text1" w:themeFillTint="3F"/>
      </w:tcPr>
    </w:tblStylePr>
    <w:tblStylePr w:type="band1Horz">
      <w:rPr>
        <w:rFonts w:cs="Times New Roman"/>
      </w:rPr>
      <w:tblPr/>
      <w:tcPr>
        <w:tcBorders>
          <w:insideH w:val="nil"/>
          <w:insideV w:val="nil"/>
        </w:tcBorders>
        <w:shd w:val="clear" w:color="auto" w:fill="C0C0C0" w:themeFill="text1" w:themeFillTint="3F"/>
      </w:tcPr>
    </w:tblStylePr>
    <w:tblStylePr w:type="band2Horz">
      <w:rPr>
        <w:rFonts w:cs="Times New Roman"/>
      </w:rPr>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pPr>
      <w:rPr>
        <w:rFonts w:cs="Times New Roman"/>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pPr>
      <w:rPr>
        <w:rFonts w:cs="Times New Roman"/>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hemeFill="accent1" w:themeFillTint="3F"/>
      </w:tcPr>
    </w:tblStylePr>
    <w:tblStylePr w:type="band1Horz">
      <w:rPr>
        <w:rFonts w:cs="Times New Roman"/>
      </w:rPr>
      <w:tblPr/>
      <w:tcPr>
        <w:tcBorders>
          <w:insideH w:val="nil"/>
          <w:insideV w:val="nil"/>
        </w:tcBorders>
        <w:shd w:val="clear" w:color="auto" w:fill="D3DFEE" w:themeFill="accent1" w:themeFillTint="3F"/>
      </w:tcPr>
    </w:tblStylePr>
    <w:tblStylePr w:type="band2Horz">
      <w:rPr>
        <w:rFonts w:cs="Times New Roman"/>
      </w:rPr>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pPr>
      <w:rPr>
        <w:rFonts w:cs="Times New Roman"/>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pPr>
      <w:rPr>
        <w:rFonts w:cs="Times New Roman"/>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hemeFill="accent2" w:themeFillTint="3F"/>
      </w:tcPr>
    </w:tblStylePr>
    <w:tblStylePr w:type="band1Horz">
      <w:rPr>
        <w:rFonts w:cs="Times New Roman"/>
      </w:rPr>
      <w:tblPr/>
      <w:tcPr>
        <w:tcBorders>
          <w:insideH w:val="nil"/>
          <w:insideV w:val="nil"/>
        </w:tcBorders>
        <w:shd w:val="clear" w:color="auto" w:fill="EFD3D2" w:themeFill="accent2" w:themeFillTint="3F"/>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pPr>
      <w:rPr>
        <w:rFonts w:cs="Times New Roman"/>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pPr>
      <w:rPr>
        <w:rFonts w:cs="Times New Roman"/>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hemeFill="accent3" w:themeFillTint="3F"/>
      </w:tcPr>
    </w:tblStylePr>
    <w:tblStylePr w:type="band1Horz">
      <w:rPr>
        <w:rFonts w:cs="Times New Roman"/>
      </w:rPr>
      <w:tblPr/>
      <w:tcPr>
        <w:tcBorders>
          <w:insideH w:val="nil"/>
          <w:insideV w:val="nil"/>
        </w:tcBorders>
        <w:shd w:val="clear" w:color="auto" w:fill="E6EED5" w:themeFill="accent3" w:themeFillTint="3F"/>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pPr>
      <w:rPr>
        <w:rFonts w:cs="Times New Roman"/>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pPr>
      <w:rPr>
        <w:rFonts w:cs="Times New Roman"/>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hemeFill="accent4" w:themeFillTint="3F"/>
      </w:tcPr>
    </w:tblStylePr>
    <w:tblStylePr w:type="band1Horz">
      <w:rPr>
        <w:rFonts w:cs="Times New Roman"/>
      </w:rPr>
      <w:tblPr/>
      <w:tcPr>
        <w:tcBorders>
          <w:insideH w:val="nil"/>
          <w:insideV w:val="nil"/>
        </w:tcBorders>
        <w:shd w:val="clear" w:color="auto" w:fill="DFD8E8" w:themeFill="accent4" w:themeFillTint="3F"/>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pPr>
      <w:rPr>
        <w:rFonts w:cs="Times New Roman"/>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pPr>
      <w:rPr>
        <w:rFonts w:cs="Times New Roman"/>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hemeFill="accent5" w:themeFillTint="3F"/>
      </w:tcPr>
    </w:tblStylePr>
    <w:tblStylePr w:type="band1Horz">
      <w:rPr>
        <w:rFonts w:cs="Times New Roman"/>
      </w:rPr>
      <w:tblPr/>
      <w:tcPr>
        <w:tcBorders>
          <w:insideH w:val="nil"/>
          <w:insideV w:val="nil"/>
        </w:tcBorders>
        <w:shd w:val="clear" w:color="auto" w:fill="D2EAF1" w:themeFill="accent5" w:themeFillTint="3F"/>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pPr>
      <w:rPr>
        <w:rFonts w:cs="Times New Roman"/>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pPr>
      <w:rPr>
        <w:rFonts w:cs="Times New Roman"/>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hemeFill="accent6" w:themeFillTint="3F"/>
      </w:tcPr>
    </w:tblStylePr>
    <w:tblStylePr w:type="band1Horz">
      <w:rPr>
        <w:rFonts w:cs="Times New Roman"/>
      </w:rPr>
      <w:tblPr/>
      <w:tcPr>
        <w:tcBorders>
          <w:insideH w:val="nil"/>
          <w:insideV w:val="nil"/>
        </w:tcBorders>
        <w:shd w:val="clear" w:color="auto" w:fill="FDE4D0" w:themeFill="accent6" w:themeFillTint="3F"/>
      </w:tcPr>
    </w:tblStylePr>
    <w:tblStylePr w:type="band2Horz">
      <w:rPr>
        <w:rFonts w:cs="Times New Roman"/>
      </w:rPr>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cs="Times New Roman"/>
        <w:b/>
        <w:bCs/>
        <w:color w:val="FFFFFF" w:themeColor="background1"/>
      </w:rPr>
      <w:tblPr/>
      <w:tcPr>
        <w:tcBorders>
          <w:left w:val="nil"/>
          <w:right w:val="nil"/>
          <w:insideH w:val="nil"/>
          <w:insideV w:val="nil"/>
        </w:tcBorders>
        <w:shd w:val="clear" w:color="auto" w:fill="4F81BD" w:themeFill="accen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cs="Times New Roman"/>
        <w:b/>
        <w:bCs/>
        <w:color w:val="FFFFFF" w:themeColor="background1"/>
      </w:rPr>
      <w:tblPr/>
      <w:tcPr>
        <w:tcBorders>
          <w:left w:val="nil"/>
          <w:right w:val="nil"/>
          <w:insideH w:val="nil"/>
          <w:insideV w:val="nil"/>
        </w:tcBorders>
        <w:shd w:val="clear" w:color="auto" w:fill="C0504D" w:themeFill="accent2"/>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cs="Times New Roman"/>
        <w:b/>
        <w:bCs/>
        <w:color w:val="FFFFFF" w:themeColor="background1"/>
      </w:rPr>
      <w:tblPr/>
      <w:tcPr>
        <w:tcBorders>
          <w:left w:val="nil"/>
          <w:right w:val="nil"/>
          <w:insideH w:val="nil"/>
          <w:insideV w:val="nil"/>
        </w:tcBorders>
        <w:shd w:val="clear" w:color="auto" w:fill="9BBB59" w:themeFill="accent3"/>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cs="Times New Roman"/>
        <w:b/>
        <w:bCs/>
        <w:color w:val="FFFFFF" w:themeColor="background1"/>
      </w:rPr>
      <w:tblPr/>
      <w:tcPr>
        <w:tcBorders>
          <w:left w:val="nil"/>
          <w:right w:val="nil"/>
          <w:insideH w:val="nil"/>
          <w:insideV w:val="nil"/>
        </w:tcBorders>
        <w:shd w:val="clear" w:color="auto" w:fill="8064A2" w:themeFill="accent4"/>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cs="Times New Roman"/>
        <w:b/>
        <w:bCs/>
        <w:color w:val="FFFFFF" w:themeColor="background1"/>
      </w:rPr>
      <w:tblPr/>
      <w:tcPr>
        <w:tcBorders>
          <w:left w:val="nil"/>
          <w:right w:val="nil"/>
          <w:insideH w:val="nil"/>
          <w:insideV w:val="nil"/>
        </w:tcBorders>
        <w:shd w:val="clear" w:color="auto" w:fill="4BACC6" w:themeFill="accent5"/>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cs="Times New Roman"/>
        <w:b/>
        <w:bCs/>
        <w:color w:val="FFFFFF" w:themeColor="background1"/>
      </w:rPr>
      <w:tblPr/>
      <w:tcPr>
        <w:tcBorders>
          <w:left w:val="nil"/>
          <w:right w:val="nil"/>
          <w:insideH w:val="nil"/>
          <w:insideV w:val="nil"/>
        </w:tcBorders>
        <w:shd w:val="clear" w:color="auto" w:fill="F79646" w:themeFill="accent6"/>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rFonts w:cs="Times New Roman"/>
      <w:color w:val="2B579A"/>
      <w:shd w:val="clear" w:color="auto" w:fill="E1DFDD"/>
      <w:lang w:val="en-GB" w:eastAsia="x-none"/>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imes New Roman"/>
      <w:shd w:val="pct20" w:color="auto" w:fill="auto"/>
      <w:lang w:val="en-GB" w:eastAsia="x-none"/>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eastAsia="x-none"/>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7F7F7F" w:themeColor="text1" w:themeTint="80"/>
        </w:tcBorders>
        <w:shd w:val="clear" w:color="auto" w:fill="FFFFFF" w:themeFill="background1"/>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eastAsia="x-none"/>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eastAsia="x-none"/>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eastAsia="x-none"/>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eastAsia="x-none"/>
    </w:rPr>
  </w:style>
  <w:style w:type="character" w:styleId="SmartHyperlink">
    <w:name w:val="Smart Hyperlink"/>
    <w:basedOn w:val="DefaultParagraphFont"/>
    <w:uiPriority w:val="99"/>
    <w:semiHidden/>
    <w:unhideWhenUsed/>
    <w:rsid w:val="00A111D1"/>
    <w:rPr>
      <w:rFonts w:cs="Times New Roman"/>
      <w:u w:val="dotted"/>
      <w:lang w:val="en-GB" w:eastAsia="x-none"/>
    </w:rPr>
  </w:style>
  <w:style w:type="character" w:styleId="SmartLink">
    <w:name w:val="Smart Link"/>
    <w:basedOn w:val="DefaultParagraphFont"/>
    <w:uiPriority w:val="99"/>
    <w:semiHidden/>
    <w:unhideWhenUsed/>
    <w:rsid w:val="00A111D1"/>
    <w:rPr>
      <w:rFonts w:cs="Times New Roman"/>
      <w:color w:val="0000FF"/>
      <w:u w:val="single"/>
      <w:shd w:val="clear" w:color="auto" w:fill="F3F2F1"/>
      <w:lang w:val="en-GB" w:eastAsia="x-none"/>
    </w:rPr>
  </w:style>
  <w:style w:type="character" w:styleId="Strong">
    <w:name w:val="Strong"/>
    <w:basedOn w:val="DefaultParagraphFont"/>
    <w:uiPriority w:val="22"/>
    <w:qFormat/>
    <w:rsid w:val="00A111D1"/>
    <w:rPr>
      <w:rFonts w:cs="Times New Roman"/>
      <w:b/>
      <w:bCs/>
      <w:lang w:val="en-GB" w:eastAsia="x-none"/>
    </w:rPr>
  </w:style>
  <w:style w:type="character" w:styleId="SubtleEmphasis">
    <w:name w:val="Subtle Emphasis"/>
    <w:basedOn w:val="DefaultParagraphFont"/>
    <w:uiPriority w:val="19"/>
    <w:qFormat/>
    <w:rsid w:val="00A111D1"/>
    <w:rPr>
      <w:rFonts w:cs="Times New Roman"/>
      <w:i/>
      <w:iCs/>
      <w:color w:val="404040" w:themeColor="text1" w:themeTint="BF"/>
      <w:lang w:val="en-GB" w:eastAsia="x-none"/>
    </w:rPr>
  </w:style>
  <w:style w:type="character" w:styleId="SubtleReference">
    <w:name w:val="Subtle Reference"/>
    <w:basedOn w:val="DefaultParagraphFont"/>
    <w:uiPriority w:val="31"/>
    <w:qFormat/>
    <w:rsid w:val="00A111D1"/>
    <w:rPr>
      <w:rFonts w:cs="Times New Roman"/>
      <w:smallCaps/>
      <w:color w:val="5A5A5A" w:themeColor="text1" w:themeTint="A5"/>
      <w:lang w:val="en-GB" w:eastAsia="x-none"/>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rFonts w:cs="Times New Roman"/>
        <w:b/>
        <w:bCs/>
        <w:color w:val="800080"/>
      </w:rPr>
      <w:tblPr/>
      <w:tcPr>
        <w:tcBorders>
          <w:bottom w:val="single" w:sz="6" w:space="0" w:color="808080"/>
          <w:tl2br w:val="none" w:sz="6" w:space="0" w:color="auto"/>
          <w:tr2bl w:val="none" w:sz="6" w:space="0" w:color="auto"/>
        </w:tcBorders>
      </w:tcPr>
    </w:tblStylePr>
    <w:tblStylePr w:type="lastRow">
      <w:rPr>
        <w:rFonts w:cs="Times New Roman"/>
      </w:rPr>
      <w:tblPr/>
      <w:tcPr>
        <w:tcBorders>
          <w:top w:val="single" w:sz="6" w:space="0" w:color="FFFFFF"/>
          <w:tl2br w:val="none" w:sz="6" w:space="0" w:color="auto"/>
          <w:tr2bl w:val="none" w:sz="6" w:space="0" w:color="auto"/>
        </w:tcBorders>
      </w:tcPr>
    </w:tblStylePr>
    <w:tblStylePr w:type="firstCol">
      <w:rPr>
        <w:rFonts w:cs="Times New Roman"/>
        <w:b/>
        <w:bCs/>
      </w:rPr>
      <w:tblPr/>
      <w:tcPr>
        <w:tcBorders>
          <w:right w:val="single" w:sz="6" w:space="0" w:color="808080"/>
          <w:tl2br w:val="none" w:sz="6" w:space="0" w:color="auto"/>
          <w:tr2bl w:val="none" w:sz="6" w:space="0" w:color="auto"/>
        </w:tcBorders>
      </w:tcPr>
    </w:tblStylePr>
    <w:tblStylePr w:type="lastCol">
      <w:rPr>
        <w:rFonts w:cs="Times New Roman"/>
      </w:rPr>
      <w:tblPr/>
      <w:tcPr>
        <w:tcBorders>
          <w:left w:val="single" w:sz="6" w:space="0" w:color="FFFFFF"/>
          <w:tl2br w:val="none" w:sz="6" w:space="0" w:color="auto"/>
          <w:tr2bl w:val="none" w:sz="6" w:space="0" w:color="auto"/>
        </w:tcBorders>
      </w:tcPr>
    </w:tblStylePr>
    <w:tblStylePr w:type="neCell">
      <w:rPr>
        <w:rFonts w:cs="Times New Roman"/>
      </w:rPr>
      <w:tblPr/>
      <w:tcPr>
        <w:tcBorders>
          <w:left w:val="none" w:sz="6" w:space="0" w:color="auto"/>
          <w:bottom w:val="none" w:sz="6" w:space="0" w:color="auto"/>
          <w:tl2br w:val="none" w:sz="6" w:space="0" w:color="auto"/>
          <w:tr2bl w:val="none" w:sz="6" w:space="0" w:color="auto"/>
        </w:tcBorders>
      </w:tcPr>
    </w:tblStylePr>
    <w:tblStylePr w:type="nwCell">
      <w:rPr>
        <w:rFonts w:cs="Times New Roman"/>
      </w:rPr>
      <w:tblPr/>
      <w:tcPr>
        <w:tcBorders>
          <w:bottom w:val="none" w:sz="6" w:space="0" w:color="auto"/>
          <w:right w:val="none" w:sz="6" w:space="0" w:color="auto"/>
          <w:tl2br w:val="none" w:sz="6" w:space="0" w:color="auto"/>
          <w:tr2bl w:val="none" w:sz="6" w:space="0" w:color="auto"/>
        </w:tcBorders>
      </w:tcPr>
    </w:tblStylePr>
    <w:tblStylePr w:type="seCell">
      <w:rPr>
        <w:rFonts w:cs="Times New Roman"/>
      </w:rPr>
      <w:tblPr/>
      <w:tcPr>
        <w:tcBorders>
          <w:top w:val="none" w:sz="6" w:space="0" w:color="auto"/>
          <w:left w:val="none" w:sz="6" w:space="0" w:color="auto"/>
          <w:tl2br w:val="none" w:sz="6" w:space="0" w:color="auto"/>
          <w:tr2bl w:val="none" w:sz="6" w:space="0" w:color="auto"/>
        </w:tcBorders>
      </w:tcPr>
    </w:tblStylePr>
    <w:tblStylePr w:type="swCell">
      <w:rPr>
        <w:rFonts w:cs="Times New Roman"/>
        <w:color w:val="000080"/>
      </w:rPr>
      <w:tblPr/>
      <w:tcPr>
        <w:tcBorders>
          <w:top w:val="none" w:sz="6" w:space="0" w:color="auto"/>
          <w:right w:val="none" w:sz="6" w:space="0" w:color="auto"/>
          <w:tl2br w:val="none" w:sz="6" w:space="0" w:color="auto"/>
          <w:tr2bl w:val="none" w:sz="6"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rPr>
      <w:tblPr/>
      <w:tcPr>
        <w:tcBorders>
          <w:right w:val="single" w:sz="6" w:space="0" w:color="000000"/>
          <w:tl2br w:val="none" w:sz="6" w:space="0" w:color="auto"/>
          <w:tr2bl w:val="none" w:sz="6" w:space="0" w:color="auto"/>
        </w:tcBorders>
      </w:tcPr>
    </w:tblStylePr>
    <w:tblStylePr w:type="neCell">
      <w:rPr>
        <w:rFonts w:cs="Times New Roman"/>
        <w:b/>
        <w:bCs/>
        <w:i w:val="0"/>
        <w:iCs w:val="0"/>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6" w:space="0" w:color="auto"/>
          <w:tr2bl w:val="none" w:sz="6" w:space="0" w:color="auto"/>
        </w:tcBorders>
        <w:shd w:val="solid" w:color="80008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shd w:val="solid" w:color="C0C0C0" w:fill="FFFFFF"/>
      </w:tcPr>
    </w:tblStylePr>
    <w:tblStylePr w:type="neCell">
      <w:rPr>
        <w:rFonts w:cs="Times New Roman"/>
        <w:b/>
        <w:bCs/>
      </w:rPr>
      <w:tblPr/>
      <w:tcPr>
        <w:tcBorders>
          <w:tl2br w:val="none" w:sz="6" w:space="0" w:color="auto"/>
          <w:tr2bl w:val="none" w:sz="6" w:space="0" w:color="auto"/>
        </w:tcBorders>
      </w:tcPr>
    </w:tblStylePr>
    <w:tblStylePr w:type="nwCell">
      <w:rPr>
        <w:rFonts w:cs="Times New Roman"/>
      </w:rPr>
      <w:tblPr/>
      <w:tcPr>
        <w:tcBorders>
          <w:tl2br w:val="none" w:sz="6" w:space="0" w:color="auto"/>
          <w:tr2bl w:val="none" w:sz="6" w:space="0" w:color="auto"/>
        </w:tcBorders>
        <w:shd w:val="solid" w:color="800080" w:fill="FFFFFF"/>
      </w:tcPr>
    </w:tblStylePr>
    <w:tblStylePr w:type="swCell">
      <w:rPr>
        <w:rFonts w:cs="Times New Roman"/>
        <w:color w:val="000080"/>
      </w:rPr>
      <w:tblPr/>
      <w:tcPr>
        <w:tcBorders>
          <w:tl2br w:val="none" w:sz="6" w:space="0" w:color="auto"/>
          <w:tr2bl w:val="none" w:sz="6"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6" w:space="0" w:color="auto"/>
          <w:tr2bl w:val="none" w:sz="6" w:space="0" w:color="auto"/>
        </w:tcBorders>
        <w:shd w:val="solid" w:color="000080" w:fill="FFFFFF"/>
      </w:tcPr>
    </w:tblStylePr>
    <w:tblStylePr w:type="lastRow">
      <w:rPr>
        <w:rFonts w:cs="Times New Roman"/>
        <w:color w:val="000080"/>
      </w:rPr>
      <w:tblPr/>
      <w:tcPr>
        <w:tcBorders>
          <w:top w:val="single" w:sz="12" w:space="0" w:color="000000"/>
          <w:tl2br w:val="none" w:sz="6" w:space="0" w:color="auto"/>
          <w:tr2bl w:val="none" w:sz="6" w:space="0" w:color="auto"/>
        </w:tcBorders>
        <w:shd w:val="solid" w:color="FFFFFF" w:fill="FFFFFF"/>
      </w:tcPr>
    </w:tblStylePr>
    <w:tblStylePr w:type="firstCol">
      <w:rPr>
        <w:rFonts w:cs="Times New Roman"/>
        <w:b/>
        <w:bCs/>
        <w:color w:val="000000"/>
      </w:rPr>
      <w:tblPr/>
      <w:tcPr>
        <w:tcBorders>
          <w:tl2br w:val="none" w:sz="6" w:space="0" w:color="auto"/>
          <w:tr2bl w:val="none" w:sz="6"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6" w:space="0" w:color="auto"/>
          <w:tr2bl w:val="none" w:sz="6" w:space="0" w:color="auto"/>
        </w:tcBorders>
        <w:shd w:val="pct50" w:color="000080" w:fill="FFFFFF"/>
      </w:tcPr>
    </w:tblStylePr>
    <w:tblStylePr w:type="lastRow">
      <w:rPr>
        <w:rFonts w:cs="Times New Roman"/>
        <w:color w:val="000080"/>
      </w:rPr>
      <w:tblPr/>
      <w:tcPr>
        <w:tcBorders>
          <w:bottom w:val="single" w:sz="6" w:space="0" w:color="000000"/>
          <w:tl2br w:val="none" w:sz="6" w:space="0" w:color="auto"/>
          <w:tr2bl w:val="none" w:sz="6" w:space="0" w:color="auto"/>
        </w:tcBorders>
        <w:shd w:val="pct50" w:color="000000" w:fill="FFFFFF"/>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b/>
        <w:bCs/>
      </w:rPr>
      <w:tblPr/>
      <w:tcPr>
        <w:tcBorders>
          <w:tl2br w:val="none" w:sz="6" w:space="0" w:color="auto"/>
          <w:tr2bl w:val="none" w:sz="6" w:space="0" w:color="auto"/>
        </w:tcBorders>
      </w:tcPr>
    </w:tblStylePr>
    <w:tblStylePr w:type="swCell">
      <w:rPr>
        <w:rFonts w:cs="Times New Roman"/>
        <w:color w:val="000080"/>
      </w:rPr>
      <w:tblPr/>
      <w:tcPr>
        <w:tcBorders>
          <w:tl2br w:val="none" w:sz="6" w:space="0" w:color="auto"/>
          <w:tr2bl w:val="none" w:sz="6"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6" w:space="0" w:color="auto"/>
          <w:tr2bl w:val="none" w:sz="6" w:space="0" w:color="auto"/>
        </w:tcBorders>
        <w:shd w:val="solid" w:color="000000" w:fill="FFFFFF"/>
      </w:tcPr>
    </w:tblStylePr>
    <w:tblStylePr w:type="firstCol">
      <w:rPr>
        <w:rFonts w:cs="Times New Roman"/>
        <w:b/>
        <w:bCs/>
        <w:i/>
        <w:iCs/>
      </w:rPr>
      <w:tblPr/>
      <w:tcPr>
        <w:tcBorders>
          <w:tl2br w:val="none" w:sz="6" w:space="0" w:color="auto"/>
          <w:tr2bl w:val="none" w:sz="6" w:space="0" w:color="auto"/>
        </w:tcBorders>
        <w:shd w:val="solid" w:color="000080" w:fill="FFFFFF"/>
      </w:tcPr>
    </w:tblStylePr>
    <w:tblStylePr w:type="nwCell">
      <w:rPr>
        <w:rFonts w:cs="Times New Roman"/>
      </w:rPr>
      <w:tblPr/>
      <w:tcPr>
        <w:tcBorders>
          <w:tl2br w:val="none" w:sz="6" w:space="0" w:color="auto"/>
          <w:tr2bl w:val="none" w:sz="6" w:space="0" w:color="auto"/>
        </w:tcBorders>
        <w:shd w:val="solid" w:color="00000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6" w:space="0" w:color="auto"/>
          <w:tr2bl w:val="none" w:sz="6" w:space="0" w:color="auto"/>
        </w:tcBorders>
        <w:shd w:val="solid" w:color="800000" w:fill="FFFFFF"/>
      </w:tcPr>
    </w:tblStylePr>
    <w:tblStylePr w:type="firstCol">
      <w:rPr>
        <w:rFonts w:cs="Times New Roman"/>
        <w:b/>
        <w:bCs/>
        <w:i/>
        <w:iCs/>
      </w:rPr>
      <w:tblPr/>
      <w:tcPr>
        <w:tcBorders>
          <w:tl2br w:val="none" w:sz="6" w:space="0" w:color="auto"/>
          <w:tr2bl w:val="none" w:sz="6" w:space="0" w:color="auto"/>
        </w:tcBorders>
      </w:tcPr>
    </w:tblStylePr>
    <w:tblStylePr w:type="lastCol">
      <w:rPr>
        <w:rFonts w:cs="Times New Roman"/>
      </w:rPr>
      <w:tblPr/>
      <w:tcPr>
        <w:tcBorders>
          <w:tl2br w:val="none" w:sz="6" w:space="0" w:color="auto"/>
          <w:tr2bl w:val="none" w:sz="6" w:space="0" w:color="auto"/>
        </w:tcBorders>
        <w:shd w:val="solid" w:color="C0C0C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6" w:space="0" w:color="auto"/>
          <w:tr2bl w:val="none" w:sz="6"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6" w:space="0" w:color="auto"/>
          <w:tr2bl w:val="none" w:sz="6" w:space="0" w:color="auto"/>
        </w:tcBorders>
        <w:shd w:val="solid" w:color="008080" w:fill="FFFFFF"/>
      </w:tcPr>
    </w:tblStylePr>
    <w:tblStylePr w:type="nwCell">
      <w:rPr>
        <w:rFonts w:cs="Times New Roman"/>
        <w:b/>
        <w:bCs/>
        <w:color w:val="FFFFFF"/>
      </w:rPr>
      <w:tblPr/>
      <w:tcPr>
        <w:tcBorders>
          <w:tl2br w:val="none" w:sz="6" w:space="0" w:color="auto"/>
          <w:tr2bl w:val="none" w:sz="6"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6" w:space="0" w:color="auto"/>
          <w:tr2bl w:val="none" w:sz="6" w:space="0" w:color="auto"/>
        </w:tcBorders>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color w:val="00000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op w:val="single" w:sz="6" w:space="0" w:color="00008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6" w:space="0" w:color="auto"/>
          <w:tr2bl w:val="none" w:sz="6"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rFonts w:cs="Times New Roman"/>
        <w:color w:val="FFFFFF"/>
      </w:rPr>
      <w:tblPr/>
      <w:tcPr>
        <w:tcBorders>
          <w:tl2br w:val="none" w:sz="6" w:space="0" w:color="auto"/>
          <w:tr2bl w:val="none" w:sz="6" w:space="0" w:color="auto"/>
        </w:tcBorders>
        <w:shd w:val="solid" w:color="0000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6" w:space="0" w:color="auto"/>
          <w:tr2bl w:val="none" w:sz="6" w:space="0" w:color="auto"/>
        </w:tcBorders>
      </w:tcPr>
    </w:tblStylePr>
    <w:tblStylePr w:type="lastRow">
      <w:rPr>
        <w:rFonts w:cs="Times New Roman"/>
        <w:b/>
        <w:bCs/>
      </w:rPr>
      <w:tblPr/>
      <w:tcPr>
        <w:tcBorders>
          <w:top w:val="single" w:sz="6" w:space="0" w:color="80808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6" w:space="0" w:color="auto"/>
          <w:tr2bl w:val="none" w:sz="6" w:space="0" w:color="auto"/>
        </w:tcBorders>
        <w:shd w:val="pct20" w:color="000000" w:fill="FFFFFF"/>
      </w:tcPr>
    </w:tblStylePr>
    <w:tblStylePr w:type="band1Horz">
      <w:rPr>
        <w:rFonts w:cs="Times New Roman"/>
        <w:color w:val="auto"/>
      </w:rPr>
      <w:tblPr/>
      <w:tcPr>
        <w:tcBorders>
          <w:tl2br w:val="none" w:sz="6" w:space="0" w:color="auto"/>
          <w:tr2bl w:val="none" w:sz="6" w:space="0" w:color="auto"/>
        </w:tcBorders>
        <w:shd w:val="pct5" w:color="000000" w:fill="FFFFFF"/>
      </w:tcPr>
    </w:tblStylePr>
    <w:tblStylePr w:type="band2Horz">
      <w:rPr>
        <w:rFonts w:cs="Times New Roman"/>
        <w:color w:val="auto"/>
      </w:rPr>
      <w:tblPr/>
      <w:tcPr>
        <w:tcBorders>
          <w:tl2br w:val="none" w:sz="6" w:space="0" w:color="auto"/>
          <w:tr2bl w:val="none" w:sz="6"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6" w:space="0" w:color="auto"/>
          <w:tr2bl w:val="none" w:sz="6"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6" w:space="0" w:color="auto"/>
          <w:tr2bl w:val="none" w:sz="6" w:space="0" w:color="auto"/>
        </w:tcBorders>
      </w:tcPr>
    </w:tblStylePr>
    <w:tblStylePr w:type="lastCol">
      <w:rPr>
        <w:rFonts w:cs="Times New Roman"/>
        <w:i/>
        <w:iCs/>
      </w:rPr>
      <w:tblPr/>
      <w:tcPr>
        <w:tcBorders>
          <w:tl2br w:val="none" w:sz="6" w:space="0" w:color="auto"/>
          <w:tr2bl w:val="none" w:sz="6"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Times New Roman"/>
        <w:b/>
        <w:bCs/>
      </w:rPr>
      <w:tblPr/>
      <w:tcPr>
        <w:tcBorders>
          <w:tl2br w:val="none" w:sz="6" w:space="0" w:color="auto"/>
          <w:tr2bl w:val="none" w:sz="6" w:space="0" w:color="auto"/>
        </w:tcBorders>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color w:val="auto"/>
      </w:rPr>
      <w:tblPr/>
      <w:tcPr>
        <w:tcBorders>
          <w:top w:val="single" w:sz="6" w:space="0" w:color="000000"/>
          <w:tl2br w:val="none" w:sz="6" w:space="0" w:color="auto"/>
          <w:tr2bl w:val="none" w:sz="6" w:space="0" w:color="auto"/>
        </w:tcBorders>
        <w:shd w:val="pct30" w:color="FFFF00" w:fill="FFFFFF"/>
      </w:tcPr>
    </w:tblStylePr>
    <w:tblStylePr w:type="lastCol">
      <w:rPr>
        <w:rFonts w:cs="Times New Roman"/>
        <w:b/>
        <w:bCs/>
        <w:color w:val="auto"/>
      </w:rPr>
      <w:tblPr/>
      <w:tcPr>
        <w:tcBorders>
          <w:tl2br w:val="none" w:sz="6" w:space="0" w:color="auto"/>
          <w:tr2bl w:val="none" w:sz="6"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6" w:space="0" w:color="auto"/>
          <w:tr2bl w:val="none" w:sz="6" w:space="0" w:color="auto"/>
        </w:tcBorders>
      </w:tcPr>
    </w:tblStylePr>
    <w:tblStylePr w:type="lastRow">
      <w:rPr>
        <w:rFonts w:cs="Times New Roman"/>
        <w:b w:val="0"/>
        <w:bCs w:val="0"/>
      </w:rPr>
      <w:tblPr/>
      <w:tcPr>
        <w:tcBorders>
          <w:top w:val="single" w:sz="6" w:space="0" w:color="00000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6" w:space="0" w:color="auto"/>
          <w:tr2bl w:val="none" w:sz="6" w:space="0" w:color="auto"/>
        </w:tcBorders>
        <w:shd w:val="solid" w:color="000080" w:fill="FFFFFF"/>
      </w:tcPr>
    </w:tblStylePr>
    <w:tblStylePr w:type="lastRow">
      <w:rPr>
        <w:rFonts w:cs="Times New Roman"/>
        <w:b/>
        <w:bCs/>
        <w:color w:val="auto"/>
      </w:rPr>
      <w:tblPr/>
      <w:tcPr>
        <w:tcBorders>
          <w:tl2br w:val="none" w:sz="6" w:space="0" w:color="auto"/>
          <w:tr2bl w:val="none" w:sz="6" w:space="0" w:color="auto"/>
        </w:tcBorders>
      </w:tcPr>
    </w:tblStylePr>
    <w:tblStylePr w:type="lastCol">
      <w:rPr>
        <w:rFonts w:cs="Times New Roman"/>
        <w:b/>
        <w:bCs/>
        <w:color w:val="auto"/>
      </w:rPr>
      <w:tblPr/>
      <w:tcPr>
        <w:tcBorders>
          <w:tl2br w:val="none" w:sz="6" w:space="0" w:color="auto"/>
          <w:tr2bl w:val="none" w:sz="6"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6" w:space="0" w:color="auto"/>
          <w:tr2bl w:val="none" w:sz="6" w:space="0" w:color="auto"/>
        </w:tcBorders>
        <w:shd w:val="solid" w:color="C0C0C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solid" w:color="C0C0C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6" w:space="0" w:color="auto"/>
          <w:tr2bl w:val="none" w:sz="6" w:space="0" w:color="auto"/>
        </w:tcBorders>
        <w:shd w:val="pct75" w:color="008080" w:fill="008000"/>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FF0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swCell">
      <w:rPr>
        <w:rFonts w:cs="Times New Roman"/>
        <w:i/>
        <w:iCs/>
        <w:color w:val="000080"/>
      </w:rPr>
      <w:tblPr/>
      <w:tcPr>
        <w:tcBorders>
          <w:tl2br w:val="none" w:sz="6" w:space="0" w:color="auto"/>
          <w:tr2bl w:val="none" w:sz="6"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6" w:space="0" w:color="auto"/>
          <w:tr2bl w:val="none" w:sz="6"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band1Horz">
      <w:rPr>
        <w:rFonts w:cs="Times New Roman"/>
      </w:rPr>
      <w:tblPr/>
      <w:tcPr>
        <w:tcBorders>
          <w:tl2br w:val="none" w:sz="6" w:space="0" w:color="auto"/>
          <w:tr2bl w:val="none" w:sz="6"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6" w:space="0" w:color="auto"/>
          <w:tr2bl w:val="none" w:sz="6" w:space="0" w:color="auto"/>
        </w:tcBorders>
        <w:shd w:val="solid" w:color="C0C0C0" w:fill="FFFFFF"/>
      </w:tcPr>
    </w:tblStylePr>
    <w:tblStylePr w:type="lastRow">
      <w:rPr>
        <w:rFonts w:cs="Times New Roman"/>
        <w:b/>
        <w:bCs/>
      </w:rPr>
      <w:tblPr/>
      <w:tcPr>
        <w:tcBorders>
          <w:top w:val="single" w:sz="12" w:space="0" w:color="008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0000" w:fill="FFFFFF"/>
      </w:tcPr>
    </w:tblStylePr>
    <w:tblStylePr w:type="band2Horz">
      <w:rPr>
        <w:rFonts w:cs="Times New Roman"/>
      </w:rPr>
      <w:tblPr/>
      <w:tcPr>
        <w:tcBorders>
          <w:tl2br w:val="none" w:sz="6" w:space="0" w:color="auto"/>
          <w:tr2bl w:val="none" w:sz="6"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6" w:space="0" w:color="auto"/>
          <w:tr2bl w:val="none" w:sz="6" w:space="0" w:color="auto"/>
        </w:tcBorders>
        <w:shd w:val="solid" w:color="FFFF00" w:fill="FFFFFF"/>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5" w:color="FFFF00" w:fill="FFFFFF"/>
      </w:tcPr>
    </w:tblStylePr>
    <w:tblStylePr w:type="band2Horz">
      <w:rPr>
        <w:rFonts w:cs="Times New Roman"/>
      </w:rPr>
      <w:tblPr/>
      <w:tcPr>
        <w:tcBorders>
          <w:tl2br w:val="none" w:sz="6" w:space="0" w:color="auto"/>
          <w:tr2bl w:val="none" w:sz="6"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6" w:space="0" w:color="auto"/>
          <w:tr2bl w:val="none" w:sz="6"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rFonts w:cs="Times New Roman"/>
        <w:b/>
        <w:bCs/>
      </w:rPr>
      <w:tblPr/>
      <w:tcPr>
        <w:tcBorders>
          <w:bottom w:val="single" w:sz="12" w:space="0" w:color="000000"/>
          <w:tl2br w:val="none" w:sz="6" w:space="0" w:color="auto"/>
          <w:tr2bl w:val="none" w:sz="6" w:space="0" w:color="auto"/>
        </w:tcBorders>
      </w:tcPr>
    </w:tblStylePr>
    <w:tblStylePr w:type="lastRow">
      <w:rPr>
        <w:rFonts w:cs="Times New Roman"/>
        <w:b/>
        <w:bCs/>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lastCol">
      <w:rPr>
        <w:rFonts w:cs="Times New Roman"/>
        <w:b/>
        <w:bCs/>
      </w:rPr>
      <w:tblPr/>
      <w:tcPr>
        <w:tcBorders>
          <w:left w:val="single" w:sz="6" w:space="0" w:color="000000"/>
          <w:tl2br w:val="none" w:sz="6" w:space="0" w:color="auto"/>
          <w:tr2bl w:val="none" w:sz="6" w:space="0" w:color="auto"/>
        </w:tcBorders>
      </w:tcPr>
    </w:tblStylePr>
    <w:tblStylePr w:type="neCell">
      <w:rPr>
        <w:rFonts w:cs="Times New Roman"/>
        <w:b/>
        <w:bCs/>
      </w:rPr>
      <w:tblPr/>
      <w:tcPr>
        <w:tcBorders>
          <w:left w:val="none" w:sz="6" w:space="0" w:color="auto"/>
          <w:tl2br w:val="none" w:sz="6" w:space="0" w:color="auto"/>
          <w:tr2bl w:val="none" w:sz="6" w:space="0" w:color="auto"/>
        </w:tcBorders>
      </w:tcPr>
    </w:tblStylePr>
    <w:tblStylePr w:type="swCell">
      <w:rPr>
        <w:rFonts w:cs="Times New Roman"/>
        <w:b/>
        <w:bCs/>
      </w:rPr>
      <w:tblPr/>
      <w:tcPr>
        <w:tcBorders>
          <w:top w:val="none" w:sz="6" w:space="0" w:color="auto"/>
          <w:tl2br w:val="none" w:sz="6" w:space="0" w:color="auto"/>
          <w:tr2bl w:val="none" w:sz="6"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6" w:space="0" w:color="auto"/>
          <w:tr2bl w:val="none" w:sz="6"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rPr>
        <w:rFonts w:cs="Times New Roman"/>
      </w:rPr>
      <w:tblPr/>
      <w:tcPr>
        <w:tcBorders>
          <w:top w:val="single" w:sz="6" w:space="0" w:color="000000"/>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shd w:val="pct25" w:color="800080" w:fill="FFFFFF"/>
      </w:tcPr>
    </w:tblStylePr>
    <w:tblStylePr w:type="firstCol">
      <w:rPr>
        <w:rFonts w:cs="Times New Roman"/>
      </w:rPr>
      <w:tblPr/>
      <w:tcPr>
        <w:tcBorders>
          <w:right w:val="single" w:sz="12" w:space="0" w:color="000000"/>
          <w:tl2br w:val="none" w:sz="6" w:space="0" w:color="auto"/>
          <w:tr2bl w:val="none" w:sz="6" w:space="0" w:color="auto"/>
        </w:tcBorders>
      </w:tcPr>
    </w:tblStylePr>
    <w:tblStylePr w:type="lastCol">
      <w:rPr>
        <w:rFonts w:cs="Times New Roman"/>
      </w:rPr>
      <w:tblPr/>
      <w:tcPr>
        <w:tcBorders>
          <w:left w:val="single" w:sz="12" w:space="0" w:color="000000"/>
          <w:tl2br w:val="none" w:sz="6" w:space="0" w:color="auto"/>
          <w:tr2bl w:val="none" w:sz="6" w:space="0" w:color="auto"/>
        </w:tcBorders>
      </w:tcPr>
    </w:tblStylePr>
    <w:tblStylePr w:type="band1Horz">
      <w:rPr>
        <w:rFonts w:cs="Times New Roman"/>
      </w:rPr>
      <w:tblPr/>
      <w:tcPr>
        <w:tcBorders>
          <w:bottom w:val="single" w:sz="6"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firstCol">
      <w:rPr>
        <w:rFonts w:cs="Times New Roman"/>
      </w:rPr>
      <w:tblPr/>
      <w:tcPr>
        <w:tcBorders>
          <w:right w:val="single" w:sz="12" w:space="0" w:color="000000"/>
          <w:tl2br w:val="none" w:sz="6" w:space="0" w:color="auto"/>
          <w:tr2bl w:val="none" w:sz="6" w:space="0" w:color="auto"/>
        </w:tcBorders>
        <w:shd w:val="pct25" w:color="008000" w:fill="FFFFFF"/>
      </w:tcPr>
    </w:tblStylePr>
    <w:tblStylePr w:type="lastCol">
      <w:rPr>
        <w:rFonts w:cs="Times New Roman"/>
      </w:rPr>
      <w:tblPr/>
      <w:tcPr>
        <w:tcBorders>
          <w:left w:val="single" w:sz="12"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styleId="UnresolvedMention">
    <w:name w:val="Unresolved Mention"/>
    <w:basedOn w:val="DefaultParagraphFont"/>
    <w:uiPriority w:val="99"/>
    <w:semiHidden/>
    <w:unhideWhenUsed/>
    <w:rsid w:val="00A111D1"/>
    <w:rPr>
      <w:rFonts w:cs="Times New Roman"/>
      <w:color w:val="605E5C"/>
      <w:shd w:val="clear" w:color="auto" w:fill="E1DFDD"/>
      <w:lang w:val="en-GB" w:eastAsia="x-none"/>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heme="minorEastAsia"/>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heme="minorEastAsia"/>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hAnsi="Times New Roman"/>
      <w:sz w:val="22"/>
      <w:lang w:val="en-CA"/>
    </w:rPr>
  </w:style>
  <w:style w:type="paragraph" w:customStyle="1" w:styleId="Para30">
    <w:name w:val="Para 3"/>
    <w:basedOn w:val="Normal"/>
    <w:qFormat/>
    <w:rsid w:val="00581D45"/>
    <w:pPr>
      <w:numPr>
        <w:numId w:val="19"/>
      </w:numPr>
      <w:tabs>
        <w:tab w:val="clear" w:pos="567"/>
        <w:tab w:val="clear" w:pos="1134"/>
        <w:tab w:val="clear" w:pos="2268"/>
      </w:tabs>
      <w:spacing w:before="120" w:after="120"/>
      <w:ind w:left="1134" w:firstLine="0"/>
    </w:pPr>
    <w:rPr>
      <w:rFonts w:eastAsiaTheme="minorEastAsia"/>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heme="minorEastAsia"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heme="minorEastAsia"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heme="minorEastAsia"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heme="minorEastAsia" w:hAnsi="Calibri"/>
      <w:color w:val="272727"/>
      <w:lang w:val="en-CA" w:eastAsia="en-CA"/>
    </w:rPr>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Times New Roman" w:hAnsi="Calibri" w:cs="Calibri"/>
      <w:i/>
      <w:iCs/>
      <w:color w:val="404040"/>
      <w:lang w:val="en-CA" w:eastAsia="en-CA"/>
    </w:rPr>
  </w:style>
  <w:style w:type="character" w:customStyle="1" w:styleId="IntenseEmphasis1">
    <w:name w:val="Intense Emphasis1"/>
    <w:basedOn w:val="DefaultParagraphFont"/>
    <w:uiPriority w:val="21"/>
    <w:qFormat/>
    <w:rsid w:val="00581D45"/>
    <w:rPr>
      <w:rFonts w:cs="Times New Roman"/>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Times New Roman" w:hAnsi="Calibri" w:cs="Calibri"/>
      <w:i/>
      <w:iCs/>
      <w:color w:val="0F4761"/>
      <w:lang w:val="en-CA" w:eastAsia="en-CA"/>
    </w:rPr>
  </w:style>
  <w:style w:type="character" w:customStyle="1" w:styleId="IntenseReference1">
    <w:name w:val="Intense Reference1"/>
    <w:basedOn w:val="DefaultParagraphFont"/>
    <w:uiPriority w:val="32"/>
    <w:qFormat/>
    <w:rsid w:val="00581D45"/>
    <w:rPr>
      <w:rFonts w:cs="Times New Roman"/>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val="x-none" w:eastAsia="en-CA"/>
    </w:rPr>
  </w:style>
  <w:style w:type="character" w:customStyle="1" w:styleId="Para1Char1">
    <w:name w:val="Para1 Char1"/>
    <w:locked/>
    <w:rsid w:val="00581D45"/>
    <w:rPr>
      <w:sz w:val="18"/>
      <w:lang w:val="en-GB" w:eastAsia="x-none"/>
    </w:rPr>
  </w:style>
  <w:style w:type="character" w:customStyle="1" w:styleId="ListParagraphChar">
    <w:name w:val="List Paragraph Char"/>
    <w:link w:val="ListParagraph"/>
    <w:qFormat/>
    <w:locked/>
    <w:rsid w:val="00581D45"/>
    <w:rPr>
      <w:rFonts w:ascii="Times New Roman" w:eastAsia="SimSun" w:hAnsi="Times New Roman"/>
      <w:sz w:val="22"/>
      <w:lang w:val="en-GB" w:eastAsia="x-none"/>
    </w:rPr>
  </w:style>
  <w:style w:type="character" w:customStyle="1" w:styleId="break-word">
    <w:name w:val="break-word"/>
    <w:basedOn w:val="DefaultParagraphFont"/>
    <w:rsid w:val="00581D45"/>
    <w:rPr>
      <w:rFonts w:cs="Times New Roman"/>
    </w:rPr>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Times New Roman" w:hAnsi="Aptos" w:cs="Aptos"/>
      <w:lang w:val="en-CA" w:eastAsia="en-CA"/>
    </w:rPr>
  </w:style>
  <w:style w:type="character" w:customStyle="1" w:styleId="ui-provider">
    <w:name w:val="ui-provider"/>
    <w:basedOn w:val="DefaultParagraphFont"/>
    <w:rsid w:val="00581D45"/>
    <w:rPr>
      <w:rFonts w:cs="Times New Roman"/>
    </w:rPr>
  </w:style>
  <w:style w:type="character" w:customStyle="1" w:styleId="Heading6Char1">
    <w:name w:val="Heading 6 Char1"/>
    <w:basedOn w:val="DefaultParagraphFont"/>
    <w:uiPriority w:val="9"/>
    <w:semiHidden/>
    <w:rsid w:val="00581D45"/>
    <w:rPr>
      <w:rFonts w:asciiTheme="majorHAnsi" w:eastAsiaTheme="majorEastAsia" w:hAnsiTheme="majorHAnsi" w:cs="Times New Roman"/>
      <w:color w:val="243F60" w:themeColor="accent1" w:themeShade="7F"/>
      <w:kern w:val="0"/>
      <w:sz w:val="24"/>
      <w:szCs w:val="24"/>
      <w:lang w:val="en-GB" w:eastAsia="x-none"/>
    </w:rPr>
  </w:style>
  <w:style w:type="character" w:customStyle="1" w:styleId="Heading7Char1">
    <w:name w:val="Heading 7 Char1"/>
    <w:basedOn w:val="DefaultParagraphFont"/>
    <w:uiPriority w:val="9"/>
    <w:semiHidden/>
    <w:rsid w:val="00581D45"/>
    <w:rPr>
      <w:rFonts w:asciiTheme="majorHAnsi" w:eastAsiaTheme="majorEastAsia" w:hAnsiTheme="majorHAnsi" w:cs="Times New Roman"/>
      <w:i/>
      <w:iCs/>
      <w:color w:val="243F60" w:themeColor="accent1" w:themeShade="7F"/>
      <w:kern w:val="0"/>
      <w:sz w:val="24"/>
      <w:szCs w:val="24"/>
      <w:lang w:val="en-GB" w:eastAsia="x-none"/>
    </w:rPr>
  </w:style>
  <w:style w:type="character" w:customStyle="1" w:styleId="Heading8Char1">
    <w:name w:val="Heading 8 Char1"/>
    <w:basedOn w:val="DefaultParagraphFont"/>
    <w:uiPriority w:val="9"/>
    <w:semiHidden/>
    <w:rsid w:val="00581D45"/>
    <w:rPr>
      <w:rFonts w:asciiTheme="majorHAnsi" w:eastAsiaTheme="majorEastAsia" w:hAnsiTheme="majorHAnsi" w:cs="Times New Roman"/>
      <w:color w:val="272727" w:themeColor="text1" w:themeTint="D8"/>
      <w:kern w:val="0"/>
      <w:sz w:val="21"/>
      <w:szCs w:val="21"/>
      <w:lang w:val="en-GB" w:eastAsia="x-none"/>
    </w:rPr>
  </w:style>
  <w:style w:type="character" w:customStyle="1" w:styleId="Heading9Char1">
    <w:name w:val="Heading 9 Char1"/>
    <w:basedOn w:val="DefaultParagraphFont"/>
    <w:uiPriority w:val="9"/>
    <w:semiHidden/>
    <w:rsid w:val="00581D45"/>
    <w:rPr>
      <w:rFonts w:asciiTheme="majorHAnsi" w:eastAsiaTheme="majorEastAsia" w:hAnsiTheme="majorHAnsi" w:cs="Times New Roman"/>
      <w:i/>
      <w:iCs/>
      <w:color w:val="272727" w:themeColor="text1" w:themeTint="D8"/>
      <w:kern w:val="0"/>
      <w:sz w:val="21"/>
      <w:szCs w:val="21"/>
      <w:lang w:val="en-GB" w:eastAsia="x-none"/>
    </w:rPr>
  </w:style>
  <w:style w:type="character" w:customStyle="1" w:styleId="QuoteChar1">
    <w:name w:val="Quote Char1"/>
    <w:basedOn w:val="DefaultParagraphFont"/>
    <w:uiPriority w:val="29"/>
    <w:rsid w:val="00581D45"/>
    <w:rPr>
      <w:rFonts w:ascii="Times New Roman" w:hAnsi="Times New Roman" w:cs="Times New Roman"/>
      <w:i/>
      <w:iCs/>
      <w:color w:val="404040" w:themeColor="text1" w:themeTint="BF"/>
      <w:kern w:val="0"/>
      <w:sz w:val="24"/>
      <w:szCs w:val="24"/>
      <w:lang w:val="en-GB" w:eastAsia="x-none"/>
    </w:rPr>
  </w:style>
  <w:style w:type="character" w:customStyle="1" w:styleId="IntenseQuoteChar1">
    <w:name w:val="Intense Quote Char1"/>
    <w:basedOn w:val="DefaultParagraphFont"/>
    <w:uiPriority w:val="30"/>
    <w:rsid w:val="00581D45"/>
    <w:rPr>
      <w:rFonts w:ascii="Times New Roman" w:hAnsi="Times New Roman" w:cs="Times New Roman"/>
      <w:i/>
      <w:iCs/>
      <w:color w:val="4F81BD" w:themeColor="accent1"/>
      <w:kern w:val="0"/>
      <w:sz w:val="24"/>
      <w:szCs w:val="24"/>
      <w:lang w:val="en-GB" w:eastAsia="x-none"/>
    </w:rPr>
  </w:style>
  <w:style w:type="character" w:customStyle="1" w:styleId="cf01">
    <w:name w:val="cf01"/>
    <w:basedOn w:val="DefaultParagraphFont"/>
    <w:rsid w:val="00581D45"/>
    <w:rPr>
      <w:rFonts w:ascii="Segoe UI" w:hAnsi="Segoe UI" w:cs="Segoe UI"/>
      <w:sz w:val="18"/>
      <w:szCs w:val="18"/>
    </w:rPr>
  </w:style>
  <w:style w:type="character" w:customStyle="1" w:styleId="cf11">
    <w:name w:val="cf11"/>
    <w:basedOn w:val="DefaultParagraphFont"/>
    <w:rsid w:val="00581D45"/>
    <w:rPr>
      <w:rFonts w:ascii="Segoe UI" w:hAnsi="Segoe UI" w:cs="Segoe UI"/>
      <w:color w:val="666666"/>
      <w:sz w:val="18"/>
      <w:szCs w:val="18"/>
      <w:shd w:val="clear" w:color="auto" w:fill="FFFFFF"/>
    </w:rPr>
  </w:style>
  <w:style w:type="character" w:customStyle="1" w:styleId="normaltextrun">
    <w:name w:val="normaltextrun"/>
    <w:basedOn w:val="DefaultParagraphFont"/>
    <w:rsid w:val="00581D45"/>
    <w:rPr>
      <w:rFonts w:cs="Times New Roman"/>
    </w:rPr>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heme="minorEastAsia"/>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sz w:val="24"/>
      <w:szCs w:val="24"/>
      <w:vertAlign w:val="superscript"/>
    </w:rPr>
  </w:style>
  <w:style w:type="character" w:customStyle="1" w:styleId="eop">
    <w:name w:val="eop"/>
    <w:basedOn w:val="DefaultParagraphFont"/>
    <w:rsid w:val="00581D45"/>
    <w:rPr>
      <w:rFonts w:cs="Times New Roman"/>
    </w:rPr>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heme="minorEastAsia"/>
      <w:sz w:val="20"/>
      <w:szCs w:val="20"/>
    </w:rPr>
  </w:style>
  <w:style w:type="character" w:customStyle="1" w:styleId="d-block">
    <w:name w:val="d-block"/>
    <w:basedOn w:val="DefaultParagraphFont"/>
    <w:rsid w:val="00581D45"/>
    <w:rPr>
      <w:rFonts w:cs="Times New Roman"/>
    </w:rPr>
  </w:style>
  <w:style w:type="character" w:customStyle="1" w:styleId="ky2igmncmogjharherah">
    <w:name w:val="ky2igmncmogjharherah"/>
    <w:basedOn w:val="DefaultParagraphFont"/>
    <w:rsid w:val="00581D45"/>
    <w:rPr>
      <w:rFonts w:cs="Times New Roman"/>
    </w:rPr>
  </w:style>
  <w:style w:type="character" w:customStyle="1" w:styleId="content1">
    <w:name w:val="content1"/>
    <w:rsid w:val="00A71F25"/>
    <w:rPr>
      <w:rFonts w:ascii="Arial" w:hAnsi="Arial"/>
      <w:color w:val="000000"/>
      <w:sz w:val="24"/>
    </w:rPr>
  </w:style>
  <w:style w:type="numbering" w:customStyle="1" w:styleId="ListCBD">
    <w:name w:val="ListCBD"/>
    <w:pPr>
      <w:numPr>
        <w:numId w:val="15"/>
      </w:numPr>
    </w:pPr>
  </w:style>
  <w:style w:type="numbering" w:customStyle="1" w:styleId="CBDHeadings">
    <w:name w:val="CBD_Headings"/>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recommendations/sbstta/?m=sbstta-27"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6BB1A63-B13F-439C-9E30-75508D2A781D}"/>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15</TotalTime>
  <Pages>4</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与其他公约和国际组织的合作</vt:lpstr>
    </vt:vector>
  </TitlesOfParts>
  <Company>SCBD</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与其他公约和国际组织的合作</dc:title>
  <dc:subject>CBD/SBI/6/CRP.8</dc:subject>
  <dc:creator>Secretariat of the Convention on Biological Diversity</dc:creator>
  <cp:keywords>Convention on Biological Diversity</cp:keywords>
  <dc:description/>
  <cp:lastModifiedBy>Chuansheng Li</cp:lastModifiedBy>
  <cp:revision>5</cp:revision>
  <cp:lastPrinted>2020-01-21T19:56:00Z</cp:lastPrinted>
  <dcterms:created xsi:type="dcterms:W3CDTF">2026-02-19T17:31:00Z</dcterms:created>
  <dcterms:modified xsi:type="dcterms:W3CDTF">2026-02-19T17:58:00Z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