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A007A" w:rsidRPr="005737FF" w14:paraId="4B4F86B6" w14:textId="77777777" w:rsidTr="00F16F02">
        <w:tc>
          <w:tcPr>
            <w:tcW w:w="993" w:type="dxa"/>
            <w:tcBorders>
              <w:top w:val="nil"/>
              <w:bottom w:val="single" w:sz="12" w:space="0" w:color="000000"/>
              <w:right w:val="nil"/>
            </w:tcBorders>
          </w:tcPr>
          <w:p w14:paraId="45A8334A" w14:textId="77777777" w:rsidR="00FA007A" w:rsidRPr="005737FF" w:rsidRDefault="009D6459" w:rsidP="009523E1">
            <w:pPr>
              <w:pStyle w:val="BodyText2"/>
              <w:spacing w:line="240" w:lineRule="auto"/>
              <w:rPr>
                <w:snapToGrid w:val="0"/>
                <w:kern w:val="22"/>
              </w:rPr>
            </w:pPr>
            <w:r w:rsidRPr="005737FF">
              <w:rPr>
                <w:b/>
                <w:noProof/>
                <w:snapToGrid w:val="0"/>
                <w:kern w:val="22"/>
                <w:lang w:val="en-US"/>
              </w:rPr>
              <w:drawing>
                <wp:inline distT="0" distB="0" distL="0" distR="0" wp14:anchorId="2EB3071D" wp14:editId="2524AAB8">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60C464B0" w14:textId="77777777" w:rsidR="00FA007A" w:rsidRPr="005737FF" w:rsidRDefault="009D6459" w:rsidP="009523E1">
            <w:pPr>
              <w:rPr>
                <w:snapToGrid w:val="0"/>
                <w:kern w:val="22"/>
              </w:rPr>
            </w:pPr>
            <w:r w:rsidRPr="005737FF">
              <w:rPr>
                <w:noProof/>
                <w:snapToGrid w:val="0"/>
                <w:kern w:val="22"/>
                <w:lang w:val="en-US"/>
              </w:rPr>
              <w:drawing>
                <wp:inline distT="0" distB="0" distL="0" distR="0" wp14:anchorId="0AB61DC1" wp14:editId="07A01E7A">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6957A6BA" w14:textId="77777777" w:rsidR="00FA007A" w:rsidRPr="004D5A9A" w:rsidRDefault="00FA007A" w:rsidP="009523E1">
            <w:pPr>
              <w:tabs>
                <w:tab w:val="right" w:pos="7611"/>
              </w:tabs>
              <w:ind w:left="360" w:right="459"/>
              <w:jc w:val="right"/>
              <w:rPr>
                <w:rFonts w:ascii="Univers" w:hAnsi="Univers"/>
                <w:b/>
                <w:snapToGrid w:val="0"/>
                <w:kern w:val="22"/>
                <w:sz w:val="32"/>
              </w:rPr>
            </w:pPr>
            <w:r w:rsidRPr="004D5A9A">
              <w:rPr>
                <w:rFonts w:ascii="Univers" w:hAnsi="Univers"/>
                <w:b/>
                <w:snapToGrid w:val="0"/>
                <w:kern w:val="22"/>
                <w:sz w:val="32"/>
              </w:rPr>
              <w:t>CBD</w:t>
            </w:r>
          </w:p>
          <w:p w14:paraId="62A411E6" w14:textId="77777777" w:rsidR="00FA007A" w:rsidRPr="0039145D" w:rsidRDefault="00FA007A" w:rsidP="009523E1">
            <w:pPr>
              <w:jc w:val="left"/>
              <w:rPr>
                <w:b/>
                <w:snapToGrid w:val="0"/>
                <w:kern w:val="22"/>
                <w:sz w:val="28"/>
              </w:rPr>
            </w:pPr>
          </w:p>
        </w:tc>
      </w:tr>
      <w:tr w:rsidR="00F16F02" w:rsidRPr="005737FF" w14:paraId="27CD84B0" w14:textId="77777777" w:rsidTr="009554D5">
        <w:trPr>
          <w:trHeight w:val="1693"/>
        </w:trPr>
        <w:tc>
          <w:tcPr>
            <w:tcW w:w="6227" w:type="dxa"/>
            <w:gridSpan w:val="3"/>
            <w:tcBorders>
              <w:top w:val="nil"/>
              <w:bottom w:val="single" w:sz="36" w:space="0" w:color="000000"/>
            </w:tcBorders>
          </w:tcPr>
          <w:p w14:paraId="44EFCC02" w14:textId="77777777" w:rsidR="00F16F02" w:rsidRPr="004D5A9A" w:rsidRDefault="00F16F02" w:rsidP="009523E1">
            <w:pPr>
              <w:rPr>
                <w:snapToGrid w:val="0"/>
                <w:kern w:val="22"/>
              </w:rPr>
            </w:pPr>
          </w:p>
          <w:p w14:paraId="3E72450A" w14:textId="77777777" w:rsidR="00F16F02" w:rsidRPr="004D5A9A" w:rsidRDefault="009D6459" w:rsidP="009523E1">
            <w:pPr>
              <w:rPr>
                <w:snapToGrid w:val="0"/>
                <w:kern w:val="22"/>
              </w:rPr>
            </w:pPr>
            <w:r w:rsidRPr="005737FF">
              <w:rPr>
                <w:noProof/>
                <w:snapToGrid w:val="0"/>
                <w:kern w:val="22"/>
                <w:lang w:val="en-US"/>
              </w:rPr>
              <w:drawing>
                <wp:inline distT="0" distB="0" distL="0" distR="0" wp14:anchorId="24BDEBFD" wp14:editId="25130F32">
                  <wp:extent cx="2886075" cy="107632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40CF6215" w14:textId="77777777" w:rsidR="00F16F02" w:rsidRPr="0039145D" w:rsidRDefault="00F16F02" w:rsidP="009523E1">
            <w:pPr>
              <w:rPr>
                <w:rFonts w:ascii="Univers" w:hAnsi="Univers"/>
                <w:snapToGrid w:val="0"/>
                <w:kern w:val="22"/>
                <w:sz w:val="32"/>
              </w:rPr>
            </w:pPr>
          </w:p>
        </w:tc>
        <w:tc>
          <w:tcPr>
            <w:tcW w:w="1144" w:type="dxa"/>
            <w:tcBorders>
              <w:top w:val="nil"/>
              <w:bottom w:val="single" w:sz="36" w:space="0" w:color="000000"/>
            </w:tcBorders>
          </w:tcPr>
          <w:p w14:paraId="6EF2841C" w14:textId="77777777" w:rsidR="00F16F02" w:rsidRPr="00674721" w:rsidRDefault="00F16F02" w:rsidP="009523E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68C3271F" w14:textId="77777777" w:rsidR="00F16F02" w:rsidRPr="00C42964" w:rsidRDefault="00F16F02" w:rsidP="009523E1">
            <w:pPr>
              <w:ind w:left="63"/>
              <w:rPr>
                <w:snapToGrid w:val="0"/>
                <w:kern w:val="22"/>
                <w:szCs w:val="22"/>
              </w:rPr>
            </w:pPr>
            <w:r w:rsidRPr="00C42964">
              <w:rPr>
                <w:snapToGrid w:val="0"/>
                <w:kern w:val="22"/>
                <w:szCs w:val="22"/>
              </w:rPr>
              <w:t>Distr.</w:t>
            </w:r>
          </w:p>
          <w:p w14:paraId="21C0C155" w14:textId="77777777" w:rsidR="00F16F02" w:rsidRPr="000F3078" w:rsidRDefault="009663C9" w:rsidP="009523E1">
            <w:pPr>
              <w:ind w:left="63"/>
              <w:rPr>
                <w:snapToGrid w:val="0"/>
                <w:kern w:val="22"/>
                <w:szCs w:val="22"/>
              </w:rPr>
            </w:pPr>
            <w:r w:rsidRPr="00C42964">
              <w:rPr>
                <w:snapToGrid w:val="0"/>
                <w:kern w:val="22"/>
                <w:szCs w:val="22"/>
              </w:rPr>
              <w:t>GENERAL</w:t>
            </w:r>
          </w:p>
          <w:p w14:paraId="7AC59106" w14:textId="77777777" w:rsidR="00F16F02" w:rsidRPr="000F3078" w:rsidRDefault="00F16F02" w:rsidP="009523E1">
            <w:pPr>
              <w:ind w:left="63"/>
              <w:rPr>
                <w:snapToGrid w:val="0"/>
                <w:kern w:val="22"/>
                <w:szCs w:val="22"/>
              </w:rPr>
            </w:pPr>
          </w:p>
          <w:p w14:paraId="08598766" w14:textId="77777777" w:rsidR="00F16F02" w:rsidRPr="00C42964" w:rsidRDefault="00F53DAD" w:rsidP="009523E1">
            <w:pPr>
              <w:ind w:left="63"/>
              <w:rPr>
                <w:snapToGrid w:val="0"/>
                <w:kern w:val="22"/>
                <w:szCs w:val="22"/>
              </w:rPr>
            </w:pPr>
            <w:sdt>
              <w:sdtPr>
                <w:rPr>
                  <w:snapToGrid w:val="0"/>
                  <w:kern w:val="22"/>
                  <w:szCs w:val="22"/>
                </w:rPr>
                <w:alias w:val="Subject"/>
                <w:tag w:val=""/>
                <w:id w:val="1295255730"/>
                <w:placeholder>
                  <w:docPart w:val="AFA84F4374B448408213ABFE9C92342D"/>
                </w:placeholder>
                <w:dataBinding w:prefixMappings="xmlns:ns0='http://purl.org/dc/elements/1.1/' xmlns:ns1='http://schemas.openxmlformats.org/package/2006/metadata/core-properties' " w:xpath="/ns1:coreProperties[1]/ns0:subject[1]" w:storeItemID="{6C3C8BC8-F283-45AE-878A-BAB7291924A1}"/>
                <w:text/>
              </w:sdtPr>
              <w:sdtEndPr/>
              <w:sdtContent>
                <w:r w:rsidR="00B3064B" w:rsidRPr="0060753A">
                  <w:rPr>
                    <w:snapToGrid w:val="0"/>
                    <w:kern w:val="22"/>
                    <w:szCs w:val="22"/>
                  </w:rPr>
                  <w:t>CBD/SBSTTA/22/INF/23</w:t>
                </w:r>
              </w:sdtContent>
            </w:sdt>
          </w:p>
          <w:p w14:paraId="6DABFD0A" w14:textId="17EC6950" w:rsidR="00593BF5" w:rsidRPr="00C42964" w:rsidRDefault="00443E5A" w:rsidP="009523E1">
            <w:pPr>
              <w:ind w:left="63"/>
              <w:rPr>
                <w:snapToGrid w:val="0"/>
                <w:kern w:val="22"/>
                <w:szCs w:val="22"/>
              </w:rPr>
            </w:pPr>
            <w:r>
              <w:rPr>
                <w:snapToGrid w:val="0"/>
                <w:kern w:val="22"/>
                <w:szCs w:val="22"/>
              </w:rPr>
              <w:t>16</w:t>
            </w:r>
            <w:r w:rsidR="00593BF5" w:rsidRPr="00C42964">
              <w:rPr>
                <w:snapToGrid w:val="0"/>
                <w:kern w:val="22"/>
                <w:szCs w:val="22"/>
              </w:rPr>
              <w:t xml:space="preserve"> </w:t>
            </w:r>
            <w:r w:rsidR="00B3064B">
              <w:rPr>
                <w:snapToGrid w:val="0"/>
                <w:kern w:val="22"/>
                <w:szCs w:val="22"/>
              </w:rPr>
              <w:t>May</w:t>
            </w:r>
            <w:r w:rsidR="00593BF5" w:rsidRPr="00C42964">
              <w:rPr>
                <w:snapToGrid w:val="0"/>
                <w:kern w:val="22"/>
                <w:szCs w:val="22"/>
              </w:rPr>
              <w:t xml:space="preserve"> 201</w:t>
            </w:r>
            <w:r>
              <w:rPr>
                <w:snapToGrid w:val="0"/>
                <w:kern w:val="22"/>
                <w:szCs w:val="22"/>
              </w:rPr>
              <w:t>8</w:t>
            </w:r>
            <w:r w:rsidR="00F53DAD" w:rsidRPr="00F53DAD">
              <w:rPr>
                <w:rStyle w:val="FootnoteReference"/>
                <w:snapToGrid w:val="0"/>
                <w:kern w:val="22"/>
                <w:sz w:val="22"/>
                <w:szCs w:val="22"/>
                <w:u w:val="none"/>
                <w:vertAlign w:val="superscript"/>
              </w:rPr>
              <w:footnoteReference w:customMarkFollows="1" w:id="1"/>
              <w:t>*</w:t>
            </w:r>
          </w:p>
          <w:p w14:paraId="7A17502E" w14:textId="77777777" w:rsidR="00F16F02" w:rsidRPr="000F3078" w:rsidRDefault="00F16F02" w:rsidP="009523E1">
            <w:pPr>
              <w:ind w:left="63"/>
              <w:rPr>
                <w:snapToGrid w:val="0"/>
                <w:kern w:val="22"/>
                <w:szCs w:val="22"/>
              </w:rPr>
            </w:pPr>
          </w:p>
          <w:p w14:paraId="6B6BF61C" w14:textId="77777777" w:rsidR="00F16F02" w:rsidRPr="005737FF" w:rsidRDefault="00F16F02" w:rsidP="009523E1">
            <w:pPr>
              <w:ind w:left="63"/>
              <w:rPr>
                <w:snapToGrid w:val="0"/>
                <w:kern w:val="22"/>
                <w:szCs w:val="22"/>
                <w:u w:val="single"/>
              </w:rPr>
            </w:pPr>
            <w:r w:rsidRPr="00534173">
              <w:rPr>
                <w:snapToGrid w:val="0"/>
                <w:kern w:val="22"/>
                <w:szCs w:val="22"/>
              </w:rPr>
              <w:t>ENGLISH</w:t>
            </w:r>
            <w:r w:rsidR="00B3064B">
              <w:rPr>
                <w:snapToGrid w:val="0"/>
                <w:kern w:val="22"/>
                <w:szCs w:val="22"/>
              </w:rPr>
              <w:t xml:space="preserve"> ONLY</w:t>
            </w:r>
          </w:p>
        </w:tc>
      </w:tr>
    </w:tbl>
    <w:p w14:paraId="126818CD" w14:textId="77777777" w:rsidR="00CA6B87" w:rsidRPr="00333107" w:rsidRDefault="00D51069" w:rsidP="009523E1">
      <w:pPr>
        <w:pStyle w:val="meetingname"/>
        <w:ind w:right="4540"/>
        <w:rPr>
          <w:kern w:val="22"/>
          <w:szCs w:val="22"/>
        </w:rPr>
      </w:pPr>
      <w:bookmarkStart w:id="0" w:name="Meeting"/>
      <w:r w:rsidRPr="00333107">
        <w:rPr>
          <w:kern w:val="22"/>
          <w:szCs w:val="22"/>
        </w:rPr>
        <w:t>SUBSIDIARY BODY ON SCIENTIFIC, TECHNICAL AND TECHNOLOGICAL ADVICE</w:t>
      </w:r>
      <w:bookmarkEnd w:id="0"/>
    </w:p>
    <w:p w14:paraId="3E8C212D" w14:textId="77777777" w:rsidR="00D51069" w:rsidRPr="00333107" w:rsidRDefault="00BC5BDC" w:rsidP="009523E1">
      <w:pPr>
        <w:rPr>
          <w:snapToGrid w:val="0"/>
          <w:kern w:val="22"/>
          <w:szCs w:val="22"/>
          <w:lang w:eastAsia="nb-NO"/>
        </w:rPr>
      </w:pPr>
      <w:r w:rsidRPr="00333107">
        <w:rPr>
          <w:snapToGrid w:val="0"/>
          <w:kern w:val="22"/>
          <w:szCs w:val="22"/>
          <w:lang w:eastAsia="nb-NO"/>
        </w:rPr>
        <w:t>Twenty-second</w:t>
      </w:r>
      <w:r w:rsidR="00D51069" w:rsidRPr="00333107">
        <w:rPr>
          <w:snapToGrid w:val="0"/>
          <w:kern w:val="22"/>
          <w:szCs w:val="22"/>
          <w:lang w:eastAsia="nb-NO"/>
        </w:rPr>
        <w:t xml:space="preserve"> meeting</w:t>
      </w:r>
    </w:p>
    <w:p w14:paraId="20E197BD" w14:textId="77777777" w:rsidR="009E6BA9" w:rsidRPr="00333107" w:rsidRDefault="00D51069" w:rsidP="009523E1">
      <w:pPr>
        <w:rPr>
          <w:snapToGrid w:val="0"/>
          <w:kern w:val="22"/>
          <w:szCs w:val="22"/>
          <w:lang w:eastAsia="nb-NO"/>
        </w:rPr>
      </w:pPr>
      <w:r w:rsidRPr="00333107">
        <w:rPr>
          <w:snapToGrid w:val="0"/>
          <w:kern w:val="22"/>
          <w:szCs w:val="22"/>
          <w:lang w:eastAsia="nb-NO"/>
        </w:rPr>
        <w:t>Montreal</w:t>
      </w:r>
      <w:r w:rsidR="00CA6B87" w:rsidRPr="00333107">
        <w:rPr>
          <w:snapToGrid w:val="0"/>
          <w:kern w:val="22"/>
          <w:szCs w:val="22"/>
          <w:lang w:eastAsia="nb-NO"/>
        </w:rPr>
        <w:t xml:space="preserve">, </w:t>
      </w:r>
      <w:r w:rsidRPr="00333107">
        <w:rPr>
          <w:snapToGrid w:val="0"/>
          <w:kern w:val="22"/>
          <w:szCs w:val="22"/>
          <w:lang w:eastAsia="nb-NO"/>
        </w:rPr>
        <w:t>Canada,</w:t>
      </w:r>
      <w:r w:rsidR="00BC5BDC" w:rsidRPr="00333107">
        <w:rPr>
          <w:snapToGrid w:val="0"/>
          <w:kern w:val="22"/>
          <w:szCs w:val="22"/>
          <w:lang w:eastAsia="nb-NO"/>
        </w:rPr>
        <w:t xml:space="preserve"> 2-7 July 2018</w:t>
      </w:r>
    </w:p>
    <w:p w14:paraId="0986DFB7" w14:textId="0039A026" w:rsidR="009E6BA9" w:rsidRPr="00333107" w:rsidRDefault="009E6BA9" w:rsidP="009523E1">
      <w:pPr>
        <w:pStyle w:val="Header"/>
        <w:suppressLineNumbers/>
        <w:tabs>
          <w:tab w:val="clear" w:pos="4320"/>
          <w:tab w:val="clear" w:pos="8640"/>
        </w:tabs>
        <w:suppressAutoHyphens/>
        <w:rPr>
          <w:snapToGrid w:val="0"/>
          <w:kern w:val="22"/>
          <w:szCs w:val="22"/>
        </w:rPr>
      </w:pPr>
      <w:r w:rsidRPr="00333107">
        <w:rPr>
          <w:snapToGrid w:val="0"/>
          <w:kern w:val="22"/>
          <w:szCs w:val="22"/>
        </w:rPr>
        <w:t xml:space="preserve">Item </w:t>
      </w:r>
      <w:r w:rsidR="00443E5A" w:rsidRPr="00333107">
        <w:rPr>
          <w:snapToGrid w:val="0"/>
          <w:kern w:val="22"/>
          <w:szCs w:val="22"/>
        </w:rPr>
        <w:t>6</w:t>
      </w:r>
      <w:r w:rsidRPr="00333107">
        <w:rPr>
          <w:snapToGrid w:val="0"/>
          <w:kern w:val="22"/>
          <w:szCs w:val="22"/>
        </w:rPr>
        <w:t xml:space="preserve"> of the provisional agenda</w:t>
      </w:r>
      <w:r w:rsidRPr="00333107">
        <w:rPr>
          <w:rStyle w:val="FootnoteReference"/>
          <w:snapToGrid w:val="0"/>
          <w:sz w:val="22"/>
          <w:szCs w:val="22"/>
          <w:u w:val="none"/>
          <w:vertAlign w:val="superscript"/>
        </w:rPr>
        <w:footnoteReference w:customMarkFollows="1" w:id="2"/>
        <w:t>*</w:t>
      </w:r>
      <w:r w:rsidR="00F53DAD">
        <w:rPr>
          <w:snapToGrid w:val="0"/>
          <w:szCs w:val="22"/>
          <w:vertAlign w:val="superscript"/>
        </w:rPr>
        <w:t>*</w:t>
      </w:r>
    </w:p>
    <w:p w14:paraId="16412FD9" w14:textId="77777777" w:rsidR="00CA6B87" w:rsidRPr="00333107" w:rsidRDefault="00CA6B87" w:rsidP="009523E1">
      <w:pPr>
        <w:rPr>
          <w:snapToGrid w:val="0"/>
          <w:kern w:val="22"/>
          <w:szCs w:val="22"/>
          <w:lang w:eastAsia="nb-NO"/>
        </w:rPr>
      </w:pPr>
    </w:p>
    <w:p w14:paraId="5DD54C6E" w14:textId="3398FC1F" w:rsidR="00B3064B" w:rsidRDefault="00F53DAD" w:rsidP="00855582">
      <w:pPr>
        <w:pStyle w:val="Heading1"/>
        <w:suppressLineNumbers/>
        <w:tabs>
          <w:tab w:val="clear" w:pos="720"/>
        </w:tabs>
        <w:suppressAutoHyphens/>
        <w:rPr>
          <w:rFonts w:ascii="Times New Roman Bold" w:hAnsi="Times New Roman Bold" w:cs="Times New Roman Bold"/>
          <w:bCs/>
          <w:snapToGrid w:val="0"/>
          <w:kern w:val="22"/>
          <w:szCs w:val="22"/>
        </w:rPr>
      </w:pPr>
      <w:sdt>
        <w:sdtPr>
          <w:rPr>
            <w:rFonts w:ascii="Times New Roman Bold" w:hAnsi="Times New Roman Bold" w:cs="Times New Roman Bold"/>
            <w:bCs/>
            <w:snapToGrid w:val="0"/>
            <w:kern w:val="22"/>
            <w:szCs w:val="22"/>
          </w:rPr>
          <w:alias w:val="Title"/>
          <w:tag w:val=""/>
          <w:id w:val="1211700420"/>
          <w:placeholder>
            <w:docPart w:val="AF77D2EA39654B53A83BDCB120306E92"/>
          </w:placeholder>
          <w:dataBinding w:prefixMappings="xmlns:ns0='http://purl.org/dc/elements/1.1/' xmlns:ns1='http://schemas.openxmlformats.org/package/2006/metadata/core-properties' " w:xpath="/ns1:coreProperties[1]/ns0:title[1]" w:storeItemID="{6C3C8BC8-F283-45AE-878A-BAB7291924A1}"/>
          <w:text/>
        </w:sdtPr>
        <w:sdtEndPr/>
        <w:sdtContent>
          <w:r w:rsidR="00855582" w:rsidRPr="00855582">
            <w:rPr>
              <w:rFonts w:ascii="Times New Roman Bold" w:hAnsi="Times New Roman Bold" w:cs="Times New Roman Bold"/>
              <w:bCs/>
              <w:snapToGrid w:val="0"/>
              <w:kern w:val="22"/>
              <w:szCs w:val="22"/>
            </w:rPr>
            <w:t>Options to accelerate progress towards selected Aichi Biodiversity</w:t>
          </w:r>
          <w:r w:rsidR="00855582">
            <w:rPr>
              <w:rFonts w:ascii="Times New Roman Bold" w:hAnsi="Times New Roman Bold" w:cs="Times New Roman Bold"/>
              <w:bCs/>
              <w:snapToGrid w:val="0"/>
              <w:kern w:val="22"/>
              <w:szCs w:val="22"/>
            </w:rPr>
            <w:t> </w:t>
          </w:r>
          <w:r w:rsidR="00855582" w:rsidRPr="00855582">
            <w:rPr>
              <w:rFonts w:ascii="Times New Roman Bold" w:hAnsi="Times New Roman Bold" w:cs="Times New Roman Bold"/>
              <w:bCs/>
              <w:snapToGrid w:val="0"/>
              <w:kern w:val="22"/>
              <w:szCs w:val="22"/>
            </w:rPr>
            <w:t>Targets (11 and 12)</w:t>
          </w:r>
        </w:sdtContent>
      </w:sdt>
    </w:p>
    <w:p w14:paraId="5AE2056E" w14:textId="7A1B2C1D" w:rsidR="007E71F5" w:rsidRPr="009E47D3" w:rsidRDefault="007E71F5" w:rsidP="00B41E16">
      <w:pPr>
        <w:pStyle w:val="Heading2"/>
        <w:rPr>
          <w:rFonts w:ascii="Times New Roman Bold" w:hAnsi="Times New Roman Bold" w:cs="Times New Roman Bold"/>
        </w:rPr>
      </w:pPr>
      <w:r w:rsidRPr="009E47D3">
        <w:rPr>
          <w:rFonts w:ascii="Times New Roman Bold" w:hAnsi="Times New Roman Bold" w:cs="Times New Roman Bold"/>
          <w:caps/>
        </w:rPr>
        <w:t xml:space="preserve">Submission by the </w:t>
      </w:r>
      <w:r w:rsidR="00E64CF2">
        <w:rPr>
          <w:rFonts w:ascii="Times New Roman Bold" w:hAnsi="Times New Roman Bold" w:cs="Times New Roman Bold"/>
          <w:caps/>
        </w:rPr>
        <w:t xml:space="preserve">government of brazil and the </w:t>
      </w:r>
      <w:r w:rsidRPr="009E47D3">
        <w:rPr>
          <w:rFonts w:ascii="Times New Roman Bold" w:hAnsi="Times New Roman Bold" w:cs="Times New Roman Bold"/>
          <w:caps/>
        </w:rPr>
        <w:t>Alliance for Zero Extinction</w:t>
      </w:r>
    </w:p>
    <w:p w14:paraId="2BF73543" w14:textId="77777777" w:rsidR="007E71F5" w:rsidRPr="009E47D3" w:rsidRDefault="007E71F5" w:rsidP="009E47D3">
      <w:pPr>
        <w:jc w:val="center"/>
        <w:rPr>
          <w:i/>
          <w:iCs/>
        </w:rPr>
      </w:pPr>
      <w:r w:rsidRPr="009E47D3">
        <w:rPr>
          <w:i/>
          <w:iCs/>
        </w:rPr>
        <w:t>Note by the Executive Secretary</w:t>
      </w:r>
    </w:p>
    <w:p w14:paraId="45C31F2F" w14:textId="77777777" w:rsidR="009E6BA9" w:rsidRPr="00333107" w:rsidRDefault="0023418F" w:rsidP="009523E1">
      <w:pPr>
        <w:pStyle w:val="Heading1"/>
        <w:suppressLineNumbers/>
        <w:tabs>
          <w:tab w:val="clear" w:pos="720"/>
        </w:tabs>
        <w:suppressAutoHyphens/>
        <w:rPr>
          <w:snapToGrid w:val="0"/>
          <w:kern w:val="22"/>
          <w:szCs w:val="22"/>
        </w:rPr>
      </w:pPr>
      <w:r w:rsidRPr="00333107">
        <w:rPr>
          <w:bCs/>
          <w:caps w:val="0"/>
          <w:snapToGrid w:val="0"/>
          <w:kern w:val="22"/>
          <w:szCs w:val="22"/>
        </w:rPr>
        <w:t>INTRODUCTION</w:t>
      </w:r>
    </w:p>
    <w:p w14:paraId="699031BA" w14:textId="3DE8CBBD" w:rsidR="00443E5A" w:rsidRPr="009E47D3" w:rsidRDefault="00443E5A" w:rsidP="00F53DAD">
      <w:pPr>
        <w:pStyle w:val="Para1"/>
        <w:tabs>
          <w:tab w:val="clear" w:pos="360"/>
        </w:tabs>
      </w:pPr>
      <w:r w:rsidRPr="00D34BB0">
        <w:t>The Executive Secretary is circulating herewith, for the informatio</w:t>
      </w:r>
      <w:r w:rsidR="00F53DAD">
        <w:t>n of participants in the twenty</w:t>
      </w:r>
      <w:r w:rsidR="00F53DAD">
        <w:noBreakHyphen/>
      </w:r>
      <w:r w:rsidRPr="00D34BB0">
        <w:t xml:space="preserve">second meeting of the Subsidiary Body on Scientific, Technical and Technological Advice, </w:t>
      </w:r>
      <w:r w:rsidR="00B41E16">
        <w:t>upon the request of the Government of</w:t>
      </w:r>
      <w:bookmarkStart w:id="1" w:name="_GoBack"/>
      <w:bookmarkEnd w:id="1"/>
      <w:r w:rsidR="00B41E16">
        <w:t xml:space="preserve"> Brazil</w:t>
      </w:r>
      <w:r w:rsidR="00E64CF2">
        <w:t xml:space="preserve"> and the Alliance for Zero Extinction</w:t>
      </w:r>
      <w:r w:rsidR="00B41E16">
        <w:t xml:space="preserve">, </w:t>
      </w:r>
      <w:r w:rsidRPr="00D34BB0">
        <w:t>an information document</w:t>
      </w:r>
      <w:r w:rsidR="003F45AF">
        <w:t xml:space="preserve"> on </w:t>
      </w:r>
      <w:r w:rsidR="003F45AF" w:rsidRPr="003F45AF">
        <w:rPr>
          <w:szCs w:val="22"/>
        </w:rPr>
        <w:t xml:space="preserve">options to accelerate progress towards selected </w:t>
      </w:r>
      <w:r w:rsidR="003F45AF">
        <w:rPr>
          <w:szCs w:val="22"/>
        </w:rPr>
        <w:t>Aichi B</w:t>
      </w:r>
      <w:r w:rsidR="003F45AF" w:rsidRPr="003F45AF">
        <w:rPr>
          <w:szCs w:val="22"/>
        </w:rPr>
        <w:t xml:space="preserve">iodiversity </w:t>
      </w:r>
      <w:r w:rsidR="000A6BDA">
        <w:rPr>
          <w:szCs w:val="22"/>
        </w:rPr>
        <w:t>T</w:t>
      </w:r>
      <w:r w:rsidR="003F45AF" w:rsidRPr="003F45AF">
        <w:rPr>
          <w:szCs w:val="22"/>
        </w:rPr>
        <w:t>argets (11 and 12)</w:t>
      </w:r>
      <w:r w:rsidRPr="00D34BB0">
        <w:t>. This document is relevant to the work of the Convention on Biological Diversity, in particular with regard to decision XIII/30 requesting the development of options to accelerate progress towards the achieveme</w:t>
      </w:r>
      <w:r w:rsidR="009D6459" w:rsidRPr="009E47D3">
        <w:t>nt of those Aichi Biodiversity T</w:t>
      </w:r>
      <w:r w:rsidRPr="009E47D3">
        <w:t>argets which have been identified as the least advanced.</w:t>
      </w:r>
    </w:p>
    <w:p w14:paraId="5BD09CBD" w14:textId="77777777" w:rsidR="00443E5A" w:rsidRPr="00D34BB0" w:rsidRDefault="00443E5A" w:rsidP="009523E1">
      <w:pPr>
        <w:pStyle w:val="Para1"/>
        <w:tabs>
          <w:tab w:val="clear" w:pos="360"/>
        </w:tabs>
        <w:rPr>
          <w:szCs w:val="22"/>
        </w:rPr>
      </w:pPr>
      <w:r w:rsidRPr="009E47D3">
        <w:rPr>
          <w:szCs w:val="22"/>
        </w:rPr>
        <w:t xml:space="preserve">The report is </w:t>
      </w:r>
      <w:r w:rsidR="003C7FAC" w:rsidRPr="009E47D3">
        <w:rPr>
          <w:szCs w:val="22"/>
        </w:rPr>
        <w:t xml:space="preserve">being circulated </w:t>
      </w:r>
      <w:r w:rsidRPr="009E47D3">
        <w:rPr>
          <w:szCs w:val="22"/>
        </w:rPr>
        <w:t>in the form and language in which it was received by the Secretariat.</w:t>
      </w:r>
    </w:p>
    <w:p w14:paraId="6D19D546" w14:textId="77777777" w:rsidR="00443E5A" w:rsidRPr="009523E1" w:rsidRDefault="00443E5A" w:rsidP="009523E1">
      <w:pPr>
        <w:shd w:val="clear" w:color="auto" w:fill="FFFFFF"/>
        <w:autoSpaceDE w:val="0"/>
        <w:autoSpaceDN w:val="0"/>
        <w:spacing w:before="100" w:beforeAutospacing="1" w:after="240"/>
        <w:jc w:val="center"/>
        <w:rPr>
          <w:b/>
          <w:szCs w:val="22"/>
        </w:rPr>
      </w:pPr>
      <w:r>
        <w:rPr>
          <w:kern w:val="22"/>
          <w:szCs w:val="22"/>
        </w:rPr>
        <w:br w:type="page"/>
      </w:r>
      <w:r w:rsidRPr="009523E1">
        <w:rPr>
          <w:b/>
          <w:szCs w:val="22"/>
        </w:rPr>
        <w:lastRenderedPageBreak/>
        <w:t>OPTIONS TO ACCELERATE PROGRESS TOWARDS SELECTED AICHI BIODIVERSITY TARGETS (11 and 12) – ALLIANCE FOR ZERO EXTINCTION</w:t>
      </w:r>
    </w:p>
    <w:p w14:paraId="1317DDBC" w14:textId="77777777" w:rsidR="00443E5A" w:rsidRPr="009523E1" w:rsidRDefault="00443E5A" w:rsidP="009523E1">
      <w:pPr>
        <w:shd w:val="clear" w:color="auto" w:fill="FFFFFF"/>
        <w:autoSpaceDE w:val="0"/>
        <w:autoSpaceDN w:val="0"/>
        <w:spacing w:before="100" w:beforeAutospacing="1" w:after="240"/>
        <w:jc w:val="center"/>
        <w:rPr>
          <w:bCs/>
          <w:i/>
          <w:color w:val="000000"/>
          <w:szCs w:val="22"/>
        </w:rPr>
      </w:pPr>
      <w:r w:rsidRPr="009523E1">
        <w:rPr>
          <w:bCs/>
          <w:i/>
          <w:color w:val="000000"/>
          <w:szCs w:val="22"/>
        </w:rPr>
        <w:t>Note</w:t>
      </w:r>
    </w:p>
    <w:p w14:paraId="15A24027" w14:textId="77777777" w:rsidR="00443E5A" w:rsidRPr="009523E1" w:rsidRDefault="00443E5A" w:rsidP="009523E1">
      <w:pPr>
        <w:pStyle w:val="ListParagraph"/>
        <w:numPr>
          <w:ilvl w:val="0"/>
          <w:numId w:val="18"/>
        </w:numPr>
        <w:shd w:val="clear" w:color="auto" w:fill="FFFFFF"/>
        <w:autoSpaceDE w:val="0"/>
        <w:autoSpaceDN w:val="0"/>
        <w:spacing w:before="100" w:beforeAutospacing="1" w:after="240"/>
        <w:jc w:val="center"/>
        <w:rPr>
          <w:color w:val="000000"/>
          <w:szCs w:val="22"/>
        </w:rPr>
      </w:pPr>
      <w:r w:rsidRPr="009523E1">
        <w:rPr>
          <w:b/>
          <w:bCs/>
          <w:color w:val="000000"/>
          <w:szCs w:val="22"/>
        </w:rPr>
        <w:t>BACKGROUND AND PURPOSE</w:t>
      </w:r>
    </w:p>
    <w:p w14:paraId="0C83DD41"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b/>
          <w:bCs/>
          <w:color w:val="000000"/>
          <w:szCs w:val="22"/>
        </w:rPr>
        <w:t>AZE definition and criteria</w:t>
      </w:r>
    </w:p>
    <w:p w14:paraId="39CBCC39" w14:textId="77777777" w:rsidR="00443E5A" w:rsidRPr="009523E1" w:rsidRDefault="00443E5A" w:rsidP="009523E1">
      <w:pPr>
        <w:rPr>
          <w:szCs w:val="22"/>
        </w:rPr>
      </w:pPr>
      <w:r w:rsidRPr="009523E1">
        <w:rPr>
          <w:color w:val="000000"/>
          <w:szCs w:val="22"/>
        </w:rPr>
        <w:t xml:space="preserve">The </w:t>
      </w:r>
      <w:hyperlink r:id="rId11" w:history="1">
        <w:r w:rsidRPr="009523E1">
          <w:rPr>
            <w:rStyle w:val="Hyperlink"/>
            <w:szCs w:val="22"/>
          </w:rPr>
          <w:t>Alliance for Zero Extinction (AZE)</w:t>
        </w:r>
      </w:hyperlink>
      <w:r w:rsidRPr="009523E1">
        <w:rPr>
          <w:color w:val="000000"/>
          <w:szCs w:val="22"/>
        </w:rPr>
        <w:t xml:space="preserve"> is a global initiative recognized by the CBD that </w:t>
      </w:r>
      <w:r w:rsidRPr="009523E1">
        <w:rPr>
          <w:szCs w:val="22"/>
        </w:rPr>
        <w:t>engages governments, multilateral institutions and non-governmental biodiversity conservation organizations to prevent species extinctions. Over 1,500 of Earth's most endangered species are restricted to just a single site, making these sites globally irreplaceable for biodiversity conservation.</w:t>
      </w:r>
    </w:p>
    <w:p w14:paraId="5A6676BB"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szCs w:val="22"/>
        </w:rPr>
        <w:t xml:space="preserve">Launched globally in 2005, </w:t>
      </w:r>
      <w:r w:rsidRPr="009523E1">
        <w:rPr>
          <w:color w:val="000000"/>
          <w:szCs w:val="22"/>
        </w:rPr>
        <w:t>AZE aims to identify and safeguard sites, known as AZE sites, which hold one or more Critically Endangered (CR) or Endangered (EN) species found nowhere else on Earth.</w:t>
      </w:r>
    </w:p>
    <w:p w14:paraId="27E5BD7A"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color w:val="000000"/>
          <w:szCs w:val="22"/>
        </w:rPr>
        <w:t>All AZE sites must meet 3 criteria:</w:t>
      </w:r>
    </w:p>
    <w:p w14:paraId="33A2A71F" w14:textId="77777777" w:rsidR="00443E5A" w:rsidRPr="009523E1" w:rsidRDefault="00443E5A" w:rsidP="009523E1">
      <w:pPr>
        <w:shd w:val="clear" w:color="auto" w:fill="FFFFFF"/>
        <w:autoSpaceDE w:val="0"/>
        <w:autoSpaceDN w:val="0"/>
        <w:spacing w:before="100" w:beforeAutospacing="1" w:after="240"/>
        <w:ind w:left="720" w:hanging="360"/>
        <w:rPr>
          <w:color w:val="000000"/>
          <w:szCs w:val="22"/>
        </w:rPr>
      </w:pPr>
      <w:r w:rsidRPr="009523E1">
        <w:rPr>
          <w:color w:val="000000"/>
          <w:szCs w:val="22"/>
        </w:rPr>
        <w:t>1.    </w:t>
      </w:r>
      <w:r w:rsidRPr="009523E1">
        <w:rPr>
          <w:b/>
          <w:bCs/>
          <w:color w:val="000000"/>
          <w:szCs w:val="22"/>
        </w:rPr>
        <w:t>Endangerment</w:t>
      </w:r>
      <w:r w:rsidRPr="009523E1">
        <w:rPr>
          <w:color w:val="000000"/>
          <w:szCs w:val="22"/>
        </w:rPr>
        <w:t xml:space="preserve">. An AZE site must contain at least one Endangered (EN) or Critically Endangered (CR) species, as assessed on the IUCN Red List or on country’s national Red List. </w:t>
      </w:r>
    </w:p>
    <w:p w14:paraId="01F213C7" w14:textId="77777777" w:rsidR="00443E5A" w:rsidRPr="009523E1" w:rsidRDefault="00443E5A" w:rsidP="009523E1">
      <w:pPr>
        <w:shd w:val="clear" w:color="auto" w:fill="FFFFFF"/>
        <w:autoSpaceDE w:val="0"/>
        <w:autoSpaceDN w:val="0"/>
        <w:spacing w:before="100" w:beforeAutospacing="1" w:after="240"/>
        <w:ind w:left="720" w:hanging="360"/>
        <w:rPr>
          <w:color w:val="000000"/>
          <w:szCs w:val="22"/>
        </w:rPr>
      </w:pPr>
      <w:r w:rsidRPr="009523E1">
        <w:rPr>
          <w:color w:val="000000"/>
          <w:szCs w:val="22"/>
        </w:rPr>
        <w:t>2.    </w:t>
      </w:r>
      <w:r w:rsidRPr="009523E1">
        <w:rPr>
          <w:b/>
          <w:bCs/>
          <w:color w:val="000000"/>
          <w:szCs w:val="22"/>
        </w:rPr>
        <w:t>Irreplaceability</w:t>
      </w:r>
      <w:r w:rsidRPr="009523E1">
        <w:rPr>
          <w:color w:val="000000"/>
          <w:szCs w:val="22"/>
        </w:rPr>
        <w:t xml:space="preserve">. An AZE site should only be designated if it is the sole area where an EN or CR species occurs, contains the overwhelmingly significant known resident population (&gt;95%) of the EN or CR species, or contains the overwhelmingly significant known population (&gt;95%) for one life history segment (e.g. breeding or wintering) of the EN or CR species. </w:t>
      </w:r>
    </w:p>
    <w:p w14:paraId="3EED5FA8" w14:textId="77777777" w:rsidR="00443E5A" w:rsidRPr="009523E1" w:rsidRDefault="00443E5A" w:rsidP="009523E1">
      <w:pPr>
        <w:shd w:val="clear" w:color="auto" w:fill="FFFFFF"/>
        <w:autoSpaceDE w:val="0"/>
        <w:autoSpaceDN w:val="0"/>
        <w:spacing w:before="100" w:beforeAutospacing="1" w:after="240"/>
        <w:ind w:left="720" w:hanging="360"/>
        <w:rPr>
          <w:color w:val="000000"/>
          <w:szCs w:val="22"/>
        </w:rPr>
      </w:pPr>
      <w:r w:rsidRPr="009523E1">
        <w:rPr>
          <w:color w:val="000000"/>
          <w:szCs w:val="22"/>
        </w:rPr>
        <w:t>3.    </w:t>
      </w:r>
      <w:r w:rsidRPr="009523E1">
        <w:rPr>
          <w:b/>
          <w:bCs/>
          <w:color w:val="000000"/>
          <w:szCs w:val="22"/>
        </w:rPr>
        <w:t>Discreteness</w:t>
      </w:r>
      <w:r w:rsidRPr="009523E1">
        <w:rPr>
          <w:color w:val="000000"/>
          <w:szCs w:val="22"/>
        </w:rPr>
        <w:t>. The area must have a definable boundary within which the character of habitats, biological communities, and/or management issues have more in common with each other than they do with those in adjacent areas.</w:t>
      </w:r>
    </w:p>
    <w:p w14:paraId="337B89E0"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color w:val="000000"/>
          <w:szCs w:val="22"/>
        </w:rPr>
        <w:t xml:space="preserve">An international network of experts has so far identified 947 AZE sites that must be effectively protected to prevent the extinction of 1,536 of the world’s most threatened species (many sites have more than one AZE species confined to them) in a 2018 </w:t>
      </w:r>
      <w:hyperlink r:id="rId12" w:history="1">
        <w:r w:rsidRPr="009523E1">
          <w:rPr>
            <w:rStyle w:val="Hyperlink"/>
            <w:szCs w:val="22"/>
          </w:rPr>
          <w:t>global AZE update</w:t>
        </w:r>
      </w:hyperlink>
      <w:r w:rsidRPr="009523E1">
        <w:rPr>
          <w:color w:val="000000"/>
          <w:szCs w:val="22"/>
        </w:rPr>
        <w:t>. This update includes sites for those taxonomic groups that have been globally assessed by the IUCN for threat level: amphibians, birds, cacti, cone snails, conifers, corals, cycads, freshwater crabs, freshwater crayfish, freshwater shrimps, mammals, mangrove plants, selected marine fish (blennies, groupers, pufferfish, wrasses), selected reptiles (chameleons, crocodiles, iguanas, tortoises, turtles), sharks and rays, and selected birches.</w:t>
      </w:r>
    </w:p>
    <w:p w14:paraId="256518B0"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color w:val="000000"/>
          <w:szCs w:val="22"/>
        </w:rPr>
        <w:t xml:space="preserve">For the vast majority of AZE sites, habitat protection is essential. If a species' last habitat is lost, then it is very likely to become extinct in the wild.  </w:t>
      </w:r>
    </w:p>
    <w:p w14:paraId="3270E843"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b/>
          <w:bCs/>
          <w:color w:val="000000"/>
          <w:szCs w:val="22"/>
        </w:rPr>
        <w:t>AZE rationale</w:t>
      </w:r>
    </w:p>
    <w:p w14:paraId="308B2164"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color w:val="000000"/>
          <w:szCs w:val="22"/>
        </w:rPr>
        <w:t>Humans are currently causing the greatest mass extinction of species since the extinction of the dinosaurs 65 million years ago. Given present trends, half of all living species on Earth will be extinct within 100 years, as a result of habitat destruction, pollution, invasive species and climate change. The goal of AZE is to prevent the extinction of the most threatened species on Earth.</w:t>
      </w:r>
    </w:p>
    <w:p w14:paraId="648CC501"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b/>
          <w:bCs/>
          <w:color w:val="000000"/>
          <w:szCs w:val="22"/>
        </w:rPr>
        <w:t>AZE in existing agreements</w:t>
      </w:r>
    </w:p>
    <w:p w14:paraId="076EA2BD"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color w:val="000000"/>
          <w:szCs w:val="22"/>
        </w:rPr>
        <w:lastRenderedPageBreak/>
        <w:t xml:space="preserve">A </w:t>
      </w:r>
      <w:hyperlink r:id="rId13" w:history="1">
        <w:r w:rsidRPr="009523E1">
          <w:rPr>
            <w:rStyle w:val="Hyperlink"/>
            <w:szCs w:val="22"/>
          </w:rPr>
          <w:t>Memorandum of Cooperation</w:t>
        </w:r>
      </w:hyperlink>
      <w:r w:rsidRPr="009523E1">
        <w:rPr>
          <w:color w:val="000000"/>
          <w:szCs w:val="22"/>
        </w:rPr>
        <w:t xml:space="preserve"> was signed by AZE and the Secretariat of the Convention on Biological Diversity in 2010. Among other items, AZE agreed to assist CBD Parties with integrating the </w:t>
      </w:r>
      <w:proofErr w:type="gramStart"/>
      <w:r w:rsidRPr="009523E1">
        <w:rPr>
          <w:color w:val="000000"/>
          <w:szCs w:val="22"/>
        </w:rPr>
        <w:t>zero extinction</w:t>
      </w:r>
      <w:proofErr w:type="gramEnd"/>
      <w:r w:rsidRPr="009523E1">
        <w:rPr>
          <w:color w:val="000000"/>
          <w:szCs w:val="22"/>
        </w:rPr>
        <w:t xml:space="preserve"> target into NBSAPs and other plans. </w:t>
      </w:r>
    </w:p>
    <w:p w14:paraId="3A65EB4D"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color w:val="000000"/>
          <w:szCs w:val="22"/>
        </w:rPr>
        <w:t>To date, nineteen (19) countries include AZE in their NBSAPs or other CBD reports (see map below).</w:t>
      </w:r>
    </w:p>
    <w:p w14:paraId="7300BD1D" w14:textId="77777777" w:rsidR="00443E5A" w:rsidRPr="009523E1" w:rsidRDefault="009D6459" w:rsidP="009523E1">
      <w:pPr>
        <w:widowControl w:val="0"/>
        <w:autoSpaceDE w:val="0"/>
        <w:autoSpaceDN w:val="0"/>
        <w:adjustRightInd w:val="0"/>
        <w:spacing w:after="240"/>
        <w:rPr>
          <w:szCs w:val="22"/>
        </w:rPr>
      </w:pPr>
      <w:r w:rsidRPr="009523E1">
        <w:rPr>
          <w:noProof/>
          <w:szCs w:val="22"/>
          <w:lang w:val="en-US"/>
        </w:rPr>
        <w:drawing>
          <wp:inline distT="0" distB="0" distL="0" distR="0" wp14:anchorId="673AB32C" wp14:editId="51F8A029">
            <wp:extent cx="4162425" cy="2381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7635"/>
                    <a:stretch>
                      <a:fillRect/>
                    </a:stretch>
                  </pic:blipFill>
                  <pic:spPr bwMode="auto">
                    <a:xfrm>
                      <a:off x="0" y="0"/>
                      <a:ext cx="4162425" cy="2381250"/>
                    </a:xfrm>
                    <a:prstGeom prst="rect">
                      <a:avLst/>
                    </a:prstGeom>
                    <a:noFill/>
                    <a:ln>
                      <a:noFill/>
                    </a:ln>
                  </pic:spPr>
                </pic:pic>
              </a:graphicData>
            </a:graphic>
          </wp:inline>
        </w:drawing>
      </w:r>
    </w:p>
    <w:p w14:paraId="7E64010F" w14:textId="77777777" w:rsidR="00443E5A" w:rsidRPr="009523E1" w:rsidRDefault="00443E5A" w:rsidP="009523E1">
      <w:pPr>
        <w:shd w:val="clear" w:color="auto" w:fill="FFFFFF"/>
        <w:spacing w:before="100" w:beforeAutospacing="1" w:after="100" w:afterAutospacing="1"/>
        <w:rPr>
          <w:color w:val="000000"/>
          <w:szCs w:val="22"/>
        </w:rPr>
      </w:pPr>
      <w:r w:rsidRPr="009523E1">
        <w:rPr>
          <w:color w:val="000000"/>
          <w:szCs w:val="22"/>
        </w:rPr>
        <w:t xml:space="preserve">AZE sites are a recognized indicator for the CBD’s Aichi Biodiversity Targets 11 and 12. By protecting those AZE sites that are not yet included in protected areas systems, we can assure comprehensive global coverage of protected areas and guard against the loss of many of the most threatened species. Given that the loss or conversion of AZE sites would automatically cause the global extinction of the species for which they are identified, effectively conserving these areas is a fundamental to achieving Aichi Biodiversity Target 12. </w:t>
      </w:r>
    </w:p>
    <w:p w14:paraId="5D89A2A5" w14:textId="77777777" w:rsidR="00443E5A" w:rsidRPr="009523E1" w:rsidRDefault="00443E5A" w:rsidP="009523E1">
      <w:pPr>
        <w:shd w:val="clear" w:color="auto" w:fill="FFFFFF"/>
        <w:spacing w:before="100" w:beforeAutospacing="1" w:after="100" w:afterAutospacing="1"/>
        <w:rPr>
          <w:color w:val="000000"/>
          <w:szCs w:val="22"/>
        </w:rPr>
      </w:pPr>
      <w:r w:rsidRPr="009523E1">
        <w:rPr>
          <w:color w:val="000000"/>
          <w:szCs w:val="22"/>
        </w:rPr>
        <w:t xml:space="preserve">As the </w:t>
      </w:r>
      <w:hyperlink r:id="rId15" w:history="1">
        <w:r w:rsidRPr="009523E1">
          <w:rPr>
            <w:rStyle w:val="Hyperlink"/>
            <w:i/>
            <w:szCs w:val="22"/>
          </w:rPr>
          <w:t>Quick guide to the Aichi Biodiversity Targets</w:t>
        </w:r>
      </w:hyperlink>
      <w:r w:rsidRPr="009523E1">
        <w:rPr>
          <w:color w:val="000000"/>
          <w:szCs w:val="22"/>
        </w:rPr>
        <w:t xml:space="preserve"> explains for Target 12, “imminent extinctions of known threatened species can in many cases be prevented by protecting important habitats (such as Alliance for Zero Extinction sites).”</w:t>
      </w:r>
    </w:p>
    <w:p w14:paraId="04317A13" w14:textId="77777777" w:rsidR="00443E5A" w:rsidRPr="009523E1" w:rsidRDefault="00443E5A" w:rsidP="009523E1">
      <w:pPr>
        <w:shd w:val="clear" w:color="auto" w:fill="FFFFFF"/>
        <w:spacing w:before="100" w:beforeAutospacing="1" w:after="100" w:afterAutospacing="1"/>
        <w:rPr>
          <w:color w:val="000000"/>
          <w:szCs w:val="22"/>
        </w:rPr>
      </w:pPr>
      <w:r w:rsidRPr="009523E1">
        <w:rPr>
          <w:color w:val="000000"/>
          <w:szCs w:val="22"/>
        </w:rPr>
        <w:t>Moreover, AZE sites have been shown to have high value for carbon storage, ecosystem services, and cultural heritage, supporting other Aichi Biodiversity Targets.</w:t>
      </w:r>
    </w:p>
    <w:p w14:paraId="7924CE1E"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color w:val="000000"/>
          <w:szCs w:val="22"/>
        </w:rPr>
        <w:t xml:space="preserve">In 2012, a </w:t>
      </w:r>
      <w:hyperlink r:id="rId16" w:history="1">
        <w:r w:rsidRPr="009523E1">
          <w:rPr>
            <w:rStyle w:val="Hyperlink"/>
            <w:szCs w:val="22"/>
          </w:rPr>
          <w:t>resolution</w:t>
        </w:r>
      </w:hyperlink>
      <w:r w:rsidRPr="009523E1">
        <w:rPr>
          <w:color w:val="000000"/>
          <w:szCs w:val="22"/>
        </w:rPr>
        <w:t xml:space="preserve"> was passed at the IUCN World Conservation Congress to invite the world’s governments to give priority to protecting AZE sites and to request that the SSC and the WCPA encourage CBD Parties to support better protection of AZE sites.</w:t>
      </w:r>
    </w:p>
    <w:p w14:paraId="14043CFA" w14:textId="77777777" w:rsidR="00443E5A" w:rsidRPr="009523E1" w:rsidRDefault="00443E5A" w:rsidP="009523E1">
      <w:pPr>
        <w:shd w:val="clear" w:color="auto" w:fill="FFFFFF"/>
        <w:spacing w:before="100" w:beforeAutospacing="1" w:after="100" w:afterAutospacing="1"/>
        <w:rPr>
          <w:color w:val="000000"/>
          <w:szCs w:val="22"/>
        </w:rPr>
      </w:pPr>
      <w:r w:rsidRPr="009523E1">
        <w:rPr>
          <w:color w:val="000000"/>
          <w:szCs w:val="22"/>
        </w:rPr>
        <w:t>AZE sites were also recognized in the Like-Minded Mega-Diverse Countries Carta to achieve Aichi Biodiversity Target 11, presented on the thirteenth meeting of the Conference of the Parties to the CBD, in Cancun, Mexico, on December 2016. LMMC have 61% of all identified AZE sites and, considering their relevant richness of biodiversity, this Carta calls the attention of all Parties to take concerted efforts for achieving this target.</w:t>
      </w:r>
    </w:p>
    <w:p w14:paraId="01A401D7" w14:textId="77777777" w:rsidR="00443E5A" w:rsidRPr="009523E1" w:rsidRDefault="00443E5A" w:rsidP="009523E1">
      <w:pPr>
        <w:shd w:val="clear" w:color="auto" w:fill="FFFFFF"/>
        <w:spacing w:before="100" w:beforeAutospacing="1" w:after="100" w:afterAutospacing="1"/>
        <w:rPr>
          <w:color w:val="000000"/>
          <w:szCs w:val="22"/>
        </w:rPr>
      </w:pPr>
      <w:r w:rsidRPr="009523E1">
        <w:rPr>
          <w:b/>
          <w:bCs/>
          <w:color w:val="000000"/>
          <w:szCs w:val="22"/>
        </w:rPr>
        <w:t>Links with Key Biodiversity Areas (KBAs)</w:t>
      </w:r>
    </w:p>
    <w:p w14:paraId="0BE73F5E" w14:textId="77777777" w:rsidR="00443E5A" w:rsidRPr="009523E1" w:rsidRDefault="00443E5A" w:rsidP="009523E1">
      <w:pPr>
        <w:shd w:val="clear" w:color="auto" w:fill="FFFFFF"/>
        <w:spacing w:before="100" w:beforeAutospacing="1" w:after="100" w:afterAutospacing="1"/>
        <w:rPr>
          <w:color w:val="000000"/>
          <w:szCs w:val="22"/>
        </w:rPr>
      </w:pPr>
      <w:r w:rsidRPr="009523E1">
        <w:rPr>
          <w:color w:val="000000"/>
          <w:szCs w:val="22"/>
        </w:rPr>
        <w:t xml:space="preserve">All AZE sites meet KBA criterion A1 (Threatened Species) and thus all AZE sites are KBAs. Currently, only two subsets of KBAs are globally comprehensive: Important Bird and Biodiversity Areas (IBAs) and AZE sites. </w:t>
      </w:r>
    </w:p>
    <w:p w14:paraId="4176BDB6" w14:textId="77777777" w:rsidR="00443E5A" w:rsidRPr="009523E1" w:rsidRDefault="00443E5A" w:rsidP="009523E1">
      <w:pPr>
        <w:shd w:val="clear" w:color="auto" w:fill="FFFFFF"/>
        <w:spacing w:before="100" w:beforeAutospacing="1" w:after="100" w:afterAutospacing="1"/>
        <w:rPr>
          <w:color w:val="000000"/>
          <w:szCs w:val="22"/>
        </w:rPr>
      </w:pPr>
      <w:r w:rsidRPr="009523E1">
        <w:rPr>
          <w:b/>
          <w:bCs/>
          <w:color w:val="000000"/>
          <w:szCs w:val="22"/>
          <w:u w:val="single"/>
        </w:rPr>
        <w:lastRenderedPageBreak/>
        <w:t>Implementation</w:t>
      </w:r>
    </w:p>
    <w:p w14:paraId="0358B5D1" w14:textId="77777777" w:rsidR="00443E5A" w:rsidRPr="009523E1" w:rsidRDefault="00443E5A" w:rsidP="009523E1">
      <w:pPr>
        <w:shd w:val="clear" w:color="auto" w:fill="FFFFFF"/>
        <w:spacing w:before="100" w:beforeAutospacing="1" w:after="100" w:afterAutospacing="1"/>
        <w:rPr>
          <w:color w:val="000000"/>
          <w:szCs w:val="22"/>
        </w:rPr>
      </w:pPr>
      <w:r w:rsidRPr="009523E1">
        <w:rPr>
          <w:color w:val="000000"/>
          <w:szCs w:val="22"/>
        </w:rPr>
        <w:t>There are 3 steps to implementing AZE protection:</w:t>
      </w:r>
    </w:p>
    <w:p w14:paraId="7D43C1AD" w14:textId="77777777" w:rsidR="00443E5A" w:rsidRPr="009523E1" w:rsidRDefault="00443E5A" w:rsidP="009523E1">
      <w:pPr>
        <w:shd w:val="clear" w:color="auto" w:fill="FFFFFF"/>
        <w:spacing w:before="100" w:beforeAutospacing="1" w:after="100" w:afterAutospacing="1"/>
        <w:ind w:left="720" w:hanging="360"/>
        <w:rPr>
          <w:color w:val="000000"/>
          <w:szCs w:val="22"/>
        </w:rPr>
      </w:pPr>
      <w:r w:rsidRPr="009523E1">
        <w:rPr>
          <w:color w:val="000000"/>
          <w:szCs w:val="22"/>
        </w:rPr>
        <w:t>1.    </w:t>
      </w:r>
      <w:r w:rsidRPr="009523E1">
        <w:rPr>
          <w:b/>
          <w:bCs/>
          <w:color w:val="000000"/>
          <w:szCs w:val="22"/>
        </w:rPr>
        <w:t>Identify AZE sites.</w:t>
      </w:r>
      <w:r w:rsidRPr="009523E1">
        <w:rPr>
          <w:color w:val="000000"/>
          <w:szCs w:val="22"/>
        </w:rPr>
        <w:t xml:space="preserve"> AZE sites can be identified by using the IUCN Red List and a country’s national Red List to determine which CR and EN species are confined to single sites using nationally-available data and expert consultation. The current global AZE list (www.zeroextinction.org) provides a list of AZE sites.</w:t>
      </w:r>
    </w:p>
    <w:p w14:paraId="2B6A173D" w14:textId="77777777" w:rsidR="00443E5A" w:rsidRPr="009523E1" w:rsidRDefault="00443E5A" w:rsidP="009523E1">
      <w:pPr>
        <w:shd w:val="clear" w:color="auto" w:fill="FFFFFF"/>
        <w:spacing w:before="100" w:beforeAutospacing="1" w:after="100" w:afterAutospacing="1"/>
        <w:ind w:left="720" w:hanging="360"/>
        <w:rPr>
          <w:color w:val="000000"/>
          <w:szCs w:val="22"/>
        </w:rPr>
      </w:pPr>
      <w:r w:rsidRPr="009523E1">
        <w:rPr>
          <w:color w:val="000000"/>
          <w:szCs w:val="22"/>
        </w:rPr>
        <w:t>2.    </w:t>
      </w:r>
      <w:r w:rsidRPr="009523E1">
        <w:rPr>
          <w:b/>
          <w:bCs/>
          <w:color w:val="000000"/>
          <w:szCs w:val="22"/>
        </w:rPr>
        <w:t>Determine which AZE sites are currently protected.</w:t>
      </w:r>
      <w:r w:rsidRPr="009523E1">
        <w:rPr>
          <w:color w:val="000000"/>
          <w:szCs w:val="22"/>
        </w:rPr>
        <w:t xml:space="preserve"> Both national-level protected areas datasets and global datasets, such as the </w:t>
      </w:r>
      <w:hyperlink r:id="rId17" w:history="1">
        <w:r w:rsidRPr="009523E1">
          <w:rPr>
            <w:rStyle w:val="Hyperlink"/>
            <w:szCs w:val="22"/>
          </w:rPr>
          <w:t>World Database on Protected Areas</w:t>
        </w:r>
      </w:hyperlink>
      <w:r w:rsidRPr="009523E1">
        <w:rPr>
          <w:rStyle w:val="Hyperlink"/>
          <w:szCs w:val="22"/>
        </w:rPr>
        <w:t>,</w:t>
      </w:r>
      <w:r w:rsidRPr="009523E1">
        <w:rPr>
          <w:color w:val="000000"/>
          <w:szCs w:val="22"/>
        </w:rPr>
        <w:t xml:space="preserve"> can be consulted to determine which AZE sites are protected, partially protected and unprotected.</w:t>
      </w:r>
    </w:p>
    <w:p w14:paraId="200A4FB6" w14:textId="77777777" w:rsidR="00443E5A" w:rsidRPr="009523E1" w:rsidRDefault="00443E5A" w:rsidP="009523E1">
      <w:pPr>
        <w:shd w:val="clear" w:color="auto" w:fill="FFFFFF"/>
        <w:spacing w:before="100" w:beforeAutospacing="1" w:after="100" w:afterAutospacing="1"/>
        <w:ind w:left="720" w:hanging="360"/>
        <w:rPr>
          <w:color w:val="333333"/>
          <w:szCs w:val="22"/>
          <w:lang w:val="en"/>
        </w:rPr>
      </w:pPr>
      <w:r w:rsidRPr="009523E1">
        <w:rPr>
          <w:color w:val="000000"/>
          <w:szCs w:val="22"/>
        </w:rPr>
        <w:t>3.    </w:t>
      </w:r>
      <w:r w:rsidRPr="009523E1">
        <w:rPr>
          <w:b/>
          <w:bCs/>
          <w:color w:val="000000"/>
          <w:szCs w:val="22"/>
        </w:rPr>
        <w:t>Safeguard unprotected AZE sites</w:t>
      </w:r>
      <w:r w:rsidRPr="009523E1">
        <w:rPr>
          <w:color w:val="000000"/>
          <w:szCs w:val="22"/>
        </w:rPr>
        <w:t xml:space="preserve">. To achieve Aichi Targets 11 and 12, it is important to safeguard any unprotected AZE sites through national protected area planning or other </w:t>
      </w:r>
      <w:r w:rsidRPr="009523E1">
        <w:rPr>
          <w:color w:val="333333"/>
          <w:szCs w:val="22"/>
          <w:lang w:val="en"/>
        </w:rPr>
        <w:t>effective area based conservation measures.</w:t>
      </w:r>
    </w:p>
    <w:p w14:paraId="46A0B6B5" w14:textId="77777777" w:rsidR="00443E5A" w:rsidRPr="009523E1" w:rsidRDefault="00443E5A" w:rsidP="009523E1">
      <w:pPr>
        <w:shd w:val="clear" w:color="auto" w:fill="FFFFFF"/>
        <w:spacing w:before="100" w:beforeAutospacing="1" w:after="100" w:afterAutospacing="1"/>
        <w:rPr>
          <w:color w:val="000000"/>
          <w:szCs w:val="22"/>
        </w:rPr>
      </w:pPr>
      <w:r w:rsidRPr="009523E1">
        <w:rPr>
          <w:color w:val="000000"/>
          <w:szCs w:val="22"/>
        </w:rPr>
        <w:t xml:space="preserve">CBD supports incorporating AZE sites in the expansion of current protected area networks (Aichi Target 11), as safeguarding these sites increases the global protection of high biodiversity value sites. CBD also recommends that to implement Aichi Target 12, </w:t>
      </w:r>
      <w:r w:rsidRPr="009523E1">
        <w:rPr>
          <w:i/>
          <w:iCs/>
          <w:color w:val="000000"/>
          <w:szCs w:val="22"/>
        </w:rPr>
        <w:t>“s</w:t>
      </w:r>
      <w:proofErr w:type="spellStart"/>
      <w:r w:rsidRPr="009523E1">
        <w:rPr>
          <w:i/>
          <w:iCs/>
          <w:color w:val="333333"/>
          <w:szCs w:val="22"/>
          <w:lang w:val="en"/>
        </w:rPr>
        <w:t>ites</w:t>
      </w:r>
      <w:proofErr w:type="spellEnd"/>
      <w:r w:rsidRPr="009523E1">
        <w:rPr>
          <w:i/>
          <w:iCs/>
          <w:color w:val="333333"/>
          <w:szCs w:val="22"/>
          <w:lang w:val="en"/>
        </w:rPr>
        <w:t xml:space="preserve"> already identified through the Alliance for Zero Extinction could be protected, supplemented by additional work to identify, locate and protect threatened species.” </w:t>
      </w:r>
      <w:r w:rsidRPr="009523E1">
        <w:rPr>
          <w:color w:val="000000"/>
          <w:szCs w:val="22"/>
        </w:rPr>
        <w:t>Parties can achieve Aichi Targets 11 and 12 simultaneously by linking them; governments can advantageously base the expansion of their protected area systems on the preservation of threatened species.</w:t>
      </w:r>
    </w:p>
    <w:p w14:paraId="1E8E236F" w14:textId="77777777" w:rsidR="00443E5A" w:rsidRPr="009523E1" w:rsidRDefault="00443E5A" w:rsidP="009523E1">
      <w:pPr>
        <w:shd w:val="clear" w:color="auto" w:fill="FFFFFF"/>
        <w:spacing w:before="100" w:beforeAutospacing="1" w:after="100" w:afterAutospacing="1"/>
        <w:rPr>
          <w:color w:val="000000"/>
          <w:szCs w:val="22"/>
        </w:rPr>
      </w:pPr>
      <w:r w:rsidRPr="009523E1">
        <w:rPr>
          <w:color w:val="000000"/>
          <w:szCs w:val="22"/>
        </w:rPr>
        <w:t xml:space="preserve">Parties have a great deal of flexibility in determining how best to safeguard AZE sites. As CBD explains, </w:t>
      </w:r>
      <w:r w:rsidRPr="009523E1">
        <w:rPr>
          <w:i/>
          <w:iCs/>
          <w:color w:val="000000"/>
          <w:szCs w:val="22"/>
        </w:rPr>
        <w:t>“</w:t>
      </w:r>
      <w:r w:rsidRPr="009523E1">
        <w:rPr>
          <w:i/>
          <w:iCs/>
          <w:color w:val="333333"/>
          <w:szCs w:val="22"/>
          <w:lang w:val="en"/>
        </w:rPr>
        <w:t>IUCN’S Guidelines for applying protected area management categories recognizes four broad types of governance of protected areas, any of which can be associated with any management objective. These categories include governance by government, shared governance, private governance, and governance by indigenous peoples and local communities.”</w:t>
      </w:r>
    </w:p>
    <w:p w14:paraId="4DF21F75" w14:textId="77777777" w:rsidR="00443E5A" w:rsidRPr="009523E1" w:rsidRDefault="00443E5A" w:rsidP="009523E1">
      <w:pPr>
        <w:shd w:val="clear" w:color="auto" w:fill="FFFFFF"/>
        <w:spacing w:before="100" w:beforeAutospacing="1" w:after="100" w:afterAutospacing="1"/>
        <w:rPr>
          <w:color w:val="000000"/>
          <w:szCs w:val="22"/>
        </w:rPr>
      </w:pPr>
      <w:r w:rsidRPr="009523E1">
        <w:rPr>
          <w:color w:val="000000"/>
          <w:szCs w:val="22"/>
        </w:rPr>
        <w:t xml:space="preserve">One suggestion for safeguarding AZE sites is to begin by considering two levels of protection: any protection and “targeted” protection. A country’s first goal could be to achieve any level of official protection for all national AZE sites by a predetermined year, such as 2020. Since habitat destruction is the primary threat to the majority of AZE sites, providing an initial level of protection for AZE sites is the most urgently-needed step towards conserving their species. </w:t>
      </w:r>
    </w:p>
    <w:p w14:paraId="5CADA5F1" w14:textId="77777777" w:rsidR="00443E5A" w:rsidRPr="009523E1" w:rsidRDefault="00443E5A" w:rsidP="009523E1">
      <w:pPr>
        <w:shd w:val="clear" w:color="auto" w:fill="FFFFFF"/>
        <w:spacing w:before="100" w:beforeAutospacing="1" w:after="100" w:afterAutospacing="1"/>
        <w:rPr>
          <w:color w:val="000000"/>
          <w:szCs w:val="22"/>
        </w:rPr>
      </w:pPr>
      <w:r w:rsidRPr="009523E1">
        <w:rPr>
          <w:color w:val="000000"/>
          <w:szCs w:val="22"/>
        </w:rPr>
        <w:t xml:space="preserve">A second and more long-term goal can be to work towards “targeted” protection for all AZE sites, with “targeted” defined on a case-by-case basis </w:t>
      </w:r>
      <w:proofErr w:type="spellStart"/>
      <w:r w:rsidRPr="009523E1">
        <w:rPr>
          <w:color w:val="000000"/>
          <w:szCs w:val="22"/>
        </w:rPr>
        <w:t>centered</w:t>
      </w:r>
      <w:proofErr w:type="spellEnd"/>
      <w:r w:rsidRPr="009523E1">
        <w:rPr>
          <w:color w:val="000000"/>
          <w:szCs w:val="22"/>
        </w:rPr>
        <w:t xml:space="preserve"> on the threats to and ownership of each site and the AZE species’ management needs. For example, some species may be endangered due to specific threats, such as invasive species, logging or trafficking. Working to reduce or eliminate these threats will be key to the long-term persistence of such species.</w:t>
      </w:r>
    </w:p>
    <w:tbl>
      <w:tblPr>
        <w:tblW w:w="9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20" w:firstRow="1" w:lastRow="0" w:firstColumn="0" w:lastColumn="0" w:noHBand="0" w:noVBand="1"/>
      </w:tblPr>
      <w:tblGrid>
        <w:gridCol w:w="4680"/>
        <w:gridCol w:w="4590"/>
      </w:tblGrid>
      <w:tr w:rsidR="00443E5A" w:rsidRPr="009523E1" w14:paraId="50A8B7F1" w14:textId="77777777" w:rsidTr="00294291">
        <w:trPr>
          <w:trHeight w:val="504"/>
        </w:trPr>
        <w:tc>
          <w:tcPr>
            <w:tcW w:w="4680" w:type="dxa"/>
            <w:tcBorders>
              <w:bottom w:val="single" w:sz="12" w:space="0" w:color="666666"/>
            </w:tcBorders>
            <w:shd w:val="clear" w:color="auto" w:fill="auto"/>
            <w:hideMark/>
          </w:tcPr>
          <w:p w14:paraId="0CC3F19C" w14:textId="77777777" w:rsidR="00443E5A" w:rsidRPr="009523E1" w:rsidRDefault="00443E5A" w:rsidP="009523E1">
            <w:pPr>
              <w:shd w:val="clear" w:color="auto" w:fill="FFFFFF"/>
              <w:spacing w:before="100" w:beforeAutospacing="1" w:after="200"/>
              <w:rPr>
                <w:rFonts w:eastAsia="Calibri"/>
                <w:b/>
                <w:bCs/>
                <w:szCs w:val="22"/>
              </w:rPr>
            </w:pPr>
            <w:r w:rsidRPr="009523E1">
              <w:rPr>
                <w:rFonts w:eastAsia="Calibri"/>
                <w:b/>
                <w:bCs/>
                <w:szCs w:val="22"/>
              </w:rPr>
              <w:t>Level 1: Any protection</w:t>
            </w:r>
          </w:p>
        </w:tc>
        <w:tc>
          <w:tcPr>
            <w:tcW w:w="4590" w:type="dxa"/>
            <w:tcBorders>
              <w:bottom w:val="single" w:sz="12" w:space="0" w:color="666666"/>
            </w:tcBorders>
            <w:shd w:val="clear" w:color="auto" w:fill="auto"/>
            <w:hideMark/>
          </w:tcPr>
          <w:p w14:paraId="5418A618" w14:textId="77777777" w:rsidR="00443E5A" w:rsidRPr="009523E1" w:rsidRDefault="00443E5A" w:rsidP="009523E1">
            <w:pPr>
              <w:shd w:val="clear" w:color="auto" w:fill="FFFFFF"/>
              <w:spacing w:before="100" w:beforeAutospacing="1" w:after="200"/>
              <w:rPr>
                <w:rFonts w:eastAsia="Calibri"/>
                <w:b/>
                <w:bCs/>
                <w:szCs w:val="22"/>
              </w:rPr>
            </w:pPr>
            <w:r w:rsidRPr="009523E1">
              <w:rPr>
                <w:rFonts w:eastAsia="Calibri"/>
                <w:b/>
                <w:bCs/>
                <w:szCs w:val="22"/>
              </w:rPr>
              <w:t>Level 2: Targeted protection</w:t>
            </w:r>
          </w:p>
        </w:tc>
      </w:tr>
      <w:tr w:rsidR="00443E5A" w:rsidRPr="009523E1" w14:paraId="2E7DAF3A" w14:textId="77777777" w:rsidTr="00294291">
        <w:trPr>
          <w:trHeight w:val="584"/>
        </w:trPr>
        <w:tc>
          <w:tcPr>
            <w:tcW w:w="4680" w:type="dxa"/>
            <w:shd w:val="clear" w:color="auto" w:fill="auto"/>
            <w:hideMark/>
          </w:tcPr>
          <w:p w14:paraId="73A56E7E" w14:textId="77777777" w:rsidR="00443E5A" w:rsidRPr="009523E1" w:rsidRDefault="00443E5A" w:rsidP="009523E1">
            <w:pPr>
              <w:shd w:val="clear" w:color="auto" w:fill="FFFFFF"/>
              <w:spacing w:before="100" w:beforeAutospacing="1" w:after="200"/>
              <w:rPr>
                <w:rFonts w:eastAsia="Calibri"/>
                <w:color w:val="000000"/>
                <w:szCs w:val="22"/>
              </w:rPr>
            </w:pPr>
            <w:r w:rsidRPr="009523E1">
              <w:rPr>
                <w:rFonts w:eastAsia="Calibri"/>
                <w:color w:val="000000"/>
                <w:szCs w:val="22"/>
              </w:rPr>
              <w:t>Any level of official protection for unprotected or partially-protected AZE sites</w:t>
            </w:r>
          </w:p>
        </w:tc>
        <w:tc>
          <w:tcPr>
            <w:tcW w:w="4590" w:type="dxa"/>
            <w:shd w:val="clear" w:color="auto" w:fill="auto"/>
            <w:hideMark/>
          </w:tcPr>
          <w:p w14:paraId="2C8CBEBA" w14:textId="77777777" w:rsidR="00443E5A" w:rsidRPr="009523E1" w:rsidRDefault="00443E5A" w:rsidP="009523E1">
            <w:pPr>
              <w:shd w:val="clear" w:color="auto" w:fill="FFFFFF"/>
              <w:spacing w:before="100" w:beforeAutospacing="1" w:after="200"/>
              <w:rPr>
                <w:rFonts w:eastAsia="Calibri"/>
                <w:color w:val="000000"/>
                <w:szCs w:val="22"/>
              </w:rPr>
            </w:pPr>
            <w:r w:rsidRPr="009523E1">
              <w:rPr>
                <w:rFonts w:eastAsia="Calibri"/>
                <w:color w:val="000000"/>
                <w:szCs w:val="22"/>
              </w:rPr>
              <w:t xml:space="preserve">Protection based on threats to the sites on a case-by-case basis </w:t>
            </w:r>
            <w:proofErr w:type="spellStart"/>
            <w:r w:rsidRPr="009523E1">
              <w:rPr>
                <w:rFonts w:eastAsia="Calibri"/>
                <w:color w:val="000000"/>
                <w:szCs w:val="22"/>
              </w:rPr>
              <w:t>centered</w:t>
            </w:r>
            <w:proofErr w:type="spellEnd"/>
            <w:r w:rsidRPr="009523E1">
              <w:rPr>
                <w:rFonts w:eastAsia="Calibri"/>
                <w:color w:val="000000"/>
                <w:szCs w:val="22"/>
              </w:rPr>
              <w:t xml:space="preserve"> on the threats to and ownership of each site</w:t>
            </w:r>
          </w:p>
        </w:tc>
      </w:tr>
      <w:tr w:rsidR="00443E5A" w:rsidRPr="009523E1" w14:paraId="635354DA" w14:textId="77777777" w:rsidTr="00294291">
        <w:trPr>
          <w:trHeight w:val="584"/>
        </w:trPr>
        <w:tc>
          <w:tcPr>
            <w:tcW w:w="4680" w:type="dxa"/>
            <w:shd w:val="clear" w:color="auto" w:fill="auto"/>
            <w:hideMark/>
          </w:tcPr>
          <w:p w14:paraId="26B80CC1" w14:textId="77777777" w:rsidR="00443E5A" w:rsidRPr="009523E1" w:rsidRDefault="00443E5A" w:rsidP="009523E1">
            <w:pPr>
              <w:shd w:val="clear" w:color="auto" w:fill="FFFFFF"/>
              <w:spacing w:before="100" w:beforeAutospacing="1" w:after="200"/>
              <w:rPr>
                <w:rFonts w:eastAsia="Calibri"/>
                <w:color w:val="000000"/>
                <w:szCs w:val="22"/>
              </w:rPr>
            </w:pPr>
            <w:r w:rsidRPr="009523E1">
              <w:rPr>
                <w:rFonts w:eastAsia="Calibri"/>
                <w:color w:val="000000"/>
                <w:szCs w:val="22"/>
                <w:u w:val="single"/>
              </w:rPr>
              <w:t>Timeframe</w:t>
            </w:r>
            <w:r w:rsidRPr="009523E1">
              <w:rPr>
                <w:rFonts w:eastAsia="Calibri"/>
                <w:color w:val="000000"/>
                <w:szCs w:val="22"/>
              </w:rPr>
              <w:t xml:space="preserve">: Enacted by a predetermined year </w:t>
            </w:r>
          </w:p>
        </w:tc>
        <w:tc>
          <w:tcPr>
            <w:tcW w:w="4590" w:type="dxa"/>
            <w:shd w:val="clear" w:color="auto" w:fill="auto"/>
            <w:hideMark/>
          </w:tcPr>
          <w:p w14:paraId="7DCE02EE" w14:textId="77777777" w:rsidR="00443E5A" w:rsidRPr="009523E1" w:rsidRDefault="00443E5A" w:rsidP="009523E1">
            <w:pPr>
              <w:shd w:val="clear" w:color="auto" w:fill="FFFFFF"/>
              <w:spacing w:before="100" w:beforeAutospacing="1" w:after="200"/>
              <w:rPr>
                <w:rFonts w:eastAsia="Calibri"/>
                <w:color w:val="000000"/>
                <w:szCs w:val="22"/>
              </w:rPr>
            </w:pPr>
            <w:r w:rsidRPr="009523E1">
              <w:rPr>
                <w:rFonts w:eastAsia="Calibri"/>
                <w:color w:val="000000"/>
                <w:szCs w:val="22"/>
                <w:u w:val="single"/>
              </w:rPr>
              <w:t>Timeframe</w:t>
            </w:r>
            <w:r w:rsidRPr="009523E1">
              <w:rPr>
                <w:rFonts w:eastAsia="Calibri"/>
                <w:color w:val="000000"/>
                <w:szCs w:val="22"/>
              </w:rPr>
              <w:t>: Ongoing</w:t>
            </w:r>
          </w:p>
        </w:tc>
      </w:tr>
      <w:tr w:rsidR="00443E5A" w:rsidRPr="009523E1" w14:paraId="25AAE824" w14:textId="77777777" w:rsidTr="00294291">
        <w:trPr>
          <w:trHeight w:val="881"/>
        </w:trPr>
        <w:tc>
          <w:tcPr>
            <w:tcW w:w="4680" w:type="dxa"/>
            <w:shd w:val="clear" w:color="auto" w:fill="auto"/>
            <w:hideMark/>
          </w:tcPr>
          <w:p w14:paraId="0EEB1AB9" w14:textId="77777777" w:rsidR="00443E5A" w:rsidRPr="009523E1" w:rsidRDefault="00443E5A" w:rsidP="009523E1">
            <w:pPr>
              <w:shd w:val="clear" w:color="auto" w:fill="FFFFFF"/>
              <w:spacing w:before="100" w:beforeAutospacing="1" w:after="200"/>
              <w:rPr>
                <w:rFonts w:eastAsia="Calibri"/>
                <w:color w:val="000000"/>
                <w:szCs w:val="22"/>
              </w:rPr>
            </w:pPr>
            <w:r w:rsidRPr="009523E1">
              <w:rPr>
                <w:rFonts w:eastAsia="Calibri"/>
                <w:color w:val="000000"/>
                <w:szCs w:val="22"/>
                <w:u w:val="single"/>
              </w:rPr>
              <w:lastRenderedPageBreak/>
              <w:t>Goal</w:t>
            </w:r>
            <w:r w:rsidRPr="009523E1">
              <w:rPr>
                <w:rFonts w:eastAsia="Calibri"/>
                <w:color w:val="000000"/>
                <w:szCs w:val="22"/>
              </w:rPr>
              <w:t>: All unprotected or partially-protected AZE sites receive a basic level of official protection.</w:t>
            </w:r>
          </w:p>
        </w:tc>
        <w:tc>
          <w:tcPr>
            <w:tcW w:w="4590" w:type="dxa"/>
            <w:shd w:val="clear" w:color="auto" w:fill="auto"/>
            <w:hideMark/>
          </w:tcPr>
          <w:p w14:paraId="6C6CD16B" w14:textId="77777777" w:rsidR="00443E5A" w:rsidRPr="009523E1" w:rsidRDefault="00443E5A" w:rsidP="009523E1">
            <w:pPr>
              <w:shd w:val="clear" w:color="auto" w:fill="FFFFFF"/>
              <w:spacing w:before="100" w:beforeAutospacing="1" w:after="200"/>
              <w:rPr>
                <w:rFonts w:eastAsia="Calibri"/>
                <w:color w:val="000000"/>
                <w:szCs w:val="22"/>
              </w:rPr>
            </w:pPr>
            <w:r w:rsidRPr="009523E1">
              <w:rPr>
                <w:rFonts w:eastAsia="Calibri"/>
                <w:color w:val="000000"/>
                <w:szCs w:val="22"/>
                <w:u w:val="single"/>
              </w:rPr>
              <w:t>Goal</w:t>
            </w:r>
            <w:r w:rsidRPr="009523E1">
              <w:rPr>
                <w:rFonts w:eastAsia="Calibri"/>
                <w:color w:val="000000"/>
                <w:szCs w:val="22"/>
              </w:rPr>
              <w:t>: Some sites are at risk due to specific threats, such as invasive species, trafficking, or logging. Working to reduce or eliminate these threats will be key to the long-term persistence of such sites.</w:t>
            </w:r>
          </w:p>
        </w:tc>
      </w:tr>
    </w:tbl>
    <w:p w14:paraId="289860B5" w14:textId="77777777" w:rsidR="00443E5A" w:rsidRPr="009523E1" w:rsidRDefault="00443E5A" w:rsidP="009523E1">
      <w:pPr>
        <w:shd w:val="clear" w:color="auto" w:fill="FFFFFF"/>
        <w:autoSpaceDE w:val="0"/>
        <w:autoSpaceDN w:val="0"/>
        <w:spacing w:before="100" w:beforeAutospacing="1" w:after="240"/>
        <w:rPr>
          <w:color w:val="000000"/>
          <w:szCs w:val="22"/>
        </w:rPr>
      </w:pPr>
      <w:r w:rsidRPr="009523E1">
        <w:rPr>
          <w:color w:val="000000"/>
          <w:szCs w:val="22"/>
        </w:rPr>
        <w:t>A CBD Decision on AZE would</w:t>
      </w:r>
      <w:r w:rsidRPr="009523E1">
        <w:rPr>
          <w:snapToGrid w:val="0"/>
          <w:color w:val="000000"/>
          <w:kern w:val="22"/>
          <w:szCs w:val="22"/>
        </w:rPr>
        <w:t xml:space="preserve"> encourage Parties to adopt initiatives towards the better protection of AZE sites and to promote the incorporation of AZE sites in national legislations, considering that</w:t>
      </w:r>
      <w:r w:rsidRPr="009523E1">
        <w:rPr>
          <w:color w:val="000000"/>
          <w:szCs w:val="22"/>
        </w:rPr>
        <w:t xml:space="preserve"> Parties could achieve Aichi Targets 11 and 12 simultaneously by linking them and governments can advantageously base the expansion of their protected area systems on the preservation of threatened species.</w:t>
      </w:r>
    </w:p>
    <w:p w14:paraId="78C2B8FF" w14:textId="77777777" w:rsidR="00443E5A" w:rsidRPr="009523E1" w:rsidRDefault="00443E5A" w:rsidP="009523E1">
      <w:pPr>
        <w:shd w:val="clear" w:color="auto" w:fill="FFFFFF"/>
        <w:autoSpaceDE w:val="0"/>
        <w:autoSpaceDN w:val="0"/>
        <w:spacing w:before="100" w:beforeAutospacing="1" w:after="240"/>
        <w:rPr>
          <w:b/>
          <w:szCs w:val="22"/>
        </w:rPr>
      </w:pPr>
    </w:p>
    <w:p w14:paraId="61400625" w14:textId="77777777" w:rsidR="00443E5A" w:rsidRPr="009523E1" w:rsidRDefault="00443E5A" w:rsidP="009523E1">
      <w:pPr>
        <w:pStyle w:val="ListParagraph"/>
        <w:numPr>
          <w:ilvl w:val="0"/>
          <w:numId w:val="18"/>
        </w:numPr>
        <w:shd w:val="clear" w:color="auto" w:fill="FFFFFF"/>
        <w:autoSpaceDE w:val="0"/>
        <w:autoSpaceDN w:val="0"/>
        <w:spacing w:before="100" w:beforeAutospacing="1" w:after="240"/>
        <w:jc w:val="center"/>
        <w:rPr>
          <w:b/>
          <w:szCs w:val="22"/>
        </w:rPr>
      </w:pPr>
      <w:r w:rsidRPr="009523E1">
        <w:rPr>
          <w:b/>
          <w:szCs w:val="22"/>
        </w:rPr>
        <w:t>SUGGESTED RECOMMENDATION</w:t>
      </w:r>
    </w:p>
    <w:p w14:paraId="7038AEDA" w14:textId="77777777" w:rsidR="00443E5A" w:rsidRPr="009523E1" w:rsidRDefault="00443E5A" w:rsidP="009523E1">
      <w:pPr>
        <w:rPr>
          <w:szCs w:val="22"/>
        </w:rPr>
      </w:pPr>
      <w:r w:rsidRPr="009523E1">
        <w:rPr>
          <w:szCs w:val="22"/>
        </w:rPr>
        <w:t>The Subsidiary Body on Scientific, Technical and Technological Advice may wish to recommend that the Conference of the Parties adopt a decision along the following lines:</w:t>
      </w:r>
    </w:p>
    <w:p w14:paraId="4998D33C" w14:textId="77777777" w:rsidR="00443E5A" w:rsidRPr="009523E1" w:rsidRDefault="00443E5A" w:rsidP="009523E1">
      <w:pPr>
        <w:keepNext/>
        <w:suppressLineNumbers/>
        <w:suppressAutoHyphens/>
        <w:spacing w:before="120" w:after="120"/>
        <w:ind w:firstLine="720"/>
        <w:rPr>
          <w:bCs/>
          <w:i/>
          <w:snapToGrid w:val="0"/>
          <w:color w:val="000000"/>
          <w:kern w:val="22"/>
          <w:szCs w:val="22"/>
          <w:lang w:eastAsia="ko-KR"/>
        </w:rPr>
      </w:pPr>
      <w:r w:rsidRPr="009523E1">
        <w:rPr>
          <w:bCs/>
          <w:i/>
          <w:snapToGrid w:val="0"/>
          <w:color w:val="000000"/>
          <w:kern w:val="22"/>
          <w:szCs w:val="22"/>
          <w:lang w:eastAsia="ko-KR"/>
        </w:rPr>
        <w:t>The Conference of the Parties</w:t>
      </w:r>
    </w:p>
    <w:p w14:paraId="06EC9053" w14:textId="77777777" w:rsidR="00443E5A" w:rsidRPr="009523E1" w:rsidRDefault="00443E5A" w:rsidP="009523E1">
      <w:pPr>
        <w:suppressLineNumbers/>
        <w:suppressAutoHyphens/>
        <w:spacing w:before="120" w:after="120"/>
        <w:ind w:firstLine="720"/>
        <w:rPr>
          <w:szCs w:val="22"/>
        </w:rPr>
      </w:pPr>
      <w:r w:rsidRPr="009523E1">
        <w:rPr>
          <w:i/>
          <w:snapToGrid w:val="0"/>
          <w:color w:val="000000"/>
          <w:kern w:val="22"/>
          <w:szCs w:val="22"/>
          <w:lang w:eastAsia="ko-KR"/>
        </w:rPr>
        <w:t>Noting</w:t>
      </w:r>
      <w:r w:rsidRPr="009523E1">
        <w:rPr>
          <w:snapToGrid w:val="0"/>
          <w:color w:val="000000"/>
          <w:kern w:val="22"/>
          <w:szCs w:val="22"/>
          <w:lang w:eastAsia="ko-KR"/>
        </w:rPr>
        <w:t xml:space="preserve"> that, according to GBO-4, countries need to d</w:t>
      </w:r>
      <w:r w:rsidRPr="009523E1">
        <w:rPr>
          <w:szCs w:val="22"/>
        </w:rPr>
        <w:t>evelop more representative and better managed protected area systems, prioritizing sites of particular importance to biodiversity, especially those containing unique populations of endangered species, in order to achieve Target 11 and 12,</w:t>
      </w:r>
    </w:p>
    <w:p w14:paraId="3C69665E" w14:textId="77777777" w:rsidR="00443E5A" w:rsidRPr="009523E1" w:rsidRDefault="00443E5A" w:rsidP="009523E1">
      <w:pPr>
        <w:suppressLineNumbers/>
        <w:suppressAutoHyphens/>
        <w:spacing w:before="120" w:after="120"/>
        <w:ind w:firstLine="720"/>
        <w:rPr>
          <w:rFonts w:eastAsia="MS Gothic"/>
          <w:bCs/>
          <w:snapToGrid w:val="0"/>
          <w:color w:val="000000"/>
          <w:kern w:val="22"/>
          <w:szCs w:val="22"/>
        </w:rPr>
      </w:pPr>
      <w:r w:rsidRPr="009523E1">
        <w:rPr>
          <w:rFonts w:eastAsia="MS Gothic"/>
          <w:bCs/>
          <w:i/>
          <w:snapToGrid w:val="0"/>
          <w:color w:val="000000"/>
          <w:kern w:val="22"/>
          <w:szCs w:val="22"/>
        </w:rPr>
        <w:t>Recognizing</w:t>
      </w:r>
      <w:r w:rsidRPr="009523E1">
        <w:rPr>
          <w:rFonts w:eastAsia="MS Gothic"/>
          <w:bCs/>
          <w:snapToGrid w:val="0"/>
          <w:color w:val="000000"/>
          <w:kern w:val="22"/>
          <w:szCs w:val="22"/>
        </w:rPr>
        <w:t xml:space="preserve"> that Alliance for Zero Extinction is a global initiative comprising biodiversity conservation organization aiming to prevent extinctions by identifying and safeguarding key sites where species are in imminent danger of disappearing,</w:t>
      </w:r>
    </w:p>
    <w:p w14:paraId="3288F00D" w14:textId="77777777" w:rsidR="00443E5A" w:rsidRPr="009523E1" w:rsidRDefault="00443E5A" w:rsidP="009523E1">
      <w:pPr>
        <w:suppressLineNumbers/>
        <w:suppressAutoHyphens/>
        <w:spacing w:before="120" w:after="120"/>
        <w:ind w:firstLine="720"/>
        <w:rPr>
          <w:snapToGrid w:val="0"/>
          <w:color w:val="000000"/>
          <w:kern w:val="22"/>
          <w:szCs w:val="22"/>
          <w:lang w:eastAsia="ko-KR"/>
        </w:rPr>
      </w:pPr>
      <w:r w:rsidRPr="009523E1">
        <w:rPr>
          <w:i/>
          <w:snapToGrid w:val="0"/>
          <w:color w:val="000000"/>
          <w:kern w:val="22"/>
          <w:szCs w:val="22"/>
          <w:lang w:eastAsia="ko-KR"/>
        </w:rPr>
        <w:t>Further noting</w:t>
      </w:r>
      <w:r w:rsidRPr="009523E1">
        <w:rPr>
          <w:snapToGrid w:val="0"/>
          <w:color w:val="000000"/>
          <w:kern w:val="22"/>
          <w:szCs w:val="22"/>
          <w:lang w:eastAsia="ko-KR"/>
        </w:rPr>
        <w:t xml:space="preserve"> that Key Biodiversity Areas contribute to the decision XI/13 B on the identification of scientific and technical needs related to the implementation of the Strategic Plan for Biodiversity 2011-2020, as mentioned in the SBSTTA-17-INF-10, and all Alliance for Zero Extinction sites (AZE sites) </w:t>
      </w:r>
      <w:r w:rsidRPr="009523E1">
        <w:rPr>
          <w:szCs w:val="22"/>
        </w:rPr>
        <w:t>meet KBA criterion A1 (Threatened Species) and therefore are KBAs,</w:t>
      </w:r>
    </w:p>
    <w:p w14:paraId="4A6DFCA3" w14:textId="77777777" w:rsidR="00443E5A" w:rsidRPr="009523E1" w:rsidRDefault="00443E5A" w:rsidP="009523E1">
      <w:pPr>
        <w:spacing w:before="100" w:beforeAutospacing="1" w:after="100" w:afterAutospacing="1"/>
        <w:ind w:firstLine="720"/>
        <w:rPr>
          <w:szCs w:val="22"/>
        </w:rPr>
      </w:pPr>
      <w:r w:rsidRPr="009523E1">
        <w:rPr>
          <w:i/>
          <w:snapToGrid w:val="0"/>
          <w:color w:val="000000"/>
          <w:kern w:val="22"/>
          <w:szCs w:val="22"/>
          <w:lang w:eastAsia="ko-KR"/>
        </w:rPr>
        <w:t>Further noting</w:t>
      </w:r>
      <w:r w:rsidRPr="009523E1">
        <w:rPr>
          <w:snapToGrid w:val="0"/>
          <w:color w:val="000000"/>
          <w:kern w:val="22"/>
          <w:szCs w:val="22"/>
          <w:lang w:eastAsia="ko-KR"/>
        </w:rPr>
        <w:t xml:space="preserve"> that </w:t>
      </w:r>
      <w:r w:rsidRPr="009523E1">
        <w:rPr>
          <w:szCs w:val="22"/>
        </w:rPr>
        <w:t xml:space="preserve">AZE sites are defined by 3 criteria: they must hold at least 1 CR or EN species, they must contain the overwhelmingly significant known resident population (&gt;95%) of the EN or CR species OR over 95% of the population at one life history segment, and they must have definable boundaries, </w:t>
      </w:r>
    </w:p>
    <w:p w14:paraId="7881D1DA" w14:textId="77777777" w:rsidR="00443E5A" w:rsidRPr="009523E1" w:rsidRDefault="00443E5A" w:rsidP="009523E1">
      <w:pPr>
        <w:suppressLineNumbers/>
        <w:suppressAutoHyphens/>
        <w:spacing w:before="120" w:after="120"/>
        <w:ind w:firstLine="720"/>
        <w:rPr>
          <w:rFonts w:eastAsia="MS Gothic"/>
          <w:bCs/>
          <w:snapToGrid w:val="0"/>
          <w:color w:val="000000"/>
          <w:kern w:val="22"/>
          <w:szCs w:val="22"/>
        </w:rPr>
      </w:pPr>
      <w:r w:rsidRPr="009523E1">
        <w:rPr>
          <w:rFonts w:eastAsia="MS Gothic"/>
          <w:bCs/>
          <w:i/>
          <w:snapToGrid w:val="0"/>
          <w:color w:val="000000"/>
          <w:kern w:val="22"/>
          <w:szCs w:val="22"/>
        </w:rPr>
        <w:t>Recalling</w:t>
      </w:r>
      <w:r w:rsidRPr="009523E1">
        <w:rPr>
          <w:rFonts w:eastAsia="MS Gothic"/>
          <w:bCs/>
          <w:snapToGrid w:val="0"/>
          <w:color w:val="000000"/>
          <w:kern w:val="22"/>
          <w:szCs w:val="22"/>
        </w:rPr>
        <w:t xml:space="preserve"> the Memorandum of Cooperation between the Secretariat of the Convention on Biological Diversity and the Alliance for Zero Extinction, entered into effect in 2010,</w:t>
      </w:r>
    </w:p>
    <w:p w14:paraId="275C93D4" w14:textId="77777777" w:rsidR="00443E5A" w:rsidRPr="009523E1" w:rsidRDefault="00443E5A" w:rsidP="009523E1">
      <w:pPr>
        <w:suppressLineNumbers/>
        <w:suppressAutoHyphens/>
        <w:spacing w:before="120" w:after="120"/>
        <w:ind w:firstLine="720"/>
        <w:rPr>
          <w:rFonts w:eastAsia="MS Gothic"/>
          <w:bCs/>
          <w:snapToGrid w:val="0"/>
          <w:color w:val="000000"/>
          <w:kern w:val="22"/>
          <w:szCs w:val="22"/>
        </w:rPr>
      </w:pPr>
      <w:r w:rsidRPr="009523E1">
        <w:rPr>
          <w:rFonts w:eastAsia="MS Gothic"/>
          <w:bCs/>
          <w:snapToGrid w:val="0"/>
          <w:color w:val="000000"/>
          <w:kern w:val="22"/>
          <w:szCs w:val="22"/>
        </w:rPr>
        <w:t>Recalling the Like-Minded Mega-Diverse Countries Carta to achieve Aichi Biodiversity Target 11, presented in the thirteenth meeting of the Conference of the Parties to the Convention on Biological Diversity, in Cancun, Mexico, on December 2016, which notes that the LMMC have 61% of all identified AZE sites and urges all partners to take concerted efforts for achieving Aichi Target 11;</w:t>
      </w:r>
    </w:p>
    <w:p w14:paraId="259FFAC4" w14:textId="77777777" w:rsidR="00443E5A" w:rsidRPr="009523E1" w:rsidRDefault="00443E5A" w:rsidP="009523E1">
      <w:pPr>
        <w:suppressLineNumbers/>
        <w:suppressAutoHyphens/>
        <w:spacing w:before="120" w:after="120"/>
        <w:ind w:firstLine="720"/>
        <w:rPr>
          <w:rFonts w:eastAsia="MS Gothic"/>
          <w:bCs/>
          <w:snapToGrid w:val="0"/>
          <w:color w:val="000000"/>
          <w:kern w:val="22"/>
          <w:szCs w:val="22"/>
        </w:rPr>
      </w:pPr>
      <w:r w:rsidRPr="009523E1">
        <w:rPr>
          <w:rFonts w:eastAsia="MS Gothic"/>
          <w:bCs/>
          <w:i/>
          <w:snapToGrid w:val="0"/>
          <w:color w:val="000000"/>
          <w:kern w:val="22"/>
          <w:szCs w:val="22"/>
        </w:rPr>
        <w:t>Considering</w:t>
      </w:r>
      <w:r w:rsidRPr="009523E1">
        <w:rPr>
          <w:rFonts w:eastAsia="MS Gothic"/>
          <w:bCs/>
          <w:snapToGrid w:val="0"/>
          <w:color w:val="000000"/>
          <w:kern w:val="22"/>
          <w:szCs w:val="22"/>
        </w:rPr>
        <w:t xml:space="preserve"> the Resolution 015 – Saving the world’s most threatened species, approved by the IUCN World Conservation Congress in 2012, which invites the world’s governments to give priority to protecting sites for single-site restricted Endangered and Critically Endangered species, as a contribution to meeting their commitments under the Convention on Biological Diversity, particularly Aichi Targets 11 and 12;</w:t>
      </w:r>
    </w:p>
    <w:p w14:paraId="05640760" w14:textId="77777777" w:rsidR="00443E5A" w:rsidRPr="009523E1" w:rsidRDefault="00443E5A" w:rsidP="009523E1">
      <w:pPr>
        <w:suppressLineNumbers/>
        <w:suppressAutoHyphens/>
        <w:spacing w:before="120" w:after="120"/>
        <w:ind w:firstLine="720"/>
        <w:rPr>
          <w:snapToGrid w:val="0"/>
          <w:color w:val="000000"/>
          <w:kern w:val="22"/>
          <w:szCs w:val="22"/>
        </w:rPr>
      </w:pPr>
      <w:r w:rsidRPr="009523E1">
        <w:rPr>
          <w:i/>
          <w:iCs/>
          <w:snapToGrid w:val="0"/>
          <w:color w:val="000000"/>
          <w:kern w:val="22"/>
          <w:szCs w:val="22"/>
        </w:rPr>
        <w:t>1.</w:t>
      </w:r>
      <w:r w:rsidRPr="009523E1">
        <w:rPr>
          <w:i/>
          <w:iCs/>
          <w:snapToGrid w:val="0"/>
          <w:color w:val="000000"/>
          <w:kern w:val="22"/>
          <w:szCs w:val="22"/>
        </w:rPr>
        <w:tab/>
        <w:t>W</w:t>
      </w:r>
      <w:r w:rsidRPr="009523E1">
        <w:rPr>
          <w:i/>
          <w:snapToGrid w:val="0"/>
          <w:color w:val="000000"/>
          <w:kern w:val="22"/>
          <w:szCs w:val="22"/>
        </w:rPr>
        <w:t xml:space="preserve">elcomes </w:t>
      </w:r>
      <w:r w:rsidRPr="009523E1">
        <w:rPr>
          <w:snapToGrid w:val="0"/>
          <w:color w:val="000000"/>
          <w:kern w:val="22"/>
          <w:szCs w:val="22"/>
        </w:rPr>
        <w:t xml:space="preserve">the information document provided in the Note on Alliance for Zero Extinction as an </w:t>
      </w:r>
      <w:r w:rsidRPr="009523E1">
        <w:rPr>
          <w:color w:val="000000"/>
          <w:szCs w:val="22"/>
        </w:rPr>
        <w:t>initiative that helps countries to accelerate progress toward Aichi Biodiversity Targets 11 and 12</w:t>
      </w:r>
      <w:r w:rsidRPr="009523E1">
        <w:rPr>
          <w:snapToGrid w:val="0"/>
          <w:color w:val="000000"/>
          <w:kern w:val="22"/>
          <w:szCs w:val="22"/>
        </w:rPr>
        <w:t>,</w:t>
      </w:r>
    </w:p>
    <w:p w14:paraId="697B9D01" w14:textId="77777777" w:rsidR="00443E5A" w:rsidRPr="009523E1" w:rsidRDefault="00443E5A" w:rsidP="009523E1">
      <w:pPr>
        <w:suppressLineNumbers/>
        <w:suppressAutoHyphens/>
        <w:spacing w:before="120" w:after="120"/>
        <w:ind w:firstLine="720"/>
        <w:rPr>
          <w:snapToGrid w:val="0"/>
          <w:color w:val="000000"/>
          <w:kern w:val="22"/>
          <w:szCs w:val="22"/>
        </w:rPr>
      </w:pPr>
      <w:r w:rsidRPr="009523E1">
        <w:rPr>
          <w:snapToGrid w:val="0"/>
          <w:color w:val="000000"/>
          <w:kern w:val="22"/>
          <w:szCs w:val="22"/>
          <w:lang w:eastAsia="ko-KR"/>
        </w:rPr>
        <w:t>2.</w:t>
      </w:r>
      <w:r w:rsidRPr="009523E1">
        <w:rPr>
          <w:snapToGrid w:val="0"/>
          <w:color w:val="000000"/>
          <w:kern w:val="22"/>
          <w:szCs w:val="22"/>
          <w:lang w:eastAsia="ko-KR"/>
        </w:rPr>
        <w:tab/>
      </w:r>
      <w:r w:rsidRPr="009523E1">
        <w:rPr>
          <w:i/>
          <w:snapToGrid w:val="0"/>
          <w:color w:val="000000"/>
          <w:kern w:val="22"/>
          <w:szCs w:val="22"/>
        </w:rPr>
        <w:t>Encourages</w:t>
      </w:r>
      <w:r w:rsidRPr="009523E1">
        <w:rPr>
          <w:snapToGrid w:val="0"/>
          <w:color w:val="000000"/>
          <w:kern w:val="22"/>
          <w:szCs w:val="22"/>
        </w:rPr>
        <w:t xml:space="preserve"> </w:t>
      </w:r>
      <w:r w:rsidRPr="009523E1">
        <w:rPr>
          <w:snapToGrid w:val="0"/>
          <w:color w:val="000000"/>
          <w:kern w:val="22"/>
          <w:szCs w:val="22"/>
          <w:lang w:eastAsia="ko-KR"/>
        </w:rPr>
        <w:t xml:space="preserve">Parties and </w:t>
      </w:r>
      <w:r w:rsidRPr="009523E1">
        <w:rPr>
          <w:i/>
          <w:snapToGrid w:val="0"/>
          <w:color w:val="000000"/>
          <w:kern w:val="22"/>
          <w:szCs w:val="22"/>
          <w:lang w:eastAsia="ko-KR"/>
        </w:rPr>
        <w:t>invites</w:t>
      </w:r>
      <w:r w:rsidRPr="009523E1">
        <w:rPr>
          <w:snapToGrid w:val="0"/>
          <w:color w:val="000000"/>
          <w:kern w:val="22"/>
          <w:szCs w:val="22"/>
          <w:lang w:eastAsia="ko-KR"/>
        </w:rPr>
        <w:t xml:space="preserve"> other Governments</w:t>
      </w:r>
      <w:r w:rsidRPr="009523E1">
        <w:rPr>
          <w:snapToGrid w:val="0"/>
          <w:color w:val="000000"/>
          <w:kern w:val="22"/>
          <w:szCs w:val="22"/>
        </w:rPr>
        <w:t xml:space="preserve">, </w:t>
      </w:r>
      <w:r w:rsidRPr="009523E1">
        <w:rPr>
          <w:rFonts w:eastAsia="Calibri"/>
          <w:snapToGrid w:val="0"/>
          <w:kern w:val="22"/>
          <w:szCs w:val="22"/>
        </w:rPr>
        <w:t>as appropriate and taking into account national circumstances,</w:t>
      </w:r>
      <w:r w:rsidRPr="009523E1">
        <w:rPr>
          <w:snapToGrid w:val="0"/>
          <w:color w:val="000000"/>
          <w:kern w:val="22"/>
          <w:szCs w:val="22"/>
        </w:rPr>
        <w:t xml:space="preserve"> to support initiatives towards the better protection of AZE sites,</w:t>
      </w:r>
    </w:p>
    <w:p w14:paraId="464312DE" w14:textId="77777777" w:rsidR="00443E5A" w:rsidRPr="009523E1" w:rsidRDefault="00443E5A" w:rsidP="009523E1">
      <w:pPr>
        <w:suppressLineNumbers/>
        <w:suppressAutoHyphens/>
        <w:spacing w:before="120" w:after="120"/>
        <w:ind w:firstLine="720"/>
        <w:rPr>
          <w:rFonts w:eastAsia="MS Gothic"/>
          <w:bCs/>
          <w:snapToGrid w:val="0"/>
          <w:color w:val="000000"/>
          <w:kern w:val="22"/>
          <w:szCs w:val="22"/>
        </w:rPr>
      </w:pPr>
      <w:r w:rsidRPr="009523E1">
        <w:rPr>
          <w:snapToGrid w:val="0"/>
          <w:color w:val="000000"/>
          <w:kern w:val="22"/>
          <w:szCs w:val="22"/>
        </w:rPr>
        <w:lastRenderedPageBreak/>
        <w:t>3.</w:t>
      </w:r>
      <w:r w:rsidRPr="009523E1">
        <w:rPr>
          <w:snapToGrid w:val="0"/>
          <w:color w:val="000000"/>
          <w:kern w:val="22"/>
          <w:szCs w:val="22"/>
        </w:rPr>
        <w:tab/>
      </w:r>
      <w:r w:rsidRPr="009523E1">
        <w:rPr>
          <w:i/>
          <w:snapToGrid w:val="0"/>
          <w:color w:val="000000"/>
          <w:kern w:val="22"/>
          <w:szCs w:val="22"/>
        </w:rPr>
        <w:t xml:space="preserve">Requests </w:t>
      </w:r>
      <w:r w:rsidRPr="009523E1">
        <w:rPr>
          <w:snapToGrid w:val="0"/>
          <w:color w:val="000000"/>
          <w:kern w:val="22"/>
          <w:szCs w:val="22"/>
        </w:rPr>
        <w:t xml:space="preserve">the Executive Secretary, subject to the availability of resources, and </w:t>
      </w:r>
      <w:r w:rsidRPr="009523E1">
        <w:rPr>
          <w:i/>
          <w:snapToGrid w:val="0"/>
          <w:color w:val="000000"/>
          <w:kern w:val="22"/>
          <w:szCs w:val="22"/>
        </w:rPr>
        <w:t>invites</w:t>
      </w:r>
      <w:r w:rsidRPr="009523E1">
        <w:rPr>
          <w:snapToGrid w:val="0"/>
          <w:color w:val="000000"/>
          <w:kern w:val="22"/>
          <w:szCs w:val="22"/>
        </w:rPr>
        <w:t xml:space="preserve"> relevant organizations, to support the national implementation of AZE sites, as appropriate, within their competencies, through collaboration on, among other things, the following activities:</w:t>
      </w:r>
    </w:p>
    <w:p w14:paraId="1637B0E2" w14:textId="77777777" w:rsidR="00443E5A" w:rsidRPr="009523E1" w:rsidRDefault="00443E5A" w:rsidP="009523E1">
      <w:pPr>
        <w:suppressLineNumbers/>
        <w:suppressAutoHyphens/>
        <w:spacing w:before="120" w:after="120"/>
        <w:ind w:firstLine="720"/>
        <w:rPr>
          <w:snapToGrid w:val="0"/>
          <w:color w:val="000000"/>
          <w:kern w:val="22"/>
          <w:szCs w:val="22"/>
        </w:rPr>
      </w:pPr>
      <w:r w:rsidRPr="009523E1">
        <w:rPr>
          <w:snapToGrid w:val="0"/>
          <w:color w:val="000000"/>
          <w:kern w:val="22"/>
          <w:szCs w:val="22"/>
        </w:rPr>
        <w:t>(a)</w:t>
      </w:r>
      <w:r w:rsidRPr="009523E1">
        <w:rPr>
          <w:snapToGrid w:val="0"/>
          <w:color w:val="000000"/>
          <w:kern w:val="22"/>
          <w:szCs w:val="22"/>
        </w:rPr>
        <w:tab/>
        <w:t xml:space="preserve">Give technical support to promote the incorporation of AZE sites in national legislations, recognizing this tool as a conservation instrument, </w:t>
      </w:r>
    </w:p>
    <w:p w14:paraId="71898698" w14:textId="77777777" w:rsidR="00443E5A" w:rsidRPr="009523E1" w:rsidRDefault="00443E5A" w:rsidP="009523E1">
      <w:pPr>
        <w:suppressLineNumbers/>
        <w:suppressAutoHyphens/>
        <w:spacing w:before="120" w:after="120"/>
        <w:ind w:firstLine="720"/>
        <w:rPr>
          <w:snapToGrid w:val="0"/>
          <w:color w:val="000000"/>
          <w:kern w:val="22"/>
          <w:szCs w:val="22"/>
        </w:rPr>
      </w:pPr>
      <w:r w:rsidRPr="009523E1">
        <w:rPr>
          <w:snapToGrid w:val="0"/>
          <w:color w:val="000000"/>
          <w:kern w:val="22"/>
          <w:szCs w:val="22"/>
        </w:rPr>
        <w:t>(b)</w:t>
      </w:r>
      <w:r w:rsidRPr="009523E1">
        <w:rPr>
          <w:snapToGrid w:val="0"/>
          <w:color w:val="000000"/>
          <w:kern w:val="22"/>
          <w:szCs w:val="22"/>
        </w:rPr>
        <w:tab/>
        <w:t>Support countries in identifying and updating their AZE sites,</w:t>
      </w:r>
    </w:p>
    <w:p w14:paraId="43FD73C6" w14:textId="77777777" w:rsidR="00443E5A" w:rsidRPr="009523E1" w:rsidRDefault="00443E5A" w:rsidP="009523E1">
      <w:pPr>
        <w:suppressLineNumbers/>
        <w:suppressAutoHyphens/>
        <w:spacing w:before="120" w:after="120"/>
        <w:ind w:firstLine="720"/>
        <w:rPr>
          <w:snapToGrid w:val="0"/>
          <w:color w:val="000000"/>
          <w:kern w:val="22"/>
          <w:szCs w:val="22"/>
        </w:rPr>
      </w:pPr>
      <w:r w:rsidRPr="009523E1">
        <w:rPr>
          <w:snapToGrid w:val="0"/>
          <w:color w:val="000000"/>
          <w:kern w:val="22"/>
          <w:szCs w:val="22"/>
        </w:rPr>
        <w:t>(c)</w:t>
      </w:r>
      <w:r w:rsidRPr="009523E1">
        <w:rPr>
          <w:snapToGrid w:val="0"/>
          <w:color w:val="000000"/>
          <w:kern w:val="22"/>
          <w:szCs w:val="22"/>
        </w:rPr>
        <w:tab/>
        <w:t xml:space="preserve">Compile national, </w:t>
      </w:r>
      <w:proofErr w:type="spellStart"/>
      <w:r w:rsidRPr="009523E1">
        <w:rPr>
          <w:snapToGrid w:val="0"/>
          <w:color w:val="000000"/>
          <w:kern w:val="22"/>
          <w:szCs w:val="22"/>
        </w:rPr>
        <w:t>subregional</w:t>
      </w:r>
      <w:proofErr w:type="spellEnd"/>
      <w:r w:rsidRPr="009523E1">
        <w:rPr>
          <w:snapToGrid w:val="0"/>
          <w:color w:val="000000"/>
          <w:kern w:val="22"/>
          <w:szCs w:val="22"/>
        </w:rPr>
        <w:t xml:space="preserve"> or regional experiences in the implementation of AZE sites, in collaboration with Parties and other Governments, and disseminate them through the clearing-house mechanism of the Convention and relevant online information-sharing mechanisms,</w:t>
      </w:r>
    </w:p>
    <w:p w14:paraId="6D4F44D3" w14:textId="77777777" w:rsidR="00443E5A" w:rsidRPr="009523E1" w:rsidRDefault="00443E5A" w:rsidP="009523E1">
      <w:pPr>
        <w:suppressLineNumbers/>
        <w:suppressAutoHyphens/>
        <w:spacing w:before="120" w:after="120"/>
        <w:ind w:firstLine="720"/>
        <w:rPr>
          <w:snapToGrid w:val="0"/>
          <w:color w:val="000000"/>
          <w:kern w:val="22"/>
          <w:szCs w:val="22"/>
        </w:rPr>
      </w:pPr>
      <w:r w:rsidRPr="009523E1">
        <w:rPr>
          <w:snapToGrid w:val="0"/>
          <w:color w:val="000000"/>
          <w:kern w:val="22"/>
          <w:szCs w:val="22"/>
        </w:rPr>
        <w:t>(d)</w:t>
      </w:r>
      <w:r w:rsidRPr="009523E1">
        <w:rPr>
          <w:snapToGrid w:val="0"/>
          <w:color w:val="000000"/>
          <w:kern w:val="22"/>
          <w:szCs w:val="22"/>
        </w:rPr>
        <w:tab/>
        <w:t>Develop linkages with other work under the Convention or other relevant international and/or regional agreements and programmes;</w:t>
      </w:r>
    </w:p>
    <w:p w14:paraId="151040F3" w14:textId="77777777" w:rsidR="00443E5A" w:rsidRPr="009523E1" w:rsidRDefault="00443E5A" w:rsidP="009523E1">
      <w:pPr>
        <w:suppressLineNumbers/>
        <w:suppressAutoHyphens/>
        <w:spacing w:before="120" w:after="120"/>
        <w:ind w:firstLine="720"/>
        <w:rPr>
          <w:snapToGrid w:val="0"/>
          <w:color w:val="000000"/>
          <w:kern w:val="22"/>
          <w:szCs w:val="22"/>
        </w:rPr>
      </w:pPr>
      <w:r w:rsidRPr="009523E1">
        <w:rPr>
          <w:snapToGrid w:val="0"/>
          <w:color w:val="000000"/>
          <w:kern w:val="22"/>
          <w:szCs w:val="22"/>
        </w:rPr>
        <w:t>(e)</w:t>
      </w:r>
      <w:r w:rsidRPr="009523E1">
        <w:rPr>
          <w:snapToGrid w:val="0"/>
          <w:color w:val="000000"/>
          <w:kern w:val="22"/>
          <w:szCs w:val="22"/>
        </w:rPr>
        <w:tab/>
        <w:t>Explore opportunities to test guidance and best practices and to facilitate capacity development, including through capacity development workshops as well as through on</w:t>
      </w:r>
      <w:r w:rsidRPr="009523E1">
        <w:rPr>
          <w:snapToGrid w:val="0"/>
          <w:color w:val="000000"/>
          <w:kern w:val="22"/>
          <w:szCs w:val="22"/>
        </w:rPr>
        <w:noBreakHyphen/>
        <w:t>the-ground implementation;</w:t>
      </w:r>
      <w:r w:rsidRPr="009523E1">
        <w:rPr>
          <w:snapToGrid w:val="0"/>
          <w:color w:val="000000"/>
          <w:kern w:val="22"/>
          <w:szCs w:val="22"/>
        </w:rPr>
        <w:tab/>
      </w:r>
    </w:p>
    <w:p w14:paraId="2B986C24" w14:textId="77777777" w:rsidR="00443E5A" w:rsidRPr="009523E1" w:rsidRDefault="00443E5A" w:rsidP="009523E1">
      <w:pPr>
        <w:suppressLineNumbers/>
        <w:suppressAutoHyphens/>
        <w:spacing w:before="120" w:after="120"/>
        <w:ind w:firstLine="720"/>
        <w:rPr>
          <w:snapToGrid w:val="0"/>
          <w:color w:val="000000"/>
          <w:kern w:val="22"/>
          <w:szCs w:val="22"/>
        </w:rPr>
      </w:pPr>
      <w:r w:rsidRPr="009523E1">
        <w:rPr>
          <w:snapToGrid w:val="0"/>
          <w:color w:val="000000"/>
          <w:kern w:val="22"/>
          <w:szCs w:val="22"/>
        </w:rPr>
        <w:t>4.</w:t>
      </w:r>
      <w:r w:rsidRPr="009523E1">
        <w:rPr>
          <w:snapToGrid w:val="0"/>
          <w:color w:val="000000"/>
          <w:kern w:val="22"/>
          <w:szCs w:val="22"/>
        </w:rPr>
        <w:tab/>
      </w:r>
      <w:r w:rsidRPr="009523E1">
        <w:rPr>
          <w:i/>
          <w:snapToGrid w:val="0"/>
          <w:color w:val="000000"/>
          <w:kern w:val="22"/>
          <w:szCs w:val="22"/>
        </w:rPr>
        <w:t xml:space="preserve">Encourages </w:t>
      </w:r>
      <w:r w:rsidRPr="009523E1">
        <w:rPr>
          <w:snapToGrid w:val="0"/>
          <w:color w:val="000000"/>
          <w:kern w:val="22"/>
          <w:szCs w:val="22"/>
        </w:rPr>
        <w:t>parties to include activities focused on improved AZE site protection in their project portfolios for potential GEF funding;</w:t>
      </w:r>
    </w:p>
    <w:p w14:paraId="11796DF5" w14:textId="77777777" w:rsidR="00443E5A" w:rsidRPr="009523E1" w:rsidRDefault="00443E5A" w:rsidP="009523E1">
      <w:pPr>
        <w:suppressLineNumbers/>
        <w:suppressAutoHyphens/>
        <w:spacing w:before="120" w:after="120"/>
        <w:ind w:firstLine="720"/>
        <w:rPr>
          <w:i/>
          <w:snapToGrid w:val="0"/>
          <w:color w:val="000000"/>
          <w:kern w:val="22"/>
          <w:szCs w:val="22"/>
        </w:rPr>
      </w:pPr>
      <w:r w:rsidRPr="009523E1">
        <w:rPr>
          <w:snapToGrid w:val="0"/>
          <w:color w:val="000000"/>
          <w:kern w:val="22"/>
          <w:szCs w:val="22"/>
        </w:rPr>
        <w:t>5.</w:t>
      </w:r>
      <w:r w:rsidRPr="009523E1">
        <w:rPr>
          <w:snapToGrid w:val="0"/>
          <w:color w:val="000000"/>
          <w:kern w:val="22"/>
          <w:szCs w:val="22"/>
        </w:rPr>
        <w:tab/>
      </w:r>
      <w:r w:rsidRPr="009523E1">
        <w:rPr>
          <w:i/>
          <w:snapToGrid w:val="0"/>
          <w:color w:val="000000"/>
          <w:kern w:val="22"/>
          <w:szCs w:val="22"/>
        </w:rPr>
        <w:t>Further encourages</w:t>
      </w:r>
      <w:r w:rsidRPr="009523E1">
        <w:rPr>
          <w:snapToGrid w:val="0"/>
          <w:color w:val="000000"/>
          <w:kern w:val="22"/>
          <w:szCs w:val="22"/>
        </w:rPr>
        <w:t xml:space="preserve"> parties to consider AZE sites in strategies of increasing protected areas systems.</w:t>
      </w:r>
    </w:p>
    <w:p w14:paraId="7A7C116A" w14:textId="77777777" w:rsidR="008052E0" w:rsidRPr="009523E1" w:rsidRDefault="008052E0" w:rsidP="009523E1">
      <w:pPr>
        <w:pStyle w:val="Para1"/>
        <w:numPr>
          <w:ilvl w:val="0"/>
          <w:numId w:val="0"/>
        </w:numPr>
        <w:suppressLineNumbers/>
        <w:suppressAutoHyphens/>
        <w:jc w:val="center"/>
        <w:rPr>
          <w:kern w:val="22"/>
          <w:szCs w:val="22"/>
        </w:rPr>
      </w:pPr>
      <w:r w:rsidRPr="009523E1">
        <w:rPr>
          <w:kern w:val="22"/>
          <w:szCs w:val="22"/>
        </w:rPr>
        <w:t>__________</w:t>
      </w:r>
    </w:p>
    <w:p w14:paraId="04B4FF4E" w14:textId="77777777" w:rsidR="00736BC2" w:rsidRPr="009523E1" w:rsidRDefault="00736BC2" w:rsidP="009523E1">
      <w:pPr>
        <w:spacing w:before="120" w:after="120"/>
        <w:jc w:val="center"/>
        <w:rPr>
          <w:snapToGrid w:val="0"/>
          <w:kern w:val="22"/>
          <w:szCs w:val="22"/>
        </w:rPr>
      </w:pPr>
    </w:p>
    <w:sectPr w:rsidR="00736BC2" w:rsidRPr="009523E1" w:rsidSect="00757903">
      <w:headerReference w:type="even" r:id="rId18"/>
      <w:headerReference w:type="default" r:id="rId19"/>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E6F6" w14:textId="77777777" w:rsidR="00B36836" w:rsidRDefault="00B36836">
      <w:r>
        <w:separator/>
      </w:r>
    </w:p>
  </w:endnote>
  <w:endnote w:type="continuationSeparator" w:id="0">
    <w:p w14:paraId="6D6C3DAE" w14:textId="77777777" w:rsidR="00B36836" w:rsidRDefault="00B3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27F0" w14:textId="77777777" w:rsidR="00B36836" w:rsidRDefault="00B36836">
      <w:r>
        <w:separator/>
      </w:r>
    </w:p>
  </w:footnote>
  <w:footnote w:type="continuationSeparator" w:id="0">
    <w:p w14:paraId="10858E6E" w14:textId="77777777" w:rsidR="00B36836" w:rsidRDefault="00B36836">
      <w:r>
        <w:continuationSeparator/>
      </w:r>
    </w:p>
  </w:footnote>
  <w:footnote w:id="1">
    <w:p w14:paraId="6390D40A" w14:textId="5BCC8E05" w:rsidR="00F53DAD" w:rsidRPr="00F53DAD" w:rsidRDefault="00F53DAD" w:rsidP="00F53DAD">
      <w:pPr>
        <w:pStyle w:val="FootnoteText"/>
        <w:ind w:firstLine="0"/>
        <w:rPr>
          <w:lang w:val="en-CA"/>
        </w:rPr>
      </w:pPr>
      <w:r w:rsidRPr="00F53DAD">
        <w:rPr>
          <w:rStyle w:val="FootnoteReference"/>
          <w:u w:val="none"/>
          <w:vertAlign w:val="superscript"/>
        </w:rPr>
        <w:t>*</w:t>
      </w:r>
      <w:r>
        <w:t xml:space="preserve"> Reissued for technical reasons on 6 June 2018.</w:t>
      </w:r>
    </w:p>
  </w:footnote>
  <w:footnote w:id="2">
    <w:p w14:paraId="29EBC27A" w14:textId="5F6F6CC6" w:rsidR="0003316C" w:rsidRPr="00333107" w:rsidRDefault="00F53DAD" w:rsidP="009E47D3">
      <w:pPr>
        <w:pStyle w:val="FootnoteText"/>
        <w:keepLines w:val="0"/>
        <w:tabs>
          <w:tab w:val="left" w:pos="142"/>
        </w:tabs>
        <w:kinsoku w:val="0"/>
        <w:overflowPunct w:val="0"/>
        <w:autoSpaceDE w:val="0"/>
        <w:autoSpaceDN w:val="0"/>
        <w:adjustRightInd w:val="0"/>
        <w:snapToGrid w:val="0"/>
        <w:ind w:firstLine="0"/>
        <w:jc w:val="left"/>
        <w:rPr>
          <w:snapToGrid w:val="0"/>
          <w:kern w:val="18"/>
          <w:szCs w:val="18"/>
        </w:rPr>
      </w:pPr>
      <w:r>
        <w:rPr>
          <w:snapToGrid w:val="0"/>
          <w:kern w:val="18"/>
          <w:szCs w:val="18"/>
          <w:vertAlign w:val="superscript"/>
        </w:rPr>
        <w:t>*</w:t>
      </w:r>
      <w:r w:rsidR="0003316C" w:rsidRPr="009E47D3">
        <w:rPr>
          <w:rStyle w:val="FootnoteReference"/>
          <w:snapToGrid w:val="0"/>
          <w:kern w:val="18"/>
          <w:szCs w:val="18"/>
          <w:u w:val="none"/>
          <w:vertAlign w:val="superscript"/>
        </w:rPr>
        <w:t>*</w:t>
      </w:r>
      <w:r w:rsidR="0003316C" w:rsidRPr="00333107">
        <w:rPr>
          <w:snapToGrid w:val="0"/>
          <w:kern w:val="18"/>
          <w:szCs w:val="18"/>
        </w:rPr>
        <w:t xml:space="preserve"> </w:t>
      </w:r>
      <w:r w:rsidR="0003316C" w:rsidRPr="009E47D3">
        <w:rPr>
          <w:snapToGrid w:val="0"/>
          <w:kern w:val="18"/>
          <w:szCs w:val="18"/>
        </w:rPr>
        <w:t>CBD/SBSTTA/2</w:t>
      </w:r>
      <w:r w:rsidR="008572A5" w:rsidRPr="009E47D3">
        <w:rPr>
          <w:snapToGrid w:val="0"/>
          <w:kern w:val="18"/>
          <w:szCs w:val="18"/>
        </w:rPr>
        <w:t>2</w:t>
      </w:r>
      <w:r w:rsidR="0003316C" w:rsidRPr="009E47D3">
        <w:rPr>
          <w:snapToGrid w:val="0"/>
          <w:kern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997305013"/>
      <w:placeholder>
        <w:docPart w:val="EB86F70379F0426E9EF2A176D7EDBF7D"/>
      </w:placeholder>
      <w:dataBinding w:prefixMappings="xmlns:ns0='http://purl.org/dc/elements/1.1/' xmlns:ns1='http://schemas.openxmlformats.org/package/2006/metadata/core-properties' " w:xpath="/ns1:coreProperties[1]/ns0:subject[1]" w:storeItemID="{6C3C8BC8-F283-45AE-878A-BAB7291924A1}"/>
      <w:text/>
    </w:sdtPr>
    <w:sdtEndPr/>
    <w:sdtContent>
      <w:p w14:paraId="76BA4FD5" w14:textId="77777777" w:rsidR="0003316C" w:rsidRPr="00CA2A30" w:rsidRDefault="004E62F6" w:rsidP="00757903">
        <w:pPr>
          <w:pStyle w:val="Header"/>
          <w:rPr>
            <w:lang w:val="fr-FR"/>
          </w:rPr>
        </w:pPr>
        <w:r w:rsidRPr="004E62F6">
          <w:rPr>
            <w:lang w:val="fr-FR"/>
          </w:rPr>
          <w:t>CBD/SBSTTA/22/INF/23</w:t>
        </w:r>
      </w:p>
    </w:sdtContent>
  </w:sdt>
  <w:p w14:paraId="6495A21A" w14:textId="172B59C8" w:rsidR="0003316C" w:rsidRPr="00FF376C" w:rsidRDefault="0003316C">
    <w:pPr>
      <w:pStyle w:val="Header"/>
      <w:rPr>
        <w:rStyle w:val="PageNumber"/>
      </w:rPr>
    </w:pPr>
    <w:r w:rsidRPr="00CA2A30">
      <w:rPr>
        <w:lang w:val="fr-FR"/>
      </w:rPr>
      <w:t xml:space="preserve">Page </w:t>
    </w:r>
    <w:r w:rsidR="001C6E62">
      <w:rPr>
        <w:rStyle w:val="PageNumber"/>
      </w:rPr>
      <w:fldChar w:fldCharType="begin"/>
    </w:r>
    <w:r w:rsidRPr="00CA2A30">
      <w:rPr>
        <w:rStyle w:val="PageNumber"/>
        <w:lang w:val="fr-FR"/>
      </w:rPr>
      <w:instrText xml:space="preserve"> PAGE </w:instrText>
    </w:r>
    <w:r w:rsidR="001C6E62">
      <w:rPr>
        <w:rStyle w:val="PageNumber"/>
      </w:rPr>
      <w:fldChar w:fldCharType="separate"/>
    </w:r>
    <w:r w:rsidR="00F53DAD">
      <w:rPr>
        <w:rStyle w:val="PageNumber"/>
        <w:noProof/>
        <w:lang w:val="fr-FR"/>
      </w:rPr>
      <w:t>2</w:t>
    </w:r>
    <w:r w:rsidR="001C6E62">
      <w:rPr>
        <w:rStyle w:val="PageNumber"/>
      </w:rPr>
      <w:fldChar w:fldCharType="end"/>
    </w:r>
  </w:p>
  <w:p w14:paraId="5B78A5DF" w14:textId="77777777" w:rsidR="0003316C" w:rsidRPr="00CA2A30" w:rsidRDefault="0003316C">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676532582"/>
      <w:placeholder>
        <w:docPart w:val="9FB66DC7AC2242828625ABE3996F0B6F"/>
      </w:placeholder>
      <w:dataBinding w:prefixMappings="xmlns:ns0='http://purl.org/dc/elements/1.1/' xmlns:ns1='http://schemas.openxmlformats.org/package/2006/metadata/core-properties' " w:xpath="/ns1:coreProperties[1]/ns0:subject[1]" w:storeItemID="{6C3C8BC8-F283-45AE-878A-BAB7291924A1}"/>
      <w:text/>
    </w:sdtPr>
    <w:sdtEndPr/>
    <w:sdtContent>
      <w:p w14:paraId="595C49D2" w14:textId="77777777" w:rsidR="0003316C" w:rsidRPr="00D25B46" w:rsidRDefault="004E62F6" w:rsidP="00E543AE">
        <w:pPr>
          <w:pStyle w:val="Header"/>
          <w:tabs>
            <w:tab w:val="clear" w:pos="4320"/>
          </w:tabs>
          <w:jc w:val="right"/>
          <w:rPr>
            <w:noProof/>
            <w:kern w:val="22"/>
          </w:rPr>
        </w:pPr>
        <w:r w:rsidRPr="004E62F6">
          <w:rPr>
            <w:noProof/>
            <w:kern w:val="22"/>
          </w:rPr>
          <w:t>CBD/SBSTTA/22/INF/23</w:t>
        </w:r>
      </w:p>
    </w:sdtContent>
  </w:sdt>
  <w:p w14:paraId="4488E417" w14:textId="07B10A43" w:rsidR="0003316C" w:rsidRPr="00D25B46" w:rsidRDefault="0003316C" w:rsidP="00E543AE">
    <w:pPr>
      <w:pStyle w:val="Header"/>
      <w:tabs>
        <w:tab w:val="clear" w:pos="4320"/>
      </w:tabs>
      <w:jc w:val="right"/>
      <w:rPr>
        <w:rStyle w:val="PageNumber"/>
        <w:noProof/>
        <w:kern w:val="22"/>
      </w:rPr>
    </w:pPr>
    <w:r w:rsidRPr="00D25B46">
      <w:rPr>
        <w:noProof/>
        <w:kern w:val="22"/>
      </w:rPr>
      <w:t xml:space="preserve">Page </w:t>
    </w:r>
    <w:r w:rsidR="001C6E62" w:rsidRPr="00D25B46">
      <w:rPr>
        <w:rStyle w:val="PageNumber"/>
        <w:noProof/>
        <w:kern w:val="22"/>
      </w:rPr>
      <w:fldChar w:fldCharType="begin"/>
    </w:r>
    <w:r w:rsidRPr="00D25B46">
      <w:rPr>
        <w:rStyle w:val="PageNumber"/>
        <w:noProof/>
        <w:kern w:val="22"/>
      </w:rPr>
      <w:instrText xml:space="preserve"> PAGE </w:instrText>
    </w:r>
    <w:r w:rsidR="001C6E62" w:rsidRPr="00D25B46">
      <w:rPr>
        <w:rStyle w:val="PageNumber"/>
        <w:noProof/>
        <w:kern w:val="22"/>
      </w:rPr>
      <w:fldChar w:fldCharType="separate"/>
    </w:r>
    <w:r w:rsidR="00F53DAD">
      <w:rPr>
        <w:rStyle w:val="PageNumber"/>
        <w:noProof/>
        <w:kern w:val="22"/>
      </w:rPr>
      <w:t>5</w:t>
    </w:r>
    <w:r w:rsidR="001C6E62" w:rsidRPr="00D25B46">
      <w:rPr>
        <w:rStyle w:val="PageNumber"/>
        <w:noProof/>
        <w:kern w:val="22"/>
      </w:rPr>
      <w:fldChar w:fldCharType="end"/>
    </w:r>
  </w:p>
  <w:p w14:paraId="52A32849" w14:textId="77777777" w:rsidR="0003316C" w:rsidRPr="00D25B46" w:rsidRDefault="0003316C" w:rsidP="00E543AE">
    <w:pPr>
      <w:pStyle w:val="Header"/>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7B7FB9"/>
    <w:multiLevelType w:val="hybridMultilevel"/>
    <w:tmpl w:val="06A2B948"/>
    <w:lvl w:ilvl="0" w:tplc="9D74F3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B364BF"/>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4536AB4"/>
    <w:multiLevelType w:val="hybridMultilevel"/>
    <w:tmpl w:val="7CDA548E"/>
    <w:lvl w:ilvl="0" w:tplc="8B28E0D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98D5E81"/>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4"/>
  </w:num>
  <w:num w:numId="2">
    <w:abstractNumId w:val="5"/>
  </w:num>
  <w:num w:numId="3">
    <w:abstractNumId w:val="8"/>
  </w:num>
  <w:num w:numId="4">
    <w:abstractNumId w:val="6"/>
  </w:num>
  <w:num w:numId="5">
    <w:abstractNumId w:val="8"/>
  </w:num>
  <w:num w:numId="6">
    <w:abstractNumId w:val="7"/>
  </w:num>
  <w:num w:numId="7">
    <w:abstractNumId w:val="2"/>
  </w:num>
  <w:num w:numId="8">
    <w:abstractNumId w:val="0"/>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8"/>
    </w:lvlOverride>
  </w:num>
  <w:num w:numId="15">
    <w:abstractNumId w:val="4"/>
  </w:num>
  <w:num w:numId="16">
    <w:abstractNumId w:val="8"/>
  </w:num>
  <w:num w:numId="17">
    <w:abstractNumId w:val="8"/>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561"/>
    <w:rsid w:val="00004DEC"/>
    <w:rsid w:val="0002018C"/>
    <w:rsid w:val="00020CE3"/>
    <w:rsid w:val="000219AC"/>
    <w:rsid w:val="00031D24"/>
    <w:rsid w:val="000322AA"/>
    <w:rsid w:val="0003316C"/>
    <w:rsid w:val="00036405"/>
    <w:rsid w:val="00037791"/>
    <w:rsid w:val="00037873"/>
    <w:rsid w:val="00042636"/>
    <w:rsid w:val="00054381"/>
    <w:rsid w:val="0006603F"/>
    <w:rsid w:val="000711E1"/>
    <w:rsid w:val="00073708"/>
    <w:rsid w:val="000849DB"/>
    <w:rsid w:val="000A6BDA"/>
    <w:rsid w:val="000C33BF"/>
    <w:rsid w:val="000D71F0"/>
    <w:rsid w:val="000E637D"/>
    <w:rsid w:val="000E7E6A"/>
    <w:rsid w:val="000F3078"/>
    <w:rsid w:val="000F63AB"/>
    <w:rsid w:val="0010272B"/>
    <w:rsid w:val="00111582"/>
    <w:rsid w:val="001116FF"/>
    <w:rsid w:val="00113F0D"/>
    <w:rsid w:val="0012214B"/>
    <w:rsid w:val="001405AE"/>
    <w:rsid w:val="00144DC2"/>
    <w:rsid w:val="00151178"/>
    <w:rsid w:val="00165ACD"/>
    <w:rsid w:val="00166367"/>
    <w:rsid w:val="001743CE"/>
    <w:rsid w:val="00176FCE"/>
    <w:rsid w:val="00192E06"/>
    <w:rsid w:val="001A22CC"/>
    <w:rsid w:val="001A5072"/>
    <w:rsid w:val="001B3179"/>
    <w:rsid w:val="001B5CE9"/>
    <w:rsid w:val="001B6FA7"/>
    <w:rsid w:val="001C47BC"/>
    <w:rsid w:val="001C6E62"/>
    <w:rsid w:val="001D629C"/>
    <w:rsid w:val="001E1C30"/>
    <w:rsid w:val="001F2A05"/>
    <w:rsid w:val="001F496B"/>
    <w:rsid w:val="001F6379"/>
    <w:rsid w:val="00204415"/>
    <w:rsid w:val="00212443"/>
    <w:rsid w:val="00216A83"/>
    <w:rsid w:val="00224B44"/>
    <w:rsid w:val="00224B92"/>
    <w:rsid w:val="00231333"/>
    <w:rsid w:val="0023418F"/>
    <w:rsid w:val="002357E1"/>
    <w:rsid w:val="00236043"/>
    <w:rsid w:val="00243766"/>
    <w:rsid w:val="00244277"/>
    <w:rsid w:val="002523E0"/>
    <w:rsid w:val="00252897"/>
    <w:rsid w:val="00264D14"/>
    <w:rsid w:val="00271196"/>
    <w:rsid w:val="00283173"/>
    <w:rsid w:val="002858A7"/>
    <w:rsid w:val="00291985"/>
    <w:rsid w:val="0029200F"/>
    <w:rsid w:val="00293839"/>
    <w:rsid w:val="00294291"/>
    <w:rsid w:val="00296D5C"/>
    <w:rsid w:val="002970F3"/>
    <w:rsid w:val="002978F5"/>
    <w:rsid w:val="002A22CE"/>
    <w:rsid w:val="002B0942"/>
    <w:rsid w:val="002C425C"/>
    <w:rsid w:val="002C42D8"/>
    <w:rsid w:val="002D3FF5"/>
    <w:rsid w:val="002E119A"/>
    <w:rsid w:val="002E141C"/>
    <w:rsid w:val="002F4B15"/>
    <w:rsid w:val="003210FF"/>
    <w:rsid w:val="00325DE3"/>
    <w:rsid w:val="0032793C"/>
    <w:rsid w:val="00333107"/>
    <w:rsid w:val="0033580D"/>
    <w:rsid w:val="00336766"/>
    <w:rsid w:val="00341B94"/>
    <w:rsid w:val="00345932"/>
    <w:rsid w:val="0035766E"/>
    <w:rsid w:val="00357D4A"/>
    <w:rsid w:val="00360BE3"/>
    <w:rsid w:val="0036464D"/>
    <w:rsid w:val="003742C4"/>
    <w:rsid w:val="0039145D"/>
    <w:rsid w:val="003918B9"/>
    <w:rsid w:val="003B10B9"/>
    <w:rsid w:val="003C113F"/>
    <w:rsid w:val="003C55EF"/>
    <w:rsid w:val="003C7FAC"/>
    <w:rsid w:val="003E2DAE"/>
    <w:rsid w:val="003F45AF"/>
    <w:rsid w:val="003F4DD8"/>
    <w:rsid w:val="003F6E44"/>
    <w:rsid w:val="003F75BF"/>
    <w:rsid w:val="00406BC6"/>
    <w:rsid w:val="00406DDF"/>
    <w:rsid w:val="00435C46"/>
    <w:rsid w:val="00443E5A"/>
    <w:rsid w:val="0044424E"/>
    <w:rsid w:val="00463170"/>
    <w:rsid w:val="004B3969"/>
    <w:rsid w:val="004B4525"/>
    <w:rsid w:val="004B597A"/>
    <w:rsid w:val="004B6018"/>
    <w:rsid w:val="004D09EF"/>
    <w:rsid w:val="004D5A9A"/>
    <w:rsid w:val="004D708E"/>
    <w:rsid w:val="004E62F6"/>
    <w:rsid w:val="004F221C"/>
    <w:rsid w:val="004F5CFF"/>
    <w:rsid w:val="00500530"/>
    <w:rsid w:val="00500812"/>
    <w:rsid w:val="005032C9"/>
    <w:rsid w:val="0050453C"/>
    <w:rsid w:val="00505528"/>
    <w:rsid w:val="00516C26"/>
    <w:rsid w:val="00534173"/>
    <w:rsid w:val="00536FC7"/>
    <w:rsid w:val="0054343D"/>
    <w:rsid w:val="00543DFD"/>
    <w:rsid w:val="005440A6"/>
    <w:rsid w:val="005540BB"/>
    <w:rsid w:val="005737FF"/>
    <w:rsid w:val="00573B3E"/>
    <w:rsid w:val="00573F1F"/>
    <w:rsid w:val="00580676"/>
    <w:rsid w:val="00580B65"/>
    <w:rsid w:val="00592DF1"/>
    <w:rsid w:val="0059365D"/>
    <w:rsid w:val="00593BF5"/>
    <w:rsid w:val="005955D2"/>
    <w:rsid w:val="005962DD"/>
    <w:rsid w:val="005A4284"/>
    <w:rsid w:val="005A4633"/>
    <w:rsid w:val="005A48D7"/>
    <w:rsid w:val="005A4EA5"/>
    <w:rsid w:val="005A6DF5"/>
    <w:rsid w:val="005B051D"/>
    <w:rsid w:val="005B7726"/>
    <w:rsid w:val="005D139C"/>
    <w:rsid w:val="005D3B4B"/>
    <w:rsid w:val="005D5DA8"/>
    <w:rsid w:val="005F4C74"/>
    <w:rsid w:val="006260D5"/>
    <w:rsid w:val="00634050"/>
    <w:rsid w:val="00634C78"/>
    <w:rsid w:val="00643D02"/>
    <w:rsid w:val="0064534F"/>
    <w:rsid w:val="006507F2"/>
    <w:rsid w:val="00650803"/>
    <w:rsid w:val="00653F15"/>
    <w:rsid w:val="00655492"/>
    <w:rsid w:val="00657DE6"/>
    <w:rsid w:val="00674721"/>
    <w:rsid w:val="00675D0C"/>
    <w:rsid w:val="006779A4"/>
    <w:rsid w:val="00687A53"/>
    <w:rsid w:val="00690847"/>
    <w:rsid w:val="00693BC7"/>
    <w:rsid w:val="00693CD3"/>
    <w:rsid w:val="006A711A"/>
    <w:rsid w:val="006B074E"/>
    <w:rsid w:val="006B17C8"/>
    <w:rsid w:val="006B2BD5"/>
    <w:rsid w:val="006B6407"/>
    <w:rsid w:val="006C26FB"/>
    <w:rsid w:val="006D0E3D"/>
    <w:rsid w:val="006F0EC7"/>
    <w:rsid w:val="006F284C"/>
    <w:rsid w:val="006F7227"/>
    <w:rsid w:val="007010FA"/>
    <w:rsid w:val="00702366"/>
    <w:rsid w:val="00711C5A"/>
    <w:rsid w:val="00712FD8"/>
    <w:rsid w:val="007163BC"/>
    <w:rsid w:val="00717CE3"/>
    <w:rsid w:val="00730AE3"/>
    <w:rsid w:val="00736BC2"/>
    <w:rsid w:val="007462A7"/>
    <w:rsid w:val="00752F7A"/>
    <w:rsid w:val="00757903"/>
    <w:rsid w:val="00761177"/>
    <w:rsid w:val="00763526"/>
    <w:rsid w:val="00764705"/>
    <w:rsid w:val="00780960"/>
    <w:rsid w:val="00784048"/>
    <w:rsid w:val="0079254A"/>
    <w:rsid w:val="0079325E"/>
    <w:rsid w:val="00795477"/>
    <w:rsid w:val="007A0D43"/>
    <w:rsid w:val="007A22B7"/>
    <w:rsid w:val="007B1587"/>
    <w:rsid w:val="007C1F89"/>
    <w:rsid w:val="007C37A4"/>
    <w:rsid w:val="007C4931"/>
    <w:rsid w:val="007C5285"/>
    <w:rsid w:val="007C61F4"/>
    <w:rsid w:val="007C633B"/>
    <w:rsid w:val="007D3182"/>
    <w:rsid w:val="007E71F5"/>
    <w:rsid w:val="007F35AE"/>
    <w:rsid w:val="008052E0"/>
    <w:rsid w:val="00805E29"/>
    <w:rsid w:val="0080715D"/>
    <w:rsid w:val="00811A17"/>
    <w:rsid w:val="00815E55"/>
    <w:rsid w:val="00816AD7"/>
    <w:rsid w:val="00825524"/>
    <w:rsid w:val="0083211E"/>
    <w:rsid w:val="008435FB"/>
    <w:rsid w:val="00847F50"/>
    <w:rsid w:val="00853580"/>
    <w:rsid w:val="00855582"/>
    <w:rsid w:val="008572A5"/>
    <w:rsid w:val="00870D40"/>
    <w:rsid w:val="00873C44"/>
    <w:rsid w:val="00880C91"/>
    <w:rsid w:val="00883D86"/>
    <w:rsid w:val="008936EE"/>
    <w:rsid w:val="00896636"/>
    <w:rsid w:val="008C013C"/>
    <w:rsid w:val="008C1E35"/>
    <w:rsid w:val="008D10AC"/>
    <w:rsid w:val="008D5AA2"/>
    <w:rsid w:val="008E5F84"/>
    <w:rsid w:val="008E70ED"/>
    <w:rsid w:val="008E7500"/>
    <w:rsid w:val="008E7A43"/>
    <w:rsid w:val="008F2E43"/>
    <w:rsid w:val="008F5D53"/>
    <w:rsid w:val="009067F8"/>
    <w:rsid w:val="009157B4"/>
    <w:rsid w:val="009175A8"/>
    <w:rsid w:val="009203F4"/>
    <w:rsid w:val="00922EAD"/>
    <w:rsid w:val="0092794B"/>
    <w:rsid w:val="00940EE1"/>
    <w:rsid w:val="009523E1"/>
    <w:rsid w:val="00953525"/>
    <w:rsid w:val="00953856"/>
    <w:rsid w:val="009554D5"/>
    <w:rsid w:val="009663C9"/>
    <w:rsid w:val="0098366D"/>
    <w:rsid w:val="00983680"/>
    <w:rsid w:val="009951E1"/>
    <w:rsid w:val="009B5E1D"/>
    <w:rsid w:val="009D2F92"/>
    <w:rsid w:val="009D6459"/>
    <w:rsid w:val="009D72BD"/>
    <w:rsid w:val="009D77B0"/>
    <w:rsid w:val="009E2B79"/>
    <w:rsid w:val="009E3A48"/>
    <w:rsid w:val="009E47D3"/>
    <w:rsid w:val="009E6BA9"/>
    <w:rsid w:val="009F1383"/>
    <w:rsid w:val="00A004B9"/>
    <w:rsid w:val="00A02A78"/>
    <w:rsid w:val="00A10051"/>
    <w:rsid w:val="00A138AE"/>
    <w:rsid w:val="00A20F36"/>
    <w:rsid w:val="00A30DAD"/>
    <w:rsid w:val="00A722F5"/>
    <w:rsid w:val="00A864CC"/>
    <w:rsid w:val="00A92086"/>
    <w:rsid w:val="00A96446"/>
    <w:rsid w:val="00AA014E"/>
    <w:rsid w:val="00AA0634"/>
    <w:rsid w:val="00AA1FFB"/>
    <w:rsid w:val="00AB2D94"/>
    <w:rsid w:val="00AB420D"/>
    <w:rsid w:val="00AB7B9B"/>
    <w:rsid w:val="00AC1E69"/>
    <w:rsid w:val="00AC41B7"/>
    <w:rsid w:val="00AC75CE"/>
    <w:rsid w:val="00AD07C6"/>
    <w:rsid w:val="00AD3D90"/>
    <w:rsid w:val="00AD55E7"/>
    <w:rsid w:val="00AD7B82"/>
    <w:rsid w:val="00AE3A58"/>
    <w:rsid w:val="00AF5DAD"/>
    <w:rsid w:val="00AF63B2"/>
    <w:rsid w:val="00B01911"/>
    <w:rsid w:val="00B11282"/>
    <w:rsid w:val="00B12DD1"/>
    <w:rsid w:val="00B23120"/>
    <w:rsid w:val="00B271A0"/>
    <w:rsid w:val="00B3064B"/>
    <w:rsid w:val="00B3299A"/>
    <w:rsid w:val="00B36836"/>
    <w:rsid w:val="00B41E16"/>
    <w:rsid w:val="00B45220"/>
    <w:rsid w:val="00B47660"/>
    <w:rsid w:val="00B522B4"/>
    <w:rsid w:val="00B56B11"/>
    <w:rsid w:val="00B56E5D"/>
    <w:rsid w:val="00B846C6"/>
    <w:rsid w:val="00B85F9B"/>
    <w:rsid w:val="00B972FA"/>
    <w:rsid w:val="00BA1498"/>
    <w:rsid w:val="00BA3233"/>
    <w:rsid w:val="00BB109E"/>
    <w:rsid w:val="00BB79D0"/>
    <w:rsid w:val="00BC5BDC"/>
    <w:rsid w:val="00BC642B"/>
    <w:rsid w:val="00BD3550"/>
    <w:rsid w:val="00BE37A4"/>
    <w:rsid w:val="00BE45DE"/>
    <w:rsid w:val="00BE73DC"/>
    <w:rsid w:val="00BF6797"/>
    <w:rsid w:val="00BF6A49"/>
    <w:rsid w:val="00C02625"/>
    <w:rsid w:val="00C05456"/>
    <w:rsid w:val="00C076A9"/>
    <w:rsid w:val="00C11B1C"/>
    <w:rsid w:val="00C12F4F"/>
    <w:rsid w:val="00C15BBB"/>
    <w:rsid w:val="00C22D62"/>
    <w:rsid w:val="00C3032F"/>
    <w:rsid w:val="00C316BC"/>
    <w:rsid w:val="00C31FC0"/>
    <w:rsid w:val="00C37FF1"/>
    <w:rsid w:val="00C41D7F"/>
    <w:rsid w:val="00C42964"/>
    <w:rsid w:val="00C451A1"/>
    <w:rsid w:val="00C45A6B"/>
    <w:rsid w:val="00C507CD"/>
    <w:rsid w:val="00C70BDA"/>
    <w:rsid w:val="00C82679"/>
    <w:rsid w:val="00C82868"/>
    <w:rsid w:val="00C830B5"/>
    <w:rsid w:val="00C912FE"/>
    <w:rsid w:val="00C96220"/>
    <w:rsid w:val="00CA0213"/>
    <w:rsid w:val="00CA6B87"/>
    <w:rsid w:val="00CB22AD"/>
    <w:rsid w:val="00CB7C56"/>
    <w:rsid w:val="00CC2031"/>
    <w:rsid w:val="00CC2E24"/>
    <w:rsid w:val="00CC415F"/>
    <w:rsid w:val="00CE51C3"/>
    <w:rsid w:val="00CF3E63"/>
    <w:rsid w:val="00CF4F69"/>
    <w:rsid w:val="00D05E23"/>
    <w:rsid w:val="00D22AE8"/>
    <w:rsid w:val="00D2379C"/>
    <w:rsid w:val="00D26102"/>
    <w:rsid w:val="00D34BB0"/>
    <w:rsid w:val="00D432AD"/>
    <w:rsid w:val="00D444FC"/>
    <w:rsid w:val="00D468CE"/>
    <w:rsid w:val="00D51069"/>
    <w:rsid w:val="00D61DD7"/>
    <w:rsid w:val="00D61F9B"/>
    <w:rsid w:val="00D660E2"/>
    <w:rsid w:val="00D6617B"/>
    <w:rsid w:val="00D74D98"/>
    <w:rsid w:val="00D806EB"/>
    <w:rsid w:val="00D815B8"/>
    <w:rsid w:val="00D82FD1"/>
    <w:rsid w:val="00D84795"/>
    <w:rsid w:val="00D86F6E"/>
    <w:rsid w:val="00D9097D"/>
    <w:rsid w:val="00D91D14"/>
    <w:rsid w:val="00D9537D"/>
    <w:rsid w:val="00DA2A65"/>
    <w:rsid w:val="00DA30C7"/>
    <w:rsid w:val="00DA44B8"/>
    <w:rsid w:val="00DB4155"/>
    <w:rsid w:val="00DC1B9A"/>
    <w:rsid w:val="00DC7822"/>
    <w:rsid w:val="00DD52CC"/>
    <w:rsid w:val="00DD56EA"/>
    <w:rsid w:val="00DE065C"/>
    <w:rsid w:val="00DE308B"/>
    <w:rsid w:val="00DF2A48"/>
    <w:rsid w:val="00DF4FD9"/>
    <w:rsid w:val="00DF51A6"/>
    <w:rsid w:val="00E05D88"/>
    <w:rsid w:val="00E121C5"/>
    <w:rsid w:val="00E14E45"/>
    <w:rsid w:val="00E3120A"/>
    <w:rsid w:val="00E37A7A"/>
    <w:rsid w:val="00E43E86"/>
    <w:rsid w:val="00E47630"/>
    <w:rsid w:val="00E543AE"/>
    <w:rsid w:val="00E55B3B"/>
    <w:rsid w:val="00E55E91"/>
    <w:rsid w:val="00E577C9"/>
    <w:rsid w:val="00E64CF2"/>
    <w:rsid w:val="00E66E68"/>
    <w:rsid w:val="00E77123"/>
    <w:rsid w:val="00E77DDF"/>
    <w:rsid w:val="00E83CB9"/>
    <w:rsid w:val="00E8483D"/>
    <w:rsid w:val="00E91287"/>
    <w:rsid w:val="00EA2606"/>
    <w:rsid w:val="00EA7525"/>
    <w:rsid w:val="00EC006B"/>
    <w:rsid w:val="00EC0891"/>
    <w:rsid w:val="00ED6E89"/>
    <w:rsid w:val="00EE51DB"/>
    <w:rsid w:val="00EF5965"/>
    <w:rsid w:val="00F13DC0"/>
    <w:rsid w:val="00F14485"/>
    <w:rsid w:val="00F16628"/>
    <w:rsid w:val="00F16F02"/>
    <w:rsid w:val="00F25CCC"/>
    <w:rsid w:val="00F269DC"/>
    <w:rsid w:val="00F26A60"/>
    <w:rsid w:val="00F278A1"/>
    <w:rsid w:val="00F31C34"/>
    <w:rsid w:val="00F416A0"/>
    <w:rsid w:val="00F4478E"/>
    <w:rsid w:val="00F465B6"/>
    <w:rsid w:val="00F5282C"/>
    <w:rsid w:val="00F53DAD"/>
    <w:rsid w:val="00F6113A"/>
    <w:rsid w:val="00F64CB9"/>
    <w:rsid w:val="00F67181"/>
    <w:rsid w:val="00F77628"/>
    <w:rsid w:val="00F838DD"/>
    <w:rsid w:val="00F92FAE"/>
    <w:rsid w:val="00FA007A"/>
    <w:rsid w:val="00FA0C36"/>
    <w:rsid w:val="00FB0C87"/>
    <w:rsid w:val="00FC5C6D"/>
    <w:rsid w:val="00FC6159"/>
    <w:rsid w:val="00FD061C"/>
    <w:rsid w:val="00FD2898"/>
    <w:rsid w:val="00FF1E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DE3334"/>
  <w15:docId w15:val="{7DCB1615-E2E0-425A-ACFB-EDF1D253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rsid w:val="009E6BA9"/>
    <w:rPr>
      <w:sz w:val="22"/>
      <w:szCs w:val="24"/>
      <w:lang w:val="en-GB"/>
    </w:rPr>
  </w:style>
  <w:style w:type="character" w:customStyle="1" w:styleId="Para1Char">
    <w:name w:val="Para1 Char"/>
    <w:link w:val="Para1"/>
    <w:locked/>
    <w:rsid w:val="009E6BA9"/>
    <w:rPr>
      <w:snapToGrid w:val="0"/>
      <w:sz w:val="22"/>
      <w:szCs w:val="18"/>
      <w:lang w:val="en-GB"/>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rPr>
  </w:style>
  <w:style w:type="table" w:customStyle="1" w:styleId="GridTable1Light1">
    <w:name w:val="Grid Table 1 Light1"/>
    <w:basedOn w:val="TableNormal"/>
    <w:uiPriority w:val="46"/>
    <w:rsid w:val="00443E5A"/>
    <w:rPr>
      <w:rFonts w:ascii="Calibri" w:eastAsia="Calibri" w:hAnsi="Calibri" w:cs="Arial"/>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roextinction.org/pdf/AZEMemorandumofCooperationCBDSecretariat201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birdlife.maps.arcgis.com/apps/webappviewer/index.html?id=15991d1ca7f34ec3a734efa496f644d4" TargetMode="External"/><Relationship Id="rId17" Type="http://schemas.openxmlformats.org/officeDocument/2006/relationships/hyperlink" Target="http://www.protectedplanet.net" TargetMode="External"/><Relationship Id="rId2" Type="http://schemas.openxmlformats.org/officeDocument/2006/relationships/numbering" Target="numbering.xml"/><Relationship Id="rId16" Type="http://schemas.openxmlformats.org/officeDocument/2006/relationships/hyperlink" Target="https://portals.iucn.org/library/sites/library/files/resrecfiles/WCC_2012_RES_15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roextinction.org/" TargetMode="External"/><Relationship Id="rId5" Type="http://schemas.openxmlformats.org/officeDocument/2006/relationships/webSettings" Target="webSettings.xml"/><Relationship Id="rId15" Type="http://schemas.openxmlformats.org/officeDocument/2006/relationships/hyperlink" Target="https://www.cbd.int/doc/strategic-plan/targets/T12-quick-guide-en.pdf" TargetMode="Externa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A84F4374B448408213ABFE9C92342D"/>
        <w:category>
          <w:name w:val="General"/>
          <w:gallery w:val="placeholder"/>
        </w:category>
        <w:types>
          <w:type w:val="bbPlcHdr"/>
        </w:types>
        <w:behaviors>
          <w:behavior w:val="content"/>
        </w:behaviors>
        <w:guid w:val="{E59EFCDE-E75C-4B81-BA73-C577ADF4CBBC}"/>
      </w:docPartPr>
      <w:docPartBody>
        <w:p w:rsidR="00AB722B" w:rsidRDefault="00072387">
          <w:r w:rsidRPr="002164F1">
            <w:rPr>
              <w:rStyle w:val="PlaceholderText"/>
            </w:rPr>
            <w:t>[Subject]</w:t>
          </w:r>
        </w:p>
      </w:docPartBody>
    </w:docPart>
    <w:docPart>
      <w:docPartPr>
        <w:name w:val="AF77D2EA39654B53A83BDCB120306E92"/>
        <w:category>
          <w:name w:val="General"/>
          <w:gallery w:val="placeholder"/>
        </w:category>
        <w:types>
          <w:type w:val="bbPlcHdr"/>
        </w:types>
        <w:behaviors>
          <w:behavior w:val="content"/>
        </w:behaviors>
        <w:guid w:val="{25A91D9C-44B9-4C33-BE2E-E440E5B6B9F2}"/>
      </w:docPartPr>
      <w:docPartBody>
        <w:p w:rsidR="00AB722B" w:rsidRDefault="00072387">
          <w:r w:rsidRPr="002164F1">
            <w:rPr>
              <w:rStyle w:val="PlaceholderText"/>
            </w:rPr>
            <w:t>[Title]</w:t>
          </w:r>
        </w:p>
      </w:docPartBody>
    </w:docPart>
    <w:docPart>
      <w:docPartPr>
        <w:name w:val="EB86F70379F0426E9EF2A176D7EDBF7D"/>
        <w:category>
          <w:name w:val="General"/>
          <w:gallery w:val="placeholder"/>
        </w:category>
        <w:types>
          <w:type w:val="bbPlcHdr"/>
        </w:types>
        <w:behaviors>
          <w:behavior w:val="content"/>
        </w:behaviors>
        <w:guid w:val="{7569C6B1-BD87-4D94-8D59-33052B2E52C1}"/>
      </w:docPartPr>
      <w:docPartBody>
        <w:p w:rsidR="00AB722B" w:rsidRDefault="00072387">
          <w:r w:rsidRPr="002164F1">
            <w:rPr>
              <w:rStyle w:val="PlaceholderText"/>
            </w:rPr>
            <w:t>[Subject]</w:t>
          </w:r>
        </w:p>
      </w:docPartBody>
    </w:docPart>
    <w:docPart>
      <w:docPartPr>
        <w:name w:val="9FB66DC7AC2242828625ABE3996F0B6F"/>
        <w:category>
          <w:name w:val="General"/>
          <w:gallery w:val="placeholder"/>
        </w:category>
        <w:types>
          <w:type w:val="bbPlcHdr"/>
        </w:types>
        <w:behaviors>
          <w:behavior w:val="content"/>
        </w:behaviors>
        <w:guid w:val="{B2D9F34C-7630-4105-9667-8E69E104FD52}"/>
      </w:docPartPr>
      <w:docPartBody>
        <w:p w:rsidR="00AB722B" w:rsidRDefault="00072387">
          <w:r w:rsidRPr="002164F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87"/>
    <w:rsid w:val="00013183"/>
    <w:rsid w:val="00032F5F"/>
    <w:rsid w:val="00072387"/>
    <w:rsid w:val="003B3B85"/>
    <w:rsid w:val="0056058F"/>
    <w:rsid w:val="005657F2"/>
    <w:rsid w:val="00700C49"/>
    <w:rsid w:val="00AB722B"/>
    <w:rsid w:val="00BB4F91"/>
    <w:rsid w:val="00FC5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0723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8F46-78E7-4B4D-88D5-3EE7B103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6</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Options to accelerate progress towards selected Aichi Biodiversity Targets (11 and 12)</vt:lpstr>
    </vt:vector>
  </TitlesOfParts>
  <Company>Biodiversity</Company>
  <LinksUpToDate>false</LinksUpToDate>
  <CharactersWithSpaces>14902</CharactersWithSpaces>
  <SharedDoc>false</SharedDoc>
  <HyperlinkBase/>
  <HLinks>
    <vt:vector size="36" baseType="variant">
      <vt:variant>
        <vt:i4>2949231</vt:i4>
      </vt:variant>
      <vt:variant>
        <vt:i4>15</vt:i4>
      </vt:variant>
      <vt:variant>
        <vt:i4>0</vt:i4>
      </vt:variant>
      <vt:variant>
        <vt:i4>5</vt:i4>
      </vt:variant>
      <vt:variant>
        <vt:lpwstr>http://www.protectedplanet.net/</vt:lpwstr>
      </vt:variant>
      <vt:variant>
        <vt:lpwstr/>
      </vt:variant>
      <vt:variant>
        <vt:i4>2293809</vt:i4>
      </vt:variant>
      <vt:variant>
        <vt:i4>12</vt:i4>
      </vt:variant>
      <vt:variant>
        <vt:i4>0</vt:i4>
      </vt:variant>
      <vt:variant>
        <vt:i4>5</vt:i4>
      </vt:variant>
      <vt:variant>
        <vt:lpwstr>https://portals.iucn.org/library/sites/library/files/resrecfiles/WCC_2012_RES_15_EN.pdf</vt:lpwstr>
      </vt:variant>
      <vt:variant>
        <vt:lpwstr/>
      </vt:variant>
      <vt:variant>
        <vt:i4>5374026</vt:i4>
      </vt:variant>
      <vt:variant>
        <vt:i4>9</vt:i4>
      </vt:variant>
      <vt:variant>
        <vt:i4>0</vt:i4>
      </vt:variant>
      <vt:variant>
        <vt:i4>5</vt:i4>
      </vt:variant>
      <vt:variant>
        <vt:lpwstr>https://www.cbd.int/doc/strategic-plan/targets/T12-quick-guide-en.pdf</vt:lpwstr>
      </vt:variant>
      <vt:variant>
        <vt:lpwstr/>
      </vt:variant>
      <vt:variant>
        <vt:i4>7405689</vt:i4>
      </vt:variant>
      <vt:variant>
        <vt:i4>6</vt:i4>
      </vt:variant>
      <vt:variant>
        <vt:i4>0</vt:i4>
      </vt:variant>
      <vt:variant>
        <vt:i4>5</vt:i4>
      </vt:variant>
      <vt:variant>
        <vt:lpwstr>http://www.zeroextinction.org/pdf/AZEMemorandumofCooperationCBDSecretariat2010.pdf</vt:lpwstr>
      </vt:variant>
      <vt:variant>
        <vt:lpwstr/>
      </vt:variant>
      <vt:variant>
        <vt:i4>5636191</vt:i4>
      </vt:variant>
      <vt:variant>
        <vt:i4>3</vt:i4>
      </vt:variant>
      <vt:variant>
        <vt:i4>0</vt:i4>
      </vt:variant>
      <vt:variant>
        <vt:i4>5</vt:i4>
      </vt:variant>
      <vt:variant>
        <vt:lpwstr>http://birdlife.maps.arcgis.com/apps/webappviewer/index.html?id=15991d1ca7f34ec3a734efa496f644d4</vt:lpwstr>
      </vt:variant>
      <vt:variant>
        <vt:lpwstr/>
      </vt:variant>
      <vt:variant>
        <vt:i4>3407911</vt:i4>
      </vt:variant>
      <vt:variant>
        <vt:i4>0</vt:i4>
      </vt:variant>
      <vt:variant>
        <vt:i4>0</vt:i4>
      </vt:variant>
      <vt:variant>
        <vt:i4>5</vt:i4>
      </vt:variant>
      <vt:variant>
        <vt:lpwstr>http://www.zeroextinction.org/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to accelerate progress towards selected Aichi Biodiversity Targets (11 and 12)</dc:title>
  <dc:subject>CBD/SBSTTA/22/INF/23</dc:subject>
  <dc:creator>SCBD</dc:creator>
  <cp:lastModifiedBy>veronique lefebvre</cp:lastModifiedBy>
  <cp:revision>3</cp:revision>
  <cp:lastPrinted>2017-07-25T20:38:00Z</cp:lastPrinted>
  <dcterms:created xsi:type="dcterms:W3CDTF">2018-06-06T13:13:00Z</dcterms:created>
  <dcterms:modified xsi:type="dcterms:W3CDTF">2018-06-06T13:15:00Z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