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90BF5" w14:paraId="20FD96A5" w14:textId="77777777" w:rsidTr="00CF1848">
        <w:trPr>
          <w:trHeight w:val="709"/>
        </w:trPr>
        <w:tc>
          <w:tcPr>
            <w:tcW w:w="976" w:type="dxa"/>
            <w:tcBorders>
              <w:bottom w:val="single" w:sz="12" w:space="0" w:color="auto"/>
            </w:tcBorders>
          </w:tcPr>
          <w:p w14:paraId="2F31A507" w14:textId="77777777"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eastAsia="zh-CN"/>
              </w:rPr>
              <w:drawing>
                <wp:inline distT="0" distB="0" distL="0" distR="0" wp14:anchorId="71DBACAE" wp14:editId="137C7EE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E94CB2C" w14:textId="77777777"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eastAsia="zh-CN"/>
              </w:rPr>
              <w:drawing>
                <wp:inline distT="0" distB="0" distL="0" distR="0" wp14:anchorId="2A1E43B5" wp14:editId="6618490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D43115A" w14:textId="77777777" w:rsidR="00C9161D" w:rsidRPr="00490BF5" w:rsidRDefault="00C9161D" w:rsidP="00490BF5">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90BF5">
              <w:rPr>
                <w:rFonts w:ascii="Arial" w:hAnsi="Arial" w:cs="Arial"/>
                <w:b/>
                <w:snapToGrid w:val="0"/>
                <w:kern w:val="22"/>
                <w:sz w:val="32"/>
                <w:szCs w:val="32"/>
              </w:rPr>
              <w:t>CBD</w:t>
            </w:r>
          </w:p>
        </w:tc>
      </w:tr>
      <w:tr w:rsidR="00C9161D" w:rsidRPr="00490BF5" w14:paraId="0B3D5B7D" w14:textId="77777777" w:rsidTr="00CF1848">
        <w:tc>
          <w:tcPr>
            <w:tcW w:w="6117" w:type="dxa"/>
            <w:gridSpan w:val="2"/>
            <w:tcBorders>
              <w:top w:val="single" w:sz="12" w:space="0" w:color="auto"/>
              <w:bottom w:val="single" w:sz="36" w:space="0" w:color="auto"/>
            </w:tcBorders>
            <w:vAlign w:val="center"/>
          </w:tcPr>
          <w:p w14:paraId="3B88EF77" w14:textId="77777777"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eastAsia="zh-CN"/>
              </w:rPr>
              <w:drawing>
                <wp:inline distT="0" distB="0" distL="0" distR="0" wp14:anchorId="4CB655F4" wp14:editId="0A0C454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577290" w14:textId="77777777" w:rsidR="00C9161D" w:rsidRPr="00490BF5" w:rsidRDefault="00C9161D" w:rsidP="00490BF5">
            <w:pPr>
              <w:suppressLineNumbers/>
              <w:suppressAutoHyphens/>
              <w:kinsoku w:val="0"/>
              <w:overflowPunct w:val="0"/>
              <w:autoSpaceDE w:val="0"/>
              <w:autoSpaceDN w:val="0"/>
              <w:adjustRightInd w:val="0"/>
              <w:snapToGrid w:val="0"/>
              <w:ind w:left="1215"/>
              <w:rPr>
                <w:snapToGrid w:val="0"/>
                <w:kern w:val="22"/>
                <w:szCs w:val="22"/>
              </w:rPr>
            </w:pPr>
            <w:r w:rsidRPr="00490BF5">
              <w:rPr>
                <w:snapToGrid w:val="0"/>
                <w:kern w:val="22"/>
                <w:szCs w:val="22"/>
              </w:rPr>
              <w:t>Distr.</w:t>
            </w:r>
          </w:p>
          <w:p w14:paraId="28D2B8FC" w14:textId="77777777" w:rsidR="00C9161D" w:rsidRPr="00490BF5" w:rsidRDefault="00D549C6" w:rsidP="00490BF5">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E41629" w:rsidRPr="00490BF5">
                  <w:rPr>
                    <w:caps/>
                    <w:snapToGrid w:val="0"/>
                    <w:kern w:val="22"/>
                    <w:szCs w:val="22"/>
                  </w:rPr>
                  <w:t>GENERAL</w:t>
                </w:r>
              </w:sdtContent>
            </w:sdt>
          </w:p>
          <w:p w14:paraId="370F57A4" w14:textId="77777777" w:rsidR="00C9161D" w:rsidRPr="00490BF5" w:rsidRDefault="00C9161D" w:rsidP="00490BF5">
            <w:pPr>
              <w:suppressLineNumbers/>
              <w:suppressAutoHyphens/>
              <w:kinsoku w:val="0"/>
              <w:overflowPunct w:val="0"/>
              <w:autoSpaceDE w:val="0"/>
              <w:autoSpaceDN w:val="0"/>
              <w:adjustRightInd w:val="0"/>
              <w:snapToGrid w:val="0"/>
              <w:ind w:left="1215"/>
              <w:rPr>
                <w:snapToGrid w:val="0"/>
                <w:kern w:val="22"/>
                <w:szCs w:val="22"/>
              </w:rPr>
            </w:pPr>
          </w:p>
          <w:p w14:paraId="62A1FBFA" w14:textId="77777777" w:rsidR="00C9161D" w:rsidRPr="00490BF5" w:rsidRDefault="00D549C6" w:rsidP="00490BF5">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E41629" w:rsidRPr="00490BF5">
                  <w:rPr>
                    <w:snapToGrid w:val="0"/>
                    <w:kern w:val="22"/>
                  </w:rPr>
                  <w:t>CBD/SBI/7/Add.1</w:t>
                </w:r>
              </w:sdtContent>
            </w:sdt>
          </w:p>
          <w:p w14:paraId="7B4C9802" w14:textId="77777777" w:rsidR="00C9161D" w:rsidRPr="00490BF5" w:rsidRDefault="00D549C6" w:rsidP="00490BF5">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12T00:00:00Z">
                  <w:dateFormat w:val="d MMMM yyyy"/>
                  <w:lid w:val="en-US"/>
                  <w:storeMappedDataAs w:val="dateTime"/>
                  <w:calendar w:val="gregorian"/>
                </w:date>
              </w:sdtPr>
              <w:sdtContent>
                <w:r w:rsidR="00E41629" w:rsidRPr="00490BF5">
                  <w:rPr>
                    <w:snapToGrid w:val="0"/>
                    <w:kern w:val="22"/>
                    <w:szCs w:val="22"/>
                  </w:rPr>
                  <w:t>12 May 2018</w:t>
                </w:r>
              </w:sdtContent>
            </w:sdt>
          </w:p>
          <w:p w14:paraId="44707E09" w14:textId="77777777" w:rsidR="00C9161D" w:rsidRPr="00490BF5" w:rsidRDefault="00C9161D" w:rsidP="00490BF5">
            <w:pPr>
              <w:suppressLineNumbers/>
              <w:suppressAutoHyphens/>
              <w:kinsoku w:val="0"/>
              <w:overflowPunct w:val="0"/>
              <w:autoSpaceDE w:val="0"/>
              <w:autoSpaceDN w:val="0"/>
              <w:adjustRightInd w:val="0"/>
              <w:snapToGrid w:val="0"/>
              <w:ind w:left="1215"/>
              <w:rPr>
                <w:snapToGrid w:val="0"/>
                <w:kern w:val="22"/>
                <w:szCs w:val="22"/>
              </w:rPr>
            </w:pPr>
          </w:p>
          <w:p w14:paraId="2A9FFC1B" w14:textId="77777777" w:rsidR="00C9161D" w:rsidRPr="00490BF5" w:rsidRDefault="006B2290" w:rsidP="00490BF5">
            <w:pPr>
              <w:suppressLineNumbers/>
              <w:suppressAutoHyphens/>
              <w:kinsoku w:val="0"/>
              <w:overflowPunct w:val="0"/>
              <w:autoSpaceDE w:val="0"/>
              <w:autoSpaceDN w:val="0"/>
              <w:adjustRightInd w:val="0"/>
              <w:snapToGrid w:val="0"/>
              <w:ind w:left="1215"/>
              <w:rPr>
                <w:snapToGrid w:val="0"/>
                <w:kern w:val="22"/>
                <w:szCs w:val="22"/>
              </w:rPr>
            </w:pPr>
            <w:r w:rsidRPr="00490BF5">
              <w:rPr>
                <w:snapToGrid w:val="0"/>
                <w:kern w:val="22"/>
                <w:szCs w:val="22"/>
              </w:rPr>
              <w:t xml:space="preserve">ORIGINAL: </w:t>
            </w:r>
            <w:r w:rsidR="00C9161D" w:rsidRPr="00490BF5">
              <w:rPr>
                <w:snapToGrid w:val="0"/>
                <w:kern w:val="22"/>
                <w:szCs w:val="22"/>
              </w:rPr>
              <w:t>ENGLISH</w:t>
            </w:r>
          </w:p>
          <w:p w14:paraId="569773AB" w14:textId="77777777" w:rsidR="00C9161D" w:rsidRPr="00490BF5" w:rsidRDefault="00C9161D" w:rsidP="00490BF5">
            <w:pPr>
              <w:suppressLineNumbers/>
              <w:suppressAutoHyphens/>
              <w:kinsoku w:val="0"/>
              <w:overflowPunct w:val="0"/>
              <w:autoSpaceDE w:val="0"/>
              <w:autoSpaceDN w:val="0"/>
              <w:adjustRightInd w:val="0"/>
              <w:snapToGrid w:val="0"/>
              <w:rPr>
                <w:snapToGrid w:val="0"/>
                <w:kern w:val="22"/>
              </w:rPr>
            </w:pPr>
          </w:p>
        </w:tc>
      </w:tr>
    </w:tbl>
    <w:p w14:paraId="4BEB8142" w14:textId="77777777"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ight="4398" w:hanging="170"/>
        <w:jc w:val="left"/>
        <w:rPr>
          <w:rFonts w:eastAsia="Malgun Gothic"/>
          <w:caps/>
          <w:snapToGrid w:val="0"/>
          <w:kern w:val="22"/>
          <w:szCs w:val="22"/>
        </w:rPr>
      </w:pPr>
      <w:bookmarkStart w:id="0" w:name="Meeting"/>
      <w:r w:rsidRPr="00490BF5">
        <w:rPr>
          <w:rFonts w:eastAsia="Malgun Gothic"/>
          <w:caps/>
          <w:snapToGrid w:val="0"/>
          <w:kern w:val="22"/>
          <w:szCs w:val="22"/>
        </w:rPr>
        <w:t>SUBSIDIARY BODY ON Implementation</w:t>
      </w:r>
      <w:bookmarkEnd w:id="0"/>
    </w:p>
    <w:p w14:paraId="24CA9952" w14:textId="77777777"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eastAsia="nb-NO"/>
        </w:rPr>
      </w:pPr>
      <w:r w:rsidRPr="00490BF5">
        <w:rPr>
          <w:snapToGrid w:val="0"/>
          <w:kern w:val="22"/>
          <w:szCs w:val="22"/>
          <w:lang w:eastAsia="nb-NO"/>
        </w:rPr>
        <w:t>Second meeting</w:t>
      </w:r>
    </w:p>
    <w:p w14:paraId="0B689830" w14:textId="77777777"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eastAsia="nb-NO"/>
        </w:rPr>
      </w:pPr>
      <w:r w:rsidRPr="00490BF5">
        <w:rPr>
          <w:snapToGrid w:val="0"/>
          <w:kern w:val="22"/>
          <w:szCs w:val="22"/>
          <w:lang w:eastAsia="nb-NO"/>
        </w:rPr>
        <w:t>Montreal, Canada, 9-13 July 2018</w:t>
      </w:r>
    </w:p>
    <w:p w14:paraId="46A32228" w14:textId="77777777"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eastAsia="nb-NO"/>
        </w:rPr>
      </w:pPr>
      <w:r w:rsidRPr="00490BF5">
        <w:rPr>
          <w:snapToGrid w:val="0"/>
          <w:kern w:val="22"/>
          <w:szCs w:val="22"/>
          <w:lang w:eastAsia="nb-NO"/>
        </w:rPr>
        <w:t>Item 8 of the provisional agenda</w:t>
      </w:r>
      <w:r w:rsidRPr="00490BF5">
        <w:rPr>
          <w:snapToGrid w:val="0"/>
          <w:kern w:val="22"/>
          <w:szCs w:val="22"/>
          <w:lang w:eastAsia="nb-NO"/>
        </w:rPr>
        <w:footnoteReference w:customMarkFollows="1" w:id="1"/>
        <w:t>*</w:t>
      </w:r>
    </w:p>
    <w:p w14:paraId="7B6245A0" w14:textId="0E8F41F0" w:rsidR="00C9161D" w:rsidRPr="00490BF5" w:rsidRDefault="00C9161D" w:rsidP="00490BF5">
      <w:pPr>
        <w:suppressLineNumbers/>
        <w:suppressAutoHyphens/>
        <w:kinsoku w:val="0"/>
        <w:overflowPunct w:val="0"/>
        <w:autoSpaceDE w:val="0"/>
        <w:autoSpaceDN w:val="0"/>
        <w:adjustRightInd w:val="0"/>
        <w:snapToGrid w:val="0"/>
        <w:rPr>
          <w:snapToGrid w:val="0"/>
          <w:kern w:val="22"/>
          <w:szCs w:val="22"/>
        </w:rPr>
      </w:pPr>
    </w:p>
    <w:p w14:paraId="28E15F7E" w14:textId="5EC0F22D" w:rsidR="00DB4C97" w:rsidRPr="00490BF5" w:rsidRDefault="001C3702" w:rsidP="00490BF5">
      <w:pPr>
        <w:suppressLineNumbers/>
        <w:suppressAutoHyphens/>
        <w:kinsoku w:val="0"/>
        <w:overflowPunct w:val="0"/>
        <w:autoSpaceDE w:val="0"/>
        <w:autoSpaceDN w:val="0"/>
        <w:adjustRightInd w:val="0"/>
        <w:snapToGrid w:val="0"/>
        <w:jc w:val="center"/>
        <w:rPr>
          <w:caps/>
          <w:snapToGrid w:val="0"/>
          <w:kern w:val="22"/>
          <w:szCs w:val="22"/>
        </w:rPr>
      </w:pPr>
      <w:r w:rsidRPr="00490BF5">
        <w:rPr>
          <w:b/>
          <w:caps/>
          <w:snapToGrid w:val="0"/>
          <w:kern w:val="22"/>
          <w:szCs w:val="22"/>
        </w:rPr>
        <w:t>Resource mobilization</w:t>
      </w:r>
    </w:p>
    <w:p w14:paraId="0415F6F3" w14:textId="33A5496F" w:rsidR="00C9161D" w:rsidRPr="00490BF5" w:rsidRDefault="00D549C6" w:rsidP="00490BF5">
      <w:pPr>
        <w:suppressLineNumbers/>
        <w:suppressAutoHyphens/>
        <w:kinsoku w:val="0"/>
        <w:overflowPunct w:val="0"/>
        <w:autoSpaceDE w:val="0"/>
        <w:autoSpaceDN w:val="0"/>
        <w:adjustRightInd w:val="0"/>
        <w:snapToGrid w:val="0"/>
        <w:spacing w:before="120" w:after="120"/>
        <w:jc w:val="center"/>
        <w:rPr>
          <w:b/>
          <w:caps/>
          <w:snapToGrid w:val="0"/>
          <w:kern w:val="22"/>
          <w:szCs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C3702" w:rsidRPr="00490BF5">
            <w:rPr>
              <w:b/>
              <w:caps/>
              <w:snapToGrid w:val="0"/>
              <w:kern w:val="22"/>
              <w:szCs w:val="22"/>
            </w:rPr>
            <w:t>Stocktake and updated analysis of information provided through the financial reporting framework</w:t>
          </w:r>
        </w:sdtContent>
      </w:sdt>
    </w:p>
    <w:p w14:paraId="59AF8A70" w14:textId="77777777" w:rsidR="00855A78" w:rsidRPr="00490BF5" w:rsidRDefault="00855A78" w:rsidP="00490BF5">
      <w:pPr>
        <w:pStyle w:val="Heading2"/>
        <w:keepNext w:val="0"/>
        <w:suppressLineNumbers/>
        <w:suppressAutoHyphens/>
        <w:kinsoku w:val="0"/>
        <w:overflowPunct w:val="0"/>
        <w:autoSpaceDE w:val="0"/>
        <w:autoSpaceDN w:val="0"/>
        <w:adjustRightInd w:val="0"/>
        <w:snapToGrid w:val="0"/>
        <w:rPr>
          <w:bCs w:val="0"/>
          <w:i/>
          <w:iCs w:val="0"/>
          <w:snapToGrid w:val="0"/>
          <w:kern w:val="22"/>
          <w:szCs w:val="22"/>
        </w:rPr>
      </w:pPr>
      <w:r w:rsidRPr="00490BF5">
        <w:rPr>
          <w:b w:val="0"/>
          <w:bCs w:val="0"/>
          <w:i/>
          <w:iCs w:val="0"/>
          <w:snapToGrid w:val="0"/>
          <w:kern w:val="22"/>
          <w:szCs w:val="22"/>
        </w:rPr>
        <w:t>Note by the Executive Secretary</w:t>
      </w:r>
    </w:p>
    <w:p w14:paraId="3E5ED370" w14:textId="77777777" w:rsidR="00855A78" w:rsidRPr="00490BF5" w:rsidRDefault="00855A78" w:rsidP="00490BF5">
      <w:pPr>
        <w:suppressLineNumbers/>
        <w:tabs>
          <w:tab w:val="left" w:pos="360"/>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490BF5">
        <w:rPr>
          <w:b/>
          <w:caps/>
          <w:snapToGrid w:val="0"/>
          <w:kern w:val="22"/>
          <w:szCs w:val="22"/>
        </w:rPr>
        <w:t>I.</w:t>
      </w:r>
      <w:r w:rsidRPr="00490BF5">
        <w:rPr>
          <w:b/>
          <w:caps/>
          <w:snapToGrid w:val="0"/>
          <w:kern w:val="22"/>
          <w:szCs w:val="22"/>
        </w:rPr>
        <w:tab/>
        <w:t>Introduction</w:t>
      </w:r>
    </w:p>
    <w:p w14:paraId="56E246FA" w14:textId="37F3BE4C"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490BF5">
        <w:rPr>
          <w:snapToGrid w:val="0"/>
          <w:kern w:val="22"/>
          <w:szCs w:val="22"/>
        </w:rPr>
        <w:t xml:space="preserve">In decision </w:t>
      </w:r>
      <w:hyperlink r:id="rId13" w:history="1">
        <w:r w:rsidRPr="00490BF5">
          <w:rPr>
            <w:rStyle w:val="Hyperlink"/>
            <w:snapToGrid w:val="0"/>
            <w:kern w:val="22"/>
            <w:sz w:val="22"/>
            <w:szCs w:val="22"/>
          </w:rPr>
          <w:t>XIII/20</w:t>
        </w:r>
      </w:hyperlink>
      <w:r w:rsidRPr="00490BF5">
        <w:rPr>
          <w:snapToGrid w:val="0"/>
          <w:kern w:val="22"/>
          <w:szCs w:val="22"/>
        </w:rPr>
        <w:t xml:space="preserve"> on resource mobilization, the Conference of the Parties at its thirteenth meeting took note of the analysis of the information provided by Parties through the financial reporting framework, and took note with concern of the insufficient information gathered from the financial reporting frameworks submitted by Parties, which limited the basis for a comprehensive assessment of progress towards achieving the targets for </w:t>
      </w:r>
      <w:r w:rsidR="004A1AC3" w:rsidRPr="00490BF5">
        <w:rPr>
          <w:snapToGrid w:val="0"/>
          <w:kern w:val="22"/>
          <w:szCs w:val="22"/>
        </w:rPr>
        <w:t>resource mobilization (para</w:t>
      </w:r>
      <w:r w:rsidRPr="00490BF5">
        <w:rPr>
          <w:snapToGrid w:val="0"/>
          <w:kern w:val="22"/>
          <w:szCs w:val="22"/>
        </w:rPr>
        <w:t>s</w:t>
      </w:r>
      <w:r w:rsidR="004A1AC3" w:rsidRPr="00490BF5">
        <w:rPr>
          <w:snapToGrid w:val="0"/>
          <w:kern w:val="22"/>
          <w:szCs w:val="22"/>
        </w:rPr>
        <w:t>.</w:t>
      </w:r>
      <w:r w:rsidRPr="00490BF5">
        <w:rPr>
          <w:snapToGrid w:val="0"/>
          <w:kern w:val="22"/>
          <w:szCs w:val="22"/>
        </w:rPr>
        <w:t xml:space="preserve"> 2 and 3). In the same decision, the Conference of the Parties urged Parties that </w:t>
      </w:r>
      <w:r w:rsidR="002E2B34" w:rsidRPr="00490BF5">
        <w:rPr>
          <w:snapToGrid w:val="0"/>
          <w:kern w:val="22"/>
          <w:szCs w:val="22"/>
        </w:rPr>
        <w:t xml:space="preserve">had </w:t>
      </w:r>
      <w:r w:rsidRPr="00490BF5">
        <w:rPr>
          <w:snapToGrid w:val="0"/>
          <w:kern w:val="22"/>
          <w:szCs w:val="22"/>
        </w:rPr>
        <w:t>not yet done so to provide the necessary baseline information and report progress against the targets for resource mobilization by 1 July 2017, using the financial reporting framework, and invited Parties to update, as appropriate, their financial reporting frameworks as confirmed/final data for 2015 bec</w:t>
      </w:r>
      <w:r w:rsidR="002E2B34" w:rsidRPr="00490BF5">
        <w:rPr>
          <w:snapToGrid w:val="0"/>
          <w:kern w:val="22"/>
          <w:szCs w:val="22"/>
        </w:rPr>
        <w:t>a</w:t>
      </w:r>
      <w:r w:rsidRPr="00490BF5">
        <w:rPr>
          <w:snapToGrid w:val="0"/>
          <w:kern w:val="22"/>
          <w:szCs w:val="22"/>
        </w:rPr>
        <w:t>me available, with a view to improving the robustness of the data (para</w:t>
      </w:r>
      <w:r w:rsidR="004A1AC3" w:rsidRPr="00490BF5">
        <w:rPr>
          <w:snapToGrid w:val="0"/>
          <w:kern w:val="22"/>
          <w:szCs w:val="22"/>
        </w:rPr>
        <w:t>.</w:t>
      </w:r>
      <w:r w:rsidRPr="00490BF5">
        <w:rPr>
          <w:snapToGrid w:val="0"/>
          <w:kern w:val="22"/>
          <w:szCs w:val="22"/>
        </w:rPr>
        <w:t xml:space="preserve"> 6).</w:t>
      </w:r>
    </w:p>
    <w:p w14:paraId="41C9D61D" w14:textId="5E9A7A9E" w:rsidR="00855A78" w:rsidRPr="00490BF5" w:rsidRDefault="00855A78" w:rsidP="00490BF5">
      <w:pPr>
        <w:pStyle w:val="bodytextnoindent"/>
        <w:widowControl/>
        <w:numPr>
          <w:ilvl w:val="0"/>
          <w:numId w:val="52"/>
        </w:numPr>
        <w:suppressLineNumbers/>
        <w:suppressAutoHyphens/>
        <w:kinsoku w:val="0"/>
        <w:snapToGrid w:val="0"/>
        <w:ind w:left="0" w:firstLine="0"/>
        <w:rPr>
          <w:rFonts w:cs="Times New Roman"/>
          <w:snapToGrid w:val="0"/>
          <w:kern w:val="22"/>
          <w:szCs w:val="22"/>
        </w:rPr>
      </w:pPr>
      <w:r w:rsidRPr="00490BF5">
        <w:rPr>
          <w:rFonts w:cs="Times New Roman"/>
          <w:snapToGrid w:val="0"/>
          <w:kern w:val="22"/>
          <w:szCs w:val="22"/>
        </w:rPr>
        <w:t xml:space="preserve">In the same decision, the Conference of the Parties also requested the Executive Secretary to prepare a stocktake and updated analysis of financial reports received in order to provide a more comprehensive picture </w:t>
      </w:r>
      <w:r w:rsidR="00CA06D1" w:rsidRPr="00490BF5">
        <w:rPr>
          <w:rFonts w:cs="Times New Roman"/>
          <w:snapToGrid w:val="0"/>
          <w:kern w:val="22"/>
          <w:szCs w:val="22"/>
        </w:rPr>
        <w:t xml:space="preserve">of </w:t>
      </w:r>
      <w:r w:rsidRPr="00490BF5">
        <w:rPr>
          <w:rFonts w:cs="Times New Roman"/>
          <w:snapToGrid w:val="0"/>
          <w:kern w:val="22"/>
          <w:szCs w:val="22"/>
        </w:rPr>
        <w:t>the global overall progress towards the global targets, including an analysis of differences across methodological approaches, for consideration by the Subsidiary Body on Implementation at its second meeting, in order to submit recommendations to the Conference of the Parties at its fourteenth meeting (para</w:t>
      </w:r>
      <w:r w:rsidR="004A1AC3" w:rsidRPr="00490BF5">
        <w:rPr>
          <w:rFonts w:cs="Times New Roman"/>
          <w:snapToGrid w:val="0"/>
          <w:kern w:val="22"/>
          <w:szCs w:val="22"/>
        </w:rPr>
        <w:t>.</w:t>
      </w:r>
      <w:r w:rsidRPr="00490BF5">
        <w:rPr>
          <w:rFonts w:cs="Times New Roman"/>
          <w:snapToGrid w:val="0"/>
          <w:kern w:val="22"/>
          <w:szCs w:val="22"/>
        </w:rPr>
        <w:t xml:space="preserve"> 9).</w:t>
      </w:r>
    </w:p>
    <w:p w14:paraId="7727E296" w14:textId="791DA007"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490BF5">
        <w:rPr>
          <w:snapToGrid w:val="0"/>
          <w:kern w:val="22"/>
          <w:szCs w:val="22"/>
        </w:rPr>
        <w:t xml:space="preserve">The latest analysis of information provided through the </w:t>
      </w:r>
      <w:r w:rsidR="00555B30" w:rsidRPr="00490BF5">
        <w:rPr>
          <w:snapToGrid w:val="0"/>
          <w:kern w:val="22"/>
          <w:szCs w:val="22"/>
        </w:rPr>
        <w:t>financial reporting framewor</w:t>
      </w:r>
      <w:r w:rsidRPr="00490BF5">
        <w:rPr>
          <w:snapToGrid w:val="0"/>
          <w:kern w:val="22"/>
          <w:szCs w:val="22"/>
        </w:rPr>
        <w:t>k was provided to the Conference of Parties</w:t>
      </w:r>
      <w:r w:rsidR="00E77C8F" w:rsidRPr="00490BF5">
        <w:rPr>
          <w:snapToGrid w:val="0"/>
          <w:kern w:val="22"/>
          <w:szCs w:val="22"/>
        </w:rPr>
        <w:t xml:space="preserve"> at its thirteenth meeting</w:t>
      </w:r>
      <w:r w:rsidR="004A1AC3" w:rsidRPr="00490BF5">
        <w:rPr>
          <w:snapToGrid w:val="0"/>
          <w:kern w:val="22"/>
          <w:szCs w:val="22"/>
        </w:rPr>
        <w:t>.</w:t>
      </w:r>
      <w:r w:rsidRPr="00490BF5">
        <w:rPr>
          <w:rStyle w:val="FootnoteReference"/>
          <w:snapToGrid w:val="0"/>
          <w:kern w:val="22"/>
          <w:szCs w:val="22"/>
        </w:rPr>
        <w:footnoteReference w:id="2"/>
      </w:r>
      <w:r w:rsidRPr="00490BF5">
        <w:rPr>
          <w:snapToGrid w:val="0"/>
          <w:kern w:val="22"/>
          <w:szCs w:val="22"/>
        </w:rPr>
        <w:t xml:space="preserve"> The cut-off date for this latest analysis was 15 November 2016. Between this date and 1 March 2018, three new submissions were received </w:t>
      </w:r>
      <w:r w:rsidR="00931FB4" w:rsidRPr="00490BF5">
        <w:rPr>
          <w:snapToGrid w:val="0"/>
          <w:kern w:val="22"/>
          <w:szCs w:val="22"/>
        </w:rPr>
        <w:t xml:space="preserve">with information </w:t>
      </w:r>
      <w:r w:rsidRPr="00490BF5">
        <w:rPr>
          <w:snapToGrid w:val="0"/>
          <w:kern w:val="22"/>
          <w:szCs w:val="22"/>
        </w:rPr>
        <w:t>on baseline</w:t>
      </w:r>
      <w:r w:rsidR="00931FB4" w:rsidRPr="00490BF5">
        <w:rPr>
          <w:snapToGrid w:val="0"/>
          <w:kern w:val="22"/>
          <w:szCs w:val="22"/>
        </w:rPr>
        <w:t>s</w:t>
      </w:r>
      <w:r w:rsidRPr="00490BF5">
        <w:rPr>
          <w:snapToGrid w:val="0"/>
          <w:kern w:val="22"/>
          <w:szCs w:val="22"/>
        </w:rPr>
        <w:t xml:space="preserve"> and progress </w:t>
      </w:r>
      <w:r w:rsidR="00555B30" w:rsidRPr="00490BF5">
        <w:rPr>
          <w:snapToGrid w:val="0"/>
          <w:kern w:val="22"/>
          <w:szCs w:val="22"/>
        </w:rPr>
        <w:t xml:space="preserve">through </w:t>
      </w:r>
      <w:r w:rsidRPr="00490BF5">
        <w:rPr>
          <w:snapToGrid w:val="0"/>
          <w:kern w:val="22"/>
          <w:szCs w:val="22"/>
        </w:rPr>
        <w:t xml:space="preserve">2015 (from Kuwait, Malta, and Mauritania). Updated information on baselines and progress </w:t>
      </w:r>
      <w:r w:rsidR="00931FB4" w:rsidRPr="00490BF5">
        <w:rPr>
          <w:snapToGrid w:val="0"/>
          <w:kern w:val="22"/>
          <w:szCs w:val="22"/>
        </w:rPr>
        <w:t xml:space="preserve">through </w:t>
      </w:r>
      <w:r w:rsidRPr="00490BF5">
        <w:rPr>
          <w:snapToGrid w:val="0"/>
          <w:kern w:val="22"/>
          <w:szCs w:val="22"/>
        </w:rPr>
        <w:t xml:space="preserve">2015 was received from Austria, </w:t>
      </w:r>
      <w:proofErr w:type="spellStart"/>
      <w:r w:rsidR="00B21CBD" w:rsidRPr="00490BF5">
        <w:rPr>
          <w:snapToGrid w:val="0"/>
          <w:kern w:val="22"/>
          <w:szCs w:val="22"/>
        </w:rPr>
        <w:t>Czechia</w:t>
      </w:r>
      <w:proofErr w:type="spellEnd"/>
      <w:r w:rsidRPr="00490BF5">
        <w:rPr>
          <w:snapToGrid w:val="0"/>
          <w:kern w:val="22"/>
          <w:szCs w:val="22"/>
        </w:rPr>
        <w:t xml:space="preserve">, Denmark, Estonia, Germany, Japan, Luxemburg, Poland, Slovenia, Sweden and Spain, as well as the European Union. Austria and Sweden also reported on further progress </w:t>
      </w:r>
      <w:r w:rsidR="00931FB4" w:rsidRPr="00490BF5">
        <w:rPr>
          <w:snapToGrid w:val="0"/>
          <w:kern w:val="22"/>
          <w:szCs w:val="22"/>
        </w:rPr>
        <w:t xml:space="preserve">through </w:t>
      </w:r>
      <w:r w:rsidRPr="00490BF5">
        <w:rPr>
          <w:snapToGrid w:val="0"/>
          <w:kern w:val="22"/>
          <w:szCs w:val="22"/>
        </w:rPr>
        <w:t xml:space="preserve">2020 under the second round of reporting initiated </w:t>
      </w:r>
      <w:r w:rsidR="00A44BC3" w:rsidRPr="00490BF5">
        <w:rPr>
          <w:snapToGrid w:val="0"/>
          <w:kern w:val="22"/>
          <w:szCs w:val="22"/>
        </w:rPr>
        <w:t>pursuant to</w:t>
      </w:r>
      <w:r w:rsidRPr="00490BF5">
        <w:rPr>
          <w:snapToGrid w:val="0"/>
          <w:kern w:val="22"/>
          <w:szCs w:val="22"/>
        </w:rPr>
        <w:t xml:space="preserve"> decision XIII/20</w:t>
      </w:r>
      <w:r w:rsidR="00212214" w:rsidRPr="00490BF5">
        <w:rPr>
          <w:snapToGrid w:val="0"/>
          <w:kern w:val="22"/>
          <w:szCs w:val="22"/>
        </w:rPr>
        <w:t>, paragraph 8</w:t>
      </w:r>
      <w:r w:rsidRPr="00490BF5">
        <w:rPr>
          <w:snapToGrid w:val="0"/>
          <w:kern w:val="22"/>
          <w:szCs w:val="22"/>
        </w:rPr>
        <w:t xml:space="preserve">. This brings the consolidated number of Parties having submitted information through the financial reporting framework to </w:t>
      </w:r>
      <w:r w:rsidR="008256D9" w:rsidRPr="00490BF5">
        <w:rPr>
          <w:snapToGrid w:val="0"/>
          <w:kern w:val="22"/>
          <w:szCs w:val="22"/>
        </w:rPr>
        <w:t>76</w:t>
      </w:r>
      <w:r w:rsidRPr="00490BF5">
        <w:rPr>
          <w:snapToGrid w:val="0"/>
          <w:kern w:val="22"/>
          <w:szCs w:val="22"/>
        </w:rPr>
        <w:t xml:space="preserve">. The consolidated list of Parties </w:t>
      </w:r>
      <w:r w:rsidR="00DF113F" w:rsidRPr="00490BF5">
        <w:rPr>
          <w:snapToGrid w:val="0"/>
          <w:kern w:val="22"/>
          <w:szCs w:val="22"/>
        </w:rPr>
        <w:t xml:space="preserve">that </w:t>
      </w:r>
      <w:r w:rsidRPr="00490BF5">
        <w:rPr>
          <w:snapToGrid w:val="0"/>
          <w:kern w:val="22"/>
          <w:szCs w:val="22"/>
        </w:rPr>
        <w:t xml:space="preserve">submitted information through the </w:t>
      </w:r>
      <w:r w:rsidR="007B248C" w:rsidRPr="00490BF5">
        <w:rPr>
          <w:snapToGrid w:val="0"/>
          <w:kern w:val="22"/>
          <w:szCs w:val="22"/>
        </w:rPr>
        <w:t>financial reporting framework</w:t>
      </w:r>
      <w:r w:rsidR="00EA2E0F" w:rsidRPr="00490BF5">
        <w:rPr>
          <w:snapToGrid w:val="0"/>
          <w:kern w:val="22"/>
          <w:szCs w:val="22"/>
        </w:rPr>
        <w:t xml:space="preserve"> </w:t>
      </w:r>
      <w:r w:rsidRPr="00490BF5">
        <w:rPr>
          <w:snapToGrid w:val="0"/>
          <w:kern w:val="22"/>
          <w:szCs w:val="22"/>
        </w:rPr>
        <w:t>by 1</w:t>
      </w:r>
      <w:r w:rsidR="007B248C" w:rsidRPr="00490BF5">
        <w:rPr>
          <w:snapToGrid w:val="0"/>
          <w:kern w:val="22"/>
          <w:szCs w:val="22"/>
        </w:rPr>
        <w:t> </w:t>
      </w:r>
      <w:r w:rsidRPr="00490BF5">
        <w:rPr>
          <w:snapToGrid w:val="0"/>
          <w:kern w:val="22"/>
          <w:szCs w:val="22"/>
        </w:rPr>
        <w:t>March</w:t>
      </w:r>
      <w:r w:rsidR="007B248C" w:rsidRPr="00490BF5">
        <w:rPr>
          <w:snapToGrid w:val="0"/>
          <w:kern w:val="22"/>
          <w:szCs w:val="22"/>
        </w:rPr>
        <w:t> </w:t>
      </w:r>
      <w:r w:rsidRPr="00490BF5">
        <w:rPr>
          <w:snapToGrid w:val="0"/>
          <w:kern w:val="22"/>
          <w:szCs w:val="22"/>
        </w:rPr>
        <w:t xml:space="preserve">2018 is </w:t>
      </w:r>
      <w:r w:rsidRPr="00490BF5">
        <w:rPr>
          <w:snapToGrid w:val="0"/>
          <w:kern w:val="22"/>
          <w:szCs w:val="22"/>
        </w:rPr>
        <w:lastRenderedPageBreak/>
        <w:t xml:space="preserve">provided in </w:t>
      </w:r>
      <w:r w:rsidR="004A1AC3" w:rsidRPr="00490BF5">
        <w:rPr>
          <w:snapToGrid w:val="0"/>
          <w:kern w:val="22"/>
          <w:szCs w:val="22"/>
        </w:rPr>
        <w:t>a</w:t>
      </w:r>
      <w:r w:rsidRPr="00490BF5">
        <w:rPr>
          <w:snapToGrid w:val="0"/>
          <w:kern w:val="22"/>
          <w:szCs w:val="22"/>
        </w:rPr>
        <w:t>nnex</w:t>
      </w:r>
      <w:r w:rsidR="00212214" w:rsidRPr="00490BF5">
        <w:rPr>
          <w:snapToGrid w:val="0"/>
          <w:kern w:val="22"/>
          <w:szCs w:val="22"/>
        </w:rPr>
        <w:t> </w:t>
      </w:r>
      <w:r w:rsidRPr="00490BF5">
        <w:rPr>
          <w:snapToGrid w:val="0"/>
          <w:kern w:val="22"/>
          <w:szCs w:val="22"/>
        </w:rPr>
        <w:t xml:space="preserve">II of the present </w:t>
      </w:r>
      <w:r w:rsidR="00C420BD" w:rsidRPr="00490BF5">
        <w:rPr>
          <w:snapToGrid w:val="0"/>
          <w:kern w:val="22"/>
          <w:szCs w:val="22"/>
        </w:rPr>
        <w:t>document</w:t>
      </w:r>
      <w:r w:rsidRPr="00490BF5">
        <w:rPr>
          <w:snapToGrid w:val="0"/>
          <w:kern w:val="22"/>
          <w:szCs w:val="22"/>
        </w:rPr>
        <w:t xml:space="preserve">. The limited number of new and updated reports </w:t>
      </w:r>
      <w:r w:rsidR="005504DD" w:rsidRPr="00490BF5">
        <w:rPr>
          <w:snapToGrid w:val="0"/>
          <w:kern w:val="22"/>
          <w:szCs w:val="22"/>
        </w:rPr>
        <w:t>must</w:t>
      </w:r>
      <w:r w:rsidRPr="00490BF5">
        <w:rPr>
          <w:snapToGrid w:val="0"/>
          <w:kern w:val="22"/>
          <w:szCs w:val="22"/>
        </w:rPr>
        <w:t xml:space="preserve"> be borne in mind in appreciating some of the quantitative and semi-quantitative information provided in the remainder of this section.</w:t>
      </w:r>
    </w:p>
    <w:p w14:paraId="502C7C58" w14:textId="489F33BA"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consolidated stocktake and analysis is provided in the following sections, following the structure of the </w:t>
      </w:r>
      <w:r w:rsidR="00386C03" w:rsidRPr="00490BF5">
        <w:rPr>
          <w:snapToGrid w:val="0"/>
          <w:kern w:val="22"/>
          <w:szCs w:val="22"/>
        </w:rPr>
        <w:t>financial reporting framework.</w:t>
      </w:r>
      <w:r w:rsidRPr="00490BF5">
        <w:rPr>
          <w:snapToGrid w:val="0"/>
          <w:kern w:val="22"/>
          <w:szCs w:val="22"/>
        </w:rPr>
        <w:t xml:space="preserve"> In order to provide a more comprehensive picture, information retrieved from the </w:t>
      </w:r>
      <w:r w:rsidR="00386C03" w:rsidRPr="00490BF5">
        <w:rPr>
          <w:snapToGrid w:val="0"/>
          <w:kern w:val="22"/>
          <w:szCs w:val="22"/>
        </w:rPr>
        <w:t>financial reporting frameworks</w:t>
      </w:r>
      <w:r w:rsidRPr="00490BF5">
        <w:rPr>
          <w:snapToGrid w:val="0"/>
          <w:kern w:val="22"/>
          <w:szCs w:val="22"/>
        </w:rPr>
        <w:t xml:space="preserve"> is complemented, as appropriate, with information from other sources, such as the Biodiversity Finance (BIOFIN) initiative of the United Nations Development Programme (UNDP) and the analysis of the 153 NBSAPs received in one of the official languages of the United Nations since the adoption of the Strategic Plan for Biodiversity through 14</w:t>
      </w:r>
      <w:r w:rsidR="00277A1F" w:rsidRPr="00490BF5">
        <w:rPr>
          <w:snapToGrid w:val="0"/>
          <w:kern w:val="22"/>
          <w:szCs w:val="22"/>
        </w:rPr>
        <w:t> </w:t>
      </w:r>
      <w:r w:rsidRPr="00490BF5">
        <w:rPr>
          <w:snapToGrid w:val="0"/>
          <w:kern w:val="22"/>
          <w:szCs w:val="22"/>
        </w:rPr>
        <w:t>March</w:t>
      </w:r>
      <w:r w:rsidR="00277A1F" w:rsidRPr="00490BF5">
        <w:rPr>
          <w:snapToGrid w:val="0"/>
          <w:kern w:val="22"/>
          <w:szCs w:val="22"/>
        </w:rPr>
        <w:t> </w:t>
      </w:r>
      <w:r w:rsidRPr="00490BF5">
        <w:rPr>
          <w:snapToGrid w:val="0"/>
          <w:kern w:val="22"/>
          <w:szCs w:val="22"/>
        </w:rPr>
        <w:t xml:space="preserve">2018, as provided in </w:t>
      </w:r>
      <w:r w:rsidR="00277A1F" w:rsidRPr="00490BF5">
        <w:rPr>
          <w:snapToGrid w:val="0"/>
          <w:color w:val="000000"/>
          <w:kern w:val="22"/>
          <w:szCs w:val="22"/>
        </w:rPr>
        <w:t>the</w:t>
      </w:r>
      <w:r w:rsidR="00277A1F" w:rsidRPr="00490BF5">
        <w:rPr>
          <w:szCs w:val="22"/>
        </w:rPr>
        <w:t xml:space="preserve"> update on progress in revising/updating and implementing national biodiversity strategies and action plans, including national targets</w:t>
      </w:r>
      <w:r w:rsidR="00277A1F" w:rsidRPr="00490BF5">
        <w:rPr>
          <w:snapToGrid w:val="0"/>
          <w:color w:val="000000"/>
          <w:kern w:val="22"/>
          <w:szCs w:val="22"/>
        </w:rPr>
        <w:t xml:space="preserve"> (</w:t>
      </w:r>
      <w:hyperlink r:id="rId14" w:history="1">
        <w:r w:rsidRPr="00490BF5">
          <w:rPr>
            <w:rStyle w:val="Hyperlink"/>
            <w:sz w:val="22"/>
          </w:rPr>
          <w:t>CBD/SBI/2/2/Add.1</w:t>
        </w:r>
      </w:hyperlink>
      <w:r w:rsidR="00277A1F" w:rsidRPr="00490BF5">
        <w:rPr>
          <w:snapToGrid w:val="0"/>
          <w:kern w:val="22"/>
          <w:szCs w:val="22"/>
        </w:rPr>
        <w:t>)</w:t>
      </w:r>
      <w:r w:rsidRPr="00490BF5">
        <w:rPr>
          <w:snapToGrid w:val="0"/>
          <w:kern w:val="22"/>
          <w:szCs w:val="22"/>
        </w:rPr>
        <w:t xml:space="preserve">. For reference, the individual targets for resource mobilization are provided in </w:t>
      </w:r>
      <w:r w:rsidR="006E604B" w:rsidRPr="00490BF5">
        <w:rPr>
          <w:snapToGrid w:val="0"/>
          <w:kern w:val="22"/>
          <w:szCs w:val="22"/>
        </w:rPr>
        <w:t>a</w:t>
      </w:r>
      <w:r w:rsidRPr="00490BF5">
        <w:rPr>
          <w:snapToGrid w:val="0"/>
          <w:kern w:val="22"/>
          <w:szCs w:val="22"/>
        </w:rPr>
        <w:t xml:space="preserve">nnex I. Data, in particular the additional information on methodological and other issues, as provided by Parties in the comment fields, can also be retrieved through the online </w:t>
      </w:r>
      <w:hyperlink r:id="rId15" w:history="1">
        <w:r w:rsidRPr="00490BF5">
          <w:rPr>
            <w:rStyle w:val="Hyperlink"/>
            <w:snapToGrid w:val="0"/>
            <w:kern w:val="22"/>
            <w:sz w:val="22"/>
            <w:szCs w:val="22"/>
          </w:rPr>
          <w:t>Financial Report Analyser</w:t>
        </w:r>
      </w:hyperlink>
      <w:r w:rsidRPr="00490BF5">
        <w:rPr>
          <w:snapToGrid w:val="0"/>
          <w:kern w:val="22"/>
          <w:szCs w:val="22"/>
        </w:rPr>
        <w:t>.</w:t>
      </w:r>
    </w:p>
    <w:p w14:paraId="55AB0C84" w14:textId="1E904C8D" w:rsidR="00855A78" w:rsidRPr="00490BF5" w:rsidRDefault="00855A78" w:rsidP="00490BF5">
      <w:pPr>
        <w:pStyle w:val="Heading1"/>
        <w:suppressLineNumbers/>
        <w:tabs>
          <w:tab w:val="clear" w:pos="720"/>
        </w:tabs>
        <w:suppressAutoHyphens/>
        <w:kinsoku w:val="0"/>
        <w:overflowPunct w:val="0"/>
        <w:autoSpaceDE w:val="0"/>
        <w:autoSpaceDN w:val="0"/>
        <w:adjustRightInd w:val="0"/>
        <w:snapToGrid w:val="0"/>
        <w:spacing w:before="120"/>
        <w:ind w:left="360"/>
        <w:rPr>
          <w:snapToGrid w:val="0"/>
          <w:kern w:val="22"/>
          <w:szCs w:val="22"/>
        </w:rPr>
      </w:pPr>
      <w:r w:rsidRPr="00490BF5">
        <w:rPr>
          <w:snapToGrid w:val="0"/>
          <w:kern w:val="22"/>
          <w:szCs w:val="22"/>
        </w:rPr>
        <w:t>II.</w:t>
      </w:r>
      <w:r w:rsidR="004A1AC3" w:rsidRPr="00490BF5">
        <w:rPr>
          <w:snapToGrid w:val="0"/>
          <w:kern w:val="22"/>
          <w:szCs w:val="22"/>
        </w:rPr>
        <w:tab/>
      </w:r>
      <w:r w:rsidRPr="00490BF5">
        <w:rPr>
          <w:snapToGrid w:val="0"/>
          <w:kern w:val="22"/>
          <w:szCs w:val="22"/>
        </w:rPr>
        <w:t>International financial resource flows</w:t>
      </w:r>
    </w:p>
    <w:p w14:paraId="1E0C07E9" w14:textId="388AA69A"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total of 30 Parties (23 out of the 30 DAC members and 7 non-DAC members) provided information on the amount of resources they provided in support of biodiversity in developing countries, in particular least developed countries and </w:t>
      </w:r>
      <w:r w:rsidR="004A1AC3" w:rsidRPr="00490BF5">
        <w:rPr>
          <w:snapToGrid w:val="0"/>
          <w:kern w:val="22"/>
          <w:szCs w:val="22"/>
        </w:rPr>
        <w:t>s</w:t>
      </w:r>
      <w:r w:rsidRPr="00490BF5">
        <w:rPr>
          <w:snapToGrid w:val="0"/>
          <w:kern w:val="22"/>
          <w:szCs w:val="22"/>
        </w:rPr>
        <w:t xml:space="preserve">mall </w:t>
      </w:r>
      <w:r w:rsidR="004A1AC3" w:rsidRPr="00490BF5">
        <w:rPr>
          <w:snapToGrid w:val="0"/>
          <w:kern w:val="22"/>
          <w:szCs w:val="22"/>
        </w:rPr>
        <w:t>i</w:t>
      </w:r>
      <w:r w:rsidRPr="00490BF5">
        <w:rPr>
          <w:snapToGrid w:val="0"/>
          <w:kern w:val="22"/>
          <w:szCs w:val="22"/>
        </w:rPr>
        <w:t>sland developing States, as well as countries with economies in transition:</w:t>
      </w:r>
    </w:p>
    <w:p w14:paraId="4E9834F5" w14:textId="5949090E" w:rsidR="00855A78" w:rsidRPr="00490BF5"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26 Parties (22 DAC members and 4 non-DAC members) reported baseline data. Among the 22 DAC members are the 9 largest donors of biodiversity-related bilateral aid</w:t>
      </w:r>
      <w:r w:rsidRPr="00490BF5">
        <w:rPr>
          <w:rStyle w:val="FootnoteReference"/>
          <w:snapToGrid w:val="0"/>
          <w:kern w:val="22"/>
          <w:szCs w:val="22"/>
        </w:rPr>
        <w:footnoteReference w:id="3"/>
      </w:r>
      <w:r w:rsidRPr="00490BF5">
        <w:rPr>
          <w:snapToGrid w:val="0"/>
          <w:kern w:val="22"/>
          <w:szCs w:val="22"/>
        </w:rPr>
        <w:t xml:space="preserve"> during the baseline years (except for the second largest donor during this period, which is not a Party to the Convention). Due to lack of data or their changed status, four countries did not report a baseline but did report progress (Bulgaria, Chile, Malta, Slovenia)</w:t>
      </w:r>
      <w:r w:rsidR="004A1AC3" w:rsidRPr="00490BF5">
        <w:rPr>
          <w:snapToGrid w:val="0"/>
          <w:kern w:val="22"/>
          <w:szCs w:val="22"/>
        </w:rPr>
        <w:t>;</w:t>
      </w:r>
    </w:p>
    <w:p w14:paraId="40348780" w14:textId="636649B5" w:rsidR="00855A78" w:rsidRPr="00490BF5"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23 Parties (16 DAC members and the seven non-DAC members) reported 2015 data. These 23 Parties collectively represent 85 </w:t>
      </w:r>
      <w:r w:rsidR="004A1AC3" w:rsidRPr="00490BF5">
        <w:rPr>
          <w:snapToGrid w:val="0"/>
          <w:kern w:val="22"/>
          <w:szCs w:val="22"/>
        </w:rPr>
        <w:t>per cent</w:t>
      </w:r>
      <w:r w:rsidRPr="00490BF5">
        <w:rPr>
          <w:snapToGrid w:val="0"/>
          <w:kern w:val="22"/>
          <w:szCs w:val="22"/>
        </w:rPr>
        <w:t xml:space="preserve"> of the reported baseline.</w:t>
      </w:r>
      <w:r w:rsidRPr="00490BF5">
        <w:rPr>
          <w:rStyle w:val="FootnoteReference"/>
          <w:snapToGrid w:val="0"/>
          <w:kern w:val="22"/>
          <w:szCs w:val="22"/>
        </w:rPr>
        <w:footnoteReference w:id="4"/>
      </w:r>
    </w:p>
    <w:p w14:paraId="3A3F13F0" w14:textId="77777777"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Two non-DAC members (India and Mexico) did not provide quantitative information but made a reference to their development cooperation programmes, noting methodological constraints in identifying biodiversity-related flows.</w:t>
      </w:r>
    </w:p>
    <w:p w14:paraId="20ECC13F" w14:textId="613DDEB7"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In order to gauge progress by individual countries, </w:t>
      </w:r>
      <w:r w:rsidR="006E604B" w:rsidRPr="00490BF5">
        <w:rPr>
          <w:snapToGrid w:val="0"/>
          <w:kern w:val="22"/>
          <w:szCs w:val="22"/>
        </w:rPr>
        <w:t>a</w:t>
      </w:r>
      <w:r w:rsidRPr="00490BF5">
        <w:rPr>
          <w:snapToGrid w:val="0"/>
          <w:kern w:val="22"/>
          <w:szCs w:val="22"/>
        </w:rPr>
        <w:t>nnex</w:t>
      </w:r>
      <w:r w:rsidR="006E604B" w:rsidRPr="00490BF5">
        <w:rPr>
          <w:snapToGrid w:val="0"/>
          <w:kern w:val="22"/>
          <w:szCs w:val="22"/>
        </w:rPr>
        <w:t xml:space="preserve"> </w:t>
      </w:r>
      <w:r w:rsidR="00212214" w:rsidRPr="00490BF5">
        <w:rPr>
          <w:snapToGrid w:val="0"/>
          <w:kern w:val="22"/>
          <w:szCs w:val="22"/>
        </w:rPr>
        <w:t>I</w:t>
      </w:r>
      <w:r w:rsidR="00A355DF" w:rsidRPr="00490BF5">
        <w:rPr>
          <w:snapToGrid w:val="0"/>
          <w:kern w:val="22"/>
          <w:szCs w:val="22"/>
        </w:rPr>
        <w:t>V</w:t>
      </w:r>
      <w:r w:rsidRPr="00490BF5">
        <w:rPr>
          <w:snapToGrid w:val="0"/>
          <w:kern w:val="22"/>
          <w:szCs w:val="22"/>
        </w:rPr>
        <w:t xml:space="preserve"> provides country-specific increases achieved in the currency reported, in 2015 or the latest year reported, in </w:t>
      </w:r>
      <w:r w:rsidR="00973309" w:rsidRPr="00490BF5">
        <w:rPr>
          <w:snapToGrid w:val="0"/>
          <w:kern w:val="22"/>
          <w:szCs w:val="22"/>
        </w:rPr>
        <w:t xml:space="preserve">the </w:t>
      </w:r>
      <w:r w:rsidRPr="00490BF5">
        <w:rPr>
          <w:snapToGrid w:val="0"/>
          <w:kern w:val="22"/>
          <w:szCs w:val="22"/>
        </w:rPr>
        <w:t>form of quotients.</w:t>
      </w:r>
      <w:r w:rsidRPr="00490BF5">
        <w:rPr>
          <w:rStyle w:val="FootnoteReference"/>
          <w:snapToGrid w:val="0"/>
          <w:kern w:val="22"/>
          <w:szCs w:val="22"/>
        </w:rPr>
        <w:footnoteReference w:id="5"/>
      </w:r>
      <w:r w:rsidRPr="00490BF5">
        <w:rPr>
          <w:snapToGrid w:val="0"/>
          <w:kern w:val="22"/>
          <w:szCs w:val="22"/>
        </w:rPr>
        <w:t xml:space="preserve"> Among the Parties reporting 2015 data, the following Parties at least doubled their international resource flows provided by 2015: China, Croatia, Estonia, </w:t>
      </w:r>
      <w:proofErr w:type="gramStart"/>
      <w:r w:rsidRPr="00490BF5">
        <w:rPr>
          <w:snapToGrid w:val="0"/>
          <w:kern w:val="22"/>
          <w:szCs w:val="22"/>
        </w:rPr>
        <w:t>European</w:t>
      </w:r>
      <w:proofErr w:type="gramEnd"/>
      <w:r w:rsidRPr="00490BF5">
        <w:rPr>
          <w:snapToGrid w:val="0"/>
          <w:kern w:val="22"/>
          <w:szCs w:val="22"/>
        </w:rPr>
        <w:t xml:space="preserve"> Union </w:t>
      </w:r>
      <w:r w:rsidR="00BA1282" w:rsidRPr="00490BF5">
        <w:rPr>
          <w:snapToGrid w:val="0"/>
          <w:kern w:val="22"/>
          <w:szCs w:val="22"/>
        </w:rPr>
        <w:t>i</w:t>
      </w:r>
      <w:r w:rsidRPr="00490BF5">
        <w:rPr>
          <w:snapToGrid w:val="0"/>
          <w:kern w:val="22"/>
          <w:szCs w:val="22"/>
        </w:rPr>
        <w:t xml:space="preserve">nstitutions, France, Germany, Latvia, Luxemburg and Norway. </w:t>
      </w:r>
      <w:r w:rsidR="00A671C8" w:rsidRPr="00490BF5">
        <w:rPr>
          <w:snapToGrid w:val="0"/>
          <w:kern w:val="22"/>
          <w:szCs w:val="22"/>
        </w:rPr>
        <w:t>European Union member States reporting 2015 data collectively almost doubled their international resource flows.</w:t>
      </w:r>
    </w:p>
    <w:p w14:paraId="35BE464F" w14:textId="67EC945D"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In order to gauge the progress made collectively, the method taken in earlier reports was to </w:t>
      </w:r>
      <w:r w:rsidR="00364731" w:rsidRPr="00490BF5">
        <w:rPr>
          <w:snapToGrid w:val="0"/>
          <w:kern w:val="22"/>
          <w:szCs w:val="22"/>
        </w:rPr>
        <w:t xml:space="preserve">convert </w:t>
      </w:r>
      <w:r w:rsidRPr="00490BF5">
        <w:rPr>
          <w:snapToGrid w:val="0"/>
          <w:kern w:val="22"/>
          <w:szCs w:val="22"/>
        </w:rPr>
        <w:t xml:space="preserve">data submitted in national currencies into </w:t>
      </w:r>
      <w:r w:rsidR="00C862ED" w:rsidRPr="00490BF5">
        <w:rPr>
          <w:snapToGrid w:val="0"/>
          <w:kern w:val="22"/>
          <w:szCs w:val="22"/>
        </w:rPr>
        <w:t>United States dollars</w:t>
      </w:r>
      <w:r w:rsidRPr="00490BF5">
        <w:rPr>
          <w:snapToGrid w:val="0"/>
          <w:kern w:val="22"/>
          <w:szCs w:val="22"/>
        </w:rPr>
        <w:t>, to add up the individual baselines as provided by Parties (i.e. the average 2006-2010 data per Party) as well as the annual progress data, and to divide the aggregated annual data by the aggregate baseline.</w:t>
      </w:r>
      <w:r w:rsidRPr="00490BF5">
        <w:rPr>
          <w:rStyle w:val="FootnoteReference"/>
          <w:snapToGrid w:val="0"/>
          <w:kern w:val="22"/>
          <w:szCs w:val="22"/>
        </w:rPr>
        <w:footnoteReference w:id="6"/>
      </w:r>
      <w:r w:rsidRPr="00490BF5">
        <w:rPr>
          <w:snapToGrid w:val="0"/>
          <w:kern w:val="22"/>
          <w:szCs w:val="22"/>
        </w:rPr>
        <w:t xml:space="preserve"> The resulting quotients resulting for 2013, 2014, and 2015 are presented in table </w:t>
      </w:r>
      <w:r w:rsidR="002254D0" w:rsidRPr="00490BF5">
        <w:rPr>
          <w:snapToGrid w:val="0"/>
          <w:kern w:val="22"/>
          <w:szCs w:val="22"/>
        </w:rPr>
        <w:t>1</w:t>
      </w:r>
      <w:r w:rsidRPr="00490BF5">
        <w:rPr>
          <w:snapToGrid w:val="0"/>
          <w:kern w:val="22"/>
          <w:szCs w:val="22"/>
        </w:rPr>
        <w:t xml:space="preserve"> below. Several variants are presented in order to allow gauging differences across methodological approaches, as requested </w:t>
      </w:r>
      <w:r w:rsidR="00D878C3" w:rsidRPr="00490BF5">
        <w:rPr>
          <w:snapToGrid w:val="0"/>
          <w:kern w:val="22"/>
          <w:szCs w:val="22"/>
        </w:rPr>
        <w:t xml:space="preserve">in </w:t>
      </w:r>
      <w:r w:rsidRPr="00490BF5">
        <w:rPr>
          <w:snapToGrid w:val="0"/>
          <w:kern w:val="22"/>
          <w:szCs w:val="22"/>
        </w:rPr>
        <w:t>decision XIII/20:</w:t>
      </w:r>
    </w:p>
    <w:p w14:paraId="5F9C15EB" w14:textId="7A049C88" w:rsidR="00855A78" w:rsidRPr="00490BF5" w:rsidRDefault="00855A78"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lastRenderedPageBreak/>
        <w:t xml:space="preserve">Under approach I, only the country baselines of those countries </w:t>
      </w:r>
      <w:r w:rsidR="00CF0EDD" w:rsidRPr="00490BF5">
        <w:rPr>
          <w:snapToGrid w:val="0"/>
          <w:kern w:val="22"/>
          <w:szCs w:val="22"/>
        </w:rPr>
        <w:t xml:space="preserve">that </w:t>
      </w:r>
      <w:r w:rsidRPr="00490BF5">
        <w:rPr>
          <w:snapToGrid w:val="0"/>
          <w:kern w:val="22"/>
          <w:szCs w:val="22"/>
        </w:rPr>
        <w:t>report progress in a particular year are used to calculate the aggregate baseline;</w:t>
      </w:r>
    </w:p>
    <w:p w14:paraId="0201D4AE" w14:textId="2C5522A6" w:rsidR="00855A78" w:rsidRPr="00490BF5" w:rsidRDefault="00855A78"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Under approach II, all country baselines are used to calculate the aggregate baseline, implying that the contribution of countries </w:t>
      </w:r>
      <w:r w:rsidR="00CF0EDD" w:rsidRPr="00490BF5">
        <w:rPr>
          <w:snapToGrid w:val="0"/>
          <w:kern w:val="22"/>
          <w:szCs w:val="22"/>
        </w:rPr>
        <w:t xml:space="preserve">that have </w:t>
      </w:r>
      <w:r w:rsidRPr="00490BF5">
        <w:rPr>
          <w:snapToGrid w:val="0"/>
          <w:kern w:val="22"/>
          <w:szCs w:val="22"/>
        </w:rPr>
        <w:t>not yet report</w:t>
      </w:r>
      <w:r w:rsidR="00CF0EDD" w:rsidRPr="00490BF5">
        <w:rPr>
          <w:snapToGrid w:val="0"/>
          <w:kern w:val="22"/>
          <w:szCs w:val="22"/>
        </w:rPr>
        <w:t>ed</w:t>
      </w:r>
      <w:r w:rsidRPr="00490BF5">
        <w:rPr>
          <w:snapToGrid w:val="0"/>
          <w:kern w:val="22"/>
          <w:szCs w:val="22"/>
        </w:rPr>
        <w:t xml:space="preserve"> on a particular year is counted as zero</w:t>
      </w:r>
      <w:r w:rsidR="00137EBE" w:rsidRPr="00490BF5">
        <w:rPr>
          <w:snapToGrid w:val="0"/>
          <w:kern w:val="22"/>
          <w:szCs w:val="22"/>
        </w:rPr>
        <w:t>.</w:t>
      </w:r>
    </w:p>
    <w:p w14:paraId="1B48D7CD" w14:textId="13849EB4"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Both approaches use annual average exchange rates </w:t>
      </w:r>
      <w:r w:rsidR="008D3231" w:rsidRPr="00490BF5">
        <w:rPr>
          <w:snapToGrid w:val="0"/>
          <w:kern w:val="22"/>
          <w:szCs w:val="22"/>
        </w:rPr>
        <w:t xml:space="preserve">for </w:t>
      </w:r>
      <w:r w:rsidRPr="00490BF5">
        <w:rPr>
          <w:snapToGrid w:val="0"/>
          <w:kern w:val="22"/>
          <w:szCs w:val="22"/>
        </w:rPr>
        <w:t>the respective years.</w:t>
      </w:r>
      <w:r w:rsidRPr="00490BF5">
        <w:rPr>
          <w:rStyle w:val="FootnoteReference"/>
          <w:snapToGrid w:val="0"/>
          <w:kern w:val="22"/>
          <w:szCs w:val="22"/>
        </w:rPr>
        <w:footnoteReference w:id="7"/>
      </w:r>
      <w:r w:rsidRPr="00490BF5">
        <w:rPr>
          <w:snapToGrid w:val="0"/>
          <w:kern w:val="22"/>
          <w:szCs w:val="22"/>
        </w:rPr>
        <w:t xml:space="preserve"> However, the significant appreciation of the </w:t>
      </w:r>
      <w:r w:rsidR="006A2E7A" w:rsidRPr="00490BF5">
        <w:rPr>
          <w:snapToGrid w:val="0"/>
          <w:kern w:val="22"/>
          <w:szCs w:val="22"/>
        </w:rPr>
        <w:t>United States dollar</w:t>
      </w:r>
      <w:r w:rsidRPr="00490BF5">
        <w:rPr>
          <w:snapToGrid w:val="0"/>
          <w:kern w:val="22"/>
          <w:szCs w:val="22"/>
        </w:rPr>
        <w:t xml:space="preserve"> against many other currencies in 2015 led to a notable difference in the quotients expressed in national currencies and those expressed in </w:t>
      </w:r>
      <w:r w:rsidR="006A2E7A" w:rsidRPr="00490BF5">
        <w:rPr>
          <w:snapToGrid w:val="0"/>
          <w:kern w:val="22"/>
          <w:szCs w:val="22"/>
        </w:rPr>
        <w:t>United States dollars</w:t>
      </w:r>
      <w:r w:rsidRPr="00490BF5">
        <w:rPr>
          <w:snapToGrid w:val="0"/>
          <w:kern w:val="22"/>
          <w:szCs w:val="22"/>
        </w:rPr>
        <w:t xml:space="preserve"> (see </w:t>
      </w:r>
      <w:r w:rsidR="00137EBE" w:rsidRPr="00490BF5">
        <w:rPr>
          <w:snapToGrid w:val="0"/>
          <w:kern w:val="22"/>
          <w:szCs w:val="22"/>
        </w:rPr>
        <w:t>a</w:t>
      </w:r>
      <w:r w:rsidRPr="00490BF5">
        <w:rPr>
          <w:snapToGrid w:val="0"/>
          <w:kern w:val="22"/>
          <w:szCs w:val="22"/>
        </w:rPr>
        <w:t>nnex</w:t>
      </w:r>
      <w:r w:rsidR="00212214" w:rsidRPr="00490BF5">
        <w:rPr>
          <w:snapToGrid w:val="0"/>
          <w:kern w:val="22"/>
          <w:szCs w:val="22"/>
        </w:rPr>
        <w:t xml:space="preserve"> I</w:t>
      </w:r>
      <w:r w:rsidR="00A355DF" w:rsidRPr="00490BF5">
        <w:rPr>
          <w:snapToGrid w:val="0"/>
          <w:kern w:val="22"/>
          <w:szCs w:val="22"/>
        </w:rPr>
        <w:t>V</w:t>
      </w:r>
      <w:r w:rsidRPr="00490BF5">
        <w:rPr>
          <w:snapToGrid w:val="0"/>
          <w:kern w:val="22"/>
          <w:szCs w:val="22"/>
        </w:rPr>
        <w:t xml:space="preserve">). In order to exclude this exchange rate effect, </w:t>
      </w:r>
      <w:r w:rsidR="002604ED" w:rsidRPr="00490BF5">
        <w:rPr>
          <w:snapToGrid w:val="0"/>
          <w:kern w:val="22"/>
          <w:szCs w:val="22"/>
        </w:rPr>
        <w:t xml:space="preserve">table 1 below shows two </w:t>
      </w:r>
      <w:r w:rsidRPr="00490BF5">
        <w:rPr>
          <w:snapToGrid w:val="0"/>
          <w:kern w:val="22"/>
          <w:szCs w:val="22"/>
        </w:rPr>
        <w:t xml:space="preserve">approaches </w:t>
      </w:r>
      <w:r w:rsidR="002604ED" w:rsidRPr="00490BF5">
        <w:rPr>
          <w:snapToGrid w:val="0"/>
          <w:kern w:val="22"/>
          <w:szCs w:val="22"/>
        </w:rPr>
        <w:t>—</w:t>
      </w:r>
      <w:r w:rsidR="00825783" w:rsidRPr="00490BF5">
        <w:rPr>
          <w:snapToGrid w:val="0"/>
          <w:kern w:val="22"/>
          <w:szCs w:val="22"/>
        </w:rPr>
        <w:t xml:space="preserve"> </w:t>
      </w:r>
      <w:proofErr w:type="spellStart"/>
      <w:proofErr w:type="gramStart"/>
      <w:r w:rsidRPr="00490BF5">
        <w:rPr>
          <w:snapToGrid w:val="0"/>
          <w:kern w:val="22"/>
          <w:szCs w:val="22"/>
        </w:rPr>
        <w:t>Ia</w:t>
      </w:r>
      <w:proofErr w:type="spellEnd"/>
      <w:proofErr w:type="gramEnd"/>
      <w:r w:rsidRPr="00490BF5">
        <w:rPr>
          <w:snapToGrid w:val="0"/>
          <w:kern w:val="22"/>
          <w:szCs w:val="22"/>
        </w:rPr>
        <w:t xml:space="preserve"> and </w:t>
      </w:r>
      <w:proofErr w:type="spellStart"/>
      <w:r w:rsidRPr="00490BF5">
        <w:rPr>
          <w:snapToGrid w:val="0"/>
          <w:kern w:val="22"/>
          <w:szCs w:val="22"/>
        </w:rPr>
        <w:t>IIa</w:t>
      </w:r>
      <w:proofErr w:type="spellEnd"/>
      <w:r w:rsidRPr="00490BF5">
        <w:rPr>
          <w:snapToGrid w:val="0"/>
          <w:kern w:val="22"/>
          <w:szCs w:val="22"/>
        </w:rPr>
        <w:t xml:space="preserve"> </w:t>
      </w:r>
      <w:r w:rsidR="002604ED" w:rsidRPr="00490BF5">
        <w:rPr>
          <w:snapToGrid w:val="0"/>
          <w:kern w:val="22"/>
          <w:szCs w:val="22"/>
        </w:rPr>
        <w:t xml:space="preserve">— </w:t>
      </w:r>
      <w:r w:rsidR="00825783" w:rsidRPr="00490BF5">
        <w:rPr>
          <w:snapToGrid w:val="0"/>
          <w:kern w:val="22"/>
          <w:szCs w:val="22"/>
        </w:rPr>
        <w:t xml:space="preserve">in </w:t>
      </w:r>
      <w:r w:rsidR="002604ED" w:rsidRPr="00490BF5">
        <w:rPr>
          <w:snapToGrid w:val="0"/>
          <w:kern w:val="22"/>
          <w:szCs w:val="22"/>
        </w:rPr>
        <w:t xml:space="preserve">which </w:t>
      </w:r>
      <w:r w:rsidRPr="00490BF5">
        <w:rPr>
          <w:snapToGrid w:val="0"/>
          <w:kern w:val="22"/>
          <w:szCs w:val="22"/>
        </w:rPr>
        <w:t xml:space="preserve">the 2015 data provided by Parties </w:t>
      </w:r>
      <w:r w:rsidR="00825783" w:rsidRPr="00490BF5">
        <w:rPr>
          <w:snapToGrid w:val="0"/>
          <w:kern w:val="22"/>
          <w:szCs w:val="22"/>
        </w:rPr>
        <w:t xml:space="preserve">is recalculated </w:t>
      </w:r>
      <w:r w:rsidRPr="00490BF5">
        <w:rPr>
          <w:snapToGrid w:val="0"/>
          <w:kern w:val="22"/>
          <w:szCs w:val="22"/>
        </w:rPr>
        <w:t xml:space="preserve">using </w:t>
      </w:r>
      <w:r w:rsidR="002604ED" w:rsidRPr="00490BF5">
        <w:rPr>
          <w:snapToGrid w:val="0"/>
          <w:kern w:val="22"/>
          <w:szCs w:val="22"/>
        </w:rPr>
        <w:t xml:space="preserve">the weighted average exchange rate for the baseline years rather than </w:t>
      </w:r>
      <w:r w:rsidRPr="00490BF5">
        <w:rPr>
          <w:snapToGrid w:val="0"/>
          <w:kern w:val="22"/>
          <w:szCs w:val="22"/>
        </w:rPr>
        <w:t>the 2015 annual average exchange rate.</w:t>
      </w:r>
    </w:p>
    <w:p w14:paraId="5550D16B" w14:textId="24D60B97" w:rsidR="0098644E" w:rsidRPr="00490BF5" w:rsidRDefault="0098644E" w:rsidP="00490BF5">
      <w:pPr>
        <w:keepNext/>
        <w:suppressLineNumbers/>
        <w:suppressAutoHyphens/>
        <w:kinsoku w:val="0"/>
        <w:overflowPunct w:val="0"/>
        <w:autoSpaceDE w:val="0"/>
        <w:autoSpaceDN w:val="0"/>
        <w:adjustRightInd w:val="0"/>
        <w:snapToGrid w:val="0"/>
        <w:spacing w:after="120"/>
        <w:rPr>
          <w:snapToGrid w:val="0"/>
          <w:kern w:val="22"/>
          <w:szCs w:val="22"/>
        </w:rPr>
      </w:pPr>
      <w:proofErr w:type="gramStart"/>
      <w:r w:rsidRPr="00490BF5">
        <w:rPr>
          <w:b/>
          <w:snapToGrid w:val="0"/>
          <w:kern w:val="22"/>
          <w:szCs w:val="22"/>
        </w:rPr>
        <w:t>Table 1.</w:t>
      </w:r>
      <w:proofErr w:type="gramEnd"/>
      <w:r w:rsidRPr="00490BF5">
        <w:rPr>
          <w:b/>
          <w:snapToGrid w:val="0"/>
          <w:kern w:val="22"/>
          <w:szCs w:val="22"/>
        </w:rPr>
        <w:t xml:space="preserve"> International flows: progress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260"/>
        <w:gridCol w:w="1170"/>
        <w:gridCol w:w="1170"/>
      </w:tblGrid>
      <w:tr w:rsidR="00855A78" w:rsidRPr="00490BF5" w14:paraId="7AA4C4D1" w14:textId="77777777" w:rsidTr="00490BF5">
        <w:trPr>
          <w:cantSplit/>
          <w:jc w:val="center"/>
        </w:trPr>
        <w:tc>
          <w:tcPr>
            <w:tcW w:w="5958" w:type="dxa"/>
            <w:shd w:val="clear" w:color="auto" w:fill="auto"/>
            <w:tcMar>
              <w:top w:w="43" w:type="dxa"/>
              <w:left w:w="115" w:type="dxa"/>
              <w:bottom w:w="43" w:type="dxa"/>
              <w:right w:w="115" w:type="dxa"/>
            </w:tcMar>
          </w:tcPr>
          <w:p w14:paraId="548B9CFB" w14:textId="61C912F1" w:rsidR="00855A78" w:rsidRPr="00490BF5" w:rsidRDefault="00855A78" w:rsidP="00490BF5">
            <w:pPr>
              <w:suppressLineNumbers/>
              <w:suppressAutoHyphens/>
              <w:kinsoku w:val="0"/>
              <w:overflowPunct w:val="0"/>
              <w:autoSpaceDE w:val="0"/>
              <w:autoSpaceDN w:val="0"/>
              <w:adjustRightInd w:val="0"/>
              <w:snapToGrid w:val="0"/>
              <w:rPr>
                <w:bCs/>
                <w:snapToGrid w:val="0"/>
                <w:kern w:val="22"/>
                <w:szCs w:val="22"/>
              </w:rPr>
            </w:pPr>
          </w:p>
        </w:tc>
        <w:tc>
          <w:tcPr>
            <w:tcW w:w="1260" w:type="dxa"/>
            <w:shd w:val="clear" w:color="auto" w:fill="auto"/>
            <w:tcMar>
              <w:top w:w="43" w:type="dxa"/>
              <w:left w:w="115" w:type="dxa"/>
              <w:bottom w:w="43" w:type="dxa"/>
              <w:right w:w="115" w:type="dxa"/>
            </w:tcMar>
          </w:tcPr>
          <w:p w14:paraId="0B121AE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2013</w:t>
            </w:r>
          </w:p>
        </w:tc>
        <w:tc>
          <w:tcPr>
            <w:tcW w:w="1170" w:type="dxa"/>
            <w:tcMar>
              <w:top w:w="43" w:type="dxa"/>
              <w:left w:w="115" w:type="dxa"/>
              <w:bottom w:w="43" w:type="dxa"/>
              <w:right w:w="115" w:type="dxa"/>
            </w:tcMar>
          </w:tcPr>
          <w:p w14:paraId="509FFCD1"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2014</w:t>
            </w:r>
          </w:p>
        </w:tc>
        <w:tc>
          <w:tcPr>
            <w:tcW w:w="1170" w:type="dxa"/>
            <w:tcMar>
              <w:top w:w="43" w:type="dxa"/>
              <w:left w:w="115" w:type="dxa"/>
              <w:bottom w:w="43" w:type="dxa"/>
              <w:right w:w="115" w:type="dxa"/>
            </w:tcMar>
          </w:tcPr>
          <w:p w14:paraId="24B2CE65"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2015</w:t>
            </w:r>
          </w:p>
        </w:tc>
      </w:tr>
      <w:tr w:rsidR="00855A78" w:rsidRPr="00490BF5" w14:paraId="5531393C" w14:textId="77777777" w:rsidTr="00490BF5">
        <w:trPr>
          <w:cantSplit/>
          <w:jc w:val="center"/>
        </w:trPr>
        <w:tc>
          <w:tcPr>
            <w:tcW w:w="5958" w:type="dxa"/>
            <w:shd w:val="clear" w:color="auto" w:fill="auto"/>
            <w:tcMar>
              <w:top w:w="43" w:type="dxa"/>
              <w:left w:w="115" w:type="dxa"/>
              <w:bottom w:w="43" w:type="dxa"/>
              <w:right w:w="115" w:type="dxa"/>
            </w:tcMar>
            <w:vAlign w:val="center"/>
          </w:tcPr>
          <w:p w14:paraId="1E1F74BF"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Reporting Parties, number</w:t>
            </w:r>
          </w:p>
        </w:tc>
        <w:tc>
          <w:tcPr>
            <w:tcW w:w="1260" w:type="dxa"/>
            <w:shd w:val="clear" w:color="auto" w:fill="auto"/>
            <w:tcMar>
              <w:top w:w="43" w:type="dxa"/>
              <w:left w:w="115" w:type="dxa"/>
              <w:bottom w:w="43" w:type="dxa"/>
              <w:right w:w="115" w:type="dxa"/>
            </w:tcMar>
            <w:vAlign w:val="center"/>
          </w:tcPr>
          <w:p w14:paraId="37CE8FBD"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29</w:t>
            </w:r>
          </w:p>
        </w:tc>
        <w:tc>
          <w:tcPr>
            <w:tcW w:w="1170" w:type="dxa"/>
            <w:tcMar>
              <w:top w:w="43" w:type="dxa"/>
              <w:left w:w="115" w:type="dxa"/>
              <w:bottom w:w="43" w:type="dxa"/>
              <w:right w:w="115" w:type="dxa"/>
            </w:tcMar>
            <w:vAlign w:val="center"/>
          </w:tcPr>
          <w:p w14:paraId="0A6D230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27</w:t>
            </w:r>
          </w:p>
        </w:tc>
        <w:tc>
          <w:tcPr>
            <w:tcW w:w="1170" w:type="dxa"/>
            <w:tcMar>
              <w:top w:w="43" w:type="dxa"/>
              <w:left w:w="115" w:type="dxa"/>
              <w:bottom w:w="43" w:type="dxa"/>
              <w:right w:w="115" w:type="dxa"/>
            </w:tcMar>
          </w:tcPr>
          <w:p w14:paraId="17E55D19" w14:textId="77777777" w:rsidR="00855A78" w:rsidRPr="00490BF5" w:rsidDel="001E10BF"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23</w:t>
            </w:r>
          </w:p>
        </w:tc>
      </w:tr>
      <w:tr w:rsidR="00855A78" w:rsidRPr="00490BF5" w14:paraId="697FE229" w14:textId="77777777" w:rsidTr="00490BF5">
        <w:trPr>
          <w:cantSplit/>
          <w:jc w:val="center"/>
        </w:trPr>
        <w:tc>
          <w:tcPr>
            <w:tcW w:w="5958" w:type="dxa"/>
            <w:shd w:val="clear" w:color="auto" w:fill="auto"/>
            <w:tcMar>
              <w:top w:w="43" w:type="dxa"/>
              <w:left w:w="115" w:type="dxa"/>
              <w:bottom w:w="43" w:type="dxa"/>
              <w:right w:w="115" w:type="dxa"/>
            </w:tcMar>
            <w:vAlign w:val="center"/>
          </w:tcPr>
          <w:p w14:paraId="5C6D92A1"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Reporting Parties, percentage of baseline</w:t>
            </w:r>
          </w:p>
        </w:tc>
        <w:tc>
          <w:tcPr>
            <w:tcW w:w="1260" w:type="dxa"/>
            <w:shd w:val="clear" w:color="auto" w:fill="auto"/>
            <w:tcMar>
              <w:top w:w="43" w:type="dxa"/>
              <w:left w:w="115" w:type="dxa"/>
              <w:bottom w:w="43" w:type="dxa"/>
              <w:right w:w="115" w:type="dxa"/>
            </w:tcMar>
            <w:vAlign w:val="center"/>
          </w:tcPr>
          <w:p w14:paraId="729F108A"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100</w:t>
            </w:r>
          </w:p>
        </w:tc>
        <w:tc>
          <w:tcPr>
            <w:tcW w:w="1170" w:type="dxa"/>
            <w:tcMar>
              <w:top w:w="43" w:type="dxa"/>
              <w:left w:w="115" w:type="dxa"/>
              <w:bottom w:w="43" w:type="dxa"/>
              <w:right w:w="115" w:type="dxa"/>
            </w:tcMar>
            <w:vAlign w:val="center"/>
          </w:tcPr>
          <w:p w14:paraId="5B4A671B"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97</w:t>
            </w:r>
          </w:p>
        </w:tc>
        <w:tc>
          <w:tcPr>
            <w:tcW w:w="1170" w:type="dxa"/>
            <w:tcMar>
              <w:top w:w="43" w:type="dxa"/>
              <w:left w:w="115" w:type="dxa"/>
              <w:bottom w:w="43" w:type="dxa"/>
              <w:right w:w="115" w:type="dxa"/>
            </w:tcMar>
          </w:tcPr>
          <w:p w14:paraId="50626314"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85</w:t>
            </w:r>
          </w:p>
        </w:tc>
      </w:tr>
      <w:tr w:rsidR="00855A78" w:rsidRPr="00490BF5" w14:paraId="5B226E74" w14:textId="77777777" w:rsidTr="00490BF5">
        <w:trPr>
          <w:cantSplit/>
          <w:jc w:val="center"/>
        </w:trPr>
        <w:tc>
          <w:tcPr>
            <w:tcW w:w="5958" w:type="dxa"/>
            <w:shd w:val="clear" w:color="auto" w:fill="auto"/>
            <w:tcMar>
              <w:top w:w="43" w:type="dxa"/>
              <w:left w:w="115" w:type="dxa"/>
              <w:bottom w:w="43" w:type="dxa"/>
              <w:right w:w="115" w:type="dxa"/>
            </w:tcMar>
            <w:vAlign w:val="center"/>
          </w:tcPr>
          <w:p w14:paraId="6A142E50"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Approach I (baseline of reporting countries only, current exchange rate), quotient</w:t>
            </w:r>
          </w:p>
        </w:tc>
        <w:tc>
          <w:tcPr>
            <w:tcW w:w="1260" w:type="dxa"/>
            <w:shd w:val="clear" w:color="auto" w:fill="auto"/>
            <w:tcMar>
              <w:top w:w="43" w:type="dxa"/>
              <w:left w:w="115" w:type="dxa"/>
              <w:bottom w:w="43" w:type="dxa"/>
              <w:right w:w="115" w:type="dxa"/>
            </w:tcMar>
            <w:vAlign w:val="center"/>
          </w:tcPr>
          <w:p w14:paraId="234190BA"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1.23</w:t>
            </w:r>
          </w:p>
        </w:tc>
        <w:tc>
          <w:tcPr>
            <w:tcW w:w="1170" w:type="dxa"/>
            <w:tcMar>
              <w:top w:w="43" w:type="dxa"/>
              <w:left w:w="115" w:type="dxa"/>
              <w:bottom w:w="43" w:type="dxa"/>
              <w:right w:w="115" w:type="dxa"/>
            </w:tcMar>
            <w:vAlign w:val="center"/>
          </w:tcPr>
          <w:p w14:paraId="2559E4F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1.50</w:t>
            </w:r>
          </w:p>
        </w:tc>
        <w:tc>
          <w:tcPr>
            <w:tcW w:w="1170" w:type="dxa"/>
            <w:tcMar>
              <w:top w:w="43" w:type="dxa"/>
              <w:left w:w="115" w:type="dxa"/>
              <w:bottom w:w="43" w:type="dxa"/>
              <w:right w:w="115" w:type="dxa"/>
            </w:tcMar>
            <w:vAlign w:val="center"/>
          </w:tcPr>
          <w:p w14:paraId="04B2D1AC"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1.70</w:t>
            </w:r>
          </w:p>
        </w:tc>
      </w:tr>
      <w:tr w:rsidR="00855A78" w:rsidRPr="00490BF5" w14:paraId="38F81164" w14:textId="77777777" w:rsidTr="00490BF5">
        <w:trPr>
          <w:cantSplit/>
          <w:jc w:val="center"/>
        </w:trPr>
        <w:tc>
          <w:tcPr>
            <w:tcW w:w="5958" w:type="dxa"/>
            <w:shd w:val="clear" w:color="auto" w:fill="auto"/>
            <w:tcMar>
              <w:top w:w="43" w:type="dxa"/>
              <w:left w:w="115" w:type="dxa"/>
              <w:bottom w:w="43" w:type="dxa"/>
              <w:right w:w="115" w:type="dxa"/>
            </w:tcMar>
            <w:vAlign w:val="center"/>
          </w:tcPr>
          <w:p w14:paraId="52F4301B"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Approach II (total baseline, current exchange rate), quotient</w:t>
            </w:r>
          </w:p>
        </w:tc>
        <w:tc>
          <w:tcPr>
            <w:tcW w:w="1260" w:type="dxa"/>
            <w:shd w:val="clear" w:color="auto" w:fill="auto"/>
            <w:tcMar>
              <w:top w:w="43" w:type="dxa"/>
              <w:left w:w="115" w:type="dxa"/>
              <w:bottom w:w="43" w:type="dxa"/>
              <w:right w:w="115" w:type="dxa"/>
            </w:tcMar>
            <w:vAlign w:val="center"/>
          </w:tcPr>
          <w:p w14:paraId="7CE65F1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1.23</w:t>
            </w:r>
          </w:p>
        </w:tc>
        <w:tc>
          <w:tcPr>
            <w:tcW w:w="1170" w:type="dxa"/>
            <w:tcMar>
              <w:top w:w="43" w:type="dxa"/>
              <w:left w:w="115" w:type="dxa"/>
              <w:bottom w:w="43" w:type="dxa"/>
              <w:right w:w="115" w:type="dxa"/>
            </w:tcMar>
            <w:vAlign w:val="center"/>
          </w:tcPr>
          <w:p w14:paraId="2CDAC2A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1.46</w:t>
            </w:r>
          </w:p>
        </w:tc>
        <w:tc>
          <w:tcPr>
            <w:tcW w:w="1170" w:type="dxa"/>
            <w:tcMar>
              <w:top w:w="43" w:type="dxa"/>
              <w:left w:w="115" w:type="dxa"/>
              <w:bottom w:w="43" w:type="dxa"/>
              <w:right w:w="115" w:type="dxa"/>
            </w:tcMar>
          </w:tcPr>
          <w:p w14:paraId="5F6B786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1.44</w:t>
            </w:r>
          </w:p>
        </w:tc>
      </w:tr>
      <w:tr w:rsidR="00855A78" w:rsidRPr="00490BF5" w14:paraId="3199CC5A" w14:textId="77777777" w:rsidTr="00490BF5">
        <w:trPr>
          <w:cantSplit/>
          <w:jc w:val="center"/>
        </w:trPr>
        <w:tc>
          <w:tcPr>
            <w:tcW w:w="5958" w:type="dxa"/>
            <w:shd w:val="clear" w:color="auto" w:fill="auto"/>
            <w:tcMar>
              <w:top w:w="43" w:type="dxa"/>
              <w:left w:w="115" w:type="dxa"/>
              <w:bottom w:w="43" w:type="dxa"/>
              <w:right w:w="115" w:type="dxa"/>
            </w:tcMar>
            <w:vAlign w:val="center"/>
          </w:tcPr>
          <w:p w14:paraId="1FC005B8"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 xml:space="preserve">Approach </w:t>
            </w:r>
            <w:proofErr w:type="spellStart"/>
            <w:r w:rsidRPr="00490BF5">
              <w:rPr>
                <w:snapToGrid w:val="0"/>
                <w:kern w:val="22"/>
                <w:szCs w:val="22"/>
              </w:rPr>
              <w:t>Ia</w:t>
            </w:r>
            <w:proofErr w:type="spellEnd"/>
            <w:r w:rsidRPr="00490BF5">
              <w:rPr>
                <w:snapToGrid w:val="0"/>
                <w:kern w:val="22"/>
                <w:szCs w:val="22"/>
              </w:rPr>
              <w:t xml:space="preserve"> (baseline of reporting countries only, 2006-2010 weighted average exchange rate), quotient</w:t>
            </w:r>
          </w:p>
        </w:tc>
        <w:tc>
          <w:tcPr>
            <w:tcW w:w="1260" w:type="dxa"/>
            <w:shd w:val="clear" w:color="auto" w:fill="auto"/>
            <w:tcMar>
              <w:top w:w="43" w:type="dxa"/>
              <w:left w:w="115" w:type="dxa"/>
              <w:bottom w:w="43" w:type="dxa"/>
              <w:right w:w="115" w:type="dxa"/>
            </w:tcMar>
            <w:vAlign w:val="center"/>
          </w:tcPr>
          <w:p w14:paraId="24A815E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1.23</w:t>
            </w:r>
          </w:p>
        </w:tc>
        <w:tc>
          <w:tcPr>
            <w:tcW w:w="1170" w:type="dxa"/>
            <w:tcMar>
              <w:top w:w="43" w:type="dxa"/>
              <w:left w:w="115" w:type="dxa"/>
              <w:bottom w:w="43" w:type="dxa"/>
              <w:right w:w="115" w:type="dxa"/>
            </w:tcMar>
            <w:vAlign w:val="center"/>
          </w:tcPr>
          <w:p w14:paraId="5F5CD8EB"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1.52</w:t>
            </w:r>
          </w:p>
        </w:tc>
        <w:tc>
          <w:tcPr>
            <w:tcW w:w="1170" w:type="dxa"/>
            <w:tcMar>
              <w:top w:w="43" w:type="dxa"/>
              <w:left w:w="115" w:type="dxa"/>
              <w:bottom w:w="43" w:type="dxa"/>
              <w:right w:w="115" w:type="dxa"/>
            </w:tcMar>
            <w:vAlign w:val="center"/>
          </w:tcPr>
          <w:p w14:paraId="07FA8A5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1.92</w:t>
            </w:r>
          </w:p>
        </w:tc>
      </w:tr>
      <w:tr w:rsidR="00855A78" w:rsidRPr="00490BF5" w14:paraId="7851FAB9" w14:textId="77777777" w:rsidTr="00490BF5">
        <w:trPr>
          <w:cantSplit/>
          <w:jc w:val="center"/>
        </w:trPr>
        <w:tc>
          <w:tcPr>
            <w:tcW w:w="5958" w:type="dxa"/>
            <w:shd w:val="clear" w:color="auto" w:fill="auto"/>
            <w:tcMar>
              <w:top w:w="43" w:type="dxa"/>
              <w:left w:w="115" w:type="dxa"/>
              <w:bottom w:w="43" w:type="dxa"/>
              <w:right w:w="115" w:type="dxa"/>
            </w:tcMar>
            <w:vAlign w:val="center"/>
          </w:tcPr>
          <w:p w14:paraId="74415AA1" w14:textId="77777777"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sidRPr="00490BF5">
              <w:rPr>
                <w:snapToGrid w:val="0"/>
                <w:kern w:val="22"/>
                <w:szCs w:val="22"/>
              </w:rPr>
              <w:t xml:space="preserve">Approach </w:t>
            </w:r>
            <w:proofErr w:type="spellStart"/>
            <w:r w:rsidRPr="00490BF5">
              <w:rPr>
                <w:snapToGrid w:val="0"/>
                <w:kern w:val="22"/>
                <w:szCs w:val="22"/>
              </w:rPr>
              <w:t>IIa</w:t>
            </w:r>
            <w:proofErr w:type="spellEnd"/>
            <w:r w:rsidRPr="00490BF5">
              <w:rPr>
                <w:snapToGrid w:val="0"/>
                <w:kern w:val="22"/>
                <w:szCs w:val="22"/>
              </w:rPr>
              <w:t xml:space="preserve"> (total baseline, 2006-2010 weighted average exchange rate), quotient</w:t>
            </w:r>
          </w:p>
        </w:tc>
        <w:tc>
          <w:tcPr>
            <w:tcW w:w="1260" w:type="dxa"/>
            <w:shd w:val="clear" w:color="auto" w:fill="auto"/>
            <w:tcMar>
              <w:top w:w="43" w:type="dxa"/>
              <w:left w:w="115" w:type="dxa"/>
              <w:bottom w:w="43" w:type="dxa"/>
              <w:right w:w="115" w:type="dxa"/>
            </w:tcMar>
            <w:vAlign w:val="center"/>
          </w:tcPr>
          <w:p w14:paraId="0A3ECCB3"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1.23</w:t>
            </w:r>
          </w:p>
        </w:tc>
        <w:tc>
          <w:tcPr>
            <w:tcW w:w="1170" w:type="dxa"/>
            <w:tcMar>
              <w:top w:w="43" w:type="dxa"/>
              <w:left w:w="115" w:type="dxa"/>
              <w:bottom w:w="43" w:type="dxa"/>
              <w:right w:w="115" w:type="dxa"/>
            </w:tcMar>
            <w:vAlign w:val="center"/>
          </w:tcPr>
          <w:p w14:paraId="263FAC65"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1.48</w:t>
            </w:r>
          </w:p>
        </w:tc>
        <w:tc>
          <w:tcPr>
            <w:tcW w:w="1170" w:type="dxa"/>
            <w:tcMar>
              <w:top w:w="43" w:type="dxa"/>
              <w:left w:w="115" w:type="dxa"/>
              <w:bottom w:w="43" w:type="dxa"/>
              <w:right w:w="115" w:type="dxa"/>
            </w:tcMar>
            <w:vAlign w:val="center"/>
          </w:tcPr>
          <w:p w14:paraId="73C56F7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1.62</w:t>
            </w:r>
          </w:p>
        </w:tc>
      </w:tr>
    </w:tbl>
    <w:p w14:paraId="7C0C8AF5" w14:textId="79E88030"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90BF5">
        <w:rPr>
          <w:snapToGrid w:val="0"/>
          <w:kern w:val="22"/>
          <w:szCs w:val="22"/>
        </w:rPr>
        <w:t xml:space="preserve">Several non-members of the DAC reported on international flows provided by identifying specific biodiversity-relevant projects, and complementing resulting figures with membership contributions to relevant international agreements, as well as voluntary contributions to the </w:t>
      </w:r>
      <w:r w:rsidR="006E604B" w:rsidRPr="00490BF5">
        <w:rPr>
          <w:snapToGrid w:val="0"/>
          <w:kern w:val="22"/>
          <w:szCs w:val="22"/>
        </w:rPr>
        <w:t>Global Environment Facility</w:t>
      </w:r>
      <w:r w:rsidRPr="00490BF5">
        <w:rPr>
          <w:snapToGrid w:val="0"/>
          <w:kern w:val="22"/>
          <w:szCs w:val="22"/>
        </w:rPr>
        <w:t>.</w:t>
      </w:r>
    </w:p>
    <w:p w14:paraId="083BCDAC" w14:textId="07A7B770"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Only a few countries (Austria, Denmark, France, Hu</w:t>
      </w:r>
      <w:r w:rsidR="00842E81" w:rsidRPr="00490BF5">
        <w:rPr>
          <w:snapToGrid w:val="0"/>
          <w:kern w:val="22"/>
          <w:szCs w:val="22"/>
        </w:rPr>
        <w:t xml:space="preserve">ngary, and Switzerland) </w:t>
      </w:r>
      <w:r w:rsidR="006E604B" w:rsidRPr="00490BF5">
        <w:rPr>
          <w:snapToGrid w:val="0"/>
          <w:kern w:val="22"/>
          <w:szCs w:val="22"/>
        </w:rPr>
        <w:t xml:space="preserve">report </w:t>
      </w:r>
      <w:r w:rsidRPr="00490BF5">
        <w:rPr>
          <w:snapToGrid w:val="0"/>
          <w:kern w:val="22"/>
          <w:szCs w:val="22"/>
        </w:rPr>
        <w:t xml:space="preserve">numbers on other international flows, further noting that the data is partial and was received by liaising with select academic institutions (Denmark) or non-governmental organizations </w:t>
      </w:r>
      <w:r w:rsidR="003F1317" w:rsidRPr="00490BF5">
        <w:rPr>
          <w:snapToGrid w:val="0"/>
          <w:kern w:val="22"/>
          <w:szCs w:val="22"/>
        </w:rPr>
        <w:t xml:space="preserve">(NGOs) </w:t>
      </w:r>
      <w:r w:rsidRPr="00490BF5">
        <w:rPr>
          <w:snapToGrid w:val="0"/>
          <w:kern w:val="22"/>
          <w:szCs w:val="22"/>
        </w:rPr>
        <w:t xml:space="preserve">(Switzerland). With regard to private sector flows, France noted that there </w:t>
      </w:r>
      <w:r w:rsidR="009569B5" w:rsidRPr="00490BF5">
        <w:rPr>
          <w:snapToGrid w:val="0"/>
          <w:kern w:val="22"/>
          <w:szCs w:val="22"/>
        </w:rPr>
        <w:t xml:space="preserve">was </w:t>
      </w:r>
      <w:r w:rsidRPr="00490BF5">
        <w:rPr>
          <w:snapToGrid w:val="0"/>
          <w:kern w:val="22"/>
          <w:szCs w:val="22"/>
        </w:rPr>
        <w:t xml:space="preserve">no reliable statistical method to assess such flows, while Switzerland noted that cooperative efforts for assessing such flows </w:t>
      </w:r>
      <w:r w:rsidR="009569B5" w:rsidRPr="00490BF5">
        <w:rPr>
          <w:snapToGrid w:val="0"/>
          <w:kern w:val="22"/>
          <w:szCs w:val="22"/>
        </w:rPr>
        <w:t xml:space="preserve">had been </w:t>
      </w:r>
      <w:r w:rsidRPr="00490BF5">
        <w:rPr>
          <w:snapToGrid w:val="0"/>
          <w:kern w:val="22"/>
          <w:szCs w:val="22"/>
        </w:rPr>
        <w:t xml:space="preserve">undertaken but with </w:t>
      </w:r>
      <w:r w:rsidR="00AE0C7A" w:rsidRPr="00490BF5">
        <w:rPr>
          <w:snapToGrid w:val="0"/>
          <w:kern w:val="22"/>
          <w:szCs w:val="22"/>
        </w:rPr>
        <w:t>diminutive</w:t>
      </w:r>
      <w:r w:rsidRPr="00490BF5">
        <w:rPr>
          <w:snapToGrid w:val="0"/>
          <w:kern w:val="22"/>
          <w:szCs w:val="22"/>
        </w:rPr>
        <w:t xml:space="preserve"> results.</w:t>
      </w:r>
    </w:p>
    <w:p w14:paraId="794DEBEA" w14:textId="68A8F244"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Table </w:t>
      </w:r>
      <w:r w:rsidR="00E461D9" w:rsidRPr="00490BF5">
        <w:rPr>
          <w:snapToGrid w:val="0"/>
          <w:kern w:val="22"/>
          <w:szCs w:val="22"/>
        </w:rPr>
        <w:t>2</w:t>
      </w:r>
      <w:r w:rsidRPr="00490BF5">
        <w:rPr>
          <w:snapToGrid w:val="0"/>
          <w:kern w:val="22"/>
          <w:szCs w:val="22"/>
        </w:rPr>
        <w:t xml:space="preserve"> below provides an aggregated overview of the methodological information provided. Members of the Development Assistance Committee (DAC) </w:t>
      </w:r>
      <w:r w:rsidR="006E604B" w:rsidRPr="00490BF5">
        <w:rPr>
          <w:snapToGrid w:val="0"/>
          <w:kern w:val="22"/>
          <w:szCs w:val="22"/>
        </w:rPr>
        <w:t>of the Organi</w:t>
      </w:r>
      <w:r w:rsidR="00C420BD" w:rsidRPr="00490BF5">
        <w:rPr>
          <w:snapToGrid w:val="0"/>
          <w:kern w:val="22"/>
          <w:szCs w:val="22"/>
        </w:rPr>
        <w:t>z</w:t>
      </w:r>
      <w:r w:rsidR="006E604B" w:rsidRPr="00490BF5">
        <w:rPr>
          <w:snapToGrid w:val="0"/>
          <w:kern w:val="22"/>
          <w:szCs w:val="22"/>
        </w:rPr>
        <w:t xml:space="preserve">ation for Economic Cooperation and Development (OECD) </w:t>
      </w:r>
      <w:r w:rsidRPr="00490BF5">
        <w:rPr>
          <w:snapToGrid w:val="0"/>
          <w:kern w:val="22"/>
          <w:szCs w:val="22"/>
        </w:rPr>
        <w:t xml:space="preserve">typically referred to the OECD Creditor Reporting System </w:t>
      </w:r>
      <w:r w:rsidR="00202616" w:rsidRPr="00490BF5">
        <w:rPr>
          <w:snapToGrid w:val="0"/>
          <w:kern w:val="22"/>
          <w:szCs w:val="22"/>
        </w:rPr>
        <w:t xml:space="preserve">(CRS) </w:t>
      </w:r>
      <w:r w:rsidRPr="00490BF5">
        <w:rPr>
          <w:snapToGrid w:val="0"/>
          <w:kern w:val="22"/>
          <w:szCs w:val="22"/>
        </w:rPr>
        <w:t xml:space="preserve">as the basis </w:t>
      </w:r>
      <w:r w:rsidR="0094249D" w:rsidRPr="00490BF5">
        <w:rPr>
          <w:snapToGrid w:val="0"/>
          <w:kern w:val="22"/>
          <w:szCs w:val="22"/>
        </w:rPr>
        <w:t xml:space="preserve">for </w:t>
      </w:r>
      <w:r w:rsidRPr="00490BF5">
        <w:rPr>
          <w:snapToGrid w:val="0"/>
          <w:kern w:val="22"/>
          <w:szCs w:val="22"/>
        </w:rPr>
        <w:t xml:space="preserve">their assessments of </w:t>
      </w:r>
      <w:r w:rsidR="0094249D" w:rsidRPr="00490BF5">
        <w:rPr>
          <w:snapToGrid w:val="0"/>
          <w:kern w:val="22"/>
          <w:szCs w:val="22"/>
        </w:rPr>
        <w:t xml:space="preserve">the </w:t>
      </w:r>
      <w:r w:rsidRPr="00490BF5">
        <w:rPr>
          <w:snapToGrid w:val="0"/>
          <w:kern w:val="22"/>
          <w:szCs w:val="22"/>
        </w:rPr>
        <w:t>resources provided. Several Parties (see Spain, United Kingdom) built on specific CRS sector codes, while many other Parties used the so-called Rio marker methodology as the basis of their assessments.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43"/>
        <w:gridCol w:w="2835"/>
        <w:gridCol w:w="3798"/>
      </w:tblGrid>
      <w:tr w:rsidR="00855A78" w:rsidRPr="00490BF5" w14:paraId="36170C4D" w14:textId="77777777" w:rsidTr="00490BF5">
        <w:trPr>
          <w:cantSplit/>
          <w:jc w:val="center"/>
        </w:trPr>
        <w:tc>
          <w:tcPr>
            <w:tcW w:w="9576" w:type="dxa"/>
            <w:gridSpan w:val="3"/>
            <w:shd w:val="clear" w:color="auto" w:fill="auto"/>
          </w:tcPr>
          <w:p w14:paraId="3D606532" w14:textId="3462FBA9" w:rsidR="00855A78" w:rsidRPr="00490BF5" w:rsidRDefault="00855A78" w:rsidP="00490BF5">
            <w:pPr>
              <w:keepNext/>
              <w:keepLines/>
              <w:suppressLineNumbers/>
              <w:suppressAutoHyphens/>
              <w:kinsoku w:val="0"/>
              <w:overflowPunct w:val="0"/>
              <w:autoSpaceDE w:val="0"/>
              <w:autoSpaceDN w:val="0"/>
              <w:adjustRightInd w:val="0"/>
              <w:snapToGrid w:val="0"/>
              <w:ind w:left="360"/>
              <w:jc w:val="left"/>
              <w:rPr>
                <w:b/>
                <w:bCs/>
                <w:snapToGrid w:val="0"/>
                <w:kern w:val="22"/>
                <w:szCs w:val="22"/>
              </w:rPr>
            </w:pPr>
            <w:r w:rsidRPr="00490BF5">
              <w:rPr>
                <w:b/>
                <w:bCs/>
                <w:snapToGrid w:val="0"/>
                <w:kern w:val="22"/>
                <w:szCs w:val="22"/>
              </w:rPr>
              <w:lastRenderedPageBreak/>
              <w:t xml:space="preserve">Table </w:t>
            </w:r>
            <w:r w:rsidR="00B34BC8" w:rsidRPr="00490BF5">
              <w:rPr>
                <w:b/>
                <w:bCs/>
                <w:snapToGrid w:val="0"/>
                <w:kern w:val="22"/>
                <w:szCs w:val="22"/>
              </w:rPr>
              <w:t>2</w:t>
            </w:r>
            <w:r w:rsidRPr="00490BF5">
              <w:rPr>
                <w:b/>
                <w:bCs/>
                <w:snapToGrid w:val="0"/>
                <w:kern w:val="22"/>
                <w:szCs w:val="22"/>
              </w:rPr>
              <w:t>. Methodological information on international financial flows</w:t>
            </w:r>
          </w:p>
        </w:tc>
      </w:tr>
      <w:tr w:rsidR="00855A78" w:rsidRPr="00490BF5" w14:paraId="6C99F98A" w14:textId="77777777" w:rsidTr="00490BF5">
        <w:trPr>
          <w:cantSplit/>
          <w:jc w:val="center"/>
        </w:trPr>
        <w:tc>
          <w:tcPr>
            <w:tcW w:w="2943" w:type="dxa"/>
            <w:shd w:val="clear" w:color="auto" w:fill="auto"/>
          </w:tcPr>
          <w:p w14:paraId="2D3FB759"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p>
        </w:tc>
        <w:tc>
          <w:tcPr>
            <w:tcW w:w="6633" w:type="dxa"/>
            <w:gridSpan w:val="2"/>
            <w:shd w:val="clear" w:color="auto" w:fill="auto"/>
          </w:tcPr>
          <w:p w14:paraId="00698EDA"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jc w:val="center"/>
              <w:rPr>
                <w:iCs/>
                <w:snapToGrid w:val="0"/>
                <w:kern w:val="22"/>
                <w:szCs w:val="22"/>
              </w:rPr>
            </w:pPr>
            <w:r w:rsidRPr="00490BF5">
              <w:rPr>
                <w:iCs/>
                <w:snapToGrid w:val="0"/>
                <w:kern w:val="22"/>
                <w:szCs w:val="22"/>
              </w:rPr>
              <w:t>Number of countries: 26</w:t>
            </w:r>
          </w:p>
        </w:tc>
      </w:tr>
      <w:tr w:rsidR="00855A78" w:rsidRPr="00490BF5" w14:paraId="18E2C701" w14:textId="77777777" w:rsidTr="00490BF5">
        <w:trPr>
          <w:cantSplit/>
          <w:jc w:val="center"/>
        </w:trPr>
        <w:tc>
          <w:tcPr>
            <w:tcW w:w="2943" w:type="dxa"/>
            <w:shd w:val="clear" w:color="auto" w:fill="auto"/>
            <w:vAlign w:val="center"/>
          </w:tcPr>
          <w:p w14:paraId="6A0713C0"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ODA includes:</w:t>
            </w:r>
          </w:p>
        </w:tc>
        <w:tc>
          <w:tcPr>
            <w:tcW w:w="2835" w:type="dxa"/>
            <w:shd w:val="clear" w:color="auto" w:fill="auto"/>
            <w:vAlign w:val="center"/>
          </w:tcPr>
          <w:p w14:paraId="2C8D9547"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Bilateral: 25</w:t>
            </w:r>
          </w:p>
        </w:tc>
        <w:tc>
          <w:tcPr>
            <w:tcW w:w="3798" w:type="dxa"/>
            <w:shd w:val="clear" w:color="auto" w:fill="auto"/>
            <w:vAlign w:val="center"/>
          </w:tcPr>
          <w:p w14:paraId="4EA4872E"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Multilateral: 23</w:t>
            </w:r>
          </w:p>
        </w:tc>
      </w:tr>
      <w:tr w:rsidR="00855A78" w:rsidRPr="00490BF5" w14:paraId="7F55FB43" w14:textId="77777777" w:rsidTr="00490BF5">
        <w:trPr>
          <w:cantSplit/>
          <w:jc w:val="center"/>
        </w:trPr>
        <w:tc>
          <w:tcPr>
            <w:tcW w:w="2943" w:type="dxa"/>
            <w:shd w:val="clear" w:color="auto" w:fill="auto"/>
            <w:vAlign w:val="center"/>
          </w:tcPr>
          <w:p w14:paraId="4EF93C4A"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ODA/OOF:</w:t>
            </w:r>
          </w:p>
        </w:tc>
        <w:tc>
          <w:tcPr>
            <w:tcW w:w="2835" w:type="dxa"/>
            <w:shd w:val="clear" w:color="auto" w:fill="auto"/>
            <w:vAlign w:val="center"/>
          </w:tcPr>
          <w:p w14:paraId="4A8AD54C"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Commitments: 8</w:t>
            </w:r>
          </w:p>
        </w:tc>
        <w:tc>
          <w:tcPr>
            <w:tcW w:w="3798" w:type="dxa"/>
            <w:shd w:val="clear" w:color="auto" w:fill="auto"/>
            <w:vAlign w:val="center"/>
          </w:tcPr>
          <w:p w14:paraId="4B25AC76"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Disbursements: 21</w:t>
            </w:r>
          </w:p>
        </w:tc>
      </w:tr>
      <w:tr w:rsidR="00855A78" w:rsidRPr="00490BF5" w14:paraId="5768F8F9" w14:textId="77777777" w:rsidTr="00490BF5">
        <w:trPr>
          <w:cantSplit/>
          <w:jc w:val="center"/>
        </w:trPr>
        <w:tc>
          <w:tcPr>
            <w:tcW w:w="2943" w:type="dxa"/>
            <w:shd w:val="clear" w:color="auto" w:fill="auto"/>
            <w:vAlign w:val="center"/>
          </w:tcPr>
          <w:p w14:paraId="209535B9"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ODA/OOF includes:</w:t>
            </w:r>
          </w:p>
        </w:tc>
        <w:tc>
          <w:tcPr>
            <w:tcW w:w="2835" w:type="dxa"/>
            <w:shd w:val="clear" w:color="auto" w:fill="auto"/>
            <w:vAlign w:val="center"/>
          </w:tcPr>
          <w:p w14:paraId="173AC1C4"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Directly related: 28</w:t>
            </w:r>
          </w:p>
        </w:tc>
        <w:tc>
          <w:tcPr>
            <w:tcW w:w="3798" w:type="dxa"/>
            <w:shd w:val="clear" w:color="auto" w:fill="auto"/>
            <w:vAlign w:val="center"/>
          </w:tcPr>
          <w:p w14:paraId="44284196"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Indirectly related: 19</w:t>
            </w:r>
          </w:p>
        </w:tc>
      </w:tr>
      <w:tr w:rsidR="00855A78" w:rsidRPr="00490BF5" w14:paraId="2753379A" w14:textId="77777777" w:rsidTr="00490BF5">
        <w:trPr>
          <w:cantSplit/>
          <w:jc w:val="center"/>
        </w:trPr>
        <w:tc>
          <w:tcPr>
            <w:tcW w:w="2943" w:type="dxa"/>
            <w:shd w:val="clear" w:color="auto" w:fill="auto"/>
            <w:vAlign w:val="center"/>
          </w:tcPr>
          <w:p w14:paraId="71244E5B"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Other flows include:</w:t>
            </w:r>
          </w:p>
        </w:tc>
        <w:tc>
          <w:tcPr>
            <w:tcW w:w="2835" w:type="dxa"/>
            <w:shd w:val="clear" w:color="auto" w:fill="auto"/>
            <w:vAlign w:val="center"/>
          </w:tcPr>
          <w:p w14:paraId="18DEFA76" w14:textId="77777777"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Directly related: 3</w:t>
            </w:r>
          </w:p>
        </w:tc>
        <w:tc>
          <w:tcPr>
            <w:tcW w:w="3798" w:type="dxa"/>
            <w:shd w:val="clear" w:color="auto" w:fill="auto"/>
            <w:vAlign w:val="center"/>
          </w:tcPr>
          <w:p w14:paraId="3D3B4F05" w14:textId="77777777"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Indirectly related: 4</w:t>
            </w:r>
          </w:p>
        </w:tc>
      </w:tr>
      <w:tr w:rsidR="00855A78" w:rsidRPr="00490BF5" w14:paraId="21A1152B" w14:textId="77777777" w:rsidTr="00490BF5">
        <w:trPr>
          <w:cantSplit/>
          <w:jc w:val="center"/>
        </w:trPr>
        <w:tc>
          <w:tcPr>
            <w:tcW w:w="2943" w:type="dxa"/>
            <w:shd w:val="clear" w:color="auto" w:fill="auto"/>
            <w:vAlign w:val="center"/>
          </w:tcPr>
          <w:p w14:paraId="3E88DF0B" w14:textId="77777777" w:rsidR="00855A78" w:rsidRPr="00490BF5" w:rsidRDefault="00855A78" w:rsidP="00490BF5">
            <w:pPr>
              <w:keepLines/>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Methodology used to identify official resource flows:</w:t>
            </w:r>
          </w:p>
        </w:tc>
        <w:tc>
          <w:tcPr>
            <w:tcW w:w="2835" w:type="dxa"/>
            <w:shd w:val="clear" w:color="auto" w:fill="auto"/>
            <w:vAlign w:val="center"/>
          </w:tcPr>
          <w:p w14:paraId="23E18981" w14:textId="77777777" w:rsidR="00855A78" w:rsidRPr="00490BF5" w:rsidRDefault="00855A78" w:rsidP="00490BF5">
            <w:pPr>
              <w:keepLines/>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OECD DAC Rio markers: 15</w:t>
            </w:r>
          </w:p>
        </w:tc>
        <w:tc>
          <w:tcPr>
            <w:tcW w:w="3798" w:type="dxa"/>
            <w:shd w:val="clear" w:color="auto" w:fill="auto"/>
            <w:vAlign w:val="center"/>
          </w:tcPr>
          <w:p w14:paraId="1E64F1E8" w14:textId="77777777" w:rsidR="00855A78" w:rsidRPr="00490BF5" w:rsidRDefault="00855A78" w:rsidP="00490BF5">
            <w:pPr>
              <w:keepLines/>
              <w:suppressLineNumbers/>
              <w:suppressAutoHyphens/>
              <w:kinsoku w:val="0"/>
              <w:overflowPunct w:val="0"/>
              <w:autoSpaceDE w:val="0"/>
              <w:autoSpaceDN w:val="0"/>
              <w:adjustRightInd w:val="0"/>
              <w:snapToGrid w:val="0"/>
              <w:spacing w:after="120"/>
              <w:ind w:left="360"/>
              <w:rPr>
                <w:snapToGrid w:val="0"/>
                <w:kern w:val="22"/>
                <w:szCs w:val="22"/>
              </w:rPr>
            </w:pPr>
            <w:r w:rsidRPr="00490BF5">
              <w:rPr>
                <w:snapToGrid w:val="0"/>
                <w:kern w:val="22"/>
                <w:szCs w:val="22"/>
              </w:rPr>
              <w:t>Other: 6</w:t>
            </w:r>
          </w:p>
        </w:tc>
      </w:tr>
    </w:tbl>
    <w:p w14:paraId="3BB5DBD4" w14:textId="24533F7A"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sidRPr="00490BF5">
        <w:rPr>
          <w:snapToGrid w:val="0"/>
          <w:kern w:val="22"/>
          <w:szCs w:val="22"/>
        </w:rPr>
        <w:t xml:space="preserve">As part of CRS, DAC compiles data from member States regarding how much of their bilateral development assistance has biodiversity as either a principal or significant objective, under </w:t>
      </w:r>
      <w:r w:rsidR="006F0052" w:rsidRPr="00490BF5">
        <w:rPr>
          <w:snapToGrid w:val="0"/>
          <w:kern w:val="22"/>
          <w:szCs w:val="22"/>
        </w:rPr>
        <w:t>the</w:t>
      </w:r>
      <w:r w:rsidRPr="00490BF5">
        <w:rPr>
          <w:snapToGrid w:val="0"/>
          <w:kern w:val="22"/>
          <w:szCs w:val="22"/>
        </w:rPr>
        <w:t xml:space="preserve"> Rio marker methodology. Table </w:t>
      </w:r>
      <w:r w:rsidR="00A41C31" w:rsidRPr="00490BF5">
        <w:rPr>
          <w:snapToGrid w:val="0"/>
          <w:kern w:val="22"/>
          <w:szCs w:val="22"/>
        </w:rPr>
        <w:t>3</w:t>
      </w:r>
      <w:r w:rsidRPr="00490BF5">
        <w:rPr>
          <w:snapToGrid w:val="0"/>
          <w:kern w:val="22"/>
          <w:szCs w:val="22"/>
        </w:rPr>
        <w:t xml:space="preserve"> below provides, for information, pertinent information on biodiversity-related committed aid, retrieved from the CRS database</w:t>
      </w:r>
      <w:r w:rsidRPr="00490BF5">
        <w:rPr>
          <w:rStyle w:val="FootnoteReference"/>
          <w:snapToGrid w:val="0"/>
          <w:kern w:val="22"/>
          <w:szCs w:val="22"/>
        </w:rPr>
        <w:footnoteReference w:id="8"/>
      </w:r>
      <w:r w:rsidRPr="00490BF5">
        <w:rPr>
          <w:snapToGrid w:val="0"/>
          <w:kern w:val="22"/>
          <w:szCs w:val="22"/>
        </w:rPr>
        <w:t xml:space="preserve"> on 24 March 2018. In </w:t>
      </w:r>
      <w:r w:rsidR="008C10E0" w:rsidRPr="00490BF5">
        <w:rPr>
          <w:snapToGrid w:val="0"/>
          <w:kern w:val="22"/>
          <w:szCs w:val="22"/>
        </w:rPr>
        <w:t xml:space="preserve">considering </w:t>
      </w:r>
      <w:r w:rsidRPr="00490BF5">
        <w:rPr>
          <w:snapToGrid w:val="0"/>
          <w:kern w:val="22"/>
          <w:szCs w:val="22"/>
        </w:rPr>
        <w:t xml:space="preserve">the data, it </w:t>
      </w:r>
      <w:r w:rsidR="008C10E0" w:rsidRPr="00490BF5">
        <w:rPr>
          <w:snapToGrid w:val="0"/>
          <w:kern w:val="22"/>
          <w:szCs w:val="22"/>
        </w:rPr>
        <w:t>must</w:t>
      </w:r>
      <w:r w:rsidRPr="00490BF5">
        <w:rPr>
          <w:snapToGrid w:val="0"/>
          <w:kern w:val="22"/>
          <w:szCs w:val="22"/>
        </w:rPr>
        <w:t xml:space="preserve"> be borne in mind that:</w:t>
      </w:r>
    </w:p>
    <w:p w14:paraId="4ABF1940" w14:textId="0F64F20C" w:rsidR="00855A78" w:rsidRPr="00490BF5" w:rsidRDefault="00855A78"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The second</w:t>
      </w:r>
      <w:r w:rsidR="0014384C" w:rsidRPr="00490BF5">
        <w:rPr>
          <w:snapToGrid w:val="0"/>
          <w:kern w:val="22"/>
          <w:szCs w:val="22"/>
        </w:rPr>
        <w:t xml:space="preserve"> </w:t>
      </w:r>
      <w:r w:rsidRPr="00490BF5">
        <w:rPr>
          <w:snapToGrid w:val="0"/>
          <w:kern w:val="22"/>
          <w:szCs w:val="22"/>
        </w:rPr>
        <w:t>largest donor of biodiversity-related aid is not a Party to the Convention;</w:t>
      </w:r>
      <w:r w:rsidRPr="00490BF5">
        <w:rPr>
          <w:rStyle w:val="FootnoteReference"/>
          <w:snapToGrid w:val="0"/>
          <w:kern w:val="22"/>
          <w:szCs w:val="22"/>
        </w:rPr>
        <w:footnoteReference w:id="9"/>
      </w:r>
    </w:p>
    <w:p w14:paraId="20387FCC" w14:textId="2EA65DEC" w:rsidR="00855A78" w:rsidRPr="00490BF5" w:rsidRDefault="00855A78"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The CRS database covers bilateral aid, while most Parties reporting against the </w:t>
      </w:r>
      <w:r w:rsidR="00141390" w:rsidRPr="00490BF5">
        <w:rPr>
          <w:snapToGrid w:val="0"/>
          <w:kern w:val="22"/>
          <w:szCs w:val="22"/>
        </w:rPr>
        <w:t>financial reporting framework</w:t>
      </w:r>
      <w:r w:rsidRPr="00490BF5">
        <w:rPr>
          <w:snapToGrid w:val="0"/>
          <w:kern w:val="22"/>
          <w:szCs w:val="22"/>
        </w:rPr>
        <w:t xml:space="preserve"> also include multilateral biodiversity-related development assistance (</w:t>
      </w:r>
      <w:r w:rsidR="00141390" w:rsidRPr="00490BF5">
        <w:rPr>
          <w:snapToGrid w:val="0"/>
          <w:kern w:val="22"/>
          <w:szCs w:val="22"/>
        </w:rPr>
        <w:t>five</w:t>
      </w:r>
      <w:r w:rsidRPr="00490BF5">
        <w:rPr>
          <w:snapToGrid w:val="0"/>
          <w:kern w:val="22"/>
          <w:szCs w:val="22"/>
        </w:rPr>
        <w:t xml:space="preserve"> Parties updated their methodology accordingly);</w:t>
      </w:r>
    </w:p>
    <w:p w14:paraId="328B7CE4" w14:textId="77777777" w:rsidR="00855A78" w:rsidRPr="00490BF5" w:rsidRDefault="00855A78"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While most Parties report actual disbursements, the data provided in the table below covers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203"/>
        <w:gridCol w:w="1777"/>
        <w:gridCol w:w="1777"/>
        <w:gridCol w:w="1538"/>
      </w:tblGrid>
      <w:tr w:rsidR="00855A78" w:rsidRPr="00490BF5" w14:paraId="23F48105" w14:textId="77777777" w:rsidTr="00490BF5">
        <w:tc>
          <w:tcPr>
            <w:tcW w:w="9576" w:type="dxa"/>
            <w:gridSpan w:val="5"/>
            <w:shd w:val="clear" w:color="auto" w:fill="auto"/>
            <w:tcMar>
              <w:top w:w="14" w:type="dxa"/>
              <w:left w:w="29" w:type="dxa"/>
              <w:bottom w:w="14" w:type="dxa"/>
              <w:right w:w="29" w:type="dxa"/>
            </w:tcMar>
          </w:tcPr>
          <w:p w14:paraId="2C43111E" w14:textId="798EDF47" w:rsidR="00855A78" w:rsidRPr="00490BF5" w:rsidRDefault="00855A78" w:rsidP="00490BF5">
            <w:pPr>
              <w:suppressLineNumbers/>
              <w:suppressAutoHyphens/>
              <w:kinsoku w:val="0"/>
              <w:overflowPunct w:val="0"/>
              <w:autoSpaceDE w:val="0"/>
              <w:autoSpaceDN w:val="0"/>
              <w:adjustRightInd w:val="0"/>
              <w:snapToGrid w:val="0"/>
              <w:ind w:left="360"/>
              <w:rPr>
                <w:b/>
                <w:snapToGrid w:val="0"/>
                <w:kern w:val="22"/>
                <w:szCs w:val="22"/>
              </w:rPr>
            </w:pPr>
            <w:r w:rsidRPr="00490BF5">
              <w:rPr>
                <w:b/>
                <w:snapToGrid w:val="0"/>
                <w:kern w:val="22"/>
                <w:szCs w:val="22"/>
              </w:rPr>
              <w:t xml:space="preserve">Table </w:t>
            </w:r>
            <w:r w:rsidR="00B34BC8" w:rsidRPr="00490BF5">
              <w:rPr>
                <w:b/>
                <w:snapToGrid w:val="0"/>
                <w:kern w:val="22"/>
                <w:szCs w:val="22"/>
              </w:rPr>
              <w:t>3</w:t>
            </w:r>
            <w:r w:rsidR="00E0326B" w:rsidRPr="00490BF5">
              <w:rPr>
                <w:b/>
                <w:snapToGrid w:val="0"/>
                <w:kern w:val="22"/>
                <w:szCs w:val="22"/>
              </w:rPr>
              <w:t>.</w:t>
            </w:r>
            <w:r w:rsidRPr="00490BF5">
              <w:rPr>
                <w:b/>
                <w:snapToGrid w:val="0"/>
                <w:kern w:val="22"/>
                <w:szCs w:val="22"/>
              </w:rPr>
              <w:t xml:space="preserve"> Biodiversity-related bilateral ODA, OECD CRS</w:t>
            </w:r>
          </w:p>
        </w:tc>
      </w:tr>
      <w:tr w:rsidR="00855A78" w:rsidRPr="00490BF5" w14:paraId="1D526845" w14:textId="77777777" w:rsidTr="00490BF5">
        <w:tc>
          <w:tcPr>
            <w:tcW w:w="2178" w:type="dxa"/>
            <w:shd w:val="clear" w:color="auto" w:fill="auto"/>
            <w:tcMar>
              <w:top w:w="14" w:type="dxa"/>
              <w:left w:w="29" w:type="dxa"/>
              <w:bottom w:w="14" w:type="dxa"/>
              <w:right w:w="29" w:type="dxa"/>
            </w:tcMar>
          </w:tcPr>
          <w:p w14:paraId="76065D7A" w14:textId="77777777" w:rsidR="00855A78" w:rsidRPr="00490BF5" w:rsidRDefault="00855A78" w:rsidP="00490BF5">
            <w:pPr>
              <w:suppressLineNumbers/>
              <w:suppressAutoHyphens/>
              <w:kinsoku w:val="0"/>
              <w:overflowPunct w:val="0"/>
              <w:autoSpaceDE w:val="0"/>
              <w:autoSpaceDN w:val="0"/>
              <w:adjustRightInd w:val="0"/>
              <w:snapToGrid w:val="0"/>
              <w:ind w:left="90"/>
              <w:rPr>
                <w:snapToGrid w:val="0"/>
                <w:kern w:val="22"/>
                <w:szCs w:val="22"/>
              </w:rPr>
            </w:pPr>
            <w:r w:rsidRPr="00490BF5">
              <w:rPr>
                <w:snapToGrid w:val="0"/>
                <w:kern w:val="22"/>
                <w:szCs w:val="22"/>
              </w:rPr>
              <w:t>All DAC members</w:t>
            </w:r>
          </w:p>
        </w:tc>
        <w:tc>
          <w:tcPr>
            <w:tcW w:w="2250" w:type="dxa"/>
            <w:shd w:val="clear" w:color="auto" w:fill="auto"/>
            <w:tcMar>
              <w:top w:w="14" w:type="dxa"/>
              <w:left w:w="29" w:type="dxa"/>
              <w:bottom w:w="14" w:type="dxa"/>
              <w:right w:w="29" w:type="dxa"/>
            </w:tcMar>
          </w:tcPr>
          <w:p w14:paraId="6D3D0827"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Average 2006-2010</w:t>
            </w:r>
          </w:p>
        </w:tc>
        <w:tc>
          <w:tcPr>
            <w:tcW w:w="1800" w:type="dxa"/>
            <w:shd w:val="clear" w:color="auto" w:fill="auto"/>
            <w:tcMar>
              <w:top w:w="14" w:type="dxa"/>
              <w:left w:w="29" w:type="dxa"/>
              <w:bottom w:w="14" w:type="dxa"/>
              <w:right w:w="29" w:type="dxa"/>
            </w:tcMar>
          </w:tcPr>
          <w:p w14:paraId="596EC3AA"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2013</w:t>
            </w:r>
          </w:p>
        </w:tc>
        <w:tc>
          <w:tcPr>
            <w:tcW w:w="1800" w:type="dxa"/>
            <w:shd w:val="clear" w:color="auto" w:fill="auto"/>
            <w:tcMar>
              <w:top w:w="14" w:type="dxa"/>
              <w:left w:w="29" w:type="dxa"/>
              <w:bottom w:w="14" w:type="dxa"/>
              <w:right w:w="29" w:type="dxa"/>
            </w:tcMar>
          </w:tcPr>
          <w:p w14:paraId="09554892"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2014</w:t>
            </w:r>
          </w:p>
        </w:tc>
        <w:tc>
          <w:tcPr>
            <w:tcW w:w="1548" w:type="dxa"/>
            <w:shd w:val="clear" w:color="auto" w:fill="auto"/>
            <w:tcMar>
              <w:top w:w="14" w:type="dxa"/>
              <w:left w:w="29" w:type="dxa"/>
              <w:bottom w:w="14" w:type="dxa"/>
              <w:right w:w="29" w:type="dxa"/>
            </w:tcMar>
          </w:tcPr>
          <w:p w14:paraId="27CDCD8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2015</w:t>
            </w:r>
          </w:p>
        </w:tc>
      </w:tr>
      <w:tr w:rsidR="00855A78" w:rsidRPr="00490BF5" w14:paraId="1335C5BA" w14:textId="77777777" w:rsidTr="00490BF5">
        <w:tc>
          <w:tcPr>
            <w:tcW w:w="2178" w:type="dxa"/>
            <w:shd w:val="clear" w:color="auto" w:fill="auto"/>
            <w:tcMar>
              <w:top w:w="14" w:type="dxa"/>
              <w:left w:w="29" w:type="dxa"/>
              <w:bottom w:w="14" w:type="dxa"/>
              <w:right w:w="29" w:type="dxa"/>
            </w:tcMar>
          </w:tcPr>
          <w:p w14:paraId="7D76E9B1" w14:textId="77777777" w:rsidR="00855A78" w:rsidRPr="00490BF5" w:rsidRDefault="00855A78" w:rsidP="00490BF5">
            <w:pPr>
              <w:suppressLineNumbers/>
              <w:suppressAutoHyphens/>
              <w:kinsoku w:val="0"/>
              <w:overflowPunct w:val="0"/>
              <w:autoSpaceDE w:val="0"/>
              <w:autoSpaceDN w:val="0"/>
              <w:adjustRightInd w:val="0"/>
              <w:snapToGrid w:val="0"/>
              <w:ind w:left="90"/>
              <w:jc w:val="left"/>
              <w:rPr>
                <w:snapToGrid w:val="0"/>
                <w:kern w:val="22"/>
                <w:szCs w:val="22"/>
              </w:rPr>
            </w:pPr>
            <w:r w:rsidRPr="00490BF5">
              <w:rPr>
                <w:snapToGrid w:val="0"/>
                <w:kern w:val="22"/>
                <w:szCs w:val="22"/>
              </w:rPr>
              <w:t>Principal (marker 2)</w:t>
            </w:r>
          </w:p>
        </w:tc>
        <w:tc>
          <w:tcPr>
            <w:tcW w:w="2250" w:type="dxa"/>
            <w:shd w:val="clear" w:color="auto" w:fill="auto"/>
            <w:tcMar>
              <w:top w:w="14" w:type="dxa"/>
              <w:left w:w="115" w:type="dxa"/>
              <w:bottom w:w="14" w:type="dxa"/>
              <w:right w:w="115" w:type="dxa"/>
            </w:tcMar>
          </w:tcPr>
          <w:p w14:paraId="55F02835"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2,023.46</w:t>
            </w:r>
          </w:p>
        </w:tc>
        <w:tc>
          <w:tcPr>
            <w:tcW w:w="1800" w:type="dxa"/>
            <w:shd w:val="clear" w:color="auto" w:fill="auto"/>
            <w:tcMar>
              <w:top w:w="14" w:type="dxa"/>
              <w:left w:w="115" w:type="dxa"/>
              <w:bottom w:w="14" w:type="dxa"/>
              <w:right w:w="115" w:type="dxa"/>
            </w:tcMar>
          </w:tcPr>
          <w:p w14:paraId="79434B4C"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1,682.13</w:t>
            </w:r>
          </w:p>
        </w:tc>
        <w:tc>
          <w:tcPr>
            <w:tcW w:w="1800" w:type="dxa"/>
            <w:shd w:val="clear" w:color="auto" w:fill="auto"/>
            <w:tcMar>
              <w:top w:w="14" w:type="dxa"/>
              <w:left w:w="115" w:type="dxa"/>
              <w:bottom w:w="14" w:type="dxa"/>
              <w:right w:w="115" w:type="dxa"/>
            </w:tcMar>
          </w:tcPr>
          <w:p w14:paraId="25AC9ED8"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3,374.76</w:t>
            </w:r>
          </w:p>
        </w:tc>
        <w:tc>
          <w:tcPr>
            <w:tcW w:w="1548" w:type="dxa"/>
            <w:shd w:val="clear" w:color="auto" w:fill="auto"/>
            <w:tcMar>
              <w:top w:w="14" w:type="dxa"/>
              <w:left w:w="115" w:type="dxa"/>
              <w:bottom w:w="14" w:type="dxa"/>
              <w:right w:w="115" w:type="dxa"/>
            </w:tcMar>
          </w:tcPr>
          <w:p w14:paraId="6A567E3C"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4,160.08</w:t>
            </w:r>
          </w:p>
        </w:tc>
      </w:tr>
      <w:tr w:rsidR="00855A78" w:rsidRPr="00490BF5" w14:paraId="1E306FCD" w14:textId="77777777" w:rsidTr="00490BF5">
        <w:tc>
          <w:tcPr>
            <w:tcW w:w="2178" w:type="dxa"/>
            <w:shd w:val="clear" w:color="auto" w:fill="auto"/>
            <w:tcMar>
              <w:top w:w="14" w:type="dxa"/>
              <w:left w:w="29" w:type="dxa"/>
              <w:bottom w:w="14" w:type="dxa"/>
              <w:right w:w="29" w:type="dxa"/>
            </w:tcMar>
          </w:tcPr>
          <w:p w14:paraId="10EF22B3" w14:textId="77777777" w:rsidR="00855A78" w:rsidRPr="00490BF5" w:rsidRDefault="00855A78" w:rsidP="00490BF5">
            <w:pPr>
              <w:suppressLineNumbers/>
              <w:suppressAutoHyphens/>
              <w:kinsoku w:val="0"/>
              <w:overflowPunct w:val="0"/>
              <w:autoSpaceDE w:val="0"/>
              <w:autoSpaceDN w:val="0"/>
              <w:adjustRightInd w:val="0"/>
              <w:snapToGrid w:val="0"/>
              <w:ind w:left="90"/>
              <w:jc w:val="left"/>
              <w:rPr>
                <w:snapToGrid w:val="0"/>
                <w:kern w:val="22"/>
                <w:szCs w:val="22"/>
              </w:rPr>
            </w:pPr>
            <w:r w:rsidRPr="00490BF5">
              <w:rPr>
                <w:snapToGrid w:val="0"/>
                <w:kern w:val="22"/>
                <w:szCs w:val="22"/>
              </w:rPr>
              <w:t>Significant (marker 1)</w:t>
            </w:r>
          </w:p>
        </w:tc>
        <w:tc>
          <w:tcPr>
            <w:tcW w:w="2250" w:type="dxa"/>
            <w:shd w:val="clear" w:color="auto" w:fill="auto"/>
            <w:tcMar>
              <w:top w:w="14" w:type="dxa"/>
              <w:left w:w="115" w:type="dxa"/>
              <w:bottom w:w="14" w:type="dxa"/>
              <w:right w:w="115" w:type="dxa"/>
            </w:tcMar>
          </w:tcPr>
          <w:p w14:paraId="4112F45C"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2,086.41</w:t>
            </w:r>
          </w:p>
        </w:tc>
        <w:tc>
          <w:tcPr>
            <w:tcW w:w="1800" w:type="dxa"/>
            <w:shd w:val="clear" w:color="auto" w:fill="auto"/>
            <w:tcMar>
              <w:top w:w="14" w:type="dxa"/>
              <w:left w:w="115" w:type="dxa"/>
              <w:bottom w:w="14" w:type="dxa"/>
              <w:right w:w="115" w:type="dxa"/>
            </w:tcMar>
          </w:tcPr>
          <w:p w14:paraId="0F354444"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4,327.41</w:t>
            </w:r>
          </w:p>
        </w:tc>
        <w:tc>
          <w:tcPr>
            <w:tcW w:w="1800" w:type="dxa"/>
            <w:shd w:val="clear" w:color="auto" w:fill="auto"/>
            <w:tcMar>
              <w:top w:w="14" w:type="dxa"/>
              <w:left w:w="115" w:type="dxa"/>
              <w:bottom w:w="14" w:type="dxa"/>
              <w:right w:w="115" w:type="dxa"/>
            </w:tcMar>
          </w:tcPr>
          <w:p w14:paraId="0988AC30"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3,870.26</w:t>
            </w:r>
          </w:p>
        </w:tc>
        <w:tc>
          <w:tcPr>
            <w:tcW w:w="1548" w:type="dxa"/>
            <w:shd w:val="clear" w:color="auto" w:fill="auto"/>
            <w:tcMar>
              <w:top w:w="14" w:type="dxa"/>
              <w:left w:w="115" w:type="dxa"/>
              <w:bottom w:w="14" w:type="dxa"/>
              <w:right w:w="115" w:type="dxa"/>
            </w:tcMar>
          </w:tcPr>
          <w:p w14:paraId="5B426BDA"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4,624.80</w:t>
            </w:r>
          </w:p>
        </w:tc>
      </w:tr>
      <w:tr w:rsidR="00855A78" w:rsidRPr="00490BF5" w14:paraId="207E679D" w14:textId="77777777" w:rsidTr="00490BF5">
        <w:tc>
          <w:tcPr>
            <w:tcW w:w="9576" w:type="dxa"/>
            <w:gridSpan w:val="5"/>
            <w:shd w:val="clear" w:color="auto" w:fill="auto"/>
            <w:tcMar>
              <w:top w:w="14" w:type="dxa"/>
              <w:left w:w="29" w:type="dxa"/>
              <w:bottom w:w="14" w:type="dxa"/>
              <w:right w:w="29" w:type="dxa"/>
            </w:tcMar>
          </w:tcPr>
          <w:p w14:paraId="433DCAA3" w14:textId="70A52F58" w:rsidR="00855A78" w:rsidRPr="00490BF5" w:rsidRDefault="00CE1A84" w:rsidP="00490BF5">
            <w:pPr>
              <w:suppressLineNumbers/>
              <w:suppressAutoHyphens/>
              <w:kinsoku w:val="0"/>
              <w:overflowPunct w:val="0"/>
              <w:autoSpaceDE w:val="0"/>
              <w:autoSpaceDN w:val="0"/>
              <w:adjustRightInd w:val="0"/>
              <w:snapToGrid w:val="0"/>
              <w:ind w:left="360"/>
              <w:rPr>
                <w:bCs/>
                <w:iCs/>
                <w:snapToGrid w:val="0"/>
                <w:kern w:val="22"/>
                <w:szCs w:val="22"/>
              </w:rPr>
            </w:pPr>
            <w:r w:rsidRPr="00490BF5">
              <w:rPr>
                <w:bCs/>
                <w:i/>
                <w:snapToGrid w:val="0"/>
                <w:kern w:val="22"/>
                <w:szCs w:val="22"/>
              </w:rPr>
              <w:t>Note</w:t>
            </w:r>
            <w:r w:rsidRPr="00490BF5">
              <w:rPr>
                <w:bCs/>
                <w:iCs/>
                <w:snapToGrid w:val="0"/>
                <w:kern w:val="22"/>
                <w:szCs w:val="22"/>
              </w:rPr>
              <w:t xml:space="preserve">: </w:t>
            </w:r>
            <w:r w:rsidR="00855A78" w:rsidRPr="00490BF5">
              <w:rPr>
                <w:bCs/>
                <w:iCs/>
                <w:snapToGrid w:val="0"/>
                <w:kern w:val="22"/>
                <w:szCs w:val="22"/>
              </w:rPr>
              <w:t>Commitments</w:t>
            </w:r>
            <w:r w:rsidR="00E0326B" w:rsidRPr="00490BF5">
              <w:rPr>
                <w:bCs/>
                <w:iCs/>
                <w:snapToGrid w:val="0"/>
                <w:kern w:val="22"/>
                <w:szCs w:val="22"/>
              </w:rPr>
              <w:t xml:space="preserve"> are</w:t>
            </w:r>
            <w:r w:rsidR="00855A78" w:rsidRPr="00490BF5">
              <w:rPr>
                <w:bCs/>
                <w:iCs/>
                <w:snapToGrid w:val="0"/>
                <w:kern w:val="22"/>
                <w:szCs w:val="22"/>
              </w:rPr>
              <w:t xml:space="preserve"> in million</w:t>
            </w:r>
            <w:r w:rsidR="00E0326B" w:rsidRPr="00490BF5">
              <w:rPr>
                <w:bCs/>
                <w:iCs/>
                <w:snapToGrid w:val="0"/>
                <w:kern w:val="22"/>
                <w:szCs w:val="22"/>
              </w:rPr>
              <w:t>s of</w:t>
            </w:r>
            <w:r w:rsidR="00855A78" w:rsidRPr="00490BF5">
              <w:rPr>
                <w:bCs/>
                <w:iCs/>
                <w:snapToGrid w:val="0"/>
                <w:kern w:val="22"/>
                <w:szCs w:val="22"/>
              </w:rPr>
              <w:t xml:space="preserve"> current </w:t>
            </w:r>
            <w:r w:rsidR="00E0326B" w:rsidRPr="00490BF5">
              <w:rPr>
                <w:bCs/>
                <w:iCs/>
                <w:snapToGrid w:val="0"/>
                <w:kern w:val="22"/>
                <w:szCs w:val="22"/>
              </w:rPr>
              <w:t>United States dollars</w:t>
            </w:r>
          </w:p>
          <w:p w14:paraId="3493ADC6" w14:textId="0C163949" w:rsidR="00855A78" w:rsidRPr="00490BF5" w:rsidRDefault="00855A78" w:rsidP="00490BF5">
            <w:pPr>
              <w:suppressLineNumbers/>
              <w:suppressAutoHyphens/>
              <w:kinsoku w:val="0"/>
              <w:overflowPunct w:val="0"/>
              <w:autoSpaceDE w:val="0"/>
              <w:autoSpaceDN w:val="0"/>
              <w:adjustRightInd w:val="0"/>
              <w:snapToGrid w:val="0"/>
              <w:ind w:left="360"/>
              <w:rPr>
                <w:snapToGrid w:val="0"/>
                <w:kern w:val="22"/>
                <w:szCs w:val="22"/>
              </w:rPr>
            </w:pPr>
            <w:r w:rsidRPr="00490BF5">
              <w:rPr>
                <w:bCs/>
                <w:i/>
                <w:snapToGrid w:val="0"/>
                <w:kern w:val="22"/>
                <w:szCs w:val="22"/>
              </w:rPr>
              <w:t>Source:</w:t>
            </w:r>
            <w:r w:rsidRPr="00490BF5">
              <w:rPr>
                <w:bCs/>
                <w:iCs/>
                <w:snapToGrid w:val="0"/>
                <w:kern w:val="22"/>
                <w:szCs w:val="22"/>
              </w:rPr>
              <w:t xml:space="preserve"> OECD </w:t>
            </w:r>
            <w:r w:rsidR="00381C91" w:rsidRPr="00490BF5">
              <w:rPr>
                <w:snapToGrid w:val="0"/>
                <w:kern w:val="22"/>
                <w:szCs w:val="22"/>
              </w:rPr>
              <w:t>Creditor Reporting System</w:t>
            </w:r>
            <w:r w:rsidR="00381C91" w:rsidRPr="00490BF5" w:rsidDel="00381C91">
              <w:rPr>
                <w:bCs/>
                <w:iCs/>
                <w:snapToGrid w:val="0"/>
                <w:kern w:val="22"/>
                <w:szCs w:val="22"/>
              </w:rPr>
              <w:t xml:space="preserve"> </w:t>
            </w:r>
            <w:r w:rsidRPr="00490BF5">
              <w:rPr>
                <w:bCs/>
                <w:iCs/>
                <w:snapToGrid w:val="0"/>
                <w:kern w:val="22"/>
                <w:szCs w:val="22"/>
              </w:rPr>
              <w:t>database</w:t>
            </w:r>
          </w:p>
        </w:tc>
      </w:tr>
    </w:tbl>
    <w:p w14:paraId="2C59ADFB" w14:textId="6FED5CCC"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sidRPr="00490BF5">
        <w:rPr>
          <w:snapToGrid w:val="0"/>
          <w:kern w:val="22"/>
          <w:szCs w:val="22"/>
        </w:rPr>
        <w:t xml:space="preserve">Given the qualitative nature of the Rio markers, Parties in their financial reporting under the Convention have adopted different approaches on how to aggregate figures on resource flows that relate directly to biodiversity and those that relate indirectly to biodiversity, using the </w:t>
      </w:r>
      <w:r w:rsidR="006C7A96" w:rsidRPr="00490BF5">
        <w:rPr>
          <w:snapToGrid w:val="0"/>
          <w:kern w:val="22"/>
          <w:szCs w:val="22"/>
        </w:rPr>
        <w:t>“</w:t>
      </w:r>
      <w:r w:rsidRPr="00490BF5">
        <w:rPr>
          <w:snapToGrid w:val="0"/>
          <w:kern w:val="22"/>
          <w:szCs w:val="22"/>
        </w:rPr>
        <w:t>principal</w:t>
      </w:r>
      <w:r w:rsidR="006C7A96" w:rsidRPr="00490BF5">
        <w:rPr>
          <w:snapToGrid w:val="0"/>
          <w:kern w:val="22"/>
          <w:szCs w:val="22"/>
        </w:rPr>
        <w:t>”</w:t>
      </w:r>
      <w:r w:rsidRPr="00490BF5">
        <w:rPr>
          <w:snapToGrid w:val="0"/>
          <w:kern w:val="22"/>
          <w:szCs w:val="22"/>
        </w:rPr>
        <w:t xml:space="preserve"> and </w:t>
      </w:r>
      <w:r w:rsidR="006C7A96" w:rsidRPr="00490BF5">
        <w:rPr>
          <w:snapToGrid w:val="0"/>
          <w:kern w:val="22"/>
          <w:szCs w:val="22"/>
        </w:rPr>
        <w:t>“</w:t>
      </w:r>
      <w:r w:rsidRPr="00490BF5">
        <w:rPr>
          <w:snapToGrid w:val="0"/>
          <w:kern w:val="22"/>
          <w:szCs w:val="22"/>
        </w:rPr>
        <w:t>significant</w:t>
      </w:r>
      <w:r w:rsidR="006C7A96" w:rsidRPr="00490BF5">
        <w:rPr>
          <w:snapToGrid w:val="0"/>
          <w:kern w:val="22"/>
          <w:szCs w:val="22"/>
        </w:rPr>
        <w:t>”</w:t>
      </w:r>
      <w:r w:rsidRPr="00490BF5">
        <w:rPr>
          <w:snapToGrid w:val="0"/>
          <w:kern w:val="22"/>
          <w:szCs w:val="22"/>
        </w:rPr>
        <w:t xml:space="preserve"> markers as a basis. For instance, while some Parties count both figures marked as </w:t>
      </w:r>
      <w:r w:rsidR="006C7A96" w:rsidRPr="00490BF5">
        <w:rPr>
          <w:snapToGrid w:val="0"/>
          <w:kern w:val="22"/>
          <w:szCs w:val="22"/>
        </w:rPr>
        <w:t>“</w:t>
      </w:r>
      <w:r w:rsidRPr="00490BF5">
        <w:rPr>
          <w:snapToGrid w:val="0"/>
          <w:kern w:val="22"/>
          <w:szCs w:val="22"/>
        </w:rPr>
        <w:t>principal</w:t>
      </w:r>
      <w:r w:rsidR="006C7A96" w:rsidRPr="00490BF5">
        <w:rPr>
          <w:snapToGrid w:val="0"/>
          <w:kern w:val="22"/>
          <w:szCs w:val="22"/>
        </w:rPr>
        <w:t>”</w:t>
      </w:r>
      <w:r w:rsidRPr="00490BF5">
        <w:rPr>
          <w:snapToGrid w:val="0"/>
          <w:kern w:val="22"/>
          <w:szCs w:val="22"/>
        </w:rPr>
        <w:t xml:space="preserve"> and those marked </w:t>
      </w:r>
      <w:r w:rsidR="006C7A96" w:rsidRPr="00490BF5">
        <w:rPr>
          <w:snapToGrid w:val="0"/>
          <w:kern w:val="22"/>
          <w:szCs w:val="22"/>
        </w:rPr>
        <w:t>“</w:t>
      </w:r>
      <w:r w:rsidRPr="00490BF5">
        <w:rPr>
          <w:snapToGrid w:val="0"/>
          <w:kern w:val="22"/>
          <w:szCs w:val="22"/>
        </w:rPr>
        <w:t>significant</w:t>
      </w:r>
      <w:r w:rsidR="006C7A96" w:rsidRPr="00490BF5">
        <w:rPr>
          <w:snapToGrid w:val="0"/>
          <w:kern w:val="22"/>
          <w:szCs w:val="22"/>
        </w:rPr>
        <w:t>”</w:t>
      </w:r>
      <w:r w:rsidRPr="00490BF5">
        <w:rPr>
          <w:snapToGrid w:val="0"/>
          <w:kern w:val="22"/>
          <w:szCs w:val="22"/>
        </w:rPr>
        <w:t xml:space="preserve"> with 100</w:t>
      </w:r>
      <w:r w:rsidR="006A0651" w:rsidRPr="00490BF5">
        <w:rPr>
          <w:snapToGrid w:val="0"/>
          <w:kern w:val="22"/>
          <w:szCs w:val="22"/>
        </w:rPr>
        <w:t> per cent</w:t>
      </w:r>
      <w:r w:rsidRPr="00490BF5">
        <w:rPr>
          <w:snapToGrid w:val="0"/>
          <w:kern w:val="22"/>
          <w:szCs w:val="22"/>
        </w:rPr>
        <w:t xml:space="preserve"> (e.g., New Zealand), others use a </w:t>
      </w:r>
      <w:r w:rsidR="006C7A96" w:rsidRPr="00490BF5">
        <w:rPr>
          <w:snapToGrid w:val="0"/>
          <w:kern w:val="22"/>
          <w:szCs w:val="22"/>
        </w:rPr>
        <w:t>“</w:t>
      </w:r>
      <w:r w:rsidRPr="00490BF5">
        <w:rPr>
          <w:snapToGrid w:val="0"/>
          <w:kern w:val="22"/>
          <w:szCs w:val="22"/>
        </w:rPr>
        <w:t>discount factor</w:t>
      </w:r>
      <w:r w:rsidR="006C7A96" w:rsidRPr="00490BF5">
        <w:rPr>
          <w:snapToGrid w:val="0"/>
          <w:kern w:val="22"/>
          <w:szCs w:val="22"/>
        </w:rPr>
        <w:t>”</w:t>
      </w:r>
      <w:r w:rsidRPr="00490BF5">
        <w:rPr>
          <w:snapToGrid w:val="0"/>
          <w:kern w:val="22"/>
          <w:szCs w:val="22"/>
        </w:rPr>
        <w:t xml:space="preserve"> and count those funds marked </w:t>
      </w:r>
      <w:r w:rsidR="006C7A96" w:rsidRPr="00490BF5">
        <w:rPr>
          <w:snapToGrid w:val="0"/>
          <w:kern w:val="22"/>
          <w:szCs w:val="22"/>
        </w:rPr>
        <w:t>“</w:t>
      </w:r>
      <w:r w:rsidRPr="00490BF5">
        <w:rPr>
          <w:snapToGrid w:val="0"/>
          <w:kern w:val="22"/>
          <w:szCs w:val="22"/>
        </w:rPr>
        <w:t>significant</w:t>
      </w:r>
      <w:r w:rsidR="006C7A96" w:rsidRPr="00490BF5">
        <w:rPr>
          <w:snapToGrid w:val="0"/>
          <w:kern w:val="22"/>
          <w:szCs w:val="22"/>
        </w:rPr>
        <w:t>”</w:t>
      </w:r>
      <w:r w:rsidRPr="00490BF5">
        <w:rPr>
          <w:snapToGrid w:val="0"/>
          <w:kern w:val="22"/>
          <w:szCs w:val="22"/>
        </w:rPr>
        <w:t xml:space="preserve"> with a lower percentage share, for instance 40</w:t>
      </w:r>
      <w:r w:rsidR="006A0651" w:rsidRPr="00490BF5">
        <w:rPr>
          <w:snapToGrid w:val="0"/>
          <w:kern w:val="22"/>
          <w:szCs w:val="22"/>
        </w:rPr>
        <w:t> per cent</w:t>
      </w:r>
      <w:r w:rsidRPr="00490BF5">
        <w:rPr>
          <w:snapToGrid w:val="0"/>
          <w:kern w:val="22"/>
          <w:szCs w:val="22"/>
        </w:rPr>
        <w:t xml:space="preserve"> (European Union</w:t>
      </w:r>
      <w:r w:rsidR="003A75F7" w:rsidRPr="00490BF5">
        <w:rPr>
          <w:snapToGrid w:val="0"/>
          <w:kern w:val="22"/>
          <w:szCs w:val="22"/>
        </w:rPr>
        <w:t>,</w:t>
      </w:r>
      <w:r w:rsidRPr="00490BF5">
        <w:rPr>
          <w:snapToGrid w:val="0"/>
          <w:kern w:val="22"/>
          <w:szCs w:val="22"/>
        </w:rPr>
        <w:t xml:space="preserve"> Greece, Spain, Sweden, Switzerland) or 50</w:t>
      </w:r>
      <w:r w:rsidR="006A0651" w:rsidRPr="00490BF5">
        <w:rPr>
          <w:snapToGrid w:val="0"/>
          <w:kern w:val="22"/>
          <w:szCs w:val="22"/>
        </w:rPr>
        <w:t> per cent</w:t>
      </w:r>
      <w:r w:rsidRPr="00490BF5">
        <w:rPr>
          <w:snapToGrid w:val="0"/>
          <w:kern w:val="22"/>
          <w:szCs w:val="22"/>
        </w:rPr>
        <w:t xml:space="preserve"> (Austria</w:t>
      </w:r>
      <w:r w:rsidR="003A75F7" w:rsidRPr="00490BF5">
        <w:rPr>
          <w:snapToGrid w:val="0"/>
          <w:kern w:val="22"/>
          <w:szCs w:val="22"/>
        </w:rPr>
        <w:t>,</w:t>
      </w:r>
      <w:r w:rsidRPr="00490BF5">
        <w:rPr>
          <w:snapToGrid w:val="0"/>
          <w:kern w:val="22"/>
          <w:szCs w:val="22"/>
        </w:rPr>
        <w:t xml:space="preserve"> Denmark</w:t>
      </w:r>
      <w:r w:rsidRPr="00490BF5">
        <w:rPr>
          <w:rStyle w:val="FootnoteReference"/>
          <w:snapToGrid w:val="0"/>
          <w:kern w:val="22"/>
          <w:szCs w:val="22"/>
        </w:rPr>
        <w:footnoteReference w:id="10"/>
      </w:r>
      <w:r w:rsidRPr="00490BF5">
        <w:rPr>
          <w:snapToGrid w:val="0"/>
          <w:kern w:val="22"/>
          <w:szCs w:val="22"/>
        </w:rPr>
        <w:t>).</w:t>
      </w:r>
    </w:p>
    <w:p w14:paraId="077435A7" w14:textId="5496C4C6"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90BF5">
        <w:rPr>
          <w:snapToGrid w:val="0"/>
          <w:kern w:val="22"/>
          <w:szCs w:val="22"/>
        </w:rPr>
        <w:t>Others apply a range of coefficients or percentage shares, based on project-specific assessments and a guidance table. France counted 100</w:t>
      </w:r>
      <w:r w:rsidR="006A0651" w:rsidRPr="00490BF5">
        <w:rPr>
          <w:snapToGrid w:val="0"/>
          <w:kern w:val="22"/>
          <w:szCs w:val="22"/>
        </w:rPr>
        <w:t> per cent</w:t>
      </w:r>
      <w:r w:rsidRPr="00490BF5">
        <w:rPr>
          <w:snapToGrid w:val="0"/>
          <w:kern w:val="22"/>
          <w:szCs w:val="22"/>
        </w:rPr>
        <w:t xml:space="preserve"> of funds marked </w:t>
      </w:r>
      <w:r w:rsidR="003A75F7" w:rsidRPr="00490BF5">
        <w:rPr>
          <w:snapToGrid w:val="0"/>
          <w:kern w:val="22"/>
          <w:szCs w:val="22"/>
        </w:rPr>
        <w:t>“</w:t>
      </w:r>
      <w:r w:rsidRPr="00490BF5">
        <w:rPr>
          <w:snapToGrid w:val="0"/>
          <w:kern w:val="22"/>
          <w:szCs w:val="22"/>
        </w:rPr>
        <w:t>principal</w:t>
      </w:r>
      <w:r w:rsidR="003A75F7" w:rsidRPr="00490BF5">
        <w:rPr>
          <w:snapToGrid w:val="0"/>
          <w:kern w:val="22"/>
          <w:szCs w:val="22"/>
        </w:rPr>
        <w:t>”</w:t>
      </w:r>
      <w:r w:rsidRPr="00490BF5">
        <w:rPr>
          <w:snapToGrid w:val="0"/>
          <w:kern w:val="22"/>
          <w:szCs w:val="22"/>
        </w:rPr>
        <w:t xml:space="preserve"> and 5, 30 or 80</w:t>
      </w:r>
      <w:r w:rsidR="006A0651" w:rsidRPr="00490BF5">
        <w:rPr>
          <w:snapToGrid w:val="0"/>
          <w:kern w:val="22"/>
          <w:szCs w:val="22"/>
        </w:rPr>
        <w:t> per cent</w:t>
      </w:r>
      <w:r w:rsidRPr="00490BF5">
        <w:rPr>
          <w:snapToGrid w:val="0"/>
          <w:kern w:val="22"/>
          <w:szCs w:val="22"/>
        </w:rPr>
        <w:t xml:space="preserve"> of funds marked </w:t>
      </w:r>
      <w:r w:rsidR="003A75F7" w:rsidRPr="00490BF5">
        <w:rPr>
          <w:snapToGrid w:val="0"/>
          <w:kern w:val="22"/>
          <w:szCs w:val="22"/>
        </w:rPr>
        <w:t>“</w:t>
      </w:r>
      <w:r w:rsidRPr="00490BF5">
        <w:rPr>
          <w:snapToGrid w:val="0"/>
          <w:kern w:val="22"/>
          <w:szCs w:val="22"/>
        </w:rPr>
        <w:t>significant</w:t>
      </w:r>
      <w:r w:rsidR="003A75F7" w:rsidRPr="00490BF5">
        <w:rPr>
          <w:snapToGrid w:val="0"/>
          <w:kern w:val="22"/>
          <w:szCs w:val="22"/>
        </w:rPr>
        <w:t>”</w:t>
      </w:r>
      <w:r w:rsidRPr="00490BF5">
        <w:rPr>
          <w:snapToGrid w:val="0"/>
          <w:kern w:val="22"/>
          <w:szCs w:val="22"/>
        </w:rPr>
        <w:t xml:space="preserve">. Finland applied shares for </w:t>
      </w:r>
      <w:r w:rsidR="003A75F7" w:rsidRPr="00490BF5">
        <w:rPr>
          <w:snapToGrid w:val="0"/>
          <w:kern w:val="22"/>
          <w:szCs w:val="22"/>
        </w:rPr>
        <w:t>“</w:t>
      </w:r>
      <w:r w:rsidRPr="00490BF5">
        <w:rPr>
          <w:snapToGrid w:val="0"/>
          <w:kern w:val="22"/>
          <w:szCs w:val="22"/>
        </w:rPr>
        <w:t>significant</w:t>
      </w:r>
      <w:r w:rsidR="003A75F7" w:rsidRPr="00490BF5">
        <w:rPr>
          <w:snapToGrid w:val="0"/>
          <w:kern w:val="22"/>
          <w:szCs w:val="22"/>
        </w:rPr>
        <w:t>”</w:t>
      </w:r>
      <w:r w:rsidRPr="00490BF5">
        <w:rPr>
          <w:snapToGrid w:val="0"/>
          <w:kern w:val="22"/>
          <w:szCs w:val="22"/>
        </w:rPr>
        <w:t xml:space="preserve"> funds ranging from 10 to 50</w:t>
      </w:r>
      <w:r w:rsidR="006A0651" w:rsidRPr="00490BF5">
        <w:rPr>
          <w:snapToGrid w:val="0"/>
          <w:kern w:val="22"/>
          <w:szCs w:val="22"/>
        </w:rPr>
        <w:t> per cent</w:t>
      </w:r>
      <w:r w:rsidRPr="00490BF5">
        <w:rPr>
          <w:snapToGrid w:val="0"/>
          <w:kern w:val="22"/>
          <w:szCs w:val="22"/>
        </w:rPr>
        <w:t xml:space="preserve">, and for funds marked </w:t>
      </w:r>
      <w:r w:rsidR="003A75F7" w:rsidRPr="00490BF5">
        <w:rPr>
          <w:snapToGrid w:val="0"/>
          <w:kern w:val="22"/>
          <w:szCs w:val="22"/>
        </w:rPr>
        <w:t>“</w:t>
      </w:r>
      <w:r w:rsidRPr="00490BF5">
        <w:rPr>
          <w:snapToGrid w:val="0"/>
          <w:kern w:val="22"/>
          <w:szCs w:val="22"/>
        </w:rPr>
        <w:t>principal</w:t>
      </w:r>
      <w:r w:rsidR="003A75F7" w:rsidRPr="00490BF5">
        <w:rPr>
          <w:snapToGrid w:val="0"/>
          <w:kern w:val="22"/>
          <w:szCs w:val="22"/>
        </w:rPr>
        <w:t>”</w:t>
      </w:r>
      <w:r w:rsidRPr="00490BF5">
        <w:rPr>
          <w:snapToGrid w:val="0"/>
          <w:kern w:val="22"/>
          <w:szCs w:val="22"/>
        </w:rPr>
        <w:t xml:space="preserve"> ranging from 50 to 100</w:t>
      </w:r>
      <w:r w:rsidR="006A0651" w:rsidRPr="00490BF5">
        <w:rPr>
          <w:snapToGrid w:val="0"/>
          <w:kern w:val="22"/>
          <w:szCs w:val="22"/>
        </w:rPr>
        <w:t> per cent</w:t>
      </w:r>
      <w:r w:rsidRPr="00490BF5">
        <w:rPr>
          <w:snapToGrid w:val="0"/>
          <w:kern w:val="22"/>
          <w:szCs w:val="22"/>
        </w:rPr>
        <w:t>.</w:t>
      </w:r>
    </w:p>
    <w:p w14:paraId="103AF561" w14:textId="10EC200C"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90BF5">
        <w:rPr>
          <w:snapToGrid w:val="0"/>
          <w:kern w:val="22"/>
          <w:szCs w:val="22"/>
        </w:rPr>
        <w:t>For projects which are only partly related to biodiversity (marker 1), Germany further disaggregates and counts at 100</w:t>
      </w:r>
      <w:r w:rsidR="006A0651" w:rsidRPr="00490BF5">
        <w:rPr>
          <w:snapToGrid w:val="0"/>
          <w:kern w:val="22"/>
          <w:szCs w:val="22"/>
        </w:rPr>
        <w:t> per cent</w:t>
      </w:r>
      <w:r w:rsidRPr="00490BF5">
        <w:rPr>
          <w:snapToGrid w:val="0"/>
          <w:kern w:val="22"/>
          <w:szCs w:val="22"/>
        </w:rPr>
        <w:t xml:space="preserve"> only those sectoral components which are directly related to biodiversity. Slovak</w:t>
      </w:r>
      <w:r w:rsidR="00DC5794" w:rsidRPr="00490BF5">
        <w:rPr>
          <w:snapToGrid w:val="0"/>
          <w:kern w:val="22"/>
          <w:szCs w:val="22"/>
        </w:rPr>
        <w:t>ia</w:t>
      </w:r>
      <w:r w:rsidRPr="00490BF5">
        <w:rPr>
          <w:snapToGrid w:val="0"/>
          <w:kern w:val="22"/>
          <w:szCs w:val="22"/>
        </w:rPr>
        <w:t xml:space="preserve"> similarly uses stricter identification criteria for biodiversity-relevant projects or activities.</w:t>
      </w:r>
    </w:p>
    <w:p w14:paraId="40E43612" w14:textId="503C3C08"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lastRenderedPageBreak/>
        <w:t xml:space="preserve">On measures taken to encourage the private sector as well as </w:t>
      </w:r>
      <w:r w:rsidR="003F1317" w:rsidRPr="00490BF5">
        <w:rPr>
          <w:snapToGrid w:val="0"/>
          <w:kern w:val="22"/>
          <w:szCs w:val="22"/>
        </w:rPr>
        <w:t>NGO</w:t>
      </w:r>
      <w:r w:rsidRPr="00490BF5">
        <w:rPr>
          <w:snapToGrid w:val="0"/>
          <w:kern w:val="22"/>
          <w:szCs w:val="22"/>
        </w:rPr>
        <w:t>s, foundations and academia to provide international support for implementing the Strategic Plan</w:t>
      </w:r>
      <w:r w:rsidR="00D452A7" w:rsidRPr="00490BF5">
        <w:rPr>
          <w:snapToGrid w:val="0"/>
          <w:kern w:val="22"/>
          <w:szCs w:val="22"/>
        </w:rPr>
        <w:t xml:space="preserve"> for Biodiversity 2011-2020</w:t>
      </w:r>
      <w:r w:rsidRPr="00490BF5">
        <w:rPr>
          <w:snapToGrid w:val="0"/>
          <w:kern w:val="22"/>
          <w:szCs w:val="22"/>
        </w:rPr>
        <w:t>, 52 Parties provided an answer, out of which 24 report</w:t>
      </w:r>
      <w:r w:rsidR="00F4504F" w:rsidRPr="00490BF5">
        <w:rPr>
          <w:snapToGrid w:val="0"/>
          <w:kern w:val="22"/>
          <w:szCs w:val="22"/>
        </w:rPr>
        <w:t>ed</w:t>
      </w:r>
      <w:r w:rsidRPr="00490BF5">
        <w:rPr>
          <w:snapToGrid w:val="0"/>
          <w:kern w:val="22"/>
          <w:szCs w:val="22"/>
        </w:rPr>
        <w:t xml:space="preserve"> that no measures </w:t>
      </w:r>
      <w:r w:rsidR="00F4504F" w:rsidRPr="00490BF5">
        <w:rPr>
          <w:snapToGrid w:val="0"/>
          <w:kern w:val="22"/>
          <w:szCs w:val="22"/>
        </w:rPr>
        <w:t xml:space="preserve">had been </w:t>
      </w:r>
      <w:r w:rsidRPr="00490BF5">
        <w:rPr>
          <w:snapToGrid w:val="0"/>
          <w:kern w:val="22"/>
          <w:szCs w:val="22"/>
        </w:rPr>
        <w:t>taken</w:t>
      </w:r>
      <w:r w:rsidR="00F4504F" w:rsidRPr="00490BF5">
        <w:rPr>
          <w:snapToGrid w:val="0"/>
          <w:kern w:val="22"/>
          <w:szCs w:val="22"/>
        </w:rPr>
        <w:t>,</w:t>
      </w:r>
      <w:r w:rsidRPr="00490BF5">
        <w:rPr>
          <w:snapToGrid w:val="0"/>
          <w:kern w:val="22"/>
          <w:szCs w:val="22"/>
        </w:rPr>
        <w:t xml:space="preserve"> while 27 indicate</w:t>
      </w:r>
      <w:r w:rsidR="00F4504F" w:rsidRPr="00490BF5">
        <w:rPr>
          <w:snapToGrid w:val="0"/>
          <w:kern w:val="22"/>
          <w:szCs w:val="22"/>
        </w:rPr>
        <w:t>d</w:t>
      </w:r>
      <w:r w:rsidRPr="00490BF5">
        <w:rPr>
          <w:snapToGrid w:val="0"/>
          <w:kern w:val="22"/>
          <w:szCs w:val="22"/>
        </w:rPr>
        <w:t xml:space="preserve"> that some measures </w:t>
      </w:r>
      <w:r w:rsidR="00F4504F" w:rsidRPr="00490BF5">
        <w:rPr>
          <w:snapToGrid w:val="0"/>
          <w:kern w:val="22"/>
          <w:szCs w:val="22"/>
        </w:rPr>
        <w:t xml:space="preserve">had been </w:t>
      </w:r>
      <w:r w:rsidRPr="00490BF5">
        <w:rPr>
          <w:snapToGrid w:val="0"/>
          <w:kern w:val="22"/>
          <w:szCs w:val="22"/>
        </w:rPr>
        <w:t xml:space="preserve">taken, and the Netherlands indicated that comprehensive measures </w:t>
      </w:r>
      <w:r w:rsidR="00F4504F" w:rsidRPr="00490BF5">
        <w:rPr>
          <w:snapToGrid w:val="0"/>
          <w:kern w:val="22"/>
          <w:szCs w:val="22"/>
        </w:rPr>
        <w:t xml:space="preserve">had been </w:t>
      </w:r>
      <w:r w:rsidRPr="00490BF5">
        <w:rPr>
          <w:snapToGrid w:val="0"/>
          <w:kern w:val="22"/>
          <w:szCs w:val="22"/>
        </w:rPr>
        <w:t xml:space="preserve">taken. A total of 23 Parties pointed to specific examples of important initiatives and activities, including in the context of national business and biodiversity initiatives, which can directly accessed at </w:t>
      </w:r>
      <w:hyperlink r:id="rId16" w:history="1">
        <w:r w:rsidRPr="00490BF5">
          <w:rPr>
            <w:rStyle w:val="Hyperlink"/>
            <w:snapToGrid w:val="0"/>
            <w:kern w:val="22"/>
            <w:sz w:val="22"/>
            <w:szCs w:val="22"/>
          </w:rPr>
          <w:t>https://chm.cbd.int/search/financial-analyzer</w:t>
        </w:r>
      </w:hyperlink>
      <w:r w:rsidRPr="00490BF5">
        <w:rPr>
          <w:snapToGrid w:val="0"/>
          <w:kern w:val="22"/>
          <w:szCs w:val="22"/>
        </w:rPr>
        <w:t>. A few examples:</w:t>
      </w:r>
    </w:p>
    <w:p w14:paraId="0DFB3459" w14:textId="31D7E6FC"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The Netherlands noted that the Verified Conservation Areas approach, developed with their support, </w:t>
      </w:r>
      <w:r w:rsidR="00FC39E4" w:rsidRPr="00490BF5">
        <w:rPr>
          <w:snapToGrid w:val="0"/>
          <w:kern w:val="22"/>
          <w:szCs w:val="22"/>
        </w:rPr>
        <w:t xml:space="preserve">sought </w:t>
      </w:r>
      <w:r w:rsidRPr="00490BF5">
        <w:rPr>
          <w:snapToGrid w:val="0"/>
          <w:kern w:val="22"/>
          <w:szCs w:val="22"/>
        </w:rPr>
        <w:t>to mobilize private sector finance for biodiversity conservation and sustainable use, and also referred to the Sustainable Trade Initiative (IDH), in collaboration with the International Finance Corporation (IFC), as well as their support of the WAVES partnership and ecosystems accounting;</w:t>
      </w:r>
    </w:p>
    <w:p w14:paraId="7913EBB5" w14:textId="7480F3BD"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Canada referred to pertinent work of the Canadian Business and Biodiversity Council (CBBC), of </w:t>
      </w:r>
      <w:r w:rsidR="00905502" w:rsidRPr="00490BF5">
        <w:rPr>
          <w:snapToGrid w:val="0"/>
          <w:kern w:val="22"/>
          <w:szCs w:val="22"/>
        </w:rPr>
        <w:t xml:space="preserve">the </w:t>
      </w:r>
      <w:r w:rsidRPr="00490BF5">
        <w:rPr>
          <w:snapToGrid w:val="0"/>
          <w:kern w:val="22"/>
          <w:szCs w:val="22"/>
        </w:rPr>
        <w:t xml:space="preserve">Jane Goodall Institute of Canada, which </w:t>
      </w:r>
      <w:r w:rsidR="00905502" w:rsidRPr="00490BF5">
        <w:rPr>
          <w:snapToGrid w:val="0"/>
          <w:kern w:val="22"/>
          <w:szCs w:val="22"/>
        </w:rPr>
        <w:t xml:space="preserve">had </w:t>
      </w:r>
      <w:r w:rsidRPr="00490BF5">
        <w:rPr>
          <w:snapToGrid w:val="0"/>
          <w:kern w:val="22"/>
          <w:szCs w:val="22"/>
        </w:rPr>
        <w:t>established Africa</w:t>
      </w:r>
      <w:r w:rsidR="00905502" w:rsidRPr="00490BF5">
        <w:rPr>
          <w:snapToGrid w:val="0"/>
          <w:kern w:val="22"/>
          <w:szCs w:val="22"/>
        </w:rPr>
        <w:t>-</w:t>
      </w:r>
      <w:r w:rsidRPr="00490BF5">
        <w:rPr>
          <w:snapToGrid w:val="0"/>
          <w:kern w:val="22"/>
          <w:szCs w:val="22"/>
        </w:rPr>
        <w:t>focused scholarships for girls, microcredit for local sustainable business initiatives, education and training program</w:t>
      </w:r>
      <w:r w:rsidR="006E604B" w:rsidRPr="00490BF5">
        <w:rPr>
          <w:snapToGrid w:val="0"/>
          <w:kern w:val="22"/>
          <w:szCs w:val="22"/>
        </w:rPr>
        <w:t>me</w:t>
      </w:r>
      <w:r w:rsidRPr="00490BF5">
        <w:rPr>
          <w:snapToGrid w:val="0"/>
          <w:kern w:val="22"/>
          <w:szCs w:val="22"/>
        </w:rPr>
        <w:t>s in wildlife conservation, and several international initiatives led by Canadian universities</w:t>
      </w:r>
      <w:r w:rsidR="006E604B" w:rsidRPr="00490BF5">
        <w:rPr>
          <w:snapToGrid w:val="0"/>
          <w:kern w:val="22"/>
          <w:szCs w:val="22"/>
        </w:rPr>
        <w:t>;</w:t>
      </w:r>
    </w:p>
    <w:p w14:paraId="0C46737F" w14:textId="1BFD2210"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China referred to a series of standards and voluntary guidelines for international investments and operations of Chinese companies and enterprises, with a view to support</w:t>
      </w:r>
      <w:r w:rsidR="006E604B" w:rsidRPr="00490BF5">
        <w:rPr>
          <w:snapToGrid w:val="0"/>
          <w:kern w:val="22"/>
          <w:szCs w:val="22"/>
        </w:rPr>
        <w:t>ing</w:t>
      </w:r>
      <w:r w:rsidRPr="00490BF5">
        <w:rPr>
          <w:snapToGrid w:val="0"/>
          <w:kern w:val="22"/>
          <w:szCs w:val="22"/>
        </w:rPr>
        <w:t xml:space="preserve"> compliance with their environmental responsibilities</w:t>
      </w:r>
      <w:r w:rsidR="004E6B24" w:rsidRPr="00490BF5">
        <w:rPr>
          <w:snapToGrid w:val="0"/>
          <w:kern w:val="22"/>
          <w:szCs w:val="22"/>
        </w:rPr>
        <w:t>,</w:t>
      </w:r>
      <w:r w:rsidRPr="00490BF5">
        <w:rPr>
          <w:snapToGrid w:val="0"/>
          <w:kern w:val="22"/>
          <w:szCs w:val="22"/>
        </w:rPr>
        <w:t xml:space="preserve"> including biodiversity conservation.</w:t>
      </w:r>
    </w:p>
    <w:p w14:paraId="05C9829E" w14:textId="77777777" w:rsidR="00855A78" w:rsidRPr="00490BF5" w:rsidRDefault="00855A78" w:rsidP="00490BF5">
      <w:pPr>
        <w:pStyle w:val="Heading1"/>
        <w:suppressLineNumbers/>
        <w:suppressAutoHyphens/>
        <w:kinsoku w:val="0"/>
        <w:overflowPunct w:val="0"/>
        <w:autoSpaceDE w:val="0"/>
        <w:autoSpaceDN w:val="0"/>
        <w:adjustRightInd w:val="0"/>
        <w:snapToGrid w:val="0"/>
        <w:spacing w:before="120"/>
        <w:ind w:left="1440" w:hanging="720"/>
        <w:jc w:val="left"/>
        <w:rPr>
          <w:snapToGrid w:val="0"/>
          <w:kern w:val="22"/>
          <w:szCs w:val="22"/>
        </w:rPr>
      </w:pPr>
      <w:r w:rsidRPr="00490BF5">
        <w:rPr>
          <w:snapToGrid w:val="0"/>
          <w:kern w:val="22"/>
          <w:szCs w:val="22"/>
        </w:rPr>
        <w:t xml:space="preserve">III. </w:t>
      </w:r>
      <w:r w:rsidR="006E604B" w:rsidRPr="00490BF5">
        <w:rPr>
          <w:snapToGrid w:val="0"/>
          <w:kern w:val="22"/>
          <w:szCs w:val="22"/>
        </w:rPr>
        <w:tab/>
      </w:r>
      <w:r w:rsidRPr="00490BF5">
        <w:rPr>
          <w:snapToGrid w:val="0"/>
          <w:kern w:val="22"/>
          <w:szCs w:val="22"/>
        </w:rPr>
        <w:t>Inclusion of biodiversity in priorities and plans and assessment and/or evaluation of values</w:t>
      </w:r>
    </w:p>
    <w:p w14:paraId="1EA492B6" w14:textId="5A39CBAC"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total of </w:t>
      </w:r>
      <w:r w:rsidR="008256D9" w:rsidRPr="00490BF5">
        <w:rPr>
          <w:snapToGrid w:val="0"/>
          <w:kern w:val="22"/>
          <w:szCs w:val="22"/>
        </w:rPr>
        <w:t xml:space="preserve">72 </w:t>
      </w:r>
      <w:r w:rsidRPr="00490BF5">
        <w:rPr>
          <w:snapToGrid w:val="0"/>
          <w:kern w:val="22"/>
          <w:szCs w:val="22"/>
        </w:rPr>
        <w:t xml:space="preserve">Parties responded to whether they included biodiversity in national priorities or development plans, and all of them reported at least some progress: </w:t>
      </w:r>
      <w:r w:rsidR="008256D9" w:rsidRPr="00490BF5">
        <w:rPr>
          <w:snapToGrid w:val="0"/>
          <w:kern w:val="22"/>
          <w:szCs w:val="22"/>
        </w:rPr>
        <w:t xml:space="preserve">49 </w:t>
      </w:r>
      <w:r w:rsidRPr="00490BF5">
        <w:rPr>
          <w:snapToGrid w:val="0"/>
          <w:kern w:val="22"/>
          <w:szCs w:val="22"/>
        </w:rPr>
        <w:t>Parties, or 68</w:t>
      </w:r>
      <w:r w:rsidR="006A0651" w:rsidRPr="00490BF5">
        <w:rPr>
          <w:snapToGrid w:val="0"/>
          <w:kern w:val="22"/>
          <w:szCs w:val="22"/>
        </w:rPr>
        <w:t> per cent</w:t>
      </w:r>
      <w:r w:rsidRPr="00490BF5">
        <w:rPr>
          <w:snapToGrid w:val="0"/>
          <w:kern w:val="22"/>
          <w:szCs w:val="22"/>
        </w:rPr>
        <w:t xml:space="preserve">, indicated that some inclusion </w:t>
      </w:r>
      <w:r w:rsidR="003424C1" w:rsidRPr="00490BF5">
        <w:rPr>
          <w:snapToGrid w:val="0"/>
          <w:kern w:val="22"/>
          <w:szCs w:val="22"/>
        </w:rPr>
        <w:t xml:space="preserve">had been </w:t>
      </w:r>
      <w:r w:rsidRPr="00490BF5">
        <w:rPr>
          <w:snapToGrid w:val="0"/>
          <w:kern w:val="22"/>
          <w:szCs w:val="22"/>
        </w:rPr>
        <w:t xml:space="preserve">achieved, while </w:t>
      </w:r>
      <w:r w:rsidR="008256D9" w:rsidRPr="00490BF5">
        <w:rPr>
          <w:snapToGrid w:val="0"/>
          <w:kern w:val="22"/>
          <w:szCs w:val="22"/>
        </w:rPr>
        <w:t xml:space="preserve">23 </w:t>
      </w:r>
      <w:r w:rsidRPr="00490BF5">
        <w:rPr>
          <w:snapToGrid w:val="0"/>
          <w:kern w:val="22"/>
          <w:szCs w:val="22"/>
        </w:rPr>
        <w:t>countries, or 32</w:t>
      </w:r>
      <w:r w:rsidR="006A0651" w:rsidRPr="00490BF5">
        <w:rPr>
          <w:snapToGrid w:val="0"/>
          <w:kern w:val="22"/>
          <w:szCs w:val="22"/>
        </w:rPr>
        <w:t> per cent</w:t>
      </w:r>
      <w:r w:rsidRPr="00490BF5">
        <w:rPr>
          <w:snapToGrid w:val="0"/>
          <w:kern w:val="22"/>
          <w:szCs w:val="22"/>
        </w:rPr>
        <w:t xml:space="preserve">, indicated that comprehensive inclusion </w:t>
      </w:r>
      <w:r w:rsidR="003424C1" w:rsidRPr="00490BF5">
        <w:rPr>
          <w:snapToGrid w:val="0"/>
          <w:kern w:val="22"/>
          <w:szCs w:val="22"/>
        </w:rPr>
        <w:t xml:space="preserve">had been </w:t>
      </w:r>
      <w:r w:rsidRPr="00490BF5">
        <w:rPr>
          <w:snapToGrid w:val="0"/>
          <w:kern w:val="22"/>
          <w:szCs w:val="22"/>
        </w:rPr>
        <w:t>achieved. This seems to indicate encouraging progress with regard to target 1(b) of decision XII/3. Countries refer prominently to the linkages to sectoral plans or top-level plans or policies</w:t>
      </w:r>
      <w:r w:rsidR="00F326CC" w:rsidRPr="00490BF5">
        <w:rPr>
          <w:snapToGrid w:val="0"/>
          <w:kern w:val="22"/>
          <w:szCs w:val="22"/>
        </w:rPr>
        <w:t>,</w:t>
      </w:r>
      <w:r w:rsidRPr="00490BF5">
        <w:rPr>
          <w:snapToGrid w:val="0"/>
          <w:kern w:val="22"/>
          <w:szCs w:val="22"/>
        </w:rPr>
        <w:t xml:space="preserve"> </w:t>
      </w:r>
      <w:r w:rsidR="00F326CC" w:rsidRPr="00490BF5">
        <w:rPr>
          <w:snapToGrid w:val="0"/>
          <w:kern w:val="22"/>
          <w:szCs w:val="22"/>
        </w:rPr>
        <w:t>such as national (sustainable) development or growth plans</w:t>
      </w:r>
      <w:r w:rsidRPr="00490BF5">
        <w:rPr>
          <w:snapToGrid w:val="0"/>
          <w:kern w:val="22"/>
          <w:szCs w:val="22"/>
        </w:rPr>
        <w:t>, resource efficiency frameworks, or even the national Constitution, as main avenues for effective mainstreaming of biodiversity. Among those which report</w:t>
      </w:r>
      <w:r w:rsidR="0081312F" w:rsidRPr="00490BF5">
        <w:rPr>
          <w:snapToGrid w:val="0"/>
          <w:kern w:val="22"/>
          <w:szCs w:val="22"/>
        </w:rPr>
        <w:t>ed</w:t>
      </w:r>
      <w:r w:rsidRPr="00490BF5">
        <w:rPr>
          <w:snapToGrid w:val="0"/>
          <w:kern w:val="22"/>
          <w:szCs w:val="22"/>
        </w:rPr>
        <w:t xml:space="preserve"> comprehensive inclusion:</w:t>
      </w:r>
    </w:p>
    <w:p w14:paraId="2A9D0325" w14:textId="2B7918FC"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Germany point</w:t>
      </w:r>
      <w:r w:rsidR="0081312F" w:rsidRPr="00490BF5">
        <w:rPr>
          <w:snapToGrid w:val="0"/>
          <w:kern w:val="22"/>
          <w:szCs w:val="22"/>
        </w:rPr>
        <w:t>ed</w:t>
      </w:r>
      <w:r w:rsidRPr="00490BF5">
        <w:rPr>
          <w:snapToGrid w:val="0"/>
          <w:kern w:val="22"/>
          <w:szCs w:val="22"/>
        </w:rPr>
        <w:t xml:space="preserve"> </w:t>
      </w:r>
      <w:r w:rsidR="0081312F" w:rsidRPr="00490BF5">
        <w:rPr>
          <w:snapToGrid w:val="0"/>
          <w:kern w:val="22"/>
          <w:szCs w:val="22"/>
        </w:rPr>
        <w:t xml:space="preserve">to </w:t>
      </w:r>
      <w:r w:rsidRPr="00490BF5">
        <w:rPr>
          <w:snapToGrid w:val="0"/>
          <w:kern w:val="22"/>
          <w:szCs w:val="22"/>
        </w:rPr>
        <w:t>both the national development plan and a wide range of sectoral plans at various levels</w:t>
      </w:r>
      <w:r w:rsidR="006E604B" w:rsidRPr="00490BF5">
        <w:rPr>
          <w:snapToGrid w:val="0"/>
          <w:kern w:val="22"/>
          <w:szCs w:val="22"/>
        </w:rPr>
        <w:t>;</w:t>
      </w:r>
    </w:p>
    <w:p w14:paraId="648E70AA" w14:textId="6BE9DE90"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Poland explained that biodiversity is an integrated part of </w:t>
      </w:r>
      <w:r w:rsidR="0081312F" w:rsidRPr="00490BF5">
        <w:rPr>
          <w:snapToGrid w:val="0"/>
          <w:kern w:val="22"/>
          <w:szCs w:val="22"/>
        </w:rPr>
        <w:t>the “</w:t>
      </w:r>
      <w:r w:rsidRPr="00490BF5">
        <w:rPr>
          <w:snapToGrid w:val="0"/>
          <w:kern w:val="22"/>
          <w:szCs w:val="22"/>
        </w:rPr>
        <w:t>Energy Security and the Environment Strategy”, approved in 2014, which is the one of the nine strategies in Poland</w:t>
      </w:r>
      <w:r w:rsidR="006E604B" w:rsidRPr="00490BF5">
        <w:rPr>
          <w:snapToGrid w:val="0"/>
          <w:kern w:val="22"/>
          <w:szCs w:val="22"/>
        </w:rPr>
        <w:t>;</w:t>
      </w:r>
    </w:p>
    <w:p w14:paraId="47851BE0" w14:textId="1CEE99FC"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Uganda noted that </w:t>
      </w:r>
      <w:proofErr w:type="gramStart"/>
      <w:r w:rsidRPr="00490BF5">
        <w:rPr>
          <w:snapToGrid w:val="0"/>
          <w:kern w:val="22"/>
          <w:szCs w:val="22"/>
        </w:rPr>
        <w:t>its</w:t>
      </w:r>
      <w:proofErr w:type="gramEnd"/>
      <w:r w:rsidRPr="00490BF5">
        <w:rPr>
          <w:snapToGrid w:val="0"/>
          <w:kern w:val="22"/>
          <w:szCs w:val="22"/>
        </w:rPr>
        <w:t xml:space="preserve"> National Biodiversity Strategy and Action Plan 2015-2025 ha</w:t>
      </w:r>
      <w:r w:rsidR="0081312F" w:rsidRPr="00490BF5">
        <w:rPr>
          <w:snapToGrid w:val="0"/>
          <w:kern w:val="22"/>
          <w:szCs w:val="22"/>
        </w:rPr>
        <w:t>d</w:t>
      </w:r>
      <w:r w:rsidRPr="00490BF5">
        <w:rPr>
          <w:snapToGrid w:val="0"/>
          <w:kern w:val="22"/>
          <w:szCs w:val="22"/>
        </w:rPr>
        <w:t xml:space="preserve"> been mainstreamed into its National Development Plan. The plan has seven objectives on the environment and natural resources, and its objective 2 has </w:t>
      </w:r>
      <w:r w:rsidR="009E0E92" w:rsidRPr="00490BF5">
        <w:rPr>
          <w:snapToGrid w:val="0"/>
          <w:kern w:val="22"/>
          <w:szCs w:val="22"/>
        </w:rPr>
        <w:t xml:space="preserve">a </w:t>
      </w:r>
      <w:r w:rsidRPr="00490BF5">
        <w:rPr>
          <w:snapToGrid w:val="0"/>
          <w:kern w:val="22"/>
          <w:szCs w:val="22"/>
        </w:rPr>
        <w:t>specific provision on implementing national biodiversity targets (which are in the revised NBSAP).</w:t>
      </w:r>
    </w:p>
    <w:p w14:paraId="588B2C5A" w14:textId="0E9DCE82"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In the revised NBSAPs, a total of 31 Parties state that biodiversity has been integrated into their national development plan or equivalent instrument, while 20 Parties mention integration with their sustainable development plans or equivalent instruments, and 43 Parties refer to links to poverty eradication and/or to integrate this objective into their principles, targets and/or actions.</w:t>
      </w:r>
      <w:r w:rsidRPr="00490BF5">
        <w:rPr>
          <w:rStyle w:val="FootnoteReference"/>
          <w:snapToGrid w:val="0"/>
          <w:kern w:val="22"/>
          <w:szCs w:val="22"/>
        </w:rPr>
        <w:footnoteReference w:id="11"/>
      </w:r>
    </w:p>
    <w:p w14:paraId="6E315993" w14:textId="3A90767B"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total of </w:t>
      </w:r>
      <w:r w:rsidR="008256D9" w:rsidRPr="00490BF5">
        <w:rPr>
          <w:snapToGrid w:val="0"/>
          <w:kern w:val="22"/>
          <w:szCs w:val="22"/>
        </w:rPr>
        <w:t xml:space="preserve">70 </w:t>
      </w:r>
      <w:r w:rsidRPr="00490BF5">
        <w:rPr>
          <w:snapToGrid w:val="0"/>
          <w:kern w:val="22"/>
          <w:szCs w:val="22"/>
        </w:rPr>
        <w:t xml:space="preserve">Parties responded to whether they assessed and/or evaluated the intrinsic, ecological, genetic, socioeconomic, scientific, educational, cultural, recreational and aesthetic values of biological diversity and its components. While only four </w:t>
      </w:r>
      <w:r w:rsidR="007C6316" w:rsidRPr="00490BF5">
        <w:rPr>
          <w:snapToGrid w:val="0"/>
          <w:kern w:val="22"/>
          <w:szCs w:val="22"/>
        </w:rPr>
        <w:t xml:space="preserve">Parties </w:t>
      </w:r>
      <w:r w:rsidRPr="00490BF5">
        <w:rPr>
          <w:snapToGrid w:val="0"/>
          <w:kern w:val="22"/>
          <w:szCs w:val="22"/>
        </w:rPr>
        <w:t>(Finland, Japan, the Netherlands and Norway), or 6</w:t>
      </w:r>
      <w:r w:rsidR="006A0651" w:rsidRPr="00490BF5">
        <w:rPr>
          <w:snapToGrid w:val="0"/>
          <w:kern w:val="22"/>
          <w:szCs w:val="22"/>
        </w:rPr>
        <w:t> per cent</w:t>
      </w:r>
      <w:r w:rsidRPr="00490BF5">
        <w:rPr>
          <w:snapToGrid w:val="0"/>
          <w:kern w:val="22"/>
          <w:szCs w:val="22"/>
        </w:rPr>
        <w:t xml:space="preserve">, indicated that comprehensive assessments </w:t>
      </w:r>
      <w:r w:rsidR="007C6316" w:rsidRPr="00490BF5">
        <w:rPr>
          <w:snapToGrid w:val="0"/>
          <w:kern w:val="22"/>
          <w:szCs w:val="22"/>
        </w:rPr>
        <w:t xml:space="preserve">had been </w:t>
      </w:r>
      <w:r w:rsidRPr="00490BF5">
        <w:rPr>
          <w:snapToGrid w:val="0"/>
          <w:kern w:val="22"/>
          <w:szCs w:val="22"/>
        </w:rPr>
        <w:t xml:space="preserve">undertaken, </w:t>
      </w:r>
      <w:r w:rsidR="0067018B" w:rsidRPr="00490BF5">
        <w:rPr>
          <w:snapToGrid w:val="0"/>
          <w:kern w:val="22"/>
          <w:szCs w:val="22"/>
        </w:rPr>
        <w:t>81 </w:t>
      </w:r>
      <w:r w:rsidRPr="00490BF5">
        <w:rPr>
          <w:snapToGrid w:val="0"/>
          <w:kern w:val="22"/>
          <w:szCs w:val="22"/>
        </w:rPr>
        <w:t xml:space="preserve">per cent of reporting countries, or </w:t>
      </w:r>
      <w:r w:rsidR="0067018B" w:rsidRPr="00490BF5">
        <w:rPr>
          <w:snapToGrid w:val="0"/>
          <w:kern w:val="22"/>
          <w:szCs w:val="22"/>
        </w:rPr>
        <w:t>29</w:t>
      </w:r>
      <w:r w:rsidR="006A0651" w:rsidRPr="00490BF5">
        <w:rPr>
          <w:snapToGrid w:val="0"/>
          <w:kern w:val="22"/>
          <w:szCs w:val="22"/>
        </w:rPr>
        <w:t> per cent</w:t>
      </w:r>
      <w:r w:rsidRPr="00490BF5">
        <w:rPr>
          <w:snapToGrid w:val="0"/>
          <w:kern w:val="22"/>
          <w:szCs w:val="22"/>
        </w:rPr>
        <w:t xml:space="preserve"> of all Parties, report</w:t>
      </w:r>
      <w:r w:rsidR="007C6316" w:rsidRPr="00490BF5">
        <w:rPr>
          <w:snapToGrid w:val="0"/>
          <w:kern w:val="22"/>
          <w:szCs w:val="22"/>
        </w:rPr>
        <w:t>ed</w:t>
      </w:r>
      <w:r w:rsidRPr="00490BF5">
        <w:rPr>
          <w:snapToGrid w:val="0"/>
          <w:kern w:val="22"/>
          <w:szCs w:val="22"/>
        </w:rPr>
        <w:t xml:space="preserve"> </w:t>
      </w:r>
      <w:r w:rsidR="007C6316" w:rsidRPr="00490BF5">
        <w:rPr>
          <w:snapToGrid w:val="0"/>
          <w:kern w:val="22"/>
          <w:szCs w:val="22"/>
        </w:rPr>
        <w:t>having</w:t>
      </w:r>
      <w:r w:rsidRPr="00490BF5">
        <w:rPr>
          <w:snapToGrid w:val="0"/>
          <w:kern w:val="22"/>
          <w:szCs w:val="22"/>
        </w:rPr>
        <w:t xml:space="preserve"> undertaken at least some assessments. Compared to the target percentage of 30</w:t>
      </w:r>
      <w:r w:rsidR="006A0651" w:rsidRPr="00490BF5">
        <w:rPr>
          <w:snapToGrid w:val="0"/>
          <w:kern w:val="22"/>
          <w:szCs w:val="22"/>
        </w:rPr>
        <w:t> per cent</w:t>
      </w:r>
      <w:r w:rsidRPr="00490BF5">
        <w:rPr>
          <w:snapToGrid w:val="0"/>
          <w:kern w:val="22"/>
          <w:szCs w:val="22"/>
        </w:rPr>
        <w:t xml:space="preserve">, this seems to indicate rather satisfactory progress with regard to </w:t>
      </w:r>
      <w:r w:rsidRPr="00490BF5">
        <w:rPr>
          <w:snapToGrid w:val="0"/>
          <w:kern w:val="22"/>
          <w:szCs w:val="22"/>
        </w:rPr>
        <w:lastRenderedPageBreak/>
        <w:t xml:space="preserve">the relevant element of target 1(d) of decision XII/3. The four countries indicating comprehensive assessments made reference to broad assessment exercises, completed or under way, such as national TEEB studies, ecosystems assessments or similar initiatives. Other countries refer both to broader assessments </w:t>
      </w:r>
      <w:r w:rsidR="00825C28" w:rsidRPr="00490BF5">
        <w:rPr>
          <w:snapToGrid w:val="0"/>
          <w:kern w:val="22"/>
          <w:szCs w:val="22"/>
        </w:rPr>
        <w:t>and</w:t>
      </w:r>
      <w:r w:rsidRPr="00490BF5">
        <w:rPr>
          <w:snapToGrid w:val="0"/>
          <w:kern w:val="22"/>
          <w:szCs w:val="22"/>
        </w:rPr>
        <w:t xml:space="preserve"> valuation studies at smaller scales. For instance, </w:t>
      </w:r>
      <w:proofErr w:type="spellStart"/>
      <w:r w:rsidR="00B21CBD" w:rsidRPr="00490BF5">
        <w:rPr>
          <w:snapToGrid w:val="0"/>
          <w:kern w:val="22"/>
          <w:szCs w:val="22"/>
        </w:rPr>
        <w:t>Czechia</w:t>
      </w:r>
      <w:proofErr w:type="spellEnd"/>
      <w:r w:rsidRPr="00490BF5">
        <w:rPr>
          <w:snapToGrid w:val="0"/>
          <w:kern w:val="22"/>
          <w:szCs w:val="22"/>
        </w:rPr>
        <w:t xml:space="preserve"> </w:t>
      </w:r>
      <w:r w:rsidR="00825C28" w:rsidRPr="00490BF5">
        <w:rPr>
          <w:snapToGrid w:val="0"/>
          <w:kern w:val="22"/>
          <w:szCs w:val="22"/>
        </w:rPr>
        <w:t xml:space="preserve">indicated </w:t>
      </w:r>
      <w:r w:rsidRPr="00490BF5">
        <w:rPr>
          <w:snapToGrid w:val="0"/>
          <w:kern w:val="22"/>
          <w:szCs w:val="22"/>
        </w:rPr>
        <w:t xml:space="preserve">that it </w:t>
      </w:r>
      <w:r w:rsidR="00825C28" w:rsidRPr="00490BF5">
        <w:rPr>
          <w:snapToGrid w:val="0"/>
          <w:kern w:val="22"/>
          <w:szCs w:val="22"/>
        </w:rPr>
        <w:t xml:space="preserve">had undertaken </w:t>
      </w:r>
      <w:r w:rsidRPr="00490BF5">
        <w:rPr>
          <w:snapToGrid w:val="0"/>
          <w:kern w:val="22"/>
          <w:szCs w:val="22"/>
        </w:rPr>
        <w:t>a complex study of ecosystem services, yielding an average value of ecosystem services 1.5 times higher than the current GNP.</w:t>
      </w:r>
    </w:p>
    <w:p w14:paraId="76465748" w14:textId="5C840494"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total of 43 Parties indicate in their revised NBSAPs that they have already conducted valuation studies of the biodiversity in their country or parts thereof. Of the 153 NBSAPs reviewed, 37 countries have set national targets on valuation and 50 </w:t>
      </w:r>
      <w:proofErr w:type="gramStart"/>
      <w:r w:rsidRPr="00490BF5">
        <w:rPr>
          <w:snapToGrid w:val="0"/>
          <w:kern w:val="22"/>
          <w:szCs w:val="22"/>
        </w:rPr>
        <w:t>state</w:t>
      </w:r>
      <w:proofErr w:type="gramEnd"/>
      <w:r w:rsidRPr="00490BF5">
        <w:rPr>
          <w:snapToGrid w:val="0"/>
          <w:kern w:val="22"/>
          <w:szCs w:val="22"/>
        </w:rPr>
        <w:t xml:space="preserve"> the intention of conducting valuation studies in the future.</w:t>
      </w:r>
      <w:r w:rsidRPr="00490BF5">
        <w:rPr>
          <w:rStyle w:val="FootnoteReference"/>
          <w:snapToGrid w:val="0"/>
          <w:kern w:val="22"/>
          <w:szCs w:val="22"/>
        </w:rPr>
        <w:footnoteReference w:id="12"/>
      </w:r>
    </w:p>
    <w:p w14:paraId="038F612B" w14:textId="77777777" w:rsidR="00855A78" w:rsidRPr="00490BF5" w:rsidRDefault="00855A78" w:rsidP="00490BF5">
      <w:pPr>
        <w:pStyle w:val="Heading1"/>
        <w:suppressLineNumbers/>
        <w:tabs>
          <w:tab w:val="clear" w:pos="720"/>
          <w:tab w:val="left" w:pos="360"/>
        </w:tabs>
        <w:suppressAutoHyphens/>
        <w:kinsoku w:val="0"/>
        <w:overflowPunct w:val="0"/>
        <w:autoSpaceDE w:val="0"/>
        <w:autoSpaceDN w:val="0"/>
        <w:adjustRightInd w:val="0"/>
        <w:snapToGrid w:val="0"/>
        <w:spacing w:before="120"/>
        <w:ind w:left="360"/>
        <w:rPr>
          <w:snapToGrid w:val="0"/>
          <w:kern w:val="22"/>
          <w:szCs w:val="22"/>
        </w:rPr>
      </w:pPr>
      <w:r w:rsidRPr="00490BF5">
        <w:rPr>
          <w:snapToGrid w:val="0"/>
          <w:kern w:val="22"/>
          <w:szCs w:val="22"/>
        </w:rPr>
        <w:t xml:space="preserve">IV. </w:t>
      </w:r>
      <w:r w:rsidR="006E604B" w:rsidRPr="00490BF5">
        <w:rPr>
          <w:snapToGrid w:val="0"/>
          <w:kern w:val="22"/>
          <w:szCs w:val="22"/>
        </w:rPr>
        <w:tab/>
      </w:r>
      <w:r w:rsidRPr="00490BF5">
        <w:rPr>
          <w:snapToGrid w:val="0"/>
          <w:kern w:val="22"/>
          <w:szCs w:val="22"/>
        </w:rPr>
        <w:t>Reporting current domestic biodiversity expenditures</w:t>
      </w:r>
    </w:p>
    <w:p w14:paraId="2E8F536A" w14:textId="04B10170"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Out of the </w:t>
      </w:r>
      <w:r w:rsidR="0067018B" w:rsidRPr="00490BF5">
        <w:rPr>
          <w:snapToGrid w:val="0"/>
          <w:kern w:val="22"/>
          <w:szCs w:val="22"/>
        </w:rPr>
        <w:t xml:space="preserve">76 </w:t>
      </w:r>
      <w:r w:rsidRPr="00490BF5">
        <w:rPr>
          <w:snapToGrid w:val="0"/>
          <w:kern w:val="22"/>
          <w:szCs w:val="22"/>
        </w:rPr>
        <w:t xml:space="preserve">reporting Parties, </w:t>
      </w:r>
      <w:r w:rsidR="0067018B" w:rsidRPr="00490BF5">
        <w:rPr>
          <w:snapToGrid w:val="0"/>
          <w:kern w:val="22"/>
          <w:szCs w:val="22"/>
        </w:rPr>
        <w:t xml:space="preserve">71 </w:t>
      </w:r>
      <w:r w:rsidRPr="00490BF5">
        <w:rPr>
          <w:snapToGrid w:val="0"/>
          <w:kern w:val="22"/>
          <w:szCs w:val="22"/>
        </w:rPr>
        <w:t xml:space="preserve">Parties, or almost </w:t>
      </w:r>
      <w:r w:rsidR="0067018B" w:rsidRPr="00490BF5">
        <w:rPr>
          <w:snapToGrid w:val="0"/>
          <w:kern w:val="22"/>
          <w:szCs w:val="22"/>
        </w:rPr>
        <w:t>94</w:t>
      </w:r>
      <w:r w:rsidR="006A0651" w:rsidRPr="00490BF5">
        <w:rPr>
          <w:snapToGrid w:val="0"/>
          <w:kern w:val="22"/>
          <w:szCs w:val="22"/>
        </w:rPr>
        <w:t> per cent</w:t>
      </w:r>
      <w:r w:rsidRPr="00490BF5">
        <w:rPr>
          <w:snapToGrid w:val="0"/>
          <w:kern w:val="22"/>
          <w:szCs w:val="22"/>
        </w:rPr>
        <w:t xml:space="preserve">, reported on their annual financial support provided </w:t>
      </w:r>
      <w:r w:rsidR="005322FD" w:rsidRPr="00490BF5">
        <w:rPr>
          <w:snapToGrid w:val="0"/>
          <w:kern w:val="22"/>
          <w:szCs w:val="22"/>
        </w:rPr>
        <w:t xml:space="preserve">for </w:t>
      </w:r>
      <w:r w:rsidRPr="00490BF5">
        <w:rPr>
          <w:snapToGrid w:val="0"/>
          <w:kern w:val="22"/>
          <w:szCs w:val="22"/>
        </w:rPr>
        <w:t xml:space="preserve">domestic biodiversity-related activities in the country. While this may also seem satisfactory, it represents </w:t>
      </w:r>
      <w:r w:rsidR="005322FD" w:rsidRPr="00490BF5">
        <w:rPr>
          <w:snapToGrid w:val="0"/>
          <w:kern w:val="22"/>
          <w:szCs w:val="22"/>
        </w:rPr>
        <w:t>only about</w:t>
      </w:r>
      <w:r w:rsidRPr="00490BF5">
        <w:rPr>
          <w:snapToGrid w:val="0"/>
          <w:kern w:val="22"/>
          <w:szCs w:val="22"/>
        </w:rPr>
        <w:t xml:space="preserve"> </w:t>
      </w:r>
      <w:r w:rsidR="0067018B" w:rsidRPr="00490BF5">
        <w:rPr>
          <w:snapToGrid w:val="0"/>
          <w:kern w:val="22"/>
          <w:szCs w:val="22"/>
        </w:rPr>
        <w:t>36</w:t>
      </w:r>
      <w:r w:rsidR="006A0651" w:rsidRPr="00490BF5">
        <w:rPr>
          <w:snapToGrid w:val="0"/>
          <w:kern w:val="22"/>
          <w:szCs w:val="22"/>
        </w:rPr>
        <w:t> per cent</w:t>
      </w:r>
      <w:r w:rsidRPr="00490BF5">
        <w:rPr>
          <w:snapToGrid w:val="0"/>
          <w:kern w:val="22"/>
          <w:szCs w:val="22"/>
        </w:rPr>
        <w:t xml:space="preserve"> of all Parties</w:t>
      </w:r>
      <w:r w:rsidR="005322FD" w:rsidRPr="00490BF5">
        <w:rPr>
          <w:snapToGrid w:val="0"/>
          <w:kern w:val="22"/>
          <w:szCs w:val="22"/>
        </w:rPr>
        <w:t>;</w:t>
      </w:r>
      <w:r w:rsidRPr="00490BF5">
        <w:rPr>
          <w:snapToGrid w:val="0"/>
          <w:kern w:val="22"/>
          <w:szCs w:val="22"/>
        </w:rPr>
        <w:t xml:space="preserve"> </w:t>
      </w:r>
      <w:r w:rsidR="005322FD" w:rsidRPr="00490BF5">
        <w:rPr>
          <w:snapToGrid w:val="0"/>
          <w:kern w:val="22"/>
          <w:szCs w:val="22"/>
        </w:rPr>
        <w:t>thus</w:t>
      </w:r>
      <w:r w:rsidRPr="00490BF5">
        <w:rPr>
          <w:snapToGrid w:val="0"/>
          <w:kern w:val="22"/>
          <w:szCs w:val="22"/>
        </w:rPr>
        <w:t>, on a strict interpretation, this element of target 1 (c) of decision XII/3 has not been met.</w:t>
      </w:r>
    </w:p>
    <w:p w14:paraId="4B7FC41A" w14:textId="34D5A160"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rPr>
      </w:pPr>
      <w:r w:rsidRPr="00490BF5">
        <w:rPr>
          <w:snapToGrid w:val="0"/>
          <w:kern w:val="22"/>
          <w:szCs w:val="22"/>
        </w:rPr>
        <w:t xml:space="preserve">Table </w:t>
      </w:r>
      <w:r w:rsidR="004366D9" w:rsidRPr="00490BF5">
        <w:rPr>
          <w:snapToGrid w:val="0"/>
          <w:kern w:val="22"/>
          <w:szCs w:val="22"/>
        </w:rPr>
        <w:t>4 below</w:t>
      </w:r>
      <w:r w:rsidRPr="00490BF5">
        <w:rPr>
          <w:snapToGrid w:val="0"/>
          <w:kern w:val="22"/>
          <w:szCs w:val="22"/>
        </w:rPr>
        <w:t xml:space="preserve"> provides an overview of the sources and categories included in the numbers provided, reflecting different methodological approaches. </w:t>
      </w:r>
      <w:r w:rsidR="00446EE2" w:rsidRPr="00490BF5">
        <w:rPr>
          <w:snapToGrid w:val="0"/>
          <w:kern w:val="22"/>
          <w:szCs w:val="22"/>
        </w:rPr>
        <w:t xml:space="preserve">Fewer </w:t>
      </w:r>
      <w:r w:rsidRPr="00490BF5">
        <w:rPr>
          <w:snapToGrid w:val="0"/>
          <w:kern w:val="22"/>
          <w:szCs w:val="22"/>
        </w:rPr>
        <w:t>countries cover lower levels of government, non-government sources or expenditures that are indirectly related to biodiversity. In addition, countries report on different years. While the data does not allow undertaking comparisons among countries or providing a meaningful aggregate figure of domestic expenditures for biodiversity</w:t>
      </w:r>
      <w:r w:rsidR="009B504A" w:rsidRPr="00490BF5">
        <w:rPr>
          <w:snapToGrid w:val="0"/>
          <w:kern w:val="22"/>
          <w:szCs w:val="22"/>
        </w:rPr>
        <w:t>,</w:t>
      </w:r>
      <w:r w:rsidRPr="00490BF5">
        <w:rPr>
          <w:snapToGrid w:val="0"/>
          <w:kern w:val="22"/>
          <w:szCs w:val="22"/>
        </w:rPr>
        <w:t xml:space="preserve"> it sometimes enables a trend analysis of how biodiversity-related expenditures develop over time, </w:t>
      </w:r>
      <w:r w:rsidR="003F5E49" w:rsidRPr="00490BF5">
        <w:rPr>
          <w:snapToGrid w:val="0"/>
          <w:kern w:val="22"/>
          <w:szCs w:val="22"/>
        </w:rPr>
        <w:t>albeit</w:t>
      </w:r>
      <w:r w:rsidRPr="00490BF5">
        <w:rPr>
          <w:snapToGrid w:val="0"/>
          <w:kern w:val="22"/>
          <w:szCs w:val="22"/>
        </w:rPr>
        <w:t xml:space="preserve"> not in all cases (for instance, due to methodological changes, as is the case for the data from Estonia or Japan, or because countries report on one year or only an average</w:t>
      </w:r>
      <w:r w:rsidR="003F5E49" w:rsidRPr="00490BF5">
        <w:rPr>
          <w:snapToGrid w:val="0"/>
          <w:kern w:val="22"/>
          <w:szCs w:val="22"/>
        </w:rPr>
        <w:t>)</w:t>
      </w:r>
      <w:r w:rsidRPr="00490BF5">
        <w:rPr>
          <w:snapToGrid w:val="0"/>
          <w:kern w:val="22"/>
          <w:szCs w:val="22"/>
        </w:rPr>
        <w:t xml:space="preserve">. Table 4 below synthesizes this analysis, undertaken </w:t>
      </w:r>
      <w:r w:rsidR="0002456B" w:rsidRPr="00490BF5">
        <w:rPr>
          <w:snapToGrid w:val="0"/>
          <w:kern w:val="22"/>
          <w:szCs w:val="22"/>
        </w:rPr>
        <w:t xml:space="preserve">to the extent </w:t>
      </w:r>
      <w:r w:rsidRPr="00490BF5">
        <w:rPr>
          <w:snapToGrid w:val="0"/>
          <w:kern w:val="22"/>
          <w:szCs w:val="22"/>
        </w:rPr>
        <w:t>possible, indicating increasing or at least neutral trends in the majority of countries.</w:t>
      </w:r>
    </w:p>
    <w:p w14:paraId="48C316DC" w14:textId="0D1BF72A" w:rsidR="00B34BC8" w:rsidRPr="00490BF5" w:rsidRDefault="00B34BC8" w:rsidP="00490BF5">
      <w:pPr>
        <w:keepNext/>
        <w:suppressLineNumbers/>
        <w:suppressAutoHyphens/>
        <w:kinsoku w:val="0"/>
        <w:overflowPunct w:val="0"/>
        <w:autoSpaceDE w:val="0"/>
        <w:autoSpaceDN w:val="0"/>
        <w:adjustRightInd w:val="0"/>
        <w:snapToGrid w:val="0"/>
        <w:spacing w:after="120"/>
        <w:ind w:left="360"/>
        <w:jc w:val="left"/>
        <w:rPr>
          <w:snapToGrid w:val="0"/>
          <w:kern w:val="22"/>
          <w:szCs w:val="22"/>
        </w:rPr>
      </w:pPr>
      <w:proofErr w:type="gramStart"/>
      <w:r w:rsidRPr="00490BF5">
        <w:rPr>
          <w:b/>
          <w:snapToGrid w:val="0"/>
          <w:kern w:val="22"/>
          <w:szCs w:val="22"/>
        </w:rPr>
        <w:t>Table 4.</w:t>
      </w:r>
      <w:proofErr w:type="gramEnd"/>
      <w:r w:rsidRPr="00490BF5">
        <w:rPr>
          <w:b/>
          <w:snapToGrid w:val="0"/>
          <w:kern w:val="22"/>
          <w:szCs w:val="22"/>
        </w:rPr>
        <w:t xml:space="preserve"> Domestic expenditure sources and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059"/>
        <w:gridCol w:w="2062"/>
      </w:tblGrid>
      <w:tr w:rsidR="00855A78" w:rsidRPr="00490BF5" w14:paraId="68568FC8" w14:textId="77777777" w:rsidTr="000B2CC8">
        <w:tc>
          <w:tcPr>
            <w:tcW w:w="5455" w:type="dxa"/>
            <w:shd w:val="clear" w:color="auto" w:fill="auto"/>
          </w:tcPr>
          <w:p w14:paraId="7F92F4EE" w14:textId="029CAB68" w:rsidR="00855A78" w:rsidRPr="00490BF5" w:rsidRDefault="00855A78" w:rsidP="00490BF5">
            <w:pPr>
              <w:suppressLineNumbers/>
              <w:suppressAutoHyphens/>
              <w:kinsoku w:val="0"/>
              <w:overflowPunct w:val="0"/>
              <w:autoSpaceDE w:val="0"/>
              <w:autoSpaceDN w:val="0"/>
              <w:adjustRightInd w:val="0"/>
              <w:snapToGrid w:val="0"/>
              <w:ind w:left="360"/>
              <w:jc w:val="left"/>
              <w:rPr>
                <w:bCs/>
                <w:snapToGrid w:val="0"/>
                <w:kern w:val="22"/>
                <w:szCs w:val="22"/>
              </w:rPr>
            </w:pPr>
          </w:p>
        </w:tc>
        <w:tc>
          <w:tcPr>
            <w:tcW w:w="4121" w:type="dxa"/>
            <w:gridSpan w:val="2"/>
            <w:shd w:val="clear" w:color="auto" w:fill="auto"/>
          </w:tcPr>
          <w:p w14:paraId="43CB4659"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Number of countries</w:t>
            </w:r>
          </w:p>
        </w:tc>
      </w:tr>
      <w:tr w:rsidR="00855A78" w:rsidRPr="00490BF5" w14:paraId="2B8D9DC6" w14:textId="77777777" w:rsidTr="000B2CC8">
        <w:tc>
          <w:tcPr>
            <w:tcW w:w="0" w:type="auto"/>
            <w:shd w:val="clear" w:color="auto" w:fill="auto"/>
            <w:hideMark/>
          </w:tcPr>
          <w:p w14:paraId="5BD6E87C" w14:textId="7D32EF75"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eastAsia="fr-FR"/>
              </w:rPr>
            </w:pPr>
            <w:r w:rsidRPr="00490BF5">
              <w:rPr>
                <w:i/>
                <w:iCs/>
                <w:snapToGrid w:val="0"/>
                <w:kern w:val="22"/>
                <w:szCs w:val="22"/>
                <w:lang w:eastAsia="fr-FR"/>
              </w:rPr>
              <w:t>Numbers provided cover</w:t>
            </w:r>
          </w:p>
        </w:tc>
        <w:tc>
          <w:tcPr>
            <w:tcW w:w="0" w:type="auto"/>
            <w:shd w:val="clear" w:color="auto" w:fill="auto"/>
            <w:hideMark/>
          </w:tcPr>
          <w:p w14:paraId="5EA1CE69"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eastAsia="fr-FR"/>
              </w:rPr>
            </w:pPr>
            <w:r w:rsidRPr="00490BF5">
              <w:rPr>
                <w:i/>
                <w:iCs/>
                <w:snapToGrid w:val="0"/>
                <w:kern w:val="22"/>
                <w:szCs w:val="22"/>
                <w:lang w:eastAsia="fr-FR"/>
              </w:rPr>
              <w:t>Expenditures directly related to biodiversity</w:t>
            </w:r>
          </w:p>
        </w:tc>
        <w:tc>
          <w:tcPr>
            <w:tcW w:w="0" w:type="auto"/>
            <w:shd w:val="clear" w:color="auto" w:fill="auto"/>
            <w:hideMark/>
          </w:tcPr>
          <w:p w14:paraId="00788B88"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eastAsia="fr-FR"/>
              </w:rPr>
            </w:pPr>
            <w:r w:rsidRPr="00490BF5">
              <w:rPr>
                <w:i/>
                <w:iCs/>
                <w:snapToGrid w:val="0"/>
                <w:kern w:val="22"/>
                <w:szCs w:val="22"/>
                <w:lang w:eastAsia="fr-FR"/>
              </w:rPr>
              <w:t>Expenditures indirectly related to biodiversity</w:t>
            </w:r>
          </w:p>
        </w:tc>
      </w:tr>
      <w:tr w:rsidR="00855A78" w:rsidRPr="00490BF5" w14:paraId="4CD5D2EF" w14:textId="77777777" w:rsidTr="000B2CC8">
        <w:tc>
          <w:tcPr>
            <w:tcW w:w="0" w:type="auto"/>
            <w:shd w:val="clear" w:color="auto" w:fill="auto"/>
            <w:hideMark/>
          </w:tcPr>
          <w:p w14:paraId="72EA85B3"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Government budgets – central</w:t>
            </w:r>
          </w:p>
        </w:tc>
        <w:tc>
          <w:tcPr>
            <w:tcW w:w="0" w:type="auto"/>
            <w:shd w:val="clear" w:color="auto" w:fill="auto"/>
            <w:noWrap/>
            <w:tcMar>
              <w:left w:w="720" w:type="dxa"/>
              <w:right w:w="720" w:type="dxa"/>
            </w:tcMar>
            <w:vAlign w:val="center"/>
          </w:tcPr>
          <w:p w14:paraId="2A182864" w14:textId="4F686BDA"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r w:rsidR="0067018B" w:rsidRPr="00490BF5">
              <w:rPr>
                <w:snapToGrid w:val="0"/>
                <w:kern w:val="22"/>
                <w:szCs w:val="22"/>
              </w:rPr>
              <w:t>7</w:t>
            </w:r>
          </w:p>
        </w:tc>
        <w:tc>
          <w:tcPr>
            <w:tcW w:w="0" w:type="auto"/>
            <w:shd w:val="clear" w:color="auto" w:fill="auto"/>
            <w:noWrap/>
            <w:tcMar>
              <w:left w:w="720" w:type="dxa"/>
              <w:right w:w="720" w:type="dxa"/>
            </w:tcMar>
            <w:vAlign w:val="center"/>
          </w:tcPr>
          <w:p w14:paraId="7BD24609" w14:textId="73FE7771"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40</w:t>
            </w:r>
          </w:p>
        </w:tc>
      </w:tr>
      <w:tr w:rsidR="00855A78" w:rsidRPr="00490BF5" w14:paraId="57DE8EF0" w14:textId="77777777" w:rsidTr="000B2CC8">
        <w:tc>
          <w:tcPr>
            <w:tcW w:w="0" w:type="auto"/>
            <w:shd w:val="clear" w:color="auto" w:fill="auto"/>
            <w:hideMark/>
          </w:tcPr>
          <w:p w14:paraId="420A0AD8"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Government budgets – state/provincial</w:t>
            </w:r>
          </w:p>
        </w:tc>
        <w:tc>
          <w:tcPr>
            <w:tcW w:w="0" w:type="auto"/>
            <w:shd w:val="clear" w:color="auto" w:fill="auto"/>
            <w:noWrap/>
            <w:tcMar>
              <w:left w:w="720" w:type="dxa"/>
              <w:right w:w="720" w:type="dxa"/>
            </w:tcMar>
            <w:vAlign w:val="center"/>
          </w:tcPr>
          <w:p w14:paraId="164EC927" w14:textId="04391474"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27</w:t>
            </w:r>
          </w:p>
        </w:tc>
        <w:tc>
          <w:tcPr>
            <w:tcW w:w="0" w:type="auto"/>
            <w:shd w:val="clear" w:color="auto" w:fill="auto"/>
            <w:noWrap/>
            <w:tcMar>
              <w:left w:w="720" w:type="dxa"/>
              <w:right w:w="720" w:type="dxa"/>
            </w:tcMar>
            <w:vAlign w:val="center"/>
          </w:tcPr>
          <w:p w14:paraId="678797FC" w14:textId="1CD256EC"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14:paraId="3061A6AA" w14:textId="77777777" w:rsidTr="000B2CC8">
        <w:tc>
          <w:tcPr>
            <w:tcW w:w="0" w:type="auto"/>
            <w:shd w:val="clear" w:color="auto" w:fill="auto"/>
            <w:hideMark/>
          </w:tcPr>
          <w:p w14:paraId="101E78B6"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Government budgets – local/municipal</w:t>
            </w:r>
          </w:p>
        </w:tc>
        <w:tc>
          <w:tcPr>
            <w:tcW w:w="0" w:type="auto"/>
            <w:shd w:val="clear" w:color="auto" w:fill="auto"/>
            <w:noWrap/>
            <w:tcMar>
              <w:left w:w="720" w:type="dxa"/>
              <w:right w:w="720" w:type="dxa"/>
            </w:tcMar>
            <w:vAlign w:val="center"/>
          </w:tcPr>
          <w:p w14:paraId="7C09AAB1" w14:textId="4C5D58BA"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14:paraId="19E63A92"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14</w:t>
            </w:r>
          </w:p>
        </w:tc>
      </w:tr>
      <w:tr w:rsidR="00855A78" w:rsidRPr="00490BF5" w14:paraId="69CE0B33" w14:textId="77777777" w:rsidTr="000B2CC8">
        <w:tc>
          <w:tcPr>
            <w:tcW w:w="0" w:type="auto"/>
            <w:shd w:val="clear" w:color="auto" w:fill="auto"/>
            <w:hideMark/>
          </w:tcPr>
          <w:p w14:paraId="2D43A75E" w14:textId="3421ABDE"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proofErr w:type="spellStart"/>
            <w:r w:rsidRPr="00490BF5">
              <w:rPr>
                <w:snapToGrid w:val="0"/>
                <w:kern w:val="22"/>
                <w:szCs w:val="22"/>
                <w:lang w:eastAsia="fr-FR"/>
              </w:rPr>
              <w:t>Extrabudgetary</w:t>
            </w:r>
            <w:proofErr w:type="spellEnd"/>
          </w:p>
        </w:tc>
        <w:tc>
          <w:tcPr>
            <w:tcW w:w="0" w:type="auto"/>
            <w:shd w:val="clear" w:color="auto" w:fill="auto"/>
            <w:noWrap/>
            <w:tcMar>
              <w:left w:w="720" w:type="dxa"/>
              <w:right w:w="720" w:type="dxa"/>
            </w:tcMar>
            <w:vAlign w:val="center"/>
          </w:tcPr>
          <w:p w14:paraId="1778924C" w14:textId="0ACB2464"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14:paraId="07913C96" w14:textId="2E3FC168"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15</w:t>
            </w:r>
          </w:p>
        </w:tc>
      </w:tr>
      <w:tr w:rsidR="00855A78" w:rsidRPr="00490BF5" w14:paraId="5091A909" w14:textId="77777777" w:rsidTr="000B2CC8">
        <w:tc>
          <w:tcPr>
            <w:tcW w:w="0" w:type="auto"/>
            <w:shd w:val="clear" w:color="auto" w:fill="auto"/>
            <w:hideMark/>
          </w:tcPr>
          <w:p w14:paraId="20909306"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Private/market</w:t>
            </w:r>
          </w:p>
        </w:tc>
        <w:tc>
          <w:tcPr>
            <w:tcW w:w="0" w:type="auto"/>
            <w:shd w:val="clear" w:color="auto" w:fill="auto"/>
            <w:noWrap/>
            <w:tcMar>
              <w:left w:w="720" w:type="dxa"/>
              <w:right w:w="720" w:type="dxa"/>
            </w:tcMar>
            <w:vAlign w:val="center"/>
          </w:tcPr>
          <w:p w14:paraId="65650B71" w14:textId="5EEB8BA5"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16</w:t>
            </w:r>
          </w:p>
        </w:tc>
        <w:tc>
          <w:tcPr>
            <w:tcW w:w="0" w:type="auto"/>
            <w:shd w:val="clear" w:color="auto" w:fill="auto"/>
            <w:noWrap/>
            <w:tcMar>
              <w:left w:w="720" w:type="dxa"/>
              <w:right w:w="720" w:type="dxa"/>
            </w:tcMar>
            <w:vAlign w:val="center"/>
          </w:tcPr>
          <w:p w14:paraId="7074EC14"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10</w:t>
            </w:r>
          </w:p>
        </w:tc>
      </w:tr>
      <w:tr w:rsidR="00855A78" w:rsidRPr="00490BF5" w14:paraId="1978FF2D" w14:textId="77777777" w:rsidTr="000B2CC8">
        <w:tc>
          <w:tcPr>
            <w:tcW w:w="0" w:type="auto"/>
            <w:shd w:val="clear" w:color="auto" w:fill="auto"/>
            <w:hideMark/>
          </w:tcPr>
          <w:p w14:paraId="7F0E9C27"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Other (NGO, foundations, academia)</w:t>
            </w:r>
          </w:p>
        </w:tc>
        <w:tc>
          <w:tcPr>
            <w:tcW w:w="0" w:type="auto"/>
            <w:shd w:val="clear" w:color="auto" w:fill="auto"/>
            <w:noWrap/>
            <w:tcMar>
              <w:left w:w="720" w:type="dxa"/>
              <w:right w:w="720" w:type="dxa"/>
            </w:tcMar>
            <w:vAlign w:val="center"/>
          </w:tcPr>
          <w:p w14:paraId="6E8974DC" w14:textId="0D59231E"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28</w:t>
            </w:r>
          </w:p>
        </w:tc>
        <w:tc>
          <w:tcPr>
            <w:tcW w:w="0" w:type="auto"/>
            <w:shd w:val="clear" w:color="auto" w:fill="auto"/>
            <w:noWrap/>
            <w:tcMar>
              <w:left w:w="720" w:type="dxa"/>
              <w:right w:w="720" w:type="dxa"/>
            </w:tcMar>
            <w:vAlign w:val="center"/>
          </w:tcPr>
          <w:p w14:paraId="2A54FCF5" w14:textId="2FA4F823"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14:paraId="2D029CEC" w14:textId="77777777" w:rsidTr="000B2CC8">
        <w:tc>
          <w:tcPr>
            <w:tcW w:w="0" w:type="auto"/>
            <w:shd w:val="clear" w:color="auto" w:fill="auto"/>
            <w:hideMark/>
          </w:tcPr>
          <w:p w14:paraId="51E20F5A" w14:textId="77777777"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Collective action of indigenous and local communities</w:t>
            </w:r>
          </w:p>
        </w:tc>
        <w:tc>
          <w:tcPr>
            <w:tcW w:w="0" w:type="auto"/>
            <w:shd w:val="clear" w:color="auto" w:fill="auto"/>
            <w:noWrap/>
            <w:tcMar>
              <w:left w:w="720" w:type="dxa"/>
              <w:right w:w="720" w:type="dxa"/>
            </w:tcMar>
            <w:vAlign w:val="center"/>
            <w:hideMark/>
          </w:tcPr>
          <w:p w14:paraId="6873DDC3"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p>
        </w:tc>
        <w:tc>
          <w:tcPr>
            <w:tcW w:w="0" w:type="auto"/>
            <w:shd w:val="clear" w:color="auto" w:fill="auto"/>
            <w:noWrap/>
            <w:tcMar>
              <w:left w:w="720" w:type="dxa"/>
              <w:right w:w="720" w:type="dxa"/>
            </w:tcMar>
            <w:vAlign w:val="center"/>
            <w:hideMark/>
          </w:tcPr>
          <w:p w14:paraId="400F7B86" w14:textId="77777777"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w:t>
            </w:r>
          </w:p>
        </w:tc>
      </w:tr>
    </w:tbl>
    <w:p w14:paraId="584ACA06" w14:textId="4A5BFF73"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sidRPr="00490BF5">
        <w:rPr>
          <w:snapToGrid w:val="0"/>
          <w:kern w:val="22"/>
          <w:szCs w:val="22"/>
        </w:rPr>
        <w:t>Among the Parties providing further methodological information, the majority of Parties (27) referred to an analysis of budget documents, possibly including the assignment of coefficients for indirect contributions to biodiversity. A smaller group of 1</w:t>
      </w:r>
      <w:r w:rsidR="00471C1C" w:rsidRPr="00490BF5">
        <w:rPr>
          <w:snapToGrid w:val="0"/>
          <w:kern w:val="22"/>
          <w:szCs w:val="22"/>
        </w:rPr>
        <w:t>1</w:t>
      </w:r>
      <w:r w:rsidRPr="00490BF5">
        <w:rPr>
          <w:snapToGrid w:val="0"/>
          <w:kern w:val="22"/>
          <w:szCs w:val="22"/>
        </w:rPr>
        <w:t xml:space="preserve"> Parties referred to using national statistics</w:t>
      </w:r>
      <w:r w:rsidR="00471C1C" w:rsidRPr="00490BF5">
        <w:rPr>
          <w:snapToGrid w:val="0"/>
          <w:kern w:val="22"/>
          <w:szCs w:val="22"/>
        </w:rPr>
        <w:t>, possibly</w:t>
      </w:r>
      <w:r w:rsidRPr="00490BF5">
        <w:rPr>
          <w:snapToGrid w:val="0"/>
          <w:kern w:val="22"/>
          <w:szCs w:val="22"/>
        </w:rPr>
        <w:t xml:space="preserve"> based on environmental public expenditures accounts, making reference to internationally agreed classifications</w:t>
      </w:r>
      <w:r w:rsidR="0015592C" w:rsidRPr="00490BF5">
        <w:rPr>
          <w:snapToGrid w:val="0"/>
          <w:kern w:val="22"/>
          <w:szCs w:val="22"/>
        </w:rPr>
        <w:t>,</w:t>
      </w:r>
      <w:r w:rsidRPr="00490BF5">
        <w:rPr>
          <w:snapToGrid w:val="0"/>
          <w:kern w:val="22"/>
          <w:szCs w:val="22"/>
        </w:rPr>
        <w:t xml:space="preserve"> such as the Classification of Environmental Protection Activities or the Classification of Functions of </w:t>
      </w:r>
      <w:r w:rsidR="00733C17" w:rsidRPr="00490BF5">
        <w:rPr>
          <w:snapToGrid w:val="0"/>
          <w:kern w:val="22"/>
          <w:szCs w:val="22"/>
        </w:rPr>
        <w:t xml:space="preserve">Government </w:t>
      </w:r>
      <w:r w:rsidRPr="00490BF5">
        <w:rPr>
          <w:snapToGrid w:val="0"/>
          <w:kern w:val="22"/>
          <w:szCs w:val="22"/>
        </w:rPr>
        <w:t>and</w:t>
      </w:r>
      <w:r w:rsidR="0015592C" w:rsidRPr="00490BF5">
        <w:rPr>
          <w:snapToGrid w:val="0"/>
          <w:kern w:val="22"/>
          <w:szCs w:val="22"/>
        </w:rPr>
        <w:t>,</w:t>
      </w:r>
      <w:r w:rsidRPr="00490BF5">
        <w:rPr>
          <w:snapToGrid w:val="0"/>
          <w:kern w:val="22"/>
          <w:szCs w:val="22"/>
        </w:rPr>
        <w:t xml:space="preserve"> in particular</w:t>
      </w:r>
      <w:r w:rsidR="0015592C" w:rsidRPr="00490BF5">
        <w:rPr>
          <w:snapToGrid w:val="0"/>
          <w:kern w:val="22"/>
          <w:szCs w:val="22"/>
        </w:rPr>
        <w:t>,</w:t>
      </w:r>
      <w:r w:rsidRPr="00490BF5">
        <w:rPr>
          <w:snapToGrid w:val="0"/>
          <w:kern w:val="22"/>
          <w:szCs w:val="22"/>
        </w:rPr>
        <w:t xml:space="preserve"> the </w:t>
      </w:r>
      <w:r w:rsidR="008C753F" w:rsidRPr="00490BF5">
        <w:rPr>
          <w:snapToGrid w:val="0"/>
          <w:kern w:val="22"/>
          <w:szCs w:val="22"/>
        </w:rPr>
        <w:t>“</w:t>
      </w:r>
      <w:r w:rsidRPr="00490BF5">
        <w:rPr>
          <w:snapToGrid w:val="0"/>
          <w:kern w:val="22"/>
          <w:szCs w:val="22"/>
        </w:rPr>
        <w:t>biodiversity and landscape protection</w:t>
      </w:r>
      <w:r w:rsidR="008C753F" w:rsidRPr="00490BF5">
        <w:rPr>
          <w:snapToGrid w:val="0"/>
          <w:kern w:val="22"/>
          <w:szCs w:val="22"/>
        </w:rPr>
        <w:t>”</w:t>
      </w:r>
      <w:r w:rsidRPr="00490BF5">
        <w:rPr>
          <w:snapToGrid w:val="0"/>
          <w:kern w:val="22"/>
          <w:szCs w:val="22"/>
        </w:rPr>
        <w:t xml:space="preserve"> sub-class contained therein.</w:t>
      </w:r>
    </w:p>
    <w:p w14:paraId="48351C2D" w14:textId="4C4D81BA"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490BF5">
        <w:rPr>
          <w:snapToGrid w:val="0"/>
          <w:kern w:val="22"/>
          <w:szCs w:val="22"/>
        </w:rPr>
        <w:lastRenderedPageBreak/>
        <w:t xml:space="preserve">Within this group, the </w:t>
      </w:r>
      <w:proofErr w:type="spellStart"/>
      <w:r w:rsidR="00B21CBD" w:rsidRPr="00490BF5">
        <w:rPr>
          <w:snapToGrid w:val="0"/>
          <w:kern w:val="22"/>
          <w:szCs w:val="22"/>
        </w:rPr>
        <w:t>Czechia</w:t>
      </w:r>
      <w:proofErr w:type="spellEnd"/>
      <w:r w:rsidRPr="00490BF5">
        <w:rPr>
          <w:snapToGrid w:val="0"/>
          <w:kern w:val="22"/>
          <w:szCs w:val="22"/>
        </w:rPr>
        <w:t xml:space="preserve"> and Finland referred to the coverage of private sources in the environmental protection expenditure accounts, and Finland noted that the statistical data on public sector environmental protection expenditures include lower levels of government in a consolidated manner (transfers between the central </w:t>
      </w:r>
      <w:r w:rsidR="00802D41" w:rsidRPr="00490BF5">
        <w:rPr>
          <w:snapToGrid w:val="0"/>
          <w:kern w:val="22"/>
          <w:szCs w:val="22"/>
        </w:rPr>
        <w:t>G</w:t>
      </w:r>
      <w:r w:rsidRPr="00490BF5">
        <w:rPr>
          <w:snapToGrid w:val="0"/>
          <w:kern w:val="22"/>
          <w:szCs w:val="22"/>
        </w:rPr>
        <w:t>overnment and municipalities are taken into account). In contrast, countries of the former group typically relied on an ad</w:t>
      </w:r>
      <w:r w:rsidR="00EC1A88" w:rsidRPr="00490BF5">
        <w:rPr>
          <w:snapToGrid w:val="0"/>
          <w:kern w:val="22"/>
          <w:szCs w:val="22"/>
        </w:rPr>
        <w:t xml:space="preserve"> </w:t>
      </w:r>
      <w:r w:rsidRPr="00490BF5">
        <w:rPr>
          <w:snapToGrid w:val="0"/>
          <w:kern w:val="22"/>
          <w:szCs w:val="22"/>
        </w:rPr>
        <w:t>hoc identification and compilation of data in order to address these sources; for instance</w:t>
      </w:r>
      <w:r w:rsidR="00802D41" w:rsidRPr="00490BF5">
        <w:rPr>
          <w:snapToGrid w:val="0"/>
          <w:kern w:val="22"/>
          <w:szCs w:val="22"/>
        </w:rPr>
        <w:t>,</w:t>
      </w:r>
      <w:r w:rsidRPr="00490BF5">
        <w:rPr>
          <w:snapToGrid w:val="0"/>
          <w:kern w:val="22"/>
          <w:szCs w:val="22"/>
        </w:rPr>
        <w:t xml:space="preserve"> Canada, Croatia, Denmark, Japan, Lebanon and Switzerland used reliable data from individual companies, foundations and academic institutions. With regard to subnational expenditures directly related to biodiversity, Japan used surveys sent to prefectures and municipalities, and Canada pointed to data inconsistencies limiting reporting thereon.</w:t>
      </w:r>
    </w:p>
    <w:p w14:paraId="3886B594" w14:textId="521F2A45"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490BF5">
        <w:rPr>
          <w:snapToGrid w:val="0"/>
          <w:kern w:val="22"/>
          <w:szCs w:val="22"/>
        </w:rPr>
        <w:t xml:space="preserve">As regards </w:t>
      </w:r>
      <w:proofErr w:type="spellStart"/>
      <w:r w:rsidRPr="00490BF5">
        <w:rPr>
          <w:snapToGrid w:val="0"/>
          <w:kern w:val="22"/>
          <w:szCs w:val="22"/>
        </w:rPr>
        <w:t>extrabudgetary</w:t>
      </w:r>
      <w:proofErr w:type="spellEnd"/>
      <w:r w:rsidRPr="00490BF5">
        <w:rPr>
          <w:snapToGrid w:val="0"/>
          <w:kern w:val="22"/>
          <w:szCs w:val="22"/>
        </w:rPr>
        <w:t xml:space="preserve"> expenditures, </w:t>
      </w:r>
      <w:r w:rsidR="006E604B" w:rsidRPr="00490BF5">
        <w:rPr>
          <w:snapToGrid w:val="0"/>
          <w:kern w:val="22"/>
          <w:szCs w:val="22"/>
        </w:rPr>
        <w:t>seven</w:t>
      </w:r>
      <w:r w:rsidRPr="00490BF5">
        <w:rPr>
          <w:snapToGrid w:val="0"/>
          <w:kern w:val="22"/>
          <w:szCs w:val="22"/>
        </w:rPr>
        <w:t xml:space="preserve"> Parties explained that they </w:t>
      </w:r>
      <w:r w:rsidR="004D61AB" w:rsidRPr="00490BF5">
        <w:rPr>
          <w:snapToGrid w:val="0"/>
          <w:kern w:val="22"/>
          <w:szCs w:val="22"/>
        </w:rPr>
        <w:t xml:space="preserve">had undertaken </w:t>
      </w:r>
      <w:r w:rsidRPr="00490BF5">
        <w:rPr>
          <w:snapToGrid w:val="0"/>
          <w:kern w:val="22"/>
          <w:szCs w:val="22"/>
        </w:rPr>
        <w:t xml:space="preserve">an assessment of development cooperation projects in order to identify </w:t>
      </w:r>
      <w:proofErr w:type="spellStart"/>
      <w:r w:rsidRPr="00490BF5">
        <w:rPr>
          <w:snapToGrid w:val="0"/>
          <w:kern w:val="22"/>
          <w:szCs w:val="22"/>
        </w:rPr>
        <w:t>extrabudgetary</w:t>
      </w:r>
      <w:proofErr w:type="spellEnd"/>
      <w:r w:rsidRPr="00490BF5">
        <w:rPr>
          <w:snapToGrid w:val="0"/>
          <w:kern w:val="22"/>
          <w:szCs w:val="22"/>
        </w:rPr>
        <w:t xml:space="preserve"> expenditures that are relevant for biodiversity, </w:t>
      </w:r>
      <w:r w:rsidR="004C63E5" w:rsidRPr="00490BF5">
        <w:rPr>
          <w:snapToGrid w:val="0"/>
          <w:kern w:val="22"/>
          <w:szCs w:val="22"/>
        </w:rPr>
        <w:t xml:space="preserve">again </w:t>
      </w:r>
      <w:r w:rsidRPr="00490BF5">
        <w:rPr>
          <w:snapToGrid w:val="0"/>
          <w:kern w:val="22"/>
          <w:szCs w:val="22"/>
        </w:rPr>
        <w:t xml:space="preserve">assigning percentage shares to those indirectly related, and possibly using the OECD CRS database </w:t>
      </w:r>
      <w:r w:rsidR="009400A3" w:rsidRPr="00490BF5">
        <w:rPr>
          <w:snapToGrid w:val="0"/>
          <w:kern w:val="22"/>
          <w:szCs w:val="22"/>
        </w:rPr>
        <w:t xml:space="preserve">to </w:t>
      </w:r>
      <w:r w:rsidRPr="00490BF5">
        <w:rPr>
          <w:snapToGrid w:val="0"/>
          <w:kern w:val="22"/>
          <w:szCs w:val="22"/>
        </w:rPr>
        <w:t>identify pertinent projects and associated expenditures.</w:t>
      </w:r>
    </w:p>
    <w:p w14:paraId="22F0B054" w14:textId="08F7A715"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490BF5">
        <w:rPr>
          <w:snapToGrid w:val="0"/>
          <w:kern w:val="22"/>
          <w:szCs w:val="22"/>
        </w:rPr>
        <w:t xml:space="preserve">The UNDP BIOFIN initiative provided updated information on progress made by participating countries along the stages of the BIOFIN methodology, which correspond to some of the targets for resource mobilization. This information is provided in </w:t>
      </w:r>
      <w:r w:rsidR="006E604B" w:rsidRPr="00490BF5">
        <w:rPr>
          <w:snapToGrid w:val="0"/>
          <w:kern w:val="22"/>
          <w:szCs w:val="22"/>
        </w:rPr>
        <w:t>a</w:t>
      </w:r>
      <w:r w:rsidRPr="00490BF5">
        <w:rPr>
          <w:snapToGrid w:val="0"/>
          <w:kern w:val="22"/>
          <w:szCs w:val="22"/>
        </w:rPr>
        <w:t xml:space="preserve">nnex II. A total of 14 countries are at the stage of preparing their final report on their biodiversity expenditure analysis. BIOFIN country teams presented results of their assessments at the third Global BIOFIN Conference, which </w:t>
      </w:r>
      <w:r w:rsidR="00394BF3" w:rsidRPr="00490BF5">
        <w:rPr>
          <w:snapToGrid w:val="0"/>
          <w:kern w:val="22"/>
          <w:szCs w:val="22"/>
        </w:rPr>
        <w:t>was held</w:t>
      </w:r>
      <w:r w:rsidRPr="00490BF5">
        <w:rPr>
          <w:snapToGrid w:val="0"/>
          <w:kern w:val="22"/>
          <w:szCs w:val="22"/>
        </w:rPr>
        <w:t xml:space="preserve"> in Chennai, India, from 6</w:t>
      </w:r>
      <w:r w:rsidR="00394BF3" w:rsidRPr="00490BF5">
        <w:rPr>
          <w:snapToGrid w:val="0"/>
          <w:kern w:val="22"/>
          <w:szCs w:val="22"/>
        </w:rPr>
        <w:t xml:space="preserve"> to </w:t>
      </w:r>
      <w:r w:rsidRPr="00490BF5">
        <w:rPr>
          <w:snapToGrid w:val="0"/>
          <w:kern w:val="22"/>
          <w:szCs w:val="22"/>
        </w:rPr>
        <w:t>8 March 2018.</w:t>
      </w:r>
      <w:r w:rsidRPr="00490BF5">
        <w:rPr>
          <w:rStyle w:val="FootnoteReference"/>
          <w:snapToGrid w:val="0"/>
          <w:kern w:val="22"/>
          <w:szCs w:val="22"/>
        </w:rPr>
        <w:footnoteReference w:id="13"/>
      </w:r>
      <w:r w:rsidRPr="00490BF5">
        <w:rPr>
          <w:snapToGrid w:val="0"/>
          <w:kern w:val="22"/>
          <w:szCs w:val="22"/>
        </w:rPr>
        <w:t xml:space="preserve"> For instance:</w:t>
      </w:r>
    </w:p>
    <w:p w14:paraId="06A95DE3" w14:textId="1F89162A"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In Colombia, total biodiversity expenditure represented close to </w:t>
      </w:r>
      <w:r w:rsidR="00386EB6" w:rsidRPr="00490BF5">
        <w:rPr>
          <w:snapToGrid w:val="0"/>
          <w:kern w:val="22"/>
          <w:szCs w:val="22"/>
        </w:rPr>
        <w:t>US$ </w:t>
      </w:r>
      <w:r w:rsidRPr="00490BF5">
        <w:rPr>
          <w:snapToGrid w:val="0"/>
          <w:kern w:val="22"/>
          <w:szCs w:val="22"/>
        </w:rPr>
        <w:t xml:space="preserve">272 </w:t>
      </w:r>
      <w:r w:rsidR="00781E8F" w:rsidRPr="00490BF5">
        <w:rPr>
          <w:snapToGrid w:val="0"/>
          <w:kern w:val="22"/>
          <w:szCs w:val="22"/>
        </w:rPr>
        <w:t>million</w:t>
      </w:r>
      <w:r w:rsidRPr="00490BF5">
        <w:rPr>
          <w:snapToGrid w:val="0"/>
          <w:kern w:val="22"/>
          <w:szCs w:val="22"/>
        </w:rPr>
        <w:t>, an average of 0.12</w:t>
      </w:r>
      <w:r w:rsidR="006A0651" w:rsidRPr="00490BF5">
        <w:rPr>
          <w:snapToGrid w:val="0"/>
          <w:kern w:val="22"/>
          <w:szCs w:val="22"/>
        </w:rPr>
        <w:t> per cent</w:t>
      </w:r>
      <w:r w:rsidRPr="00490BF5">
        <w:rPr>
          <w:snapToGrid w:val="0"/>
          <w:kern w:val="22"/>
          <w:szCs w:val="22"/>
        </w:rPr>
        <w:t xml:space="preserve"> of </w:t>
      </w:r>
      <w:r w:rsidR="00AE0E35" w:rsidRPr="00490BF5">
        <w:rPr>
          <w:snapToGrid w:val="0"/>
          <w:kern w:val="22"/>
          <w:szCs w:val="22"/>
        </w:rPr>
        <w:t>gross domestic product (</w:t>
      </w:r>
      <w:r w:rsidRPr="00490BF5">
        <w:rPr>
          <w:snapToGrid w:val="0"/>
          <w:kern w:val="22"/>
          <w:szCs w:val="22"/>
        </w:rPr>
        <w:t>GDP</w:t>
      </w:r>
      <w:r w:rsidR="00AE0E35" w:rsidRPr="00490BF5">
        <w:rPr>
          <w:snapToGrid w:val="0"/>
          <w:kern w:val="22"/>
          <w:szCs w:val="22"/>
        </w:rPr>
        <w:t>)</w:t>
      </w:r>
      <w:r w:rsidRPr="00490BF5">
        <w:rPr>
          <w:snapToGrid w:val="0"/>
          <w:kern w:val="22"/>
          <w:szCs w:val="22"/>
        </w:rPr>
        <w:t>, 0.5</w:t>
      </w:r>
      <w:r w:rsidR="006A0651" w:rsidRPr="00490BF5">
        <w:rPr>
          <w:snapToGrid w:val="0"/>
          <w:kern w:val="22"/>
          <w:szCs w:val="22"/>
        </w:rPr>
        <w:t> per cent</w:t>
      </w:r>
      <w:r w:rsidRPr="00490BF5">
        <w:rPr>
          <w:snapToGrid w:val="0"/>
          <w:kern w:val="22"/>
          <w:szCs w:val="22"/>
        </w:rPr>
        <w:t xml:space="preserve"> of public spending, and 24</w:t>
      </w:r>
      <w:r w:rsidR="006A0651" w:rsidRPr="00490BF5">
        <w:rPr>
          <w:snapToGrid w:val="0"/>
          <w:kern w:val="22"/>
          <w:szCs w:val="22"/>
        </w:rPr>
        <w:t> per cent</w:t>
      </w:r>
      <w:r w:rsidRPr="00490BF5">
        <w:rPr>
          <w:snapToGrid w:val="0"/>
          <w:kern w:val="22"/>
          <w:szCs w:val="22"/>
        </w:rPr>
        <w:t xml:space="preserve"> of the country’s environmental spending;</w:t>
      </w:r>
    </w:p>
    <w:p w14:paraId="2A837900" w14:textId="01C4F6A4"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In Mexico, biodiversity expenditure has increased 248 </w:t>
      </w:r>
      <w:r w:rsidR="006A0651" w:rsidRPr="00490BF5">
        <w:rPr>
          <w:snapToGrid w:val="0"/>
          <w:kern w:val="22"/>
          <w:szCs w:val="22"/>
        </w:rPr>
        <w:t> per cent</w:t>
      </w:r>
      <w:r w:rsidRPr="00490BF5">
        <w:rPr>
          <w:snapToGrid w:val="0"/>
          <w:kern w:val="22"/>
          <w:szCs w:val="22"/>
        </w:rPr>
        <w:t xml:space="preserve"> from 2006 to 2015 (from </w:t>
      </w:r>
      <w:r w:rsidR="00386EB6" w:rsidRPr="00490BF5">
        <w:rPr>
          <w:snapToGrid w:val="0"/>
          <w:kern w:val="22"/>
          <w:szCs w:val="22"/>
        </w:rPr>
        <w:t>US$ </w:t>
      </w:r>
      <w:r w:rsidRPr="00490BF5">
        <w:rPr>
          <w:snapToGrid w:val="0"/>
          <w:kern w:val="22"/>
          <w:szCs w:val="22"/>
        </w:rPr>
        <w:t xml:space="preserve">425.6 </w:t>
      </w:r>
      <w:r w:rsidR="00781E8F" w:rsidRPr="00490BF5">
        <w:rPr>
          <w:snapToGrid w:val="0"/>
          <w:kern w:val="22"/>
          <w:szCs w:val="22"/>
        </w:rPr>
        <w:t xml:space="preserve">million </w:t>
      </w:r>
      <w:r w:rsidRPr="00490BF5">
        <w:rPr>
          <w:snapToGrid w:val="0"/>
          <w:kern w:val="22"/>
          <w:szCs w:val="22"/>
        </w:rPr>
        <w:t xml:space="preserve">to </w:t>
      </w:r>
      <w:r w:rsidR="00386EB6" w:rsidRPr="00490BF5">
        <w:rPr>
          <w:snapToGrid w:val="0"/>
          <w:kern w:val="22"/>
          <w:szCs w:val="22"/>
        </w:rPr>
        <w:t>US$ </w:t>
      </w:r>
      <w:r w:rsidRPr="00490BF5">
        <w:rPr>
          <w:snapToGrid w:val="0"/>
          <w:kern w:val="22"/>
          <w:szCs w:val="22"/>
        </w:rPr>
        <w:t xml:space="preserve">1,169.8 </w:t>
      </w:r>
      <w:r w:rsidR="00781E8F" w:rsidRPr="00490BF5">
        <w:rPr>
          <w:snapToGrid w:val="0"/>
          <w:kern w:val="22"/>
          <w:szCs w:val="22"/>
        </w:rPr>
        <w:t>million</w:t>
      </w:r>
      <w:r w:rsidRPr="00490BF5">
        <w:rPr>
          <w:snapToGrid w:val="0"/>
          <w:kern w:val="22"/>
          <w:szCs w:val="22"/>
        </w:rPr>
        <w:t>); in 2015, public expenditure for biodiversity represented 0.1</w:t>
      </w:r>
      <w:r w:rsidR="006A0651" w:rsidRPr="00490BF5">
        <w:rPr>
          <w:snapToGrid w:val="0"/>
          <w:kern w:val="22"/>
          <w:szCs w:val="22"/>
        </w:rPr>
        <w:t> per cent</w:t>
      </w:r>
      <w:r w:rsidRPr="00490BF5">
        <w:rPr>
          <w:snapToGrid w:val="0"/>
          <w:kern w:val="22"/>
          <w:szCs w:val="22"/>
        </w:rPr>
        <w:t xml:space="preserve"> of GDP;</w:t>
      </w:r>
    </w:p>
    <w:p w14:paraId="10C5BCEF" w14:textId="410294EF"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In the Philippines, 4.9 billion </w:t>
      </w:r>
      <w:r w:rsidR="00E00338" w:rsidRPr="00490BF5">
        <w:rPr>
          <w:snapToGrid w:val="0"/>
          <w:kern w:val="22"/>
          <w:szCs w:val="22"/>
        </w:rPr>
        <w:t xml:space="preserve">pesos </w:t>
      </w:r>
      <w:r w:rsidRPr="00490BF5">
        <w:rPr>
          <w:snapToGrid w:val="0"/>
          <w:kern w:val="22"/>
          <w:szCs w:val="22"/>
        </w:rPr>
        <w:t>were spent on biodiversity per year between 2008 and 2013, representing 0.08</w:t>
      </w:r>
      <w:r w:rsidR="006A0651" w:rsidRPr="00490BF5">
        <w:rPr>
          <w:snapToGrid w:val="0"/>
          <w:kern w:val="22"/>
          <w:szCs w:val="22"/>
        </w:rPr>
        <w:t> per cent</w:t>
      </w:r>
      <w:r w:rsidRPr="00490BF5">
        <w:rPr>
          <w:snapToGrid w:val="0"/>
          <w:kern w:val="22"/>
          <w:szCs w:val="22"/>
        </w:rPr>
        <w:t xml:space="preserve"> of GDP for 2008 to 2013, 0.31</w:t>
      </w:r>
      <w:r w:rsidR="006A0651" w:rsidRPr="00490BF5">
        <w:rPr>
          <w:snapToGrid w:val="0"/>
          <w:kern w:val="22"/>
          <w:szCs w:val="22"/>
        </w:rPr>
        <w:t> per cent</w:t>
      </w:r>
      <w:r w:rsidRPr="00490BF5">
        <w:rPr>
          <w:snapToGrid w:val="0"/>
          <w:kern w:val="22"/>
          <w:szCs w:val="22"/>
        </w:rPr>
        <w:t xml:space="preserve"> of the national budgets;</w:t>
      </w:r>
    </w:p>
    <w:p w14:paraId="3BF07BE5" w14:textId="11A27538" w:rsidR="00FF546A" w:rsidRPr="00490BF5" w:rsidRDefault="00855A7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rPr>
      </w:pPr>
      <w:r w:rsidRPr="00490BF5">
        <w:rPr>
          <w:snapToGrid w:val="0"/>
          <w:kern w:val="22"/>
          <w:szCs w:val="22"/>
        </w:rPr>
        <w:t>At the regional level, biodiversity-related expenditures of BIOFIN countries in the Latin America</w:t>
      </w:r>
      <w:r w:rsidR="00E00338" w:rsidRPr="00490BF5">
        <w:rPr>
          <w:snapToGrid w:val="0"/>
          <w:kern w:val="22"/>
          <w:szCs w:val="22"/>
        </w:rPr>
        <w:t>n</w:t>
      </w:r>
      <w:r w:rsidRPr="00490BF5">
        <w:rPr>
          <w:snapToGrid w:val="0"/>
          <w:kern w:val="22"/>
          <w:szCs w:val="22"/>
        </w:rPr>
        <w:t xml:space="preserve"> and Caribbean region amount, on average, to 0.14</w:t>
      </w:r>
      <w:r w:rsidR="006A0651" w:rsidRPr="00490BF5">
        <w:rPr>
          <w:snapToGrid w:val="0"/>
          <w:kern w:val="22"/>
          <w:szCs w:val="22"/>
        </w:rPr>
        <w:t> per cent</w:t>
      </w:r>
      <w:r w:rsidRPr="00490BF5">
        <w:rPr>
          <w:snapToGrid w:val="0"/>
          <w:kern w:val="22"/>
          <w:szCs w:val="22"/>
        </w:rPr>
        <w:t xml:space="preserve"> of GDP.</w:t>
      </w:r>
    </w:p>
    <w:p w14:paraId="2A566DE7" w14:textId="689DC873" w:rsidR="00FF546A" w:rsidRPr="00490BF5" w:rsidRDefault="00FF546A" w:rsidP="00490BF5">
      <w:pPr>
        <w:keepNext/>
        <w:suppressLineNumbers/>
        <w:suppressAutoHyphens/>
        <w:kinsoku w:val="0"/>
        <w:overflowPunct w:val="0"/>
        <w:autoSpaceDE w:val="0"/>
        <w:autoSpaceDN w:val="0"/>
        <w:adjustRightInd w:val="0"/>
        <w:snapToGrid w:val="0"/>
        <w:spacing w:after="120"/>
        <w:jc w:val="left"/>
        <w:rPr>
          <w:snapToGrid w:val="0"/>
          <w:kern w:val="22"/>
          <w:szCs w:val="22"/>
        </w:rPr>
      </w:pPr>
      <w:proofErr w:type="gramStart"/>
      <w:r w:rsidRPr="00490BF5">
        <w:rPr>
          <w:b/>
          <w:snapToGrid w:val="0"/>
          <w:kern w:val="22"/>
          <w:szCs w:val="22"/>
        </w:rPr>
        <w:t xml:space="preserve">Table </w:t>
      </w:r>
      <w:r w:rsidR="00921B38" w:rsidRPr="00490BF5">
        <w:rPr>
          <w:b/>
          <w:snapToGrid w:val="0"/>
          <w:kern w:val="22"/>
          <w:szCs w:val="22"/>
        </w:rPr>
        <w:t>5.</w:t>
      </w:r>
      <w:proofErr w:type="gramEnd"/>
      <w:r w:rsidRPr="00490BF5">
        <w:rPr>
          <w:b/>
          <w:snapToGrid w:val="0"/>
          <w:kern w:val="22"/>
          <w:szCs w:val="22"/>
        </w:rPr>
        <w:t xml:space="preserve"> Domestic expenditure trends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326"/>
        <w:gridCol w:w="1399"/>
        <w:gridCol w:w="1249"/>
        <w:gridCol w:w="919"/>
        <w:gridCol w:w="1022"/>
      </w:tblGrid>
      <w:tr w:rsidR="00855A78" w:rsidRPr="00490BF5" w14:paraId="13FBB7F6" w14:textId="77777777" w:rsidTr="00490BF5">
        <w:trPr>
          <w:cantSplit/>
          <w:jc w:val="center"/>
        </w:trPr>
        <w:tc>
          <w:tcPr>
            <w:tcW w:w="4248" w:type="dxa"/>
            <w:shd w:val="clear" w:color="auto" w:fill="auto"/>
          </w:tcPr>
          <w:p w14:paraId="1C84D2D1" w14:textId="2077A915" w:rsidR="00855A78" w:rsidRPr="00490BF5" w:rsidRDefault="00855A78" w:rsidP="00490BF5">
            <w:pPr>
              <w:suppressLineNumbers/>
              <w:suppressAutoHyphens/>
              <w:kinsoku w:val="0"/>
              <w:overflowPunct w:val="0"/>
              <w:autoSpaceDE w:val="0"/>
              <w:autoSpaceDN w:val="0"/>
              <w:adjustRightInd w:val="0"/>
              <w:snapToGrid w:val="0"/>
              <w:ind w:left="360"/>
              <w:rPr>
                <w:bCs/>
                <w:snapToGrid w:val="0"/>
                <w:kern w:val="22"/>
                <w:szCs w:val="22"/>
              </w:rPr>
            </w:pPr>
          </w:p>
        </w:tc>
        <w:tc>
          <w:tcPr>
            <w:tcW w:w="1170" w:type="dxa"/>
            <w:shd w:val="clear" w:color="auto" w:fill="auto"/>
          </w:tcPr>
          <w:p w14:paraId="2E985D57" w14:textId="77777777"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Increase</w:t>
            </w:r>
          </w:p>
        </w:tc>
        <w:tc>
          <w:tcPr>
            <w:tcW w:w="1080" w:type="dxa"/>
            <w:shd w:val="clear" w:color="auto" w:fill="auto"/>
          </w:tcPr>
          <w:p w14:paraId="26419C09" w14:textId="77777777"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Decrease</w:t>
            </w:r>
          </w:p>
        </w:tc>
        <w:tc>
          <w:tcPr>
            <w:tcW w:w="1080" w:type="dxa"/>
            <w:shd w:val="clear" w:color="auto" w:fill="auto"/>
          </w:tcPr>
          <w:p w14:paraId="3E0BDF69" w14:textId="299E45E6"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Neutral</w:t>
            </w:r>
          </w:p>
        </w:tc>
        <w:tc>
          <w:tcPr>
            <w:tcW w:w="900" w:type="dxa"/>
            <w:shd w:val="clear" w:color="auto" w:fill="auto"/>
          </w:tcPr>
          <w:p w14:paraId="68868653" w14:textId="77777777"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N/A</w:t>
            </w:r>
          </w:p>
        </w:tc>
        <w:tc>
          <w:tcPr>
            <w:tcW w:w="1022" w:type="dxa"/>
            <w:shd w:val="clear" w:color="auto" w:fill="auto"/>
          </w:tcPr>
          <w:p w14:paraId="0BDC0D6D" w14:textId="77777777"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Total</w:t>
            </w:r>
          </w:p>
        </w:tc>
      </w:tr>
      <w:tr w:rsidR="00855A78" w:rsidRPr="00490BF5" w14:paraId="2DB6C559" w14:textId="77777777" w:rsidTr="00490BF5">
        <w:trPr>
          <w:cantSplit/>
          <w:jc w:val="center"/>
        </w:trPr>
        <w:tc>
          <w:tcPr>
            <w:tcW w:w="4248" w:type="dxa"/>
            <w:shd w:val="clear" w:color="auto" w:fill="auto"/>
          </w:tcPr>
          <w:p w14:paraId="3ACD1609" w14:textId="77777777"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DAC members</w:t>
            </w:r>
          </w:p>
        </w:tc>
        <w:tc>
          <w:tcPr>
            <w:tcW w:w="1170" w:type="dxa"/>
            <w:shd w:val="clear" w:color="auto" w:fill="auto"/>
          </w:tcPr>
          <w:p w14:paraId="68D31D8D"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7</w:t>
            </w:r>
          </w:p>
        </w:tc>
        <w:tc>
          <w:tcPr>
            <w:tcW w:w="1080" w:type="dxa"/>
            <w:shd w:val="clear" w:color="auto" w:fill="auto"/>
          </w:tcPr>
          <w:p w14:paraId="0621929A"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4</w:t>
            </w:r>
          </w:p>
        </w:tc>
        <w:tc>
          <w:tcPr>
            <w:tcW w:w="1080" w:type="dxa"/>
            <w:shd w:val="clear" w:color="auto" w:fill="auto"/>
          </w:tcPr>
          <w:p w14:paraId="5101D265"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7</w:t>
            </w:r>
          </w:p>
        </w:tc>
        <w:tc>
          <w:tcPr>
            <w:tcW w:w="900" w:type="dxa"/>
            <w:shd w:val="clear" w:color="auto" w:fill="auto"/>
          </w:tcPr>
          <w:p w14:paraId="4DF14C39"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w:t>
            </w:r>
          </w:p>
        </w:tc>
        <w:tc>
          <w:tcPr>
            <w:tcW w:w="1022" w:type="dxa"/>
            <w:shd w:val="clear" w:color="auto" w:fill="auto"/>
          </w:tcPr>
          <w:p w14:paraId="3D061740"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21</w:t>
            </w:r>
          </w:p>
        </w:tc>
      </w:tr>
      <w:tr w:rsidR="00855A78" w:rsidRPr="00490BF5" w14:paraId="59E73936" w14:textId="77777777" w:rsidTr="00490BF5">
        <w:trPr>
          <w:cantSplit/>
          <w:jc w:val="center"/>
        </w:trPr>
        <w:tc>
          <w:tcPr>
            <w:tcW w:w="4248" w:type="dxa"/>
            <w:shd w:val="clear" w:color="auto" w:fill="auto"/>
          </w:tcPr>
          <w:p w14:paraId="57BDABAA" w14:textId="77777777"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Non DAC members</w:t>
            </w:r>
          </w:p>
        </w:tc>
        <w:tc>
          <w:tcPr>
            <w:tcW w:w="1170" w:type="dxa"/>
            <w:shd w:val="clear" w:color="auto" w:fill="auto"/>
          </w:tcPr>
          <w:p w14:paraId="226F8BC6"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16</w:t>
            </w:r>
          </w:p>
        </w:tc>
        <w:tc>
          <w:tcPr>
            <w:tcW w:w="1080" w:type="dxa"/>
            <w:shd w:val="clear" w:color="auto" w:fill="auto"/>
          </w:tcPr>
          <w:p w14:paraId="2C51FDCD"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w:t>
            </w:r>
          </w:p>
        </w:tc>
        <w:tc>
          <w:tcPr>
            <w:tcW w:w="1080" w:type="dxa"/>
            <w:shd w:val="clear" w:color="auto" w:fill="auto"/>
          </w:tcPr>
          <w:p w14:paraId="60827744"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10</w:t>
            </w:r>
          </w:p>
        </w:tc>
        <w:tc>
          <w:tcPr>
            <w:tcW w:w="900" w:type="dxa"/>
            <w:shd w:val="clear" w:color="auto" w:fill="auto"/>
          </w:tcPr>
          <w:p w14:paraId="082644B9"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w:t>
            </w:r>
          </w:p>
        </w:tc>
        <w:tc>
          <w:tcPr>
            <w:tcW w:w="1022" w:type="dxa"/>
            <w:shd w:val="clear" w:color="auto" w:fill="auto"/>
          </w:tcPr>
          <w:p w14:paraId="3F271897"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37</w:t>
            </w:r>
          </w:p>
        </w:tc>
      </w:tr>
      <w:tr w:rsidR="00855A78" w:rsidRPr="00490BF5" w14:paraId="4C6CDC19" w14:textId="77777777" w:rsidTr="00490BF5">
        <w:trPr>
          <w:cantSplit/>
          <w:jc w:val="center"/>
        </w:trPr>
        <w:tc>
          <w:tcPr>
            <w:tcW w:w="4248" w:type="dxa"/>
            <w:shd w:val="clear" w:color="auto" w:fill="auto"/>
          </w:tcPr>
          <w:p w14:paraId="168ABD16" w14:textId="77777777"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Megadiverse countries</w:t>
            </w:r>
          </w:p>
        </w:tc>
        <w:tc>
          <w:tcPr>
            <w:tcW w:w="1170" w:type="dxa"/>
            <w:shd w:val="clear" w:color="auto" w:fill="auto"/>
          </w:tcPr>
          <w:p w14:paraId="6384C11E"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5</w:t>
            </w:r>
          </w:p>
        </w:tc>
        <w:tc>
          <w:tcPr>
            <w:tcW w:w="1080" w:type="dxa"/>
            <w:shd w:val="clear" w:color="auto" w:fill="auto"/>
          </w:tcPr>
          <w:p w14:paraId="76F18AB7"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p>
        </w:tc>
        <w:tc>
          <w:tcPr>
            <w:tcW w:w="1080" w:type="dxa"/>
            <w:shd w:val="clear" w:color="auto" w:fill="auto"/>
          </w:tcPr>
          <w:p w14:paraId="2B63811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w:t>
            </w:r>
          </w:p>
        </w:tc>
        <w:tc>
          <w:tcPr>
            <w:tcW w:w="900" w:type="dxa"/>
            <w:shd w:val="clear" w:color="auto" w:fill="auto"/>
          </w:tcPr>
          <w:p w14:paraId="235D58CE"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0</w:t>
            </w:r>
          </w:p>
        </w:tc>
        <w:tc>
          <w:tcPr>
            <w:tcW w:w="1022" w:type="dxa"/>
            <w:shd w:val="clear" w:color="auto" w:fill="auto"/>
          </w:tcPr>
          <w:p w14:paraId="4F24A8CF" w14:textId="77777777"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w:t>
            </w:r>
          </w:p>
        </w:tc>
      </w:tr>
    </w:tbl>
    <w:p w14:paraId="07448F31" w14:textId="37EC5608" w:rsidR="00855A78" w:rsidRPr="00490BF5" w:rsidRDefault="00855A78" w:rsidP="00490BF5">
      <w:pPr>
        <w:pStyle w:val="Heading1"/>
        <w:suppressLineNumbers/>
        <w:tabs>
          <w:tab w:val="clear" w:pos="720"/>
        </w:tab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V.</w:t>
      </w:r>
      <w:r w:rsidR="00212214" w:rsidRPr="00490BF5">
        <w:rPr>
          <w:snapToGrid w:val="0"/>
          <w:kern w:val="22"/>
          <w:szCs w:val="22"/>
        </w:rPr>
        <w:tab/>
      </w:r>
      <w:r w:rsidRPr="00490BF5">
        <w:rPr>
          <w:snapToGrid w:val="0"/>
          <w:kern w:val="22"/>
          <w:szCs w:val="22"/>
        </w:rPr>
        <w:t>Assessment of the role of collective action</w:t>
      </w:r>
    </w:p>
    <w:p w14:paraId="6C35F1B0" w14:textId="3EF08093"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A total of 6</w:t>
      </w:r>
      <w:r w:rsidR="00471C1C" w:rsidRPr="00490BF5">
        <w:rPr>
          <w:snapToGrid w:val="0"/>
          <w:kern w:val="22"/>
          <w:szCs w:val="22"/>
        </w:rPr>
        <w:t>0</w:t>
      </w:r>
      <w:r w:rsidRPr="00490BF5">
        <w:rPr>
          <w:snapToGrid w:val="0"/>
          <w:kern w:val="22"/>
          <w:szCs w:val="22"/>
        </w:rPr>
        <w:t xml:space="preserve"> Parties provided information on whether they </w:t>
      </w:r>
      <w:r w:rsidR="001338AF" w:rsidRPr="00490BF5">
        <w:rPr>
          <w:snapToGrid w:val="0"/>
          <w:kern w:val="22"/>
          <w:szCs w:val="22"/>
        </w:rPr>
        <w:t xml:space="preserve">had </w:t>
      </w:r>
      <w:r w:rsidRPr="00490BF5">
        <w:rPr>
          <w:snapToGrid w:val="0"/>
          <w:kern w:val="22"/>
          <w:szCs w:val="22"/>
        </w:rPr>
        <w:t xml:space="preserve">assessed the role of collective action, including by indigenous and local communities, and non-market approaches </w:t>
      </w:r>
      <w:r w:rsidR="00B066A8" w:rsidRPr="00490BF5">
        <w:rPr>
          <w:snapToGrid w:val="0"/>
          <w:kern w:val="22"/>
          <w:szCs w:val="22"/>
        </w:rPr>
        <w:t xml:space="preserve">to </w:t>
      </w:r>
      <w:r w:rsidRPr="00490BF5">
        <w:rPr>
          <w:snapToGrid w:val="0"/>
          <w:kern w:val="22"/>
          <w:szCs w:val="22"/>
        </w:rPr>
        <w:t>mobilizing resources for achieving the objectives of the Convention. A total of 18 Parties considered such assessment</w:t>
      </w:r>
      <w:r w:rsidR="000B19B8" w:rsidRPr="00490BF5">
        <w:rPr>
          <w:snapToGrid w:val="0"/>
          <w:kern w:val="22"/>
          <w:szCs w:val="22"/>
        </w:rPr>
        <w:t>s</w:t>
      </w:r>
      <w:r w:rsidRPr="00490BF5">
        <w:rPr>
          <w:snapToGrid w:val="0"/>
          <w:kern w:val="22"/>
          <w:szCs w:val="22"/>
        </w:rPr>
        <w:t xml:space="preserve"> </w:t>
      </w:r>
      <w:r w:rsidR="000B19B8" w:rsidRPr="00490BF5">
        <w:rPr>
          <w:snapToGrid w:val="0"/>
          <w:kern w:val="22"/>
          <w:szCs w:val="22"/>
        </w:rPr>
        <w:t>un</w:t>
      </w:r>
      <w:r w:rsidRPr="00490BF5">
        <w:rPr>
          <w:snapToGrid w:val="0"/>
          <w:kern w:val="22"/>
          <w:szCs w:val="22"/>
        </w:rPr>
        <w:t>necessary</w:t>
      </w:r>
      <w:r w:rsidR="000B19B8" w:rsidRPr="00490BF5">
        <w:rPr>
          <w:snapToGrid w:val="0"/>
          <w:kern w:val="22"/>
          <w:szCs w:val="22"/>
        </w:rPr>
        <w:t>,</w:t>
      </w:r>
      <w:r w:rsidRPr="00490BF5">
        <w:rPr>
          <w:snapToGrid w:val="0"/>
          <w:kern w:val="22"/>
          <w:szCs w:val="22"/>
        </w:rPr>
        <w:t xml:space="preserve"> while </w:t>
      </w:r>
      <w:r w:rsidR="00BF575A" w:rsidRPr="00490BF5">
        <w:rPr>
          <w:snapToGrid w:val="0"/>
          <w:kern w:val="22"/>
          <w:szCs w:val="22"/>
        </w:rPr>
        <w:t xml:space="preserve">36 </w:t>
      </w:r>
      <w:r w:rsidRPr="00490BF5">
        <w:rPr>
          <w:snapToGrid w:val="0"/>
          <w:kern w:val="22"/>
          <w:szCs w:val="22"/>
        </w:rPr>
        <w:t xml:space="preserve">Parties had not yet started and </w:t>
      </w:r>
      <w:r w:rsidR="00BF575A" w:rsidRPr="00490BF5">
        <w:rPr>
          <w:snapToGrid w:val="0"/>
          <w:kern w:val="22"/>
          <w:szCs w:val="22"/>
        </w:rPr>
        <w:t xml:space="preserve">six </w:t>
      </w:r>
      <w:r w:rsidRPr="00490BF5">
        <w:rPr>
          <w:snapToGrid w:val="0"/>
          <w:kern w:val="22"/>
          <w:szCs w:val="22"/>
        </w:rPr>
        <w:t xml:space="preserve">reported that some assessments </w:t>
      </w:r>
      <w:r w:rsidR="000B19B8" w:rsidRPr="00490BF5">
        <w:rPr>
          <w:snapToGrid w:val="0"/>
          <w:kern w:val="22"/>
          <w:szCs w:val="22"/>
        </w:rPr>
        <w:t xml:space="preserve">had been </w:t>
      </w:r>
      <w:r w:rsidRPr="00490BF5">
        <w:rPr>
          <w:snapToGrid w:val="0"/>
          <w:kern w:val="22"/>
          <w:szCs w:val="22"/>
        </w:rPr>
        <w:t xml:space="preserve">undertaken. No country indicated that comprehensive assessments </w:t>
      </w:r>
      <w:r w:rsidR="00A83BE2" w:rsidRPr="00490BF5">
        <w:rPr>
          <w:snapToGrid w:val="0"/>
          <w:kern w:val="22"/>
          <w:szCs w:val="22"/>
        </w:rPr>
        <w:t xml:space="preserve">had been </w:t>
      </w:r>
      <w:r w:rsidRPr="00490BF5">
        <w:rPr>
          <w:snapToGrid w:val="0"/>
          <w:kern w:val="22"/>
          <w:szCs w:val="22"/>
        </w:rPr>
        <w:t xml:space="preserve">undertaken. A total of five countries (Bolivia, Canada, Costa Rica, Peru and South Africa) provided additional information on this aspect, which </w:t>
      </w:r>
      <w:r w:rsidR="00451DA9" w:rsidRPr="00490BF5">
        <w:rPr>
          <w:snapToGrid w:val="0"/>
          <w:kern w:val="22"/>
          <w:szCs w:val="22"/>
        </w:rPr>
        <w:t>r</w:t>
      </w:r>
      <w:r w:rsidR="00307782" w:rsidRPr="00490BF5">
        <w:rPr>
          <w:snapToGrid w:val="0"/>
          <w:kern w:val="22"/>
          <w:szCs w:val="22"/>
        </w:rPr>
        <w:t>ema</w:t>
      </w:r>
      <w:r w:rsidR="00451DA9" w:rsidRPr="00490BF5">
        <w:rPr>
          <w:snapToGrid w:val="0"/>
          <w:kern w:val="22"/>
          <w:szCs w:val="22"/>
        </w:rPr>
        <w:t xml:space="preserve">ined </w:t>
      </w:r>
      <w:r w:rsidRPr="00490BF5">
        <w:rPr>
          <w:snapToGrid w:val="0"/>
          <w:kern w:val="22"/>
          <w:szCs w:val="22"/>
        </w:rPr>
        <w:t xml:space="preserve">unchanged </w:t>
      </w:r>
      <w:r w:rsidR="00672459" w:rsidRPr="00490BF5">
        <w:rPr>
          <w:snapToGrid w:val="0"/>
          <w:kern w:val="22"/>
          <w:szCs w:val="22"/>
        </w:rPr>
        <w:t>in comparison with</w:t>
      </w:r>
      <w:r w:rsidRPr="00490BF5">
        <w:rPr>
          <w:snapToGrid w:val="0"/>
          <w:kern w:val="22"/>
          <w:szCs w:val="22"/>
        </w:rPr>
        <w:t xml:space="preserve"> the last report.</w:t>
      </w:r>
      <w:r w:rsidRPr="00490BF5">
        <w:rPr>
          <w:rStyle w:val="FootnoteReference"/>
          <w:snapToGrid w:val="0"/>
          <w:kern w:val="22"/>
          <w:szCs w:val="22"/>
        </w:rPr>
        <w:t xml:space="preserve"> </w:t>
      </w:r>
      <w:r w:rsidRPr="00490BF5">
        <w:rPr>
          <w:rStyle w:val="FootnoteReference"/>
          <w:snapToGrid w:val="0"/>
          <w:kern w:val="22"/>
          <w:szCs w:val="22"/>
        </w:rPr>
        <w:footnoteReference w:id="14"/>
      </w:r>
      <w:r w:rsidRPr="00490BF5">
        <w:rPr>
          <w:snapToGrid w:val="0"/>
          <w:kern w:val="22"/>
          <w:szCs w:val="22"/>
        </w:rPr>
        <w:t xml:space="preserve"> This information includes monetary or other data: (</w:t>
      </w:r>
      <w:r w:rsidR="006E604B" w:rsidRPr="00490BF5">
        <w:rPr>
          <w:snapToGrid w:val="0"/>
          <w:kern w:val="22"/>
          <w:szCs w:val="22"/>
        </w:rPr>
        <w:t>a</w:t>
      </w:r>
      <w:r w:rsidRPr="00490BF5">
        <w:rPr>
          <w:snapToGrid w:val="0"/>
          <w:kern w:val="22"/>
          <w:szCs w:val="22"/>
        </w:rPr>
        <w:t xml:space="preserve">) </w:t>
      </w:r>
      <w:r w:rsidR="00B478E6" w:rsidRPr="00490BF5">
        <w:rPr>
          <w:snapToGrid w:val="0"/>
          <w:kern w:val="22"/>
          <w:szCs w:val="22"/>
        </w:rPr>
        <w:t>i</w:t>
      </w:r>
      <w:r w:rsidRPr="00490BF5">
        <w:rPr>
          <w:snapToGrid w:val="0"/>
          <w:kern w:val="22"/>
          <w:szCs w:val="22"/>
        </w:rPr>
        <w:t xml:space="preserve">n its preliminary report, Bolivia assessed the role of collective action to an approximated monetary equivalent of </w:t>
      </w:r>
      <w:r w:rsidR="00BA2125" w:rsidRPr="00490BF5">
        <w:rPr>
          <w:snapToGrid w:val="0"/>
          <w:kern w:val="22"/>
          <w:szCs w:val="22"/>
        </w:rPr>
        <w:t>US$ </w:t>
      </w:r>
      <w:r w:rsidRPr="00490BF5">
        <w:rPr>
          <w:snapToGrid w:val="0"/>
          <w:kern w:val="22"/>
          <w:szCs w:val="22"/>
        </w:rPr>
        <w:t>360 million annually between 2006 and 2015; (</w:t>
      </w:r>
      <w:r w:rsidR="006E604B" w:rsidRPr="00490BF5">
        <w:rPr>
          <w:snapToGrid w:val="0"/>
          <w:kern w:val="22"/>
          <w:szCs w:val="22"/>
        </w:rPr>
        <w:t>b</w:t>
      </w:r>
      <w:r w:rsidRPr="00490BF5">
        <w:rPr>
          <w:snapToGrid w:val="0"/>
          <w:kern w:val="22"/>
          <w:szCs w:val="22"/>
        </w:rPr>
        <w:t xml:space="preserve">) Canada </w:t>
      </w:r>
      <w:r w:rsidRPr="00490BF5">
        <w:rPr>
          <w:snapToGrid w:val="0"/>
          <w:kern w:val="22"/>
          <w:szCs w:val="22"/>
        </w:rPr>
        <w:lastRenderedPageBreak/>
        <w:t xml:space="preserve">conducted a partial assessment of the role of collective action based on </w:t>
      </w:r>
      <w:r w:rsidR="00507B62" w:rsidRPr="00490BF5">
        <w:rPr>
          <w:snapToGrid w:val="0"/>
          <w:kern w:val="22"/>
          <w:szCs w:val="22"/>
        </w:rPr>
        <w:t xml:space="preserve">19 </w:t>
      </w:r>
      <w:r w:rsidRPr="00490BF5">
        <w:rPr>
          <w:snapToGrid w:val="0"/>
          <w:kern w:val="22"/>
          <w:szCs w:val="22"/>
        </w:rPr>
        <w:t xml:space="preserve">examples of collective action programmes or initiatives, amounting to an annual average of </w:t>
      </w:r>
      <w:r w:rsidR="00BA2125" w:rsidRPr="00490BF5">
        <w:rPr>
          <w:snapToGrid w:val="0"/>
          <w:kern w:val="22"/>
          <w:szCs w:val="22"/>
        </w:rPr>
        <w:t>CA$ </w:t>
      </w:r>
      <w:r w:rsidRPr="00490BF5">
        <w:rPr>
          <w:snapToGrid w:val="0"/>
          <w:kern w:val="22"/>
          <w:szCs w:val="22"/>
        </w:rPr>
        <w:t>151 million between 2006 and 2014; (</w:t>
      </w:r>
      <w:r w:rsidR="006E604B" w:rsidRPr="00490BF5">
        <w:rPr>
          <w:snapToGrid w:val="0"/>
          <w:kern w:val="22"/>
          <w:szCs w:val="22"/>
        </w:rPr>
        <w:t>c</w:t>
      </w:r>
      <w:r w:rsidRPr="00490BF5">
        <w:rPr>
          <w:snapToGrid w:val="0"/>
          <w:kern w:val="22"/>
          <w:szCs w:val="22"/>
        </w:rPr>
        <w:t xml:space="preserve">) Costa Rica reported that </w:t>
      </w:r>
      <w:r w:rsidR="0060297F" w:rsidRPr="00490BF5">
        <w:rPr>
          <w:snapToGrid w:val="0"/>
          <w:kern w:val="22"/>
          <w:szCs w:val="22"/>
        </w:rPr>
        <w:t>US$ </w:t>
      </w:r>
      <w:r w:rsidRPr="00490BF5">
        <w:rPr>
          <w:snapToGrid w:val="0"/>
          <w:kern w:val="22"/>
          <w:szCs w:val="22"/>
        </w:rPr>
        <w:t xml:space="preserve">3 million </w:t>
      </w:r>
      <w:r w:rsidR="0060297F" w:rsidRPr="00490BF5">
        <w:rPr>
          <w:snapToGrid w:val="0"/>
          <w:kern w:val="22"/>
          <w:szCs w:val="22"/>
        </w:rPr>
        <w:t>in</w:t>
      </w:r>
      <w:r w:rsidRPr="00490BF5">
        <w:rPr>
          <w:snapToGrid w:val="0"/>
          <w:kern w:val="22"/>
          <w:szCs w:val="22"/>
        </w:rPr>
        <w:t xml:space="preserve"> payments for ecosystem services </w:t>
      </w:r>
      <w:r w:rsidR="00633E73" w:rsidRPr="00490BF5">
        <w:rPr>
          <w:snapToGrid w:val="0"/>
          <w:kern w:val="22"/>
          <w:szCs w:val="22"/>
        </w:rPr>
        <w:t xml:space="preserve">had been </w:t>
      </w:r>
      <w:r w:rsidRPr="00490BF5">
        <w:rPr>
          <w:snapToGrid w:val="0"/>
          <w:kern w:val="22"/>
          <w:szCs w:val="22"/>
        </w:rPr>
        <w:t>provided annually between 2007 and 2011 to indigenous and local communities for their contribution to biodiversity conservation; (</w:t>
      </w:r>
      <w:r w:rsidR="006E604B" w:rsidRPr="00490BF5">
        <w:rPr>
          <w:snapToGrid w:val="0"/>
          <w:kern w:val="22"/>
          <w:szCs w:val="22"/>
        </w:rPr>
        <w:t>d</w:t>
      </w:r>
      <w:r w:rsidRPr="00490BF5">
        <w:rPr>
          <w:snapToGrid w:val="0"/>
          <w:kern w:val="22"/>
          <w:szCs w:val="22"/>
        </w:rPr>
        <w:t xml:space="preserve">) Peru reported on the contribution of small farmers to conserving the genetic diversity of potatoes, amounting to a monetary equivalent of </w:t>
      </w:r>
      <w:r w:rsidR="0060297F" w:rsidRPr="00490BF5">
        <w:rPr>
          <w:snapToGrid w:val="0"/>
          <w:kern w:val="22"/>
          <w:szCs w:val="22"/>
        </w:rPr>
        <w:t>US$ </w:t>
      </w:r>
      <w:r w:rsidRPr="00490BF5">
        <w:rPr>
          <w:snapToGrid w:val="0"/>
          <w:kern w:val="22"/>
          <w:szCs w:val="22"/>
        </w:rPr>
        <w:t>66 million in 2014; (</w:t>
      </w:r>
      <w:r w:rsidR="006E604B" w:rsidRPr="00490BF5">
        <w:rPr>
          <w:snapToGrid w:val="0"/>
          <w:kern w:val="22"/>
          <w:szCs w:val="22"/>
        </w:rPr>
        <w:t>e</w:t>
      </w:r>
      <w:r w:rsidRPr="00490BF5">
        <w:rPr>
          <w:snapToGrid w:val="0"/>
          <w:kern w:val="22"/>
          <w:szCs w:val="22"/>
        </w:rPr>
        <w:t>) South Africa pointed to the land area conserved by private and communal landowners, which amount</w:t>
      </w:r>
      <w:r w:rsidR="002108AE" w:rsidRPr="00490BF5">
        <w:rPr>
          <w:snapToGrid w:val="0"/>
          <w:kern w:val="22"/>
          <w:szCs w:val="22"/>
        </w:rPr>
        <w:t>ed</w:t>
      </w:r>
      <w:r w:rsidRPr="00490BF5">
        <w:rPr>
          <w:snapToGrid w:val="0"/>
          <w:kern w:val="22"/>
          <w:szCs w:val="22"/>
        </w:rPr>
        <w:t xml:space="preserve"> to 3</w:t>
      </w:r>
      <w:r w:rsidR="0060297F" w:rsidRPr="00490BF5">
        <w:rPr>
          <w:snapToGrid w:val="0"/>
          <w:kern w:val="22"/>
          <w:szCs w:val="22"/>
        </w:rPr>
        <w:t>,</w:t>
      </w:r>
      <w:r w:rsidRPr="00490BF5">
        <w:rPr>
          <w:snapToGrid w:val="0"/>
          <w:kern w:val="22"/>
          <w:szCs w:val="22"/>
        </w:rPr>
        <w:t>440</w:t>
      </w:r>
      <w:r w:rsidR="0060297F" w:rsidRPr="00490BF5">
        <w:rPr>
          <w:snapToGrid w:val="0"/>
          <w:kern w:val="22"/>
          <w:szCs w:val="22"/>
        </w:rPr>
        <w:t>,</w:t>
      </w:r>
      <w:r w:rsidRPr="00490BF5">
        <w:rPr>
          <w:snapToGrid w:val="0"/>
          <w:kern w:val="22"/>
          <w:szCs w:val="22"/>
        </w:rPr>
        <w:t>009 hectares or close to 30</w:t>
      </w:r>
      <w:r w:rsidR="006A0651" w:rsidRPr="00490BF5">
        <w:rPr>
          <w:snapToGrid w:val="0"/>
          <w:kern w:val="22"/>
          <w:szCs w:val="22"/>
        </w:rPr>
        <w:t> per cent</w:t>
      </w:r>
      <w:r w:rsidRPr="00490BF5">
        <w:rPr>
          <w:snapToGrid w:val="0"/>
          <w:kern w:val="22"/>
          <w:szCs w:val="22"/>
        </w:rPr>
        <w:t xml:space="preserve"> of the total protected area estate in South Africa.</w:t>
      </w:r>
    </w:p>
    <w:p w14:paraId="6C85D130" w14:textId="2B816D62"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Bolivia, Canada and Peru provided additional methodological information on assessing the contribution of collective action:</w:t>
      </w:r>
    </w:p>
    <w:p w14:paraId="64B72023" w14:textId="7B9CEE17" w:rsidR="00855A78" w:rsidRPr="00490BF5"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Bolivia approximated the contribution of collective action within protected areas using the number of inhabitants of indigenous and local communities in protected areas and the minimum salary. For contributions of collective action outside protected areas, Bolivia applied the conceptual and methodological framework for evaluating the contribution of collective action to biodiversity conservation by using the surface area inhabited by indigenous and local communities outside protected areas and the per-hectare official spending on protected area management</w:t>
      </w:r>
      <w:r w:rsidR="006E604B" w:rsidRPr="00490BF5">
        <w:rPr>
          <w:snapToGrid w:val="0"/>
          <w:kern w:val="22"/>
          <w:szCs w:val="22"/>
        </w:rPr>
        <w:t>;</w:t>
      </w:r>
    </w:p>
    <w:p w14:paraId="6058C8BD" w14:textId="594904F7" w:rsidR="00855A78" w:rsidRPr="00490BF5"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Canada used the total amount of funding leveraged by two or more partners (e.g. </w:t>
      </w:r>
      <w:r w:rsidR="00633939" w:rsidRPr="00490BF5">
        <w:rPr>
          <w:snapToGrid w:val="0"/>
          <w:kern w:val="22"/>
          <w:szCs w:val="22"/>
        </w:rPr>
        <w:t xml:space="preserve">aboriginal </w:t>
      </w:r>
      <w:r w:rsidRPr="00490BF5">
        <w:rPr>
          <w:snapToGrid w:val="0"/>
          <w:kern w:val="22"/>
          <w:szCs w:val="22"/>
        </w:rPr>
        <w:t>groups, NGOs, academic institutions), including mostly federal government program</w:t>
      </w:r>
      <w:r w:rsidR="006E604B" w:rsidRPr="00490BF5">
        <w:rPr>
          <w:snapToGrid w:val="0"/>
          <w:kern w:val="22"/>
          <w:szCs w:val="22"/>
        </w:rPr>
        <w:t>me</w:t>
      </w:r>
      <w:r w:rsidRPr="00490BF5">
        <w:rPr>
          <w:snapToGrid w:val="0"/>
          <w:kern w:val="22"/>
          <w:szCs w:val="22"/>
        </w:rPr>
        <w:t>s aim</w:t>
      </w:r>
      <w:r w:rsidR="00152D00" w:rsidRPr="00490BF5">
        <w:rPr>
          <w:snapToGrid w:val="0"/>
          <w:kern w:val="22"/>
          <w:szCs w:val="22"/>
        </w:rPr>
        <w:t>ed</w:t>
      </w:r>
      <w:r w:rsidRPr="00490BF5">
        <w:rPr>
          <w:snapToGrid w:val="0"/>
          <w:kern w:val="22"/>
          <w:szCs w:val="22"/>
        </w:rPr>
        <w:t xml:space="preserve"> </w:t>
      </w:r>
      <w:r w:rsidR="00152D00" w:rsidRPr="00490BF5">
        <w:rPr>
          <w:snapToGrid w:val="0"/>
          <w:kern w:val="22"/>
          <w:szCs w:val="22"/>
        </w:rPr>
        <w:t xml:space="preserve">at </w:t>
      </w:r>
      <w:r w:rsidRPr="00490BF5">
        <w:rPr>
          <w:snapToGrid w:val="0"/>
          <w:kern w:val="22"/>
          <w:szCs w:val="22"/>
        </w:rPr>
        <w:t>achiev</w:t>
      </w:r>
      <w:r w:rsidR="00152D00" w:rsidRPr="00490BF5">
        <w:rPr>
          <w:snapToGrid w:val="0"/>
          <w:kern w:val="22"/>
          <w:szCs w:val="22"/>
        </w:rPr>
        <w:t>ing</w:t>
      </w:r>
      <w:r w:rsidRPr="00490BF5">
        <w:rPr>
          <w:snapToGrid w:val="0"/>
          <w:kern w:val="22"/>
          <w:szCs w:val="22"/>
        </w:rPr>
        <w:t xml:space="preserve"> a minimum of 1:1 leveraging on funds invested so that, for every $1 provided by the program</w:t>
      </w:r>
      <w:r w:rsidR="006E604B" w:rsidRPr="00490BF5">
        <w:rPr>
          <w:snapToGrid w:val="0"/>
          <w:kern w:val="22"/>
          <w:szCs w:val="22"/>
        </w:rPr>
        <w:t>me</w:t>
      </w:r>
      <w:r w:rsidRPr="00490BF5">
        <w:rPr>
          <w:snapToGrid w:val="0"/>
          <w:kern w:val="22"/>
          <w:szCs w:val="22"/>
        </w:rPr>
        <w:t>, at least $1 is co-funded by project recipients through financial or in-kind resources (e.g. volunteered labour, products or services). Canada used financial indicators since this information was most readily available and could be compared across a larger number of examples. The submission notes that it was challenging to quantify non-financial indicators in a comparable way since different initiatives or programmes use different metrics of biodiversity outcome</w:t>
      </w:r>
      <w:r w:rsidR="006E604B" w:rsidRPr="00490BF5">
        <w:rPr>
          <w:snapToGrid w:val="0"/>
          <w:kern w:val="22"/>
          <w:szCs w:val="22"/>
        </w:rPr>
        <w:t>;</w:t>
      </w:r>
    </w:p>
    <w:p w14:paraId="4919D553" w14:textId="62A390B5" w:rsidR="00855A78" w:rsidRPr="00490BF5" w:rsidRDefault="006E604B"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The </w:t>
      </w:r>
      <w:r w:rsidR="00855A78" w:rsidRPr="00490BF5">
        <w:rPr>
          <w:snapToGrid w:val="0"/>
          <w:kern w:val="22"/>
          <w:szCs w:val="22"/>
        </w:rPr>
        <w:t xml:space="preserve">assessment </w:t>
      </w:r>
      <w:r w:rsidRPr="00490BF5">
        <w:rPr>
          <w:snapToGrid w:val="0"/>
          <w:kern w:val="22"/>
          <w:szCs w:val="22"/>
        </w:rPr>
        <w:t xml:space="preserve">by Peru </w:t>
      </w:r>
      <w:r w:rsidR="00855A78" w:rsidRPr="00490BF5">
        <w:rPr>
          <w:snapToGrid w:val="0"/>
          <w:kern w:val="22"/>
          <w:szCs w:val="22"/>
        </w:rPr>
        <w:t xml:space="preserve">of the contribution of small farmers to conserving the genetic diversity of potatoes covered smallholders with one hectare or less, based on data from the National Agricultural Census </w:t>
      </w:r>
      <w:r w:rsidR="00D51E3B" w:rsidRPr="00490BF5">
        <w:rPr>
          <w:snapToGrid w:val="0"/>
          <w:kern w:val="22"/>
          <w:szCs w:val="22"/>
        </w:rPr>
        <w:t xml:space="preserve">of </w:t>
      </w:r>
      <w:r w:rsidR="00855A78" w:rsidRPr="00490BF5">
        <w:rPr>
          <w:snapToGrid w:val="0"/>
          <w:kern w:val="22"/>
          <w:szCs w:val="22"/>
        </w:rPr>
        <w:t>2013. Contributions covered included knowledge transfer, seed exchange and storage.</w:t>
      </w:r>
    </w:p>
    <w:p w14:paraId="7F19A2BF" w14:textId="37F35DD3" w:rsidR="00855A78" w:rsidRPr="00490BF5" w:rsidRDefault="00855A78" w:rsidP="00490BF5">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VI.</w:t>
      </w:r>
      <w:r w:rsidR="006E604B" w:rsidRPr="00490BF5">
        <w:rPr>
          <w:snapToGrid w:val="0"/>
          <w:kern w:val="22"/>
          <w:szCs w:val="22"/>
        </w:rPr>
        <w:tab/>
      </w:r>
      <w:r w:rsidRPr="00490BF5">
        <w:rPr>
          <w:snapToGrid w:val="0"/>
          <w:kern w:val="22"/>
          <w:szCs w:val="22"/>
        </w:rPr>
        <w:t>Reporting funding needs, gaps, and priorities</w:t>
      </w:r>
    </w:p>
    <w:p w14:paraId="1585722D" w14:textId="5323801D"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 total of </w:t>
      </w:r>
      <w:r w:rsidR="006D6BB3" w:rsidRPr="00490BF5">
        <w:rPr>
          <w:snapToGrid w:val="0"/>
          <w:kern w:val="22"/>
          <w:szCs w:val="22"/>
        </w:rPr>
        <w:t xml:space="preserve">35 </w:t>
      </w:r>
      <w:r w:rsidRPr="00490BF5">
        <w:rPr>
          <w:snapToGrid w:val="0"/>
          <w:kern w:val="22"/>
          <w:szCs w:val="22"/>
        </w:rPr>
        <w:t xml:space="preserve">reporting Parties (a bit over </w:t>
      </w:r>
      <w:r w:rsidR="006D6BB3" w:rsidRPr="00490BF5">
        <w:rPr>
          <w:snapToGrid w:val="0"/>
          <w:kern w:val="22"/>
          <w:szCs w:val="22"/>
        </w:rPr>
        <w:t>45</w:t>
      </w:r>
      <w:r w:rsidR="006A0651" w:rsidRPr="00490BF5">
        <w:rPr>
          <w:snapToGrid w:val="0"/>
          <w:kern w:val="22"/>
          <w:szCs w:val="22"/>
        </w:rPr>
        <w:t> per cent</w:t>
      </w:r>
      <w:r w:rsidRPr="00490BF5">
        <w:rPr>
          <w:snapToGrid w:val="0"/>
          <w:kern w:val="22"/>
          <w:szCs w:val="22"/>
        </w:rPr>
        <w:t xml:space="preserve">) indicated their estimated funding need (typically based on the revised NBSAP; see below), and most of them calculated the estimated funding gap by subtracting estimated available resources. A total of </w:t>
      </w:r>
      <w:r w:rsidR="006D6BB3" w:rsidRPr="00490BF5">
        <w:rPr>
          <w:snapToGrid w:val="0"/>
          <w:kern w:val="22"/>
          <w:szCs w:val="22"/>
        </w:rPr>
        <w:t xml:space="preserve">21 </w:t>
      </w:r>
      <w:r w:rsidRPr="00490BF5">
        <w:rPr>
          <w:snapToGrid w:val="0"/>
          <w:kern w:val="22"/>
          <w:szCs w:val="22"/>
        </w:rPr>
        <w:t>countries, or about 30</w:t>
      </w:r>
      <w:r w:rsidR="006A0651" w:rsidRPr="00490BF5">
        <w:rPr>
          <w:snapToGrid w:val="0"/>
          <w:kern w:val="22"/>
          <w:szCs w:val="22"/>
        </w:rPr>
        <w:t> per cent</w:t>
      </w:r>
      <w:r w:rsidRPr="00490BF5">
        <w:rPr>
          <w:snapToGrid w:val="0"/>
          <w:kern w:val="22"/>
          <w:szCs w:val="22"/>
        </w:rPr>
        <w:t xml:space="preserve">, also indicated actions for priority funding. Reporting countries referred in particular to their revised NBSAP as a basis for their assessment, and in some cases </w:t>
      </w:r>
      <w:bookmarkStart w:id="1" w:name="_Ref443595809"/>
      <w:r w:rsidRPr="00490BF5">
        <w:rPr>
          <w:snapToGrid w:val="0"/>
          <w:kern w:val="22"/>
          <w:szCs w:val="22"/>
        </w:rPr>
        <w:t>specifically to their resource mobilization plan. In several cases, countries pointed to their ongoing work on the revised NBSAP or ongoing work under the BIOFIN initiative.</w:t>
      </w:r>
      <w:bookmarkEnd w:id="1"/>
      <w:r w:rsidRPr="00490BF5">
        <w:rPr>
          <w:snapToGrid w:val="0"/>
          <w:kern w:val="22"/>
          <w:szCs w:val="22"/>
        </w:rPr>
        <w:t xml:space="preserve"> Several Parties (China, Estonia, the European Union, Latvia, Madagascar, Spain, Sudan, Switzerland, and the United Kingdom), while not providing data in the table, provided additional information, noting</w:t>
      </w:r>
      <w:r w:rsidR="007D552D" w:rsidRPr="00490BF5">
        <w:rPr>
          <w:snapToGrid w:val="0"/>
          <w:kern w:val="22"/>
          <w:szCs w:val="22"/>
        </w:rPr>
        <w:t>,</w:t>
      </w:r>
      <w:r w:rsidRPr="00490BF5">
        <w:rPr>
          <w:snapToGrid w:val="0"/>
          <w:kern w:val="22"/>
          <w:szCs w:val="22"/>
        </w:rPr>
        <w:t xml:space="preserve"> for instance</w:t>
      </w:r>
      <w:r w:rsidR="007D552D" w:rsidRPr="00490BF5">
        <w:rPr>
          <w:snapToGrid w:val="0"/>
          <w:kern w:val="22"/>
          <w:szCs w:val="22"/>
        </w:rPr>
        <w:t>,</w:t>
      </w:r>
      <w:r w:rsidRPr="00490BF5">
        <w:rPr>
          <w:snapToGrid w:val="0"/>
          <w:kern w:val="22"/>
          <w:szCs w:val="22"/>
        </w:rPr>
        <w:t xml:space="preserve"> specific needs which could be identified.</w:t>
      </w:r>
    </w:p>
    <w:p w14:paraId="3B79D455" w14:textId="70AFA1D6"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A total of 59 revised NBSAPs include a costing for their action plans (</w:t>
      </w:r>
      <w:r w:rsidR="00C435E4" w:rsidRPr="00490BF5">
        <w:rPr>
          <w:snapToGrid w:val="0"/>
          <w:color w:val="000000"/>
          <w:kern w:val="22"/>
          <w:szCs w:val="22"/>
        </w:rPr>
        <w:t>albeit</w:t>
      </w:r>
      <w:r w:rsidRPr="00490BF5">
        <w:rPr>
          <w:snapToGrid w:val="0"/>
          <w:color w:val="000000"/>
          <w:kern w:val="22"/>
          <w:szCs w:val="22"/>
        </w:rPr>
        <w:t xml:space="preserve"> not necessarily in terms of annualized costs).</w:t>
      </w:r>
      <w:r w:rsidRPr="00490BF5">
        <w:rPr>
          <w:rStyle w:val="FootnoteReference"/>
          <w:snapToGrid w:val="0"/>
          <w:color w:val="000000"/>
          <w:kern w:val="22"/>
          <w:szCs w:val="22"/>
        </w:rPr>
        <w:footnoteReference w:id="15"/>
      </w:r>
    </w:p>
    <w:p w14:paraId="4BD38C42" w14:textId="7EA1E680"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In the updated UNDP BIOFIN progress table, a total of </w:t>
      </w:r>
      <w:r w:rsidR="00212214" w:rsidRPr="00490BF5">
        <w:rPr>
          <w:snapToGrid w:val="0"/>
          <w:kern w:val="22"/>
          <w:szCs w:val="22"/>
        </w:rPr>
        <w:t>nine</w:t>
      </w:r>
      <w:r w:rsidR="005D777B" w:rsidRPr="00490BF5">
        <w:rPr>
          <w:snapToGrid w:val="0"/>
          <w:kern w:val="22"/>
          <w:szCs w:val="22"/>
        </w:rPr>
        <w:t xml:space="preserve"> </w:t>
      </w:r>
      <w:r w:rsidRPr="00490BF5">
        <w:rPr>
          <w:snapToGrid w:val="0"/>
          <w:kern w:val="22"/>
          <w:szCs w:val="22"/>
        </w:rPr>
        <w:t xml:space="preserve">countries completed their assessment of funding needs and gaps. </w:t>
      </w:r>
      <w:r w:rsidR="008C3C9A" w:rsidRPr="00490BF5">
        <w:rPr>
          <w:snapToGrid w:val="0"/>
          <w:kern w:val="22"/>
          <w:szCs w:val="22"/>
        </w:rPr>
        <w:t>A</w:t>
      </w:r>
      <w:r w:rsidRPr="00490BF5">
        <w:rPr>
          <w:snapToGrid w:val="0"/>
          <w:kern w:val="22"/>
          <w:szCs w:val="22"/>
        </w:rPr>
        <w:t xml:space="preserve"> few findings presented at the </w:t>
      </w:r>
      <w:r w:rsidR="00AB18CD" w:rsidRPr="00490BF5">
        <w:rPr>
          <w:snapToGrid w:val="0"/>
          <w:kern w:val="22"/>
          <w:szCs w:val="22"/>
        </w:rPr>
        <w:t xml:space="preserve">third </w:t>
      </w:r>
      <w:r w:rsidRPr="00490BF5">
        <w:rPr>
          <w:snapToGrid w:val="0"/>
          <w:kern w:val="22"/>
          <w:szCs w:val="22"/>
        </w:rPr>
        <w:t>BIOFIN Conference</w:t>
      </w:r>
      <w:r w:rsidR="008C3C9A" w:rsidRPr="00490BF5">
        <w:rPr>
          <w:snapToGrid w:val="0"/>
          <w:kern w:val="22"/>
          <w:szCs w:val="22"/>
        </w:rPr>
        <w:t xml:space="preserve"> are summarized as follows</w:t>
      </w:r>
      <w:r w:rsidRPr="00490BF5">
        <w:rPr>
          <w:snapToGrid w:val="0"/>
          <w:kern w:val="22"/>
          <w:szCs w:val="22"/>
        </w:rPr>
        <w:t>:</w:t>
      </w:r>
    </w:p>
    <w:p w14:paraId="0DB88F7B" w14:textId="657622DA" w:rsidR="00855A78" w:rsidRPr="00490BF5" w:rsidRDefault="00855A78"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lastRenderedPageBreak/>
        <w:t xml:space="preserve">In Colombia, </w:t>
      </w:r>
      <w:r w:rsidR="00297D50" w:rsidRPr="00490BF5">
        <w:rPr>
          <w:snapToGrid w:val="0"/>
          <w:kern w:val="22"/>
          <w:szCs w:val="22"/>
        </w:rPr>
        <w:t>US$ </w:t>
      </w:r>
      <w:r w:rsidRPr="00490BF5">
        <w:rPr>
          <w:snapToGrid w:val="0"/>
          <w:kern w:val="22"/>
          <w:szCs w:val="22"/>
        </w:rPr>
        <w:t xml:space="preserve">4.8 billion </w:t>
      </w:r>
      <w:r w:rsidR="00297D50" w:rsidRPr="00490BF5">
        <w:rPr>
          <w:snapToGrid w:val="0"/>
          <w:kern w:val="22"/>
          <w:szCs w:val="22"/>
        </w:rPr>
        <w:t>is</w:t>
      </w:r>
      <w:r w:rsidRPr="00490BF5">
        <w:rPr>
          <w:snapToGrid w:val="0"/>
          <w:kern w:val="22"/>
          <w:szCs w:val="22"/>
        </w:rPr>
        <w:t xml:space="preserve"> needed to implement its NBSAP, out of which </w:t>
      </w:r>
      <w:r w:rsidR="00297D50" w:rsidRPr="00490BF5">
        <w:rPr>
          <w:snapToGrid w:val="0"/>
          <w:kern w:val="22"/>
          <w:szCs w:val="22"/>
        </w:rPr>
        <w:t>US$ </w:t>
      </w:r>
      <w:r w:rsidRPr="00490BF5">
        <w:rPr>
          <w:snapToGrid w:val="0"/>
          <w:kern w:val="22"/>
          <w:szCs w:val="22"/>
        </w:rPr>
        <w:t>1.4</w:t>
      </w:r>
      <w:r w:rsidR="009C0A8F" w:rsidRPr="00490BF5">
        <w:rPr>
          <w:snapToGrid w:val="0"/>
          <w:kern w:val="22"/>
          <w:szCs w:val="22"/>
        </w:rPr>
        <w:t> </w:t>
      </w:r>
      <w:r w:rsidR="006E604B" w:rsidRPr="00490BF5">
        <w:rPr>
          <w:snapToGrid w:val="0"/>
          <w:kern w:val="22"/>
          <w:szCs w:val="22"/>
        </w:rPr>
        <w:t>b</w:t>
      </w:r>
      <w:r w:rsidRPr="00490BF5">
        <w:rPr>
          <w:snapToGrid w:val="0"/>
          <w:kern w:val="22"/>
          <w:szCs w:val="22"/>
        </w:rPr>
        <w:t xml:space="preserve">illion </w:t>
      </w:r>
      <w:r w:rsidR="00297D50" w:rsidRPr="00490BF5">
        <w:rPr>
          <w:snapToGrid w:val="0"/>
          <w:kern w:val="22"/>
          <w:szCs w:val="22"/>
        </w:rPr>
        <w:t xml:space="preserve">is as </w:t>
      </w:r>
      <w:r w:rsidRPr="00490BF5">
        <w:rPr>
          <w:snapToGrid w:val="0"/>
          <w:kern w:val="22"/>
          <w:szCs w:val="22"/>
        </w:rPr>
        <w:t xml:space="preserve">yet unfunded. Additional resources are required from international and private sources that amount to </w:t>
      </w:r>
      <w:r w:rsidR="00D11B4F" w:rsidRPr="00490BF5">
        <w:rPr>
          <w:snapToGrid w:val="0"/>
          <w:kern w:val="22"/>
          <w:szCs w:val="22"/>
        </w:rPr>
        <w:t>n</w:t>
      </w:r>
      <w:r w:rsidR="00BB1D6F" w:rsidRPr="00490BF5">
        <w:rPr>
          <w:snapToGrid w:val="0"/>
          <w:kern w:val="22"/>
          <w:szCs w:val="22"/>
        </w:rPr>
        <w:t xml:space="preserve">early </w:t>
      </w:r>
      <w:r w:rsidR="004F0161" w:rsidRPr="00490BF5">
        <w:rPr>
          <w:snapToGrid w:val="0"/>
          <w:kern w:val="22"/>
          <w:szCs w:val="22"/>
        </w:rPr>
        <w:t>US$ </w:t>
      </w:r>
      <w:r w:rsidRPr="00490BF5">
        <w:rPr>
          <w:snapToGrid w:val="0"/>
          <w:kern w:val="22"/>
          <w:szCs w:val="22"/>
        </w:rPr>
        <w:t>100 million annually;</w:t>
      </w:r>
    </w:p>
    <w:p w14:paraId="7C650A71" w14:textId="4B7323A1" w:rsidR="00855A78" w:rsidRPr="00490BF5" w:rsidRDefault="00855A78"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In Mexico, the financial needs </w:t>
      </w:r>
      <w:r w:rsidR="009C0A8F" w:rsidRPr="00490BF5">
        <w:rPr>
          <w:snapToGrid w:val="0"/>
          <w:kern w:val="22"/>
          <w:szCs w:val="22"/>
        </w:rPr>
        <w:t xml:space="preserve">for </w:t>
      </w:r>
      <w:r w:rsidRPr="00490BF5">
        <w:rPr>
          <w:snapToGrid w:val="0"/>
          <w:kern w:val="22"/>
          <w:szCs w:val="22"/>
        </w:rPr>
        <w:t>implementing its NBSAP are calculated a</w:t>
      </w:r>
      <w:r w:rsidR="009C0A8F" w:rsidRPr="00490BF5">
        <w:rPr>
          <w:snapToGrid w:val="0"/>
          <w:kern w:val="22"/>
          <w:szCs w:val="22"/>
        </w:rPr>
        <w:t>t</w:t>
      </w:r>
      <w:r w:rsidRPr="00490BF5">
        <w:rPr>
          <w:snapToGrid w:val="0"/>
          <w:kern w:val="22"/>
          <w:szCs w:val="22"/>
        </w:rPr>
        <w:t xml:space="preserve"> </w:t>
      </w:r>
      <w:r w:rsidR="004F0161" w:rsidRPr="00490BF5">
        <w:rPr>
          <w:snapToGrid w:val="0"/>
          <w:kern w:val="22"/>
          <w:szCs w:val="22"/>
        </w:rPr>
        <w:t>US$ </w:t>
      </w:r>
      <w:r w:rsidRPr="00490BF5">
        <w:rPr>
          <w:snapToGrid w:val="0"/>
          <w:kern w:val="22"/>
          <w:szCs w:val="22"/>
        </w:rPr>
        <w:t>1.8</w:t>
      </w:r>
      <w:r w:rsidR="009C0A8F" w:rsidRPr="00490BF5">
        <w:rPr>
          <w:snapToGrid w:val="0"/>
          <w:kern w:val="22"/>
          <w:szCs w:val="22"/>
        </w:rPr>
        <w:t> </w:t>
      </w:r>
      <w:r w:rsidRPr="00490BF5">
        <w:rPr>
          <w:snapToGrid w:val="0"/>
          <w:kern w:val="22"/>
          <w:szCs w:val="22"/>
        </w:rPr>
        <w:t xml:space="preserve">billion between 2017 and 2020, or </w:t>
      </w:r>
      <w:r w:rsidR="004F0161" w:rsidRPr="00490BF5">
        <w:rPr>
          <w:snapToGrid w:val="0"/>
          <w:kern w:val="22"/>
          <w:szCs w:val="22"/>
        </w:rPr>
        <w:t>US$ </w:t>
      </w:r>
      <w:r w:rsidRPr="00490BF5">
        <w:rPr>
          <w:snapToGrid w:val="0"/>
          <w:kern w:val="22"/>
          <w:szCs w:val="22"/>
        </w:rPr>
        <w:t>461</w:t>
      </w:r>
      <w:r w:rsidR="00F96511" w:rsidRPr="00490BF5">
        <w:rPr>
          <w:snapToGrid w:val="0"/>
          <w:kern w:val="22"/>
          <w:szCs w:val="22"/>
        </w:rPr>
        <w:t>.</w:t>
      </w:r>
      <w:r w:rsidRPr="00490BF5">
        <w:rPr>
          <w:snapToGrid w:val="0"/>
          <w:kern w:val="22"/>
          <w:szCs w:val="22"/>
        </w:rPr>
        <w:t>9 million annually, representing an increase of 46.7</w:t>
      </w:r>
      <w:r w:rsidR="006A0651" w:rsidRPr="00490BF5">
        <w:rPr>
          <w:snapToGrid w:val="0"/>
          <w:kern w:val="22"/>
          <w:szCs w:val="22"/>
        </w:rPr>
        <w:t> per cent</w:t>
      </w:r>
      <w:r w:rsidRPr="00490BF5">
        <w:rPr>
          <w:snapToGrid w:val="0"/>
          <w:kern w:val="22"/>
          <w:szCs w:val="22"/>
        </w:rPr>
        <w:t xml:space="preserve"> of the 2015 biodiversity expenditure;</w:t>
      </w:r>
    </w:p>
    <w:p w14:paraId="4B4E8A0F" w14:textId="229975AE" w:rsidR="00855A78" w:rsidRPr="00490BF5" w:rsidRDefault="00855A78"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90BF5">
        <w:rPr>
          <w:snapToGrid w:val="0"/>
          <w:kern w:val="22"/>
          <w:szCs w:val="22"/>
        </w:rPr>
        <w:t xml:space="preserve">Implementation of the NBSAP of the Philippines requires 24 billion </w:t>
      </w:r>
      <w:r w:rsidR="00DB7A50" w:rsidRPr="00490BF5">
        <w:rPr>
          <w:snapToGrid w:val="0"/>
          <w:kern w:val="22"/>
          <w:szCs w:val="22"/>
        </w:rPr>
        <w:t xml:space="preserve">pesos </w:t>
      </w:r>
      <w:r w:rsidRPr="00490BF5">
        <w:rPr>
          <w:snapToGrid w:val="0"/>
          <w:kern w:val="22"/>
          <w:szCs w:val="22"/>
        </w:rPr>
        <w:t>per year from 2015</w:t>
      </w:r>
      <w:r w:rsidR="00DB7A50" w:rsidRPr="00490BF5">
        <w:rPr>
          <w:snapToGrid w:val="0"/>
          <w:kern w:val="22"/>
          <w:szCs w:val="22"/>
        </w:rPr>
        <w:t xml:space="preserve"> to </w:t>
      </w:r>
      <w:r w:rsidRPr="00490BF5">
        <w:rPr>
          <w:snapToGrid w:val="0"/>
          <w:kern w:val="22"/>
          <w:szCs w:val="22"/>
        </w:rPr>
        <w:t>2018, implying a finance gap of 80 </w:t>
      </w:r>
      <w:r w:rsidR="006A0651" w:rsidRPr="00490BF5">
        <w:rPr>
          <w:snapToGrid w:val="0"/>
          <w:kern w:val="22"/>
          <w:szCs w:val="22"/>
        </w:rPr>
        <w:t>per cent</w:t>
      </w:r>
      <w:r w:rsidRPr="00490BF5">
        <w:rPr>
          <w:snapToGrid w:val="0"/>
          <w:kern w:val="22"/>
          <w:szCs w:val="22"/>
        </w:rPr>
        <w:t>.</w:t>
      </w:r>
    </w:p>
    <w:p w14:paraId="1F1348C7" w14:textId="744453E6"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VII.</w:t>
      </w:r>
      <w:r w:rsidR="006E604B" w:rsidRPr="00490BF5">
        <w:rPr>
          <w:snapToGrid w:val="0"/>
          <w:kern w:val="22"/>
          <w:szCs w:val="22"/>
        </w:rPr>
        <w:tab/>
      </w:r>
      <w:r w:rsidRPr="00490BF5">
        <w:rPr>
          <w:snapToGrid w:val="0"/>
          <w:kern w:val="22"/>
          <w:szCs w:val="22"/>
        </w:rPr>
        <w:t>National finance plans</w:t>
      </w:r>
    </w:p>
    <w:p w14:paraId="41DBC047" w14:textId="1986E6CA"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A total of 15 Parties, or 25</w:t>
      </w:r>
      <w:r w:rsidR="006A0651" w:rsidRPr="00490BF5">
        <w:rPr>
          <w:snapToGrid w:val="0"/>
          <w:kern w:val="22"/>
          <w:szCs w:val="22"/>
        </w:rPr>
        <w:t> per cent</w:t>
      </w:r>
      <w:r w:rsidRPr="00490BF5">
        <w:rPr>
          <w:snapToGrid w:val="0"/>
          <w:kern w:val="22"/>
          <w:szCs w:val="22"/>
        </w:rPr>
        <w:t xml:space="preserve">, provided elements of a finance plan in the pertinent table of the </w:t>
      </w:r>
      <w:r w:rsidR="00F83AB4" w:rsidRPr="00490BF5">
        <w:rPr>
          <w:snapToGrid w:val="0"/>
          <w:kern w:val="22"/>
          <w:szCs w:val="22"/>
        </w:rPr>
        <w:t>financial reporting framework</w:t>
      </w:r>
      <w:r w:rsidRPr="00490BF5">
        <w:rPr>
          <w:snapToGrid w:val="0"/>
          <w:kern w:val="22"/>
          <w:szCs w:val="22"/>
        </w:rPr>
        <w:t xml:space="preserve">, mostly by providing aggregated figures on the amount of domestic and international resources they plan to mobilize. Guinea, South Africa and Tunisia also indicated individual funding sources, both domestic and international ones, with which they plan to reduce their funding gap in the coming years. Tunisia </w:t>
      </w:r>
      <w:r w:rsidR="00F83AB4" w:rsidRPr="00490BF5">
        <w:rPr>
          <w:snapToGrid w:val="0"/>
          <w:kern w:val="22"/>
          <w:szCs w:val="22"/>
        </w:rPr>
        <w:t xml:space="preserve">also </w:t>
      </w:r>
      <w:r w:rsidRPr="00490BF5">
        <w:rPr>
          <w:snapToGrid w:val="0"/>
          <w:kern w:val="22"/>
          <w:szCs w:val="22"/>
        </w:rPr>
        <w:t xml:space="preserve">provided its complete national resource mobilization plan, from </w:t>
      </w:r>
      <w:r w:rsidR="003A3814" w:rsidRPr="00490BF5">
        <w:rPr>
          <w:snapToGrid w:val="0"/>
          <w:kern w:val="22"/>
          <w:szCs w:val="22"/>
        </w:rPr>
        <w:t xml:space="preserve">which </w:t>
      </w:r>
      <w:r w:rsidRPr="00490BF5">
        <w:rPr>
          <w:snapToGrid w:val="0"/>
          <w:kern w:val="22"/>
          <w:szCs w:val="22"/>
        </w:rPr>
        <w:t>a select number of funding sources had been included in the pertinent table, including ecological taxation and payment/compensation schemes.</w:t>
      </w:r>
    </w:p>
    <w:p w14:paraId="266C304C" w14:textId="1CEFD81E"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On measures taken to encourage the private sector as well as </w:t>
      </w:r>
      <w:r w:rsidR="003F1317" w:rsidRPr="00490BF5">
        <w:rPr>
          <w:snapToGrid w:val="0"/>
          <w:kern w:val="22"/>
          <w:szCs w:val="22"/>
        </w:rPr>
        <w:t>NGO</w:t>
      </w:r>
      <w:r w:rsidRPr="00490BF5">
        <w:rPr>
          <w:snapToGrid w:val="0"/>
          <w:kern w:val="22"/>
          <w:szCs w:val="22"/>
        </w:rPr>
        <w:t xml:space="preserve">s, foundations and academia to provide domestic support for implementing the Strategic Plan, </w:t>
      </w:r>
      <w:r w:rsidR="005D777B" w:rsidRPr="00490BF5">
        <w:rPr>
          <w:snapToGrid w:val="0"/>
          <w:kern w:val="22"/>
          <w:szCs w:val="22"/>
        </w:rPr>
        <w:t xml:space="preserve">66 </w:t>
      </w:r>
      <w:r w:rsidRPr="00490BF5">
        <w:rPr>
          <w:snapToGrid w:val="0"/>
          <w:kern w:val="22"/>
          <w:szCs w:val="22"/>
        </w:rPr>
        <w:t>countries provided an answer, out of which 12 countries report that no measures were taken</w:t>
      </w:r>
      <w:r w:rsidR="00643B9C" w:rsidRPr="00490BF5">
        <w:rPr>
          <w:snapToGrid w:val="0"/>
          <w:kern w:val="22"/>
          <w:szCs w:val="22"/>
        </w:rPr>
        <w:t>,</w:t>
      </w:r>
      <w:r w:rsidRPr="00490BF5">
        <w:rPr>
          <w:snapToGrid w:val="0"/>
          <w:kern w:val="22"/>
          <w:szCs w:val="22"/>
        </w:rPr>
        <w:t xml:space="preserve"> while </w:t>
      </w:r>
      <w:r w:rsidR="005D777B" w:rsidRPr="00490BF5">
        <w:rPr>
          <w:snapToGrid w:val="0"/>
          <w:kern w:val="22"/>
          <w:szCs w:val="22"/>
        </w:rPr>
        <w:t xml:space="preserve">53 </w:t>
      </w:r>
      <w:r w:rsidRPr="00490BF5">
        <w:rPr>
          <w:snapToGrid w:val="0"/>
          <w:kern w:val="22"/>
          <w:szCs w:val="22"/>
        </w:rPr>
        <w:t>Parties indicate that some measures were taken and 1 country indicated that comprehensive measures were taken. A total of 4</w:t>
      </w:r>
      <w:r w:rsidR="00471C1C" w:rsidRPr="00490BF5">
        <w:rPr>
          <w:snapToGrid w:val="0"/>
          <w:kern w:val="22"/>
          <w:szCs w:val="22"/>
        </w:rPr>
        <w:t>3</w:t>
      </w:r>
      <w:r w:rsidRPr="00490BF5">
        <w:rPr>
          <w:snapToGrid w:val="0"/>
          <w:kern w:val="22"/>
          <w:szCs w:val="22"/>
        </w:rPr>
        <w:t xml:space="preserve"> countries provided additional information of their engagement with </w:t>
      </w:r>
      <w:r w:rsidR="003F1317" w:rsidRPr="00490BF5">
        <w:rPr>
          <w:snapToGrid w:val="0"/>
          <w:kern w:val="22"/>
          <w:szCs w:val="22"/>
        </w:rPr>
        <w:t>NGO</w:t>
      </w:r>
      <w:r w:rsidRPr="00490BF5">
        <w:rPr>
          <w:snapToGrid w:val="0"/>
          <w:kern w:val="22"/>
          <w:szCs w:val="22"/>
        </w:rPr>
        <w:t>s, foundations and academia. For instance, Burkina Faso pointed to public-private collaboration in the management of hunting and tourism concessions. China is piloting a co-financing model where</w:t>
      </w:r>
      <w:r w:rsidR="00643B9C" w:rsidRPr="00490BF5">
        <w:rPr>
          <w:snapToGrid w:val="0"/>
          <w:kern w:val="22"/>
          <w:szCs w:val="22"/>
        </w:rPr>
        <w:t>by</w:t>
      </w:r>
      <w:r w:rsidRPr="00490BF5">
        <w:rPr>
          <w:snapToGrid w:val="0"/>
          <w:kern w:val="22"/>
          <w:szCs w:val="22"/>
        </w:rPr>
        <w:t xml:space="preserve"> public and private partnerships jointly invest in the ecological conservation and restoration projects, with a view to attracting more private funds to these projects and increasing the efficiency of use of public funds. The European Union, Finland, India and Peru pointed to the establishment and/or ongoing work of business and biodiversity initiatives, while Malta noted that banks have been important sources of financing for direct and indirect conservation efforts in the country.</w:t>
      </w:r>
    </w:p>
    <w:p w14:paraId="1F85988C" w14:textId="685D0F4C"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 xml:space="preserve">According to the updated UNDP BIOFIN progress table, only a total of </w:t>
      </w:r>
      <w:r w:rsidR="00B93B61" w:rsidRPr="00490BF5">
        <w:rPr>
          <w:snapToGrid w:val="0"/>
          <w:kern w:val="22"/>
          <w:szCs w:val="22"/>
        </w:rPr>
        <w:t xml:space="preserve">four </w:t>
      </w:r>
      <w:r w:rsidRPr="00490BF5">
        <w:rPr>
          <w:snapToGrid w:val="0"/>
          <w:kern w:val="22"/>
          <w:szCs w:val="22"/>
        </w:rPr>
        <w:t xml:space="preserve">countries are at the latest stage of preparing their finance plan, and an additional six are at an advanced stage. For instance, at the third BIOFIN Conference, the Colombia BIOFIN country team noted that </w:t>
      </w:r>
      <w:r w:rsidR="008D520E" w:rsidRPr="00490BF5">
        <w:rPr>
          <w:snapToGrid w:val="0"/>
          <w:kern w:val="22"/>
          <w:szCs w:val="22"/>
        </w:rPr>
        <w:t xml:space="preserve">the use of </w:t>
      </w:r>
      <w:r w:rsidRPr="00490BF5">
        <w:rPr>
          <w:snapToGrid w:val="0"/>
          <w:kern w:val="22"/>
          <w:szCs w:val="22"/>
        </w:rPr>
        <w:t>(</w:t>
      </w:r>
      <w:r w:rsidR="006E604B" w:rsidRPr="00490BF5">
        <w:rPr>
          <w:snapToGrid w:val="0"/>
          <w:kern w:val="22"/>
          <w:szCs w:val="22"/>
        </w:rPr>
        <w:t>a</w:t>
      </w:r>
      <w:r w:rsidRPr="00490BF5">
        <w:rPr>
          <w:snapToGrid w:val="0"/>
          <w:kern w:val="22"/>
          <w:szCs w:val="22"/>
        </w:rPr>
        <w:t>) a carbon tax to stop deforestation, (</w:t>
      </w:r>
      <w:r w:rsidR="006E604B" w:rsidRPr="00490BF5">
        <w:rPr>
          <w:snapToGrid w:val="0"/>
          <w:kern w:val="22"/>
          <w:szCs w:val="22"/>
        </w:rPr>
        <w:t>b</w:t>
      </w:r>
      <w:r w:rsidRPr="00490BF5">
        <w:rPr>
          <w:snapToGrid w:val="0"/>
          <w:kern w:val="22"/>
          <w:szCs w:val="22"/>
        </w:rPr>
        <w:t>) royalties for biodiversity, and (</w:t>
      </w:r>
      <w:r w:rsidR="006E604B" w:rsidRPr="00490BF5">
        <w:rPr>
          <w:snapToGrid w:val="0"/>
          <w:kern w:val="22"/>
          <w:szCs w:val="22"/>
        </w:rPr>
        <w:t>c</w:t>
      </w:r>
      <w:r w:rsidRPr="00490BF5">
        <w:rPr>
          <w:snapToGrid w:val="0"/>
          <w:kern w:val="22"/>
          <w:szCs w:val="22"/>
        </w:rPr>
        <w:t xml:space="preserve">) a biodiversity offsets market platform, together with business as usual expenditures, could </w:t>
      </w:r>
      <w:r w:rsidR="005B5422" w:rsidRPr="00490BF5">
        <w:rPr>
          <w:snapToGrid w:val="0"/>
          <w:kern w:val="22"/>
          <w:szCs w:val="22"/>
        </w:rPr>
        <w:t xml:space="preserve">potentially </w:t>
      </w:r>
      <w:r w:rsidRPr="00490BF5">
        <w:rPr>
          <w:snapToGrid w:val="0"/>
          <w:kern w:val="22"/>
          <w:szCs w:val="22"/>
        </w:rPr>
        <w:t>cover 88 </w:t>
      </w:r>
      <w:r w:rsidR="006A0651" w:rsidRPr="00490BF5">
        <w:rPr>
          <w:snapToGrid w:val="0"/>
          <w:kern w:val="22"/>
          <w:szCs w:val="22"/>
        </w:rPr>
        <w:t>per cent</w:t>
      </w:r>
      <w:r w:rsidRPr="00490BF5">
        <w:rPr>
          <w:snapToGrid w:val="0"/>
          <w:kern w:val="22"/>
          <w:szCs w:val="22"/>
        </w:rPr>
        <w:t xml:space="preserve"> of the financial needs for implementing the NBSAP.</w:t>
      </w:r>
    </w:p>
    <w:p w14:paraId="6339EA87" w14:textId="6BCAB383"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color w:val="000000"/>
          <w:kern w:val="22"/>
          <w:szCs w:val="22"/>
        </w:rPr>
        <w:t xml:space="preserve">A total of 23 revised NBSAPs specifically contain a national resource mobilization strategy or equivalent, </w:t>
      </w:r>
      <w:r w:rsidR="0015355E" w:rsidRPr="00490BF5">
        <w:rPr>
          <w:snapToGrid w:val="0"/>
          <w:color w:val="000000"/>
          <w:kern w:val="22"/>
          <w:szCs w:val="22"/>
        </w:rPr>
        <w:t>albeit</w:t>
      </w:r>
      <w:r w:rsidRPr="00490BF5">
        <w:rPr>
          <w:snapToGrid w:val="0"/>
          <w:color w:val="000000"/>
          <w:kern w:val="22"/>
          <w:szCs w:val="22"/>
        </w:rPr>
        <w:t xml:space="preserve"> not necessarily based on a costing of the NBSAP as foreseen by the BIOFIN methodology and the </w:t>
      </w:r>
      <w:r w:rsidR="00884C9A" w:rsidRPr="00490BF5">
        <w:rPr>
          <w:snapToGrid w:val="0"/>
          <w:color w:val="000000"/>
          <w:kern w:val="22"/>
          <w:szCs w:val="22"/>
        </w:rPr>
        <w:t>financial reporting framework</w:t>
      </w:r>
      <w:r w:rsidRPr="00490BF5">
        <w:rPr>
          <w:snapToGrid w:val="0"/>
          <w:color w:val="000000"/>
          <w:kern w:val="22"/>
          <w:szCs w:val="22"/>
        </w:rPr>
        <w:t>, or not in terms of planned resources to be mobilized by year and source.</w:t>
      </w:r>
      <w:r w:rsidRPr="00490BF5">
        <w:rPr>
          <w:rStyle w:val="FootnoteReference"/>
          <w:snapToGrid w:val="0"/>
          <w:color w:val="000000"/>
          <w:kern w:val="22"/>
          <w:szCs w:val="22"/>
        </w:rPr>
        <w:footnoteReference w:id="16"/>
      </w:r>
      <w:r w:rsidRPr="00490BF5">
        <w:rPr>
          <w:snapToGrid w:val="0"/>
          <w:color w:val="000000"/>
          <w:kern w:val="22"/>
          <w:szCs w:val="22"/>
        </w:rPr>
        <w:t xml:space="preserve"> See CBD/SBI/2/2/Add.1 for examples from Bosnia and Herzegovina, Botswana, Costa Rica, the Maldives and Rwanda</w:t>
      </w:r>
      <w:r w:rsidRPr="00490BF5">
        <w:rPr>
          <w:snapToGrid w:val="0"/>
          <w:kern w:val="22"/>
          <w:szCs w:val="22"/>
        </w:rPr>
        <w:t>.</w:t>
      </w:r>
    </w:p>
    <w:p w14:paraId="3FE73BAC" w14:textId="5A559F6D"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w:t>
      </w:r>
      <w:r w:rsidR="006E604B" w:rsidRPr="00490BF5">
        <w:rPr>
          <w:snapToGrid w:val="0"/>
          <w:kern w:val="22"/>
          <w:szCs w:val="22"/>
        </w:rPr>
        <w:t>III</w:t>
      </w:r>
      <w:r w:rsidRPr="00490BF5">
        <w:rPr>
          <w:snapToGrid w:val="0"/>
          <w:kern w:val="22"/>
          <w:szCs w:val="22"/>
        </w:rPr>
        <w:t>.</w:t>
      </w:r>
      <w:r w:rsidRPr="00490BF5">
        <w:rPr>
          <w:snapToGrid w:val="0"/>
          <w:kern w:val="22"/>
          <w:szCs w:val="22"/>
        </w:rPr>
        <w:tab/>
        <w:t>Conclusions</w:t>
      </w:r>
    </w:p>
    <w:p w14:paraId="24E90E47" w14:textId="73E63BAB"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snapToGrid w:val="0"/>
          <w:kern w:val="22"/>
          <w:szCs w:val="22"/>
        </w:rPr>
        <w:t>Progress in reporting against the targets for resource mobilization is overall slow. Out of the 30 Parties reporting against target 1(a), a total of 7 Parties, representing 15 </w:t>
      </w:r>
      <w:r w:rsidR="006A0651" w:rsidRPr="00490BF5">
        <w:rPr>
          <w:snapToGrid w:val="0"/>
          <w:kern w:val="22"/>
          <w:szCs w:val="22"/>
        </w:rPr>
        <w:t>per cent</w:t>
      </w:r>
      <w:r w:rsidRPr="00490BF5">
        <w:rPr>
          <w:snapToGrid w:val="0"/>
          <w:kern w:val="22"/>
          <w:szCs w:val="22"/>
        </w:rPr>
        <w:t xml:space="preserve"> of the reported baseline, have yet to report their 2015 data, and six DAC members, Parties to the Convention, </w:t>
      </w:r>
      <w:r w:rsidR="00006F45" w:rsidRPr="00490BF5">
        <w:rPr>
          <w:snapToGrid w:val="0"/>
          <w:kern w:val="22"/>
          <w:szCs w:val="22"/>
        </w:rPr>
        <w:t xml:space="preserve">have </w:t>
      </w:r>
      <w:r w:rsidRPr="00490BF5">
        <w:rPr>
          <w:snapToGrid w:val="0"/>
          <w:kern w:val="22"/>
          <w:szCs w:val="22"/>
        </w:rPr>
        <w:t>not yet report</w:t>
      </w:r>
      <w:r w:rsidR="00006F45" w:rsidRPr="00490BF5">
        <w:rPr>
          <w:snapToGrid w:val="0"/>
          <w:kern w:val="22"/>
          <w:szCs w:val="22"/>
        </w:rPr>
        <w:t>ed</w:t>
      </w:r>
      <w:r w:rsidRPr="00490BF5">
        <w:rPr>
          <w:snapToGrid w:val="0"/>
          <w:kern w:val="22"/>
          <w:szCs w:val="22"/>
        </w:rPr>
        <w:t xml:space="preserve">. As regards the other targets, the slow progress is likely not due to a predominant reporting gap as such: a comparison with NBSAPs submitted by Parties shows that numbers are overall not very </w:t>
      </w:r>
      <w:r w:rsidRPr="00490BF5">
        <w:rPr>
          <w:snapToGrid w:val="0"/>
          <w:kern w:val="22"/>
          <w:szCs w:val="22"/>
        </w:rPr>
        <w:lastRenderedPageBreak/>
        <w:t>divergent. Even while some Parties which prepared</w:t>
      </w:r>
      <w:r w:rsidR="00531BDC" w:rsidRPr="00490BF5">
        <w:rPr>
          <w:snapToGrid w:val="0"/>
          <w:kern w:val="22"/>
          <w:szCs w:val="22"/>
        </w:rPr>
        <w:t>,</w:t>
      </w:r>
      <w:r w:rsidRPr="00490BF5">
        <w:rPr>
          <w:snapToGrid w:val="0"/>
          <w:kern w:val="22"/>
          <w:szCs w:val="22"/>
        </w:rPr>
        <w:t xml:space="preserve"> for instance</w:t>
      </w:r>
      <w:r w:rsidR="00531BDC" w:rsidRPr="00490BF5">
        <w:rPr>
          <w:snapToGrid w:val="0"/>
          <w:kern w:val="22"/>
          <w:szCs w:val="22"/>
        </w:rPr>
        <w:t>,</w:t>
      </w:r>
      <w:r w:rsidRPr="00490BF5">
        <w:rPr>
          <w:snapToGrid w:val="0"/>
          <w:kern w:val="22"/>
          <w:szCs w:val="22"/>
        </w:rPr>
        <w:t xml:space="preserve"> a costing of their revised NBSAP or elements of a resource mobilization strategy still have to submit their </w:t>
      </w:r>
      <w:r w:rsidR="00531BDC" w:rsidRPr="00490BF5">
        <w:rPr>
          <w:snapToGrid w:val="0"/>
          <w:kern w:val="22"/>
          <w:szCs w:val="22"/>
        </w:rPr>
        <w:t>financial reporting framework</w:t>
      </w:r>
      <w:r w:rsidRPr="00490BF5">
        <w:rPr>
          <w:snapToGrid w:val="0"/>
          <w:kern w:val="22"/>
          <w:szCs w:val="22"/>
        </w:rPr>
        <w:t xml:space="preserve">, the associated numbers are relatively small. In </w:t>
      </w:r>
      <w:r w:rsidR="006E604B" w:rsidRPr="00490BF5">
        <w:rPr>
          <w:snapToGrid w:val="0"/>
          <w:kern w:val="22"/>
          <w:szCs w:val="22"/>
        </w:rPr>
        <w:t xml:space="preserve">the </w:t>
      </w:r>
      <w:r w:rsidRPr="00490BF5">
        <w:rPr>
          <w:snapToGrid w:val="0"/>
          <w:kern w:val="22"/>
          <w:szCs w:val="22"/>
        </w:rPr>
        <w:t xml:space="preserve">light of this, an important constraint are the continuing challenges in implementing some of the targets, in particular targets 1(c) and 1(d), associated with an overall lack of capacity, in particular </w:t>
      </w:r>
      <w:r w:rsidR="00643B72" w:rsidRPr="00490BF5">
        <w:rPr>
          <w:snapToGrid w:val="0"/>
          <w:kern w:val="22"/>
          <w:szCs w:val="22"/>
        </w:rPr>
        <w:t xml:space="preserve">with regard to </w:t>
      </w:r>
      <w:r w:rsidRPr="00490BF5">
        <w:rPr>
          <w:snapToGrid w:val="0"/>
          <w:kern w:val="22"/>
          <w:szCs w:val="22"/>
        </w:rPr>
        <w:t xml:space="preserve">countries </w:t>
      </w:r>
      <w:r w:rsidR="00643B72" w:rsidRPr="00490BF5">
        <w:rPr>
          <w:snapToGrid w:val="0"/>
          <w:kern w:val="22"/>
          <w:szCs w:val="22"/>
        </w:rPr>
        <w:t xml:space="preserve">that </w:t>
      </w:r>
      <w:r w:rsidRPr="00490BF5">
        <w:rPr>
          <w:snapToGrid w:val="0"/>
          <w:kern w:val="22"/>
          <w:szCs w:val="22"/>
        </w:rPr>
        <w:t xml:space="preserve">do not participate in the BIOFIN initiative. However, even in BIOFIN countries, progress is overall slow, presumably due to various technical and methodological challenges, for instance, NBSAPs that were found by BIOFIN country teams to not </w:t>
      </w:r>
      <w:r w:rsidR="00FE0820" w:rsidRPr="00490BF5">
        <w:rPr>
          <w:snapToGrid w:val="0"/>
          <w:kern w:val="22"/>
          <w:szCs w:val="22"/>
        </w:rPr>
        <w:t xml:space="preserve">be </w:t>
      </w:r>
      <w:r w:rsidRPr="00490BF5">
        <w:rPr>
          <w:snapToGrid w:val="0"/>
          <w:kern w:val="22"/>
          <w:szCs w:val="22"/>
        </w:rPr>
        <w:t>readily amenable to an assessment of funding needs.</w:t>
      </w:r>
    </w:p>
    <w:p w14:paraId="1BD576A3" w14:textId="7DC3A936"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i/>
          <w:snapToGrid w:val="0"/>
          <w:kern w:val="22"/>
          <w:szCs w:val="22"/>
        </w:rPr>
        <w:t>Target 1 (a) of decision XII/3 (</w:t>
      </w:r>
      <w:r w:rsidRPr="00490BF5">
        <w:rPr>
          <w:i/>
          <w:iCs/>
          <w:snapToGrid w:val="0"/>
          <w:kern w:val="22"/>
          <w:szCs w:val="22"/>
        </w:rPr>
        <w:t>doubling international flows by 2015 and maintaining this level until 2020)</w:t>
      </w:r>
      <w:r w:rsidRPr="00490BF5">
        <w:rPr>
          <w:snapToGrid w:val="0"/>
          <w:kern w:val="22"/>
          <w:szCs w:val="22"/>
        </w:rPr>
        <w:t>: Parties that were in a position to report 2015 data on time for the preparation of this report, representing collectively 85</w:t>
      </w:r>
      <w:r w:rsidR="006A0651" w:rsidRPr="00490BF5">
        <w:rPr>
          <w:snapToGrid w:val="0"/>
          <w:kern w:val="22"/>
          <w:szCs w:val="22"/>
        </w:rPr>
        <w:t> per cent</w:t>
      </w:r>
      <w:r w:rsidRPr="00490BF5">
        <w:rPr>
          <w:snapToGrid w:val="0"/>
          <w:kern w:val="22"/>
          <w:szCs w:val="22"/>
        </w:rPr>
        <w:t xml:space="preserve"> of the reported baseline, have collectively achieved an increase of 92</w:t>
      </w:r>
      <w:r w:rsidR="006A0651" w:rsidRPr="00490BF5">
        <w:rPr>
          <w:snapToGrid w:val="0"/>
          <w:kern w:val="22"/>
          <w:szCs w:val="22"/>
        </w:rPr>
        <w:t> per cent</w:t>
      </w:r>
      <w:r w:rsidRPr="00490BF5">
        <w:rPr>
          <w:snapToGrid w:val="0"/>
          <w:kern w:val="22"/>
          <w:szCs w:val="22"/>
        </w:rPr>
        <w:t xml:space="preserve"> against their baseline, excluding exchange rate effects. Progress measured against the total reporting baseline stands at 62</w:t>
      </w:r>
      <w:r w:rsidR="006A0651" w:rsidRPr="00490BF5">
        <w:rPr>
          <w:snapToGrid w:val="0"/>
          <w:kern w:val="22"/>
          <w:szCs w:val="22"/>
        </w:rPr>
        <w:t> per cent</w:t>
      </w:r>
      <w:r w:rsidRPr="00490BF5">
        <w:rPr>
          <w:snapToGrid w:val="0"/>
          <w:kern w:val="22"/>
          <w:szCs w:val="22"/>
        </w:rPr>
        <w:t xml:space="preserve">. Using the current exchange rate for </w:t>
      </w:r>
      <w:r w:rsidRPr="00490BF5">
        <w:rPr>
          <w:snapToGrid w:val="0"/>
          <w:color w:val="000000"/>
          <w:kern w:val="22"/>
          <w:szCs w:val="22"/>
        </w:rPr>
        <w:t>2015</w:t>
      </w:r>
      <w:r w:rsidRPr="00490BF5">
        <w:rPr>
          <w:snapToGrid w:val="0"/>
          <w:kern w:val="22"/>
          <w:szCs w:val="22"/>
        </w:rPr>
        <w:t>, progress stands at 70</w:t>
      </w:r>
      <w:r w:rsidR="006A0651" w:rsidRPr="00490BF5">
        <w:rPr>
          <w:snapToGrid w:val="0"/>
          <w:kern w:val="22"/>
          <w:szCs w:val="22"/>
        </w:rPr>
        <w:t> per cent</w:t>
      </w:r>
      <w:r w:rsidRPr="00490BF5">
        <w:rPr>
          <w:snapToGrid w:val="0"/>
          <w:kern w:val="22"/>
          <w:szCs w:val="22"/>
        </w:rPr>
        <w:t xml:space="preserve"> and 44</w:t>
      </w:r>
      <w:r w:rsidR="006A0651" w:rsidRPr="00490BF5">
        <w:rPr>
          <w:snapToGrid w:val="0"/>
          <w:kern w:val="22"/>
          <w:szCs w:val="22"/>
        </w:rPr>
        <w:t> per cent</w:t>
      </w:r>
      <w:r w:rsidRPr="00490BF5">
        <w:rPr>
          <w:snapToGrid w:val="0"/>
          <w:kern w:val="22"/>
          <w:szCs w:val="22"/>
        </w:rPr>
        <w:t>, respectively.</w:t>
      </w:r>
    </w:p>
    <w:p w14:paraId="67351192" w14:textId="418030A1"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i/>
          <w:snapToGrid w:val="0"/>
          <w:kern w:val="22"/>
          <w:szCs w:val="22"/>
        </w:rPr>
        <w:t xml:space="preserve">Target 1 (b) of decision XII/3 </w:t>
      </w:r>
      <w:r w:rsidRPr="00490BF5">
        <w:rPr>
          <w:i/>
          <w:iCs/>
          <w:snapToGrid w:val="0"/>
          <w:kern w:val="22"/>
          <w:szCs w:val="22"/>
        </w:rPr>
        <w:t>(inclusion of biodiversity by 2015)</w:t>
      </w:r>
      <w:r w:rsidRPr="00490BF5">
        <w:rPr>
          <w:i/>
          <w:snapToGrid w:val="0"/>
          <w:kern w:val="22"/>
          <w:szCs w:val="22"/>
        </w:rPr>
        <w:t>:</w:t>
      </w:r>
      <w:r w:rsidRPr="00490BF5">
        <w:rPr>
          <w:snapToGrid w:val="0"/>
          <w:kern w:val="22"/>
          <w:szCs w:val="22"/>
        </w:rPr>
        <w:t xml:space="preserve"> A total of </w:t>
      </w:r>
      <w:r w:rsidR="00F47C0B" w:rsidRPr="00490BF5">
        <w:rPr>
          <w:snapToGrid w:val="0"/>
          <w:kern w:val="22"/>
          <w:szCs w:val="22"/>
        </w:rPr>
        <w:t xml:space="preserve">72 </w:t>
      </w:r>
      <w:r w:rsidRPr="00490BF5">
        <w:rPr>
          <w:snapToGrid w:val="0"/>
          <w:kern w:val="22"/>
          <w:szCs w:val="22"/>
        </w:rPr>
        <w:t xml:space="preserve">Parties responded to whether they included biodiversity in national priorities or development plans, and all of them reported at least some progress: </w:t>
      </w:r>
      <w:r w:rsidR="00F47C0B" w:rsidRPr="00490BF5">
        <w:rPr>
          <w:snapToGrid w:val="0"/>
          <w:kern w:val="22"/>
          <w:szCs w:val="22"/>
        </w:rPr>
        <w:t xml:space="preserve">49 </w:t>
      </w:r>
      <w:r w:rsidRPr="00490BF5">
        <w:rPr>
          <w:snapToGrid w:val="0"/>
          <w:kern w:val="22"/>
          <w:szCs w:val="22"/>
        </w:rPr>
        <w:t>Parties, or 68</w:t>
      </w:r>
      <w:r w:rsidR="006A0651" w:rsidRPr="00490BF5">
        <w:rPr>
          <w:snapToGrid w:val="0"/>
          <w:kern w:val="22"/>
          <w:szCs w:val="22"/>
        </w:rPr>
        <w:t> per cent</w:t>
      </w:r>
      <w:r w:rsidRPr="00490BF5">
        <w:rPr>
          <w:snapToGrid w:val="0"/>
          <w:kern w:val="22"/>
          <w:szCs w:val="22"/>
        </w:rPr>
        <w:t xml:space="preserve">, indicated that some inclusion </w:t>
      </w:r>
      <w:r w:rsidR="00602F63" w:rsidRPr="00490BF5">
        <w:rPr>
          <w:snapToGrid w:val="0"/>
          <w:kern w:val="22"/>
          <w:szCs w:val="22"/>
        </w:rPr>
        <w:t xml:space="preserve">had been </w:t>
      </w:r>
      <w:r w:rsidRPr="00490BF5">
        <w:rPr>
          <w:snapToGrid w:val="0"/>
          <w:kern w:val="22"/>
          <w:szCs w:val="22"/>
        </w:rPr>
        <w:t xml:space="preserve">achieved, while </w:t>
      </w:r>
      <w:r w:rsidR="00F47C0B" w:rsidRPr="00490BF5">
        <w:rPr>
          <w:snapToGrid w:val="0"/>
          <w:kern w:val="22"/>
          <w:szCs w:val="22"/>
        </w:rPr>
        <w:t xml:space="preserve">23 </w:t>
      </w:r>
      <w:r w:rsidRPr="00490BF5">
        <w:rPr>
          <w:snapToGrid w:val="0"/>
          <w:kern w:val="22"/>
          <w:szCs w:val="22"/>
        </w:rPr>
        <w:t>countries, or 32</w:t>
      </w:r>
      <w:r w:rsidR="006A0651" w:rsidRPr="00490BF5">
        <w:rPr>
          <w:snapToGrid w:val="0"/>
          <w:kern w:val="22"/>
          <w:szCs w:val="22"/>
        </w:rPr>
        <w:t> per cent</w:t>
      </w:r>
      <w:r w:rsidRPr="00490BF5">
        <w:rPr>
          <w:snapToGrid w:val="0"/>
          <w:kern w:val="22"/>
          <w:szCs w:val="22"/>
        </w:rPr>
        <w:t>, indicated that comprehensive inclusion was achieved. Bearing in mind the overall limited number of reports received, progress in achieving this target seems to be encouraging.</w:t>
      </w:r>
    </w:p>
    <w:p w14:paraId="79EFFD61" w14:textId="564C8397"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i/>
          <w:snapToGrid w:val="0"/>
          <w:kern w:val="22"/>
          <w:szCs w:val="22"/>
        </w:rPr>
        <w:t xml:space="preserve">Target 1 (c) of decision XII/3 </w:t>
      </w:r>
      <w:r w:rsidRPr="00490BF5">
        <w:rPr>
          <w:i/>
          <w:iCs/>
          <w:snapToGrid w:val="0"/>
          <w:kern w:val="22"/>
          <w:szCs w:val="22"/>
        </w:rPr>
        <w:t>(reporting by 2015 of domestic biodiversity-related expenditures as well as funding needs, gaps, and priorities)</w:t>
      </w:r>
      <w:r w:rsidRPr="00490BF5">
        <w:rPr>
          <w:i/>
          <w:snapToGrid w:val="0"/>
          <w:kern w:val="22"/>
          <w:szCs w:val="22"/>
        </w:rPr>
        <w:t>:</w:t>
      </w:r>
      <w:r w:rsidRPr="00490BF5">
        <w:rPr>
          <w:snapToGrid w:val="0"/>
          <w:kern w:val="22"/>
          <w:szCs w:val="22"/>
        </w:rPr>
        <w:t xml:space="preserve"> On a strict interpretation, the target has not been met by 2015, as less than 75</w:t>
      </w:r>
      <w:r w:rsidR="006A0651" w:rsidRPr="00490BF5">
        <w:rPr>
          <w:snapToGrid w:val="0"/>
          <w:kern w:val="22"/>
          <w:szCs w:val="22"/>
        </w:rPr>
        <w:t> per cent</w:t>
      </w:r>
      <w:r w:rsidRPr="00490BF5">
        <w:rPr>
          <w:snapToGrid w:val="0"/>
          <w:kern w:val="22"/>
          <w:szCs w:val="22"/>
        </w:rPr>
        <w:t xml:space="preserve"> of Parties reported domestic biodiversity</w:t>
      </w:r>
      <w:r w:rsidRPr="00490BF5">
        <w:rPr>
          <w:iCs/>
          <w:snapToGrid w:val="0"/>
          <w:kern w:val="22"/>
          <w:szCs w:val="22"/>
        </w:rPr>
        <w:t>-related expenditures as well as funding needs, gaps and priorities</w:t>
      </w:r>
      <w:r w:rsidRPr="00490BF5">
        <w:rPr>
          <w:snapToGrid w:val="0"/>
          <w:kern w:val="22"/>
          <w:szCs w:val="22"/>
        </w:rPr>
        <w:t>. However, among reporting countries, progress in reporting domestic biodiversity</w:t>
      </w:r>
      <w:r w:rsidRPr="00490BF5">
        <w:rPr>
          <w:snapToGrid w:val="0"/>
          <w:kern w:val="22"/>
          <w:szCs w:val="22"/>
        </w:rPr>
        <w:noBreakHyphen/>
        <w:t xml:space="preserve">related expenditures seems to be encouraging, also in </w:t>
      </w:r>
      <w:r w:rsidR="006E604B" w:rsidRPr="00490BF5">
        <w:rPr>
          <w:snapToGrid w:val="0"/>
          <w:kern w:val="22"/>
          <w:szCs w:val="22"/>
        </w:rPr>
        <w:t xml:space="preserve">the </w:t>
      </w:r>
      <w:r w:rsidRPr="00490BF5">
        <w:rPr>
          <w:snapToGrid w:val="0"/>
          <w:kern w:val="22"/>
          <w:szCs w:val="22"/>
        </w:rPr>
        <w:t>light of the fact that half of reporting countries indicated to not have adequate financial resources to report domestic biodiversity expenditures. However, the reporting of funding needs, gaps and priorities is seemingly more difficult, with more than half of reporting Parties indicating to not have adequate financial resources to report funding needs, gaps, and priorities.</w:t>
      </w:r>
    </w:p>
    <w:p w14:paraId="06D86F4C" w14:textId="6D1EED25"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i/>
          <w:snapToGrid w:val="0"/>
          <w:kern w:val="22"/>
          <w:szCs w:val="22"/>
        </w:rPr>
        <w:t xml:space="preserve">Target 1 (d) of decision XII/3 </w:t>
      </w:r>
      <w:r w:rsidRPr="00490BF5">
        <w:rPr>
          <w:i/>
          <w:iCs/>
          <w:snapToGrid w:val="0"/>
          <w:kern w:val="22"/>
          <w:szCs w:val="22"/>
        </w:rPr>
        <w:t>(preparation by 2015 of national finance plans, and assessment of values)</w:t>
      </w:r>
      <w:r w:rsidRPr="00490BF5">
        <w:rPr>
          <w:i/>
          <w:snapToGrid w:val="0"/>
          <w:kern w:val="22"/>
          <w:szCs w:val="22"/>
        </w:rPr>
        <w:t>:</w:t>
      </w:r>
      <w:r w:rsidRPr="00490BF5">
        <w:rPr>
          <w:snapToGrid w:val="0"/>
          <w:kern w:val="22"/>
          <w:szCs w:val="22"/>
        </w:rPr>
        <w:t xml:space="preserve"> A total of </w:t>
      </w:r>
      <w:r w:rsidR="00F47C0B" w:rsidRPr="00490BF5">
        <w:rPr>
          <w:snapToGrid w:val="0"/>
          <w:kern w:val="22"/>
          <w:szCs w:val="22"/>
        </w:rPr>
        <w:t xml:space="preserve">70 </w:t>
      </w:r>
      <w:r w:rsidRPr="00490BF5">
        <w:rPr>
          <w:snapToGrid w:val="0"/>
          <w:kern w:val="22"/>
          <w:szCs w:val="22"/>
        </w:rPr>
        <w:t xml:space="preserve">Parties responded to whether they </w:t>
      </w:r>
      <w:r w:rsidR="0084250B" w:rsidRPr="00490BF5">
        <w:rPr>
          <w:snapToGrid w:val="0"/>
          <w:kern w:val="22"/>
          <w:szCs w:val="22"/>
        </w:rPr>
        <w:t xml:space="preserve">had </w:t>
      </w:r>
      <w:r w:rsidRPr="00490BF5">
        <w:rPr>
          <w:snapToGrid w:val="0"/>
          <w:kern w:val="22"/>
          <w:szCs w:val="22"/>
        </w:rPr>
        <w:t xml:space="preserve">assessed and/or evaluated the intrinsic, ecological, genetic, socioeconomic, scientific, educational, cultural, recreational and aesthetic values of biological diversity and its components and, while only four countries indicated that comprehensive assessments </w:t>
      </w:r>
      <w:r w:rsidR="00685D99" w:rsidRPr="00490BF5">
        <w:rPr>
          <w:snapToGrid w:val="0"/>
          <w:kern w:val="22"/>
          <w:szCs w:val="22"/>
        </w:rPr>
        <w:t xml:space="preserve">had been </w:t>
      </w:r>
      <w:r w:rsidRPr="00490BF5">
        <w:rPr>
          <w:snapToGrid w:val="0"/>
          <w:kern w:val="22"/>
          <w:szCs w:val="22"/>
        </w:rPr>
        <w:t xml:space="preserve">undertaken, </w:t>
      </w:r>
      <w:r w:rsidR="00F47C0B" w:rsidRPr="00490BF5">
        <w:rPr>
          <w:snapToGrid w:val="0"/>
          <w:kern w:val="22"/>
          <w:szCs w:val="22"/>
        </w:rPr>
        <w:t xml:space="preserve">81 </w:t>
      </w:r>
      <w:r w:rsidRPr="00490BF5">
        <w:rPr>
          <w:snapToGrid w:val="0"/>
          <w:kern w:val="22"/>
          <w:szCs w:val="22"/>
        </w:rPr>
        <w:t>per cent of reporting countries have undertaken at least some assessments, which seems to indicate rather satisfactory progress with regard to this element of target 1(d). However, only 15 Parties, or 25</w:t>
      </w:r>
      <w:r w:rsidR="006A0651" w:rsidRPr="00490BF5">
        <w:rPr>
          <w:snapToGrid w:val="0"/>
          <w:kern w:val="22"/>
          <w:szCs w:val="22"/>
        </w:rPr>
        <w:t> per cent</w:t>
      </w:r>
      <w:r w:rsidRPr="00490BF5">
        <w:rPr>
          <w:snapToGrid w:val="0"/>
          <w:kern w:val="22"/>
          <w:szCs w:val="22"/>
        </w:rPr>
        <w:t xml:space="preserve"> of reporting Parties, provided elements of a finance plan in the pertinent table, mostly by providing aggregated figures on the amount of domestic and international resources they plan</w:t>
      </w:r>
      <w:r w:rsidR="00B75451" w:rsidRPr="00490BF5">
        <w:rPr>
          <w:snapToGrid w:val="0"/>
          <w:kern w:val="22"/>
          <w:szCs w:val="22"/>
        </w:rPr>
        <w:t>ned</w:t>
      </w:r>
      <w:r w:rsidRPr="00490BF5">
        <w:rPr>
          <w:snapToGrid w:val="0"/>
          <w:kern w:val="22"/>
          <w:szCs w:val="22"/>
        </w:rPr>
        <w:t xml:space="preserve"> to mobilize. Together with the low number of updated and new reports, this seems to indicate persist</w:t>
      </w:r>
      <w:r w:rsidR="00BA69AB" w:rsidRPr="00490BF5">
        <w:rPr>
          <w:snapToGrid w:val="0"/>
          <w:kern w:val="22"/>
          <w:szCs w:val="22"/>
        </w:rPr>
        <w:t>ent</w:t>
      </w:r>
      <w:r w:rsidRPr="00490BF5">
        <w:rPr>
          <w:snapToGrid w:val="0"/>
          <w:kern w:val="22"/>
          <w:szCs w:val="22"/>
        </w:rPr>
        <w:t xml:space="preserve"> difficulties in developing and reporting their national finance plans. Correspondingly, two third</w:t>
      </w:r>
      <w:r w:rsidR="00867675" w:rsidRPr="00490BF5">
        <w:rPr>
          <w:snapToGrid w:val="0"/>
          <w:kern w:val="22"/>
          <w:szCs w:val="22"/>
        </w:rPr>
        <w:t>s</w:t>
      </w:r>
      <w:r w:rsidRPr="00490BF5">
        <w:rPr>
          <w:snapToGrid w:val="0"/>
          <w:kern w:val="22"/>
          <w:szCs w:val="22"/>
        </w:rPr>
        <w:t xml:space="preserve"> of reporting Parties indicated not </w:t>
      </w:r>
      <w:r w:rsidR="00867675" w:rsidRPr="00490BF5">
        <w:rPr>
          <w:snapToGrid w:val="0"/>
          <w:kern w:val="22"/>
          <w:szCs w:val="22"/>
        </w:rPr>
        <w:t xml:space="preserve">having </w:t>
      </w:r>
      <w:r w:rsidRPr="00490BF5">
        <w:rPr>
          <w:snapToGrid w:val="0"/>
          <w:kern w:val="22"/>
          <w:szCs w:val="22"/>
        </w:rPr>
        <w:t>adequate financial resources for preparing finance plans.</w:t>
      </w:r>
    </w:p>
    <w:p w14:paraId="3832703B" w14:textId="5879CE55"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490BF5">
        <w:rPr>
          <w:i/>
          <w:snapToGrid w:val="0"/>
          <w:kern w:val="22"/>
          <w:szCs w:val="22"/>
        </w:rPr>
        <w:t xml:space="preserve">Target 1 (e) of decision XII/3 </w:t>
      </w:r>
      <w:r w:rsidRPr="00490BF5">
        <w:rPr>
          <w:i/>
          <w:iCs/>
          <w:snapToGrid w:val="0"/>
          <w:kern w:val="22"/>
          <w:szCs w:val="22"/>
        </w:rPr>
        <w:t>(mobilization of domestic financial resources)</w:t>
      </w:r>
      <w:r w:rsidRPr="00490BF5">
        <w:rPr>
          <w:i/>
          <w:snapToGrid w:val="0"/>
          <w:kern w:val="22"/>
          <w:szCs w:val="22"/>
        </w:rPr>
        <w:t xml:space="preserve">: </w:t>
      </w:r>
      <w:r w:rsidRPr="00490BF5">
        <w:rPr>
          <w:snapToGrid w:val="0"/>
          <w:kern w:val="22"/>
          <w:szCs w:val="22"/>
        </w:rPr>
        <w:t>This target does not have a 2015 timeline</w:t>
      </w:r>
      <w:r w:rsidR="00796636" w:rsidRPr="00490BF5">
        <w:rPr>
          <w:snapToGrid w:val="0"/>
          <w:kern w:val="22"/>
          <w:szCs w:val="22"/>
        </w:rPr>
        <w:t>,</w:t>
      </w:r>
      <w:r w:rsidRPr="00490BF5">
        <w:rPr>
          <w:snapToGrid w:val="0"/>
          <w:kern w:val="22"/>
          <w:szCs w:val="22"/>
        </w:rPr>
        <w:t xml:space="preserve"> and progress against this target would therefore be assessed during the second reporting round, in conjunction with </w:t>
      </w:r>
      <w:r w:rsidR="001C2F9C" w:rsidRPr="00490BF5">
        <w:rPr>
          <w:snapToGrid w:val="0"/>
          <w:kern w:val="22"/>
          <w:szCs w:val="22"/>
        </w:rPr>
        <w:t xml:space="preserve">the </w:t>
      </w:r>
      <w:r w:rsidRPr="00490BF5">
        <w:rPr>
          <w:snapToGrid w:val="0"/>
          <w:kern w:val="22"/>
          <w:szCs w:val="22"/>
        </w:rPr>
        <w:t>sixth national reports. However, in order to assess whether the finance gap was reduced by the mobilization of additional financial resources, such a finance gap needs to be established and reported in the first place, and limited progress in identifying, and reporting on, finance gaps and on preparing national finance plans will also have an impact on assessing progress against this target.</w:t>
      </w:r>
    </w:p>
    <w:p w14:paraId="02085510" w14:textId="77777777" w:rsidR="00855A78" w:rsidRPr="00490BF5" w:rsidRDefault="00855A78" w:rsidP="00490BF5">
      <w:pPr>
        <w:suppressLineNumbers/>
        <w:suppressAutoHyphens/>
        <w:kinsoku w:val="0"/>
        <w:overflowPunct w:val="0"/>
        <w:autoSpaceDE w:val="0"/>
        <w:autoSpaceDN w:val="0"/>
        <w:adjustRightInd w:val="0"/>
        <w:snapToGrid w:val="0"/>
        <w:spacing w:after="120"/>
        <w:rPr>
          <w:snapToGrid w:val="0"/>
          <w:kern w:val="22"/>
          <w:szCs w:val="22"/>
        </w:rPr>
      </w:pPr>
    </w:p>
    <w:p w14:paraId="14B4012F" w14:textId="77777777" w:rsidR="00795DD1" w:rsidRPr="00490BF5" w:rsidRDefault="00795DD1" w:rsidP="00490BF5">
      <w:pPr>
        <w:suppressLineNumbers/>
        <w:suppressAutoHyphens/>
        <w:kinsoku w:val="0"/>
        <w:overflowPunct w:val="0"/>
        <w:autoSpaceDE w:val="0"/>
        <w:autoSpaceDN w:val="0"/>
        <w:adjustRightInd w:val="0"/>
        <w:snapToGrid w:val="0"/>
        <w:spacing w:after="120"/>
        <w:rPr>
          <w:snapToGrid w:val="0"/>
          <w:kern w:val="22"/>
          <w:szCs w:val="22"/>
        </w:rPr>
        <w:sectPr w:rsidR="00795DD1" w:rsidRPr="00490BF5" w:rsidSect="006E604B">
          <w:headerReference w:type="even" r:id="rId17"/>
          <w:headerReference w:type="default" r:id="rId18"/>
          <w:footerReference w:type="even" r:id="rId19"/>
          <w:footerReference w:type="default" r:id="rId20"/>
          <w:pgSz w:w="12240" w:h="15840" w:code="1"/>
          <w:pgMar w:top="1134" w:right="1440" w:bottom="1140" w:left="1440" w:header="454" w:footer="720" w:gutter="0"/>
          <w:cols w:space="720"/>
          <w:titlePg/>
          <w:docGrid w:linePitch="299"/>
        </w:sectPr>
      </w:pPr>
    </w:p>
    <w:p w14:paraId="589E2EA8" w14:textId="77777777"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sidRPr="00490BF5">
        <w:rPr>
          <w:b w:val="0"/>
          <w:i/>
          <w:snapToGrid w:val="0"/>
          <w:kern w:val="22"/>
          <w:szCs w:val="22"/>
        </w:rPr>
        <w:lastRenderedPageBreak/>
        <w:t>A</w:t>
      </w:r>
      <w:r w:rsidR="006E604B" w:rsidRPr="00490BF5">
        <w:rPr>
          <w:b w:val="0"/>
          <w:i/>
          <w:caps w:val="0"/>
          <w:snapToGrid w:val="0"/>
          <w:kern w:val="22"/>
          <w:szCs w:val="22"/>
        </w:rPr>
        <w:t>nnex</w:t>
      </w:r>
      <w:r w:rsidRPr="00490BF5">
        <w:rPr>
          <w:b w:val="0"/>
          <w:i/>
          <w:snapToGrid w:val="0"/>
          <w:kern w:val="22"/>
          <w:szCs w:val="22"/>
        </w:rPr>
        <w:t xml:space="preserve"> I</w:t>
      </w:r>
    </w:p>
    <w:p w14:paraId="4770D7EB" w14:textId="77777777"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Targets for Resource Mobilization</w:t>
      </w:r>
    </w:p>
    <w:p w14:paraId="4F1839FF" w14:textId="3DF5422A" w:rsidR="00855A78" w:rsidRPr="00490BF5" w:rsidRDefault="006E604B" w:rsidP="00490BF5">
      <w:p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1.</w:t>
      </w:r>
      <w:r w:rsidRPr="00490BF5">
        <w:rPr>
          <w:snapToGrid w:val="0"/>
          <w:kern w:val="22"/>
          <w:szCs w:val="22"/>
        </w:rPr>
        <w:tab/>
      </w:r>
      <w:r w:rsidR="00855A78" w:rsidRPr="00490BF5">
        <w:rPr>
          <w:snapToGrid w:val="0"/>
          <w:kern w:val="22"/>
          <w:szCs w:val="22"/>
        </w:rPr>
        <w:t xml:space="preserve">In decision </w:t>
      </w:r>
      <w:hyperlink r:id="rId21" w:history="1">
        <w:r w:rsidR="00855A78" w:rsidRPr="00490BF5">
          <w:rPr>
            <w:rStyle w:val="Hyperlink"/>
            <w:snapToGrid w:val="0"/>
            <w:kern w:val="22"/>
            <w:sz w:val="22"/>
            <w:szCs w:val="22"/>
          </w:rPr>
          <w:t>XII/3</w:t>
        </w:r>
      </w:hyperlink>
      <w:r w:rsidRPr="00490BF5">
        <w:rPr>
          <w:snapToGrid w:val="0"/>
          <w:kern w:val="22"/>
          <w:szCs w:val="22"/>
        </w:rPr>
        <w:t>, paragraph 1</w:t>
      </w:r>
      <w:r w:rsidR="00855A78" w:rsidRPr="00490BF5">
        <w:rPr>
          <w:snapToGrid w:val="0"/>
          <w:kern w:val="22"/>
          <w:szCs w:val="22"/>
        </w:rPr>
        <w:t xml:space="preserve">, the Conference of the Parties reaffirmed its commitment to an overall substantial increase in total biodiversity-related funding for the implementation of the Strategic Plan for Biodiversity 2011–2020 from a variety of sources, and adopted the following targets for resource mobilization, under Aichi </w:t>
      </w:r>
      <w:r w:rsidRPr="00490BF5">
        <w:rPr>
          <w:snapToGrid w:val="0"/>
          <w:kern w:val="22"/>
          <w:szCs w:val="22"/>
        </w:rPr>
        <w:t xml:space="preserve">Biodiversity </w:t>
      </w:r>
      <w:r w:rsidR="00855A78" w:rsidRPr="00490BF5">
        <w:rPr>
          <w:snapToGrid w:val="0"/>
          <w:kern w:val="22"/>
          <w:szCs w:val="22"/>
        </w:rPr>
        <w:t>Target 20 of the Strategic Plan, as follows:</w:t>
      </w:r>
    </w:p>
    <w:p w14:paraId="6F75CD7E" w14:textId="77777777"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sidRPr="00490BF5">
        <w:rPr>
          <w:rFonts w:cs="Times New Roman"/>
          <w:kern w:val="22"/>
          <w:szCs w:val="22"/>
        </w:rPr>
        <w:t>Double total biodiversity-related international financial resource flows to developing countries, in particular least developed countries and small island developing States, as well as countries with economies in transition, using average annual biodiversity funding for the years 2006-2010 as a baseline, by 2015, and at least maintain this level until 2020, in accordance with Article 20 of the Convention, to contribute to the achievement of the Convention’s three objectives, including through a country-driven prioritization of biodiversity within development plans in recipient countries;</w:t>
      </w:r>
    </w:p>
    <w:p w14:paraId="15593D28" w14:textId="77777777"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sidRPr="00490BF5">
        <w:rPr>
          <w:rFonts w:cs="Times New Roman"/>
          <w:kern w:val="22"/>
          <w:szCs w:val="22"/>
        </w:rPr>
        <w:t>Endeavour for 100 per cent, but at least 75 per cent, of Parties to have included biodiversity in their national priorities or development plans by 2015, and to have therefore made appropriate domestic financial provisions;</w:t>
      </w:r>
    </w:p>
    <w:p w14:paraId="1B8BEE0B" w14:textId="77777777"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sidRPr="00490BF5">
        <w:rPr>
          <w:rFonts w:cs="Times New Roman"/>
          <w:kern w:val="22"/>
          <w:szCs w:val="22"/>
        </w:rPr>
        <w:t>Endeavour for 100 per cent, but at least 75 per cent, of Parties provided with adequate financial resources to have reported domestic biodiversity expenditures, as well as funding needs, gaps and priorities, by 2015, in order to improve the robustness of the baseline;</w:t>
      </w:r>
    </w:p>
    <w:p w14:paraId="6237CC8C" w14:textId="77777777"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sidRPr="00490BF5">
        <w:rPr>
          <w:rFonts w:cs="Times New Roman"/>
          <w:kern w:val="22"/>
          <w:szCs w:val="22"/>
        </w:rPr>
        <w:t>Endeavour for 100 per cent, but at least 75 per cent, of Parties provided with adequate financial resources to have prepared national financial plans for biodiversity by 2015, and that 30 per cent of those Parties have assessed and/or evaluated the intrinsic, ecological, genetic, socioeconomic, scientific, educational, cultural, recreational and aesthetic values of biological diversity and its components;</w:t>
      </w:r>
    </w:p>
    <w:p w14:paraId="11AF0BAD" w14:textId="77777777"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sidRPr="00490BF5">
        <w:rPr>
          <w:rFonts w:cs="Times New Roman"/>
          <w:kern w:val="22"/>
          <w:szCs w:val="22"/>
        </w:rPr>
        <w:t>Mobilize domestic financial resources from all sources to reduce the gap between identified needs and available resources at domestic level, for effectively implementing by 2020 Parties’ national biodiversity strategies and action plans, in accordance with Article 20;</w:t>
      </w:r>
    </w:p>
    <w:p w14:paraId="035FA625" w14:textId="77777777" w:rsidR="00855A78" w:rsidRPr="00490BF5" w:rsidRDefault="006E604B" w:rsidP="00490BF5">
      <w:p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2.</w:t>
      </w:r>
      <w:r w:rsidRPr="00490BF5">
        <w:rPr>
          <w:snapToGrid w:val="0"/>
          <w:kern w:val="22"/>
          <w:szCs w:val="22"/>
        </w:rPr>
        <w:tab/>
      </w:r>
      <w:r w:rsidR="00855A78" w:rsidRPr="00490BF5">
        <w:rPr>
          <w:snapToGrid w:val="0"/>
          <w:kern w:val="22"/>
          <w:szCs w:val="22"/>
        </w:rPr>
        <w:t>In paragraph 2 of the same decision, the Conference of the Parties, recalling Article 20 of the Convention, decided that the targets in subparagraphs (a) to (e) above are to be considered mutually supportive and, in paragraph 4, urged Parties and other Governments, with the support of international and regional organizations, to develop their national resource mobilization strategies or finance plans consistent with identified needs and priorities, using the targets for resource mobilization above as a flexible framework.</w:t>
      </w:r>
    </w:p>
    <w:p w14:paraId="0775990F" w14:textId="77777777" w:rsidR="00855A78" w:rsidRPr="00490BF5" w:rsidRDefault="00855A78" w:rsidP="00490BF5">
      <w:pPr>
        <w:suppressLineNumbers/>
        <w:suppressAutoHyphens/>
        <w:kinsoku w:val="0"/>
        <w:overflowPunct w:val="0"/>
        <w:autoSpaceDE w:val="0"/>
        <w:autoSpaceDN w:val="0"/>
        <w:adjustRightInd w:val="0"/>
        <w:snapToGrid w:val="0"/>
        <w:spacing w:after="120"/>
        <w:rPr>
          <w:snapToGrid w:val="0"/>
          <w:kern w:val="22"/>
          <w:szCs w:val="22"/>
        </w:rPr>
      </w:pPr>
    </w:p>
    <w:p w14:paraId="457D9018" w14:textId="77777777" w:rsidR="00795DD1" w:rsidRPr="00490BF5" w:rsidRDefault="00795DD1" w:rsidP="00490BF5">
      <w:pPr>
        <w:suppressLineNumbers/>
        <w:suppressAutoHyphens/>
        <w:kinsoku w:val="0"/>
        <w:overflowPunct w:val="0"/>
        <w:autoSpaceDE w:val="0"/>
        <w:autoSpaceDN w:val="0"/>
        <w:adjustRightInd w:val="0"/>
        <w:snapToGrid w:val="0"/>
        <w:spacing w:after="120"/>
        <w:rPr>
          <w:snapToGrid w:val="0"/>
          <w:kern w:val="22"/>
          <w:szCs w:val="22"/>
        </w:rPr>
        <w:sectPr w:rsidR="00795DD1" w:rsidRPr="00490BF5" w:rsidSect="00490BF5">
          <w:pgSz w:w="12240" w:h="15840" w:code="1"/>
          <w:pgMar w:top="1134" w:right="1440" w:bottom="1140" w:left="1440" w:header="454" w:footer="720" w:gutter="0"/>
          <w:cols w:space="720"/>
          <w:docGrid w:linePitch="299"/>
        </w:sectPr>
      </w:pPr>
    </w:p>
    <w:p w14:paraId="7D0DB2AB" w14:textId="77777777" w:rsidR="006E604B" w:rsidRPr="00490BF5" w:rsidRDefault="006E604B" w:rsidP="00490BF5">
      <w:pPr>
        <w:pStyle w:val="Heading1"/>
        <w:keepNext w:val="0"/>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lastRenderedPageBreak/>
        <w:br w:type="page"/>
      </w:r>
    </w:p>
    <w:p w14:paraId="118C550B" w14:textId="77777777" w:rsidR="004A2D2F" w:rsidRPr="00490BF5"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rPr>
        <w:sectPr w:rsidR="004A2D2F" w:rsidRPr="00490BF5" w:rsidSect="006E604B">
          <w:type w:val="continuous"/>
          <w:pgSz w:w="12240" w:h="15840" w:code="1"/>
          <w:pgMar w:top="1134" w:right="1440" w:bottom="1140" w:left="1440" w:header="454" w:footer="720" w:gutter="0"/>
          <w:cols w:num="3" w:space="720"/>
          <w:docGrid w:linePitch="299"/>
        </w:sectPr>
      </w:pPr>
    </w:p>
    <w:p w14:paraId="4FA7317B" w14:textId="77777777"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sidRPr="00490BF5">
        <w:rPr>
          <w:b w:val="0"/>
          <w:i/>
          <w:snapToGrid w:val="0"/>
          <w:kern w:val="22"/>
          <w:szCs w:val="22"/>
        </w:rPr>
        <w:lastRenderedPageBreak/>
        <w:t>A</w:t>
      </w:r>
      <w:r w:rsidR="006E604B" w:rsidRPr="00490BF5">
        <w:rPr>
          <w:b w:val="0"/>
          <w:i/>
          <w:caps w:val="0"/>
          <w:snapToGrid w:val="0"/>
          <w:kern w:val="22"/>
          <w:szCs w:val="22"/>
        </w:rPr>
        <w:t>nnex</w:t>
      </w:r>
      <w:r w:rsidRPr="00490BF5">
        <w:rPr>
          <w:b w:val="0"/>
          <w:i/>
          <w:snapToGrid w:val="0"/>
          <w:kern w:val="22"/>
          <w:szCs w:val="22"/>
        </w:rPr>
        <w:t xml:space="preserve"> II</w:t>
      </w:r>
    </w:p>
    <w:p w14:paraId="5C221526" w14:textId="4EDE5A42" w:rsidR="004A2D2F" w:rsidRPr="00490BF5" w:rsidRDefault="00A27AB9" w:rsidP="00490BF5">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sectPr w:rsidR="004A2D2F" w:rsidRPr="00490BF5" w:rsidSect="00490BF5">
          <w:type w:val="continuous"/>
          <w:pgSz w:w="12240" w:h="15840" w:code="1"/>
          <w:pgMar w:top="1134" w:right="1440" w:bottom="1140" w:left="1440" w:header="454" w:footer="720" w:gutter="0"/>
          <w:cols w:space="720"/>
          <w:docGrid w:linePitch="299"/>
        </w:sectPr>
      </w:pPr>
      <w:r w:rsidRPr="00490BF5">
        <w:rPr>
          <w:rFonts w:ascii="Times New Roman Bold" w:hAnsi="Times New Roman Bold" w:cs="Times New Roman Bold"/>
          <w:bCs/>
          <w:snapToGrid w:val="0"/>
          <w:kern w:val="22"/>
          <w:szCs w:val="22"/>
        </w:rPr>
        <w:t>Consolidated list of Parties that s</w:t>
      </w:r>
      <w:r w:rsidR="00855A78" w:rsidRPr="00490BF5">
        <w:rPr>
          <w:rFonts w:ascii="Times New Roman Bold" w:hAnsi="Times New Roman Bold" w:cs="Times New Roman Bold"/>
          <w:bCs/>
          <w:snapToGrid w:val="0"/>
          <w:kern w:val="22"/>
          <w:szCs w:val="22"/>
        </w:rPr>
        <w:t xml:space="preserve">ubmitted </w:t>
      </w:r>
      <w:r w:rsidRPr="00490BF5">
        <w:rPr>
          <w:rFonts w:ascii="Times New Roman Bold" w:hAnsi="Times New Roman Bold" w:cs="Times New Roman Bold"/>
          <w:bCs/>
          <w:snapToGrid w:val="0"/>
          <w:kern w:val="22"/>
          <w:szCs w:val="22"/>
        </w:rPr>
        <w:t xml:space="preserve">information through the </w:t>
      </w:r>
      <w:r w:rsidR="00855A78" w:rsidRPr="00490BF5">
        <w:rPr>
          <w:rFonts w:ascii="Times New Roman Bold" w:hAnsi="Times New Roman Bold" w:cs="Times New Roman Bold"/>
          <w:bCs/>
          <w:snapToGrid w:val="0"/>
          <w:kern w:val="22"/>
          <w:szCs w:val="22"/>
        </w:rPr>
        <w:t>Financial</w:t>
      </w:r>
      <w:r w:rsidRPr="00490BF5">
        <w:rPr>
          <w:rFonts w:ascii="Times New Roman Bold" w:hAnsi="Times New Roman Bold" w:cs="Times New Roman Bold"/>
          <w:bCs/>
          <w:snapToGrid w:val="0"/>
          <w:kern w:val="22"/>
          <w:szCs w:val="22"/>
        </w:rPr>
        <w:t> </w:t>
      </w:r>
      <w:r w:rsidR="00855A78" w:rsidRPr="00490BF5">
        <w:rPr>
          <w:rFonts w:ascii="Times New Roman Bold" w:hAnsi="Times New Roman Bold" w:cs="Times New Roman Bold"/>
          <w:bCs/>
          <w:snapToGrid w:val="0"/>
          <w:kern w:val="22"/>
          <w:szCs w:val="22"/>
        </w:rPr>
        <w:t>Reporting</w:t>
      </w:r>
      <w:r w:rsidRPr="00490BF5">
        <w:rPr>
          <w:rFonts w:ascii="Times New Roman Bold" w:hAnsi="Times New Roman Bold" w:cs="Times New Roman Bold"/>
          <w:bCs/>
          <w:snapToGrid w:val="0"/>
          <w:kern w:val="22"/>
          <w:szCs w:val="22"/>
        </w:rPr>
        <w:t> </w:t>
      </w:r>
      <w:r w:rsidR="00855A78" w:rsidRPr="00490BF5">
        <w:rPr>
          <w:rFonts w:ascii="Times New Roman Bold" w:hAnsi="Times New Roman Bold" w:cs="Times New Roman Bold"/>
          <w:bCs/>
          <w:snapToGrid w:val="0"/>
          <w:kern w:val="22"/>
          <w:szCs w:val="22"/>
        </w:rPr>
        <w:t>Framework</w:t>
      </w:r>
    </w:p>
    <w:p w14:paraId="22922800" w14:textId="77777777" w:rsidR="004A2D2F" w:rsidRPr="00490BF5" w:rsidRDefault="004A2D2F" w:rsidP="00490BF5">
      <w:pPr>
        <w:suppressLineNumbers/>
        <w:suppressAutoHyphens/>
        <w:kinsoku w:val="0"/>
        <w:overflowPunct w:val="0"/>
        <w:autoSpaceDE w:val="0"/>
        <w:autoSpaceDN w:val="0"/>
        <w:adjustRightInd w:val="0"/>
        <w:snapToGrid w:val="0"/>
        <w:rPr>
          <w:snapToGrid w:val="0"/>
          <w:kern w:val="22"/>
          <w:szCs w:val="22"/>
        </w:rPr>
        <w:sectPr w:rsidR="004A2D2F" w:rsidRPr="00490BF5" w:rsidSect="006E604B">
          <w:type w:val="continuous"/>
          <w:pgSz w:w="12240" w:h="15840" w:code="1"/>
          <w:pgMar w:top="1134" w:right="1440" w:bottom="1140" w:left="1440" w:header="454" w:footer="720" w:gutter="0"/>
          <w:cols w:num="3" w:space="720"/>
          <w:docGrid w:linePitch="299"/>
        </w:sectPr>
      </w:pPr>
    </w:p>
    <w:p w14:paraId="5C154FA1" w14:textId="77777777" w:rsidR="006E604B" w:rsidRPr="00490BF5" w:rsidRDefault="006E604B" w:rsidP="00490BF5">
      <w:pPr>
        <w:suppressLineNumbers/>
        <w:suppressAutoHyphens/>
        <w:kinsoku w:val="0"/>
        <w:overflowPunct w:val="0"/>
        <w:autoSpaceDE w:val="0"/>
        <w:autoSpaceDN w:val="0"/>
        <w:adjustRightInd w:val="0"/>
        <w:snapToGrid w:val="0"/>
        <w:rPr>
          <w:snapToGrid w:val="0"/>
          <w:kern w:val="22"/>
          <w:szCs w:val="22"/>
        </w:rPr>
      </w:pPr>
    </w:p>
    <w:p w14:paraId="6DCCFB86"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Austria</w:t>
      </w:r>
    </w:p>
    <w:p w14:paraId="6BDA41A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Barbados</w:t>
      </w:r>
    </w:p>
    <w:p w14:paraId="2F14CAB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Bhutan</w:t>
      </w:r>
    </w:p>
    <w:p w14:paraId="4BB22A8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Bolivia</w:t>
      </w:r>
    </w:p>
    <w:p w14:paraId="0D1702B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Bosnia and Herzegovina</w:t>
      </w:r>
    </w:p>
    <w:p w14:paraId="46CF253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Bulgaria</w:t>
      </w:r>
    </w:p>
    <w:p w14:paraId="13D4159D"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Burkina Faso</w:t>
      </w:r>
    </w:p>
    <w:p w14:paraId="4A4DDEF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Burundi</w:t>
      </w:r>
    </w:p>
    <w:p w14:paraId="286F3C51"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Canada</w:t>
      </w:r>
    </w:p>
    <w:p w14:paraId="4E69A4B3"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Chile</w:t>
      </w:r>
    </w:p>
    <w:p w14:paraId="45E0467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China</w:t>
      </w:r>
    </w:p>
    <w:p w14:paraId="47FCEC9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Colombia</w:t>
      </w:r>
    </w:p>
    <w:p w14:paraId="4D0E66FA" w14:textId="43397C8E"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Costa Rica</w:t>
      </w:r>
    </w:p>
    <w:p w14:paraId="3C916F2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Côte d’Ivoire</w:t>
      </w:r>
    </w:p>
    <w:p w14:paraId="3261AE9E"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Croatia</w:t>
      </w:r>
    </w:p>
    <w:p w14:paraId="6874A48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Cuba</w:t>
      </w:r>
    </w:p>
    <w:p w14:paraId="5DD80982" w14:textId="0F6C209E" w:rsidR="00855A78" w:rsidRPr="00490BF5" w:rsidRDefault="00B21CBD"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proofErr w:type="spellStart"/>
      <w:r w:rsidRPr="00490BF5">
        <w:rPr>
          <w:snapToGrid w:val="0"/>
          <w:kern w:val="22"/>
          <w:szCs w:val="22"/>
        </w:rPr>
        <w:t>Czechia</w:t>
      </w:r>
      <w:proofErr w:type="spellEnd"/>
    </w:p>
    <w:p w14:paraId="43F1AAD9" w14:textId="422BF662"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Democratic Republic of the Congo</w:t>
      </w:r>
    </w:p>
    <w:p w14:paraId="293432E1"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Denmark</w:t>
      </w:r>
    </w:p>
    <w:p w14:paraId="5290B8B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Ecuador</w:t>
      </w:r>
    </w:p>
    <w:p w14:paraId="150BB35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Egypt</w:t>
      </w:r>
    </w:p>
    <w:p w14:paraId="7CEC603A"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Eritrea</w:t>
      </w:r>
    </w:p>
    <w:p w14:paraId="13349DCA"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Estonia</w:t>
      </w:r>
    </w:p>
    <w:p w14:paraId="649606A7"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Ethiopia</w:t>
      </w:r>
    </w:p>
    <w:p w14:paraId="6A8A1E51"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European Union</w:t>
      </w:r>
    </w:p>
    <w:p w14:paraId="4FB9E79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Finland</w:t>
      </w:r>
    </w:p>
    <w:p w14:paraId="29F731E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France</w:t>
      </w:r>
    </w:p>
    <w:p w14:paraId="0B412EED"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Georgia</w:t>
      </w:r>
    </w:p>
    <w:p w14:paraId="5EB1F7B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Germany</w:t>
      </w:r>
    </w:p>
    <w:p w14:paraId="6C78009D"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Greece</w:t>
      </w:r>
    </w:p>
    <w:p w14:paraId="52BC7388"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Guinea</w:t>
      </w:r>
    </w:p>
    <w:p w14:paraId="22A902D9"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lastRenderedPageBreak/>
        <w:t>Hungary</w:t>
      </w:r>
    </w:p>
    <w:p w14:paraId="48DEFB86"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India</w:t>
      </w:r>
    </w:p>
    <w:p w14:paraId="2D642277"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Iran (Islamic Republic of)</w:t>
      </w:r>
    </w:p>
    <w:p w14:paraId="758B0073"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Japan</w:t>
      </w:r>
    </w:p>
    <w:p w14:paraId="709D381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Kuwait</w:t>
      </w:r>
    </w:p>
    <w:p w14:paraId="5A7D64A7"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Latvia</w:t>
      </w:r>
    </w:p>
    <w:p w14:paraId="178B519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Lebanon</w:t>
      </w:r>
    </w:p>
    <w:p w14:paraId="56C57EB8"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Luxembourg</w:t>
      </w:r>
    </w:p>
    <w:p w14:paraId="719B3E8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Madagascar</w:t>
      </w:r>
    </w:p>
    <w:p w14:paraId="6BBA60C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Malawi</w:t>
      </w:r>
    </w:p>
    <w:p w14:paraId="6820E60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Maldives</w:t>
      </w:r>
    </w:p>
    <w:p w14:paraId="51247121" w14:textId="77777777" w:rsidR="008256D9" w:rsidRPr="00490BF5" w:rsidRDefault="008256D9"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Malta</w:t>
      </w:r>
    </w:p>
    <w:p w14:paraId="7E14E4BD" w14:textId="77777777" w:rsidR="008256D9" w:rsidRPr="00490BF5" w:rsidRDefault="008256D9"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Mauritania</w:t>
      </w:r>
    </w:p>
    <w:p w14:paraId="02981A21"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Mexico</w:t>
      </w:r>
    </w:p>
    <w:p w14:paraId="202F1405" w14:textId="55621DD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Micronesia</w:t>
      </w:r>
      <w:r w:rsidR="00E30C71" w:rsidRPr="00490BF5">
        <w:rPr>
          <w:snapToGrid w:val="0"/>
          <w:kern w:val="22"/>
          <w:szCs w:val="22"/>
        </w:rPr>
        <w:t xml:space="preserve"> (Federated States of)</w:t>
      </w:r>
    </w:p>
    <w:p w14:paraId="491FC7DA"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Morocco</w:t>
      </w:r>
    </w:p>
    <w:p w14:paraId="6342E457"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Mozambique</w:t>
      </w:r>
    </w:p>
    <w:p w14:paraId="183EB7E6"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Myanmar</w:t>
      </w:r>
    </w:p>
    <w:p w14:paraId="3921A15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Netherlands</w:t>
      </w:r>
    </w:p>
    <w:p w14:paraId="5A363AB9"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New Zealand</w:t>
      </w:r>
    </w:p>
    <w:p w14:paraId="6D77C20A"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Niue</w:t>
      </w:r>
    </w:p>
    <w:p w14:paraId="265BFCF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Norway</w:t>
      </w:r>
    </w:p>
    <w:p w14:paraId="3205130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Panama</w:t>
      </w:r>
    </w:p>
    <w:p w14:paraId="07B8F32E"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Peru</w:t>
      </w:r>
    </w:p>
    <w:p w14:paraId="5D55DF2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Philippines</w:t>
      </w:r>
    </w:p>
    <w:p w14:paraId="4260061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Poland</w:t>
      </w:r>
    </w:p>
    <w:p w14:paraId="78D7398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Republic of Korea</w:t>
      </w:r>
    </w:p>
    <w:p w14:paraId="73C81789"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Republic of Moldova</w:t>
      </w:r>
    </w:p>
    <w:p w14:paraId="5E3BD4E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Rwanda</w:t>
      </w:r>
    </w:p>
    <w:p w14:paraId="3862D485"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Serbia</w:t>
      </w:r>
    </w:p>
    <w:p w14:paraId="427FB3CE"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Slovakia</w:t>
      </w:r>
    </w:p>
    <w:p w14:paraId="3821B63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lastRenderedPageBreak/>
        <w:t>Slovenia</w:t>
      </w:r>
    </w:p>
    <w:p w14:paraId="0058F1D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South Africa</w:t>
      </w:r>
    </w:p>
    <w:p w14:paraId="6F41A67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South Sudan</w:t>
      </w:r>
    </w:p>
    <w:p w14:paraId="449CA86F"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Spain</w:t>
      </w:r>
    </w:p>
    <w:p w14:paraId="48F673D4"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Sudan</w:t>
      </w:r>
    </w:p>
    <w:p w14:paraId="31C66D2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Suriname</w:t>
      </w:r>
    </w:p>
    <w:p w14:paraId="245527B0"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Swaziland</w:t>
      </w:r>
    </w:p>
    <w:p w14:paraId="71E05437" w14:textId="2B97F52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Sweden</w:t>
      </w:r>
    </w:p>
    <w:p w14:paraId="460BB48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Switzerland</w:t>
      </w:r>
    </w:p>
    <w:p w14:paraId="4A1A2E5C"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Tunisia</w:t>
      </w:r>
    </w:p>
    <w:p w14:paraId="69714E8B"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Uganda</w:t>
      </w:r>
    </w:p>
    <w:p w14:paraId="3ADF2382"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United Kingdom of Great Britain and Northern Ireland</w:t>
      </w:r>
    </w:p>
    <w:p w14:paraId="1D61F31E" w14:textId="77777777"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Uruguay</w:t>
      </w:r>
    </w:p>
    <w:p w14:paraId="51B884EA" w14:textId="69B5DCF1"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Venezuela</w:t>
      </w:r>
      <w:r w:rsidR="003221AC" w:rsidRPr="00490BF5">
        <w:rPr>
          <w:snapToGrid w:val="0"/>
          <w:kern w:val="22"/>
          <w:szCs w:val="22"/>
        </w:rPr>
        <w:t xml:space="preserve"> (Bolivarian Republic of)</w:t>
      </w:r>
    </w:p>
    <w:p w14:paraId="2ECFD5A2" w14:textId="77777777" w:rsidR="004A2D2F" w:rsidRPr="00490BF5"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rPr>
        <w:sectPr w:rsidR="004A2D2F" w:rsidRPr="00490BF5" w:rsidSect="00490BF5">
          <w:type w:val="continuous"/>
          <w:pgSz w:w="12240" w:h="15840" w:code="1"/>
          <w:pgMar w:top="1134" w:right="1440" w:bottom="1140" w:left="1440" w:header="454" w:footer="720" w:gutter="0"/>
          <w:cols w:num="3" w:space="720"/>
          <w:titlePg/>
          <w:docGrid w:linePitch="299"/>
        </w:sectPr>
      </w:pPr>
    </w:p>
    <w:p w14:paraId="76436C68" w14:textId="77777777"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sidRPr="00490BF5">
        <w:rPr>
          <w:b w:val="0"/>
          <w:i/>
          <w:snapToGrid w:val="0"/>
          <w:kern w:val="22"/>
          <w:szCs w:val="22"/>
        </w:rPr>
        <w:lastRenderedPageBreak/>
        <w:t>A</w:t>
      </w:r>
      <w:r w:rsidR="006E604B" w:rsidRPr="00490BF5">
        <w:rPr>
          <w:b w:val="0"/>
          <w:i/>
          <w:caps w:val="0"/>
          <w:snapToGrid w:val="0"/>
          <w:kern w:val="22"/>
          <w:szCs w:val="22"/>
        </w:rPr>
        <w:t>nnex</w:t>
      </w:r>
      <w:r w:rsidRPr="00490BF5">
        <w:rPr>
          <w:b w:val="0"/>
          <w:i/>
          <w:snapToGrid w:val="0"/>
          <w:kern w:val="22"/>
          <w:szCs w:val="22"/>
        </w:rPr>
        <w:t xml:space="preserve"> III</w:t>
      </w:r>
    </w:p>
    <w:p w14:paraId="13A2D9B4" w14:textId="77777777" w:rsidR="00855A78" w:rsidRPr="00490BF5" w:rsidRDefault="00855A78" w:rsidP="00490BF5">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Progress of BIOFIN countries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6"/>
        <w:gridCol w:w="1259"/>
        <w:gridCol w:w="1383"/>
        <w:gridCol w:w="1440"/>
        <w:gridCol w:w="1350"/>
        <w:gridCol w:w="1350"/>
        <w:gridCol w:w="1260"/>
      </w:tblGrid>
      <w:tr w:rsidR="00CF2212" w:rsidRPr="00490BF5" w14:paraId="1AA675F8" w14:textId="77777777" w:rsidTr="00490BF5">
        <w:trPr>
          <w:jc w:val="center"/>
        </w:trPr>
        <w:tc>
          <w:tcPr>
            <w:tcW w:w="1606" w:type="dxa"/>
            <w:tcMar>
              <w:top w:w="43" w:type="dxa"/>
              <w:left w:w="43" w:type="dxa"/>
              <w:bottom w:w="43" w:type="dxa"/>
              <w:right w:w="43" w:type="dxa"/>
            </w:tcMar>
            <w:vAlign w:val="center"/>
            <w:hideMark/>
          </w:tcPr>
          <w:p w14:paraId="6986950C" w14:textId="77777777" w:rsidR="00855A78" w:rsidRPr="00490BF5" w:rsidRDefault="00855A78" w:rsidP="00490BF5">
            <w:pPr>
              <w:suppressLineNumbers/>
              <w:suppressAutoHyphens/>
              <w:kinsoku w:val="0"/>
              <w:overflowPunct w:val="0"/>
              <w:autoSpaceDE w:val="0"/>
              <w:autoSpaceDN w:val="0"/>
              <w:adjustRightInd w:val="0"/>
              <w:snapToGrid w:val="0"/>
              <w:jc w:val="left"/>
              <w:rPr>
                <w:rFonts w:eastAsia="Calibri"/>
                <w:bCs/>
                <w:i/>
                <w:iCs/>
                <w:snapToGrid w:val="0"/>
                <w:kern w:val="22"/>
                <w:szCs w:val="22"/>
              </w:rPr>
            </w:pPr>
            <w:r w:rsidRPr="00490BF5">
              <w:rPr>
                <w:bCs/>
                <w:i/>
                <w:iCs/>
                <w:snapToGrid w:val="0"/>
                <w:kern w:val="22"/>
                <w:szCs w:val="22"/>
              </w:rPr>
              <w:t>BIOFIN country</w:t>
            </w:r>
          </w:p>
        </w:tc>
        <w:tc>
          <w:tcPr>
            <w:tcW w:w="1259" w:type="dxa"/>
            <w:tcMar>
              <w:top w:w="43" w:type="dxa"/>
              <w:left w:w="43" w:type="dxa"/>
              <w:bottom w:w="43" w:type="dxa"/>
              <w:right w:w="43" w:type="dxa"/>
            </w:tcMar>
            <w:vAlign w:val="center"/>
            <w:hideMark/>
          </w:tcPr>
          <w:p w14:paraId="6B10D236" w14:textId="77777777"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490BF5">
              <w:rPr>
                <w:bCs/>
                <w:i/>
                <w:iCs/>
                <w:snapToGrid w:val="0"/>
                <w:kern w:val="22"/>
                <w:szCs w:val="22"/>
              </w:rPr>
              <w:t>Scoping Phase</w:t>
            </w:r>
          </w:p>
        </w:tc>
        <w:tc>
          <w:tcPr>
            <w:tcW w:w="1383" w:type="dxa"/>
            <w:tcMar>
              <w:top w:w="43" w:type="dxa"/>
              <w:left w:w="43" w:type="dxa"/>
              <w:bottom w:w="43" w:type="dxa"/>
              <w:right w:w="43" w:type="dxa"/>
            </w:tcMar>
            <w:vAlign w:val="center"/>
            <w:hideMark/>
          </w:tcPr>
          <w:p w14:paraId="7F5D4E2F" w14:textId="77777777"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490BF5">
              <w:rPr>
                <w:bCs/>
                <w:i/>
                <w:iCs/>
                <w:snapToGrid w:val="0"/>
                <w:kern w:val="22"/>
                <w:szCs w:val="22"/>
              </w:rPr>
              <w:t>Institutional Review</w:t>
            </w:r>
          </w:p>
        </w:tc>
        <w:tc>
          <w:tcPr>
            <w:tcW w:w="1440" w:type="dxa"/>
            <w:tcMar>
              <w:top w:w="43" w:type="dxa"/>
              <w:left w:w="43" w:type="dxa"/>
              <w:bottom w:w="43" w:type="dxa"/>
              <w:right w:w="43" w:type="dxa"/>
            </w:tcMar>
            <w:vAlign w:val="center"/>
            <w:hideMark/>
          </w:tcPr>
          <w:p w14:paraId="398D68EC" w14:textId="77777777"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490BF5">
              <w:rPr>
                <w:bCs/>
                <w:i/>
                <w:iCs/>
                <w:snapToGrid w:val="0"/>
                <w:kern w:val="22"/>
                <w:szCs w:val="22"/>
              </w:rPr>
              <w:t>Expenditure Review</w:t>
            </w:r>
          </w:p>
        </w:tc>
        <w:tc>
          <w:tcPr>
            <w:tcW w:w="1350" w:type="dxa"/>
            <w:tcMar>
              <w:top w:w="43" w:type="dxa"/>
              <w:left w:w="43" w:type="dxa"/>
              <w:bottom w:w="43" w:type="dxa"/>
              <w:right w:w="43" w:type="dxa"/>
            </w:tcMar>
            <w:vAlign w:val="center"/>
            <w:hideMark/>
          </w:tcPr>
          <w:p w14:paraId="00FEE55A" w14:textId="77777777"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490BF5">
              <w:rPr>
                <w:bCs/>
                <w:i/>
                <w:iCs/>
                <w:snapToGrid w:val="0"/>
                <w:kern w:val="22"/>
                <w:szCs w:val="22"/>
              </w:rPr>
              <w:t>Funding needs and gaps</w:t>
            </w:r>
          </w:p>
        </w:tc>
        <w:tc>
          <w:tcPr>
            <w:tcW w:w="1350" w:type="dxa"/>
            <w:tcMar>
              <w:top w:w="43" w:type="dxa"/>
              <w:left w:w="43" w:type="dxa"/>
              <w:bottom w:w="43" w:type="dxa"/>
              <w:right w:w="43" w:type="dxa"/>
            </w:tcMar>
            <w:vAlign w:val="center"/>
            <w:hideMark/>
          </w:tcPr>
          <w:p w14:paraId="4DB16956" w14:textId="77777777"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490BF5">
              <w:rPr>
                <w:bCs/>
                <w:i/>
                <w:iCs/>
                <w:snapToGrid w:val="0"/>
                <w:kern w:val="22"/>
                <w:szCs w:val="22"/>
              </w:rPr>
              <w:t>Finance Plan</w:t>
            </w:r>
          </w:p>
        </w:tc>
        <w:tc>
          <w:tcPr>
            <w:tcW w:w="1260" w:type="dxa"/>
            <w:shd w:val="clear" w:color="auto" w:fill="FFFFFF"/>
            <w:tcMar>
              <w:top w:w="43" w:type="dxa"/>
              <w:left w:w="43" w:type="dxa"/>
              <w:bottom w:w="43" w:type="dxa"/>
              <w:right w:w="43" w:type="dxa"/>
            </w:tcMar>
            <w:vAlign w:val="center"/>
          </w:tcPr>
          <w:p w14:paraId="2A22F890" w14:textId="77777777" w:rsidR="00855A78" w:rsidRPr="00490BF5" w:rsidRDefault="00855A78" w:rsidP="00490BF5">
            <w:pPr>
              <w:suppressLineNumbers/>
              <w:suppressAutoHyphens/>
              <w:kinsoku w:val="0"/>
              <w:overflowPunct w:val="0"/>
              <w:autoSpaceDE w:val="0"/>
              <w:autoSpaceDN w:val="0"/>
              <w:adjustRightInd w:val="0"/>
              <w:snapToGrid w:val="0"/>
              <w:jc w:val="center"/>
              <w:rPr>
                <w:bCs/>
                <w:i/>
                <w:iCs/>
                <w:snapToGrid w:val="0"/>
                <w:kern w:val="22"/>
                <w:szCs w:val="22"/>
              </w:rPr>
            </w:pPr>
            <w:r w:rsidRPr="00490BF5">
              <w:rPr>
                <w:bCs/>
                <w:i/>
                <w:iCs/>
                <w:snapToGrid w:val="0"/>
                <w:kern w:val="22"/>
                <w:szCs w:val="22"/>
              </w:rPr>
              <w:t>CBD Financial Reporting</w:t>
            </w:r>
          </w:p>
        </w:tc>
      </w:tr>
      <w:tr w:rsidR="00CF2212" w:rsidRPr="00490BF5" w14:paraId="3D0D97C7" w14:textId="77777777" w:rsidTr="00490BF5">
        <w:trPr>
          <w:jc w:val="center"/>
        </w:trPr>
        <w:tc>
          <w:tcPr>
            <w:tcW w:w="1606" w:type="dxa"/>
            <w:tcMar>
              <w:top w:w="43" w:type="dxa"/>
              <w:left w:w="43" w:type="dxa"/>
              <w:bottom w:w="43" w:type="dxa"/>
              <w:right w:w="43" w:type="dxa"/>
            </w:tcMar>
            <w:hideMark/>
          </w:tcPr>
          <w:p w14:paraId="7F0873C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Belize</w:t>
            </w:r>
          </w:p>
        </w:tc>
        <w:tc>
          <w:tcPr>
            <w:tcW w:w="1259" w:type="dxa"/>
            <w:shd w:val="pct5" w:color="auto" w:fill="auto"/>
            <w:tcMar>
              <w:top w:w="43" w:type="dxa"/>
              <w:left w:w="43" w:type="dxa"/>
              <w:bottom w:w="43" w:type="dxa"/>
              <w:right w:w="43" w:type="dxa"/>
            </w:tcMar>
            <w:hideMark/>
          </w:tcPr>
          <w:p w14:paraId="024E541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11FDA6A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440" w:type="dxa"/>
            <w:tcMar>
              <w:top w:w="43" w:type="dxa"/>
              <w:left w:w="43" w:type="dxa"/>
              <w:bottom w:w="43" w:type="dxa"/>
              <w:right w:w="43" w:type="dxa"/>
            </w:tcMar>
            <w:hideMark/>
          </w:tcPr>
          <w:p w14:paraId="4AEEADB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418AD83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0695793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2F572405"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4EE8EE64" w14:textId="77777777" w:rsidTr="00490BF5">
        <w:trPr>
          <w:jc w:val="center"/>
        </w:trPr>
        <w:tc>
          <w:tcPr>
            <w:tcW w:w="1606" w:type="dxa"/>
            <w:tcMar>
              <w:top w:w="43" w:type="dxa"/>
              <w:left w:w="43" w:type="dxa"/>
              <w:bottom w:w="43" w:type="dxa"/>
              <w:right w:w="43" w:type="dxa"/>
            </w:tcMar>
            <w:hideMark/>
          </w:tcPr>
          <w:p w14:paraId="4D847D7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Bhutan</w:t>
            </w:r>
          </w:p>
        </w:tc>
        <w:tc>
          <w:tcPr>
            <w:tcW w:w="1259" w:type="dxa"/>
            <w:shd w:val="pct5" w:color="auto" w:fill="auto"/>
            <w:tcMar>
              <w:top w:w="43" w:type="dxa"/>
              <w:left w:w="43" w:type="dxa"/>
              <w:bottom w:w="43" w:type="dxa"/>
              <w:right w:w="43" w:type="dxa"/>
            </w:tcMar>
            <w:hideMark/>
          </w:tcPr>
          <w:p w14:paraId="6ECE25B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758964A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tcMar>
              <w:top w:w="43" w:type="dxa"/>
              <w:left w:w="43" w:type="dxa"/>
              <w:bottom w:w="43" w:type="dxa"/>
              <w:right w:w="43" w:type="dxa"/>
            </w:tcMar>
            <w:hideMark/>
          </w:tcPr>
          <w:p w14:paraId="32E8051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0A18C8E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73E1306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210B7089"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7E28928D" w14:textId="77777777" w:rsidTr="00490BF5">
        <w:trPr>
          <w:jc w:val="center"/>
        </w:trPr>
        <w:tc>
          <w:tcPr>
            <w:tcW w:w="1606" w:type="dxa"/>
            <w:tcMar>
              <w:top w:w="43" w:type="dxa"/>
              <w:left w:w="43" w:type="dxa"/>
              <w:bottom w:w="43" w:type="dxa"/>
              <w:right w:w="43" w:type="dxa"/>
            </w:tcMar>
            <w:hideMark/>
          </w:tcPr>
          <w:p w14:paraId="590E5C2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Botswana</w:t>
            </w:r>
          </w:p>
        </w:tc>
        <w:tc>
          <w:tcPr>
            <w:tcW w:w="1259" w:type="dxa"/>
            <w:shd w:val="pct5" w:color="auto" w:fill="auto"/>
            <w:tcMar>
              <w:top w:w="43" w:type="dxa"/>
              <w:left w:w="43" w:type="dxa"/>
              <w:bottom w:w="43" w:type="dxa"/>
              <w:right w:w="43" w:type="dxa"/>
            </w:tcMar>
            <w:hideMark/>
          </w:tcPr>
          <w:p w14:paraId="16F123C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3BF5345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48E60BA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3C58FC6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3CD7B7E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3AB64958"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462E38C6" w14:textId="77777777" w:rsidTr="00490BF5">
        <w:trPr>
          <w:jc w:val="center"/>
        </w:trPr>
        <w:tc>
          <w:tcPr>
            <w:tcW w:w="1606" w:type="dxa"/>
            <w:tcMar>
              <w:top w:w="43" w:type="dxa"/>
              <w:left w:w="43" w:type="dxa"/>
              <w:bottom w:w="43" w:type="dxa"/>
              <w:right w:w="43" w:type="dxa"/>
            </w:tcMar>
            <w:hideMark/>
          </w:tcPr>
          <w:p w14:paraId="758B266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Brazil</w:t>
            </w:r>
          </w:p>
        </w:tc>
        <w:tc>
          <w:tcPr>
            <w:tcW w:w="1259" w:type="dxa"/>
            <w:shd w:val="pct5" w:color="auto" w:fill="auto"/>
            <w:tcMar>
              <w:top w:w="43" w:type="dxa"/>
              <w:left w:w="43" w:type="dxa"/>
              <w:bottom w:w="43" w:type="dxa"/>
              <w:right w:w="43" w:type="dxa"/>
            </w:tcMar>
            <w:hideMark/>
          </w:tcPr>
          <w:p w14:paraId="764D2EE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0A0E67D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440" w:type="dxa"/>
            <w:tcMar>
              <w:top w:w="43" w:type="dxa"/>
              <w:left w:w="43" w:type="dxa"/>
              <w:bottom w:w="43" w:type="dxa"/>
              <w:right w:w="43" w:type="dxa"/>
            </w:tcMar>
            <w:hideMark/>
          </w:tcPr>
          <w:p w14:paraId="65B31F1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23BC89B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12FC6C4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78D2B31C"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43737E8F" w14:textId="77777777" w:rsidTr="00490BF5">
        <w:trPr>
          <w:jc w:val="center"/>
        </w:trPr>
        <w:tc>
          <w:tcPr>
            <w:tcW w:w="1606" w:type="dxa"/>
            <w:tcMar>
              <w:top w:w="43" w:type="dxa"/>
              <w:left w:w="43" w:type="dxa"/>
              <w:bottom w:w="43" w:type="dxa"/>
              <w:right w:w="43" w:type="dxa"/>
            </w:tcMar>
            <w:hideMark/>
          </w:tcPr>
          <w:p w14:paraId="7644EAA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Cambodia</w:t>
            </w:r>
          </w:p>
        </w:tc>
        <w:tc>
          <w:tcPr>
            <w:tcW w:w="1259" w:type="dxa"/>
            <w:tcMar>
              <w:top w:w="43" w:type="dxa"/>
              <w:left w:w="43" w:type="dxa"/>
              <w:bottom w:w="43" w:type="dxa"/>
              <w:right w:w="43" w:type="dxa"/>
            </w:tcMar>
            <w:hideMark/>
          </w:tcPr>
          <w:p w14:paraId="4CEB09F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Started</w:t>
            </w:r>
          </w:p>
        </w:tc>
        <w:tc>
          <w:tcPr>
            <w:tcW w:w="1383" w:type="dxa"/>
            <w:tcMar>
              <w:top w:w="43" w:type="dxa"/>
              <w:left w:w="43" w:type="dxa"/>
              <w:bottom w:w="43" w:type="dxa"/>
              <w:right w:w="43" w:type="dxa"/>
            </w:tcMar>
            <w:hideMark/>
          </w:tcPr>
          <w:p w14:paraId="6FEB42E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To be started</w:t>
            </w:r>
          </w:p>
        </w:tc>
        <w:tc>
          <w:tcPr>
            <w:tcW w:w="1440" w:type="dxa"/>
            <w:tcMar>
              <w:top w:w="43" w:type="dxa"/>
              <w:left w:w="43" w:type="dxa"/>
              <w:bottom w:w="43" w:type="dxa"/>
              <w:right w:w="43" w:type="dxa"/>
            </w:tcMar>
            <w:hideMark/>
          </w:tcPr>
          <w:p w14:paraId="2F721B1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To be started</w:t>
            </w:r>
          </w:p>
        </w:tc>
        <w:tc>
          <w:tcPr>
            <w:tcW w:w="1350" w:type="dxa"/>
            <w:tcMar>
              <w:top w:w="43" w:type="dxa"/>
              <w:left w:w="43" w:type="dxa"/>
              <w:bottom w:w="43" w:type="dxa"/>
              <w:right w:w="43" w:type="dxa"/>
            </w:tcMar>
            <w:hideMark/>
          </w:tcPr>
          <w:p w14:paraId="478526E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To be started</w:t>
            </w:r>
          </w:p>
        </w:tc>
        <w:tc>
          <w:tcPr>
            <w:tcW w:w="1350" w:type="dxa"/>
            <w:tcMar>
              <w:top w:w="43" w:type="dxa"/>
              <w:left w:w="43" w:type="dxa"/>
              <w:bottom w:w="43" w:type="dxa"/>
              <w:right w:w="43" w:type="dxa"/>
            </w:tcMar>
            <w:hideMark/>
          </w:tcPr>
          <w:p w14:paraId="5A33447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To be started</w:t>
            </w:r>
          </w:p>
        </w:tc>
        <w:tc>
          <w:tcPr>
            <w:tcW w:w="1260" w:type="dxa"/>
            <w:shd w:val="clear" w:color="auto" w:fill="FFFFFF"/>
            <w:tcMar>
              <w:top w:w="43" w:type="dxa"/>
              <w:left w:w="43" w:type="dxa"/>
              <w:bottom w:w="43" w:type="dxa"/>
              <w:right w:w="43" w:type="dxa"/>
            </w:tcMar>
          </w:tcPr>
          <w:p w14:paraId="7BD55D91"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276BD149" w14:textId="77777777" w:rsidTr="00490BF5">
        <w:trPr>
          <w:jc w:val="center"/>
        </w:trPr>
        <w:tc>
          <w:tcPr>
            <w:tcW w:w="1606" w:type="dxa"/>
            <w:tcMar>
              <w:top w:w="43" w:type="dxa"/>
              <w:left w:w="43" w:type="dxa"/>
              <w:bottom w:w="43" w:type="dxa"/>
              <w:right w:w="43" w:type="dxa"/>
            </w:tcMar>
            <w:hideMark/>
          </w:tcPr>
          <w:p w14:paraId="40CB099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Chile</w:t>
            </w:r>
          </w:p>
        </w:tc>
        <w:tc>
          <w:tcPr>
            <w:tcW w:w="1259" w:type="dxa"/>
            <w:shd w:val="pct5" w:color="auto" w:fill="auto"/>
            <w:tcMar>
              <w:top w:w="43" w:type="dxa"/>
              <w:left w:w="43" w:type="dxa"/>
              <w:bottom w:w="43" w:type="dxa"/>
              <w:right w:w="43" w:type="dxa"/>
            </w:tcMar>
            <w:hideMark/>
          </w:tcPr>
          <w:p w14:paraId="483BD74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3ABF589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59B6C53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53B7B9F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4A656E4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30437853"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4DF11916" w14:textId="77777777" w:rsidTr="00490BF5">
        <w:trPr>
          <w:jc w:val="center"/>
        </w:trPr>
        <w:tc>
          <w:tcPr>
            <w:tcW w:w="1606" w:type="dxa"/>
            <w:tcMar>
              <w:top w:w="43" w:type="dxa"/>
              <w:left w:w="43" w:type="dxa"/>
              <w:bottom w:w="43" w:type="dxa"/>
              <w:right w:w="43" w:type="dxa"/>
            </w:tcMar>
            <w:hideMark/>
          </w:tcPr>
          <w:p w14:paraId="6E489BC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Colombia</w:t>
            </w:r>
          </w:p>
        </w:tc>
        <w:tc>
          <w:tcPr>
            <w:tcW w:w="1259" w:type="dxa"/>
            <w:shd w:val="pct5" w:color="auto" w:fill="auto"/>
            <w:tcMar>
              <w:top w:w="43" w:type="dxa"/>
              <w:left w:w="43" w:type="dxa"/>
              <w:bottom w:w="43" w:type="dxa"/>
              <w:right w:w="43" w:type="dxa"/>
            </w:tcMar>
            <w:hideMark/>
          </w:tcPr>
          <w:p w14:paraId="728D45A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30B7387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7FFF259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7A5220A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3BBC220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3B733626"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619C6C47" w14:textId="77777777" w:rsidTr="00490BF5">
        <w:trPr>
          <w:jc w:val="center"/>
        </w:trPr>
        <w:tc>
          <w:tcPr>
            <w:tcW w:w="1606" w:type="dxa"/>
            <w:tcMar>
              <w:top w:w="43" w:type="dxa"/>
              <w:left w:w="43" w:type="dxa"/>
              <w:bottom w:w="43" w:type="dxa"/>
              <w:right w:w="43" w:type="dxa"/>
            </w:tcMar>
            <w:hideMark/>
          </w:tcPr>
          <w:p w14:paraId="355C2D3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Costa Rica</w:t>
            </w:r>
          </w:p>
        </w:tc>
        <w:tc>
          <w:tcPr>
            <w:tcW w:w="1259" w:type="dxa"/>
            <w:shd w:val="pct5" w:color="auto" w:fill="auto"/>
            <w:tcMar>
              <w:top w:w="43" w:type="dxa"/>
              <w:left w:w="43" w:type="dxa"/>
              <w:bottom w:w="43" w:type="dxa"/>
              <w:right w:w="43" w:type="dxa"/>
            </w:tcMar>
            <w:hideMark/>
          </w:tcPr>
          <w:p w14:paraId="2C3EA69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7A89B70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103EC4D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5312EC9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180B06F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260" w:type="dxa"/>
            <w:shd w:val="clear" w:color="auto" w:fill="FFFFFF"/>
            <w:tcMar>
              <w:top w:w="43" w:type="dxa"/>
              <w:left w:w="43" w:type="dxa"/>
              <w:bottom w:w="43" w:type="dxa"/>
              <w:right w:w="43" w:type="dxa"/>
            </w:tcMar>
          </w:tcPr>
          <w:p w14:paraId="7A170EB7" w14:textId="7FA4B40D" w:rsidR="00855A78" w:rsidRPr="00490BF5" w:rsidRDefault="00F4361B"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0B133703" w14:textId="77777777" w:rsidTr="00490BF5">
        <w:trPr>
          <w:jc w:val="center"/>
        </w:trPr>
        <w:tc>
          <w:tcPr>
            <w:tcW w:w="1606" w:type="dxa"/>
            <w:tcMar>
              <w:top w:w="43" w:type="dxa"/>
              <w:left w:w="43" w:type="dxa"/>
              <w:bottom w:w="43" w:type="dxa"/>
              <w:right w:w="43" w:type="dxa"/>
            </w:tcMar>
            <w:hideMark/>
          </w:tcPr>
          <w:p w14:paraId="48F2CBE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Cuba</w:t>
            </w:r>
          </w:p>
        </w:tc>
        <w:tc>
          <w:tcPr>
            <w:tcW w:w="1259" w:type="dxa"/>
            <w:shd w:val="pct5" w:color="auto" w:fill="auto"/>
            <w:tcMar>
              <w:top w:w="43" w:type="dxa"/>
              <w:left w:w="43" w:type="dxa"/>
              <w:bottom w:w="43" w:type="dxa"/>
              <w:right w:w="43" w:type="dxa"/>
            </w:tcMar>
            <w:hideMark/>
          </w:tcPr>
          <w:p w14:paraId="2585ADF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146FD46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440" w:type="dxa"/>
            <w:tcMar>
              <w:top w:w="43" w:type="dxa"/>
              <w:left w:w="43" w:type="dxa"/>
              <w:bottom w:w="43" w:type="dxa"/>
              <w:right w:w="43" w:type="dxa"/>
            </w:tcMar>
            <w:hideMark/>
          </w:tcPr>
          <w:p w14:paraId="2133DD3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5DBB4FF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75F88D2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5B4BEEC1"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04005D22" w14:textId="77777777" w:rsidTr="00490BF5">
        <w:trPr>
          <w:jc w:val="center"/>
        </w:trPr>
        <w:tc>
          <w:tcPr>
            <w:tcW w:w="1606" w:type="dxa"/>
            <w:tcMar>
              <w:top w:w="43" w:type="dxa"/>
              <w:left w:w="43" w:type="dxa"/>
              <w:bottom w:w="43" w:type="dxa"/>
              <w:right w:w="43" w:type="dxa"/>
            </w:tcMar>
            <w:hideMark/>
          </w:tcPr>
          <w:p w14:paraId="7B3219D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Ecuador</w:t>
            </w:r>
          </w:p>
        </w:tc>
        <w:tc>
          <w:tcPr>
            <w:tcW w:w="1259" w:type="dxa"/>
            <w:shd w:val="pct5" w:color="auto" w:fill="auto"/>
            <w:tcMar>
              <w:top w:w="43" w:type="dxa"/>
              <w:left w:w="43" w:type="dxa"/>
              <w:bottom w:w="43" w:type="dxa"/>
              <w:right w:w="43" w:type="dxa"/>
            </w:tcMar>
            <w:hideMark/>
          </w:tcPr>
          <w:p w14:paraId="4C1676A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14D35A1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0B32C66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35F2CFF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3F20E91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260" w:type="dxa"/>
            <w:shd w:val="clear" w:color="auto" w:fill="FFFFFF"/>
            <w:tcMar>
              <w:top w:w="43" w:type="dxa"/>
              <w:left w:w="43" w:type="dxa"/>
              <w:bottom w:w="43" w:type="dxa"/>
              <w:right w:w="43" w:type="dxa"/>
            </w:tcMar>
          </w:tcPr>
          <w:p w14:paraId="6C9AA6DD"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3C0E8C12" w14:textId="77777777" w:rsidTr="00490BF5">
        <w:trPr>
          <w:jc w:val="center"/>
        </w:trPr>
        <w:tc>
          <w:tcPr>
            <w:tcW w:w="1606" w:type="dxa"/>
            <w:tcMar>
              <w:top w:w="43" w:type="dxa"/>
              <w:left w:w="43" w:type="dxa"/>
              <w:bottom w:w="43" w:type="dxa"/>
              <w:right w:w="43" w:type="dxa"/>
            </w:tcMar>
            <w:hideMark/>
          </w:tcPr>
          <w:p w14:paraId="1D0183B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Fiji</w:t>
            </w:r>
          </w:p>
        </w:tc>
        <w:tc>
          <w:tcPr>
            <w:tcW w:w="1259" w:type="dxa"/>
            <w:shd w:val="pct5" w:color="auto" w:fill="auto"/>
            <w:tcMar>
              <w:top w:w="43" w:type="dxa"/>
              <w:left w:w="43" w:type="dxa"/>
              <w:bottom w:w="43" w:type="dxa"/>
              <w:right w:w="43" w:type="dxa"/>
            </w:tcMar>
            <w:hideMark/>
          </w:tcPr>
          <w:p w14:paraId="5E27F82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3E689C4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4E3F558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6EC04BA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6222D69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6D8FADE1"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76D144FA" w14:textId="77777777" w:rsidTr="00490BF5">
        <w:trPr>
          <w:jc w:val="center"/>
        </w:trPr>
        <w:tc>
          <w:tcPr>
            <w:tcW w:w="1606" w:type="dxa"/>
            <w:tcMar>
              <w:top w:w="43" w:type="dxa"/>
              <w:left w:w="43" w:type="dxa"/>
              <w:bottom w:w="43" w:type="dxa"/>
              <w:right w:w="43" w:type="dxa"/>
            </w:tcMar>
            <w:hideMark/>
          </w:tcPr>
          <w:p w14:paraId="152067C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Georgia</w:t>
            </w:r>
          </w:p>
        </w:tc>
        <w:tc>
          <w:tcPr>
            <w:tcW w:w="1259" w:type="dxa"/>
            <w:shd w:val="pct5" w:color="auto" w:fill="auto"/>
            <w:tcMar>
              <w:top w:w="43" w:type="dxa"/>
              <w:left w:w="43" w:type="dxa"/>
              <w:bottom w:w="43" w:type="dxa"/>
              <w:right w:w="43" w:type="dxa"/>
            </w:tcMar>
            <w:hideMark/>
          </w:tcPr>
          <w:p w14:paraId="173A23F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2C81CEE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tcMar>
              <w:top w:w="43" w:type="dxa"/>
              <w:left w:w="43" w:type="dxa"/>
              <w:bottom w:w="43" w:type="dxa"/>
              <w:right w:w="43" w:type="dxa"/>
            </w:tcMar>
            <w:hideMark/>
          </w:tcPr>
          <w:p w14:paraId="0AEB8BE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0961D1F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08BFBB8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3E8B087C"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4488D666" w14:textId="77777777" w:rsidTr="00490BF5">
        <w:trPr>
          <w:jc w:val="center"/>
        </w:trPr>
        <w:tc>
          <w:tcPr>
            <w:tcW w:w="1606" w:type="dxa"/>
            <w:tcMar>
              <w:top w:w="43" w:type="dxa"/>
              <w:left w:w="43" w:type="dxa"/>
              <w:bottom w:w="43" w:type="dxa"/>
              <w:right w:w="43" w:type="dxa"/>
            </w:tcMar>
            <w:hideMark/>
          </w:tcPr>
          <w:p w14:paraId="5550130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Guatemala</w:t>
            </w:r>
          </w:p>
        </w:tc>
        <w:tc>
          <w:tcPr>
            <w:tcW w:w="1259" w:type="dxa"/>
            <w:shd w:val="pct5" w:color="auto" w:fill="auto"/>
            <w:tcMar>
              <w:top w:w="43" w:type="dxa"/>
              <w:left w:w="43" w:type="dxa"/>
              <w:bottom w:w="43" w:type="dxa"/>
              <w:right w:w="43" w:type="dxa"/>
            </w:tcMar>
            <w:hideMark/>
          </w:tcPr>
          <w:p w14:paraId="7BF7804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6102457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2F2EEBE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361BB27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5F9A3AA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260" w:type="dxa"/>
            <w:shd w:val="clear" w:color="auto" w:fill="FFFFFF"/>
            <w:tcMar>
              <w:top w:w="43" w:type="dxa"/>
              <w:left w:w="43" w:type="dxa"/>
              <w:bottom w:w="43" w:type="dxa"/>
              <w:right w:w="43" w:type="dxa"/>
            </w:tcMar>
          </w:tcPr>
          <w:p w14:paraId="3AC8CDB8"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692FBD28" w14:textId="77777777" w:rsidTr="00490BF5">
        <w:trPr>
          <w:jc w:val="center"/>
        </w:trPr>
        <w:tc>
          <w:tcPr>
            <w:tcW w:w="1606" w:type="dxa"/>
            <w:tcMar>
              <w:top w:w="43" w:type="dxa"/>
              <w:left w:w="43" w:type="dxa"/>
              <w:bottom w:w="43" w:type="dxa"/>
              <w:right w:w="43" w:type="dxa"/>
            </w:tcMar>
            <w:hideMark/>
          </w:tcPr>
          <w:p w14:paraId="5095D6A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India</w:t>
            </w:r>
          </w:p>
        </w:tc>
        <w:tc>
          <w:tcPr>
            <w:tcW w:w="1259" w:type="dxa"/>
            <w:shd w:val="pct5" w:color="auto" w:fill="auto"/>
            <w:tcMar>
              <w:top w:w="43" w:type="dxa"/>
              <w:left w:w="43" w:type="dxa"/>
              <w:bottom w:w="43" w:type="dxa"/>
              <w:right w:w="43" w:type="dxa"/>
            </w:tcMar>
            <w:hideMark/>
          </w:tcPr>
          <w:p w14:paraId="1F57B49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02B786A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55B59C4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3339CB1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4B319DD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4980B1BF"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3EDF2B41" w14:textId="77777777" w:rsidTr="00490BF5">
        <w:trPr>
          <w:jc w:val="center"/>
        </w:trPr>
        <w:tc>
          <w:tcPr>
            <w:tcW w:w="1606" w:type="dxa"/>
            <w:tcMar>
              <w:top w:w="43" w:type="dxa"/>
              <w:left w:w="43" w:type="dxa"/>
              <w:bottom w:w="43" w:type="dxa"/>
              <w:right w:w="43" w:type="dxa"/>
            </w:tcMar>
            <w:hideMark/>
          </w:tcPr>
          <w:p w14:paraId="6778A06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Indonesia</w:t>
            </w:r>
          </w:p>
        </w:tc>
        <w:tc>
          <w:tcPr>
            <w:tcW w:w="1259" w:type="dxa"/>
            <w:shd w:val="pct5" w:color="auto" w:fill="auto"/>
            <w:tcMar>
              <w:top w:w="43" w:type="dxa"/>
              <w:left w:w="43" w:type="dxa"/>
              <w:bottom w:w="43" w:type="dxa"/>
              <w:right w:w="43" w:type="dxa"/>
            </w:tcMar>
            <w:hideMark/>
          </w:tcPr>
          <w:p w14:paraId="19ADF5A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41B5823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6B50AE6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113F710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49DFB14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25A17A57"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334FAADE" w14:textId="77777777" w:rsidTr="00490BF5">
        <w:trPr>
          <w:jc w:val="center"/>
        </w:trPr>
        <w:tc>
          <w:tcPr>
            <w:tcW w:w="1606" w:type="dxa"/>
            <w:tcMar>
              <w:top w:w="43" w:type="dxa"/>
              <w:left w:w="43" w:type="dxa"/>
              <w:bottom w:w="43" w:type="dxa"/>
              <w:right w:w="43" w:type="dxa"/>
            </w:tcMar>
            <w:hideMark/>
          </w:tcPr>
          <w:p w14:paraId="128B39A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Kazakhstan</w:t>
            </w:r>
          </w:p>
        </w:tc>
        <w:tc>
          <w:tcPr>
            <w:tcW w:w="1259" w:type="dxa"/>
            <w:shd w:val="pct5" w:color="auto" w:fill="auto"/>
            <w:tcMar>
              <w:top w:w="43" w:type="dxa"/>
              <w:left w:w="43" w:type="dxa"/>
              <w:bottom w:w="43" w:type="dxa"/>
              <w:right w:w="43" w:type="dxa"/>
            </w:tcMar>
            <w:hideMark/>
          </w:tcPr>
          <w:p w14:paraId="02306C4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16B5BB4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54DD649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4C68B34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67B243A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3CDADCA6"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25C5B31E" w14:textId="77777777" w:rsidTr="00490BF5">
        <w:trPr>
          <w:jc w:val="center"/>
        </w:trPr>
        <w:tc>
          <w:tcPr>
            <w:tcW w:w="1606" w:type="dxa"/>
            <w:tcMar>
              <w:top w:w="43" w:type="dxa"/>
              <w:left w:w="43" w:type="dxa"/>
              <w:bottom w:w="43" w:type="dxa"/>
              <w:right w:w="43" w:type="dxa"/>
            </w:tcMar>
            <w:hideMark/>
          </w:tcPr>
          <w:p w14:paraId="125AC2F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Kyrgyzstan</w:t>
            </w:r>
          </w:p>
        </w:tc>
        <w:tc>
          <w:tcPr>
            <w:tcW w:w="1259" w:type="dxa"/>
            <w:shd w:val="pct5" w:color="auto" w:fill="auto"/>
            <w:tcMar>
              <w:top w:w="43" w:type="dxa"/>
              <w:left w:w="43" w:type="dxa"/>
              <w:bottom w:w="43" w:type="dxa"/>
              <w:right w:w="43" w:type="dxa"/>
            </w:tcMar>
            <w:hideMark/>
          </w:tcPr>
          <w:p w14:paraId="3EF6600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0CCF1F1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00E8D62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7F6C685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7CEC9B9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1C19D323"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0A755A7F" w14:textId="77777777" w:rsidTr="00490BF5">
        <w:trPr>
          <w:jc w:val="center"/>
        </w:trPr>
        <w:tc>
          <w:tcPr>
            <w:tcW w:w="1606" w:type="dxa"/>
            <w:tcMar>
              <w:top w:w="43" w:type="dxa"/>
              <w:left w:w="43" w:type="dxa"/>
              <w:bottom w:w="43" w:type="dxa"/>
              <w:right w:w="43" w:type="dxa"/>
            </w:tcMar>
            <w:hideMark/>
          </w:tcPr>
          <w:p w14:paraId="2C7551B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Malaysia</w:t>
            </w:r>
          </w:p>
        </w:tc>
        <w:tc>
          <w:tcPr>
            <w:tcW w:w="1259" w:type="dxa"/>
            <w:shd w:val="pct5" w:color="auto" w:fill="auto"/>
            <w:tcMar>
              <w:top w:w="43" w:type="dxa"/>
              <w:left w:w="43" w:type="dxa"/>
              <w:bottom w:w="43" w:type="dxa"/>
              <w:right w:w="43" w:type="dxa"/>
            </w:tcMar>
            <w:hideMark/>
          </w:tcPr>
          <w:p w14:paraId="2BCD1F8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773EE7B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 xml:space="preserve">Final draft </w:t>
            </w:r>
          </w:p>
        </w:tc>
        <w:tc>
          <w:tcPr>
            <w:tcW w:w="1440" w:type="dxa"/>
            <w:tcMar>
              <w:top w:w="43" w:type="dxa"/>
              <w:left w:w="43" w:type="dxa"/>
              <w:bottom w:w="43" w:type="dxa"/>
              <w:right w:w="43" w:type="dxa"/>
            </w:tcMar>
            <w:hideMark/>
          </w:tcPr>
          <w:p w14:paraId="434C2C6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5C4F311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651A635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4061FEB6"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1D8E4471" w14:textId="77777777" w:rsidTr="00490BF5">
        <w:trPr>
          <w:jc w:val="center"/>
        </w:trPr>
        <w:tc>
          <w:tcPr>
            <w:tcW w:w="1606" w:type="dxa"/>
            <w:tcMar>
              <w:top w:w="43" w:type="dxa"/>
              <w:left w:w="43" w:type="dxa"/>
              <w:bottom w:w="43" w:type="dxa"/>
              <w:right w:w="43" w:type="dxa"/>
            </w:tcMar>
            <w:hideMark/>
          </w:tcPr>
          <w:p w14:paraId="531D6D7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Mexico</w:t>
            </w:r>
          </w:p>
        </w:tc>
        <w:tc>
          <w:tcPr>
            <w:tcW w:w="1259" w:type="dxa"/>
            <w:shd w:val="pct5" w:color="auto" w:fill="auto"/>
            <w:tcMar>
              <w:top w:w="43" w:type="dxa"/>
              <w:left w:w="43" w:type="dxa"/>
              <w:bottom w:w="43" w:type="dxa"/>
              <w:right w:w="43" w:type="dxa"/>
            </w:tcMar>
            <w:hideMark/>
          </w:tcPr>
          <w:p w14:paraId="2AFD31F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4E72B25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2131674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7F53482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3903358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4B29CC45"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2913732D" w14:textId="77777777" w:rsidTr="00490BF5">
        <w:trPr>
          <w:jc w:val="center"/>
        </w:trPr>
        <w:tc>
          <w:tcPr>
            <w:tcW w:w="1606" w:type="dxa"/>
            <w:tcMar>
              <w:top w:w="43" w:type="dxa"/>
              <w:left w:w="43" w:type="dxa"/>
              <w:bottom w:w="43" w:type="dxa"/>
              <w:right w:w="43" w:type="dxa"/>
            </w:tcMar>
            <w:hideMark/>
          </w:tcPr>
          <w:p w14:paraId="75E4609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Mongolia</w:t>
            </w:r>
          </w:p>
        </w:tc>
        <w:tc>
          <w:tcPr>
            <w:tcW w:w="1259" w:type="dxa"/>
            <w:shd w:val="pct5" w:color="auto" w:fill="auto"/>
            <w:tcMar>
              <w:top w:w="43" w:type="dxa"/>
              <w:left w:w="43" w:type="dxa"/>
              <w:bottom w:w="43" w:type="dxa"/>
              <w:right w:w="43" w:type="dxa"/>
            </w:tcMar>
            <w:hideMark/>
          </w:tcPr>
          <w:p w14:paraId="5559796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6492953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66735F6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731FFF5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2D94397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2A6CC021"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3AA14158" w14:textId="77777777" w:rsidTr="00490BF5">
        <w:trPr>
          <w:jc w:val="center"/>
        </w:trPr>
        <w:tc>
          <w:tcPr>
            <w:tcW w:w="1606" w:type="dxa"/>
            <w:tcMar>
              <w:top w:w="43" w:type="dxa"/>
              <w:left w:w="43" w:type="dxa"/>
              <w:bottom w:w="43" w:type="dxa"/>
              <w:right w:w="43" w:type="dxa"/>
            </w:tcMar>
            <w:hideMark/>
          </w:tcPr>
          <w:p w14:paraId="6A36603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Mozambique</w:t>
            </w:r>
          </w:p>
        </w:tc>
        <w:tc>
          <w:tcPr>
            <w:tcW w:w="1259" w:type="dxa"/>
            <w:shd w:val="pct5" w:color="auto" w:fill="auto"/>
            <w:tcMar>
              <w:top w:w="43" w:type="dxa"/>
              <w:left w:w="43" w:type="dxa"/>
              <w:bottom w:w="43" w:type="dxa"/>
              <w:right w:w="43" w:type="dxa"/>
            </w:tcMar>
            <w:hideMark/>
          </w:tcPr>
          <w:p w14:paraId="4316C44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5B75840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440" w:type="dxa"/>
            <w:tcMar>
              <w:top w:w="43" w:type="dxa"/>
              <w:left w:w="43" w:type="dxa"/>
              <w:bottom w:w="43" w:type="dxa"/>
              <w:right w:w="43" w:type="dxa"/>
            </w:tcMar>
            <w:hideMark/>
          </w:tcPr>
          <w:p w14:paraId="4656FA6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11D01C0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77D0FD2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278BD619"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52630912" w14:textId="77777777" w:rsidTr="00490BF5">
        <w:trPr>
          <w:jc w:val="center"/>
        </w:trPr>
        <w:tc>
          <w:tcPr>
            <w:tcW w:w="1606" w:type="dxa"/>
            <w:tcMar>
              <w:top w:w="43" w:type="dxa"/>
              <w:left w:w="43" w:type="dxa"/>
              <w:bottom w:w="43" w:type="dxa"/>
              <w:right w:w="43" w:type="dxa"/>
            </w:tcMar>
            <w:hideMark/>
          </w:tcPr>
          <w:p w14:paraId="575492A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Peru</w:t>
            </w:r>
          </w:p>
        </w:tc>
        <w:tc>
          <w:tcPr>
            <w:tcW w:w="1259" w:type="dxa"/>
            <w:shd w:val="pct5" w:color="auto" w:fill="auto"/>
            <w:tcMar>
              <w:top w:w="43" w:type="dxa"/>
              <w:left w:w="43" w:type="dxa"/>
              <w:bottom w:w="43" w:type="dxa"/>
              <w:right w:w="43" w:type="dxa"/>
            </w:tcMar>
            <w:hideMark/>
          </w:tcPr>
          <w:p w14:paraId="628AE7A8"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05E613D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6692EF1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2DEB786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3D7818C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435C98E9"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67F6B018" w14:textId="77777777" w:rsidTr="00490BF5">
        <w:trPr>
          <w:jc w:val="center"/>
        </w:trPr>
        <w:tc>
          <w:tcPr>
            <w:tcW w:w="1606" w:type="dxa"/>
            <w:tcMar>
              <w:top w:w="43" w:type="dxa"/>
              <w:left w:w="43" w:type="dxa"/>
              <w:bottom w:w="43" w:type="dxa"/>
              <w:right w:w="43" w:type="dxa"/>
            </w:tcMar>
            <w:hideMark/>
          </w:tcPr>
          <w:p w14:paraId="3C5FDCF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Philippines</w:t>
            </w:r>
          </w:p>
        </w:tc>
        <w:tc>
          <w:tcPr>
            <w:tcW w:w="1259" w:type="dxa"/>
            <w:shd w:val="pct5" w:color="auto" w:fill="auto"/>
            <w:tcMar>
              <w:top w:w="43" w:type="dxa"/>
              <w:left w:w="43" w:type="dxa"/>
              <w:bottom w:w="43" w:type="dxa"/>
              <w:right w:w="43" w:type="dxa"/>
            </w:tcMar>
            <w:hideMark/>
          </w:tcPr>
          <w:p w14:paraId="44ADD3D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5BA5AC1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tcMar>
              <w:top w:w="43" w:type="dxa"/>
              <w:left w:w="43" w:type="dxa"/>
              <w:bottom w:w="43" w:type="dxa"/>
              <w:right w:w="43" w:type="dxa"/>
            </w:tcMar>
            <w:hideMark/>
          </w:tcPr>
          <w:p w14:paraId="7DC7A9E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6FCEAC1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66AC8A7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0448627B"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146F0422" w14:textId="77777777" w:rsidTr="00490BF5">
        <w:trPr>
          <w:jc w:val="center"/>
        </w:trPr>
        <w:tc>
          <w:tcPr>
            <w:tcW w:w="1606" w:type="dxa"/>
            <w:tcMar>
              <w:top w:w="43" w:type="dxa"/>
              <w:left w:w="43" w:type="dxa"/>
              <w:bottom w:w="43" w:type="dxa"/>
              <w:right w:w="43" w:type="dxa"/>
            </w:tcMar>
            <w:hideMark/>
          </w:tcPr>
          <w:p w14:paraId="7DCE776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Rwanda</w:t>
            </w:r>
          </w:p>
        </w:tc>
        <w:tc>
          <w:tcPr>
            <w:tcW w:w="1259" w:type="dxa"/>
            <w:shd w:val="pct5" w:color="auto" w:fill="auto"/>
            <w:tcMar>
              <w:top w:w="43" w:type="dxa"/>
              <w:left w:w="43" w:type="dxa"/>
              <w:bottom w:w="43" w:type="dxa"/>
              <w:right w:w="43" w:type="dxa"/>
            </w:tcMar>
            <w:hideMark/>
          </w:tcPr>
          <w:p w14:paraId="74C6F5A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0FCB7FC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0CF0F8D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13870EE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3F53494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792ED359"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4745C0FF" w14:textId="77777777" w:rsidTr="00490BF5">
        <w:trPr>
          <w:jc w:val="center"/>
        </w:trPr>
        <w:tc>
          <w:tcPr>
            <w:tcW w:w="1606" w:type="dxa"/>
            <w:tcMar>
              <w:top w:w="43" w:type="dxa"/>
              <w:left w:w="43" w:type="dxa"/>
              <w:bottom w:w="43" w:type="dxa"/>
              <w:right w:w="43" w:type="dxa"/>
            </w:tcMar>
            <w:hideMark/>
          </w:tcPr>
          <w:p w14:paraId="01FE372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Seychelles</w:t>
            </w:r>
          </w:p>
        </w:tc>
        <w:tc>
          <w:tcPr>
            <w:tcW w:w="1259" w:type="dxa"/>
            <w:shd w:val="pct5" w:color="auto" w:fill="auto"/>
            <w:tcMar>
              <w:top w:w="43" w:type="dxa"/>
              <w:left w:w="43" w:type="dxa"/>
              <w:bottom w:w="43" w:type="dxa"/>
              <w:right w:w="43" w:type="dxa"/>
            </w:tcMar>
            <w:hideMark/>
          </w:tcPr>
          <w:p w14:paraId="109608B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66D8330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0F29DA3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53A5984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12CF678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39C4A048"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546D47E2" w14:textId="77777777" w:rsidTr="00490BF5">
        <w:trPr>
          <w:jc w:val="center"/>
        </w:trPr>
        <w:tc>
          <w:tcPr>
            <w:tcW w:w="1606" w:type="dxa"/>
            <w:tcMar>
              <w:top w:w="43" w:type="dxa"/>
              <w:left w:w="43" w:type="dxa"/>
              <w:bottom w:w="43" w:type="dxa"/>
              <w:right w:w="43" w:type="dxa"/>
            </w:tcMar>
            <w:hideMark/>
          </w:tcPr>
          <w:p w14:paraId="5A09E47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South Africa</w:t>
            </w:r>
          </w:p>
        </w:tc>
        <w:tc>
          <w:tcPr>
            <w:tcW w:w="1259" w:type="dxa"/>
            <w:shd w:val="pct5" w:color="auto" w:fill="auto"/>
            <w:tcMar>
              <w:top w:w="43" w:type="dxa"/>
              <w:left w:w="43" w:type="dxa"/>
              <w:bottom w:w="43" w:type="dxa"/>
              <w:right w:w="43" w:type="dxa"/>
            </w:tcMar>
            <w:hideMark/>
          </w:tcPr>
          <w:p w14:paraId="488F277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36E9BF7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4063441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3B3937D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shd w:val="pct5" w:color="auto" w:fill="auto"/>
            <w:tcMar>
              <w:top w:w="43" w:type="dxa"/>
              <w:left w:w="43" w:type="dxa"/>
              <w:bottom w:w="43" w:type="dxa"/>
              <w:right w:w="43" w:type="dxa"/>
            </w:tcMar>
            <w:hideMark/>
          </w:tcPr>
          <w:p w14:paraId="1D1F55F9"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260" w:type="dxa"/>
            <w:shd w:val="clear" w:color="auto" w:fill="FFFFFF"/>
            <w:tcMar>
              <w:top w:w="43" w:type="dxa"/>
              <w:left w:w="43" w:type="dxa"/>
              <w:bottom w:w="43" w:type="dxa"/>
              <w:right w:w="43" w:type="dxa"/>
            </w:tcMar>
          </w:tcPr>
          <w:p w14:paraId="5631ED66"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41598A01" w14:textId="77777777" w:rsidTr="00490BF5">
        <w:trPr>
          <w:jc w:val="center"/>
        </w:trPr>
        <w:tc>
          <w:tcPr>
            <w:tcW w:w="1606" w:type="dxa"/>
            <w:tcMar>
              <w:top w:w="43" w:type="dxa"/>
              <w:left w:w="43" w:type="dxa"/>
              <w:bottom w:w="43" w:type="dxa"/>
              <w:right w:w="43" w:type="dxa"/>
            </w:tcMar>
            <w:hideMark/>
          </w:tcPr>
          <w:p w14:paraId="7F6B7D2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Sri Lanka</w:t>
            </w:r>
          </w:p>
        </w:tc>
        <w:tc>
          <w:tcPr>
            <w:tcW w:w="1259" w:type="dxa"/>
            <w:shd w:val="pct5" w:color="auto" w:fill="auto"/>
            <w:tcMar>
              <w:top w:w="43" w:type="dxa"/>
              <w:left w:w="43" w:type="dxa"/>
              <w:bottom w:w="43" w:type="dxa"/>
              <w:right w:w="43" w:type="dxa"/>
            </w:tcMar>
            <w:hideMark/>
          </w:tcPr>
          <w:p w14:paraId="59ADD32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7C8B6F96"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0C44D29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474ECEE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35655A8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0C4EAD43"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5AE0937D" w14:textId="77777777" w:rsidTr="00490BF5">
        <w:trPr>
          <w:jc w:val="center"/>
        </w:trPr>
        <w:tc>
          <w:tcPr>
            <w:tcW w:w="1606" w:type="dxa"/>
            <w:tcMar>
              <w:top w:w="43" w:type="dxa"/>
              <w:left w:w="43" w:type="dxa"/>
              <w:bottom w:w="43" w:type="dxa"/>
              <w:right w:w="43" w:type="dxa"/>
            </w:tcMar>
            <w:hideMark/>
          </w:tcPr>
          <w:p w14:paraId="231017B7"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Thailand</w:t>
            </w:r>
          </w:p>
        </w:tc>
        <w:tc>
          <w:tcPr>
            <w:tcW w:w="1259" w:type="dxa"/>
            <w:shd w:val="pct5" w:color="auto" w:fill="auto"/>
            <w:tcMar>
              <w:top w:w="43" w:type="dxa"/>
              <w:left w:w="43" w:type="dxa"/>
              <w:bottom w:w="43" w:type="dxa"/>
              <w:right w:w="43" w:type="dxa"/>
            </w:tcMar>
            <w:hideMark/>
          </w:tcPr>
          <w:p w14:paraId="3B6A88A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0109E30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7356AA3A"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5ECD5F7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07D543D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1B9915A8"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5E652B07" w14:textId="77777777" w:rsidTr="00490BF5">
        <w:trPr>
          <w:jc w:val="center"/>
        </w:trPr>
        <w:tc>
          <w:tcPr>
            <w:tcW w:w="1606" w:type="dxa"/>
            <w:tcMar>
              <w:top w:w="43" w:type="dxa"/>
              <w:left w:w="43" w:type="dxa"/>
              <w:bottom w:w="43" w:type="dxa"/>
              <w:right w:w="43" w:type="dxa"/>
            </w:tcMar>
            <w:hideMark/>
          </w:tcPr>
          <w:p w14:paraId="74870ADB"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Uganda</w:t>
            </w:r>
          </w:p>
        </w:tc>
        <w:tc>
          <w:tcPr>
            <w:tcW w:w="1259" w:type="dxa"/>
            <w:shd w:val="pct5" w:color="auto" w:fill="auto"/>
            <w:tcMar>
              <w:top w:w="43" w:type="dxa"/>
              <w:left w:w="43" w:type="dxa"/>
              <w:bottom w:w="43" w:type="dxa"/>
              <w:right w:w="43" w:type="dxa"/>
            </w:tcMar>
            <w:hideMark/>
          </w:tcPr>
          <w:p w14:paraId="7BB87BB3"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14:paraId="6F6E83E0"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14:paraId="7DC62055"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14:paraId="34D355B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2A8D0D0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260" w:type="dxa"/>
            <w:shd w:val="clear" w:color="auto" w:fill="FFFFFF"/>
            <w:tcMar>
              <w:top w:w="43" w:type="dxa"/>
              <w:left w:w="43" w:type="dxa"/>
              <w:bottom w:w="43" w:type="dxa"/>
              <w:right w:w="43" w:type="dxa"/>
            </w:tcMar>
          </w:tcPr>
          <w:p w14:paraId="003A79F4"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CF2212" w:rsidRPr="00490BF5" w14:paraId="1CAA5BF5" w14:textId="77777777" w:rsidTr="00490BF5">
        <w:trPr>
          <w:jc w:val="center"/>
        </w:trPr>
        <w:tc>
          <w:tcPr>
            <w:tcW w:w="1606" w:type="dxa"/>
            <w:tcMar>
              <w:top w:w="43" w:type="dxa"/>
              <w:left w:w="43" w:type="dxa"/>
              <w:bottom w:w="43" w:type="dxa"/>
              <w:right w:w="43" w:type="dxa"/>
            </w:tcMar>
            <w:hideMark/>
          </w:tcPr>
          <w:p w14:paraId="6A309DE2" w14:textId="6C9C6396"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Viet</w:t>
            </w:r>
            <w:r w:rsidR="00EF45B2" w:rsidRPr="00490BF5">
              <w:rPr>
                <w:snapToGrid w:val="0"/>
                <w:kern w:val="22"/>
                <w:szCs w:val="22"/>
              </w:rPr>
              <w:t xml:space="preserve"> N</w:t>
            </w:r>
            <w:r w:rsidRPr="00490BF5">
              <w:rPr>
                <w:snapToGrid w:val="0"/>
                <w:kern w:val="22"/>
                <w:szCs w:val="22"/>
              </w:rPr>
              <w:t>am</w:t>
            </w:r>
          </w:p>
        </w:tc>
        <w:tc>
          <w:tcPr>
            <w:tcW w:w="1259" w:type="dxa"/>
            <w:shd w:val="pct5" w:color="auto" w:fill="auto"/>
            <w:tcMar>
              <w:top w:w="43" w:type="dxa"/>
              <w:left w:w="43" w:type="dxa"/>
              <w:bottom w:w="43" w:type="dxa"/>
              <w:right w:w="43" w:type="dxa"/>
            </w:tcMar>
            <w:hideMark/>
          </w:tcPr>
          <w:p w14:paraId="6625D65E"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549DCA3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446443D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558AE24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4C1865FC"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5F0D4F5C"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CF2212" w:rsidRPr="00490BF5" w14:paraId="06F1A761" w14:textId="77777777" w:rsidTr="00490BF5">
        <w:trPr>
          <w:jc w:val="center"/>
        </w:trPr>
        <w:tc>
          <w:tcPr>
            <w:tcW w:w="1606" w:type="dxa"/>
            <w:tcMar>
              <w:top w:w="43" w:type="dxa"/>
              <w:left w:w="43" w:type="dxa"/>
              <w:bottom w:w="43" w:type="dxa"/>
              <w:right w:w="43" w:type="dxa"/>
            </w:tcMar>
            <w:hideMark/>
          </w:tcPr>
          <w:p w14:paraId="4E96902F"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Zambia</w:t>
            </w:r>
          </w:p>
        </w:tc>
        <w:tc>
          <w:tcPr>
            <w:tcW w:w="1259" w:type="dxa"/>
            <w:shd w:val="pct5" w:color="auto" w:fill="auto"/>
            <w:tcMar>
              <w:top w:w="43" w:type="dxa"/>
              <w:left w:w="43" w:type="dxa"/>
              <w:bottom w:w="43" w:type="dxa"/>
              <w:right w:w="43" w:type="dxa"/>
            </w:tcMar>
            <w:hideMark/>
          </w:tcPr>
          <w:p w14:paraId="01262E2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tcMar>
              <w:top w:w="43" w:type="dxa"/>
              <w:left w:w="43" w:type="dxa"/>
              <w:bottom w:w="43" w:type="dxa"/>
              <w:right w:w="43" w:type="dxa"/>
            </w:tcMar>
            <w:hideMark/>
          </w:tcPr>
          <w:p w14:paraId="30C61252"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440" w:type="dxa"/>
            <w:tcMar>
              <w:top w:w="43" w:type="dxa"/>
              <w:left w:w="43" w:type="dxa"/>
              <w:bottom w:w="43" w:type="dxa"/>
              <w:right w:w="43" w:type="dxa"/>
            </w:tcMar>
            <w:hideMark/>
          </w:tcPr>
          <w:p w14:paraId="39B9A071"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14:paraId="214CED6D"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draft</w:t>
            </w:r>
          </w:p>
        </w:tc>
        <w:tc>
          <w:tcPr>
            <w:tcW w:w="1350" w:type="dxa"/>
            <w:tcMar>
              <w:top w:w="43" w:type="dxa"/>
              <w:left w:w="43" w:type="dxa"/>
              <w:bottom w:w="43" w:type="dxa"/>
              <w:right w:w="43" w:type="dxa"/>
            </w:tcMar>
            <w:hideMark/>
          </w:tcPr>
          <w:p w14:paraId="1F3D2CA4" w14:textId="77777777"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260" w:type="dxa"/>
            <w:shd w:val="clear" w:color="auto" w:fill="FFFFFF"/>
            <w:tcMar>
              <w:top w:w="43" w:type="dxa"/>
              <w:left w:w="43" w:type="dxa"/>
              <w:bottom w:w="43" w:type="dxa"/>
              <w:right w:w="43" w:type="dxa"/>
            </w:tcMar>
          </w:tcPr>
          <w:p w14:paraId="08E65258" w14:textId="77777777"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bl>
    <w:p w14:paraId="4B74C604" w14:textId="31518D32" w:rsidR="00795DD1" w:rsidRPr="00490BF5" w:rsidRDefault="00795DD1" w:rsidP="00490BF5">
      <w:pPr>
        <w:jc w:val="left"/>
        <w:rPr>
          <w:snapToGrid w:val="0"/>
          <w:kern w:val="22"/>
          <w:szCs w:val="22"/>
        </w:rPr>
      </w:pPr>
    </w:p>
    <w:p w14:paraId="70F34454" w14:textId="77777777" w:rsidR="00227B47" w:rsidRPr="00490BF5" w:rsidRDefault="00227B47" w:rsidP="00490BF5">
      <w:pPr>
        <w:jc w:val="left"/>
        <w:rPr>
          <w:snapToGrid w:val="0"/>
          <w:kern w:val="22"/>
          <w:szCs w:val="22"/>
        </w:rPr>
      </w:pPr>
    </w:p>
    <w:p w14:paraId="3F914D31" w14:textId="77777777" w:rsidR="00227B47" w:rsidRPr="00490BF5" w:rsidRDefault="00227B47" w:rsidP="00490BF5">
      <w:pPr>
        <w:jc w:val="left"/>
        <w:rPr>
          <w:snapToGrid w:val="0"/>
          <w:kern w:val="22"/>
          <w:szCs w:val="22"/>
        </w:rPr>
      </w:pPr>
    </w:p>
    <w:p w14:paraId="444B223F" w14:textId="77777777" w:rsidR="00227B47" w:rsidRPr="00490BF5" w:rsidRDefault="00227B47" w:rsidP="00490BF5">
      <w:pPr>
        <w:jc w:val="left"/>
        <w:rPr>
          <w:b/>
          <w:caps/>
          <w:snapToGrid w:val="0"/>
          <w:kern w:val="22"/>
          <w:szCs w:val="22"/>
        </w:rPr>
        <w:sectPr w:rsidR="00227B47" w:rsidRPr="00490BF5" w:rsidSect="00227B47">
          <w:pgSz w:w="12240" w:h="15840" w:code="1"/>
          <w:pgMar w:top="1138" w:right="1440" w:bottom="1138" w:left="1440" w:header="461" w:footer="720" w:gutter="0"/>
          <w:cols w:space="720"/>
          <w:docGrid w:linePitch="299"/>
        </w:sectPr>
      </w:pPr>
    </w:p>
    <w:p w14:paraId="1EAA14E8" w14:textId="77777777" w:rsidR="0002739A" w:rsidRPr="00490BF5" w:rsidRDefault="0002739A" w:rsidP="00490BF5">
      <w:pPr>
        <w:jc w:val="center"/>
        <w:rPr>
          <w:bCs/>
          <w:i/>
          <w:iCs/>
          <w:snapToGrid w:val="0"/>
          <w:kern w:val="22"/>
          <w:szCs w:val="22"/>
        </w:rPr>
      </w:pPr>
      <w:r w:rsidRPr="00490BF5">
        <w:rPr>
          <w:bCs/>
          <w:i/>
          <w:iCs/>
          <w:snapToGrid w:val="0"/>
          <w:kern w:val="22"/>
          <w:szCs w:val="22"/>
        </w:rPr>
        <w:lastRenderedPageBreak/>
        <w:t>Annex IV</w:t>
      </w:r>
    </w:p>
    <w:p w14:paraId="77E04447" w14:textId="07DEE85F" w:rsidR="00384F6F" w:rsidRPr="00490BF5" w:rsidRDefault="00CB008B" w:rsidP="00E22473">
      <w:pPr>
        <w:spacing w:before="120"/>
        <w:jc w:val="center"/>
        <w:rPr>
          <w:b/>
          <w:snapToGrid w:val="0"/>
          <w:kern w:val="22"/>
          <w:szCs w:val="22"/>
        </w:rPr>
      </w:pPr>
      <w:r w:rsidRPr="00490BF5">
        <w:rPr>
          <w:b/>
          <w:snapToGrid w:val="0"/>
          <w:kern w:val="22"/>
          <w:szCs w:val="22"/>
        </w:rPr>
        <w:t>COUNTRY QUOTIENTS (REPORTED ANNUAL INTERNATIONAL FLOWS DIVIDED BY REPORTED BASELINE)</w:t>
      </w:r>
    </w:p>
    <w:p w14:paraId="71A8494E" w14:textId="77777777" w:rsidR="00384F6F" w:rsidRPr="00490BF5" w:rsidRDefault="00384F6F">
      <w:pPr>
        <w:rPr>
          <w:bCs/>
          <w:snapToGrid w:val="0"/>
          <w:kern w:val="22"/>
          <w:szCs w:val="22"/>
        </w:rPr>
      </w:pPr>
    </w:p>
    <w:tbl>
      <w:tblPr>
        <w:tblpPr w:leftFromText="180" w:rightFromText="180" w:vertAnchor="text" w:tblpXSpec="center" w:tblpY="1"/>
        <w:tblOverlap w:val="never"/>
        <w:tblW w:w="5339" w:type="pct"/>
        <w:jc w:val="center"/>
        <w:tblLayout w:type="fixed"/>
        <w:tblLook w:val="04A0" w:firstRow="1" w:lastRow="0" w:firstColumn="1" w:lastColumn="0" w:noHBand="0" w:noVBand="1"/>
      </w:tblPr>
      <w:tblGrid>
        <w:gridCol w:w="1358"/>
        <w:gridCol w:w="1122"/>
        <w:gridCol w:w="1122"/>
        <w:gridCol w:w="1122"/>
        <w:gridCol w:w="1122"/>
        <w:gridCol w:w="1122"/>
        <w:gridCol w:w="1122"/>
        <w:gridCol w:w="1122"/>
        <w:gridCol w:w="1122"/>
      </w:tblGrid>
      <w:tr w:rsidR="00384F6F" w:rsidRPr="00490BF5" w14:paraId="0BFA72D7" w14:textId="77777777" w:rsidTr="00E22473">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13CBB"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kern w:val="22"/>
                <w:szCs w:val="22"/>
              </w:rPr>
            </w:pPr>
            <w:r w:rsidRPr="00616006">
              <w:rPr>
                <w:bCs/>
                <w:i/>
                <w:iCs/>
                <w:snapToGrid w:val="0"/>
                <w:kern w:val="22"/>
                <w:szCs w:val="22"/>
              </w:rPr>
              <w:t>Reporting countries</w:t>
            </w:r>
          </w:p>
        </w:tc>
        <w:tc>
          <w:tcPr>
            <w:tcW w:w="1122" w:type="dxa"/>
            <w:tcBorders>
              <w:top w:val="single" w:sz="4" w:space="0" w:color="auto"/>
              <w:left w:val="nil"/>
              <w:bottom w:val="single" w:sz="4" w:space="0" w:color="auto"/>
              <w:right w:val="single" w:sz="4" w:space="0" w:color="auto"/>
            </w:tcBorders>
            <w:shd w:val="clear" w:color="000000" w:fill="auto"/>
          </w:tcPr>
          <w:p w14:paraId="1053B478"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Reported baseline (US$, thousands)</w:t>
            </w:r>
          </w:p>
        </w:tc>
        <w:tc>
          <w:tcPr>
            <w:tcW w:w="1122" w:type="dxa"/>
            <w:tcBorders>
              <w:top w:val="single" w:sz="4" w:space="0" w:color="auto"/>
              <w:left w:val="nil"/>
              <w:bottom w:val="single" w:sz="4" w:space="0" w:color="auto"/>
              <w:right w:val="single" w:sz="4" w:space="0" w:color="auto"/>
            </w:tcBorders>
            <w:shd w:val="clear" w:color="000000" w:fill="auto"/>
          </w:tcPr>
          <w:p w14:paraId="763F0D99"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Latest reported (current US$, thousands)</w:t>
            </w:r>
          </w:p>
        </w:tc>
        <w:tc>
          <w:tcPr>
            <w:tcW w:w="1122" w:type="dxa"/>
            <w:tcBorders>
              <w:top w:val="single" w:sz="4" w:space="0" w:color="auto"/>
              <w:left w:val="nil"/>
              <w:bottom w:val="single" w:sz="4" w:space="0" w:color="auto"/>
              <w:right w:val="single" w:sz="4" w:space="0" w:color="auto"/>
            </w:tcBorders>
            <w:shd w:val="clear" w:color="000000" w:fill="auto"/>
          </w:tcPr>
          <w:p w14:paraId="6BF994A6"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20"/>
                <w:kern w:val="22"/>
                <w:szCs w:val="22"/>
              </w:rPr>
            </w:pPr>
            <w:r w:rsidRPr="00616006">
              <w:rPr>
                <w:bCs/>
                <w:i/>
                <w:iCs/>
                <w:snapToGrid w:val="0"/>
                <w:spacing w:val="-20"/>
                <w:kern w:val="22"/>
                <w:szCs w:val="22"/>
              </w:rPr>
              <w:t>Quotient</w:t>
            </w:r>
          </w:p>
          <w:p w14:paraId="60C89E10"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20"/>
                <w:kern w:val="22"/>
                <w:szCs w:val="22"/>
              </w:rPr>
            </w:pPr>
            <w:r w:rsidRPr="00616006">
              <w:rPr>
                <w:bCs/>
                <w:i/>
                <w:iCs/>
                <w:snapToGrid w:val="0"/>
                <w:spacing w:val="-20"/>
                <w:kern w:val="22"/>
                <w:szCs w:val="22"/>
              </w:rPr>
              <w:t>(in US$)</w:t>
            </w:r>
          </w:p>
        </w:tc>
        <w:tc>
          <w:tcPr>
            <w:tcW w:w="1122" w:type="dxa"/>
            <w:tcBorders>
              <w:top w:val="single" w:sz="4" w:space="0" w:color="auto"/>
              <w:left w:val="nil"/>
              <w:bottom w:val="single" w:sz="4" w:space="0" w:color="auto"/>
              <w:right w:val="single" w:sz="4" w:space="0" w:color="auto"/>
            </w:tcBorders>
            <w:shd w:val="clear" w:color="000000" w:fill="auto"/>
          </w:tcPr>
          <w:p w14:paraId="0B64AC19"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Reported baseline (reported currency, thousands)</w:t>
            </w:r>
          </w:p>
        </w:tc>
        <w:tc>
          <w:tcPr>
            <w:tcW w:w="1122" w:type="dxa"/>
            <w:tcBorders>
              <w:top w:val="single" w:sz="4" w:space="0" w:color="auto"/>
              <w:left w:val="nil"/>
              <w:bottom w:val="single" w:sz="4" w:space="0" w:color="auto"/>
              <w:right w:val="single" w:sz="4" w:space="0" w:color="auto"/>
            </w:tcBorders>
            <w:shd w:val="clear" w:color="000000" w:fill="auto"/>
          </w:tcPr>
          <w:p w14:paraId="302AFE38"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Latest reported (reported currency, thousands)</w:t>
            </w:r>
          </w:p>
        </w:tc>
        <w:tc>
          <w:tcPr>
            <w:tcW w:w="1122" w:type="dxa"/>
            <w:tcBorders>
              <w:top w:val="single" w:sz="4" w:space="0" w:color="auto"/>
              <w:left w:val="nil"/>
              <w:bottom w:val="single" w:sz="4" w:space="0" w:color="auto"/>
              <w:right w:val="single" w:sz="4" w:space="0" w:color="auto"/>
            </w:tcBorders>
            <w:shd w:val="clear" w:color="000000" w:fill="auto"/>
          </w:tcPr>
          <w:p w14:paraId="7C677A97"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Reported currency</w:t>
            </w:r>
          </w:p>
        </w:tc>
        <w:tc>
          <w:tcPr>
            <w:tcW w:w="1122" w:type="dxa"/>
            <w:tcBorders>
              <w:top w:val="single" w:sz="4" w:space="0" w:color="auto"/>
              <w:left w:val="nil"/>
              <w:bottom w:val="single" w:sz="4" w:space="0" w:color="auto"/>
              <w:right w:val="single" w:sz="4" w:space="0" w:color="auto"/>
            </w:tcBorders>
            <w:shd w:val="clear" w:color="000000" w:fill="auto"/>
          </w:tcPr>
          <w:p w14:paraId="28D6E14D"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Quotient</w:t>
            </w:r>
          </w:p>
          <w:p w14:paraId="568E16C5"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(in reported currency)</w:t>
            </w:r>
          </w:p>
        </w:tc>
        <w:tc>
          <w:tcPr>
            <w:tcW w:w="1122" w:type="dxa"/>
            <w:tcBorders>
              <w:top w:val="single" w:sz="4" w:space="0" w:color="auto"/>
              <w:left w:val="single" w:sz="4" w:space="0" w:color="auto"/>
              <w:bottom w:val="single" w:sz="4" w:space="0" w:color="auto"/>
              <w:right w:val="single" w:sz="4" w:space="0" w:color="auto"/>
            </w:tcBorders>
            <w:shd w:val="clear" w:color="000000" w:fill="auto"/>
          </w:tcPr>
          <w:p w14:paraId="240C6E91" w14:textId="77777777"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sidRPr="00616006">
              <w:rPr>
                <w:bCs/>
                <w:i/>
                <w:iCs/>
                <w:snapToGrid w:val="0"/>
                <w:spacing w:val="-18"/>
                <w:kern w:val="22"/>
                <w:szCs w:val="22"/>
              </w:rPr>
              <w:t>Last year reported</w:t>
            </w:r>
          </w:p>
        </w:tc>
      </w:tr>
      <w:tr w:rsidR="00384F6F" w:rsidRPr="00490BF5" w14:paraId="4EDF8909"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2214647E"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Austria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3600D12" w14:textId="0D853871"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18</w:t>
            </w:r>
            <w:r w:rsidR="003C69DB" w:rsidRPr="00490BF5">
              <w:rPr>
                <w:bCs/>
                <w:snapToGrid w:val="0"/>
                <w:color w:val="000000"/>
                <w:kern w:val="22"/>
                <w:sz w:val="20"/>
                <w:szCs w:val="20"/>
              </w:rPr>
              <w:t xml:space="preserve"> </w:t>
            </w:r>
            <w:r w:rsidRPr="00490BF5">
              <w:rPr>
                <w:bCs/>
                <w:snapToGrid w:val="0"/>
                <w:color w:val="000000"/>
                <w:kern w:val="22"/>
                <w:sz w:val="20"/>
                <w:szCs w:val="20"/>
              </w:rPr>
              <w:t>040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6E2101B" w14:textId="4AD2F5CE"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w:t>
            </w:r>
            <w:r w:rsidR="003C69DB" w:rsidRPr="00490BF5">
              <w:rPr>
                <w:snapToGrid w:val="0"/>
                <w:color w:val="000000"/>
                <w:kern w:val="22"/>
                <w:sz w:val="20"/>
                <w:szCs w:val="20"/>
              </w:rPr>
              <w:t xml:space="preserve"> </w:t>
            </w:r>
            <w:r w:rsidRPr="00490BF5">
              <w:rPr>
                <w:snapToGrid w:val="0"/>
                <w:color w:val="000000"/>
                <w:kern w:val="22"/>
                <w:sz w:val="20"/>
                <w:szCs w:val="20"/>
              </w:rPr>
              <w:t>578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990A7DC"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1.14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D848AC6" w14:textId="1A2CC6DD"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w:t>
            </w:r>
            <w:r w:rsidR="003C69DB" w:rsidRPr="00490BF5">
              <w:rPr>
                <w:bCs/>
                <w:snapToGrid w:val="0"/>
                <w:color w:val="000000"/>
                <w:kern w:val="22"/>
                <w:sz w:val="20"/>
                <w:szCs w:val="20"/>
              </w:rPr>
              <w:t xml:space="preserve"> </w:t>
            </w:r>
            <w:r w:rsidRPr="00490BF5">
              <w:rPr>
                <w:bCs/>
                <w:snapToGrid w:val="0"/>
                <w:color w:val="000000"/>
                <w:kern w:val="22"/>
                <w:sz w:val="20"/>
                <w:szCs w:val="20"/>
              </w:rPr>
              <w:t>100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0CC9E54" w14:textId="42D5DCC2"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18</w:t>
            </w:r>
            <w:r w:rsidR="003C69DB" w:rsidRPr="00490BF5">
              <w:rPr>
                <w:snapToGrid w:val="0"/>
                <w:color w:val="000000"/>
                <w:kern w:val="22"/>
                <w:sz w:val="20"/>
                <w:szCs w:val="20"/>
              </w:rPr>
              <w:t xml:space="preserve"> </w:t>
            </w:r>
            <w:r w:rsidRPr="00490BF5">
              <w:rPr>
                <w:snapToGrid w:val="0"/>
                <w:color w:val="000000"/>
                <w:kern w:val="22"/>
                <w:sz w:val="20"/>
                <w:szCs w:val="20"/>
              </w:rPr>
              <w:t>496</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4E2D288" w14:textId="688EF991"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CB39953"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1.41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410DF0E6"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5540372E"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7099042B"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Bulgaria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941E706"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0489F55" w14:textId="2182DB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111</w:t>
            </w:r>
            <w:r w:rsidR="003C69DB" w:rsidRPr="00490BF5">
              <w:rPr>
                <w:snapToGrid w:val="0"/>
                <w:color w:val="000000"/>
                <w:kern w:val="22"/>
                <w:sz w:val="20"/>
                <w:szCs w:val="20"/>
              </w:rPr>
              <w:t xml:space="preserve"> </w:t>
            </w:r>
            <w:r w:rsidRPr="00490BF5">
              <w:rPr>
                <w:snapToGrid w:val="0"/>
                <w:color w:val="000000"/>
                <w:kern w:val="22"/>
                <w:sz w:val="20"/>
                <w:szCs w:val="20"/>
              </w:rPr>
              <w:t>258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D1544A9"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3F7FDDB"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BD29B24" w14:textId="342A27AB"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195</w:t>
            </w:r>
            <w:r w:rsidR="003C69DB" w:rsidRPr="00490BF5">
              <w:rPr>
                <w:snapToGrid w:val="0"/>
                <w:color w:val="000000"/>
                <w:kern w:val="22"/>
                <w:sz w:val="20"/>
                <w:szCs w:val="20"/>
              </w:rPr>
              <w:t xml:space="preserve"> </w:t>
            </w:r>
            <w:r w:rsidRPr="00490BF5">
              <w:rPr>
                <w:snapToGrid w:val="0"/>
                <w:color w:val="000000"/>
                <w:kern w:val="22"/>
                <w:sz w:val="20"/>
                <w:szCs w:val="20"/>
              </w:rPr>
              <w:t>583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9969317"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BGN</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095991F"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462003D7"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209DDB43"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1B91C504"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Canada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23FF41C" w14:textId="504090E1"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77</w:t>
            </w:r>
            <w:r w:rsidR="003C69DB" w:rsidRPr="00490BF5">
              <w:rPr>
                <w:bCs/>
                <w:snapToGrid w:val="0"/>
                <w:color w:val="000000"/>
                <w:kern w:val="22"/>
                <w:sz w:val="20"/>
                <w:szCs w:val="20"/>
              </w:rPr>
              <w:t xml:space="preserve"> </w:t>
            </w:r>
            <w:r w:rsidRPr="00490BF5">
              <w:rPr>
                <w:bCs/>
                <w:snapToGrid w:val="0"/>
                <w:color w:val="000000"/>
                <w:kern w:val="22"/>
                <w:sz w:val="20"/>
                <w:szCs w:val="20"/>
              </w:rPr>
              <w:t>160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A849EDB" w14:textId="5802E5B2"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94</w:t>
            </w:r>
            <w:r w:rsidR="003C69DB" w:rsidRPr="00490BF5">
              <w:rPr>
                <w:snapToGrid w:val="0"/>
                <w:color w:val="000000"/>
                <w:kern w:val="22"/>
                <w:sz w:val="20"/>
                <w:szCs w:val="20"/>
              </w:rPr>
              <w:t xml:space="preserve"> </w:t>
            </w:r>
            <w:r w:rsidRPr="00490BF5">
              <w:rPr>
                <w:snapToGrid w:val="0"/>
                <w:color w:val="000000"/>
                <w:kern w:val="22"/>
                <w:sz w:val="20"/>
                <w:szCs w:val="20"/>
              </w:rPr>
              <w:t>193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CCEF261"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1.22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A353D44" w14:textId="0232D554"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83</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77C453A" w14:textId="732EAE10"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97</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5788EA6" w14:textId="50092FCD"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CAD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D054235"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5DC9C52B"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2013</w:t>
            </w:r>
          </w:p>
        </w:tc>
      </w:tr>
      <w:tr w:rsidR="00384F6F" w:rsidRPr="00490BF5" w14:paraId="62812923"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62F16E9B"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Chile</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32D2545"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5FBB6A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49B4F21"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53787BE"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E5F6D4B"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DF0DE51" w14:textId="0B7BBC8B"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C8D9DE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2FEE42B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7ED2A0B1"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1013FD55"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China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9EA62A5"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FD739B1" w14:textId="60D87EA5"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w:t>
            </w:r>
            <w:r w:rsidR="003C69DB" w:rsidRPr="00490BF5">
              <w:rPr>
                <w:snapToGrid w:val="0"/>
                <w:color w:val="000000"/>
                <w:kern w:val="22"/>
                <w:sz w:val="20"/>
                <w:szCs w:val="20"/>
              </w:rPr>
              <w:t xml:space="preserve"> </w:t>
            </w:r>
            <w:r w:rsidRPr="00490BF5">
              <w:rPr>
                <w:snapToGrid w:val="0"/>
                <w:color w:val="000000"/>
                <w:kern w:val="22"/>
                <w:sz w:val="20"/>
                <w:szCs w:val="20"/>
              </w:rPr>
              <w:t>500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ECD2EC4"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10.83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087EB86"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96330BE" w14:textId="6C7F60D2"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w:t>
            </w:r>
            <w:r w:rsidR="003C69DB" w:rsidRPr="00490BF5">
              <w:rPr>
                <w:snapToGrid w:val="0"/>
                <w:color w:val="000000"/>
                <w:kern w:val="22"/>
                <w:sz w:val="20"/>
                <w:szCs w:val="20"/>
              </w:rPr>
              <w:t xml:space="preserve"> </w:t>
            </w:r>
            <w:r w:rsidRPr="00490BF5">
              <w:rPr>
                <w:snapToGrid w:val="0"/>
                <w:color w:val="000000"/>
                <w:kern w:val="22"/>
                <w:sz w:val="20"/>
                <w:szCs w:val="20"/>
              </w:rPr>
              <w:t>500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D51EAA6" w14:textId="24FCD7A5"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AA3D0D2"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10.83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98F057E"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73FFF4F6"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16B921F"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Croatia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6D197C9"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1B8E2D7"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86</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CE356BA"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4.10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18830ABE"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15</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763FE773"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77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C9F0B1C" w14:textId="12E9A2CC"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C79ED0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5.12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C87777D"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6DBD845E"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3D6579A1"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proofErr w:type="spellStart"/>
            <w:r w:rsidRPr="00490BF5">
              <w:rPr>
                <w:snapToGrid w:val="0"/>
                <w:kern w:val="22"/>
                <w:sz w:val="20"/>
                <w:szCs w:val="20"/>
              </w:rPr>
              <w:t>Czechia</w:t>
            </w:r>
            <w:proofErr w:type="spellEnd"/>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14:paraId="78F7DD7E" w14:textId="6DB2532B"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sidR="003C69DB" w:rsidRPr="00490BF5">
              <w:rPr>
                <w:bCs/>
                <w:snapToGrid w:val="0"/>
                <w:color w:val="000000"/>
                <w:kern w:val="22"/>
                <w:sz w:val="20"/>
                <w:szCs w:val="20"/>
              </w:rPr>
              <w:t xml:space="preserve"> </w:t>
            </w:r>
            <w:r w:rsidRPr="00490BF5">
              <w:rPr>
                <w:bCs/>
                <w:snapToGrid w:val="0"/>
                <w:color w:val="000000"/>
                <w:kern w:val="22"/>
                <w:sz w:val="20"/>
                <w:szCs w:val="20"/>
              </w:rPr>
              <w:t>858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7F919F7" w14:textId="6D2D94A0"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sidR="003C69DB" w:rsidRPr="00490BF5">
              <w:rPr>
                <w:snapToGrid w:val="0"/>
                <w:color w:val="000000"/>
                <w:kern w:val="22"/>
                <w:sz w:val="20"/>
                <w:szCs w:val="20"/>
              </w:rPr>
              <w:t xml:space="preserve"> </w:t>
            </w:r>
            <w:r w:rsidRPr="00490BF5">
              <w:rPr>
                <w:snapToGrid w:val="0"/>
                <w:color w:val="000000"/>
                <w:kern w:val="22"/>
                <w:sz w:val="20"/>
                <w:szCs w:val="20"/>
              </w:rPr>
              <w:t>357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A6607DA"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0.82</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747F7FC" w14:textId="08ABAFA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55</w:t>
            </w:r>
            <w:r w:rsidR="003C69DB" w:rsidRPr="00490BF5">
              <w:rPr>
                <w:bCs/>
                <w:snapToGrid w:val="0"/>
                <w:color w:val="000000"/>
                <w:kern w:val="22"/>
                <w:sz w:val="20"/>
                <w:szCs w:val="20"/>
              </w:rPr>
              <w:t xml:space="preserve"> </w:t>
            </w:r>
            <w:r w:rsidRPr="00490BF5">
              <w:rPr>
                <w:bCs/>
                <w:snapToGrid w:val="0"/>
                <w:color w:val="000000"/>
                <w:kern w:val="22"/>
                <w:sz w:val="20"/>
                <w:szCs w:val="20"/>
              </w:rPr>
              <w:t>653</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6F014474" w14:textId="3D7E079C"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58</w:t>
            </w:r>
            <w:r w:rsidR="003C69DB" w:rsidRPr="00490BF5">
              <w:rPr>
                <w:snapToGrid w:val="0"/>
                <w:color w:val="000000"/>
                <w:kern w:val="22"/>
                <w:sz w:val="20"/>
                <w:szCs w:val="20"/>
              </w:rPr>
              <w:t xml:space="preserve"> </w:t>
            </w:r>
            <w:r w:rsidRPr="00490BF5">
              <w:rPr>
                <w:snapToGrid w:val="0"/>
                <w:color w:val="000000"/>
                <w:kern w:val="22"/>
                <w:sz w:val="20"/>
                <w:szCs w:val="20"/>
              </w:rPr>
              <w:t>138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EAC020A" w14:textId="28171506"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CZK</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7D702B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1.04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1E8EF79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29E79A34"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1A8BF78C"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Denmark</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14:paraId="06A470D5" w14:textId="26F6CE21"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107</w:t>
            </w:r>
            <w:r w:rsidR="003C69DB" w:rsidRPr="00490BF5">
              <w:rPr>
                <w:bCs/>
                <w:snapToGrid w:val="0"/>
                <w:color w:val="000000"/>
                <w:kern w:val="22"/>
                <w:sz w:val="20"/>
                <w:szCs w:val="20"/>
              </w:rPr>
              <w:t xml:space="preserve"> </w:t>
            </w:r>
            <w:r w:rsidRPr="00490BF5">
              <w:rPr>
                <w:bCs/>
                <w:snapToGrid w:val="0"/>
                <w:color w:val="000000"/>
                <w:kern w:val="22"/>
                <w:sz w:val="20"/>
                <w:szCs w:val="20"/>
              </w:rPr>
              <w:t>181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D894CFB" w14:textId="654E9563"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97</w:t>
            </w:r>
            <w:r w:rsidR="003C69DB" w:rsidRPr="00490BF5">
              <w:rPr>
                <w:snapToGrid w:val="0"/>
                <w:color w:val="000000"/>
                <w:kern w:val="22"/>
                <w:sz w:val="20"/>
                <w:szCs w:val="20"/>
              </w:rPr>
              <w:t xml:space="preserve"> </w:t>
            </w:r>
            <w:r w:rsidRPr="00490BF5">
              <w:rPr>
                <w:snapToGrid w:val="0"/>
                <w:color w:val="000000"/>
                <w:kern w:val="22"/>
                <w:sz w:val="20"/>
                <w:szCs w:val="20"/>
              </w:rPr>
              <w:t>666</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75B1C77"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0.91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D5FCEA3" w14:textId="12C5E929"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588</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F86E8AE" w14:textId="4D8E767A"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658</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5992E28" w14:textId="246FC511"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DKK</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08C914B"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6BAEBF23"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4635F597"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3513735D"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Estonia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63D92A6"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32FB84E"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359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8BE658D"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18.89</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B4A8433"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4BE784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323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A19679B" w14:textId="6EE7DCF0"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BA86C0B"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23.07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745A774"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049F180C"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1F1B83A4"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European Union</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D95DFA0" w14:textId="6D640314"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235</w:t>
            </w:r>
            <w:r w:rsidR="003C69DB" w:rsidRPr="00490BF5">
              <w:rPr>
                <w:bCs/>
                <w:snapToGrid w:val="0"/>
                <w:color w:val="000000"/>
                <w:kern w:val="22"/>
                <w:sz w:val="20"/>
                <w:szCs w:val="20"/>
              </w:rPr>
              <w:t xml:space="preserve"> </w:t>
            </w:r>
            <w:r w:rsidRPr="00490BF5">
              <w:rPr>
                <w:bCs/>
                <w:snapToGrid w:val="0"/>
                <w:color w:val="000000"/>
                <w:kern w:val="22"/>
                <w:sz w:val="20"/>
                <w:szCs w:val="20"/>
              </w:rPr>
              <w:t>414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9B0EE0A" w14:textId="30D71186"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406</w:t>
            </w:r>
            <w:r w:rsidR="003C69DB" w:rsidRPr="00490BF5">
              <w:rPr>
                <w:snapToGrid w:val="0"/>
                <w:color w:val="000000"/>
                <w:kern w:val="22"/>
                <w:sz w:val="20"/>
                <w:szCs w:val="20"/>
              </w:rPr>
              <w:t xml:space="preserve"> </w:t>
            </w:r>
            <w:r w:rsidRPr="00490BF5">
              <w:rPr>
                <w:snapToGrid w:val="0"/>
                <w:color w:val="000000"/>
                <w:kern w:val="22"/>
                <w:sz w:val="20"/>
                <w:szCs w:val="20"/>
              </w:rPr>
              <w:t>091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3A8EBA6"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1.73</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264F614" w14:textId="45C813E0"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173</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6412EA4" w14:textId="27AF5C2E"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365</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DA70719" w14:textId="5013D321"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BC8026D"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2.11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2312003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7DCA70FC"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666A4492"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Finland</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5D5886E" w14:textId="0D70287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w:t>
            </w:r>
            <w:r w:rsidR="003C69DB" w:rsidRPr="00490BF5">
              <w:rPr>
                <w:bCs/>
                <w:snapToGrid w:val="0"/>
                <w:color w:val="000000"/>
                <w:kern w:val="22"/>
                <w:sz w:val="20"/>
                <w:szCs w:val="20"/>
              </w:rPr>
              <w:t xml:space="preserve"> </w:t>
            </w:r>
            <w:r w:rsidRPr="00490BF5">
              <w:rPr>
                <w:bCs/>
                <w:snapToGrid w:val="0"/>
                <w:color w:val="000000"/>
                <w:kern w:val="22"/>
                <w:sz w:val="20"/>
                <w:szCs w:val="20"/>
              </w:rPr>
              <w:t>945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BDFB350" w14:textId="22CCB885"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26</w:t>
            </w:r>
            <w:r w:rsidR="003C69DB" w:rsidRPr="00490BF5">
              <w:rPr>
                <w:snapToGrid w:val="0"/>
                <w:color w:val="000000"/>
                <w:kern w:val="22"/>
                <w:sz w:val="20"/>
                <w:szCs w:val="20"/>
              </w:rPr>
              <w:t xml:space="preserve"> </w:t>
            </w:r>
            <w:r w:rsidRPr="00490BF5">
              <w:rPr>
                <w:snapToGrid w:val="0"/>
                <w:color w:val="000000"/>
                <w:kern w:val="22"/>
                <w:sz w:val="20"/>
                <w:szCs w:val="20"/>
              </w:rPr>
              <w:t>200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FEEC541"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6120323" w14:textId="22CF79A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w:t>
            </w:r>
            <w:r w:rsidR="003C69DB" w:rsidRPr="00490BF5">
              <w:rPr>
                <w:bCs/>
                <w:snapToGrid w:val="0"/>
                <w:color w:val="000000"/>
                <w:kern w:val="22"/>
                <w:sz w:val="20"/>
                <w:szCs w:val="20"/>
              </w:rPr>
              <w:t xml:space="preserve"> </w:t>
            </w:r>
            <w:r w:rsidRPr="00490BF5">
              <w:rPr>
                <w:bCs/>
                <w:snapToGrid w:val="0"/>
                <w:color w:val="000000"/>
                <w:kern w:val="22"/>
                <w:sz w:val="20"/>
                <w:szCs w:val="20"/>
              </w:rPr>
              <w:t>598</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C0F3C38" w14:textId="0C7A72AE"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w:t>
            </w:r>
            <w:r w:rsidR="003C69DB" w:rsidRPr="00490BF5">
              <w:rPr>
                <w:snapToGrid w:val="0"/>
                <w:color w:val="000000"/>
                <w:kern w:val="22"/>
                <w:sz w:val="20"/>
                <w:szCs w:val="20"/>
              </w:rPr>
              <w:t xml:space="preserve"> </w:t>
            </w:r>
            <w:r w:rsidRPr="00490BF5">
              <w:rPr>
                <w:snapToGrid w:val="0"/>
                <w:color w:val="000000"/>
                <w:kern w:val="22"/>
                <w:sz w:val="20"/>
                <w:szCs w:val="20"/>
              </w:rPr>
              <w:t>549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F85F667" w14:textId="23978111"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14AA0E4"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1.61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70B0BA3"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65B46EE5"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A5D6EA7"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France</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D6AE74A" w14:textId="508E387B"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144</w:t>
            </w:r>
            <w:r w:rsidR="003C69DB" w:rsidRPr="00490BF5">
              <w:rPr>
                <w:bCs/>
                <w:snapToGrid w:val="0"/>
                <w:color w:val="000000"/>
                <w:kern w:val="22"/>
                <w:sz w:val="20"/>
                <w:szCs w:val="20"/>
              </w:rPr>
              <w:t xml:space="preserve"> </w:t>
            </w:r>
            <w:r w:rsidRPr="00490BF5">
              <w:rPr>
                <w:bCs/>
                <w:snapToGrid w:val="0"/>
                <w:color w:val="000000"/>
                <w:kern w:val="22"/>
                <w:sz w:val="20"/>
                <w:szCs w:val="20"/>
              </w:rPr>
              <w:t>392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937EDEF" w14:textId="7B199428"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333</w:t>
            </w:r>
            <w:r w:rsidR="003C69DB" w:rsidRPr="00490BF5">
              <w:rPr>
                <w:snapToGrid w:val="0"/>
                <w:color w:val="000000"/>
                <w:kern w:val="22"/>
                <w:sz w:val="20"/>
                <w:szCs w:val="20"/>
              </w:rPr>
              <w:t xml:space="preserve"> </w:t>
            </w:r>
            <w:r w:rsidRPr="00490BF5">
              <w:rPr>
                <w:snapToGrid w:val="0"/>
                <w:color w:val="000000"/>
                <w:kern w:val="22"/>
                <w:sz w:val="20"/>
                <w:szCs w:val="20"/>
              </w:rPr>
              <w:t>963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1AF9A75"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2.31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18C52990" w14:textId="1F55BBB1"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105</w:t>
            </w:r>
            <w:r w:rsidR="003C69DB" w:rsidRPr="00490BF5">
              <w:rPr>
                <w:bCs/>
                <w:snapToGrid w:val="0"/>
                <w:color w:val="000000"/>
                <w:kern w:val="22"/>
                <w:sz w:val="20"/>
                <w:szCs w:val="20"/>
              </w:rPr>
              <w:t xml:space="preserve"> </w:t>
            </w:r>
            <w:r w:rsidRPr="00490BF5">
              <w:rPr>
                <w:bCs/>
                <w:snapToGrid w:val="0"/>
                <w:color w:val="000000"/>
                <w:kern w:val="22"/>
                <w:sz w:val="20"/>
                <w:szCs w:val="20"/>
              </w:rPr>
              <w:t>690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ED82F7C" w14:textId="370E4433"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300</w:t>
            </w:r>
            <w:r w:rsidR="003C69DB" w:rsidRPr="00490BF5">
              <w:rPr>
                <w:snapToGrid w:val="0"/>
                <w:color w:val="000000"/>
                <w:kern w:val="22"/>
                <w:sz w:val="20"/>
                <w:szCs w:val="20"/>
              </w:rPr>
              <w:t xml:space="preserve"> </w:t>
            </w:r>
            <w:r w:rsidRPr="00490BF5">
              <w:rPr>
                <w:snapToGrid w:val="0"/>
                <w:color w:val="000000"/>
                <w:kern w:val="22"/>
                <w:sz w:val="20"/>
                <w:szCs w:val="20"/>
              </w:rPr>
              <w:t>170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6A28E67"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53DBD8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6C9D32D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0907A71E"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60F2CB8"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Germany</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F336D68" w14:textId="395B3CA2"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266</w:t>
            </w:r>
            <w:r w:rsidR="003C69DB" w:rsidRPr="00490BF5">
              <w:rPr>
                <w:bCs/>
                <w:snapToGrid w:val="0"/>
                <w:color w:val="000000"/>
                <w:kern w:val="22"/>
                <w:sz w:val="20"/>
                <w:szCs w:val="20"/>
              </w:rPr>
              <w:t xml:space="preserve"> </w:t>
            </w:r>
            <w:r w:rsidRPr="00490BF5">
              <w:rPr>
                <w:bCs/>
                <w:snapToGrid w:val="0"/>
                <w:color w:val="000000"/>
                <w:kern w:val="22"/>
                <w:sz w:val="20"/>
                <w:szCs w:val="20"/>
              </w:rPr>
              <w:t>815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2F8EB1A" w14:textId="7C31E01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598</w:t>
            </w:r>
            <w:r w:rsidR="003C69DB" w:rsidRPr="00490BF5">
              <w:rPr>
                <w:snapToGrid w:val="0"/>
                <w:color w:val="000000"/>
                <w:kern w:val="22"/>
                <w:sz w:val="20"/>
                <w:szCs w:val="20"/>
              </w:rPr>
              <w:t xml:space="preserve"> </w:t>
            </w:r>
            <w:r w:rsidRPr="00490BF5">
              <w:rPr>
                <w:snapToGrid w:val="0"/>
                <w:color w:val="000000"/>
                <w:kern w:val="22"/>
                <w:sz w:val="20"/>
                <w:szCs w:val="20"/>
              </w:rPr>
              <w:t>567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2600063"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2.24</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67FBBBCA" w14:textId="206F29B4"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194</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3F602EE4" w14:textId="639F933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538</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7F3B9FE"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C3324F6"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2.77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211DA31F"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77FA2045"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05A2EEFC"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Greece</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6B6FF27" w14:textId="7BDF80FD"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w:t>
            </w:r>
            <w:r w:rsidR="003C69DB" w:rsidRPr="00490BF5">
              <w:rPr>
                <w:bCs/>
                <w:snapToGrid w:val="0"/>
                <w:color w:val="000000"/>
                <w:kern w:val="22"/>
                <w:sz w:val="20"/>
                <w:szCs w:val="20"/>
              </w:rPr>
              <w:t xml:space="preserve"> </w:t>
            </w:r>
            <w:r w:rsidRPr="00490BF5">
              <w:rPr>
                <w:bCs/>
                <w:snapToGrid w:val="0"/>
                <w:color w:val="000000"/>
                <w:kern w:val="22"/>
                <w:sz w:val="20"/>
                <w:szCs w:val="20"/>
              </w:rPr>
              <w:t>839</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4567718E"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C7C2E20"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0.08</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33025DCA" w14:textId="48646C36"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w:t>
            </w:r>
            <w:r w:rsidR="003C69DB" w:rsidRPr="00490BF5">
              <w:rPr>
                <w:bCs/>
                <w:snapToGrid w:val="0"/>
                <w:color w:val="000000"/>
                <w:kern w:val="22"/>
                <w:sz w:val="20"/>
                <w:szCs w:val="20"/>
              </w:rPr>
              <w:t xml:space="preserve"> </w:t>
            </w:r>
            <w:r w:rsidRPr="00490BF5">
              <w:rPr>
                <w:bCs/>
                <w:snapToGrid w:val="0"/>
                <w:color w:val="000000"/>
                <w:kern w:val="22"/>
                <w:sz w:val="20"/>
                <w:szCs w:val="20"/>
              </w:rPr>
              <w:t>839</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7CD4D1E4"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B850AEC"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A00B337"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0.08</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57E7F04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384F6F" w:rsidRPr="00490BF5" w14:paraId="40EE3BAE"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51B4EBA7"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Hungary</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4C157C9"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8518600" w14:textId="4F9828A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sidR="003C69DB" w:rsidRPr="00490BF5">
              <w:rPr>
                <w:snapToGrid w:val="0"/>
                <w:color w:val="000000"/>
                <w:kern w:val="22"/>
                <w:sz w:val="20"/>
                <w:szCs w:val="20"/>
              </w:rPr>
              <w:t xml:space="preserve"> </w:t>
            </w:r>
            <w:r w:rsidRPr="00490BF5">
              <w:rPr>
                <w:snapToGrid w:val="0"/>
                <w:color w:val="000000"/>
                <w:kern w:val="22"/>
                <w:sz w:val="20"/>
                <w:szCs w:val="20"/>
              </w:rPr>
              <w:t>688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A8E6885"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54.45</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44C8AD6" w14:textId="1B5CBB7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w:t>
            </w:r>
            <w:r w:rsidR="003C69DB" w:rsidRPr="00490BF5">
              <w:rPr>
                <w:bCs/>
                <w:snapToGrid w:val="0"/>
                <w:color w:val="000000"/>
                <w:kern w:val="22"/>
                <w:sz w:val="20"/>
                <w:szCs w:val="20"/>
              </w:rPr>
              <w:t xml:space="preserve"> </w:t>
            </w:r>
            <w:r w:rsidRPr="00490BF5">
              <w:rPr>
                <w:bCs/>
                <w:snapToGrid w:val="0"/>
                <w:color w:val="000000"/>
                <w:kern w:val="22"/>
                <w:sz w:val="20"/>
                <w:szCs w:val="20"/>
              </w:rPr>
              <w:t>939</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7770963" w14:textId="4F9025BC"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392</w:t>
            </w:r>
            <w:r w:rsidR="003C69DB" w:rsidRPr="00490BF5">
              <w:rPr>
                <w:snapToGrid w:val="0"/>
                <w:color w:val="000000"/>
                <w:kern w:val="22"/>
                <w:sz w:val="20"/>
                <w:szCs w:val="20"/>
              </w:rPr>
              <w:t xml:space="preserve"> </w:t>
            </w:r>
            <w:r w:rsidRPr="00490BF5">
              <w:rPr>
                <w:snapToGrid w:val="0"/>
                <w:color w:val="000000"/>
                <w:kern w:val="22"/>
                <w:sz w:val="20"/>
                <w:szCs w:val="20"/>
              </w:rPr>
              <w:t>588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CAFE60C"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HUF</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3190DFD"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66.10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133A5C2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384F6F" w:rsidRPr="00490BF5" w14:paraId="67672E16"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0E745130"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Japan</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F5B6326" w14:textId="0EC5A69B"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sidR="003C69DB" w:rsidRPr="00490BF5">
              <w:rPr>
                <w:bCs/>
                <w:snapToGrid w:val="0"/>
                <w:color w:val="000000"/>
                <w:kern w:val="22"/>
                <w:sz w:val="20"/>
                <w:szCs w:val="20"/>
              </w:rPr>
              <w:t xml:space="preserve"> </w:t>
            </w:r>
            <w:r w:rsidRPr="00490BF5">
              <w:rPr>
                <w:bCs/>
                <w:snapToGrid w:val="0"/>
                <w:color w:val="000000"/>
                <w:kern w:val="22"/>
                <w:sz w:val="20"/>
                <w:szCs w:val="20"/>
              </w:rPr>
              <w:t>239</w:t>
            </w:r>
            <w:r w:rsidR="003C69DB" w:rsidRPr="00490BF5">
              <w:rPr>
                <w:bCs/>
                <w:snapToGrid w:val="0"/>
                <w:color w:val="000000"/>
                <w:kern w:val="22"/>
                <w:sz w:val="20"/>
                <w:szCs w:val="20"/>
              </w:rPr>
              <w:t xml:space="preserve"> </w:t>
            </w:r>
            <w:r w:rsidRPr="00490BF5">
              <w:rPr>
                <w:bCs/>
                <w:snapToGrid w:val="0"/>
                <w:color w:val="000000"/>
                <w:kern w:val="22"/>
                <w:sz w:val="20"/>
                <w:szCs w:val="20"/>
              </w:rPr>
              <w:t>208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FF771F0" w14:textId="2B377ECA"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sidR="003C69DB" w:rsidRPr="00490BF5">
              <w:rPr>
                <w:snapToGrid w:val="0"/>
                <w:color w:val="000000"/>
                <w:kern w:val="22"/>
                <w:sz w:val="20"/>
                <w:szCs w:val="20"/>
              </w:rPr>
              <w:t xml:space="preserve"> </w:t>
            </w:r>
            <w:r w:rsidRPr="00490BF5">
              <w:rPr>
                <w:snapToGrid w:val="0"/>
                <w:color w:val="000000"/>
                <w:kern w:val="22"/>
                <w:sz w:val="20"/>
                <w:szCs w:val="20"/>
              </w:rPr>
              <w:t>863</w:t>
            </w:r>
            <w:r w:rsidR="003C69DB" w:rsidRPr="00490BF5">
              <w:rPr>
                <w:snapToGrid w:val="0"/>
                <w:color w:val="000000"/>
                <w:kern w:val="22"/>
                <w:sz w:val="20"/>
                <w:szCs w:val="20"/>
              </w:rPr>
              <w:t xml:space="preserve"> </w:t>
            </w:r>
            <w:r w:rsidRPr="00490BF5">
              <w:rPr>
                <w:snapToGrid w:val="0"/>
                <w:color w:val="000000"/>
                <w:kern w:val="22"/>
                <w:sz w:val="20"/>
                <w:szCs w:val="20"/>
              </w:rPr>
              <w:t>990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2DAC274"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1.50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3D62B3CF" w14:textId="448D9FF2"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sidR="003C69DB" w:rsidRPr="00490BF5">
              <w:rPr>
                <w:bCs/>
                <w:snapToGrid w:val="0"/>
                <w:color w:val="000000"/>
                <w:kern w:val="22"/>
                <w:sz w:val="20"/>
                <w:szCs w:val="20"/>
              </w:rPr>
              <w:t xml:space="preserve"> </w:t>
            </w:r>
            <w:r w:rsidRPr="00490BF5">
              <w:rPr>
                <w:bCs/>
                <w:snapToGrid w:val="0"/>
                <w:color w:val="000000"/>
                <w:kern w:val="22"/>
                <w:sz w:val="20"/>
                <w:szCs w:val="20"/>
              </w:rPr>
              <w:t>239</w:t>
            </w:r>
            <w:r w:rsidR="003C69DB" w:rsidRPr="00490BF5">
              <w:rPr>
                <w:bCs/>
                <w:snapToGrid w:val="0"/>
                <w:color w:val="000000"/>
                <w:kern w:val="22"/>
                <w:sz w:val="20"/>
                <w:szCs w:val="20"/>
              </w:rPr>
              <w:t xml:space="preserve"> </w:t>
            </w:r>
            <w:r w:rsidRPr="00490BF5">
              <w:rPr>
                <w:bCs/>
                <w:snapToGrid w:val="0"/>
                <w:color w:val="000000"/>
                <w:kern w:val="22"/>
                <w:sz w:val="20"/>
                <w:szCs w:val="20"/>
              </w:rPr>
              <w:t>208</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E98D39C" w14:textId="48D5BE6E"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sidR="003C69DB" w:rsidRPr="00490BF5">
              <w:rPr>
                <w:snapToGrid w:val="0"/>
                <w:color w:val="000000"/>
                <w:kern w:val="22"/>
                <w:sz w:val="20"/>
                <w:szCs w:val="20"/>
              </w:rPr>
              <w:t xml:space="preserve"> </w:t>
            </w:r>
            <w:r w:rsidRPr="00490BF5">
              <w:rPr>
                <w:snapToGrid w:val="0"/>
                <w:color w:val="000000"/>
                <w:kern w:val="22"/>
                <w:sz w:val="20"/>
                <w:szCs w:val="20"/>
              </w:rPr>
              <w:t>863</w:t>
            </w:r>
            <w:r w:rsidR="003C69DB" w:rsidRPr="00490BF5">
              <w:rPr>
                <w:snapToGrid w:val="0"/>
                <w:color w:val="000000"/>
                <w:kern w:val="22"/>
                <w:sz w:val="20"/>
                <w:szCs w:val="20"/>
              </w:rPr>
              <w:t xml:space="preserve"> </w:t>
            </w:r>
            <w:r w:rsidRPr="00490BF5">
              <w:rPr>
                <w:snapToGrid w:val="0"/>
                <w:color w:val="000000"/>
                <w:kern w:val="22"/>
                <w:sz w:val="20"/>
                <w:szCs w:val="20"/>
              </w:rPr>
              <w:t>990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7FABF1F"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982CBA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1.50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9CA77E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42A2D6FE"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C5FF959"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Latvia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8EDD91A"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7AE610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222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7CD5EA6"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4.11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4CB4F1FA"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39</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4B3DE55"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3654CE8"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0441495"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5.14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3ED669B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3F0AC34C"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C1EA09E"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Luxembourg</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E04BF24" w14:textId="4AF76FF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w:t>
            </w:r>
            <w:r w:rsidR="003C69DB" w:rsidRPr="00490BF5">
              <w:rPr>
                <w:bCs/>
                <w:snapToGrid w:val="0"/>
                <w:color w:val="000000"/>
                <w:kern w:val="22"/>
                <w:sz w:val="20"/>
                <w:szCs w:val="20"/>
              </w:rPr>
              <w:t xml:space="preserve"> </w:t>
            </w:r>
            <w:r w:rsidRPr="00490BF5">
              <w:rPr>
                <w:bCs/>
                <w:snapToGrid w:val="0"/>
                <w:color w:val="000000"/>
                <w:kern w:val="22"/>
                <w:sz w:val="20"/>
                <w:szCs w:val="20"/>
              </w:rPr>
              <w:t>348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7259793" w14:textId="118ED65C"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w:t>
            </w:r>
            <w:r w:rsidR="003C69DB" w:rsidRPr="00490BF5">
              <w:rPr>
                <w:snapToGrid w:val="0"/>
                <w:color w:val="000000"/>
                <w:kern w:val="22"/>
                <w:sz w:val="20"/>
                <w:szCs w:val="20"/>
              </w:rPr>
              <w:t xml:space="preserve"> </w:t>
            </w:r>
            <w:r w:rsidRPr="00490BF5">
              <w:rPr>
                <w:snapToGrid w:val="0"/>
                <w:color w:val="000000"/>
                <w:kern w:val="22"/>
                <w:sz w:val="20"/>
                <w:szCs w:val="20"/>
              </w:rPr>
              <w:t>697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834D7E4"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2.90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7E4B1878" w14:textId="2FC23E6C"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sidR="003C69DB" w:rsidRPr="00490BF5">
              <w:rPr>
                <w:bCs/>
                <w:snapToGrid w:val="0"/>
                <w:color w:val="000000"/>
                <w:kern w:val="22"/>
                <w:sz w:val="20"/>
                <w:szCs w:val="20"/>
              </w:rPr>
              <w:t xml:space="preserve"> </w:t>
            </w:r>
            <w:r w:rsidRPr="00490BF5">
              <w:rPr>
                <w:bCs/>
                <w:snapToGrid w:val="0"/>
                <w:color w:val="000000"/>
                <w:kern w:val="22"/>
                <w:sz w:val="20"/>
                <w:szCs w:val="20"/>
              </w:rPr>
              <w:t>523</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1F6C136" w14:textId="49E17526"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w:t>
            </w:r>
            <w:r w:rsidR="003C69DB" w:rsidRPr="00490BF5">
              <w:rPr>
                <w:snapToGrid w:val="0"/>
                <w:color w:val="000000"/>
                <w:kern w:val="22"/>
                <w:sz w:val="20"/>
                <w:szCs w:val="20"/>
              </w:rPr>
              <w:t xml:space="preserve"> </w:t>
            </w:r>
            <w:r w:rsidRPr="00490BF5">
              <w:rPr>
                <w:snapToGrid w:val="0"/>
                <w:color w:val="000000"/>
                <w:kern w:val="22"/>
                <w:sz w:val="20"/>
                <w:szCs w:val="20"/>
              </w:rPr>
              <w:t>715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25EF3A3"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FB55E7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3.45</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4BF632E1"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54B54653"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1AF3011F"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Malta</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77EB2D0"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29ECA6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0C6A59C"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4FCC1841"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63CB537F"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A4F1FD5"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884E90D"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3DED53D1"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0DA69236"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957D058"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Netherlands</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8E092EA" w14:textId="69580A52"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143</w:t>
            </w:r>
            <w:r w:rsidR="003C69DB" w:rsidRPr="00490BF5">
              <w:rPr>
                <w:bCs/>
                <w:snapToGrid w:val="0"/>
                <w:color w:val="000000"/>
                <w:kern w:val="22"/>
                <w:sz w:val="20"/>
                <w:szCs w:val="20"/>
              </w:rPr>
              <w:t xml:space="preserve"> </w:t>
            </w:r>
            <w:r w:rsidRPr="00490BF5">
              <w:rPr>
                <w:bCs/>
                <w:snapToGrid w:val="0"/>
                <w:color w:val="000000"/>
                <w:kern w:val="22"/>
                <w:sz w:val="20"/>
                <w:szCs w:val="20"/>
              </w:rPr>
              <w:t>445</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6A70F7C4" w14:textId="7190CB9F"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82</w:t>
            </w:r>
            <w:r w:rsidR="003C69DB" w:rsidRPr="00490BF5">
              <w:rPr>
                <w:snapToGrid w:val="0"/>
                <w:color w:val="000000"/>
                <w:kern w:val="22"/>
                <w:sz w:val="20"/>
                <w:szCs w:val="20"/>
              </w:rPr>
              <w:t xml:space="preserve"> </w:t>
            </w:r>
            <w:r w:rsidRPr="00490BF5">
              <w:rPr>
                <w:snapToGrid w:val="0"/>
                <w:color w:val="000000"/>
                <w:kern w:val="22"/>
                <w:sz w:val="20"/>
                <w:szCs w:val="20"/>
              </w:rPr>
              <w:t>388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ADE1577"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0.57</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4EA21FE" w14:textId="5AE078D0"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106</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526C3C0" w14:textId="7087AC8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62</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B30523F"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7D02F40"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0.58</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38B18776"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384F6F" w:rsidRPr="00490BF5" w14:paraId="1A9FBAF4"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4A43DB03"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New Zealand</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835E12D" w14:textId="1FF2EFF8"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16</w:t>
            </w:r>
            <w:r w:rsidR="003C69DB" w:rsidRPr="00490BF5">
              <w:rPr>
                <w:bCs/>
                <w:snapToGrid w:val="0"/>
                <w:color w:val="000000"/>
                <w:kern w:val="22"/>
                <w:sz w:val="20"/>
                <w:szCs w:val="20"/>
              </w:rPr>
              <w:t xml:space="preserve"> </w:t>
            </w:r>
            <w:r w:rsidRPr="00490BF5">
              <w:rPr>
                <w:bCs/>
                <w:snapToGrid w:val="0"/>
                <w:color w:val="000000"/>
                <w:kern w:val="22"/>
                <w:sz w:val="20"/>
                <w:szCs w:val="20"/>
              </w:rPr>
              <w:t>838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60C4215" w14:textId="45ECBBA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24</w:t>
            </w:r>
            <w:r w:rsidR="003C69DB" w:rsidRPr="00490BF5">
              <w:rPr>
                <w:snapToGrid w:val="0"/>
                <w:color w:val="000000"/>
                <w:kern w:val="22"/>
                <w:sz w:val="20"/>
                <w:szCs w:val="20"/>
              </w:rPr>
              <w:t xml:space="preserve"> </w:t>
            </w:r>
            <w:r w:rsidRPr="00490BF5">
              <w:rPr>
                <w:snapToGrid w:val="0"/>
                <w:color w:val="000000"/>
                <w:kern w:val="22"/>
                <w:sz w:val="20"/>
                <w:szCs w:val="20"/>
              </w:rPr>
              <w:t>901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F4FE517"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1.48</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07146572" w14:textId="25E80F93"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24</w:t>
            </w:r>
            <w:r w:rsidR="003C69DB" w:rsidRPr="00490BF5">
              <w:rPr>
                <w:bCs/>
                <w:snapToGrid w:val="0"/>
                <w:color w:val="000000"/>
                <w:kern w:val="22"/>
                <w:sz w:val="20"/>
                <w:szCs w:val="20"/>
              </w:rPr>
              <w:t xml:space="preserve"> </w:t>
            </w:r>
            <w:r w:rsidRPr="00490BF5">
              <w:rPr>
                <w:bCs/>
                <w:snapToGrid w:val="0"/>
                <w:color w:val="000000"/>
                <w:kern w:val="22"/>
                <w:sz w:val="20"/>
                <w:szCs w:val="20"/>
              </w:rPr>
              <w:t>257</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348481D5" w14:textId="52AA3153"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35</w:t>
            </w:r>
            <w:r w:rsidR="003C69DB" w:rsidRPr="00490BF5">
              <w:rPr>
                <w:snapToGrid w:val="0"/>
                <w:color w:val="000000"/>
                <w:kern w:val="22"/>
                <w:sz w:val="20"/>
                <w:szCs w:val="20"/>
              </w:rPr>
              <w:t xml:space="preserve"> </w:t>
            </w:r>
            <w:r w:rsidRPr="00490BF5">
              <w:rPr>
                <w:snapToGrid w:val="0"/>
                <w:color w:val="000000"/>
                <w:kern w:val="22"/>
                <w:sz w:val="20"/>
                <w:szCs w:val="20"/>
              </w:rPr>
              <w:t>574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A75A3CA"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NZD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E196D4C"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1.47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6082F28B"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E22473" w:rsidRPr="00490BF5" w14:paraId="3C7CB5F2"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FFFFFF"/>
            <w:noWrap/>
            <w:vAlign w:val="center"/>
          </w:tcPr>
          <w:p w14:paraId="7CD3F129"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Norway</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69D7BFE2" w14:textId="66331C76"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117</w:t>
            </w:r>
            <w:r w:rsidR="003C69DB" w:rsidRPr="00490BF5">
              <w:rPr>
                <w:snapToGrid w:val="0"/>
                <w:kern w:val="22"/>
                <w:sz w:val="20"/>
                <w:szCs w:val="20"/>
              </w:rPr>
              <w:t xml:space="preserve"> </w:t>
            </w:r>
            <w:r w:rsidRPr="00490BF5">
              <w:rPr>
                <w:snapToGrid w:val="0"/>
                <w:kern w:val="22"/>
                <w:sz w:val="20"/>
                <w:szCs w:val="20"/>
              </w:rPr>
              <w:t>863</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14E92309" w14:textId="51D7B681"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413</w:t>
            </w:r>
            <w:r w:rsidR="003C69DB" w:rsidRPr="00490BF5">
              <w:rPr>
                <w:snapToGrid w:val="0"/>
                <w:kern w:val="22"/>
                <w:sz w:val="20"/>
                <w:szCs w:val="20"/>
              </w:rPr>
              <w:t xml:space="preserve"> </w:t>
            </w:r>
            <w:r w:rsidRPr="00490BF5">
              <w:rPr>
                <w:snapToGrid w:val="0"/>
                <w:kern w:val="22"/>
                <w:sz w:val="20"/>
                <w:szCs w:val="20"/>
              </w:rPr>
              <w:t>111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4EF1D341"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3.51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2E424D4A" w14:textId="5B815252" w:rsidR="00384F6F" w:rsidRPr="00490BF5" w:rsidRDefault="00384F6F" w:rsidP="00C420BD">
            <w:pPr>
              <w:suppressLineNumbers/>
              <w:suppressAutoHyphens/>
              <w:kinsoku w:val="0"/>
              <w:overflowPunct w:val="0"/>
              <w:autoSpaceDE w:val="0"/>
              <w:autoSpaceDN w:val="0"/>
              <w:adjustRightInd w:val="0"/>
              <w:snapToGrid w:val="0"/>
              <w:jc w:val="right"/>
              <w:rPr>
                <w:bCs/>
                <w:snapToGrid w:val="0"/>
                <w:kern w:val="22"/>
                <w:sz w:val="20"/>
                <w:szCs w:val="20"/>
              </w:rPr>
            </w:pPr>
            <w:r w:rsidRPr="00490BF5">
              <w:rPr>
                <w:bCs/>
                <w:snapToGrid w:val="0"/>
                <w:kern w:val="22"/>
                <w:sz w:val="20"/>
                <w:szCs w:val="20"/>
              </w:rPr>
              <w:t>714</w:t>
            </w:r>
            <w:r w:rsidR="003C69DB" w:rsidRPr="00490BF5">
              <w:rPr>
                <w:bCs/>
                <w:snapToGrid w:val="0"/>
                <w:kern w:val="22"/>
                <w:sz w:val="20"/>
                <w:szCs w:val="20"/>
              </w:rPr>
              <w:t xml:space="preserve"> </w:t>
            </w:r>
            <w:r w:rsidRPr="00490BF5">
              <w:rPr>
                <w:bCs/>
                <w:snapToGrid w:val="0"/>
                <w:kern w:val="22"/>
                <w:sz w:val="20"/>
                <w:szCs w:val="20"/>
              </w:rPr>
              <w:t>976</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409BE035" w14:textId="30E7B001"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3</w:t>
            </w:r>
            <w:r w:rsidR="003C69DB" w:rsidRPr="00490BF5">
              <w:rPr>
                <w:snapToGrid w:val="0"/>
                <w:kern w:val="22"/>
                <w:sz w:val="20"/>
                <w:szCs w:val="20"/>
              </w:rPr>
              <w:t xml:space="preserve"> </w:t>
            </w:r>
            <w:r w:rsidRPr="00490BF5">
              <w:rPr>
                <w:snapToGrid w:val="0"/>
                <w:kern w:val="22"/>
                <w:sz w:val="20"/>
                <w:szCs w:val="20"/>
              </w:rPr>
              <w:t>283</w:t>
            </w:r>
            <w:r w:rsidR="003C69DB" w:rsidRPr="00490BF5">
              <w:rPr>
                <w:snapToGrid w:val="0"/>
                <w:kern w:val="22"/>
                <w:sz w:val="20"/>
                <w:szCs w:val="20"/>
              </w:rPr>
              <w:t xml:space="preserve"> </w:t>
            </w:r>
            <w:r w:rsidRPr="00490BF5">
              <w:rPr>
                <w:snapToGrid w:val="0"/>
                <w:kern w:val="22"/>
                <w:sz w:val="20"/>
                <w:szCs w:val="20"/>
              </w:rPr>
              <w:t>741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6F5204E"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NOK</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4E51C03"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4.59</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14708A77"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385D44FF"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175CE008"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Poland</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10B4196" w14:textId="4357DA53"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sidR="003C69DB" w:rsidRPr="00490BF5">
              <w:rPr>
                <w:bCs/>
                <w:snapToGrid w:val="0"/>
                <w:color w:val="000000"/>
                <w:kern w:val="22"/>
                <w:sz w:val="20"/>
                <w:szCs w:val="20"/>
              </w:rPr>
              <w:t xml:space="preserve"> </w:t>
            </w:r>
            <w:r w:rsidRPr="00490BF5">
              <w:rPr>
                <w:bCs/>
                <w:snapToGrid w:val="0"/>
                <w:color w:val="000000"/>
                <w:kern w:val="22"/>
                <w:sz w:val="20"/>
                <w:szCs w:val="20"/>
              </w:rPr>
              <w:t>497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7DFF78E" w14:textId="1C5F7254"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sidR="003C69DB" w:rsidRPr="00490BF5">
              <w:rPr>
                <w:snapToGrid w:val="0"/>
                <w:color w:val="000000"/>
                <w:kern w:val="22"/>
                <w:sz w:val="20"/>
                <w:szCs w:val="20"/>
              </w:rPr>
              <w:t xml:space="preserve"> </w:t>
            </w:r>
            <w:r w:rsidRPr="00490BF5">
              <w:rPr>
                <w:snapToGrid w:val="0"/>
                <w:color w:val="000000"/>
                <w:kern w:val="22"/>
                <w:sz w:val="20"/>
                <w:szCs w:val="20"/>
              </w:rPr>
              <w:t>395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628B0D1"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1.60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2141E89" w14:textId="14B1C1A2"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sidR="003C69DB" w:rsidRPr="00490BF5">
              <w:rPr>
                <w:bCs/>
                <w:snapToGrid w:val="0"/>
                <w:color w:val="000000"/>
                <w:kern w:val="22"/>
                <w:sz w:val="20"/>
                <w:szCs w:val="20"/>
              </w:rPr>
              <w:t xml:space="preserve"> </w:t>
            </w:r>
            <w:r w:rsidRPr="00490BF5">
              <w:rPr>
                <w:bCs/>
                <w:snapToGrid w:val="0"/>
                <w:color w:val="000000"/>
                <w:kern w:val="22"/>
                <w:sz w:val="20"/>
                <w:szCs w:val="20"/>
              </w:rPr>
              <w:t>497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8E45B16" w14:textId="025E116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sidR="003C69DB" w:rsidRPr="00490BF5">
              <w:rPr>
                <w:snapToGrid w:val="0"/>
                <w:color w:val="000000"/>
                <w:kern w:val="22"/>
                <w:sz w:val="20"/>
                <w:szCs w:val="20"/>
              </w:rPr>
              <w:t xml:space="preserve"> </w:t>
            </w:r>
            <w:r w:rsidRPr="00490BF5">
              <w:rPr>
                <w:snapToGrid w:val="0"/>
                <w:color w:val="000000"/>
                <w:kern w:val="22"/>
                <w:sz w:val="20"/>
                <w:szCs w:val="20"/>
              </w:rPr>
              <w:t>395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B875BB9"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2D67DEF"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1.60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69A9F65D"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0E6BCCB0"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6D2CC419"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Republic of Korea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96BEEA3" w14:textId="6DCEAD6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w:t>
            </w:r>
            <w:r w:rsidR="003C69DB" w:rsidRPr="00490BF5">
              <w:rPr>
                <w:bCs/>
                <w:snapToGrid w:val="0"/>
                <w:color w:val="000000"/>
                <w:kern w:val="22"/>
                <w:sz w:val="20"/>
                <w:szCs w:val="20"/>
              </w:rPr>
              <w:t xml:space="preserve"> </w:t>
            </w:r>
            <w:r w:rsidRPr="00490BF5">
              <w:rPr>
                <w:bCs/>
                <w:snapToGrid w:val="0"/>
                <w:color w:val="000000"/>
                <w:kern w:val="22"/>
                <w:sz w:val="20"/>
                <w:szCs w:val="20"/>
              </w:rPr>
              <w:t>283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CAED148" w14:textId="2CDF3478"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w:t>
            </w:r>
            <w:r w:rsidR="003C69DB" w:rsidRPr="00490BF5">
              <w:rPr>
                <w:snapToGrid w:val="0"/>
                <w:color w:val="000000"/>
                <w:kern w:val="22"/>
                <w:sz w:val="20"/>
                <w:szCs w:val="20"/>
              </w:rPr>
              <w:t xml:space="preserve"> </w:t>
            </w:r>
            <w:r w:rsidRPr="00490BF5">
              <w:rPr>
                <w:snapToGrid w:val="0"/>
                <w:color w:val="000000"/>
                <w:kern w:val="22"/>
                <w:sz w:val="20"/>
                <w:szCs w:val="20"/>
              </w:rPr>
              <w:t>504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99FB0D8"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E500158" w14:textId="09ECA72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w:t>
            </w:r>
            <w:r w:rsidR="003C69DB" w:rsidRPr="00490BF5">
              <w:rPr>
                <w:bCs/>
                <w:snapToGrid w:val="0"/>
                <w:color w:val="000000"/>
                <w:kern w:val="22"/>
                <w:sz w:val="20"/>
                <w:szCs w:val="20"/>
              </w:rPr>
              <w:t xml:space="preserve"> </w:t>
            </w:r>
            <w:r w:rsidRPr="00490BF5">
              <w:rPr>
                <w:bCs/>
                <w:snapToGrid w:val="0"/>
                <w:color w:val="000000"/>
                <w:kern w:val="22"/>
                <w:sz w:val="20"/>
                <w:szCs w:val="20"/>
              </w:rPr>
              <w:t>283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E50739E" w14:textId="56D5488D"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w:t>
            </w:r>
            <w:r w:rsidR="003C69DB" w:rsidRPr="00490BF5">
              <w:rPr>
                <w:snapToGrid w:val="0"/>
                <w:color w:val="000000"/>
                <w:kern w:val="22"/>
                <w:sz w:val="20"/>
                <w:szCs w:val="20"/>
              </w:rPr>
              <w:t xml:space="preserve"> </w:t>
            </w:r>
            <w:r w:rsidRPr="00490BF5">
              <w:rPr>
                <w:snapToGrid w:val="0"/>
                <w:color w:val="000000"/>
                <w:kern w:val="22"/>
                <w:sz w:val="20"/>
                <w:szCs w:val="20"/>
              </w:rPr>
              <w:t>504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F706EC2"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755D3C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1.47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2AA682F"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2013</w:t>
            </w:r>
          </w:p>
        </w:tc>
      </w:tr>
      <w:tr w:rsidR="00384F6F" w:rsidRPr="00490BF5" w14:paraId="7F81380C"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589827EB"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Slovakia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040541C"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EE7AC09" w14:textId="4F4D2AB4"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sidR="003C69DB" w:rsidRPr="00490BF5">
              <w:rPr>
                <w:snapToGrid w:val="0"/>
                <w:color w:val="000000"/>
                <w:kern w:val="22"/>
                <w:sz w:val="20"/>
                <w:szCs w:val="20"/>
              </w:rPr>
              <w:t xml:space="preserve"> </w:t>
            </w:r>
            <w:r w:rsidRPr="00490BF5">
              <w:rPr>
                <w:snapToGrid w:val="0"/>
                <w:color w:val="000000"/>
                <w:kern w:val="22"/>
                <w:sz w:val="20"/>
                <w:szCs w:val="20"/>
              </w:rPr>
              <w:t>515</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8BFA465"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B128957"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12B8F7F" w14:textId="5E6C214B"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sidR="003C69DB" w:rsidRPr="00490BF5">
              <w:rPr>
                <w:snapToGrid w:val="0"/>
                <w:color w:val="000000"/>
                <w:kern w:val="22"/>
                <w:sz w:val="20"/>
                <w:szCs w:val="20"/>
              </w:rPr>
              <w:t xml:space="preserve"> </w:t>
            </w:r>
            <w:r w:rsidRPr="00490BF5">
              <w:rPr>
                <w:snapToGrid w:val="0"/>
                <w:color w:val="000000"/>
                <w:kern w:val="22"/>
                <w:sz w:val="20"/>
                <w:szCs w:val="20"/>
              </w:rPr>
              <w:t>362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F2CBA26"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1EE3ACA"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5B524DD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5263CBCA"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1B5029BC"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Slovenia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D5DD10F"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528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32A1C64"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298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1901067"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0.56</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ED224B8"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383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ED796DC"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268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FC364F7"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60538E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0.70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1653309"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p>
        </w:tc>
      </w:tr>
      <w:tr w:rsidR="00384F6F" w:rsidRPr="00490BF5" w14:paraId="0B4B7824"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98DF766"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Spain</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658D6ED" w14:textId="75461548"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69</w:t>
            </w:r>
            <w:r w:rsidR="003C69DB" w:rsidRPr="00490BF5">
              <w:rPr>
                <w:bCs/>
                <w:snapToGrid w:val="0"/>
                <w:color w:val="000000"/>
                <w:kern w:val="22"/>
                <w:sz w:val="20"/>
                <w:szCs w:val="20"/>
              </w:rPr>
              <w:t xml:space="preserve"> </w:t>
            </w:r>
            <w:r w:rsidRPr="00490BF5">
              <w:rPr>
                <w:bCs/>
                <w:snapToGrid w:val="0"/>
                <w:color w:val="000000"/>
                <w:kern w:val="22"/>
                <w:sz w:val="20"/>
                <w:szCs w:val="20"/>
              </w:rPr>
              <w:t>409</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93A17E5" w14:textId="1CAB5F99"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w:t>
            </w:r>
            <w:r w:rsidR="003C69DB" w:rsidRPr="00490BF5">
              <w:rPr>
                <w:snapToGrid w:val="0"/>
                <w:color w:val="000000"/>
                <w:kern w:val="22"/>
                <w:sz w:val="20"/>
                <w:szCs w:val="20"/>
              </w:rPr>
              <w:t xml:space="preserve"> </w:t>
            </w:r>
            <w:r w:rsidRPr="00490BF5">
              <w:rPr>
                <w:snapToGrid w:val="0"/>
                <w:color w:val="000000"/>
                <w:kern w:val="22"/>
                <w:sz w:val="20"/>
                <w:szCs w:val="20"/>
              </w:rPr>
              <w:t>020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4B35ED9"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0.40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04A5637" w14:textId="757F2E65"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50</w:t>
            </w:r>
            <w:r w:rsidR="003C69DB" w:rsidRPr="00490BF5">
              <w:rPr>
                <w:bCs/>
                <w:snapToGrid w:val="0"/>
                <w:color w:val="000000"/>
                <w:kern w:val="22"/>
                <w:sz w:val="20"/>
                <w:szCs w:val="20"/>
              </w:rPr>
              <w:t xml:space="preserve"> </w:t>
            </w:r>
            <w:r w:rsidRPr="00490BF5">
              <w:rPr>
                <w:bCs/>
                <w:snapToGrid w:val="0"/>
                <w:color w:val="000000"/>
                <w:kern w:val="22"/>
                <w:sz w:val="20"/>
                <w:szCs w:val="20"/>
              </w:rPr>
              <w:t>642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EDA5C56" w14:textId="2B23D34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25</w:t>
            </w:r>
            <w:r w:rsidR="003C69DB" w:rsidRPr="00490BF5">
              <w:rPr>
                <w:snapToGrid w:val="0"/>
                <w:color w:val="000000"/>
                <w:kern w:val="22"/>
                <w:sz w:val="20"/>
                <w:szCs w:val="20"/>
              </w:rPr>
              <w:t xml:space="preserve"> </w:t>
            </w:r>
            <w:r w:rsidRPr="00490BF5">
              <w:rPr>
                <w:snapToGrid w:val="0"/>
                <w:color w:val="000000"/>
                <w:kern w:val="22"/>
                <w:sz w:val="20"/>
                <w:szCs w:val="20"/>
              </w:rPr>
              <w:t>184</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A153FB6"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C39F552"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0.50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16851A37"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50D234CB"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694CAD7B"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Sweden</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DA82E90" w14:textId="186D0491"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74</w:t>
            </w:r>
            <w:r w:rsidR="003C69DB" w:rsidRPr="00490BF5">
              <w:rPr>
                <w:bCs/>
                <w:snapToGrid w:val="0"/>
                <w:color w:val="000000"/>
                <w:kern w:val="22"/>
                <w:sz w:val="20"/>
                <w:szCs w:val="20"/>
              </w:rPr>
              <w:t xml:space="preserve"> </w:t>
            </w:r>
            <w:r w:rsidRPr="00490BF5">
              <w:rPr>
                <w:bCs/>
                <w:snapToGrid w:val="0"/>
                <w:color w:val="000000"/>
                <w:kern w:val="22"/>
                <w:sz w:val="20"/>
                <w:szCs w:val="20"/>
              </w:rPr>
              <w:t>172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80F0CD9" w14:textId="2954E3E0"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109</w:t>
            </w:r>
            <w:r w:rsidR="003C69DB" w:rsidRPr="00490BF5">
              <w:rPr>
                <w:snapToGrid w:val="0"/>
                <w:color w:val="000000"/>
                <w:kern w:val="22"/>
                <w:sz w:val="20"/>
                <w:szCs w:val="20"/>
              </w:rPr>
              <w:t xml:space="preserve"> </w:t>
            </w:r>
            <w:r w:rsidRPr="00490BF5">
              <w:rPr>
                <w:snapToGrid w:val="0"/>
                <w:color w:val="000000"/>
                <w:kern w:val="22"/>
                <w:sz w:val="20"/>
                <w:szCs w:val="20"/>
              </w:rPr>
              <w:t>588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46CC60F"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0BF71694" w14:textId="38B6E0DE"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534</w:t>
            </w:r>
            <w:r w:rsidR="003C69DB" w:rsidRPr="00490BF5">
              <w:rPr>
                <w:bCs/>
                <w:snapToGrid w:val="0"/>
                <w:color w:val="000000"/>
                <w:kern w:val="22"/>
                <w:sz w:val="20"/>
                <w:szCs w:val="20"/>
              </w:rPr>
              <w:t xml:space="preserve"> </w:t>
            </w:r>
            <w:r w:rsidRPr="00490BF5">
              <w:rPr>
                <w:bCs/>
                <w:snapToGrid w:val="0"/>
                <w:color w:val="000000"/>
                <w:kern w:val="22"/>
                <w:sz w:val="20"/>
                <w:szCs w:val="20"/>
              </w:rPr>
              <w:t>597</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2129D940" w14:textId="5ADD6BFB"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927</w:t>
            </w:r>
            <w:r w:rsidR="003C69DB" w:rsidRPr="00490BF5">
              <w:rPr>
                <w:snapToGrid w:val="0"/>
                <w:color w:val="000000"/>
                <w:kern w:val="22"/>
                <w:sz w:val="20"/>
                <w:szCs w:val="20"/>
              </w:rPr>
              <w:t xml:space="preserve"> </w:t>
            </w:r>
            <w:r w:rsidRPr="00490BF5">
              <w:rPr>
                <w:snapToGrid w:val="0"/>
                <w:color w:val="000000"/>
                <w:kern w:val="22"/>
                <w:sz w:val="20"/>
                <w:szCs w:val="20"/>
              </w:rPr>
              <w:t>011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D80298A"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SEK</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8C6834E"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1.73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12A7F79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384F6F" w:rsidRPr="00490BF5" w14:paraId="551B1AC5"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14:paraId="2B4040E4"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Switzerland</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B0628F1" w14:textId="7B845306"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49</w:t>
            </w:r>
            <w:r w:rsidR="003C69DB" w:rsidRPr="00490BF5">
              <w:rPr>
                <w:bCs/>
                <w:snapToGrid w:val="0"/>
                <w:color w:val="000000"/>
                <w:kern w:val="22"/>
                <w:sz w:val="20"/>
                <w:szCs w:val="20"/>
              </w:rPr>
              <w:t xml:space="preserve"> </w:t>
            </w:r>
            <w:r w:rsidRPr="00490BF5">
              <w:rPr>
                <w:bCs/>
                <w:snapToGrid w:val="0"/>
                <w:color w:val="000000"/>
                <w:kern w:val="22"/>
                <w:sz w:val="20"/>
                <w:szCs w:val="20"/>
              </w:rPr>
              <w:t>331</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165D95A5" w14:textId="1E71FB0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74</w:t>
            </w:r>
            <w:r w:rsidR="003C69DB" w:rsidRPr="00490BF5">
              <w:rPr>
                <w:snapToGrid w:val="0"/>
                <w:color w:val="000000"/>
                <w:kern w:val="22"/>
                <w:sz w:val="20"/>
                <w:szCs w:val="20"/>
              </w:rPr>
              <w:t xml:space="preserve"> </w:t>
            </w:r>
            <w:r w:rsidRPr="00490BF5">
              <w:rPr>
                <w:snapToGrid w:val="0"/>
                <w:color w:val="000000"/>
                <w:kern w:val="22"/>
                <w:sz w:val="20"/>
                <w:szCs w:val="20"/>
              </w:rPr>
              <w:t>300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1F42AA98"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1.51</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B973FEA" w14:textId="15B7F9F6"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55</w:t>
            </w:r>
            <w:r w:rsidR="003C69DB" w:rsidRPr="00490BF5">
              <w:rPr>
                <w:bCs/>
                <w:snapToGrid w:val="0"/>
                <w:color w:val="000000"/>
                <w:kern w:val="22"/>
                <w:sz w:val="20"/>
                <w:szCs w:val="20"/>
              </w:rPr>
              <w:t xml:space="preserve"> </w:t>
            </w:r>
            <w:r w:rsidRPr="00490BF5">
              <w:rPr>
                <w:bCs/>
                <w:snapToGrid w:val="0"/>
                <w:color w:val="000000"/>
                <w:kern w:val="22"/>
                <w:sz w:val="20"/>
                <w:szCs w:val="20"/>
              </w:rPr>
              <w:t>312</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547BE4C6" w14:textId="4DFD119B"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68</w:t>
            </w:r>
            <w:r w:rsidR="003C69DB" w:rsidRPr="00490BF5">
              <w:rPr>
                <w:snapToGrid w:val="0"/>
                <w:color w:val="000000"/>
                <w:kern w:val="22"/>
                <w:sz w:val="20"/>
                <w:szCs w:val="20"/>
              </w:rPr>
              <w:t xml:space="preserve"> </w:t>
            </w:r>
            <w:r w:rsidRPr="00490BF5">
              <w:rPr>
                <w:snapToGrid w:val="0"/>
                <w:color w:val="000000"/>
                <w:kern w:val="22"/>
                <w:sz w:val="20"/>
                <w:szCs w:val="20"/>
              </w:rPr>
              <w:t>070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00467EE"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CHF</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413F3CC"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1.23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C7CA6E2"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384F6F" w:rsidRPr="00490BF5" w14:paraId="6A27B205" w14:textId="77777777"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0BDEDC59" w14:textId="77777777"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United Kingdom of Great Britain and Northern Ireland</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FB80191" w14:textId="00994CD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133</w:t>
            </w:r>
            <w:r w:rsidR="003C69DB" w:rsidRPr="00490BF5">
              <w:rPr>
                <w:bCs/>
                <w:snapToGrid w:val="0"/>
                <w:color w:val="000000"/>
                <w:kern w:val="22"/>
                <w:sz w:val="20"/>
                <w:szCs w:val="20"/>
              </w:rPr>
              <w:t xml:space="preserve"> </w:t>
            </w:r>
            <w:r w:rsidRPr="00490BF5">
              <w:rPr>
                <w:bCs/>
                <w:snapToGrid w:val="0"/>
                <w:color w:val="000000"/>
                <w:kern w:val="22"/>
                <w:sz w:val="20"/>
                <w:szCs w:val="20"/>
              </w:rPr>
              <w:t>867</w:t>
            </w:r>
          </w:p>
        </w:tc>
        <w:tc>
          <w:tcPr>
            <w:tcW w:w="1122" w:type="dxa"/>
            <w:tcBorders>
              <w:top w:val="single" w:sz="4" w:space="0" w:color="auto"/>
              <w:left w:val="nil"/>
              <w:bottom w:val="single" w:sz="4" w:space="0" w:color="auto"/>
              <w:right w:val="single" w:sz="4" w:space="0" w:color="auto"/>
            </w:tcBorders>
            <w:shd w:val="clear" w:color="auto" w:fill="FFFFFF"/>
            <w:vAlign w:val="bottom"/>
          </w:tcPr>
          <w:p w14:paraId="51212391" w14:textId="14258C4E"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297</w:t>
            </w:r>
            <w:r w:rsidR="003C69DB" w:rsidRPr="00490BF5">
              <w:rPr>
                <w:snapToGrid w:val="0"/>
                <w:color w:val="000000"/>
                <w:kern w:val="22"/>
                <w:sz w:val="20"/>
                <w:szCs w:val="20"/>
              </w:rPr>
              <w:t xml:space="preserve"> </w:t>
            </w:r>
            <w:r w:rsidRPr="00490BF5">
              <w:rPr>
                <w:snapToGrid w:val="0"/>
                <w:color w:val="000000"/>
                <w:kern w:val="22"/>
                <w:sz w:val="20"/>
                <w:szCs w:val="20"/>
              </w:rPr>
              <w:t>978</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F5E504F" w14:textId="7777777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2.23</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603BD059" w14:textId="7F8448A7"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78</w:t>
            </w:r>
            <w:r w:rsidR="003C69DB" w:rsidRPr="00490BF5">
              <w:rPr>
                <w:bCs/>
                <w:snapToGrid w:val="0"/>
                <w:color w:val="000000"/>
                <w:kern w:val="22"/>
                <w:sz w:val="20"/>
                <w:szCs w:val="20"/>
              </w:rPr>
              <w:t xml:space="preserve"> </w:t>
            </w:r>
            <w:r w:rsidRPr="00490BF5">
              <w:rPr>
                <w:bCs/>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71B4C484" w14:textId="10E41C7B"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181</w:t>
            </w:r>
            <w:r w:rsidR="003C69DB" w:rsidRPr="00490BF5">
              <w:rPr>
                <w:snapToGrid w:val="0"/>
                <w:color w:val="000000"/>
                <w:kern w:val="22"/>
                <w:sz w:val="20"/>
                <w:szCs w:val="20"/>
              </w:rPr>
              <w:t xml:space="preserve"> </w:t>
            </w:r>
            <w:r w:rsidRPr="00490BF5">
              <w:rPr>
                <w:snapToGrid w:val="0"/>
                <w:color w:val="000000"/>
                <w:kern w:val="22"/>
                <w:sz w:val="20"/>
                <w:szCs w:val="20"/>
              </w:rPr>
              <w:t>000</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3EE3E228" w14:textId="77777777"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GBP</w:t>
            </w:r>
          </w:p>
        </w:tc>
        <w:tc>
          <w:tcPr>
            <w:tcW w:w="1122" w:type="dxa"/>
            <w:tcBorders>
              <w:top w:val="single" w:sz="4" w:space="0" w:color="auto"/>
              <w:left w:val="nil"/>
              <w:bottom w:val="single" w:sz="4" w:space="0" w:color="auto"/>
              <w:right w:val="single" w:sz="4" w:space="0" w:color="auto"/>
            </w:tcBorders>
            <w:shd w:val="clear" w:color="000000" w:fill="auto"/>
            <w:vAlign w:val="bottom"/>
          </w:tcPr>
          <w:p w14:paraId="4767E914"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14:paraId="78658838" w14:textId="77777777"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384F6F" w:rsidRPr="00490BF5" w14:paraId="1E8120A6" w14:textId="77777777" w:rsidTr="00E22473">
        <w:trPr>
          <w:jc w:val="center"/>
        </w:trPr>
        <w:tc>
          <w:tcPr>
            <w:tcW w:w="10334" w:type="dxa"/>
            <w:gridSpan w:val="9"/>
            <w:tcBorders>
              <w:top w:val="single" w:sz="4" w:space="0" w:color="auto"/>
              <w:left w:val="single" w:sz="4" w:space="0" w:color="auto"/>
              <w:bottom w:val="single" w:sz="4" w:space="0" w:color="auto"/>
              <w:right w:val="single" w:sz="4" w:space="0" w:color="auto"/>
            </w:tcBorders>
          </w:tcPr>
          <w:p w14:paraId="0FE55664" w14:textId="77777777" w:rsidR="00384F6F" w:rsidRPr="00616006" w:rsidRDefault="00384F6F" w:rsidP="00C420BD">
            <w:pPr>
              <w:suppressLineNumbers/>
              <w:suppressAutoHyphens/>
              <w:kinsoku w:val="0"/>
              <w:overflowPunct w:val="0"/>
              <w:autoSpaceDE w:val="0"/>
              <w:autoSpaceDN w:val="0"/>
              <w:adjustRightInd w:val="0"/>
              <w:snapToGrid w:val="0"/>
              <w:jc w:val="left"/>
              <w:rPr>
                <w:snapToGrid w:val="0"/>
                <w:kern w:val="22"/>
                <w:sz w:val="18"/>
                <w:szCs w:val="18"/>
              </w:rPr>
            </w:pPr>
            <w:r w:rsidRPr="00616006">
              <w:rPr>
                <w:i/>
                <w:snapToGrid w:val="0"/>
                <w:kern w:val="22"/>
                <w:sz w:val="18"/>
                <w:szCs w:val="18"/>
              </w:rPr>
              <w:t>Source:</w:t>
            </w:r>
            <w:r w:rsidRPr="00616006">
              <w:rPr>
                <w:snapToGrid w:val="0"/>
                <w:kern w:val="22"/>
                <w:sz w:val="18"/>
                <w:szCs w:val="18"/>
              </w:rPr>
              <w:t xml:space="preserve"> Financial reporting frameworks; own calculations.</w:t>
            </w:r>
            <w:bookmarkStart w:id="2" w:name="_GoBack"/>
            <w:bookmarkEnd w:id="2"/>
          </w:p>
          <w:p w14:paraId="6C2FF55F" w14:textId="77777777" w:rsidR="00384F6F" w:rsidRPr="00616006" w:rsidRDefault="00384F6F" w:rsidP="00C420BD">
            <w:pPr>
              <w:suppressLineNumbers/>
              <w:suppressAutoHyphens/>
              <w:kinsoku w:val="0"/>
              <w:overflowPunct w:val="0"/>
              <w:autoSpaceDE w:val="0"/>
              <w:autoSpaceDN w:val="0"/>
              <w:adjustRightInd w:val="0"/>
              <w:snapToGrid w:val="0"/>
              <w:jc w:val="left"/>
              <w:rPr>
                <w:snapToGrid w:val="0"/>
                <w:kern w:val="22"/>
                <w:sz w:val="18"/>
                <w:szCs w:val="18"/>
              </w:rPr>
            </w:pPr>
            <w:r w:rsidRPr="00616006">
              <w:rPr>
                <w:i/>
                <w:iCs/>
                <w:snapToGrid w:val="0"/>
                <w:kern w:val="22"/>
                <w:sz w:val="18"/>
                <w:szCs w:val="18"/>
              </w:rPr>
              <w:t>Notes</w:t>
            </w:r>
            <w:r w:rsidRPr="00616006">
              <w:rPr>
                <w:snapToGrid w:val="0"/>
                <w:kern w:val="22"/>
                <w:sz w:val="18"/>
                <w:szCs w:val="18"/>
              </w:rPr>
              <w:t>: Based on currencies as reported, current values. Bulgaria, Chile, Malta, Slovakia and Slovenia reported progress but no baseline data.</w:t>
            </w:r>
          </w:p>
          <w:p w14:paraId="06E51C73" w14:textId="77777777" w:rsidR="00384F6F" w:rsidRPr="00490BF5" w:rsidRDefault="00384F6F" w:rsidP="00C420BD">
            <w:pPr>
              <w:suppressLineNumbers/>
              <w:suppressAutoHyphens/>
              <w:kinsoku w:val="0"/>
              <w:overflowPunct w:val="0"/>
              <w:autoSpaceDE w:val="0"/>
              <w:autoSpaceDN w:val="0"/>
              <w:adjustRightInd w:val="0"/>
              <w:snapToGrid w:val="0"/>
              <w:jc w:val="left"/>
              <w:rPr>
                <w:i/>
                <w:snapToGrid w:val="0"/>
                <w:kern w:val="22"/>
                <w:sz w:val="20"/>
                <w:szCs w:val="20"/>
              </w:rPr>
            </w:pPr>
            <w:r w:rsidRPr="00616006">
              <w:rPr>
                <w:snapToGrid w:val="0"/>
                <w:kern w:val="22"/>
                <w:sz w:val="18"/>
                <w:szCs w:val="18"/>
                <w:vertAlign w:val="superscript"/>
              </w:rPr>
              <w:t xml:space="preserve">* </w:t>
            </w:r>
            <w:r w:rsidRPr="00616006">
              <w:rPr>
                <w:snapToGrid w:val="0"/>
                <w:kern w:val="22"/>
                <w:sz w:val="18"/>
                <w:szCs w:val="18"/>
              </w:rPr>
              <w:t>OECD-DAC members. DAC Members, Parties to the Convention that did not yet report are: Australia, Belgium, Iceland, Ireland, Italy and Portugal.</w:t>
            </w:r>
          </w:p>
        </w:tc>
      </w:tr>
    </w:tbl>
    <w:p w14:paraId="7248E73B" w14:textId="6A10DDC3" w:rsidR="00B3369F" w:rsidRPr="00490BF5" w:rsidRDefault="006E604B" w:rsidP="00490BF5">
      <w:pPr>
        <w:suppressLineNumbers/>
        <w:suppressAutoHyphens/>
        <w:kinsoku w:val="0"/>
        <w:overflowPunct w:val="0"/>
        <w:autoSpaceDE w:val="0"/>
        <w:autoSpaceDN w:val="0"/>
        <w:adjustRightInd w:val="0"/>
        <w:snapToGrid w:val="0"/>
        <w:jc w:val="center"/>
        <w:rPr>
          <w:bCs/>
          <w:szCs w:val="22"/>
        </w:rPr>
      </w:pPr>
      <w:r w:rsidRPr="00490BF5">
        <w:rPr>
          <w:bCs/>
          <w:snapToGrid w:val="0"/>
          <w:kern w:val="22"/>
          <w:szCs w:val="22"/>
        </w:rPr>
        <w:t>__________</w:t>
      </w:r>
    </w:p>
    <w:sectPr w:rsidR="00B3369F" w:rsidRPr="00490BF5" w:rsidSect="00490BF5">
      <w:headerReference w:type="even" r:id="rId22"/>
      <w:headerReference w:type="default" r:id="rId23"/>
      <w:footerReference w:type="even" r:id="rId24"/>
      <w:pgSz w:w="12240" w:h="15840" w:code="1"/>
      <w:pgMar w:top="567" w:right="1389" w:bottom="1134" w:left="138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691E6" w15:done="0"/>
  <w15:commentEx w15:paraId="0CD961F8" w15:done="0"/>
  <w15:commentEx w15:paraId="19980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691E6" w16cid:durableId="1EC27121"/>
  <w16cid:commentId w16cid:paraId="0CD961F8" w16cid:durableId="1EC271D2"/>
  <w16cid:commentId w16cid:paraId="1998001F" w16cid:durableId="1EC24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33A9" w14:textId="77777777" w:rsidR="00D549C6" w:rsidRDefault="00D549C6" w:rsidP="00CF1848">
      <w:r>
        <w:separator/>
      </w:r>
    </w:p>
  </w:endnote>
  <w:endnote w:type="continuationSeparator" w:id="0">
    <w:p w14:paraId="21BC9F4C" w14:textId="77777777" w:rsidR="00D549C6" w:rsidRDefault="00D549C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4B00" w14:textId="77777777" w:rsidR="00D549C6" w:rsidRDefault="00D549C6" w:rsidP="000B2CC8">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551C" w14:textId="77777777" w:rsidR="00D549C6" w:rsidRDefault="00D549C6" w:rsidP="000B2CC8">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3556" w14:textId="77777777" w:rsidR="00C420BD" w:rsidRDefault="00C420BD" w:rsidP="006E604B">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5EA9" w14:textId="77777777" w:rsidR="00D549C6" w:rsidRDefault="00D549C6" w:rsidP="00CF1848">
      <w:r>
        <w:separator/>
      </w:r>
    </w:p>
  </w:footnote>
  <w:footnote w:type="continuationSeparator" w:id="0">
    <w:p w14:paraId="3C58FBA4" w14:textId="77777777" w:rsidR="00D549C6" w:rsidRDefault="00D549C6" w:rsidP="00CF1848">
      <w:r>
        <w:continuationSeparator/>
      </w:r>
    </w:p>
  </w:footnote>
  <w:footnote w:id="1">
    <w:p w14:paraId="735A6289" w14:textId="28E6441D"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t>*</w:t>
      </w:r>
      <w:r>
        <w:rPr>
          <w:snapToGrid w:val="0"/>
          <w:kern w:val="18"/>
          <w:szCs w:val="18"/>
        </w:rPr>
        <w:t xml:space="preserve"> </w:t>
      </w:r>
      <w:hyperlink r:id="rId1" w:history="1">
        <w:proofErr w:type="gramStart"/>
        <w:r w:rsidRPr="00490BF5">
          <w:rPr>
            <w:rStyle w:val="Hyperlink"/>
            <w:snapToGrid w:val="0"/>
            <w:kern w:val="18"/>
            <w:szCs w:val="18"/>
          </w:rPr>
          <w:t>CBD/SBI/2/1</w:t>
        </w:r>
      </w:hyperlink>
      <w:r w:rsidRPr="00490BF5">
        <w:rPr>
          <w:snapToGrid w:val="0"/>
          <w:kern w:val="18"/>
          <w:szCs w:val="18"/>
          <w:lang w:val="en-US"/>
        </w:rPr>
        <w:t>.</w:t>
      </w:r>
      <w:proofErr w:type="gramEnd"/>
    </w:p>
  </w:footnote>
  <w:footnote w:id="2">
    <w:p w14:paraId="6D83220B" w14:textId="606A26B6"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w:t>
      </w:r>
      <w:r>
        <w:rPr>
          <w:snapToGrid w:val="0"/>
          <w:kern w:val="18"/>
          <w:szCs w:val="18"/>
        </w:rPr>
        <w:t>See</w:t>
      </w:r>
      <w:r w:rsidRPr="00490BF5">
        <w:rPr>
          <w:snapToGrid w:val="0"/>
          <w:kern w:val="18"/>
          <w:szCs w:val="18"/>
        </w:rPr>
        <w:t xml:space="preserve"> </w:t>
      </w:r>
      <w:hyperlink r:id="rId2" w:history="1">
        <w:r w:rsidRPr="00490BF5">
          <w:rPr>
            <w:rStyle w:val="Hyperlink"/>
            <w:snapToGrid w:val="0"/>
            <w:kern w:val="18"/>
            <w:szCs w:val="18"/>
          </w:rPr>
          <w:t>UNEP/CBD/COP/13/11/Rev.1</w:t>
        </w:r>
      </w:hyperlink>
      <w:r w:rsidRPr="00490BF5">
        <w:rPr>
          <w:snapToGrid w:val="0"/>
          <w:kern w:val="18"/>
          <w:szCs w:val="18"/>
        </w:rPr>
        <w:t>.</w:t>
      </w:r>
    </w:p>
  </w:footnote>
  <w:footnote w:id="3">
    <w:p w14:paraId="5ABDFF00" w14:textId="56B8F08B"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Committed bilateral aid marked as </w:t>
      </w:r>
      <w:r>
        <w:rPr>
          <w:snapToGrid w:val="0"/>
          <w:kern w:val="18"/>
          <w:szCs w:val="18"/>
        </w:rPr>
        <w:t>“</w:t>
      </w:r>
      <w:r w:rsidRPr="00490BF5">
        <w:rPr>
          <w:snapToGrid w:val="0"/>
          <w:kern w:val="18"/>
          <w:szCs w:val="18"/>
        </w:rPr>
        <w:t>principal</w:t>
      </w:r>
      <w:r>
        <w:rPr>
          <w:snapToGrid w:val="0"/>
          <w:kern w:val="18"/>
          <w:szCs w:val="18"/>
        </w:rPr>
        <w:t>”</w:t>
      </w:r>
      <w:r w:rsidRPr="00490BF5">
        <w:rPr>
          <w:snapToGrid w:val="0"/>
          <w:kern w:val="18"/>
          <w:szCs w:val="18"/>
        </w:rPr>
        <w:t xml:space="preserve"> under the Rio Marker system of the OECD DAC. </w:t>
      </w:r>
    </w:p>
  </w:footnote>
  <w:footnote w:id="4">
    <w:p w14:paraId="45EC7858" w14:textId="5D2D51D8"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At the time of the report prepared for </w:t>
      </w:r>
      <w:r>
        <w:rPr>
          <w:snapToGrid w:val="0"/>
          <w:kern w:val="18"/>
          <w:szCs w:val="18"/>
        </w:rPr>
        <w:t>the</w:t>
      </w:r>
      <w:r w:rsidRPr="002A33A7">
        <w:rPr>
          <w:snapToGrid w:val="0"/>
          <w:kern w:val="18"/>
          <w:szCs w:val="18"/>
        </w:rPr>
        <w:t xml:space="preserve"> thirteenth meeting</w:t>
      </w:r>
      <w:r w:rsidRPr="0063592E">
        <w:rPr>
          <w:snapToGrid w:val="0"/>
          <w:kern w:val="18"/>
          <w:szCs w:val="18"/>
        </w:rPr>
        <w:t xml:space="preserve"> </w:t>
      </w:r>
      <w:r>
        <w:rPr>
          <w:snapToGrid w:val="0"/>
          <w:kern w:val="18"/>
          <w:szCs w:val="18"/>
        </w:rPr>
        <w:t xml:space="preserve">of the </w:t>
      </w:r>
      <w:r w:rsidRPr="00490BF5">
        <w:rPr>
          <w:snapToGrid w:val="0"/>
          <w:kern w:val="18"/>
          <w:szCs w:val="18"/>
        </w:rPr>
        <w:t xml:space="preserve">Conference of the Parties, 12 Parties had reported 2015 </w:t>
      </w:r>
      <w:proofErr w:type="gramStart"/>
      <w:r w:rsidRPr="00490BF5">
        <w:rPr>
          <w:snapToGrid w:val="0"/>
          <w:kern w:val="18"/>
          <w:szCs w:val="18"/>
        </w:rPr>
        <w:t>data,</w:t>
      </w:r>
      <w:proofErr w:type="gramEnd"/>
      <w:r w:rsidRPr="00490BF5">
        <w:rPr>
          <w:snapToGrid w:val="0"/>
          <w:kern w:val="18"/>
          <w:szCs w:val="18"/>
        </w:rPr>
        <w:t xml:space="preserve"> representing 29 </w:t>
      </w:r>
      <w:r>
        <w:rPr>
          <w:snapToGrid w:val="0"/>
          <w:kern w:val="18"/>
          <w:szCs w:val="18"/>
        </w:rPr>
        <w:t>per cent</w:t>
      </w:r>
      <w:r w:rsidRPr="00490BF5">
        <w:rPr>
          <w:snapToGrid w:val="0"/>
          <w:kern w:val="18"/>
          <w:szCs w:val="18"/>
        </w:rPr>
        <w:t xml:space="preserve"> of the baseline (see UNEP/CBD/COP/13/11/Rev.1).</w:t>
      </w:r>
    </w:p>
  </w:footnote>
  <w:footnote w:id="5">
    <w:p w14:paraId="1BD19D8A" w14:textId="554F890E"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Annual funding provided in a particular year, divided by the baseline. A quotient of 2.0 represents a 100</w:t>
      </w:r>
      <w:r>
        <w:rPr>
          <w:snapToGrid w:val="0"/>
          <w:kern w:val="18"/>
          <w:szCs w:val="18"/>
        </w:rPr>
        <w:t> per cent</w:t>
      </w:r>
      <w:r w:rsidRPr="00490BF5">
        <w:rPr>
          <w:snapToGrid w:val="0"/>
          <w:kern w:val="18"/>
          <w:szCs w:val="18"/>
        </w:rPr>
        <w:t xml:space="preserve"> increase or a doubling of the resource flow.</w:t>
      </w:r>
    </w:p>
  </w:footnote>
  <w:footnote w:id="6">
    <w:p w14:paraId="53957B3E" w14:textId="78B0D09F"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w:t>
      </w:r>
      <w:r>
        <w:rPr>
          <w:snapToGrid w:val="0"/>
          <w:kern w:val="18"/>
          <w:szCs w:val="18"/>
        </w:rPr>
        <w:t>See</w:t>
      </w:r>
      <w:r w:rsidRPr="00490BF5">
        <w:rPr>
          <w:snapToGrid w:val="0"/>
          <w:kern w:val="18"/>
          <w:szCs w:val="18"/>
        </w:rPr>
        <w:t xml:space="preserve"> UNEP/CBD/SBI/1/7 and UNEP/CBD/COP/13/11/Rev.1.</w:t>
      </w:r>
    </w:p>
  </w:footnote>
  <w:footnote w:id="7">
    <w:p w14:paraId="28A5D7A3" w14:textId="1D31580A"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Pr>
          <w:snapToGrid w:val="0"/>
          <w:kern w:val="18"/>
          <w:szCs w:val="18"/>
        </w:rPr>
        <w:t xml:space="preserve"> </w:t>
      </w:r>
      <w:r w:rsidRPr="00490BF5">
        <w:rPr>
          <w:snapToGrid w:val="0"/>
          <w:kern w:val="18"/>
          <w:szCs w:val="18"/>
        </w:rPr>
        <w:t xml:space="preserve">Retrieved from the online </w:t>
      </w:r>
      <w:r w:rsidRPr="00490BF5">
        <w:rPr>
          <w:i/>
          <w:iCs/>
          <w:snapToGrid w:val="0"/>
          <w:kern w:val="18"/>
          <w:szCs w:val="18"/>
        </w:rPr>
        <w:t>World Economic Outlook</w:t>
      </w:r>
      <w:r w:rsidRPr="00490BF5">
        <w:rPr>
          <w:snapToGrid w:val="0"/>
          <w:kern w:val="18"/>
          <w:szCs w:val="18"/>
        </w:rPr>
        <w:t xml:space="preserve"> database of the International Monetary Fund</w:t>
      </w:r>
      <w:r>
        <w:rPr>
          <w:snapToGrid w:val="0"/>
          <w:kern w:val="18"/>
          <w:szCs w:val="18"/>
        </w:rPr>
        <w:t>, available from</w:t>
      </w:r>
      <w:r w:rsidRPr="00490BF5">
        <w:rPr>
          <w:snapToGrid w:val="0"/>
          <w:kern w:val="18"/>
          <w:szCs w:val="18"/>
        </w:rPr>
        <w:t xml:space="preserve"> </w:t>
      </w:r>
      <w:hyperlink r:id="rId3" w:history="1">
        <w:r w:rsidRPr="00490BF5">
          <w:rPr>
            <w:rStyle w:val="Hyperlink"/>
            <w:snapToGrid w:val="0"/>
            <w:kern w:val="18"/>
            <w:szCs w:val="18"/>
          </w:rPr>
          <w:t>https://www.imf.org/external/pubs/ft/weo/2017/02/weodata/index.aspx</w:t>
        </w:r>
      </w:hyperlink>
    </w:p>
  </w:footnote>
  <w:footnote w:id="8">
    <w:p w14:paraId="7D4E4115" w14:textId="0F7880B4"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rPr>
      </w:pPr>
      <w:r w:rsidRPr="00490BF5">
        <w:rPr>
          <w:rStyle w:val="FootnoteReference"/>
          <w:snapToGrid w:val="0"/>
          <w:kern w:val="18"/>
          <w:sz w:val="18"/>
          <w:szCs w:val="18"/>
        </w:rPr>
        <w:footnoteRef/>
      </w:r>
      <w:r w:rsidRPr="00490BF5">
        <w:rPr>
          <w:snapToGrid w:val="0"/>
          <w:kern w:val="18"/>
          <w:szCs w:val="18"/>
        </w:rPr>
        <w:t xml:space="preserve"> </w:t>
      </w:r>
      <w:proofErr w:type="gramStart"/>
      <w:r w:rsidRPr="00490BF5">
        <w:rPr>
          <w:snapToGrid w:val="0"/>
          <w:kern w:val="18"/>
          <w:szCs w:val="18"/>
        </w:rPr>
        <w:t xml:space="preserve">Accessible online at </w:t>
      </w:r>
      <w:hyperlink r:id="rId4" w:history="1">
        <w:r w:rsidRPr="00490BF5">
          <w:rPr>
            <w:rStyle w:val="Hyperlink"/>
            <w:snapToGrid w:val="0"/>
            <w:kern w:val="18"/>
            <w:szCs w:val="18"/>
          </w:rPr>
          <w:t>http://stats.oecd.org</w:t>
        </w:r>
      </w:hyperlink>
      <w:r w:rsidRPr="00490BF5">
        <w:rPr>
          <w:snapToGrid w:val="0"/>
          <w:kern w:val="18"/>
          <w:szCs w:val="18"/>
        </w:rPr>
        <w:t>.</w:t>
      </w:r>
      <w:proofErr w:type="gramEnd"/>
    </w:p>
  </w:footnote>
  <w:footnote w:id="9">
    <w:p w14:paraId="3E23BDA9" w14:textId="1CEE44FF"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w:t>
      </w:r>
      <w:r w:rsidRPr="00490BF5">
        <w:rPr>
          <w:snapToGrid w:val="0"/>
          <w:kern w:val="18"/>
          <w:szCs w:val="18"/>
          <w:lang w:val="en-US"/>
        </w:rPr>
        <w:t>The United States, in 2015, more than doubled its biodiversity-related aid marked principal and almost doubled its biodiversity-related aid marked significant, against the 2006-2010 average.</w:t>
      </w:r>
    </w:p>
  </w:footnote>
  <w:footnote w:id="10">
    <w:p w14:paraId="7C2FE01F" w14:textId="43E606A1"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Denmark revised its methodology in the updated report and moved from 100 </w:t>
      </w:r>
      <w:r>
        <w:rPr>
          <w:snapToGrid w:val="0"/>
          <w:kern w:val="18"/>
          <w:szCs w:val="18"/>
        </w:rPr>
        <w:t>per cent</w:t>
      </w:r>
      <w:r w:rsidRPr="00490BF5">
        <w:rPr>
          <w:snapToGrid w:val="0"/>
          <w:kern w:val="18"/>
          <w:szCs w:val="18"/>
        </w:rPr>
        <w:t xml:space="preserve"> to 50 </w:t>
      </w:r>
      <w:r>
        <w:rPr>
          <w:snapToGrid w:val="0"/>
          <w:kern w:val="18"/>
          <w:szCs w:val="18"/>
        </w:rPr>
        <w:t>per cent</w:t>
      </w:r>
      <w:r w:rsidRPr="00490BF5">
        <w:rPr>
          <w:snapToGrid w:val="0"/>
          <w:kern w:val="18"/>
          <w:szCs w:val="18"/>
        </w:rPr>
        <w:t xml:space="preserve"> for significant.</w:t>
      </w:r>
    </w:p>
  </w:footnote>
  <w:footnote w:id="11">
    <w:p w14:paraId="53B5FC66" w14:textId="6A99184B"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See CBD/SBI/2/2/Add.1 and examples contained therein.</w:t>
      </w:r>
    </w:p>
  </w:footnote>
  <w:footnote w:id="12">
    <w:p w14:paraId="07A0A7B4" w14:textId="45282C8F"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w:t>
      </w:r>
      <w:proofErr w:type="gramStart"/>
      <w:r w:rsidRPr="00490BF5">
        <w:rPr>
          <w:snapToGrid w:val="0"/>
          <w:kern w:val="18"/>
          <w:szCs w:val="18"/>
        </w:rPr>
        <w:t>Ibid.</w:t>
      </w:r>
      <w:proofErr w:type="gramEnd"/>
      <w:r w:rsidRPr="00490BF5">
        <w:rPr>
          <w:snapToGrid w:val="0"/>
          <w:kern w:val="18"/>
          <w:szCs w:val="18"/>
        </w:rPr>
        <w:t xml:space="preserve"> See also </w:t>
      </w:r>
      <w:hyperlink r:id="rId5" w:history="1">
        <w:r w:rsidRPr="00490BF5">
          <w:rPr>
            <w:rStyle w:val="Hyperlink"/>
            <w:snapToGrid w:val="0"/>
            <w:kern w:val="18"/>
            <w:szCs w:val="18"/>
          </w:rPr>
          <w:t>www.biodiversityfinance.net/finance-solutions</w:t>
        </w:r>
      </w:hyperlink>
    </w:p>
  </w:footnote>
  <w:footnote w:id="13">
    <w:p w14:paraId="394E6547" w14:textId="5879D3AC"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w:t>
      </w:r>
      <w:hyperlink r:id="rId6" w:history="1">
        <w:r w:rsidRPr="00490BF5">
          <w:rPr>
            <w:rStyle w:val="Hyperlink"/>
            <w:snapToGrid w:val="0"/>
            <w:kern w:val="18"/>
            <w:szCs w:val="18"/>
          </w:rPr>
          <w:t>http://www.biodiversityfinance.net/finance-nature-global-conference</w:t>
        </w:r>
      </w:hyperlink>
    </w:p>
  </w:footnote>
  <w:footnote w:id="14">
    <w:p w14:paraId="0F903A2D" w14:textId="09BC47EA" w:rsidR="00D549C6" w:rsidRPr="00490BF5" w:rsidRDefault="00D549C6" w:rsidP="00490BF5">
      <w:pPr>
        <w:pStyle w:val="FootnoteText"/>
        <w:kinsoku w:val="0"/>
        <w:overflowPunct w:val="0"/>
        <w:autoSpaceDE w:val="0"/>
        <w:autoSpaceDN w:val="0"/>
        <w:adjustRightInd w:val="0"/>
        <w:snapToGrid w:val="0"/>
        <w:ind w:firstLine="0"/>
        <w:jc w:val="left"/>
        <w:rPr>
          <w:snapToGrid w:val="0"/>
          <w:kern w:val="18"/>
          <w:szCs w:val="18"/>
          <w:lang w:val="en-US"/>
        </w:rPr>
      </w:pPr>
      <w:r w:rsidRPr="00490BF5">
        <w:rPr>
          <w:rStyle w:val="FootnoteReference"/>
          <w:snapToGrid w:val="0"/>
          <w:kern w:val="18"/>
          <w:sz w:val="18"/>
          <w:szCs w:val="18"/>
        </w:rPr>
        <w:footnoteRef/>
      </w:r>
      <w:r w:rsidRPr="00490BF5">
        <w:rPr>
          <w:snapToGrid w:val="0"/>
          <w:kern w:val="18"/>
          <w:szCs w:val="18"/>
        </w:rPr>
        <w:t xml:space="preserve"> UNEP/CBD/COP/13/11/Rev.1</w:t>
      </w:r>
      <w:r w:rsidRPr="00490BF5">
        <w:rPr>
          <w:snapToGrid w:val="0"/>
          <w:kern w:val="18"/>
          <w:szCs w:val="18"/>
          <w:lang w:val="en-US"/>
        </w:rPr>
        <w:t>.</w:t>
      </w:r>
    </w:p>
  </w:footnote>
  <w:footnote w:id="15">
    <w:p w14:paraId="2B147A9C" w14:textId="171F8BE4" w:rsidR="00D549C6" w:rsidRPr="00490BF5" w:rsidRDefault="00D549C6" w:rsidP="00490BF5">
      <w:pPr>
        <w:keepLines/>
        <w:kinsoku w:val="0"/>
        <w:overflowPunct w:val="0"/>
        <w:autoSpaceDE w:val="0"/>
        <w:autoSpaceDN w:val="0"/>
        <w:adjustRightInd w:val="0"/>
        <w:snapToGrid w:val="0"/>
        <w:spacing w:after="60"/>
        <w:jc w:val="left"/>
        <w:rPr>
          <w:snapToGrid w:val="0"/>
          <w:kern w:val="18"/>
          <w:sz w:val="18"/>
          <w:szCs w:val="18"/>
          <w:lang w:val="en-CA"/>
        </w:rPr>
      </w:pPr>
      <w:r w:rsidRPr="00490BF5">
        <w:rPr>
          <w:rStyle w:val="FootnoteReference"/>
          <w:snapToGrid w:val="0"/>
          <w:kern w:val="18"/>
          <w:sz w:val="18"/>
          <w:szCs w:val="18"/>
        </w:rPr>
        <w:footnoteRef/>
      </w:r>
      <w:r w:rsidRPr="00490BF5">
        <w:rPr>
          <w:snapToGrid w:val="0"/>
          <w:kern w:val="18"/>
          <w:sz w:val="18"/>
          <w:szCs w:val="18"/>
        </w:rPr>
        <w:t xml:space="preserve"> </w:t>
      </w:r>
      <w:r w:rsidRPr="00490BF5">
        <w:rPr>
          <w:snapToGrid w:val="0"/>
          <w:color w:val="000000"/>
          <w:kern w:val="18"/>
          <w:sz w:val="18"/>
          <w:szCs w:val="18"/>
          <w:lang w:val="en-CA"/>
        </w:rPr>
        <w:t>See CBD/SBI/2/2/Add.1. The Parties are:</w:t>
      </w:r>
      <w:r w:rsidRPr="00490BF5">
        <w:rPr>
          <w:snapToGrid w:val="0"/>
          <w:kern w:val="18"/>
          <w:sz w:val="18"/>
          <w:szCs w:val="18"/>
        </w:rPr>
        <w:t xml:space="preserve"> </w:t>
      </w:r>
      <w:r w:rsidRPr="00490BF5">
        <w:rPr>
          <w:snapToGrid w:val="0"/>
          <w:color w:val="000000"/>
          <w:kern w:val="18"/>
          <w:sz w:val="18"/>
          <w:szCs w:val="18"/>
          <w:lang w:val="en-CA"/>
        </w:rPr>
        <w:t>Albania, Algeria, Bahrain, Bangladesh, Benin, Bhutan, Botswana, Brunei Darussalam, Burkina Faso, Burundi, Chad, Costa Rica, Dominica, Egypt, Eritrea, Estonia, Finland, Ghana, Guatemala, Guinea-Bissau, Guinea, India, Jamaica, Kiribati, Kyrgyzstan, Lebanon, Liberia, Luxembourg, Madagascar, Malawi, Maldives, Mali, Mauritania, Mauritius, Mozambique, Namibia, Nepal, Nicaragua, Niger, Paraguay, Republic of Moldova, Romania, Rwanda (parts of), Philippines, Saint Kitts and Nevis, Senegal, Sao Tome and Principe, Sierra Leone, Somalia, Sri Lanka, Sudan, Suriname, Spain, Swaziland, Togo, Tunisia, Uganda, Yemen and Zimbabwe.</w:t>
      </w:r>
    </w:p>
  </w:footnote>
  <w:footnote w:id="16">
    <w:p w14:paraId="4BB0773B" w14:textId="432AF538" w:rsidR="00D549C6" w:rsidRPr="00490BF5" w:rsidRDefault="00D549C6" w:rsidP="00490BF5">
      <w:pPr>
        <w:keepLines/>
        <w:kinsoku w:val="0"/>
        <w:overflowPunct w:val="0"/>
        <w:autoSpaceDE w:val="0"/>
        <w:autoSpaceDN w:val="0"/>
        <w:adjustRightInd w:val="0"/>
        <w:snapToGrid w:val="0"/>
        <w:spacing w:after="60"/>
        <w:jc w:val="left"/>
        <w:rPr>
          <w:snapToGrid w:val="0"/>
          <w:kern w:val="18"/>
          <w:sz w:val="18"/>
          <w:szCs w:val="18"/>
          <w:lang w:val="en-CA"/>
        </w:rPr>
      </w:pPr>
      <w:r w:rsidRPr="00490BF5">
        <w:rPr>
          <w:rStyle w:val="FootnoteReference"/>
          <w:snapToGrid w:val="0"/>
          <w:kern w:val="18"/>
          <w:sz w:val="18"/>
          <w:szCs w:val="18"/>
        </w:rPr>
        <w:footnoteRef/>
      </w:r>
      <w:r w:rsidRPr="00490BF5">
        <w:rPr>
          <w:snapToGrid w:val="0"/>
          <w:kern w:val="18"/>
          <w:sz w:val="18"/>
          <w:szCs w:val="18"/>
        </w:rPr>
        <w:t xml:space="preserve"> </w:t>
      </w:r>
      <w:r w:rsidRPr="00490BF5">
        <w:rPr>
          <w:snapToGrid w:val="0"/>
          <w:color w:val="000000"/>
          <w:kern w:val="18"/>
          <w:sz w:val="18"/>
          <w:szCs w:val="18"/>
          <w:lang w:val="en-CA"/>
        </w:rPr>
        <w:t xml:space="preserve">Belgium, Benin, Bosnia and Herzegovina, Botswana, Burundi, Comoros, Costa Rica, Côte d’Ivoire, Democratic Republic of </w:t>
      </w:r>
      <w:r>
        <w:rPr>
          <w:snapToGrid w:val="0"/>
          <w:color w:val="000000"/>
          <w:kern w:val="18"/>
          <w:sz w:val="18"/>
          <w:szCs w:val="18"/>
          <w:lang w:val="en-CA"/>
        </w:rPr>
        <w:t xml:space="preserve">the </w:t>
      </w:r>
      <w:r w:rsidRPr="00490BF5">
        <w:rPr>
          <w:snapToGrid w:val="0"/>
          <w:color w:val="000000"/>
          <w:kern w:val="18"/>
          <w:sz w:val="18"/>
          <w:szCs w:val="18"/>
          <w:lang w:val="en-CA"/>
        </w:rPr>
        <w:t xml:space="preserve">Congo, Guinea, Guyana, Liberia, Malawi, Maldives, Mali, Mauritania, Morocco, Niger, Nigeria, Niue, Rwanda, Timor-Leste and Yemen. </w:t>
      </w:r>
      <w:r>
        <w:rPr>
          <w:snapToGrid w:val="0"/>
          <w:color w:val="000000"/>
          <w:kern w:val="18"/>
          <w:sz w:val="18"/>
          <w:szCs w:val="18"/>
          <w:lang w:val="en-CA"/>
        </w:rPr>
        <w:t>Of</w:t>
      </w:r>
      <w:r w:rsidRPr="00490BF5">
        <w:rPr>
          <w:snapToGrid w:val="0"/>
          <w:color w:val="000000"/>
          <w:kern w:val="18"/>
          <w:sz w:val="18"/>
          <w:szCs w:val="18"/>
          <w:lang w:val="en-CA"/>
        </w:rPr>
        <w:t xml:space="preserve"> those </w:t>
      </w:r>
      <w:r w:rsidRPr="0063592E">
        <w:rPr>
          <w:snapToGrid w:val="0"/>
          <w:kern w:val="18"/>
          <w:sz w:val="18"/>
          <w:szCs w:val="18"/>
        </w:rPr>
        <w:t>Parties</w:t>
      </w:r>
      <w:r>
        <w:rPr>
          <w:snapToGrid w:val="0"/>
          <w:kern w:val="18"/>
          <w:sz w:val="18"/>
          <w:szCs w:val="18"/>
        </w:rPr>
        <w:t>, 13</w:t>
      </w:r>
      <w:r w:rsidRPr="0063592E">
        <w:rPr>
          <w:snapToGrid w:val="0"/>
          <w:kern w:val="18"/>
          <w:sz w:val="18"/>
          <w:szCs w:val="18"/>
        </w:rPr>
        <w:t xml:space="preserve"> included a costing of their action plan.</w:t>
      </w:r>
      <w:r>
        <w:rPr>
          <w:snapToGrid w:val="0"/>
          <w:kern w:val="18"/>
          <w:sz w:val="18"/>
          <w:szCs w:val="18"/>
        </w:rPr>
        <w:t xml:space="preserve"> (</w:t>
      </w:r>
      <w:r w:rsidRPr="00CB4C21">
        <w:rPr>
          <w:snapToGrid w:val="0"/>
          <w:color w:val="000000"/>
          <w:kern w:val="18"/>
          <w:sz w:val="18"/>
          <w:szCs w:val="18"/>
          <w:lang w:val="en-CA"/>
        </w:rPr>
        <w:t>See CBD/SBI/2/2/Add.1.</w:t>
      </w:r>
      <w:r>
        <w:rPr>
          <w:snapToGrid w:val="0"/>
          <w:kern w:val="18"/>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4025" w14:textId="77777777" w:rsidR="00D549C6" w:rsidRDefault="00D549C6" w:rsidP="00227B47">
    <w:pPr>
      <w:suppressLineNumbers/>
      <w:suppressAutoHyphens/>
      <w:kinsoku w:val="0"/>
      <w:overflowPunct w:val="0"/>
      <w:autoSpaceDE w:val="0"/>
      <w:autoSpaceDN w:val="0"/>
      <w:adjustRightInd w:val="0"/>
      <w:snapToGrid w:val="0"/>
      <w:jc w:val="lef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w:t>
    </w:r>
    <w:r w:rsidRPr="00205909">
      <w:rPr>
        <w:noProof/>
        <w:snapToGrid w:val="0"/>
        <w:kern w:val="22"/>
        <w:szCs w:val="22"/>
      </w:rPr>
      <w:t>/</w:t>
    </w:r>
    <w:r>
      <w:rPr>
        <w:noProof/>
        <w:snapToGrid w:val="0"/>
        <w:kern w:val="22"/>
        <w:szCs w:val="22"/>
      </w:rPr>
      <w:t>7/Add.1</w:t>
    </w:r>
  </w:p>
  <w:p w14:paraId="4F1CA907" w14:textId="128AE38A" w:rsidR="00D549C6" w:rsidRDefault="00D549C6"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r w:rsidRPr="001121F1">
      <w:rPr>
        <w:noProof/>
        <w:snapToGrid w:val="0"/>
        <w:kern w:val="22"/>
      </w:rPr>
      <w:t xml:space="preserve">Page </w:t>
    </w:r>
    <w:r w:rsidRPr="001121F1">
      <w:rPr>
        <w:noProof/>
        <w:snapToGrid w:val="0"/>
        <w:kern w:val="22"/>
      </w:rPr>
      <w:fldChar w:fldCharType="begin"/>
    </w:r>
    <w:r w:rsidRPr="001121F1">
      <w:rPr>
        <w:noProof/>
        <w:snapToGrid w:val="0"/>
        <w:kern w:val="22"/>
      </w:rPr>
      <w:instrText xml:space="preserve"> PAGE   \* MERGEFORMAT </w:instrText>
    </w:r>
    <w:r w:rsidRPr="001121F1">
      <w:rPr>
        <w:noProof/>
        <w:snapToGrid w:val="0"/>
        <w:kern w:val="22"/>
      </w:rPr>
      <w:fldChar w:fldCharType="separate"/>
    </w:r>
    <w:r w:rsidR="00475CF8">
      <w:rPr>
        <w:noProof/>
        <w:snapToGrid w:val="0"/>
        <w:kern w:val="22"/>
      </w:rPr>
      <w:t>12</w:t>
    </w:r>
    <w:r w:rsidRPr="001121F1">
      <w:rPr>
        <w:noProof/>
        <w:snapToGrid w:val="0"/>
        <w:kern w:val="22"/>
      </w:rPr>
      <w:fldChar w:fldCharType="end"/>
    </w:r>
  </w:p>
  <w:p w14:paraId="4B0DAB41" w14:textId="77777777" w:rsidR="00D549C6" w:rsidRPr="001121F1" w:rsidRDefault="00D549C6"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28F0" w14:textId="77777777" w:rsidR="00D549C6" w:rsidRPr="00205909" w:rsidRDefault="00D549C6" w:rsidP="00227B47">
    <w:pPr>
      <w:suppressLineNumbers/>
      <w:suppressAutoHyphens/>
      <w:kinsoku w:val="0"/>
      <w:overflowPunct w:val="0"/>
      <w:autoSpaceDE w:val="0"/>
      <w:autoSpaceDN w:val="0"/>
      <w:adjustRightInd w:val="0"/>
      <w:snapToGrid w:val="0"/>
      <w:jc w:val="righ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2/7/Add.1</w:t>
    </w:r>
  </w:p>
  <w:p w14:paraId="021C6026" w14:textId="56A6CAEC" w:rsidR="00D549C6" w:rsidRPr="00EC739E" w:rsidRDefault="00D549C6" w:rsidP="00227B47">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rPr>
    </w:pPr>
    <w:r w:rsidRPr="00EC739E">
      <w:rPr>
        <w:noProof/>
        <w:snapToGrid w:val="0"/>
        <w:kern w:val="22"/>
      </w:rPr>
      <w:t xml:space="preserve">Page </w:t>
    </w:r>
    <w:r w:rsidRPr="00EC739E">
      <w:rPr>
        <w:noProof/>
        <w:snapToGrid w:val="0"/>
        <w:kern w:val="22"/>
      </w:rPr>
      <w:fldChar w:fldCharType="begin"/>
    </w:r>
    <w:r w:rsidRPr="00EC739E">
      <w:rPr>
        <w:noProof/>
        <w:snapToGrid w:val="0"/>
        <w:kern w:val="22"/>
      </w:rPr>
      <w:instrText xml:space="preserve"> PAGE   \* MERGEFORMAT </w:instrText>
    </w:r>
    <w:r w:rsidRPr="00EC739E">
      <w:rPr>
        <w:noProof/>
        <w:snapToGrid w:val="0"/>
        <w:kern w:val="22"/>
      </w:rPr>
      <w:fldChar w:fldCharType="separate"/>
    </w:r>
    <w:r w:rsidR="00475CF8">
      <w:rPr>
        <w:noProof/>
        <w:snapToGrid w:val="0"/>
        <w:kern w:val="22"/>
      </w:rPr>
      <w:t>13</w:t>
    </w:r>
    <w:r w:rsidRPr="00EC739E">
      <w:rPr>
        <w:noProof/>
        <w:snapToGrid w:val="0"/>
        <w:kern w:val="22"/>
      </w:rPr>
      <w:fldChar w:fldCharType="end"/>
    </w:r>
  </w:p>
  <w:p w14:paraId="15A146EF" w14:textId="77777777" w:rsidR="00D549C6" w:rsidRPr="0097545A" w:rsidRDefault="00D549C6" w:rsidP="00227B47">
    <w:pPr>
      <w:pStyle w:val="Header"/>
      <w:suppressLineNumbers/>
      <w:tabs>
        <w:tab w:val="clear" w:pos="4320"/>
        <w:tab w:val="clear" w:pos="8640"/>
      </w:tabs>
      <w:suppressAutoHyphens/>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255138167"/>
      <w:placeholder>
        <w:docPart w:val="B3D8104214564783AE3253AD62ABBD48"/>
      </w:placeholder>
      <w:dataBinding w:prefixMappings="xmlns:ns0='http://purl.org/dc/elements/1.1/' xmlns:ns1='http://schemas.openxmlformats.org/package/2006/metadata/core-properties' " w:xpath="/ns1:coreProperties[1]/ns0:subject[1]" w:storeItemID="{6C3C8BC8-F283-45AE-878A-BAB7291924A1}"/>
      <w:text/>
    </w:sdtPr>
    <w:sdtEndPr/>
    <w:sdtContent>
      <w:p w14:paraId="40A8BB66" w14:textId="77777777" w:rsidR="00C420BD" w:rsidRDefault="00C420BD" w:rsidP="00534681">
        <w:pPr>
          <w:pStyle w:val="Header"/>
        </w:pPr>
        <w:r>
          <w:t>CBD/SBI/7/Add.1</w:t>
        </w:r>
      </w:p>
    </w:sdtContent>
  </w:sdt>
  <w:p w14:paraId="7C878C2A" w14:textId="532F07B2" w:rsidR="00C420BD" w:rsidRDefault="00C420BD" w:rsidP="00490BF5">
    <w:pPr>
      <w:pStyle w:val="Header"/>
      <w:spacing w:after="120"/>
    </w:pPr>
    <w:r>
      <w:t xml:space="preserve">Page </w:t>
    </w:r>
    <w:r>
      <w:fldChar w:fldCharType="begin"/>
    </w:r>
    <w:r>
      <w:instrText xml:space="preserve"> PAGE   \* MERGEFORMAT </w:instrText>
    </w:r>
    <w:r>
      <w:fldChar w:fldCharType="separate"/>
    </w:r>
    <w:r w:rsidR="00E22473">
      <w:rPr>
        <w:noProof/>
      </w:rPr>
      <w:t>14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8AE3" w14:textId="77777777" w:rsidR="00C420BD" w:rsidRPr="0097545A" w:rsidRDefault="00C420BD" w:rsidP="000B2C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1A2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4D2D"/>
    <w:multiLevelType w:val="hybridMultilevel"/>
    <w:tmpl w:val="242618B2"/>
    <w:lvl w:ilvl="0" w:tplc="42E24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BA0D40"/>
    <w:multiLevelType w:val="hybridMultilevel"/>
    <w:tmpl w:val="DF58ADB0"/>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06FB8"/>
    <w:multiLevelType w:val="hybridMultilevel"/>
    <w:tmpl w:val="7E4A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802F3E"/>
    <w:multiLevelType w:val="hybridMultilevel"/>
    <w:tmpl w:val="31F27B6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0D3134EC"/>
    <w:multiLevelType w:val="hybridMultilevel"/>
    <w:tmpl w:val="21AC0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C053DC"/>
    <w:multiLevelType w:val="hybridMultilevel"/>
    <w:tmpl w:val="DC7CF964"/>
    <w:lvl w:ilvl="0" w:tplc="4BFC5A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E27066"/>
    <w:multiLevelType w:val="hybridMultilevel"/>
    <w:tmpl w:val="1D12A2C4"/>
    <w:lvl w:ilvl="0" w:tplc="F51A669E">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05D9C"/>
    <w:multiLevelType w:val="hybridMultilevel"/>
    <w:tmpl w:val="C402F2F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D4882"/>
    <w:multiLevelType w:val="hybridMultilevel"/>
    <w:tmpl w:val="F2E6E6D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5E503D2"/>
    <w:multiLevelType w:val="hybridMultilevel"/>
    <w:tmpl w:val="92D22E2A"/>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D964A0"/>
    <w:multiLevelType w:val="hybridMultilevel"/>
    <w:tmpl w:val="101C7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45020C"/>
    <w:multiLevelType w:val="hybridMultilevel"/>
    <w:tmpl w:val="5A7A6DFC"/>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8BF3B90"/>
    <w:multiLevelType w:val="hybridMultilevel"/>
    <w:tmpl w:val="88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B0A303F"/>
    <w:multiLevelType w:val="hybridMultilevel"/>
    <w:tmpl w:val="1C80AE6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4">
    <w:nsid w:val="3EF63425"/>
    <w:multiLevelType w:val="hybridMultilevel"/>
    <w:tmpl w:val="399ECE22"/>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D5371F"/>
    <w:multiLevelType w:val="hybridMultilevel"/>
    <w:tmpl w:val="AF968C62"/>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4BB4010F"/>
    <w:multiLevelType w:val="hybridMultilevel"/>
    <w:tmpl w:val="0D2491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C7F589D"/>
    <w:multiLevelType w:val="hybridMultilevel"/>
    <w:tmpl w:val="AE8245DC"/>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1D479BA"/>
    <w:multiLevelType w:val="hybridMultilevel"/>
    <w:tmpl w:val="5922C55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95096"/>
    <w:multiLevelType w:val="hybridMultilevel"/>
    <w:tmpl w:val="B55C20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0A4687"/>
    <w:multiLevelType w:val="hybridMultilevel"/>
    <w:tmpl w:val="EB5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66623"/>
    <w:multiLevelType w:val="hybridMultilevel"/>
    <w:tmpl w:val="58A07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654F5AA8"/>
    <w:multiLevelType w:val="hybridMultilevel"/>
    <w:tmpl w:val="5CC68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74A512F"/>
    <w:multiLevelType w:val="hybridMultilevel"/>
    <w:tmpl w:val="74C2DA8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32E99"/>
    <w:multiLevelType w:val="hybridMultilevel"/>
    <w:tmpl w:val="E4EA98C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1D5CC8"/>
    <w:multiLevelType w:val="hybridMultilevel"/>
    <w:tmpl w:val="7DE6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E7F5907"/>
    <w:multiLevelType w:val="hybridMultilevel"/>
    <w:tmpl w:val="56CADB4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03D20EE"/>
    <w:multiLevelType w:val="hybridMultilevel"/>
    <w:tmpl w:val="F7AAF246"/>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0860CE6"/>
    <w:multiLevelType w:val="hybridMultilevel"/>
    <w:tmpl w:val="141CE188"/>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8E42F6"/>
    <w:multiLevelType w:val="hybridMultilevel"/>
    <w:tmpl w:val="7012F9C4"/>
    <w:lvl w:ilvl="0" w:tplc="27D45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240CE"/>
    <w:multiLevelType w:val="multilevel"/>
    <w:tmpl w:val="5F0A65BC"/>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5"/>
  </w:num>
  <w:num w:numId="4">
    <w:abstractNumId w:val="31"/>
  </w:num>
  <w:num w:numId="5">
    <w:abstractNumId w:val="26"/>
  </w:num>
  <w:num w:numId="6">
    <w:abstractNumId w:val="5"/>
  </w:num>
  <w:num w:numId="7">
    <w:abstractNumId w:val="10"/>
  </w:num>
  <w:num w:numId="8">
    <w:abstractNumId w:val="25"/>
    <w:lvlOverride w:ilvl="0">
      <w:startOverride w:val="1"/>
    </w:lvlOverride>
  </w:num>
  <w:num w:numId="9">
    <w:abstractNumId w:val="47"/>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6"/>
  </w:num>
  <w:num w:numId="17">
    <w:abstractNumId w:val="51"/>
  </w:num>
  <w:num w:numId="18">
    <w:abstractNumId w:val="53"/>
  </w:num>
  <w:num w:numId="19">
    <w:abstractNumId w:val="18"/>
  </w:num>
  <w:num w:numId="20">
    <w:abstractNumId w:val="28"/>
  </w:num>
  <w:num w:numId="21">
    <w:abstractNumId w:val="7"/>
  </w:num>
  <w:num w:numId="22">
    <w:abstractNumId w:val="41"/>
  </w:num>
  <w:num w:numId="23">
    <w:abstractNumId w:val="33"/>
  </w:num>
  <w:num w:numId="24">
    <w:abstractNumId w:val="21"/>
  </w:num>
  <w:num w:numId="25">
    <w:abstractNumId w:val="23"/>
  </w:num>
  <w:num w:numId="26">
    <w:abstractNumId w:val="37"/>
  </w:num>
  <w:num w:numId="27">
    <w:abstractNumId w:val="15"/>
  </w:num>
  <w:num w:numId="28">
    <w:abstractNumId w:val="11"/>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16"/>
  </w:num>
  <w:num w:numId="34">
    <w:abstractNumId w:val="8"/>
  </w:num>
  <w:num w:numId="35">
    <w:abstractNumId w:val="45"/>
  </w:num>
  <w:num w:numId="36">
    <w:abstractNumId w:val="29"/>
  </w:num>
  <w:num w:numId="37">
    <w:abstractNumId w:val="36"/>
  </w:num>
  <w:num w:numId="38">
    <w:abstractNumId w:val="40"/>
  </w:num>
  <w:num w:numId="39">
    <w:abstractNumId w:val="3"/>
  </w:num>
  <w:num w:numId="40">
    <w:abstractNumId w:val="38"/>
  </w:num>
  <w:num w:numId="41">
    <w:abstractNumId w:val="20"/>
  </w:num>
  <w:num w:numId="42">
    <w:abstractNumId w:val="52"/>
  </w:num>
  <w:num w:numId="43">
    <w:abstractNumId w:val="50"/>
  </w:num>
  <w:num w:numId="44">
    <w:abstractNumId w:val="30"/>
  </w:num>
  <w:num w:numId="45">
    <w:abstractNumId w:val="44"/>
  </w:num>
  <w:num w:numId="46">
    <w:abstractNumId w:val="46"/>
  </w:num>
  <w:num w:numId="47">
    <w:abstractNumId w:val="43"/>
  </w:num>
  <w:num w:numId="48">
    <w:abstractNumId w:val="22"/>
  </w:num>
  <w:num w:numId="49">
    <w:abstractNumId w:val="12"/>
  </w:num>
  <w:num w:numId="50">
    <w:abstractNumId w:val="32"/>
  </w:num>
  <w:num w:numId="51">
    <w:abstractNumId w:val="4"/>
  </w:num>
  <w:num w:numId="52">
    <w:abstractNumId w:val="34"/>
  </w:num>
  <w:num w:numId="53">
    <w:abstractNumId w:val="1"/>
  </w:num>
  <w:num w:numId="54">
    <w:abstractNumId w:val="24"/>
  </w:num>
  <w:num w:numId="55">
    <w:abstractNumId w:val="14"/>
  </w:num>
  <w:num w:numId="56">
    <w:abstractNumId w:val="17"/>
  </w:num>
  <w:num w:numId="57">
    <w:abstractNumId w:val="49"/>
  </w:num>
  <w:num w:numId="58">
    <w:abstractNumId w:val="48"/>
  </w:num>
  <w:num w:numId="59">
    <w:abstractNumId w:val="9"/>
  </w:num>
  <w:num w:numId="60">
    <w:abstractNumId w:val="2"/>
  </w:num>
  <w:num w:numId="61">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inkAnnotations="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585"/>
    <w:rsid w:val="00004713"/>
    <w:rsid w:val="00004A25"/>
    <w:rsid w:val="00006F45"/>
    <w:rsid w:val="000123F0"/>
    <w:rsid w:val="0002456B"/>
    <w:rsid w:val="00025E31"/>
    <w:rsid w:val="0002739A"/>
    <w:rsid w:val="00066A54"/>
    <w:rsid w:val="00073086"/>
    <w:rsid w:val="00090901"/>
    <w:rsid w:val="000A3426"/>
    <w:rsid w:val="000B19B8"/>
    <w:rsid w:val="000B2CC8"/>
    <w:rsid w:val="000D2895"/>
    <w:rsid w:val="000E673A"/>
    <w:rsid w:val="000E6C2F"/>
    <w:rsid w:val="000F74F5"/>
    <w:rsid w:val="00101AA6"/>
    <w:rsid w:val="00105372"/>
    <w:rsid w:val="001075F8"/>
    <w:rsid w:val="00116477"/>
    <w:rsid w:val="00131E7A"/>
    <w:rsid w:val="001338AF"/>
    <w:rsid w:val="00137EBE"/>
    <w:rsid w:val="00141390"/>
    <w:rsid w:val="0014384C"/>
    <w:rsid w:val="0014446D"/>
    <w:rsid w:val="00152D00"/>
    <w:rsid w:val="0015355E"/>
    <w:rsid w:val="0015592C"/>
    <w:rsid w:val="001662BD"/>
    <w:rsid w:val="00172AF6"/>
    <w:rsid w:val="00176CEE"/>
    <w:rsid w:val="001823FA"/>
    <w:rsid w:val="00183204"/>
    <w:rsid w:val="00186DD8"/>
    <w:rsid w:val="00187C8C"/>
    <w:rsid w:val="001A0B39"/>
    <w:rsid w:val="001A256D"/>
    <w:rsid w:val="001A3C49"/>
    <w:rsid w:val="001B4025"/>
    <w:rsid w:val="001B4915"/>
    <w:rsid w:val="001C2F9C"/>
    <w:rsid w:val="001C3702"/>
    <w:rsid w:val="001C5053"/>
    <w:rsid w:val="001D471C"/>
    <w:rsid w:val="001E44D7"/>
    <w:rsid w:val="00202616"/>
    <w:rsid w:val="00203E63"/>
    <w:rsid w:val="00204AC6"/>
    <w:rsid w:val="002108AE"/>
    <w:rsid w:val="00211BCD"/>
    <w:rsid w:val="00212214"/>
    <w:rsid w:val="002254D0"/>
    <w:rsid w:val="00227B47"/>
    <w:rsid w:val="00250BA1"/>
    <w:rsid w:val="00252908"/>
    <w:rsid w:val="00256AF4"/>
    <w:rsid w:val="002604ED"/>
    <w:rsid w:val="00267803"/>
    <w:rsid w:val="00273163"/>
    <w:rsid w:val="00277A1F"/>
    <w:rsid w:val="00283324"/>
    <w:rsid w:val="00293506"/>
    <w:rsid w:val="00295986"/>
    <w:rsid w:val="00297D50"/>
    <w:rsid w:val="002B4235"/>
    <w:rsid w:val="002B438B"/>
    <w:rsid w:val="002E2B34"/>
    <w:rsid w:val="002F759E"/>
    <w:rsid w:val="00307782"/>
    <w:rsid w:val="00311861"/>
    <w:rsid w:val="00311C50"/>
    <w:rsid w:val="003126EF"/>
    <w:rsid w:val="003221AC"/>
    <w:rsid w:val="00322C3E"/>
    <w:rsid w:val="003424C1"/>
    <w:rsid w:val="00342911"/>
    <w:rsid w:val="00364731"/>
    <w:rsid w:val="00372F74"/>
    <w:rsid w:val="0037498D"/>
    <w:rsid w:val="00380B58"/>
    <w:rsid w:val="00381C91"/>
    <w:rsid w:val="00384F6F"/>
    <w:rsid w:val="0038666F"/>
    <w:rsid w:val="00386C03"/>
    <w:rsid w:val="00386EB6"/>
    <w:rsid w:val="00394BF3"/>
    <w:rsid w:val="003A3814"/>
    <w:rsid w:val="003A75F7"/>
    <w:rsid w:val="003B4ECE"/>
    <w:rsid w:val="003B50B8"/>
    <w:rsid w:val="003C092C"/>
    <w:rsid w:val="003C45FC"/>
    <w:rsid w:val="003C69DB"/>
    <w:rsid w:val="003F1317"/>
    <w:rsid w:val="003F5E49"/>
    <w:rsid w:val="003F7224"/>
    <w:rsid w:val="0040452E"/>
    <w:rsid w:val="00411CED"/>
    <w:rsid w:val="00413650"/>
    <w:rsid w:val="00413A3A"/>
    <w:rsid w:val="00421394"/>
    <w:rsid w:val="00422E82"/>
    <w:rsid w:val="00425C34"/>
    <w:rsid w:val="00427D21"/>
    <w:rsid w:val="00434BFA"/>
    <w:rsid w:val="004366D9"/>
    <w:rsid w:val="00445B1B"/>
    <w:rsid w:val="00446EE2"/>
    <w:rsid w:val="00451DA9"/>
    <w:rsid w:val="0045382F"/>
    <w:rsid w:val="00453B41"/>
    <w:rsid w:val="004644C2"/>
    <w:rsid w:val="00467F9C"/>
    <w:rsid w:val="00471C1C"/>
    <w:rsid w:val="00475CF8"/>
    <w:rsid w:val="00477A49"/>
    <w:rsid w:val="00485C36"/>
    <w:rsid w:val="00490BF5"/>
    <w:rsid w:val="004A1AC3"/>
    <w:rsid w:val="004A2D2F"/>
    <w:rsid w:val="004C5A1E"/>
    <w:rsid w:val="004C63E5"/>
    <w:rsid w:val="004D16B1"/>
    <w:rsid w:val="004D61AB"/>
    <w:rsid w:val="004E6B24"/>
    <w:rsid w:val="004F0161"/>
    <w:rsid w:val="00507B62"/>
    <w:rsid w:val="00513A01"/>
    <w:rsid w:val="00521AEF"/>
    <w:rsid w:val="00531309"/>
    <w:rsid w:val="00531BDC"/>
    <w:rsid w:val="005322FD"/>
    <w:rsid w:val="00534681"/>
    <w:rsid w:val="00545D3C"/>
    <w:rsid w:val="005504DD"/>
    <w:rsid w:val="00551166"/>
    <w:rsid w:val="00555B30"/>
    <w:rsid w:val="00570CEC"/>
    <w:rsid w:val="00580620"/>
    <w:rsid w:val="00581D98"/>
    <w:rsid w:val="00585436"/>
    <w:rsid w:val="005B219B"/>
    <w:rsid w:val="005B5422"/>
    <w:rsid w:val="005C0442"/>
    <w:rsid w:val="005D623C"/>
    <w:rsid w:val="005D777B"/>
    <w:rsid w:val="0060297F"/>
    <w:rsid w:val="00602F63"/>
    <w:rsid w:val="00607AAE"/>
    <w:rsid w:val="006122BA"/>
    <w:rsid w:val="00616006"/>
    <w:rsid w:val="00633939"/>
    <w:rsid w:val="00633E73"/>
    <w:rsid w:val="0063592E"/>
    <w:rsid w:val="00643B72"/>
    <w:rsid w:val="00643B9C"/>
    <w:rsid w:val="00666F07"/>
    <w:rsid w:val="0067018B"/>
    <w:rsid w:val="00672459"/>
    <w:rsid w:val="00685D99"/>
    <w:rsid w:val="00686EA3"/>
    <w:rsid w:val="0069084C"/>
    <w:rsid w:val="00693339"/>
    <w:rsid w:val="00697CFA"/>
    <w:rsid w:val="006A0651"/>
    <w:rsid w:val="006A2E7A"/>
    <w:rsid w:val="006A4DEB"/>
    <w:rsid w:val="006B2290"/>
    <w:rsid w:val="006B4F09"/>
    <w:rsid w:val="006C0504"/>
    <w:rsid w:val="006C526F"/>
    <w:rsid w:val="006C7A96"/>
    <w:rsid w:val="006D2756"/>
    <w:rsid w:val="006D6BB3"/>
    <w:rsid w:val="006E1F37"/>
    <w:rsid w:val="006E604B"/>
    <w:rsid w:val="006F0052"/>
    <w:rsid w:val="006F3E4D"/>
    <w:rsid w:val="006F601C"/>
    <w:rsid w:val="007018DD"/>
    <w:rsid w:val="00701A00"/>
    <w:rsid w:val="00705FC5"/>
    <w:rsid w:val="007070D8"/>
    <w:rsid w:val="007165EF"/>
    <w:rsid w:val="00717D88"/>
    <w:rsid w:val="007220C0"/>
    <w:rsid w:val="00733C17"/>
    <w:rsid w:val="00734B7E"/>
    <w:rsid w:val="00746C06"/>
    <w:rsid w:val="007572D1"/>
    <w:rsid w:val="00764D7A"/>
    <w:rsid w:val="00773AD6"/>
    <w:rsid w:val="00781E8F"/>
    <w:rsid w:val="007942D3"/>
    <w:rsid w:val="00795DD1"/>
    <w:rsid w:val="00796636"/>
    <w:rsid w:val="007B248C"/>
    <w:rsid w:val="007B564E"/>
    <w:rsid w:val="007B6C09"/>
    <w:rsid w:val="007C1AC4"/>
    <w:rsid w:val="007C4C53"/>
    <w:rsid w:val="007C6316"/>
    <w:rsid w:val="007D1E21"/>
    <w:rsid w:val="007D552D"/>
    <w:rsid w:val="007D5F0B"/>
    <w:rsid w:val="007E09DA"/>
    <w:rsid w:val="007F3AB8"/>
    <w:rsid w:val="007F76A5"/>
    <w:rsid w:val="00802D41"/>
    <w:rsid w:val="00804E59"/>
    <w:rsid w:val="0081312F"/>
    <w:rsid w:val="008178B6"/>
    <w:rsid w:val="008256D9"/>
    <w:rsid w:val="00825783"/>
    <w:rsid w:val="00825C28"/>
    <w:rsid w:val="008357F6"/>
    <w:rsid w:val="0084250B"/>
    <w:rsid w:val="00842E81"/>
    <w:rsid w:val="00852052"/>
    <w:rsid w:val="00855A78"/>
    <w:rsid w:val="00865B74"/>
    <w:rsid w:val="00867675"/>
    <w:rsid w:val="00876FB9"/>
    <w:rsid w:val="00884C9A"/>
    <w:rsid w:val="008C10E0"/>
    <w:rsid w:val="008C20AD"/>
    <w:rsid w:val="008C3C9A"/>
    <w:rsid w:val="008C6B01"/>
    <w:rsid w:val="008C753F"/>
    <w:rsid w:val="008C757F"/>
    <w:rsid w:val="008D3231"/>
    <w:rsid w:val="008D520E"/>
    <w:rsid w:val="008E32D2"/>
    <w:rsid w:val="008E3C96"/>
    <w:rsid w:val="008F0DA6"/>
    <w:rsid w:val="008F2D6F"/>
    <w:rsid w:val="00902EEC"/>
    <w:rsid w:val="00905502"/>
    <w:rsid w:val="00906AB6"/>
    <w:rsid w:val="00915F09"/>
    <w:rsid w:val="00921B38"/>
    <w:rsid w:val="00927E4F"/>
    <w:rsid w:val="00930BA1"/>
    <w:rsid w:val="0093169E"/>
    <w:rsid w:val="00931FB4"/>
    <w:rsid w:val="00937F36"/>
    <w:rsid w:val="009400A3"/>
    <w:rsid w:val="0094249D"/>
    <w:rsid w:val="009505C9"/>
    <w:rsid w:val="00953218"/>
    <w:rsid w:val="009569B5"/>
    <w:rsid w:val="00973309"/>
    <w:rsid w:val="00976A79"/>
    <w:rsid w:val="00981E09"/>
    <w:rsid w:val="0098644E"/>
    <w:rsid w:val="0099620B"/>
    <w:rsid w:val="009A040E"/>
    <w:rsid w:val="009A168C"/>
    <w:rsid w:val="009A32E3"/>
    <w:rsid w:val="009A44DE"/>
    <w:rsid w:val="009B504A"/>
    <w:rsid w:val="009C0A8F"/>
    <w:rsid w:val="009E03A9"/>
    <w:rsid w:val="009E0E92"/>
    <w:rsid w:val="009E52FF"/>
    <w:rsid w:val="00A06AB2"/>
    <w:rsid w:val="00A06B26"/>
    <w:rsid w:val="00A249FC"/>
    <w:rsid w:val="00A27AB9"/>
    <w:rsid w:val="00A355DF"/>
    <w:rsid w:val="00A41C31"/>
    <w:rsid w:val="00A4466B"/>
    <w:rsid w:val="00A44BC3"/>
    <w:rsid w:val="00A5733C"/>
    <w:rsid w:val="00A631E2"/>
    <w:rsid w:val="00A671C8"/>
    <w:rsid w:val="00A83BE2"/>
    <w:rsid w:val="00AA6916"/>
    <w:rsid w:val="00AB18CD"/>
    <w:rsid w:val="00AB3696"/>
    <w:rsid w:val="00AB6A44"/>
    <w:rsid w:val="00AD3F09"/>
    <w:rsid w:val="00AE0C7A"/>
    <w:rsid w:val="00AE0E35"/>
    <w:rsid w:val="00AF1737"/>
    <w:rsid w:val="00AF7E4A"/>
    <w:rsid w:val="00B03F19"/>
    <w:rsid w:val="00B04164"/>
    <w:rsid w:val="00B066A8"/>
    <w:rsid w:val="00B21CBD"/>
    <w:rsid w:val="00B32DCD"/>
    <w:rsid w:val="00B3369F"/>
    <w:rsid w:val="00B34BC8"/>
    <w:rsid w:val="00B35D62"/>
    <w:rsid w:val="00B41CCC"/>
    <w:rsid w:val="00B478E6"/>
    <w:rsid w:val="00B54F05"/>
    <w:rsid w:val="00B60D68"/>
    <w:rsid w:val="00B66899"/>
    <w:rsid w:val="00B75451"/>
    <w:rsid w:val="00B924F5"/>
    <w:rsid w:val="00B93B61"/>
    <w:rsid w:val="00BA1282"/>
    <w:rsid w:val="00BA2125"/>
    <w:rsid w:val="00BA69AB"/>
    <w:rsid w:val="00BB1D6F"/>
    <w:rsid w:val="00BB2C85"/>
    <w:rsid w:val="00BC50B6"/>
    <w:rsid w:val="00BE436D"/>
    <w:rsid w:val="00BF4519"/>
    <w:rsid w:val="00BF4795"/>
    <w:rsid w:val="00BF575A"/>
    <w:rsid w:val="00C11B1F"/>
    <w:rsid w:val="00C24472"/>
    <w:rsid w:val="00C32285"/>
    <w:rsid w:val="00C420BD"/>
    <w:rsid w:val="00C435E4"/>
    <w:rsid w:val="00C443BD"/>
    <w:rsid w:val="00C62FDB"/>
    <w:rsid w:val="00C70274"/>
    <w:rsid w:val="00C778C9"/>
    <w:rsid w:val="00C862ED"/>
    <w:rsid w:val="00C87CFB"/>
    <w:rsid w:val="00C9161D"/>
    <w:rsid w:val="00C91A08"/>
    <w:rsid w:val="00C92E48"/>
    <w:rsid w:val="00CA06D1"/>
    <w:rsid w:val="00CB008B"/>
    <w:rsid w:val="00CC693C"/>
    <w:rsid w:val="00CD1B81"/>
    <w:rsid w:val="00CD32DB"/>
    <w:rsid w:val="00CD5C7F"/>
    <w:rsid w:val="00CD6F21"/>
    <w:rsid w:val="00CE1A84"/>
    <w:rsid w:val="00CE3B39"/>
    <w:rsid w:val="00CE4171"/>
    <w:rsid w:val="00CF0EDD"/>
    <w:rsid w:val="00CF1848"/>
    <w:rsid w:val="00CF2212"/>
    <w:rsid w:val="00CF7E85"/>
    <w:rsid w:val="00D11B4F"/>
    <w:rsid w:val="00D11B53"/>
    <w:rsid w:val="00D12044"/>
    <w:rsid w:val="00D2310C"/>
    <w:rsid w:val="00D452A7"/>
    <w:rsid w:val="00D478B8"/>
    <w:rsid w:val="00D50EB4"/>
    <w:rsid w:val="00D51E3B"/>
    <w:rsid w:val="00D549C6"/>
    <w:rsid w:val="00D54A77"/>
    <w:rsid w:val="00D607F9"/>
    <w:rsid w:val="00D63E0E"/>
    <w:rsid w:val="00D70787"/>
    <w:rsid w:val="00D70BE0"/>
    <w:rsid w:val="00D76A18"/>
    <w:rsid w:val="00D85D63"/>
    <w:rsid w:val="00D878C3"/>
    <w:rsid w:val="00D903C0"/>
    <w:rsid w:val="00DB4C97"/>
    <w:rsid w:val="00DB7A50"/>
    <w:rsid w:val="00DC332E"/>
    <w:rsid w:val="00DC5794"/>
    <w:rsid w:val="00DD118C"/>
    <w:rsid w:val="00DD607C"/>
    <w:rsid w:val="00DF113F"/>
    <w:rsid w:val="00E00338"/>
    <w:rsid w:val="00E01BD4"/>
    <w:rsid w:val="00E0326B"/>
    <w:rsid w:val="00E03CAB"/>
    <w:rsid w:val="00E10FC0"/>
    <w:rsid w:val="00E22473"/>
    <w:rsid w:val="00E24278"/>
    <w:rsid w:val="00E24B1F"/>
    <w:rsid w:val="00E2779C"/>
    <w:rsid w:val="00E30C71"/>
    <w:rsid w:val="00E41629"/>
    <w:rsid w:val="00E461D9"/>
    <w:rsid w:val="00E51911"/>
    <w:rsid w:val="00E66235"/>
    <w:rsid w:val="00E66909"/>
    <w:rsid w:val="00E76BE1"/>
    <w:rsid w:val="00E77C8F"/>
    <w:rsid w:val="00E77F6C"/>
    <w:rsid w:val="00E801D7"/>
    <w:rsid w:val="00E83C24"/>
    <w:rsid w:val="00E9318D"/>
    <w:rsid w:val="00E93C38"/>
    <w:rsid w:val="00EA2E0F"/>
    <w:rsid w:val="00EA492F"/>
    <w:rsid w:val="00EB3581"/>
    <w:rsid w:val="00EC1A88"/>
    <w:rsid w:val="00ED6C99"/>
    <w:rsid w:val="00EF45B2"/>
    <w:rsid w:val="00F036D5"/>
    <w:rsid w:val="00F0395B"/>
    <w:rsid w:val="00F0441F"/>
    <w:rsid w:val="00F0474D"/>
    <w:rsid w:val="00F256F5"/>
    <w:rsid w:val="00F30F88"/>
    <w:rsid w:val="00F326CC"/>
    <w:rsid w:val="00F32ECA"/>
    <w:rsid w:val="00F4361B"/>
    <w:rsid w:val="00F4504F"/>
    <w:rsid w:val="00F47C0B"/>
    <w:rsid w:val="00F51EA3"/>
    <w:rsid w:val="00F76916"/>
    <w:rsid w:val="00F83AB4"/>
    <w:rsid w:val="00F87C68"/>
    <w:rsid w:val="00F94774"/>
    <w:rsid w:val="00F9637C"/>
    <w:rsid w:val="00F96511"/>
    <w:rsid w:val="00FA3643"/>
    <w:rsid w:val="00FA4529"/>
    <w:rsid w:val="00FB0270"/>
    <w:rsid w:val="00FB4DC6"/>
    <w:rsid w:val="00FC39E4"/>
    <w:rsid w:val="00FC53DB"/>
    <w:rsid w:val="00FE0820"/>
    <w:rsid w:val="00FF546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03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BodyText2">
    <w:name w:val="Body Text 2"/>
    <w:basedOn w:val="Normal"/>
    <w:link w:val="BodyText2Char"/>
    <w:rsid w:val="00855A78"/>
    <w:rPr>
      <w:rFonts w:eastAsia="MS Mincho" w:cs="Angsana New"/>
      <w:i/>
      <w:iCs/>
    </w:rPr>
  </w:style>
  <w:style w:type="character" w:customStyle="1" w:styleId="BodyText2Char">
    <w:name w:val="Body Text 2 Char"/>
    <w:basedOn w:val="DefaultParagraphFont"/>
    <w:link w:val="BodyText2"/>
    <w:rsid w:val="00855A78"/>
    <w:rPr>
      <w:rFonts w:ascii="Times New Roman" w:eastAsia="MS Mincho" w:hAnsi="Times New Roman" w:cs="Angsana New"/>
      <w:i/>
      <w:iCs/>
      <w:sz w:val="22"/>
      <w:lang w:val="en-GB"/>
    </w:rPr>
  </w:style>
  <w:style w:type="paragraph" w:styleId="BodyText3">
    <w:name w:val="Body Text 3"/>
    <w:basedOn w:val="Normal"/>
    <w:link w:val="BodyText3Char"/>
    <w:rsid w:val="00855A78"/>
    <w:pPr>
      <w:jc w:val="center"/>
    </w:pPr>
    <w:rPr>
      <w:rFonts w:eastAsia="MS Mincho" w:cs="Angsana New"/>
      <w:sz w:val="28"/>
    </w:rPr>
  </w:style>
  <w:style w:type="character" w:customStyle="1" w:styleId="BodyText3Char">
    <w:name w:val="Body Text 3 Char"/>
    <w:basedOn w:val="DefaultParagraphFont"/>
    <w:link w:val="BodyText3"/>
    <w:rsid w:val="00855A78"/>
    <w:rPr>
      <w:rFonts w:ascii="Times New Roman" w:eastAsia="MS Mincho" w:hAnsi="Times New Roman" w:cs="Angsana New"/>
      <w:sz w:val="28"/>
      <w:lang w:val="en-GB"/>
    </w:rPr>
  </w:style>
  <w:style w:type="paragraph" w:styleId="BodyTextIndent2">
    <w:name w:val="Body Text Indent 2"/>
    <w:basedOn w:val="Normal"/>
    <w:link w:val="BodyTextIndent2Char"/>
    <w:rsid w:val="00855A78"/>
    <w:pPr>
      <w:ind w:firstLine="720"/>
    </w:pPr>
    <w:rPr>
      <w:rFonts w:eastAsia="MS Mincho" w:cs="Angsana New"/>
    </w:rPr>
  </w:style>
  <w:style w:type="character" w:customStyle="1" w:styleId="BodyTextIndent2Char">
    <w:name w:val="Body Text Indent 2 Char"/>
    <w:basedOn w:val="DefaultParagraphFont"/>
    <w:link w:val="BodyTextIndent2"/>
    <w:rsid w:val="00855A78"/>
    <w:rPr>
      <w:rFonts w:ascii="Times New Roman" w:eastAsia="MS Mincho" w:hAnsi="Times New Roman" w:cs="Angsana New"/>
      <w:sz w:val="22"/>
      <w:lang w:val="en-GB"/>
    </w:rPr>
  </w:style>
  <w:style w:type="paragraph" w:styleId="BodyTextIndent3">
    <w:name w:val="Body Text Indent 3"/>
    <w:basedOn w:val="Normal"/>
    <w:link w:val="BodyTextIndent3Char"/>
    <w:rsid w:val="00855A7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855A78"/>
    <w:rPr>
      <w:rFonts w:ascii="Courier" w:eastAsia="MS Mincho" w:hAnsi="Courier" w:cs="Angsana New"/>
      <w:sz w:val="20"/>
      <w:lang w:val="en-GB"/>
    </w:rPr>
  </w:style>
  <w:style w:type="paragraph" w:customStyle="1" w:styleId="BodyText21">
    <w:name w:val="Body Text 21"/>
    <w:basedOn w:val="Normal"/>
    <w:rsid w:val="00855A78"/>
    <w:rPr>
      <w:rFonts w:eastAsia="MS Mincho" w:cs="Angsana New"/>
    </w:rPr>
  </w:style>
  <w:style w:type="paragraph" w:styleId="BlockText">
    <w:name w:val="Block Text"/>
    <w:basedOn w:val="Normal"/>
    <w:rsid w:val="00855A7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855A7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855A7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855A78"/>
    <w:rPr>
      <w:rFonts w:ascii="Tahoma" w:eastAsia="MS Mincho" w:hAnsi="Tahoma" w:cs="Angsana New"/>
      <w:sz w:val="22"/>
      <w:shd w:val="clear" w:color="auto" w:fill="000080"/>
      <w:lang w:val="en-GB"/>
    </w:rPr>
  </w:style>
  <w:style w:type="paragraph" w:customStyle="1" w:styleId="para2">
    <w:name w:val="para2"/>
    <w:basedOn w:val="Normal"/>
    <w:rsid w:val="00855A78"/>
    <w:pPr>
      <w:numPr>
        <w:numId w:val="24"/>
      </w:numPr>
      <w:spacing w:before="120" w:after="120"/>
    </w:pPr>
    <w:rPr>
      <w:rFonts w:eastAsia="MS Mincho" w:cs="Angsana New"/>
      <w:szCs w:val="20"/>
    </w:rPr>
  </w:style>
  <w:style w:type="paragraph" w:customStyle="1" w:styleId="Heading2-center">
    <w:name w:val="Heading 2-center"/>
    <w:basedOn w:val="Heading2"/>
    <w:rsid w:val="00855A78"/>
    <w:rPr>
      <w:rFonts w:eastAsia="MS Mincho" w:cs="Angsana New"/>
    </w:rPr>
  </w:style>
  <w:style w:type="paragraph" w:styleId="PlainText">
    <w:name w:val="Plain Text"/>
    <w:basedOn w:val="Normal"/>
    <w:link w:val="PlainTextChar"/>
    <w:uiPriority w:val="99"/>
    <w:rsid w:val="00855A78"/>
    <w:rPr>
      <w:rFonts w:ascii="Courier New" w:eastAsia="MS Mincho" w:hAnsi="Courier New"/>
      <w:sz w:val="20"/>
    </w:rPr>
  </w:style>
  <w:style w:type="character" w:customStyle="1" w:styleId="PlainTextChar">
    <w:name w:val="Plain Text Char"/>
    <w:basedOn w:val="DefaultParagraphFont"/>
    <w:link w:val="PlainText"/>
    <w:uiPriority w:val="99"/>
    <w:rsid w:val="00855A78"/>
    <w:rPr>
      <w:rFonts w:ascii="Courier New" w:eastAsia="MS Mincho" w:hAnsi="Courier New" w:cs="Times New Roman"/>
      <w:sz w:val="20"/>
    </w:rPr>
  </w:style>
  <w:style w:type="paragraph" w:customStyle="1" w:styleId="xl24">
    <w:name w:val="xl24"/>
    <w:basedOn w:val="Normal"/>
    <w:rsid w:val="00855A78"/>
    <w:pPr>
      <w:spacing w:before="100" w:beforeAutospacing="1" w:after="100" w:afterAutospacing="1"/>
    </w:pPr>
    <w:rPr>
      <w:rFonts w:eastAsia="Arial Unicode MS" w:cs="Angsana New"/>
      <w:b/>
      <w:bCs/>
      <w:szCs w:val="22"/>
    </w:rPr>
  </w:style>
  <w:style w:type="paragraph" w:customStyle="1" w:styleId="xl25">
    <w:name w:val="xl25"/>
    <w:basedOn w:val="Normal"/>
    <w:rsid w:val="00855A78"/>
    <w:pPr>
      <w:spacing w:before="100" w:beforeAutospacing="1" w:after="100" w:afterAutospacing="1"/>
    </w:pPr>
    <w:rPr>
      <w:rFonts w:eastAsia="Arial Unicode MS" w:cs="Angsana New"/>
      <w:b/>
      <w:bCs/>
      <w:szCs w:val="22"/>
    </w:rPr>
  </w:style>
  <w:style w:type="paragraph" w:customStyle="1" w:styleId="xl26">
    <w:name w:val="xl26"/>
    <w:basedOn w:val="Normal"/>
    <w:rsid w:val="00855A78"/>
    <w:pPr>
      <w:spacing w:before="100" w:beforeAutospacing="1" w:after="100" w:afterAutospacing="1"/>
      <w:jc w:val="center"/>
    </w:pPr>
    <w:rPr>
      <w:rFonts w:eastAsia="Arial Unicode MS" w:cs="Angsana New"/>
      <w:b/>
      <w:bCs/>
      <w:szCs w:val="22"/>
    </w:rPr>
  </w:style>
  <w:style w:type="paragraph" w:customStyle="1" w:styleId="xl27">
    <w:name w:val="xl27"/>
    <w:basedOn w:val="Normal"/>
    <w:rsid w:val="00855A7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855A7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855A7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855A7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855A7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855A7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855A7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855A7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855A7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855A7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855A7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855A7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855A78"/>
    <w:pPr>
      <w:spacing w:before="100" w:beforeAutospacing="1" w:after="100" w:afterAutospacing="1"/>
      <w:textAlignment w:val="top"/>
    </w:pPr>
    <w:rPr>
      <w:rFonts w:eastAsia="Arial Unicode MS" w:cs="Angsana New"/>
      <w:szCs w:val="22"/>
    </w:rPr>
  </w:style>
  <w:style w:type="paragraph" w:customStyle="1" w:styleId="xl42">
    <w:name w:val="xl42"/>
    <w:basedOn w:val="Normal"/>
    <w:rsid w:val="00855A78"/>
    <w:pPr>
      <w:spacing w:before="100" w:beforeAutospacing="1" w:after="100" w:afterAutospacing="1"/>
      <w:jc w:val="center"/>
    </w:pPr>
    <w:rPr>
      <w:rFonts w:eastAsia="Arial Unicode MS" w:cs="Angsana New"/>
      <w:szCs w:val="22"/>
    </w:rPr>
  </w:style>
  <w:style w:type="paragraph" w:customStyle="1" w:styleId="xl43">
    <w:name w:val="xl43"/>
    <w:basedOn w:val="Normal"/>
    <w:rsid w:val="00855A7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855A7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855A7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855A7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855A7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855A7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855A7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855A7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855A7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855A7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855A78"/>
    <w:pPr>
      <w:spacing w:before="100" w:beforeAutospacing="1" w:after="100" w:afterAutospacing="1"/>
    </w:pPr>
    <w:rPr>
      <w:rFonts w:eastAsia="Arial Unicode MS" w:cs="Angsana New"/>
      <w:szCs w:val="22"/>
    </w:rPr>
  </w:style>
  <w:style w:type="paragraph" w:customStyle="1" w:styleId="xl57">
    <w:name w:val="xl57"/>
    <w:basedOn w:val="Normal"/>
    <w:rsid w:val="00855A7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855A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855A7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855A7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855A7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855A7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855A7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855A7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855A7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855A7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855A7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855A78"/>
    <w:pPr>
      <w:widowControl w:val="0"/>
      <w:tabs>
        <w:tab w:val="left" w:pos="720"/>
      </w:tabs>
      <w:spacing w:before="120" w:after="120"/>
    </w:pPr>
    <w:rPr>
      <w:rFonts w:eastAsia="MS Mincho" w:cs="Angsana New"/>
    </w:rPr>
  </w:style>
  <w:style w:type="paragraph" w:styleId="NormalWeb">
    <w:name w:val="Normal (Web)"/>
    <w:basedOn w:val="Normal"/>
    <w:uiPriority w:val="99"/>
    <w:rsid w:val="00855A7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855A7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855A78"/>
    <w:rPr>
      <w:b/>
      <w:bCs/>
    </w:rPr>
  </w:style>
  <w:style w:type="paragraph" w:customStyle="1" w:styleId="Para10">
    <w:name w:val="Para 1"/>
    <w:basedOn w:val="BodyText"/>
    <w:rsid w:val="00855A78"/>
    <w:pPr>
      <w:ind w:firstLine="0"/>
    </w:pPr>
    <w:rPr>
      <w:rFonts w:eastAsia="MS Mincho" w:cs="Angsana New"/>
      <w:bCs/>
      <w:iCs w:val="0"/>
      <w:szCs w:val="22"/>
    </w:rPr>
  </w:style>
  <w:style w:type="paragraph" w:customStyle="1" w:styleId="Style1">
    <w:name w:val="Style1"/>
    <w:basedOn w:val="Para10"/>
    <w:rsid w:val="00855A78"/>
    <w:pPr>
      <w:numPr>
        <w:ilvl w:val="1"/>
        <w:numId w:val="20"/>
      </w:numPr>
      <w:tabs>
        <w:tab w:val="clear" w:pos="1800"/>
        <w:tab w:val="num" w:pos="360"/>
      </w:tabs>
    </w:pPr>
  </w:style>
  <w:style w:type="paragraph" w:customStyle="1" w:styleId="aident">
    <w:name w:val="(a) ident"/>
    <w:basedOn w:val="Normal"/>
    <w:rsid w:val="00855A7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855A7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855A7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855A7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855A7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855A7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855A7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855A7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85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855A78"/>
    <w:rPr>
      <w:rFonts w:ascii="Courier New" w:eastAsia="MS Mincho" w:hAnsi="Courier New" w:cs="Courier New"/>
      <w:sz w:val="20"/>
      <w:lang w:val="en-GB"/>
    </w:rPr>
  </w:style>
  <w:style w:type="paragraph" w:customStyle="1" w:styleId="Para1alternative">
    <w:name w:val="Para1 (alternative)"/>
    <w:basedOn w:val="Normal"/>
    <w:rsid w:val="00855A7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855A7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855A78"/>
    <w:rPr>
      <w:rFonts w:ascii="Arial" w:hAnsi="Arial" w:cs="Arial" w:hint="default"/>
      <w:b w:val="0"/>
      <w:bCs w:val="0"/>
      <w:color w:val="000000"/>
      <w:sz w:val="24"/>
      <w:szCs w:val="24"/>
    </w:rPr>
  </w:style>
  <w:style w:type="character" w:customStyle="1" w:styleId="BodyText2CharCharChar">
    <w:name w:val="Body Text 2 Char Char Char"/>
    <w:rsid w:val="00855A7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855A78"/>
    <w:rPr>
      <w:sz w:val="22"/>
      <w:lang w:val="en-US" w:eastAsia="en-US" w:bidi="ar-SA"/>
    </w:rPr>
  </w:style>
  <w:style w:type="paragraph" w:customStyle="1" w:styleId="StylePara1Firstline127cm">
    <w:name w:val="Style Para1 + First line:  1.27 cm"/>
    <w:basedOn w:val="Para1"/>
    <w:rsid w:val="00855A7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855A78"/>
    <w:pPr>
      <w:spacing w:before="120" w:after="120"/>
      <w:jc w:val="center"/>
    </w:pPr>
    <w:rPr>
      <w:rFonts w:eastAsia="MS Mincho" w:cs="Angsana New"/>
      <w:i/>
    </w:rPr>
  </w:style>
  <w:style w:type="character" w:styleId="Emphasis">
    <w:name w:val="Emphasis"/>
    <w:qFormat/>
    <w:rsid w:val="00855A78"/>
    <w:rPr>
      <w:i/>
      <w:iCs/>
    </w:rPr>
  </w:style>
  <w:style w:type="character" w:customStyle="1" w:styleId="BlockTextChar">
    <w:name w:val="Block Text Char"/>
    <w:rsid w:val="00855A78"/>
    <w:rPr>
      <w:sz w:val="24"/>
      <w:szCs w:val="24"/>
      <w:lang w:val="en-US" w:eastAsia="en-US" w:bidi="ar-SA"/>
    </w:rPr>
  </w:style>
  <w:style w:type="paragraph" w:customStyle="1" w:styleId="bodytext210">
    <w:name w:val="bodytext21"/>
    <w:basedOn w:val="Normal"/>
    <w:rsid w:val="00855A7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855A78"/>
    <w:rPr>
      <w:sz w:val="22"/>
      <w:lang w:val="en-US" w:eastAsia="en-US" w:bidi="ar-SA"/>
    </w:rPr>
  </w:style>
  <w:style w:type="paragraph" w:styleId="CommentSubject">
    <w:name w:val="annotation subject"/>
    <w:basedOn w:val="CommentText"/>
    <w:next w:val="CommentText"/>
    <w:link w:val="CommentSubjectChar"/>
    <w:semiHidden/>
    <w:rsid w:val="00855A7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855A78"/>
    <w:rPr>
      <w:rFonts w:ascii="Times New Roman" w:eastAsia="MS Mincho" w:hAnsi="Times New Roman" w:cs="Angsana New"/>
      <w:b/>
      <w:bCs/>
      <w:sz w:val="20"/>
      <w:lang w:val="en-GB"/>
    </w:rPr>
  </w:style>
  <w:style w:type="character" w:customStyle="1" w:styleId="MathieuRgnier">
    <w:name w:val="Mathieu Régnier"/>
    <w:semiHidden/>
    <w:rsid w:val="00855A78"/>
    <w:rPr>
      <w:rFonts w:ascii="Arial" w:hAnsi="Arial" w:cs="Arial"/>
      <w:color w:val="auto"/>
      <w:sz w:val="20"/>
      <w:szCs w:val="20"/>
    </w:rPr>
  </w:style>
  <w:style w:type="paragraph" w:customStyle="1" w:styleId="bodytextnoindent">
    <w:name w:val="body text (no indent)"/>
    <w:basedOn w:val="Normal"/>
    <w:rsid w:val="00855A7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855A78"/>
    <w:rPr>
      <w:rFonts w:eastAsia="MS Mincho" w:cs="Angsana New"/>
      <w:i/>
      <w:iCs w:val="0"/>
    </w:rPr>
  </w:style>
  <w:style w:type="paragraph" w:customStyle="1" w:styleId="boxbody">
    <w:name w:val="boxbody"/>
    <w:basedOn w:val="Normal"/>
    <w:rsid w:val="00855A7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855A78"/>
    <w:pPr>
      <w:tabs>
        <w:tab w:val="clear" w:pos="720"/>
        <w:tab w:val="left" w:pos="900"/>
      </w:tabs>
    </w:pPr>
    <w:rPr>
      <w:rFonts w:eastAsia="Batang"/>
      <w:b w:val="0"/>
      <w:bCs w:val="0"/>
      <w:szCs w:val="20"/>
    </w:rPr>
  </w:style>
  <w:style w:type="paragraph" w:customStyle="1" w:styleId="Heading2noletter">
    <w:name w:val="Heading 2 (no letter)"/>
    <w:basedOn w:val="Heading2"/>
    <w:rsid w:val="00855A78"/>
    <w:pPr>
      <w:tabs>
        <w:tab w:val="clear" w:pos="720"/>
      </w:tabs>
    </w:pPr>
    <w:rPr>
      <w:rFonts w:eastAsia="MS Mincho"/>
    </w:rPr>
  </w:style>
  <w:style w:type="character" w:customStyle="1" w:styleId="Heading2CharChar">
    <w:name w:val="Heading 2 Char Char"/>
    <w:rsid w:val="00855A78"/>
    <w:rPr>
      <w:rFonts w:ascii="Arial" w:hAnsi="Arial" w:cs="Arial"/>
      <w:b/>
      <w:bCs/>
      <w:i/>
      <w:iCs/>
      <w:noProof w:val="0"/>
      <w:sz w:val="28"/>
      <w:szCs w:val="28"/>
      <w:lang w:val="en-US" w:eastAsia="en-US" w:bidi="ar-SA"/>
    </w:rPr>
  </w:style>
  <w:style w:type="paragraph" w:customStyle="1" w:styleId="Heading-plain0">
    <w:name w:val="Heading-plain"/>
    <w:basedOn w:val="Normal"/>
    <w:rsid w:val="00855A78"/>
    <w:pPr>
      <w:spacing w:before="120" w:after="120"/>
      <w:jc w:val="center"/>
      <w:outlineLvl w:val="0"/>
    </w:pPr>
    <w:rPr>
      <w:rFonts w:eastAsia="MS Mincho" w:cs="Angsana New"/>
      <w:i/>
      <w:szCs w:val="20"/>
    </w:rPr>
  </w:style>
  <w:style w:type="paragraph" w:customStyle="1" w:styleId="Heading-plainbold">
    <w:name w:val="Heading-plain bold"/>
    <w:basedOn w:val="BodyText"/>
    <w:rsid w:val="00855A78"/>
    <w:pPr>
      <w:ind w:firstLine="0"/>
      <w:jc w:val="center"/>
    </w:pPr>
    <w:rPr>
      <w:rFonts w:eastAsia="MS Mincho" w:cs="Angsana New"/>
      <w:b/>
      <w:bCs/>
      <w:i/>
      <w:iCs w:val="0"/>
    </w:rPr>
  </w:style>
  <w:style w:type="paragraph" w:customStyle="1" w:styleId="Heading-plainitalic">
    <w:name w:val="Heading-plain italic"/>
    <w:basedOn w:val="Heading-plainbold"/>
    <w:rsid w:val="00855A78"/>
    <w:rPr>
      <w:b w:val="0"/>
      <w:bCs w:val="0"/>
    </w:rPr>
  </w:style>
  <w:style w:type="character" w:customStyle="1" w:styleId="Para1Char0">
    <w:name w:val="Para 1 Char"/>
    <w:rsid w:val="00855A78"/>
    <w:rPr>
      <w:rFonts w:eastAsia="MS Mincho"/>
      <w:bCs/>
      <w:iCs/>
      <w:sz w:val="22"/>
      <w:szCs w:val="22"/>
      <w:lang w:val="en-GB" w:eastAsia="en-US" w:bidi="ar-SA"/>
    </w:rPr>
  </w:style>
  <w:style w:type="paragraph" w:customStyle="1" w:styleId="Para2rev">
    <w:name w:val="Para 2 (rev)"/>
    <w:basedOn w:val="Normal"/>
    <w:rsid w:val="00855A78"/>
    <w:pPr>
      <w:tabs>
        <w:tab w:val="num" w:pos="720"/>
      </w:tabs>
      <w:spacing w:after="120"/>
      <w:ind w:left="720" w:hanging="360"/>
    </w:pPr>
    <w:rPr>
      <w:rFonts w:eastAsia="MS Mincho" w:cs="Angsana New"/>
    </w:rPr>
  </w:style>
  <w:style w:type="paragraph" w:customStyle="1" w:styleId="Paraofficial">
    <w:name w:val="Para official"/>
    <w:basedOn w:val="Normal"/>
    <w:rsid w:val="00855A7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855A78"/>
    <w:pPr>
      <w:numPr>
        <w:numId w:val="23"/>
      </w:numPr>
      <w:spacing w:after="120"/>
    </w:pPr>
    <w:rPr>
      <w:rFonts w:eastAsia="MS Mincho"/>
      <w:szCs w:val="22"/>
      <w:lang w:val="en-US"/>
    </w:rPr>
  </w:style>
  <w:style w:type="paragraph" w:customStyle="1" w:styleId="Para40">
    <w:name w:val="Para4"/>
    <w:basedOn w:val="Para3"/>
    <w:rsid w:val="00855A7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855A7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855A78"/>
    <w:rPr>
      <w:rFonts w:cs="Angsana New"/>
      <w:iCs/>
      <w:snapToGrid w:val="0"/>
      <w:color w:val="000000"/>
      <w:sz w:val="22"/>
      <w:szCs w:val="22"/>
      <w:lang w:val="en-US" w:eastAsia="en-US" w:bidi="ar-SA"/>
    </w:rPr>
  </w:style>
  <w:style w:type="numbering" w:styleId="111111">
    <w:name w:val="Outline List 2"/>
    <w:basedOn w:val="NoList"/>
    <w:rsid w:val="00855A78"/>
    <w:pPr>
      <w:numPr>
        <w:numId w:val="26"/>
      </w:numPr>
    </w:pPr>
  </w:style>
  <w:style w:type="numbering" w:customStyle="1" w:styleId="Style2">
    <w:name w:val="Style2"/>
    <w:rsid w:val="00855A78"/>
    <w:pPr>
      <w:numPr>
        <w:numId w:val="27"/>
      </w:numPr>
    </w:pPr>
  </w:style>
  <w:style w:type="character" w:customStyle="1" w:styleId="Heading1longmultilineChar">
    <w:name w:val="Heading 1 (long multiline) Char"/>
    <w:link w:val="Heading1longmultiline"/>
    <w:rsid w:val="00855A7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855A78"/>
    <w:pPr>
      <w:ind w:left="720"/>
    </w:pPr>
    <w:rPr>
      <w:rFonts w:eastAsia="MS Mincho" w:cs="Angsana New"/>
    </w:rPr>
  </w:style>
  <w:style w:type="paragraph" w:customStyle="1" w:styleId="Default">
    <w:name w:val="Default"/>
    <w:basedOn w:val="Normal"/>
    <w:rsid w:val="00855A78"/>
    <w:pPr>
      <w:autoSpaceDE w:val="0"/>
      <w:autoSpaceDN w:val="0"/>
      <w:jc w:val="left"/>
    </w:pPr>
    <w:rPr>
      <w:rFonts w:eastAsia="Calibri"/>
      <w:color w:val="000000"/>
      <w:sz w:val="24"/>
      <w:lang w:val="en-US"/>
    </w:rPr>
  </w:style>
  <w:style w:type="character" w:customStyle="1" w:styleId="apple-style-span">
    <w:name w:val="apple-style-span"/>
    <w:rsid w:val="00855A78"/>
  </w:style>
  <w:style w:type="paragraph" w:customStyle="1" w:styleId="SubtleEmphasis1">
    <w:name w:val="Subtle Emphasis1"/>
    <w:basedOn w:val="Normal"/>
    <w:uiPriority w:val="34"/>
    <w:qFormat/>
    <w:rsid w:val="00855A7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855A78"/>
    <w:rPr>
      <w:rFonts w:ascii="Times New Roman Bold" w:eastAsia="MS Mincho" w:hAnsi="Times New Roman Bold"/>
      <w:b/>
      <w:bCs/>
      <w:i w:val="0"/>
      <w:iCs w:val="0"/>
      <w:caps/>
    </w:rPr>
  </w:style>
  <w:style w:type="paragraph" w:customStyle="1" w:styleId="LightList-Accent61">
    <w:name w:val="Light List - Accent 61"/>
    <w:uiPriority w:val="1"/>
    <w:qFormat/>
    <w:rsid w:val="00855A78"/>
    <w:rPr>
      <w:rFonts w:ascii="Calibri" w:eastAsia="MS Mincho" w:hAnsi="Calibri" w:cs="Times New Roman"/>
      <w:sz w:val="22"/>
      <w:szCs w:val="22"/>
      <w:lang w:val="en-US"/>
    </w:rPr>
  </w:style>
  <w:style w:type="paragraph" w:customStyle="1" w:styleId="Paraa">
    <w:name w:val="Para (a)"/>
    <w:basedOn w:val="Normal"/>
    <w:rsid w:val="0085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855A78"/>
    <w:rPr>
      <w:kern w:val="20"/>
      <w:sz w:val="22"/>
      <w:u w:val="none"/>
      <w:vertAlign w:val="superscript"/>
    </w:rPr>
  </w:style>
  <w:style w:type="character" w:customStyle="1" w:styleId="s13">
    <w:name w:val="s13"/>
    <w:rsid w:val="00855A78"/>
  </w:style>
  <w:style w:type="paragraph" w:customStyle="1" w:styleId="ColorfulGrid-Accent61">
    <w:name w:val="Colorful Grid - Accent 61"/>
    <w:hidden/>
    <w:uiPriority w:val="99"/>
    <w:semiHidden/>
    <w:rsid w:val="00855A78"/>
    <w:rPr>
      <w:rFonts w:ascii="Times New Roman" w:eastAsia="MS Mincho" w:hAnsi="Times New Roman" w:cs="Angsana New"/>
      <w:sz w:val="22"/>
      <w:lang w:val="en-GB"/>
    </w:rPr>
  </w:style>
  <w:style w:type="paragraph" w:customStyle="1" w:styleId="MediumShading2-Accent61">
    <w:name w:val="Medium Shading 2 - Accent 61"/>
    <w:hidden/>
    <w:uiPriority w:val="99"/>
    <w:semiHidden/>
    <w:rsid w:val="00855A78"/>
    <w:rPr>
      <w:rFonts w:ascii="Times New Roman" w:eastAsia="MS Mincho" w:hAnsi="Times New Roman" w:cs="Angsana New"/>
      <w:sz w:val="22"/>
      <w:lang w:val="en-GB"/>
    </w:rPr>
  </w:style>
  <w:style w:type="paragraph" w:customStyle="1" w:styleId="MediumList1-Accent61">
    <w:name w:val="Medium List 1 - Accent 61"/>
    <w:basedOn w:val="Normal"/>
    <w:uiPriority w:val="34"/>
    <w:qFormat/>
    <w:rsid w:val="00855A78"/>
    <w:pPr>
      <w:ind w:left="720"/>
    </w:pPr>
    <w:rPr>
      <w:rFonts w:eastAsia="MS Mincho" w:cs="Angsana New"/>
    </w:rPr>
  </w:style>
  <w:style w:type="paragraph" w:customStyle="1" w:styleId="MediumGrid1-Accent21">
    <w:name w:val="Medium Grid 1 - Accent 21"/>
    <w:basedOn w:val="Normal"/>
    <w:uiPriority w:val="34"/>
    <w:qFormat/>
    <w:rsid w:val="00855A78"/>
    <w:pPr>
      <w:ind w:left="720"/>
    </w:pPr>
    <w:rPr>
      <w:rFonts w:eastAsia="MS Mincho" w:cs="Angsana New"/>
    </w:rPr>
  </w:style>
  <w:style w:type="paragraph" w:styleId="Revision">
    <w:name w:val="Revision"/>
    <w:hidden/>
    <w:uiPriority w:val="99"/>
    <w:semiHidden/>
    <w:rsid w:val="00855A78"/>
    <w:rPr>
      <w:rFonts w:ascii="Times New Roman" w:eastAsia="MS Mincho" w:hAnsi="Times New Roman" w:cs="Angsana New"/>
      <w:sz w:val="22"/>
      <w:lang w:val="en-GB"/>
    </w:rPr>
  </w:style>
  <w:style w:type="character" w:customStyle="1" w:styleId="UnresolvedMention">
    <w:name w:val="Unresolved Mention"/>
    <w:basedOn w:val="DefaultParagraphFont"/>
    <w:uiPriority w:val="99"/>
    <w:semiHidden/>
    <w:unhideWhenUsed/>
    <w:rsid w:val="004A1AC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BodyText2">
    <w:name w:val="Body Text 2"/>
    <w:basedOn w:val="Normal"/>
    <w:link w:val="BodyText2Char"/>
    <w:rsid w:val="00855A78"/>
    <w:rPr>
      <w:rFonts w:eastAsia="MS Mincho" w:cs="Angsana New"/>
      <w:i/>
      <w:iCs/>
    </w:rPr>
  </w:style>
  <w:style w:type="character" w:customStyle="1" w:styleId="BodyText2Char">
    <w:name w:val="Body Text 2 Char"/>
    <w:basedOn w:val="DefaultParagraphFont"/>
    <w:link w:val="BodyText2"/>
    <w:rsid w:val="00855A78"/>
    <w:rPr>
      <w:rFonts w:ascii="Times New Roman" w:eastAsia="MS Mincho" w:hAnsi="Times New Roman" w:cs="Angsana New"/>
      <w:i/>
      <w:iCs/>
      <w:sz w:val="22"/>
      <w:lang w:val="en-GB"/>
    </w:rPr>
  </w:style>
  <w:style w:type="paragraph" w:styleId="BodyText3">
    <w:name w:val="Body Text 3"/>
    <w:basedOn w:val="Normal"/>
    <w:link w:val="BodyText3Char"/>
    <w:rsid w:val="00855A78"/>
    <w:pPr>
      <w:jc w:val="center"/>
    </w:pPr>
    <w:rPr>
      <w:rFonts w:eastAsia="MS Mincho" w:cs="Angsana New"/>
      <w:sz w:val="28"/>
    </w:rPr>
  </w:style>
  <w:style w:type="character" w:customStyle="1" w:styleId="BodyText3Char">
    <w:name w:val="Body Text 3 Char"/>
    <w:basedOn w:val="DefaultParagraphFont"/>
    <w:link w:val="BodyText3"/>
    <w:rsid w:val="00855A78"/>
    <w:rPr>
      <w:rFonts w:ascii="Times New Roman" w:eastAsia="MS Mincho" w:hAnsi="Times New Roman" w:cs="Angsana New"/>
      <w:sz w:val="28"/>
      <w:lang w:val="en-GB"/>
    </w:rPr>
  </w:style>
  <w:style w:type="paragraph" w:styleId="BodyTextIndent2">
    <w:name w:val="Body Text Indent 2"/>
    <w:basedOn w:val="Normal"/>
    <w:link w:val="BodyTextIndent2Char"/>
    <w:rsid w:val="00855A78"/>
    <w:pPr>
      <w:ind w:firstLine="720"/>
    </w:pPr>
    <w:rPr>
      <w:rFonts w:eastAsia="MS Mincho" w:cs="Angsana New"/>
    </w:rPr>
  </w:style>
  <w:style w:type="character" w:customStyle="1" w:styleId="BodyTextIndent2Char">
    <w:name w:val="Body Text Indent 2 Char"/>
    <w:basedOn w:val="DefaultParagraphFont"/>
    <w:link w:val="BodyTextIndent2"/>
    <w:rsid w:val="00855A78"/>
    <w:rPr>
      <w:rFonts w:ascii="Times New Roman" w:eastAsia="MS Mincho" w:hAnsi="Times New Roman" w:cs="Angsana New"/>
      <w:sz w:val="22"/>
      <w:lang w:val="en-GB"/>
    </w:rPr>
  </w:style>
  <w:style w:type="paragraph" w:styleId="BodyTextIndent3">
    <w:name w:val="Body Text Indent 3"/>
    <w:basedOn w:val="Normal"/>
    <w:link w:val="BodyTextIndent3Char"/>
    <w:rsid w:val="00855A7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855A78"/>
    <w:rPr>
      <w:rFonts w:ascii="Courier" w:eastAsia="MS Mincho" w:hAnsi="Courier" w:cs="Angsana New"/>
      <w:sz w:val="20"/>
      <w:lang w:val="en-GB"/>
    </w:rPr>
  </w:style>
  <w:style w:type="paragraph" w:customStyle="1" w:styleId="BodyText21">
    <w:name w:val="Body Text 21"/>
    <w:basedOn w:val="Normal"/>
    <w:rsid w:val="00855A78"/>
    <w:rPr>
      <w:rFonts w:eastAsia="MS Mincho" w:cs="Angsana New"/>
    </w:rPr>
  </w:style>
  <w:style w:type="paragraph" w:styleId="BlockText">
    <w:name w:val="Block Text"/>
    <w:basedOn w:val="Normal"/>
    <w:rsid w:val="00855A7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855A7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855A7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855A78"/>
    <w:rPr>
      <w:rFonts w:ascii="Tahoma" w:eastAsia="MS Mincho" w:hAnsi="Tahoma" w:cs="Angsana New"/>
      <w:sz w:val="22"/>
      <w:shd w:val="clear" w:color="auto" w:fill="000080"/>
      <w:lang w:val="en-GB"/>
    </w:rPr>
  </w:style>
  <w:style w:type="paragraph" w:customStyle="1" w:styleId="para2">
    <w:name w:val="para2"/>
    <w:basedOn w:val="Normal"/>
    <w:rsid w:val="00855A78"/>
    <w:pPr>
      <w:numPr>
        <w:numId w:val="24"/>
      </w:numPr>
      <w:spacing w:before="120" w:after="120"/>
    </w:pPr>
    <w:rPr>
      <w:rFonts w:eastAsia="MS Mincho" w:cs="Angsana New"/>
      <w:szCs w:val="20"/>
    </w:rPr>
  </w:style>
  <w:style w:type="paragraph" w:customStyle="1" w:styleId="Heading2-center">
    <w:name w:val="Heading 2-center"/>
    <w:basedOn w:val="Heading2"/>
    <w:rsid w:val="00855A78"/>
    <w:rPr>
      <w:rFonts w:eastAsia="MS Mincho" w:cs="Angsana New"/>
    </w:rPr>
  </w:style>
  <w:style w:type="paragraph" w:styleId="PlainText">
    <w:name w:val="Plain Text"/>
    <w:basedOn w:val="Normal"/>
    <w:link w:val="PlainTextChar"/>
    <w:uiPriority w:val="99"/>
    <w:rsid w:val="00855A78"/>
    <w:rPr>
      <w:rFonts w:ascii="Courier New" w:eastAsia="MS Mincho" w:hAnsi="Courier New"/>
      <w:sz w:val="20"/>
    </w:rPr>
  </w:style>
  <w:style w:type="character" w:customStyle="1" w:styleId="PlainTextChar">
    <w:name w:val="Plain Text Char"/>
    <w:basedOn w:val="DefaultParagraphFont"/>
    <w:link w:val="PlainText"/>
    <w:uiPriority w:val="99"/>
    <w:rsid w:val="00855A78"/>
    <w:rPr>
      <w:rFonts w:ascii="Courier New" w:eastAsia="MS Mincho" w:hAnsi="Courier New" w:cs="Times New Roman"/>
      <w:sz w:val="20"/>
    </w:rPr>
  </w:style>
  <w:style w:type="paragraph" w:customStyle="1" w:styleId="xl24">
    <w:name w:val="xl24"/>
    <w:basedOn w:val="Normal"/>
    <w:rsid w:val="00855A78"/>
    <w:pPr>
      <w:spacing w:before="100" w:beforeAutospacing="1" w:after="100" w:afterAutospacing="1"/>
    </w:pPr>
    <w:rPr>
      <w:rFonts w:eastAsia="Arial Unicode MS" w:cs="Angsana New"/>
      <w:b/>
      <w:bCs/>
      <w:szCs w:val="22"/>
    </w:rPr>
  </w:style>
  <w:style w:type="paragraph" w:customStyle="1" w:styleId="xl25">
    <w:name w:val="xl25"/>
    <w:basedOn w:val="Normal"/>
    <w:rsid w:val="00855A78"/>
    <w:pPr>
      <w:spacing w:before="100" w:beforeAutospacing="1" w:after="100" w:afterAutospacing="1"/>
    </w:pPr>
    <w:rPr>
      <w:rFonts w:eastAsia="Arial Unicode MS" w:cs="Angsana New"/>
      <w:b/>
      <w:bCs/>
      <w:szCs w:val="22"/>
    </w:rPr>
  </w:style>
  <w:style w:type="paragraph" w:customStyle="1" w:styleId="xl26">
    <w:name w:val="xl26"/>
    <w:basedOn w:val="Normal"/>
    <w:rsid w:val="00855A78"/>
    <w:pPr>
      <w:spacing w:before="100" w:beforeAutospacing="1" w:after="100" w:afterAutospacing="1"/>
      <w:jc w:val="center"/>
    </w:pPr>
    <w:rPr>
      <w:rFonts w:eastAsia="Arial Unicode MS" w:cs="Angsana New"/>
      <w:b/>
      <w:bCs/>
      <w:szCs w:val="22"/>
    </w:rPr>
  </w:style>
  <w:style w:type="paragraph" w:customStyle="1" w:styleId="xl27">
    <w:name w:val="xl27"/>
    <w:basedOn w:val="Normal"/>
    <w:rsid w:val="00855A7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855A7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855A7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855A7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855A7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855A7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855A7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855A7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855A7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855A7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855A7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855A7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855A78"/>
    <w:pPr>
      <w:spacing w:before="100" w:beforeAutospacing="1" w:after="100" w:afterAutospacing="1"/>
      <w:textAlignment w:val="top"/>
    </w:pPr>
    <w:rPr>
      <w:rFonts w:eastAsia="Arial Unicode MS" w:cs="Angsana New"/>
      <w:szCs w:val="22"/>
    </w:rPr>
  </w:style>
  <w:style w:type="paragraph" w:customStyle="1" w:styleId="xl42">
    <w:name w:val="xl42"/>
    <w:basedOn w:val="Normal"/>
    <w:rsid w:val="00855A78"/>
    <w:pPr>
      <w:spacing w:before="100" w:beforeAutospacing="1" w:after="100" w:afterAutospacing="1"/>
      <w:jc w:val="center"/>
    </w:pPr>
    <w:rPr>
      <w:rFonts w:eastAsia="Arial Unicode MS" w:cs="Angsana New"/>
      <w:szCs w:val="22"/>
    </w:rPr>
  </w:style>
  <w:style w:type="paragraph" w:customStyle="1" w:styleId="xl43">
    <w:name w:val="xl43"/>
    <w:basedOn w:val="Normal"/>
    <w:rsid w:val="00855A7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855A7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855A7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855A7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855A7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855A7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855A7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855A7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855A7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855A7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855A78"/>
    <w:pPr>
      <w:spacing w:before="100" w:beforeAutospacing="1" w:after="100" w:afterAutospacing="1"/>
    </w:pPr>
    <w:rPr>
      <w:rFonts w:eastAsia="Arial Unicode MS" w:cs="Angsana New"/>
      <w:szCs w:val="22"/>
    </w:rPr>
  </w:style>
  <w:style w:type="paragraph" w:customStyle="1" w:styleId="xl57">
    <w:name w:val="xl57"/>
    <w:basedOn w:val="Normal"/>
    <w:rsid w:val="00855A7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855A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855A7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855A7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855A7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855A7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855A7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855A7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855A7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855A7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855A7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855A78"/>
    <w:pPr>
      <w:widowControl w:val="0"/>
      <w:tabs>
        <w:tab w:val="left" w:pos="720"/>
      </w:tabs>
      <w:spacing w:before="120" w:after="120"/>
    </w:pPr>
    <w:rPr>
      <w:rFonts w:eastAsia="MS Mincho" w:cs="Angsana New"/>
    </w:rPr>
  </w:style>
  <w:style w:type="paragraph" w:styleId="NormalWeb">
    <w:name w:val="Normal (Web)"/>
    <w:basedOn w:val="Normal"/>
    <w:uiPriority w:val="99"/>
    <w:rsid w:val="00855A7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855A7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855A78"/>
    <w:rPr>
      <w:b/>
      <w:bCs/>
    </w:rPr>
  </w:style>
  <w:style w:type="paragraph" w:customStyle="1" w:styleId="Para10">
    <w:name w:val="Para 1"/>
    <w:basedOn w:val="BodyText"/>
    <w:rsid w:val="00855A78"/>
    <w:pPr>
      <w:ind w:firstLine="0"/>
    </w:pPr>
    <w:rPr>
      <w:rFonts w:eastAsia="MS Mincho" w:cs="Angsana New"/>
      <w:bCs/>
      <w:iCs w:val="0"/>
      <w:szCs w:val="22"/>
    </w:rPr>
  </w:style>
  <w:style w:type="paragraph" w:customStyle="1" w:styleId="Style1">
    <w:name w:val="Style1"/>
    <w:basedOn w:val="Para10"/>
    <w:rsid w:val="00855A78"/>
    <w:pPr>
      <w:numPr>
        <w:ilvl w:val="1"/>
        <w:numId w:val="20"/>
      </w:numPr>
      <w:tabs>
        <w:tab w:val="clear" w:pos="1800"/>
        <w:tab w:val="num" w:pos="360"/>
      </w:tabs>
    </w:pPr>
  </w:style>
  <w:style w:type="paragraph" w:customStyle="1" w:styleId="aident">
    <w:name w:val="(a) ident"/>
    <w:basedOn w:val="Normal"/>
    <w:rsid w:val="00855A7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855A7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855A7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855A7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855A7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855A7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855A7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855A7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85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855A78"/>
    <w:rPr>
      <w:rFonts w:ascii="Courier New" w:eastAsia="MS Mincho" w:hAnsi="Courier New" w:cs="Courier New"/>
      <w:sz w:val="20"/>
      <w:lang w:val="en-GB"/>
    </w:rPr>
  </w:style>
  <w:style w:type="paragraph" w:customStyle="1" w:styleId="Para1alternative">
    <w:name w:val="Para1 (alternative)"/>
    <w:basedOn w:val="Normal"/>
    <w:rsid w:val="00855A7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855A7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855A78"/>
    <w:rPr>
      <w:rFonts w:ascii="Arial" w:hAnsi="Arial" w:cs="Arial" w:hint="default"/>
      <w:b w:val="0"/>
      <w:bCs w:val="0"/>
      <w:color w:val="000000"/>
      <w:sz w:val="24"/>
      <w:szCs w:val="24"/>
    </w:rPr>
  </w:style>
  <w:style w:type="character" w:customStyle="1" w:styleId="BodyText2CharCharChar">
    <w:name w:val="Body Text 2 Char Char Char"/>
    <w:rsid w:val="00855A7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855A78"/>
    <w:rPr>
      <w:sz w:val="22"/>
      <w:lang w:val="en-US" w:eastAsia="en-US" w:bidi="ar-SA"/>
    </w:rPr>
  </w:style>
  <w:style w:type="paragraph" w:customStyle="1" w:styleId="StylePara1Firstline127cm">
    <w:name w:val="Style Para1 + First line:  1.27 cm"/>
    <w:basedOn w:val="Para1"/>
    <w:rsid w:val="00855A7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855A78"/>
    <w:pPr>
      <w:spacing w:before="120" w:after="120"/>
      <w:jc w:val="center"/>
    </w:pPr>
    <w:rPr>
      <w:rFonts w:eastAsia="MS Mincho" w:cs="Angsana New"/>
      <w:i/>
    </w:rPr>
  </w:style>
  <w:style w:type="character" w:styleId="Emphasis">
    <w:name w:val="Emphasis"/>
    <w:qFormat/>
    <w:rsid w:val="00855A78"/>
    <w:rPr>
      <w:i/>
      <w:iCs/>
    </w:rPr>
  </w:style>
  <w:style w:type="character" w:customStyle="1" w:styleId="BlockTextChar">
    <w:name w:val="Block Text Char"/>
    <w:rsid w:val="00855A78"/>
    <w:rPr>
      <w:sz w:val="24"/>
      <w:szCs w:val="24"/>
      <w:lang w:val="en-US" w:eastAsia="en-US" w:bidi="ar-SA"/>
    </w:rPr>
  </w:style>
  <w:style w:type="paragraph" w:customStyle="1" w:styleId="bodytext210">
    <w:name w:val="bodytext21"/>
    <w:basedOn w:val="Normal"/>
    <w:rsid w:val="00855A7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855A78"/>
    <w:rPr>
      <w:sz w:val="22"/>
      <w:lang w:val="en-US" w:eastAsia="en-US" w:bidi="ar-SA"/>
    </w:rPr>
  </w:style>
  <w:style w:type="paragraph" w:styleId="CommentSubject">
    <w:name w:val="annotation subject"/>
    <w:basedOn w:val="CommentText"/>
    <w:next w:val="CommentText"/>
    <w:link w:val="CommentSubjectChar"/>
    <w:semiHidden/>
    <w:rsid w:val="00855A7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855A78"/>
    <w:rPr>
      <w:rFonts w:ascii="Times New Roman" w:eastAsia="MS Mincho" w:hAnsi="Times New Roman" w:cs="Angsana New"/>
      <w:b/>
      <w:bCs/>
      <w:sz w:val="20"/>
      <w:lang w:val="en-GB"/>
    </w:rPr>
  </w:style>
  <w:style w:type="character" w:customStyle="1" w:styleId="MathieuRgnier">
    <w:name w:val="Mathieu Régnier"/>
    <w:semiHidden/>
    <w:rsid w:val="00855A78"/>
    <w:rPr>
      <w:rFonts w:ascii="Arial" w:hAnsi="Arial" w:cs="Arial"/>
      <w:color w:val="auto"/>
      <w:sz w:val="20"/>
      <w:szCs w:val="20"/>
    </w:rPr>
  </w:style>
  <w:style w:type="paragraph" w:customStyle="1" w:styleId="bodytextnoindent">
    <w:name w:val="body text (no indent)"/>
    <w:basedOn w:val="Normal"/>
    <w:rsid w:val="00855A7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855A78"/>
    <w:rPr>
      <w:rFonts w:eastAsia="MS Mincho" w:cs="Angsana New"/>
      <w:i/>
      <w:iCs w:val="0"/>
    </w:rPr>
  </w:style>
  <w:style w:type="paragraph" w:customStyle="1" w:styleId="boxbody">
    <w:name w:val="boxbody"/>
    <w:basedOn w:val="Normal"/>
    <w:rsid w:val="00855A7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855A78"/>
    <w:pPr>
      <w:tabs>
        <w:tab w:val="clear" w:pos="720"/>
        <w:tab w:val="left" w:pos="900"/>
      </w:tabs>
    </w:pPr>
    <w:rPr>
      <w:rFonts w:eastAsia="Batang"/>
      <w:b w:val="0"/>
      <w:bCs w:val="0"/>
      <w:szCs w:val="20"/>
    </w:rPr>
  </w:style>
  <w:style w:type="paragraph" w:customStyle="1" w:styleId="Heading2noletter">
    <w:name w:val="Heading 2 (no letter)"/>
    <w:basedOn w:val="Heading2"/>
    <w:rsid w:val="00855A78"/>
    <w:pPr>
      <w:tabs>
        <w:tab w:val="clear" w:pos="720"/>
      </w:tabs>
    </w:pPr>
    <w:rPr>
      <w:rFonts w:eastAsia="MS Mincho"/>
    </w:rPr>
  </w:style>
  <w:style w:type="character" w:customStyle="1" w:styleId="Heading2CharChar">
    <w:name w:val="Heading 2 Char Char"/>
    <w:rsid w:val="00855A78"/>
    <w:rPr>
      <w:rFonts w:ascii="Arial" w:hAnsi="Arial" w:cs="Arial"/>
      <w:b/>
      <w:bCs/>
      <w:i/>
      <w:iCs/>
      <w:noProof w:val="0"/>
      <w:sz w:val="28"/>
      <w:szCs w:val="28"/>
      <w:lang w:val="en-US" w:eastAsia="en-US" w:bidi="ar-SA"/>
    </w:rPr>
  </w:style>
  <w:style w:type="paragraph" w:customStyle="1" w:styleId="Heading-plain0">
    <w:name w:val="Heading-plain"/>
    <w:basedOn w:val="Normal"/>
    <w:rsid w:val="00855A78"/>
    <w:pPr>
      <w:spacing w:before="120" w:after="120"/>
      <w:jc w:val="center"/>
      <w:outlineLvl w:val="0"/>
    </w:pPr>
    <w:rPr>
      <w:rFonts w:eastAsia="MS Mincho" w:cs="Angsana New"/>
      <w:i/>
      <w:szCs w:val="20"/>
    </w:rPr>
  </w:style>
  <w:style w:type="paragraph" w:customStyle="1" w:styleId="Heading-plainbold">
    <w:name w:val="Heading-plain bold"/>
    <w:basedOn w:val="BodyText"/>
    <w:rsid w:val="00855A78"/>
    <w:pPr>
      <w:ind w:firstLine="0"/>
      <w:jc w:val="center"/>
    </w:pPr>
    <w:rPr>
      <w:rFonts w:eastAsia="MS Mincho" w:cs="Angsana New"/>
      <w:b/>
      <w:bCs/>
      <w:i/>
      <w:iCs w:val="0"/>
    </w:rPr>
  </w:style>
  <w:style w:type="paragraph" w:customStyle="1" w:styleId="Heading-plainitalic">
    <w:name w:val="Heading-plain italic"/>
    <w:basedOn w:val="Heading-plainbold"/>
    <w:rsid w:val="00855A78"/>
    <w:rPr>
      <w:b w:val="0"/>
      <w:bCs w:val="0"/>
    </w:rPr>
  </w:style>
  <w:style w:type="character" w:customStyle="1" w:styleId="Para1Char0">
    <w:name w:val="Para 1 Char"/>
    <w:rsid w:val="00855A78"/>
    <w:rPr>
      <w:rFonts w:eastAsia="MS Mincho"/>
      <w:bCs/>
      <w:iCs/>
      <w:sz w:val="22"/>
      <w:szCs w:val="22"/>
      <w:lang w:val="en-GB" w:eastAsia="en-US" w:bidi="ar-SA"/>
    </w:rPr>
  </w:style>
  <w:style w:type="paragraph" w:customStyle="1" w:styleId="Para2rev">
    <w:name w:val="Para 2 (rev)"/>
    <w:basedOn w:val="Normal"/>
    <w:rsid w:val="00855A78"/>
    <w:pPr>
      <w:tabs>
        <w:tab w:val="num" w:pos="720"/>
      </w:tabs>
      <w:spacing w:after="120"/>
      <w:ind w:left="720" w:hanging="360"/>
    </w:pPr>
    <w:rPr>
      <w:rFonts w:eastAsia="MS Mincho" w:cs="Angsana New"/>
    </w:rPr>
  </w:style>
  <w:style w:type="paragraph" w:customStyle="1" w:styleId="Paraofficial">
    <w:name w:val="Para official"/>
    <w:basedOn w:val="Normal"/>
    <w:rsid w:val="00855A7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855A78"/>
    <w:pPr>
      <w:numPr>
        <w:numId w:val="23"/>
      </w:numPr>
      <w:spacing w:after="120"/>
    </w:pPr>
    <w:rPr>
      <w:rFonts w:eastAsia="MS Mincho"/>
      <w:szCs w:val="22"/>
      <w:lang w:val="en-US"/>
    </w:rPr>
  </w:style>
  <w:style w:type="paragraph" w:customStyle="1" w:styleId="Para40">
    <w:name w:val="Para4"/>
    <w:basedOn w:val="Para3"/>
    <w:rsid w:val="00855A7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855A7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855A78"/>
    <w:rPr>
      <w:rFonts w:cs="Angsana New"/>
      <w:iCs/>
      <w:snapToGrid w:val="0"/>
      <w:color w:val="000000"/>
      <w:sz w:val="22"/>
      <w:szCs w:val="22"/>
      <w:lang w:val="en-US" w:eastAsia="en-US" w:bidi="ar-SA"/>
    </w:rPr>
  </w:style>
  <w:style w:type="numbering" w:styleId="111111">
    <w:name w:val="Outline List 2"/>
    <w:basedOn w:val="NoList"/>
    <w:rsid w:val="00855A78"/>
    <w:pPr>
      <w:numPr>
        <w:numId w:val="26"/>
      </w:numPr>
    </w:pPr>
  </w:style>
  <w:style w:type="numbering" w:customStyle="1" w:styleId="Style2">
    <w:name w:val="Style2"/>
    <w:rsid w:val="00855A78"/>
    <w:pPr>
      <w:numPr>
        <w:numId w:val="27"/>
      </w:numPr>
    </w:pPr>
  </w:style>
  <w:style w:type="character" w:customStyle="1" w:styleId="Heading1longmultilineChar">
    <w:name w:val="Heading 1 (long multiline) Char"/>
    <w:link w:val="Heading1longmultiline"/>
    <w:rsid w:val="00855A7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855A78"/>
    <w:pPr>
      <w:ind w:left="720"/>
    </w:pPr>
    <w:rPr>
      <w:rFonts w:eastAsia="MS Mincho" w:cs="Angsana New"/>
    </w:rPr>
  </w:style>
  <w:style w:type="paragraph" w:customStyle="1" w:styleId="Default">
    <w:name w:val="Default"/>
    <w:basedOn w:val="Normal"/>
    <w:rsid w:val="00855A78"/>
    <w:pPr>
      <w:autoSpaceDE w:val="0"/>
      <w:autoSpaceDN w:val="0"/>
      <w:jc w:val="left"/>
    </w:pPr>
    <w:rPr>
      <w:rFonts w:eastAsia="Calibri"/>
      <w:color w:val="000000"/>
      <w:sz w:val="24"/>
      <w:lang w:val="en-US"/>
    </w:rPr>
  </w:style>
  <w:style w:type="character" w:customStyle="1" w:styleId="apple-style-span">
    <w:name w:val="apple-style-span"/>
    <w:rsid w:val="00855A78"/>
  </w:style>
  <w:style w:type="paragraph" w:customStyle="1" w:styleId="SubtleEmphasis1">
    <w:name w:val="Subtle Emphasis1"/>
    <w:basedOn w:val="Normal"/>
    <w:uiPriority w:val="34"/>
    <w:qFormat/>
    <w:rsid w:val="00855A7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855A78"/>
    <w:rPr>
      <w:rFonts w:ascii="Times New Roman Bold" w:eastAsia="MS Mincho" w:hAnsi="Times New Roman Bold"/>
      <w:b/>
      <w:bCs/>
      <w:i w:val="0"/>
      <w:iCs w:val="0"/>
      <w:caps/>
    </w:rPr>
  </w:style>
  <w:style w:type="paragraph" w:customStyle="1" w:styleId="LightList-Accent61">
    <w:name w:val="Light List - Accent 61"/>
    <w:uiPriority w:val="1"/>
    <w:qFormat/>
    <w:rsid w:val="00855A78"/>
    <w:rPr>
      <w:rFonts w:ascii="Calibri" w:eastAsia="MS Mincho" w:hAnsi="Calibri" w:cs="Times New Roman"/>
      <w:sz w:val="22"/>
      <w:szCs w:val="22"/>
      <w:lang w:val="en-US"/>
    </w:rPr>
  </w:style>
  <w:style w:type="paragraph" w:customStyle="1" w:styleId="Paraa">
    <w:name w:val="Para (a)"/>
    <w:basedOn w:val="Normal"/>
    <w:rsid w:val="0085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855A78"/>
    <w:rPr>
      <w:kern w:val="20"/>
      <w:sz w:val="22"/>
      <w:u w:val="none"/>
      <w:vertAlign w:val="superscript"/>
    </w:rPr>
  </w:style>
  <w:style w:type="character" w:customStyle="1" w:styleId="s13">
    <w:name w:val="s13"/>
    <w:rsid w:val="00855A78"/>
  </w:style>
  <w:style w:type="paragraph" w:customStyle="1" w:styleId="ColorfulGrid-Accent61">
    <w:name w:val="Colorful Grid - Accent 61"/>
    <w:hidden/>
    <w:uiPriority w:val="99"/>
    <w:semiHidden/>
    <w:rsid w:val="00855A78"/>
    <w:rPr>
      <w:rFonts w:ascii="Times New Roman" w:eastAsia="MS Mincho" w:hAnsi="Times New Roman" w:cs="Angsana New"/>
      <w:sz w:val="22"/>
      <w:lang w:val="en-GB"/>
    </w:rPr>
  </w:style>
  <w:style w:type="paragraph" w:customStyle="1" w:styleId="MediumShading2-Accent61">
    <w:name w:val="Medium Shading 2 - Accent 61"/>
    <w:hidden/>
    <w:uiPriority w:val="99"/>
    <w:semiHidden/>
    <w:rsid w:val="00855A78"/>
    <w:rPr>
      <w:rFonts w:ascii="Times New Roman" w:eastAsia="MS Mincho" w:hAnsi="Times New Roman" w:cs="Angsana New"/>
      <w:sz w:val="22"/>
      <w:lang w:val="en-GB"/>
    </w:rPr>
  </w:style>
  <w:style w:type="paragraph" w:customStyle="1" w:styleId="MediumList1-Accent61">
    <w:name w:val="Medium List 1 - Accent 61"/>
    <w:basedOn w:val="Normal"/>
    <w:uiPriority w:val="34"/>
    <w:qFormat/>
    <w:rsid w:val="00855A78"/>
    <w:pPr>
      <w:ind w:left="720"/>
    </w:pPr>
    <w:rPr>
      <w:rFonts w:eastAsia="MS Mincho" w:cs="Angsana New"/>
    </w:rPr>
  </w:style>
  <w:style w:type="paragraph" w:customStyle="1" w:styleId="MediumGrid1-Accent21">
    <w:name w:val="Medium Grid 1 - Accent 21"/>
    <w:basedOn w:val="Normal"/>
    <w:uiPriority w:val="34"/>
    <w:qFormat/>
    <w:rsid w:val="00855A78"/>
    <w:pPr>
      <w:ind w:left="720"/>
    </w:pPr>
    <w:rPr>
      <w:rFonts w:eastAsia="MS Mincho" w:cs="Angsana New"/>
    </w:rPr>
  </w:style>
  <w:style w:type="paragraph" w:styleId="Revision">
    <w:name w:val="Revision"/>
    <w:hidden/>
    <w:uiPriority w:val="99"/>
    <w:semiHidden/>
    <w:rsid w:val="00855A78"/>
    <w:rPr>
      <w:rFonts w:ascii="Times New Roman" w:eastAsia="MS Mincho" w:hAnsi="Times New Roman" w:cs="Angsana New"/>
      <w:sz w:val="22"/>
      <w:lang w:val="en-GB"/>
    </w:rPr>
  </w:style>
  <w:style w:type="character" w:customStyle="1" w:styleId="UnresolvedMention">
    <w:name w:val="Unresolved Mention"/>
    <w:basedOn w:val="DefaultParagraphFont"/>
    <w:uiPriority w:val="99"/>
    <w:semiHidden/>
    <w:unhideWhenUsed/>
    <w:rsid w:val="004A1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043">
      <w:bodyDiv w:val="1"/>
      <w:marLeft w:val="0"/>
      <w:marRight w:val="0"/>
      <w:marTop w:val="0"/>
      <w:marBottom w:val="0"/>
      <w:divBdr>
        <w:top w:val="none" w:sz="0" w:space="0" w:color="auto"/>
        <w:left w:val="none" w:sz="0" w:space="0" w:color="auto"/>
        <w:bottom w:val="none" w:sz="0" w:space="0" w:color="auto"/>
        <w:right w:val="none" w:sz="0" w:space="0" w:color="auto"/>
      </w:divBdr>
    </w:div>
    <w:div w:id="35551189">
      <w:bodyDiv w:val="1"/>
      <w:marLeft w:val="0"/>
      <w:marRight w:val="0"/>
      <w:marTop w:val="0"/>
      <w:marBottom w:val="0"/>
      <w:divBdr>
        <w:top w:val="none" w:sz="0" w:space="0" w:color="auto"/>
        <w:left w:val="none" w:sz="0" w:space="0" w:color="auto"/>
        <w:bottom w:val="none" w:sz="0" w:space="0" w:color="auto"/>
        <w:right w:val="none" w:sz="0" w:space="0" w:color="auto"/>
      </w:divBdr>
    </w:div>
    <w:div w:id="116144043">
      <w:bodyDiv w:val="1"/>
      <w:marLeft w:val="0"/>
      <w:marRight w:val="0"/>
      <w:marTop w:val="0"/>
      <w:marBottom w:val="0"/>
      <w:divBdr>
        <w:top w:val="none" w:sz="0" w:space="0" w:color="auto"/>
        <w:left w:val="none" w:sz="0" w:space="0" w:color="auto"/>
        <w:bottom w:val="none" w:sz="0" w:space="0" w:color="auto"/>
        <w:right w:val="none" w:sz="0" w:space="0" w:color="auto"/>
      </w:divBdr>
    </w:div>
    <w:div w:id="182059048">
      <w:bodyDiv w:val="1"/>
      <w:marLeft w:val="0"/>
      <w:marRight w:val="0"/>
      <w:marTop w:val="0"/>
      <w:marBottom w:val="0"/>
      <w:divBdr>
        <w:top w:val="none" w:sz="0" w:space="0" w:color="auto"/>
        <w:left w:val="none" w:sz="0" w:space="0" w:color="auto"/>
        <w:bottom w:val="none" w:sz="0" w:space="0" w:color="auto"/>
        <w:right w:val="none" w:sz="0" w:space="0" w:color="auto"/>
      </w:divBdr>
    </w:div>
    <w:div w:id="185753032">
      <w:bodyDiv w:val="1"/>
      <w:marLeft w:val="0"/>
      <w:marRight w:val="0"/>
      <w:marTop w:val="0"/>
      <w:marBottom w:val="0"/>
      <w:divBdr>
        <w:top w:val="none" w:sz="0" w:space="0" w:color="auto"/>
        <w:left w:val="none" w:sz="0" w:space="0" w:color="auto"/>
        <w:bottom w:val="none" w:sz="0" w:space="0" w:color="auto"/>
        <w:right w:val="none" w:sz="0" w:space="0" w:color="auto"/>
      </w:divBdr>
    </w:div>
    <w:div w:id="243028141">
      <w:bodyDiv w:val="1"/>
      <w:marLeft w:val="0"/>
      <w:marRight w:val="0"/>
      <w:marTop w:val="0"/>
      <w:marBottom w:val="0"/>
      <w:divBdr>
        <w:top w:val="none" w:sz="0" w:space="0" w:color="auto"/>
        <w:left w:val="none" w:sz="0" w:space="0" w:color="auto"/>
        <w:bottom w:val="none" w:sz="0" w:space="0" w:color="auto"/>
        <w:right w:val="none" w:sz="0" w:space="0" w:color="auto"/>
      </w:divBdr>
    </w:div>
    <w:div w:id="279529041">
      <w:bodyDiv w:val="1"/>
      <w:marLeft w:val="0"/>
      <w:marRight w:val="0"/>
      <w:marTop w:val="0"/>
      <w:marBottom w:val="0"/>
      <w:divBdr>
        <w:top w:val="none" w:sz="0" w:space="0" w:color="auto"/>
        <w:left w:val="none" w:sz="0" w:space="0" w:color="auto"/>
        <w:bottom w:val="none" w:sz="0" w:space="0" w:color="auto"/>
        <w:right w:val="none" w:sz="0" w:space="0" w:color="auto"/>
      </w:divBdr>
    </w:div>
    <w:div w:id="323971920">
      <w:bodyDiv w:val="1"/>
      <w:marLeft w:val="0"/>
      <w:marRight w:val="0"/>
      <w:marTop w:val="0"/>
      <w:marBottom w:val="0"/>
      <w:divBdr>
        <w:top w:val="none" w:sz="0" w:space="0" w:color="auto"/>
        <w:left w:val="none" w:sz="0" w:space="0" w:color="auto"/>
        <w:bottom w:val="none" w:sz="0" w:space="0" w:color="auto"/>
        <w:right w:val="none" w:sz="0" w:space="0" w:color="auto"/>
      </w:divBdr>
    </w:div>
    <w:div w:id="379406569">
      <w:bodyDiv w:val="1"/>
      <w:marLeft w:val="0"/>
      <w:marRight w:val="0"/>
      <w:marTop w:val="0"/>
      <w:marBottom w:val="0"/>
      <w:divBdr>
        <w:top w:val="none" w:sz="0" w:space="0" w:color="auto"/>
        <w:left w:val="none" w:sz="0" w:space="0" w:color="auto"/>
        <w:bottom w:val="none" w:sz="0" w:space="0" w:color="auto"/>
        <w:right w:val="none" w:sz="0" w:space="0" w:color="auto"/>
      </w:divBdr>
    </w:div>
    <w:div w:id="659576902">
      <w:bodyDiv w:val="1"/>
      <w:marLeft w:val="0"/>
      <w:marRight w:val="0"/>
      <w:marTop w:val="0"/>
      <w:marBottom w:val="0"/>
      <w:divBdr>
        <w:top w:val="none" w:sz="0" w:space="0" w:color="auto"/>
        <w:left w:val="none" w:sz="0" w:space="0" w:color="auto"/>
        <w:bottom w:val="none" w:sz="0" w:space="0" w:color="auto"/>
        <w:right w:val="none" w:sz="0" w:space="0" w:color="auto"/>
      </w:divBdr>
    </w:div>
    <w:div w:id="692728347">
      <w:bodyDiv w:val="1"/>
      <w:marLeft w:val="0"/>
      <w:marRight w:val="0"/>
      <w:marTop w:val="0"/>
      <w:marBottom w:val="0"/>
      <w:divBdr>
        <w:top w:val="none" w:sz="0" w:space="0" w:color="auto"/>
        <w:left w:val="none" w:sz="0" w:space="0" w:color="auto"/>
        <w:bottom w:val="none" w:sz="0" w:space="0" w:color="auto"/>
        <w:right w:val="none" w:sz="0" w:space="0" w:color="auto"/>
      </w:divBdr>
    </w:div>
    <w:div w:id="740175062">
      <w:bodyDiv w:val="1"/>
      <w:marLeft w:val="0"/>
      <w:marRight w:val="0"/>
      <w:marTop w:val="0"/>
      <w:marBottom w:val="0"/>
      <w:divBdr>
        <w:top w:val="none" w:sz="0" w:space="0" w:color="auto"/>
        <w:left w:val="none" w:sz="0" w:space="0" w:color="auto"/>
        <w:bottom w:val="none" w:sz="0" w:space="0" w:color="auto"/>
        <w:right w:val="none" w:sz="0" w:space="0" w:color="auto"/>
      </w:divBdr>
    </w:div>
    <w:div w:id="766775960">
      <w:bodyDiv w:val="1"/>
      <w:marLeft w:val="0"/>
      <w:marRight w:val="0"/>
      <w:marTop w:val="0"/>
      <w:marBottom w:val="0"/>
      <w:divBdr>
        <w:top w:val="none" w:sz="0" w:space="0" w:color="auto"/>
        <w:left w:val="none" w:sz="0" w:space="0" w:color="auto"/>
        <w:bottom w:val="none" w:sz="0" w:space="0" w:color="auto"/>
        <w:right w:val="none" w:sz="0" w:space="0" w:color="auto"/>
      </w:divBdr>
    </w:div>
    <w:div w:id="870454007">
      <w:bodyDiv w:val="1"/>
      <w:marLeft w:val="0"/>
      <w:marRight w:val="0"/>
      <w:marTop w:val="0"/>
      <w:marBottom w:val="0"/>
      <w:divBdr>
        <w:top w:val="none" w:sz="0" w:space="0" w:color="auto"/>
        <w:left w:val="none" w:sz="0" w:space="0" w:color="auto"/>
        <w:bottom w:val="none" w:sz="0" w:space="0" w:color="auto"/>
        <w:right w:val="none" w:sz="0" w:space="0" w:color="auto"/>
      </w:divBdr>
    </w:div>
    <w:div w:id="913703325">
      <w:bodyDiv w:val="1"/>
      <w:marLeft w:val="0"/>
      <w:marRight w:val="0"/>
      <w:marTop w:val="0"/>
      <w:marBottom w:val="0"/>
      <w:divBdr>
        <w:top w:val="none" w:sz="0" w:space="0" w:color="auto"/>
        <w:left w:val="none" w:sz="0" w:space="0" w:color="auto"/>
        <w:bottom w:val="none" w:sz="0" w:space="0" w:color="auto"/>
        <w:right w:val="none" w:sz="0" w:space="0" w:color="auto"/>
      </w:divBdr>
    </w:div>
    <w:div w:id="967586129">
      <w:bodyDiv w:val="1"/>
      <w:marLeft w:val="0"/>
      <w:marRight w:val="0"/>
      <w:marTop w:val="0"/>
      <w:marBottom w:val="0"/>
      <w:divBdr>
        <w:top w:val="none" w:sz="0" w:space="0" w:color="auto"/>
        <w:left w:val="none" w:sz="0" w:space="0" w:color="auto"/>
        <w:bottom w:val="none" w:sz="0" w:space="0" w:color="auto"/>
        <w:right w:val="none" w:sz="0" w:space="0" w:color="auto"/>
      </w:divBdr>
    </w:div>
    <w:div w:id="1086920516">
      <w:bodyDiv w:val="1"/>
      <w:marLeft w:val="0"/>
      <w:marRight w:val="0"/>
      <w:marTop w:val="0"/>
      <w:marBottom w:val="0"/>
      <w:divBdr>
        <w:top w:val="none" w:sz="0" w:space="0" w:color="auto"/>
        <w:left w:val="none" w:sz="0" w:space="0" w:color="auto"/>
        <w:bottom w:val="none" w:sz="0" w:space="0" w:color="auto"/>
        <w:right w:val="none" w:sz="0" w:space="0" w:color="auto"/>
      </w:divBdr>
    </w:div>
    <w:div w:id="1186015178">
      <w:bodyDiv w:val="1"/>
      <w:marLeft w:val="0"/>
      <w:marRight w:val="0"/>
      <w:marTop w:val="0"/>
      <w:marBottom w:val="0"/>
      <w:divBdr>
        <w:top w:val="none" w:sz="0" w:space="0" w:color="auto"/>
        <w:left w:val="none" w:sz="0" w:space="0" w:color="auto"/>
        <w:bottom w:val="none" w:sz="0" w:space="0" w:color="auto"/>
        <w:right w:val="none" w:sz="0" w:space="0" w:color="auto"/>
      </w:divBdr>
    </w:div>
    <w:div w:id="1279676885">
      <w:bodyDiv w:val="1"/>
      <w:marLeft w:val="0"/>
      <w:marRight w:val="0"/>
      <w:marTop w:val="0"/>
      <w:marBottom w:val="0"/>
      <w:divBdr>
        <w:top w:val="none" w:sz="0" w:space="0" w:color="auto"/>
        <w:left w:val="none" w:sz="0" w:space="0" w:color="auto"/>
        <w:bottom w:val="none" w:sz="0" w:space="0" w:color="auto"/>
        <w:right w:val="none" w:sz="0" w:space="0" w:color="auto"/>
      </w:divBdr>
    </w:div>
    <w:div w:id="1318992638">
      <w:bodyDiv w:val="1"/>
      <w:marLeft w:val="0"/>
      <w:marRight w:val="0"/>
      <w:marTop w:val="0"/>
      <w:marBottom w:val="0"/>
      <w:divBdr>
        <w:top w:val="none" w:sz="0" w:space="0" w:color="auto"/>
        <w:left w:val="none" w:sz="0" w:space="0" w:color="auto"/>
        <w:bottom w:val="none" w:sz="0" w:space="0" w:color="auto"/>
        <w:right w:val="none" w:sz="0" w:space="0" w:color="auto"/>
      </w:divBdr>
    </w:div>
    <w:div w:id="1374304078">
      <w:bodyDiv w:val="1"/>
      <w:marLeft w:val="0"/>
      <w:marRight w:val="0"/>
      <w:marTop w:val="0"/>
      <w:marBottom w:val="0"/>
      <w:divBdr>
        <w:top w:val="none" w:sz="0" w:space="0" w:color="auto"/>
        <w:left w:val="none" w:sz="0" w:space="0" w:color="auto"/>
        <w:bottom w:val="none" w:sz="0" w:space="0" w:color="auto"/>
        <w:right w:val="none" w:sz="0" w:space="0" w:color="auto"/>
      </w:divBdr>
    </w:div>
    <w:div w:id="1378898341">
      <w:bodyDiv w:val="1"/>
      <w:marLeft w:val="0"/>
      <w:marRight w:val="0"/>
      <w:marTop w:val="0"/>
      <w:marBottom w:val="0"/>
      <w:divBdr>
        <w:top w:val="none" w:sz="0" w:space="0" w:color="auto"/>
        <w:left w:val="none" w:sz="0" w:space="0" w:color="auto"/>
        <w:bottom w:val="none" w:sz="0" w:space="0" w:color="auto"/>
        <w:right w:val="none" w:sz="0" w:space="0" w:color="auto"/>
      </w:divBdr>
    </w:div>
    <w:div w:id="1461726005">
      <w:bodyDiv w:val="1"/>
      <w:marLeft w:val="0"/>
      <w:marRight w:val="0"/>
      <w:marTop w:val="0"/>
      <w:marBottom w:val="0"/>
      <w:divBdr>
        <w:top w:val="none" w:sz="0" w:space="0" w:color="auto"/>
        <w:left w:val="none" w:sz="0" w:space="0" w:color="auto"/>
        <w:bottom w:val="none" w:sz="0" w:space="0" w:color="auto"/>
        <w:right w:val="none" w:sz="0" w:space="0" w:color="auto"/>
      </w:divBdr>
    </w:div>
    <w:div w:id="1583374636">
      <w:bodyDiv w:val="1"/>
      <w:marLeft w:val="0"/>
      <w:marRight w:val="0"/>
      <w:marTop w:val="0"/>
      <w:marBottom w:val="0"/>
      <w:divBdr>
        <w:top w:val="none" w:sz="0" w:space="0" w:color="auto"/>
        <w:left w:val="none" w:sz="0" w:space="0" w:color="auto"/>
        <w:bottom w:val="none" w:sz="0" w:space="0" w:color="auto"/>
        <w:right w:val="none" w:sz="0" w:space="0" w:color="auto"/>
      </w:divBdr>
    </w:div>
    <w:div w:id="1623462448">
      <w:bodyDiv w:val="1"/>
      <w:marLeft w:val="0"/>
      <w:marRight w:val="0"/>
      <w:marTop w:val="0"/>
      <w:marBottom w:val="0"/>
      <w:divBdr>
        <w:top w:val="none" w:sz="0" w:space="0" w:color="auto"/>
        <w:left w:val="none" w:sz="0" w:space="0" w:color="auto"/>
        <w:bottom w:val="none" w:sz="0" w:space="0" w:color="auto"/>
        <w:right w:val="none" w:sz="0" w:space="0" w:color="auto"/>
      </w:divBdr>
    </w:div>
    <w:div w:id="1693072979">
      <w:bodyDiv w:val="1"/>
      <w:marLeft w:val="0"/>
      <w:marRight w:val="0"/>
      <w:marTop w:val="0"/>
      <w:marBottom w:val="0"/>
      <w:divBdr>
        <w:top w:val="none" w:sz="0" w:space="0" w:color="auto"/>
        <w:left w:val="none" w:sz="0" w:space="0" w:color="auto"/>
        <w:bottom w:val="none" w:sz="0" w:space="0" w:color="auto"/>
        <w:right w:val="none" w:sz="0" w:space="0" w:color="auto"/>
      </w:divBdr>
    </w:div>
    <w:div w:id="1717241356">
      <w:bodyDiv w:val="1"/>
      <w:marLeft w:val="0"/>
      <w:marRight w:val="0"/>
      <w:marTop w:val="0"/>
      <w:marBottom w:val="0"/>
      <w:divBdr>
        <w:top w:val="none" w:sz="0" w:space="0" w:color="auto"/>
        <w:left w:val="none" w:sz="0" w:space="0" w:color="auto"/>
        <w:bottom w:val="none" w:sz="0" w:space="0" w:color="auto"/>
        <w:right w:val="none" w:sz="0" w:space="0" w:color="auto"/>
      </w:divBdr>
    </w:div>
    <w:div w:id="1720781195">
      <w:bodyDiv w:val="1"/>
      <w:marLeft w:val="0"/>
      <w:marRight w:val="0"/>
      <w:marTop w:val="0"/>
      <w:marBottom w:val="0"/>
      <w:divBdr>
        <w:top w:val="none" w:sz="0" w:space="0" w:color="auto"/>
        <w:left w:val="none" w:sz="0" w:space="0" w:color="auto"/>
        <w:bottom w:val="none" w:sz="0" w:space="0" w:color="auto"/>
        <w:right w:val="none" w:sz="0" w:space="0" w:color="auto"/>
      </w:divBdr>
    </w:div>
    <w:div w:id="1757556502">
      <w:bodyDiv w:val="1"/>
      <w:marLeft w:val="0"/>
      <w:marRight w:val="0"/>
      <w:marTop w:val="0"/>
      <w:marBottom w:val="0"/>
      <w:divBdr>
        <w:top w:val="none" w:sz="0" w:space="0" w:color="auto"/>
        <w:left w:val="none" w:sz="0" w:space="0" w:color="auto"/>
        <w:bottom w:val="none" w:sz="0" w:space="0" w:color="auto"/>
        <w:right w:val="none" w:sz="0" w:space="0" w:color="auto"/>
      </w:divBdr>
    </w:div>
    <w:div w:id="1789082052">
      <w:bodyDiv w:val="1"/>
      <w:marLeft w:val="0"/>
      <w:marRight w:val="0"/>
      <w:marTop w:val="0"/>
      <w:marBottom w:val="0"/>
      <w:divBdr>
        <w:top w:val="none" w:sz="0" w:space="0" w:color="auto"/>
        <w:left w:val="none" w:sz="0" w:space="0" w:color="auto"/>
        <w:bottom w:val="none" w:sz="0" w:space="0" w:color="auto"/>
        <w:right w:val="none" w:sz="0" w:space="0" w:color="auto"/>
      </w:divBdr>
    </w:div>
    <w:div w:id="1908685605">
      <w:bodyDiv w:val="1"/>
      <w:marLeft w:val="0"/>
      <w:marRight w:val="0"/>
      <w:marTop w:val="0"/>
      <w:marBottom w:val="0"/>
      <w:divBdr>
        <w:top w:val="none" w:sz="0" w:space="0" w:color="auto"/>
        <w:left w:val="none" w:sz="0" w:space="0" w:color="auto"/>
        <w:bottom w:val="none" w:sz="0" w:space="0" w:color="auto"/>
        <w:right w:val="none" w:sz="0" w:space="0" w:color="auto"/>
      </w:divBdr>
    </w:div>
    <w:div w:id="1911964121">
      <w:bodyDiv w:val="1"/>
      <w:marLeft w:val="0"/>
      <w:marRight w:val="0"/>
      <w:marTop w:val="0"/>
      <w:marBottom w:val="0"/>
      <w:divBdr>
        <w:top w:val="none" w:sz="0" w:space="0" w:color="auto"/>
        <w:left w:val="none" w:sz="0" w:space="0" w:color="auto"/>
        <w:bottom w:val="none" w:sz="0" w:space="0" w:color="auto"/>
        <w:right w:val="none" w:sz="0" w:space="0" w:color="auto"/>
      </w:divBdr>
    </w:div>
    <w:div w:id="1989702904">
      <w:bodyDiv w:val="1"/>
      <w:marLeft w:val="0"/>
      <w:marRight w:val="0"/>
      <w:marTop w:val="0"/>
      <w:marBottom w:val="0"/>
      <w:divBdr>
        <w:top w:val="none" w:sz="0" w:space="0" w:color="auto"/>
        <w:left w:val="none" w:sz="0" w:space="0" w:color="auto"/>
        <w:bottom w:val="none" w:sz="0" w:space="0" w:color="auto"/>
        <w:right w:val="none" w:sz="0" w:space="0" w:color="auto"/>
      </w:divBdr>
    </w:div>
    <w:div w:id="2069569628">
      <w:bodyDiv w:val="1"/>
      <w:marLeft w:val="0"/>
      <w:marRight w:val="0"/>
      <w:marTop w:val="0"/>
      <w:marBottom w:val="0"/>
      <w:divBdr>
        <w:top w:val="none" w:sz="0" w:space="0" w:color="auto"/>
        <w:left w:val="none" w:sz="0" w:space="0" w:color="auto"/>
        <w:bottom w:val="none" w:sz="0" w:space="0" w:color="auto"/>
        <w:right w:val="none" w:sz="0" w:space="0" w:color="auto"/>
      </w:divBdr>
    </w:div>
    <w:div w:id="2091389051">
      <w:bodyDiv w:val="1"/>
      <w:marLeft w:val="0"/>
      <w:marRight w:val="0"/>
      <w:marTop w:val="0"/>
      <w:marBottom w:val="0"/>
      <w:divBdr>
        <w:top w:val="none" w:sz="0" w:space="0" w:color="auto"/>
        <w:left w:val="none" w:sz="0" w:space="0" w:color="auto"/>
        <w:bottom w:val="none" w:sz="0" w:space="0" w:color="auto"/>
        <w:right w:val="none" w:sz="0" w:space="0" w:color="auto"/>
      </w:divBdr>
    </w:div>
    <w:div w:id="2094083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0-en.pdf"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cbd.int/doc/decisions/cop-12/cop-12-dec-03-en.pdf"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m.cbd.int/search/financial-analyzer"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chm.cbd.int/search/financial-analyzer"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c/fcae/4aa8/dd3362074b26490c60880abd/sbi-02-02-add1-en.pdf" TargetMode="External"/><Relationship Id="rId22" Type="http://schemas.openxmlformats.org/officeDocument/2006/relationships/header" Target="header3.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weo/2017/02/weodata/index.aspx" TargetMode="External"/><Relationship Id="rId2" Type="http://schemas.openxmlformats.org/officeDocument/2006/relationships/hyperlink" Target="https://www.cbd.int/doc/meetings/cop/cop-13/official/cop-13-11-rev1-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biodiversityfinance.net/finance-nature-global-conference" TargetMode="External"/><Relationship Id="rId5" Type="http://schemas.openxmlformats.org/officeDocument/2006/relationships/hyperlink" Target="http://www.biodiversityfinance.net/finance-solutions" TargetMode="External"/><Relationship Id="rId4" Type="http://schemas.openxmlformats.org/officeDocument/2006/relationships/hyperlink" Target="http://stats.oecd.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D8104214564783AE3253AD62ABBD48"/>
        <w:category>
          <w:name w:val="General"/>
          <w:gallery w:val="placeholder"/>
        </w:category>
        <w:types>
          <w:type w:val="bbPlcHdr"/>
        </w:types>
        <w:behaviors>
          <w:behavior w:val="content"/>
        </w:behaviors>
        <w:guid w:val="{A3AAE34F-140C-46A9-A595-E4C5EA5EC926}"/>
      </w:docPartPr>
      <w:docPartBody>
        <w:p w:rsidR="009B500C" w:rsidRDefault="008A48F5" w:rsidP="008A48F5">
          <w:pPr>
            <w:pStyle w:val="B3D8104214564783AE3253AD62ABBD48"/>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10A55"/>
    <w:rsid w:val="00150840"/>
    <w:rsid w:val="002A64D0"/>
    <w:rsid w:val="003D294E"/>
    <w:rsid w:val="004E0FA5"/>
    <w:rsid w:val="00500A2B"/>
    <w:rsid w:val="0058288D"/>
    <w:rsid w:val="006221CF"/>
    <w:rsid w:val="006801B3"/>
    <w:rsid w:val="006E3C0C"/>
    <w:rsid w:val="00810A55"/>
    <w:rsid w:val="008821B1"/>
    <w:rsid w:val="008A48F5"/>
    <w:rsid w:val="008C6619"/>
    <w:rsid w:val="008D420E"/>
    <w:rsid w:val="0098642F"/>
    <w:rsid w:val="009B500C"/>
    <w:rsid w:val="00AA72C9"/>
    <w:rsid w:val="00B6620D"/>
    <w:rsid w:val="00DD74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F5"/>
    <w:rPr>
      <w:color w:val="808080"/>
    </w:rPr>
  </w:style>
  <w:style w:type="paragraph" w:customStyle="1" w:styleId="B3D8104214564783AE3253AD62ABBD48">
    <w:name w:val="B3D8104214564783AE3253AD62ABBD48"/>
    <w:rsid w:val="008A48F5"/>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DC8CFB-2B6E-4593-99B0-79479490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Stocktake and updated analysis of information provided through the financial reporting framework</vt:lpstr>
    </vt:vector>
  </TitlesOfParts>
  <Company>SCBD</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Stocktake and updated analysis of information provided through the financial reporting framework</dc:title>
  <dc:subject>CBD/SBI/7/Add.1</dc:subject>
  <dc:creator>SCBD</dc:creator>
  <cp:lastModifiedBy>Orestes Plasencia</cp:lastModifiedBy>
  <cp:revision>5</cp:revision>
  <cp:lastPrinted>2018-06-07T19:08:00Z</cp:lastPrinted>
  <dcterms:created xsi:type="dcterms:W3CDTF">2018-06-08T16:00:00Z</dcterms:created>
  <dcterms:modified xsi:type="dcterms:W3CDTF">2018-06-08T16:12:00Z</dcterms:modified>
  <cp:contentStatus>GENERAL</cp:contentStatus>
</cp:coreProperties>
</file>