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79DF" w:rsidRPr="002860FA" w14:paraId="5652E4BA" w14:textId="77777777" w:rsidTr="00BA5E96">
        <w:trPr>
          <w:trHeight w:val="844"/>
        </w:trPr>
        <w:tc>
          <w:tcPr>
            <w:tcW w:w="976" w:type="dxa"/>
            <w:tcBorders>
              <w:bottom w:val="single" w:sz="12" w:space="0" w:color="auto"/>
            </w:tcBorders>
          </w:tcPr>
          <w:p w14:paraId="0FADD1D2" w14:textId="77777777" w:rsidR="00D479DF" w:rsidRPr="002860FA" w:rsidRDefault="00D479DF" w:rsidP="00BA5E96">
            <w:pPr>
              <w:rPr>
                <w:kern w:val="22"/>
                <w:lang w:val="en-GB"/>
              </w:rPr>
            </w:pPr>
            <w:bookmarkStart w:id="0" w:name="Meeting"/>
            <w:r w:rsidRPr="002860FA">
              <w:rPr>
                <w:noProof/>
                <w:kern w:val="22"/>
                <w:lang w:val="en-GB"/>
              </w:rPr>
              <w:drawing>
                <wp:anchor distT="0" distB="0" distL="114300" distR="114300" simplePos="0" relativeHeight="251661312" behindDoc="0" locked="0" layoutInCell="1" allowOverlap="1" wp14:anchorId="5C1E6861" wp14:editId="15974B1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A572EB9" w14:textId="77777777" w:rsidR="00D479DF" w:rsidRPr="002860FA" w:rsidRDefault="00D479DF" w:rsidP="00BA5E96">
            <w:pPr>
              <w:rPr>
                <w:kern w:val="22"/>
                <w:lang w:val="en-GB"/>
              </w:rPr>
            </w:pPr>
            <w:r w:rsidRPr="002860FA">
              <w:rPr>
                <w:noProof/>
                <w:lang w:val="en-GB"/>
              </w:rPr>
              <w:drawing>
                <wp:anchor distT="0" distB="0" distL="114300" distR="114300" simplePos="0" relativeHeight="251656192" behindDoc="0" locked="0" layoutInCell="1" allowOverlap="1" wp14:anchorId="6827D8B7" wp14:editId="5BB1C2E4">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DA822FC" w14:textId="77777777" w:rsidR="00D479DF" w:rsidRPr="00311B41" w:rsidRDefault="00D479DF" w:rsidP="00BA5E96">
            <w:pPr>
              <w:jc w:val="right"/>
              <w:rPr>
                <w:rFonts w:ascii="Arial" w:hAnsi="Arial" w:cs="Arial"/>
                <w:b/>
                <w:kern w:val="22"/>
                <w:sz w:val="32"/>
                <w:szCs w:val="32"/>
                <w:lang w:val="en-GB"/>
              </w:rPr>
            </w:pPr>
            <w:r w:rsidRPr="00311B41">
              <w:rPr>
                <w:rFonts w:ascii="Arial" w:hAnsi="Arial" w:cs="Arial"/>
                <w:b/>
                <w:kern w:val="22"/>
                <w:sz w:val="32"/>
                <w:szCs w:val="32"/>
                <w:lang w:val="en-GB"/>
              </w:rPr>
              <w:t>CBD</w:t>
            </w:r>
          </w:p>
        </w:tc>
      </w:tr>
      <w:tr w:rsidR="00D479DF" w:rsidRPr="002860FA" w14:paraId="12F5006F" w14:textId="77777777" w:rsidTr="00BA5E96">
        <w:tc>
          <w:tcPr>
            <w:tcW w:w="6117" w:type="dxa"/>
            <w:gridSpan w:val="2"/>
            <w:tcBorders>
              <w:top w:val="single" w:sz="12" w:space="0" w:color="auto"/>
              <w:bottom w:val="single" w:sz="36" w:space="0" w:color="auto"/>
            </w:tcBorders>
            <w:vAlign w:val="center"/>
          </w:tcPr>
          <w:p w14:paraId="451DA2D7" w14:textId="77777777" w:rsidR="00D479DF" w:rsidRPr="002860FA" w:rsidRDefault="00D479DF" w:rsidP="00BA5E96">
            <w:pPr>
              <w:rPr>
                <w:kern w:val="22"/>
                <w:lang w:val="en-GB"/>
              </w:rPr>
            </w:pPr>
            <w:r w:rsidRPr="002860FA">
              <w:rPr>
                <w:noProof/>
                <w:kern w:val="22"/>
                <w:lang w:val="en-GB"/>
              </w:rPr>
              <w:drawing>
                <wp:inline distT="0" distB="0" distL="0" distR="0" wp14:anchorId="4D8E7992" wp14:editId="6DDAC09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FCE1D5" w14:textId="77777777" w:rsidR="00D479DF" w:rsidRPr="00C71AD1" w:rsidRDefault="00D479DF" w:rsidP="000C134C">
            <w:pPr>
              <w:ind w:left="1213"/>
              <w:jc w:val="left"/>
              <w:rPr>
                <w:rFonts w:cs="Times New Roman"/>
                <w:kern w:val="22"/>
                <w:sz w:val="22"/>
                <w:lang w:val="en-GB"/>
              </w:rPr>
            </w:pPr>
            <w:r w:rsidRPr="002961E4">
              <w:rPr>
                <w:rFonts w:cs="Times New Roman"/>
                <w:kern w:val="22"/>
                <w:sz w:val="22"/>
                <w:lang w:val="en-GB"/>
              </w:rPr>
              <w:t>Distr.</w:t>
            </w:r>
          </w:p>
          <w:p w14:paraId="2C70660C" w14:textId="6761D651" w:rsidR="00D479DF" w:rsidRPr="00C71AD1" w:rsidRDefault="00D479DF" w:rsidP="000C134C">
            <w:pPr>
              <w:ind w:left="1213"/>
              <w:jc w:val="left"/>
              <w:rPr>
                <w:rFonts w:cs="Times New Roman"/>
                <w:kern w:val="22"/>
                <w:sz w:val="22"/>
                <w:lang w:val="en-GB"/>
              </w:rPr>
            </w:pPr>
            <w:r w:rsidRPr="00C71AD1">
              <w:rPr>
                <w:rFonts w:cs="Times New Roman"/>
                <w:kern w:val="22"/>
                <w:sz w:val="22"/>
                <w:lang w:val="en-GB"/>
              </w:rPr>
              <w:t>GENERAL</w:t>
            </w:r>
          </w:p>
          <w:p w14:paraId="6F07A0A4" w14:textId="77777777" w:rsidR="00D479DF" w:rsidRPr="00C71AD1" w:rsidRDefault="00D479DF" w:rsidP="000C134C">
            <w:pPr>
              <w:ind w:left="1213"/>
              <w:jc w:val="left"/>
              <w:rPr>
                <w:rFonts w:cs="Times New Roman"/>
                <w:kern w:val="22"/>
                <w:sz w:val="22"/>
                <w:lang w:val="en-GB"/>
              </w:rPr>
            </w:pPr>
          </w:p>
          <w:p w14:paraId="12AA9BF5" w14:textId="54C99E3A" w:rsidR="00D479DF" w:rsidRPr="002961E4" w:rsidRDefault="00CD2F7F" w:rsidP="000C134C">
            <w:pPr>
              <w:ind w:left="1213"/>
              <w:jc w:val="left"/>
              <w:rPr>
                <w:rFonts w:cs="Times New Roman"/>
                <w:kern w:val="22"/>
                <w:sz w:val="22"/>
                <w:lang w:val="en-GB"/>
              </w:rPr>
            </w:pPr>
            <w:sdt>
              <w:sdtPr>
                <w:rPr>
                  <w:rFonts w:cs="Times New Roman"/>
                  <w:kern w:val="22"/>
                  <w:sz w:val="22"/>
                  <w:lang w:val="en-GB"/>
                </w:rPr>
                <w:alias w:val="Subject"/>
                <w:tag w:val=""/>
                <w:id w:val="2137136483"/>
                <w:placeholder>
                  <w:docPart w:val="AF7956A100824BCC9FA96850A1F70DC6"/>
                </w:placeholder>
                <w:dataBinding w:prefixMappings="xmlns:ns0='http://purl.org/dc/elements/1.1/' xmlns:ns1='http://schemas.openxmlformats.org/package/2006/metadata/core-properties' " w:xpath="/ns1:coreProperties[1]/ns0:subject[1]" w:storeItemID="{6C3C8BC8-F283-45AE-878A-BAB7291924A1}"/>
                <w:text/>
              </w:sdtPr>
              <w:sdtEndPr/>
              <w:sdtContent>
                <w:r w:rsidR="00D479DF" w:rsidRPr="002961E4">
                  <w:rPr>
                    <w:rFonts w:cs="Times New Roman"/>
                    <w:kern w:val="22"/>
                    <w:sz w:val="22"/>
                    <w:lang w:val="en-GB"/>
                  </w:rPr>
                  <w:t>CBD/SBI/3/15/Add.1</w:t>
                </w:r>
              </w:sdtContent>
            </w:sdt>
          </w:p>
          <w:p w14:paraId="362DBA88" w14:textId="36EB04BF" w:rsidR="00D479DF" w:rsidRPr="00C71AD1" w:rsidRDefault="00A007BB" w:rsidP="000C134C">
            <w:pPr>
              <w:ind w:left="1213"/>
              <w:jc w:val="left"/>
              <w:rPr>
                <w:rFonts w:cs="Times New Roman"/>
                <w:kern w:val="22"/>
                <w:sz w:val="22"/>
                <w:lang w:val="en-GB"/>
              </w:rPr>
            </w:pPr>
            <w:r w:rsidRPr="00C71AD1">
              <w:rPr>
                <w:rFonts w:cs="Times New Roman"/>
                <w:kern w:val="22"/>
                <w:sz w:val="22"/>
                <w:lang w:val="en-GB"/>
              </w:rPr>
              <w:t>13</w:t>
            </w:r>
            <w:r w:rsidR="00D479DF" w:rsidRPr="00C71AD1">
              <w:rPr>
                <w:rFonts w:cs="Times New Roman"/>
                <w:kern w:val="22"/>
                <w:sz w:val="22"/>
                <w:lang w:val="en-GB"/>
              </w:rPr>
              <w:t xml:space="preserve"> </w:t>
            </w:r>
            <w:r w:rsidRPr="00C71AD1">
              <w:rPr>
                <w:rFonts w:cs="Times New Roman"/>
                <w:kern w:val="22"/>
                <w:sz w:val="22"/>
                <w:lang w:val="en-GB"/>
              </w:rPr>
              <w:t>July</w:t>
            </w:r>
            <w:r w:rsidR="00D479DF" w:rsidRPr="00C71AD1">
              <w:rPr>
                <w:rFonts w:cs="Times New Roman"/>
                <w:kern w:val="22"/>
                <w:sz w:val="22"/>
                <w:lang w:val="en-GB"/>
              </w:rPr>
              <w:t xml:space="preserve"> 2020 </w:t>
            </w:r>
          </w:p>
          <w:p w14:paraId="1359B38C" w14:textId="77777777" w:rsidR="00D479DF" w:rsidRPr="00C71AD1" w:rsidRDefault="00D479DF" w:rsidP="000C134C">
            <w:pPr>
              <w:ind w:left="1213"/>
              <w:jc w:val="left"/>
              <w:rPr>
                <w:rFonts w:cs="Times New Roman"/>
                <w:kern w:val="22"/>
                <w:sz w:val="22"/>
                <w:lang w:val="en-GB"/>
              </w:rPr>
            </w:pPr>
          </w:p>
          <w:p w14:paraId="708755D7" w14:textId="3238D4C5" w:rsidR="00D479DF" w:rsidRPr="000C134C" w:rsidRDefault="00D479DF" w:rsidP="000C134C">
            <w:pPr>
              <w:ind w:left="1213"/>
              <w:jc w:val="left"/>
              <w:rPr>
                <w:rFonts w:cs="Times New Roman"/>
                <w:kern w:val="22"/>
                <w:sz w:val="22"/>
                <w:lang w:val="en-GB"/>
              </w:rPr>
            </w:pPr>
            <w:r w:rsidRPr="00C71AD1">
              <w:rPr>
                <w:rFonts w:cs="Times New Roman"/>
                <w:kern w:val="22"/>
                <w:sz w:val="22"/>
                <w:lang w:val="en-GB"/>
              </w:rPr>
              <w:t>ORIGINAL: ENGLISH</w:t>
            </w:r>
          </w:p>
        </w:tc>
      </w:tr>
    </w:tbl>
    <w:p w14:paraId="0F6BE3C8" w14:textId="762BA839" w:rsidR="008533FE" w:rsidRPr="002961E4" w:rsidRDefault="008533FE" w:rsidP="00A2063C">
      <w:pPr>
        <w:suppressLineNumbers/>
        <w:suppressAutoHyphens/>
        <w:spacing w:after="0"/>
        <w:ind w:right="4398"/>
        <w:rPr>
          <w:rFonts w:eastAsia="Times New Roman" w:cs="Times New Roman"/>
          <w:caps/>
          <w:kern w:val="22"/>
          <w:sz w:val="22"/>
          <w:lang w:val="en-GB"/>
        </w:rPr>
      </w:pPr>
      <w:r w:rsidRPr="002961E4">
        <w:rPr>
          <w:rFonts w:eastAsia="Times New Roman" w:cs="Times New Roman"/>
          <w:caps/>
          <w:kern w:val="22"/>
          <w:sz w:val="22"/>
          <w:lang w:val="en-GB"/>
        </w:rPr>
        <w:t>SUBSIDIARY BODY ON IMPLEMENTATION</w:t>
      </w:r>
      <w:bookmarkEnd w:id="0"/>
    </w:p>
    <w:p w14:paraId="390E33EB" w14:textId="77777777" w:rsidR="008533FE" w:rsidRPr="002961E4" w:rsidRDefault="008533FE" w:rsidP="008533FE">
      <w:pPr>
        <w:suppressLineNumbers/>
        <w:suppressAutoHyphens/>
        <w:spacing w:after="0"/>
        <w:rPr>
          <w:rFonts w:eastAsia="Times New Roman" w:cs="Times New Roman"/>
          <w:snapToGrid w:val="0"/>
          <w:kern w:val="22"/>
          <w:sz w:val="22"/>
          <w:lang w:val="en-GB" w:eastAsia="nb-NO"/>
        </w:rPr>
      </w:pPr>
      <w:r w:rsidRPr="002961E4">
        <w:rPr>
          <w:rFonts w:eastAsia="Times New Roman" w:cs="Times New Roman"/>
          <w:snapToGrid w:val="0"/>
          <w:kern w:val="22"/>
          <w:sz w:val="22"/>
          <w:lang w:val="en-GB" w:eastAsia="nb-NO"/>
        </w:rPr>
        <w:t>Third meeting</w:t>
      </w:r>
    </w:p>
    <w:p w14:paraId="70EA840D" w14:textId="7B9DF24A" w:rsidR="008533FE" w:rsidRPr="002961E4" w:rsidRDefault="00184A0A" w:rsidP="008533FE">
      <w:pPr>
        <w:suppressLineNumbers/>
        <w:suppressAutoHyphens/>
        <w:spacing w:after="0"/>
        <w:rPr>
          <w:rFonts w:eastAsia="Times New Roman" w:cs="Times New Roman"/>
          <w:snapToGrid w:val="0"/>
          <w:kern w:val="22"/>
          <w:sz w:val="22"/>
          <w:lang w:val="en-GB" w:eastAsia="nb-NO"/>
        </w:rPr>
      </w:pPr>
      <w:r w:rsidRPr="002961E4">
        <w:rPr>
          <w:rFonts w:eastAsia="Times New Roman" w:cs="Times New Roman"/>
          <w:snapToGrid w:val="0"/>
          <w:kern w:val="22"/>
          <w:sz w:val="22"/>
          <w:lang w:val="en-GB" w:eastAsia="nb-NO"/>
        </w:rPr>
        <w:t>Q</w:t>
      </w:r>
      <w:r w:rsidR="00F214BD" w:rsidRPr="002961E4">
        <w:rPr>
          <w:rFonts w:eastAsia="Times New Roman" w:cs="Times New Roman"/>
          <w:snapToGrid w:val="0"/>
          <w:kern w:val="22"/>
          <w:sz w:val="22"/>
          <w:lang w:val="en-GB" w:eastAsia="nb-NO"/>
        </w:rPr>
        <w:t>uebec City (to be confirmed)</w:t>
      </w:r>
      <w:r w:rsidR="008533FE" w:rsidRPr="002961E4">
        <w:rPr>
          <w:rFonts w:eastAsia="Times New Roman" w:cs="Times New Roman"/>
          <w:snapToGrid w:val="0"/>
          <w:kern w:val="22"/>
          <w:sz w:val="22"/>
          <w:lang w:val="en-GB" w:eastAsia="nb-NO"/>
        </w:rPr>
        <w:t xml:space="preserve">, Canada, </w:t>
      </w:r>
      <w:r w:rsidR="00811642" w:rsidRPr="002961E4">
        <w:rPr>
          <w:rFonts w:eastAsia="Times New Roman" w:cs="Times New Roman"/>
          <w:snapToGrid w:val="0"/>
          <w:kern w:val="22"/>
          <w:sz w:val="22"/>
          <w:lang w:val="en-GB" w:eastAsia="nb-NO"/>
        </w:rPr>
        <w:t>9-14 November 2020</w:t>
      </w:r>
    </w:p>
    <w:p w14:paraId="08F7B3C7" w14:textId="1EE59A93" w:rsidR="009D37AC" w:rsidRPr="002961E4" w:rsidRDefault="008533FE" w:rsidP="008533FE">
      <w:pPr>
        <w:suppressLineNumbers/>
        <w:suppressAutoHyphens/>
        <w:spacing w:after="0"/>
        <w:rPr>
          <w:rFonts w:eastAsia="Times New Roman" w:cs="Times New Roman"/>
          <w:snapToGrid w:val="0"/>
          <w:kern w:val="22"/>
          <w:sz w:val="22"/>
          <w:lang w:val="en-GB"/>
        </w:rPr>
      </w:pPr>
      <w:r w:rsidRPr="002961E4">
        <w:rPr>
          <w:rFonts w:eastAsia="Times New Roman" w:cs="Times New Roman"/>
          <w:snapToGrid w:val="0"/>
          <w:kern w:val="22"/>
          <w:sz w:val="22"/>
          <w:lang w:val="en-GB"/>
        </w:rPr>
        <w:t>Item 13 of the provisional agenda</w:t>
      </w:r>
      <w:r w:rsidRPr="002961E4">
        <w:rPr>
          <w:rFonts w:eastAsia="Times New Roman" w:cs="Times New Roman"/>
          <w:snapToGrid w:val="0"/>
          <w:kern w:val="22"/>
          <w:sz w:val="22"/>
          <w:vertAlign w:val="superscript"/>
          <w:lang w:val="en-GB"/>
        </w:rPr>
        <w:footnoteReference w:customMarkFollows="1" w:id="2"/>
        <w:t>*</w:t>
      </w:r>
    </w:p>
    <w:p w14:paraId="6EB2A8C2" w14:textId="3CA15A25" w:rsidR="008533FE" w:rsidRPr="002961E4" w:rsidRDefault="00CD2F7F" w:rsidP="000C134C">
      <w:pPr>
        <w:spacing w:before="240" w:after="120"/>
        <w:jc w:val="center"/>
        <w:rPr>
          <w:rFonts w:eastAsia="Times New Roman" w:cs="Times New Roman"/>
          <w:b/>
          <w:caps/>
          <w:kern w:val="22"/>
          <w:sz w:val="22"/>
          <w:lang w:val="en-GB"/>
        </w:rPr>
      </w:pPr>
      <w:sdt>
        <w:sdtPr>
          <w:rPr>
            <w:rFonts w:eastAsia="Times New Roman" w:cs="Times New Roman"/>
            <w:b/>
            <w:bCs/>
            <w:caps/>
            <w:spacing w:val="-2"/>
            <w:kern w:val="22"/>
            <w:sz w:val="22"/>
            <w:lang w:val="en-GB"/>
          </w:rPr>
          <w:alias w:val="Title"/>
          <w:tag w:val=""/>
          <w:id w:val="772832786"/>
          <w:placeholder>
            <w:docPart w:val="8551FA5095394A22B6286ABC61933FFB"/>
          </w:placeholder>
          <w:dataBinding w:prefixMappings="xmlns:ns0='http://purl.org/dc/elements/1.1/' xmlns:ns1='http://schemas.openxmlformats.org/package/2006/metadata/core-properties' " w:xpath="/ns1:coreProperties[1]/ns0:title[1]" w:storeItemID="{6C3C8BC8-F283-45AE-878A-BAB7291924A1}"/>
          <w:text/>
        </w:sdtPr>
        <w:sdtEndPr/>
        <w:sdtContent>
          <w:r w:rsidR="00492135" w:rsidRPr="002961E4">
            <w:rPr>
              <w:rFonts w:eastAsia="Times New Roman" w:cs="Times New Roman"/>
              <w:b/>
              <w:bCs/>
              <w:caps/>
              <w:spacing w:val="-2"/>
              <w:kern w:val="22"/>
              <w:sz w:val="22"/>
              <w:lang w:val="en-GB"/>
            </w:rPr>
            <w:t>Study to identify specific cases of genetic resources and traditional knowledge associated with genetic resources that occur in transboundary situations or for which It is not possible to grant or obtain prior informed consent</w:t>
          </w:r>
        </w:sdtContent>
      </w:sdt>
    </w:p>
    <w:p w14:paraId="6C0EEE04" w14:textId="45B0A06C" w:rsidR="008533FE" w:rsidRPr="002961E4" w:rsidRDefault="008533FE" w:rsidP="00C1349A">
      <w:pPr>
        <w:spacing w:before="120" w:after="240"/>
        <w:ind w:left="4320" w:hanging="4320"/>
        <w:jc w:val="center"/>
        <w:rPr>
          <w:rFonts w:eastAsia="Times New Roman" w:cs="Times New Roman"/>
          <w:i/>
          <w:snapToGrid w:val="0"/>
          <w:kern w:val="22"/>
          <w:sz w:val="22"/>
          <w:lang w:val="en-GB"/>
        </w:rPr>
      </w:pPr>
      <w:r w:rsidRPr="002961E4">
        <w:rPr>
          <w:rFonts w:eastAsia="Times New Roman" w:cs="Times New Roman"/>
          <w:i/>
          <w:snapToGrid w:val="0"/>
          <w:kern w:val="22"/>
          <w:sz w:val="22"/>
          <w:lang w:val="en-GB"/>
        </w:rPr>
        <w:t>Note by the Executive Secretary</w:t>
      </w:r>
    </w:p>
    <w:p w14:paraId="396D9B7B" w14:textId="75EF9D7C" w:rsidR="00DE64FA" w:rsidRPr="002961E4" w:rsidRDefault="00DE64FA" w:rsidP="008533FE">
      <w:pPr>
        <w:numPr>
          <w:ilvl w:val="0"/>
          <w:numId w:val="36"/>
        </w:numPr>
        <w:snapToGrid w:val="0"/>
        <w:spacing w:before="120" w:after="120"/>
        <w:ind w:left="0" w:firstLine="0"/>
        <w:rPr>
          <w:rFonts w:eastAsia="Times New Roman" w:cs="Times New Roman"/>
          <w:kern w:val="22"/>
          <w:sz w:val="22"/>
          <w:lang w:val="en-GB"/>
        </w:rPr>
      </w:pPr>
      <w:r w:rsidRPr="000C134C">
        <w:rPr>
          <w:rFonts w:eastAsia="Times New Roman" w:cs="Times New Roman"/>
          <w:kern w:val="22"/>
          <w:sz w:val="22"/>
          <w:lang w:val="en-GB"/>
        </w:rPr>
        <w:t>The Conference of the Parties serving as the meeting of the Parties to the Nagoya Protocol on Access and Benefit-Sharing considered the need for and modalities of a global multilateral benefit-sharing mechanism (Article 10</w:t>
      </w:r>
      <w:r w:rsidR="00FF61FC" w:rsidRPr="000C134C">
        <w:rPr>
          <w:rFonts w:eastAsia="Times New Roman" w:cs="Times New Roman"/>
          <w:kern w:val="22"/>
          <w:sz w:val="22"/>
          <w:lang w:val="en-GB"/>
        </w:rPr>
        <w:t xml:space="preserve"> of the Nagoya Protocol</w:t>
      </w:r>
      <w:r w:rsidRPr="000C134C">
        <w:rPr>
          <w:rFonts w:eastAsia="Times New Roman" w:cs="Times New Roman"/>
          <w:kern w:val="22"/>
          <w:sz w:val="22"/>
          <w:lang w:val="en-GB"/>
        </w:rPr>
        <w:t xml:space="preserve">) </w:t>
      </w:r>
      <w:r w:rsidR="0007718A" w:rsidRPr="002961E4">
        <w:rPr>
          <w:rFonts w:eastAsia="Times New Roman" w:cs="Times New Roman"/>
          <w:kern w:val="22"/>
          <w:sz w:val="22"/>
          <w:lang w:val="en-GB"/>
        </w:rPr>
        <w:t xml:space="preserve">at its third meeting and adopted decision </w:t>
      </w:r>
      <w:hyperlink r:id="rId14" w:history="1">
        <w:r w:rsidR="0007718A" w:rsidRPr="002961E4">
          <w:rPr>
            <w:rStyle w:val="Hyperlink"/>
            <w:rFonts w:eastAsia="Times New Roman" w:cs="Times New Roman"/>
            <w:kern w:val="22"/>
            <w:sz w:val="22"/>
            <w:lang w:val="en-GB"/>
          </w:rPr>
          <w:t>NP-3/13</w:t>
        </w:r>
      </w:hyperlink>
      <w:r w:rsidR="0007718A" w:rsidRPr="002961E4">
        <w:rPr>
          <w:rFonts w:eastAsia="Times New Roman" w:cs="Times New Roman"/>
          <w:kern w:val="22"/>
          <w:sz w:val="22"/>
          <w:lang w:val="en-GB"/>
        </w:rPr>
        <w:t>.</w:t>
      </w:r>
    </w:p>
    <w:p w14:paraId="12AB798F" w14:textId="499913B1" w:rsidR="000F155E" w:rsidRPr="002961E4" w:rsidRDefault="0066165B" w:rsidP="008533FE">
      <w:pPr>
        <w:numPr>
          <w:ilvl w:val="0"/>
          <w:numId w:val="36"/>
        </w:numPr>
        <w:snapToGrid w:val="0"/>
        <w:spacing w:before="120" w:after="120"/>
        <w:ind w:left="0" w:firstLine="0"/>
        <w:rPr>
          <w:rFonts w:eastAsia="Times New Roman" w:cs="Times New Roman"/>
          <w:kern w:val="22"/>
          <w:sz w:val="22"/>
          <w:lang w:val="en-GB"/>
        </w:rPr>
      </w:pPr>
      <w:r w:rsidRPr="002961E4">
        <w:rPr>
          <w:rFonts w:eastAsia="Times New Roman" w:cs="Times New Roman"/>
          <w:kern w:val="22"/>
          <w:sz w:val="22"/>
          <w:lang w:val="en-GB"/>
        </w:rPr>
        <w:t>I</w:t>
      </w:r>
      <w:r w:rsidR="000F155E" w:rsidRPr="002961E4">
        <w:rPr>
          <w:rFonts w:eastAsia="Times New Roman" w:cs="Times New Roman"/>
          <w:kern w:val="22"/>
          <w:sz w:val="22"/>
          <w:lang w:val="en-GB"/>
        </w:rPr>
        <w:t xml:space="preserve">n decision NP-3/13, </w:t>
      </w:r>
      <w:r w:rsidR="0007718A" w:rsidRPr="002961E4">
        <w:rPr>
          <w:rFonts w:eastAsia="Times New Roman" w:cs="Times New Roman"/>
          <w:kern w:val="22"/>
          <w:sz w:val="22"/>
          <w:lang w:val="en-GB"/>
        </w:rPr>
        <w:t xml:space="preserve">paragraph 5(a), </w:t>
      </w:r>
      <w:r w:rsidR="000F155E" w:rsidRPr="002961E4">
        <w:rPr>
          <w:rFonts w:eastAsia="Times New Roman" w:cs="Times New Roman"/>
          <w:kern w:val="22"/>
          <w:sz w:val="22"/>
          <w:lang w:val="en-GB"/>
        </w:rPr>
        <w:t>the Executive Secretary was requested to commission a peer</w:t>
      </w:r>
      <w:r w:rsidR="0000766A" w:rsidRPr="002961E4">
        <w:rPr>
          <w:rFonts w:eastAsia="Times New Roman" w:cs="Times New Roman"/>
          <w:kern w:val="22"/>
          <w:sz w:val="22"/>
          <w:lang w:val="en-GB"/>
        </w:rPr>
        <w:noBreakHyphen/>
      </w:r>
      <w:r w:rsidR="000F155E" w:rsidRPr="002961E4">
        <w:rPr>
          <w:rFonts w:eastAsia="Times New Roman" w:cs="Times New Roman"/>
          <w:kern w:val="22"/>
          <w:sz w:val="22"/>
          <w:lang w:val="en-GB"/>
        </w:rPr>
        <w:t>reviewed study to identify specific cases of genetic resources and traditional knowledge associated with genetic resources that occur in transboundary situations or for which it is not possible to grant or obtain prior informed consent</w:t>
      </w:r>
      <w:r w:rsidR="0007718A" w:rsidRPr="002961E4">
        <w:rPr>
          <w:rFonts w:eastAsia="Times New Roman" w:cs="Times New Roman"/>
          <w:kern w:val="22"/>
          <w:sz w:val="22"/>
          <w:lang w:val="en-GB"/>
        </w:rPr>
        <w:t>.</w:t>
      </w:r>
    </w:p>
    <w:p w14:paraId="6BF9267B" w14:textId="10953C0E" w:rsidR="000F155E" w:rsidRPr="002961E4" w:rsidRDefault="000F155E" w:rsidP="000F155E">
      <w:pPr>
        <w:numPr>
          <w:ilvl w:val="0"/>
          <w:numId w:val="36"/>
        </w:numPr>
        <w:snapToGrid w:val="0"/>
        <w:spacing w:before="120" w:after="120"/>
        <w:ind w:left="0" w:firstLine="0"/>
        <w:rPr>
          <w:rFonts w:eastAsia="Times New Roman" w:cs="Times New Roman"/>
          <w:kern w:val="22"/>
          <w:sz w:val="22"/>
          <w:lang w:val="en-GB"/>
        </w:rPr>
      </w:pPr>
      <w:r w:rsidRPr="002961E4">
        <w:rPr>
          <w:rFonts w:eastAsia="Times New Roman" w:cs="Times New Roman"/>
          <w:kern w:val="22"/>
          <w:sz w:val="22"/>
          <w:lang w:val="en-GB"/>
        </w:rPr>
        <w:t>Accordingly, the Executive Secretary commissioned th</w:t>
      </w:r>
      <w:r w:rsidR="007533F3" w:rsidRPr="002961E4">
        <w:rPr>
          <w:rFonts w:eastAsia="Times New Roman" w:cs="Times New Roman"/>
          <w:kern w:val="22"/>
          <w:sz w:val="22"/>
          <w:lang w:val="en-GB"/>
        </w:rPr>
        <w:t>e</w:t>
      </w:r>
      <w:r w:rsidRPr="002961E4">
        <w:rPr>
          <w:rFonts w:eastAsia="Times New Roman" w:cs="Times New Roman"/>
          <w:kern w:val="22"/>
          <w:sz w:val="22"/>
          <w:lang w:val="en-GB"/>
        </w:rPr>
        <w:t xml:space="preserve"> study</w:t>
      </w:r>
      <w:r w:rsidR="007533F3" w:rsidRPr="002961E4">
        <w:rPr>
          <w:rFonts w:eastAsia="Times New Roman" w:cs="Times New Roman"/>
          <w:kern w:val="22"/>
          <w:sz w:val="22"/>
          <w:lang w:val="en-GB"/>
        </w:rPr>
        <w:t xml:space="preserve"> contained herein</w:t>
      </w:r>
      <w:r w:rsidRPr="002961E4">
        <w:rPr>
          <w:rFonts w:eastAsia="Times New Roman" w:cs="Times New Roman"/>
          <w:kern w:val="22"/>
          <w:sz w:val="22"/>
          <w:lang w:val="en-GB"/>
        </w:rPr>
        <w:t xml:space="preserve">. The </w:t>
      </w:r>
      <w:r w:rsidR="007533F3" w:rsidRPr="002961E4">
        <w:rPr>
          <w:rFonts w:eastAsia="Times New Roman" w:cs="Times New Roman"/>
          <w:kern w:val="22"/>
          <w:sz w:val="22"/>
          <w:lang w:val="en-GB"/>
        </w:rPr>
        <w:t>commissioning of the study was made possible by</w:t>
      </w:r>
      <w:r w:rsidRPr="002961E4">
        <w:rPr>
          <w:rFonts w:eastAsia="Times New Roman" w:cs="Times New Roman"/>
          <w:kern w:val="22"/>
          <w:sz w:val="22"/>
          <w:lang w:val="en-GB"/>
        </w:rPr>
        <w:t xml:space="preserve"> the generous financial support of Belgium, </w:t>
      </w:r>
      <w:r w:rsidR="00DE34BC" w:rsidRPr="002961E4">
        <w:rPr>
          <w:rFonts w:eastAsia="Times New Roman" w:cs="Times New Roman"/>
          <w:kern w:val="22"/>
          <w:sz w:val="22"/>
          <w:lang w:val="en-GB"/>
        </w:rPr>
        <w:t xml:space="preserve">the </w:t>
      </w:r>
      <w:r w:rsidRPr="002961E4">
        <w:rPr>
          <w:rFonts w:eastAsia="Times New Roman" w:cs="Times New Roman"/>
          <w:kern w:val="22"/>
          <w:sz w:val="22"/>
          <w:lang w:val="en-GB"/>
        </w:rPr>
        <w:t>European Union</w:t>
      </w:r>
      <w:r w:rsidR="007B45A7" w:rsidRPr="002961E4">
        <w:rPr>
          <w:rFonts w:eastAsia="Times New Roman" w:cs="Times New Roman"/>
          <w:kern w:val="22"/>
          <w:sz w:val="22"/>
          <w:lang w:val="en-GB"/>
        </w:rPr>
        <w:t xml:space="preserve"> and</w:t>
      </w:r>
      <w:r w:rsidRPr="002961E4">
        <w:rPr>
          <w:rFonts w:eastAsia="Times New Roman" w:cs="Times New Roman"/>
          <w:kern w:val="22"/>
          <w:sz w:val="22"/>
          <w:lang w:val="en-GB"/>
        </w:rPr>
        <w:t xml:space="preserve"> South Africa.</w:t>
      </w:r>
    </w:p>
    <w:p w14:paraId="62135F06" w14:textId="482D94E4" w:rsidR="008533FE" w:rsidRPr="002961E4" w:rsidRDefault="008533FE" w:rsidP="009D37AC">
      <w:pPr>
        <w:numPr>
          <w:ilvl w:val="0"/>
          <w:numId w:val="36"/>
        </w:numPr>
        <w:snapToGrid w:val="0"/>
        <w:spacing w:before="120" w:after="120"/>
        <w:ind w:left="0" w:firstLine="0"/>
        <w:rPr>
          <w:rFonts w:eastAsia="Times New Roman" w:cs="Times New Roman"/>
          <w:kern w:val="22"/>
          <w:sz w:val="22"/>
          <w:lang w:val="en-GB"/>
        </w:rPr>
      </w:pPr>
      <w:r w:rsidRPr="002961E4">
        <w:rPr>
          <w:rFonts w:eastAsia="Times New Roman" w:cs="Times New Roman"/>
          <w:kern w:val="22"/>
          <w:sz w:val="22"/>
          <w:lang w:val="en-GB"/>
        </w:rPr>
        <w:t xml:space="preserve">A draft of the study was made available online for peer review from </w:t>
      </w:r>
      <w:r w:rsidR="000E6D3E" w:rsidRPr="002961E4">
        <w:rPr>
          <w:rFonts w:eastAsia="Times New Roman" w:cs="Times New Roman"/>
          <w:kern w:val="22"/>
          <w:sz w:val="22"/>
          <w:lang w:val="en-GB"/>
        </w:rPr>
        <w:t xml:space="preserve">9 March </w:t>
      </w:r>
      <w:r w:rsidRPr="002961E4">
        <w:rPr>
          <w:rFonts w:eastAsia="Times New Roman" w:cs="Times New Roman"/>
          <w:kern w:val="22"/>
          <w:sz w:val="22"/>
          <w:lang w:val="en-GB"/>
        </w:rPr>
        <w:t>to</w:t>
      </w:r>
      <w:r w:rsidR="000E6D3E" w:rsidRPr="002961E4">
        <w:rPr>
          <w:rFonts w:eastAsia="Times New Roman" w:cs="Times New Roman"/>
          <w:kern w:val="22"/>
          <w:sz w:val="22"/>
          <w:lang w:val="en-GB"/>
        </w:rPr>
        <w:t xml:space="preserve"> 6 April 2020</w:t>
      </w:r>
      <w:r w:rsidRPr="002961E4">
        <w:rPr>
          <w:rFonts w:eastAsia="Times New Roman" w:cs="Times New Roman"/>
          <w:kern w:val="22"/>
          <w:sz w:val="22"/>
          <w:lang w:val="en-GB"/>
        </w:rPr>
        <w:t>.</w:t>
      </w:r>
      <w:r w:rsidR="006A4542" w:rsidRPr="002961E4">
        <w:rPr>
          <w:rStyle w:val="FootnoteReference"/>
          <w:rFonts w:eastAsia="Times New Roman" w:cs="Times New Roman"/>
          <w:kern w:val="22"/>
          <w:sz w:val="22"/>
          <w:lang w:val="en-GB"/>
        </w:rPr>
        <w:footnoteReference w:id="3"/>
      </w:r>
      <w:r w:rsidRPr="002961E4">
        <w:rPr>
          <w:rFonts w:eastAsia="Times New Roman" w:cs="Times New Roman"/>
          <w:kern w:val="22"/>
          <w:sz w:val="22"/>
          <w:lang w:val="en-GB"/>
        </w:rPr>
        <w:t xml:space="preserve"> The comments received in response have been made available online.</w:t>
      </w:r>
      <w:r w:rsidR="006A4542" w:rsidRPr="002961E4">
        <w:rPr>
          <w:rStyle w:val="FootnoteReference"/>
          <w:rFonts w:eastAsia="Times New Roman" w:cs="Times New Roman"/>
          <w:kern w:val="22"/>
          <w:sz w:val="22"/>
          <w:lang w:val="en-GB"/>
        </w:rPr>
        <w:footnoteReference w:id="4"/>
      </w:r>
      <w:r w:rsidRPr="002961E4">
        <w:rPr>
          <w:rFonts w:eastAsia="Times New Roman" w:cs="Times New Roman"/>
          <w:kern w:val="22"/>
          <w:sz w:val="22"/>
          <w:lang w:val="en-GB"/>
        </w:rPr>
        <w:t xml:space="preserve"> The study</w:t>
      </w:r>
      <w:r w:rsidR="000E6D3E" w:rsidRPr="002961E4">
        <w:rPr>
          <w:rFonts w:eastAsia="Times New Roman" w:cs="Times New Roman"/>
          <w:kern w:val="22"/>
          <w:sz w:val="22"/>
          <w:lang w:val="en-GB"/>
        </w:rPr>
        <w:t xml:space="preserve"> was revised</w:t>
      </w:r>
      <w:r w:rsidRPr="002961E4">
        <w:rPr>
          <w:rFonts w:eastAsia="Times New Roman" w:cs="Times New Roman"/>
          <w:kern w:val="22"/>
          <w:sz w:val="22"/>
          <w:lang w:val="en-GB"/>
        </w:rPr>
        <w:t xml:space="preserve"> in the light of the comments received and the final version is presented below in the form and language in which it was received by the Secretariat.</w:t>
      </w:r>
    </w:p>
    <w:p w14:paraId="195DBB1C" w14:textId="77777777" w:rsidR="008533FE" w:rsidRPr="002860FA" w:rsidRDefault="008533FE" w:rsidP="008533FE">
      <w:pPr>
        <w:spacing w:after="120"/>
        <w:jc w:val="center"/>
        <w:rPr>
          <w:rFonts w:eastAsia="Times New Roman" w:cs="Times New Roman"/>
          <w:kern w:val="22"/>
          <w:sz w:val="22"/>
          <w:lang w:val="en-GB"/>
        </w:rPr>
      </w:pPr>
    </w:p>
    <w:p w14:paraId="6C2C50ED" w14:textId="0BADE499" w:rsidR="008533FE" w:rsidRPr="002860FA" w:rsidRDefault="00643A7D" w:rsidP="00643A7D">
      <w:pPr>
        <w:spacing w:after="120"/>
        <w:jc w:val="center"/>
        <w:rPr>
          <w:rFonts w:eastAsia="Times New Roman" w:cs="Times New Roman"/>
          <w:kern w:val="22"/>
          <w:sz w:val="22"/>
          <w:lang w:val="en-GB"/>
        </w:rPr>
      </w:pPr>
      <w:r w:rsidRPr="002860FA">
        <w:rPr>
          <w:rFonts w:eastAsia="Times New Roman" w:cs="Times New Roman"/>
          <w:kern w:val="22"/>
          <w:sz w:val="22"/>
          <w:lang w:val="en-GB"/>
        </w:rPr>
        <w:br w:type="page"/>
      </w:r>
    </w:p>
    <w:p w14:paraId="6F8F5C03" w14:textId="00BEF7BD" w:rsidR="0028411F" w:rsidRPr="002860FA" w:rsidRDefault="006271DC" w:rsidP="00A2063C">
      <w:pPr>
        <w:pStyle w:val="Heading1"/>
        <w:rPr>
          <w:sz w:val="22"/>
          <w:szCs w:val="22"/>
          <w:lang w:val="en-GB"/>
        </w:rPr>
      </w:pPr>
      <w:r w:rsidRPr="002860FA">
        <w:rPr>
          <w:sz w:val="22"/>
          <w:szCs w:val="22"/>
          <w:lang w:val="en-GB" w:eastAsia="en-CA"/>
        </w:rPr>
        <w:lastRenderedPageBreak/>
        <w:t xml:space="preserve">Study </w:t>
      </w:r>
      <w:r w:rsidR="00910D24" w:rsidRPr="002860FA">
        <w:rPr>
          <w:sz w:val="22"/>
          <w:szCs w:val="22"/>
          <w:lang w:val="en-GB" w:eastAsia="en-CA"/>
        </w:rPr>
        <w:t>to Identify Specific Cases of Genetic Resources and Traditional Knowledge Associated with Genetic Resources that Occur in Transboundary Situations or for Which it is not Possible to Grant or Obtain Prior Informed Consent</w:t>
      </w:r>
    </w:p>
    <w:p w14:paraId="00BD260D" w14:textId="46743F0B" w:rsidR="0028411F" w:rsidRPr="002860FA" w:rsidRDefault="0028411F" w:rsidP="0028411F">
      <w:pPr>
        <w:rPr>
          <w:rFonts w:cs="Times New Roman"/>
          <w:kern w:val="22"/>
          <w:sz w:val="22"/>
          <w:lang w:val="en-GB"/>
        </w:rPr>
      </w:pPr>
      <w:r w:rsidRPr="002860FA">
        <w:rPr>
          <w:rFonts w:cs="Times New Roman"/>
          <w:kern w:val="22"/>
          <w:sz w:val="22"/>
          <w:lang w:val="en-GB"/>
        </w:rPr>
        <w:t xml:space="preserve">As requested </w:t>
      </w:r>
      <w:r w:rsidR="00A05FC4" w:rsidRPr="002860FA">
        <w:rPr>
          <w:rFonts w:cs="Times New Roman"/>
          <w:kern w:val="22"/>
          <w:sz w:val="22"/>
          <w:lang w:val="en-GB"/>
        </w:rPr>
        <w:t xml:space="preserve">in </w:t>
      </w:r>
      <w:r w:rsidRPr="002860FA">
        <w:rPr>
          <w:rFonts w:cs="Times New Roman"/>
          <w:kern w:val="22"/>
          <w:sz w:val="22"/>
          <w:lang w:val="en-GB"/>
        </w:rPr>
        <w:t xml:space="preserve">decision </w:t>
      </w:r>
      <w:r w:rsidR="004E54B6" w:rsidRPr="002860FA">
        <w:rPr>
          <w:rFonts w:cs="Times New Roman"/>
          <w:kern w:val="22"/>
          <w:sz w:val="22"/>
          <w:lang w:val="en-GB"/>
        </w:rPr>
        <w:t>NP-</w:t>
      </w:r>
      <w:r w:rsidRPr="002860FA">
        <w:rPr>
          <w:rFonts w:cs="Times New Roman"/>
          <w:kern w:val="22"/>
          <w:sz w:val="22"/>
          <w:lang w:val="en-GB"/>
        </w:rPr>
        <w:t>3/13 (paragraph 5(</w:t>
      </w:r>
      <w:r w:rsidR="0061559A" w:rsidRPr="002860FA">
        <w:rPr>
          <w:rFonts w:cs="Times New Roman"/>
          <w:kern w:val="22"/>
          <w:sz w:val="22"/>
          <w:lang w:val="en-GB"/>
        </w:rPr>
        <w:t>a</w:t>
      </w:r>
      <w:r w:rsidRPr="002860FA">
        <w:rPr>
          <w:rFonts w:cs="Times New Roman"/>
          <w:kern w:val="22"/>
          <w:sz w:val="22"/>
          <w:lang w:val="en-GB"/>
        </w:rPr>
        <w:t xml:space="preserve">)) </w:t>
      </w:r>
      <w:r w:rsidR="00A05FC4" w:rsidRPr="002860FA">
        <w:rPr>
          <w:rFonts w:cs="Times New Roman"/>
          <w:kern w:val="22"/>
          <w:sz w:val="22"/>
          <w:lang w:val="en-GB"/>
        </w:rPr>
        <w:t xml:space="preserve">by </w:t>
      </w:r>
      <w:r w:rsidRPr="002860FA">
        <w:rPr>
          <w:rFonts w:cs="Times New Roman"/>
          <w:kern w:val="22"/>
          <w:sz w:val="22"/>
          <w:lang w:val="en-GB"/>
        </w:rPr>
        <w:t xml:space="preserve">the </w:t>
      </w:r>
      <w:r w:rsidR="00177A45" w:rsidRPr="002860FA">
        <w:rPr>
          <w:rFonts w:cs="Times New Roman"/>
          <w:kern w:val="22"/>
          <w:sz w:val="22"/>
          <w:lang w:val="en-GB"/>
        </w:rPr>
        <w:t>t</w:t>
      </w:r>
      <w:r w:rsidRPr="002860FA">
        <w:rPr>
          <w:rFonts w:cs="Times New Roman"/>
          <w:kern w:val="22"/>
          <w:sz w:val="22"/>
          <w:lang w:val="en-GB"/>
        </w:rPr>
        <w:t xml:space="preserve">hird </w:t>
      </w:r>
      <w:r w:rsidR="00177A45" w:rsidRPr="002860FA">
        <w:rPr>
          <w:rFonts w:cs="Times New Roman"/>
          <w:kern w:val="22"/>
          <w:sz w:val="22"/>
          <w:lang w:val="en-GB"/>
        </w:rPr>
        <w:t>m</w:t>
      </w:r>
      <w:r w:rsidRPr="002860FA">
        <w:rPr>
          <w:rFonts w:cs="Times New Roman"/>
          <w:kern w:val="22"/>
          <w:sz w:val="22"/>
          <w:lang w:val="en-GB"/>
        </w:rPr>
        <w:t xml:space="preserve">eeting of the Conference of the Parties to the Convention on Biological Diversity serving as the </w:t>
      </w:r>
      <w:r w:rsidR="00177A45" w:rsidRPr="002860FA">
        <w:rPr>
          <w:rFonts w:cs="Times New Roman"/>
          <w:kern w:val="22"/>
          <w:sz w:val="22"/>
          <w:lang w:val="en-GB"/>
        </w:rPr>
        <w:t>m</w:t>
      </w:r>
      <w:r w:rsidRPr="002860FA">
        <w:rPr>
          <w:rFonts w:cs="Times New Roman"/>
          <w:kern w:val="22"/>
          <w:sz w:val="22"/>
          <w:lang w:val="en-GB"/>
        </w:rPr>
        <w:t>eeting of the Parties to the Nagoya Protocol</w:t>
      </w:r>
    </w:p>
    <w:p w14:paraId="505CBCA4" w14:textId="2744D08B" w:rsidR="0028411F" w:rsidRPr="002860FA" w:rsidRDefault="00EC7CA6" w:rsidP="00F43F79">
      <w:pPr>
        <w:jc w:val="center"/>
        <w:rPr>
          <w:rFonts w:cs="Times New Roman"/>
          <w:kern w:val="22"/>
          <w:sz w:val="22"/>
          <w:lang w:val="en-GB"/>
        </w:rPr>
      </w:pPr>
      <w:r w:rsidRPr="002860FA">
        <w:rPr>
          <w:rFonts w:cs="Times New Roman"/>
          <w:kern w:val="22"/>
          <w:sz w:val="22"/>
          <w:lang w:val="en-GB"/>
        </w:rPr>
        <w:t>1</w:t>
      </w:r>
      <w:r w:rsidR="00BF2A7F" w:rsidRPr="002860FA">
        <w:rPr>
          <w:rFonts w:cs="Times New Roman"/>
          <w:kern w:val="22"/>
          <w:sz w:val="22"/>
          <w:lang w:val="en-GB"/>
        </w:rPr>
        <w:t>5</w:t>
      </w:r>
      <w:r w:rsidR="0001332F" w:rsidRPr="002860FA">
        <w:rPr>
          <w:rFonts w:cs="Times New Roman"/>
          <w:kern w:val="22"/>
          <w:sz w:val="22"/>
          <w:lang w:val="en-GB"/>
        </w:rPr>
        <w:t xml:space="preserve"> </w:t>
      </w:r>
      <w:r w:rsidRPr="002860FA">
        <w:rPr>
          <w:rFonts w:cs="Times New Roman"/>
          <w:kern w:val="22"/>
          <w:sz w:val="22"/>
          <w:lang w:val="en-GB"/>
        </w:rPr>
        <w:t>June</w:t>
      </w:r>
      <w:r w:rsidR="00C6562A" w:rsidRPr="002860FA">
        <w:rPr>
          <w:rFonts w:cs="Times New Roman"/>
          <w:kern w:val="22"/>
          <w:sz w:val="22"/>
          <w:lang w:val="en-GB"/>
        </w:rPr>
        <w:t xml:space="preserve"> </w:t>
      </w:r>
      <w:r w:rsidR="0028411F" w:rsidRPr="002860FA">
        <w:rPr>
          <w:rFonts w:cs="Times New Roman"/>
          <w:kern w:val="22"/>
          <w:sz w:val="22"/>
          <w:lang w:val="en-GB"/>
        </w:rPr>
        <w:t>2020</w:t>
      </w:r>
    </w:p>
    <w:p w14:paraId="70603FF3" w14:textId="43FB91E1" w:rsidR="0028411F" w:rsidRPr="002860FA" w:rsidRDefault="0028411F" w:rsidP="00E600C8">
      <w:pPr>
        <w:jc w:val="center"/>
        <w:rPr>
          <w:rFonts w:cs="Times New Roman"/>
          <w:kern w:val="22"/>
          <w:sz w:val="22"/>
          <w:lang w:val="en-GB"/>
        </w:rPr>
      </w:pPr>
      <w:r w:rsidRPr="002860FA">
        <w:rPr>
          <w:rFonts w:cs="Times New Roman"/>
          <w:kern w:val="22"/>
          <w:sz w:val="22"/>
          <w:lang w:val="en-GB"/>
        </w:rPr>
        <w:t>Margo Bagley</w:t>
      </w:r>
      <w:r w:rsidRPr="002860FA">
        <w:rPr>
          <w:rStyle w:val="FootnoteReference"/>
          <w:kern w:val="22"/>
          <w:sz w:val="22"/>
          <w:lang w:val="en-GB"/>
        </w:rPr>
        <w:footnoteReference w:id="5"/>
      </w:r>
      <w:r w:rsidRPr="002860FA">
        <w:rPr>
          <w:rFonts w:cs="Times New Roman"/>
          <w:kern w:val="22"/>
          <w:sz w:val="22"/>
          <w:lang w:val="en-GB"/>
        </w:rPr>
        <w:t xml:space="preserve"> and Frederic </w:t>
      </w:r>
      <w:proofErr w:type="spellStart"/>
      <w:r w:rsidRPr="002860FA">
        <w:rPr>
          <w:rFonts w:cs="Times New Roman"/>
          <w:kern w:val="22"/>
          <w:sz w:val="22"/>
          <w:lang w:val="en-GB"/>
        </w:rPr>
        <w:t>Perron</w:t>
      </w:r>
      <w:proofErr w:type="spellEnd"/>
      <w:r w:rsidRPr="002860FA">
        <w:rPr>
          <w:rFonts w:cs="Times New Roman"/>
          <w:kern w:val="22"/>
          <w:sz w:val="22"/>
          <w:lang w:val="en-GB"/>
        </w:rPr>
        <w:t>-Welch</w:t>
      </w:r>
      <w:r w:rsidRPr="002860FA">
        <w:rPr>
          <w:rStyle w:val="FootnoteReference"/>
          <w:kern w:val="22"/>
          <w:sz w:val="22"/>
          <w:lang w:val="en-GB"/>
        </w:rPr>
        <w:footnoteReference w:id="6"/>
      </w:r>
    </w:p>
    <w:p w14:paraId="4711BA5D" w14:textId="17B5C453" w:rsidR="00DF5419" w:rsidRPr="000C134C" w:rsidRDefault="001E7182" w:rsidP="00DF5419">
      <w:pPr>
        <w:pBdr>
          <w:top w:val="single" w:sz="18" w:space="1" w:color="auto"/>
          <w:left w:val="single" w:sz="18" w:space="1" w:color="auto"/>
          <w:bottom w:val="single" w:sz="18" w:space="1" w:color="auto"/>
          <w:right w:val="single" w:sz="18" w:space="1" w:color="auto"/>
          <w:between w:val="nil"/>
        </w:pBdr>
        <w:spacing w:after="120"/>
        <w:jc w:val="center"/>
        <w:rPr>
          <w:rFonts w:eastAsia="Times New Roman" w:cs="Times New Roman"/>
          <w:b/>
          <w:bCs/>
          <w:iCs/>
          <w:kern w:val="22"/>
          <w:sz w:val="22"/>
          <w:lang w:val="en-GB" w:eastAsia="en-CA"/>
        </w:rPr>
      </w:pPr>
      <w:r w:rsidRPr="000C134C">
        <w:rPr>
          <w:rFonts w:eastAsia="Times New Roman" w:cs="Times New Roman"/>
          <w:b/>
          <w:bCs/>
          <w:iCs/>
          <w:kern w:val="22"/>
          <w:sz w:val="22"/>
          <w:lang w:val="en-GB" w:eastAsia="en-CA"/>
        </w:rPr>
        <w:t xml:space="preserve">Explanatory </w:t>
      </w:r>
      <w:r w:rsidR="00E11AFA">
        <w:rPr>
          <w:rFonts w:eastAsia="Times New Roman" w:cs="Times New Roman"/>
          <w:b/>
          <w:bCs/>
          <w:iCs/>
          <w:kern w:val="22"/>
          <w:sz w:val="22"/>
          <w:lang w:val="en-GB" w:eastAsia="en-CA"/>
        </w:rPr>
        <w:t>n</w:t>
      </w:r>
      <w:r w:rsidRPr="000C134C">
        <w:rPr>
          <w:rFonts w:eastAsia="Times New Roman" w:cs="Times New Roman"/>
          <w:b/>
          <w:bCs/>
          <w:iCs/>
          <w:kern w:val="22"/>
          <w:sz w:val="22"/>
          <w:lang w:val="en-GB" w:eastAsia="en-CA"/>
        </w:rPr>
        <w:t>ote</w:t>
      </w:r>
    </w:p>
    <w:p w14:paraId="0E274FA4" w14:textId="7C8A5474" w:rsidR="00DF5419" w:rsidRPr="002860FA"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en-GB" w:eastAsia="en-CA"/>
        </w:rPr>
      </w:pPr>
      <w:r w:rsidRPr="002860FA">
        <w:rPr>
          <w:rFonts w:eastAsia="Times New Roman" w:cs="Times New Roman"/>
          <w:kern w:val="22"/>
          <w:sz w:val="22"/>
          <w:lang w:val="en-GB" w:eastAsia="en-CA"/>
        </w:rPr>
        <w:t xml:space="preserve">This study takes an inclusive approach to the possible subject matter of Article 10, with the goal of providing information on a broad range of possible cases in order to facilitate discussions by the Parties. In doing so, the authors do not take a position on the proper resolution of issues of scope, or the appropriateness </w:t>
      </w:r>
      <w:r w:rsidR="002417FB" w:rsidRPr="002860FA">
        <w:rPr>
          <w:rFonts w:eastAsia="Times New Roman" w:cs="Times New Roman"/>
          <w:kern w:val="22"/>
          <w:sz w:val="22"/>
          <w:lang w:val="en-GB" w:eastAsia="en-CA"/>
        </w:rPr>
        <w:t>of</w:t>
      </w:r>
      <w:r w:rsidRPr="002860FA">
        <w:rPr>
          <w:rFonts w:eastAsia="Times New Roman" w:cs="Times New Roman"/>
          <w:kern w:val="22"/>
          <w:sz w:val="22"/>
          <w:lang w:val="en-GB" w:eastAsia="en-CA"/>
        </w:rPr>
        <w:t xml:space="preserve"> or need for a global multilateral benefit-sharing mechanism in any of the cases presented herein. The study does not seek to promote any </w:t>
      </w:r>
      <w:proofErr w:type="gramStart"/>
      <w:r w:rsidRPr="002860FA">
        <w:rPr>
          <w:rFonts w:eastAsia="Times New Roman" w:cs="Times New Roman"/>
          <w:kern w:val="22"/>
          <w:sz w:val="22"/>
          <w:lang w:val="en-GB" w:eastAsia="en-CA"/>
        </w:rPr>
        <w:t>particular view</w:t>
      </w:r>
      <w:proofErr w:type="gramEnd"/>
      <w:r w:rsidRPr="002860FA">
        <w:rPr>
          <w:rFonts w:eastAsia="Times New Roman" w:cs="Times New Roman"/>
          <w:kern w:val="22"/>
          <w:sz w:val="22"/>
          <w:lang w:val="en-GB" w:eastAsia="en-CA"/>
        </w:rPr>
        <w:t xml:space="preserve">, nor does it seek to undermine the bilateral approach </w:t>
      </w:r>
      <w:r w:rsidR="00144BBF" w:rsidRPr="002860FA">
        <w:rPr>
          <w:rFonts w:eastAsia="Times New Roman" w:cs="Times New Roman"/>
          <w:kern w:val="22"/>
          <w:sz w:val="22"/>
          <w:lang w:val="en-GB" w:eastAsia="en-CA"/>
        </w:rPr>
        <w:t xml:space="preserve">upon which </w:t>
      </w:r>
      <w:r w:rsidRPr="002860FA">
        <w:rPr>
          <w:rFonts w:eastAsia="Times New Roman" w:cs="Times New Roman"/>
          <w:kern w:val="22"/>
          <w:sz w:val="22"/>
          <w:lang w:val="en-GB" w:eastAsia="en-CA"/>
        </w:rPr>
        <w:t>the C</w:t>
      </w:r>
      <w:r w:rsidR="00144BBF" w:rsidRPr="002860FA">
        <w:rPr>
          <w:rFonts w:eastAsia="Times New Roman" w:cs="Times New Roman"/>
          <w:kern w:val="22"/>
          <w:sz w:val="22"/>
          <w:lang w:val="en-GB" w:eastAsia="en-CA"/>
        </w:rPr>
        <w:t xml:space="preserve">onvention on </w:t>
      </w:r>
      <w:r w:rsidRPr="002860FA">
        <w:rPr>
          <w:rFonts w:eastAsia="Times New Roman" w:cs="Times New Roman"/>
          <w:kern w:val="22"/>
          <w:sz w:val="22"/>
          <w:lang w:val="en-GB" w:eastAsia="en-CA"/>
        </w:rPr>
        <w:t>B</w:t>
      </w:r>
      <w:r w:rsidR="00144BBF" w:rsidRPr="002860FA">
        <w:rPr>
          <w:rFonts w:eastAsia="Times New Roman" w:cs="Times New Roman"/>
          <w:kern w:val="22"/>
          <w:sz w:val="22"/>
          <w:lang w:val="en-GB" w:eastAsia="en-CA"/>
        </w:rPr>
        <w:t xml:space="preserve">iological </w:t>
      </w:r>
      <w:r w:rsidRPr="002860FA">
        <w:rPr>
          <w:rFonts w:eastAsia="Times New Roman" w:cs="Times New Roman"/>
          <w:kern w:val="22"/>
          <w:sz w:val="22"/>
          <w:lang w:val="en-GB" w:eastAsia="en-CA"/>
        </w:rPr>
        <w:t>D</w:t>
      </w:r>
      <w:r w:rsidR="00144BBF" w:rsidRPr="002860FA">
        <w:rPr>
          <w:rFonts w:eastAsia="Times New Roman" w:cs="Times New Roman"/>
          <w:kern w:val="22"/>
          <w:sz w:val="22"/>
          <w:lang w:val="en-GB" w:eastAsia="en-CA"/>
        </w:rPr>
        <w:t>iversity</w:t>
      </w:r>
      <w:r w:rsidRPr="002860FA">
        <w:rPr>
          <w:rFonts w:eastAsia="Times New Roman" w:cs="Times New Roman"/>
          <w:kern w:val="22"/>
          <w:sz w:val="22"/>
          <w:lang w:val="en-GB" w:eastAsia="en-CA"/>
        </w:rPr>
        <w:t xml:space="preserve"> </w:t>
      </w:r>
      <w:r w:rsidR="00144BBF" w:rsidRPr="002860FA">
        <w:rPr>
          <w:rFonts w:eastAsia="Times New Roman" w:cs="Times New Roman"/>
          <w:kern w:val="22"/>
          <w:sz w:val="22"/>
          <w:lang w:val="en-GB" w:eastAsia="en-CA"/>
        </w:rPr>
        <w:t xml:space="preserve">and </w:t>
      </w:r>
      <w:r w:rsidRPr="002860FA">
        <w:rPr>
          <w:rFonts w:eastAsia="Times New Roman" w:cs="Times New Roman"/>
          <w:kern w:val="22"/>
          <w:sz w:val="22"/>
          <w:lang w:val="en-GB" w:eastAsia="en-CA"/>
        </w:rPr>
        <w:t>the N</w:t>
      </w:r>
      <w:r w:rsidR="00144BBF" w:rsidRPr="002860FA">
        <w:rPr>
          <w:rFonts w:eastAsia="Times New Roman" w:cs="Times New Roman"/>
          <w:kern w:val="22"/>
          <w:sz w:val="22"/>
          <w:lang w:val="en-GB" w:eastAsia="en-CA"/>
        </w:rPr>
        <w:t xml:space="preserve">agoya </w:t>
      </w:r>
      <w:r w:rsidRPr="002860FA">
        <w:rPr>
          <w:rFonts w:eastAsia="Times New Roman" w:cs="Times New Roman"/>
          <w:kern w:val="22"/>
          <w:sz w:val="22"/>
          <w:lang w:val="en-GB" w:eastAsia="en-CA"/>
        </w:rPr>
        <w:t>P</w:t>
      </w:r>
      <w:r w:rsidR="00144BBF" w:rsidRPr="002860FA">
        <w:rPr>
          <w:rFonts w:eastAsia="Times New Roman" w:cs="Times New Roman"/>
          <w:kern w:val="22"/>
          <w:sz w:val="22"/>
          <w:lang w:val="en-GB" w:eastAsia="en-CA"/>
        </w:rPr>
        <w:t>rotocol are founded</w:t>
      </w:r>
      <w:r w:rsidRPr="002860FA">
        <w:rPr>
          <w:rFonts w:eastAsia="Times New Roman" w:cs="Times New Roman"/>
          <w:kern w:val="22"/>
          <w:sz w:val="22"/>
          <w:lang w:val="en-GB" w:eastAsia="en-CA"/>
        </w:rPr>
        <w:t>.</w:t>
      </w:r>
    </w:p>
    <w:p w14:paraId="1526EF7E" w14:textId="410E80DF" w:rsidR="00DF5419" w:rsidRPr="002860FA"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en-GB" w:eastAsia="en-CA"/>
        </w:rPr>
      </w:pPr>
      <w:r w:rsidRPr="002860FA">
        <w:rPr>
          <w:rFonts w:eastAsia="Times New Roman" w:cs="Times New Roman"/>
          <w:kern w:val="22"/>
          <w:sz w:val="22"/>
          <w:lang w:val="en-GB" w:eastAsia="en-CA"/>
        </w:rPr>
        <w:t>The authors recognize that the Parties have differing views on various issues</w:t>
      </w:r>
      <w:r w:rsidR="00144BBF" w:rsidRPr="002860FA">
        <w:rPr>
          <w:rFonts w:eastAsia="Times New Roman" w:cs="Times New Roman"/>
          <w:kern w:val="22"/>
          <w:sz w:val="22"/>
          <w:lang w:val="en-GB" w:eastAsia="en-CA"/>
        </w:rPr>
        <w:t>,</w:t>
      </w:r>
      <w:r w:rsidRPr="002860FA">
        <w:rPr>
          <w:rFonts w:eastAsia="Times New Roman" w:cs="Times New Roman"/>
          <w:kern w:val="22"/>
          <w:sz w:val="22"/>
          <w:lang w:val="en-GB" w:eastAsia="en-CA"/>
        </w:rPr>
        <w:t xml:space="preserve"> such as the temporal scope (e.g., does it apply to genetic resources and traditional knowledge associated with genetic resources physically accessed prior to its entry into force but subject to new utilizations)</w:t>
      </w:r>
      <w:r w:rsidR="00144BBF" w:rsidRPr="002860FA">
        <w:rPr>
          <w:rFonts w:eastAsia="Times New Roman" w:cs="Times New Roman"/>
          <w:kern w:val="22"/>
          <w:sz w:val="22"/>
          <w:lang w:val="en-GB" w:eastAsia="en-CA"/>
        </w:rPr>
        <w:t>,</w:t>
      </w:r>
      <w:r w:rsidRPr="002860FA">
        <w:rPr>
          <w:rFonts w:eastAsia="Times New Roman" w:cs="Times New Roman"/>
          <w:kern w:val="22"/>
          <w:sz w:val="22"/>
          <w:lang w:val="en-GB" w:eastAsia="en-CA"/>
        </w:rPr>
        <w:t xml:space="preserve"> and the subject matter scope (e.g., does it cover </w:t>
      </w:r>
      <w:r w:rsidR="00952746" w:rsidRPr="002860FA">
        <w:rPr>
          <w:rFonts w:eastAsia="Times New Roman" w:cs="Times New Roman"/>
          <w:kern w:val="22"/>
          <w:sz w:val="22"/>
          <w:lang w:val="en-GB" w:eastAsia="en-CA"/>
        </w:rPr>
        <w:t>‘</w:t>
      </w:r>
      <w:r w:rsidRPr="002860FA">
        <w:rPr>
          <w:rFonts w:eastAsia="Times New Roman" w:cs="Times New Roman"/>
          <w:kern w:val="22"/>
          <w:sz w:val="22"/>
          <w:lang w:val="en-GB" w:eastAsia="en-CA"/>
        </w:rPr>
        <w:t>digital sequence information</w:t>
      </w:r>
      <w:r w:rsidR="00952746" w:rsidRPr="002860FA">
        <w:rPr>
          <w:rFonts w:eastAsia="Times New Roman" w:cs="Times New Roman"/>
          <w:kern w:val="22"/>
          <w:sz w:val="22"/>
          <w:lang w:val="en-GB" w:eastAsia="en-CA"/>
        </w:rPr>
        <w:t>’</w:t>
      </w:r>
      <w:r w:rsidR="009D00A7" w:rsidRPr="002860FA">
        <w:rPr>
          <w:rFonts w:eastAsia="Times New Roman" w:cs="Times New Roman"/>
          <w:kern w:val="22"/>
          <w:sz w:val="22"/>
          <w:lang w:val="en-GB" w:eastAsia="en-CA"/>
        </w:rPr>
        <w:t xml:space="preserve">, </w:t>
      </w:r>
      <w:r w:rsidR="009D00A7" w:rsidRPr="002860FA">
        <w:rPr>
          <w:rFonts w:eastAsia="Times New Roman" w:cs="Times New Roman"/>
          <w:i/>
          <w:kern w:val="22"/>
          <w:sz w:val="22"/>
          <w:lang w:val="en-GB" w:eastAsia="en-CA"/>
        </w:rPr>
        <w:t>ex situ</w:t>
      </w:r>
      <w:r w:rsidR="009D00A7" w:rsidRPr="002860FA">
        <w:rPr>
          <w:rFonts w:eastAsia="Times New Roman" w:cs="Times New Roman"/>
          <w:kern w:val="22"/>
          <w:sz w:val="22"/>
          <w:lang w:val="en-GB" w:eastAsia="en-CA"/>
        </w:rPr>
        <w:t xml:space="preserve"> collections and publicly available traditional knowledge</w:t>
      </w:r>
      <w:r w:rsidRPr="002860FA">
        <w:rPr>
          <w:rFonts w:eastAsia="Times New Roman" w:cs="Times New Roman"/>
          <w:kern w:val="22"/>
          <w:sz w:val="22"/>
          <w:lang w:val="en-GB" w:eastAsia="en-CA"/>
        </w:rPr>
        <w:t>)</w:t>
      </w:r>
      <w:r w:rsidR="00FF74EB" w:rsidRPr="002860FA">
        <w:rPr>
          <w:rFonts w:eastAsia="Times New Roman" w:cs="Times New Roman"/>
          <w:kern w:val="22"/>
          <w:sz w:val="22"/>
          <w:lang w:val="en-GB" w:eastAsia="en-CA"/>
        </w:rPr>
        <w:t xml:space="preserve"> of the Protocol</w:t>
      </w:r>
      <w:r w:rsidRPr="002860FA">
        <w:rPr>
          <w:rFonts w:eastAsia="Times New Roman" w:cs="Times New Roman"/>
          <w:kern w:val="22"/>
          <w:sz w:val="22"/>
          <w:lang w:val="en-GB" w:eastAsia="en-CA"/>
        </w:rPr>
        <w:t xml:space="preserve">. The approach used in this study is intended to avoid pre-judging the outcome of discussions between Parties on issues where they do not agree. Parties will need to determine whether any of the </w:t>
      </w:r>
      <w:r w:rsidR="00844E63" w:rsidRPr="002860FA">
        <w:rPr>
          <w:rFonts w:eastAsia="Times New Roman" w:cs="Times New Roman"/>
          <w:kern w:val="22"/>
          <w:sz w:val="22"/>
          <w:lang w:val="en-GB" w:eastAsia="en-CA"/>
        </w:rPr>
        <w:t>categories of cases</w:t>
      </w:r>
      <w:r w:rsidRPr="002860FA">
        <w:rPr>
          <w:rFonts w:eastAsia="Times New Roman" w:cs="Times New Roman"/>
          <w:kern w:val="22"/>
          <w:sz w:val="22"/>
          <w:lang w:val="en-GB" w:eastAsia="en-CA"/>
        </w:rPr>
        <w:t xml:space="preserve"> presented herein establish the need for a global multilateral benefit-sharing mechanism. </w:t>
      </w:r>
    </w:p>
    <w:p w14:paraId="11BE6EFF" w14:textId="7CA43A59" w:rsidR="00DF5419" w:rsidRPr="002860FA" w:rsidRDefault="00DF5419"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en-GB" w:eastAsia="en-CA"/>
        </w:rPr>
      </w:pPr>
      <w:r w:rsidRPr="002860FA">
        <w:rPr>
          <w:rFonts w:eastAsia="Times New Roman" w:cs="Times New Roman"/>
          <w:kern w:val="22"/>
          <w:sz w:val="22"/>
          <w:lang w:val="en-GB" w:eastAsia="en-CA"/>
        </w:rPr>
        <w:t xml:space="preserve">The authors also note the relevance of Article 11 of the Nagoya Protocol, recognizing that the </w:t>
      </w:r>
      <w:r w:rsidR="003C5CB6" w:rsidRPr="002860FA">
        <w:rPr>
          <w:rFonts w:eastAsia="Times New Roman" w:cs="Times New Roman"/>
          <w:kern w:val="22"/>
          <w:sz w:val="22"/>
          <w:lang w:val="en-GB" w:eastAsia="en-CA"/>
        </w:rPr>
        <w:t xml:space="preserve">report of the 2016 Expert Group Meeting on Article 10 </w:t>
      </w:r>
      <w:r w:rsidRPr="002860FA">
        <w:rPr>
          <w:rFonts w:eastAsia="Times New Roman" w:cs="Times New Roman"/>
          <w:kern w:val="22"/>
          <w:sz w:val="22"/>
          <w:lang w:val="en-GB" w:eastAsia="en-CA"/>
        </w:rPr>
        <w:t xml:space="preserve">concluded that Article 11 was sufficient to address “genetic resources found </w:t>
      </w:r>
      <w:r w:rsidRPr="002860FA">
        <w:rPr>
          <w:rFonts w:eastAsia="Times New Roman" w:cs="Times New Roman"/>
          <w:i/>
          <w:kern w:val="22"/>
          <w:sz w:val="22"/>
          <w:lang w:val="en-GB" w:eastAsia="en-CA"/>
        </w:rPr>
        <w:t>in situ</w:t>
      </w:r>
      <w:r w:rsidRPr="002860FA">
        <w:rPr>
          <w:rFonts w:eastAsia="Times New Roman" w:cs="Times New Roman"/>
          <w:kern w:val="22"/>
          <w:sz w:val="22"/>
          <w:lang w:val="en-GB" w:eastAsia="en-CA"/>
        </w:rPr>
        <w:t xml:space="preserve"> in more than one Party and traditional knowledge associated with genetic resources when it was shared by one or more indigenous and local communities in several Parties”</w:t>
      </w:r>
      <w:r w:rsidR="00667D8F" w:rsidRPr="002860FA">
        <w:rPr>
          <w:rFonts w:eastAsia="Times New Roman" w:cs="Times New Roman"/>
          <w:kern w:val="22"/>
          <w:sz w:val="22"/>
          <w:lang w:val="en-GB" w:eastAsia="en-CA"/>
        </w:rPr>
        <w:t xml:space="preserve">. However, the </w:t>
      </w:r>
      <w:r w:rsidR="005B7A92" w:rsidRPr="002860FA">
        <w:rPr>
          <w:rFonts w:eastAsia="Times New Roman" w:cs="Times New Roman"/>
          <w:kern w:val="22"/>
          <w:sz w:val="22"/>
          <w:lang w:val="en-GB" w:eastAsia="en-CA"/>
        </w:rPr>
        <w:t xml:space="preserve">Expert Group </w:t>
      </w:r>
      <w:r w:rsidR="00667D8F" w:rsidRPr="002860FA">
        <w:rPr>
          <w:rFonts w:eastAsia="Times New Roman" w:cs="Times New Roman"/>
          <w:kern w:val="22"/>
          <w:sz w:val="22"/>
          <w:lang w:val="en-GB" w:eastAsia="en-CA"/>
        </w:rPr>
        <w:t>report</w:t>
      </w:r>
      <w:r w:rsidRPr="002860FA">
        <w:rPr>
          <w:rFonts w:eastAsia="Times New Roman" w:cs="Times New Roman"/>
          <w:kern w:val="22"/>
          <w:sz w:val="22"/>
          <w:lang w:val="en-GB" w:eastAsia="en-CA"/>
        </w:rPr>
        <w:t xml:space="preserve"> also noted that experience with Article 11 </w:t>
      </w:r>
      <w:r w:rsidR="005B7A92" w:rsidRPr="002860FA">
        <w:rPr>
          <w:rFonts w:eastAsia="Times New Roman" w:cs="Times New Roman"/>
          <w:kern w:val="22"/>
          <w:sz w:val="22"/>
          <w:lang w:val="en-GB" w:eastAsia="en-CA"/>
        </w:rPr>
        <w:t xml:space="preserve">by Parties </w:t>
      </w:r>
      <w:r w:rsidRPr="002860FA">
        <w:rPr>
          <w:rFonts w:eastAsia="Times New Roman" w:cs="Times New Roman"/>
          <w:kern w:val="22"/>
          <w:sz w:val="22"/>
          <w:lang w:val="en-GB" w:eastAsia="en-CA"/>
        </w:rPr>
        <w:t>was limited</w:t>
      </w:r>
      <w:r w:rsidR="00E720EE" w:rsidRPr="002860FA">
        <w:rPr>
          <w:rFonts w:eastAsia="Times New Roman" w:cs="Times New Roman"/>
          <w:kern w:val="22"/>
          <w:sz w:val="22"/>
          <w:lang w:val="en-GB" w:eastAsia="en-CA"/>
        </w:rPr>
        <w:t>.</w:t>
      </w:r>
      <w:r w:rsidRPr="002860FA">
        <w:rPr>
          <w:rFonts w:eastAsia="Times New Roman" w:cs="Times New Roman"/>
          <w:kern w:val="22"/>
          <w:sz w:val="22"/>
          <w:lang w:val="en-GB" w:eastAsia="en-CA"/>
        </w:rPr>
        <w:t xml:space="preserve"> Therefore, </w:t>
      </w:r>
      <w:proofErr w:type="gramStart"/>
      <w:r w:rsidRPr="002860FA">
        <w:rPr>
          <w:rFonts w:eastAsia="Times New Roman" w:cs="Times New Roman"/>
          <w:kern w:val="22"/>
          <w:sz w:val="22"/>
          <w:lang w:val="en-GB" w:eastAsia="en-CA"/>
        </w:rPr>
        <w:t>in an attempt to</w:t>
      </w:r>
      <w:proofErr w:type="gramEnd"/>
      <w:r w:rsidRPr="002860FA">
        <w:rPr>
          <w:rFonts w:eastAsia="Times New Roman" w:cs="Times New Roman"/>
          <w:kern w:val="22"/>
          <w:sz w:val="22"/>
          <w:lang w:val="en-GB" w:eastAsia="en-CA"/>
        </w:rPr>
        <w:t xml:space="preserve"> provide the broadest range of possible cases for discussion under Article 10 by the Parties, this study includes some cases that </w:t>
      </w:r>
      <w:r w:rsidR="009600C5" w:rsidRPr="002860FA">
        <w:rPr>
          <w:rFonts w:eastAsia="Times New Roman" w:cs="Times New Roman"/>
          <w:kern w:val="22"/>
          <w:sz w:val="22"/>
          <w:lang w:val="en-GB" w:eastAsia="en-CA"/>
        </w:rPr>
        <w:t>might</w:t>
      </w:r>
      <w:r w:rsidRPr="002860FA">
        <w:rPr>
          <w:rFonts w:eastAsia="Times New Roman" w:cs="Times New Roman"/>
          <w:kern w:val="22"/>
          <w:sz w:val="22"/>
          <w:lang w:val="en-GB" w:eastAsia="en-CA"/>
        </w:rPr>
        <w:t xml:space="preserve"> also be dealt with under Article 11.</w:t>
      </w:r>
    </w:p>
    <w:p w14:paraId="21D1F84C" w14:textId="74A355DF" w:rsidR="00136AAE" w:rsidRPr="002860FA" w:rsidRDefault="00DF5419"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en-GB" w:eastAsia="en-CA"/>
        </w:rPr>
      </w:pPr>
      <w:bookmarkStart w:id="1" w:name="_Hlk39401242"/>
      <w:r w:rsidRPr="002860FA">
        <w:rPr>
          <w:rFonts w:eastAsia="Times New Roman" w:cs="Times New Roman"/>
          <w:kern w:val="22"/>
          <w:sz w:val="22"/>
          <w:lang w:val="en-GB" w:eastAsia="en-CA"/>
        </w:rPr>
        <w:t xml:space="preserve">In carrying out this study, the authors interpreted the request to identify </w:t>
      </w:r>
      <w:r w:rsidR="00952746" w:rsidRPr="002860FA">
        <w:rPr>
          <w:rFonts w:eastAsia="Times New Roman" w:cs="Times New Roman"/>
          <w:kern w:val="22"/>
          <w:sz w:val="22"/>
          <w:lang w:val="en-GB" w:eastAsia="en-CA"/>
        </w:rPr>
        <w:t>‘</w:t>
      </w:r>
      <w:r w:rsidRPr="002860FA">
        <w:rPr>
          <w:rFonts w:eastAsia="Times New Roman" w:cs="Times New Roman"/>
          <w:kern w:val="22"/>
          <w:sz w:val="22"/>
          <w:lang w:val="en-GB" w:eastAsia="en-CA"/>
        </w:rPr>
        <w:t>specific cases</w:t>
      </w:r>
      <w:r w:rsidR="00952746" w:rsidRPr="002860FA">
        <w:rPr>
          <w:rFonts w:eastAsia="Times New Roman" w:cs="Times New Roman"/>
          <w:kern w:val="22"/>
          <w:sz w:val="22"/>
          <w:lang w:val="en-GB" w:eastAsia="en-CA"/>
        </w:rPr>
        <w:t>’</w:t>
      </w:r>
      <w:r w:rsidRPr="002860FA">
        <w:rPr>
          <w:rFonts w:eastAsia="Times New Roman" w:cs="Times New Roman"/>
          <w:kern w:val="22"/>
          <w:sz w:val="22"/>
          <w:lang w:val="en-GB" w:eastAsia="en-CA"/>
        </w:rPr>
        <w:t xml:space="preserve"> that might fall within the scope of Article 10 as referring to a request to identify </w:t>
      </w:r>
      <w:r w:rsidR="0023215E" w:rsidRPr="002860FA">
        <w:rPr>
          <w:rFonts w:eastAsia="Times New Roman" w:cs="Times New Roman"/>
          <w:kern w:val="22"/>
          <w:sz w:val="22"/>
          <w:lang w:val="en-GB" w:eastAsia="en-CA"/>
        </w:rPr>
        <w:t>dis</w:t>
      </w:r>
      <w:r w:rsidR="006B4676" w:rsidRPr="002860FA">
        <w:rPr>
          <w:rFonts w:eastAsia="Times New Roman" w:cs="Times New Roman"/>
          <w:kern w:val="22"/>
          <w:sz w:val="22"/>
          <w:lang w:val="en-GB" w:eastAsia="en-CA"/>
        </w:rPr>
        <w:t>tinct</w:t>
      </w:r>
      <w:r w:rsidRPr="002860FA">
        <w:rPr>
          <w:rFonts w:eastAsia="Times New Roman" w:cs="Times New Roman"/>
          <w:kern w:val="22"/>
          <w:sz w:val="22"/>
          <w:lang w:val="en-GB" w:eastAsia="en-CA"/>
        </w:rPr>
        <w:t xml:space="preserve"> c</w:t>
      </w:r>
      <w:r w:rsidR="00A033F8" w:rsidRPr="002860FA">
        <w:rPr>
          <w:rFonts w:eastAsia="Times New Roman" w:cs="Times New Roman"/>
          <w:kern w:val="22"/>
          <w:sz w:val="22"/>
          <w:lang w:val="en-GB" w:eastAsia="en-CA"/>
        </w:rPr>
        <w:t>ategories of c</w:t>
      </w:r>
      <w:r w:rsidR="00D43399" w:rsidRPr="002860FA">
        <w:rPr>
          <w:rFonts w:eastAsia="Times New Roman" w:cs="Times New Roman"/>
          <w:kern w:val="22"/>
          <w:sz w:val="22"/>
          <w:lang w:val="en-GB" w:eastAsia="en-CA"/>
        </w:rPr>
        <w:t>ases</w:t>
      </w:r>
      <w:r w:rsidRPr="002860FA">
        <w:rPr>
          <w:rFonts w:eastAsia="Times New Roman" w:cs="Times New Roman"/>
          <w:kern w:val="22"/>
          <w:sz w:val="22"/>
          <w:lang w:val="en-GB" w:eastAsia="en-CA"/>
        </w:rPr>
        <w:t xml:space="preserve">, rather than a request to identify individual examples. As such, the </w:t>
      </w:r>
      <w:r w:rsidR="00B07076" w:rsidRPr="002860FA">
        <w:rPr>
          <w:rFonts w:eastAsia="Times New Roman" w:cs="Times New Roman"/>
          <w:kern w:val="22"/>
          <w:sz w:val="22"/>
          <w:lang w:val="en-GB" w:eastAsia="en-CA"/>
        </w:rPr>
        <w:t>cases</w:t>
      </w:r>
      <w:r w:rsidRPr="002860FA">
        <w:rPr>
          <w:rFonts w:eastAsia="Times New Roman" w:cs="Times New Roman"/>
          <w:kern w:val="22"/>
          <w:sz w:val="22"/>
          <w:lang w:val="en-GB" w:eastAsia="en-CA"/>
        </w:rPr>
        <w:t xml:space="preserve"> provided </w:t>
      </w:r>
      <w:r w:rsidR="00F20534" w:rsidRPr="002860FA">
        <w:rPr>
          <w:rFonts w:eastAsia="Times New Roman" w:cs="Times New Roman"/>
          <w:kern w:val="22"/>
          <w:sz w:val="22"/>
          <w:lang w:val="en-GB" w:eastAsia="en-CA"/>
        </w:rPr>
        <w:t xml:space="preserve">herein </w:t>
      </w:r>
      <w:r w:rsidRPr="002860FA">
        <w:rPr>
          <w:rFonts w:eastAsia="Times New Roman" w:cs="Times New Roman"/>
          <w:kern w:val="22"/>
          <w:sz w:val="22"/>
          <w:lang w:val="en-GB" w:eastAsia="en-CA"/>
        </w:rPr>
        <w:t xml:space="preserve">are intended to be illustrative, rather than discrete </w:t>
      </w:r>
      <w:r w:rsidR="003E01E9" w:rsidRPr="002860FA">
        <w:rPr>
          <w:rFonts w:eastAsia="Times New Roman" w:cs="Times New Roman"/>
          <w:kern w:val="22"/>
          <w:sz w:val="22"/>
          <w:lang w:val="en-GB" w:eastAsia="en-CA"/>
        </w:rPr>
        <w:t>examples</w:t>
      </w:r>
      <w:r w:rsidR="00F20534" w:rsidRPr="002860FA">
        <w:rPr>
          <w:rFonts w:eastAsia="Times New Roman" w:cs="Times New Roman"/>
          <w:kern w:val="22"/>
          <w:sz w:val="22"/>
          <w:lang w:val="en-GB" w:eastAsia="en-CA"/>
        </w:rPr>
        <w:t xml:space="preserve"> of </w:t>
      </w:r>
      <w:r w:rsidRPr="002860FA">
        <w:rPr>
          <w:rFonts w:eastAsia="Times New Roman" w:cs="Times New Roman"/>
          <w:kern w:val="22"/>
          <w:sz w:val="22"/>
          <w:lang w:val="en-GB" w:eastAsia="en-CA"/>
        </w:rPr>
        <w:t>genetic resource</w:t>
      </w:r>
      <w:r w:rsidR="00415D35" w:rsidRPr="002860FA">
        <w:rPr>
          <w:rFonts w:eastAsia="Times New Roman" w:cs="Times New Roman"/>
          <w:kern w:val="22"/>
          <w:sz w:val="22"/>
          <w:lang w:val="en-GB" w:eastAsia="en-CA"/>
        </w:rPr>
        <w:t>s</w:t>
      </w:r>
      <w:r w:rsidRPr="002860FA">
        <w:rPr>
          <w:rFonts w:eastAsia="Times New Roman" w:cs="Times New Roman"/>
          <w:kern w:val="22"/>
          <w:sz w:val="22"/>
          <w:lang w:val="en-GB" w:eastAsia="en-CA"/>
        </w:rPr>
        <w:t xml:space="preserve"> or traditional knowledge that fall within the scope of Article</w:t>
      </w:r>
      <w:r w:rsidR="00786FC2" w:rsidRPr="002860FA">
        <w:rPr>
          <w:rFonts w:eastAsia="Times New Roman" w:cs="Times New Roman"/>
          <w:kern w:val="22"/>
          <w:sz w:val="22"/>
          <w:lang w:val="en-GB" w:eastAsia="en-CA"/>
        </w:rPr>
        <w:t> </w:t>
      </w:r>
      <w:r w:rsidRPr="002860FA">
        <w:rPr>
          <w:rFonts w:eastAsia="Times New Roman" w:cs="Times New Roman"/>
          <w:kern w:val="22"/>
          <w:sz w:val="22"/>
          <w:lang w:val="en-GB" w:eastAsia="en-CA"/>
        </w:rPr>
        <w:t xml:space="preserve">10.  </w:t>
      </w:r>
      <w:r w:rsidR="0078605E" w:rsidRPr="002860FA">
        <w:rPr>
          <w:rFonts w:eastAsia="Times New Roman" w:cs="Times New Roman"/>
          <w:kern w:val="22"/>
          <w:sz w:val="22"/>
          <w:lang w:val="en-GB" w:eastAsia="en-CA"/>
        </w:rPr>
        <w:t>Furthermore,</w:t>
      </w:r>
      <w:r w:rsidR="0078605E" w:rsidRPr="002860FA" w:rsidDel="0078605E">
        <w:rPr>
          <w:rFonts w:eastAsia="Times New Roman" w:cs="Times New Roman"/>
          <w:kern w:val="22"/>
          <w:sz w:val="22"/>
          <w:lang w:val="en-GB" w:eastAsia="en-CA"/>
        </w:rPr>
        <w:t xml:space="preserve"> </w:t>
      </w:r>
      <w:r w:rsidR="0078605E" w:rsidRPr="002860FA">
        <w:rPr>
          <w:rFonts w:eastAsia="Times New Roman" w:cs="Times New Roman"/>
          <w:kern w:val="22"/>
          <w:sz w:val="22"/>
          <w:lang w:val="en-GB" w:eastAsia="en-CA"/>
        </w:rPr>
        <w:t xml:space="preserve">in keeping with the inclusive approach </w:t>
      </w:r>
      <w:r w:rsidR="00F15FDB" w:rsidRPr="002860FA">
        <w:rPr>
          <w:rFonts w:eastAsia="Times New Roman" w:cs="Times New Roman"/>
          <w:kern w:val="22"/>
          <w:sz w:val="22"/>
          <w:lang w:val="en-GB" w:eastAsia="en-CA"/>
        </w:rPr>
        <w:t xml:space="preserve">aimed for in this study, </w:t>
      </w:r>
      <w:r w:rsidR="0078605E" w:rsidRPr="002860FA">
        <w:rPr>
          <w:rFonts w:eastAsia="Times New Roman" w:cs="Times New Roman"/>
          <w:kern w:val="22"/>
          <w:sz w:val="22"/>
          <w:lang w:val="en-GB" w:eastAsia="en-CA"/>
        </w:rPr>
        <w:t xml:space="preserve">the authors </w:t>
      </w:r>
      <w:r w:rsidR="00967A5C" w:rsidRPr="002860FA">
        <w:rPr>
          <w:rFonts w:eastAsia="Times New Roman" w:cs="Times New Roman"/>
          <w:kern w:val="22"/>
          <w:sz w:val="22"/>
          <w:lang w:val="en-GB" w:eastAsia="en-CA"/>
        </w:rPr>
        <w:t xml:space="preserve">have opted to use a definition of </w:t>
      </w:r>
      <w:r w:rsidR="00952746" w:rsidRPr="002860FA">
        <w:rPr>
          <w:rFonts w:eastAsia="Times New Roman" w:cs="Times New Roman"/>
          <w:kern w:val="22"/>
          <w:sz w:val="22"/>
          <w:lang w:val="en-GB" w:eastAsia="en-CA"/>
        </w:rPr>
        <w:t>‘</w:t>
      </w:r>
      <w:r w:rsidR="00967A5C" w:rsidRPr="002860FA">
        <w:rPr>
          <w:rFonts w:eastAsia="Times New Roman" w:cs="Times New Roman"/>
          <w:kern w:val="22"/>
          <w:sz w:val="22"/>
          <w:lang w:val="en-GB" w:eastAsia="en-CA"/>
        </w:rPr>
        <w:t>not possible</w:t>
      </w:r>
      <w:r w:rsidR="00952746" w:rsidRPr="002860FA">
        <w:rPr>
          <w:rFonts w:eastAsia="Times New Roman" w:cs="Times New Roman"/>
          <w:kern w:val="22"/>
          <w:sz w:val="22"/>
          <w:lang w:val="en-GB" w:eastAsia="en-CA"/>
        </w:rPr>
        <w:t>’</w:t>
      </w:r>
      <w:r w:rsidR="00967A5C" w:rsidRPr="002860FA">
        <w:rPr>
          <w:rFonts w:eastAsia="Times New Roman" w:cs="Times New Roman"/>
          <w:kern w:val="22"/>
          <w:sz w:val="22"/>
          <w:lang w:val="en-GB" w:eastAsia="en-CA"/>
        </w:rPr>
        <w:t xml:space="preserve"> that </w:t>
      </w:r>
      <w:r w:rsidR="0078605E" w:rsidRPr="002860FA">
        <w:rPr>
          <w:rFonts w:eastAsia="Times New Roman" w:cs="Times New Roman"/>
          <w:kern w:val="22"/>
          <w:sz w:val="22"/>
          <w:lang w:val="en-GB" w:eastAsia="en-CA"/>
        </w:rPr>
        <w:t xml:space="preserve">includes </w:t>
      </w:r>
      <w:r w:rsidR="00967A5C" w:rsidRPr="002860FA">
        <w:rPr>
          <w:rFonts w:eastAsia="Times New Roman" w:cs="Times New Roman"/>
          <w:kern w:val="22"/>
          <w:sz w:val="22"/>
          <w:lang w:val="en-GB" w:eastAsia="en-CA"/>
        </w:rPr>
        <w:t xml:space="preserve">both </w:t>
      </w:r>
      <w:r w:rsidR="001E7182" w:rsidRPr="002860FA">
        <w:rPr>
          <w:rFonts w:eastAsia="Times New Roman" w:cs="Times New Roman"/>
          <w:kern w:val="22"/>
          <w:sz w:val="22"/>
          <w:lang w:val="en-GB" w:eastAsia="en-CA"/>
        </w:rPr>
        <w:t xml:space="preserve">absolute </w:t>
      </w:r>
      <w:r w:rsidR="0078605E" w:rsidRPr="002860FA">
        <w:rPr>
          <w:rFonts w:eastAsia="Times New Roman" w:cs="Times New Roman"/>
          <w:kern w:val="22"/>
          <w:sz w:val="22"/>
          <w:lang w:val="en-GB" w:eastAsia="en-CA"/>
        </w:rPr>
        <w:t>factual impossibility, and functional impossibility.</w:t>
      </w:r>
    </w:p>
    <w:bookmarkEnd w:id="1"/>
    <w:p w14:paraId="596AD339" w14:textId="4056A030" w:rsidR="001D0E49" w:rsidRPr="002860FA" w:rsidRDefault="001D0E49"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en-GB" w:eastAsia="en-CA"/>
        </w:rPr>
      </w:pPr>
      <w:r w:rsidRPr="002860FA">
        <w:rPr>
          <w:rFonts w:eastAsia="Times New Roman" w:cs="Times New Roman"/>
          <w:kern w:val="22"/>
          <w:sz w:val="22"/>
          <w:lang w:val="en-GB" w:eastAsia="en-CA"/>
        </w:rPr>
        <w:t>Notwithstanding the inclusive approach taken by the authors, the authors recognize that States have the sovereign authority to determine access to genetic resources through legislative, regulatory or administrative measures. Therefore, the authors do not intend this inclusive approach to suggest that a mechanism is needed in cases where 1) it is not possible to grant or obtain prior informed consent as a result of States deciding not to require prior informed consent, or 2) where States are still in the process of developing their access and benefit-sharing measures.</w:t>
      </w:r>
    </w:p>
    <w:sdt>
      <w:sdtPr>
        <w:rPr>
          <w:rFonts w:eastAsiaTheme="minorHAnsi" w:cstheme="minorBidi"/>
          <w:b w:val="0"/>
          <w:smallCaps w:val="0"/>
          <w:kern w:val="22"/>
          <w:sz w:val="22"/>
          <w:szCs w:val="22"/>
          <w:lang w:val="en-GB"/>
        </w:rPr>
        <w:id w:val="908112833"/>
        <w:docPartObj>
          <w:docPartGallery w:val="Table of Contents"/>
          <w:docPartUnique/>
        </w:docPartObj>
      </w:sdtPr>
      <w:sdtEndPr>
        <w:rPr>
          <w:bCs/>
          <w:noProof/>
        </w:rPr>
      </w:sdtEndPr>
      <w:sdtContent>
        <w:p w14:paraId="35D6C517" w14:textId="70105C0E" w:rsidR="0019195C" w:rsidRPr="00311B41" w:rsidRDefault="0019195C" w:rsidP="00B80668">
          <w:pPr>
            <w:pStyle w:val="TOCHeading"/>
            <w:rPr>
              <w:kern w:val="22"/>
              <w:sz w:val="22"/>
              <w:szCs w:val="22"/>
              <w:lang w:val="en-GB"/>
            </w:rPr>
          </w:pPr>
          <w:r w:rsidRPr="002860FA">
            <w:rPr>
              <w:kern w:val="22"/>
              <w:sz w:val="22"/>
              <w:szCs w:val="22"/>
              <w:lang w:val="en-GB"/>
            </w:rPr>
            <w:t>Contents</w:t>
          </w:r>
        </w:p>
        <w:p w14:paraId="2CF1A761" w14:textId="680B264F" w:rsidR="00C7636A" w:rsidRPr="00311B41" w:rsidRDefault="0019195C">
          <w:pPr>
            <w:pStyle w:val="TOC1"/>
            <w:rPr>
              <w:rFonts w:asciiTheme="minorHAnsi" w:eastAsiaTheme="minorEastAsia" w:hAnsiTheme="minorHAnsi"/>
              <w:noProof/>
              <w:kern w:val="22"/>
              <w:sz w:val="22"/>
              <w:lang w:val="en-GB"/>
            </w:rPr>
          </w:pPr>
          <w:r w:rsidRPr="00311B41">
            <w:rPr>
              <w:rFonts w:cs="Times New Roman"/>
              <w:kern w:val="22"/>
              <w:sz w:val="22"/>
              <w:lang w:val="en-GB"/>
            </w:rPr>
            <w:fldChar w:fldCharType="begin"/>
          </w:r>
          <w:r w:rsidRPr="002860FA">
            <w:rPr>
              <w:rFonts w:cs="Times New Roman"/>
              <w:kern w:val="22"/>
              <w:sz w:val="22"/>
              <w:lang w:val="en-GB"/>
            </w:rPr>
            <w:instrText xml:space="preserve"> TOC \o "1-3" \h \z \u </w:instrText>
          </w:r>
          <w:r w:rsidRPr="00311B41">
            <w:rPr>
              <w:rFonts w:cs="Times New Roman"/>
              <w:kern w:val="22"/>
              <w:sz w:val="22"/>
              <w:lang w:val="en-GB"/>
            </w:rPr>
            <w:fldChar w:fldCharType="separate"/>
          </w:r>
          <w:hyperlink w:anchor="_Toc43134974" w:history="1">
            <w:r w:rsidR="00C7636A" w:rsidRPr="002860FA">
              <w:rPr>
                <w:rStyle w:val="Hyperlink"/>
                <w:noProof/>
                <w:kern w:val="22"/>
                <w:sz w:val="22"/>
                <w:lang w:val="en-GB"/>
              </w:rPr>
              <w:t>Executive Summary</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_Toc43134974 \h </w:instrText>
            </w:r>
            <w:r w:rsidR="00C7636A" w:rsidRPr="000C134C">
              <w:rPr>
                <w:noProof/>
                <w:webHidden/>
                <w:kern w:val="22"/>
                <w:sz w:val="22"/>
                <w:lang w:val="en-GB"/>
              </w:rPr>
            </w:r>
            <w:r w:rsidR="00C7636A" w:rsidRPr="000C134C">
              <w:rPr>
                <w:noProof/>
                <w:webHidden/>
                <w:kern w:val="22"/>
                <w:sz w:val="22"/>
                <w:lang w:val="en-GB"/>
              </w:rPr>
              <w:fldChar w:fldCharType="separate"/>
            </w:r>
            <w:r w:rsidR="00CD2F7F">
              <w:rPr>
                <w:noProof/>
                <w:webHidden/>
                <w:kern w:val="22"/>
                <w:sz w:val="22"/>
                <w:lang w:val="en-GB"/>
              </w:rPr>
              <w:t>5</w:t>
            </w:r>
            <w:r w:rsidR="00C7636A" w:rsidRPr="000C134C">
              <w:rPr>
                <w:noProof/>
                <w:webHidden/>
                <w:kern w:val="22"/>
                <w:sz w:val="22"/>
                <w:lang w:val="en-GB"/>
              </w:rPr>
              <w:fldChar w:fldCharType="end"/>
            </w:r>
          </w:hyperlink>
        </w:p>
        <w:p w14:paraId="4DAEF26E" w14:textId="15F3CA58" w:rsidR="00C7636A" w:rsidRPr="002961E4" w:rsidRDefault="00CD2F7F">
          <w:pPr>
            <w:pStyle w:val="TOC1"/>
            <w:rPr>
              <w:rFonts w:asciiTheme="minorHAnsi" w:eastAsiaTheme="minorEastAsia" w:hAnsiTheme="minorHAnsi"/>
              <w:noProof/>
              <w:kern w:val="22"/>
              <w:sz w:val="22"/>
              <w:lang w:val="en-GB"/>
            </w:rPr>
          </w:pPr>
          <w:hyperlink w:anchor="_Toc43134975" w:history="1">
            <w:r w:rsidR="00C7636A" w:rsidRPr="002860FA">
              <w:rPr>
                <w:rStyle w:val="Hyperlink"/>
                <w:noProof/>
                <w:kern w:val="22"/>
                <w:sz w:val="22"/>
                <w:lang w:val="en-GB"/>
              </w:rPr>
              <w:t>1.</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Introduction</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_Toc43134975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10</w:t>
            </w:r>
            <w:r w:rsidR="00C7636A" w:rsidRPr="000C134C">
              <w:rPr>
                <w:noProof/>
                <w:webHidden/>
                <w:kern w:val="22"/>
                <w:sz w:val="22"/>
                <w:lang w:val="en-GB"/>
              </w:rPr>
              <w:fldChar w:fldCharType="end"/>
            </w:r>
          </w:hyperlink>
        </w:p>
        <w:p w14:paraId="4B9736A9" w14:textId="16EB5DE5" w:rsidR="00C7636A" w:rsidRPr="002961E4" w:rsidRDefault="00CD2F7F">
          <w:pPr>
            <w:pStyle w:val="TOC1"/>
            <w:rPr>
              <w:rFonts w:asciiTheme="minorHAnsi" w:eastAsiaTheme="minorEastAsia" w:hAnsiTheme="minorHAnsi"/>
              <w:noProof/>
              <w:kern w:val="22"/>
              <w:sz w:val="22"/>
              <w:lang w:val="en-GB"/>
            </w:rPr>
          </w:pPr>
          <w:hyperlink w:anchor="_Toc43134976" w:history="1">
            <w:r w:rsidR="00C7636A" w:rsidRPr="002860FA">
              <w:rPr>
                <w:rStyle w:val="Hyperlink"/>
                <w:noProof/>
                <w:kern w:val="22"/>
                <w:sz w:val="22"/>
                <w:lang w:val="en-GB"/>
              </w:rPr>
              <w:t>2.</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Specific Cases of Genetic Resources That Occur in Transboundary Situations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_Toc43134976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14</w:t>
            </w:r>
            <w:r w:rsidR="00C7636A" w:rsidRPr="000C134C">
              <w:rPr>
                <w:noProof/>
                <w:webHidden/>
                <w:kern w:val="22"/>
                <w:sz w:val="22"/>
                <w:lang w:val="en-GB"/>
              </w:rPr>
              <w:fldChar w:fldCharType="end"/>
            </w:r>
          </w:hyperlink>
        </w:p>
        <w:p w14:paraId="0318BCED" w14:textId="1ED13C9A" w:rsidR="00C7636A" w:rsidRPr="002961E4" w:rsidRDefault="00CD2F7F">
          <w:pPr>
            <w:pStyle w:val="TOC2"/>
            <w:rPr>
              <w:rFonts w:asciiTheme="minorHAnsi" w:eastAsiaTheme="minorEastAsia" w:hAnsiTheme="minorHAnsi"/>
              <w:noProof/>
              <w:kern w:val="22"/>
              <w:sz w:val="22"/>
              <w:lang w:val="en-GB"/>
            </w:rPr>
          </w:pPr>
          <w:hyperlink w:anchor="_Toc43134977" w:history="1">
            <w:r w:rsidR="00C7636A" w:rsidRPr="002860FA">
              <w:rPr>
                <w:rStyle w:val="Hyperlink"/>
                <w:noProof/>
                <w:kern w:val="22"/>
                <w:sz w:val="22"/>
                <w:lang w:val="en-GB"/>
              </w:rPr>
              <w:t>2.1.</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Shared Ecosystems and Habitats/Species Distributed across National Boundaries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_Toc43134977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15</w:t>
            </w:r>
            <w:r w:rsidR="00C7636A" w:rsidRPr="000C134C">
              <w:rPr>
                <w:noProof/>
                <w:webHidden/>
                <w:kern w:val="22"/>
                <w:sz w:val="22"/>
                <w:lang w:val="en-GB"/>
              </w:rPr>
              <w:fldChar w:fldCharType="end"/>
            </w:r>
          </w:hyperlink>
        </w:p>
        <w:p w14:paraId="6714872B" w14:textId="405926E5" w:rsidR="00C7636A" w:rsidRPr="002961E4" w:rsidRDefault="00CD2F7F">
          <w:pPr>
            <w:pStyle w:val="TOC2"/>
            <w:rPr>
              <w:rFonts w:asciiTheme="minorHAnsi" w:eastAsiaTheme="minorEastAsia" w:hAnsiTheme="minorHAnsi"/>
              <w:noProof/>
              <w:kern w:val="22"/>
              <w:sz w:val="22"/>
              <w:lang w:val="en-GB"/>
            </w:rPr>
          </w:pPr>
          <w:hyperlink w:anchor="_Toc43134978" w:history="1">
            <w:r w:rsidR="00C7636A" w:rsidRPr="002860FA">
              <w:rPr>
                <w:rStyle w:val="Hyperlink"/>
                <w:noProof/>
                <w:kern w:val="22"/>
                <w:sz w:val="22"/>
                <w:lang w:val="en-GB"/>
              </w:rPr>
              <w:t>2.2.</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Migratory Species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_Toc43134978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15</w:t>
            </w:r>
            <w:r w:rsidR="00C7636A" w:rsidRPr="000C134C">
              <w:rPr>
                <w:noProof/>
                <w:webHidden/>
                <w:kern w:val="22"/>
                <w:sz w:val="22"/>
                <w:lang w:val="en-GB"/>
              </w:rPr>
              <w:fldChar w:fldCharType="end"/>
            </w:r>
          </w:hyperlink>
        </w:p>
        <w:p w14:paraId="199269DF" w14:textId="0CDAAE34" w:rsidR="00C7636A" w:rsidRPr="002961E4" w:rsidRDefault="00CD2F7F">
          <w:pPr>
            <w:pStyle w:val="TOC2"/>
            <w:rPr>
              <w:rFonts w:asciiTheme="minorHAnsi" w:eastAsiaTheme="minorEastAsia" w:hAnsiTheme="minorHAnsi"/>
              <w:noProof/>
              <w:kern w:val="22"/>
              <w:sz w:val="22"/>
              <w:lang w:val="en-GB"/>
            </w:rPr>
          </w:pPr>
          <w:hyperlink w:anchor="_Toc43134979" w:history="1">
            <w:r w:rsidR="00C7636A" w:rsidRPr="002860FA">
              <w:rPr>
                <w:rStyle w:val="Hyperlink"/>
                <w:noProof/>
                <w:kern w:val="22"/>
                <w:sz w:val="22"/>
                <w:lang w:val="en-GB"/>
              </w:rPr>
              <w:t>2.3.</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Areas Beyond National Jurisdiction</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_Toc43134979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18</w:t>
            </w:r>
            <w:r w:rsidR="00C7636A" w:rsidRPr="000C134C">
              <w:rPr>
                <w:noProof/>
                <w:webHidden/>
                <w:kern w:val="22"/>
                <w:sz w:val="22"/>
                <w:lang w:val="en-GB"/>
              </w:rPr>
              <w:fldChar w:fldCharType="end"/>
            </w:r>
          </w:hyperlink>
        </w:p>
        <w:p w14:paraId="20F4540D" w14:textId="71DDB5DF" w:rsidR="00C7636A" w:rsidRPr="002961E4" w:rsidRDefault="00CD2F7F">
          <w:pPr>
            <w:pStyle w:val="TOC1"/>
            <w:rPr>
              <w:rFonts w:asciiTheme="minorHAnsi" w:eastAsiaTheme="minorEastAsia" w:hAnsiTheme="minorHAnsi"/>
              <w:noProof/>
              <w:kern w:val="22"/>
              <w:sz w:val="22"/>
              <w:lang w:val="en-GB"/>
            </w:rPr>
          </w:pPr>
          <w:hyperlink w:anchor="_Toc43134980" w:history="1">
            <w:r w:rsidR="00C7636A" w:rsidRPr="002860FA">
              <w:rPr>
                <w:rStyle w:val="Hyperlink"/>
                <w:noProof/>
                <w:kern w:val="22"/>
                <w:sz w:val="22"/>
                <w:lang w:val="en-GB"/>
              </w:rPr>
              <w:t>3.</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Specific Cases of Genetic Resources For Which It Is Not Possible To Grant or Obtain PIC</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_Toc43134980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19</w:t>
            </w:r>
            <w:r w:rsidR="00C7636A" w:rsidRPr="000C134C">
              <w:rPr>
                <w:noProof/>
                <w:webHidden/>
                <w:kern w:val="22"/>
                <w:sz w:val="22"/>
                <w:lang w:val="en-GB"/>
              </w:rPr>
              <w:fldChar w:fldCharType="end"/>
            </w:r>
          </w:hyperlink>
        </w:p>
        <w:p w14:paraId="58492780" w14:textId="3775EBF0" w:rsidR="00C7636A" w:rsidRPr="002961E4" w:rsidRDefault="00CD2F7F">
          <w:pPr>
            <w:pStyle w:val="TOC2"/>
            <w:rPr>
              <w:rFonts w:asciiTheme="minorHAnsi" w:eastAsiaTheme="minorEastAsia" w:hAnsiTheme="minorHAnsi"/>
              <w:noProof/>
              <w:kern w:val="22"/>
              <w:sz w:val="22"/>
              <w:lang w:val="en-GB"/>
            </w:rPr>
          </w:pPr>
          <w:hyperlink w:anchor="_Toc43134981" w:history="1">
            <w:r w:rsidR="00C7636A" w:rsidRPr="002860FA">
              <w:rPr>
                <w:rStyle w:val="Hyperlink"/>
                <w:noProof/>
                <w:kern w:val="22"/>
                <w:sz w:val="22"/>
                <w:lang w:val="en-GB"/>
              </w:rPr>
              <w:t>3.1.</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 xml:space="preserve">Genetic Resources of Untraceable Provenance in </w:t>
            </w:r>
            <w:r w:rsidR="00C7636A" w:rsidRPr="002860FA">
              <w:rPr>
                <w:rStyle w:val="Hyperlink"/>
                <w:i/>
                <w:iCs/>
                <w:noProof/>
                <w:kern w:val="22"/>
                <w:sz w:val="22"/>
                <w:lang w:val="en-GB"/>
              </w:rPr>
              <w:t>Ex Situ</w:t>
            </w:r>
            <w:r w:rsidR="00C7636A" w:rsidRPr="002860FA">
              <w:rPr>
                <w:rStyle w:val="Hyperlink"/>
                <w:noProof/>
                <w:kern w:val="22"/>
                <w:sz w:val="22"/>
                <w:lang w:val="en-GB"/>
              </w:rPr>
              <w:t xml:space="preserve"> Collections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_Toc43134981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19</w:t>
            </w:r>
            <w:r w:rsidR="00C7636A" w:rsidRPr="000C134C">
              <w:rPr>
                <w:noProof/>
                <w:webHidden/>
                <w:kern w:val="22"/>
                <w:sz w:val="22"/>
                <w:lang w:val="en-GB"/>
              </w:rPr>
              <w:fldChar w:fldCharType="end"/>
            </w:r>
          </w:hyperlink>
        </w:p>
        <w:p w14:paraId="097D3CDC" w14:textId="6449BC8C" w:rsidR="00C7636A" w:rsidRPr="002961E4" w:rsidRDefault="00CD2F7F">
          <w:pPr>
            <w:pStyle w:val="TOC2"/>
            <w:rPr>
              <w:rFonts w:asciiTheme="minorHAnsi" w:eastAsiaTheme="minorEastAsia" w:hAnsiTheme="minorHAnsi"/>
              <w:noProof/>
              <w:kern w:val="22"/>
              <w:sz w:val="22"/>
              <w:lang w:val="en-GB"/>
            </w:rPr>
          </w:pPr>
          <w:hyperlink w:anchor="_Toc43134982" w:history="1">
            <w:r w:rsidR="00C7636A" w:rsidRPr="002860FA">
              <w:rPr>
                <w:rStyle w:val="Hyperlink"/>
                <w:noProof/>
                <w:kern w:val="22"/>
                <w:sz w:val="22"/>
                <w:lang w:val="en-GB"/>
              </w:rPr>
              <w:t>3.2.</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Utilization and Screening of Geographically Diverse Samples Sourced from Different Regions and Countries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_Toc43134982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23</w:t>
            </w:r>
            <w:r w:rsidR="00C7636A" w:rsidRPr="000C134C">
              <w:rPr>
                <w:noProof/>
                <w:webHidden/>
                <w:kern w:val="22"/>
                <w:sz w:val="22"/>
                <w:lang w:val="en-GB"/>
              </w:rPr>
              <w:fldChar w:fldCharType="end"/>
            </w:r>
          </w:hyperlink>
        </w:p>
        <w:p w14:paraId="249471DB" w14:textId="18952766" w:rsidR="00C7636A" w:rsidRPr="002961E4" w:rsidRDefault="00CD2F7F">
          <w:pPr>
            <w:pStyle w:val="TOC2"/>
            <w:rPr>
              <w:rFonts w:asciiTheme="minorHAnsi" w:eastAsiaTheme="minorEastAsia" w:hAnsiTheme="minorHAnsi"/>
              <w:noProof/>
              <w:kern w:val="22"/>
              <w:sz w:val="22"/>
              <w:lang w:val="en-GB"/>
            </w:rPr>
          </w:pPr>
          <w:hyperlink w:anchor="_Toc43134983" w:history="1">
            <w:r w:rsidR="00C7636A" w:rsidRPr="002860FA">
              <w:rPr>
                <w:rStyle w:val="Hyperlink"/>
                <w:noProof/>
                <w:kern w:val="22"/>
                <w:sz w:val="22"/>
                <w:lang w:val="en-GB"/>
              </w:rPr>
              <w:t>3.3.</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Digital Sequence Information (DSI)</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_Toc43134983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24</w:t>
            </w:r>
            <w:r w:rsidR="00C7636A" w:rsidRPr="000C134C">
              <w:rPr>
                <w:noProof/>
                <w:webHidden/>
                <w:kern w:val="22"/>
                <w:sz w:val="22"/>
                <w:lang w:val="en-GB"/>
              </w:rPr>
              <w:fldChar w:fldCharType="end"/>
            </w:r>
          </w:hyperlink>
        </w:p>
        <w:p w14:paraId="6DE09F4B" w14:textId="724B4DC7" w:rsidR="00C7636A" w:rsidRPr="002961E4" w:rsidRDefault="00CD2F7F">
          <w:pPr>
            <w:pStyle w:val="TOC3"/>
            <w:rPr>
              <w:rFonts w:asciiTheme="minorHAnsi" w:eastAsiaTheme="minorEastAsia" w:hAnsiTheme="minorHAnsi"/>
              <w:noProof/>
              <w:kern w:val="22"/>
              <w:sz w:val="22"/>
              <w:lang w:val="en-GB"/>
            </w:rPr>
          </w:pPr>
          <w:hyperlink w:anchor="_Toc43134984" w:history="1">
            <w:r w:rsidR="00C7636A" w:rsidRPr="002860FA">
              <w:rPr>
                <w:rStyle w:val="Hyperlink"/>
                <w:noProof/>
                <w:kern w:val="22"/>
                <w:sz w:val="22"/>
                <w:lang w:val="en-GB"/>
              </w:rPr>
              <w:t>3.3.1.</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Cases Where no Physical Access is Needed to Utilize Genetic Information</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_Toc43134984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25</w:t>
            </w:r>
            <w:r w:rsidR="00C7636A" w:rsidRPr="000C134C">
              <w:rPr>
                <w:noProof/>
                <w:webHidden/>
                <w:kern w:val="22"/>
                <w:sz w:val="22"/>
                <w:lang w:val="en-GB"/>
              </w:rPr>
              <w:fldChar w:fldCharType="end"/>
            </w:r>
          </w:hyperlink>
        </w:p>
        <w:p w14:paraId="5D4BFE0D" w14:textId="4C9B8529" w:rsidR="00C7636A" w:rsidRPr="002961E4" w:rsidRDefault="00CD2F7F">
          <w:pPr>
            <w:pStyle w:val="TOC3"/>
            <w:rPr>
              <w:rFonts w:asciiTheme="minorHAnsi" w:eastAsiaTheme="minorEastAsia" w:hAnsiTheme="minorHAnsi"/>
              <w:noProof/>
              <w:kern w:val="22"/>
              <w:sz w:val="22"/>
              <w:lang w:val="en-GB"/>
            </w:rPr>
          </w:pPr>
          <w:hyperlink w:anchor="_Toc43134985" w:history="1">
            <w:r w:rsidR="00C7636A" w:rsidRPr="002860FA">
              <w:rPr>
                <w:rStyle w:val="Hyperlink"/>
                <w:noProof/>
                <w:kern w:val="22"/>
                <w:sz w:val="22"/>
                <w:lang w:val="en-GB"/>
              </w:rPr>
              <w:t>3.3.2.</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Utilization of Genetic Components Found in Multip</w:t>
            </w:r>
            <w:bookmarkStart w:id="2" w:name="_GoBack"/>
            <w:bookmarkEnd w:id="2"/>
            <w:r w:rsidR="00C7636A" w:rsidRPr="002860FA">
              <w:rPr>
                <w:rStyle w:val="Hyperlink"/>
                <w:noProof/>
                <w:kern w:val="22"/>
                <w:sz w:val="22"/>
                <w:lang w:val="en-GB"/>
              </w:rPr>
              <w:t>le Organisms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_Toc43134985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29</w:t>
            </w:r>
            <w:r w:rsidR="00C7636A" w:rsidRPr="000C134C">
              <w:rPr>
                <w:noProof/>
                <w:webHidden/>
                <w:kern w:val="22"/>
                <w:sz w:val="22"/>
                <w:lang w:val="en-GB"/>
              </w:rPr>
              <w:fldChar w:fldCharType="end"/>
            </w:r>
          </w:hyperlink>
        </w:p>
        <w:p w14:paraId="475E11AA" w14:textId="1AE28F57" w:rsidR="00C7636A" w:rsidRPr="002961E4" w:rsidRDefault="00CD2F7F">
          <w:pPr>
            <w:pStyle w:val="TOC1"/>
            <w:rPr>
              <w:rFonts w:asciiTheme="minorHAnsi" w:eastAsiaTheme="minorEastAsia" w:hAnsiTheme="minorHAnsi"/>
              <w:noProof/>
              <w:kern w:val="22"/>
              <w:sz w:val="22"/>
              <w:lang w:val="en-GB"/>
            </w:rPr>
          </w:pPr>
          <w:hyperlink w:anchor="_Toc43134986" w:history="1">
            <w:r w:rsidR="00C7636A" w:rsidRPr="002860FA">
              <w:rPr>
                <w:rStyle w:val="Hyperlink"/>
                <w:noProof/>
                <w:kern w:val="22"/>
                <w:sz w:val="22"/>
                <w:lang w:val="en-GB"/>
              </w:rPr>
              <w:t>4.</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Specific Cases of Traditional Knowledge Associated With Genetic Resources that Occur in Transboundary Situations or For Which It Is Not Possible to Grant or Obtain PIC</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_Toc43134986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32</w:t>
            </w:r>
            <w:r w:rsidR="00C7636A" w:rsidRPr="000C134C">
              <w:rPr>
                <w:noProof/>
                <w:webHidden/>
                <w:kern w:val="22"/>
                <w:sz w:val="22"/>
                <w:lang w:val="en-GB"/>
              </w:rPr>
              <w:fldChar w:fldCharType="end"/>
            </w:r>
          </w:hyperlink>
        </w:p>
        <w:p w14:paraId="7ED87188" w14:textId="44C31670" w:rsidR="00C7636A" w:rsidRPr="002961E4" w:rsidRDefault="00CD2F7F">
          <w:pPr>
            <w:pStyle w:val="TOC2"/>
            <w:rPr>
              <w:rFonts w:asciiTheme="minorHAnsi" w:eastAsiaTheme="minorEastAsia" w:hAnsiTheme="minorHAnsi"/>
              <w:noProof/>
              <w:kern w:val="22"/>
              <w:sz w:val="22"/>
              <w:lang w:val="en-GB"/>
            </w:rPr>
          </w:pPr>
          <w:hyperlink w:anchor="_Toc43134987" w:history="1">
            <w:r w:rsidR="00C7636A" w:rsidRPr="002860FA">
              <w:rPr>
                <w:rStyle w:val="Hyperlink"/>
                <w:noProof/>
                <w:kern w:val="22"/>
                <w:sz w:val="22"/>
                <w:lang w:val="en-GB"/>
              </w:rPr>
              <w:t>4.1.</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Traditional Knowledge held by Indigenous Peoples and Local Communities across National Boundaries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_Toc43134987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32</w:t>
            </w:r>
            <w:r w:rsidR="00C7636A" w:rsidRPr="000C134C">
              <w:rPr>
                <w:noProof/>
                <w:webHidden/>
                <w:kern w:val="22"/>
                <w:sz w:val="22"/>
                <w:lang w:val="en-GB"/>
              </w:rPr>
              <w:fldChar w:fldCharType="end"/>
            </w:r>
          </w:hyperlink>
        </w:p>
        <w:p w14:paraId="5088793F" w14:textId="305AFE66" w:rsidR="00C7636A" w:rsidRPr="002961E4" w:rsidRDefault="00CD2F7F">
          <w:pPr>
            <w:pStyle w:val="TOC2"/>
            <w:rPr>
              <w:rFonts w:asciiTheme="minorHAnsi" w:eastAsiaTheme="minorEastAsia" w:hAnsiTheme="minorHAnsi"/>
              <w:noProof/>
              <w:kern w:val="22"/>
              <w:sz w:val="22"/>
              <w:lang w:val="en-GB"/>
            </w:rPr>
          </w:pPr>
          <w:hyperlink w:anchor="_Toc43134988" w:history="1">
            <w:r w:rsidR="00C7636A" w:rsidRPr="002860FA">
              <w:rPr>
                <w:rStyle w:val="Hyperlink"/>
                <w:noProof/>
                <w:kern w:val="22"/>
                <w:sz w:val="22"/>
                <w:lang w:val="en-GB"/>
              </w:rPr>
              <w:t>4.2.</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Publicly Available Traditional Knowledge Associated with Genetic Resources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_Toc43134988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34</w:t>
            </w:r>
            <w:r w:rsidR="00C7636A" w:rsidRPr="000C134C">
              <w:rPr>
                <w:noProof/>
                <w:webHidden/>
                <w:kern w:val="22"/>
                <w:sz w:val="22"/>
                <w:lang w:val="en-GB"/>
              </w:rPr>
              <w:fldChar w:fldCharType="end"/>
            </w:r>
          </w:hyperlink>
        </w:p>
        <w:p w14:paraId="1EA0560F" w14:textId="11AD5349" w:rsidR="00C7636A" w:rsidRPr="002961E4" w:rsidRDefault="00CD2F7F">
          <w:pPr>
            <w:pStyle w:val="TOC2"/>
            <w:rPr>
              <w:rFonts w:asciiTheme="minorHAnsi" w:eastAsiaTheme="minorEastAsia" w:hAnsiTheme="minorHAnsi"/>
              <w:noProof/>
              <w:kern w:val="22"/>
              <w:sz w:val="22"/>
              <w:lang w:val="en-GB"/>
            </w:rPr>
          </w:pPr>
          <w:hyperlink w:anchor="_Toc43134989" w:history="1">
            <w:r w:rsidR="00C7636A" w:rsidRPr="002860FA">
              <w:rPr>
                <w:rStyle w:val="Hyperlink"/>
                <w:noProof/>
                <w:kern w:val="22"/>
                <w:sz w:val="22"/>
                <w:lang w:val="en-GB"/>
              </w:rPr>
              <w:t>4.3.</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 xml:space="preserve">Traditional Knowledge Associated with Genetic Resources of Untraceable Origin in </w:t>
            </w:r>
            <w:r w:rsidR="00C7636A" w:rsidRPr="002860FA">
              <w:rPr>
                <w:rStyle w:val="Hyperlink"/>
                <w:i/>
                <w:noProof/>
                <w:kern w:val="22"/>
                <w:sz w:val="22"/>
                <w:lang w:val="en-GB"/>
              </w:rPr>
              <w:t>Ex Situ</w:t>
            </w:r>
            <w:r w:rsidR="00C7636A" w:rsidRPr="002860FA">
              <w:rPr>
                <w:rStyle w:val="Hyperlink"/>
                <w:noProof/>
                <w:kern w:val="22"/>
                <w:sz w:val="22"/>
                <w:lang w:val="en-GB"/>
              </w:rPr>
              <w:t xml:space="preserve"> Collections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_Toc43134989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36</w:t>
            </w:r>
            <w:r w:rsidR="00C7636A" w:rsidRPr="000C134C">
              <w:rPr>
                <w:noProof/>
                <w:webHidden/>
                <w:kern w:val="22"/>
                <w:sz w:val="22"/>
                <w:lang w:val="en-GB"/>
              </w:rPr>
              <w:fldChar w:fldCharType="end"/>
            </w:r>
          </w:hyperlink>
        </w:p>
        <w:p w14:paraId="08122DB5" w14:textId="44C29D19" w:rsidR="00C7636A" w:rsidRPr="002961E4" w:rsidRDefault="00CD2F7F">
          <w:pPr>
            <w:pStyle w:val="TOC1"/>
            <w:rPr>
              <w:rFonts w:asciiTheme="minorHAnsi" w:eastAsiaTheme="minorEastAsia" w:hAnsiTheme="minorHAnsi"/>
              <w:noProof/>
              <w:kern w:val="22"/>
              <w:sz w:val="22"/>
              <w:lang w:val="en-GB"/>
            </w:rPr>
          </w:pPr>
          <w:hyperlink w:anchor="_Toc43134990" w:history="1">
            <w:r w:rsidR="00C7636A" w:rsidRPr="002860FA">
              <w:rPr>
                <w:rStyle w:val="Hyperlink"/>
                <w:noProof/>
                <w:kern w:val="22"/>
                <w:sz w:val="22"/>
                <w:lang w:val="en-GB"/>
              </w:rPr>
              <w:t>5.</w:t>
            </w:r>
            <w:r w:rsidR="00C7636A" w:rsidRPr="002860FA">
              <w:rPr>
                <w:rFonts w:asciiTheme="minorHAnsi" w:eastAsiaTheme="minorEastAsia" w:hAnsiTheme="minorHAnsi"/>
                <w:noProof/>
                <w:kern w:val="22"/>
                <w:sz w:val="22"/>
                <w:lang w:val="en-GB"/>
              </w:rPr>
              <w:tab/>
            </w:r>
            <w:r w:rsidR="00C7636A" w:rsidRPr="002860FA">
              <w:rPr>
                <w:rStyle w:val="Hyperlink"/>
                <w:noProof/>
                <w:kern w:val="22"/>
                <w:sz w:val="22"/>
                <w:lang w:val="en-GB"/>
              </w:rPr>
              <w:t>Conclusions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_Toc43134990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37</w:t>
            </w:r>
            <w:r w:rsidR="00C7636A" w:rsidRPr="000C134C">
              <w:rPr>
                <w:noProof/>
                <w:webHidden/>
                <w:kern w:val="22"/>
                <w:sz w:val="22"/>
                <w:lang w:val="en-GB"/>
              </w:rPr>
              <w:fldChar w:fldCharType="end"/>
            </w:r>
          </w:hyperlink>
        </w:p>
        <w:p w14:paraId="3C702B55" w14:textId="7E0F5530" w:rsidR="00C7636A" w:rsidRPr="002961E4" w:rsidRDefault="00CD2F7F">
          <w:pPr>
            <w:pStyle w:val="TOC1"/>
            <w:rPr>
              <w:rFonts w:asciiTheme="minorHAnsi" w:eastAsiaTheme="minorEastAsia" w:hAnsiTheme="minorHAnsi"/>
              <w:noProof/>
              <w:kern w:val="22"/>
              <w:sz w:val="22"/>
              <w:lang w:val="en-GB"/>
            </w:rPr>
          </w:pPr>
          <w:hyperlink w:anchor="_Toc43134991" w:history="1">
            <w:r w:rsidR="00C7636A" w:rsidRPr="002860FA">
              <w:rPr>
                <w:rStyle w:val="Hyperlink"/>
                <w:noProof/>
                <w:kern w:val="22"/>
                <w:sz w:val="22"/>
                <w:lang w:val="en-GB"/>
              </w:rPr>
              <w:t>Acknowledgements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_Toc43134991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37</w:t>
            </w:r>
            <w:r w:rsidR="00C7636A" w:rsidRPr="000C134C">
              <w:rPr>
                <w:noProof/>
                <w:webHidden/>
                <w:kern w:val="22"/>
                <w:sz w:val="22"/>
                <w:lang w:val="en-GB"/>
              </w:rPr>
              <w:fldChar w:fldCharType="end"/>
            </w:r>
          </w:hyperlink>
        </w:p>
        <w:p w14:paraId="363B26A9" w14:textId="73D6FFEB" w:rsidR="00C7636A" w:rsidRPr="002961E4" w:rsidRDefault="00CD2F7F">
          <w:pPr>
            <w:pStyle w:val="TOC1"/>
            <w:rPr>
              <w:rFonts w:asciiTheme="minorHAnsi" w:eastAsiaTheme="minorEastAsia" w:hAnsiTheme="minorHAnsi"/>
              <w:noProof/>
              <w:kern w:val="22"/>
              <w:sz w:val="22"/>
              <w:lang w:val="en-GB"/>
            </w:rPr>
          </w:pPr>
          <w:hyperlink w:anchor="_Toc43134992" w:history="1">
            <w:r w:rsidR="00C7636A" w:rsidRPr="002860FA">
              <w:rPr>
                <w:rStyle w:val="Hyperlink"/>
                <w:noProof/>
                <w:kern w:val="22"/>
                <w:sz w:val="22"/>
                <w:lang w:val="en-GB"/>
              </w:rPr>
              <w:t>Annex A: List of Interviewees</w:t>
            </w:r>
            <w:r w:rsidR="00C7636A" w:rsidRPr="002860FA">
              <w:rPr>
                <w:noProof/>
                <w:webHidden/>
                <w:kern w:val="22"/>
                <w:sz w:val="22"/>
                <w:lang w:val="en-GB"/>
              </w:rPr>
              <w:tab/>
            </w:r>
            <w:r w:rsidR="00C7636A" w:rsidRPr="000C134C">
              <w:rPr>
                <w:noProof/>
                <w:webHidden/>
                <w:kern w:val="22"/>
                <w:sz w:val="22"/>
                <w:lang w:val="en-GB"/>
              </w:rPr>
              <w:fldChar w:fldCharType="begin"/>
            </w:r>
            <w:r w:rsidR="00C7636A" w:rsidRPr="002860FA">
              <w:rPr>
                <w:noProof/>
                <w:webHidden/>
                <w:kern w:val="22"/>
                <w:sz w:val="22"/>
                <w:lang w:val="en-GB"/>
              </w:rPr>
              <w:instrText xml:space="preserve"> PAGEREF _Toc43134992 \h </w:instrText>
            </w:r>
            <w:r w:rsidR="00C7636A" w:rsidRPr="000C134C">
              <w:rPr>
                <w:noProof/>
                <w:webHidden/>
                <w:kern w:val="22"/>
                <w:sz w:val="22"/>
                <w:lang w:val="en-GB"/>
              </w:rPr>
            </w:r>
            <w:r w:rsidR="00C7636A" w:rsidRPr="000C134C">
              <w:rPr>
                <w:noProof/>
                <w:webHidden/>
                <w:kern w:val="22"/>
                <w:sz w:val="22"/>
                <w:lang w:val="en-GB"/>
              </w:rPr>
              <w:fldChar w:fldCharType="separate"/>
            </w:r>
            <w:r>
              <w:rPr>
                <w:noProof/>
                <w:webHidden/>
                <w:kern w:val="22"/>
                <w:sz w:val="22"/>
                <w:lang w:val="en-GB"/>
              </w:rPr>
              <w:t>38</w:t>
            </w:r>
            <w:r w:rsidR="00C7636A" w:rsidRPr="000C134C">
              <w:rPr>
                <w:noProof/>
                <w:webHidden/>
                <w:kern w:val="22"/>
                <w:sz w:val="22"/>
                <w:lang w:val="en-GB"/>
              </w:rPr>
              <w:fldChar w:fldCharType="end"/>
            </w:r>
          </w:hyperlink>
        </w:p>
        <w:p w14:paraId="36B9CB04" w14:textId="531A245B" w:rsidR="00F1101C" w:rsidRPr="002860FA" w:rsidRDefault="0019195C" w:rsidP="00F1101C">
          <w:pPr>
            <w:rPr>
              <w:bCs/>
              <w:noProof/>
              <w:kern w:val="22"/>
              <w:sz w:val="22"/>
              <w:lang w:val="en-GB"/>
            </w:rPr>
          </w:pPr>
          <w:r w:rsidRPr="00311B41">
            <w:rPr>
              <w:rFonts w:cs="Times New Roman"/>
              <w:kern w:val="22"/>
              <w:sz w:val="22"/>
              <w:lang w:val="en-GB"/>
            </w:rPr>
            <w:fldChar w:fldCharType="end"/>
          </w:r>
        </w:p>
      </w:sdtContent>
    </w:sdt>
    <w:p w14:paraId="04146CB5" w14:textId="77777777" w:rsidR="00F1101C" w:rsidRPr="002961E4" w:rsidRDefault="00F1101C">
      <w:pPr>
        <w:spacing w:line="259" w:lineRule="auto"/>
        <w:jc w:val="left"/>
        <w:rPr>
          <w:rFonts w:eastAsia="Times New Roman" w:cs="Times New Roman"/>
          <w:b/>
          <w:kern w:val="22"/>
          <w:sz w:val="22"/>
          <w:lang w:val="en-GB" w:eastAsia="en-CA"/>
        </w:rPr>
      </w:pPr>
      <w:r w:rsidRPr="00311B41">
        <w:rPr>
          <w:rFonts w:eastAsia="Times New Roman" w:cs="Times New Roman"/>
          <w:b/>
          <w:kern w:val="22"/>
          <w:sz w:val="22"/>
          <w:lang w:val="en-GB" w:eastAsia="en-CA"/>
        </w:rPr>
        <w:br w:type="page"/>
      </w:r>
    </w:p>
    <w:p w14:paraId="7024C38A" w14:textId="10AE26D5" w:rsidR="003C2C8E" w:rsidRPr="002961E4" w:rsidRDefault="003C2C8E" w:rsidP="003C2C8E">
      <w:pPr>
        <w:spacing w:after="120"/>
        <w:rPr>
          <w:rFonts w:eastAsia="Times New Roman" w:cs="Times New Roman"/>
          <w:kern w:val="22"/>
          <w:sz w:val="22"/>
          <w:lang w:val="en-GB" w:eastAsia="en-CA"/>
        </w:rPr>
      </w:pPr>
      <w:r w:rsidRPr="002961E4">
        <w:rPr>
          <w:rFonts w:eastAsia="Times New Roman" w:cs="Times New Roman"/>
          <w:b/>
          <w:kern w:val="22"/>
          <w:sz w:val="22"/>
          <w:lang w:val="en-GB" w:eastAsia="en-CA"/>
        </w:rPr>
        <w:lastRenderedPageBreak/>
        <w:t>List of Acronyms</w:t>
      </w:r>
    </w:p>
    <w:p w14:paraId="4D6E8722"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ABS</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Access and Benefit-Sharing</w:t>
      </w:r>
    </w:p>
    <w:p w14:paraId="244302E3" w14:textId="47A3B773"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ABSCH</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Access and Benefit-</w:t>
      </w:r>
      <w:r w:rsidR="007B3F9D" w:rsidRPr="002860FA">
        <w:rPr>
          <w:rFonts w:eastAsia="Times New Roman" w:cs="Times New Roman"/>
          <w:kern w:val="22"/>
          <w:sz w:val="20"/>
          <w:szCs w:val="20"/>
          <w:lang w:val="en-GB" w:eastAsia="en-CA"/>
        </w:rPr>
        <w:t>s</w:t>
      </w:r>
      <w:r w:rsidRPr="002860FA">
        <w:rPr>
          <w:rFonts w:eastAsia="Times New Roman" w:cs="Times New Roman"/>
          <w:kern w:val="22"/>
          <w:sz w:val="20"/>
          <w:szCs w:val="20"/>
          <w:lang w:val="en-GB" w:eastAsia="en-CA"/>
        </w:rPr>
        <w:t>haring Clearing-House</w:t>
      </w:r>
    </w:p>
    <w:p w14:paraId="5CD0F509" w14:textId="5FE24FBD"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AHTEG</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Ad Hoc Technical Expert Group</w:t>
      </w:r>
    </w:p>
    <w:p w14:paraId="0819FE86" w14:textId="5A96BB16" w:rsidR="00C77607" w:rsidRPr="002860FA" w:rsidRDefault="00C77607"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BBNJ</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r>
      <w:r w:rsidR="00C10ABC" w:rsidRPr="002860FA">
        <w:rPr>
          <w:rFonts w:eastAsia="Times New Roman" w:cs="Times New Roman"/>
          <w:kern w:val="22"/>
          <w:sz w:val="20"/>
          <w:szCs w:val="20"/>
          <w:lang w:val="en-GB" w:eastAsia="en-CA"/>
        </w:rPr>
        <w:t>Biodiversity beyond national jurisdiction</w:t>
      </w:r>
    </w:p>
    <w:p w14:paraId="49367116" w14:textId="3C9CBB84" w:rsidR="000B6ABF" w:rsidRPr="002860FA" w:rsidRDefault="000B6ABF"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BLAST</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Basic Local Alignment Search Tool</w:t>
      </w:r>
    </w:p>
    <w:p w14:paraId="364A55AE" w14:textId="75CCFBDD" w:rsidR="00D660E9" w:rsidRPr="002860FA" w:rsidRDefault="00D660E9"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BGCI</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Botanic Gardens Conservation International</w:t>
      </w:r>
    </w:p>
    <w:p w14:paraId="6D12DAA6" w14:textId="16AA6C91" w:rsidR="003C11B5" w:rsidRPr="002860FA" w:rsidRDefault="003C11B5"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 xml:space="preserve">BNITM </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 xml:space="preserve">Bernard </w:t>
      </w:r>
      <w:proofErr w:type="spellStart"/>
      <w:r w:rsidRPr="002860FA">
        <w:rPr>
          <w:rFonts w:eastAsia="Times New Roman" w:cs="Times New Roman"/>
          <w:kern w:val="22"/>
          <w:sz w:val="20"/>
          <w:szCs w:val="20"/>
          <w:lang w:val="en-GB" w:eastAsia="en-CA"/>
        </w:rPr>
        <w:t>Nocht</w:t>
      </w:r>
      <w:proofErr w:type="spellEnd"/>
      <w:r w:rsidRPr="002860FA">
        <w:rPr>
          <w:rFonts w:eastAsia="Times New Roman" w:cs="Times New Roman"/>
          <w:kern w:val="22"/>
          <w:sz w:val="20"/>
          <w:szCs w:val="20"/>
          <w:lang w:val="en-GB" w:eastAsia="en-CA"/>
        </w:rPr>
        <w:t xml:space="preserve"> Institute for Tropical Medicine</w:t>
      </w:r>
    </w:p>
    <w:p w14:paraId="66F10754" w14:textId="6FF73660" w:rsidR="00DD68D8" w:rsidRPr="002860FA" w:rsidRDefault="00DD68D8"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CABI</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Centre for Agriculture and Bioscience International</w:t>
      </w:r>
    </w:p>
    <w:p w14:paraId="27FA3442" w14:textId="6773F7A9"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CBD</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Convention on Biological Diversity</w:t>
      </w:r>
    </w:p>
    <w:p w14:paraId="44B39DEB"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CETAF</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Consortium of European Taxonomic Facilities</w:t>
      </w:r>
    </w:p>
    <w:p w14:paraId="39BE2753"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COP</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Conference of the Parties</w:t>
      </w:r>
    </w:p>
    <w:p w14:paraId="4EF764A8" w14:textId="4A452FBA"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COP-MOP</w:t>
      </w:r>
      <w:r w:rsidRPr="002860FA">
        <w:rPr>
          <w:rFonts w:eastAsia="Times New Roman" w:cs="Times New Roman"/>
          <w:kern w:val="22"/>
          <w:sz w:val="20"/>
          <w:szCs w:val="20"/>
          <w:lang w:val="en-GB" w:eastAsia="en-CA"/>
        </w:rPr>
        <w:tab/>
        <w:t>Conference of the Parties serving as Meeting of the Parties</w:t>
      </w:r>
    </w:p>
    <w:p w14:paraId="5B44C810" w14:textId="5DCC471B" w:rsidR="0013470C" w:rsidRPr="002860FA" w:rsidRDefault="0013470C"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CMS</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Convention on Migratory Species</w:t>
      </w:r>
      <w:r w:rsidR="00A232FB" w:rsidRPr="002860FA">
        <w:rPr>
          <w:rFonts w:eastAsia="Times New Roman" w:cs="Times New Roman"/>
          <w:kern w:val="22"/>
          <w:sz w:val="20"/>
          <w:szCs w:val="20"/>
          <w:lang w:val="en-GB" w:eastAsia="en-CA"/>
        </w:rPr>
        <w:t xml:space="preserve"> of Wild Animals</w:t>
      </w:r>
    </w:p>
    <w:p w14:paraId="72359D9F"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DNA</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Deoxyribonucleic acid</w:t>
      </w:r>
    </w:p>
    <w:p w14:paraId="0DECD28D" w14:textId="7CF5CA3D"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DSI</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“Digital Sequence Information on Genetic Resources”</w:t>
      </w:r>
    </w:p>
    <w:p w14:paraId="3490DB28" w14:textId="77777777" w:rsidR="00A81326" w:rsidRPr="002860FA" w:rsidRDefault="00A81326" w:rsidP="00A81326">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DSMZ</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 xml:space="preserve">Leibniz Institute DSMZ-German Collection of Microorganisms and Cell </w:t>
      </w:r>
    </w:p>
    <w:p w14:paraId="12B5650C" w14:textId="34345071" w:rsidR="00A81326" w:rsidRPr="002860FA" w:rsidRDefault="00A81326" w:rsidP="00A81326">
      <w:pPr>
        <w:spacing w:after="0"/>
        <w:ind w:left="720" w:firstLine="72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Cultures</w:t>
      </w:r>
    </w:p>
    <w:p w14:paraId="4C099571" w14:textId="51CB6D83" w:rsidR="00161A07" w:rsidRPr="002860FA" w:rsidRDefault="00161A07" w:rsidP="003C2C8E">
      <w:pPr>
        <w:spacing w:after="0"/>
        <w:rPr>
          <w:kern w:val="22"/>
          <w:sz w:val="20"/>
          <w:szCs w:val="20"/>
          <w:lang w:val="en-GB"/>
        </w:rPr>
      </w:pPr>
      <w:r w:rsidRPr="002860FA">
        <w:rPr>
          <w:kern w:val="22"/>
          <w:sz w:val="20"/>
          <w:szCs w:val="20"/>
          <w:lang w:val="en-GB"/>
        </w:rPr>
        <w:t xml:space="preserve">EBC </w:t>
      </w:r>
      <w:r w:rsidRPr="002860FA">
        <w:rPr>
          <w:kern w:val="22"/>
          <w:sz w:val="20"/>
          <w:szCs w:val="20"/>
          <w:lang w:val="en-GB"/>
        </w:rPr>
        <w:tab/>
      </w:r>
      <w:r w:rsidRPr="002860FA">
        <w:rPr>
          <w:kern w:val="22"/>
          <w:sz w:val="20"/>
          <w:szCs w:val="20"/>
          <w:lang w:val="en-GB"/>
        </w:rPr>
        <w:tab/>
        <w:t>Kew Economic Botany Collection</w:t>
      </w:r>
    </w:p>
    <w:p w14:paraId="631ADF65" w14:textId="34842198" w:rsidR="0013470C" w:rsidRPr="002860FA" w:rsidRDefault="0013470C" w:rsidP="003C2C8E">
      <w:pPr>
        <w:spacing w:after="0"/>
        <w:rPr>
          <w:kern w:val="22"/>
          <w:sz w:val="20"/>
          <w:szCs w:val="20"/>
          <w:lang w:val="en-GB"/>
        </w:rPr>
      </w:pPr>
      <w:r w:rsidRPr="002860FA">
        <w:rPr>
          <w:kern w:val="22"/>
          <w:sz w:val="20"/>
          <w:szCs w:val="20"/>
          <w:lang w:val="en-GB"/>
        </w:rPr>
        <w:t xml:space="preserve">EBSA </w:t>
      </w:r>
      <w:r w:rsidRPr="002860FA">
        <w:rPr>
          <w:kern w:val="22"/>
          <w:sz w:val="20"/>
          <w:szCs w:val="20"/>
          <w:lang w:val="en-GB"/>
        </w:rPr>
        <w:tab/>
      </w:r>
      <w:r w:rsidRPr="002860FA">
        <w:rPr>
          <w:kern w:val="22"/>
          <w:sz w:val="20"/>
          <w:szCs w:val="20"/>
          <w:lang w:val="en-GB"/>
        </w:rPr>
        <w:tab/>
        <w:t>Ecologically or Biologically Significant Area</w:t>
      </w:r>
    </w:p>
    <w:p w14:paraId="68613E55" w14:textId="69ED28DA" w:rsidR="0013470C" w:rsidRPr="00CD2F7F" w:rsidRDefault="0013470C" w:rsidP="003C2C8E">
      <w:pPr>
        <w:spacing w:after="0"/>
        <w:rPr>
          <w:rFonts w:eastAsia="Times New Roman" w:cs="Times New Roman"/>
          <w:kern w:val="22"/>
          <w:sz w:val="20"/>
          <w:szCs w:val="20"/>
          <w:lang w:val="fr-FR" w:eastAsia="en-CA"/>
        </w:rPr>
      </w:pPr>
      <w:r w:rsidRPr="00CD2F7F">
        <w:rPr>
          <w:kern w:val="22"/>
          <w:sz w:val="20"/>
          <w:szCs w:val="20"/>
          <w:lang w:val="fr-FR"/>
        </w:rPr>
        <w:t>EEZ</w:t>
      </w:r>
      <w:r w:rsidRPr="00CD2F7F">
        <w:rPr>
          <w:kern w:val="22"/>
          <w:sz w:val="20"/>
          <w:szCs w:val="20"/>
          <w:lang w:val="fr-FR"/>
        </w:rPr>
        <w:tab/>
      </w:r>
      <w:r w:rsidRPr="00CD2F7F">
        <w:rPr>
          <w:kern w:val="22"/>
          <w:sz w:val="20"/>
          <w:szCs w:val="20"/>
          <w:lang w:val="fr-FR"/>
        </w:rPr>
        <w:tab/>
        <w:t>Exclusive economic zone</w:t>
      </w:r>
    </w:p>
    <w:p w14:paraId="4B48758C" w14:textId="4ACDF693" w:rsidR="003C2C8E" w:rsidRPr="00CD2F7F" w:rsidRDefault="003C2C8E" w:rsidP="003C2C8E">
      <w:pPr>
        <w:spacing w:after="0"/>
        <w:rPr>
          <w:rFonts w:eastAsia="Times New Roman" w:cs="Times New Roman"/>
          <w:kern w:val="22"/>
          <w:sz w:val="20"/>
          <w:szCs w:val="20"/>
          <w:lang w:val="fr-FR" w:eastAsia="en-CA"/>
        </w:rPr>
      </w:pPr>
      <w:r w:rsidRPr="00CD2F7F">
        <w:rPr>
          <w:rFonts w:eastAsia="Times New Roman" w:cs="Times New Roman"/>
          <w:kern w:val="22"/>
          <w:sz w:val="20"/>
          <w:szCs w:val="20"/>
          <w:lang w:val="fr-FR" w:eastAsia="en-CA"/>
        </w:rPr>
        <w:t>EU</w:t>
      </w:r>
      <w:r w:rsidRPr="00CD2F7F">
        <w:rPr>
          <w:rFonts w:eastAsia="Times New Roman" w:cs="Times New Roman"/>
          <w:kern w:val="22"/>
          <w:sz w:val="20"/>
          <w:szCs w:val="20"/>
          <w:lang w:val="fr-FR" w:eastAsia="en-CA"/>
        </w:rPr>
        <w:tab/>
      </w:r>
      <w:r w:rsidRPr="00CD2F7F">
        <w:rPr>
          <w:rFonts w:eastAsia="Times New Roman" w:cs="Times New Roman"/>
          <w:kern w:val="22"/>
          <w:sz w:val="20"/>
          <w:szCs w:val="20"/>
          <w:lang w:val="fr-FR" w:eastAsia="en-CA"/>
        </w:rPr>
        <w:tab/>
        <w:t>European Union</w:t>
      </w:r>
    </w:p>
    <w:p w14:paraId="45050ACC" w14:textId="4FAD40E7" w:rsidR="009A0431" w:rsidRPr="002860FA" w:rsidRDefault="009A0431"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 xml:space="preserve">GRULAC </w:t>
      </w:r>
      <w:r w:rsidRPr="002860FA">
        <w:rPr>
          <w:rFonts w:eastAsia="Times New Roman" w:cs="Times New Roman"/>
          <w:kern w:val="22"/>
          <w:sz w:val="20"/>
          <w:szCs w:val="20"/>
          <w:lang w:val="en-GB" w:eastAsia="en-CA"/>
        </w:rPr>
        <w:tab/>
        <w:t>Latin American and Caribbean Group</w:t>
      </w:r>
    </w:p>
    <w:p w14:paraId="24E41E1C" w14:textId="7307A4D9"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GSD</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Genetic Sequence Data</w:t>
      </w:r>
    </w:p>
    <w:p w14:paraId="24FCED96" w14:textId="7E9A4999" w:rsidR="003C2C8E" w:rsidRPr="002860FA" w:rsidRDefault="001F0F74"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ICC</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International Chamber of Commerce</w:t>
      </w:r>
    </w:p>
    <w:p w14:paraId="12590CBB" w14:textId="7809E7BF" w:rsidR="00DD6D5C" w:rsidRPr="002860FA" w:rsidRDefault="00DD6D5C"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IPEN</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International Plant Exchange Network</w:t>
      </w:r>
    </w:p>
    <w:p w14:paraId="16336AB6" w14:textId="533B042E"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IPLC</w:t>
      </w:r>
      <w:r w:rsidR="00711BD3" w:rsidRPr="002860FA">
        <w:rPr>
          <w:rFonts w:eastAsia="Times New Roman" w:cs="Times New Roman"/>
          <w:kern w:val="22"/>
          <w:sz w:val="20"/>
          <w:szCs w:val="20"/>
          <w:lang w:val="en-GB" w:eastAsia="en-CA"/>
        </w:rPr>
        <w:t>s</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Indigenous Peoples and Local Communities</w:t>
      </w:r>
    </w:p>
    <w:p w14:paraId="7AA7AB92" w14:textId="7DD7CC7E" w:rsidR="00F8399C" w:rsidRPr="002860FA" w:rsidRDefault="00F8399C"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INSDC</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International Nucleotide Sequence Database Collaboration</w:t>
      </w:r>
    </w:p>
    <w:p w14:paraId="5ACD0937" w14:textId="6669E704" w:rsidR="00DD68D8" w:rsidRPr="002860FA" w:rsidRDefault="00DD68D8"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IRCC</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Internationally recognized certificate of compliance</w:t>
      </w:r>
    </w:p>
    <w:p w14:paraId="4D918C14"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IUCN</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International Union for the Conservation of Nature</w:t>
      </w:r>
    </w:p>
    <w:p w14:paraId="1A3DEF99" w14:textId="7E7A0730" w:rsidR="0008155A" w:rsidRPr="002860FA" w:rsidRDefault="00633911"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Kew</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Royal Botanic Gardens, Kew</w:t>
      </w:r>
    </w:p>
    <w:p w14:paraId="63B7AB70" w14:textId="10235F61"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MAT</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Mutually Agreed Terms</w:t>
      </w:r>
    </w:p>
    <w:p w14:paraId="380ECB54" w14:textId="170465F5" w:rsidR="00B10B7E" w:rsidRPr="00337A19" w:rsidRDefault="00B10B7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MNHN</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r>
      <w:r w:rsidRPr="00CD2F7F">
        <w:rPr>
          <w:rFonts w:eastAsia="Times New Roman" w:cs="Times New Roman"/>
          <w:kern w:val="22"/>
          <w:sz w:val="20"/>
          <w:szCs w:val="20"/>
          <w:lang w:val="en-CA" w:eastAsia="en-CA"/>
        </w:rPr>
        <w:t>Muséum National d’Histoire Naturelle</w:t>
      </w:r>
    </w:p>
    <w:p w14:paraId="31EA6E34" w14:textId="1F7F09F5" w:rsidR="00D16EDA" w:rsidRPr="002860FA" w:rsidRDefault="00D16EDA"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MTA</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Material Transfer Agreement</w:t>
      </w:r>
    </w:p>
    <w:p w14:paraId="0000C189"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NFP</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National Focal Point</w:t>
      </w:r>
    </w:p>
    <w:p w14:paraId="380D5A1F" w14:textId="30F9C511"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PIC</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Prior Informed Consent</w:t>
      </w:r>
    </w:p>
    <w:p w14:paraId="7909FBF5" w14:textId="2A6249B3" w:rsidR="0043340E" w:rsidRPr="002860FA" w:rsidRDefault="0043340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RBS-ORF</w:t>
      </w:r>
      <w:r w:rsidRPr="002860FA">
        <w:rPr>
          <w:rFonts w:eastAsia="Times New Roman" w:cs="Times New Roman"/>
          <w:kern w:val="22"/>
          <w:sz w:val="20"/>
          <w:szCs w:val="20"/>
          <w:lang w:val="en-GB" w:eastAsia="en-CA"/>
        </w:rPr>
        <w:tab/>
        <w:t>Ribosome binding site – open reading frame</w:t>
      </w:r>
    </w:p>
    <w:p w14:paraId="4C034429" w14:textId="05D08478" w:rsidR="003E273A" w:rsidRPr="002860FA" w:rsidRDefault="003E273A"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SBI</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Subsidiary Body for Implementation</w:t>
      </w:r>
    </w:p>
    <w:p w14:paraId="0956BE65" w14:textId="77777777" w:rsidR="003C2C8E" w:rsidRPr="002860FA" w:rsidRDefault="003C2C8E" w:rsidP="003C2C8E">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RNA</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 xml:space="preserve">Ribonucleic acid </w:t>
      </w:r>
    </w:p>
    <w:p w14:paraId="03F5DB9F" w14:textId="3B6E8C2E" w:rsidR="009A0431" w:rsidRPr="002860FA" w:rsidRDefault="00AE0803" w:rsidP="009A0431">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 xml:space="preserve">UNCLOS </w:t>
      </w:r>
      <w:r w:rsidRPr="002860FA">
        <w:rPr>
          <w:rFonts w:eastAsia="Times New Roman" w:cs="Times New Roman"/>
          <w:kern w:val="22"/>
          <w:sz w:val="20"/>
          <w:szCs w:val="20"/>
          <w:lang w:val="en-GB" w:eastAsia="en-CA"/>
        </w:rPr>
        <w:tab/>
        <w:t>United Nations Convention on the Law of the Sea</w:t>
      </w:r>
    </w:p>
    <w:p w14:paraId="09F72095" w14:textId="4AB309D3" w:rsidR="009A0431" w:rsidRPr="002860FA" w:rsidRDefault="009A0431" w:rsidP="009A0431">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 xml:space="preserve">WEOG </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Western European and Others Group</w:t>
      </w:r>
    </w:p>
    <w:p w14:paraId="43539E71" w14:textId="53DAD9D5" w:rsidR="00A81326" w:rsidRPr="002860FA" w:rsidRDefault="003C2C8E" w:rsidP="00A81326">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WIPO</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World Intellectual Property Organization</w:t>
      </w:r>
    </w:p>
    <w:p w14:paraId="0DE3B3C6" w14:textId="5761F16A" w:rsidR="00F8399C" w:rsidRPr="002860FA" w:rsidRDefault="00F8399C" w:rsidP="00A81326">
      <w:pPr>
        <w:spacing w:after="0"/>
        <w:rPr>
          <w:rFonts w:eastAsia="Times New Roman" w:cs="Times New Roman"/>
          <w:kern w:val="22"/>
          <w:sz w:val="20"/>
          <w:szCs w:val="20"/>
          <w:lang w:val="en-GB" w:eastAsia="en-CA"/>
        </w:rPr>
      </w:pPr>
      <w:r w:rsidRPr="002860FA">
        <w:rPr>
          <w:rFonts w:eastAsia="Times New Roman" w:cs="Times New Roman"/>
          <w:kern w:val="22"/>
          <w:sz w:val="20"/>
          <w:szCs w:val="20"/>
          <w:lang w:val="en-GB" w:eastAsia="en-CA"/>
        </w:rPr>
        <w:t>WDCM</w:t>
      </w:r>
      <w:r w:rsidRPr="002860FA">
        <w:rPr>
          <w:rFonts w:eastAsia="Times New Roman" w:cs="Times New Roman"/>
          <w:kern w:val="22"/>
          <w:sz w:val="20"/>
          <w:szCs w:val="20"/>
          <w:lang w:val="en-GB" w:eastAsia="en-CA"/>
        </w:rPr>
        <w:tab/>
      </w:r>
      <w:r w:rsidRPr="002860FA">
        <w:rPr>
          <w:rFonts w:eastAsia="Times New Roman" w:cs="Times New Roman"/>
          <w:kern w:val="22"/>
          <w:sz w:val="20"/>
          <w:szCs w:val="20"/>
          <w:lang w:val="en-GB" w:eastAsia="en-CA"/>
        </w:rPr>
        <w:tab/>
        <w:t>World Data Centre for Microorganisms</w:t>
      </w:r>
    </w:p>
    <w:p w14:paraId="164B3479" w14:textId="346E87BD" w:rsidR="00A81326" w:rsidRPr="002860FA" w:rsidRDefault="00A81326" w:rsidP="00A81326">
      <w:pPr>
        <w:spacing w:after="0"/>
        <w:rPr>
          <w:kern w:val="22"/>
          <w:sz w:val="20"/>
          <w:szCs w:val="20"/>
          <w:lang w:val="en-GB"/>
        </w:rPr>
      </w:pPr>
      <w:r w:rsidRPr="002860FA">
        <w:rPr>
          <w:kern w:val="22"/>
          <w:sz w:val="20"/>
          <w:szCs w:val="20"/>
          <w:lang w:val="en-GB"/>
        </w:rPr>
        <w:t>WFCC</w:t>
      </w:r>
      <w:r w:rsidRPr="002860FA">
        <w:rPr>
          <w:kern w:val="22"/>
          <w:sz w:val="20"/>
          <w:szCs w:val="20"/>
          <w:lang w:val="en-GB"/>
        </w:rPr>
        <w:tab/>
      </w:r>
      <w:r w:rsidRPr="002860FA">
        <w:rPr>
          <w:kern w:val="22"/>
          <w:sz w:val="20"/>
          <w:szCs w:val="20"/>
          <w:lang w:val="en-GB"/>
        </w:rPr>
        <w:tab/>
        <w:t>World Federation of Culture Collections</w:t>
      </w:r>
    </w:p>
    <w:p w14:paraId="4DA9FCC6" w14:textId="0BE37C96" w:rsidR="00520E6F" w:rsidRPr="002860FA" w:rsidRDefault="00520E6F" w:rsidP="00B80668">
      <w:pPr>
        <w:pStyle w:val="Heading1"/>
        <w:rPr>
          <w:kern w:val="22"/>
          <w:sz w:val="22"/>
          <w:szCs w:val="22"/>
          <w:lang w:val="en-GB"/>
        </w:rPr>
      </w:pPr>
    </w:p>
    <w:p w14:paraId="74D33A24" w14:textId="63AA687E" w:rsidR="00F86834" w:rsidRPr="002860FA" w:rsidRDefault="00F86834" w:rsidP="00D0775E">
      <w:pPr>
        <w:spacing w:after="120"/>
        <w:rPr>
          <w:kern w:val="22"/>
          <w:sz w:val="22"/>
          <w:lang w:val="en-GB"/>
        </w:rPr>
      </w:pPr>
    </w:p>
    <w:p w14:paraId="5BEC4540" w14:textId="6EBB1DEC" w:rsidR="004134A9" w:rsidRPr="002860FA" w:rsidRDefault="004134A9">
      <w:pPr>
        <w:jc w:val="left"/>
        <w:rPr>
          <w:rFonts w:eastAsiaTheme="majorEastAsia" w:cs="Times New Roman"/>
          <w:b/>
          <w:smallCaps/>
          <w:kern w:val="22"/>
          <w:sz w:val="22"/>
          <w:lang w:val="en-GB"/>
        </w:rPr>
      </w:pPr>
    </w:p>
    <w:p w14:paraId="1CE98EA3" w14:textId="77777777" w:rsidR="00DF5419" w:rsidRPr="002364AB" w:rsidRDefault="00DF5419">
      <w:pPr>
        <w:spacing w:line="259" w:lineRule="auto"/>
        <w:jc w:val="left"/>
        <w:rPr>
          <w:rFonts w:eastAsiaTheme="majorEastAsia" w:cs="Times New Roman"/>
          <w:b/>
          <w:smallCaps/>
          <w:kern w:val="22"/>
          <w:sz w:val="22"/>
          <w:lang w:val="en-GB"/>
        </w:rPr>
      </w:pPr>
      <w:bookmarkStart w:id="3" w:name="_Toc31040284"/>
      <w:bookmarkStart w:id="4" w:name="_Toc31056851"/>
      <w:bookmarkStart w:id="5" w:name="_Toc32490845"/>
      <w:bookmarkStart w:id="6" w:name="_Toc34249580"/>
      <w:r w:rsidRPr="002364AB">
        <w:rPr>
          <w:kern w:val="22"/>
          <w:sz w:val="22"/>
          <w:lang w:val="en-GB"/>
        </w:rPr>
        <w:br w:type="page"/>
      </w:r>
    </w:p>
    <w:p w14:paraId="26619509" w14:textId="73CF9B6C" w:rsidR="00FC5588" w:rsidRPr="002364AB" w:rsidRDefault="00FC5588" w:rsidP="00B80668">
      <w:pPr>
        <w:pStyle w:val="Heading1"/>
        <w:rPr>
          <w:kern w:val="22"/>
          <w:sz w:val="22"/>
          <w:szCs w:val="22"/>
          <w:lang w:val="en-GB"/>
        </w:rPr>
      </w:pPr>
      <w:bookmarkStart w:id="7" w:name="_Toc39580423"/>
      <w:bookmarkStart w:id="8" w:name="_Toc43134974"/>
      <w:r w:rsidRPr="002364AB">
        <w:rPr>
          <w:kern w:val="22"/>
          <w:sz w:val="22"/>
          <w:szCs w:val="22"/>
          <w:lang w:val="en-GB"/>
        </w:rPr>
        <w:t>Executive Summary</w:t>
      </w:r>
      <w:bookmarkEnd w:id="3"/>
      <w:bookmarkEnd w:id="4"/>
      <w:bookmarkEnd w:id="5"/>
      <w:bookmarkEnd w:id="6"/>
      <w:bookmarkEnd w:id="7"/>
      <w:bookmarkEnd w:id="8"/>
    </w:p>
    <w:p w14:paraId="73F0ED0D" w14:textId="77777777" w:rsidR="001E7182" w:rsidRPr="002364AB" w:rsidRDefault="00647B6B" w:rsidP="00FB0C98">
      <w:pPr>
        <w:rPr>
          <w:kern w:val="22"/>
          <w:sz w:val="22"/>
          <w:lang w:val="en-GB"/>
        </w:rPr>
      </w:pPr>
      <w:r w:rsidRPr="002364AB">
        <w:rPr>
          <w:kern w:val="22"/>
          <w:sz w:val="22"/>
          <w:lang w:val="en-GB"/>
        </w:rPr>
        <w:t xml:space="preserve">Article 10 of the Nagoya Protocol </w:t>
      </w:r>
      <w:r w:rsidR="00E1171D" w:rsidRPr="002364AB">
        <w:rPr>
          <w:kern w:val="22"/>
          <w:sz w:val="22"/>
          <w:lang w:val="en-GB"/>
        </w:rPr>
        <w:t>on Access and Benefit-</w:t>
      </w:r>
      <w:r w:rsidR="000F6D2A" w:rsidRPr="002364AB">
        <w:rPr>
          <w:kern w:val="22"/>
          <w:sz w:val="22"/>
          <w:lang w:val="en-GB"/>
        </w:rPr>
        <w:t>s</w:t>
      </w:r>
      <w:r w:rsidR="00E1171D" w:rsidRPr="002364AB">
        <w:rPr>
          <w:kern w:val="22"/>
          <w:sz w:val="22"/>
          <w:lang w:val="en-GB"/>
        </w:rPr>
        <w:t xml:space="preserve">haring </w:t>
      </w:r>
      <w:r w:rsidR="008E2D21" w:rsidRPr="002364AB">
        <w:rPr>
          <w:kern w:val="22"/>
          <w:sz w:val="22"/>
          <w:lang w:val="en-GB"/>
        </w:rPr>
        <w:t xml:space="preserve">(“Global Multilateral Benefit-Sharing Mechanism”) </w:t>
      </w:r>
      <w:r w:rsidR="009237CE" w:rsidRPr="002364AB">
        <w:rPr>
          <w:kern w:val="22"/>
          <w:sz w:val="22"/>
          <w:lang w:val="en-GB"/>
        </w:rPr>
        <w:t xml:space="preserve">calls for Parties to consider the need for, and modalities of, a global multilateral benefit-sharing mechanism to address the fair and equitable sharing of benefits </w:t>
      </w:r>
      <w:r w:rsidR="00CD239B" w:rsidRPr="002364AB">
        <w:rPr>
          <w:kern w:val="22"/>
          <w:sz w:val="22"/>
          <w:lang w:val="en-GB"/>
        </w:rPr>
        <w:t>derived from the utilization of genetic resources and traditional knowledge associated with genetic resources that occur in transboundary situations, or for which it is not possible to grant or obtain prior informed consent. The 3</w:t>
      </w:r>
      <w:r w:rsidR="00CD239B" w:rsidRPr="002364AB">
        <w:rPr>
          <w:kern w:val="22"/>
          <w:sz w:val="22"/>
          <w:vertAlign w:val="superscript"/>
          <w:lang w:val="en-GB"/>
        </w:rPr>
        <w:t>rd</w:t>
      </w:r>
      <w:r w:rsidR="00CD239B" w:rsidRPr="002364AB">
        <w:rPr>
          <w:kern w:val="22"/>
          <w:sz w:val="22"/>
          <w:lang w:val="en-GB"/>
        </w:rPr>
        <w:t xml:space="preserve"> </w:t>
      </w:r>
      <w:r w:rsidR="00976AD8" w:rsidRPr="002364AB">
        <w:rPr>
          <w:kern w:val="22"/>
          <w:sz w:val="22"/>
          <w:lang w:val="en-GB"/>
        </w:rPr>
        <w:t xml:space="preserve">meeting of the Conference of the Parties to the Convention on Biological Diversity serving as the meeting of the Parties to the Nagoya Protocol adopted </w:t>
      </w:r>
      <w:r w:rsidR="00A05FC4" w:rsidRPr="002364AB">
        <w:rPr>
          <w:kern w:val="22"/>
          <w:sz w:val="22"/>
          <w:lang w:val="en-GB"/>
        </w:rPr>
        <w:t>d</w:t>
      </w:r>
      <w:r w:rsidR="0059397C" w:rsidRPr="002364AB">
        <w:rPr>
          <w:kern w:val="22"/>
          <w:sz w:val="22"/>
          <w:lang w:val="en-GB"/>
        </w:rPr>
        <w:t xml:space="preserve">ecision NP-3/13 on </w:t>
      </w:r>
      <w:r w:rsidR="001220E6" w:rsidRPr="002364AB">
        <w:rPr>
          <w:kern w:val="22"/>
          <w:sz w:val="22"/>
          <w:lang w:val="en-GB"/>
        </w:rPr>
        <w:t xml:space="preserve">Article 10, which requested the </w:t>
      </w:r>
      <w:r w:rsidR="00A57277" w:rsidRPr="002364AB">
        <w:rPr>
          <w:kern w:val="22"/>
          <w:sz w:val="22"/>
          <w:lang w:val="en-GB"/>
        </w:rPr>
        <w:t xml:space="preserve">commissioning of a peer reviewed study to identify specific </w:t>
      </w:r>
      <w:r w:rsidR="00C91D60" w:rsidRPr="002364AB">
        <w:rPr>
          <w:kern w:val="22"/>
          <w:sz w:val="22"/>
          <w:lang w:val="en-GB"/>
        </w:rPr>
        <w:t xml:space="preserve">cases meeting the </w:t>
      </w:r>
      <w:r w:rsidR="00C840C5" w:rsidRPr="002364AB">
        <w:rPr>
          <w:kern w:val="22"/>
          <w:sz w:val="22"/>
          <w:lang w:val="en-GB"/>
        </w:rPr>
        <w:t>aforementioned criteria.</w:t>
      </w:r>
      <w:r w:rsidR="00A62F8D" w:rsidRPr="002364AB">
        <w:rPr>
          <w:kern w:val="22"/>
          <w:sz w:val="22"/>
          <w:lang w:val="en-GB"/>
        </w:rPr>
        <w:t xml:space="preserve"> </w:t>
      </w:r>
    </w:p>
    <w:p w14:paraId="292D6E38" w14:textId="06F9AB31" w:rsidR="00FB0C98" w:rsidRPr="002364AB" w:rsidRDefault="001E631E" w:rsidP="00FB0C98">
      <w:pPr>
        <w:rPr>
          <w:kern w:val="22"/>
          <w:sz w:val="22"/>
          <w:lang w:val="en-GB"/>
        </w:rPr>
      </w:pPr>
      <w:r w:rsidRPr="002364AB">
        <w:rPr>
          <w:kern w:val="22"/>
          <w:sz w:val="22"/>
          <w:lang w:val="en-GB"/>
        </w:rPr>
        <w:t>As summarized in Table 1 below</w:t>
      </w:r>
      <w:r w:rsidR="007B5A68" w:rsidRPr="002364AB">
        <w:rPr>
          <w:kern w:val="22"/>
          <w:sz w:val="22"/>
          <w:lang w:val="en-GB"/>
        </w:rPr>
        <w:t>,</w:t>
      </w:r>
      <w:r w:rsidRPr="002364AB">
        <w:rPr>
          <w:kern w:val="22"/>
          <w:sz w:val="22"/>
          <w:lang w:val="en-GB"/>
        </w:rPr>
        <w:t xml:space="preserve"> </w:t>
      </w:r>
      <w:r w:rsidR="007B5A68" w:rsidRPr="002364AB">
        <w:rPr>
          <w:kern w:val="22"/>
          <w:sz w:val="22"/>
          <w:lang w:val="en-GB"/>
        </w:rPr>
        <w:t>t</w:t>
      </w:r>
      <w:r w:rsidR="00A62F8D" w:rsidRPr="002364AB">
        <w:rPr>
          <w:kern w:val="22"/>
          <w:sz w:val="22"/>
          <w:lang w:val="en-GB"/>
        </w:rPr>
        <w:t xml:space="preserve">his study </w:t>
      </w:r>
      <w:r w:rsidR="001E7182" w:rsidRPr="002364AB">
        <w:rPr>
          <w:kern w:val="22"/>
          <w:sz w:val="22"/>
          <w:lang w:val="en-GB"/>
        </w:rPr>
        <w:t xml:space="preserve">takes a broad approach (see “Explanatory Note”). It </w:t>
      </w:r>
      <w:r w:rsidR="00A62F8D" w:rsidRPr="002364AB">
        <w:rPr>
          <w:kern w:val="22"/>
          <w:sz w:val="22"/>
          <w:lang w:val="en-GB"/>
        </w:rPr>
        <w:t xml:space="preserve">analyses </w:t>
      </w:r>
      <w:r w:rsidR="00ED3D14" w:rsidRPr="002364AB">
        <w:rPr>
          <w:kern w:val="22"/>
          <w:sz w:val="22"/>
          <w:lang w:val="en-GB"/>
        </w:rPr>
        <w:t>specific cases falling into three broad</w:t>
      </w:r>
      <w:r w:rsidR="008811EE" w:rsidRPr="002364AB">
        <w:rPr>
          <w:kern w:val="22"/>
          <w:sz w:val="22"/>
          <w:lang w:val="en-GB"/>
        </w:rPr>
        <w:t xml:space="preserve"> groups</w:t>
      </w:r>
      <w:r w:rsidR="00FB0C98" w:rsidRPr="002364AB">
        <w:rPr>
          <w:kern w:val="22"/>
          <w:sz w:val="22"/>
          <w:lang w:val="en-GB"/>
        </w:rPr>
        <w:t>: 1) genetic resources</w:t>
      </w:r>
      <w:r w:rsidR="00FB0C98" w:rsidRPr="002364AB" w:rsidDel="008801D7">
        <w:rPr>
          <w:kern w:val="22"/>
          <w:sz w:val="22"/>
          <w:lang w:val="en-GB"/>
        </w:rPr>
        <w:t xml:space="preserve"> </w:t>
      </w:r>
      <w:r w:rsidR="00FB0C98" w:rsidRPr="002364AB">
        <w:rPr>
          <w:kern w:val="22"/>
          <w:sz w:val="22"/>
          <w:lang w:val="en-GB"/>
        </w:rPr>
        <w:t xml:space="preserve">occurring in transboundary situations; 2) genetic resources for which it is not possible to grant or obtain prior informed consent; and 3) traditional knowledge associated with genetic resources </w:t>
      </w:r>
      <w:r w:rsidR="008801D7" w:rsidRPr="002364AB">
        <w:rPr>
          <w:kern w:val="22"/>
          <w:sz w:val="22"/>
          <w:lang w:val="en-GB"/>
        </w:rPr>
        <w:t xml:space="preserve">occurring in transboundary situations </w:t>
      </w:r>
      <w:r w:rsidR="00C10E63" w:rsidRPr="002364AB">
        <w:rPr>
          <w:kern w:val="22"/>
          <w:sz w:val="22"/>
          <w:lang w:val="en-GB"/>
        </w:rPr>
        <w:t xml:space="preserve">or </w:t>
      </w:r>
      <w:r w:rsidR="00FB0C98" w:rsidRPr="002364AB">
        <w:rPr>
          <w:kern w:val="22"/>
          <w:sz w:val="22"/>
          <w:lang w:val="en-GB"/>
        </w:rPr>
        <w:t>for which it is not possible to grant or obtain prior informed consent.</w:t>
      </w:r>
      <w:r w:rsidR="00ED3D14" w:rsidRPr="002364AB">
        <w:rPr>
          <w:kern w:val="22"/>
          <w:sz w:val="22"/>
          <w:lang w:val="en-GB"/>
        </w:rPr>
        <w:t xml:space="preserve"> </w:t>
      </w:r>
      <w:r w:rsidR="007E61D3" w:rsidRPr="002364AB">
        <w:rPr>
          <w:kern w:val="22"/>
          <w:sz w:val="22"/>
          <w:lang w:val="en-GB"/>
        </w:rPr>
        <w:t xml:space="preserve"> </w:t>
      </w:r>
    </w:p>
    <w:p w14:paraId="6CDD5BC6" w14:textId="1F972BB1" w:rsidR="008811EE" w:rsidRPr="002364AB" w:rsidRDefault="00FB0C98" w:rsidP="00865215">
      <w:pPr>
        <w:rPr>
          <w:kern w:val="22"/>
          <w:sz w:val="22"/>
          <w:lang w:val="en-GB"/>
        </w:rPr>
      </w:pPr>
      <w:r w:rsidRPr="002364AB">
        <w:rPr>
          <w:kern w:val="22"/>
          <w:sz w:val="22"/>
          <w:lang w:val="en-GB"/>
        </w:rPr>
        <w:t xml:space="preserve">The first </w:t>
      </w:r>
      <w:r w:rsidR="008811EE" w:rsidRPr="002364AB">
        <w:rPr>
          <w:kern w:val="22"/>
          <w:sz w:val="22"/>
          <w:lang w:val="en-GB"/>
        </w:rPr>
        <w:t xml:space="preserve">group, </w:t>
      </w:r>
      <w:r w:rsidR="00FA2D32" w:rsidRPr="002364AB">
        <w:rPr>
          <w:b/>
          <w:bCs/>
          <w:kern w:val="22"/>
          <w:sz w:val="22"/>
          <w:lang w:val="en-GB"/>
        </w:rPr>
        <w:t>genetic resources occurring in transboundary situations</w:t>
      </w:r>
      <w:r w:rsidR="00FA2D32" w:rsidRPr="002364AB">
        <w:rPr>
          <w:kern w:val="22"/>
          <w:sz w:val="22"/>
          <w:lang w:val="en-GB"/>
        </w:rPr>
        <w:t xml:space="preserve"> comprises </w:t>
      </w:r>
      <w:r w:rsidR="004B682C" w:rsidRPr="002364AB">
        <w:rPr>
          <w:kern w:val="22"/>
          <w:sz w:val="22"/>
          <w:lang w:val="en-GB"/>
        </w:rPr>
        <w:t>three</w:t>
      </w:r>
      <w:r w:rsidR="000764BC" w:rsidRPr="002364AB">
        <w:rPr>
          <w:kern w:val="22"/>
          <w:sz w:val="22"/>
          <w:lang w:val="en-GB"/>
        </w:rPr>
        <w:t xml:space="preserve"> </w:t>
      </w:r>
      <w:r w:rsidR="008516F9" w:rsidRPr="002364AB">
        <w:rPr>
          <w:kern w:val="22"/>
          <w:sz w:val="22"/>
          <w:lang w:val="en-GB"/>
        </w:rPr>
        <w:t>specific</w:t>
      </w:r>
      <w:r w:rsidR="008811EE" w:rsidRPr="002364AB">
        <w:rPr>
          <w:kern w:val="22"/>
          <w:sz w:val="22"/>
          <w:lang w:val="en-GB"/>
        </w:rPr>
        <w:t xml:space="preserve"> subgroups</w:t>
      </w:r>
      <w:r w:rsidR="000764BC" w:rsidRPr="002364AB">
        <w:rPr>
          <w:kern w:val="22"/>
          <w:sz w:val="22"/>
          <w:lang w:val="en-GB"/>
        </w:rPr>
        <w:t xml:space="preserve">: </w:t>
      </w:r>
      <w:r w:rsidR="008811EE" w:rsidRPr="002364AB">
        <w:rPr>
          <w:kern w:val="22"/>
          <w:sz w:val="22"/>
          <w:lang w:val="en-GB"/>
        </w:rPr>
        <w:t>(a</w:t>
      </w:r>
      <w:r w:rsidR="000764BC" w:rsidRPr="002364AB">
        <w:rPr>
          <w:kern w:val="22"/>
          <w:sz w:val="22"/>
          <w:lang w:val="en-GB"/>
        </w:rPr>
        <w:t>) s</w:t>
      </w:r>
      <w:r w:rsidRPr="002364AB">
        <w:rPr>
          <w:kern w:val="22"/>
          <w:sz w:val="22"/>
          <w:lang w:val="en-GB"/>
        </w:rPr>
        <w:t xml:space="preserve">hared </w:t>
      </w:r>
      <w:r w:rsidR="00CC67FE" w:rsidRPr="002364AB">
        <w:rPr>
          <w:kern w:val="22"/>
          <w:sz w:val="22"/>
          <w:lang w:val="en-GB"/>
        </w:rPr>
        <w:t xml:space="preserve">ecosystems and </w:t>
      </w:r>
      <w:r w:rsidR="00DE459E" w:rsidRPr="002364AB">
        <w:rPr>
          <w:kern w:val="22"/>
          <w:sz w:val="22"/>
          <w:lang w:val="en-GB"/>
        </w:rPr>
        <w:t>habitat</w:t>
      </w:r>
      <w:r w:rsidRPr="002364AB">
        <w:rPr>
          <w:kern w:val="22"/>
          <w:sz w:val="22"/>
          <w:lang w:val="en-GB"/>
        </w:rPr>
        <w:t>s/</w:t>
      </w:r>
      <w:r w:rsidR="00CC67FE" w:rsidRPr="002364AB">
        <w:rPr>
          <w:kern w:val="22"/>
          <w:sz w:val="22"/>
          <w:lang w:val="en-GB"/>
        </w:rPr>
        <w:t>species</w:t>
      </w:r>
      <w:r w:rsidRPr="002364AB">
        <w:rPr>
          <w:kern w:val="22"/>
          <w:sz w:val="22"/>
          <w:lang w:val="en-GB"/>
        </w:rPr>
        <w:t xml:space="preserve"> </w:t>
      </w:r>
      <w:r w:rsidR="003E7F8C" w:rsidRPr="002364AB">
        <w:rPr>
          <w:kern w:val="22"/>
          <w:sz w:val="22"/>
          <w:lang w:val="en-GB"/>
        </w:rPr>
        <w:t>d</w:t>
      </w:r>
      <w:r w:rsidRPr="002364AB">
        <w:rPr>
          <w:kern w:val="22"/>
          <w:sz w:val="22"/>
          <w:lang w:val="en-GB"/>
        </w:rPr>
        <w:t xml:space="preserve">istributed across </w:t>
      </w:r>
      <w:r w:rsidR="003E7F8C" w:rsidRPr="002364AB">
        <w:rPr>
          <w:kern w:val="22"/>
          <w:sz w:val="22"/>
          <w:lang w:val="en-GB"/>
        </w:rPr>
        <w:t>n</w:t>
      </w:r>
      <w:r w:rsidRPr="002364AB">
        <w:rPr>
          <w:kern w:val="22"/>
          <w:sz w:val="22"/>
          <w:lang w:val="en-GB"/>
        </w:rPr>
        <w:t xml:space="preserve">ational </w:t>
      </w:r>
      <w:r w:rsidR="003E7F8C" w:rsidRPr="002364AB">
        <w:rPr>
          <w:kern w:val="22"/>
          <w:sz w:val="22"/>
          <w:lang w:val="en-GB"/>
        </w:rPr>
        <w:t>b</w:t>
      </w:r>
      <w:r w:rsidRPr="002364AB">
        <w:rPr>
          <w:kern w:val="22"/>
          <w:sz w:val="22"/>
          <w:lang w:val="en-GB"/>
        </w:rPr>
        <w:t>oundaries</w:t>
      </w:r>
      <w:r w:rsidR="000764BC" w:rsidRPr="002364AB">
        <w:rPr>
          <w:kern w:val="22"/>
          <w:sz w:val="22"/>
          <w:lang w:val="en-GB"/>
        </w:rPr>
        <w:t xml:space="preserve">; </w:t>
      </w:r>
      <w:r w:rsidR="008811EE" w:rsidRPr="002364AB">
        <w:rPr>
          <w:kern w:val="22"/>
          <w:sz w:val="22"/>
          <w:lang w:val="en-GB"/>
        </w:rPr>
        <w:t>(b</w:t>
      </w:r>
      <w:r w:rsidR="008811EE" w:rsidRPr="002364AB" w:rsidDel="0019728D">
        <w:rPr>
          <w:kern w:val="22"/>
          <w:sz w:val="22"/>
          <w:lang w:val="en-GB"/>
        </w:rPr>
        <w:t>)</w:t>
      </w:r>
      <w:r w:rsidR="007B4B52" w:rsidRPr="002364AB" w:rsidDel="0019728D">
        <w:rPr>
          <w:kern w:val="22"/>
          <w:sz w:val="22"/>
          <w:lang w:val="en-GB"/>
        </w:rPr>
        <w:t xml:space="preserve"> </w:t>
      </w:r>
      <w:r w:rsidR="006D6E4D" w:rsidRPr="002364AB">
        <w:rPr>
          <w:kern w:val="22"/>
          <w:sz w:val="22"/>
          <w:lang w:val="en-GB"/>
        </w:rPr>
        <w:t>migratory species</w:t>
      </w:r>
      <w:r w:rsidR="009A3259" w:rsidRPr="002364AB">
        <w:rPr>
          <w:kern w:val="22"/>
          <w:sz w:val="22"/>
          <w:lang w:val="en-GB"/>
        </w:rPr>
        <w:t xml:space="preserve"> which </w:t>
      </w:r>
      <w:r w:rsidR="007574B3" w:rsidRPr="002364AB">
        <w:rPr>
          <w:kern w:val="22"/>
          <w:sz w:val="22"/>
          <w:lang w:val="en-GB"/>
        </w:rPr>
        <w:t xml:space="preserve">transit through </w:t>
      </w:r>
      <w:r w:rsidR="009A3259" w:rsidRPr="002364AB">
        <w:rPr>
          <w:kern w:val="22"/>
          <w:sz w:val="22"/>
          <w:lang w:val="en-GB"/>
        </w:rPr>
        <w:t>different jurisdictions</w:t>
      </w:r>
      <w:r w:rsidR="00591792" w:rsidRPr="002364AB">
        <w:rPr>
          <w:kern w:val="22"/>
          <w:sz w:val="22"/>
          <w:lang w:val="en-GB"/>
        </w:rPr>
        <w:t xml:space="preserve">; </w:t>
      </w:r>
      <w:r w:rsidR="004B682C" w:rsidRPr="002364AB">
        <w:rPr>
          <w:kern w:val="22"/>
          <w:sz w:val="22"/>
          <w:lang w:val="en-GB"/>
        </w:rPr>
        <w:t xml:space="preserve">and </w:t>
      </w:r>
      <w:r w:rsidR="008811EE" w:rsidRPr="002364AB">
        <w:rPr>
          <w:kern w:val="22"/>
          <w:sz w:val="22"/>
          <w:lang w:val="en-GB"/>
        </w:rPr>
        <w:t>(</w:t>
      </w:r>
      <w:r w:rsidR="0019728D" w:rsidRPr="002364AB">
        <w:rPr>
          <w:kern w:val="22"/>
          <w:sz w:val="22"/>
          <w:lang w:val="en-GB"/>
        </w:rPr>
        <w:t>c</w:t>
      </w:r>
      <w:r w:rsidR="00591792" w:rsidRPr="002364AB">
        <w:rPr>
          <w:kern w:val="22"/>
          <w:sz w:val="22"/>
          <w:lang w:val="en-GB"/>
        </w:rPr>
        <w:t>) areas beyond national jurisdiction</w:t>
      </w:r>
      <w:r w:rsidR="00882115" w:rsidRPr="002364AB">
        <w:rPr>
          <w:kern w:val="22"/>
          <w:sz w:val="22"/>
          <w:lang w:val="en-GB"/>
        </w:rPr>
        <w:t>.</w:t>
      </w:r>
      <w:r w:rsidR="009A3259" w:rsidRPr="002364AB">
        <w:rPr>
          <w:kern w:val="22"/>
          <w:sz w:val="22"/>
          <w:lang w:val="en-GB"/>
        </w:rPr>
        <w:t xml:space="preserve"> </w:t>
      </w:r>
    </w:p>
    <w:p w14:paraId="3898C551" w14:textId="30284880" w:rsidR="00FA2D32" w:rsidRPr="002364AB" w:rsidRDefault="00F23296" w:rsidP="00865215">
      <w:pPr>
        <w:rPr>
          <w:kern w:val="22"/>
          <w:sz w:val="22"/>
          <w:lang w:val="en-GB"/>
        </w:rPr>
      </w:pPr>
      <w:r w:rsidRPr="002364AB">
        <w:rPr>
          <w:kern w:val="22"/>
          <w:sz w:val="22"/>
          <w:lang w:val="en-GB"/>
        </w:rPr>
        <w:t xml:space="preserve">Cases </w:t>
      </w:r>
      <w:r w:rsidR="0076770C" w:rsidRPr="002364AB">
        <w:rPr>
          <w:kern w:val="22"/>
          <w:sz w:val="22"/>
          <w:lang w:val="en-GB"/>
        </w:rPr>
        <w:t>in</w:t>
      </w:r>
      <w:r w:rsidR="006E74D8" w:rsidRPr="002364AB">
        <w:rPr>
          <w:kern w:val="22"/>
          <w:sz w:val="22"/>
          <w:lang w:val="en-GB"/>
        </w:rPr>
        <w:t xml:space="preserve"> </w:t>
      </w:r>
      <w:r w:rsidR="008811EE" w:rsidRPr="002364AB">
        <w:rPr>
          <w:kern w:val="22"/>
          <w:sz w:val="22"/>
          <w:lang w:val="en-GB"/>
        </w:rPr>
        <w:t xml:space="preserve">subgroup (a) </w:t>
      </w:r>
      <w:r w:rsidR="0076770C" w:rsidRPr="002364AB">
        <w:rPr>
          <w:kern w:val="22"/>
          <w:sz w:val="22"/>
          <w:lang w:val="en-GB"/>
        </w:rPr>
        <w:t>include</w:t>
      </w:r>
      <w:r w:rsidR="00270E09" w:rsidRPr="002364AB">
        <w:rPr>
          <w:kern w:val="22"/>
          <w:sz w:val="22"/>
          <w:lang w:val="en-GB"/>
        </w:rPr>
        <w:t xml:space="preserve"> </w:t>
      </w:r>
      <w:r w:rsidR="00E2610D" w:rsidRPr="002364AB">
        <w:rPr>
          <w:kern w:val="22"/>
          <w:sz w:val="22"/>
          <w:lang w:val="en-GB"/>
        </w:rPr>
        <w:t>species</w:t>
      </w:r>
      <w:r w:rsidR="00146139" w:rsidRPr="002364AB">
        <w:rPr>
          <w:kern w:val="22"/>
          <w:sz w:val="22"/>
          <w:lang w:val="en-GB"/>
        </w:rPr>
        <w:t xml:space="preserve"> occurring in </w:t>
      </w:r>
      <w:proofErr w:type="spellStart"/>
      <w:r w:rsidR="00146139" w:rsidRPr="002364AB">
        <w:rPr>
          <w:kern w:val="22"/>
          <w:sz w:val="22"/>
          <w:lang w:val="en-GB"/>
        </w:rPr>
        <w:t>neighboring</w:t>
      </w:r>
      <w:proofErr w:type="spellEnd"/>
      <w:r w:rsidR="00146139" w:rsidRPr="002364AB">
        <w:rPr>
          <w:kern w:val="22"/>
          <w:sz w:val="22"/>
          <w:lang w:val="en-GB"/>
        </w:rPr>
        <w:t xml:space="preserve"> countries (</w:t>
      </w:r>
      <w:r w:rsidR="00D55F1F" w:rsidRPr="002364AB">
        <w:rPr>
          <w:kern w:val="22"/>
          <w:sz w:val="22"/>
          <w:lang w:val="en-GB"/>
        </w:rPr>
        <w:t>e.g.</w:t>
      </w:r>
      <w:r w:rsidR="00571503" w:rsidRPr="002364AB">
        <w:rPr>
          <w:kern w:val="22"/>
          <w:sz w:val="22"/>
          <w:lang w:val="en-GB"/>
        </w:rPr>
        <w:t>,</w:t>
      </w:r>
      <w:r w:rsidR="00D55F1F" w:rsidRPr="002364AB">
        <w:rPr>
          <w:kern w:val="22"/>
          <w:sz w:val="22"/>
          <w:lang w:val="en-GB"/>
        </w:rPr>
        <w:t xml:space="preserve"> </w:t>
      </w:r>
      <w:proofErr w:type="spellStart"/>
      <w:r w:rsidR="00D55F1F" w:rsidRPr="002364AB">
        <w:rPr>
          <w:i/>
          <w:kern w:val="22"/>
          <w:sz w:val="22"/>
          <w:lang w:val="en-GB"/>
        </w:rPr>
        <w:t>Pentas</w:t>
      </w:r>
      <w:proofErr w:type="spellEnd"/>
      <w:r w:rsidR="00D55F1F" w:rsidRPr="002364AB">
        <w:rPr>
          <w:i/>
          <w:kern w:val="22"/>
          <w:sz w:val="22"/>
          <w:lang w:val="en-GB"/>
        </w:rPr>
        <w:t xml:space="preserve"> </w:t>
      </w:r>
      <w:proofErr w:type="spellStart"/>
      <w:r w:rsidR="00D55F1F" w:rsidRPr="002364AB">
        <w:rPr>
          <w:i/>
          <w:kern w:val="22"/>
          <w:sz w:val="22"/>
          <w:lang w:val="en-GB"/>
        </w:rPr>
        <w:t>longiflora</w:t>
      </w:r>
      <w:proofErr w:type="spellEnd"/>
      <w:r w:rsidR="00D55F1F" w:rsidRPr="002364AB">
        <w:rPr>
          <w:iCs/>
          <w:kern w:val="22"/>
          <w:sz w:val="22"/>
          <w:lang w:val="en-GB"/>
        </w:rPr>
        <w:t>)</w:t>
      </w:r>
      <w:r w:rsidR="00424CC0" w:rsidRPr="002364AB">
        <w:rPr>
          <w:iCs/>
          <w:kern w:val="22"/>
          <w:sz w:val="22"/>
          <w:lang w:val="en-GB"/>
        </w:rPr>
        <w:t>,</w:t>
      </w:r>
      <w:r w:rsidR="00D55F1F" w:rsidRPr="002364AB">
        <w:rPr>
          <w:iCs/>
          <w:kern w:val="22"/>
          <w:sz w:val="22"/>
          <w:lang w:val="en-GB"/>
        </w:rPr>
        <w:t xml:space="preserve"> </w:t>
      </w:r>
      <w:r w:rsidR="000F6269" w:rsidRPr="002364AB">
        <w:rPr>
          <w:iCs/>
          <w:kern w:val="22"/>
          <w:sz w:val="22"/>
          <w:lang w:val="en-GB"/>
        </w:rPr>
        <w:t>across a range of countries</w:t>
      </w:r>
      <w:r w:rsidR="00445987" w:rsidRPr="002364AB">
        <w:rPr>
          <w:iCs/>
          <w:kern w:val="22"/>
          <w:sz w:val="22"/>
          <w:lang w:val="en-GB"/>
        </w:rPr>
        <w:t xml:space="preserve"> (</w:t>
      </w:r>
      <w:r w:rsidR="00791921" w:rsidRPr="002364AB">
        <w:rPr>
          <w:iCs/>
          <w:kern w:val="22"/>
          <w:sz w:val="22"/>
          <w:lang w:val="en-GB"/>
        </w:rPr>
        <w:t>e.g.</w:t>
      </w:r>
      <w:r w:rsidR="00571503" w:rsidRPr="002364AB">
        <w:rPr>
          <w:iCs/>
          <w:kern w:val="22"/>
          <w:sz w:val="22"/>
          <w:lang w:val="en-GB"/>
        </w:rPr>
        <w:t>,</w:t>
      </w:r>
      <w:r w:rsidR="00791921" w:rsidRPr="002364AB">
        <w:rPr>
          <w:iCs/>
          <w:kern w:val="22"/>
          <w:sz w:val="22"/>
          <w:lang w:val="en-GB"/>
        </w:rPr>
        <w:t xml:space="preserve"> </w:t>
      </w:r>
      <w:proofErr w:type="spellStart"/>
      <w:r w:rsidR="00445987" w:rsidRPr="002364AB">
        <w:rPr>
          <w:rStyle w:val="searchhit"/>
          <w:i/>
          <w:iCs/>
          <w:kern w:val="22"/>
          <w:sz w:val="22"/>
          <w:lang w:val="en-GB"/>
        </w:rPr>
        <w:t>Heliotropium</w:t>
      </w:r>
      <w:proofErr w:type="spellEnd"/>
      <w:r w:rsidR="00445987" w:rsidRPr="002364AB">
        <w:rPr>
          <w:rStyle w:val="searchhit"/>
          <w:i/>
          <w:iCs/>
          <w:kern w:val="22"/>
          <w:sz w:val="22"/>
          <w:lang w:val="en-GB"/>
        </w:rPr>
        <w:t xml:space="preserve"> </w:t>
      </w:r>
      <w:proofErr w:type="spellStart"/>
      <w:r w:rsidR="00445987" w:rsidRPr="002364AB">
        <w:rPr>
          <w:rStyle w:val="searchhit"/>
          <w:i/>
          <w:iCs/>
          <w:kern w:val="22"/>
          <w:sz w:val="22"/>
          <w:lang w:val="en-GB"/>
        </w:rPr>
        <w:t>foertherianum</w:t>
      </w:r>
      <w:proofErr w:type="spellEnd"/>
      <w:r w:rsidR="00445987" w:rsidRPr="002364AB">
        <w:rPr>
          <w:rStyle w:val="searchhit"/>
          <w:kern w:val="22"/>
          <w:sz w:val="22"/>
          <w:lang w:val="en-GB"/>
        </w:rPr>
        <w:t>)</w:t>
      </w:r>
      <w:r w:rsidR="000F6269" w:rsidRPr="002364AB">
        <w:rPr>
          <w:iCs/>
          <w:kern w:val="22"/>
          <w:sz w:val="22"/>
          <w:lang w:val="en-GB"/>
        </w:rPr>
        <w:t xml:space="preserve">, or even </w:t>
      </w:r>
      <w:r w:rsidR="002569B1" w:rsidRPr="002364AB">
        <w:rPr>
          <w:iCs/>
          <w:kern w:val="22"/>
          <w:sz w:val="22"/>
          <w:lang w:val="en-GB"/>
        </w:rPr>
        <w:t xml:space="preserve">on different </w:t>
      </w:r>
      <w:r w:rsidR="000F6269" w:rsidRPr="002364AB">
        <w:rPr>
          <w:iCs/>
          <w:kern w:val="22"/>
          <w:sz w:val="22"/>
          <w:lang w:val="en-GB"/>
        </w:rPr>
        <w:t>continents</w:t>
      </w:r>
      <w:r w:rsidR="00791921" w:rsidRPr="002364AB">
        <w:rPr>
          <w:iCs/>
          <w:kern w:val="22"/>
          <w:sz w:val="22"/>
          <w:lang w:val="en-GB"/>
        </w:rPr>
        <w:t xml:space="preserve"> (e.g.</w:t>
      </w:r>
      <w:r w:rsidR="00571503" w:rsidRPr="002364AB">
        <w:rPr>
          <w:iCs/>
          <w:kern w:val="22"/>
          <w:sz w:val="22"/>
          <w:lang w:val="en-GB"/>
        </w:rPr>
        <w:t>,</w:t>
      </w:r>
      <w:r w:rsidR="00791921" w:rsidRPr="002364AB">
        <w:rPr>
          <w:iCs/>
          <w:kern w:val="22"/>
          <w:sz w:val="22"/>
          <w:lang w:val="en-GB"/>
        </w:rPr>
        <w:t xml:space="preserve"> </w:t>
      </w:r>
      <w:proofErr w:type="spellStart"/>
      <w:r w:rsidR="00791921" w:rsidRPr="002364AB">
        <w:rPr>
          <w:i/>
          <w:kern w:val="22"/>
          <w:sz w:val="22"/>
          <w:lang w:val="en-GB"/>
        </w:rPr>
        <w:t>Catharanthus</w:t>
      </w:r>
      <w:proofErr w:type="spellEnd"/>
      <w:r w:rsidR="00791921" w:rsidRPr="002364AB">
        <w:rPr>
          <w:i/>
          <w:kern w:val="22"/>
          <w:sz w:val="22"/>
          <w:lang w:val="en-GB"/>
        </w:rPr>
        <w:t xml:space="preserve"> roseus</w:t>
      </w:r>
      <w:r w:rsidR="00791921" w:rsidRPr="002364AB">
        <w:rPr>
          <w:iCs/>
          <w:kern w:val="22"/>
          <w:sz w:val="22"/>
          <w:lang w:val="en-GB"/>
        </w:rPr>
        <w:t>)</w:t>
      </w:r>
      <w:r w:rsidR="00EC454B" w:rsidRPr="002364AB">
        <w:rPr>
          <w:rStyle w:val="FootnoteReference"/>
          <w:iCs/>
          <w:kern w:val="22"/>
          <w:sz w:val="22"/>
          <w:lang w:val="en-GB"/>
        </w:rPr>
        <w:footnoteReference w:id="7"/>
      </w:r>
      <w:r w:rsidR="000F6269" w:rsidRPr="002364AB">
        <w:rPr>
          <w:iCs/>
          <w:kern w:val="22"/>
          <w:sz w:val="22"/>
          <w:lang w:val="en-GB"/>
        </w:rPr>
        <w:t>.</w:t>
      </w:r>
      <w:r w:rsidR="008816BF" w:rsidRPr="002364AB">
        <w:rPr>
          <w:iCs/>
          <w:kern w:val="22"/>
          <w:sz w:val="22"/>
          <w:lang w:val="en-GB"/>
        </w:rPr>
        <w:t xml:space="preserve"> </w:t>
      </w:r>
      <w:r w:rsidR="00C27785" w:rsidRPr="002364AB">
        <w:rPr>
          <w:iCs/>
          <w:kern w:val="22"/>
          <w:sz w:val="22"/>
          <w:lang w:val="en-GB"/>
        </w:rPr>
        <w:t xml:space="preserve">Situations involving shared </w:t>
      </w:r>
      <w:r w:rsidR="00457480" w:rsidRPr="002364AB">
        <w:rPr>
          <w:iCs/>
          <w:kern w:val="22"/>
          <w:sz w:val="22"/>
          <w:lang w:val="en-GB"/>
        </w:rPr>
        <w:t xml:space="preserve">ecosystems and </w:t>
      </w:r>
      <w:r w:rsidR="00DE459E" w:rsidRPr="002364AB">
        <w:rPr>
          <w:iCs/>
          <w:kern w:val="22"/>
          <w:sz w:val="22"/>
          <w:lang w:val="en-GB"/>
        </w:rPr>
        <w:t>habitat</w:t>
      </w:r>
      <w:r w:rsidR="00C27785" w:rsidRPr="002364AB">
        <w:rPr>
          <w:iCs/>
          <w:kern w:val="22"/>
          <w:sz w:val="22"/>
          <w:lang w:val="en-GB"/>
        </w:rPr>
        <w:t>s/</w:t>
      </w:r>
      <w:r w:rsidR="00457480" w:rsidRPr="002364AB">
        <w:rPr>
          <w:iCs/>
          <w:kern w:val="22"/>
          <w:sz w:val="22"/>
          <w:lang w:val="en-GB"/>
        </w:rPr>
        <w:t>species</w:t>
      </w:r>
      <w:r w:rsidR="00C27785" w:rsidRPr="002364AB">
        <w:rPr>
          <w:iCs/>
          <w:kern w:val="22"/>
          <w:sz w:val="22"/>
          <w:lang w:val="en-GB"/>
        </w:rPr>
        <w:t xml:space="preserve"> distributed across national boundaries raise the </w:t>
      </w:r>
      <w:r w:rsidR="00C27785" w:rsidRPr="002364AB">
        <w:rPr>
          <w:kern w:val="22"/>
          <w:sz w:val="22"/>
          <w:lang w:val="en-GB"/>
        </w:rPr>
        <w:t xml:space="preserve">question of </w:t>
      </w:r>
      <w:r w:rsidR="001F10AA" w:rsidRPr="002364AB">
        <w:rPr>
          <w:kern w:val="22"/>
          <w:sz w:val="22"/>
          <w:lang w:val="en-GB"/>
        </w:rPr>
        <w:t>equitable</w:t>
      </w:r>
      <w:r w:rsidR="00C27785" w:rsidRPr="002364AB">
        <w:rPr>
          <w:kern w:val="22"/>
          <w:sz w:val="22"/>
          <w:lang w:val="en-GB"/>
        </w:rPr>
        <w:t xml:space="preserve"> authoriz</w:t>
      </w:r>
      <w:r w:rsidR="001F10AA" w:rsidRPr="002364AB">
        <w:rPr>
          <w:kern w:val="22"/>
          <w:sz w:val="22"/>
          <w:lang w:val="en-GB"/>
        </w:rPr>
        <w:t>ation</w:t>
      </w:r>
      <w:r w:rsidR="00C51257" w:rsidRPr="002364AB">
        <w:rPr>
          <w:kern w:val="22"/>
          <w:sz w:val="22"/>
          <w:lang w:val="en-GB"/>
        </w:rPr>
        <w:t xml:space="preserve"> of</w:t>
      </w:r>
      <w:r w:rsidR="00C27785" w:rsidRPr="002364AB">
        <w:rPr>
          <w:kern w:val="22"/>
          <w:sz w:val="22"/>
          <w:lang w:val="en-GB"/>
        </w:rPr>
        <w:t xml:space="preserve"> access and </w:t>
      </w:r>
      <w:r w:rsidR="00FA2D32" w:rsidRPr="002364AB">
        <w:rPr>
          <w:kern w:val="22"/>
          <w:sz w:val="22"/>
          <w:lang w:val="en-GB"/>
        </w:rPr>
        <w:t>negotiat</w:t>
      </w:r>
      <w:r w:rsidR="00C51257" w:rsidRPr="002364AB">
        <w:rPr>
          <w:kern w:val="22"/>
          <w:sz w:val="22"/>
          <w:lang w:val="en-GB"/>
        </w:rPr>
        <w:t>ion of</w:t>
      </w:r>
      <w:r w:rsidR="00FA2D32" w:rsidRPr="002364AB">
        <w:rPr>
          <w:kern w:val="22"/>
          <w:sz w:val="22"/>
          <w:lang w:val="en-GB"/>
        </w:rPr>
        <w:t xml:space="preserve"> the sharing of</w:t>
      </w:r>
      <w:r w:rsidR="00C27785" w:rsidRPr="002364AB">
        <w:rPr>
          <w:kern w:val="22"/>
          <w:sz w:val="22"/>
          <w:lang w:val="en-GB"/>
        </w:rPr>
        <w:t xml:space="preserve"> benefits arising from the utilization of these </w:t>
      </w:r>
      <w:r w:rsidR="001F10AA" w:rsidRPr="002364AB">
        <w:rPr>
          <w:kern w:val="22"/>
          <w:sz w:val="22"/>
          <w:lang w:val="en-GB"/>
        </w:rPr>
        <w:t>resources</w:t>
      </w:r>
      <w:r w:rsidR="00C27785" w:rsidRPr="002364AB">
        <w:rPr>
          <w:kern w:val="22"/>
          <w:sz w:val="22"/>
          <w:lang w:val="en-GB"/>
        </w:rPr>
        <w:t>.</w:t>
      </w:r>
      <w:r w:rsidR="00C27785" w:rsidRPr="002364AB" w:rsidDel="00BA546E">
        <w:rPr>
          <w:kern w:val="22"/>
          <w:sz w:val="22"/>
          <w:lang w:val="en-GB"/>
        </w:rPr>
        <w:t xml:space="preserve"> </w:t>
      </w:r>
      <w:r w:rsidR="008A0686" w:rsidRPr="002364AB">
        <w:rPr>
          <w:kern w:val="22"/>
          <w:sz w:val="22"/>
          <w:lang w:val="en-GB"/>
        </w:rPr>
        <w:t xml:space="preserve">Such cases could be dealt with under Article 10 </w:t>
      </w:r>
      <w:r w:rsidR="0037679F" w:rsidRPr="002364AB">
        <w:rPr>
          <w:kern w:val="22"/>
          <w:sz w:val="22"/>
          <w:lang w:val="en-GB"/>
        </w:rPr>
        <w:t>and/</w:t>
      </w:r>
      <w:r w:rsidR="008A0686" w:rsidRPr="002364AB">
        <w:rPr>
          <w:kern w:val="22"/>
          <w:sz w:val="22"/>
          <w:lang w:val="en-GB"/>
        </w:rPr>
        <w:t>or Article 11</w:t>
      </w:r>
      <w:r w:rsidR="008E2D21" w:rsidRPr="002364AB">
        <w:rPr>
          <w:kern w:val="22"/>
          <w:sz w:val="22"/>
          <w:lang w:val="en-GB"/>
        </w:rPr>
        <w:t xml:space="preserve"> (“Transboundary Cooperation”)</w:t>
      </w:r>
      <w:r w:rsidR="008A0686" w:rsidRPr="002364AB">
        <w:rPr>
          <w:kern w:val="22"/>
          <w:sz w:val="22"/>
          <w:lang w:val="en-GB"/>
        </w:rPr>
        <w:t>.</w:t>
      </w:r>
    </w:p>
    <w:p w14:paraId="0E8F163F" w14:textId="184BDC40" w:rsidR="00166511" w:rsidRPr="002364AB" w:rsidRDefault="00DB0F41" w:rsidP="00DB0F41">
      <w:pPr>
        <w:rPr>
          <w:kern w:val="22"/>
          <w:sz w:val="22"/>
          <w:lang w:val="en-GB"/>
        </w:rPr>
      </w:pPr>
      <w:r w:rsidRPr="002364AB">
        <w:rPr>
          <w:kern w:val="22"/>
          <w:sz w:val="22"/>
          <w:lang w:val="en-GB"/>
        </w:rPr>
        <w:t>Regarding subgrou</w:t>
      </w:r>
      <w:r w:rsidR="00F25163" w:rsidRPr="002364AB">
        <w:rPr>
          <w:kern w:val="22"/>
          <w:sz w:val="22"/>
          <w:lang w:val="en-GB"/>
        </w:rPr>
        <w:t>p</w:t>
      </w:r>
      <w:r w:rsidRPr="002364AB">
        <w:rPr>
          <w:kern w:val="22"/>
          <w:sz w:val="22"/>
          <w:lang w:val="en-GB"/>
        </w:rPr>
        <w:t xml:space="preserve"> (b)</w:t>
      </w:r>
      <w:r w:rsidRPr="002364AB" w:rsidDel="008801D7">
        <w:rPr>
          <w:kern w:val="22"/>
          <w:sz w:val="22"/>
          <w:lang w:val="en-GB"/>
        </w:rPr>
        <w:t xml:space="preserve"> </w:t>
      </w:r>
      <w:r w:rsidRPr="002364AB">
        <w:rPr>
          <w:kern w:val="22"/>
          <w:sz w:val="22"/>
          <w:lang w:val="en-GB"/>
        </w:rPr>
        <w:t xml:space="preserve">where migratory species </w:t>
      </w:r>
      <w:r w:rsidR="00F86EB1" w:rsidRPr="002364AB">
        <w:rPr>
          <w:kern w:val="22"/>
          <w:sz w:val="22"/>
          <w:lang w:val="en-GB"/>
        </w:rPr>
        <w:t>transit</w:t>
      </w:r>
      <w:r w:rsidR="008D019F" w:rsidRPr="002364AB">
        <w:rPr>
          <w:kern w:val="22"/>
          <w:sz w:val="22"/>
          <w:lang w:val="en-GB"/>
        </w:rPr>
        <w:t xml:space="preserve"> through and occur in</w:t>
      </w:r>
      <w:r w:rsidRPr="002364AB">
        <w:rPr>
          <w:kern w:val="22"/>
          <w:sz w:val="22"/>
          <w:lang w:val="en-GB"/>
        </w:rPr>
        <w:t xml:space="preserve"> several countries (e.g., </w:t>
      </w:r>
      <w:r w:rsidRPr="002364AB">
        <w:rPr>
          <w:iCs/>
          <w:kern w:val="22"/>
          <w:sz w:val="22"/>
          <w:lang w:val="en-GB"/>
        </w:rPr>
        <w:t>the European eel (</w:t>
      </w:r>
      <w:r w:rsidRPr="002364AB">
        <w:rPr>
          <w:i/>
          <w:kern w:val="22"/>
          <w:sz w:val="22"/>
          <w:lang w:val="en-GB"/>
        </w:rPr>
        <w:t xml:space="preserve">Anguilla </w:t>
      </w:r>
      <w:proofErr w:type="spellStart"/>
      <w:r w:rsidRPr="002364AB">
        <w:rPr>
          <w:i/>
          <w:kern w:val="22"/>
          <w:sz w:val="22"/>
          <w:lang w:val="en-GB"/>
        </w:rPr>
        <w:t>anguilla</w:t>
      </w:r>
      <w:proofErr w:type="spellEnd"/>
      <w:r w:rsidRPr="002364AB">
        <w:rPr>
          <w:iCs/>
          <w:kern w:val="22"/>
          <w:sz w:val="22"/>
          <w:lang w:val="en-GB"/>
        </w:rPr>
        <w:t>), monarch butterfly (</w:t>
      </w:r>
      <w:r w:rsidRPr="002364AB">
        <w:rPr>
          <w:i/>
          <w:iCs/>
          <w:kern w:val="22"/>
          <w:sz w:val="22"/>
          <w:lang w:val="en-GB"/>
        </w:rPr>
        <w:t xml:space="preserve">Danaus </w:t>
      </w:r>
      <w:proofErr w:type="spellStart"/>
      <w:r w:rsidRPr="002364AB">
        <w:rPr>
          <w:i/>
          <w:iCs/>
          <w:kern w:val="22"/>
          <w:sz w:val="22"/>
          <w:lang w:val="en-GB"/>
        </w:rPr>
        <w:t>plexippus</w:t>
      </w:r>
      <w:proofErr w:type="spellEnd"/>
      <w:r w:rsidRPr="002364AB">
        <w:rPr>
          <w:iCs/>
          <w:kern w:val="22"/>
          <w:sz w:val="22"/>
          <w:lang w:val="en-GB"/>
        </w:rPr>
        <w:t>), and mallard duck (</w:t>
      </w:r>
      <w:r w:rsidRPr="002364AB">
        <w:rPr>
          <w:i/>
          <w:iCs/>
          <w:kern w:val="22"/>
          <w:sz w:val="22"/>
          <w:lang w:val="en-GB"/>
        </w:rPr>
        <w:t>Anas platyrhynchos</w:t>
      </w:r>
      <w:r w:rsidRPr="002364AB">
        <w:rPr>
          <w:kern w:val="22"/>
          <w:sz w:val="22"/>
          <w:lang w:val="en-GB"/>
        </w:rPr>
        <w:t>)</w:t>
      </w:r>
      <w:r w:rsidR="00A72C57" w:rsidRPr="002364AB">
        <w:rPr>
          <w:kern w:val="22"/>
          <w:sz w:val="22"/>
          <w:lang w:val="en-GB"/>
        </w:rPr>
        <w:t>)</w:t>
      </w:r>
      <w:r w:rsidRPr="002364AB">
        <w:rPr>
          <w:kern w:val="22"/>
          <w:sz w:val="22"/>
          <w:lang w:val="en-GB"/>
        </w:rPr>
        <w:t xml:space="preserve">, a bilateral approach would not reward all those involved in the conservation of a specific resource. </w:t>
      </w:r>
      <w:r w:rsidR="00635636" w:rsidRPr="002364AB">
        <w:rPr>
          <w:kern w:val="22"/>
          <w:sz w:val="22"/>
          <w:lang w:val="en-GB"/>
        </w:rPr>
        <w:t>In addition, r</w:t>
      </w:r>
      <w:r w:rsidRPr="002364AB">
        <w:rPr>
          <w:kern w:val="22"/>
          <w:sz w:val="22"/>
          <w:lang w:val="en-GB"/>
        </w:rPr>
        <w:t>esources found in areas beyond national jurisdiction, such as the high seas</w:t>
      </w:r>
      <w:r w:rsidR="0089621A" w:rsidRPr="002364AB">
        <w:rPr>
          <w:kern w:val="22"/>
          <w:sz w:val="22"/>
          <w:lang w:val="en-GB"/>
        </w:rPr>
        <w:t>,</w:t>
      </w:r>
      <w:r w:rsidR="00253305" w:rsidRPr="002364AB">
        <w:rPr>
          <w:kern w:val="22"/>
          <w:sz w:val="22"/>
          <w:lang w:val="en-GB"/>
        </w:rPr>
        <w:t xml:space="preserve"> under</w:t>
      </w:r>
      <w:r w:rsidR="00F25163" w:rsidRPr="002364AB">
        <w:rPr>
          <w:kern w:val="22"/>
          <w:sz w:val="22"/>
          <w:lang w:val="en-GB"/>
        </w:rPr>
        <w:t xml:space="preserve"> subgroup (c)</w:t>
      </w:r>
      <w:r w:rsidRPr="002364AB">
        <w:rPr>
          <w:kern w:val="22"/>
          <w:sz w:val="22"/>
          <w:lang w:val="en-GB"/>
        </w:rPr>
        <w:t>, could also fall within the scope of Article 10.</w:t>
      </w:r>
      <w:r w:rsidR="00BA0A20" w:rsidRPr="002364AB">
        <w:rPr>
          <w:kern w:val="22"/>
          <w:sz w:val="22"/>
          <w:lang w:val="en-GB"/>
        </w:rPr>
        <w:t xml:space="preserve"> </w:t>
      </w:r>
      <w:r w:rsidR="00BA145C" w:rsidRPr="002364AB">
        <w:rPr>
          <w:kern w:val="22"/>
          <w:sz w:val="22"/>
          <w:lang w:val="en-GB"/>
        </w:rPr>
        <w:t xml:space="preserve">A specific </w:t>
      </w:r>
      <w:r w:rsidR="00BA0A20" w:rsidRPr="002364AB">
        <w:rPr>
          <w:kern w:val="22"/>
          <w:sz w:val="22"/>
          <w:lang w:val="en-GB"/>
        </w:rPr>
        <w:t xml:space="preserve">challenge </w:t>
      </w:r>
      <w:r w:rsidR="00EA3845" w:rsidRPr="002364AB">
        <w:rPr>
          <w:kern w:val="22"/>
          <w:sz w:val="22"/>
          <w:lang w:val="en-GB"/>
        </w:rPr>
        <w:t>pertains to</w:t>
      </w:r>
      <w:r w:rsidR="00BA0A20" w:rsidRPr="002364AB">
        <w:rPr>
          <w:kern w:val="22"/>
          <w:sz w:val="22"/>
          <w:lang w:val="en-GB"/>
        </w:rPr>
        <w:t xml:space="preserve"> ‘straddling’ resources that </w:t>
      </w:r>
      <w:r w:rsidR="00BA145C" w:rsidRPr="002364AB">
        <w:rPr>
          <w:kern w:val="22"/>
          <w:sz w:val="22"/>
          <w:lang w:val="en-GB"/>
        </w:rPr>
        <w:t xml:space="preserve">are present </w:t>
      </w:r>
      <w:r w:rsidR="00BA0A20" w:rsidRPr="002364AB">
        <w:rPr>
          <w:kern w:val="22"/>
          <w:sz w:val="22"/>
          <w:lang w:val="en-GB"/>
        </w:rPr>
        <w:t xml:space="preserve">in, or transit between, the </w:t>
      </w:r>
      <w:r w:rsidR="008E2D21" w:rsidRPr="002364AB">
        <w:rPr>
          <w:kern w:val="22"/>
          <w:sz w:val="22"/>
          <w:lang w:val="en-GB"/>
        </w:rPr>
        <w:t>H</w:t>
      </w:r>
      <w:r w:rsidR="00BA0A20" w:rsidRPr="002364AB">
        <w:rPr>
          <w:kern w:val="22"/>
          <w:sz w:val="22"/>
          <w:lang w:val="en-GB"/>
        </w:rPr>
        <w:t xml:space="preserve">igh </w:t>
      </w:r>
      <w:r w:rsidR="008E2D21" w:rsidRPr="002364AB">
        <w:rPr>
          <w:kern w:val="22"/>
          <w:sz w:val="22"/>
          <w:lang w:val="en-GB"/>
        </w:rPr>
        <w:t>S</w:t>
      </w:r>
      <w:r w:rsidR="00BA0A20" w:rsidRPr="002364AB">
        <w:rPr>
          <w:kern w:val="22"/>
          <w:sz w:val="22"/>
          <w:lang w:val="en-GB"/>
        </w:rPr>
        <w:t xml:space="preserve">eas </w:t>
      </w:r>
      <w:r w:rsidR="008E2D21" w:rsidRPr="002364AB">
        <w:rPr>
          <w:kern w:val="22"/>
          <w:sz w:val="22"/>
          <w:lang w:val="en-GB"/>
        </w:rPr>
        <w:t xml:space="preserve">or the deep-seabed (the “Area”) </w:t>
      </w:r>
      <w:r w:rsidR="00BA0A20" w:rsidRPr="002364AB">
        <w:rPr>
          <w:kern w:val="22"/>
          <w:sz w:val="22"/>
          <w:lang w:val="en-GB"/>
        </w:rPr>
        <w:t>and areas subject to national jurisdiction.</w:t>
      </w:r>
    </w:p>
    <w:p w14:paraId="78ECB11C" w14:textId="1451E228" w:rsidR="004B4018" w:rsidRPr="002364AB" w:rsidRDefault="0010415A" w:rsidP="00BC029B">
      <w:pPr>
        <w:rPr>
          <w:iCs/>
          <w:kern w:val="22"/>
          <w:sz w:val="22"/>
          <w:lang w:val="en-GB"/>
        </w:rPr>
      </w:pPr>
      <w:r w:rsidRPr="002364AB">
        <w:rPr>
          <w:iCs/>
          <w:kern w:val="22"/>
          <w:sz w:val="22"/>
          <w:lang w:val="en-GB"/>
        </w:rPr>
        <w:t xml:space="preserve">The second </w:t>
      </w:r>
      <w:r w:rsidR="00B550D5" w:rsidRPr="002364AB">
        <w:rPr>
          <w:iCs/>
          <w:kern w:val="22"/>
          <w:sz w:val="22"/>
          <w:lang w:val="en-GB"/>
        </w:rPr>
        <w:t xml:space="preserve">broad </w:t>
      </w:r>
      <w:r w:rsidR="008811EE" w:rsidRPr="002364AB">
        <w:rPr>
          <w:iCs/>
          <w:kern w:val="22"/>
          <w:sz w:val="22"/>
          <w:lang w:val="en-GB"/>
        </w:rPr>
        <w:t xml:space="preserve">group </w:t>
      </w:r>
      <w:r w:rsidR="00DF2FE9" w:rsidRPr="002364AB">
        <w:rPr>
          <w:iCs/>
          <w:kern w:val="22"/>
          <w:sz w:val="22"/>
          <w:lang w:val="en-GB"/>
        </w:rPr>
        <w:t xml:space="preserve">involves </w:t>
      </w:r>
      <w:r w:rsidR="00DF2FE9" w:rsidRPr="002364AB">
        <w:rPr>
          <w:b/>
          <w:bCs/>
          <w:iCs/>
          <w:kern w:val="22"/>
          <w:sz w:val="22"/>
          <w:lang w:val="en-GB"/>
        </w:rPr>
        <w:t>genetic resources for which it is not possible to grant or obtain prior informed consent</w:t>
      </w:r>
      <w:r w:rsidR="00DF2FE9" w:rsidRPr="002364AB">
        <w:rPr>
          <w:iCs/>
          <w:kern w:val="22"/>
          <w:sz w:val="22"/>
          <w:lang w:val="en-GB"/>
        </w:rPr>
        <w:t xml:space="preserve">. </w:t>
      </w:r>
      <w:r w:rsidR="008811EE" w:rsidRPr="002364AB">
        <w:rPr>
          <w:iCs/>
          <w:kern w:val="22"/>
          <w:sz w:val="22"/>
          <w:lang w:val="en-GB"/>
        </w:rPr>
        <w:t xml:space="preserve">This group </w:t>
      </w:r>
      <w:r w:rsidR="004B4018" w:rsidRPr="002364AB">
        <w:rPr>
          <w:iCs/>
          <w:kern w:val="22"/>
          <w:sz w:val="22"/>
          <w:lang w:val="en-GB"/>
        </w:rPr>
        <w:t xml:space="preserve">also </w:t>
      </w:r>
      <w:r w:rsidR="00D916C7" w:rsidRPr="002364AB">
        <w:rPr>
          <w:iCs/>
          <w:kern w:val="22"/>
          <w:sz w:val="22"/>
          <w:lang w:val="en-GB"/>
        </w:rPr>
        <w:t>comprises</w:t>
      </w:r>
      <w:r w:rsidR="004B4018" w:rsidRPr="002364AB">
        <w:rPr>
          <w:iCs/>
          <w:kern w:val="22"/>
          <w:sz w:val="22"/>
          <w:lang w:val="en-GB"/>
        </w:rPr>
        <w:t xml:space="preserve"> three subgroups: (a) genetic resources of untraceable </w:t>
      </w:r>
      <w:r w:rsidR="005613D6" w:rsidRPr="002364AB">
        <w:rPr>
          <w:iCs/>
          <w:kern w:val="22"/>
          <w:sz w:val="22"/>
          <w:lang w:val="en-GB"/>
        </w:rPr>
        <w:t xml:space="preserve">provenance </w:t>
      </w:r>
      <w:r w:rsidR="004B4018" w:rsidRPr="002364AB">
        <w:rPr>
          <w:iCs/>
          <w:kern w:val="22"/>
          <w:sz w:val="22"/>
          <w:lang w:val="en-GB"/>
        </w:rPr>
        <w:t xml:space="preserve">in </w:t>
      </w:r>
      <w:r w:rsidR="004B4018" w:rsidRPr="002364AB">
        <w:rPr>
          <w:i/>
          <w:iCs/>
          <w:kern w:val="22"/>
          <w:sz w:val="22"/>
          <w:lang w:val="en-GB"/>
        </w:rPr>
        <w:t>ex situ</w:t>
      </w:r>
      <w:r w:rsidR="004B4018" w:rsidRPr="002364AB">
        <w:rPr>
          <w:iCs/>
          <w:kern w:val="22"/>
          <w:sz w:val="22"/>
          <w:lang w:val="en-GB"/>
        </w:rPr>
        <w:t xml:space="preserve"> collections; (b) utilization of samples from large numbers of geographically diverse organisms; and (c) </w:t>
      </w:r>
      <w:r w:rsidR="00D916C7" w:rsidRPr="002364AB">
        <w:rPr>
          <w:iCs/>
          <w:kern w:val="22"/>
          <w:sz w:val="22"/>
          <w:lang w:val="en-GB"/>
        </w:rPr>
        <w:t xml:space="preserve">cases involving </w:t>
      </w:r>
      <w:r w:rsidR="005C18A1" w:rsidRPr="002364AB">
        <w:rPr>
          <w:iCs/>
          <w:kern w:val="22"/>
          <w:sz w:val="22"/>
          <w:lang w:val="en-GB"/>
        </w:rPr>
        <w:t>the use of “digital sequence information”</w:t>
      </w:r>
      <w:r w:rsidR="004C3400" w:rsidRPr="002364AB">
        <w:rPr>
          <w:iCs/>
          <w:kern w:val="22"/>
          <w:sz w:val="22"/>
          <w:lang w:val="en-GB"/>
        </w:rPr>
        <w:t xml:space="preserve"> (DSI)</w:t>
      </w:r>
      <w:r w:rsidR="005C18A1" w:rsidRPr="002364AB">
        <w:rPr>
          <w:iCs/>
          <w:kern w:val="22"/>
          <w:sz w:val="22"/>
          <w:lang w:val="en-GB"/>
        </w:rPr>
        <w:t>.</w:t>
      </w:r>
      <w:r w:rsidR="0007035B" w:rsidRPr="002364AB">
        <w:rPr>
          <w:iCs/>
          <w:kern w:val="22"/>
          <w:sz w:val="22"/>
          <w:lang w:val="en-GB"/>
        </w:rPr>
        <w:t xml:space="preserve"> </w:t>
      </w:r>
      <w:r w:rsidR="0065787F" w:rsidRPr="002364AB">
        <w:rPr>
          <w:rStyle w:val="FootnoteReference"/>
          <w:iCs/>
          <w:kern w:val="22"/>
          <w:sz w:val="22"/>
          <w:lang w:val="en-GB"/>
        </w:rPr>
        <w:footnoteReference w:id="8"/>
      </w:r>
    </w:p>
    <w:p w14:paraId="474B576E" w14:textId="49693373" w:rsidR="004B4018" w:rsidRPr="002364AB" w:rsidRDefault="004B4018" w:rsidP="004B4018">
      <w:pPr>
        <w:rPr>
          <w:rFonts w:cs="Times New Roman"/>
          <w:kern w:val="22"/>
          <w:sz w:val="22"/>
          <w:lang w:val="en-GB"/>
        </w:rPr>
      </w:pPr>
      <w:r w:rsidRPr="002364AB">
        <w:rPr>
          <w:iCs/>
          <w:kern w:val="22"/>
          <w:sz w:val="22"/>
          <w:lang w:val="en-GB"/>
        </w:rPr>
        <w:t xml:space="preserve">Subgroup (a) involves the holding of genetic resources of untraceable </w:t>
      </w:r>
      <w:r w:rsidR="005613D6" w:rsidRPr="002364AB">
        <w:rPr>
          <w:iCs/>
          <w:kern w:val="22"/>
          <w:sz w:val="22"/>
          <w:lang w:val="en-GB"/>
        </w:rPr>
        <w:t xml:space="preserve">provenance </w:t>
      </w:r>
      <w:r w:rsidRPr="002364AB">
        <w:rPr>
          <w:iCs/>
          <w:kern w:val="22"/>
          <w:sz w:val="22"/>
          <w:lang w:val="en-GB"/>
        </w:rPr>
        <w:t xml:space="preserve">in </w:t>
      </w:r>
      <w:r w:rsidRPr="002364AB">
        <w:rPr>
          <w:i/>
          <w:kern w:val="22"/>
          <w:sz w:val="22"/>
          <w:lang w:val="en-GB"/>
        </w:rPr>
        <w:t>ex situ</w:t>
      </w:r>
      <w:r w:rsidRPr="002364AB">
        <w:rPr>
          <w:iCs/>
          <w:kern w:val="22"/>
          <w:sz w:val="22"/>
          <w:lang w:val="en-GB"/>
        </w:rPr>
        <w:t xml:space="preserve"> collections, such as </w:t>
      </w:r>
      <w:r w:rsidRPr="002364AB">
        <w:rPr>
          <w:rFonts w:cs="Times New Roman"/>
          <w:kern w:val="22"/>
          <w:sz w:val="22"/>
          <w:lang w:val="en-GB"/>
        </w:rPr>
        <w:t xml:space="preserve">botanical gardens, herbariums, culture collections, gene banks, seed banks, zoos, aquaria, and private collections. </w:t>
      </w:r>
      <w:r w:rsidR="0051008A" w:rsidRPr="002364AB">
        <w:rPr>
          <w:rFonts w:cs="Times New Roman"/>
          <w:kern w:val="22"/>
          <w:sz w:val="22"/>
          <w:lang w:val="en-GB"/>
        </w:rPr>
        <w:t>Su</w:t>
      </w:r>
      <w:r w:rsidRPr="002364AB">
        <w:rPr>
          <w:rFonts w:cs="Times New Roman"/>
          <w:kern w:val="22"/>
          <w:sz w:val="22"/>
          <w:lang w:val="en-GB"/>
        </w:rPr>
        <w:t xml:space="preserve">ch collections </w:t>
      </w:r>
      <w:r w:rsidR="0051008A" w:rsidRPr="002364AB">
        <w:rPr>
          <w:rFonts w:cs="Times New Roman"/>
          <w:kern w:val="22"/>
          <w:sz w:val="22"/>
          <w:lang w:val="en-GB"/>
        </w:rPr>
        <w:t xml:space="preserve">may </w:t>
      </w:r>
      <w:r w:rsidRPr="002364AB">
        <w:rPr>
          <w:rFonts w:cs="Times New Roman"/>
          <w:kern w:val="22"/>
          <w:sz w:val="22"/>
          <w:lang w:val="en-GB"/>
        </w:rPr>
        <w:t xml:space="preserve">hold specimens acquired before </w:t>
      </w:r>
      <w:r w:rsidR="001E7182" w:rsidRPr="002364AB">
        <w:rPr>
          <w:rFonts w:cs="Times New Roman"/>
          <w:kern w:val="22"/>
          <w:sz w:val="22"/>
          <w:lang w:val="en-GB"/>
        </w:rPr>
        <w:t xml:space="preserve">or after </w:t>
      </w:r>
      <w:r w:rsidRPr="002364AB">
        <w:rPr>
          <w:rFonts w:cs="Times New Roman"/>
          <w:kern w:val="22"/>
          <w:sz w:val="22"/>
          <w:lang w:val="en-GB"/>
        </w:rPr>
        <w:t>the entry into force of the Convention on Biological Diversity</w:t>
      </w:r>
      <w:r w:rsidR="004C3400" w:rsidRPr="002364AB">
        <w:rPr>
          <w:rFonts w:cs="Times New Roman"/>
          <w:kern w:val="22"/>
          <w:sz w:val="22"/>
          <w:lang w:val="en-GB"/>
        </w:rPr>
        <w:t xml:space="preserve"> (CBD or Convention)</w:t>
      </w:r>
      <w:r w:rsidRPr="002364AB">
        <w:rPr>
          <w:rFonts w:cs="Times New Roman"/>
          <w:kern w:val="22"/>
          <w:sz w:val="22"/>
          <w:lang w:val="en-GB"/>
        </w:rPr>
        <w:t xml:space="preserve">, raising questions of temporal scope. Moreover, some specimens may have been deposited without </w:t>
      </w:r>
      <w:r w:rsidR="00E306DC" w:rsidRPr="002364AB">
        <w:rPr>
          <w:rFonts w:cs="Times New Roman"/>
          <w:kern w:val="22"/>
          <w:sz w:val="22"/>
          <w:lang w:val="en-GB"/>
        </w:rPr>
        <w:t xml:space="preserve">providing </w:t>
      </w:r>
      <w:r w:rsidRPr="002364AB">
        <w:rPr>
          <w:rFonts w:cs="Times New Roman"/>
          <w:kern w:val="22"/>
          <w:sz w:val="22"/>
          <w:lang w:val="en-GB"/>
        </w:rPr>
        <w:t>country information while presently being accessed for commercial utilization.</w:t>
      </w:r>
    </w:p>
    <w:p w14:paraId="3065F200" w14:textId="314D506C" w:rsidR="004B4018" w:rsidRPr="002364AB" w:rsidRDefault="004B4018" w:rsidP="004B4018">
      <w:pPr>
        <w:rPr>
          <w:iCs/>
          <w:kern w:val="22"/>
          <w:sz w:val="22"/>
          <w:lang w:val="en-GB"/>
        </w:rPr>
      </w:pPr>
      <w:r w:rsidRPr="002364AB">
        <w:rPr>
          <w:iCs/>
          <w:kern w:val="22"/>
          <w:sz w:val="22"/>
          <w:lang w:val="en-GB"/>
        </w:rPr>
        <w:t xml:space="preserve">Subgroup (b) involves the use of samples from large numbers of geographically diverse organisms. </w:t>
      </w:r>
      <w:r w:rsidR="001E7182" w:rsidRPr="002364AB">
        <w:rPr>
          <w:iCs/>
          <w:kern w:val="22"/>
          <w:sz w:val="22"/>
          <w:lang w:val="en-GB"/>
        </w:rPr>
        <w:t xml:space="preserve">An </w:t>
      </w:r>
      <w:r w:rsidRPr="002364AB">
        <w:rPr>
          <w:iCs/>
          <w:kern w:val="22"/>
          <w:sz w:val="22"/>
          <w:lang w:val="en-GB"/>
        </w:rPr>
        <w:t xml:space="preserve">example presented highlights a patent claiming a method for screening plants and seeds from the genus </w:t>
      </w:r>
      <w:r w:rsidRPr="002364AB">
        <w:rPr>
          <w:i/>
          <w:kern w:val="22"/>
          <w:sz w:val="22"/>
          <w:lang w:val="en-GB"/>
        </w:rPr>
        <w:t xml:space="preserve">Glycine </w:t>
      </w:r>
      <w:r w:rsidRPr="002364AB">
        <w:rPr>
          <w:iCs/>
          <w:kern w:val="22"/>
          <w:sz w:val="22"/>
          <w:lang w:val="en-GB"/>
        </w:rPr>
        <w:t xml:space="preserve">(soy) for traits relating to maturity and plant growth. The patent discloses that the invention was based on the utilization of over 250 distinct soybean lines, including wild and cultivated species from Australia and Asia, but does not disclose how or where the specimens were obtained (whether </w:t>
      </w:r>
      <w:r w:rsidRPr="002364AB">
        <w:rPr>
          <w:i/>
          <w:kern w:val="22"/>
          <w:sz w:val="22"/>
          <w:lang w:val="en-GB"/>
        </w:rPr>
        <w:t>in situ</w:t>
      </w:r>
      <w:r w:rsidRPr="002364AB">
        <w:rPr>
          <w:iCs/>
          <w:kern w:val="22"/>
          <w:sz w:val="22"/>
          <w:lang w:val="en-GB"/>
        </w:rPr>
        <w:t xml:space="preserve"> or from </w:t>
      </w:r>
      <w:r w:rsidRPr="002364AB">
        <w:rPr>
          <w:i/>
          <w:kern w:val="22"/>
          <w:sz w:val="22"/>
          <w:lang w:val="en-GB"/>
        </w:rPr>
        <w:t>ex situ</w:t>
      </w:r>
      <w:r w:rsidRPr="002364AB">
        <w:rPr>
          <w:iCs/>
          <w:kern w:val="22"/>
          <w:sz w:val="22"/>
          <w:lang w:val="en-GB"/>
        </w:rPr>
        <w:t xml:space="preserve"> collections)</w:t>
      </w:r>
      <w:r w:rsidR="00F91427" w:rsidRPr="002364AB">
        <w:rPr>
          <w:iCs/>
          <w:kern w:val="22"/>
          <w:sz w:val="22"/>
          <w:lang w:val="en-GB"/>
        </w:rPr>
        <w:t xml:space="preserve"> which</w:t>
      </w:r>
      <w:r w:rsidR="00E66B78" w:rsidRPr="002364AB">
        <w:rPr>
          <w:iCs/>
          <w:kern w:val="22"/>
          <w:sz w:val="22"/>
          <w:lang w:val="en-GB"/>
        </w:rPr>
        <w:t xml:space="preserve">, while not required for patentability in many countries, </w:t>
      </w:r>
      <w:r w:rsidR="00F91427" w:rsidRPr="002364AB">
        <w:rPr>
          <w:iCs/>
          <w:kern w:val="22"/>
          <w:sz w:val="22"/>
          <w:lang w:val="en-GB"/>
        </w:rPr>
        <w:t>could be relevant</w:t>
      </w:r>
      <w:r w:rsidR="00E66B78" w:rsidRPr="002364AB">
        <w:rPr>
          <w:iCs/>
          <w:kern w:val="22"/>
          <w:sz w:val="22"/>
          <w:lang w:val="en-GB"/>
        </w:rPr>
        <w:t xml:space="preserve"> to ABS for certain Parties</w:t>
      </w:r>
      <w:r w:rsidRPr="002364AB">
        <w:rPr>
          <w:iCs/>
          <w:kern w:val="22"/>
          <w:sz w:val="22"/>
          <w:lang w:val="en-GB"/>
        </w:rPr>
        <w:t xml:space="preserve">. </w:t>
      </w:r>
    </w:p>
    <w:p w14:paraId="5C6CE8F5" w14:textId="4A675C43" w:rsidR="00E52526" w:rsidRPr="002364AB" w:rsidRDefault="004B4018" w:rsidP="3C81C91A">
      <w:pPr>
        <w:spacing w:after="120"/>
        <w:rPr>
          <w:rFonts w:cs="Times New Roman"/>
          <w:kern w:val="22"/>
          <w:sz w:val="22"/>
          <w:lang w:val="en-GB"/>
        </w:rPr>
      </w:pPr>
      <w:r w:rsidRPr="002364AB">
        <w:rPr>
          <w:iCs/>
          <w:kern w:val="22"/>
          <w:sz w:val="22"/>
          <w:lang w:val="en-GB"/>
        </w:rPr>
        <w:t>Regarding subgroup (c), w</w:t>
      </w:r>
      <w:r w:rsidR="3C81C91A" w:rsidRPr="002364AB">
        <w:rPr>
          <w:rFonts w:cs="Times New Roman"/>
          <w:kern w:val="22"/>
          <w:sz w:val="22"/>
          <w:lang w:val="en-GB"/>
        </w:rPr>
        <w:t xml:space="preserve">hether access to </w:t>
      </w:r>
      <w:r w:rsidR="00D6629E" w:rsidRPr="002364AB">
        <w:rPr>
          <w:rFonts w:cs="Times New Roman"/>
          <w:kern w:val="22"/>
          <w:sz w:val="22"/>
          <w:lang w:val="en-GB"/>
        </w:rPr>
        <w:t>DSI</w:t>
      </w:r>
      <w:r w:rsidR="3C81C91A" w:rsidRPr="002364AB">
        <w:rPr>
          <w:rFonts w:cs="Times New Roman"/>
          <w:kern w:val="22"/>
          <w:sz w:val="22"/>
          <w:lang w:val="en-GB"/>
        </w:rPr>
        <w:t xml:space="preserve"> </w:t>
      </w:r>
      <w:r w:rsidR="3C81C91A" w:rsidRPr="002364AB">
        <w:rPr>
          <w:rFonts w:cs="Times New Roman"/>
          <w:i/>
          <w:iCs/>
          <w:kern w:val="22"/>
          <w:sz w:val="22"/>
          <w:lang w:val="en-GB"/>
        </w:rPr>
        <w:t>per se</w:t>
      </w:r>
      <w:r w:rsidR="3C81C91A" w:rsidRPr="002364AB">
        <w:rPr>
          <w:rFonts w:cs="Times New Roman"/>
          <w:kern w:val="22"/>
          <w:sz w:val="22"/>
          <w:lang w:val="en-GB"/>
        </w:rPr>
        <w:t xml:space="preserve"> is within the scope of the Convention or the Nagoya Protocol</w:t>
      </w:r>
      <w:r w:rsidR="00706EDB" w:rsidRPr="002364AB">
        <w:rPr>
          <w:rFonts w:cs="Times New Roman"/>
          <w:kern w:val="22"/>
          <w:sz w:val="22"/>
          <w:lang w:val="en-GB"/>
        </w:rPr>
        <w:t xml:space="preserve"> (Protocol)</w:t>
      </w:r>
      <w:r w:rsidR="3C81C91A" w:rsidRPr="002364AB">
        <w:rPr>
          <w:rFonts w:cs="Times New Roman"/>
          <w:kern w:val="22"/>
          <w:sz w:val="22"/>
          <w:lang w:val="en-GB"/>
        </w:rPr>
        <w:t xml:space="preserve"> remains contested. Even if is deemed outside the scope of the definition of genetic resources</w:t>
      </w:r>
      <w:r w:rsidR="00943CD8" w:rsidRPr="002364AB">
        <w:rPr>
          <w:rFonts w:cs="Times New Roman"/>
          <w:kern w:val="22"/>
          <w:sz w:val="22"/>
          <w:lang w:val="en-GB"/>
        </w:rPr>
        <w:t xml:space="preserve"> in those instruments</w:t>
      </w:r>
      <w:r w:rsidR="3C81C91A" w:rsidRPr="002364AB">
        <w:rPr>
          <w:rFonts w:cs="Times New Roman"/>
          <w:kern w:val="22"/>
          <w:sz w:val="22"/>
          <w:lang w:val="en-GB"/>
        </w:rPr>
        <w:t xml:space="preserve">, </w:t>
      </w:r>
      <w:r w:rsidR="00D6629E" w:rsidRPr="002364AB">
        <w:rPr>
          <w:rFonts w:cs="Times New Roman"/>
          <w:kern w:val="22"/>
          <w:sz w:val="22"/>
          <w:lang w:val="en-GB"/>
        </w:rPr>
        <w:t>DSI</w:t>
      </w:r>
      <w:r w:rsidR="3C81C91A" w:rsidRPr="002364AB">
        <w:rPr>
          <w:rFonts w:cs="Times New Roman"/>
          <w:kern w:val="22"/>
          <w:sz w:val="22"/>
          <w:lang w:val="en-GB"/>
        </w:rPr>
        <w:t xml:space="preserve"> that results from the utilization of a physical genetic resource may still be subject to benefit-sharing obligations. Thus, scenarios in which the bilateral approach would either </w:t>
      </w:r>
      <w:r w:rsidR="00766FCD" w:rsidRPr="002364AB">
        <w:rPr>
          <w:rFonts w:cs="Times New Roman"/>
          <w:kern w:val="22"/>
          <w:sz w:val="22"/>
          <w:lang w:val="en-GB"/>
        </w:rPr>
        <w:t>be factually or functionally impossible</w:t>
      </w:r>
      <w:r w:rsidR="3C81C91A" w:rsidRPr="002364AB">
        <w:rPr>
          <w:rFonts w:cs="Times New Roman"/>
          <w:kern w:val="22"/>
          <w:sz w:val="22"/>
          <w:lang w:val="en-GB"/>
        </w:rPr>
        <w:t xml:space="preserve"> to employ are examined in this study. As the Parties have not yet decided on which path to take, this section provides examples of situations where no physical access is needed to utilize genetic </w:t>
      </w:r>
      <w:r w:rsidR="008F2F1F" w:rsidRPr="002364AB">
        <w:rPr>
          <w:rFonts w:cs="Times New Roman"/>
          <w:kern w:val="22"/>
          <w:sz w:val="22"/>
          <w:lang w:val="en-GB"/>
        </w:rPr>
        <w:t>information</w:t>
      </w:r>
      <w:r w:rsidR="3C81C91A" w:rsidRPr="002364AB">
        <w:rPr>
          <w:rFonts w:cs="Times New Roman"/>
          <w:kern w:val="22"/>
          <w:sz w:val="22"/>
          <w:lang w:val="en-GB"/>
        </w:rPr>
        <w:t xml:space="preserve"> (e.g. </w:t>
      </w:r>
      <w:r w:rsidR="00600E50" w:rsidRPr="002364AB">
        <w:rPr>
          <w:rFonts w:cs="Times New Roman"/>
          <w:kern w:val="22"/>
          <w:sz w:val="22"/>
          <w:lang w:val="en-GB"/>
        </w:rPr>
        <w:t>via natural product libraries)</w:t>
      </w:r>
      <w:r w:rsidR="3C81C91A" w:rsidRPr="002364AB">
        <w:rPr>
          <w:rFonts w:cs="Times New Roman"/>
          <w:kern w:val="22"/>
          <w:sz w:val="22"/>
          <w:lang w:val="en-GB"/>
        </w:rPr>
        <w:t xml:space="preserve">, and where the genetic components utilized were found in multiple organisms (e.g. </w:t>
      </w:r>
      <w:r w:rsidR="00080B47" w:rsidRPr="002364AB">
        <w:rPr>
          <w:rFonts w:cs="Times New Roman"/>
          <w:kern w:val="22"/>
          <w:sz w:val="22"/>
          <w:lang w:val="en-GB"/>
        </w:rPr>
        <w:t>in the pr</w:t>
      </w:r>
      <w:r w:rsidR="00AF257C" w:rsidRPr="002364AB">
        <w:rPr>
          <w:rFonts w:cs="Times New Roman"/>
          <w:kern w:val="22"/>
          <w:sz w:val="22"/>
          <w:lang w:val="en-GB"/>
        </w:rPr>
        <w:t xml:space="preserve">oduction of </w:t>
      </w:r>
      <w:proofErr w:type="spellStart"/>
      <w:r w:rsidR="3C81C91A" w:rsidRPr="002364AB">
        <w:rPr>
          <w:rFonts w:eastAsia="Batang" w:cs="Times New Roman"/>
          <w:kern w:val="22"/>
          <w:sz w:val="22"/>
          <w:lang w:val="en-GB"/>
        </w:rPr>
        <w:t>steviol</w:t>
      </w:r>
      <w:proofErr w:type="spellEnd"/>
      <w:r w:rsidR="3C81C91A" w:rsidRPr="002364AB">
        <w:rPr>
          <w:rFonts w:eastAsia="Batang" w:cs="Times New Roman"/>
          <w:kern w:val="22"/>
          <w:sz w:val="22"/>
          <w:lang w:val="en-GB"/>
        </w:rPr>
        <w:t xml:space="preserve"> glycosides)</w:t>
      </w:r>
      <w:r w:rsidR="3C81C91A" w:rsidRPr="002364AB">
        <w:rPr>
          <w:rFonts w:cs="Times New Roman"/>
          <w:kern w:val="22"/>
          <w:sz w:val="22"/>
          <w:lang w:val="en-GB"/>
        </w:rPr>
        <w:t>.</w:t>
      </w:r>
    </w:p>
    <w:p w14:paraId="310F8309" w14:textId="4FDC71A2" w:rsidR="0051327A" w:rsidRPr="002364AB" w:rsidRDefault="14AC87FF" w:rsidP="0051327A">
      <w:pPr>
        <w:rPr>
          <w:iCs/>
          <w:kern w:val="22"/>
          <w:sz w:val="22"/>
          <w:lang w:val="en-GB"/>
        </w:rPr>
      </w:pPr>
      <w:r w:rsidRPr="002364AB">
        <w:rPr>
          <w:kern w:val="22"/>
          <w:sz w:val="22"/>
          <w:lang w:val="en-GB"/>
        </w:rPr>
        <w:t xml:space="preserve">The </w:t>
      </w:r>
      <w:r w:rsidR="007B4B52" w:rsidRPr="002364AB">
        <w:rPr>
          <w:kern w:val="22"/>
          <w:sz w:val="22"/>
          <w:lang w:val="en-GB"/>
        </w:rPr>
        <w:t xml:space="preserve">third </w:t>
      </w:r>
      <w:r w:rsidR="00B550D5" w:rsidRPr="002364AB">
        <w:rPr>
          <w:kern w:val="22"/>
          <w:sz w:val="22"/>
          <w:lang w:val="en-GB"/>
        </w:rPr>
        <w:t xml:space="preserve">broad </w:t>
      </w:r>
      <w:r w:rsidR="007B4B52" w:rsidRPr="002364AB">
        <w:rPr>
          <w:kern w:val="22"/>
          <w:sz w:val="22"/>
          <w:lang w:val="en-GB"/>
        </w:rPr>
        <w:t>group</w:t>
      </w:r>
      <w:r w:rsidRPr="002364AB">
        <w:rPr>
          <w:kern w:val="22"/>
          <w:sz w:val="22"/>
          <w:lang w:val="en-GB"/>
        </w:rPr>
        <w:t xml:space="preserve">, </w:t>
      </w:r>
      <w:r w:rsidRPr="002364AB">
        <w:rPr>
          <w:b/>
          <w:bCs/>
          <w:kern w:val="22"/>
          <w:sz w:val="22"/>
          <w:lang w:val="en-GB"/>
        </w:rPr>
        <w:t xml:space="preserve">traditional knowledge associated with genetic resources </w:t>
      </w:r>
      <w:r w:rsidR="00E06525" w:rsidRPr="002364AB">
        <w:rPr>
          <w:b/>
          <w:bCs/>
          <w:kern w:val="22"/>
          <w:sz w:val="22"/>
          <w:lang w:val="en-GB"/>
        </w:rPr>
        <w:t>that occur in transboundary situations</w:t>
      </w:r>
      <w:r w:rsidR="0046412C" w:rsidRPr="002364AB">
        <w:rPr>
          <w:b/>
          <w:bCs/>
          <w:kern w:val="22"/>
          <w:sz w:val="22"/>
          <w:lang w:val="en-GB"/>
        </w:rPr>
        <w:t xml:space="preserve"> or </w:t>
      </w:r>
      <w:r w:rsidRPr="002364AB">
        <w:rPr>
          <w:b/>
          <w:bCs/>
          <w:kern w:val="22"/>
          <w:sz w:val="22"/>
          <w:lang w:val="en-GB"/>
        </w:rPr>
        <w:t>for which it is not possible to grant or obtain prior informed consent</w:t>
      </w:r>
      <w:r w:rsidRPr="002364AB">
        <w:rPr>
          <w:kern w:val="22"/>
          <w:sz w:val="22"/>
          <w:lang w:val="en-GB"/>
        </w:rPr>
        <w:t>, can be further divided into t</w:t>
      </w:r>
      <w:r w:rsidR="00A64EC9" w:rsidRPr="002364AB">
        <w:rPr>
          <w:kern w:val="22"/>
          <w:sz w:val="22"/>
          <w:lang w:val="en-GB"/>
        </w:rPr>
        <w:t>hree</w:t>
      </w:r>
      <w:r w:rsidR="007B4B52" w:rsidRPr="002364AB" w:rsidDel="005C52B7">
        <w:rPr>
          <w:kern w:val="22"/>
          <w:sz w:val="22"/>
          <w:lang w:val="en-GB"/>
        </w:rPr>
        <w:t xml:space="preserve"> subgroups</w:t>
      </w:r>
      <w:r w:rsidRPr="002364AB">
        <w:rPr>
          <w:kern w:val="22"/>
          <w:sz w:val="22"/>
          <w:lang w:val="en-GB"/>
        </w:rPr>
        <w:t>:</w:t>
      </w:r>
      <w:r w:rsidR="0046412C" w:rsidRPr="002364AB">
        <w:rPr>
          <w:kern w:val="22"/>
          <w:sz w:val="22"/>
          <w:lang w:val="en-GB"/>
        </w:rPr>
        <w:t xml:space="preserve"> (a)</w:t>
      </w:r>
      <w:r w:rsidR="0051327A" w:rsidRPr="002364AB">
        <w:rPr>
          <w:rFonts w:eastAsia="Times New Roman" w:cs="Times New Roman"/>
          <w:iCs/>
          <w:color w:val="000000"/>
          <w:kern w:val="22"/>
          <w:sz w:val="22"/>
          <w:lang w:val="en-GB" w:eastAsia="en-CA"/>
        </w:rPr>
        <w:t xml:space="preserve"> </w:t>
      </w:r>
      <w:r w:rsidR="0051327A" w:rsidRPr="002364AB">
        <w:rPr>
          <w:iCs/>
          <w:kern w:val="22"/>
          <w:sz w:val="22"/>
          <w:lang w:val="en-GB"/>
        </w:rPr>
        <w:t xml:space="preserve">associated traditional knowledge held by IPLCs across national boundaries, </w:t>
      </w:r>
      <w:r w:rsidR="0046412C" w:rsidRPr="002364AB">
        <w:rPr>
          <w:iCs/>
          <w:kern w:val="22"/>
          <w:sz w:val="22"/>
          <w:lang w:val="en-GB"/>
        </w:rPr>
        <w:t xml:space="preserve">(b) </w:t>
      </w:r>
      <w:r w:rsidR="0051327A" w:rsidRPr="002364AB">
        <w:rPr>
          <w:iCs/>
          <w:kern w:val="22"/>
          <w:sz w:val="22"/>
          <w:lang w:val="en-GB"/>
        </w:rPr>
        <w:t xml:space="preserve">publicly available associated traditional knowledge, and </w:t>
      </w:r>
      <w:r w:rsidR="0046412C" w:rsidRPr="002364AB">
        <w:rPr>
          <w:iCs/>
          <w:kern w:val="22"/>
          <w:sz w:val="22"/>
          <w:lang w:val="en-GB"/>
        </w:rPr>
        <w:t xml:space="preserve">(c) </w:t>
      </w:r>
      <w:r w:rsidR="0051327A" w:rsidRPr="002364AB">
        <w:rPr>
          <w:iCs/>
          <w:kern w:val="22"/>
          <w:sz w:val="22"/>
          <w:lang w:val="en-GB"/>
        </w:rPr>
        <w:t xml:space="preserve">associated traditional knowledge of untraceable </w:t>
      </w:r>
      <w:r w:rsidR="008B55E0" w:rsidRPr="002364AB">
        <w:rPr>
          <w:iCs/>
          <w:kern w:val="22"/>
          <w:sz w:val="22"/>
          <w:lang w:val="en-GB"/>
        </w:rPr>
        <w:t>origin</w:t>
      </w:r>
      <w:r w:rsidR="0051327A" w:rsidRPr="002364AB">
        <w:rPr>
          <w:iCs/>
          <w:kern w:val="22"/>
          <w:sz w:val="22"/>
          <w:lang w:val="en-GB"/>
        </w:rPr>
        <w:t xml:space="preserve"> in </w:t>
      </w:r>
      <w:r w:rsidR="0051327A" w:rsidRPr="002364AB">
        <w:rPr>
          <w:i/>
          <w:kern w:val="22"/>
          <w:sz w:val="22"/>
          <w:lang w:val="en-GB"/>
        </w:rPr>
        <w:t>ex situ</w:t>
      </w:r>
      <w:r w:rsidR="0051327A" w:rsidRPr="002364AB">
        <w:rPr>
          <w:iCs/>
          <w:kern w:val="22"/>
          <w:sz w:val="22"/>
          <w:lang w:val="en-GB"/>
        </w:rPr>
        <w:t xml:space="preserve"> collections.</w:t>
      </w:r>
    </w:p>
    <w:p w14:paraId="720A8CFF" w14:textId="6E747504" w:rsidR="00635636" w:rsidRPr="002364AB" w:rsidRDefault="00B07697" w:rsidP="00A64EC9">
      <w:pPr>
        <w:rPr>
          <w:kern w:val="22"/>
          <w:sz w:val="22"/>
          <w:lang w:val="en-GB"/>
        </w:rPr>
      </w:pPr>
      <w:r w:rsidRPr="002364AB">
        <w:rPr>
          <w:kern w:val="22"/>
          <w:sz w:val="22"/>
          <w:lang w:val="en-GB"/>
        </w:rPr>
        <w:t>Regarding subgroup (a), w</w:t>
      </w:r>
      <w:r w:rsidR="00A64EC9" w:rsidRPr="002364AB">
        <w:rPr>
          <w:kern w:val="22"/>
          <w:sz w:val="22"/>
          <w:lang w:val="en-GB"/>
        </w:rPr>
        <w:t xml:space="preserve">hile possible, bilateral negotiations </w:t>
      </w:r>
      <w:r w:rsidR="003E784F" w:rsidRPr="002364AB">
        <w:rPr>
          <w:kern w:val="22"/>
          <w:sz w:val="22"/>
          <w:lang w:val="en-GB"/>
        </w:rPr>
        <w:t xml:space="preserve">can be </w:t>
      </w:r>
      <w:r w:rsidR="00A407CF" w:rsidRPr="002364AB">
        <w:rPr>
          <w:kern w:val="22"/>
          <w:sz w:val="22"/>
          <w:lang w:val="en-GB"/>
        </w:rPr>
        <w:t xml:space="preserve">difficult </w:t>
      </w:r>
      <w:r w:rsidR="00A64EC9" w:rsidRPr="002364AB">
        <w:rPr>
          <w:kern w:val="22"/>
          <w:sz w:val="22"/>
          <w:lang w:val="en-GB"/>
        </w:rPr>
        <w:t>in situation</w:t>
      </w:r>
      <w:r w:rsidR="003E784F" w:rsidRPr="002364AB">
        <w:rPr>
          <w:kern w:val="22"/>
          <w:sz w:val="22"/>
          <w:lang w:val="en-GB"/>
        </w:rPr>
        <w:t>s</w:t>
      </w:r>
      <w:r w:rsidR="00A64EC9" w:rsidRPr="002364AB">
        <w:rPr>
          <w:kern w:val="22"/>
          <w:sz w:val="22"/>
          <w:lang w:val="en-GB"/>
        </w:rPr>
        <w:t xml:space="preserve"> in which traditional knowledge associated with genetic resources is held by indigenous peoples and local communities whose membership spans national boundaries. </w:t>
      </w:r>
      <w:r w:rsidR="00A64EC9" w:rsidRPr="002364AB">
        <w:rPr>
          <w:iCs/>
          <w:kern w:val="22"/>
          <w:sz w:val="22"/>
          <w:lang w:val="en-GB"/>
        </w:rPr>
        <w:t>The study identified t</w:t>
      </w:r>
      <w:r w:rsidR="00EB3120" w:rsidRPr="002364AB">
        <w:rPr>
          <w:iCs/>
          <w:kern w:val="22"/>
          <w:sz w:val="22"/>
          <w:lang w:val="en-GB"/>
        </w:rPr>
        <w:t>hree</w:t>
      </w:r>
      <w:r w:rsidR="00A64EC9" w:rsidRPr="002364AB">
        <w:rPr>
          <w:iCs/>
          <w:kern w:val="22"/>
          <w:sz w:val="22"/>
          <w:lang w:val="en-GB"/>
        </w:rPr>
        <w:t xml:space="preserve"> such scenarios: (1) </w:t>
      </w:r>
      <w:r w:rsidR="00AD22DD" w:rsidRPr="002364AB">
        <w:rPr>
          <w:iCs/>
          <w:kern w:val="22"/>
          <w:sz w:val="22"/>
          <w:lang w:val="en-GB"/>
        </w:rPr>
        <w:t xml:space="preserve">associated </w:t>
      </w:r>
      <w:r w:rsidR="00A64EC9" w:rsidRPr="002364AB">
        <w:rPr>
          <w:iCs/>
          <w:kern w:val="22"/>
          <w:sz w:val="22"/>
          <w:lang w:val="en-GB"/>
        </w:rPr>
        <w:t xml:space="preserve">traditional knowledge held </w:t>
      </w:r>
      <w:r w:rsidR="00EB3120" w:rsidRPr="002364AB">
        <w:rPr>
          <w:iCs/>
          <w:kern w:val="22"/>
          <w:sz w:val="22"/>
          <w:lang w:val="en-GB"/>
        </w:rPr>
        <w:t>by a single group across multiple countries</w:t>
      </w:r>
      <w:r w:rsidR="00DE6B9A" w:rsidRPr="002364AB">
        <w:rPr>
          <w:iCs/>
          <w:kern w:val="22"/>
          <w:sz w:val="22"/>
          <w:lang w:val="en-GB"/>
        </w:rPr>
        <w:t xml:space="preserve">; (2) </w:t>
      </w:r>
      <w:r w:rsidR="004846C5" w:rsidRPr="002364AB">
        <w:rPr>
          <w:iCs/>
          <w:kern w:val="22"/>
          <w:sz w:val="22"/>
          <w:lang w:val="en-GB"/>
        </w:rPr>
        <w:t xml:space="preserve">associated traditional knowledge held </w:t>
      </w:r>
      <w:r w:rsidR="00A64EC9" w:rsidRPr="002364AB">
        <w:rPr>
          <w:iCs/>
          <w:kern w:val="22"/>
          <w:sz w:val="22"/>
          <w:lang w:val="en-GB"/>
        </w:rPr>
        <w:t>by more than one group located across multiple countries</w:t>
      </w:r>
      <w:r w:rsidR="004B3F35" w:rsidRPr="002364AB">
        <w:rPr>
          <w:iCs/>
          <w:kern w:val="22"/>
          <w:sz w:val="22"/>
          <w:lang w:val="en-GB"/>
        </w:rPr>
        <w:t>;</w:t>
      </w:r>
      <w:r w:rsidR="00EB3120" w:rsidRPr="002364AB">
        <w:rPr>
          <w:iCs/>
          <w:kern w:val="22"/>
          <w:sz w:val="22"/>
          <w:lang w:val="en-GB"/>
        </w:rPr>
        <w:t xml:space="preserve"> </w:t>
      </w:r>
      <w:r w:rsidR="004B3F35" w:rsidRPr="002364AB">
        <w:rPr>
          <w:iCs/>
          <w:kern w:val="22"/>
          <w:sz w:val="22"/>
          <w:lang w:val="en-GB"/>
        </w:rPr>
        <w:t xml:space="preserve">and </w:t>
      </w:r>
      <w:r w:rsidR="00A64EC9" w:rsidRPr="002364AB">
        <w:rPr>
          <w:iCs/>
          <w:kern w:val="22"/>
          <w:sz w:val="22"/>
          <w:lang w:val="en-GB"/>
        </w:rPr>
        <w:t>(</w:t>
      </w:r>
      <w:r w:rsidR="004B3F35" w:rsidRPr="002364AB">
        <w:rPr>
          <w:iCs/>
          <w:kern w:val="22"/>
          <w:sz w:val="22"/>
          <w:lang w:val="en-GB"/>
        </w:rPr>
        <w:t>3</w:t>
      </w:r>
      <w:r w:rsidR="00A64EC9" w:rsidRPr="002364AB">
        <w:rPr>
          <w:iCs/>
          <w:kern w:val="22"/>
          <w:sz w:val="22"/>
          <w:lang w:val="en-GB"/>
        </w:rPr>
        <w:t>) associated traditional knowledge held by a community in one country about a genetic resource originating in another country.</w:t>
      </w:r>
      <w:r w:rsidR="00BC4326" w:rsidRPr="002364AB">
        <w:rPr>
          <w:iCs/>
          <w:kern w:val="22"/>
          <w:sz w:val="22"/>
          <w:lang w:val="en-GB"/>
        </w:rPr>
        <w:t xml:space="preserve"> </w:t>
      </w:r>
      <w:r w:rsidR="00A64EC9" w:rsidRPr="002364AB">
        <w:rPr>
          <w:iCs/>
          <w:kern w:val="22"/>
          <w:sz w:val="22"/>
          <w:lang w:val="en-GB"/>
        </w:rPr>
        <w:t>Examples include traditional knowledge associated with</w:t>
      </w:r>
      <w:r w:rsidR="00BC4326" w:rsidRPr="002364AB">
        <w:rPr>
          <w:iCs/>
          <w:kern w:val="22"/>
          <w:sz w:val="22"/>
          <w:lang w:val="en-GB"/>
        </w:rPr>
        <w:t xml:space="preserve"> Judean wormwood (</w:t>
      </w:r>
      <w:proofErr w:type="spellStart"/>
      <w:r w:rsidR="00A51ACF" w:rsidRPr="002364AB">
        <w:rPr>
          <w:i/>
          <w:kern w:val="22"/>
          <w:sz w:val="22"/>
          <w:lang w:val="en-GB"/>
        </w:rPr>
        <w:t>Artemesia</w:t>
      </w:r>
      <w:proofErr w:type="spellEnd"/>
      <w:r w:rsidR="00A51ACF" w:rsidRPr="002364AB">
        <w:rPr>
          <w:i/>
          <w:kern w:val="22"/>
          <w:sz w:val="22"/>
          <w:lang w:val="en-GB"/>
        </w:rPr>
        <w:t xml:space="preserve"> </w:t>
      </w:r>
      <w:proofErr w:type="spellStart"/>
      <w:r w:rsidR="00A51ACF" w:rsidRPr="002364AB">
        <w:rPr>
          <w:i/>
          <w:kern w:val="22"/>
          <w:sz w:val="22"/>
          <w:lang w:val="en-GB"/>
        </w:rPr>
        <w:t>judaica</w:t>
      </w:r>
      <w:proofErr w:type="spellEnd"/>
      <w:r w:rsidR="00BC4326" w:rsidRPr="002364AB">
        <w:rPr>
          <w:iCs/>
          <w:kern w:val="22"/>
          <w:sz w:val="22"/>
          <w:lang w:val="en-GB"/>
        </w:rPr>
        <w:t xml:space="preserve">) </w:t>
      </w:r>
      <w:r w:rsidR="00A64EC9" w:rsidRPr="002364AB">
        <w:rPr>
          <w:iCs/>
          <w:kern w:val="22"/>
          <w:sz w:val="22"/>
          <w:lang w:val="en-GB"/>
        </w:rPr>
        <w:t xml:space="preserve">and </w:t>
      </w:r>
      <w:r w:rsidR="00CA0F7A" w:rsidRPr="002364AB">
        <w:rPr>
          <w:iCs/>
          <w:kern w:val="22"/>
          <w:sz w:val="22"/>
          <w:lang w:val="en-GB"/>
        </w:rPr>
        <w:t>R</w:t>
      </w:r>
      <w:r w:rsidR="004B3F35" w:rsidRPr="002364AB">
        <w:rPr>
          <w:iCs/>
          <w:kern w:val="22"/>
          <w:sz w:val="22"/>
          <w:lang w:val="en-GB"/>
        </w:rPr>
        <w:t>osy periwinkle</w:t>
      </w:r>
      <w:r w:rsidR="003B7AE1" w:rsidRPr="002364AB">
        <w:rPr>
          <w:iCs/>
          <w:kern w:val="22"/>
          <w:sz w:val="22"/>
          <w:lang w:val="en-GB"/>
        </w:rPr>
        <w:t xml:space="preserve"> (</w:t>
      </w:r>
      <w:proofErr w:type="spellStart"/>
      <w:r w:rsidR="003B7AE1" w:rsidRPr="002364AB">
        <w:rPr>
          <w:i/>
          <w:kern w:val="22"/>
          <w:sz w:val="22"/>
          <w:lang w:val="en-GB"/>
        </w:rPr>
        <w:t>Catharanthus</w:t>
      </w:r>
      <w:proofErr w:type="spellEnd"/>
      <w:r w:rsidR="003B7AE1" w:rsidRPr="002364AB">
        <w:rPr>
          <w:i/>
          <w:kern w:val="22"/>
          <w:sz w:val="22"/>
          <w:lang w:val="en-GB"/>
        </w:rPr>
        <w:t xml:space="preserve"> roseus</w:t>
      </w:r>
      <w:r w:rsidR="003B7AE1" w:rsidRPr="002364AB">
        <w:rPr>
          <w:iCs/>
          <w:kern w:val="22"/>
          <w:sz w:val="22"/>
          <w:lang w:val="en-GB"/>
        </w:rPr>
        <w:t>)</w:t>
      </w:r>
      <w:r w:rsidR="00A64EC9" w:rsidRPr="002364AB">
        <w:rPr>
          <w:kern w:val="22"/>
          <w:sz w:val="22"/>
          <w:lang w:val="en-GB"/>
        </w:rPr>
        <w:t>.</w:t>
      </w:r>
      <w:r w:rsidR="00A64EC9" w:rsidRPr="002364AB">
        <w:rPr>
          <w:iCs/>
          <w:kern w:val="22"/>
          <w:sz w:val="22"/>
          <w:lang w:val="en-GB"/>
        </w:rPr>
        <w:t xml:space="preserve"> </w:t>
      </w:r>
      <w:bookmarkStart w:id="9" w:name="_Hlk42634694"/>
      <w:r w:rsidR="00694C34" w:rsidRPr="002364AB">
        <w:rPr>
          <w:iCs/>
          <w:kern w:val="22"/>
          <w:sz w:val="22"/>
          <w:lang w:val="en-GB"/>
        </w:rPr>
        <w:t>K</w:t>
      </w:r>
      <w:r w:rsidR="00A64EC9" w:rsidRPr="002364AB">
        <w:rPr>
          <w:kern w:val="22"/>
          <w:sz w:val="22"/>
          <w:lang w:val="en-GB"/>
        </w:rPr>
        <w:t>ey challenge</w:t>
      </w:r>
      <w:r w:rsidR="00694C34" w:rsidRPr="002364AB">
        <w:rPr>
          <w:kern w:val="22"/>
          <w:sz w:val="22"/>
          <w:lang w:val="en-GB"/>
        </w:rPr>
        <w:t>s</w:t>
      </w:r>
      <w:r w:rsidR="00A64EC9" w:rsidRPr="002364AB">
        <w:rPr>
          <w:kern w:val="22"/>
          <w:sz w:val="22"/>
          <w:lang w:val="en-GB"/>
        </w:rPr>
        <w:t xml:space="preserve"> in these situations involve determining who owns the </w:t>
      </w:r>
      <w:r w:rsidR="00A64EC9" w:rsidRPr="002364AB">
        <w:rPr>
          <w:iCs/>
          <w:kern w:val="22"/>
          <w:sz w:val="22"/>
          <w:lang w:val="en-GB"/>
        </w:rPr>
        <w:t>associated traditional knowledge</w:t>
      </w:r>
      <w:r w:rsidR="00694C34" w:rsidRPr="002364AB">
        <w:rPr>
          <w:iCs/>
          <w:kern w:val="22"/>
          <w:sz w:val="22"/>
          <w:lang w:val="en-GB"/>
        </w:rPr>
        <w:t>,</w:t>
      </w:r>
      <w:r w:rsidR="00A64EC9" w:rsidRPr="002364AB">
        <w:rPr>
          <w:kern w:val="22"/>
          <w:sz w:val="22"/>
          <w:lang w:val="en-GB"/>
        </w:rPr>
        <w:t xml:space="preserve"> who thus has a right to </w:t>
      </w:r>
      <w:r w:rsidR="00F25163" w:rsidRPr="002364AB">
        <w:rPr>
          <w:kern w:val="22"/>
          <w:sz w:val="22"/>
          <w:lang w:val="en-GB"/>
        </w:rPr>
        <w:t xml:space="preserve">grant PIC in accordance with applicable </w:t>
      </w:r>
      <w:r w:rsidR="00433642" w:rsidRPr="002364AB">
        <w:rPr>
          <w:kern w:val="22"/>
          <w:sz w:val="22"/>
          <w:lang w:val="en-GB"/>
        </w:rPr>
        <w:t xml:space="preserve">domestic </w:t>
      </w:r>
      <w:r w:rsidR="00F25163" w:rsidRPr="002364AB">
        <w:rPr>
          <w:kern w:val="22"/>
          <w:sz w:val="22"/>
          <w:lang w:val="en-GB"/>
        </w:rPr>
        <w:t>law</w:t>
      </w:r>
      <w:r w:rsidR="00433642" w:rsidRPr="002364AB">
        <w:rPr>
          <w:kern w:val="22"/>
          <w:sz w:val="22"/>
          <w:lang w:val="en-GB"/>
        </w:rPr>
        <w:t>,</w:t>
      </w:r>
      <w:r w:rsidR="00F25163" w:rsidRPr="002364AB">
        <w:rPr>
          <w:kern w:val="22"/>
          <w:sz w:val="22"/>
          <w:lang w:val="en-GB"/>
        </w:rPr>
        <w:t xml:space="preserve"> and who is entitled to a </w:t>
      </w:r>
      <w:r w:rsidR="00A64EC9" w:rsidRPr="002364AB">
        <w:rPr>
          <w:kern w:val="22"/>
          <w:sz w:val="22"/>
          <w:lang w:val="en-GB"/>
        </w:rPr>
        <w:t>share in the benefits that may be generated.</w:t>
      </w:r>
    </w:p>
    <w:bookmarkEnd w:id="9"/>
    <w:p w14:paraId="4E364B06" w14:textId="0E4849D0" w:rsidR="00A2431C" w:rsidRPr="002364AB" w:rsidRDefault="00B07697" w:rsidP="00A2431C">
      <w:pPr>
        <w:rPr>
          <w:kern w:val="22"/>
          <w:sz w:val="22"/>
          <w:lang w:val="en-GB"/>
        </w:rPr>
      </w:pPr>
      <w:r w:rsidRPr="002364AB">
        <w:rPr>
          <w:kern w:val="22"/>
          <w:sz w:val="22"/>
          <w:lang w:val="en-GB"/>
        </w:rPr>
        <w:t>Regarding subgroups (b) and (c), m</w:t>
      </w:r>
      <w:r w:rsidR="14AC87FF" w:rsidRPr="002364AB">
        <w:rPr>
          <w:kern w:val="22"/>
          <w:sz w:val="22"/>
          <w:lang w:val="en-GB"/>
        </w:rPr>
        <w:t xml:space="preserve">any publications and journals exist which </w:t>
      </w:r>
      <w:proofErr w:type="spellStart"/>
      <w:r w:rsidR="14AC87FF" w:rsidRPr="002364AB">
        <w:rPr>
          <w:kern w:val="22"/>
          <w:sz w:val="22"/>
          <w:lang w:val="en-GB"/>
        </w:rPr>
        <w:t>catalog</w:t>
      </w:r>
      <w:proofErr w:type="spellEnd"/>
      <w:r w:rsidR="14AC87FF" w:rsidRPr="002364AB">
        <w:rPr>
          <w:kern w:val="22"/>
          <w:sz w:val="22"/>
          <w:lang w:val="en-GB"/>
        </w:rPr>
        <w:t xml:space="preserve"> traditional plant uses in different regions, such as the </w:t>
      </w:r>
      <w:r w:rsidR="009E1FDA" w:rsidRPr="002364AB">
        <w:rPr>
          <w:i/>
          <w:iCs/>
          <w:kern w:val="22"/>
          <w:sz w:val="22"/>
          <w:lang w:val="en-GB"/>
        </w:rPr>
        <w:t>African Pharmacopoeia</w:t>
      </w:r>
      <w:r w:rsidR="14AC87FF" w:rsidRPr="002364AB">
        <w:rPr>
          <w:kern w:val="22"/>
          <w:sz w:val="22"/>
          <w:lang w:val="en-GB"/>
        </w:rPr>
        <w:t xml:space="preserve">. The possibility to grant or obtain prior informed consent for the traditional knowledge involved may not be possible if the knowledge is not traceable to a specific provider. Likewise, many samples of genetic materials contained in </w:t>
      </w:r>
      <w:r w:rsidR="14AC87FF" w:rsidRPr="002364AB">
        <w:rPr>
          <w:i/>
          <w:iCs/>
          <w:kern w:val="22"/>
          <w:sz w:val="22"/>
          <w:lang w:val="en-GB"/>
        </w:rPr>
        <w:t>ex situ</w:t>
      </w:r>
      <w:r w:rsidR="14AC87FF" w:rsidRPr="002364AB">
        <w:rPr>
          <w:kern w:val="22"/>
          <w:sz w:val="22"/>
          <w:lang w:val="en-GB"/>
        </w:rPr>
        <w:t xml:space="preserve"> collections were collected by ethnobotanists with the help and direction of indigenous peoples and local communities. As a result, traditional uses are sometimes included in the identifying information. While </w:t>
      </w:r>
      <w:r w:rsidR="008B55E0" w:rsidRPr="002364AB">
        <w:rPr>
          <w:kern w:val="22"/>
          <w:sz w:val="22"/>
          <w:lang w:val="en-GB"/>
        </w:rPr>
        <w:t>provider country</w:t>
      </w:r>
      <w:r w:rsidR="14AC87FF" w:rsidRPr="002364AB">
        <w:rPr>
          <w:kern w:val="22"/>
          <w:sz w:val="22"/>
          <w:lang w:val="en-GB"/>
        </w:rPr>
        <w:t xml:space="preserve"> information is </w:t>
      </w:r>
      <w:r w:rsidR="009035FF" w:rsidRPr="002364AB">
        <w:rPr>
          <w:kern w:val="22"/>
          <w:sz w:val="22"/>
          <w:lang w:val="en-GB"/>
        </w:rPr>
        <w:t>generally</w:t>
      </w:r>
      <w:r w:rsidR="14AC87FF" w:rsidRPr="002364AB">
        <w:rPr>
          <w:kern w:val="22"/>
          <w:sz w:val="22"/>
          <w:lang w:val="en-GB"/>
        </w:rPr>
        <w:t xml:space="preserve"> present, identifying information on the indigenous peoples and local communities from whom the traditional knowledge was derived may </w:t>
      </w:r>
      <w:r w:rsidR="009035FF" w:rsidRPr="002364AB">
        <w:rPr>
          <w:kern w:val="22"/>
          <w:sz w:val="22"/>
          <w:lang w:val="en-GB"/>
        </w:rPr>
        <w:t>not have been included</w:t>
      </w:r>
      <w:r w:rsidR="14AC87FF" w:rsidRPr="002364AB">
        <w:rPr>
          <w:kern w:val="22"/>
          <w:sz w:val="22"/>
          <w:lang w:val="en-GB"/>
        </w:rPr>
        <w:t xml:space="preserve">. This may render it </w:t>
      </w:r>
      <w:r w:rsidR="003F2CE6" w:rsidRPr="002364AB">
        <w:rPr>
          <w:kern w:val="22"/>
          <w:sz w:val="22"/>
          <w:lang w:val="en-GB"/>
        </w:rPr>
        <w:t>impossible</w:t>
      </w:r>
      <w:r w:rsidR="14AC87FF" w:rsidRPr="002364AB">
        <w:rPr>
          <w:kern w:val="22"/>
          <w:sz w:val="22"/>
          <w:lang w:val="en-GB"/>
        </w:rPr>
        <w:t xml:space="preserve"> to seek prior informed consent for the use of such traditional knowledge.</w:t>
      </w:r>
    </w:p>
    <w:p w14:paraId="184DCF53" w14:textId="306E8732" w:rsidR="004A5820" w:rsidRPr="002364AB" w:rsidRDefault="002E6922" w:rsidP="00A2431C">
      <w:pPr>
        <w:rPr>
          <w:kern w:val="22"/>
          <w:sz w:val="22"/>
          <w:lang w:val="en-GB"/>
        </w:rPr>
      </w:pPr>
      <w:r w:rsidRPr="002364AB">
        <w:rPr>
          <w:kern w:val="22"/>
          <w:sz w:val="22"/>
          <w:lang w:val="en-GB"/>
        </w:rPr>
        <w:t xml:space="preserve">Based on the research presented within, this study concludes that there </w:t>
      </w:r>
      <w:r w:rsidR="004A5820" w:rsidRPr="002364AB">
        <w:rPr>
          <w:kern w:val="22"/>
          <w:sz w:val="22"/>
          <w:lang w:val="en-GB"/>
        </w:rPr>
        <w:t xml:space="preserve">may be </w:t>
      </w:r>
      <w:r w:rsidRPr="002364AB">
        <w:rPr>
          <w:kern w:val="22"/>
          <w:sz w:val="22"/>
          <w:lang w:val="en-GB"/>
        </w:rPr>
        <w:t xml:space="preserve">specific cases </w:t>
      </w:r>
      <w:r w:rsidR="008F7A76" w:rsidRPr="002364AB">
        <w:rPr>
          <w:kern w:val="22"/>
          <w:sz w:val="22"/>
          <w:lang w:val="en-GB"/>
        </w:rPr>
        <w:t xml:space="preserve">that </w:t>
      </w:r>
      <w:r w:rsidR="00BF027A" w:rsidRPr="002364AB">
        <w:rPr>
          <w:kern w:val="22"/>
          <w:sz w:val="22"/>
          <w:lang w:val="en-GB"/>
        </w:rPr>
        <w:t>fall within the scope of Article 10</w:t>
      </w:r>
      <w:r w:rsidR="00D90DB3" w:rsidRPr="002364AB">
        <w:rPr>
          <w:kern w:val="22"/>
          <w:sz w:val="22"/>
          <w:lang w:val="en-GB"/>
        </w:rPr>
        <w:t xml:space="preserve">, while </w:t>
      </w:r>
      <w:r w:rsidR="00610687" w:rsidRPr="002364AB">
        <w:rPr>
          <w:kern w:val="22"/>
          <w:sz w:val="22"/>
          <w:lang w:val="en-GB"/>
        </w:rPr>
        <w:t xml:space="preserve">also </w:t>
      </w:r>
      <w:r w:rsidR="00D90DB3" w:rsidRPr="002364AB">
        <w:rPr>
          <w:kern w:val="22"/>
          <w:sz w:val="22"/>
          <w:lang w:val="en-GB"/>
        </w:rPr>
        <w:t xml:space="preserve">not undermining the bilateral </w:t>
      </w:r>
      <w:r w:rsidR="00AD6861" w:rsidRPr="002364AB">
        <w:rPr>
          <w:kern w:val="22"/>
          <w:sz w:val="22"/>
          <w:lang w:val="en-GB"/>
        </w:rPr>
        <w:t xml:space="preserve">approach upon which the </w:t>
      </w:r>
      <w:r w:rsidR="00610687" w:rsidRPr="002364AB">
        <w:rPr>
          <w:kern w:val="22"/>
          <w:sz w:val="22"/>
          <w:lang w:val="en-GB"/>
        </w:rPr>
        <w:t>C</w:t>
      </w:r>
      <w:r w:rsidR="00516AEE" w:rsidRPr="002364AB">
        <w:rPr>
          <w:kern w:val="22"/>
          <w:sz w:val="22"/>
          <w:lang w:val="en-GB"/>
        </w:rPr>
        <w:t>onvention</w:t>
      </w:r>
      <w:r w:rsidR="00610687" w:rsidRPr="002364AB">
        <w:rPr>
          <w:kern w:val="22"/>
          <w:sz w:val="22"/>
          <w:lang w:val="en-GB"/>
        </w:rPr>
        <w:t xml:space="preserve"> and </w:t>
      </w:r>
      <w:r w:rsidR="00AD6861" w:rsidRPr="002364AB">
        <w:rPr>
          <w:kern w:val="22"/>
          <w:sz w:val="22"/>
          <w:lang w:val="en-GB"/>
        </w:rPr>
        <w:t xml:space="preserve">Nagoya Protocol </w:t>
      </w:r>
      <w:r w:rsidR="00610687" w:rsidRPr="002364AB">
        <w:rPr>
          <w:kern w:val="22"/>
          <w:sz w:val="22"/>
          <w:lang w:val="en-GB"/>
        </w:rPr>
        <w:t>are founded</w:t>
      </w:r>
      <w:r w:rsidR="006078A3" w:rsidRPr="002364AB">
        <w:rPr>
          <w:kern w:val="22"/>
          <w:sz w:val="22"/>
          <w:lang w:val="en-GB"/>
        </w:rPr>
        <w:t>.</w:t>
      </w:r>
    </w:p>
    <w:p w14:paraId="1B455093" w14:textId="4D30CED9" w:rsidR="00051012" w:rsidRPr="002364AB" w:rsidRDefault="00051012" w:rsidP="00A2431C">
      <w:pPr>
        <w:rPr>
          <w:kern w:val="22"/>
          <w:sz w:val="22"/>
          <w:lang w:val="en-GB"/>
        </w:rPr>
      </w:pPr>
    </w:p>
    <w:p w14:paraId="647C448E" w14:textId="6BAA3AC9" w:rsidR="00051012" w:rsidRPr="002364AB" w:rsidRDefault="00051012" w:rsidP="00A2431C">
      <w:pPr>
        <w:rPr>
          <w:kern w:val="22"/>
          <w:sz w:val="22"/>
          <w:lang w:val="en-GB"/>
        </w:rPr>
      </w:pPr>
    </w:p>
    <w:p w14:paraId="7C9E217C" w14:textId="5977849C" w:rsidR="0017771C" w:rsidRPr="002364AB" w:rsidRDefault="0017771C" w:rsidP="00A2431C">
      <w:pPr>
        <w:rPr>
          <w:kern w:val="22"/>
          <w:sz w:val="22"/>
          <w:lang w:val="en-GB"/>
        </w:rPr>
      </w:pPr>
    </w:p>
    <w:p w14:paraId="59274A88" w14:textId="77777777" w:rsidR="0017771C" w:rsidRPr="002364AB" w:rsidRDefault="0017771C" w:rsidP="00A2431C">
      <w:pPr>
        <w:rPr>
          <w:kern w:val="22"/>
          <w:sz w:val="22"/>
          <w:lang w:val="en-GB"/>
        </w:rPr>
      </w:pPr>
    </w:p>
    <w:p w14:paraId="68E094BD" w14:textId="77777777" w:rsidR="00051012" w:rsidRPr="002364AB" w:rsidRDefault="00051012" w:rsidP="00A2431C">
      <w:pPr>
        <w:rPr>
          <w:kern w:val="22"/>
          <w:sz w:val="22"/>
          <w:lang w:val="en-GB"/>
        </w:rPr>
      </w:pPr>
    </w:p>
    <w:p w14:paraId="25E0477B" w14:textId="49004E1B" w:rsidR="00D56508" w:rsidRPr="002364AB" w:rsidRDefault="00D56508" w:rsidP="00A2063C">
      <w:pPr>
        <w:keepNext/>
        <w:rPr>
          <w:kern w:val="22"/>
          <w:sz w:val="22"/>
          <w:lang w:val="en-GB"/>
        </w:rPr>
      </w:pPr>
      <w:r w:rsidRPr="002364AB">
        <w:rPr>
          <w:kern w:val="22"/>
          <w:sz w:val="22"/>
          <w:lang w:val="en-GB"/>
        </w:rPr>
        <w:t xml:space="preserve">Table 1: </w:t>
      </w:r>
      <w:r w:rsidR="00516877" w:rsidRPr="002364AB">
        <w:rPr>
          <w:kern w:val="22"/>
          <w:sz w:val="22"/>
          <w:lang w:val="en-GB"/>
        </w:rPr>
        <w:t xml:space="preserve">Summary of </w:t>
      </w:r>
      <w:r w:rsidR="001E631E" w:rsidRPr="002364AB">
        <w:rPr>
          <w:kern w:val="22"/>
          <w:sz w:val="22"/>
          <w:lang w:val="en-GB"/>
        </w:rPr>
        <w:t>Specific Cases for Possible Consideration under Article 10</w:t>
      </w:r>
    </w:p>
    <w:tbl>
      <w:tblPr>
        <w:tblStyle w:val="GridTable1Light"/>
        <w:tblW w:w="9360" w:type="dxa"/>
        <w:tblLayout w:type="fixed"/>
        <w:tblLook w:val="06A0" w:firstRow="1" w:lastRow="0" w:firstColumn="1" w:lastColumn="0" w:noHBand="1" w:noVBand="1"/>
      </w:tblPr>
      <w:tblGrid>
        <w:gridCol w:w="2340"/>
        <w:gridCol w:w="2340"/>
        <w:gridCol w:w="2340"/>
        <w:gridCol w:w="2340"/>
      </w:tblGrid>
      <w:tr w:rsidR="6873B90E" w:rsidRPr="002364AB" w14:paraId="026CBF93" w14:textId="77777777" w:rsidTr="00F4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13834D66" w14:textId="10AC067E" w:rsidR="6873B90E" w:rsidRPr="002364AB" w:rsidRDefault="6873B90E" w:rsidP="00F43F79">
            <w:pPr>
              <w:spacing w:before="40" w:after="4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Broad Groups</w:t>
            </w:r>
          </w:p>
        </w:tc>
        <w:tc>
          <w:tcPr>
            <w:tcW w:w="0" w:type="dxa"/>
            <w:shd w:val="clear" w:color="auto" w:fill="BFBFBF" w:themeFill="background1" w:themeFillShade="BF"/>
          </w:tcPr>
          <w:p w14:paraId="4CD78CB2" w14:textId="2522746C" w:rsidR="6873B90E" w:rsidRPr="002364AB" w:rsidRDefault="6873B90E"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sidRPr="002364AB">
              <w:rPr>
                <w:rFonts w:eastAsia="Times New Roman" w:cs="Times New Roman"/>
                <w:b w:val="0"/>
                <w:color w:val="000000" w:themeColor="text1"/>
                <w:kern w:val="22"/>
                <w:sz w:val="20"/>
                <w:szCs w:val="20"/>
                <w:lang w:val="en-GB"/>
              </w:rPr>
              <w:t>Subgroups</w:t>
            </w:r>
          </w:p>
        </w:tc>
        <w:tc>
          <w:tcPr>
            <w:tcW w:w="0" w:type="dxa"/>
            <w:shd w:val="clear" w:color="auto" w:fill="BFBFBF" w:themeFill="background1" w:themeFillShade="BF"/>
          </w:tcPr>
          <w:p w14:paraId="5C50B4CD" w14:textId="42354864" w:rsidR="6873B90E" w:rsidRPr="002364AB" w:rsidRDefault="6873B90E"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sidRPr="002364AB">
              <w:rPr>
                <w:rFonts w:eastAsia="Times New Roman" w:cs="Times New Roman"/>
                <w:b w:val="0"/>
                <w:color w:val="000000" w:themeColor="text1"/>
                <w:kern w:val="22"/>
                <w:sz w:val="20"/>
                <w:szCs w:val="20"/>
                <w:lang w:val="en-GB"/>
              </w:rPr>
              <w:t>Examples</w:t>
            </w:r>
          </w:p>
        </w:tc>
        <w:tc>
          <w:tcPr>
            <w:tcW w:w="0" w:type="dxa"/>
            <w:shd w:val="clear" w:color="auto" w:fill="BFBFBF" w:themeFill="background1" w:themeFillShade="BF"/>
          </w:tcPr>
          <w:p w14:paraId="3187B024" w14:textId="3F0A1CCA" w:rsidR="6873B90E" w:rsidRPr="002364AB" w:rsidRDefault="6873B90E" w:rsidP="00F43F79">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sidRPr="002364AB">
              <w:rPr>
                <w:rFonts w:eastAsia="Times New Roman" w:cs="Times New Roman"/>
                <w:b w:val="0"/>
                <w:color w:val="000000" w:themeColor="text1"/>
                <w:kern w:val="22"/>
                <w:sz w:val="20"/>
                <w:szCs w:val="20"/>
                <w:lang w:val="en-GB"/>
              </w:rPr>
              <w:t>Considerations</w:t>
            </w:r>
          </w:p>
        </w:tc>
      </w:tr>
      <w:tr w:rsidR="6873B90E" w:rsidRPr="002364AB" w14:paraId="7A8D3E40" w14:textId="77777777" w:rsidTr="00F43F79">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412ACFAC" w14:textId="547A6CC9" w:rsidR="6873B90E" w:rsidRPr="002364AB" w:rsidRDefault="35733B0B" w:rsidP="00F43F79">
            <w:pPr>
              <w:spacing w:before="40" w:after="40"/>
              <w:jc w:val="left"/>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Genetic resources occurring in transboundary situations</w:t>
            </w:r>
          </w:p>
          <w:p w14:paraId="70B17D3A" w14:textId="169E4631" w:rsidR="6873B90E" w:rsidRPr="002364AB" w:rsidRDefault="6873B90E" w:rsidP="00F43F79">
            <w:pPr>
              <w:spacing w:before="40" w:after="40"/>
              <w:rPr>
                <w:rFonts w:eastAsia="Times New Roman" w:cs="Times New Roman"/>
                <w:color w:val="000000" w:themeColor="text1"/>
                <w:kern w:val="22"/>
                <w:sz w:val="20"/>
                <w:szCs w:val="20"/>
                <w:lang w:val="en-GB"/>
              </w:rPr>
            </w:pPr>
          </w:p>
        </w:tc>
        <w:tc>
          <w:tcPr>
            <w:tcW w:w="0" w:type="dxa"/>
          </w:tcPr>
          <w:p w14:paraId="37E0EA00" w14:textId="4E5C7AC7" w:rsidR="6873B90E" w:rsidRPr="002364AB"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(a) Shared </w:t>
            </w:r>
            <w:r w:rsidR="00356397" w:rsidRPr="002364AB">
              <w:rPr>
                <w:rFonts w:eastAsia="Times New Roman" w:cs="Times New Roman"/>
                <w:color w:val="000000" w:themeColor="text1"/>
                <w:kern w:val="22"/>
                <w:sz w:val="20"/>
                <w:szCs w:val="20"/>
                <w:lang w:val="en-GB"/>
              </w:rPr>
              <w:t xml:space="preserve">ecosystems and </w:t>
            </w:r>
            <w:r w:rsidR="00DE459E" w:rsidRPr="002364AB">
              <w:rPr>
                <w:rFonts w:eastAsia="Times New Roman" w:cs="Times New Roman"/>
                <w:color w:val="000000" w:themeColor="text1"/>
                <w:kern w:val="22"/>
                <w:sz w:val="20"/>
                <w:szCs w:val="20"/>
                <w:lang w:val="en-GB"/>
              </w:rPr>
              <w:t>habitat</w:t>
            </w:r>
            <w:r w:rsidRPr="002364AB">
              <w:rPr>
                <w:rFonts w:eastAsia="Times New Roman" w:cs="Times New Roman"/>
                <w:color w:val="000000" w:themeColor="text1"/>
                <w:kern w:val="22"/>
                <w:sz w:val="20"/>
                <w:szCs w:val="20"/>
                <w:lang w:val="en-GB"/>
              </w:rPr>
              <w:t>s/</w:t>
            </w:r>
            <w:r w:rsidR="00CC67FE" w:rsidRPr="002364AB">
              <w:rPr>
                <w:rFonts w:eastAsia="Times New Roman" w:cs="Times New Roman"/>
                <w:color w:val="000000" w:themeColor="text1"/>
                <w:kern w:val="22"/>
                <w:sz w:val="20"/>
                <w:szCs w:val="20"/>
                <w:lang w:val="en-GB"/>
              </w:rPr>
              <w:t>species</w:t>
            </w:r>
            <w:r w:rsidRPr="002364AB">
              <w:rPr>
                <w:rFonts w:eastAsia="Times New Roman" w:cs="Times New Roman"/>
                <w:color w:val="000000" w:themeColor="text1"/>
                <w:kern w:val="22"/>
                <w:sz w:val="20"/>
                <w:szCs w:val="20"/>
                <w:lang w:val="en-GB"/>
              </w:rPr>
              <w:t xml:space="preserve"> distributed across national boundaries</w:t>
            </w:r>
          </w:p>
        </w:tc>
        <w:tc>
          <w:tcPr>
            <w:tcW w:w="0" w:type="dxa"/>
          </w:tcPr>
          <w:p w14:paraId="473086D1" w14:textId="20C29BCB" w:rsidR="6873B90E" w:rsidRPr="002364AB" w:rsidRDefault="00A3113A"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Species</w:t>
            </w:r>
            <w:r w:rsidR="00E2610D" w:rsidRPr="002364AB">
              <w:rPr>
                <w:rFonts w:eastAsia="Times New Roman" w:cs="Times New Roman"/>
                <w:color w:val="000000" w:themeColor="text1"/>
                <w:kern w:val="22"/>
                <w:sz w:val="20"/>
                <w:szCs w:val="20"/>
                <w:lang w:val="en-GB"/>
              </w:rPr>
              <w:t xml:space="preserve"> present</w:t>
            </w:r>
            <w:r w:rsidR="16208E17" w:rsidRPr="002364AB">
              <w:rPr>
                <w:rFonts w:eastAsia="Times New Roman" w:cs="Times New Roman"/>
                <w:color w:val="000000" w:themeColor="text1"/>
                <w:kern w:val="22"/>
                <w:sz w:val="20"/>
                <w:szCs w:val="20"/>
                <w:lang w:val="en-GB"/>
              </w:rPr>
              <w:t xml:space="preserve"> in </w:t>
            </w:r>
            <w:proofErr w:type="spellStart"/>
            <w:r w:rsidR="16208E17" w:rsidRPr="002364AB">
              <w:rPr>
                <w:rFonts w:eastAsia="Times New Roman" w:cs="Times New Roman"/>
                <w:color w:val="000000" w:themeColor="text1"/>
                <w:kern w:val="22"/>
                <w:sz w:val="20"/>
                <w:szCs w:val="20"/>
                <w:lang w:val="en-GB"/>
              </w:rPr>
              <w:t>neighboring</w:t>
            </w:r>
            <w:proofErr w:type="spellEnd"/>
            <w:r w:rsidR="16208E17" w:rsidRPr="002364AB">
              <w:rPr>
                <w:rFonts w:eastAsia="Times New Roman" w:cs="Times New Roman"/>
                <w:color w:val="000000" w:themeColor="text1"/>
                <w:kern w:val="22"/>
                <w:sz w:val="20"/>
                <w:szCs w:val="20"/>
                <w:lang w:val="en-GB"/>
              </w:rPr>
              <w:t xml:space="preserve"> countries (e.g., </w:t>
            </w:r>
            <w:proofErr w:type="spellStart"/>
            <w:r w:rsidR="16208E17" w:rsidRPr="002364AB">
              <w:rPr>
                <w:rFonts w:eastAsia="Times New Roman" w:cs="Times New Roman"/>
                <w:i/>
                <w:iCs/>
                <w:color w:val="000000" w:themeColor="text1"/>
                <w:kern w:val="22"/>
                <w:sz w:val="20"/>
                <w:szCs w:val="20"/>
                <w:lang w:val="en-GB"/>
              </w:rPr>
              <w:t>Pentas</w:t>
            </w:r>
            <w:proofErr w:type="spellEnd"/>
            <w:r w:rsidR="16208E17" w:rsidRPr="002364AB">
              <w:rPr>
                <w:rFonts w:eastAsia="Times New Roman" w:cs="Times New Roman"/>
                <w:i/>
                <w:iCs/>
                <w:color w:val="000000" w:themeColor="text1"/>
                <w:kern w:val="22"/>
                <w:sz w:val="20"/>
                <w:szCs w:val="20"/>
                <w:lang w:val="en-GB"/>
              </w:rPr>
              <w:t xml:space="preserve"> </w:t>
            </w:r>
            <w:proofErr w:type="spellStart"/>
            <w:r w:rsidR="16208E17" w:rsidRPr="002364AB">
              <w:rPr>
                <w:rFonts w:eastAsia="Times New Roman" w:cs="Times New Roman"/>
                <w:i/>
                <w:iCs/>
                <w:color w:val="000000" w:themeColor="text1"/>
                <w:kern w:val="22"/>
                <w:sz w:val="20"/>
                <w:szCs w:val="20"/>
                <w:lang w:val="en-GB"/>
              </w:rPr>
              <w:t>longiflora</w:t>
            </w:r>
            <w:proofErr w:type="spellEnd"/>
            <w:r w:rsidR="16208E17" w:rsidRPr="002364AB">
              <w:rPr>
                <w:rFonts w:eastAsia="Times New Roman" w:cs="Times New Roman"/>
                <w:color w:val="000000" w:themeColor="text1"/>
                <w:kern w:val="22"/>
                <w:sz w:val="20"/>
                <w:szCs w:val="20"/>
                <w:lang w:val="en-GB"/>
              </w:rPr>
              <w:t xml:space="preserve">), across a range of countries (e.g., </w:t>
            </w:r>
            <w:proofErr w:type="spellStart"/>
            <w:r w:rsidR="16208E17" w:rsidRPr="002364AB">
              <w:rPr>
                <w:rFonts w:eastAsia="Times New Roman" w:cs="Times New Roman"/>
                <w:i/>
                <w:iCs/>
                <w:color w:val="000000" w:themeColor="text1"/>
                <w:kern w:val="22"/>
                <w:sz w:val="20"/>
                <w:szCs w:val="20"/>
                <w:lang w:val="en-GB"/>
              </w:rPr>
              <w:t>Heliotropium</w:t>
            </w:r>
            <w:proofErr w:type="spellEnd"/>
            <w:r w:rsidR="16208E17" w:rsidRPr="002364AB">
              <w:rPr>
                <w:rFonts w:eastAsia="Times New Roman" w:cs="Times New Roman"/>
                <w:i/>
                <w:iCs/>
                <w:color w:val="000000" w:themeColor="text1"/>
                <w:kern w:val="22"/>
                <w:sz w:val="20"/>
                <w:szCs w:val="20"/>
                <w:lang w:val="en-GB"/>
              </w:rPr>
              <w:t xml:space="preserve"> </w:t>
            </w:r>
            <w:proofErr w:type="spellStart"/>
            <w:r w:rsidR="16208E17" w:rsidRPr="002364AB">
              <w:rPr>
                <w:rFonts w:eastAsia="Times New Roman" w:cs="Times New Roman"/>
                <w:i/>
                <w:iCs/>
                <w:color w:val="000000" w:themeColor="text1"/>
                <w:kern w:val="22"/>
                <w:sz w:val="20"/>
                <w:szCs w:val="20"/>
                <w:lang w:val="en-GB"/>
              </w:rPr>
              <w:t>foertherianum</w:t>
            </w:r>
            <w:proofErr w:type="spellEnd"/>
            <w:r w:rsidR="16208E17" w:rsidRPr="002364AB">
              <w:rPr>
                <w:rFonts w:eastAsia="Times New Roman" w:cs="Times New Roman"/>
                <w:color w:val="000000" w:themeColor="text1"/>
                <w:kern w:val="22"/>
                <w:sz w:val="20"/>
                <w:szCs w:val="20"/>
                <w:lang w:val="en-GB"/>
              </w:rPr>
              <w:t xml:space="preserve">), or on different continents (e.g., </w:t>
            </w:r>
            <w:proofErr w:type="spellStart"/>
            <w:r w:rsidR="16208E17" w:rsidRPr="002364AB">
              <w:rPr>
                <w:rFonts w:eastAsia="Times New Roman" w:cs="Times New Roman"/>
                <w:i/>
                <w:iCs/>
                <w:color w:val="000000" w:themeColor="text1"/>
                <w:kern w:val="22"/>
                <w:sz w:val="20"/>
                <w:szCs w:val="20"/>
                <w:lang w:val="en-GB"/>
              </w:rPr>
              <w:t>Cathranthus</w:t>
            </w:r>
            <w:proofErr w:type="spellEnd"/>
            <w:r w:rsidR="16208E17" w:rsidRPr="002364AB">
              <w:rPr>
                <w:rFonts w:eastAsia="Times New Roman" w:cs="Times New Roman"/>
                <w:i/>
                <w:iCs/>
                <w:color w:val="000000" w:themeColor="text1"/>
                <w:kern w:val="22"/>
                <w:sz w:val="20"/>
                <w:szCs w:val="20"/>
                <w:lang w:val="en-GB"/>
              </w:rPr>
              <w:t xml:space="preserve"> roseus</w:t>
            </w:r>
            <w:r w:rsidR="16208E17" w:rsidRPr="002364AB">
              <w:rPr>
                <w:rFonts w:eastAsia="Times New Roman" w:cs="Times New Roman"/>
                <w:color w:val="000000" w:themeColor="text1"/>
                <w:kern w:val="22"/>
                <w:sz w:val="20"/>
                <w:szCs w:val="20"/>
                <w:lang w:val="en-GB"/>
              </w:rPr>
              <w:t xml:space="preserve">). </w:t>
            </w:r>
          </w:p>
        </w:tc>
        <w:tc>
          <w:tcPr>
            <w:tcW w:w="0" w:type="dxa"/>
            <w:vMerge w:val="restart"/>
          </w:tcPr>
          <w:p w14:paraId="578A62E0" w14:textId="24C7A47C" w:rsidR="6873B90E" w:rsidRPr="002364AB" w:rsidRDefault="00CB6BE1"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There is not agreement that </w:t>
            </w:r>
            <w:proofErr w:type="gramStart"/>
            <w:r w:rsidRPr="002364AB">
              <w:rPr>
                <w:rFonts w:eastAsia="Times New Roman" w:cs="Times New Roman"/>
                <w:color w:val="000000" w:themeColor="text1"/>
                <w:kern w:val="22"/>
                <w:sz w:val="20"/>
                <w:szCs w:val="20"/>
                <w:lang w:val="en-GB"/>
              </w:rPr>
              <w:t>all of</w:t>
            </w:r>
            <w:proofErr w:type="gramEnd"/>
            <w:r w:rsidRPr="002364AB">
              <w:rPr>
                <w:rFonts w:eastAsia="Times New Roman" w:cs="Times New Roman"/>
                <w:color w:val="000000" w:themeColor="text1"/>
                <w:kern w:val="22"/>
                <w:sz w:val="20"/>
                <w:szCs w:val="20"/>
                <w:lang w:val="en-GB"/>
              </w:rPr>
              <w:t xml:space="preserve"> these situations involve a benefit-sharing obligation.  As such, some of these types of transboundary cases could be addressed in the context of Article 10, some under Article 11, or some </w:t>
            </w:r>
            <w:r w:rsidR="00577A7D" w:rsidRPr="002364AB">
              <w:rPr>
                <w:rFonts w:eastAsia="Times New Roman" w:cs="Times New Roman"/>
                <w:color w:val="000000" w:themeColor="text1"/>
                <w:kern w:val="22"/>
                <w:sz w:val="20"/>
                <w:szCs w:val="20"/>
                <w:lang w:val="en-GB"/>
              </w:rPr>
              <w:t xml:space="preserve">could </w:t>
            </w:r>
            <w:r w:rsidRPr="002364AB">
              <w:rPr>
                <w:rFonts w:eastAsia="Times New Roman" w:cs="Times New Roman"/>
                <w:color w:val="000000" w:themeColor="text1"/>
                <w:kern w:val="22"/>
                <w:sz w:val="20"/>
                <w:szCs w:val="20"/>
                <w:lang w:val="en-GB"/>
              </w:rPr>
              <w:t>be completely excluded from consideration in the context of the Protocol</w:t>
            </w:r>
            <w:r w:rsidR="00473377" w:rsidRPr="002364AB">
              <w:rPr>
                <w:rFonts w:eastAsia="Times New Roman" w:cs="Times New Roman"/>
                <w:color w:val="000000" w:themeColor="text1"/>
                <w:kern w:val="22"/>
                <w:sz w:val="20"/>
                <w:szCs w:val="20"/>
                <w:lang w:val="en-GB"/>
              </w:rPr>
              <w:t>.</w:t>
            </w:r>
          </w:p>
        </w:tc>
      </w:tr>
      <w:tr w:rsidR="6873B90E" w:rsidRPr="002364AB" w14:paraId="5883E44C"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70F889F" w14:textId="77777777" w:rsidR="002D26CC" w:rsidRPr="002364AB" w:rsidRDefault="002D26CC" w:rsidP="00F43F79">
            <w:pPr>
              <w:spacing w:before="40" w:after="40"/>
              <w:rPr>
                <w:kern w:val="22"/>
                <w:sz w:val="20"/>
                <w:szCs w:val="20"/>
                <w:lang w:val="en-GB"/>
              </w:rPr>
            </w:pPr>
          </w:p>
        </w:tc>
        <w:tc>
          <w:tcPr>
            <w:tcW w:w="0" w:type="dxa"/>
          </w:tcPr>
          <w:p w14:paraId="672572B2" w14:textId="23EFEB2F"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(b) Migratory species which transit through different jurisdictions</w:t>
            </w:r>
          </w:p>
          <w:p w14:paraId="1204E36F" w14:textId="63598310"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c>
          <w:tcPr>
            <w:tcW w:w="0" w:type="dxa"/>
          </w:tcPr>
          <w:p w14:paraId="2BEC7464" w14:textId="0C11BA2F" w:rsidR="6873B90E" w:rsidRPr="002364AB" w:rsidRDefault="6873B90E"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Migratory species </w:t>
            </w:r>
            <w:r w:rsidR="006C6A67" w:rsidRPr="002364AB">
              <w:rPr>
                <w:rFonts w:eastAsia="Times New Roman" w:cs="Times New Roman"/>
                <w:color w:val="000000" w:themeColor="text1"/>
                <w:kern w:val="22"/>
                <w:sz w:val="20"/>
                <w:szCs w:val="20"/>
                <w:lang w:val="en-GB"/>
              </w:rPr>
              <w:t>occurring in</w:t>
            </w:r>
            <w:r w:rsidRPr="002364AB">
              <w:rPr>
                <w:rFonts w:eastAsia="Times New Roman" w:cs="Times New Roman"/>
                <w:color w:val="000000" w:themeColor="text1"/>
                <w:kern w:val="22"/>
                <w:sz w:val="20"/>
                <w:szCs w:val="20"/>
                <w:lang w:val="en-GB"/>
              </w:rPr>
              <w:t xml:space="preserve"> several countries (e.g., the European eel (</w:t>
            </w:r>
            <w:r w:rsidRPr="002364AB">
              <w:rPr>
                <w:rFonts w:eastAsia="Times New Roman" w:cs="Times New Roman"/>
                <w:i/>
                <w:iCs/>
                <w:color w:val="000000" w:themeColor="text1"/>
                <w:kern w:val="22"/>
                <w:sz w:val="20"/>
                <w:szCs w:val="20"/>
                <w:lang w:val="en-GB"/>
              </w:rPr>
              <w:t xml:space="preserve">Anguilla </w:t>
            </w:r>
            <w:proofErr w:type="spellStart"/>
            <w:r w:rsidRPr="002364AB">
              <w:rPr>
                <w:rFonts w:eastAsia="Times New Roman" w:cs="Times New Roman"/>
                <w:i/>
                <w:iCs/>
                <w:color w:val="000000" w:themeColor="text1"/>
                <w:kern w:val="22"/>
                <w:sz w:val="20"/>
                <w:szCs w:val="20"/>
                <w:lang w:val="en-GB"/>
              </w:rPr>
              <w:t>anguilla</w:t>
            </w:r>
            <w:proofErr w:type="spellEnd"/>
            <w:r w:rsidRPr="002364AB">
              <w:rPr>
                <w:rFonts w:eastAsia="Times New Roman" w:cs="Times New Roman"/>
                <w:color w:val="000000" w:themeColor="text1"/>
                <w:kern w:val="22"/>
                <w:sz w:val="20"/>
                <w:szCs w:val="20"/>
                <w:lang w:val="en-GB"/>
              </w:rPr>
              <w:t>), monarch butterfly (</w:t>
            </w:r>
            <w:r w:rsidRPr="002364AB">
              <w:rPr>
                <w:rFonts w:eastAsia="Times New Roman" w:cs="Times New Roman"/>
                <w:i/>
                <w:iCs/>
                <w:color w:val="000000" w:themeColor="text1"/>
                <w:kern w:val="22"/>
                <w:sz w:val="20"/>
                <w:szCs w:val="20"/>
                <w:lang w:val="en-GB"/>
              </w:rPr>
              <w:t xml:space="preserve">Danaus </w:t>
            </w:r>
            <w:proofErr w:type="spellStart"/>
            <w:r w:rsidRPr="002364AB">
              <w:rPr>
                <w:rFonts w:eastAsia="Times New Roman" w:cs="Times New Roman"/>
                <w:i/>
                <w:iCs/>
                <w:color w:val="000000" w:themeColor="text1"/>
                <w:kern w:val="22"/>
                <w:sz w:val="20"/>
                <w:szCs w:val="20"/>
                <w:lang w:val="en-GB"/>
              </w:rPr>
              <w:t>plexippus</w:t>
            </w:r>
            <w:proofErr w:type="spellEnd"/>
            <w:r w:rsidRPr="002364AB">
              <w:rPr>
                <w:rFonts w:eastAsia="Times New Roman" w:cs="Times New Roman"/>
                <w:color w:val="000000" w:themeColor="text1"/>
                <w:kern w:val="22"/>
                <w:sz w:val="20"/>
                <w:szCs w:val="20"/>
                <w:lang w:val="en-GB"/>
              </w:rPr>
              <w:t>), and mallard duck (</w:t>
            </w:r>
            <w:r w:rsidRPr="002364AB">
              <w:rPr>
                <w:rFonts w:eastAsia="Times New Roman" w:cs="Times New Roman"/>
                <w:i/>
                <w:iCs/>
                <w:color w:val="000000" w:themeColor="text1"/>
                <w:kern w:val="22"/>
                <w:sz w:val="20"/>
                <w:szCs w:val="20"/>
                <w:lang w:val="en-GB"/>
              </w:rPr>
              <w:t>Anas platyrhynchos</w:t>
            </w:r>
            <w:r w:rsidRPr="002364AB">
              <w:rPr>
                <w:rFonts w:eastAsia="Times New Roman" w:cs="Times New Roman"/>
                <w:color w:val="000000" w:themeColor="text1"/>
                <w:kern w:val="22"/>
                <w:sz w:val="20"/>
                <w:szCs w:val="20"/>
                <w:lang w:val="en-GB"/>
              </w:rPr>
              <w:t>)</w:t>
            </w:r>
            <w:r w:rsidR="00B5747F" w:rsidRPr="002364AB">
              <w:rPr>
                <w:rFonts w:eastAsia="Times New Roman" w:cs="Times New Roman"/>
                <w:color w:val="000000" w:themeColor="text1"/>
                <w:kern w:val="22"/>
                <w:sz w:val="20"/>
                <w:szCs w:val="20"/>
                <w:lang w:val="en-GB"/>
              </w:rPr>
              <w:t>)</w:t>
            </w:r>
            <w:r w:rsidRPr="002364AB">
              <w:rPr>
                <w:rFonts w:eastAsia="Times New Roman" w:cs="Times New Roman"/>
                <w:color w:val="000000" w:themeColor="text1"/>
                <w:kern w:val="22"/>
                <w:sz w:val="20"/>
                <w:szCs w:val="20"/>
                <w:lang w:val="en-GB"/>
              </w:rPr>
              <w:t>.</w:t>
            </w:r>
          </w:p>
        </w:tc>
        <w:tc>
          <w:tcPr>
            <w:tcW w:w="0" w:type="dxa"/>
            <w:vMerge/>
          </w:tcPr>
          <w:p w14:paraId="3D58E5FC" w14:textId="4F7161F2"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r w:rsidR="6873B90E" w:rsidRPr="002364AB" w14:paraId="7DBCAC69"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446B398" w14:textId="77777777" w:rsidR="002D26CC" w:rsidRPr="002364AB" w:rsidRDefault="002D26CC" w:rsidP="00F43F79">
            <w:pPr>
              <w:spacing w:before="40" w:after="40"/>
              <w:rPr>
                <w:kern w:val="22"/>
                <w:sz w:val="20"/>
                <w:szCs w:val="20"/>
                <w:lang w:val="en-GB"/>
              </w:rPr>
            </w:pPr>
          </w:p>
        </w:tc>
        <w:tc>
          <w:tcPr>
            <w:tcW w:w="0" w:type="dxa"/>
          </w:tcPr>
          <w:p w14:paraId="12571CB0" w14:textId="768C31E8"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(c) Areas beyond national jurisdiction</w:t>
            </w:r>
          </w:p>
        </w:tc>
        <w:tc>
          <w:tcPr>
            <w:tcW w:w="0" w:type="dxa"/>
          </w:tcPr>
          <w:p w14:paraId="76026C3E" w14:textId="229C304F" w:rsidR="6873B90E" w:rsidRPr="002364AB" w:rsidRDefault="0066165B"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i</w:t>
            </w:r>
            <w:r w:rsidR="00EC454B" w:rsidRPr="002364AB">
              <w:rPr>
                <w:rFonts w:eastAsia="Times New Roman" w:cs="Times New Roman"/>
                <w:color w:val="000000" w:themeColor="text1"/>
                <w:kern w:val="22"/>
                <w:sz w:val="20"/>
                <w:szCs w:val="20"/>
                <w:lang w:val="en-GB"/>
              </w:rPr>
              <w:t>.e.</w:t>
            </w:r>
            <w:r w:rsidR="00F92ADB" w:rsidRPr="002364AB">
              <w:rPr>
                <w:rFonts w:eastAsia="Times New Roman" w:cs="Times New Roman"/>
                <w:color w:val="000000" w:themeColor="text1"/>
                <w:kern w:val="22"/>
                <w:sz w:val="20"/>
                <w:szCs w:val="20"/>
                <w:lang w:val="en-GB"/>
              </w:rPr>
              <w:t xml:space="preserve"> </w:t>
            </w:r>
            <w:r w:rsidR="00F9515F" w:rsidRPr="002364AB">
              <w:rPr>
                <w:rFonts w:eastAsia="Times New Roman" w:cs="Times New Roman"/>
                <w:color w:val="000000" w:themeColor="text1"/>
                <w:kern w:val="22"/>
                <w:sz w:val="20"/>
                <w:szCs w:val="20"/>
                <w:lang w:val="en-GB"/>
              </w:rPr>
              <w:t xml:space="preserve">‘straddling’ resources </w:t>
            </w:r>
            <w:r w:rsidR="005749B7" w:rsidRPr="002364AB">
              <w:rPr>
                <w:rFonts w:eastAsia="Times New Roman" w:cs="Times New Roman"/>
                <w:color w:val="000000" w:themeColor="text1"/>
                <w:kern w:val="22"/>
                <w:sz w:val="20"/>
                <w:szCs w:val="20"/>
                <w:lang w:val="en-GB"/>
              </w:rPr>
              <w:t xml:space="preserve">that occur in, or transit between, the </w:t>
            </w:r>
            <w:r w:rsidR="6873B90E" w:rsidRPr="002364AB">
              <w:rPr>
                <w:rFonts w:eastAsia="Times New Roman" w:cs="Times New Roman"/>
                <w:color w:val="000000" w:themeColor="text1"/>
                <w:kern w:val="22"/>
                <w:sz w:val="20"/>
                <w:szCs w:val="20"/>
                <w:lang w:val="en-GB"/>
              </w:rPr>
              <w:t>high seas</w:t>
            </w:r>
            <w:r w:rsidR="005749B7" w:rsidRPr="002364AB">
              <w:rPr>
                <w:rFonts w:eastAsia="Times New Roman" w:cs="Times New Roman"/>
                <w:color w:val="000000" w:themeColor="text1"/>
                <w:kern w:val="22"/>
                <w:sz w:val="20"/>
                <w:szCs w:val="20"/>
                <w:lang w:val="en-GB"/>
              </w:rPr>
              <w:t xml:space="preserve"> and </w:t>
            </w:r>
            <w:r w:rsidR="00BA0A20" w:rsidRPr="002364AB">
              <w:rPr>
                <w:rFonts w:eastAsia="Times New Roman" w:cs="Times New Roman"/>
                <w:color w:val="000000" w:themeColor="text1"/>
                <w:kern w:val="22"/>
                <w:sz w:val="20"/>
                <w:szCs w:val="20"/>
                <w:lang w:val="en-GB"/>
              </w:rPr>
              <w:t xml:space="preserve">areas subject to </w:t>
            </w:r>
            <w:r w:rsidR="005749B7" w:rsidRPr="002364AB">
              <w:rPr>
                <w:rFonts w:eastAsia="Times New Roman" w:cs="Times New Roman"/>
                <w:color w:val="000000" w:themeColor="text1"/>
                <w:kern w:val="22"/>
                <w:sz w:val="20"/>
                <w:szCs w:val="20"/>
                <w:lang w:val="en-GB"/>
              </w:rPr>
              <w:t>national jurisdiction</w:t>
            </w:r>
            <w:r w:rsidR="6873B90E" w:rsidRPr="002364AB">
              <w:rPr>
                <w:rFonts w:eastAsia="Times New Roman" w:cs="Times New Roman"/>
                <w:color w:val="000000" w:themeColor="text1"/>
                <w:kern w:val="22"/>
                <w:sz w:val="20"/>
                <w:szCs w:val="20"/>
                <w:lang w:val="en-GB"/>
              </w:rPr>
              <w:t>.</w:t>
            </w:r>
          </w:p>
        </w:tc>
        <w:tc>
          <w:tcPr>
            <w:tcW w:w="0" w:type="dxa"/>
            <w:vMerge/>
          </w:tcPr>
          <w:p w14:paraId="655C62A2" w14:textId="32B1CC59"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r w:rsidR="6873B90E" w:rsidRPr="002364AB" w14:paraId="6563BCD0"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6932084D" w14:textId="2BE17A06" w:rsidR="6873B90E" w:rsidRPr="002364AB" w:rsidRDefault="35733B0B" w:rsidP="00F43F79">
            <w:pPr>
              <w:spacing w:before="40" w:after="40"/>
              <w:jc w:val="left"/>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Genetic resources for which it is not possible to grant or obtain prior informed consent</w:t>
            </w:r>
          </w:p>
        </w:tc>
        <w:tc>
          <w:tcPr>
            <w:tcW w:w="0" w:type="dxa"/>
          </w:tcPr>
          <w:p w14:paraId="623E9C21" w14:textId="6EF83FCF"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(a) Genetic resources of untraceable </w:t>
            </w:r>
            <w:r w:rsidR="005613D6" w:rsidRPr="002364AB">
              <w:rPr>
                <w:rFonts w:eastAsia="Times New Roman" w:cs="Times New Roman"/>
                <w:color w:val="000000" w:themeColor="text1"/>
                <w:kern w:val="22"/>
                <w:sz w:val="20"/>
                <w:szCs w:val="20"/>
                <w:lang w:val="en-GB"/>
              </w:rPr>
              <w:t>provenance</w:t>
            </w:r>
            <w:r w:rsidRPr="002364AB">
              <w:rPr>
                <w:rFonts w:eastAsia="Times New Roman" w:cs="Times New Roman"/>
                <w:color w:val="000000" w:themeColor="text1"/>
                <w:kern w:val="22"/>
                <w:sz w:val="20"/>
                <w:szCs w:val="20"/>
                <w:lang w:val="en-GB"/>
              </w:rPr>
              <w:t xml:space="preserve"> in </w:t>
            </w:r>
            <w:r w:rsidRPr="002364AB">
              <w:rPr>
                <w:rFonts w:eastAsia="Times New Roman" w:cs="Times New Roman"/>
                <w:i/>
                <w:iCs/>
                <w:color w:val="000000" w:themeColor="text1"/>
                <w:kern w:val="22"/>
                <w:sz w:val="20"/>
                <w:szCs w:val="20"/>
                <w:lang w:val="en-GB"/>
              </w:rPr>
              <w:t>ex situ</w:t>
            </w:r>
            <w:r w:rsidRPr="002364AB">
              <w:rPr>
                <w:rFonts w:eastAsia="Times New Roman" w:cs="Times New Roman"/>
                <w:color w:val="000000" w:themeColor="text1"/>
                <w:kern w:val="22"/>
                <w:sz w:val="20"/>
                <w:szCs w:val="20"/>
                <w:lang w:val="en-GB"/>
              </w:rPr>
              <w:t xml:space="preserve"> collections</w:t>
            </w:r>
          </w:p>
          <w:p w14:paraId="6A439248" w14:textId="211D0066"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p w14:paraId="25067576" w14:textId="48A1AA02"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p w14:paraId="6F089807" w14:textId="1AE53368"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p w14:paraId="0F9A50D7" w14:textId="0DC85292"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p w14:paraId="251AF363" w14:textId="69FF8C6D"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p w14:paraId="31AEF625" w14:textId="0FA29656"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 </w:t>
            </w:r>
          </w:p>
        </w:tc>
        <w:tc>
          <w:tcPr>
            <w:tcW w:w="0" w:type="dxa"/>
          </w:tcPr>
          <w:p w14:paraId="1E005B01" w14:textId="1C49E397" w:rsidR="6873B90E" w:rsidRPr="002364AB"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Genetic resources from botanical gardens (e.g., The Royal Botanic Gardens, Kew), herbaria (e.g., </w:t>
            </w:r>
            <w:proofErr w:type="spellStart"/>
            <w:r w:rsidRPr="002364AB">
              <w:rPr>
                <w:rFonts w:eastAsia="Times New Roman" w:cs="Times New Roman"/>
                <w:color w:val="000000" w:themeColor="text1"/>
                <w:kern w:val="22"/>
                <w:sz w:val="20"/>
                <w:szCs w:val="20"/>
                <w:lang w:val="en-GB"/>
              </w:rPr>
              <w:t>Muséum</w:t>
            </w:r>
            <w:proofErr w:type="spellEnd"/>
            <w:r w:rsidRPr="002364AB">
              <w:rPr>
                <w:rFonts w:eastAsia="Times New Roman" w:cs="Times New Roman"/>
                <w:color w:val="000000" w:themeColor="text1"/>
                <w:kern w:val="22"/>
                <w:sz w:val="20"/>
                <w:szCs w:val="20"/>
                <w:lang w:val="en-GB"/>
              </w:rPr>
              <w:t xml:space="preserve"> National </w:t>
            </w:r>
            <w:proofErr w:type="spellStart"/>
            <w:r w:rsidRPr="002364AB">
              <w:rPr>
                <w:rFonts w:eastAsia="Times New Roman" w:cs="Times New Roman"/>
                <w:color w:val="000000" w:themeColor="text1"/>
                <w:kern w:val="22"/>
                <w:sz w:val="20"/>
                <w:szCs w:val="20"/>
                <w:lang w:val="en-GB"/>
              </w:rPr>
              <w:t>d’Histoire</w:t>
            </w:r>
            <w:proofErr w:type="spellEnd"/>
            <w:r w:rsidRPr="002364AB">
              <w:rPr>
                <w:rFonts w:eastAsia="Times New Roman" w:cs="Times New Roman"/>
                <w:color w:val="000000" w:themeColor="text1"/>
                <w:kern w:val="22"/>
                <w:sz w:val="20"/>
                <w:szCs w:val="20"/>
                <w:lang w:val="en-GB"/>
              </w:rPr>
              <w:t xml:space="preserve"> Naturelle botany collections), culture collections (e.g., World Federation for Culture Collections microorganism, plasmid, and cDNA collections), gene banks, seed banks, zoos, aquaria, and private collections.</w:t>
            </w:r>
          </w:p>
        </w:tc>
        <w:tc>
          <w:tcPr>
            <w:tcW w:w="0" w:type="dxa"/>
            <w:vMerge w:val="restart"/>
          </w:tcPr>
          <w:p w14:paraId="3B0AF618" w14:textId="4D150C58" w:rsidR="6873B90E" w:rsidRPr="002364AB" w:rsidRDefault="0070237C"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Parties are not in agreement on whether or to what extent DSI </w:t>
            </w:r>
            <w:r w:rsidR="00053AA9" w:rsidRPr="002364AB">
              <w:rPr>
                <w:rFonts w:eastAsia="Times New Roman" w:cs="Times New Roman"/>
                <w:color w:val="000000" w:themeColor="text1"/>
                <w:kern w:val="22"/>
                <w:sz w:val="20"/>
                <w:szCs w:val="20"/>
                <w:lang w:val="en-GB"/>
              </w:rPr>
              <w:t xml:space="preserve">and material in </w:t>
            </w:r>
            <w:r w:rsidR="00053AA9" w:rsidRPr="002364AB">
              <w:rPr>
                <w:rFonts w:eastAsia="Times New Roman" w:cs="Times New Roman"/>
                <w:i/>
                <w:color w:val="000000" w:themeColor="text1"/>
                <w:kern w:val="22"/>
                <w:sz w:val="20"/>
                <w:szCs w:val="20"/>
                <w:lang w:val="en-GB"/>
              </w:rPr>
              <w:t>ex situ collections</w:t>
            </w:r>
            <w:r w:rsidRPr="002364AB">
              <w:rPr>
                <w:rFonts w:eastAsia="Times New Roman" w:cs="Times New Roman"/>
                <w:color w:val="000000" w:themeColor="text1"/>
                <w:kern w:val="22"/>
                <w:sz w:val="20"/>
                <w:szCs w:val="20"/>
                <w:lang w:val="en-GB"/>
              </w:rPr>
              <w:t xml:space="preserve"> is within the scope of the Protocol.  In </w:t>
            </w:r>
            <w:r w:rsidR="00053AA9" w:rsidRPr="002364AB">
              <w:rPr>
                <w:rFonts w:eastAsia="Times New Roman" w:cs="Times New Roman"/>
                <w:color w:val="000000" w:themeColor="text1"/>
                <w:kern w:val="22"/>
                <w:sz w:val="20"/>
                <w:szCs w:val="20"/>
                <w:lang w:val="en-GB"/>
              </w:rPr>
              <w:t>some of</w:t>
            </w:r>
            <w:r w:rsidRPr="002364AB">
              <w:rPr>
                <w:rFonts w:eastAsia="Times New Roman" w:cs="Times New Roman"/>
                <w:color w:val="000000" w:themeColor="text1"/>
                <w:kern w:val="22"/>
                <w:sz w:val="20"/>
                <w:szCs w:val="20"/>
                <w:lang w:val="en-GB"/>
              </w:rPr>
              <w:t xml:space="preserve"> the examples, DSI from multiple, diverse organisms is being utilized, and if it is deemed to be within scope, </w:t>
            </w:r>
            <w:r w:rsidR="00B46836" w:rsidRPr="002364AB">
              <w:rPr>
                <w:rFonts w:eastAsia="Times New Roman" w:cs="Times New Roman"/>
                <w:color w:val="000000" w:themeColor="text1"/>
                <w:kern w:val="22"/>
                <w:sz w:val="20"/>
                <w:szCs w:val="20"/>
                <w:lang w:val="en-GB"/>
              </w:rPr>
              <w:t xml:space="preserve">some </w:t>
            </w:r>
            <w:r w:rsidRPr="002364AB">
              <w:rPr>
                <w:rFonts w:eastAsia="Times New Roman" w:cs="Times New Roman"/>
                <w:color w:val="000000" w:themeColor="text1"/>
                <w:kern w:val="22"/>
                <w:sz w:val="20"/>
                <w:szCs w:val="20"/>
                <w:lang w:val="en-GB"/>
              </w:rPr>
              <w:t xml:space="preserve">users may need to negotiate MAT with multiple </w:t>
            </w:r>
            <w:r w:rsidR="00B46836" w:rsidRPr="002364AB">
              <w:rPr>
                <w:rFonts w:eastAsia="Times New Roman" w:cs="Times New Roman"/>
                <w:color w:val="000000" w:themeColor="text1"/>
                <w:kern w:val="22"/>
                <w:sz w:val="20"/>
                <w:szCs w:val="20"/>
                <w:lang w:val="en-GB"/>
              </w:rPr>
              <w:t>g</w:t>
            </w:r>
            <w:r w:rsidRPr="002364AB">
              <w:rPr>
                <w:rFonts w:eastAsia="Times New Roman" w:cs="Times New Roman"/>
                <w:color w:val="000000" w:themeColor="text1"/>
                <w:kern w:val="22"/>
                <w:sz w:val="20"/>
                <w:szCs w:val="20"/>
                <w:lang w:val="en-GB"/>
              </w:rPr>
              <w:t>overnments</w:t>
            </w:r>
            <w:r w:rsidR="00B46836" w:rsidRPr="002364AB">
              <w:rPr>
                <w:rFonts w:eastAsia="Times New Roman" w:cs="Times New Roman"/>
                <w:color w:val="000000" w:themeColor="text1"/>
                <w:kern w:val="22"/>
                <w:sz w:val="20"/>
                <w:szCs w:val="20"/>
                <w:lang w:val="en-GB"/>
              </w:rPr>
              <w:t xml:space="preserve"> and many users will not be individually identifiable or traceable. </w:t>
            </w:r>
          </w:p>
        </w:tc>
      </w:tr>
      <w:tr w:rsidR="6873B90E" w:rsidRPr="002364AB" w14:paraId="2E1C88F6"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1672D23" w14:textId="77777777" w:rsidR="002D26CC" w:rsidRPr="002364AB" w:rsidRDefault="002D26CC" w:rsidP="00F43F79">
            <w:pPr>
              <w:spacing w:before="40" w:after="40"/>
              <w:rPr>
                <w:kern w:val="22"/>
                <w:sz w:val="20"/>
                <w:szCs w:val="20"/>
                <w:lang w:val="en-GB"/>
              </w:rPr>
            </w:pPr>
          </w:p>
        </w:tc>
        <w:tc>
          <w:tcPr>
            <w:tcW w:w="0" w:type="dxa"/>
          </w:tcPr>
          <w:p w14:paraId="561B28CB" w14:textId="11428822"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(b) Utilization of samples from large numbers of geographically diverse organisms</w:t>
            </w:r>
          </w:p>
          <w:p w14:paraId="3D5BD3C2" w14:textId="5B3D0234" w:rsidR="6873B90E" w:rsidRPr="002364AB"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c>
          <w:tcPr>
            <w:tcW w:w="0" w:type="dxa"/>
          </w:tcPr>
          <w:p w14:paraId="0B70CF6C" w14:textId="0DFAB14C"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E.g., a patent claiming a method for screening plants and seeds from the genus </w:t>
            </w:r>
            <w:r w:rsidRPr="002364AB">
              <w:rPr>
                <w:rFonts w:eastAsia="Times New Roman" w:cs="Times New Roman"/>
                <w:i/>
                <w:iCs/>
                <w:color w:val="000000" w:themeColor="text1"/>
                <w:kern w:val="22"/>
                <w:sz w:val="20"/>
                <w:szCs w:val="20"/>
                <w:lang w:val="en-GB"/>
              </w:rPr>
              <w:t xml:space="preserve">Glycine </w:t>
            </w:r>
            <w:r w:rsidRPr="002364AB">
              <w:rPr>
                <w:rFonts w:eastAsia="Times New Roman" w:cs="Times New Roman"/>
                <w:color w:val="000000" w:themeColor="text1"/>
                <w:kern w:val="22"/>
                <w:sz w:val="20"/>
                <w:szCs w:val="20"/>
                <w:lang w:val="en-GB"/>
              </w:rPr>
              <w:t>(soy) for traits relating to maturity and plant growth, based on the utilization of over 250 distinct soybean lines. The lines include wild and cultivated species from Australia and Asia, but the patent does not disclose how or where the specimens were obtained.</w:t>
            </w:r>
          </w:p>
        </w:tc>
        <w:tc>
          <w:tcPr>
            <w:tcW w:w="0" w:type="dxa"/>
            <w:vMerge/>
          </w:tcPr>
          <w:p w14:paraId="0CCA2F31" w14:textId="10E84D0F"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r w:rsidR="6873B90E" w:rsidRPr="002364AB" w14:paraId="72734C61"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56868E7F" w14:textId="77777777" w:rsidR="002D26CC" w:rsidRPr="002364AB" w:rsidRDefault="002D26CC" w:rsidP="00F43F79">
            <w:pPr>
              <w:spacing w:before="40" w:after="40"/>
              <w:rPr>
                <w:kern w:val="22"/>
                <w:sz w:val="20"/>
                <w:szCs w:val="20"/>
                <w:lang w:val="en-GB"/>
              </w:rPr>
            </w:pPr>
          </w:p>
        </w:tc>
        <w:tc>
          <w:tcPr>
            <w:tcW w:w="0" w:type="dxa"/>
          </w:tcPr>
          <w:p w14:paraId="183082A1" w14:textId="58DBC9A1"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(c) Cases involving the use of “digital sequence information” </w:t>
            </w:r>
            <w:r w:rsidR="00672EB7" w:rsidRPr="002364AB">
              <w:rPr>
                <w:rFonts w:eastAsia="Times New Roman" w:cs="Times New Roman"/>
                <w:color w:val="000000" w:themeColor="text1"/>
                <w:kern w:val="22"/>
                <w:sz w:val="20"/>
                <w:szCs w:val="20"/>
                <w:lang w:val="en-GB"/>
              </w:rPr>
              <w:t>(DSI)</w:t>
            </w:r>
          </w:p>
          <w:p w14:paraId="30B96643" w14:textId="7F111E8A"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c>
          <w:tcPr>
            <w:tcW w:w="0" w:type="dxa"/>
          </w:tcPr>
          <w:p w14:paraId="62070BC0" w14:textId="42113BFB"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Situations where no physical access is needed to utilize </w:t>
            </w:r>
            <w:r w:rsidR="005D1519" w:rsidRPr="002364AB">
              <w:rPr>
                <w:rFonts w:eastAsia="Times New Roman" w:cs="Times New Roman"/>
                <w:color w:val="000000" w:themeColor="text1"/>
                <w:kern w:val="22"/>
                <w:sz w:val="20"/>
                <w:szCs w:val="20"/>
                <w:lang w:val="en-GB"/>
              </w:rPr>
              <w:t>genetic information</w:t>
            </w:r>
            <w:r w:rsidRPr="002364AB">
              <w:rPr>
                <w:rFonts w:eastAsia="Times New Roman" w:cs="Times New Roman"/>
                <w:color w:val="000000" w:themeColor="text1"/>
                <w:kern w:val="22"/>
                <w:sz w:val="20"/>
                <w:szCs w:val="20"/>
                <w:lang w:val="en-GB"/>
              </w:rPr>
              <w:t xml:space="preserve"> (e.g., the International Nucleotide Sequence Database Collaboration, the Earth </w:t>
            </w:r>
            <w:proofErr w:type="spellStart"/>
            <w:r w:rsidRPr="002364AB">
              <w:rPr>
                <w:rFonts w:eastAsia="Times New Roman" w:cs="Times New Roman"/>
                <w:color w:val="000000" w:themeColor="text1"/>
                <w:kern w:val="22"/>
                <w:sz w:val="20"/>
                <w:szCs w:val="20"/>
                <w:lang w:val="en-GB"/>
              </w:rPr>
              <w:t>Biogenome</w:t>
            </w:r>
            <w:proofErr w:type="spellEnd"/>
            <w:r w:rsidRPr="002364AB">
              <w:rPr>
                <w:rFonts w:eastAsia="Times New Roman" w:cs="Times New Roman"/>
                <w:color w:val="000000" w:themeColor="text1"/>
                <w:kern w:val="22"/>
                <w:sz w:val="20"/>
                <w:szCs w:val="20"/>
                <w:lang w:val="en-GB"/>
              </w:rPr>
              <w:t xml:space="preserve"> Project, BLAST searches,</w:t>
            </w:r>
            <w:r w:rsidRPr="002364AB">
              <w:rPr>
                <w:rFonts w:eastAsia="Times New Roman" w:cs="Times New Roman"/>
                <w:b/>
                <w:bCs/>
                <w:color w:val="000000" w:themeColor="text1"/>
                <w:kern w:val="22"/>
                <w:sz w:val="20"/>
                <w:szCs w:val="20"/>
                <w:lang w:val="en-GB"/>
              </w:rPr>
              <w:t xml:space="preserve"> </w:t>
            </w:r>
            <w:r w:rsidRPr="002364AB">
              <w:rPr>
                <w:rFonts w:eastAsia="Times New Roman" w:cs="Times New Roman"/>
                <w:color w:val="000000" w:themeColor="text1"/>
                <w:kern w:val="22"/>
                <w:sz w:val="20"/>
                <w:szCs w:val="20"/>
                <w:lang w:val="en-GB"/>
              </w:rPr>
              <w:t>the Ebola drug RGEN-EB3</w:t>
            </w:r>
            <w:r w:rsidR="00AC58E9" w:rsidRPr="002364AB">
              <w:rPr>
                <w:rFonts w:eastAsia="Times New Roman" w:cs="Times New Roman"/>
                <w:color w:val="000000" w:themeColor="text1"/>
                <w:kern w:val="22"/>
                <w:sz w:val="20"/>
                <w:szCs w:val="20"/>
                <w:lang w:val="en-GB"/>
              </w:rPr>
              <w:t xml:space="preserve"> case</w:t>
            </w:r>
            <w:r w:rsidRPr="002364AB">
              <w:rPr>
                <w:rFonts w:eastAsia="Times New Roman" w:cs="Times New Roman"/>
                <w:color w:val="000000" w:themeColor="text1"/>
                <w:kern w:val="22"/>
                <w:sz w:val="20"/>
                <w:szCs w:val="20"/>
                <w:lang w:val="en-GB"/>
              </w:rPr>
              <w:t xml:space="preserve">, Protein Data Bank, </w:t>
            </w:r>
            <w:r w:rsidR="009C1D53" w:rsidRPr="002364AB">
              <w:rPr>
                <w:rFonts w:eastAsia="Times New Roman" w:cs="Times New Roman"/>
                <w:color w:val="000000" w:themeColor="text1"/>
                <w:kern w:val="22"/>
                <w:sz w:val="20"/>
                <w:szCs w:val="20"/>
                <w:lang w:val="en-GB"/>
              </w:rPr>
              <w:t xml:space="preserve">and </w:t>
            </w:r>
            <w:r w:rsidRPr="002364AB">
              <w:rPr>
                <w:rFonts w:eastAsia="Times New Roman" w:cs="Times New Roman"/>
                <w:color w:val="000000" w:themeColor="text1"/>
                <w:kern w:val="22"/>
                <w:sz w:val="20"/>
                <w:szCs w:val="20"/>
                <w:lang w:val="en-GB"/>
              </w:rPr>
              <w:t xml:space="preserve">Natural Product Libraries). Situations where the genetic components utilized were found in multiple organisms (e.g., </w:t>
            </w:r>
            <w:r w:rsidR="00AC58E9" w:rsidRPr="002364AB">
              <w:rPr>
                <w:rFonts w:eastAsia="Times New Roman" w:cs="Times New Roman"/>
                <w:color w:val="000000" w:themeColor="text1"/>
                <w:kern w:val="22"/>
                <w:sz w:val="20"/>
                <w:szCs w:val="20"/>
                <w:lang w:val="en-GB"/>
              </w:rPr>
              <w:t xml:space="preserve">production of </w:t>
            </w:r>
            <w:proofErr w:type="spellStart"/>
            <w:r w:rsidRPr="002364AB">
              <w:rPr>
                <w:rFonts w:eastAsia="Times New Roman" w:cs="Times New Roman"/>
                <w:color w:val="000000" w:themeColor="text1"/>
                <w:kern w:val="22"/>
                <w:sz w:val="20"/>
                <w:szCs w:val="20"/>
                <w:lang w:val="en-GB"/>
              </w:rPr>
              <w:t>steviol</w:t>
            </w:r>
            <w:proofErr w:type="spellEnd"/>
            <w:r w:rsidRPr="002364AB">
              <w:rPr>
                <w:rFonts w:eastAsia="Times New Roman" w:cs="Times New Roman"/>
                <w:color w:val="000000" w:themeColor="text1"/>
                <w:kern w:val="22"/>
                <w:sz w:val="20"/>
                <w:szCs w:val="20"/>
                <w:lang w:val="en-GB"/>
              </w:rPr>
              <w:t xml:space="preserve"> glycosides, D-glucaric acid, </w:t>
            </w:r>
            <w:r w:rsidR="009C1D53" w:rsidRPr="002364AB">
              <w:rPr>
                <w:rFonts w:eastAsia="Times New Roman" w:cs="Times New Roman"/>
                <w:color w:val="000000" w:themeColor="text1"/>
                <w:kern w:val="22"/>
                <w:sz w:val="20"/>
                <w:szCs w:val="20"/>
                <w:lang w:val="en-GB"/>
              </w:rPr>
              <w:t xml:space="preserve">and </w:t>
            </w:r>
            <w:r w:rsidRPr="002364AB">
              <w:rPr>
                <w:rFonts w:eastAsia="Times New Roman" w:cs="Times New Roman"/>
                <w:color w:val="000000" w:themeColor="text1"/>
                <w:kern w:val="22"/>
                <w:sz w:val="20"/>
                <w:szCs w:val="20"/>
                <w:lang w:val="en-GB"/>
              </w:rPr>
              <w:t>bioethanol).</w:t>
            </w:r>
          </w:p>
        </w:tc>
        <w:tc>
          <w:tcPr>
            <w:tcW w:w="0" w:type="dxa"/>
            <w:vMerge/>
          </w:tcPr>
          <w:p w14:paraId="07C591ED" w14:textId="6656DD01"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r w:rsidR="6873B90E" w:rsidRPr="002364AB" w14:paraId="2D09BDEC"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7ECC0081" w14:textId="41D79F81" w:rsidR="6873B90E" w:rsidRPr="002364AB" w:rsidRDefault="35733B0B" w:rsidP="00F43F79">
            <w:pPr>
              <w:spacing w:before="40" w:after="40"/>
              <w:jc w:val="left"/>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Traditional knowledge associated with genetic resources that occur in transboundary situations or for which it is not possible to grant or obtain prior informed consent</w:t>
            </w:r>
          </w:p>
        </w:tc>
        <w:tc>
          <w:tcPr>
            <w:tcW w:w="0" w:type="dxa"/>
          </w:tcPr>
          <w:p w14:paraId="6C897DD2" w14:textId="7F5D09A4"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(a) Associated traditional knowledge held by IPLCs across national boundaries</w:t>
            </w:r>
          </w:p>
        </w:tc>
        <w:tc>
          <w:tcPr>
            <w:tcW w:w="0" w:type="dxa"/>
          </w:tcPr>
          <w:p w14:paraId="059AF16D" w14:textId="655063E3" w:rsidR="6873B90E" w:rsidRPr="002364AB" w:rsidRDefault="009C1D53"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Associated t</w:t>
            </w:r>
            <w:r w:rsidR="35733B0B" w:rsidRPr="002364AB">
              <w:rPr>
                <w:rFonts w:eastAsia="Times New Roman" w:cs="Times New Roman"/>
                <w:color w:val="000000" w:themeColor="text1"/>
                <w:kern w:val="22"/>
                <w:sz w:val="20"/>
                <w:szCs w:val="20"/>
                <w:lang w:val="en-GB"/>
              </w:rPr>
              <w:t xml:space="preserve">raditional knowledge held by more than one group located across multiple countries (e.g., the indigenous </w:t>
            </w:r>
            <w:proofErr w:type="spellStart"/>
            <w:r w:rsidR="35733B0B" w:rsidRPr="002364AB">
              <w:rPr>
                <w:rFonts w:eastAsia="Times New Roman" w:cs="Times New Roman"/>
                <w:color w:val="000000" w:themeColor="text1"/>
                <w:kern w:val="22"/>
                <w:sz w:val="20"/>
                <w:szCs w:val="20"/>
                <w:lang w:val="en-GB"/>
              </w:rPr>
              <w:t>Guna</w:t>
            </w:r>
            <w:proofErr w:type="spellEnd"/>
            <w:r w:rsidR="35733B0B" w:rsidRPr="002364AB">
              <w:rPr>
                <w:rFonts w:eastAsia="Times New Roman" w:cs="Times New Roman"/>
                <w:color w:val="000000" w:themeColor="text1"/>
                <w:kern w:val="22"/>
                <w:sz w:val="20"/>
                <w:szCs w:val="20"/>
                <w:lang w:val="en-GB"/>
              </w:rPr>
              <w:t xml:space="preserve"> people of Panama and Colombia). </w:t>
            </w:r>
            <w:r w:rsidR="00F6007F" w:rsidRPr="002364AB">
              <w:rPr>
                <w:rFonts w:eastAsia="Times New Roman" w:cs="Times New Roman"/>
                <w:color w:val="000000" w:themeColor="text1"/>
                <w:kern w:val="22"/>
                <w:sz w:val="20"/>
                <w:szCs w:val="20"/>
                <w:lang w:val="en-GB"/>
              </w:rPr>
              <w:t>Associated t</w:t>
            </w:r>
            <w:r w:rsidR="35733B0B" w:rsidRPr="002364AB">
              <w:rPr>
                <w:rFonts w:eastAsia="Times New Roman" w:cs="Times New Roman"/>
                <w:color w:val="000000" w:themeColor="text1"/>
                <w:kern w:val="22"/>
                <w:sz w:val="20"/>
                <w:szCs w:val="20"/>
                <w:lang w:val="en-GB"/>
              </w:rPr>
              <w:t>raditional knowledge held by more than one group located across multiple countries.</w:t>
            </w:r>
            <w:r w:rsidR="35733B0B" w:rsidRPr="002364AB">
              <w:rPr>
                <w:rFonts w:eastAsia="Times New Roman" w:cs="Times New Roman"/>
                <w:b/>
                <w:bCs/>
                <w:color w:val="000000" w:themeColor="text1"/>
                <w:kern w:val="22"/>
                <w:sz w:val="20"/>
                <w:szCs w:val="20"/>
                <w:lang w:val="en-GB"/>
              </w:rPr>
              <w:t xml:space="preserve"> </w:t>
            </w:r>
            <w:r w:rsidR="35733B0B" w:rsidRPr="002364AB">
              <w:rPr>
                <w:rFonts w:eastAsia="Times New Roman" w:cs="Times New Roman"/>
                <w:color w:val="000000" w:themeColor="text1"/>
                <w:kern w:val="22"/>
                <w:sz w:val="20"/>
                <w:szCs w:val="20"/>
                <w:lang w:val="en-GB"/>
              </w:rPr>
              <w:t>Associated traditional knowledge held by a community in one country about a genetic resource originating in another country (e.g., traditional knowledge associated with Rosy periwinkle (</w:t>
            </w:r>
            <w:proofErr w:type="spellStart"/>
            <w:r w:rsidR="35733B0B" w:rsidRPr="002364AB">
              <w:rPr>
                <w:rFonts w:eastAsia="Times New Roman" w:cs="Times New Roman"/>
                <w:i/>
                <w:iCs/>
                <w:color w:val="000000" w:themeColor="text1"/>
                <w:kern w:val="22"/>
                <w:sz w:val="20"/>
                <w:szCs w:val="20"/>
                <w:lang w:val="en-GB"/>
              </w:rPr>
              <w:t>Catharanthus</w:t>
            </w:r>
            <w:proofErr w:type="spellEnd"/>
            <w:r w:rsidR="35733B0B" w:rsidRPr="002364AB">
              <w:rPr>
                <w:rFonts w:eastAsia="Times New Roman" w:cs="Times New Roman"/>
                <w:i/>
                <w:iCs/>
                <w:color w:val="000000" w:themeColor="text1"/>
                <w:kern w:val="22"/>
                <w:sz w:val="20"/>
                <w:szCs w:val="20"/>
                <w:lang w:val="en-GB"/>
              </w:rPr>
              <w:t xml:space="preserve"> roseus)</w:t>
            </w:r>
            <w:r w:rsidR="35733B0B" w:rsidRPr="002364AB">
              <w:rPr>
                <w:rFonts w:eastAsia="Times New Roman" w:cs="Times New Roman"/>
                <w:b/>
                <w:bCs/>
                <w:color w:val="000000" w:themeColor="text1"/>
                <w:kern w:val="22"/>
                <w:sz w:val="20"/>
                <w:szCs w:val="20"/>
                <w:lang w:val="en-GB"/>
              </w:rPr>
              <w:t xml:space="preserve"> </w:t>
            </w:r>
            <w:r w:rsidR="35733B0B" w:rsidRPr="002364AB">
              <w:rPr>
                <w:rFonts w:eastAsia="Times New Roman" w:cs="Times New Roman"/>
                <w:color w:val="000000" w:themeColor="text1"/>
                <w:kern w:val="22"/>
                <w:sz w:val="20"/>
                <w:szCs w:val="20"/>
                <w:lang w:val="en-GB"/>
              </w:rPr>
              <w:t>and Judean wormwood (</w:t>
            </w:r>
            <w:proofErr w:type="spellStart"/>
            <w:r w:rsidR="35733B0B" w:rsidRPr="002364AB">
              <w:rPr>
                <w:rFonts w:eastAsia="Times New Roman" w:cs="Times New Roman"/>
                <w:i/>
                <w:iCs/>
                <w:color w:val="000000" w:themeColor="text1"/>
                <w:kern w:val="22"/>
                <w:sz w:val="20"/>
                <w:szCs w:val="20"/>
                <w:lang w:val="en-GB"/>
              </w:rPr>
              <w:t>Artemesia</w:t>
            </w:r>
            <w:proofErr w:type="spellEnd"/>
            <w:r w:rsidR="35733B0B" w:rsidRPr="002364AB">
              <w:rPr>
                <w:rFonts w:eastAsia="Times New Roman" w:cs="Times New Roman"/>
                <w:i/>
                <w:iCs/>
                <w:color w:val="000000" w:themeColor="text1"/>
                <w:kern w:val="22"/>
                <w:sz w:val="20"/>
                <w:szCs w:val="20"/>
                <w:lang w:val="en-GB"/>
              </w:rPr>
              <w:t xml:space="preserve"> </w:t>
            </w:r>
            <w:proofErr w:type="spellStart"/>
            <w:r w:rsidR="35733B0B" w:rsidRPr="002364AB">
              <w:rPr>
                <w:rFonts w:eastAsia="Times New Roman" w:cs="Times New Roman"/>
                <w:i/>
                <w:iCs/>
                <w:color w:val="000000" w:themeColor="text1"/>
                <w:kern w:val="22"/>
                <w:sz w:val="20"/>
                <w:szCs w:val="20"/>
                <w:lang w:val="en-GB"/>
              </w:rPr>
              <w:t>judaica</w:t>
            </w:r>
            <w:proofErr w:type="spellEnd"/>
            <w:r w:rsidR="35733B0B" w:rsidRPr="002364AB">
              <w:rPr>
                <w:rFonts w:eastAsia="Times New Roman" w:cs="Times New Roman"/>
                <w:color w:val="000000" w:themeColor="text1"/>
                <w:kern w:val="22"/>
                <w:sz w:val="20"/>
                <w:szCs w:val="20"/>
                <w:lang w:val="en-GB"/>
              </w:rPr>
              <w:t>)).</w:t>
            </w:r>
          </w:p>
        </w:tc>
        <w:tc>
          <w:tcPr>
            <w:tcW w:w="0" w:type="dxa"/>
            <w:vMerge w:val="restart"/>
          </w:tcPr>
          <w:p w14:paraId="5411124C" w14:textId="01080D52" w:rsidR="004464E6" w:rsidRPr="002364AB" w:rsidRDefault="00D401E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iCs/>
                <w:color w:val="000000" w:themeColor="text1"/>
                <w:kern w:val="22"/>
                <w:sz w:val="20"/>
                <w:szCs w:val="20"/>
                <w:lang w:val="en-GB"/>
              </w:rPr>
              <w:t>K</w:t>
            </w:r>
            <w:r w:rsidRPr="002364AB">
              <w:rPr>
                <w:rFonts w:eastAsia="Times New Roman" w:cs="Times New Roman"/>
                <w:color w:val="000000" w:themeColor="text1"/>
                <w:kern w:val="22"/>
                <w:sz w:val="20"/>
                <w:szCs w:val="20"/>
                <w:lang w:val="en-GB"/>
              </w:rPr>
              <w:t xml:space="preserve">ey challenges include determining who owns the </w:t>
            </w:r>
            <w:r w:rsidRPr="002364AB">
              <w:rPr>
                <w:rFonts w:eastAsia="Times New Roman" w:cs="Times New Roman"/>
                <w:iCs/>
                <w:color w:val="000000" w:themeColor="text1"/>
                <w:kern w:val="22"/>
                <w:sz w:val="20"/>
                <w:szCs w:val="20"/>
                <w:lang w:val="en-GB"/>
              </w:rPr>
              <w:t>associated traditional knowledge,</w:t>
            </w:r>
            <w:r w:rsidRPr="002364AB">
              <w:rPr>
                <w:rFonts w:eastAsia="Times New Roman" w:cs="Times New Roman"/>
                <w:color w:val="000000" w:themeColor="text1"/>
                <w:kern w:val="22"/>
                <w:sz w:val="20"/>
                <w:szCs w:val="20"/>
                <w:lang w:val="en-GB"/>
              </w:rPr>
              <w:t xml:space="preserve"> </w:t>
            </w:r>
            <w:r w:rsidR="00F6007F" w:rsidRPr="002364AB">
              <w:rPr>
                <w:rFonts w:eastAsia="Times New Roman" w:cs="Times New Roman"/>
                <w:color w:val="000000" w:themeColor="text1"/>
                <w:kern w:val="22"/>
                <w:sz w:val="20"/>
                <w:szCs w:val="20"/>
                <w:lang w:val="en-GB"/>
              </w:rPr>
              <w:t xml:space="preserve">who </w:t>
            </w:r>
            <w:r w:rsidRPr="002364AB">
              <w:rPr>
                <w:rFonts w:eastAsia="Times New Roman" w:cs="Times New Roman"/>
                <w:color w:val="000000" w:themeColor="text1"/>
                <w:kern w:val="22"/>
                <w:sz w:val="20"/>
                <w:szCs w:val="20"/>
                <w:lang w:val="en-GB"/>
              </w:rPr>
              <w:t>has a right to grant PIC</w:t>
            </w:r>
            <w:r w:rsidR="00F57F9A" w:rsidRPr="002364AB">
              <w:rPr>
                <w:rFonts w:eastAsia="Times New Roman" w:cs="Times New Roman"/>
                <w:color w:val="000000" w:themeColor="text1"/>
                <w:kern w:val="22"/>
                <w:sz w:val="20"/>
                <w:szCs w:val="20"/>
                <w:lang w:val="en-GB"/>
              </w:rPr>
              <w:t>,</w:t>
            </w:r>
            <w:r w:rsidRPr="002364AB">
              <w:rPr>
                <w:rFonts w:eastAsia="Times New Roman" w:cs="Times New Roman"/>
                <w:color w:val="000000" w:themeColor="text1"/>
                <w:kern w:val="22"/>
                <w:sz w:val="20"/>
                <w:szCs w:val="20"/>
                <w:lang w:val="en-GB"/>
              </w:rPr>
              <w:t xml:space="preserve"> and</w:t>
            </w:r>
            <w:r w:rsidR="00B51912" w:rsidRPr="002364AB">
              <w:rPr>
                <w:rFonts w:eastAsia="Times New Roman" w:cs="Times New Roman"/>
                <w:color w:val="000000" w:themeColor="text1"/>
                <w:kern w:val="22"/>
                <w:sz w:val="20"/>
                <w:szCs w:val="20"/>
                <w:lang w:val="en-GB"/>
              </w:rPr>
              <w:t xml:space="preserve"> </w:t>
            </w:r>
            <w:r w:rsidR="00F6007F" w:rsidRPr="002364AB">
              <w:rPr>
                <w:rFonts w:eastAsia="Times New Roman" w:cs="Times New Roman"/>
                <w:color w:val="000000" w:themeColor="text1"/>
                <w:kern w:val="22"/>
                <w:sz w:val="20"/>
                <w:szCs w:val="20"/>
                <w:lang w:val="en-GB"/>
              </w:rPr>
              <w:t xml:space="preserve">who </w:t>
            </w:r>
            <w:r w:rsidRPr="002364AB">
              <w:rPr>
                <w:rFonts w:eastAsia="Times New Roman" w:cs="Times New Roman"/>
                <w:color w:val="000000" w:themeColor="text1"/>
                <w:kern w:val="22"/>
                <w:sz w:val="20"/>
                <w:szCs w:val="20"/>
                <w:lang w:val="en-GB"/>
              </w:rPr>
              <w:t>is entitled to a share in the benefits that may be generated.</w:t>
            </w:r>
            <w:r w:rsidR="005640B1" w:rsidRPr="002364AB">
              <w:rPr>
                <w:rFonts w:eastAsia="Times New Roman" w:cs="Times New Roman"/>
                <w:color w:val="000000" w:themeColor="text1"/>
                <w:kern w:val="22"/>
                <w:sz w:val="20"/>
                <w:szCs w:val="20"/>
                <w:lang w:val="en-GB"/>
              </w:rPr>
              <w:t xml:space="preserve"> </w:t>
            </w:r>
            <w:r w:rsidR="003F2CE6" w:rsidRPr="002364AB">
              <w:rPr>
                <w:rFonts w:eastAsia="Times New Roman" w:cs="Times New Roman"/>
                <w:color w:val="000000" w:themeColor="text1"/>
                <w:kern w:val="22"/>
                <w:sz w:val="20"/>
                <w:szCs w:val="20"/>
                <w:lang w:val="en-GB"/>
              </w:rPr>
              <w:t>Article 10 or Article 11 may be applicable to some cases.</w:t>
            </w:r>
          </w:p>
          <w:p w14:paraId="597AA197" w14:textId="46782686" w:rsidR="6873B90E" w:rsidRPr="002364AB" w:rsidRDefault="004464E6"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Parties are not in agreement that </w:t>
            </w:r>
            <w:r w:rsidR="003F2CE6" w:rsidRPr="002364AB">
              <w:rPr>
                <w:rFonts w:eastAsia="Times New Roman" w:cs="Times New Roman"/>
                <w:color w:val="000000" w:themeColor="text1"/>
                <w:kern w:val="22"/>
                <w:sz w:val="20"/>
                <w:szCs w:val="20"/>
                <w:lang w:val="en-GB"/>
              </w:rPr>
              <w:t xml:space="preserve">PIC/MAT obligations apply to </w:t>
            </w:r>
            <w:proofErr w:type="gramStart"/>
            <w:r w:rsidR="003F2CE6" w:rsidRPr="002364AB">
              <w:rPr>
                <w:rFonts w:eastAsia="Times New Roman" w:cs="Times New Roman"/>
                <w:color w:val="000000" w:themeColor="text1"/>
                <w:kern w:val="22"/>
                <w:sz w:val="20"/>
                <w:szCs w:val="20"/>
                <w:lang w:val="en-GB"/>
              </w:rPr>
              <w:t>all of</w:t>
            </w:r>
            <w:proofErr w:type="gramEnd"/>
            <w:r w:rsidR="003F2CE6" w:rsidRPr="002364AB">
              <w:rPr>
                <w:rFonts w:eastAsia="Times New Roman" w:cs="Times New Roman"/>
                <w:color w:val="000000" w:themeColor="text1"/>
                <w:kern w:val="22"/>
                <w:sz w:val="20"/>
                <w:szCs w:val="20"/>
                <w:lang w:val="en-GB"/>
              </w:rPr>
              <w:t xml:space="preserve"> these cases. Moreover, identifying information on IPLCs from whom traditional knowledge was derived may </w:t>
            </w:r>
            <w:r w:rsidR="00914A64" w:rsidRPr="002364AB">
              <w:rPr>
                <w:rFonts w:eastAsia="Times New Roman" w:cs="Times New Roman"/>
                <w:color w:val="000000" w:themeColor="text1"/>
                <w:kern w:val="22"/>
                <w:sz w:val="20"/>
                <w:szCs w:val="20"/>
                <w:lang w:val="en-GB"/>
              </w:rPr>
              <w:t>not be available</w:t>
            </w:r>
            <w:r w:rsidR="00E161C6" w:rsidRPr="002364AB">
              <w:rPr>
                <w:rFonts w:eastAsia="Times New Roman" w:cs="Times New Roman"/>
                <w:color w:val="000000" w:themeColor="text1"/>
                <w:kern w:val="22"/>
                <w:sz w:val="20"/>
                <w:szCs w:val="20"/>
                <w:lang w:val="en-GB"/>
              </w:rPr>
              <w:t>,</w:t>
            </w:r>
            <w:r w:rsidR="00914A64" w:rsidRPr="002364AB">
              <w:rPr>
                <w:rFonts w:eastAsia="Times New Roman" w:cs="Times New Roman"/>
                <w:color w:val="000000" w:themeColor="text1"/>
                <w:kern w:val="22"/>
                <w:sz w:val="20"/>
                <w:szCs w:val="20"/>
                <w:lang w:val="en-GB"/>
              </w:rPr>
              <w:t xml:space="preserve"> rendering the negotiation of PIC/MAT impossible</w:t>
            </w:r>
            <w:r w:rsidR="00E161C6" w:rsidRPr="002364AB">
              <w:rPr>
                <w:rFonts w:eastAsia="Times New Roman" w:cs="Times New Roman"/>
                <w:color w:val="000000" w:themeColor="text1"/>
                <w:kern w:val="22"/>
                <w:sz w:val="20"/>
                <w:szCs w:val="20"/>
                <w:lang w:val="en-GB"/>
              </w:rPr>
              <w:t xml:space="preserve"> in some cases</w:t>
            </w:r>
            <w:r w:rsidR="00914A64" w:rsidRPr="002364AB">
              <w:rPr>
                <w:rFonts w:eastAsia="Times New Roman" w:cs="Times New Roman"/>
                <w:color w:val="000000" w:themeColor="text1"/>
                <w:kern w:val="22"/>
                <w:sz w:val="20"/>
                <w:szCs w:val="20"/>
                <w:lang w:val="en-GB"/>
              </w:rPr>
              <w:t>.</w:t>
            </w:r>
          </w:p>
        </w:tc>
      </w:tr>
      <w:tr w:rsidR="6873B90E" w:rsidRPr="002364AB" w14:paraId="48E8BBD0"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DA222F1" w14:textId="77777777" w:rsidR="002D26CC" w:rsidRPr="002364AB" w:rsidRDefault="002D26CC" w:rsidP="00F43F79">
            <w:pPr>
              <w:spacing w:before="40" w:after="40"/>
              <w:rPr>
                <w:kern w:val="22"/>
                <w:sz w:val="20"/>
                <w:szCs w:val="20"/>
                <w:lang w:val="en-GB"/>
              </w:rPr>
            </w:pPr>
          </w:p>
        </w:tc>
        <w:tc>
          <w:tcPr>
            <w:tcW w:w="0" w:type="dxa"/>
          </w:tcPr>
          <w:p w14:paraId="09A25FE0" w14:textId="27D337AF"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(b) Publicly available associated traditional knowledge</w:t>
            </w:r>
          </w:p>
        </w:tc>
        <w:tc>
          <w:tcPr>
            <w:tcW w:w="0" w:type="dxa"/>
          </w:tcPr>
          <w:p w14:paraId="746B3D3B" w14:textId="104A3D4F"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Publications and journals which </w:t>
            </w:r>
            <w:proofErr w:type="spellStart"/>
            <w:r w:rsidRPr="002364AB">
              <w:rPr>
                <w:rFonts w:eastAsia="Times New Roman" w:cs="Times New Roman"/>
                <w:color w:val="000000" w:themeColor="text1"/>
                <w:kern w:val="22"/>
                <w:sz w:val="20"/>
                <w:szCs w:val="20"/>
                <w:lang w:val="en-GB"/>
              </w:rPr>
              <w:t>catalog</w:t>
            </w:r>
            <w:proofErr w:type="spellEnd"/>
            <w:r w:rsidRPr="002364AB">
              <w:rPr>
                <w:rFonts w:eastAsia="Times New Roman" w:cs="Times New Roman"/>
                <w:color w:val="000000" w:themeColor="text1"/>
                <w:kern w:val="22"/>
                <w:sz w:val="20"/>
                <w:szCs w:val="20"/>
                <w:lang w:val="en-GB"/>
              </w:rPr>
              <w:t xml:space="preserve"> traditional plant uses in different regions (e.g., the </w:t>
            </w:r>
            <w:r w:rsidRPr="002364AB">
              <w:rPr>
                <w:rFonts w:eastAsia="Times New Roman" w:cs="Times New Roman"/>
                <w:i/>
                <w:iCs/>
                <w:color w:val="000000" w:themeColor="text1"/>
                <w:kern w:val="22"/>
                <w:sz w:val="20"/>
                <w:szCs w:val="20"/>
                <w:lang w:val="en-GB"/>
              </w:rPr>
              <w:t>African Pharmacopoeia</w:t>
            </w:r>
            <w:r w:rsidRPr="002364AB">
              <w:rPr>
                <w:rFonts w:eastAsia="Times New Roman" w:cs="Times New Roman"/>
                <w:color w:val="000000" w:themeColor="text1"/>
                <w:kern w:val="22"/>
                <w:sz w:val="20"/>
                <w:szCs w:val="20"/>
                <w:lang w:val="en-GB"/>
              </w:rPr>
              <w:t>).</w:t>
            </w:r>
          </w:p>
        </w:tc>
        <w:tc>
          <w:tcPr>
            <w:tcW w:w="0" w:type="dxa"/>
            <w:vMerge/>
          </w:tcPr>
          <w:p w14:paraId="712BC656" w14:textId="57DBE9F4"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r w:rsidR="6873B90E" w:rsidRPr="002364AB" w14:paraId="2EFF690E"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459CD0C6" w14:textId="77777777" w:rsidR="002D26CC" w:rsidRPr="002364AB" w:rsidRDefault="002D26CC" w:rsidP="00F43F79">
            <w:pPr>
              <w:spacing w:before="40" w:after="40"/>
              <w:rPr>
                <w:kern w:val="22"/>
                <w:sz w:val="20"/>
                <w:szCs w:val="20"/>
                <w:lang w:val="en-GB"/>
              </w:rPr>
            </w:pPr>
          </w:p>
        </w:tc>
        <w:tc>
          <w:tcPr>
            <w:tcW w:w="0" w:type="dxa"/>
          </w:tcPr>
          <w:p w14:paraId="6D32A04A" w14:textId="0D38FD2F" w:rsidR="6873B90E" w:rsidRPr="002364AB" w:rsidRDefault="35733B0B"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(c) Associated traditional knowledge of untraceable origin in </w:t>
            </w:r>
            <w:r w:rsidRPr="002364AB">
              <w:rPr>
                <w:rFonts w:eastAsia="Times New Roman" w:cs="Times New Roman"/>
                <w:i/>
                <w:iCs/>
                <w:color w:val="000000" w:themeColor="text1"/>
                <w:kern w:val="22"/>
                <w:sz w:val="20"/>
                <w:szCs w:val="20"/>
                <w:lang w:val="en-GB"/>
              </w:rPr>
              <w:t xml:space="preserve">ex situ </w:t>
            </w:r>
            <w:r w:rsidRPr="002364AB">
              <w:rPr>
                <w:rFonts w:eastAsia="Times New Roman" w:cs="Times New Roman"/>
                <w:color w:val="000000" w:themeColor="text1"/>
                <w:kern w:val="22"/>
                <w:sz w:val="20"/>
                <w:szCs w:val="20"/>
                <w:lang w:val="en-GB"/>
              </w:rPr>
              <w:t>collections.</w:t>
            </w:r>
          </w:p>
        </w:tc>
        <w:tc>
          <w:tcPr>
            <w:tcW w:w="0" w:type="dxa"/>
          </w:tcPr>
          <w:p w14:paraId="7F5D00D4" w14:textId="35AC64A2" w:rsidR="6873B90E" w:rsidRPr="002364AB"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 xml:space="preserve">Samples of genetic materials contained in </w:t>
            </w:r>
            <w:r w:rsidRPr="002364AB">
              <w:rPr>
                <w:rFonts w:eastAsia="Times New Roman" w:cs="Times New Roman"/>
                <w:i/>
                <w:iCs/>
                <w:color w:val="000000" w:themeColor="text1"/>
                <w:kern w:val="22"/>
                <w:sz w:val="20"/>
                <w:szCs w:val="20"/>
                <w:lang w:val="en-GB"/>
              </w:rPr>
              <w:t xml:space="preserve">ex situ </w:t>
            </w:r>
            <w:r w:rsidRPr="002364AB">
              <w:rPr>
                <w:rFonts w:eastAsia="Times New Roman" w:cs="Times New Roman"/>
                <w:color w:val="000000" w:themeColor="text1"/>
                <w:kern w:val="22"/>
                <w:sz w:val="20"/>
                <w:szCs w:val="20"/>
                <w:lang w:val="en-GB"/>
              </w:rPr>
              <w:t>collections collected by ethnobotanists with the help and direction of indigenous peoples and local communities, where identifying information on the indigenous peoples and local communities from whom the traditional knowledge was derived is omitted (e.g., many different individuals from in and outside of a community have provided medicinal use leads, or the use information was taken from a secondary source, such as a pharmacopeia or other extant work which does not list the original providers of the associated traditional knowledge).</w:t>
            </w:r>
          </w:p>
        </w:tc>
        <w:tc>
          <w:tcPr>
            <w:tcW w:w="0" w:type="dxa"/>
            <w:vMerge/>
          </w:tcPr>
          <w:p w14:paraId="61361790" w14:textId="5319CC99" w:rsidR="6873B90E" w:rsidRPr="002364A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en-GB"/>
              </w:rPr>
            </w:pPr>
          </w:p>
        </w:tc>
      </w:tr>
    </w:tbl>
    <w:p w14:paraId="3D255DFC" w14:textId="76549294" w:rsidR="6873B90E" w:rsidRPr="002364AB" w:rsidRDefault="6873B90E" w:rsidP="35733B0B">
      <w:pPr>
        <w:jc w:val="left"/>
        <w:rPr>
          <w:kern w:val="22"/>
          <w:sz w:val="22"/>
          <w:lang w:val="en-GB"/>
        </w:rPr>
      </w:pPr>
    </w:p>
    <w:p w14:paraId="2C171DE0" w14:textId="5D04182E" w:rsidR="6873B90E" w:rsidRPr="002364AB" w:rsidRDefault="00AF0A79">
      <w:pPr>
        <w:spacing w:line="259" w:lineRule="auto"/>
        <w:jc w:val="left"/>
        <w:rPr>
          <w:kern w:val="22"/>
          <w:sz w:val="22"/>
          <w:lang w:val="en-GB"/>
        </w:rPr>
      </w:pPr>
      <w:r w:rsidRPr="002364AB">
        <w:rPr>
          <w:kern w:val="22"/>
          <w:sz w:val="22"/>
          <w:lang w:val="en-GB"/>
        </w:rPr>
        <w:br w:type="page"/>
      </w:r>
    </w:p>
    <w:p w14:paraId="5D9AEF86" w14:textId="77777777" w:rsidR="001C1C45" w:rsidRPr="002364AB" w:rsidRDefault="35733B0B" w:rsidP="35733B0B">
      <w:pPr>
        <w:pStyle w:val="Heading1"/>
        <w:numPr>
          <w:ilvl w:val="0"/>
          <w:numId w:val="27"/>
        </w:numPr>
        <w:jc w:val="left"/>
        <w:rPr>
          <w:kern w:val="22"/>
          <w:sz w:val="22"/>
          <w:szCs w:val="22"/>
          <w:lang w:val="en-GB"/>
        </w:rPr>
      </w:pPr>
      <w:bookmarkStart w:id="10" w:name="_Toc39579102"/>
      <w:bookmarkStart w:id="11" w:name="_Toc39653340"/>
      <w:bookmarkStart w:id="12" w:name="_Toc41551367"/>
      <w:bookmarkStart w:id="13" w:name="_Toc41551440"/>
      <w:bookmarkStart w:id="14" w:name="_Toc41571295"/>
      <w:bookmarkStart w:id="15" w:name="_Toc41571324"/>
      <w:bookmarkStart w:id="16" w:name="_Toc41571353"/>
      <w:bookmarkStart w:id="17" w:name="_Toc41571382"/>
      <w:bookmarkStart w:id="18" w:name="_Toc41571417"/>
      <w:bookmarkStart w:id="19" w:name="_Toc41571446"/>
      <w:bookmarkStart w:id="20" w:name="_Toc41571475"/>
      <w:bookmarkStart w:id="21" w:name="_Toc41571504"/>
      <w:bookmarkStart w:id="22" w:name="_Toc41571533"/>
      <w:bookmarkStart w:id="23" w:name="_Toc41571562"/>
      <w:bookmarkStart w:id="24" w:name="_Toc41571591"/>
      <w:bookmarkStart w:id="25" w:name="_Toc41571662"/>
      <w:bookmarkStart w:id="26" w:name="_Toc41571877"/>
      <w:bookmarkStart w:id="27" w:name="_Toc41571954"/>
      <w:bookmarkStart w:id="28" w:name="_Toc42261084"/>
      <w:bookmarkStart w:id="29" w:name="_Toc39579103"/>
      <w:bookmarkStart w:id="30" w:name="_Toc39653341"/>
      <w:bookmarkStart w:id="31" w:name="_Toc41551368"/>
      <w:bookmarkStart w:id="32" w:name="_Toc41551441"/>
      <w:bookmarkStart w:id="33" w:name="_Toc41571296"/>
      <w:bookmarkStart w:id="34" w:name="_Toc41571325"/>
      <w:bookmarkStart w:id="35" w:name="_Toc41571354"/>
      <w:bookmarkStart w:id="36" w:name="_Toc41571383"/>
      <w:bookmarkStart w:id="37" w:name="_Toc41571418"/>
      <w:bookmarkStart w:id="38" w:name="_Toc41571447"/>
      <w:bookmarkStart w:id="39" w:name="_Toc41571476"/>
      <w:bookmarkStart w:id="40" w:name="_Toc41571505"/>
      <w:bookmarkStart w:id="41" w:name="_Toc41571534"/>
      <w:bookmarkStart w:id="42" w:name="_Toc41571563"/>
      <w:bookmarkStart w:id="43" w:name="_Toc41571592"/>
      <w:bookmarkStart w:id="44" w:name="_Toc41571663"/>
      <w:bookmarkStart w:id="45" w:name="_Toc41571878"/>
      <w:bookmarkStart w:id="46" w:name="_Toc41571955"/>
      <w:bookmarkStart w:id="47" w:name="_Toc42261085"/>
      <w:bookmarkStart w:id="48" w:name="_Toc34249581"/>
      <w:bookmarkStart w:id="49" w:name="_Toc39580424"/>
      <w:bookmarkStart w:id="50" w:name="_Toc4313497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364AB">
        <w:rPr>
          <w:kern w:val="22"/>
          <w:sz w:val="22"/>
          <w:szCs w:val="22"/>
          <w:lang w:val="en-GB"/>
        </w:rPr>
        <w:t>Introduction</w:t>
      </w:r>
      <w:bookmarkEnd w:id="48"/>
      <w:bookmarkEnd w:id="49"/>
      <w:bookmarkEnd w:id="50"/>
    </w:p>
    <w:p w14:paraId="55CD2847" w14:textId="72FC3E78" w:rsidR="00FC5588" w:rsidRPr="002364AB" w:rsidRDefault="00FC5588" w:rsidP="00FC5588">
      <w:pPr>
        <w:pBdr>
          <w:top w:val="nil"/>
          <w:left w:val="nil"/>
          <w:bottom w:val="nil"/>
          <w:right w:val="nil"/>
          <w:between w:val="nil"/>
        </w:pBdr>
        <w:spacing w:after="120"/>
        <w:rPr>
          <w:rFonts w:eastAsia="Times New Roman" w:cs="Times New Roman"/>
          <w:kern w:val="22"/>
          <w:sz w:val="22"/>
          <w:lang w:val="en-GB" w:eastAsia="en-CA"/>
        </w:rPr>
      </w:pPr>
      <w:r w:rsidRPr="002364AB">
        <w:rPr>
          <w:rFonts w:eastAsia="Times New Roman" w:cs="Times New Roman"/>
          <w:kern w:val="22"/>
          <w:sz w:val="22"/>
          <w:lang w:val="en-GB" w:eastAsia="en-CA"/>
        </w:rPr>
        <w:t xml:space="preserve">In November 2018 during the third meeting of the Conference of the Parties serving as the meeting of the Parties to the Nagoya Protocol </w:t>
      </w:r>
      <w:r w:rsidR="006030C1" w:rsidRPr="002364AB">
        <w:rPr>
          <w:rFonts w:eastAsia="Times New Roman" w:cs="Times New Roman"/>
          <w:kern w:val="22"/>
          <w:sz w:val="22"/>
          <w:lang w:val="en-GB" w:eastAsia="en-CA"/>
        </w:rPr>
        <w:t>(COP-MOP)</w:t>
      </w:r>
      <w:r w:rsidRPr="002364AB">
        <w:rPr>
          <w:rFonts w:eastAsia="Times New Roman" w:cs="Times New Roman"/>
          <w:kern w:val="22"/>
          <w:sz w:val="22"/>
          <w:lang w:val="en-GB" w:eastAsia="en-CA"/>
        </w:rPr>
        <w:t xml:space="preserve">, the Parties to the Protocol adopted </w:t>
      </w:r>
      <w:r w:rsidR="006030C1" w:rsidRPr="002364AB">
        <w:rPr>
          <w:rFonts w:eastAsia="Times New Roman" w:cs="Times New Roman"/>
          <w:kern w:val="22"/>
          <w:sz w:val="22"/>
          <w:lang w:val="en-GB" w:eastAsia="en-CA"/>
        </w:rPr>
        <w:t>d</w:t>
      </w:r>
      <w:r w:rsidRPr="002364AB">
        <w:rPr>
          <w:rFonts w:eastAsia="Times New Roman" w:cs="Times New Roman"/>
          <w:kern w:val="22"/>
          <w:sz w:val="22"/>
          <w:lang w:val="en-GB" w:eastAsia="en-CA"/>
        </w:rPr>
        <w:t>ecision NP-3/13</w:t>
      </w:r>
      <w:r w:rsidR="00631691" w:rsidRPr="002364AB">
        <w:rPr>
          <w:rFonts w:eastAsia="Times New Roman" w:cs="Times New Roman"/>
          <w:kern w:val="22"/>
          <w:sz w:val="22"/>
          <w:lang w:val="en-GB" w:eastAsia="en-CA"/>
        </w:rPr>
        <w:t xml:space="preserve"> on a</w:t>
      </w:r>
      <w:r w:rsidRPr="002364AB">
        <w:rPr>
          <w:rFonts w:eastAsia="Times New Roman" w:cs="Times New Roman"/>
          <w:kern w:val="22"/>
          <w:sz w:val="22"/>
          <w:lang w:val="en-GB" w:eastAsia="en-CA"/>
        </w:rPr>
        <w:t xml:space="preserve"> global multilateral benefit-sharing mechanism (</w:t>
      </w:r>
      <w:r w:rsidR="00661974" w:rsidRPr="002364AB">
        <w:rPr>
          <w:rFonts w:eastAsia="Times New Roman" w:cs="Times New Roman"/>
          <w:kern w:val="22"/>
          <w:sz w:val="22"/>
          <w:lang w:val="en-GB" w:eastAsia="en-CA"/>
        </w:rPr>
        <w:t>A</w:t>
      </w:r>
      <w:r w:rsidRPr="002364AB">
        <w:rPr>
          <w:rFonts w:eastAsia="Times New Roman" w:cs="Times New Roman"/>
          <w:kern w:val="22"/>
          <w:sz w:val="22"/>
          <w:lang w:val="en-GB" w:eastAsia="en-CA"/>
        </w:rPr>
        <w:t>rticle 10). In paragraph 5(a) of the decision, the Parties requested the commissioning of a peer-reviewed study to identify specific cases of genetic resources and traditional knowledge associated with genetic resources that occur in transboundary situations or for which it is not possible to grant or obtain prior informed consent</w:t>
      </w:r>
      <w:r w:rsidR="001B5D12" w:rsidRPr="002364AB">
        <w:rPr>
          <w:rFonts w:eastAsia="Times New Roman" w:cs="Times New Roman"/>
          <w:kern w:val="22"/>
          <w:sz w:val="22"/>
          <w:lang w:val="en-GB" w:eastAsia="en-CA"/>
        </w:rPr>
        <w:t xml:space="preserve"> (PIC</w:t>
      </w:r>
      <w:r w:rsidR="00946F3E" w:rsidRPr="002364AB">
        <w:rPr>
          <w:rFonts w:eastAsia="Times New Roman" w:cs="Times New Roman"/>
          <w:kern w:val="22"/>
          <w:sz w:val="22"/>
          <w:lang w:val="en-GB" w:eastAsia="en-CA"/>
        </w:rPr>
        <w:t>)</w:t>
      </w:r>
      <w:r w:rsidRPr="002364AB">
        <w:rPr>
          <w:rFonts w:eastAsia="Times New Roman" w:cs="Times New Roman"/>
          <w:kern w:val="22"/>
          <w:sz w:val="22"/>
          <w:lang w:val="en-GB" w:eastAsia="en-CA"/>
        </w:rPr>
        <w:t xml:space="preserve">. This </w:t>
      </w:r>
      <w:r w:rsidR="00661974" w:rsidRPr="002364AB">
        <w:rPr>
          <w:rFonts w:eastAsia="Times New Roman" w:cs="Times New Roman"/>
          <w:kern w:val="22"/>
          <w:sz w:val="22"/>
          <w:lang w:val="en-GB" w:eastAsia="en-CA"/>
        </w:rPr>
        <w:t>study is the response to</w:t>
      </w:r>
      <w:r w:rsidRPr="002364AB">
        <w:rPr>
          <w:rFonts w:eastAsia="Times New Roman" w:cs="Times New Roman"/>
          <w:kern w:val="22"/>
          <w:sz w:val="22"/>
          <w:lang w:val="en-GB" w:eastAsia="en-CA"/>
        </w:rPr>
        <w:t xml:space="preserve"> that </w:t>
      </w:r>
      <w:r w:rsidR="00661974" w:rsidRPr="002364AB">
        <w:rPr>
          <w:rFonts w:eastAsia="Times New Roman" w:cs="Times New Roman"/>
          <w:kern w:val="22"/>
          <w:sz w:val="22"/>
          <w:lang w:val="en-GB" w:eastAsia="en-CA"/>
        </w:rPr>
        <w:t>request</w:t>
      </w:r>
      <w:r w:rsidRPr="002364AB">
        <w:rPr>
          <w:rFonts w:eastAsia="Times New Roman" w:cs="Times New Roman"/>
          <w:kern w:val="22"/>
          <w:sz w:val="22"/>
          <w:lang w:val="en-GB" w:eastAsia="en-CA"/>
        </w:rPr>
        <w:t xml:space="preserve">. It is expected to be submitted for consideration by the </w:t>
      </w:r>
      <w:r w:rsidR="00F47962" w:rsidRPr="002364AB">
        <w:rPr>
          <w:rFonts w:eastAsia="Times New Roman" w:cs="Times New Roman"/>
          <w:kern w:val="22"/>
          <w:sz w:val="22"/>
          <w:lang w:val="en-GB" w:eastAsia="en-CA"/>
        </w:rPr>
        <w:t xml:space="preserve">third meeting of the </w:t>
      </w:r>
      <w:r w:rsidRPr="002364AB">
        <w:rPr>
          <w:rFonts w:eastAsia="Times New Roman" w:cs="Times New Roman"/>
          <w:kern w:val="22"/>
          <w:sz w:val="22"/>
          <w:lang w:val="en-GB" w:eastAsia="en-CA"/>
        </w:rPr>
        <w:t xml:space="preserve">Subsidiary Body for Implementation </w:t>
      </w:r>
      <w:r w:rsidR="005310F1" w:rsidRPr="002364AB">
        <w:rPr>
          <w:rFonts w:eastAsia="Times New Roman" w:cs="Times New Roman"/>
          <w:kern w:val="22"/>
          <w:sz w:val="22"/>
          <w:lang w:val="en-GB" w:eastAsia="en-CA"/>
        </w:rPr>
        <w:t>(SBI</w:t>
      </w:r>
      <w:r w:rsidR="006030C1" w:rsidRPr="002364AB">
        <w:rPr>
          <w:rFonts w:eastAsia="Times New Roman" w:cs="Times New Roman"/>
          <w:kern w:val="22"/>
          <w:sz w:val="22"/>
          <w:lang w:val="en-GB" w:eastAsia="en-CA"/>
        </w:rPr>
        <w:t>)</w:t>
      </w:r>
      <w:r w:rsidRPr="002364AB">
        <w:rPr>
          <w:rFonts w:eastAsia="Times New Roman" w:cs="Times New Roman"/>
          <w:kern w:val="22"/>
          <w:sz w:val="22"/>
          <w:lang w:val="en-GB" w:eastAsia="en-CA"/>
        </w:rPr>
        <w:t xml:space="preserve"> scheduled for </w:t>
      </w:r>
      <w:r w:rsidR="00B07F1E" w:rsidRPr="002364AB">
        <w:rPr>
          <w:rFonts w:eastAsia="Times New Roman" w:cs="Times New Roman"/>
          <w:kern w:val="22"/>
          <w:sz w:val="22"/>
          <w:lang w:val="en-GB" w:eastAsia="en-CA"/>
        </w:rPr>
        <w:t xml:space="preserve">autumn </w:t>
      </w:r>
      <w:r w:rsidRPr="002364AB">
        <w:rPr>
          <w:rFonts w:eastAsia="Times New Roman" w:cs="Times New Roman"/>
          <w:kern w:val="22"/>
          <w:sz w:val="22"/>
          <w:lang w:val="en-GB" w:eastAsia="en-CA"/>
        </w:rPr>
        <w:t xml:space="preserve">2020.  </w:t>
      </w:r>
    </w:p>
    <w:p w14:paraId="5CA9508C" w14:textId="654D1FB9" w:rsidR="00631691" w:rsidRPr="002364AB" w:rsidRDefault="00631691" w:rsidP="00FC5588">
      <w:pPr>
        <w:pBdr>
          <w:top w:val="nil"/>
          <w:left w:val="nil"/>
          <w:bottom w:val="nil"/>
          <w:right w:val="nil"/>
          <w:between w:val="nil"/>
        </w:pBdr>
        <w:spacing w:after="120"/>
        <w:rPr>
          <w:rFonts w:eastAsia="Times New Roman" w:cs="Times New Roman"/>
          <w:i/>
          <w:kern w:val="22"/>
          <w:sz w:val="22"/>
          <w:lang w:val="en-GB" w:eastAsia="en-CA"/>
        </w:rPr>
      </w:pPr>
      <w:r w:rsidRPr="002364AB">
        <w:rPr>
          <w:rFonts w:eastAsia="Times New Roman" w:cs="Times New Roman"/>
          <w:i/>
          <w:kern w:val="22"/>
          <w:sz w:val="22"/>
          <w:lang w:val="en-GB" w:eastAsia="en-CA"/>
        </w:rPr>
        <w:t>Methodology</w:t>
      </w:r>
    </w:p>
    <w:p w14:paraId="178A32BD" w14:textId="4BDBCAA1" w:rsidR="00636F7E" w:rsidRPr="002364AB" w:rsidRDefault="00561DFE" w:rsidP="00561DFE">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In carrying out this study, the authors </w:t>
      </w:r>
      <w:r w:rsidR="00DB5669" w:rsidRPr="002364AB">
        <w:rPr>
          <w:rFonts w:eastAsia="Times New Roman" w:cs="Times New Roman"/>
          <w:color w:val="000000"/>
          <w:kern w:val="22"/>
          <w:sz w:val="22"/>
          <w:lang w:val="en-GB" w:eastAsia="en-CA"/>
        </w:rPr>
        <w:t xml:space="preserve">began by </w:t>
      </w:r>
      <w:proofErr w:type="spellStart"/>
      <w:r w:rsidR="00DB5669" w:rsidRPr="002364AB">
        <w:rPr>
          <w:rFonts w:eastAsia="Times New Roman" w:cs="Times New Roman"/>
          <w:color w:val="000000"/>
          <w:kern w:val="22"/>
          <w:sz w:val="22"/>
          <w:lang w:val="en-GB" w:eastAsia="en-CA"/>
        </w:rPr>
        <w:t>analyzing</w:t>
      </w:r>
      <w:proofErr w:type="spellEnd"/>
      <w:r w:rsidR="00DB5669" w:rsidRPr="002364AB">
        <w:rPr>
          <w:rFonts w:eastAsia="Times New Roman" w:cs="Times New Roman"/>
          <w:color w:val="000000"/>
          <w:kern w:val="22"/>
          <w:sz w:val="22"/>
          <w:lang w:val="en-GB" w:eastAsia="en-CA"/>
        </w:rPr>
        <w:t xml:space="preserve"> the </w:t>
      </w:r>
      <w:r w:rsidR="00636F7E" w:rsidRPr="002364AB">
        <w:rPr>
          <w:rFonts w:eastAsia="Times New Roman" w:cs="Times New Roman"/>
          <w:color w:val="000000"/>
          <w:kern w:val="22"/>
          <w:sz w:val="22"/>
          <w:lang w:val="en-GB" w:eastAsia="en-CA"/>
        </w:rPr>
        <w:t xml:space="preserve">Parties’ </w:t>
      </w:r>
      <w:r w:rsidR="00DB5669" w:rsidRPr="002364AB">
        <w:rPr>
          <w:rFonts w:eastAsia="Times New Roman" w:cs="Times New Roman"/>
          <w:color w:val="000000"/>
          <w:kern w:val="22"/>
          <w:sz w:val="22"/>
          <w:lang w:val="en-GB" w:eastAsia="en-CA"/>
        </w:rPr>
        <w:t xml:space="preserve">request to “identify specific cases” that might fall within the scope of Article 10. After careful consideration, the authors </w:t>
      </w:r>
      <w:r w:rsidRPr="002364AB">
        <w:rPr>
          <w:rFonts w:eastAsia="Times New Roman" w:cs="Times New Roman"/>
          <w:color w:val="000000"/>
          <w:kern w:val="22"/>
          <w:sz w:val="22"/>
          <w:lang w:val="en-GB" w:eastAsia="en-CA"/>
        </w:rPr>
        <w:t xml:space="preserve">interpreted the request to </w:t>
      </w:r>
      <w:r w:rsidR="00DB5669" w:rsidRPr="002364AB">
        <w:rPr>
          <w:rFonts w:eastAsia="Times New Roman" w:cs="Times New Roman"/>
          <w:color w:val="000000"/>
          <w:kern w:val="22"/>
          <w:sz w:val="22"/>
          <w:lang w:val="en-GB" w:eastAsia="en-CA"/>
        </w:rPr>
        <w:t>“</w:t>
      </w:r>
      <w:r w:rsidRPr="002364AB">
        <w:rPr>
          <w:rFonts w:eastAsia="Times New Roman" w:cs="Times New Roman"/>
          <w:color w:val="000000"/>
          <w:kern w:val="22"/>
          <w:sz w:val="22"/>
          <w:lang w:val="en-GB" w:eastAsia="en-CA"/>
        </w:rPr>
        <w:t xml:space="preserve">identify specific cases” as referring to a request to identify </w:t>
      </w:r>
      <w:r w:rsidR="009252D6" w:rsidRPr="002364AB">
        <w:rPr>
          <w:rFonts w:eastAsia="Times New Roman" w:cs="Times New Roman"/>
          <w:i/>
          <w:iCs/>
          <w:color w:val="000000"/>
          <w:kern w:val="22"/>
          <w:sz w:val="22"/>
          <w:lang w:val="en-GB" w:eastAsia="en-CA"/>
        </w:rPr>
        <w:t>distinct categories of cases</w:t>
      </w:r>
      <w:r w:rsidRPr="002364AB">
        <w:rPr>
          <w:rFonts w:eastAsia="Times New Roman" w:cs="Times New Roman"/>
          <w:color w:val="000000"/>
          <w:kern w:val="22"/>
          <w:sz w:val="22"/>
          <w:lang w:val="en-GB" w:eastAsia="en-CA"/>
        </w:rPr>
        <w:t xml:space="preserve">, rather than a request to identify </w:t>
      </w:r>
      <w:r w:rsidRPr="002364AB">
        <w:rPr>
          <w:rFonts w:eastAsia="Times New Roman" w:cs="Times New Roman"/>
          <w:i/>
          <w:iCs/>
          <w:color w:val="000000"/>
          <w:kern w:val="22"/>
          <w:sz w:val="22"/>
          <w:lang w:val="en-GB" w:eastAsia="en-CA"/>
        </w:rPr>
        <w:t>individual examples</w:t>
      </w:r>
      <w:r w:rsidRPr="002364AB">
        <w:rPr>
          <w:rFonts w:eastAsia="Times New Roman" w:cs="Times New Roman"/>
          <w:color w:val="000000"/>
          <w:kern w:val="22"/>
          <w:sz w:val="22"/>
          <w:lang w:val="en-GB" w:eastAsia="en-CA"/>
        </w:rPr>
        <w:t xml:space="preserve">. </w:t>
      </w:r>
    </w:p>
    <w:p w14:paraId="256A36A7" w14:textId="77777777" w:rsidR="00BE1ADD" w:rsidRPr="002364AB" w:rsidRDefault="00561DFE" w:rsidP="00561DFE">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This </w:t>
      </w:r>
      <w:r w:rsidR="00636F7E" w:rsidRPr="002364AB">
        <w:rPr>
          <w:rFonts w:eastAsia="Times New Roman" w:cs="Times New Roman"/>
          <w:color w:val="000000"/>
          <w:kern w:val="22"/>
          <w:sz w:val="22"/>
          <w:lang w:val="en-GB" w:eastAsia="en-CA"/>
        </w:rPr>
        <w:t xml:space="preserve">interpretation </w:t>
      </w:r>
      <w:r w:rsidR="008B008A" w:rsidRPr="002364AB">
        <w:rPr>
          <w:rFonts w:eastAsia="Times New Roman" w:cs="Times New Roman"/>
          <w:color w:val="000000"/>
          <w:kern w:val="22"/>
          <w:sz w:val="22"/>
          <w:lang w:val="en-GB" w:eastAsia="en-CA"/>
        </w:rPr>
        <w:t xml:space="preserve">was </w:t>
      </w:r>
      <w:r w:rsidRPr="002364AB">
        <w:rPr>
          <w:rFonts w:eastAsia="Times New Roman" w:cs="Times New Roman"/>
          <w:color w:val="000000"/>
          <w:kern w:val="22"/>
          <w:sz w:val="22"/>
          <w:lang w:val="en-GB" w:eastAsia="en-CA"/>
        </w:rPr>
        <w:t xml:space="preserve">based on </w:t>
      </w:r>
      <w:r w:rsidR="008B008A" w:rsidRPr="002364AB">
        <w:rPr>
          <w:rFonts w:eastAsia="Times New Roman" w:cs="Times New Roman"/>
          <w:color w:val="000000"/>
          <w:kern w:val="22"/>
          <w:sz w:val="22"/>
          <w:lang w:val="en-GB" w:eastAsia="en-CA"/>
        </w:rPr>
        <w:t xml:space="preserve">two grounds. First, the authors </w:t>
      </w:r>
      <w:r w:rsidR="00636F7E" w:rsidRPr="002364AB">
        <w:rPr>
          <w:rFonts w:eastAsia="Times New Roman" w:cs="Times New Roman"/>
          <w:color w:val="000000"/>
          <w:kern w:val="22"/>
          <w:sz w:val="22"/>
          <w:lang w:val="en-GB" w:eastAsia="en-CA"/>
        </w:rPr>
        <w:t xml:space="preserve">considered </w:t>
      </w:r>
      <w:r w:rsidR="00CB13D2" w:rsidRPr="002364AB">
        <w:rPr>
          <w:rFonts w:eastAsia="Times New Roman" w:cs="Times New Roman"/>
          <w:color w:val="000000"/>
          <w:kern w:val="22"/>
          <w:sz w:val="22"/>
          <w:lang w:val="en-GB" w:eastAsia="en-CA"/>
        </w:rPr>
        <w:t xml:space="preserve">the most </w:t>
      </w:r>
      <w:r w:rsidRPr="002364AB">
        <w:rPr>
          <w:rFonts w:eastAsia="Times New Roman" w:cs="Times New Roman"/>
          <w:color w:val="000000"/>
          <w:kern w:val="22"/>
          <w:sz w:val="22"/>
          <w:lang w:val="en-GB" w:eastAsia="en-CA"/>
        </w:rPr>
        <w:t>pertinent definitions of “specific”</w:t>
      </w:r>
      <w:r w:rsidRPr="002364AB">
        <w:rPr>
          <w:rFonts w:eastAsia="Times New Roman" w:cs="Times New Roman"/>
          <w:color w:val="000000"/>
          <w:kern w:val="22"/>
          <w:sz w:val="22"/>
          <w:vertAlign w:val="superscript"/>
          <w:lang w:val="en-GB" w:eastAsia="en-CA"/>
        </w:rPr>
        <w:footnoteReference w:id="9"/>
      </w:r>
      <w:r w:rsidRPr="002364AB">
        <w:rPr>
          <w:rFonts w:eastAsia="Times New Roman" w:cs="Times New Roman"/>
          <w:color w:val="000000"/>
          <w:kern w:val="22"/>
          <w:sz w:val="22"/>
          <w:lang w:val="en-GB" w:eastAsia="en-CA"/>
        </w:rPr>
        <w:t xml:space="preserve"> and “case”</w:t>
      </w:r>
      <w:r w:rsidRPr="002364AB">
        <w:rPr>
          <w:rFonts w:eastAsia="Times New Roman" w:cs="Times New Roman"/>
          <w:color w:val="000000"/>
          <w:kern w:val="22"/>
          <w:sz w:val="22"/>
          <w:vertAlign w:val="superscript"/>
          <w:lang w:val="en-GB" w:eastAsia="en-CA"/>
        </w:rPr>
        <w:footnoteReference w:id="10"/>
      </w:r>
      <w:r w:rsidRPr="002364AB">
        <w:rPr>
          <w:rFonts w:eastAsia="Times New Roman" w:cs="Times New Roman"/>
          <w:color w:val="000000"/>
          <w:kern w:val="22"/>
          <w:sz w:val="22"/>
          <w:lang w:val="en-GB" w:eastAsia="en-CA"/>
        </w:rPr>
        <w:t xml:space="preserve"> in the Oxford English Dictionary</w:t>
      </w:r>
      <w:r w:rsidR="00CB13D2" w:rsidRPr="002364AB">
        <w:rPr>
          <w:rFonts w:eastAsia="Times New Roman" w:cs="Times New Roman"/>
          <w:color w:val="000000"/>
          <w:kern w:val="22"/>
          <w:sz w:val="22"/>
          <w:lang w:val="en-GB" w:eastAsia="en-CA"/>
        </w:rPr>
        <w:t xml:space="preserve">. Second, the authors determined that </w:t>
      </w:r>
      <w:r w:rsidR="008B008A" w:rsidRPr="002364AB">
        <w:rPr>
          <w:rFonts w:eastAsia="Times New Roman" w:cs="Times New Roman"/>
          <w:color w:val="000000"/>
          <w:kern w:val="22"/>
          <w:sz w:val="22"/>
          <w:lang w:val="en-GB" w:eastAsia="en-CA"/>
        </w:rPr>
        <w:t xml:space="preserve">individual examples </w:t>
      </w:r>
      <w:r w:rsidRPr="002364AB">
        <w:rPr>
          <w:rFonts w:eastAsia="Times New Roman" w:cs="Times New Roman"/>
          <w:color w:val="000000"/>
          <w:kern w:val="22"/>
          <w:sz w:val="22"/>
          <w:lang w:val="en-GB" w:eastAsia="en-CA"/>
        </w:rPr>
        <w:t>would not logically justify a global</w:t>
      </w:r>
      <w:r w:rsidR="008B008A" w:rsidRPr="002364AB">
        <w:rPr>
          <w:rFonts w:eastAsia="Times New Roman" w:cs="Times New Roman"/>
          <w:color w:val="000000"/>
          <w:kern w:val="22"/>
          <w:sz w:val="22"/>
          <w:lang w:val="en-GB" w:eastAsia="en-CA"/>
        </w:rPr>
        <w:t>,</w:t>
      </w:r>
      <w:r w:rsidRPr="002364AB">
        <w:rPr>
          <w:rFonts w:eastAsia="Times New Roman" w:cs="Times New Roman"/>
          <w:color w:val="000000"/>
          <w:kern w:val="22"/>
          <w:sz w:val="22"/>
          <w:lang w:val="en-GB" w:eastAsia="en-CA"/>
        </w:rPr>
        <w:t xml:space="preserve"> </w:t>
      </w:r>
      <w:r w:rsidR="008B008A" w:rsidRPr="002364AB">
        <w:rPr>
          <w:rFonts w:eastAsia="Times New Roman" w:cs="Times New Roman"/>
          <w:color w:val="000000"/>
          <w:kern w:val="22"/>
          <w:sz w:val="22"/>
          <w:lang w:val="en-GB" w:eastAsia="en-CA"/>
        </w:rPr>
        <w:t xml:space="preserve">multilateral </w:t>
      </w:r>
      <w:r w:rsidRPr="002364AB">
        <w:rPr>
          <w:rFonts w:eastAsia="Times New Roman" w:cs="Times New Roman"/>
          <w:color w:val="000000"/>
          <w:kern w:val="22"/>
          <w:sz w:val="22"/>
          <w:lang w:val="en-GB" w:eastAsia="en-CA"/>
        </w:rPr>
        <w:t>approach</w:t>
      </w:r>
      <w:r w:rsidR="00636F7E" w:rsidRPr="002364AB">
        <w:rPr>
          <w:rFonts w:eastAsia="Times New Roman" w:cs="Times New Roman"/>
          <w:color w:val="000000"/>
          <w:kern w:val="22"/>
          <w:sz w:val="22"/>
          <w:lang w:val="en-GB" w:eastAsia="en-CA"/>
        </w:rPr>
        <w:t>, as they could theoretically be addressed on a case-by-case basis</w:t>
      </w:r>
      <w:r w:rsidRPr="002364AB">
        <w:rPr>
          <w:rFonts w:eastAsia="Times New Roman" w:cs="Times New Roman"/>
          <w:color w:val="000000"/>
          <w:kern w:val="22"/>
          <w:sz w:val="22"/>
          <w:lang w:val="en-GB" w:eastAsia="en-CA"/>
        </w:rPr>
        <w:t xml:space="preserve">. As such, the examples provided in this study are intended to be illustrative, rather than each example </w:t>
      </w:r>
      <w:r w:rsidR="00AF3C31" w:rsidRPr="002364AB">
        <w:rPr>
          <w:rFonts w:eastAsia="Times New Roman" w:cs="Times New Roman"/>
          <w:color w:val="000000"/>
          <w:kern w:val="22"/>
          <w:sz w:val="22"/>
          <w:lang w:val="en-GB" w:eastAsia="en-CA"/>
        </w:rPr>
        <w:t>comprising</w:t>
      </w:r>
      <w:r w:rsidRPr="002364AB">
        <w:rPr>
          <w:rFonts w:eastAsia="Times New Roman" w:cs="Times New Roman"/>
          <w:color w:val="000000"/>
          <w:kern w:val="22"/>
          <w:sz w:val="22"/>
          <w:lang w:val="en-GB" w:eastAsia="en-CA"/>
        </w:rPr>
        <w:t xml:space="preserve"> </w:t>
      </w:r>
      <w:r w:rsidR="009D392C" w:rsidRPr="002364AB">
        <w:rPr>
          <w:rFonts w:eastAsia="Times New Roman" w:cs="Times New Roman"/>
          <w:color w:val="000000"/>
          <w:kern w:val="22"/>
          <w:sz w:val="22"/>
          <w:lang w:val="en-GB" w:eastAsia="en-CA"/>
        </w:rPr>
        <w:t xml:space="preserve">simply </w:t>
      </w:r>
      <w:r w:rsidRPr="002364AB">
        <w:rPr>
          <w:rFonts w:eastAsia="Times New Roman" w:cs="Times New Roman"/>
          <w:color w:val="000000"/>
          <w:kern w:val="22"/>
          <w:sz w:val="22"/>
          <w:lang w:val="en-GB" w:eastAsia="en-CA"/>
        </w:rPr>
        <w:t xml:space="preserve">a discrete </w:t>
      </w:r>
      <w:r w:rsidR="009D392C" w:rsidRPr="002364AB">
        <w:rPr>
          <w:rFonts w:eastAsia="Times New Roman" w:cs="Times New Roman"/>
          <w:color w:val="000000"/>
          <w:kern w:val="22"/>
          <w:sz w:val="22"/>
          <w:lang w:val="en-GB" w:eastAsia="en-CA"/>
        </w:rPr>
        <w:t xml:space="preserve">instance of a </w:t>
      </w:r>
      <w:r w:rsidRPr="002364AB">
        <w:rPr>
          <w:rFonts w:eastAsia="Times New Roman" w:cs="Times New Roman"/>
          <w:color w:val="000000"/>
          <w:kern w:val="22"/>
          <w:sz w:val="22"/>
          <w:lang w:val="en-GB" w:eastAsia="en-CA"/>
        </w:rPr>
        <w:t>genetic resource</w:t>
      </w:r>
      <w:r w:rsidR="00AF3C31" w:rsidRPr="002364AB">
        <w:rPr>
          <w:rFonts w:eastAsia="Times New Roman" w:cs="Times New Roman"/>
          <w:color w:val="000000"/>
          <w:kern w:val="22"/>
          <w:sz w:val="22"/>
          <w:lang w:val="en-GB" w:eastAsia="en-CA"/>
        </w:rPr>
        <w:t>,</w:t>
      </w:r>
      <w:r w:rsidRPr="002364AB">
        <w:rPr>
          <w:rFonts w:eastAsia="Times New Roman" w:cs="Times New Roman"/>
          <w:color w:val="000000"/>
          <w:kern w:val="22"/>
          <w:sz w:val="22"/>
          <w:lang w:val="en-GB" w:eastAsia="en-CA"/>
        </w:rPr>
        <w:t xml:space="preserve"> or traditional knowledge associated with a genetic resource</w:t>
      </w:r>
      <w:r w:rsidR="00AF3C31" w:rsidRPr="002364AB">
        <w:rPr>
          <w:rFonts w:eastAsia="Times New Roman" w:cs="Times New Roman"/>
          <w:color w:val="000000"/>
          <w:kern w:val="22"/>
          <w:sz w:val="22"/>
          <w:lang w:val="en-GB" w:eastAsia="en-CA"/>
        </w:rPr>
        <w:t>,</w:t>
      </w:r>
      <w:r w:rsidRPr="002364AB">
        <w:rPr>
          <w:rFonts w:eastAsia="Times New Roman" w:cs="Times New Roman"/>
          <w:color w:val="000000"/>
          <w:kern w:val="22"/>
          <w:sz w:val="22"/>
          <w:lang w:val="en-GB" w:eastAsia="en-CA"/>
        </w:rPr>
        <w:t xml:space="preserve"> that could fall within the scope of Article 10. </w:t>
      </w:r>
    </w:p>
    <w:p w14:paraId="37C5ACB5" w14:textId="73949021" w:rsidR="00636F7E" w:rsidRPr="002364AB" w:rsidRDefault="00FC2875" w:rsidP="00561DFE">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Secondly, the </w:t>
      </w:r>
      <w:r w:rsidR="00CA29C9" w:rsidRPr="002364AB">
        <w:rPr>
          <w:rFonts w:eastAsia="Times New Roman" w:cs="Times New Roman"/>
          <w:color w:val="000000"/>
          <w:kern w:val="22"/>
          <w:sz w:val="22"/>
          <w:lang w:val="en-GB" w:eastAsia="en-CA"/>
        </w:rPr>
        <w:t xml:space="preserve">authors </w:t>
      </w:r>
      <w:proofErr w:type="spellStart"/>
      <w:r w:rsidR="00EA59A8" w:rsidRPr="002364AB">
        <w:rPr>
          <w:rFonts w:eastAsia="Times New Roman" w:cs="Times New Roman"/>
          <w:color w:val="000000"/>
          <w:kern w:val="22"/>
          <w:sz w:val="22"/>
          <w:lang w:val="en-GB" w:eastAsia="en-CA"/>
        </w:rPr>
        <w:t>analyzed</w:t>
      </w:r>
      <w:proofErr w:type="spellEnd"/>
      <w:r w:rsidR="00EA59A8" w:rsidRPr="002364AB">
        <w:rPr>
          <w:rFonts w:eastAsia="Times New Roman" w:cs="Times New Roman"/>
          <w:color w:val="000000"/>
          <w:kern w:val="22"/>
          <w:sz w:val="22"/>
          <w:lang w:val="en-GB" w:eastAsia="en-CA"/>
        </w:rPr>
        <w:t xml:space="preserve"> </w:t>
      </w:r>
      <w:r w:rsidR="00BC39F8" w:rsidRPr="002364AB">
        <w:rPr>
          <w:rFonts w:eastAsia="Times New Roman" w:cs="Times New Roman"/>
          <w:color w:val="000000"/>
          <w:kern w:val="22"/>
          <w:sz w:val="22"/>
          <w:lang w:val="en-GB" w:eastAsia="en-CA"/>
        </w:rPr>
        <w:t>the potential meaning of “not possible” in Article 10</w:t>
      </w:r>
      <w:r w:rsidR="00CB208C" w:rsidRPr="002364AB">
        <w:rPr>
          <w:rFonts w:eastAsia="Times New Roman" w:cs="Times New Roman"/>
          <w:color w:val="000000"/>
          <w:kern w:val="22"/>
          <w:sz w:val="22"/>
          <w:lang w:val="en-GB" w:eastAsia="en-CA"/>
        </w:rPr>
        <w:t xml:space="preserve">. The </w:t>
      </w:r>
      <w:r w:rsidR="00C70746" w:rsidRPr="002364AB">
        <w:rPr>
          <w:rFonts w:eastAsia="Times New Roman" w:cs="Times New Roman"/>
          <w:color w:val="000000"/>
          <w:kern w:val="22"/>
          <w:sz w:val="22"/>
          <w:lang w:val="en-GB" w:eastAsia="en-CA"/>
        </w:rPr>
        <w:t xml:space="preserve">general rule of treaty interpretation contained in </w:t>
      </w:r>
      <w:r w:rsidR="00B67E3E" w:rsidRPr="002364AB">
        <w:rPr>
          <w:rFonts w:eastAsia="Times New Roman" w:cs="Times New Roman"/>
          <w:color w:val="000000"/>
          <w:kern w:val="22"/>
          <w:sz w:val="22"/>
          <w:lang w:val="en-GB" w:eastAsia="en-CA"/>
        </w:rPr>
        <w:t>t</w:t>
      </w:r>
      <w:r w:rsidR="00C70746" w:rsidRPr="002364AB">
        <w:rPr>
          <w:rFonts w:eastAsia="Times New Roman" w:cs="Times New Roman"/>
          <w:color w:val="000000"/>
          <w:kern w:val="22"/>
          <w:sz w:val="22"/>
          <w:lang w:val="en-GB" w:eastAsia="en-CA"/>
        </w:rPr>
        <w:t xml:space="preserve">he </w:t>
      </w:r>
      <w:r w:rsidR="00CB208C" w:rsidRPr="002364AB">
        <w:rPr>
          <w:rFonts w:eastAsia="Times New Roman" w:cs="Times New Roman"/>
          <w:color w:val="000000"/>
          <w:kern w:val="22"/>
          <w:sz w:val="22"/>
          <w:lang w:val="en-GB" w:eastAsia="en-CA"/>
        </w:rPr>
        <w:t xml:space="preserve">Vienna Convention on the Law of Treaties </w:t>
      </w:r>
      <w:r w:rsidR="00433B4C" w:rsidRPr="002364AB">
        <w:rPr>
          <w:rFonts w:eastAsia="Times New Roman" w:cs="Times New Roman"/>
          <w:color w:val="000000"/>
          <w:kern w:val="22"/>
          <w:sz w:val="22"/>
          <w:lang w:val="en-GB" w:eastAsia="en-CA"/>
        </w:rPr>
        <w:t xml:space="preserve">relies upon </w:t>
      </w:r>
      <w:r w:rsidR="00EA59A8" w:rsidRPr="002364AB">
        <w:rPr>
          <w:rFonts w:eastAsia="Times New Roman" w:cs="Times New Roman"/>
          <w:color w:val="000000"/>
          <w:kern w:val="22"/>
          <w:sz w:val="22"/>
          <w:lang w:val="en-GB" w:eastAsia="en-CA"/>
        </w:rPr>
        <w:t xml:space="preserve">a </w:t>
      </w:r>
      <w:r w:rsidR="00044FC5" w:rsidRPr="002364AB">
        <w:rPr>
          <w:rFonts w:eastAsia="Times New Roman" w:cs="Times New Roman"/>
          <w:color w:val="000000"/>
          <w:kern w:val="22"/>
          <w:sz w:val="22"/>
          <w:lang w:val="en-GB" w:eastAsia="en-CA"/>
        </w:rPr>
        <w:t>three-fold</w:t>
      </w:r>
      <w:r w:rsidR="00A575FC" w:rsidRPr="002364AB">
        <w:rPr>
          <w:rFonts w:eastAsia="Times New Roman" w:cs="Times New Roman"/>
          <w:color w:val="000000"/>
          <w:kern w:val="22"/>
          <w:sz w:val="22"/>
          <w:lang w:val="en-GB" w:eastAsia="en-CA"/>
        </w:rPr>
        <w:t>, good faith</w:t>
      </w:r>
      <w:r w:rsidR="00044FC5" w:rsidRPr="002364AB">
        <w:rPr>
          <w:rFonts w:eastAsia="Times New Roman" w:cs="Times New Roman"/>
          <w:color w:val="000000"/>
          <w:kern w:val="22"/>
          <w:sz w:val="22"/>
          <w:lang w:val="en-GB" w:eastAsia="en-CA"/>
        </w:rPr>
        <w:t xml:space="preserve"> </w:t>
      </w:r>
      <w:r w:rsidR="00EA59A8" w:rsidRPr="002364AB">
        <w:rPr>
          <w:rFonts w:eastAsia="Times New Roman" w:cs="Times New Roman"/>
          <w:color w:val="000000"/>
          <w:kern w:val="22"/>
          <w:sz w:val="22"/>
          <w:lang w:val="en-GB" w:eastAsia="en-CA"/>
        </w:rPr>
        <w:t>assessment of</w:t>
      </w:r>
      <w:r w:rsidR="009D6FAD" w:rsidRPr="002364AB">
        <w:rPr>
          <w:rFonts w:eastAsia="Times New Roman" w:cs="Times New Roman"/>
          <w:color w:val="000000"/>
          <w:kern w:val="22"/>
          <w:sz w:val="22"/>
          <w:lang w:val="en-GB" w:eastAsia="en-CA"/>
        </w:rPr>
        <w:t>:</w:t>
      </w:r>
      <w:r w:rsidR="00EA59A8" w:rsidRPr="002364AB">
        <w:rPr>
          <w:rFonts w:eastAsia="Times New Roman" w:cs="Times New Roman"/>
          <w:color w:val="000000"/>
          <w:kern w:val="22"/>
          <w:sz w:val="22"/>
          <w:lang w:val="en-GB" w:eastAsia="en-CA"/>
        </w:rPr>
        <w:t xml:space="preserve"> </w:t>
      </w:r>
      <w:r w:rsidR="00433B4C" w:rsidRPr="002364AB">
        <w:rPr>
          <w:rFonts w:eastAsia="Times New Roman" w:cs="Times New Roman"/>
          <w:color w:val="000000"/>
          <w:kern w:val="22"/>
          <w:sz w:val="22"/>
          <w:lang w:val="en-GB" w:eastAsia="en-CA"/>
        </w:rPr>
        <w:t xml:space="preserve">(1) </w:t>
      </w:r>
      <w:r w:rsidR="009B32FD" w:rsidRPr="002364AB">
        <w:rPr>
          <w:rFonts w:eastAsia="Times New Roman" w:cs="Times New Roman"/>
          <w:color w:val="000000"/>
          <w:kern w:val="22"/>
          <w:sz w:val="22"/>
          <w:lang w:val="en-GB" w:eastAsia="en-CA"/>
        </w:rPr>
        <w:t xml:space="preserve">the ordinary meaning of the </w:t>
      </w:r>
      <w:r w:rsidR="007348AA" w:rsidRPr="002364AB">
        <w:rPr>
          <w:rFonts w:eastAsia="Times New Roman" w:cs="Times New Roman"/>
          <w:color w:val="000000"/>
          <w:kern w:val="22"/>
          <w:sz w:val="22"/>
          <w:lang w:val="en-GB" w:eastAsia="en-CA"/>
        </w:rPr>
        <w:t xml:space="preserve">term; (2) in </w:t>
      </w:r>
      <w:r w:rsidR="00D63CB7" w:rsidRPr="002364AB">
        <w:rPr>
          <w:rFonts w:eastAsia="Times New Roman" w:cs="Times New Roman"/>
          <w:color w:val="000000"/>
          <w:kern w:val="22"/>
          <w:sz w:val="22"/>
          <w:lang w:val="en-GB" w:eastAsia="en-CA"/>
        </w:rPr>
        <w:t xml:space="preserve">its </w:t>
      </w:r>
      <w:r w:rsidR="007348AA" w:rsidRPr="002364AB">
        <w:rPr>
          <w:rFonts w:eastAsia="Times New Roman" w:cs="Times New Roman"/>
          <w:color w:val="000000"/>
          <w:kern w:val="22"/>
          <w:sz w:val="22"/>
          <w:lang w:val="en-GB" w:eastAsia="en-CA"/>
        </w:rPr>
        <w:t>context; (3) in light of the treaty’s object and purpose.</w:t>
      </w:r>
      <w:r w:rsidR="00B76E27" w:rsidRPr="002364AB">
        <w:rPr>
          <w:rStyle w:val="FootnoteReference"/>
          <w:rFonts w:eastAsia="Times New Roman" w:cs="Times New Roman"/>
          <w:color w:val="000000"/>
          <w:kern w:val="22"/>
          <w:sz w:val="22"/>
          <w:lang w:val="en-GB" w:eastAsia="en-CA"/>
        </w:rPr>
        <w:footnoteReference w:id="11"/>
      </w:r>
      <w:r w:rsidR="00BC1955" w:rsidRPr="002364AB">
        <w:rPr>
          <w:rFonts w:eastAsia="Times New Roman" w:cs="Times New Roman"/>
          <w:color w:val="000000"/>
          <w:kern w:val="22"/>
          <w:sz w:val="22"/>
          <w:lang w:val="en-GB" w:eastAsia="en-CA"/>
        </w:rPr>
        <w:t xml:space="preserve"> </w:t>
      </w:r>
    </w:p>
    <w:p w14:paraId="6D3C9C0D" w14:textId="39DEF58B" w:rsidR="00F544CA" w:rsidRPr="002364AB" w:rsidRDefault="00BC1955" w:rsidP="00561DFE">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The </w:t>
      </w:r>
      <w:r w:rsidR="00E77020" w:rsidRPr="002364AB">
        <w:rPr>
          <w:rFonts w:eastAsia="Times New Roman" w:cs="Times New Roman"/>
          <w:color w:val="000000"/>
          <w:kern w:val="22"/>
          <w:sz w:val="22"/>
          <w:lang w:val="en-GB" w:eastAsia="en-CA"/>
        </w:rPr>
        <w:t>context</w:t>
      </w:r>
      <w:r w:rsidR="00740860" w:rsidRPr="002364AB">
        <w:rPr>
          <w:rFonts w:eastAsia="Times New Roman" w:cs="Times New Roman"/>
          <w:color w:val="000000"/>
          <w:kern w:val="22"/>
          <w:sz w:val="22"/>
          <w:lang w:val="en-GB" w:eastAsia="en-CA"/>
        </w:rPr>
        <w:t xml:space="preserve"> </w:t>
      </w:r>
      <w:r w:rsidR="000F7990" w:rsidRPr="002364AB">
        <w:rPr>
          <w:rFonts w:eastAsia="Times New Roman" w:cs="Times New Roman"/>
          <w:color w:val="000000"/>
          <w:kern w:val="22"/>
          <w:sz w:val="22"/>
          <w:lang w:val="en-GB" w:eastAsia="en-CA"/>
        </w:rPr>
        <w:t xml:space="preserve">of Article 10 </w:t>
      </w:r>
      <w:proofErr w:type="gramStart"/>
      <w:r w:rsidR="00444117" w:rsidRPr="002364AB">
        <w:rPr>
          <w:rFonts w:eastAsia="Times New Roman" w:cs="Times New Roman"/>
          <w:color w:val="000000"/>
          <w:kern w:val="22"/>
          <w:sz w:val="22"/>
          <w:lang w:val="en-GB" w:eastAsia="en-CA"/>
        </w:rPr>
        <w:t>in light of</w:t>
      </w:r>
      <w:proofErr w:type="gramEnd"/>
      <w:r w:rsidR="00444117" w:rsidRPr="002364AB">
        <w:rPr>
          <w:rFonts w:eastAsia="Times New Roman" w:cs="Times New Roman"/>
          <w:color w:val="000000"/>
          <w:kern w:val="22"/>
          <w:sz w:val="22"/>
          <w:lang w:val="en-GB" w:eastAsia="en-CA"/>
        </w:rPr>
        <w:t xml:space="preserve"> the treaty’s object and purpose </w:t>
      </w:r>
      <w:r w:rsidR="006519D2" w:rsidRPr="002364AB">
        <w:rPr>
          <w:rFonts w:eastAsia="Times New Roman" w:cs="Times New Roman"/>
          <w:color w:val="000000"/>
          <w:kern w:val="22"/>
          <w:sz w:val="22"/>
          <w:lang w:val="en-GB" w:eastAsia="en-CA"/>
        </w:rPr>
        <w:t xml:space="preserve">suggests that </w:t>
      </w:r>
      <w:r w:rsidR="000F7990" w:rsidRPr="002364AB">
        <w:rPr>
          <w:rFonts w:eastAsia="Times New Roman" w:cs="Times New Roman"/>
          <w:color w:val="000000"/>
          <w:kern w:val="22"/>
          <w:sz w:val="22"/>
          <w:lang w:val="en-GB" w:eastAsia="en-CA"/>
        </w:rPr>
        <w:t xml:space="preserve">it </w:t>
      </w:r>
      <w:r w:rsidR="006519D2" w:rsidRPr="002364AB">
        <w:rPr>
          <w:rFonts w:eastAsia="Times New Roman" w:cs="Times New Roman"/>
          <w:color w:val="000000"/>
          <w:kern w:val="22"/>
          <w:sz w:val="22"/>
          <w:lang w:val="en-GB" w:eastAsia="en-CA"/>
        </w:rPr>
        <w:t xml:space="preserve">is meant to address cases that </w:t>
      </w:r>
      <w:r w:rsidR="00AC3CC4" w:rsidRPr="002364AB">
        <w:rPr>
          <w:rFonts w:eastAsia="Times New Roman" w:cs="Times New Roman"/>
          <w:color w:val="000000"/>
          <w:kern w:val="22"/>
          <w:sz w:val="22"/>
          <w:lang w:val="en-GB" w:eastAsia="en-CA"/>
        </w:rPr>
        <w:t xml:space="preserve">cannot be addressed </w:t>
      </w:r>
      <w:r w:rsidR="00324CF5" w:rsidRPr="002364AB">
        <w:rPr>
          <w:rFonts w:eastAsia="Times New Roman" w:cs="Times New Roman"/>
          <w:color w:val="000000"/>
          <w:kern w:val="22"/>
          <w:sz w:val="22"/>
          <w:lang w:val="en-GB" w:eastAsia="en-CA"/>
        </w:rPr>
        <w:t xml:space="preserve">through the </w:t>
      </w:r>
      <w:r w:rsidR="007F7D99" w:rsidRPr="002364AB">
        <w:rPr>
          <w:rFonts w:eastAsia="Times New Roman" w:cs="Times New Roman"/>
          <w:color w:val="000000"/>
          <w:kern w:val="22"/>
          <w:sz w:val="22"/>
          <w:lang w:val="en-GB" w:eastAsia="en-CA"/>
        </w:rPr>
        <w:t xml:space="preserve">bilateral </w:t>
      </w:r>
      <w:r w:rsidR="00444117" w:rsidRPr="002364AB">
        <w:rPr>
          <w:rFonts w:eastAsia="Times New Roman" w:cs="Times New Roman"/>
          <w:color w:val="000000"/>
          <w:kern w:val="22"/>
          <w:sz w:val="22"/>
          <w:lang w:val="en-GB" w:eastAsia="en-CA"/>
        </w:rPr>
        <w:t>approach</w:t>
      </w:r>
      <w:r w:rsidR="00AC3CC4" w:rsidRPr="002364AB">
        <w:rPr>
          <w:rFonts w:eastAsia="Times New Roman" w:cs="Times New Roman"/>
          <w:color w:val="000000"/>
          <w:kern w:val="22"/>
          <w:sz w:val="22"/>
          <w:lang w:val="en-GB" w:eastAsia="en-CA"/>
        </w:rPr>
        <w:t>, but</w:t>
      </w:r>
      <w:r w:rsidR="000F7990" w:rsidRPr="002364AB">
        <w:rPr>
          <w:rFonts w:eastAsia="Times New Roman" w:cs="Times New Roman"/>
          <w:color w:val="000000"/>
          <w:kern w:val="22"/>
          <w:sz w:val="22"/>
          <w:lang w:val="en-GB" w:eastAsia="en-CA"/>
        </w:rPr>
        <w:t xml:space="preserve"> this does not </w:t>
      </w:r>
      <w:r w:rsidR="00DD41AE" w:rsidRPr="002364AB">
        <w:rPr>
          <w:rFonts w:eastAsia="Times New Roman" w:cs="Times New Roman"/>
          <w:color w:val="000000"/>
          <w:kern w:val="22"/>
          <w:sz w:val="22"/>
          <w:lang w:val="en-GB" w:eastAsia="en-CA"/>
        </w:rPr>
        <w:t>fully illuminate</w:t>
      </w:r>
      <w:r w:rsidR="000F7990" w:rsidRPr="002364AB">
        <w:rPr>
          <w:rFonts w:eastAsia="Times New Roman" w:cs="Times New Roman"/>
          <w:color w:val="000000"/>
          <w:kern w:val="22"/>
          <w:sz w:val="22"/>
          <w:lang w:val="en-GB" w:eastAsia="en-CA"/>
        </w:rPr>
        <w:t xml:space="preserve"> the meaning of “not possible”. In consequence, the authors relied on the dictionary definition</w:t>
      </w:r>
      <w:r w:rsidR="0077132D" w:rsidRPr="002364AB">
        <w:rPr>
          <w:rFonts w:eastAsia="Times New Roman" w:cs="Times New Roman"/>
          <w:color w:val="000000"/>
          <w:kern w:val="22"/>
          <w:sz w:val="22"/>
          <w:lang w:val="en-GB" w:eastAsia="en-CA"/>
        </w:rPr>
        <w:t>s</w:t>
      </w:r>
      <w:r w:rsidR="000F7990" w:rsidRPr="002364AB">
        <w:rPr>
          <w:rFonts w:eastAsia="Times New Roman" w:cs="Times New Roman"/>
          <w:color w:val="000000"/>
          <w:kern w:val="22"/>
          <w:sz w:val="22"/>
          <w:lang w:val="en-GB" w:eastAsia="en-CA"/>
        </w:rPr>
        <w:t xml:space="preserve"> of </w:t>
      </w:r>
      <w:r w:rsidR="0077132D" w:rsidRPr="002364AB">
        <w:rPr>
          <w:rFonts w:eastAsia="Times New Roman" w:cs="Times New Roman"/>
          <w:color w:val="000000"/>
          <w:kern w:val="22"/>
          <w:sz w:val="22"/>
          <w:lang w:val="en-GB" w:eastAsia="en-CA"/>
        </w:rPr>
        <w:t>“possible”</w:t>
      </w:r>
      <w:r w:rsidR="007526A8" w:rsidRPr="002364AB">
        <w:rPr>
          <w:rStyle w:val="FootnoteReference"/>
          <w:rFonts w:eastAsia="Times New Roman" w:cs="Times New Roman"/>
          <w:color w:val="000000"/>
          <w:kern w:val="22"/>
          <w:sz w:val="22"/>
          <w:lang w:val="en-GB" w:eastAsia="en-CA"/>
        </w:rPr>
        <w:footnoteReference w:id="12"/>
      </w:r>
      <w:r w:rsidR="0077132D" w:rsidRPr="002364AB">
        <w:rPr>
          <w:rFonts w:eastAsia="Times New Roman" w:cs="Times New Roman"/>
          <w:color w:val="000000"/>
          <w:kern w:val="22"/>
          <w:sz w:val="22"/>
          <w:lang w:val="en-GB" w:eastAsia="en-CA"/>
        </w:rPr>
        <w:t xml:space="preserve"> and </w:t>
      </w:r>
      <w:r w:rsidR="00EF5DD7" w:rsidRPr="002364AB">
        <w:rPr>
          <w:rFonts w:eastAsia="Times New Roman" w:cs="Times New Roman"/>
          <w:color w:val="000000"/>
          <w:kern w:val="22"/>
          <w:sz w:val="22"/>
          <w:lang w:val="en-GB" w:eastAsia="en-CA"/>
        </w:rPr>
        <w:t>“impossible”</w:t>
      </w:r>
      <w:r w:rsidR="007526A8" w:rsidRPr="002364AB">
        <w:rPr>
          <w:rStyle w:val="FootnoteReference"/>
          <w:rFonts w:eastAsia="Times New Roman" w:cs="Times New Roman"/>
          <w:color w:val="000000"/>
          <w:kern w:val="22"/>
          <w:sz w:val="22"/>
          <w:lang w:val="en-GB" w:eastAsia="en-CA"/>
        </w:rPr>
        <w:footnoteReference w:id="13"/>
      </w:r>
      <w:r w:rsidR="00B2630F" w:rsidRPr="002364AB">
        <w:rPr>
          <w:rFonts w:eastAsia="Times New Roman" w:cs="Times New Roman"/>
          <w:color w:val="000000"/>
          <w:kern w:val="22"/>
          <w:sz w:val="22"/>
          <w:lang w:val="en-GB" w:eastAsia="en-CA"/>
        </w:rPr>
        <w:t xml:space="preserve"> and</w:t>
      </w:r>
      <w:r w:rsidR="00424DC6" w:rsidRPr="002364AB">
        <w:rPr>
          <w:rFonts w:eastAsia="Times New Roman" w:cs="Times New Roman"/>
          <w:color w:val="000000"/>
          <w:kern w:val="22"/>
          <w:sz w:val="22"/>
          <w:lang w:val="en-GB" w:eastAsia="en-CA"/>
        </w:rPr>
        <w:t xml:space="preserve"> selected a </w:t>
      </w:r>
      <w:r w:rsidR="004A0785" w:rsidRPr="002364AB">
        <w:rPr>
          <w:rFonts w:eastAsia="Times New Roman" w:cs="Times New Roman"/>
          <w:color w:val="000000"/>
          <w:kern w:val="22"/>
          <w:sz w:val="22"/>
          <w:lang w:val="en-GB" w:eastAsia="en-CA"/>
        </w:rPr>
        <w:t xml:space="preserve">common </w:t>
      </w:r>
      <w:r w:rsidR="00424DC6" w:rsidRPr="002364AB">
        <w:rPr>
          <w:rFonts w:eastAsia="Times New Roman" w:cs="Times New Roman"/>
          <w:color w:val="000000"/>
          <w:kern w:val="22"/>
          <w:sz w:val="22"/>
          <w:lang w:val="en-GB" w:eastAsia="en-CA"/>
        </w:rPr>
        <w:t>definition that was in keeping with the inclusive approach</w:t>
      </w:r>
      <w:r w:rsidR="004A0785" w:rsidRPr="002364AB">
        <w:rPr>
          <w:rFonts w:eastAsia="Times New Roman" w:cs="Times New Roman"/>
          <w:color w:val="000000"/>
          <w:kern w:val="22"/>
          <w:sz w:val="22"/>
          <w:lang w:val="en-GB" w:eastAsia="en-CA"/>
        </w:rPr>
        <w:t xml:space="preserve"> aimed for by this study</w:t>
      </w:r>
      <w:r w:rsidR="00EF6B8B" w:rsidRPr="002364AB">
        <w:rPr>
          <w:rFonts w:eastAsia="Times New Roman" w:cs="Times New Roman"/>
          <w:color w:val="000000"/>
          <w:kern w:val="22"/>
          <w:sz w:val="22"/>
          <w:lang w:val="en-GB" w:eastAsia="en-CA"/>
        </w:rPr>
        <w:t>.</w:t>
      </w:r>
      <w:r w:rsidR="0026281D" w:rsidRPr="002364AB">
        <w:rPr>
          <w:rFonts w:eastAsia="Times New Roman" w:cs="Times New Roman"/>
          <w:color w:val="000000"/>
          <w:kern w:val="22"/>
          <w:sz w:val="22"/>
          <w:lang w:val="en-GB" w:eastAsia="en-CA"/>
        </w:rPr>
        <w:t xml:space="preserve"> This definition</w:t>
      </w:r>
      <w:r w:rsidR="00693011" w:rsidRPr="002364AB">
        <w:rPr>
          <w:rFonts w:eastAsia="Times New Roman" w:cs="Times New Roman"/>
          <w:color w:val="000000"/>
          <w:kern w:val="22"/>
          <w:sz w:val="22"/>
          <w:lang w:val="en-GB" w:eastAsia="en-CA"/>
        </w:rPr>
        <w:t xml:space="preserve"> includes </w:t>
      </w:r>
      <w:r w:rsidR="0073512B" w:rsidRPr="002364AB">
        <w:rPr>
          <w:rFonts w:eastAsia="Times New Roman" w:cs="Times New Roman"/>
          <w:color w:val="000000"/>
          <w:kern w:val="22"/>
          <w:sz w:val="22"/>
          <w:lang w:val="en-GB" w:eastAsia="en-CA"/>
        </w:rPr>
        <w:t>both</w:t>
      </w:r>
      <w:r w:rsidR="00693011" w:rsidRPr="002364AB">
        <w:rPr>
          <w:rFonts w:eastAsia="Times New Roman" w:cs="Times New Roman"/>
          <w:color w:val="000000"/>
          <w:kern w:val="22"/>
          <w:sz w:val="22"/>
          <w:lang w:val="en-GB" w:eastAsia="en-CA"/>
        </w:rPr>
        <w:t xml:space="preserve"> </w:t>
      </w:r>
      <w:r w:rsidR="00077E18" w:rsidRPr="002364AB">
        <w:rPr>
          <w:rFonts w:eastAsia="Times New Roman" w:cs="Times New Roman"/>
          <w:color w:val="000000"/>
          <w:kern w:val="22"/>
          <w:sz w:val="22"/>
          <w:lang w:val="en-GB" w:eastAsia="en-CA"/>
        </w:rPr>
        <w:t>factual impossibility</w:t>
      </w:r>
      <w:r w:rsidR="00E44E58" w:rsidRPr="002364AB">
        <w:rPr>
          <w:rFonts w:eastAsia="Times New Roman" w:cs="Times New Roman"/>
          <w:color w:val="000000"/>
          <w:kern w:val="22"/>
          <w:sz w:val="22"/>
          <w:lang w:val="en-GB" w:eastAsia="en-CA"/>
        </w:rPr>
        <w:t xml:space="preserve"> and </w:t>
      </w:r>
      <w:r w:rsidR="00D87901" w:rsidRPr="002364AB">
        <w:rPr>
          <w:rFonts w:eastAsia="Times New Roman" w:cs="Times New Roman"/>
          <w:color w:val="000000"/>
          <w:kern w:val="22"/>
          <w:sz w:val="22"/>
          <w:lang w:val="en-GB" w:eastAsia="en-CA"/>
        </w:rPr>
        <w:t>functional impossibility</w:t>
      </w:r>
      <w:r w:rsidR="00111557" w:rsidRPr="002364AB">
        <w:rPr>
          <w:rFonts w:eastAsia="Times New Roman" w:cs="Times New Roman"/>
          <w:color w:val="000000"/>
          <w:kern w:val="22"/>
          <w:sz w:val="22"/>
          <w:lang w:val="en-GB" w:eastAsia="en-CA"/>
        </w:rPr>
        <w:t xml:space="preserve"> (</w:t>
      </w:r>
      <w:r w:rsidR="007F21E0" w:rsidRPr="002364AB">
        <w:rPr>
          <w:rFonts w:eastAsia="Times New Roman" w:cs="Times New Roman"/>
          <w:color w:val="000000"/>
          <w:kern w:val="22"/>
          <w:sz w:val="22"/>
          <w:lang w:val="en-GB" w:eastAsia="en-CA"/>
        </w:rPr>
        <w:t xml:space="preserve">i.e. </w:t>
      </w:r>
      <w:r w:rsidR="00111557" w:rsidRPr="002364AB">
        <w:rPr>
          <w:rFonts w:eastAsia="Times New Roman" w:cs="Times New Roman"/>
          <w:color w:val="000000"/>
          <w:kern w:val="22"/>
          <w:sz w:val="22"/>
          <w:lang w:val="en-GB" w:eastAsia="en-CA"/>
        </w:rPr>
        <w:t>so improbable</w:t>
      </w:r>
      <w:r w:rsidR="00D51AD8" w:rsidRPr="002364AB">
        <w:rPr>
          <w:rFonts w:eastAsia="Times New Roman" w:cs="Times New Roman"/>
          <w:color w:val="000000"/>
          <w:kern w:val="22"/>
          <w:sz w:val="22"/>
          <w:lang w:val="en-GB" w:eastAsia="en-CA"/>
        </w:rPr>
        <w:t>, impractical</w:t>
      </w:r>
      <w:r w:rsidR="00111557" w:rsidRPr="002364AB">
        <w:rPr>
          <w:rFonts w:eastAsia="Times New Roman" w:cs="Times New Roman"/>
          <w:color w:val="000000"/>
          <w:kern w:val="22"/>
          <w:sz w:val="22"/>
          <w:lang w:val="en-GB" w:eastAsia="en-CA"/>
        </w:rPr>
        <w:t xml:space="preserve"> or </w:t>
      </w:r>
      <w:r w:rsidR="00D16B03" w:rsidRPr="002364AB">
        <w:rPr>
          <w:rFonts w:eastAsia="Times New Roman" w:cs="Times New Roman"/>
          <w:color w:val="000000"/>
          <w:kern w:val="22"/>
          <w:sz w:val="22"/>
          <w:lang w:val="en-GB" w:eastAsia="en-CA"/>
        </w:rPr>
        <w:t>in</w:t>
      </w:r>
      <w:r w:rsidR="002B0A23" w:rsidRPr="002364AB">
        <w:rPr>
          <w:rFonts w:eastAsia="Times New Roman" w:cs="Times New Roman"/>
          <w:color w:val="000000"/>
          <w:kern w:val="22"/>
          <w:sz w:val="22"/>
          <w:lang w:val="en-GB" w:eastAsia="en-CA"/>
        </w:rPr>
        <w:t xml:space="preserve">feasible that it is </w:t>
      </w:r>
      <w:r w:rsidR="00327B09" w:rsidRPr="002364AB">
        <w:rPr>
          <w:rFonts w:eastAsia="Times New Roman" w:cs="Times New Roman"/>
          <w:color w:val="000000"/>
          <w:kern w:val="22"/>
          <w:sz w:val="22"/>
          <w:lang w:val="en-GB" w:eastAsia="en-CA"/>
        </w:rPr>
        <w:t>not possible</w:t>
      </w:r>
      <w:r w:rsidR="002B0A23" w:rsidRPr="002364AB">
        <w:rPr>
          <w:rFonts w:eastAsia="Times New Roman" w:cs="Times New Roman"/>
          <w:color w:val="000000"/>
          <w:kern w:val="22"/>
          <w:sz w:val="22"/>
          <w:lang w:val="en-GB" w:eastAsia="en-CA"/>
        </w:rPr>
        <w:t>)</w:t>
      </w:r>
      <w:r w:rsidR="00D87901" w:rsidRPr="002364AB">
        <w:rPr>
          <w:rFonts w:eastAsia="Times New Roman" w:cs="Times New Roman"/>
          <w:color w:val="000000"/>
          <w:kern w:val="22"/>
          <w:sz w:val="22"/>
          <w:lang w:val="en-GB" w:eastAsia="en-CA"/>
        </w:rPr>
        <w:t>.</w:t>
      </w:r>
      <w:r w:rsidR="00BF3BF4" w:rsidRPr="002364AB">
        <w:rPr>
          <w:rFonts w:eastAsia="Times New Roman" w:cs="Times New Roman"/>
          <w:color w:val="000000"/>
          <w:kern w:val="22"/>
          <w:sz w:val="22"/>
          <w:lang w:val="en-GB" w:eastAsia="en-CA"/>
        </w:rPr>
        <w:t xml:space="preserve"> </w:t>
      </w:r>
      <w:r w:rsidR="000C03C2" w:rsidRPr="002364AB">
        <w:rPr>
          <w:rFonts w:eastAsia="Times New Roman" w:cs="Times New Roman"/>
          <w:color w:val="000000"/>
          <w:kern w:val="22"/>
          <w:sz w:val="22"/>
          <w:lang w:val="en-GB" w:eastAsia="en-CA"/>
        </w:rPr>
        <w:t>This is consistent with the</w:t>
      </w:r>
      <w:r w:rsidR="00F87544" w:rsidRPr="002364AB">
        <w:rPr>
          <w:rFonts w:eastAsia="Times New Roman" w:cs="Times New Roman"/>
          <w:color w:val="000000"/>
          <w:kern w:val="22"/>
          <w:sz w:val="22"/>
          <w:lang w:val="en-GB" w:eastAsia="en-CA"/>
        </w:rPr>
        <w:t xml:space="preserve"> </w:t>
      </w:r>
      <w:r w:rsidR="00CE606E" w:rsidRPr="002364AB">
        <w:rPr>
          <w:rFonts w:eastAsia="Times New Roman" w:cs="Times New Roman"/>
          <w:color w:val="000000"/>
          <w:kern w:val="22"/>
          <w:sz w:val="22"/>
          <w:lang w:val="en-GB" w:eastAsia="en-CA"/>
        </w:rPr>
        <w:t xml:space="preserve">explanation </w:t>
      </w:r>
      <w:r w:rsidR="00960D96" w:rsidRPr="002364AB">
        <w:rPr>
          <w:rFonts w:eastAsia="Times New Roman" w:cs="Times New Roman"/>
          <w:color w:val="000000"/>
          <w:kern w:val="22"/>
          <w:sz w:val="22"/>
          <w:lang w:val="en-GB" w:eastAsia="en-CA"/>
        </w:rPr>
        <w:t>o</w:t>
      </w:r>
      <w:r w:rsidR="00CE606E" w:rsidRPr="002364AB">
        <w:rPr>
          <w:rFonts w:eastAsia="Times New Roman" w:cs="Times New Roman"/>
          <w:color w:val="000000"/>
          <w:kern w:val="22"/>
          <w:sz w:val="22"/>
          <w:lang w:val="en-GB" w:eastAsia="en-CA"/>
        </w:rPr>
        <w:t>f</w:t>
      </w:r>
      <w:r w:rsidR="00960D96" w:rsidRPr="002364AB">
        <w:rPr>
          <w:rFonts w:eastAsia="Times New Roman" w:cs="Times New Roman"/>
          <w:color w:val="000000"/>
          <w:kern w:val="22"/>
          <w:sz w:val="22"/>
          <w:lang w:val="en-GB" w:eastAsia="en-CA"/>
        </w:rPr>
        <w:t xml:space="preserve"> Article 10 </w:t>
      </w:r>
      <w:r w:rsidR="00F87544" w:rsidRPr="002364AB">
        <w:rPr>
          <w:rFonts w:eastAsia="Times New Roman" w:cs="Times New Roman"/>
          <w:color w:val="000000"/>
          <w:kern w:val="22"/>
          <w:sz w:val="22"/>
          <w:lang w:val="en-GB" w:eastAsia="en-CA"/>
        </w:rPr>
        <w:t xml:space="preserve">provided in the IUCN Explanatory Guide to the </w:t>
      </w:r>
      <w:r w:rsidR="00960D96" w:rsidRPr="002364AB">
        <w:rPr>
          <w:rFonts w:eastAsia="Times New Roman" w:cs="Times New Roman"/>
          <w:color w:val="000000"/>
          <w:kern w:val="22"/>
          <w:sz w:val="22"/>
          <w:lang w:val="en-GB" w:eastAsia="en-CA"/>
        </w:rPr>
        <w:t>Nagoya Protocol</w:t>
      </w:r>
      <w:r w:rsidR="00DD41AE" w:rsidRPr="002364AB">
        <w:rPr>
          <w:rFonts w:eastAsia="Times New Roman" w:cs="Times New Roman"/>
          <w:color w:val="000000"/>
          <w:kern w:val="22"/>
          <w:sz w:val="22"/>
          <w:lang w:val="en-GB" w:eastAsia="en-CA"/>
        </w:rPr>
        <w:t xml:space="preserve"> and the understanding of some Parties</w:t>
      </w:r>
      <w:r w:rsidR="00960D96" w:rsidRPr="002364AB">
        <w:rPr>
          <w:rFonts w:eastAsia="Times New Roman" w:cs="Times New Roman"/>
          <w:color w:val="000000"/>
          <w:kern w:val="22"/>
          <w:sz w:val="22"/>
          <w:lang w:val="en-GB" w:eastAsia="en-CA"/>
        </w:rPr>
        <w:t>.</w:t>
      </w:r>
      <w:r w:rsidR="00423035" w:rsidRPr="002364AB">
        <w:rPr>
          <w:rStyle w:val="FootnoteReference"/>
          <w:rFonts w:eastAsia="Times New Roman" w:cs="Times New Roman"/>
          <w:color w:val="000000"/>
          <w:kern w:val="22"/>
          <w:sz w:val="22"/>
          <w:lang w:val="en-GB" w:eastAsia="en-CA"/>
        </w:rPr>
        <w:footnoteReference w:id="14"/>
      </w:r>
    </w:p>
    <w:p w14:paraId="31706A7E" w14:textId="397EB388" w:rsidR="0000385D" w:rsidRPr="002364AB" w:rsidRDefault="00C10ABC" w:rsidP="00545C4B">
      <w:pPr>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The authors have </w:t>
      </w:r>
      <w:r w:rsidR="001960BE" w:rsidRPr="002364AB">
        <w:rPr>
          <w:rFonts w:eastAsia="Times New Roman" w:cs="Times New Roman"/>
          <w:color w:val="000000"/>
          <w:kern w:val="22"/>
          <w:sz w:val="22"/>
          <w:lang w:val="en-GB" w:eastAsia="en-CA"/>
        </w:rPr>
        <w:t xml:space="preserve">also </w:t>
      </w:r>
      <w:r w:rsidRPr="002364AB">
        <w:rPr>
          <w:rFonts w:eastAsia="Times New Roman" w:cs="Times New Roman"/>
          <w:color w:val="000000"/>
          <w:kern w:val="22"/>
          <w:sz w:val="22"/>
          <w:lang w:val="en-GB" w:eastAsia="en-CA"/>
        </w:rPr>
        <w:t xml:space="preserve">considered the </w:t>
      </w:r>
      <w:r w:rsidR="0029559F" w:rsidRPr="002364AB">
        <w:rPr>
          <w:rFonts w:eastAsia="Times New Roman" w:cs="Times New Roman"/>
          <w:color w:val="000000"/>
          <w:kern w:val="22"/>
          <w:sz w:val="22"/>
          <w:lang w:val="en-GB" w:eastAsia="en-CA"/>
        </w:rPr>
        <w:t xml:space="preserve">matter </w:t>
      </w:r>
      <w:r w:rsidRPr="002364AB">
        <w:rPr>
          <w:rFonts w:eastAsia="Times New Roman" w:cs="Times New Roman"/>
          <w:color w:val="000000"/>
          <w:kern w:val="22"/>
          <w:sz w:val="22"/>
          <w:lang w:val="en-GB" w:eastAsia="en-CA"/>
        </w:rPr>
        <w:t xml:space="preserve">of equity in </w:t>
      </w:r>
      <w:r w:rsidR="001960BE" w:rsidRPr="002364AB">
        <w:rPr>
          <w:rFonts w:eastAsia="Times New Roman" w:cs="Times New Roman"/>
          <w:color w:val="000000"/>
          <w:kern w:val="22"/>
          <w:sz w:val="22"/>
          <w:lang w:val="en-GB" w:eastAsia="en-CA"/>
        </w:rPr>
        <w:t xml:space="preserve">deciding </w:t>
      </w:r>
      <w:r w:rsidR="0029559F" w:rsidRPr="002364AB">
        <w:rPr>
          <w:rFonts w:eastAsia="Times New Roman" w:cs="Times New Roman"/>
          <w:color w:val="000000"/>
          <w:kern w:val="22"/>
          <w:sz w:val="22"/>
          <w:lang w:val="en-GB" w:eastAsia="en-CA"/>
        </w:rPr>
        <w:t xml:space="preserve">whether to </w:t>
      </w:r>
      <w:r w:rsidR="001960BE" w:rsidRPr="002364AB">
        <w:rPr>
          <w:rFonts w:eastAsia="Times New Roman" w:cs="Times New Roman"/>
          <w:color w:val="000000"/>
          <w:kern w:val="22"/>
          <w:sz w:val="22"/>
          <w:lang w:val="en-GB" w:eastAsia="en-CA"/>
        </w:rPr>
        <w:t xml:space="preserve">address some </w:t>
      </w:r>
      <w:r w:rsidR="00E31A4F" w:rsidRPr="002364AB">
        <w:rPr>
          <w:rFonts w:eastAsia="Times New Roman" w:cs="Times New Roman"/>
          <w:color w:val="000000"/>
          <w:kern w:val="22"/>
          <w:sz w:val="22"/>
          <w:lang w:val="en-GB" w:eastAsia="en-CA"/>
        </w:rPr>
        <w:t>circumstances</w:t>
      </w:r>
      <w:r w:rsidR="001960BE" w:rsidRPr="002364AB">
        <w:rPr>
          <w:rFonts w:eastAsia="Times New Roman" w:cs="Times New Roman"/>
          <w:color w:val="000000"/>
          <w:kern w:val="22"/>
          <w:sz w:val="22"/>
          <w:lang w:val="en-GB" w:eastAsia="en-CA"/>
        </w:rPr>
        <w:t>.</w:t>
      </w:r>
      <w:r w:rsidR="00E31A4F" w:rsidRPr="002364AB">
        <w:rPr>
          <w:rFonts w:eastAsia="Times New Roman" w:cs="Times New Roman"/>
          <w:color w:val="000000"/>
          <w:kern w:val="22"/>
          <w:sz w:val="22"/>
          <w:lang w:val="en-GB" w:eastAsia="en-CA"/>
        </w:rPr>
        <w:t xml:space="preserve"> </w:t>
      </w:r>
      <w:r w:rsidR="0000385D" w:rsidRPr="002364AB">
        <w:rPr>
          <w:rFonts w:eastAsia="Times New Roman" w:cs="Times New Roman"/>
          <w:color w:val="000000"/>
          <w:kern w:val="22"/>
          <w:sz w:val="22"/>
          <w:lang w:val="en-GB" w:eastAsia="en-CA"/>
        </w:rPr>
        <w:t xml:space="preserve">In determining the meaning of </w:t>
      </w:r>
      <w:r w:rsidR="00474BAB" w:rsidRPr="002364AB">
        <w:rPr>
          <w:rFonts w:eastAsia="Times New Roman" w:cs="Times New Roman"/>
          <w:color w:val="000000"/>
          <w:kern w:val="22"/>
          <w:sz w:val="22"/>
          <w:lang w:val="en-GB" w:eastAsia="en-CA"/>
        </w:rPr>
        <w:t>‘</w:t>
      </w:r>
      <w:r w:rsidR="0000385D" w:rsidRPr="002364AB">
        <w:rPr>
          <w:rFonts w:eastAsia="Times New Roman" w:cs="Times New Roman"/>
          <w:color w:val="000000"/>
          <w:kern w:val="22"/>
          <w:sz w:val="22"/>
          <w:lang w:val="en-GB" w:eastAsia="en-CA"/>
        </w:rPr>
        <w:t>fair and equitable</w:t>
      </w:r>
      <w:r w:rsidR="00474BAB" w:rsidRPr="002364AB">
        <w:rPr>
          <w:rFonts w:eastAsia="Times New Roman" w:cs="Times New Roman"/>
          <w:color w:val="000000"/>
          <w:kern w:val="22"/>
          <w:sz w:val="22"/>
          <w:lang w:val="en-GB" w:eastAsia="en-CA"/>
        </w:rPr>
        <w:t>’</w:t>
      </w:r>
      <w:r w:rsidR="0000385D" w:rsidRPr="002364AB">
        <w:rPr>
          <w:rFonts w:eastAsia="Times New Roman" w:cs="Times New Roman"/>
          <w:color w:val="000000"/>
          <w:kern w:val="22"/>
          <w:sz w:val="22"/>
          <w:lang w:val="en-GB" w:eastAsia="en-CA"/>
        </w:rPr>
        <w:t xml:space="preserve"> in the </w:t>
      </w:r>
      <w:r w:rsidR="00474BAB" w:rsidRPr="002364AB">
        <w:rPr>
          <w:rFonts w:eastAsia="Times New Roman" w:cs="Times New Roman"/>
          <w:color w:val="000000"/>
          <w:kern w:val="22"/>
          <w:sz w:val="22"/>
          <w:lang w:val="en-GB" w:eastAsia="en-CA"/>
        </w:rPr>
        <w:t>objective of the Nagoya Protocol</w:t>
      </w:r>
      <w:r w:rsidR="00DD41AE" w:rsidRPr="002364AB">
        <w:rPr>
          <w:rFonts w:eastAsia="Times New Roman" w:cs="Times New Roman"/>
          <w:color w:val="000000"/>
          <w:kern w:val="22"/>
          <w:sz w:val="22"/>
          <w:lang w:val="en-GB" w:eastAsia="en-CA"/>
        </w:rPr>
        <w:t>,</w:t>
      </w:r>
      <w:r w:rsidR="00474BAB" w:rsidRPr="002364AB">
        <w:rPr>
          <w:rFonts w:eastAsia="Times New Roman" w:cs="Times New Roman"/>
          <w:color w:val="000000"/>
          <w:kern w:val="22"/>
          <w:sz w:val="22"/>
          <w:lang w:val="en-GB" w:eastAsia="en-CA"/>
        </w:rPr>
        <w:t xml:space="preserve"> and the </w:t>
      </w:r>
      <w:r w:rsidR="0000385D" w:rsidRPr="002364AB">
        <w:rPr>
          <w:rFonts w:eastAsia="Times New Roman" w:cs="Times New Roman"/>
          <w:color w:val="000000"/>
          <w:kern w:val="22"/>
          <w:sz w:val="22"/>
          <w:lang w:val="en-GB" w:eastAsia="en-CA"/>
        </w:rPr>
        <w:t xml:space="preserve">preambular </w:t>
      </w:r>
      <w:r w:rsidR="00C16FBB" w:rsidRPr="002364AB">
        <w:rPr>
          <w:rFonts w:eastAsia="Times New Roman" w:cs="Times New Roman"/>
          <w:color w:val="000000"/>
          <w:kern w:val="22"/>
          <w:sz w:val="22"/>
          <w:lang w:val="en-GB" w:eastAsia="en-CA"/>
        </w:rPr>
        <w:t>recognition</w:t>
      </w:r>
      <w:r w:rsidR="002C035D" w:rsidRPr="002364AB">
        <w:rPr>
          <w:rFonts w:eastAsia="Times New Roman" w:cs="Times New Roman"/>
          <w:color w:val="000000"/>
          <w:kern w:val="22"/>
          <w:sz w:val="22"/>
          <w:vertAlign w:val="superscript"/>
          <w:lang w:val="en-GB" w:eastAsia="en-CA"/>
        </w:rPr>
        <w:footnoteReference w:id="15"/>
      </w:r>
      <w:r w:rsidR="00C16FBB" w:rsidRPr="002364AB">
        <w:rPr>
          <w:rFonts w:eastAsia="Times New Roman" w:cs="Times New Roman"/>
          <w:color w:val="000000"/>
          <w:kern w:val="22"/>
          <w:sz w:val="22"/>
          <w:lang w:val="en-GB" w:eastAsia="en-CA"/>
        </w:rPr>
        <w:t xml:space="preserve"> that </w:t>
      </w:r>
      <w:r w:rsidR="0000385D" w:rsidRPr="002364AB">
        <w:rPr>
          <w:rFonts w:eastAsia="Times New Roman" w:cs="Times New Roman"/>
          <w:color w:val="000000"/>
          <w:kern w:val="22"/>
          <w:sz w:val="22"/>
          <w:lang w:val="en-GB" w:eastAsia="en-CA"/>
        </w:rPr>
        <w:t>“an innovative solution is required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r w:rsidR="00474BAB" w:rsidRPr="002364AB">
        <w:rPr>
          <w:rFonts w:eastAsia="Times New Roman" w:cs="Times New Roman"/>
          <w:color w:val="000000"/>
          <w:kern w:val="22"/>
          <w:sz w:val="22"/>
          <w:lang w:val="en-GB" w:eastAsia="en-CA"/>
        </w:rPr>
        <w:t>, the authors have</w:t>
      </w:r>
      <w:r w:rsidR="00C16FBB" w:rsidRPr="002364AB">
        <w:rPr>
          <w:rFonts w:eastAsia="Times New Roman" w:cs="Times New Roman"/>
          <w:color w:val="000000"/>
          <w:kern w:val="22"/>
          <w:sz w:val="22"/>
          <w:lang w:val="en-GB" w:eastAsia="en-CA"/>
        </w:rPr>
        <w:t xml:space="preserve"> </w:t>
      </w:r>
      <w:r w:rsidR="00170A62" w:rsidRPr="002364AB">
        <w:rPr>
          <w:rFonts w:eastAsia="Times New Roman" w:cs="Times New Roman"/>
          <w:color w:val="000000"/>
          <w:kern w:val="22"/>
          <w:sz w:val="22"/>
          <w:lang w:val="en-GB" w:eastAsia="en-CA"/>
        </w:rPr>
        <w:t>chosen</w:t>
      </w:r>
      <w:r w:rsidR="00C16FBB" w:rsidRPr="002364AB">
        <w:rPr>
          <w:rFonts w:eastAsia="Times New Roman" w:cs="Times New Roman"/>
          <w:color w:val="000000"/>
          <w:kern w:val="22"/>
          <w:sz w:val="22"/>
          <w:lang w:val="en-GB" w:eastAsia="en-CA"/>
        </w:rPr>
        <w:t xml:space="preserve"> not to </w:t>
      </w:r>
      <w:r w:rsidR="002204F6" w:rsidRPr="002364AB">
        <w:rPr>
          <w:rFonts w:eastAsia="Times New Roman" w:cs="Times New Roman"/>
          <w:color w:val="000000"/>
          <w:kern w:val="22"/>
          <w:sz w:val="22"/>
          <w:lang w:val="en-GB" w:eastAsia="en-CA"/>
        </w:rPr>
        <w:t>interpret ‘fair and equitable’</w:t>
      </w:r>
      <w:r w:rsidR="004E6739" w:rsidRPr="002364AB">
        <w:rPr>
          <w:rFonts w:eastAsia="Times New Roman" w:cs="Times New Roman"/>
          <w:color w:val="000000"/>
          <w:kern w:val="22"/>
          <w:sz w:val="22"/>
          <w:lang w:val="en-GB" w:eastAsia="en-CA"/>
        </w:rPr>
        <w:t xml:space="preserve"> as </w:t>
      </w:r>
      <w:r w:rsidR="002C035D" w:rsidRPr="002364AB">
        <w:rPr>
          <w:rFonts w:eastAsia="Times New Roman" w:cs="Times New Roman"/>
          <w:color w:val="000000"/>
          <w:kern w:val="22"/>
          <w:sz w:val="22"/>
          <w:lang w:val="en-GB" w:eastAsia="en-CA"/>
        </w:rPr>
        <w:t xml:space="preserve">a tautological statement. As </w:t>
      </w:r>
      <w:r w:rsidR="00223E6F" w:rsidRPr="002364AB">
        <w:rPr>
          <w:rFonts w:eastAsia="Times New Roman" w:cs="Times New Roman"/>
          <w:color w:val="000000"/>
          <w:kern w:val="22"/>
          <w:sz w:val="22"/>
          <w:lang w:val="en-GB" w:eastAsia="en-CA"/>
        </w:rPr>
        <w:t xml:space="preserve">the Convention and the Nagoya Protocol are legal documents, </w:t>
      </w:r>
      <w:r w:rsidR="00D003F2" w:rsidRPr="002364AB">
        <w:rPr>
          <w:rFonts w:eastAsia="Times New Roman" w:cs="Times New Roman"/>
          <w:color w:val="000000"/>
          <w:kern w:val="22"/>
          <w:sz w:val="22"/>
          <w:lang w:val="en-GB" w:eastAsia="en-CA"/>
        </w:rPr>
        <w:t xml:space="preserve">the authors </w:t>
      </w:r>
      <w:r w:rsidR="00223E6F" w:rsidRPr="002364AB">
        <w:rPr>
          <w:rFonts w:eastAsia="Times New Roman" w:cs="Times New Roman"/>
          <w:color w:val="000000"/>
          <w:kern w:val="22"/>
          <w:sz w:val="22"/>
          <w:lang w:val="en-GB" w:eastAsia="en-CA"/>
        </w:rPr>
        <w:t xml:space="preserve">presume that the Parties </w:t>
      </w:r>
      <w:r w:rsidR="00D76F0A" w:rsidRPr="002364AB">
        <w:rPr>
          <w:rFonts w:eastAsia="Times New Roman" w:cs="Times New Roman"/>
          <w:color w:val="000000"/>
          <w:kern w:val="22"/>
          <w:sz w:val="22"/>
          <w:lang w:val="en-GB" w:eastAsia="en-CA"/>
        </w:rPr>
        <w:t xml:space="preserve">used </w:t>
      </w:r>
      <w:r w:rsidR="00223E6F" w:rsidRPr="002364AB">
        <w:rPr>
          <w:rFonts w:eastAsia="Times New Roman" w:cs="Times New Roman"/>
          <w:color w:val="000000"/>
          <w:kern w:val="22"/>
          <w:sz w:val="22"/>
          <w:lang w:val="en-GB" w:eastAsia="en-CA"/>
        </w:rPr>
        <w:t xml:space="preserve">‘equitable’ </w:t>
      </w:r>
      <w:r w:rsidR="00A0264D" w:rsidRPr="002364AB">
        <w:rPr>
          <w:rFonts w:eastAsia="Times New Roman" w:cs="Times New Roman"/>
          <w:color w:val="000000"/>
          <w:kern w:val="22"/>
          <w:sz w:val="22"/>
          <w:lang w:val="en-GB" w:eastAsia="en-CA"/>
        </w:rPr>
        <w:t>in its sense as a legal term of art</w:t>
      </w:r>
      <w:r w:rsidR="00D76F0A" w:rsidRPr="002364AB">
        <w:rPr>
          <w:rFonts w:eastAsia="Times New Roman" w:cs="Times New Roman"/>
          <w:color w:val="000000"/>
          <w:kern w:val="22"/>
          <w:sz w:val="22"/>
          <w:lang w:val="en-GB" w:eastAsia="en-CA"/>
        </w:rPr>
        <w:t>.</w:t>
      </w:r>
      <w:r w:rsidR="00526C97" w:rsidRPr="002364AB">
        <w:rPr>
          <w:rStyle w:val="FootnoteReference"/>
          <w:rFonts w:eastAsia="Times New Roman" w:cs="Times New Roman"/>
          <w:color w:val="000000"/>
          <w:kern w:val="22"/>
          <w:sz w:val="22"/>
          <w:lang w:val="en-GB" w:eastAsia="en-CA"/>
        </w:rPr>
        <w:footnoteReference w:id="16"/>
      </w:r>
      <w:r w:rsidR="003B3A25" w:rsidRPr="002364AB">
        <w:rPr>
          <w:rFonts w:eastAsia="Times New Roman" w:cs="Times New Roman"/>
          <w:kern w:val="22"/>
          <w:sz w:val="22"/>
          <w:lang w:val="en-GB" w:eastAsia="en-CA"/>
        </w:rPr>
        <w:t xml:space="preserve"> </w:t>
      </w:r>
      <w:r w:rsidR="00FD7BF3" w:rsidRPr="002364AB">
        <w:rPr>
          <w:rFonts w:eastAsia="Times New Roman" w:cs="Times New Roman"/>
          <w:color w:val="000000"/>
          <w:kern w:val="22"/>
          <w:sz w:val="22"/>
          <w:lang w:val="en-GB" w:eastAsia="en-CA"/>
        </w:rPr>
        <w:t xml:space="preserve">Taking into account equitable considerations </w:t>
      </w:r>
      <w:r w:rsidR="00545C4B" w:rsidRPr="002364AB">
        <w:rPr>
          <w:rFonts w:eastAsia="Times New Roman" w:cs="Times New Roman"/>
          <w:color w:val="000000"/>
          <w:kern w:val="22"/>
          <w:sz w:val="22"/>
          <w:lang w:val="en-GB" w:eastAsia="en-CA"/>
        </w:rPr>
        <w:t xml:space="preserve">may be </w:t>
      </w:r>
      <w:r w:rsidR="00FD7BF3" w:rsidRPr="002364AB">
        <w:rPr>
          <w:rFonts w:eastAsia="Times New Roman" w:cs="Times New Roman"/>
          <w:color w:val="000000"/>
          <w:kern w:val="22"/>
          <w:sz w:val="22"/>
          <w:lang w:val="en-GB" w:eastAsia="en-CA"/>
        </w:rPr>
        <w:t>“particularly suitable for discussions in contexts</w:t>
      </w:r>
      <w:r w:rsidR="00FD7BF3" w:rsidRPr="002364AB" w:rsidDel="00DD41AE">
        <w:rPr>
          <w:rFonts w:eastAsia="Times New Roman" w:cs="Times New Roman"/>
          <w:color w:val="000000"/>
          <w:kern w:val="22"/>
          <w:sz w:val="22"/>
          <w:lang w:val="en-GB" w:eastAsia="en-CA"/>
        </w:rPr>
        <w:t xml:space="preserve"> </w:t>
      </w:r>
      <w:r w:rsidR="00FD7BF3" w:rsidRPr="002364AB">
        <w:rPr>
          <w:rFonts w:eastAsia="Times New Roman" w:cs="Times New Roman"/>
          <w:color w:val="000000"/>
          <w:kern w:val="22"/>
          <w:sz w:val="22"/>
          <w:lang w:val="en-GB" w:eastAsia="en-CA"/>
        </w:rPr>
        <w:t>where  there  are  competing  interests which have not hardened into specific rights and duties.”</w:t>
      </w:r>
      <w:r w:rsidR="002F517D" w:rsidRPr="002364AB">
        <w:rPr>
          <w:rStyle w:val="FootnoteReference"/>
          <w:rFonts w:eastAsia="Times New Roman" w:cs="Times New Roman"/>
          <w:color w:val="000000"/>
          <w:kern w:val="22"/>
          <w:sz w:val="22"/>
          <w:lang w:val="en-GB" w:eastAsia="en-CA"/>
        </w:rPr>
        <w:footnoteReference w:id="17"/>
      </w:r>
      <w:r w:rsidR="00F57E36" w:rsidRPr="002364AB">
        <w:rPr>
          <w:rFonts w:eastAsia="Times New Roman" w:cs="Times New Roman"/>
          <w:color w:val="000000"/>
          <w:kern w:val="22"/>
          <w:sz w:val="22"/>
          <w:lang w:val="en-GB" w:eastAsia="en-CA"/>
        </w:rPr>
        <w:t xml:space="preserve"> This is consistent with the inclusive approach used in this study.</w:t>
      </w:r>
    </w:p>
    <w:p w14:paraId="2627D650" w14:textId="70CD44B9" w:rsidR="00CB208C" w:rsidRPr="002364AB" w:rsidRDefault="000B089E" w:rsidP="00561DFE">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Notwithstanding</w:t>
      </w:r>
      <w:r w:rsidR="004A6C32" w:rsidRPr="002364AB">
        <w:rPr>
          <w:rFonts w:eastAsia="Times New Roman" w:cs="Times New Roman"/>
          <w:color w:val="000000"/>
          <w:kern w:val="22"/>
          <w:sz w:val="22"/>
          <w:lang w:val="en-GB" w:eastAsia="en-CA"/>
        </w:rPr>
        <w:t xml:space="preserve"> the inclusive approach taken by the authors, the authors recognize that States </w:t>
      </w:r>
      <w:r w:rsidR="004766CB" w:rsidRPr="002364AB">
        <w:rPr>
          <w:rFonts w:eastAsia="Times New Roman" w:cs="Times New Roman"/>
          <w:color w:val="000000"/>
          <w:kern w:val="22"/>
          <w:sz w:val="22"/>
          <w:lang w:val="en-GB" w:eastAsia="en-CA"/>
        </w:rPr>
        <w:t xml:space="preserve">have the </w:t>
      </w:r>
      <w:r w:rsidR="003813BD" w:rsidRPr="002364AB">
        <w:rPr>
          <w:rFonts w:eastAsia="Times New Roman" w:cs="Times New Roman"/>
          <w:color w:val="000000"/>
          <w:kern w:val="22"/>
          <w:sz w:val="22"/>
          <w:lang w:val="en-GB" w:eastAsia="en-CA"/>
        </w:rPr>
        <w:t xml:space="preserve">sovereign </w:t>
      </w:r>
      <w:r w:rsidR="004766CB" w:rsidRPr="002364AB">
        <w:rPr>
          <w:rFonts w:eastAsia="Times New Roman" w:cs="Times New Roman"/>
          <w:color w:val="000000"/>
          <w:kern w:val="22"/>
          <w:sz w:val="22"/>
          <w:lang w:val="en-GB" w:eastAsia="en-CA"/>
        </w:rPr>
        <w:t xml:space="preserve">authority to determine access to genetic resources </w:t>
      </w:r>
      <w:r w:rsidR="009B57F0" w:rsidRPr="002364AB">
        <w:rPr>
          <w:rFonts w:eastAsia="Times New Roman" w:cs="Times New Roman"/>
          <w:color w:val="000000"/>
          <w:kern w:val="22"/>
          <w:sz w:val="22"/>
          <w:lang w:val="en-GB" w:eastAsia="en-CA"/>
        </w:rPr>
        <w:t>through legislative, regulatory or administrative measures</w:t>
      </w:r>
      <w:r w:rsidR="00E74E25" w:rsidRPr="002364AB">
        <w:rPr>
          <w:rFonts w:eastAsia="Times New Roman" w:cs="Times New Roman"/>
          <w:color w:val="000000"/>
          <w:kern w:val="22"/>
          <w:sz w:val="22"/>
          <w:lang w:val="en-GB" w:eastAsia="en-CA"/>
        </w:rPr>
        <w:t xml:space="preserve">. Therefore, the authors do not </w:t>
      </w:r>
      <w:r w:rsidR="00CF3784" w:rsidRPr="002364AB">
        <w:rPr>
          <w:rFonts w:eastAsia="Times New Roman" w:cs="Times New Roman"/>
          <w:color w:val="000000"/>
          <w:kern w:val="22"/>
          <w:sz w:val="22"/>
          <w:lang w:val="en-GB" w:eastAsia="en-CA"/>
        </w:rPr>
        <w:t>intend th</w:t>
      </w:r>
      <w:r w:rsidR="006E742F" w:rsidRPr="002364AB">
        <w:rPr>
          <w:rFonts w:eastAsia="Times New Roman" w:cs="Times New Roman"/>
          <w:color w:val="000000"/>
          <w:kern w:val="22"/>
          <w:sz w:val="22"/>
          <w:lang w:val="en-GB" w:eastAsia="en-CA"/>
        </w:rPr>
        <w:t>is</w:t>
      </w:r>
      <w:r w:rsidR="00CF3784" w:rsidRPr="002364AB">
        <w:rPr>
          <w:rFonts w:eastAsia="Times New Roman" w:cs="Times New Roman"/>
          <w:color w:val="000000"/>
          <w:kern w:val="22"/>
          <w:sz w:val="22"/>
          <w:lang w:val="en-GB" w:eastAsia="en-CA"/>
        </w:rPr>
        <w:t xml:space="preserve"> inclusive approach to </w:t>
      </w:r>
      <w:r w:rsidR="00E74E25" w:rsidRPr="002364AB">
        <w:rPr>
          <w:rFonts w:eastAsia="Times New Roman" w:cs="Times New Roman"/>
          <w:color w:val="000000"/>
          <w:kern w:val="22"/>
          <w:sz w:val="22"/>
          <w:lang w:val="en-GB" w:eastAsia="en-CA"/>
        </w:rPr>
        <w:t xml:space="preserve">suggest that </w:t>
      </w:r>
      <w:r w:rsidR="009B57F0" w:rsidRPr="002364AB">
        <w:rPr>
          <w:rFonts w:eastAsia="Times New Roman" w:cs="Times New Roman"/>
          <w:color w:val="000000"/>
          <w:kern w:val="22"/>
          <w:sz w:val="22"/>
          <w:lang w:val="en-GB" w:eastAsia="en-CA"/>
        </w:rPr>
        <w:t xml:space="preserve">a mechanism </w:t>
      </w:r>
      <w:r w:rsidR="00CF3784" w:rsidRPr="002364AB">
        <w:rPr>
          <w:rFonts w:eastAsia="Times New Roman" w:cs="Times New Roman"/>
          <w:color w:val="000000"/>
          <w:kern w:val="22"/>
          <w:sz w:val="22"/>
          <w:lang w:val="en-GB" w:eastAsia="en-CA"/>
        </w:rPr>
        <w:t xml:space="preserve">is needed </w:t>
      </w:r>
      <w:r w:rsidR="009B57F0" w:rsidRPr="002364AB">
        <w:rPr>
          <w:rFonts w:eastAsia="Times New Roman" w:cs="Times New Roman"/>
          <w:color w:val="000000"/>
          <w:kern w:val="22"/>
          <w:sz w:val="22"/>
          <w:lang w:val="en-GB" w:eastAsia="en-CA"/>
        </w:rPr>
        <w:t xml:space="preserve">in cases </w:t>
      </w:r>
      <w:r w:rsidR="005201E8" w:rsidRPr="002364AB">
        <w:rPr>
          <w:rFonts w:eastAsia="Times New Roman" w:cs="Times New Roman"/>
          <w:color w:val="000000"/>
          <w:kern w:val="22"/>
          <w:sz w:val="22"/>
          <w:lang w:val="en-GB" w:eastAsia="en-CA"/>
        </w:rPr>
        <w:t xml:space="preserve">where </w:t>
      </w:r>
      <w:r w:rsidR="00AF0A79" w:rsidRPr="002364AB">
        <w:rPr>
          <w:rFonts w:eastAsia="Times New Roman" w:cs="Times New Roman"/>
          <w:color w:val="000000"/>
          <w:kern w:val="22"/>
          <w:sz w:val="22"/>
          <w:lang w:val="en-GB" w:eastAsia="en-CA"/>
        </w:rPr>
        <w:t xml:space="preserve">1) </w:t>
      </w:r>
      <w:r w:rsidR="002B3989" w:rsidRPr="002364AB">
        <w:rPr>
          <w:rFonts w:eastAsia="Times New Roman" w:cs="Times New Roman"/>
          <w:color w:val="000000"/>
          <w:kern w:val="22"/>
          <w:sz w:val="22"/>
          <w:lang w:val="en-GB" w:eastAsia="en-CA"/>
        </w:rPr>
        <w:t xml:space="preserve">it is </w:t>
      </w:r>
      <w:r w:rsidR="005201E8" w:rsidRPr="002364AB">
        <w:rPr>
          <w:rFonts w:eastAsia="Times New Roman" w:cs="Times New Roman"/>
          <w:color w:val="000000"/>
          <w:kern w:val="22"/>
          <w:sz w:val="22"/>
          <w:lang w:val="en-GB" w:eastAsia="en-CA"/>
        </w:rPr>
        <w:t>not possible</w:t>
      </w:r>
      <w:r w:rsidR="002B3989" w:rsidRPr="002364AB">
        <w:rPr>
          <w:rFonts w:eastAsia="Times New Roman" w:cs="Times New Roman"/>
          <w:color w:val="000000"/>
          <w:kern w:val="22"/>
          <w:sz w:val="22"/>
          <w:lang w:val="en-GB" w:eastAsia="en-CA"/>
        </w:rPr>
        <w:t xml:space="preserve"> to</w:t>
      </w:r>
      <w:r w:rsidR="003813BD" w:rsidRPr="002364AB">
        <w:rPr>
          <w:rFonts w:eastAsia="Times New Roman" w:cs="Times New Roman"/>
          <w:color w:val="000000"/>
          <w:kern w:val="22"/>
          <w:sz w:val="22"/>
          <w:lang w:val="en-GB" w:eastAsia="en-CA"/>
        </w:rPr>
        <w:t xml:space="preserve"> grant or</w:t>
      </w:r>
      <w:r w:rsidR="002B3989" w:rsidRPr="002364AB">
        <w:rPr>
          <w:rFonts w:eastAsia="Times New Roman" w:cs="Times New Roman"/>
          <w:color w:val="000000"/>
          <w:kern w:val="22"/>
          <w:sz w:val="22"/>
          <w:lang w:val="en-GB" w:eastAsia="en-CA"/>
        </w:rPr>
        <w:t xml:space="preserve"> obtain prior informed consent </w:t>
      </w:r>
      <w:r w:rsidR="009960FA" w:rsidRPr="002364AB">
        <w:rPr>
          <w:rFonts w:eastAsia="Times New Roman" w:cs="Times New Roman"/>
          <w:color w:val="000000"/>
          <w:kern w:val="22"/>
          <w:sz w:val="22"/>
          <w:lang w:val="en-GB" w:eastAsia="en-CA"/>
        </w:rPr>
        <w:t xml:space="preserve">as a result of </w:t>
      </w:r>
      <w:r w:rsidR="009B57F0" w:rsidRPr="002364AB">
        <w:rPr>
          <w:rFonts w:eastAsia="Times New Roman" w:cs="Times New Roman"/>
          <w:color w:val="000000"/>
          <w:kern w:val="22"/>
          <w:sz w:val="22"/>
          <w:lang w:val="en-GB" w:eastAsia="en-CA"/>
        </w:rPr>
        <w:t xml:space="preserve">States </w:t>
      </w:r>
      <w:r w:rsidR="009960FA" w:rsidRPr="002364AB">
        <w:rPr>
          <w:rFonts w:eastAsia="Times New Roman" w:cs="Times New Roman"/>
          <w:color w:val="000000"/>
          <w:kern w:val="22"/>
          <w:sz w:val="22"/>
          <w:lang w:val="en-GB" w:eastAsia="en-CA"/>
        </w:rPr>
        <w:t xml:space="preserve">deciding </w:t>
      </w:r>
      <w:r w:rsidR="009B57F0" w:rsidRPr="002364AB">
        <w:rPr>
          <w:rFonts w:eastAsia="Times New Roman" w:cs="Times New Roman"/>
          <w:color w:val="000000"/>
          <w:kern w:val="22"/>
          <w:sz w:val="22"/>
          <w:lang w:val="en-GB" w:eastAsia="en-CA"/>
        </w:rPr>
        <w:t>not to require prior informed consent (PIC</w:t>
      </w:r>
      <w:r w:rsidR="009B57F0" w:rsidRPr="002364AB" w:rsidDel="007C4C2A">
        <w:rPr>
          <w:rFonts w:eastAsia="Times New Roman" w:cs="Times New Roman"/>
          <w:color w:val="000000"/>
          <w:kern w:val="22"/>
          <w:sz w:val="22"/>
          <w:lang w:val="en-GB" w:eastAsia="en-CA"/>
        </w:rPr>
        <w:t>), or</w:t>
      </w:r>
      <w:r w:rsidR="005201E8" w:rsidRPr="002364AB" w:rsidDel="007C4C2A">
        <w:rPr>
          <w:rFonts w:eastAsia="Times New Roman" w:cs="Times New Roman"/>
          <w:color w:val="000000"/>
          <w:kern w:val="22"/>
          <w:sz w:val="22"/>
          <w:lang w:val="en-GB" w:eastAsia="en-CA"/>
        </w:rPr>
        <w:t xml:space="preserve"> </w:t>
      </w:r>
      <w:r w:rsidR="00F1558E" w:rsidRPr="002364AB" w:rsidDel="007C4C2A">
        <w:rPr>
          <w:rFonts w:eastAsia="Times New Roman" w:cs="Times New Roman"/>
          <w:color w:val="000000"/>
          <w:kern w:val="22"/>
          <w:sz w:val="22"/>
          <w:lang w:val="en-GB" w:eastAsia="en-CA"/>
        </w:rPr>
        <w:t xml:space="preserve">2) </w:t>
      </w:r>
      <w:r w:rsidR="005201E8" w:rsidRPr="002364AB">
        <w:rPr>
          <w:rFonts w:eastAsia="Times New Roman" w:cs="Times New Roman"/>
          <w:color w:val="000000"/>
          <w:kern w:val="22"/>
          <w:sz w:val="22"/>
          <w:lang w:val="en-GB" w:eastAsia="en-CA"/>
        </w:rPr>
        <w:t>where States are still in the process of developing</w:t>
      </w:r>
      <w:r w:rsidR="006E742F" w:rsidRPr="002364AB">
        <w:rPr>
          <w:rFonts w:eastAsia="Times New Roman" w:cs="Times New Roman"/>
          <w:color w:val="000000"/>
          <w:kern w:val="22"/>
          <w:sz w:val="22"/>
          <w:lang w:val="en-GB" w:eastAsia="en-CA"/>
        </w:rPr>
        <w:t xml:space="preserve"> their access and benefit-sharing measures.</w:t>
      </w:r>
      <w:r w:rsidR="005201E8" w:rsidRPr="002364AB">
        <w:rPr>
          <w:rFonts w:eastAsia="Times New Roman" w:cs="Times New Roman"/>
          <w:color w:val="000000"/>
          <w:kern w:val="22"/>
          <w:sz w:val="22"/>
          <w:lang w:val="en-GB" w:eastAsia="en-CA"/>
        </w:rPr>
        <w:t xml:space="preserve"> </w:t>
      </w:r>
      <w:r w:rsidR="005C34C4" w:rsidRPr="002364AB">
        <w:rPr>
          <w:rFonts w:eastAsia="Times New Roman" w:cs="Times New Roman"/>
          <w:color w:val="000000"/>
          <w:kern w:val="22"/>
          <w:sz w:val="22"/>
          <w:lang w:val="en-GB" w:eastAsia="en-CA"/>
        </w:rPr>
        <w:t xml:space="preserve"> </w:t>
      </w:r>
      <w:r w:rsidR="00E44E58" w:rsidRPr="002364AB">
        <w:rPr>
          <w:rFonts w:eastAsia="Times New Roman" w:cs="Times New Roman"/>
          <w:color w:val="000000"/>
          <w:kern w:val="22"/>
          <w:sz w:val="22"/>
          <w:lang w:val="en-GB" w:eastAsia="en-CA"/>
        </w:rPr>
        <w:t xml:space="preserve"> </w:t>
      </w:r>
      <w:r w:rsidR="009969B2" w:rsidRPr="002364AB">
        <w:rPr>
          <w:rFonts w:eastAsia="Times New Roman" w:cs="Times New Roman"/>
          <w:color w:val="000000"/>
          <w:kern w:val="22"/>
          <w:sz w:val="22"/>
          <w:lang w:val="en-GB" w:eastAsia="en-CA"/>
        </w:rPr>
        <w:t xml:space="preserve"> </w:t>
      </w:r>
      <w:r w:rsidR="004A0785" w:rsidRPr="002364AB">
        <w:rPr>
          <w:rFonts w:eastAsia="Times New Roman" w:cs="Times New Roman"/>
          <w:color w:val="000000"/>
          <w:kern w:val="22"/>
          <w:sz w:val="22"/>
          <w:lang w:val="en-GB" w:eastAsia="en-CA"/>
        </w:rPr>
        <w:t xml:space="preserve"> </w:t>
      </w:r>
      <w:r w:rsidR="000F7990" w:rsidRPr="002364AB">
        <w:rPr>
          <w:rFonts w:eastAsia="Times New Roman" w:cs="Times New Roman"/>
          <w:color w:val="000000"/>
          <w:kern w:val="22"/>
          <w:sz w:val="22"/>
          <w:lang w:val="en-GB" w:eastAsia="en-CA"/>
        </w:rPr>
        <w:t xml:space="preserve">   </w:t>
      </w:r>
      <w:r w:rsidR="00AC3CC4" w:rsidRPr="002364AB">
        <w:rPr>
          <w:rFonts w:eastAsia="Times New Roman" w:cs="Times New Roman"/>
          <w:color w:val="000000"/>
          <w:kern w:val="22"/>
          <w:sz w:val="22"/>
          <w:lang w:val="en-GB" w:eastAsia="en-CA"/>
        </w:rPr>
        <w:t xml:space="preserve"> </w:t>
      </w:r>
      <w:r w:rsidR="00870E71" w:rsidRPr="002364AB">
        <w:rPr>
          <w:rFonts w:eastAsia="Times New Roman" w:cs="Times New Roman"/>
          <w:color w:val="000000"/>
          <w:kern w:val="22"/>
          <w:sz w:val="22"/>
          <w:lang w:val="en-GB" w:eastAsia="en-CA"/>
        </w:rPr>
        <w:t xml:space="preserve"> </w:t>
      </w:r>
    </w:p>
    <w:p w14:paraId="2DF3E133" w14:textId="355E5F72" w:rsidR="00DB5669" w:rsidRPr="002364AB" w:rsidRDefault="0049565B" w:rsidP="3C81C91A">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Information on specific cases of genetic resources and traditional knowledge associated with genetic resources</w:t>
      </w:r>
      <w:r w:rsidR="006030C1" w:rsidRPr="002364AB">
        <w:rPr>
          <w:rFonts w:eastAsia="Times New Roman" w:cs="Times New Roman"/>
          <w:color w:val="000000"/>
          <w:kern w:val="22"/>
          <w:sz w:val="22"/>
          <w:lang w:val="en-GB" w:eastAsia="en-CA"/>
        </w:rPr>
        <w:t xml:space="preserve"> </w:t>
      </w:r>
      <w:r w:rsidRPr="002364AB">
        <w:rPr>
          <w:rFonts w:eastAsia="Times New Roman" w:cs="Times New Roman"/>
          <w:color w:val="000000"/>
          <w:kern w:val="22"/>
          <w:sz w:val="22"/>
          <w:lang w:val="en-GB" w:eastAsia="en-CA"/>
        </w:rPr>
        <w:t xml:space="preserve">that occur in transboundary situations or for which it is not possible to grant or obtain prior informed consent was gathered on an expedited basis by the authors from late December 2019 through late </w:t>
      </w:r>
      <w:r w:rsidR="00516E19" w:rsidRPr="002364AB">
        <w:rPr>
          <w:rFonts w:eastAsia="Times New Roman" w:cs="Times New Roman"/>
          <w:color w:val="000000"/>
          <w:kern w:val="22"/>
          <w:sz w:val="22"/>
          <w:lang w:val="en-GB" w:eastAsia="en-CA"/>
        </w:rPr>
        <w:t>February</w:t>
      </w:r>
      <w:r w:rsidRPr="002364AB">
        <w:rPr>
          <w:rFonts w:eastAsia="Times New Roman" w:cs="Times New Roman"/>
          <w:color w:val="000000"/>
          <w:kern w:val="22"/>
          <w:sz w:val="22"/>
          <w:lang w:val="en-GB" w:eastAsia="en-CA"/>
        </w:rPr>
        <w:t xml:space="preserve"> 2020. </w:t>
      </w:r>
      <w:r w:rsidR="00561DFE" w:rsidRPr="002364AB">
        <w:rPr>
          <w:rFonts w:eastAsia="Times New Roman" w:cs="Times New Roman"/>
          <w:color w:val="000000"/>
          <w:kern w:val="22"/>
          <w:sz w:val="22"/>
          <w:lang w:val="en-GB" w:eastAsia="en-CA"/>
        </w:rPr>
        <w:t xml:space="preserve">This included </w:t>
      </w:r>
      <w:r w:rsidR="006764ED" w:rsidRPr="002364AB">
        <w:rPr>
          <w:rFonts w:eastAsia="Times New Roman" w:cs="Times New Roman"/>
          <w:color w:val="000000"/>
          <w:kern w:val="22"/>
          <w:sz w:val="22"/>
          <w:lang w:val="en-GB" w:eastAsia="en-CA"/>
        </w:rPr>
        <w:t xml:space="preserve">participation by </w:t>
      </w:r>
      <w:proofErr w:type="gramStart"/>
      <w:r w:rsidR="006764ED" w:rsidRPr="002364AB">
        <w:rPr>
          <w:rFonts w:eastAsia="Times New Roman" w:cs="Times New Roman"/>
          <w:color w:val="000000"/>
          <w:kern w:val="22"/>
          <w:sz w:val="22"/>
          <w:lang w:val="en-GB" w:eastAsia="en-CA"/>
        </w:rPr>
        <w:t>both of the authors</w:t>
      </w:r>
      <w:proofErr w:type="gramEnd"/>
      <w:r w:rsidR="006764ED" w:rsidRPr="002364AB">
        <w:rPr>
          <w:rFonts w:eastAsia="Times New Roman" w:cs="Times New Roman"/>
          <w:color w:val="000000"/>
          <w:kern w:val="22"/>
          <w:sz w:val="22"/>
          <w:lang w:val="en-GB" w:eastAsia="en-CA"/>
        </w:rPr>
        <w:t xml:space="preserve"> in </w:t>
      </w:r>
      <w:r w:rsidR="00561DFE" w:rsidRPr="002364AB">
        <w:rPr>
          <w:rFonts w:eastAsia="Times New Roman" w:cs="Times New Roman"/>
          <w:color w:val="000000"/>
          <w:kern w:val="22"/>
          <w:sz w:val="22"/>
          <w:lang w:val="en-GB" w:eastAsia="en-CA"/>
        </w:rPr>
        <w:t>the second meeting of the Open</w:t>
      </w:r>
      <w:r w:rsidR="00DB5669" w:rsidRPr="002364AB">
        <w:rPr>
          <w:rFonts w:eastAsia="Times New Roman" w:cs="Times New Roman"/>
          <w:color w:val="000000"/>
          <w:kern w:val="22"/>
          <w:sz w:val="22"/>
          <w:lang w:val="en-GB" w:eastAsia="en-CA"/>
        </w:rPr>
        <w:t>-e</w:t>
      </w:r>
      <w:r w:rsidR="00561DFE" w:rsidRPr="002364AB">
        <w:rPr>
          <w:rFonts w:eastAsia="Times New Roman" w:cs="Times New Roman"/>
          <w:color w:val="000000"/>
          <w:kern w:val="22"/>
          <w:sz w:val="22"/>
          <w:lang w:val="en-GB" w:eastAsia="en-CA"/>
        </w:rPr>
        <w:t xml:space="preserve">nded Working Group on the </w:t>
      </w:r>
      <w:r w:rsidR="00DB5669" w:rsidRPr="002364AB">
        <w:rPr>
          <w:rFonts w:eastAsia="Times New Roman" w:cs="Times New Roman"/>
          <w:color w:val="000000"/>
          <w:kern w:val="22"/>
          <w:sz w:val="22"/>
          <w:lang w:val="en-GB" w:eastAsia="en-CA"/>
        </w:rPr>
        <w:t>P</w:t>
      </w:r>
      <w:r w:rsidR="00561DFE" w:rsidRPr="002364AB">
        <w:rPr>
          <w:rFonts w:eastAsia="Times New Roman" w:cs="Times New Roman"/>
          <w:color w:val="000000"/>
          <w:kern w:val="22"/>
          <w:sz w:val="22"/>
          <w:lang w:val="en-GB" w:eastAsia="en-CA"/>
        </w:rPr>
        <w:t xml:space="preserve">ost-2020 Global Biodiversity Framework to carry out in-person interviews. </w:t>
      </w:r>
    </w:p>
    <w:p w14:paraId="4B299DE0" w14:textId="00805D0D" w:rsidR="0049565B" w:rsidRPr="002364AB" w:rsidRDefault="45EAF8B4" w:rsidP="3C81C91A">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The authors </w:t>
      </w:r>
      <w:r w:rsidR="0049565B" w:rsidRPr="002364AB">
        <w:rPr>
          <w:rFonts w:eastAsia="Times New Roman" w:cs="Times New Roman"/>
          <w:color w:val="000000"/>
          <w:kern w:val="22"/>
          <w:sz w:val="22"/>
          <w:lang w:val="en-GB" w:eastAsia="en-CA"/>
        </w:rPr>
        <w:t xml:space="preserve">conducted interviews with </w:t>
      </w:r>
      <w:r w:rsidR="00A2273D" w:rsidRPr="002364AB">
        <w:rPr>
          <w:rFonts w:eastAsia="Times New Roman" w:cs="Times New Roman"/>
          <w:color w:val="000000"/>
          <w:kern w:val="22"/>
          <w:sz w:val="22"/>
          <w:lang w:val="en-GB" w:eastAsia="en-CA"/>
        </w:rPr>
        <w:t>3</w:t>
      </w:r>
      <w:r w:rsidR="00EA1A2C" w:rsidRPr="002364AB">
        <w:rPr>
          <w:rFonts w:eastAsia="Times New Roman" w:cs="Times New Roman"/>
          <w:color w:val="000000"/>
          <w:kern w:val="22"/>
          <w:sz w:val="22"/>
          <w:lang w:val="en-GB" w:eastAsia="en-CA"/>
        </w:rPr>
        <w:t>3</w:t>
      </w:r>
      <w:r w:rsidR="00561DFE" w:rsidRPr="002364AB">
        <w:rPr>
          <w:rFonts w:eastAsia="Times New Roman" w:cs="Times New Roman"/>
          <w:color w:val="000000"/>
          <w:kern w:val="22"/>
          <w:sz w:val="22"/>
          <w:lang w:val="en-GB" w:eastAsia="en-CA"/>
        </w:rPr>
        <w:t xml:space="preserve"> </w:t>
      </w:r>
      <w:r w:rsidR="006764ED" w:rsidRPr="002364AB">
        <w:rPr>
          <w:rFonts w:eastAsia="Times New Roman" w:cs="Times New Roman"/>
          <w:color w:val="000000"/>
          <w:kern w:val="22"/>
          <w:sz w:val="22"/>
          <w:lang w:val="en-GB" w:eastAsia="en-CA"/>
        </w:rPr>
        <w:t xml:space="preserve">experts </w:t>
      </w:r>
      <w:r w:rsidR="008E7F88" w:rsidRPr="002364AB">
        <w:rPr>
          <w:rFonts w:eastAsia="Times New Roman" w:cs="Times New Roman"/>
          <w:color w:val="000000"/>
          <w:kern w:val="22"/>
          <w:sz w:val="22"/>
          <w:lang w:val="en-GB" w:eastAsia="en-CA"/>
        </w:rPr>
        <w:t>from</w:t>
      </w:r>
      <w:r w:rsidR="001A0A7F" w:rsidRPr="002364AB">
        <w:rPr>
          <w:rFonts w:eastAsia="Times New Roman" w:cs="Times New Roman"/>
          <w:color w:val="000000"/>
          <w:kern w:val="22"/>
          <w:sz w:val="22"/>
          <w:lang w:val="en-GB" w:eastAsia="en-CA"/>
        </w:rPr>
        <w:t xml:space="preserve"> </w:t>
      </w:r>
      <w:r w:rsidR="00561DFE" w:rsidRPr="002364AB">
        <w:rPr>
          <w:rFonts w:eastAsia="Times New Roman" w:cs="Times New Roman"/>
          <w:color w:val="000000"/>
          <w:kern w:val="22"/>
          <w:sz w:val="22"/>
          <w:lang w:val="en-GB" w:eastAsia="en-CA"/>
        </w:rPr>
        <w:t xml:space="preserve">over </w:t>
      </w:r>
      <w:r w:rsidR="00A2273D" w:rsidRPr="002364AB">
        <w:rPr>
          <w:rFonts w:eastAsia="Times New Roman" w:cs="Times New Roman"/>
          <w:color w:val="000000"/>
          <w:kern w:val="22"/>
          <w:sz w:val="22"/>
          <w:lang w:val="en-GB" w:eastAsia="en-CA"/>
        </w:rPr>
        <w:t>25</w:t>
      </w:r>
      <w:r w:rsidR="0049565B" w:rsidRPr="002364AB">
        <w:rPr>
          <w:rFonts w:eastAsia="Times New Roman" w:cs="Times New Roman"/>
          <w:color w:val="000000"/>
          <w:kern w:val="22"/>
          <w:sz w:val="22"/>
          <w:lang w:val="en-GB" w:eastAsia="en-CA"/>
        </w:rPr>
        <w:t xml:space="preserve"> countries </w:t>
      </w:r>
      <w:r w:rsidR="001D0E49" w:rsidRPr="002364AB">
        <w:rPr>
          <w:rFonts w:eastAsia="Times New Roman" w:cs="Times New Roman"/>
          <w:color w:val="000000"/>
          <w:kern w:val="22"/>
          <w:sz w:val="22"/>
          <w:lang w:val="en-GB" w:eastAsia="en-CA"/>
        </w:rPr>
        <w:t>who have</w:t>
      </w:r>
      <w:r w:rsidR="0049565B" w:rsidRPr="002364AB">
        <w:rPr>
          <w:rFonts w:eastAsia="Times New Roman" w:cs="Times New Roman"/>
          <w:color w:val="000000"/>
          <w:kern w:val="22"/>
          <w:sz w:val="22"/>
          <w:lang w:val="en-GB" w:eastAsia="en-CA"/>
        </w:rPr>
        <w:t xml:space="preserve"> </w:t>
      </w:r>
      <w:r w:rsidR="006764ED" w:rsidRPr="002364AB">
        <w:rPr>
          <w:rFonts w:eastAsia="Times New Roman" w:cs="Times New Roman"/>
          <w:color w:val="000000"/>
          <w:kern w:val="22"/>
          <w:sz w:val="22"/>
          <w:lang w:val="en-GB" w:eastAsia="en-CA"/>
        </w:rPr>
        <w:t xml:space="preserve">specific </w:t>
      </w:r>
      <w:r w:rsidR="00561DFE" w:rsidRPr="002364AB">
        <w:rPr>
          <w:rFonts w:eastAsia="Times New Roman" w:cs="Times New Roman"/>
          <w:color w:val="000000"/>
          <w:kern w:val="22"/>
          <w:sz w:val="22"/>
          <w:lang w:val="en-GB" w:eastAsia="en-CA"/>
        </w:rPr>
        <w:t xml:space="preserve">knowledge of the subjects covered by Article 10 </w:t>
      </w:r>
      <w:r w:rsidR="0049565B" w:rsidRPr="002364AB">
        <w:rPr>
          <w:rFonts w:eastAsia="Times New Roman" w:cs="Times New Roman"/>
          <w:color w:val="000000"/>
          <w:kern w:val="22"/>
          <w:sz w:val="22"/>
          <w:lang w:val="en-GB" w:eastAsia="en-CA"/>
        </w:rPr>
        <w:t>in order to enhance identification of relevant specific cases.</w:t>
      </w:r>
      <w:r w:rsidR="0049565B" w:rsidRPr="002364AB">
        <w:rPr>
          <w:rStyle w:val="FootnoteReference"/>
          <w:kern w:val="22"/>
          <w:sz w:val="22"/>
          <w:lang w:val="en-GB"/>
        </w:rPr>
        <w:footnoteReference w:id="18"/>
      </w:r>
      <w:r w:rsidR="0049565B" w:rsidRPr="002364AB">
        <w:rPr>
          <w:rFonts w:eastAsia="Times New Roman" w:cs="Times New Roman"/>
          <w:color w:val="000000"/>
          <w:kern w:val="22"/>
          <w:sz w:val="22"/>
          <w:lang w:val="en-GB" w:eastAsia="en-CA"/>
        </w:rPr>
        <w:t xml:space="preserve"> The interviewees included national focal points (NFP), and other government personnel in selected countries, as well as academic researchers, staff of </w:t>
      </w:r>
      <w:r w:rsidR="0049565B" w:rsidRPr="002364AB">
        <w:rPr>
          <w:rFonts w:eastAsia="Times New Roman" w:cs="Times New Roman"/>
          <w:i/>
          <w:iCs/>
          <w:color w:val="000000"/>
          <w:kern w:val="22"/>
          <w:sz w:val="22"/>
          <w:lang w:val="en-GB" w:eastAsia="en-CA"/>
        </w:rPr>
        <w:t>ex situ</w:t>
      </w:r>
      <w:r w:rsidR="0049565B" w:rsidRPr="002364AB">
        <w:rPr>
          <w:rFonts w:eastAsia="Times New Roman" w:cs="Times New Roman"/>
          <w:color w:val="000000"/>
          <w:kern w:val="22"/>
          <w:sz w:val="22"/>
          <w:lang w:val="en-GB" w:eastAsia="en-CA"/>
        </w:rPr>
        <w:t xml:space="preserve"> collections of genetic resources, industry</w:t>
      </w:r>
      <w:r w:rsidRPr="002364AB">
        <w:rPr>
          <w:rFonts w:eastAsia="Times New Roman" w:cs="Times New Roman"/>
          <w:color w:val="000000" w:themeColor="text1"/>
          <w:kern w:val="22"/>
          <w:sz w:val="22"/>
          <w:lang w:val="en-GB" w:eastAsia="en-CA"/>
        </w:rPr>
        <w:t xml:space="preserve"> </w:t>
      </w:r>
      <w:r w:rsidR="0049565B" w:rsidRPr="002364AB">
        <w:rPr>
          <w:rFonts w:eastAsia="Times New Roman" w:cs="Times New Roman"/>
          <w:color w:val="000000"/>
          <w:kern w:val="22"/>
          <w:sz w:val="22"/>
          <w:lang w:val="en-GB" w:eastAsia="en-CA"/>
        </w:rPr>
        <w:t xml:space="preserve">representatives, members of intergovernmental and non-governmental organizations, </w:t>
      </w:r>
      <w:r w:rsidR="248AA06A" w:rsidRPr="002364AB">
        <w:rPr>
          <w:rFonts w:eastAsia="Times New Roman" w:cs="Times New Roman"/>
          <w:color w:val="000000" w:themeColor="text1"/>
          <w:kern w:val="22"/>
          <w:sz w:val="22"/>
          <w:lang w:val="en-GB" w:eastAsia="en-CA"/>
        </w:rPr>
        <w:t xml:space="preserve">representatives of indigenous peoples and local communities (IPLCs) </w:t>
      </w:r>
      <w:r w:rsidR="0049565B" w:rsidRPr="002364AB">
        <w:rPr>
          <w:rFonts w:eastAsia="Times New Roman" w:cs="Times New Roman"/>
          <w:color w:val="000000"/>
          <w:kern w:val="22"/>
          <w:sz w:val="22"/>
          <w:lang w:val="en-GB" w:eastAsia="en-CA"/>
        </w:rPr>
        <w:t xml:space="preserve">and legal </w:t>
      </w:r>
      <w:r w:rsidR="001D0E49" w:rsidRPr="002364AB">
        <w:rPr>
          <w:rFonts w:eastAsia="Times New Roman" w:cs="Times New Roman"/>
          <w:color w:val="000000"/>
          <w:kern w:val="22"/>
          <w:sz w:val="22"/>
          <w:lang w:val="en-GB" w:eastAsia="en-CA"/>
        </w:rPr>
        <w:t xml:space="preserve"> </w:t>
      </w:r>
      <w:r w:rsidR="0049565B" w:rsidRPr="002364AB">
        <w:rPr>
          <w:rFonts w:eastAsia="Times New Roman" w:cs="Times New Roman"/>
          <w:color w:val="000000"/>
          <w:kern w:val="22"/>
          <w:sz w:val="22"/>
          <w:lang w:val="en-GB" w:eastAsia="en-CA"/>
        </w:rPr>
        <w:t xml:space="preserve">and policy experts. </w:t>
      </w:r>
      <w:r w:rsidR="248AA06A" w:rsidRPr="002364AB">
        <w:rPr>
          <w:rFonts w:eastAsia="Times New Roman" w:cs="Times New Roman"/>
          <w:color w:val="000000" w:themeColor="text1"/>
          <w:kern w:val="22"/>
          <w:sz w:val="22"/>
          <w:lang w:val="en-GB" w:eastAsia="en-CA"/>
        </w:rPr>
        <w:t xml:space="preserve">As many interviewees would only speak on condition of anonymity, an </w:t>
      </w:r>
      <w:r w:rsidR="0011189B" w:rsidRPr="002364AB">
        <w:rPr>
          <w:rFonts w:eastAsia="Times New Roman" w:cs="Times New Roman"/>
          <w:color w:val="000000" w:themeColor="text1"/>
          <w:kern w:val="22"/>
          <w:sz w:val="22"/>
          <w:lang w:val="en-GB" w:eastAsia="en-CA"/>
        </w:rPr>
        <w:t>anonymized</w:t>
      </w:r>
      <w:r w:rsidR="248AA06A" w:rsidRPr="002364AB">
        <w:rPr>
          <w:rFonts w:eastAsia="Times New Roman" w:cs="Times New Roman"/>
          <w:color w:val="000000" w:themeColor="text1"/>
          <w:kern w:val="22"/>
          <w:sz w:val="22"/>
          <w:lang w:val="en-GB" w:eastAsia="en-CA"/>
        </w:rPr>
        <w:t xml:space="preserve"> list of interviewees is provided in Annex </w:t>
      </w:r>
      <w:r w:rsidR="000B089E" w:rsidRPr="002364AB">
        <w:rPr>
          <w:rFonts w:eastAsia="Times New Roman" w:cs="Times New Roman"/>
          <w:color w:val="000000" w:themeColor="text1"/>
          <w:kern w:val="22"/>
          <w:sz w:val="22"/>
          <w:lang w:val="en-GB" w:eastAsia="en-CA"/>
        </w:rPr>
        <w:t>A</w:t>
      </w:r>
      <w:r w:rsidR="248AA06A" w:rsidRPr="002364AB">
        <w:rPr>
          <w:rFonts w:eastAsia="Times New Roman" w:cs="Times New Roman"/>
          <w:color w:val="000000" w:themeColor="text1"/>
          <w:kern w:val="22"/>
          <w:sz w:val="22"/>
          <w:lang w:val="en-GB" w:eastAsia="en-CA"/>
        </w:rPr>
        <w:t>.</w:t>
      </w:r>
    </w:p>
    <w:p w14:paraId="3A13CD87" w14:textId="132FBF37" w:rsidR="002122EE" w:rsidRPr="002364AB" w:rsidRDefault="0049565B" w:rsidP="00B80668">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Further information on </w:t>
      </w:r>
      <w:r w:rsidR="00712361" w:rsidRPr="002364AB">
        <w:rPr>
          <w:rFonts w:eastAsia="Times New Roman" w:cs="Times New Roman"/>
          <w:color w:val="000000"/>
          <w:kern w:val="22"/>
          <w:sz w:val="22"/>
          <w:lang w:val="en-GB" w:eastAsia="en-CA"/>
        </w:rPr>
        <w:t>specific cases</w:t>
      </w:r>
      <w:r w:rsidRPr="002364AB">
        <w:rPr>
          <w:rFonts w:eastAsia="Times New Roman" w:cs="Times New Roman"/>
          <w:color w:val="000000"/>
          <w:kern w:val="22"/>
          <w:sz w:val="22"/>
          <w:lang w:val="en-GB" w:eastAsia="en-CA"/>
        </w:rPr>
        <w:t xml:space="preserve"> was obtained through a review of documents relating to Article 10 of the </w:t>
      </w:r>
      <w:r w:rsidR="00661974" w:rsidRPr="002364AB">
        <w:rPr>
          <w:rFonts w:eastAsia="Times New Roman" w:cs="Times New Roman"/>
          <w:color w:val="000000"/>
          <w:kern w:val="22"/>
          <w:sz w:val="22"/>
          <w:lang w:val="en-GB" w:eastAsia="en-CA"/>
        </w:rPr>
        <w:t>Nagoya</w:t>
      </w:r>
      <w:r w:rsidR="00C44681" w:rsidRPr="002364AB">
        <w:rPr>
          <w:rFonts w:eastAsia="Times New Roman" w:cs="Times New Roman"/>
          <w:color w:val="000000"/>
          <w:kern w:val="22"/>
          <w:sz w:val="22"/>
          <w:lang w:val="en-GB" w:eastAsia="en-CA"/>
        </w:rPr>
        <w:t xml:space="preserve"> </w:t>
      </w:r>
      <w:r w:rsidRPr="002364AB">
        <w:rPr>
          <w:rFonts w:eastAsia="Times New Roman" w:cs="Times New Roman"/>
          <w:color w:val="000000"/>
          <w:kern w:val="22"/>
          <w:sz w:val="22"/>
          <w:lang w:val="en-GB" w:eastAsia="en-CA"/>
        </w:rPr>
        <w:t xml:space="preserve">Protocol </w:t>
      </w:r>
      <w:r w:rsidR="001C1C45" w:rsidRPr="002364AB">
        <w:rPr>
          <w:rFonts w:eastAsia="Times New Roman" w:cs="Times New Roman"/>
          <w:color w:val="000000"/>
          <w:kern w:val="22"/>
          <w:sz w:val="22"/>
          <w:lang w:val="en-GB" w:eastAsia="en-CA"/>
        </w:rPr>
        <w:t xml:space="preserve">presented </w:t>
      </w:r>
      <w:r w:rsidR="00ED6E22" w:rsidRPr="002364AB">
        <w:rPr>
          <w:rFonts w:eastAsia="Times New Roman" w:cs="Times New Roman"/>
          <w:color w:val="000000"/>
          <w:kern w:val="22"/>
          <w:sz w:val="22"/>
          <w:lang w:val="en-GB" w:eastAsia="en-CA"/>
        </w:rPr>
        <w:t>o</w:t>
      </w:r>
      <w:r w:rsidR="001C1C45" w:rsidRPr="002364AB">
        <w:rPr>
          <w:rFonts w:eastAsia="Times New Roman" w:cs="Times New Roman"/>
          <w:color w:val="000000"/>
          <w:kern w:val="22"/>
          <w:sz w:val="22"/>
          <w:lang w:val="en-GB" w:eastAsia="en-CA"/>
        </w:rPr>
        <w:t>n</w:t>
      </w:r>
      <w:r w:rsidRPr="002364AB" w:rsidDel="001C1C45">
        <w:rPr>
          <w:rFonts w:eastAsia="Times New Roman" w:cs="Times New Roman"/>
          <w:color w:val="000000"/>
          <w:kern w:val="22"/>
          <w:sz w:val="22"/>
          <w:lang w:val="en-GB" w:eastAsia="en-CA"/>
        </w:rPr>
        <w:t xml:space="preserve"> </w:t>
      </w:r>
      <w:r w:rsidRPr="002364AB">
        <w:rPr>
          <w:rFonts w:eastAsia="Times New Roman" w:cs="Times New Roman"/>
          <w:color w:val="000000"/>
          <w:kern w:val="22"/>
          <w:sz w:val="22"/>
          <w:lang w:val="en-GB" w:eastAsia="en-CA"/>
        </w:rPr>
        <w:t>the Secretariat</w:t>
      </w:r>
      <w:r w:rsidR="001C1C45" w:rsidRPr="002364AB">
        <w:rPr>
          <w:rFonts w:eastAsia="Times New Roman" w:cs="Times New Roman"/>
          <w:color w:val="000000"/>
          <w:kern w:val="22"/>
          <w:sz w:val="22"/>
          <w:lang w:val="en-GB" w:eastAsia="en-CA"/>
        </w:rPr>
        <w:t>’s website</w:t>
      </w:r>
      <w:r w:rsidRPr="002364AB">
        <w:rPr>
          <w:rFonts w:eastAsia="Times New Roman" w:cs="Times New Roman"/>
          <w:color w:val="000000"/>
          <w:kern w:val="22"/>
          <w:sz w:val="22"/>
          <w:lang w:val="en-GB" w:eastAsia="en-CA"/>
        </w:rPr>
        <w:t>.</w:t>
      </w:r>
      <w:r w:rsidRPr="002364AB">
        <w:rPr>
          <w:rStyle w:val="FootnoteReference"/>
          <w:kern w:val="22"/>
          <w:sz w:val="22"/>
          <w:lang w:val="en-GB"/>
        </w:rPr>
        <w:footnoteReference w:id="19"/>
      </w:r>
      <w:r w:rsidRPr="002364AB">
        <w:rPr>
          <w:rFonts w:eastAsia="Times New Roman" w:cs="Times New Roman"/>
          <w:color w:val="000000"/>
          <w:kern w:val="22"/>
          <w:sz w:val="22"/>
          <w:lang w:val="en-GB" w:eastAsia="en-CA"/>
        </w:rPr>
        <w:t xml:space="preserve"> </w:t>
      </w:r>
      <w:r w:rsidRPr="002364AB">
        <w:rPr>
          <w:rFonts w:eastAsia="Times New Roman" w:cs="Times New Roman"/>
          <w:color w:val="000000" w:themeColor="text1"/>
          <w:kern w:val="22"/>
          <w:sz w:val="22"/>
          <w:lang w:val="en-GB" w:eastAsia="en-CA"/>
        </w:rPr>
        <w:t xml:space="preserve">These included </w:t>
      </w:r>
      <w:r w:rsidR="001E33B7" w:rsidRPr="002364AB">
        <w:rPr>
          <w:rFonts w:eastAsia="Times New Roman" w:cs="Times New Roman"/>
          <w:color w:val="000000" w:themeColor="text1"/>
          <w:kern w:val="22"/>
          <w:sz w:val="22"/>
          <w:lang w:val="en-GB" w:eastAsia="en-CA"/>
        </w:rPr>
        <w:t>the synthesis of online discussions made in response to decision XI/1,</w:t>
      </w:r>
      <w:r w:rsidR="001E33B7" w:rsidRPr="002364AB">
        <w:rPr>
          <w:rStyle w:val="FootnoteReference"/>
          <w:rFonts w:eastAsia="Times New Roman" w:cs="Times New Roman"/>
          <w:iCs/>
          <w:color w:val="000000"/>
          <w:kern w:val="22"/>
          <w:sz w:val="22"/>
          <w:lang w:val="en-GB" w:eastAsia="en-CA"/>
        </w:rPr>
        <w:footnoteReference w:id="20"/>
      </w:r>
      <w:r w:rsidR="001E33B7" w:rsidRPr="002364AB">
        <w:rPr>
          <w:rFonts w:eastAsia="Times New Roman" w:cs="Times New Roman"/>
          <w:color w:val="000000" w:themeColor="text1"/>
          <w:kern w:val="22"/>
          <w:sz w:val="22"/>
          <w:lang w:val="en-GB" w:eastAsia="en-CA"/>
        </w:rPr>
        <w:t xml:space="preserve"> the report of the 2013 expert meeting on Article 10,</w:t>
      </w:r>
      <w:r w:rsidR="001E33B7" w:rsidRPr="002364AB">
        <w:rPr>
          <w:rStyle w:val="FootnoteReference"/>
          <w:rFonts w:eastAsia="Times New Roman" w:cs="Times New Roman"/>
          <w:iCs/>
          <w:color w:val="000000"/>
          <w:kern w:val="22"/>
          <w:sz w:val="22"/>
          <w:lang w:val="en-GB" w:eastAsia="en-CA"/>
        </w:rPr>
        <w:footnoteReference w:id="21"/>
      </w:r>
      <w:r w:rsidR="001E33B7" w:rsidRPr="002364AB">
        <w:rPr>
          <w:rFonts w:eastAsia="Times New Roman" w:cs="Times New Roman"/>
          <w:color w:val="000000" w:themeColor="text1"/>
          <w:kern w:val="22"/>
          <w:sz w:val="22"/>
          <w:lang w:val="en-GB" w:eastAsia="en-CA"/>
        </w:rPr>
        <w:t xml:space="preserve"> </w:t>
      </w:r>
      <w:r w:rsidRPr="002364AB">
        <w:rPr>
          <w:rFonts w:eastAsia="Times New Roman" w:cs="Times New Roman"/>
          <w:color w:val="000000" w:themeColor="text1"/>
          <w:kern w:val="22"/>
          <w:sz w:val="22"/>
          <w:lang w:val="en-GB" w:eastAsia="en-CA"/>
        </w:rPr>
        <w:t xml:space="preserve">submissions made </w:t>
      </w:r>
      <w:r w:rsidR="001E33B7" w:rsidRPr="002364AB">
        <w:rPr>
          <w:rFonts w:eastAsia="Times New Roman" w:cs="Times New Roman"/>
          <w:color w:val="000000" w:themeColor="text1"/>
          <w:kern w:val="22"/>
          <w:sz w:val="22"/>
          <w:lang w:val="en-GB" w:eastAsia="en-CA"/>
        </w:rPr>
        <w:t xml:space="preserve">in response to decision </w:t>
      </w:r>
      <w:r w:rsidR="001E33B7" w:rsidRPr="002364AB">
        <w:rPr>
          <w:kern w:val="22"/>
          <w:sz w:val="22"/>
          <w:lang w:val="en-GB"/>
        </w:rPr>
        <w:t>NP-</w:t>
      </w:r>
      <w:r w:rsidRPr="002364AB">
        <w:rPr>
          <w:kern w:val="22"/>
          <w:sz w:val="22"/>
          <w:lang w:val="en-GB"/>
        </w:rPr>
        <w:t>1/10,</w:t>
      </w:r>
      <w:r w:rsidR="00104883" w:rsidRPr="002364AB">
        <w:rPr>
          <w:rStyle w:val="FootnoteReference"/>
          <w:kern w:val="22"/>
          <w:sz w:val="22"/>
          <w:lang w:val="en-GB"/>
        </w:rPr>
        <w:footnoteReference w:id="22"/>
      </w:r>
      <w:r w:rsidR="001E33B7" w:rsidRPr="002364AB">
        <w:rPr>
          <w:kern w:val="22"/>
          <w:sz w:val="22"/>
          <w:lang w:val="en-GB"/>
        </w:rPr>
        <w:t xml:space="preserve"> the report of the 2016</w:t>
      </w:r>
      <w:r w:rsidR="001E33B7" w:rsidRPr="002364AB">
        <w:rPr>
          <w:rFonts w:eastAsia="Times New Roman" w:cs="Times New Roman"/>
          <w:color w:val="000000" w:themeColor="text1"/>
          <w:kern w:val="22"/>
          <w:sz w:val="22"/>
          <w:lang w:val="en-GB" w:eastAsia="en-CA"/>
        </w:rPr>
        <w:t xml:space="preserve"> Expert Group Meeting on Article 10,</w:t>
      </w:r>
      <w:r w:rsidR="001E33B7" w:rsidRPr="002364AB">
        <w:rPr>
          <w:rStyle w:val="FootnoteReference"/>
          <w:rFonts w:eastAsia="Times New Roman" w:cs="Times New Roman"/>
          <w:iCs/>
          <w:color w:val="000000"/>
          <w:kern w:val="22"/>
          <w:sz w:val="22"/>
          <w:lang w:val="en-GB" w:eastAsia="en-CA"/>
        </w:rPr>
        <w:footnoteReference w:id="23"/>
      </w:r>
      <w:r w:rsidR="001E33B7" w:rsidRPr="002364AB">
        <w:rPr>
          <w:rFonts w:eastAsia="Times New Roman" w:cs="Times New Roman"/>
          <w:color w:val="000000" w:themeColor="text1"/>
          <w:kern w:val="22"/>
          <w:sz w:val="22"/>
          <w:lang w:val="en-GB" w:eastAsia="en-CA"/>
        </w:rPr>
        <w:t xml:space="preserve"> the </w:t>
      </w:r>
      <w:r w:rsidR="006030C1" w:rsidRPr="002364AB">
        <w:rPr>
          <w:kern w:val="22"/>
          <w:sz w:val="22"/>
          <w:lang w:val="en-GB"/>
        </w:rPr>
        <w:t>s</w:t>
      </w:r>
      <w:r w:rsidR="001E33B7" w:rsidRPr="002364AB">
        <w:rPr>
          <w:kern w:val="22"/>
          <w:sz w:val="22"/>
          <w:lang w:val="en-GB"/>
        </w:rPr>
        <w:t>tudy prepared for the Expert Group meeting,</w:t>
      </w:r>
      <w:r w:rsidR="001E33B7" w:rsidRPr="002364AB">
        <w:rPr>
          <w:rStyle w:val="FootnoteReference"/>
          <w:kern w:val="22"/>
          <w:sz w:val="22"/>
          <w:lang w:val="en-GB"/>
        </w:rPr>
        <w:footnoteReference w:id="24"/>
      </w:r>
      <w:r w:rsidR="001E33B7" w:rsidRPr="002364AB">
        <w:rPr>
          <w:kern w:val="22"/>
          <w:sz w:val="22"/>
          <w:lang w:val="en-GB"/>
        </w:rPr>
        <w:t xml:space="preserve"> submissions made in response to decision NP-2/10,</w:t>
      </w:r>
      <w:r w:rsidR="001E33B7" w:rsidRPr="002364AB">
        <w:rPr>
          <w:rStyle w:val="FootnoteReference"/>
          <w:kern w:val="22"/>
          <w:sz w:val="22"/>
          <w:lang w:val="en-GB"/>
        </w:rPr>
        <w:footnoteReference w:id="25"/>
      </w:r>
      <w:r w:rsidR="001E33B7" w:rsidRPr="002364AB">
        <w:rPr>
          <w:kern w:val="22"/>
          <w:sz w:val="22"/>
          <w:lang w:val="en-GB"/>
        </w:rPr>
        <w:t xml:space="preserve"> the </w:t>
      </w:r>
      <w:r w:rsidR="006030C1" w:rsidRPr="002364AB">
        <w:rPr>
          <w:kern w:val="22"/>
          <w:sz w:val="22"/>
          <w:lang w:val="en-GB"/>
        </w:rPr>
        <w:t>n</w:t>
      </w:r>
      <w:r w:rsidR="001E33B7" w:rsidRPr="002364AB">
        <w:rPr>
          <w:kern w:val="22"/>
          <w:sz w:val="22"/>
          <w:lang w:val="en-GB"/>
        </w:rPr>
        <w:t xml:space="preserve">ote by the Executive Secretary prepared for </w:t>
      </w:r>
      <w:r w:rsidR="006030C1" w:rsidRPr="002364AB">
        <w:rPr>
          <w:kern w:val="22"/>
          <w:sz w:val="22"/>
          <w:lang w:val="en-GB"/>
        </w:rPr>
        <w:t>SBI 2</w:t>
      </w:r>
      <w:r w:rsidR="001E33B7" w:rsidRPr="002364AB">
        <w:rPr>
          <w:kern w:val="22"/>
          <w:sz w:val="22"/>
          <w:lang w:val="en-GB"/>
        </w:rPr>
        <w:t>,</w:t>
      </w:r>
      <w:r w:rsidR="001E33B7" w:rsidRPr="002364AB">
        <w:rPr>
          <w:rStyle w:val="FootnoteReference"/>
          <w:kern w:val="22"/>
          <w:sz w:val="22"/>
          <w:lang w:val="en-GB"/>
        </w:rPr>
        <w:footnoteReference w:id="26"/>
      </w:r>
      <w:r w:rsidR="001E33B7" w:rsidRPr="002364AB">
        <w:rPr>
          <w:kern w:val="22"/>
          <w:sz w:val="22"/>
          <w:lang w:val="en-GB"/>
        </w:rPr>
        <w:t xml:space="preserve"> and submissions made in response to decision NP-3/13.</w:t>
      </w:r>
      <w:r w:rsidR="001E33B7" w:rsidRPr="002364AB">
        <w:rPr>
          <w:rStyle w:val="FootnoteReference"/>
          <w:kern w:val="22"/>
          <w:sz w:val="22"/>
          <w:lang w:val="en-GB"/>
        </w:rPr>
        <w:footnoteReference w:id="27"/>
      </w:r>
      <w:r w:rsidR="001E33B7" w:rsidRPr="002364AB">
        <w:rPr>
          <w:kern w:val="22"/>
          <w:sz w:val="22"/>
          <w:lang w:val="en-GB"/>
        </w:rPr>
        <w:t xml:space="preserve"> </w:t>
      </w:r>
      <w:r w:rsidR="00540614" w:rsidRPr="002364AB">
        <w:rPr>
          <w:rFonts w:eastAsia="Times New Roman" w:cs="Times New Roman"/>
          <w:color w:val="000000"/>
          <w:kern w:val="22"/>
          <w:sz w:val="22"/>
          <w:lang w:val="en-GB" w:eastAsia="en-CA"/>
        </w:rPr>
        <w:t>Additionally, t</w:t>
      </w:r>
      <w:r w:rsidRPr="002364AB">
        <w:rPr>
          <w:rFonts w:eastAsia="Times New Roman" w:cs="Times New Roman"/>
          <w:color w:val="000000"/>
          <w:kern w:val="22"/>
          <w:sz w:val="22"/>
          <w:lang w:val="en-GB" w:eastAsia="en-CA"/>
        </w:rPr>
        <w:t xml:space="preserve">he authors explored </w:t>
      </w:r>
      <w:r w:rsidR="00540614" w:rsidRPr="002364AB">
        <w:rPr>
          <w:rFonts w:eastAsia="Times New Roman" w:cs="Times New Roman"/>
          <w:color w:val="000000"/>
          <w:kern w:val="22"/>
          <w:sz w:val="22"/>
          <w:lang w:val="en-GB" w:eastAsia="en-CA"/>
        </w:rPr>
        <w:t xml:space="preserve">articles, treatises and other </w:t>
      </w:r>
      <w:r w:rsidRPr="002364AB">
        <w:rPr>
          <w:rFonts w:eastAsia="Times New Roman" w:cs="Times New Roman"/>
          <w:color w:val="000000"/>
          <w:kern w:val="22"/>
          <w:sz w:val="22"/>
          <w:lang w:val="en-GB" w:eastAsia="en-CA"/>
        </w:rPr>
        <w:t xml:space="preserve">publications, conducted searches of </w:t>
      </w:r>
      <w:r w:rsidRPr="002364AB">
        <w:rPr>
          <w:rFonts w:eastAsia="Times New Roman" w:cs="Times New Roman"/>
          <w:i/>
          <w:color w:val="000000"/>
          <w:kern w:val="22"/>
          <w:sz w:val="22"/>
          <w:lang w:val="en-GB" w:eastAsia="en-CA"/>
        </w:rPr>
        <w:t>ex situ</w:t>
      </w:r>
      <w:r w:rsidRPr="002364AB">
        <w:rPr>
          <w:rFonts w:eastAsia="Times New Roman" w:cs="Times New Roman"/>
          <w:color w:val="000000"/>
          <w:kern w:val="22"/>
          <w:sz w:val="22"/>
          <w:lang w:val="en-GB" w:eastAsia="en-CA"/>
        </w:rPr>
        <w:t xml:space="preserve"> collection websites, domestic ABS websites</w:t>
      </w:r>
      <w:r w:rsidR="00540614" w:rsidRPr="002364AB">
        <w:rPr>
          <w:rFonts w:eastAsia="Times New Roman" w:cs="Times New Roman"/>
          <w:color w:val="000000"/>
          <w:kern w:val="22"/>
          <w:sz w:val="22"/>
          <w:lang w:val="en-GB" w:eastAsia="en-CA"/>
        </w:rPr>
        <w:t>,</w:t>
      </w:r>
      <w:r w:rsidRPr="002364AB">
        <w:rPr>
          <w:rFonts w:eastAsia="Times New Roman" w:cs="Times New Roman"/>
          <w:color w:val="000000"/>
          <w:kern w:val="22"/>
          <w:sz w:val="22"/>
          <w:lang w:val="en-GB" w:eastAsia="en-CA"/>
        </w:rPr>
        <w:t xml:space="preserve"> the World Intellectual Property Organization (WIPO) Lex database, and </w:t>
      </w:r>
      <w:r w:rsidR="00540614" w:rsidRPr="002364AB">
        <w:rPr>
          <w:rFonts w:eastAsia="Times New Roman" w:cs="Times New Roman"/>
          <w:color w:val="000000"/>
          <w:kern w:val="22"/>
          <w:sz w:val="22"/>
          <w:lang w:val="en-GB" w:eastAsia="en-CA"/>
        </w:rPr>
        <w:t xml:space="preserve">other internet sources, </w:t>
      </w:r>
      <w:r w:rsidRPr="002364AB">
        <w:rPr>
          <w:rFonts w:eastAsia="Times New Roman" w:cs="Times New Roman"/>
          <w:color w:val="000000"/>
          <w:kern w:val="22"/>
          <w:sz w:val="22"/>
          <w:lang w:val="en-GB" w:eastAsia="en-CA"/>
        </w:rPr>
        <w:t xml:space="preserve">and drew </w:t>
      </w:r>
      <w:r w:rsidR="008E7F88" w:rsidRPr="002364AB">
        <w:rPr>
          <w:rFonts w:eastAsia="Times New Roman" w:cs="Times New Roman"/>
          <w:color w:val="000000"/>
          <w:kern w:val="22"/>
          <w:sz w:val="22"/>
          <w:lang w:val="en-GB" w:eastAsia="en-CA"/>
        </w:rPr>
        <w:t>data and findings from</w:t>
      </w:r>
      <w:r w:rsidRPr="002364AB">
        <w:rPr>
          <w:rFonts w:eastAsia="Times New Roman" w:cs="Times New Roman"/>
          <w:color w:val="000000"/>
          <w:kern w:val="22"/>
          <w:sz w:val="22"/>
          <w:lang w:val="en-GB" w:eastAsia="en-CA"/>
        </w:rPr>
        <w:t xml:space="preserve"> several of their earlier research projects. </w:t>
      </w:r>
    </w:p>
    <w:p w14:paraId="29C74C37" w14:textId="2174DF2A" w:rsidR="00983773" w:rsidRPr="002364AB" w:rsidRDefault="00983773" w:rsidP="00B80668">
      <w:pPr>
        <w:pBdr>
          <w:top w:val="nil"/>
          <w:left w:val="nil"/>
          <w:bottom w:val="nil"/>
          <w:right w:val="nil"/>
          <w:between w:val="nil"/>
        </w:pBdr>
        <w:spacing w:after="120"/>
        <w:rPr>
          <w:rFonts w:eastAsia="Times New Roman" w:cs="Times New Roman"/>
          <w:i/>
          <w:color w:val="000000"/>
          <w:kern w:val="22"/>
          <w:sz w:val="22"/>
          <w:lang w:val="en-GB" w:eastAsia="en-CA"/>
        </w:rPr>
      </w:pPr>
      <w:r w:rsidRPr="002364AB">
        <w:rPr>
          <w:rFonts w:eastAsia="Times New Roman" w:cs="Times New Roman"/>
          <w:i/>
          <w:color w:val="000000"/>
          <w:kern w:val="22"/>
          <w:sz w:val="22"/>
          <w:lang w:val="en-GB" w:eastAsia="en-CA"/>
        </w:rPr>
        <w:t>Scope</w:t>
      </w:r>
    </w:p>
    <w:p w14:paraId="0E24D25B" w14:textId="26A7BEED" w:rsidR="00983773" w:rsidRPr="002364AB" w:rsidRDefault="248AA06A" w:rsidP="248AA06A">
      <w:pPr>
        <w:rPr>
          <w:kern w:val="22"/>
          <w:sz w:val="22"/>
          <w:lang w:val="en-GB"/>
        </w:rPr>
      </w:pPr>
      <w:r w:rsidRPr="002364AB">
        <w:rPr>
          <w:kern w:val="22"/>
          <w:sz w:val="22"/>
          <w:lang w:val="en-GB"/>
        </w:rPr>
        <w:t xml:space="preserve">As noted above, the Parties have differing views on issues of the </w:t>
      </w:r>
      <w:r w:rsidR="00E22BE4" w:rsidRPr="002364AB">
        <w:rPr>
          <w:kern w:val="22"/>
          <w:sz w:val="22"/>
          <w:lang w:val="en-GB"/>
        </w:rPr>
        <w:t xml:space="preserve">substantive, </w:t>
      </w:r>
      <w:r w:rsidRPr="002364AB">
        <w:rPr>
          <w:kern w:val="22"/>
          <w:sz w:val="22"/>
          <w:lang w:val="en-GB"/>
        </w:rPr>
        <w:t xml:space="preserve">temporal and </w:t>
      </w:r>
      <w:r w:rsidR="00E22BE4" w:rsidRPr="002364AB">
        <w:rPr>
          <w:kern w:val="22"/>
          <w:sz w:val="22"/>
          <w:lang w:val="en-GB"/>
        </w:rPr>
        <w:t xml:space="preserve">geographic </w:t>
      </w:r>
      <w:r w:rsidRPr="002364AB">
        <w:rPr>
          <w:kern w:val="22"/>
          <w:sz w:val="22"/>
          <w:lang w:val="en-GB"/>
        </w:rPr>
        <w:t>scope of the Nagoya Protocol.</w:t>
      </w:r>
      <w:r w:rsidR="00E22BE4" w:rsidRPr="002364AB">
        <w:rPr>
          <w:rStyle w:val="FootnoteReference"/>
          <w:kern w:val="22"/>
          <w:sz w:val="22"/>
          <w:lang w:val="en-GB"/>
        </w:rPr>
        <w:footnoteReference w:id="28"/>
      </w:r>
      <w:r w:rsidRPr="002364AB">
        <w:rPr>
          <w:kern w:val="22"/>
          <w:sz w:val="22"/>
          <w:lang w:val="en-GB"/>
        </w:rPr>
        <w:t xml:space="preserve"> A brief description of each of these issues is provided </w:t>
      </w:r>
      <w:r w:rsidR="001D0E49" w:rsidRPr="002364AB">
        <w:rPr>
          <w:kern w:val="22"/>
          <w:sz w:val="22"/>
          <w:lang w:val="en-GB"/>
        </w:rPr>
        <w:t xml:space="preserve">below </w:t>
      </w:r>
      <w:r w:rsidRPr="002364AB">
        <w:rPr>
          <w:kern w:val="22"/>
          <w:sz w:val="22"/>
          <w:lang w:val="en-GB"/>
        </w:rPr>
        <w:t>to contextualize some of the examples provided in the study.</w:t>
      </w:r>
    </w:p>
    <w:p w14:paraId="2C28E992" w14:textId="5F0C858E" w:rsidR="00983773" w:rsidRPr="002364AB" w:rsidRDefault="00983773" w:rsidP="00073C95">
      <w:pPr>
        <w:ind w:firstLine="720"/>
        <w:rPr>
          <w:i/>
          <w:iCs/>
          <w:kern w:val="22"/>
          <w:sz w:val="22"/>
          <w:lang w:val="en-GB"/>
        </w:rPr>
      </w:pPr>
      <w:r w:rsidRPr="002364AB">
        <w:rPr>
          <w:i/>
          <w:iCs/>
          <w:kern w:val="22"/>
          <w:sz w:val="22"/>
          <w:lang w:val="en-GB"/>
        </w:rPr>
        <w:t>Temporal scope</w:t>
      </w:r>
    </w:p>
    <w:p w14:paraId="389544AE" w14:textId="4428A0F3" w:rsidR="00983773" w:rsidRPr="002364AB" w:rsidRDefault="00983773" w:rsidP="00983773">
      <w:pPr>
        <w:rPr>
          <w:rFonts w:eastAsia="Batang" w:cs="Times New Roman"/>
          <w:kern w:val="22"/>
          <w:sz w:val="22"/>
          <w:lang w:val="en-GB"/>
        </w:rPr>
      </w:pPr>
      <w:r w:rsidRPr="002364AB">
        <w:rPr>
          <w:kern w:val="22"/>
          <w:sz w:val="22"/>
          <w:lang w:val="en-GB"/>
        </w:rPr>
        <w:t>A question not clearly addressed by the Protocol</w:t>
      </w:r>
      <w:r w:rsidR="00190A44" w:rsidRPr="002364AB">
        <w:rPr>
          <w:kern w:val="22"/>
          <w:sz w:val="22"/>
          <w:lang w:val="en-GB"/>
        </w:rPr>
        <w:t xml:space="preserve">, and on which </w:t>
      </w:r>
      <w:r w:rsidR="00555EC5" w:rsidRPr="002364AB">
        <w:rPr>
          <w:kern w:val="22"/>
          <w:sz w:val="22"/>
          <w:lang w:val="en-GB"/>
        </w:rPr>
        <w:t>the Parties to the Protocol and CBD hold different views</w:t>
      </w:r>
      <w:r w:rsidR="00190A44" w:rsidRPr="002364AB">
        <w:rPr>
          <w:kern w:val="22"/>
          <w:sz w:val="22"/>
          <w:lang w:val="en-GB"/>
        </w:rPr>
        <w:t>,</w:t>
      </w:r>
      <w:r w:rsidRPr="002364AB">
        <w:rPr>
          <w:kern w:val="22"/>
          <w:sz w:val="22"/>
          <w:lang w:val="en-GB"/>
        </w:rPr>
        <w:t xml:space="preserve"> is whether benefit-sharing obligations are triggered only at the time of initial resource access</w:t>
      </w:r>
      <w:r w:rsidR="00362F53" w:rsidRPr="002364AB">
        <w:rPr>
          <w:kern w:val="22"/>
          <w:sz w:val="22"/>
          <w:lang w:val="en-GB"/>
        </w:rPr>
        <w:t>,</w:t>
      </w:r>
      <w:r w:rsidRPr="002364AB">
        <w:rPr>
          <w:kern w:val="22"/>
          <w:sz w:val="22"/>
          <w:lang w:val="en-GB"/>
        </w:rPr>
        <w:t xml:space="preserve"> or when the resource is utilized. This issue, referred to as “temporal scope”, relates to the scope and application of the Protocol</w:t>
      </w:r>
      <w:r w:rsidR="00362F53" w:rsidRPr="002364AB">
        <w:rPr>
          <w:kern w:val="22"/>
          <w:sz w:val="22"/>
          <w:lang w:val="en-GB"/>
        </w:rPr>
        <w:t>.</w:t>
      </w:r>
      <w:r w:rsidRPr="002364AB" w:rsidDel="00187C47">
        <w:rPr>
          <w:rStyle w:val="FootnoteReference"/>
          <w:kern w:val="22"/>
          <w:sz w:val="22"/>
          <w:lang w:val="en-GB"/>
        </w:rPr>
        <w:footnoteReference w:id="29"/>
      </w:r>
      <w:r w:rsidRPr="002364AB" w:rsidDel="00187C47">
        <w:rPr>
          <w:kern w:val="22"/>
          <w:sz w:val="22"/>
          <w:lang w:val="en-GB"/>
        </w:rPr>
        <w:t xml:space="preserve"> </w:t>
      </w:r>
      <w:r w:rsidRPr="002364AB">
        <w:rPr>
          <w:kern w:val="22"/>
          <w:sz w:val="22"/>
          <w:lang w:val="en-GB"/>
        </w:rPr>
        <w:t xml:space="preserve">Significant quantities of genetic resources were accessed in countries across the </w:t>
      </w:r>
      <w:r w:rsidR="00D71678" w:rsidRPr="002364AB">
        <w:rPr>
          <w:kern w:val="22"/>
          <w:sz w:val="22"/>
          <w:lang w:val="en-GB"/>
        </w:rPr>
        <w:t>globe</w:t>
      </w:r>
      <w:r w:rsidRPr="002364AB">
        <w:rPr>
          <w:kern w:val="22"/>
          <w:sz w:val="22"/>
          <w:lang w:val="en-GB"/>
        </w:rPr>
        <w:t xml:space="preserve"> prior to the entry into force of both the CBD and the Protocol, and new</w:t>
      </w:r>
      <w:r w:rsidRPr="002364AB">
        <w:rPr>
          <w:rFonts w:eastAsia="Batang" w:cs="Times New Roman"/>
          <w:kern w:val="22"/>
          <w:sz w:val="22"/>
          <w:lang w:val="en-GB"/>
        </w:rPr>
        <w:t xml:space="preserve"> utilizations of these resources, currently held in </w:t>
      </w:r>
      <w:r w:rsidR="004C60E6" w:rsidRPr="002364AB">
        <w:rPr>
          <w:rFonts w:eastAsia="Batang" w:cs="Times New Roman"/>
          <w:i/>
          <w:kern w:val="22"/>
          <w:sz w:val="22"/>
          <w:lang w:val="en-GB"/>
        </w:rPr>
        <w:t>ex situ</w:t>
      </w:r>
      <w:r w:rsidR="004C60E6" w:rsidRPr="002364AB">
        <w:rPr>
          <w:rFonts w:eastAsia="Batang" w:cs="Times New Roman"/>
          <w:kern w:val="22"/>
          <w:sz w:val="22"/>
          <w:lang w:val="en-GB"/>
        </w:rPr>
        <w:t xml:space="preserve"> </w:t>
      </w:r>
      <w:r w:rsidRPr="002364AB">
        <w:rPr>
          <w:rFonts w:eastAsia="Batang" w:cs="Times New Roman"/>
          <w:kern w:val="22"/>
          <w:sz w:val="22"/>
          <w:lang w:val="en-GB"/>
        </w:rPr>
        <w:t xml:space="preserve">repositories outside the provider country, are taking place after the </w:t>
      </w:r>
      <w:r w:rsidR="001F45FF" w:rsidRPr="002364AB">
        <w:rPr>
          <w:rFonts w:eastAsia="Batang" w:cs="Times New Roman"/>
          <w:kern w:val="22"/>
          <w:sz w:val="22"/>
          <w:lang w:val="en-GB"/>
        </w:rPr>
        <w:t xml:space="preserve">entry into force </w:t>
      </w:r>
      <w:r w:rsidRPr="002364AB">
        <w:rPr>
          <w:rFonts w:eastAsia="Batang" w:cs="Times New Roman"/>
          <w:kern w:val="22"/>
          <w:sz w:val="22"/>
          <w:lang w:val="en-GB"/>
        </w:rPr>
        <w:t>of the Protocol.</w:t>
      </w:r>
    </w:p>
    <w:p w14:paraId="0A69B973" w14:textId="2CA40161" w:rsidR="00983773" w:rsidRPr="002364AB" w:rsidRDefault="00983773" w:rsidP="00983773">
      <w:pPr>
        <w:autoSpaceDE w:val="0"/>
        <w:autoSpaceDN w:val="0"/>
        <w:adjustRightInd w:val="0"/>
        <w:spacing w:after="120"/>
        <w:rPr>
          <w:kern w:val="22"/>
          <w:sz w:val="22"/>
          <w:lang w:val="en-GB"/>
        </w:rPr>
      </w:pPr>
      <w:r w:rsidRPr="002364AB">
        <w:rPr>
          <w:kern w:val="22"/>
          <w:sz w:val="22"/>
          <w:lang w:val="en-GB"/>
        </w:rPr>
        <w:t>The Parties to the CBD were unable to agree on temporal scope during the multiyear negotiations, thus the Nagoya Protocol is silent on the topic. This silence does not, however, settle the question, as the Parties disagree on what constitutes retroactivity. Some countries</w:t>
      </w:r>
      <w:r w:rsidRPr="002364AB" w:rsidDel="00C75CC6">
        <w:rPr>
          <w:kern w:val="22"/>
          <w:sz w:val="22"/>
          <w:lang w:val="en-GB"/>
        </w:rPr>
        <w:t xml:space="preserve"> </w:t>
      </w:r>
      <w:r w:rsidRPr="002364AB">
        <w:rPr>
          <w:kern w:val="22"/>
          <w:sz w:val="22"/>
          <w:lang w:val="en-GB"/>
        </w:rPr>
        <w:t>view a utilization trigger as not prohibited retroactivity but, rather, as way of giving effect to the terms and spirit of the Protocol</w:t>
      </w:r>
      <w:r w:rsidR="005563BC" w:rsidRPr="002364AB">
        <w:rPr>
          <w:kern w:val="22"/>
          <w:sz w:val="22"/>
          <w:lang w:val="en-GB"/>
        </w:rPr>
        <w:t>,</w:t>
      </w:r>
      <w:r w:rsidR="008D1B27" w:rsidRPr="002364AB">
        <w:rPr>
          <w:kern w:val="22"/>
          <w:sz w:val="22"/>
          <w:lang w:val="en-GB"/>
        </w:rPr>
        <w:t xml:space="preserve"> consistent with Article 28 </w:t>
      </w:r>
      <w:r w:rsidR="005563BC" w:rsidRPr="002364AB">
        <w:rPr>
          <w:kern w:val="22"/>
          <w:sz w:val="22"/>
          <w:lang w:val="en-GB"/>
        </w:rPr>
        <w:t xml:space="preserve">of </w:t>
      </w:r>
      <w:r w:rsidR="008D1B27" w:rsidRPr="002364AB">
        <w:rPr>
          <w:kern w:val="22"/>
          <w:sz w:val="22"/>
          <w:lang w:val="en-GB"/>
        </w:rPr>
        <w:t>the Vienna Convention on the Law of Treaties</w:t>
      </w:r>
      <w:r w:rsidR="000B16C0" w:rsidRPr="002364AB">
        <w:rPr>
          <w:kern w:val="22"/>
          <w:sz w:val="22"/>
          <w:lang w:val="en-GB"/>
        </w:rPr>
        <w:t>, w</w:t>
      </w:r>
      <w:r w:rsidR="00590161" w:rsidRPr="002364AB">
        <w:rPr>
          <w:kern w:val="22"/>
          <w:sz w:val="22"/>
          <w:lang w:val="en-GB"/>
        </w:rPr>
        <w:t>hile others view it as negatively impacting legal certainty</w:t>
      </w:r>
      <w:r w:rsidRPr="002364AB">
        <w:rPr>
          <w:kern w:val="22"/>
          <w:sz w:val="22"/>
          <w:lang w:val="en-GB"/>
        </w:rPr>
        <w:t>.</w:t>
      </w:r>
      <w:r w:rsidRPr="002364AB">
        <w:rPr>
          <w:rStyle w:val="FootnoteReference"/>
          <w:kern w:val="22"/>
          <w:sz w:val="22"/>
          <w:lang w:val="en-GB"/>
        </w:rPr>
        <w:footnoteReference w:id="30"/>
      </w:r>
      <w:r w:rsidRPr="002364AB">
        <w:rPr>
          <w:kern w:val="22"/>
          <w:sz w:val="22"/>
          <w:lang w:val="en-GB"/>
        </w:rPr>
        <w:t xml:space="preserve">  </w:t>
      </w:r>
    </w:p>
    <w:p w14:paraId="14FC1545" w14:textId="65B3738D" w:rsidR="00983773" w:rsidRPr="002364AB" w:rsidRDefault="248AA06A" w:rsidP="248AA06A">
      <w:pPr>
        <w:autoSpaceDE w:val="0"/>
        <w:autoSpaceDN w:val="0"/>
        <w:adjustRightInd w:val="0"/>
        <w:spacing w:after="120"/>
        <w:rPr>
          <w:rStyle w:val="FootnoteReference"/>
          <w:kern w:val="22"/>
          <w:sz w:val="22"/>
          <w:lang w:val="en-GB"/>
        </w:rPr>
      </w:pPr>
      <w:r w:rsidRPr="002364AB">
        <w:rPr>
          <w:kern w:val="22"/>
          <w:sz w:val="22"/>
          <w:lang w:val="en-GB"/>
        </w:rPr>
        <w:t>Moreover,</w:t>
      </w:r>
      <w:r w:rsidRPr="002364AB">
        <w:rPr>
          <w:rStyle w:val="FootnoteReference"/>
          <w:kern w:val="22"/>
          <w:sz w:val="22"/>
          <w:lang w:val="en-GB"/>
        </w:rPr>
        <w:t xml:space="preserve"> </w:t>
      </w:r>
      <w:r w:rsidRPr="002364AB">
        <w:rPr>
          <w:kern w:val="22"/>
          <w:sz w:val="22"/>
          <w:lang w:val="en-GB"/>
        </w:rPr>
        <w:t>because the Protocol is silent on the definition of “access”,</w:t>
      </w:r>
      <w:r w:rsidR="00983773" w:rsidRPr="002364AB">
        <w:rPr>
          <w:kern w:val="22"/>
          <w:sz w:val="22"/>
          <w:vertAlign w:val="superscript"/>
          <w:lang w:val="en-GB"/>
        </w:rPr>
        <w:footnoteReference w:id="31"/>
      </w:r>
      <w:r w:rsidRPr="002364AB">
        <w:rPr>
          <w:kern w:val="22"/>
          <w:sz w:val="22"/>
          <w:lang w:val="en-GB"/>
        </w:rPr>
        <w:t xml:space="preserve"> some Parties are </w:t>
      </w:r>
      <w:r w:rsidR="005563BC" w:rsidRPr="002364AB">
        <w:rPr>
          <w:kern w:val="22"/>
          <w:sz w:val="22"/>
          <w:lang w:val="en-GB"/>
        </w:rPr>
        <w:t xml:space="preserve">implementing it </w:t>
      </w:r>
      <w:r w:rsidRPr="002364AB">
        <w:rPr>
          <w:kern w:val="22"/>
          <w:sz w:val="22"/>
          <w:lang w:val="en-GB"/>
        </w:rPr>
        <w:t xml:space="preserve">in a manner that imposes obligations </w:t>
      </w:r>
      <w:r w:rsidR="00227EB4" w:rsidRPr="002364AB">
        <w:rPr>
          <w:kern w:val="22"/>
          <w:sz w:val="22"/>
          <w:lang w:val="en-GB"/>
        </w:rPr>
        <w:t xml:space="preserve">solely </w:t>
      </w:r>
      <w:r w:rsidRPr="002364AB">
        <w:rPr>
          <w:kern w:val="22"/>
          <w:sz w:val="22"/>
          <w:lang w:val="en-GB"/>
        </w:rPr>
        <w:t>on genetic resources that are accessed after the Protocol’s effective date,</w:t>
      </w:r>
      <w:r w:rsidR="00983773" w:rsidRPr="002364AB">
        <w:rPr>
          <w:rStyle w:val="FootnoteReference"/>
          <w:kern w:val="22"/>
          <w:sz w:val="22"/>
          <w:lang w:val="en-GB"/>
        </w:rPr>
        <w:footnoteReference w:id="32"/>
      </w:r>
      <w:r w:rsidRPr="002364AB">
        <w:rPr>
          <w:kern w:val="22"/>
          <w:sz w:val="22"/>
          <w:lang w:val="en-GB"/>
        </w:rPr>
        <w:t xml:space="preserve"> while others are requiring benefit-sharing, and possibly PIC as well, for genetic resources utilized after </w:t>
      </w:r>
      <w:r w:rsidR="00227EB4" w:rsidRPr="002364AB">
        <w:rPr>
          <w:kern w:val="22"/>
          <w:sz w:val="22"/>
          <w:lang w:val="en-GB"/>
        </w:rPr>
        <w:t xml:space="preserve">its </w:t>
      </w:r>
      <w:r w:rsidRPr="002364AB">
        <w:rPr>
          <w:kern w:val="22"/>
          <w:sz w:val="22"/>
          <w:lang w:val="en-GB"/>
        </w:rPr>
        <w:t>entry into force, regardless of when the</w:t>
      </w:r>
      <w:r w:rsidR="00EA7B61" w:rsidRPr="002364AB">
        <w:rPr>
          <w:kern w:val="22"/>
          <w:sz w:val="22"/>
          <w:lang w:val="en-GB"/>
        </w:rPr>
        <w:t xml:space="preserve"> resources</w:t>
      </w:r>
      <w:r w:rsidRPr="002364AB">
        <w:rPr>
          <w:kern w:val="22"/>
          <w:sz w:val="22"/>
          <w:lang w:val="en-GB"/>
        </w:rPr>
        <w:t xml:space="preserve"> were obtained from the </w:t>
      </w:r>
      <w:r w:rsidR="00FC7471" w:rsidRPr="002364AB">
        <w:rPr>
          <w:kern w:val="22"/>
          <w:sz w:val="22"/>
          <w:lang w:val="en-GB"/>
        </w:rPr>
        <w:t xml:space="preserve">providing </w:t>
      </w:r>
      <w:r w:rsidR="00227EB4" w:rsidRPr="002364AB">
        <w:rPr>
          <w:kern w:val="22"/>
          <w:sz w:val="22"/>
          <w:lang w:val="en-GB"/>
        </w:rPr>
        <w:t>country</w:t>
      </w:r>
      <w:r w:rsidRPr="002364AB">
        <w:rPr>
          <w:kern w:val="22"/>
          <w:sz w:val="22"/>
          <w:lang w:val="en-GB"/>
        </w:rPr>
        <w:t>.</w:t>
      </w:r>
      <w:r w:rsidR="00983773" w:rsidRPr="002364AB">
        <w:rPr>
          <w:rStyle w:val="FootnoteReference"/>
          <w:kern w:val="22"/>
          <w:sz w:val="22"/>
          <w:lang w:val="en-GB"/>
        </w:rPr>
        <w:footnoteReference w:id="33"/>
      </w:r>
      <w:r w:rsidRPr="002364AB">
        <w:rPr>
          <w:rStyle w:val="FootnoteReference"/>
          <w:kern w:val="22"/>
          <w:sz w:val="22"/>
          <w:lang w:val="en-GB"/>
        </w:rPr>
        <w:t xml:space="preserve">  </w:t>
      </w:r>
    </w:p>
    <w:p w14:paraId="25C8BD27" w14:textId="0D4968A4" w:rsidR="00983773" w:rsidRPr="002364AB" w:rsidRDefault="00983773" w:rsidP="00073C95">
      <w:pPr>
        <w:spacing w:after="120"/>
        <w:ind w:firstLine="720"/>
        <w:rPr>
          <w:rFonts w:eastAsia="Batang" w:cs="Times New Roman"/>
          <w:i/>
          <w:kern w:val="22"/>
          <w:sz w:val="22"/>
          <w:lang w:val="en-GB"/>
        </w:rPr>
      </w:pPr>
      <w:r w:rsidRPr="002364AB">
        <w:rPr>
          <w:rFonts w:eastAsia="Batang" w:cs="Times New Roman"/>
          <w:i/>
          <w:kern w:val="22"/>
          <w:sz w:val="22"/>
          <w:lang w:val="en-GB"/>
        </w:rPr>
        <w:t>Subject matter scope</w:t>
      </w:r>
    </w:p>
    <w:p w14:paraId="210D46C7" w14:textId="24F98D4D" w:rsidR="00983773" w:rsidRPr="002364AB" w:rsidRDefault="00F00074" w:rsidP="248AA06A">
      <w:pPr>
        <w:spacing w:after="120"/>
        <w:rPr>
          <w:rFonts w:eastAsia="Batang" w:cs="Times New Roman"/>
          <w:kern w:val="22"/>
          <w:sz w:val="22"/>
          <w:lang w:val="en-GB"/>
        </w:rPr>
      </w:pPr>
      <w:r w:rsidRPr="002364AB">
        <w:rPr>
          <w:rFonts w:eastAsia="Batang"/>
          <w:kern w:val="22"/>
          <w:sz w:val="22"/>
          <w:lang w:val="en-GB"/>
        </w:rPr>
        <w:t xml:space="preserve">Parties also have differing </w:t>
      </w:r>
      <w:r w:rsidR="00EA7B61" w:rsidRPr="002364AB">
        <w:rPr>
          <w:rFonts w:eastAsia="Batang"/>
          <w:kern w:val="22"/>
          <w:sz w:val="22"/>
          <w:lang w:val="en-GB"/>
        </w:rPr>
        <w:t>views</w:t>
      </w:r>
      <w:r w:rsidRPr="002364AB">
        <w:rPr>
          <w:rFonts w:eastAsia="Batang"/>
          <w:kern w:val="22"/>
          <w:sz w:val="22"/>
          <w:lang w:val="en-GB"/>
        </w:rPr>
        <w:t xml:space="preserve"> on</w:t>
      </w:r>
      <w:r w:rsidR="248AA06A" w:rsidRPr="002364AB" w:rsidDel="00F00074">
        <w:rPr>
          <w:rFonts w:eastAsia="Batang"/>
          <w:kern w:val="22"/>
          <w:sz w:val="22"/>
          <w:lang w:val="en-GB"/>
        </w:rPr>
        <w:t xml:space="preserve"> </w:t>
      </w:r>
      <w:r w:rsidR="248AA06A" w:rsidRPr="002364AB">
        <w:rPr>
          <w:rFonts w:eastAsia="Batang"/>
          <w:kern w:val="22"/>
          <w:sz w:val="22"/>
          <w:lang w:val="en-GB"/>
        </w:rPr>
        <w:t xml:space="preserve">the breadth of subject matter covered by the CBD and </w:t>
      </w:r>
      <w:r w:rsidRPr="002364AB">
        <w:rPr>
          <w:rFonts w:eastAsia="Batang"/>
          <w:kern w:val="22"/>
          <w:sz w:val="22"/>
          <w:lang w:val="en-GB"/>
        </w:rPr>
        <w:t xml:space="preserve">the Nagoya </w:t>
      </w:r>
      <w:r w:rsidR="248AA06A" w:rsidRPr="002364AB">
        <w:rPr>
          <w:rFonts w:eastAsia="Batang"/>
          <w:kern w:val="22"/>
          <w:sz w:val="22"/>
          <w:lang w:val="en-GB"/>
        </w:rPr>
        <w:t xml:space="preserve">Protocol. </w:t>
      </w:r>
      <w:r w:rsidR="00563612" w:rsidRPr="002364AB">
        <w:rPr>
          <w:rFonts w:eastAsia="Batang"/>
          <w:kern w:val="22"/>
          <w:sz w:val="22"/>
          <w:lang w:val="en-GB"/>
        </w:rPr>
        <w:t xml:space="preserve">Some Parties assert that </w:t>
      </w:r>
      <w:r w:rsidR="00563612" w:rsidRPr="002364AB">
        <w:rPr>
          <w:rFonts w:eastAsia="Batang" w:cs="Times New Roman"/>
          <w:kern w:val="22"/>
          <w:sz w:val="22"/>
          <w:lang w:val="en-GB"/>
        </w:rPr>
        <w:t>t</w:t>
      </w:r>
      <w:r w:rsidR="248AA06A" w:rsidRPr="002364AB">
        <w:rPr>
          <w:rFonts w:eastAsia="Batang" w:cs="Times New Roman"/>
          <w:kern w:val="22"/>
          <w:sz w:val="22"/>
          <w:lang w:val="en-GB"/>
        </w:rPr>
        <w:t xml:space="preserve">he use of the phrase “genetic material” in the CBD and Protocol </w:t>
      </w:r>
      <w:r w:rsidR="00563612" w:rsidRPr="002364AB">
        <w:rPr>
          <w:rFonts w:eastAsia="Batang" w:cs="Times New Roman"/>
          <w:kern w:val="22"/>
          <w:sz w:val="22"/>
          <w:lang w:val="en-GB"/>
        </w:rPr>
        <w:t xml:space="preserve">excludes </w:t>
      </w:r>
      <w:r w:rsidR="248AA06A" w:rsidRPr="002364AB">
        <w:rPr>
          <w:rFonts w:eastAsia="Batang" w:cs="Times New Roman"/>
          <w:kern w:val="22"/>
          <w:sz w:val="22"/>
          <w:lang w:val="en-GB"/>
        </w:rPr>
        <w:t xml:space="preserve">intangible </w:t>
      </w:r>
      <w:r w:rsidR="00E20715" w:rsidRPr="002364AB">
        <w:rPr>
          <w:rFonts w:eastAsia="Batang" w:cs="Times New Roman"/>
          <w:kern w:val="22"/>
          <w:sz w:val="22"/>
          <w:lang w:val="en-GB"/>
        </w:rPr>
        <w:t>subject matter</w:t>
      </w:r>
      <w:r w:rsidR="248AA06A" w:rsidRPr="002364AB">
        <w:rPr>
          <w:rFonts w:eastAsia="Batang" w:cs="Times New Roman"/>
          <w:kern w:val="22"/>
          <w:sz w:val="22"/>
          <w:lang w:val="en-GB"/>
        </w:rPr>
        <w:t>.</w:t>
      </w:r>
      <w:r w:rsidR="248AA06A" w:rsidRPr="002364AB" w:rsidDel="00E20715">
        <w:rPr>
          <w:rFonts w:eastAsia="Batang" w:cs="Times New Roman"/>
          <w:kern w:val="22"/>
          <w:sz w:val="22"/>
          <w:lang w:val="en-GB"/>
        </w:rPr>
        <w:t xml:space="preserve"> </w:t>
      </w:r>
      <w:r w:rsidR="00E20715" w:rsidRPr="002364AB">
        <w:rPr>
          <w:rFonts w:eastAsia="Batang" w:cs="Times New Roman"/>
          <w:kern w:val="22"/>
          <w:sz w:val="22"/>
          <w:lang w:val="en-GB"/>
        </w:rPr>
        <w:t xml:space="preserve">Other Parties argue that </w:t>
      </w:r>
      <w:r w:rsidR="248AA06A" w:rsidRPr="002364AB">
        <w:rPr>
          <w:rFonts w:eastAsia="Batang" w:cs="Times New Roman"/>
          <w:kern w:val="22"/>
          <w:sz w:val="22"/>
          <w:lang w:val="en-GB"/>
        </w:rPr>
        <w:t xml:space="preserve">a </w:t>
      </w:r>
      <w:r w:rsidR="00AB51F3" w:rsidRPr="002364AB">
        <w:rPr>
          <w:rFonts w:eastAsia="Batang" w:cs="Times New Roman"/>
          <w:kern w:val="22"/>
          <w:sz w:val="22"/>
          <w:lang w:val="en-GB"/>
        </w:rPr>
        <w:t>‘</w:t>
      </w:r>
      <w:r w:rsidR="248AA06A" w:rsidRPr="002364AB">
        <w:rPr>
          <w:rFonts w:eastAsia="Batang" w:cs="Times New Roman"/>
          <w:kern w:val="22"/>
          <w:sz w:val="22"/>
          <w:lang w:val="en-GB"/>
        </w:rPr>
        <w:t>broad and dynamic</w:t>
      </w:r>
      <w:r w:rsidR="00AB51F3" w:rsidRPr="002364AB">
        <w:rPr>
          <w:rFonts w:eastAsia="Batang" w:cs="Times New Roman"/>
          <w:kern w:val="22"/>
          <w:sz w:val="22"/>
          <w:lang w:val="en-GB"/>
        </w:rPr>
        <w:t>’</w:t>
      </w:r>
      <w:r w:rsidR="248AA06A" w:rsidRPr="002364AB">
        <w:rPr>
          <w:rFonts w:eastAsia="Batang" w:cs="Times New Roman"/>
          <w:kern w:val="22"/>
          <w:sz w:val="22"/>
          <w:lang w:val="en-GB"/>
        </w:rPr>
        <w:t xml:space="preserve"> understanding </w:t>
      </w:r>
      <w:r w:rsidR="00E20715" w:rsidRPr="002364AB">
        <w:rPr>
          <w:rFonts w:eastAsia="Batang" w:cs="Times New Roman"/>
          <w:kern w:val="22"/>
          <w:sz w:val="22"/>
          <w:lang w:val="en-GB"/>
        </w:rPr>
        <w:t xml:space="preserve">of </w:t>
      </w:r>
      <w:r w:rsidR="248AA06A" w:rsidRPr="002364AB">
        <w:rPr>
          <w:rFonts w:eastAsia="Batang" w:cs="Times New Roman"/>
          <w:kern w:val="22"/>
          <w:sz w:val="22"/>
          <w:lang w:val="en-GB"/>
        </w:rPr>
        <w:t xml:space="preserve">the concept of genetic resources </w:t>
      </w:r>
      <w:r w:rsidR="00AB51F3" w:rsidRPr="002364AB">
        <w:rPr>
          <w:rFonts w:eastAsia="Batang" w:cs="Times New Roman"/>
          <w:kern w:val="22"/>
          <w:sz w:val="22"/>
          <w:lang w:val="en-GB"/>
        </w:rPr>
        <w:t xml:space="preserve">would </w:t>
      </w:r>
      <w:r w:rsidR="248AA06A" w:rsidRPr="002364AB">
        <w:rPr>
          <w:rFonts w:eastAsia="Batang" w:cs="Times New Roman"/>
          <w:kern w:val="22"/>
          <w:sz w:val="22"/>
          <w:lang w:val="en-GB"/>
        </w:rPr>
        <w:t xml:space="preserve">encompass </w:t>
      </w:r>
      <w:r w:rsidR="00B248FD" w:rsidRPr="002364AB">
        <w:rPr>
          <w:rFonts w:eastAsia="Batang" w:cs="Times New Roman"/>
          <w:kern w:val="22"/>
          <w:sz w:val="22"/>
          <w:lang w:val="en-GB"/>
        </w:rPr>
        <w:t>DSI</w:t>
      </w:r>
      <w:r w:rsidR="00AB51F3" w:rsidRPr="002364AB">
        <w:rPr>
          <w:rFonts w:eastAsia="Batang" w:cs="Times New Roman"/>
          <w:kern w:val="22"/>
          <w:sz w:val="22"/>
          <w:lang w:val="en-GB"/>
        </w:rPr>
        <w:t>.</w:t>
      </w:r>
      <w:r w:rsidR="248AA06A" w:rsidRPr="002364AB">
        <w:rPr>
          <w:rFonts w:eastAsia="Batang" w:cs="Times New Roman"/>
          <w:kern w:val="22"/>
          <w:sz w:val="22"/>
          <w:lang w:val="en-GB"/>
        </w:rPr>
        <w:t xml:space="preserve"> </w:t>
      </w:r>
      <w:r w:rsidR="00AB51F3" w:rsidRPr="002364AB">
        <w:rPr>
          <w:rFonts w:eastAsia="Batang" w:cs="Times New Roman"/>
          <w:kern w:val="22"/>
          <w:sz w:val="22"/>
          <w:lang w:val="en-GB"/>
        </w:rPr>
        <w:t>A</w:t>
      </w:r>
      <w:r w:rsidR="248AA06A" w:rsidRPr="002364AB">
        <w:rPr>
          <w:rFonts w:eastAsia="Batang" w:cs="Times New Roman"/>
          <w:kern w:val="22"/>
          <w:sz w:val="22"/>
          <w:lang w:val="en-GB"/>
        </w:rPr>
        <w:t>s described in Section 3.</w:t>
      </w:r>
      <w:r w:rsidR="00C1208C" w:rsidRPr="002364AB">
        <w:rPr>
          <w:rFonts w:eastAsia="Batang" w:cs="Times New Roman"/>
          <w:kern w:val="22"/>
          <w:sz w:val="22"/>
          <w:lang w:val="en-GB"/>
        </w:rPr>
        <w:t>3</w:t>
      </w:r>
      <w:r w:rsidR="248AA06A" w:rsidRPr="002364AB">
        <w:rPr>
          <w:rFonts w:eastAsia="Batang" w:cs="Times New Roman"/>
          <w:kern w:val="22"/>
          <w:sz w:val="22"/>
          <w:lang w:val="en-GB"/>
        </w:rPr>
        <w:t xml:space="preserve"> below, </w:t>
      </w:r>
      <w:r w:rsidR="00EA7B61" w:rsidRPr="002364AB">
        <w:rPr>
          <w:rFonts w:eastAsia="Batang" w:cs="Times New Roman"/>
          <w:kern w:val="22"/>
          <w:sz w:val="22"/>
          <w:lang w:val="en-GB"/>
        </w:rPr>
        <w:t xml:space="preserve">while </w:t>
      </w:r>
      <w:proofErr w:type="gramStart"/>
      <w:r w:rsidR="00EA7B61" w:rsidRPr="002364AB">
        <w:rPr>
          <w:rFonts w:eastAsia="Batang" w:cs="Times New Roman"/>
          <w:kern w:val="22"/>
          <w:sz w:val="22"/>
          <w:lang w:val="en-GB"/>
        </w:rPr>
        <w:t>the majority of</w:t>
      </w:r>
      <w:proofErr w:type="gramEnd"/>
      <w:r w:rsidR="00EA7B61" w:rsidRPr="002364AB">
        <w:rPr>
          <w:rFonts w:eastAsia="Batang" w:cs="Times New Roman"/>
          <w:kern w:val="22"/>
          <w:sz w:val="22"/>
          <w:lang w:val="en-GB"/>
        </w:rPr>
        <w:t xml:space="preserve"> Parties are not regulating DSI in their ABS regimes, </w:t>
      </w:r>
      <w:r w:rsidR="248AA06A" w:rsidRPr="002364AB">
        <w:rPr>
          <w:rFonts w:eastAsia="Batang" w:cs="Times New Roman"/>
          <w:kern w:val="22"/>
          <w:sz w:val="22"/>
          <w:lang w:val="en-GB"/>
        </w:rPr>
        <w:t>several countries are including intangible sequence information within the definition of genetic resources</w:t>
      </w:r>
      <w:r w:rsidR="00EA7B61" w:rsidRPr="002364AB">
        <w:rPr>
          <w:rFonts w:eastAsia="Batang" w:cs="Times New Roman"/>
          <w:kern w:val="22"/>
          <w:sz w:val="22"/>
          <w:lang w:val="en-GB"/>
        </w:rPr>
        <w:t xml:space="preserve"> and some of those are regulating its access. Others, while not considering DSI to be a genetic resource, do </w:t>
      </w:r>
      <w:r w:rsidR="00B248FD" w:rsidRPr="002364AB">
        <w:rPr>
          <w:rFonts w:eastAsia="Batang" w:cs="Times New Roman"/>
          <w:kern w:val="22"/>
          <w:sz w:val="22"/>
          <w:lang w:val="en-GB"/>
        </w:rPr>
        <w:t xml:space="preserve">accept that it may be </w:t>
      </w:r>
      <w:r w:rsidR="00EA7B61" w:rsidRPr="002364AB">
        <w:rPr>
          <w:rFonts w:eastAsia="Batang" w:cs="Times New Roman"/>
          <w:kern w:val="22"/>
          <w:sz w:val="22"/>
          <w:lang w:val="en-GB"/>
        </w:rPr>
        <w:t xml:space="preserve">a </w:t>
      </w:r>
      <w:r w:rsidR="248AA06A" w:rsidRPr="002364AB">
        <w:rPr>
          <w:rFonts w:eastAsia="Batang" w:cs="Times New Roman"/>
          <w:kern w:val="22"/>
          <w:sz w:val="22"/>
          <w:lang w:val="en-GB"/>
        </w:rPr>
        <w:t xml:space="preserve">product of utilization and </w:t>
      </w:r>
      <w:r w:rsidR="00B248FD" w:rsidRPr="002364AB">
        <w:rPr>
          <w:rFonts w:eastAsia="Batang" w:cs="Times New Roman"/>
          <w:kern w:val="22"/>
          <w:sz w:val="22"/>
          <w:lang w:val="en-GB"/>
        </w:rPr>
        <w:t xml:space="preserve">therefore </w:t>
      </w:r>
      <w:r w:rsidR="248AA06A" w:rsidRPr="002364AB">
        <w:rPr>
          <w:rFonts w:eastAsia="Batang" w:cs="Times New Roman"/>
          <w:kern w:val="22"/>
          <w:sz w:val="22"/>
          <w:lang w:val="en-GB"/>
        </w:rPr>
        <w:t>subject to benefit-sharing</w:t>
      </w:r>
      <w:r w:rsidR="00972CA0" w:rsidRPr="002364AB">
        <w:rPr>
          <w:rFonts w:eastAsia="Batang" w:cs="Times New Roman"/>
          <w:kern w:val="22"/>
          <w:sz w:val="22"/>
          <w:lang w:val="en-GB"/>
        </w:rPr>
        <w:t xml:space="preserve"> under MAT</w:t>
      </w:r>
      <w:r w:rsidR="248AA06A" w:rsidRPr="002364AB">
        <w:rPr>
          <w:rFonts w:eastAsia="Batang" w:cs="Times New Roman"/>
          <w:kern w:val="22"/>
          <w:sz w:val="22"/>
          <w:lang w:val="en-GB"/>
        </w:rPr>
        <w:t>.</w:t>
      </w:r>
      <w:r w:rsidR="00983773" w:rsidRPr="002364AB">
        <w:rPr>
          <w:rStyle w:val="FootnoteReference"/>
          <w:kern w:val="22"/>
          <w:sz w:val="22"/>
          <w:lang w:val="en-GB"/>
        </w:rPr>
        <w:footnoteReference w:id="34"/>
      </w:r>
    </w:p>
    <w:p w14:paraId="1BA221CE" w14:textId="469D1AC9" w:rsidR="00983773" w:rsidRPr="002364AB" w:rsidRDefault="00060B66" w:rsidP="00B80668">
      <w:pPr>
        <w:pBdr>
          <w:top w:val="nil"/>
          <w:left w:val="nil"/>
          <w:bottom w:val="nil"/>
          <w:right w:val="nil"/>
          <w:between w:val="nil"/>
        </w:pBdr>
        <w:spacing w:after="120"/>
        <w:rPr>
          <w:rFonts w:eastAsia="Times New Roman" w:cs="Times New Roman"/>
          <w:i/>
          <w:iCs/>
          <w:color w:val="000000"/>
          <w:kern w:val="22"/>
          <w:sz w:val="22"/>
          <w:lang w:val="en-GB" w:eastAsia="en-CA"/>
        </w:rPr>
      </w:pPr>
      <w:r w:rsidRPr="002364AB">
        <w:rPr>
          <w:rFonts w:eastAsia="Times New Roman" w:cs="Times New Roman"/>
          <w:color w:val="000000"/>
          <w:kern w:val="22"/>
          <w:sz w:val="22"/>
          <w:lang w:val="en-GB" w:eastAsia="en-CA"/>
        </w:rPr>
        <w:tab/>
      </w:r>
      <w:r w:rsidRPr="002364AB">
        <w:rPr>
          <w:rFonts w:eastAsia="Times New Roman" w:cs="Times New Roman"/>
          <w:i/>
          <w:iCs/>
          <w:color w:val="000000"/>
          <w:kern w:val="22"/>
          <w:sz w:val="22"/>
          <w:lang w:val="en-GB" w:eastAsia="en-CA"/>
        </w:rPr>
        <w:t>Geographic</w:t>
      </w:r>
      <w:r w:rsidR="001343CE" w:rsidRPr="002364AB">
        <w:rPr>
          <w:rFonts w:eastAsia="Times New Roman" w:cs="Times New Roman"/>
          <w:i/>
          <w:iCs/>
          <w:color w:val="000000"/>
          <w:kern w:val="22"/>
          <w:sz w:val="22"/>
          <w:lang w:val="en-GB" w:eastAsia="en-CA"/>
        </w:rPr>
        <w:t>/spatial</w:t>
      </w:r>
      <w:r w:rsidRPr="002364AB">
        <w:rPr>
          <w:rFonts w:eastAsia="Times New Roman" w:cs="Times New Roman"/>
          <w:i/>
          <w:iCs/>
          <w:color w:val="000000"/>
          <w:kern w:val="22"/>
          <w:sz w:val="22"/>
          <w:lang w:val="en-GB" w:eastAsia="en-CA"/>
        </w:rPr>
        <w:t xml:space="preserve"> scope</w:t>
      </w:r>
    </w:p>
    <w:p w14:paraId="2B2E2D18" w14:textId="6C81E01B" w:rsidR="007542EB" w:rsidRPr="002364AB" w:rsidRDefault="00AE2633" w:rsidP="00B80668">
      <w:pPr>
        <w:pBdr>
          <w:top w:val="nil"/>
          <w:left w:val="nil"/>
          <w:bottom w:val="nil"/>
          <w:right w:val="nil"/>
          <w:between w:val="nil"/>
        </w:pBdr>
        <w:spacing w:after="120"/>
        <w:rPr>
          <w:rFonts w:eastAsia="Times New Roman" w:cs="Times New Roman"/>
          <w:color w:val="000000"/>
          <w:kern w:val="22"/>
          <w:sz w:val="22"/>
          <w:lang w:val="en-GB" w:eastAsia="en-CA"/>
        </w:rPr>
      </w:pPr>
      <w:r w:rsidRPr="002364AB">
        <w:rPr>
          <w:rFonts w:eastAsia="Times New Roman" w:cs="Times New Roman"/>
          <w:color w:val="000000"/>
          <w:kern w:val="22"/>
          <w:sz w:val="22"/>
          <w:lang w:val="en-GB" w:eastAsia="en-CA"/>
        </w:rPr>
        <w:t xml:space="preserve">The geographic scope </w:t>
      </w:r>
      <w:r w:rsidR="00836428" w:rsidRPr="002364AB">
        <w:rPr>
          <w:rFonts w:eastAsia="Times New Roman" w:cs="Times New Roman"/>
          <w:color w:val="000000"/>
          <w:kern w:val="22"/>
          <w:sz w:val="22"/>
          <w:lang w:val="en-GB" w:eastAsia="en-CA"/>
        </w:rPr>
        <w:t xml:space="preserve">of the Nagoya Protocol is also </w:t>
      </w:r>
      <w:r w:rsidR="006F0DE9" w:rsidRPr="002364AB">
        <w:rPr>
          <w:rFonts w:eastAsia="Times New Roman" w:cs="Times New Roman"/>
          <w:color w:val="000000"/>
          <w:kern w:val="22"/>
          <w:sz w:val="22"/>
          <w:lang w:val="en-GB" w:eastAsia="en-CA"/>
        </w:rPr>
        <w:t xml:space="preserve">a contested </w:t>
      </w:r>
      <w:r w:rsidR="00836428" w:rsidRPr="002364AB">
        <w:rPr>
          <w:rFonts w:eastAsia="Times New Roman" w:cs="Times New Roman"/>
          <w:color w:val="000000"/>
          <w:kern w:val="22"/>
          <w:sz w:val="22"/>
          <w:lang w:val="en-GB" w:eastAsia="en-CA"/>
        </w:rPr>
        <w:t xml:space="preserve">subject among the Parties. This disagreement </w:t>
      </w:r>
      <w:r w:rsidR="006F0DE9" w:rsidRPr="002364AB">
        <w:rPr>
          <w:rFonts w:eastAsia="Times New Roman" w:cs="Times New Roman"/>
          <w:color w:val="000000"/>
          <w:kern w:val="22"/>
          <w:sz w:val="22"/>
          <w:lang w:val="en-GB" w:eastAsia="en-CA"/>
        </w:rPr>
        <w:t>derives from</w:t>
      </w:r>
      <w:r w:rsidR="00836428" w:rsidRPr="002364AB">
        <w:rPr>
          <w:rFonts w:eastAsia="Times New Roman" w:cs="Times New Roman"/>
          <w:color w:val="000000"/>
          <w:kern w:val="22"/>
          <w:sz w:val="22"/>
          <w:lang w:val="en-GB" w:eastAsia="en-CA"/>
        </w:rPr>
        <w:t xml:space="preserve"> </w:t>
      </w:r>
      <w:r w:rsidR="007408B7" w:rsidRPr="002364AB">
        <w:rPr>
          <w:rFonts w:eastAsia="Times New Roman" w:cs="Times New Roman"/>
          <w:color w:val="000000"/>
          <w:kern w:val="22"/>
          <w:sz w:val="22"/>
          <w:lang w:val="en-GB" w:eastAsia="en-CA"/>
        </w:rPr>
        <w:t xml:space="preserve">the scope of the Convention, which includes processes and activities </w:t>
      </w:r>
      <w:r w:rsidR="00DE29A4" w:rsidRPr="002364AB">
        <w:rPr>
          <w:rFonts w:eastAsia="Times New Roman" w:cs="Times New Roman"/>
          <w:color w:val="000000"/>
          <w:kern w:val="22"/>
          <w:sz w:val="22"/>
          <w:lang w:val="en-GB" w:eastAsia="en-CA"/>
        </w:rPr>
        <w:t>under Parties’ jurisdiction or control in areas beyond national jurisdiction.</w:t>
      </w:r>
      <w:r w:rsidR="00DE29A4" w:rsidRPr="002364AB">
        <w:rPr>
          <w:rStyle w:val="FootnoteReference"/>
          <w:rFonts w:eastAsia="Times New Roman" w:cs="Times New Roman"/>
          <w:color w:val="000000"/>
          <w:kern w:val="22"/>
          <w:sz w:val="22"/>
          <w:lang w:val="en-GB" w:eastAsia="en-CA"/>
        </w:rPr>
        <w:footnoteReference w:id="35"/>
      </w:r>
      <w:r w:rsidR="00DE29A4" w:rsidRPr="002364AB">
        <w:rPr>
          <w:rFonts w:eastAsia="Times New Roman" w:cs="Times New Roman"/>
          <w:color w:val="000000"/>
          <w:kern w:val="22"/>
          <w:sz w:val="22"/>
          <w:lang w:val="en-GB" w:eastAsia="en-CA"/>
        </w:rPr>
        <w:t xml:space="preserve"> </w:t>
      </w:r>
      <w:r w:rsidR="00FB6E0D" w:rsidRPr="002364AB">
        <w:rPr>
          <w:rFonts w:eastAsia="Times New Roman" w:cs="Times New Roman"/>
          <w:color w:val="000000"/>
          <w:kern w:val="22"/>
          <w:sz w:val="22"/>
          <w:lang w:val="en-GB" w:eastAsia="en-CA"/>
        </w:rPr>
        <w:t>Some Parties argue that the link between Article 3 o</w:t>
      </w:r>
      <w:r w:rsidR="008A5DDA" w:rsidRPr="002364AB">
        <w:rPr>
          <w:rFonts w:eastAsia="Times New Roman" w:cs="Times New Roman"/>
          <w:color w:val="000000"/>
          <w:kern w:val="22"/>
          <w:sz w:val="22"/>
          <w:lang w:val="en-GB" w:eastAsia="en-CA"/>
        </w:rPr>
        <w:t>f</w:t>
      </w:r>
      <w:r w:rsidR="00FB6E0D" w:rsidRPr="002364AB">
        <w:rPr>
          <w:rFonts w:eastAsia="Times New Roman" w:cs="Times New Roman"/>
          <w:color w:val="000000"/>
          <w:kern w:val="22"/>
          <w:sz w:val="22"/>
          <w:lang w:val="en-GB" w:eastAsia="en-CA"/>
        </w:rPr>
        <w:t xml:space="preserve"> the Protocol and Article 15 limits </w:t>
      </w:r>
      <w:r w:rsidR="00743AEE" w:rsidRPr="002364AB">
        <w:rPr>
          <w:rFonts w:eastAsia="Times New Roman" w:cs="Times New Roman"/>
          <w:color w:val="000000"/>
          <w:kern w:val="22"/>
          <w:sz w:val="22"/>
          <w:lang w:val="en-GB" w:eastAsia="en-CA"/>
        </w:rPr>
        <w:t xml:space="preserve">the geographic scope of the Protocol to genetic resources within national jurisdiction, while other Parties assert that </w:t>
      </w:r>
      <w:r w:rsidR="007E7F81" w:rsidRPr="002364AB">
        <w:rPr>
          <w:rFonts w:eastAsia="Times New Roman" w:cs="Times New Roman"/>
          <w:color w:val="000000"/>
          <w:kern w:val="22"/>
          <w:sz w:val="22"/>
          <w:lang w:val="en-GB" w:eastAsia="en-CA"/>
        </w:rPr>
        <w:t>the Protocol is silent on this issue.</w:t>
      </w:r>
      <w:r w:rsidR="00C1126E" w:rsidRPr="002364AB">
        <w:rPr>
          <w:rStyle w:val="FootnoteReference"/>
          <w:rFonts w:eastAsia="Times New Roman" w:cs="Times New Roman"/>
          <w:color w:val="000000"/>
          <w:kern w:val="22"/>
          <w:sz w:val="22"/>
          <w:lang w:val="en-GB" w:eastAsia="en-CA"/>
        </w:rPr>
        <w:footnoteReference w:id="36"/>
      </w:r>
      <w:r w:rsidR="007E7F81" w:rsidRPr="002364AB">
        <w:rPr>
          <w:rFonts w:eastAsia="Times New Roman" w:cs="Times New Roman"/>
          <w:color w:val="000000"/>
          <w:kern w:val="22"/>
          <w:sz w:val="22"/>
          <w:lang w:val="en-GB" w:eastAsia="en-CA"/>
        </w:rPr>
        <w:t xml:space="preserve"> </w:t>
      </w:r>
      <w:r w:rsidR="009418AF" w:rsidRPr="002364AB">
        <w:rPr>
          <w:rFonts w:eastAsia="Times New Roman" w:cs="Times New Roman"/>
          <w:color w:val="000000"/>
          <w:kern w:val="22"/>
          <w:sz w:val="22"/>
          <w:lang w:val="en-GB" w:eastAsia="en-CA"/>
        </w:rPr>
        <w:t xml:space="preserve">As negotiations on an international instrument </w:t>
      </w:r>
      <w:r w:rsidR="00427F0F" w:rsidRPr="002364AB">
        <w:rPr>
          <w:rFonts w:eastAsia="Times New Roman" w:cs="Times New Roman"/>
          <w:color w:val="000000"/>
          <w:kern w:val="22"/>
          <w:sz w:val="22"/>
          <w:lang w:val="en-GB" w:eastAsia="en-CA"/>
        </w:rPr>
        <w:t xml:space="preserve">on biodiversity beyond national jurisdiction – including marine genetic resources – have begun, </w:t>
      </w:r>
      <w:r w:rsidR="009418AF" w:rsidRPr="002364AB">
        <w:rPr>
          <w:rFonts w:eastAsia="Times New Roman" w:cs="Times New Roman"/>
          <w:color w:val="000000"/>
          <w:kern w:val="22"/>
          <w:sz w:val="22"/>
          <w:lang w:val="en-GB" w:eastAsia="en-CA"/>
        </w:rPr>
        <w:t>the authors describe</w:t>
      </w:r>
      <w:r w:rsidR="00C1126E" w:rsidRPr="002364AB">
        <w:rPr>
          <w:rFonts w:eastAsia="Times New Roman" w:cs="Times New Roman"/>
          <w:color w:val="000000"/>
          <w:kern w:val="22"/>
          <w:sz w:val="22"/>
          <w:lang w:val="en-GB" w:eastAsia="en-CA"/>
        </w:rPr>
        <w:t xml:space="preserve"> two issues that may still be considered pertinent to </w:t>
      </w:r>
      <w:r w:rsidR="00DD2EFD" w:rsidRPr="002364AB">
        <w:rPr>
          <w:rFonts w:eastAsia="Times New Roman" w:cs="Times New Roman"/>
          <w:color w:val="000000"/>
          <w:kern w:val="22"/>
          <w:sz w:val="22"/>
          <w:lang w:val="en-GB" w:eastAsia="en-CA"/>
        </w:rPr>
        <w:t>A</w:t>
      </w:r>
      <w:r w:rsidR="008B7419" w:rsidRPr="002364AB">
        <w:rPr>
          <w:rFonts w:eastAsia="Times New Roman" w:cs="Times New Roman"/>
          <w:color w:val="000000"/>
          <w:kern w:val="22"/>
          <w:sz w:val="22"/>
          <w:lang w:val="en-GB" w:eastAsia="en-CA"/>
        </w:rPr>
        <w:t>rticle 10</w:t>
      </w:r>
      <w:r w:rsidR="00C1126E" w:rsidRPr="002364AB">
        <w:rPr>
          <w:rFonts w:eastAsia="Times New Roman" w:cs="Times New Roman"/>
          <w:color w:val="000000"/>
          <w:kern w:val="22"/>
          <w:sz w:val="22"/>
          <w:lang w:val="en-GB" w:eastAsia="en-CA"/>
        </w:rPr>
        <w:t xml:space="preserve"> in Section</w:t>
      </w:r>
      <w:r w:rsidR="008B7419" w:rsidRPr="002364AB">
        <w:rPr>
          <w:rFonts w:eastAsia="Times New Roman" w:cs="Times New Roman"/>
          <w:color w:val="000000"/>
          <w:kern w:val="22"/>
          <w:sz w:val="22"/>
          <w:lang w:val="en-GB" w:eastAsia="en-CA"/>
        </w:rPr>
        <w:t>s</w:t>
      </w:r>
      <w:r w:rsidR="00C1126E" w:rsidRPr="002364AB">
        <w:rPr>
          <w:rFonts w:eastAsia="Times New Roman" w:cs="Times New Roman"/>
          <w:color w:val="000000"/>
          <w:kern w:val="22"/>
          <w:sz w:val="22"/>
          <w:lang w:val="en-GB" w:eastAsia="en-CA"/>
        </w:rPr>
        <w:t xml:space="preserve"> 2.</w:t>
      </w:r>
      <w:r w:rsidR="008B7419" w:rsidRPr="002364AB">
        <w:rPr>
          <w:rFonts w:eastAsia="Times New Roman" w:cs="Times New Roman"/>
          <w:color w:val="000000"/>
          <w:kern w:val="22"/>
          <w:sz w:val="22"/>
          <w:lang w:val="en-GB" w:eastAsia="en-CA"/>
        </w:rPr>
        <w:t>2 and 2.</w:t>
      </w:r>
      <w:r w:rsidR="00C1126E" w:rsidRPr="002364AB">
        <w:rPr>
          <w:rFonts w:eastAsia="Times New Roman" w:cs="Times New Roman"/>
          <w:color w:val="000000"/>
          <w:kern w:val="22"/>
          <w:sz w:val="22"/>
          <w:lang w:val="en-GB" w:eastAsia="en-CA"/>
        </w:rPr>
        <w:t>3.</w:t>
      </w:r>
    </w:p>
    <w:p w14:paraId="1EBFBA77" w14:textId="14AC1275" w:rsidR="00631691" w:rsidRPr="002364AB" w:rsidRDefault="00631691" w:rsidP="00B80668">
      <w:pPr>
        <w:pBdr>
          <w:top w:val="nil"/>
          <w:left w:val="nil"/>
          <w:bottom w:val="nil"/>
          <w:right w:val="nil"/>
          <w:between w:val="nil"/>
        </w:pBdr>
        <w:spacing w:after="120"/>
        <w:rPr>
          <w:rFonts w:eastAsia="Times New Roman" w:cs="Times New Roman"/>
          <w:i/>
          <w:color w:val="000000"/>
          <w:kern w:val="22"/>
          <w:sz w:val="22"/>
          <w:lang w:val="en-GB" w:eastAsia="en-CA"/>
        </w:rPr>
      </w:pPr>
      <w:r w:rsidRPr="002364AB">
        <w:rPr>
          <w:rFonts w:eastAsia="Times New Roman" w:cs="Times New Roman"/>
          <w:i/>
          <w:color w:val="000000"/>
          <w:kern w:val="22"/>
          <w:sz w:val="22"/>
          <w:lang w:val="en-GB" w:eastAsia="en-CA"/>
        </w:rPr>
        <w:t>Structure</w:t>
      </w:r>
    </w:p>
    <w:p w14:paraId="66509843" w14:textId="6CBF7548" w:rsidR="00A77E43" w:rsidRPr="002364AB" w:rsidRDefault="007457FB" w:rsidP="003E273A">
      <w:pPr>
        <w:rPr>
          <w:rFonts w:eastAsia="Times New Roman" w:cs="Times New Roman"/>
          <w:iCs/>
          <w:color w:val="000000"/>
          <w:kern w:val="22"/>
          <w:sz w:val="22"/>
          <w:lang w:val="en-GB" w:eastAsia="en-CA"/>
        </w:rPr>
      </w:pPr>
      <w:r w:rsidRPr="002364AB">
        <w:rPr>
          <w:rFonts w:eastAsia="Times New Roman" w:cs="Times New Roman"/>
          <w:iCs/>
          <w:color w:val="000000"/>
          <w:kern w:val="22"/>
          <w:sz w:val="22"/>
          <w:lang w:val="en-GB" w:eastAsia="en-CA"/>
        </w:rPr>
        <w:t xml:space="preserve">In terms of organization, Section 2 of the study presents specific cases of genetic resources that occur in transboundary situations, including examples of shared </w:t>
      </w:r>
      <w:r w:rsidR="00356397" w:rsidRPr="002364AB">
        <w:rPr>
          <w:rFonts w:eastAsia="Times New Roman" w:cs="Times New Roman"/>
          <w:iCs/>
          <w:color w:val="000000"/>
          <w:kern w:val="22"/>
          <w:sz w:val="22"/>
          <w:lang w:val="en-GB" w:eastAsia="en-CA"/>
        </w:rPr>
        <w:t xml:space="preserve">ecosystems and </w:t>
      </w:r>
      <w:r w:rsidR="00DE459E" w:rsidRPr="002364AB">
        <w:rPr>
          <w:rFonts w:eastAsia="Times New Roman" w:cs="Times New Roman"/>
          <w:iCs/>
          <w:color w:val="000000"/>
          <w:kern w:val="22"/>
          <w:sz w:val="22"/>
          <w:lang w:val="en-GB" w:eastAsia="en-CA"/>
        </w:rPr>
        <w:t>habitat</w:t>
      </w:r>
      <w:r w:rsidRPr="002364AB">
        <w:rPr>
          <w:rFonts w:eastAsia="Times New Roman" w:cs="Times New Roman"/>
          <w:iCs/>
          <w:color w:val="000000"/>
          <w:kern w:val="22"/>
          <w:sz w:val="22"/>
          <w:lang w:val="en-GB" w:eastAsia="en-CA"/>
        </w:rPr>
        <w:t>s, migratory species</w:t>
      </w:r>
      <w:r w:rsidR="00591792" w:rsidRPr="002364AB">
        <w:rPr>
          <w:rFonts w:eastAsia="Times New Roman" w:cs="Times New Roman"/>
          <w:iCs/>
          <w:color w:val="000000"/>
          <w:kern w:val="22"/>
          <w:sz w:val="22"/>
          <w:lang w:val="en-GB" w:eastAsia="en-CA"/>
        </w:rPr>
        <w:t xml:space="preserve">, </w:t>
      </w:r>
      <w:r w:rsidR="00C6430B" w:rsidRPr="002364AB">
        <w:rPr>
          <w:rFonts w:eastAsia="Times New Roman" w:cs="Times New Roman"/>
          <w:iCs/>
          <w:color w:val="000000"/>
          <w:kern w:val="22"/>
          <w:sz w:val="22"/>
          <w:lang w:val="en-GB" w:eastAsia="en-CA"/>
        </w:rPr>
        <w:t>and</w:t>
      </w:r>
      <w:r w:rsidR="00591792" w:rsidRPr="002364AB">
        <w:rPr>
          <w:rFonts w:eastAsia="Times New Roman" w:cs="Times New Roman"/>
          <w:iCs/>
          <w:color w:val="000000"/>
          <w:kern w:val="22"/>
          <w:sz w:val="22"/>
          <w:lang w:val="en-GB" w:eastAsia="en-CA"/>
        </w:rPr>
        <w:t xml:space="preserve"> areas beyond national jurisdiction</w:t>
      </w:r>
      <w:r w:rsidR="00C6430B" w:rsidRPr="002364AB">
        <w:rPr>
          <w:rFonts w:eastAsia="Times New Roman" w:cs="Times New Roman"/>
          <w:iCs/>
          <w:color w:val="000000"/>
          <w:kern w:val="22"/>
          <w:sz w:val="22"/>
          <w:lang w:val="en-GB" w:eastAsia="en-CA"/>
        </w:rPr>
        <w:t xml:space="preserve">. </w:t>
      </w:r>
      <w:r w:rsidRPr="002364AB">
        <w:rPr>
          <w:rFonts w:eastAsia="Times New Roman" w:cs="Times New Roman"/>
          <w:iCs/>
          <w:color w:val="000000"/>
          <w:kern w:val="22"/>
          <w:sz w:val="22"/>
          <w:lang w:val="en-GB" w:eastAsia="en-CA"/>
        </w:rPr>
        <w:t>Section 3 presents specific cases of genetic resources for which it is not possible to grant or obtain PIC</w:t>
      </w:r>
      <w:r w:rsidR="00C67F61" w:rsidRPr="002364AB">
        <w:rPr>
          <w:rFonts w:eastAsia="Times New Roman" w:cs="Times New Roman"/>
          <w:iCs/>
          <w:color w:val="000000"/>
          <w:kern w:val="22"/>
          <w:sz w:val="22"/>
          <w:lang w:val="en-GB" w:eastAsia="en-CA"/>
        </w:rPr>
        <w:t xml:space="preserve">. It </w:t>
      </w:r>
      <w:r w:rsidRPr="002364AB">
        <w:rPr>
          <w:rFonts w:eastAsia="Times New Roman" w:cs="Times New Roman"/>
          <w:iCs/>
          <w:color w:val="000000"/>
          <w:kern w:val="22"/>
          <w:sz w:val="22"/>
          <w:lang w:val="en-GB" w:eastAsia="en-CA"/>
        </w:rPr>
        <w:t>includ</w:t>
      </w:r>
      <w:r w:rsidR="00244934" w:rsidRPr="002364AB">
        <w:rPr>
          <w:rFonts w:eastAsia="Times New Roman" w:cs="Times New Roman"/>
          <w:iCs/>
          <w:color w:val="000000"/>
          <w:kern w:val="22"/>
          <w:sz w:val="22"/>
          <w:lang w:val="en-GB" w:eastAsia="en-CA"/>
        </w:rPr>
        <w:t>es</w:t>
      </w:r>
      <w:r w:rsidRPr="002364AB">
        <w:rPr>
          <w:rFonts w:eastAsia="Times New Roman" w:cs="Times New Roman"/>
          <w:iCs/>
          <w:color w:val="000000"/>
          <w:kern w:val="22"/>
          <w:sz w:val="22"/>
          <w:lang w:val="en-GB" w:eastAsia="en-CA"/>
        </w:rPr>
        <w:t xml:space="preserve"> examples of</w:t>
      </w:r>
      <w:r w:rsidRPr="002364AB" w:rsidDel="002106B8">
        <w:rPr>
          <w:rFonts w:eastAsia="Times New Roman" w:cs="Times New Roman"/>
          <w:iCs/>
          <w:color w:val="000000"/>
          <w:kern w:val="22"/>
          <w:sz w:val="22"/>
          <w:lang w:val="en-GB" w:eastAsia="en-CA"/>
        </w:rPr>
        <w:t xml:space="preserve"> </w:t>
      </w:r>
      <w:r w:rsidR="00C6430B" w:rsidRPr="002364AB">
        <w:rPr>
          <w:rFonts w:eastAsia="Times New Roman" w:cs="Times New Roman"/>
          <w:iCs/>
          <w:color w:val="000000"/>
          <w:kern w:val="22"/>
          <w:sz w:val="22"/>
          <w:lang w:val="en-GB" w:eastAsia="en-CA"/>
        </w:rPr>
        <w:t xml:space="preserve">genetic resources of untraceable </w:t>
      </w:r>
      <w:r w:rsidR="008B55E0" w:rsidRPr="002364AB">
        <w:rPr>
          <w:rFonts w:eastAsia="Times New Roman" w:cs="Times New Roman"/>
          <w:iCs/>
          <w:color w:val="000000"/>
          <w:kern w:val="22"/>
          <w:sz w:val="22"/>
          <w:lang w:val="en-GB" w:eastAsia="en-CA"/>
        </w:rPr>
        <w:t>provenance</w:t>
      </w:r>
      <w:r w:rsidR="00C6430B" w:rsidRPr="002364AB">
        <w:rPr>
          <w:rFonts w:eastAsia="Times New Roman" w:cs="Times New Roman"/>
          <w:iCs/>
          <w:color w:val="000000"/>
          <w:kern w:val="22"/>
          <w:sz w:val="22"/>
          <w:lang w:val="en-GB" w:eastAsia="en-CA"/>
        </w:rPr>
        <w:t xml:space="preserve"> in </w:t>
      </w:r>
      <w:r w:rsidR="00C6430B" w:rsidRPr="002364AB">
        <w:rPr>
          <w:rFonts w:eastAsia="Times New Roman" w:cs="Times New Roman"/>
          <w:i/>
          <w:iCs/>
          <w:color w:val="000000"/>
          <w:kern w:val="22"/>
          <w:sz w:val="22"/>
          <w:lang w:val="en-GB" w:eastAsia="en-CA"/>
        </w:rPr>
        <w:t>ex situ</w:t>
      </w:r>
      <w:r w:rsidR="00C6430B" w:rsidRPr="002364AB">
        <w:rPr>
          <w:rFonts w:eastAsia="Times New Roman" w:cs="Times New Roman"/>
          <w:iCs/>
          <w:color w:val="000000"/>
          <w:kern w:val="22"/>
          <w:sz w:val="22"/>
          <w:lang w:val="en-GB" w:eastAsia="en-CA"/>
        </w:rPr>
        <w:t xml:space="preserve"> collections, utilization of samples from large numbers of geographically diverse organisms, and</w:t>
      </w:r>
      <w:r w:rsidR="00C6430B" w:rsidRPr="002364AB" w:rsidDel="00631691">
        <w:rPr>
          <w:rFonts w:eastAsia="Times New Roman" w:cs="Times New Roman"/>
          <w:iCs/>
          <w:color w:val="000000"/>
          <w:kern w:val="22"/>
          <w:sz w:val="22"/>
          <w:lang w:val="en-GB" w:eastAsia="en-CA"/>
        </w:rPr>
        <w:t xml:space="preserve"> </w:t>
      </w:r>
      <w:r w:rsidR="002106B8" w:rsidRPr="002364AB">
        <w:rPr>
          <w:rFonts w:eastAsia="Times New Roman" w:cs="Times New Roman"/>
          <w:iCs/>
          <w:color w:val="000000"/>
          <w:kern w:val="22"/>
          <w:sz w:val="22"/>
          <w:lang w:val="en-GB" w:eastAsia="en-CA"/>
        </w:rPr>
        <w:t>genomic sequence data/DSI</w:t>
      </w:r>
      <w:r w:rsidR="00BE3909" w:rsidRPr="002364AB">
        <w:rPr>
          <w:rFonts w:eastAsia="Times New Roman" w:cs="Times New Roman"/>
          <w:iCs/>
          <w:color w:val="000000"/>
          <w:kern w:val="22"/>
          <w:sz w:val="22"/>
          <w:lang w:val="en-GB" w:eastAsia="en-CA"/>
        </w:rPr>
        <w:t xml:space="preserve"> </w:t>
      </w:r>
      <w:r w:rsidRPr="002364AB">
        <w:rPr>
          <w:rFonts w:eastAsia="Times New Roman" w:cs="Times New Roman"/>
          <w:iCs/>
          <w:color w:val="000000"/>
          <w:kern w:val="22"/>
          <w:sz w:val="22"/>
          <w:lang w:val="en-GB" w:eastAsia="en-CA"/>
        </w:rPr>
        <w:t>where no physical access is needed to utilize genetic information</w:t>
      </w:r>
      <w:r w:rsidR="00BE3909" w:rsidRPr="002364AB">
        <w:rPr>
          <w:rFonts w:eastAsia="Times New Roman" w:cs="Times New Roman"/>
          <w:iCs/>
          <w:color w:val="000000"/>
          <w:kern w:val="22"/>
          <w:sz w:val="22"/>
          <w:lang w:val="en-GB" w:eastAsia="en-CA"/>
        </w:rPr>
        <w:t>,</w:t>
      </w:r>
      <w:r w:rsidRPr="002364AB">
        <w:rPr>
          <w:rFonts w:eastAsia="Times New Roman" w:cs="Times New Roman"/>
          <w:iCs/>
          <w:color w:val="000000"/>
          <w:kern w:val="22"/>
          <w:sz w:val="22"/>
          <w:lang w:val="en-GB" w:eastAsia="en-CA"/>
        </w:rPr>
        <w:t xml:space="preserve"> and </w:t>
      </w:r>
      <w:r w:rsidR="0070461A" w:rsidRPr="002364AB">
        <w:rPr>
          <w:rFonts w:eastAsia="Times New Roman" w:cs="Times New Roman"/>
          <w:iCs/>
          <w:color w:val="000000"/>
          <w:kern w:val="22"/>
          <w:sz w:val="22"/>
          <w:lang w:val="en-GB" w:eastAsia="en-CA"/>
        </w:rPr>
        <w:t xml:space="preserve">which involve </w:t>
      </w:r>
      <w:r w:rsidRPr="002364AB">
        <w:rPr>
          <w:rFonts w:eastAsia="Times New Roman" w:cs="Times New Roman"/>
          <w:iCs/>
          <w:color w:val="000000"/>
          <w:kern w:val="22"/>
          <w:sz w:val="22"/>
          <w:lang w:val="en-GB" w:eastAsia="en-CA"/>
        </w:rPr>
        <w:t xml:space="preserve">utilization of genetic components found in multiple organisms. </w:t>
      </w:r>
      <w:r w:rsidR="00A77E43" w:rsidRPr="002364AB">
        <w:rPr>
          <w:rFonts w:eastAsia="Times New Roman" w:cs="Times New Roman"/>
          <w:iCs/>
          <w:color w:val="000000"/>
          <w:kern w:val="22"/>
          <w:sz w:val="22"/>
          <w:lang w:val="en-GB" w:eastAsia="en-CA"/>
        </w:rPr>
        <w:t xml:space="preserve">Finally, </w:t>
      </w:r>
      <w:r w:rsidR="00244934" w:rsidRPr="002364AB">
        <w:rPr>
          <w:rFonts w:eastAsia="Times New Roman" w:cs="Times New Roman"/>
          <w:iCs/>
          <w:color w:val="000000"/>
          <w:kern w:val="22"/>
          <w:sz w:val="22"/>
          <w:lang w:val="en-GB" w:eastAsia="en-CA"/>
        </w:rPr>
        <w:t>S</w:t>
      </w:r>
      <w:r w:rsidR="00A77E43" w:rsidRPr="002364AB">
        <w:rPr>
          <w:rFonts w:eastAsia="Times New Roman" w:cs="Times New Roman"/>
          <w:iCs/>
          <w:color w:val="000000"/>
          <w:kern w:val="22"/>
          <w:sz w:val="22"/>
          <w:lang w:val="en-GB" w:eastAsia="en-CA"/>
        </w:rPr>
        <w:t xml:space="preserve">ection 4 presents specific cases of </w:t>
      </w:r>
      <w:r w:rsidR="00F03336" w:rsidRPr="002364AB">
        <w:rPr>
          <w:rFonts w:eastAsia="Times New Roman" w:cs="Times New Roman"/>
          <w:iCs/>
          <w:color w:val="000000"/>
          <w:kern w:val="22"/>
          <w:sz w:val="22"/>
          <w:lang w:val="en-GB" w:eastAsia="en-CA"/>
        </w:rPr>
        <w:t>traditional knowledge</w:t>
      </w:r>
      <w:r w:rsidR="00A77E43" w:rsidRPr="002364AB">
        <w:rPr>
          <w:rFonts w:eastAsia="Times New Roman" w:cs="Times New Roman"/>
          <w:iCs/>
          <w:color w:val="000000"/>
          <w:kern w:val="22"/>
          <w:sz w:val="22"/>
          <w:lang w:val="en-GB" w:eastAsia="en-CA"/>
        </w:rPr>
        <w:t xml:space="preserve"> </w:t>
      </w:r>
      <w:r w:rsidR="00283ACC" w:rsidRPr="002364AB">
        <w:rPr>
          <w:rFonts w:eastAsia="Times New Roman" w:cs="Times New Roman"/>
          <w:iCs/>
          <w:color w:val="000000"/>
          <w:kern w:val="22"/>
          <w:sz w:val="22"/>
          <w:lang w:val="en-GB" w:eastAsia="en-CA"/>
        </w:rPr>
        <w:t xml:space="preserve">associated with genetic resources </w:t>
      </w:r>
      <w:r w:rsidR="00F60342" w:rsidRPr="002364AB">
        <w:rPr>
          <w:rFonts w:eastAsia="Times New Roman" w:cs="Times New Roman"/>
          <w:iCs/>
          <w:color w:val="000000"/>
          <w:kern w:val="22"/>
          <w:sz w:val="22"/>
          <w:lang w:val="en-GB" w:eastAsia="en-CA"/>
        </w:rPr>
        <w:t xml:space="preserve">that occur in transboundary situations or </w:t>
      </w:r>
      <w:r w:rsidR="00A77E43" w:rsidRPr="002364AB">
        <w:rPr>
          <w:rFonts w:eastAsia="Times New Roman" w:cs="Times New Roman"/>
          <w:iCs/>
          <w:color w:val="000000"/>
          <w:kern w:val="22"/>
          <w:sz w:val="22"/>
          <w:lang w:val="en-GB" w:eastAsia="en-CA"/>
        </w:rPr>
        <w:t>for which it is not possible to grant or obtain PIC</w:t>
      </w:r>
      <w:r w:rsidR="00F60342" w:rsidRPr="002364AB">
        <w:rPr>
          <w:rFonts w:eastAsia="Times New Roman" w:cs="Times New Roman"/>
          <w:iCs/>
          <w:color w:val="000000"/>
          <w:kern w:val="22"/>
          <w:sz w:val="22"/>
          <w:lang w:val="en-GB" w:eastAsia="en-CA"/>
        </w:rPr>
        <w:t xml:space="preserve">. This includes </w:t>
      </w:r>
      <w:r w:rsidR="002106B8" w:rsidRPr="002364AB">
        <w:rPr>
          <w:rFonts w:eastAsia="Times New Roman" w:cs="Times New Roman"/>
          <w:iCs/>
          <w:color w:val="000000"/>
          <w:kern w:val="22"/>
          <w:sz w:val="22"/>
          <w:lang w:val="en-GB" w:eastAsia="en-CA"/>
        </w:rPr>
        <w:t xml:space="preserve">associated </w:t>
      </w:r>
      <w:r w:rsidR="00F60342" w:rsidRPr="002364AB">
        <w:rPr>
          <w:rFonts w:eastAsia="Times New Roman" w:cs="Times New Roman"/>
          <w:iCs/>
          <w:color w:val="000000"/>
          <w:kern w:val="22"/>
          <w:sz w:val="22"/>
          <w:lang w:val="en-GB" w:eastAsia="en-CA"/>
        </w:rPr>
        <w:t>traditional knowledge held by IPLCs across national boundaries</w:t>
      </w:r>
      <w:r w:rsidR="00A77E43" w:rsidRPr="002364AB">
        <w:rPr>
          <w:rFonts w:eastAsia="Times New Roman" w:cs="Times New Roman"/>
          <w:iCs/>
          <w:color w:val="000000"/>
          <w:kern w:val="22"/>
          <w:sz w:val="22"/>
          <w:lang w:val="en-GB" w:eastAsia="en-CA"/>
        </w:rPr>
        <w:t xml:space="preserve">, publicly available </w:t>
      </w:r>
      <w:r w:rsidR="00F03336" w:rsidRPr="002364AB">
        <w:rPr>
          <w:rFonts w:eastAsia="Times New Roman" w:cs="Times New Roman"/>
          <w:iCs/>
          <w:color w:val="000000"/>
          <w:kern w:val="22"/>
          <w:sz w:val="22"/>
          <w:lang w:val="en-GB" w:eastAsia="en-CA"/>
        </w:rPr>
        <w:t>associated traditional knowledge</w:t>
      </w:r>
      <w:r w:rsidR="00711BD3" w:rsidRPr="002364AB">
        <w:rPr>
          <w:rFonts w:eastAsia="Times New Roman" w:cs="Times New Roman"/>
          <w:iCs/>
          <w:color w:val="000000"/>
          <w:kern w:val="22"/>
          <w:sz w:val="22"/>
          <w:lang w:val="en-GB" w:eastAsia="en-CA"/>
        </w:rPr>
        <w:t>,</w:t>
      </w:r>
      <w:r w:rsidR="00A77E43" w:rsidRPr="002364AB" w:rsidDel="0070461A">
        <w:rPr>
          <w:rFonts w:eastAsia="Times New Roman" w:cs="Times New Roman"/>
          <w:iCs/>
          <w:color w:val="000000"/>
          <w:kern w:val="22"/>
          <w:sz w:val="22"/>
          <w:lang w:val="en-GB" w:eastAsia="en-CA"/>
        </w:rPr>
        <w:t xml:space="preserve"> </w:t>
      </w:r>
      <w:r w:rsidR="00A77E43" w:rsidRPr="002364AB">
        <w:rPr>
          <w:rFonts w:eastAsia="Times New Roman" w:cs="Times New Roman"/>
          <w:iCs/>
          <w:color w:val="000000"/>
          <w:kern w:val="22"/>
          <w:sz w:val="22"/>
          <w:lang w:val="en-GB" w:eastAsia="en-CA"/>
        </w:rPr>
        <w:t xml:space="preserve">and </w:t>
      </w:r>
      <w:r w:rsidR="00F03336" w:rsidRPr="002364AB">
        <w:rPr>
          <w:rFonts w:eastAsia="Times New Roman" w:cs="Times New Roman"/>
          <w:iCs/>
          <w:color w:val="000000"/>
          <w:kern w:val="22"/>
          <w:sz w:val="22"/>
          <w:lang w:val="en-GB" w:eastAsia="en-CA"/>
        </w:rPr>
        <w:t xml:space="preserve">associated traditional knowledge </w:t>
      </w:r>
      <w:r w:rsidR="00A77E43" w:rsidRPr="002364AB">
        <w:rPr>
          <w:rFonts w:eastAsia="Times New Roman" w:cs="Times New Roman"/>
          <w:iCs/>
          <w:color w:val="000000"/>
          <w:kern w:val="22"/>
          <w:sz w:val="22"/>
          <w:lang w:val="en-GB" w:eastAsia="en-CA"/>
        </w:rPr>
        <w:t xml:space="preserve">of untraceable origin in </w:t>
      </w:r>
      <w:r w:rsidR="00A77E43" w:rsidRPr="002364AB">
        <w:rPr>
          <w:rFonts w:eastAsia="Times New Roman" w:cs="Times New Roman"/>
          <w:i/>
          <w:color w:val="000000"/>
          <w:kern w:val="22"/>
          <w:sz w:val="22"/>
          <w:lang w:val="en-GB" w:eastAsia="en-CA"/>
        </w:rPr>
        <w:t>ex situ</w:t>
      </w:r>
      <w:r w:rsidR="00A77E43" w:rsidRPr="002364AB">
        <w:rPr>
          <w:rFonts w:eastAsia="Times New Roman" w:cs="Times New Roman"/>
          <w:iCs/>
          <w:color w:val="000000"/>
          <w:kern w:val="22"/>
          <w:sz w:val="22"/>
          <w:lang w:val="en-GB" w:eastAsia="en-CA"/>
        </w:rPr>
        <w:t xml:space="preserve"> collections.</w:t>
      </w:r>
    </w:p>
    <w:p w14:paraId="136C1B29" w14:textId="468A791E" w:rsidR="00A76399" w:rsidRPr="002364AB" w:rsidRDefault="007457FB" w:rsidP="00255422">
      <w:pPr>
        <w:pBdr>
          <w:top w:val="nil"/>
          <w:left w:val="nil"/>
          <w:bottom w:val="nil"/>
          <w:right w:val="nil"/>
          <w:between w:val="nil"/>
        </w:pBdr>
        <w:spacing w:after="120"/>
        <w:rPr>
          <w:rFonts w:eastAsia="Times New Roman" w:cs="Times New Roman"/>
          <w:iCs/>
          <w:color w:val="000000"/>
          <w:kern w:val="22"/>
          <w:sz w:val="22"/>
          <w:lang w:val="en-GB" w:eastAsia="en-CA"/>
        </w:rPr>
      </w:pPr>
      <w:r w:rsidRPr="002364AB">
        <w:rPr>
          <w:rFonts w:eastAsia="Times New Roman" w:cs="Times New Roman"/>
          <w:iCs/>
          <w:color w:val="000000"/>
          <w:kern w:val="22"/>
          <w:sz w:val="22"/>
          <w:lang w:val="en-GB" w:eastAsia="en-CA"/>
        </w:rPr>
        <w:t xml:space="preserve">We note that </w:t>
      </w:r>
      <w:r w:rsidRPr="002364AB">
        <w:rPr>
          <w:rFonts w:eastAsia="Calibri" w:cs="Times New Roman"/>
          <w:kern w:val="22"/>
          <w:sz w:val="22"/>
          <w:lang w:val="en-GB"/>
        </w:rPr>
        <w:t>the report of the Expert Group Meeting on Article 10 of the Nagoya Protocol on Access and Benefit-sharing</w:t>
      </w:r>
      <w:r w:rsidR="001A2094" w:rsidRPr="002364AB">
        <w:rPr>
          <w:rStyle w:val="FootnoteReference"/>
          <w:rFonts w:eastAsia="Calibri" w:cs="Times New Roman"/>
          <w:kern w:val="22"/>
          <w:sz w:val="22"/>
          <w:lang w:val="en-GB"/>
        </w:rPr>
        <w:footnoteReference w:id="37"/>
      </w:r>
      <w:r w:rsidRPr="002364AB">
        <w:rPr>
          <w:rFonts w:eastAsia="Calibri" w:cs="Times New Roman"/>
          <w:kern w:val="22"/>
          <w:sz w:val="22"/>
          <w:lang w:val="en-GB"/>
        </w:rPr>
        <w:t xml:space="preserve"> identified additional scenarios </w:t>
      </w:r>
      <w:r w:rsidR="00A77E43" w:rsidRPr="002364AB">
        <w:rPr>
          <w:rFonts w:eastAsia="Calibri" w:cs="Times New Roman"/>
          <w:kern w:val="22"/>
          <w:sz w:val="22"/>
          <w:lang w:val="en-GB"/>
        </w:rPr>
        <w:t>that could be covered in Section 3</w:t>
      </w:r>
      <w:r w:rsidRPr="002364AB">
        <w:rPr>
          <w:rFonts w:eastAsia="Calibri" w:cs="Times New Roman"/>
          <w:kern w:val="22"/>
          <w:sz w:val="22"/>
          <w:lang w:val="en-GB"/>
        </w:rPr>
        <w:t xml:space="preserve">, namely, situations in which a Party has not yet developed its procedures and/or it lacks the capacity to grant prior informed consent, including </w:t>
      </w:r>
      <w:r w:rsidR="00A77E43" w:rsidRPr="002364AB">
        <w:rPr>
          <w:kern w:val="22"/>
          <w:sz w:val="22"/>
          <w:lang w:val="en-GB"/>
        </w:rPr>
        <w:t xml:space="preserve">where it was not clear who had the authority to grant PIC and when community protocols included procedures for access </w:t>
      </w:r>
      <w:r w:rsidR="00C67F61" w:rsidRPr="002364AB">
        <w:rPr>
          <w:kern w:val="22"/>
          <w:sz w:val="22"/>
          <w:lang w:val="en-GB"/>
        </w:rPr>
        <w:t>but</w:t>
      </w:r>
      <w:r w:rsidR="00A77E43" w:rsidRPr="002364AB">
        <w:rPr>
          <w:kern w:val="22"/>
          <w:sz w:val="22"/>
          <w:lang w:val="en-GB"/>
        </w:rPr>
        <w:t xml:space="preserve"> no national PIC requirement had been established;</w:t>
      </w:r>
      <w:r w:rsidR="00A77E43" w:rsidRPr="002364AB">
        <w:rPr>
          <w:rFonts w:eastAsia="Calibri" w:cs="Times New Roman"/>
          <w:kern w:val="22"/>
          <w:sz w:val="22"/>
          <w:lang w:val="en-GB"/>
        </w:rPr>
        <w:t xml:space="preserve"> </w:t>
      </w:r>
      <w:r w:rsidRPr="002364AB">
        <w:rPr>
          <w:rFonts w:eastAsia="Calibri" w:cs="Times New Roman"/>
          <w:kern w:val="22"/>
          <w:sz w:val="22"/>
          <w:lang w:val="en-GB"/>
        </w:rPr>
        <w:t xml:space="preserve">and situations in which a Party has decided not to require PIC. </w:t>
      </w:r>
      <w:r w:rsidR="00255422" w:rsidRPr="002364AB">
        <w:rPr>
          <w:kern w:val="22"/>
          <w:sz w:val="22"/>
          <w:lang w:val="en-GB"/>
        </w:rPr>
        <w:t xml:space="preserve">We have </w:t>
      </w:r>
      <w:r w:rsidR="00386291" w:rsidRPr="002364AB">
        <w:rPr>
          <w:kern w:val="22"/>
          <w:sz w:val="22"/>
          <w:lang w:val="en-GB"/>
        </w:rPr>
        <w:t>chosen</w:t>
      </w:r>
      <w:r w:rsidR="00255422" w:rsidRPr="002364AB">
        <w:rPr>
          <w:kern w:val="22"/>
          <w:sz w:val="22"/>
          <w:lang w:val="en-GB"/>
        </w:rPr>
        <w:t xml:space="preserve"> not to address these cases</w:t>
      </w:r>
      <w:r w:rsidR="00B557BA" w:rsidRPr="002364AB">
        <w:rPr>
          <w:kern w:val="22"/>
          <w:sz w:val="22"/>
          <w:lang w:val="en-GB"/>
        </w:rPr>
        <w:t>,</w:t>
      </w:r>
      <w:r w:rsidR="00255422" w:rsidRPr="002364AB">
        <w:rPr>
          <w:kern w:val="22"/>
          <w:sz w:val="22"/>
          <w:lang w:val="en-GB"/>
        </w:rPr>
        <w:t xml:space="preserve"> as </w:t>
      </w:r>
      <w:r w:rsidR="006030C1" w:rsidRPr="002364AB">
        <w:rPr>
          <w:kern w:val="22"/>
          <w:sz w:val="22"/>
          <w:lang w:val="en-GB"/>
        </w:rPr>
        <w:t xml:space="preserve">establishing a </w:t>
      </w:r>
      <w:bookmarkStart w:id="51" w:name="_Hlk34046286"/>
      <w:r w:rsidR="005E6291" w:rsidRPr="002364AB">
        <w:rPr>
          <w:kern w:val="22"/>
          <w:sz w:val="22"/>
          <w:lang w:val="en-GB"/>
        </w:rPr>
        <w:t xml:space="preserve">global multilateral benefit-sharing mechanism </w:t>
      </w:r>
      <w:bookmarkEnd w:id="51"/>
      <w:r w:rsidR="006030C1" w:rsidRPr="002364AB">
        <w:rPr>
          <w:kern w:val="22"/>
          <w:sz w:val="22"/>
          <w:lang w:val="en-GB"/>
        </w:rPr>
        <w:t xml:space="preserve">addressing </w:t>
      </w:r>
      <w:r w:rsidR="00255422" w:rsidRPr="002364AB">
        <w:rPr>
          <w:kern w:val="22"/>
          <w:sz w:val="22"/>
          <w:lang w:val="en-GB"/>
        </w:rPr>
        <w:t>these situations would appear to directly conflict with the exercise of sovereign</w:t>
      </w:r>
      <w:r w:rsidR="008830CA" w:rsidRPr="002364AB">
        <w:rPr>
          <w:kern w:val="22"/>
          <w:sz w:val="22"/>
          <w:lang w:val="en-GB"/>
        </w:rPr>
        <w:t xml:space="preserve"> rights</w:t>
      </w:r>
      <w:r w:rsidR="00255422" w:rsidRPr="002364AB">
        <w:rPr>
          <w:kern w:val="22"/>
          <w:sz w:val="22"/>
          <w:lang w:val="en-GB"/>
        </w:rPr>
        <w:t xml:space="preserve"> over genetic resources</w:t>
      </w:r>
      <w:r w:rsidR="00BE3909" w:rsidRPr="002364AB">
        <w:rPr>
          <w:kern w:val="22"/>
          <w:sz w:val="22"/>
          <w:lang w:val="en-GB"/>
        </w:rPr>
        <w:t xml:space="preserve"> by </w:t>
      </w:r>
      <w:r w:rsidR="006030C1" w:rsidRPr="002364AB">
        <w:rPr>
          <w:kern w:val="22"/>
          <w:sz w:val="22"/>
          <w:lang w:val="en-GB"/>
        </w:rPr>
        <w:t xml:space="preserve">either </w:t>
      </w:r>
      <w:proofErr w:type="spellStart"/>
      <w:r w:rsidR="006030C1" w:rsidRPr="002364AB">
        <w:rPr>
          <w:kern w:val="22"/>
          <w:sz w:val="22"/>
          <w:lang w:val="en-GB"/>
        </w:rPr>
        <w:t>preempting</w:t>
      </w:r>
      <w:proofErr w:type="spellEnd"/>
      <w:r w:rsidR="006030C1" w:rsidRPr="002364AB">
        <w:rPr>
          <w:kern w:val="22"/>
          <w:sz w:val="22"/>
          <w:lang w:val="en-GB"/>
        </w:rPr>
        <w:t xml:space="preserve"> or overriding </w:t>
      </w:r>
      <w:r w:rsidR="005E6291" w:rsidRPr="002364AB">
        <w:rPr>
          <w:kern w:val="22"/>
          <w:sz w:val="22"/>
          <w:lang w:val="en-GB"/>
        </w:rPr>
        <w:t xml:space="preserve">Parties’ </w:t>
      </w:r>
      <w:r w:rsidR="006030C1" w:rsidRPr="002364AB">
        <w:rPr>
          <w:kern w:val="22"/>
          <w:sz w:val="22"/>
          <w:lang w:val="en-GB"/>
        </w:rPr>
        <w:t>legal, administrative and/or policy decisions</w:t>
      </w:r>
      <w:r w:rsidR="00255422" w:rsidRPr="002364AB">
        <w:rPr>
          <w:kern w:val="22"/>
          <w:sz w:val="22"/>
          <w:lang w:val="en-GB"/>
        </w:rPr>
        <w:t>.</w:t>
      </w:r>
      <w:r w:rsidR="00A76399" w:rsidRPr="002364AB">
        <w:rPr>
          <w:kern w:val="22"/>
          <w:sz w:val="22"/>
          <w:lang w:val="en-GB"/>
        </w:rPr>
        <w:t xml:space="preserve"> We wish to emphasize that the mandate for this study is only to identify cases that could fall within the scope of Article 10 to inform discussions in the forthcoming SBI 3 meeting. This study should not be read as making any judgments on the need for a global multilateral benefit-sharing mechanism, </w:t>
      </w:r>
      <w:r w:rsidR="001129FF" w:rsidRPr="002364AB">
        <w:rPr>
          <w:kern w:val="22"/>
          <w:sz w:val="22"/>
          <w:lang w:val="en-GB"/>
        </w:rPr>
        <w:t xml:space="preserve">the modalities of any such mechanism, </w:t>
      </w:r>
      <w:r w:rsidR="00A76399" w:rsidRPr="002364AB">
        <w:rPr>
          <w:kern w:val="22"/>
          <w:sz w:val="22"/>
          <w:lang w:val="en-GB"/>
        </w:rPr>
        <w:t xml:space="preserve">or whether to negotiate such a mechanism for any given situation.   </w:t>
      </w:r>
    </w:p>
    <w:p w14:paraId="27B0DA21" w14:textId="5BE0CC63" w:rsidR="001C1C45" w:rsidRPr="002364AB" w:rsidRDefault="002E32B7" w:rsidP="00F43F79">
      <w:pPr>
        <w:pStyle w:val="Heading1"/>
        <w:numPr>
          <w:ilvl w:val="0"/>
          <w:numId w:val="4"/>
        </w:numPr>
        <w:spacing w:before="240"/>
        <w:ind w:left="357" w:right="431" w:hanging="357"/>
        <w:rPr>
          <w:kern w:val="22"/>
          <w:sz w:val="22"/>
          <w:szCs w:val="22"/>
          <w:lang w:val="en-GB"/>
        </w:rPr>
      </w:pPr>
      <w:bookmarkStart w:id="52" w:name="_Toc31040286"/>
      <w:bookmarkStart w:id="53" w:name="_Toc31056853"/>
      <w:bookmarkStart w:id="54" w:name="_Toc32490847"/>
      <w:r w:rsidRPr="002364AB">
        <w:rPr>
          <w:vanish/>
          <w:kern w:val="22"/>
          <w:sz w:val="22"/>
          <w:szCs w:val="22"/>
          <w:lang w:val="en-GB"/>
        </w:rPr>
        <w:t>S</w:t>
      </w:r>
      <w:r w:rsidR="00FC5588" w:rsidRPr="002364AB">
        <w:rPr>
          <w:vanish/>
          <w:kern w:val="22"/>
          <w:sz w:val="22"/>
          <w:szCs w:val="22"/>
          <w:lang w:val="en-GB"/>
        </w:rPr>
        <w:t xml:space="preserve">pecific </w:t>
      </w:r>
      <w:r w:rsidRPr="002364AB">
        <w:rPr>
          <w:vanish/>
          <w:kern w:val="22"/>
          <w:sz w:val="22"/>
          <w:szCs w:val="22"/>
          <w:lang w:val="en-GB"/>
        </w:rPr>
        <w:t>C</w:t>
      </w:r>
      <w:r w:rsidR="00FC5588" w:rsidRPr="002364AB">
        <w:rPr>
          <w:vanish/>
          <w:kern w:val="22"/>
          <w:sz w:val="22"/>
          <w:szCs w:val="22"/>
          <w:lang w:val="en-GB"/>
        </w:rPr>
        <w:t>ases of</w:t>
      </w:r>
      <w:r w:rsidRPr="002364AB">
        <w:rPr>
          <w:vanish/>
          <w:kern w:val="22"/>
          <w:sz w:val="22"/>
          <w:szCs w:val="22"/>
          <w:lang w:val="en-GB"/>
        </w:rPr>
        <w:t xml:space="preserve"> G</w:t>
      </w:r>
      <w:r w:rsidR="00FC5588" w:rsidRPr="002364AB">
        <w:rPr>
          <w:vanish/>
          <w:kern w:val="22"/>
          <w:sz w:val="22"/>
          <w:szCs w:val="22"/>
          <w:lang w:val="en-GB"/>
        </w:rPr>
        <w:t xml:space="preserve">enetic </w:t>
      </w:r>
      <w:r w:rsidRPr="002364AB">
        <w:rPr>
          <w:vanish/>
          <w:kern w:val="22"/>
          <w:sz w:val="22"/>
          <w:szCs w:val="22"/>
          <w:lang w:val="en-GB"/>
        </w:rPr>
        <w:t>R</w:t>
      </w:r>
      <w:r w:rsidR="00FC5588" w:rsidRPr="002364AB">
        <w:rPr>
          <w:vanish/>
          <w:kern w:val="22"/>
          <w:sz w:val="22"/>
          <w:szCs w:val="22"/>
          <w:lang w:val="en-GB"/>
        </w:rPr>
        <w:t>esources and T</w:t>
      </w:r>
      <w:r w:rsidR="003C1CC4" w:rsidRPr="002364AB">
        <w:rPr>
          <w:vanish/>
          <w:kern w:val="22"/>
          <w:sz w:val="22"/>
          <w:szCs w:val="22"/>
          <w:lang w:val="en-GB"/>
        </w:rPr>
        <w:t xml:space="preserve">raditional </w:t>
      </w:r>
      <w:r w:rsidR="00FC5588" w:rsidRPr="002364AB">
        <w:rPr>
          <w:vanish/>
          <w:kern w:val="22"/>
          <w:sz w:val="22"/>
          <w:szCs w:val="22"/>
          <w:lang w:val="en-GB"/>
        </w:rPr>
        <w:t>K</w:t>
      </w:r>
      <w:r w:rsidR="003C1CC4" w:rsidRPr="002364AB">
        <w:rPr>
          <w:vanish/>
          <w:kern w:val="22"/>
          <w:sz w:val="22"/>
          <w:szCs w:val="22"/>
          <w:lang w:val="en-GB"/>
        </w:rPr>
        <w:t>nowledge</w:t>
      </w:r>
      <w:r w:rsidR="00FC5588" w:rsidRPr="002364AB">
        <w:rPr>
          <w:vanish/>
          <w:kern w:val="22"/>
          <w:sz w:val="22"/>
          <w:szCs w:val="22"/>
          <w:lang w:val="en-GB"/>
        </w:rPr>
        <w:t xml:space="preserve"> </w:t>
      </w:r>
      <w:r w:rsidR="006030C1" w:rsidRPr="002364AB">
        <w:rPr>
          <w:vanish/>
          <w:kern w:val="22"/>
          <w:sz w:val="22"/>
          <w:szCs w:val="22"/>
          <w:lang w:val="en-GB"/>
        </w:rPr>
        <w:t xml:space="preserve">Associated with Genetic Resources </w:t>
      </w:r>
      <w:r w:rsidR="00FC5588" w:rsidRPr="002364AB">
        <w:rPr>
          <w:vanish/>
          <w:kern w:val="22"/>
          <w:sz w:val="22"/>
          <w:szCs w:val="22"/>
          <w:lang w:val="en-GB"/>
        </w:rPr>
        <w:t xml:space="preserve">that </w:t>
      </w:r>
      <w:r w:rsidRPr="002364AB">
        <w:rPr>
          <w:vanish/>
          <w:kern w:val="22"/>
          <w:sz w:val="22"/>
          <w:szCs w:val="22"/>
          <w:lang w:val="en-GB"/>
        </w:rPr>
        <w:t>O</w:t>
      </w:r>
      <w:r w:rsidR="00FC5588" w:rsidRPr="002364AB">
        <w:rPr>
          <w:vanish/>
          <w:kern w:val="22"/>
          <w:sz w:val="22"/>
          <w:szCs w:val="22"/>
          <w:lang w:val="en-GB"/>
        </w:rPr>
        <w:t xml:space="preserve">ccur in </w:t>
      </w:r>
      <w:r w:rsidRPr="002364AB">
        <w:rPr>
          <w:vanish/>
          <w:kern w:val="22"/>
          <w:sz w:val="22"/>
          <w:szCs w:val="22"/>
          <w:lang w:val="en-GB"/>
        </w:rPr>
        <w:t>T</w:t>
      </w:r>
      <w:r w:rsidR="00FC5588" w:rsidRPr="002364AB">
        <w:rPr>
          <w:vanish/>
          <w:kern w:val="22"/>
          <w:sz w:val="22"/>
          <w:szCs w:val="22"/>
          <w:lang w:val="en-GB"/>
        </w:rPr>
        <w:t xml:space="preserve">ransboundary </w:t>
      </w:r>
      <w:r w:rsidRPr="002364AB">
        <w:rPr>
          <w:vanish/>
          <w:kern w:val="22"/>
          <w:sz w:val="22"/>
          <w:szCs w:val="22"/>
          <w:lang w:val="en-GB"/>
        </w:rPr>
        <w:t>S</w:t>
      </w:r>
      <w:r w:rsidR="00FC5588" w:rsidRPr="002364AB">
        <w:rPr>
          <w:vanish/>
          <w:kern w:val="22"/>
          <w:sz w:val="22"/>
          <w:szCs w:val="22"/>
          <w:lang w:val="en-GB"/>
        </w:rPr>
        <w:t>ituations</w:t>
      </w:r>
      <w:bookmarkEnd w:id="52"/>
      <w:bookmarkEnd w:id="53"/>
      <w:bookmarkEnd w:id="54"/>
      <w:r w:rsidR="00FC5588" w:rsidRPr="002364AB">
        <w:rPr>
          <w:vanish/>
          <w:kern w:val="22"/>
          <w:sz w:val="22"/>
          <w:szCs w:val="22"/>
          <w:lang w:val="en-GB"/>
        </w:rPr>
        <w:t xml:space="preserve"> </w:t>
      </w:r>
      <w:bookmarkStart w:id="55" w:name="_Toc34249582"/>
      <w:bookmarkStart w:id="56" w:name="_Toc39580425"/>
      <w:bookmarkStart w:id="57" w:name="_Toc43134976"/>
      <w:r w:rsidR="001C1C45" w:rsidRPr="002364AB">
        <w:rPr>
          <w:kern w:val="22"/>
          <w:sz w:val="22"/>
          <w:szCs w:val="22"/>
          <w:lang w:val="en-GB"/>
        </w:rPr>
        <w:t xml:space="preserve">Specific Cases of Genetic Resources </w:t>
      </w:r>
      <w:r w:rsidR="002E3A0E" w:rsidRPr="002364AB">
        <w:rPr>
          <w:kern w:val="22"/>
          <w:sz w:val="22"/>
          <w:szCs w:val="22"/>
          <w:lang w:val="en-GB"/>
        </w:rPr>
        <w:t xml:space="preserve">That </w:t>
      </w:r>
      <w:r w:rsidR="001C1C45" w:rsidRPr="002364AB">
        <w:rPr>
          <w:kern w:val="22"/>
          <w:sz w:val="22"/>
          <w:szCs w:val="22"/>
          <w:lang w:val="en-GB"/>
        </w:rPr>
        <w:t>Occur in Transboundary Situations</w:t>
      </w:r>
      <w:bookmarkEnd w:id="55"/>
      <w:bookmarkEnd w:id="56"/>
      <w:bookmarkEnd w:id="57"/>
      <w:r w:rsidR="001C1C45" w:rsidRPr="002364AB">
        <w:rPr>
          <w:kern w:val="22"/>
          <w:sz w:val="22"/>
          <w:szCs w:val="22"/>
          <w:lang w:val="en-GB"/>
        </w:rPr>
        <w:t xml:space="preserve"> </w:t>
      </w:r>
    </w:p>
    <w:p w14:paraId="23028C80" w14:textId="6C11CA96" w:rsidR="00C928C2" w:rsidRPr="002364AB" w:rsidRDefault="00775F60" w:rsidP="00B80668">
      <w:pPr>
        <w:rPr>
          <w:rFonts w:cs="Times New Roman"/>
          <w:kern w:val="22"/>
          <w:sz w:val="22"/>
          <w:lang w:val="en-GB"/>
        </w:rPr>
      </w:pPr>
      <w:r w:rsidRPr="002364AB">
        <w:rPr>
          <w:rFonts w:cs="Times New Roman"/>
          <w:kern w:val="22"/>
          <w:sz w:val="22"/>
          <w:lang w:val="en-GB"/>
        </w:rPr>
        <w:t xml:space="preserve">Although it is difficult to determine </w:t>
      </w:r>
      <w:r w:rsidR="001A1D45" w:rsidRPr="002364AB">
        <w:rPr>
          <w:rFonts w:cs="Times New Roman"/>
          <w:kern w:val="22"/>
          <w:sz w:val="22"/>
          <w:lang w:val="en-GB"/>
        </w:rPr>
        <w:t>the proportion of genetic resources that span boundaries, it is likely to be high.</w:t>
      </w:r>
      <w:r w:rsidR="001A1D45" w:rsidRPr="002364AB">
        <w:rPr>
          <w:rStyle w:val="FootnoteReference"/>
          <w:rFonts w:cs="Times New Roman"/>
          <w:kern w:val="22"/>
          <w:sz w:val="22"/>
          <w:lang w:val="en-GB"/>
        </w:rPr>
        <w:footnoteReference w:id="38"/>
      </w:r>
      <w:r w:rsidR="001A1D45" w:rsidRPr="002364AB">
        <w:rPr>
          <w:rFonts w:cs="Times New Roman"/>
          <w:kern w:val="22"/>
          <w:sz w:val="22"/>
          <w:lang w:val="en-GB"/>
        </w:rPr>
        <w:t xml:space="preserve"> </w:t>
      </w:r>
      <w:r w:rsidR="00070BCA" w:rsidRPr="002364AB">
        <w:rPr>
          <w:rFonts w:cs="Times New Roman"/>
          <w:kern w:val="22"/>
          <w:sz w:val="22"/>
          <w:lang w:val="en-GB"/>
        </w:rPr>
        <w:t xml:space="preserve">Considering the artificial nature of political </w:t>
      </w:r>
      <w:r w:rsidR="007C4C2A" w:rsidRPr="002364AB">
        <w:rPr>
          <w:rFonts w:cs="Times New Roman"/>
          <w:kern w:val="22"/>
          <w:sz w:val="22"/>
          <w:lang w:val="en-GB"/>
        </w:rPr>
        <w:t>boundaries</w:t>
      </w:r>
      <w:r w:rsidR="00070BCA" w:rsidRPr="002364AB">
        <w:rPr>
          <w:rFonts w:cs="Times New Roman"/>
          <w:kern w:val="22"/>
          <w:sz w:val="22"/>
          <w:lang w:val="en-GB"/>
        </w:rPr>
        <w:t>, it is not surprising that many species are distributed across national bo</w:t>
      </w:r>
      <w:r w:rsidR="00540614" w:rsidRPr="002364AB">
        <w:rPr>
          <w:rFonts w:cs="Times New Roman"/>
          <w:kern w:val="22"/>
          <w:sz w:val="22"/>
          <w:lang w:val="en-GB"/>
        </w:rPr>
        <w:t>rders</w:t>
      </w:r>
      <w:r w:rsidR="00070BCA" w:rsidRPr="002364AB">
        <w:rPr>
          <w:rFonts w:cs="Times New Roman"/>
          <w:kern w:val="22"/>
          <w:sz w:val="22"/>
          <w:lang w:val="en-GB"/>
        </w:rPr>
        <w:t xml:space="preserve">. </w:t>
      </w:r>
      <w:r w:rsidR="00C928C2" w:rsidRPr="002364AB">
        <w:rPr>
          <w:rFonts w:cs="Times New Roman"/>
          <w:kern w:val="22"/>
          <w:sz w:val="22"/>
          <w:lang w:val="en-GB"/>
        </w:rPr>
        <w:t xml:space="preserve">As described by </w:t>
      </w:r>
      <w:proofErr w:type="spellStart"/>
      <w:r w:rsidR="00C928C2" w:rsidRPr="002364AB">
        <w:rPr>
          <w:rFonts w:cs="Times New Roman"/>
          <w:kern w:val="22"/>
          <w:sz w:val="22"/>
          <w:lang w:val="en-GB"/>
        </w:rPr>
        <w:t>Morgera</w:t>
      </w:r>
      <w:proofErr w:type="spellEnd"/>
      <w:r w:rsidR="006B18EC" w:rsidRPr="002364AB">
        <w:rPr>
          <w:rFonts w:cs="Times New Roman"/>
          <w:kern w:val="22"/>
          <w:sz w:val="22"/>
          <w:lang w:val="en-GB"/>
        </w:rPr>
        <w:t xml:space="preserve"> and others</w:t>
      </w:r>
      <w:r w:rsidR="00C928C2" w:rsidRPr="002364AB">
        <w:rPr>
          <w:rFonts w:cs="Times New Roman"/>
          <w:kern w:val="22"/>
          <w:sz w:val="22"/>
          <w:lang w:val="en-GB"/>
        </w:rPr>
        <w:t>, transboundary situations can be of at least two types:</w:t>
      </w:r>
    </w:p>
    <w:p w14:paraId="45AB4F96" w14:textId="77777777" w:rsidR="00C928C2" w:rsidRPr="002364AB" w:rsidRDefault="00F15982" w:rsidP="00325375">
      <w:pPr>
        <w:ind w:left="284" w:right="432"/>
        <w:rPr>
          <w:rFonts w:cs="Times New Roman"/>
          <w:kern w:val="22"/>
          <w:sz w:val="22"/>
          <w:lang w:val="en-GB"/>
        </w:rPr>
      </w:pPr>
      <w:r w:rsidRPr="002364AB">
        <w:rPr>
          <w:rFonts w:cs="Times New Roman"/>
          <w:kern w:val="22"/>
          <w:sz w:val="22"/>
          <w:lang w:val="en-GB"/>
        </w:rPr>
        <w:t xml:space="preserve">‘an </w:t>
      </w:r>
      <w:r w:rsidRPr="002364AB">
        <w:rPr>
          <w:rFonts w:cs="Times New Roman"/>
          <w:i/>
          <w:kern w:val="22"/>
          <w:sz w:val="22"/>
          <w:lang w:val="en-GB"/>
        </w:rPr>
        <w:t>in situ</w:t>
      </w:r>
      <w:r w:rsidRPr="002364AB">
        <w:rPr>
          <w:rFonts w:cs="Times New Roman"/>
          <w:kern w:val="22"/>
          <w:sz w:val="22"/>
          <w:lang w:val="en-GB"/>
        </w:rPr>
        <w:t xml:space="preserve"> transboundary situation’ in which genetic resources or traditional knowledge have developed their special characteristics and are still found across borders in natural circumstances; and ‘an </w:t>
      </w:r>
      <w:r w:rsidRPr="002364AB">
        <w:rPr>
          <w:rFonts w:cs="Times New Roman"/>
          <w:i/>
          <w:kern w:val="22"/>
          <w:sz w:val="22"/>
          <w:lang w:val="en-GB"/>
        </w:rPr>
        <w:t>ex situ</w:t>
      </w:r>
      <w:r w:rsidRPr="002364AB">
        <w:rPr>
          <w:rFonts w:cs="Times New Roman"/>
          <w:kern w:val="22"/>
          <w:sz w:val="22"/>
          <w:lang w:val="en-GB"/>
        </w:rPr>
        <w:t xml:space="preserve"> transboundary situation’ in which genetic resources or traditional knowledge are now found outside the habitats where they developed their essential characteristics in more than one country.</w:t>
      </w:r>
      <w:r w:rsidRPr="002364AB">
        <w:rPr>
          <w:rStyle w:val="FootnoteReference"/>
          <w:rFonts w:cs="Times New Roman"/>
          <w:kern w:val="22"/>
          <w:sz w:val="22"/>
          <w:lang w:val="en-GB"/>
        </w:rPr>
        <w:footnoteReference w:id="39"/>
      </w:r>
    </w:p>
    <w:p w14:paraId="75FBD50F" w14:textId="66D023C5" w:rsidR="00B80668" w:rsidRPr="002364AB" w:rsidRDefault="008B253A" w:rsidP="00B80668">
      <w:pPr>
        <w:rPr>
          <w:rFonts w:cs="Times New Roman"/>
          <w:kern w:val="22"/>
          <w:sz w:val="22"/>
          <w:lang w:val="en-GB"/>
        </w:rPr>
      </w:pPr>
      <w:r w:rsidRPr="002364AB">
        <w:rPr>
          <w:rFonts w:cs="Times New Roman"/>
          <w:kern w:val="22"/>
          <w:sz w:val="22"/>
          <w:lang w:val="en-GB"/>
        </w:rPr>
        <w:t xml:space="preserve">Examples of these situations are </w:t>
      </w:r>
      <w:r w:rsidR="009C2A5C" w:rsidRPr="002364AB">
        <w:rPr>
          <w:rFonts w:cs="Times New Roman"/>
          <w:kern w:val="22"/>
          <w:sz w:val="22"/>
          <w:lang w:val="en-GB"/>
        </w:rPr>
        <w:t>provided below</w:t>
      </w:r>
      <w:r w:rsidR="007375F2" w:rsidRPr="002364AB">
        <w:rPr>
          <w:rFonts w:cs="Times New Roman"/>
          <w:kern w:val="22"/>
          <w:sz w:val="22"/>
          <w:lang w:val="en-GB"/>
        </w:rPr>
        <w:t>, with the understanding that some m</w:t>
      </w:r>
      <w:r w:rsidR="002E1A47" w:rsidRPr="002364AB">
        <w:rPr>
          <w:rFonts w:cs="Times New Roman"/>
          <w:kern w:val="22"/>
          <w:sz w:val="22"/>
          <w:lang w:val="en-GB"/>
        </w:rPr>
        <w:t>ay</w:t>
      </w:r>
      <w:r w:rsidR="007375F2" w:rsidRPr="002364AB">
        <w:rPr>
          <w:rFonts w:cs="Times New Roman"/>
          <w:kern w:val="22"/>
          <w:sz w:val="22"/>
          <w:lang w:val="en-GB"/>
        </w:rPr>
        <w:t xml:space="preserve"> </w:t>
      </w:r>
      <w:r w:rsidR="002E1A47" w:rsidRPr="002364AB">
        <w:rPr>
          <w:rFonts w:cs="Times New Roman"/>
          <w:kern w:val="22"/>
          <w:sz w:val="22"/>
          <w:lang w:val="en-GB"/>
        </w:rPr>
        <w:t>be amenable to resolution</w:t>
      </w:r>
      <w:r w:rsidR="007375F2" w:rsidRPr="002364AB">
        <w:rPr>
          <w:rFonts w:cs="Times New Roman"/>
          <w:kern w:val="22"/>
          <w:sz w:val="22"/>
          <w:lang w:val="en-GB"/>
        </w:rPr>
        <w:t xml:space="preserve"> under </w:t>
      </w:r>
      <w:r w:rsidR="002E1A47" w:rsidRPr="002364AB">
        <w:rPr>
          <w:rFonts w:cs="Times New Roman"/>
          <w:kern w:val="22"/>
          <w:sz w:val="22"/>
          <w:lang w:val="en-GB"/>
        </w:rPr>
        <w:t xml:space="preserve">either </w:t>
      </w:r>
      <w:r w:rsidR="007375F2" w:rsidRPr="002364AB">
        <w:rPr>
          <w:rFonts w:cs="Times New Roman"/>
          <w:kern w:val="22"/>
          <w:sz w:val="22"/>
          <w:lang w:val="en-GB"/>
        </w:rPr>
        <w:t xml:space="preserve">Article </w:t>
      </w:r>
      <w:r w:rsidR="00177470" w:rsidRPr="002364AB">
        <w:rPr>
          <w:rFonts w:cs="Times New Roman"/>
          <w:kern w:val="22"/>
          <w:sz w:val="22"/>
          <w:lang w:val="en-GB"/>
        </w:rPr>
        <w:t>10</w:t>
      </w:r>
      <w:r w:rsidR="007375F2" w:rsidRPr="002364AB">
        <w:rPr>
          <w:rFonts w:cs="Times New Roman"/>
          <w:kern w:val="22"/>
          <w:sz w:val="22"/>
          <w:lang w:val="en-GB"/>
        </w:rPr>
        <w:t xml:space="preserve"> </w:t>
      </w:r>
      <w:r w:rsidR="002E1A47" w:rsidRPr="002364AB">
        <w:rPr>
          <w:rFonts w:cs="Times New Roman"/>
          <w:kern w:val="22"/>
          <w:sz w:val="22"/>
          <w:lang w:val="en-GB"/>
        </w:rPr>
        <w:t xml:space="preserve">or Article </w:t>
      </w:r>
      <w:r w:rsidR="007375F2" w:rsidRPr="002364AB">
        <w:rPr>
          <w:rFonts w:cs="Times New Roman"/>
          <w:kern w:val="22"/>
          <w:sz w:val="22"/>
          <w:lang w:val="en-GB"/>
        </w:rPr>
        <w:t>11</w:t>
      </w:r>
      <w:r w:rsidR="006E4A8A" w:rsidRPr="002364AB">
        <w:rPr>
          <w:rFonts w:cs="Times New Roman"/>
          <w:kern w:val="22"/>
          <w:sz w:val="22"/>
          <w:lang w:val="en-GB"/>
        </w:rPr>
        <w:t xml:space="preserve">, and some may be considered completely </w:t>
      </w:r>
      <w:r w:rsidR="001B24DF" w:rsidRPr="002364AB">
        <w:rPr>
          <w:rFonts w:cs="Times New Roman"/>
          <w:kern w:val="22"/>
          <w:sz w:val="22"/>
          <w:lang w:val="en-GB"/>
        </w:rPr>
        <w:t>beyond the scope of the CBD and Protocol</w:t>
      </w:r>
      <w:r w:rsidR="00C21954" w:rsidRPr="002364AB">
        <w:rPr>
          <w:rFonts w:cs="Times New Roman"/>
          <w:kern w:val="22"/>
          <w:sz w:val="22"/>
          <w:lang w:val="en-GB"/>
        </w:rPr>
        <w:t>.</w:t>
      </w:r>
    </w:p>
    <w:p w14:paraId="4351DB9D" w14:textId="2D335DD5" w:rsidR="00FC5588" w:rsidRPr="002364AB" w:rsidRDefault="00FC5588" w:rsidP="00C44EBD">
      <w:pPr>
        <w:pStyle w:val="Heading2"/>
        <w:rPr>
          <w:kern w:val="22"/>
          <w:sz w:val="22"/>
          <w:szCs w:val="22"/>
          <w:lang w:val="en-GB"/>
        </w:rPr>
      </w:pPr>
      <w:bookmarkStart w:id="58" w:name="_Toc30776997"/>
      <w:bookmarkStart w:id="59" w:name="_Toc30777019"/>
      <w:bookmarkStart w:id="60" w:name="_Toc30777055"/>
      <w:bookmarkStart w:id="61" w:name="_Toc30777170"/>
      <w:bookmarkStart w:id="62" w:name="_Toc30777197"/>
      <w:bookmarkStart w:id="63" w:name="_Toc30979014"/>
      <w:bookmarkStart w:id="64" w:name="_Toc31040287"/>
      <w:bookmarkStart w:id="65" w:name="_Toc31024059"/>
      <w:bookmarkStart w:id="66" w:name="_Toc31035007"/>
      <w:bookmarkStart w:id="67" w:name="_Toc31035125"/>
      <w:bookmarkStart w:id="68" w:name="_Toc31035203"/>
      <w:bookmarkStart w:id="69" w:name="_Toc31035227"/>
      <w:bookmarkStart w:id="70" w:name="_Toc31056854"/>
      <w:bookmarkStart w:id="71" w:name="_Toc31035345"/>
      <w:bookmarkStart w:id="72" w:name="_Toc31035495"/>
      <w:bookmarkStart w:id="73" w:name="_Toc31035515"/>
      <w:bookmarkStart w:id="74" w:name="_Toc31036207"/>
      <w:bookmarkStart w:id="75" w:name="_Toc31036980"/>
      <w:bookmarkStart w:id="76" w:name="_Toc31042114"/>
      <w:bookmarkStart w:id="77" w:name="_Toc32398769"/>
      <w:bookmarkStart w:id="78" w:name="_Toc32490804"/>
      <w:bookmarkStart w:id="79" w:name="_Toc32490848"/>
      <w:bookmarkStart w:id="80" w:name="_Toc32477709"/>
      <w:bookmarkStart w:id="81" w:name="_Toc33744279"/>
      <w:bookmarkStart w:id="82" w:name="_Toc33783831"/>
      <w:bookmarkStart w:id="83" w:name="_Toc33904776"/>
      <w:bookmarkStart w:id="84" w:name="_Toc33976905"/>
      <w:bookmarkStart w:id="85" w:name="_Toc33977021"/>
      <w:bookmarkStart w:id="86" w:name="_Toc33989556"/>
      <w:bookmarkStart w:id="87" w:name="_Toc33989676"/>
      <w:bookmarkStart w:id="88" w:name="_Toc32398770"/>
      <w:bookmarkStart w:id="89" w:name="_Toc32490805"/>
      <w:bookmarkStart w:id="90" w:name="_Toc32490849"/>
      <w:bookmarkStart w:id="91" w:name="_Toc32477710"/>
      <w:bookmarkStart w:id="92" w:name="_Toc33744280"/>
      <w:bookmarkStart w:id="93" w:name="_Toc33783832"/>
      <w:bookmarkStart w:id="94" w:name="_Toc33904777"/>
      <w:bookmarkStart w:id="95" w:name="_Toc33976906"/>
      <w:bookmarkStart w:id="96" w:name="_Toc33977022"/>
      <w:bookmarkStart w:id="97" w:name="_Toc33989557"/>
      <w:bookmarkStart w:id="98" w:name="_Toc33989677"/>
      <w:bookmarkStart w:id="99" w:name="_Toc31040288"/>
      <w:bookmarkStart w:id="100" w:name="_Toc31056856"/>
      <w:bookmarkStart w:id="101" w:name="_Toc32490850"/>
      <w:bookmarkStart w:id="102" w:name="_Toc34249583"/>
      <w:bookmarkStart w:id="103" w:name="_Toc39580426"/>
      <w:bookmarkStart w:id="104" w:name="_Toc431349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364AB">
        <w:rPr>
          <w:kern w:val="22"/>
          <w:sz w:val="22"/>
          <w:szCs w:val="22"/>
          <w:lang w:val="en-GB"/>
        </w:rPr>
        <w:t xml:space="preserve">Shared </w:t>
      </w:r>
      <w:r w:rsidR="00356397" w:rsidRPr="002364AB">
        <w:rPr>
          <w:kern w:val="22"/>
          <w:sz w:val="22"/>
          <w:szCs w:val="22"/>
          <w:lang w:val="en-GB"/>
        </w:rPr>
        <w:t xml:space="preserve">Ecosystems and </w:t>
      </w:r>
      <w:r w:rsidR="00DE459E" w:rsidRPr="002364AB">
        <w:rPr>
          <w:kern w:val="22"/>
          <w:sz w:val="22"/>
          <w:szCs w:val="22"/>
          <w:lang w:val="en-GB"/>
        </w:rPr>
        <w:t>Habitat</w:t>
      </w:r>
      <w:r w:rsidRPr="002364AB">
        <w:rPr>
          <w:kern w:val="22"/>
          <w:sz w:val="22"/>
          <w:szCs w:val="22"/>
          <w:lang w:val="en-GB"/>
        </w:rPr>
        <w:t>s/</w:t>
      </w:r>
      <w:r w:rsidR="00CC67FE" w:rsidRPr="002364AB">
        <w:rPr>
          <w:kern w:val="22"/>
          <w:sz w:val="22"/>
          <w:szCs w:val="22"/>
          <w:lang w:val="en-GB"/>
        </w:rPr>
        <w:t>Species</w:t>
      </w:r>
      <w:r w:rsidR="002122EE" w:rsidRPr="002364AB">
        <w:rPr>
          <w:kern w:val="22"/>
          <w:sz w:val="22"/>
          <w:szCs w:val="22"/>
          <w:lang w:val="en-GB"/>
        </w:rPr>
        <w:t xml:space="preserve"> D</w:t>
      </w:r>
      <w:r w:rsidRPr="002364AB">
        <w:rPr>
          <w:kern w:val="22"/>
          <w:sz w:val="22"/>
          <w:szCs w:val="22"/>
          <w:lang w:val="en-GB"/>
        </w:rPr>
        <w:t xml:space="preserve">istributed </w:t>
      </w:r>
      <w:r w:rsidR="006A1ED0" w:rsidRPr="002364AB">
        <w:rPr>
          <w:kern w:val="22"/>
          <w:sz w:val="22"/>
          <w:szCs w:val="22"/>
          <w:lang w:val="en-GB"/>
        </w:rPr>
        <w:t>a</w:t>
      </w:r>
      <w:r w:rsidRPr="002364AB">
        <w:rPr>
          <w:kern w:val="22"/>
          <w:sz w:val="22"/>
          <w:szCs w:val="22"/>
          <w:lang w:val="en-GB"/>
        </w:rPr>
        <w:t xml:space="preserve">cross </w:t>
      </w:r>
      <w:r w:rsidR="002122EE" w:rsidRPr="002364AB">
        <w:rPr>
          <w:kern w:val="22"/>
          <w:sz w:val="22"/>
          <w:szCs w:val="22"/>
          <w:lang w:val="en-GB"/>
        </w:rPr>
        <w:t>N</w:t>
      </w:r>
      <w:r w:rsidRPr="002364AB">
        <w:rPr>
          <w:kern w:val="22"/>
          <w:sz w:val="22"/>
          <w:szCs w:val="22"/>
          <w:lang w:val="en-GB"/>
        </w:rPr>
        <w:t xml:space="preserve">ational </w:t>
      </w:r>
      <w:r w:rsidR="002122EE" w:rsidRPr="002364AB">
        <w:rPr>
          <w:kern w:val="22"/>
          <w:sz w:val="22"/>
          <w:szCs w:val="22"/>
          <w:lang w:val="en-GB"/>
        </w:rPr>
        <w:t>B</w:t>
      </w:r>
      <w:r w:rsidRPr="002364AB">
        <w:rPr>
          <w:kern w:val="22"/>
          <w:sz w:val="22"/>
          <w:szCs w:val="22"/>
          <w:lang w:val="en-GB"/>
        </w:rPr>
        <w:t>oundaries</w:t>
      </w:r>
      <w:bookmarkEnd w:id="99"/>
      <w:bookmarkEnd w:id="100"/>
      <w:bookmarkEnd w:id="101"/>
      <w:bookmarkEnd w:id="102"/>
      <w:bookmarkEnd w:id="103"/>
      <w:bookmarkEnd w:id="104"/>
    </w:p>
    <w:p w14:paraId="76B804DA" w14:textId="65D4184C" w:rsidR="007D03C2" w:rsidRPr="002364AB" w:rsidRDefault="00AC44BD" w:rsidP="00B80668">
      <w:pPr>
        <w:rPr>
          <w:kern w:val="22"/>
          <w:sz w:val="22"/>
          <w:lang w:val="en-GB"/>
        </w:rPr>
      </w:pPr>
      <w:r w:rsidRPr="002364AB">
        <w:rPr>
          <w:kern w:val="22"/>
          <w:sz w:val="22"/>
          <w:lang w:val="en-GB"/>
        </w:rPr>
        <w:t xml:space="preserve">Some </w:t>
      </w:r>
      <w:r w:rsidR="00CC67FE" w:rsidRPr="002364AB">
        <w:rPr>
          <w:kern w:val="22"/>
          <w:sz w:val="22"/>
          <w:lang w:val="en-GB"/>
        </w:rPr>
        <w:t>species</w:t>
      </w:r>
      <w:r w:rsidRPr="002364AB">
        <w:rPr>
          <w:kern w:val="22"/>
          <w:sz w:val="22"/>
          <w:lang w:val="en-GB"/>
        </w:rPr>
        <w:t xml:space="preserve"> are</w:t>
      </w:r>
      <w:r w:rsidRPr="002364AB" w:rsidDel="00531D3F">
        <w:rPr>
          <w:kern w:val="22"/>
          <w:sz w:val="22"/>
          <w:lang w:val="en-GB"/>
        </w:rPr>
        <w:t xml:space="preserve"> </w:t>
      </w:r>
      <w:r w:rsidR="00531D3F" w:rsidRPr="002364AB">
        <w:rPr>
          <w:kern w:val="22"/>
          <w:sz w:val="22"/>
          <w:lang w:val="en-GB"/>
        </w:rPr>
        <w:t xml:space="preserve">found </w:t>
      </w:r>
      <w:r w:rsidRPr="002364AB">
        <w:rPr>
          <w:kern w:val="22"/>
          <w:sz w:val="22"/>
          <w:lang w:val="en-GB"/>
        </w:rPr>
        <w:t xml:space="preserve">in </w:t>
      </w:r>
      <w:proofErr w:type="spellStart"/>
      <w:r w:rsidRPr="002364AB">
        <w:rPr>
          <w:kern w:val="22"/>
          <w:sz w:val="22"/>
          <w:lang w:val="en-GB"/>
        </w:rPr>
        <w:t>neighboring</w:t>
      </w:r>
      <w:proofErr w:type="spellEnd"/>
      <w:r w:rsidRPr="002364AB">
        <w:rPr>
          <w:kern w:val="22"/>
          <w:sz w:val="22"/>
          <w:lang w:val="en-GB"/>
        </w:rPr>
        <w:t xml:space="preserve"> countries</w:t>
      </w:r>
      <w:r w:rsidR="007D1E9C" w:rsidRPr="002364AB">
        <w:rPr>
          <w:kern w:val="22"/>
          <w:sz w:val="22"/>
          <w:lang w:val="en-GB"/>
        </w:rPr>
        <w:t>,</w:t>
      </w:r>
      <w:r w:rsidRPr="002364AB">
        <w:rPr>
          <w:kern w:val="22"/>
          <w:sz w:val="22"/>
          <w:lang w:val="en-GB"/>
        </w:rPr>
        <w:t xml:space="preserve"> such as </w:t>
      </w:r>
      <w:proofErr w:type="spellStart"/>
      <w:r w:rsidRPr="002364AB">
        <w:rPr>
          <w:i/>
          <w:iCs/>
          <w:kern w:val="22"/>
          <w:sz w:val="22"/>
          <w:lang w:val="en-GB"/>
        </w:rPr>
        <w:t>Pentas</w:t>
      </w:r>
      <w:proofErr w:type="spellEnd"/>
      <w:r w:rsidRPr="002364AB">
        <w:rPr>
          <w:i/>
          <w:iCs/>
          <w:kern w:val="22"/>
          <w:sz w:val="22"/>
          <w:lang w:val="en-GB"/>
        </w:rPr>
        <w:t xml:space="preserve"> </w:t>
      </w:r>
      <w:proofErr w:type="spellStart"/>
      <w:r w:rsidRPr="002364AB">
        <w:rPr>
          <w:i/>
          <w:iCs/>
          <w:kern w:val="22"/>
          <w:sz w:val="22"/>
          <w:lang w:val="en-GB"/>
        </w:rPr>
        <w:t>longiflora</w:t>
      </w:r>
      <w:proofErr w:type="spellEnd"/>
      <w:r w:rsidRPr="002364AB">
        <w:rPr>
          <w:kern w:val="22"/>
          <w:sz w:val="22"/>
          <w:lang w:val="en-GB"/>
        </w:rPr>
        <w:t xml:space="preserve">, </w:t>
      </w:r>
      <w:r w:rsidR="0045719C" w:rsidRPr="002364AB">
        <w:rPr>
          <w:kern w:val="22"/>
          <w:sz w:val="22"/>
          <w:lang w:val="en-GB"/>
        </w:rPr>
        <w:t xml:space="preserve">which is </w:t>
      </w:r>
      <w:r w:rsidRPr="002364AB">
        <w:rPr>
          <w:kern w:val="22"/>
          <w:sz w:val="22"/>
          <w:lang w:val="en-GB"/>
        </w:rPr>
        <w:t>used traditionally to treat fungal infections in Uganda,</w:t>
      </w:r>
      <w:r w:rsidRPr="002364AB">
        <w:rPr>
          <w:rStyle w:val="FootnoteReference"/>
          <w:kern w:val="22"/>
          <w:sz w:val="22"/>
          <w:lang w:val="en-GB"/>
        </w:rPr>
        <w:footnoteReference w:id="40"/>
      </w:r>
      <w:r w:rsidRPr="002364AB">
        <w:rPr>
          <w:kern w:val="22"/>
          <w:sz w:val="22"/>
          <w:lang w:val="en-GB"/>
        </w:rPr>
        <w:t xml:space="preserve"> but also </w:t>
      </w:r>
      <w:r w:rsidR="00AA0482" w:rsidRPr="002364AB">
        <w:rPr>
          <w:kern w:val="22"/>
          <w:sz w:val="22"/>
          <w:lang w:val="en-GB"/>
        </w:rPr>
        <w:t xml:space="preserve">is </w:t>
      </w:r>
      <w:r w:rsidRPr="002364AB">
        <w:rPr>
          <w:kern w:val="22"/>
          <w:sz w:val="22"/>
          <w:lang w:val="en-GB"/>
        </w:rPr>
        <w:t>found in Kenya.</w:t>
      </w:r>
      <w:r w:rsidRPr="002364AB">
        <w:rPr>
          <w:rStyle w:val="FootnoteReference"/>
          <w:kern w:val="22"/>
          <w:sz w:val="22"/>
          <w:lang w:val="en-GB"/>
        </w:rPr>
        <w:footnoteReference w:id="41"/>
      </w:r>
      <w:r w:rsidRPr="002364AB">
        <w:rPr>
          <w:kern w:val="22"/>
          <w:sz w:val="22"/>
          <w:lang w:val="en-GB"/>
        </w:rPr>
        <w:t xml:space="preserve"> </w:t>
      </w:r>
      <w:r w:rsidR="006A1ED0" w:rsidRPr="002364AB">
        <w:rPr>
          <w:kern w:val="22"/>
          <w:sz w:val="22"/>
          <w:lang w:val="en-GB"/>
        </w:rPr>
        <w:t xml:space="preserve">Some are found much farther apart, such as the Rosy periwinkle, or </w:t>
      </w:r>
      <w:proofErr w:type="spellStart"/>
      <w:r w:rsidR="006A1ED0" w:rsidRPr="002364AB">
        <w:rPr>
          <w:i/>
          <w:iCs/>
          <w:kern w:val="22"/>
          <w:sz w:val="22"/>
          <w:lang w:val="en-GB"/>
        </w:rPr>
        <w:t>Catharanthus</w:t>
      </w:r>
      <w:proofErr w:type="spellEnd"/>
      <w:r w:rsidR="006A1ED0" w:rsidRPr="002364AB">
        <w:rPr>
          <w:i/>
          <w:iCs/>
          <w:kern w:val="22"/>
          <w:sz w:val="22"/>
          <w:lang w:val="en-GB"/>
        </w:rPr>
        <w:t xml:space="preserve"> roseus</w:t>
      </w:r>
      <w:r w:rsidR="006A1ED0" w:rsidRPr="002364AB">
        <w:rPr>
          <w:kern w:val="22"/>
          <w:sz w:val="22"/>
          <w:lang w:val="en-GB"/>
        </w:rPr>
        <w:t xml:space="preserve">, which originated in Madagascar, but </w:t>
      </w:r>
      <w:r w:rsidR="008516F9" w:rsidRPr="002364AB">
        <w:rPr>
          <w:kern w:val="22"/>
          <w:sz w:val="22"/>
          <w:lang w:val="en-GB"/>
        </w:rPr>
        <w:t xml:space="preserve">appears to </w:t>
      </w:r>
      <w:r w:rsidR="00687461" w:rsidRPr="002364AB">
        <w:rPr>
          <w:kern w:val="22"/>
          <w:sz w:val="22"/>
          <w:lang w:val="en-GB"/>
        </w:rPr>
        <w:t>have long been cultivated and naturalized in India and other places as well</w:t>
      </w:r>
      <w:r w:rsidR="00A23812" w:rsidRPr="002364AB">
        <w:rPr>
          <w:kern w:val="22"/>
          <w:sz w:val="22"/>
          <w:lang w:val="en-GB"/>
        </w:rPr>
        <w:t>.</w:t>
      </w:r>
      <w:r w:rsidR="006A1ED0" w:rsidRPr="002364AB">
        <w:rPr>
          <w:rStyle w:val="FootnoteReference"/>
          <w:kern w:val="22"/>
          <w:sz w:val="22"/>
          <w:lang w:val="en-GB"/>
        </w:rPr>
        <w:footnoteReference w:id="42"/>
      </w:r>
      <w:r w:rsidR="00F00705" w:rsidRPr="002364AB">
        <w:rPr>
          <w:kern w:val="22"/>
          <w:sz w:val="22"/>
          <w:lang w:val="en-GB"/>
        </w:rPr>
        <w:t xml:space="preserve"> </w:t>
      </w:r>
      <w:r w:rsidR="004A3877" w:rsidRPr="002364AB">
        <w:rPr>
          <w:kern w:val="22"/>
          <w:sz w:val="22"/>
          <w:lang w:val="en-GB"/>
        </w:rPr>
        <w:t>A compendium of African medicinal pla</w:t>
      </w:r>
      <w:r w:rsidR="007D03C2" w:rsidRPr="002364AB">
        <w:rPr>
          <w:kern w:val="22"/>
          <w:sz w:val="22"/>
          <w:lang w:val="en-GB"/>
        </w:rPr>
        <w:t xml:space="preserve">nts published by the African Union </w:t>
      </w:r>
      <w:proofErr w:type="spellStart"/>
      <w:r w:rsidR="007D03C2" w:rsidRPr="002364AB">
        <w:rPr>
          <w:kern w:val="22"/>
          <w:sz w:val="22"/>
          <w:lang w:val="en-GB"/>
        </w:rPr>
        <w:t>catalogs</w:t>
      </w:r>
      <w:proofErr w:type="spellEnd"/>
      <w:r w:rsidR="007D03C2" w:rsidRPr="002364AB">
        <w:rPr>
          <w:kern w:val="22"/>
          <w:sz w:val="22"/>
          <w:lang w:val="en-GB"/>
        </w:rPr>
        <w:t xml:space="preserve"> numerous plant species that are </w:t>
      </w:r>
      <w:r w:rsidR="00756F08" w:rsidRPr="002364AB">
        <w:rPr>
          <w:kern w:val="22"/>
          <w:sz w:val="22"/>
          <w:lang w:val="en-GB"/>
        </w:rPr>
        <w:t>native</w:t>
      </w:r>
      <w:r w:rsidR="007D03C2" w:rsidRPr="002364AB">
        <w:rPr>
          <w:kern w:val="22"/>
          <w:sz w:val="22"/>
          <w:lang w:val="en-GB"/>
        </w:rPr>
        <w:t xml:space="preserve"> to multiple countries</w:t>
      </w:r>
      <w:r w:rsidR="00541E0B" w:rsidRPr="002364AB">
        <w:rPr>
          <w:kern w:val="22"/>
          <w:sz w:val="22"/>
          <w:lang w:val="en-GB"/>
        </w:rPr>
        <w:t xml:space="preserve"> and may be known by different names in various countries</w:t>
      </w:r>
      <w:r w:rsidR="007D03C2" w:rsidRPr="002364AB">
        <w:rPr>
          <w:kern w:val="22"/>
          <w:sz w:val="22"/>
          <w:lang w:val="en-GB"/>
        </w:rPr>
        <w:t>.</w:t>
      </w:r>
      <w:r w:rsidR="007D03C2" w:rsidRPr="002364AB">
        <w:rPr>
          <w:rStyle w:val="FootnoteReference"/>
          <w:kern w:val="22"/>
          <w:sz w:val="22"/>
          <w:lang w:val="en-GB"/>
        </w:rPr>
        <w:footnoteReference w:id="43"/>
      </w:r>
    </w:p>
    <w:p w14:paraId="03CEFEE0" w14:textId="52AB2FBE" w:rsidR="00FC5588" w:rsidRPr="002364AB" w:rsidRDefault="00B66F64" w:rsidP="00B80668">
      <w:pPr>
        <w:rPr>
          <w:kern w:val="22"/>
          <w:sz w:val="22"/>
          <w:lang w:val="en-GB"/>
        </w:rPr>
      </w:pPr>
      <w:r w:rsidRPr="002364AB">
        <w:rPr>
          <w:kern w:val="22"/>
          <w:sz w:val="22"/>
          <w:lang w:val="en-GB"/>
        </w:rPr>
        <w:t xml:space="preserve">Another </w:t>
      </w:r>
      <w:r w:rsidR="00B94A6D" w:rsidRPr="002364AB">
        <w:rPr>
          <w:kern w:val="22"/>
          <w:sz w:val="22"/>
          <w:lang w:val="en-GB"/>
        </w:rPr>
        <w:t>example</w:t>
      </w:r>
      <w:r w:rsidRPr="002364AB">
        <w:rPr>
          <w:kern w:val="22"/>
          <w:sz w:val="22"/>
          <w:lang w:val="en-GB"/>
        </w:rPr>
        <w:t xml:space="preserve"> is</w:t>
      </w:r>
      <w:r w:rsidR="00B94A6D" w:rsidRPr="002364AB">
        <w:rPr>
          <w:kern w:val="22"/>
          <w:sz w:val="22"/>
          <w:lang w:val="en-GB"/>
        </w:rPr>
        <w:t xml:space="preserve"> </w:t>
      </w:r>
      <w:proofErr w:type="spellStart"/>
      <w:r w:rsidR="00445987" w:rsidRPr="002364AB">
        <w:rPr>
          <w:rStyle w:val="searchhit"/>
          <w:i/>
          <w:iCs/>
          <w:kern w:val="22"/>
          <w:sz w:val="22"/>
          <w:lang w:val="en-GB"/>
        </w:rPr>
        <w:t>Heliotropium</w:t>
      </w:r>
      <w:proofErr w:type="spellEnd"/>
      <w:r w:rsidR="00445987" w:rsidRPr="002364AB">
        <w:rPr>
          <w:rStyle w:val="searchhit"/>
          <w:i/>
          <w:iCs/>
          <w:kern w:val="22"/>
          <w:sz w:val="22"/>
          <w:lang w:val="en-GB"/>
        </w:rPr>
        <w:t xml:space="preserve"> </w:t>
      </w:r>
      <w:proofErr w:type="spellStart"/>
      <w:r w:rsidR="00445987" w:rsidRPr="002364AB">
        <w:rPr>
          <w:rStyle w:val="searchhit"/>
          <w:i/>
          <w:iCs/>
          <w:kern w:val="22"/>
          <w:sz w:val="22"/>
          <w:lang w:val="en-GB"/>
        </w:rPr>
        <w:t>foertherianum</w:t>
      </w:r>
      <w:proofErr w:type="spellEnd"/>
      <w:r w:rsidR="00445987" w:rsidRPr="002364AB">
        <w:rPr>
          <w:rStyle w:val="searchhit"/>
          <w:kern w:val="22"/>
          <w:sz w:val="22"/>
          <w:lang w:val="en-GB"/>
        </w:rPr>
        <w:t>, a</w:t>
      </w:r>
      <w:r w:rsidR="00B94A6D" w:rsidRPr="002364AB">
        <w:rPr>
          <w:kern w:val="22"/>
          <w:sz w:val="22"/>
          <w:lang w:val="en-GB"/>
        </w:rPr>
        <w:t xml:space="preserve"> </w:t>
      </w:r>
      <w:proofErr w:type="spellStart"/>
      <w:r w:rsidR="00B94A6D" w:rsidRPr="002364AB">
        <w:rPr>
          <w:kern w:val="22"/>
          <w:sz w:val="22"/>
          <w:lang w:val="en-GB"/>
        </w:rPr>
        <w:t>rosmarinic</w:t>
      </w:r>
      <w:proofErr w:type="spellEnd"/>
      <w:r w:rsidR="00B94A6D" w:rsidRPr="002364AB">
        <w:rPr>
          <w:kern w:val="22"/>
          <w:sz w:val="22"/>
          <w:lang w:val="en-GB"/>
        </w:rPr>
        <w:t xml:space="preserve"> acid-containing plant used by Pacific islanders to treat cases of ciguatoxin poisoning</w:t>
      </w:r>
      <w:r w:rsidR="00445987" w:rsidRPr="002364AB">
        <w:rPr>
          <w:kern w:val="22"/>
          <w:sz w:val="22"/>
          <w:lang w:val="en-GB"/>
        </w:rPr>
        <w:t>, is</w:t>
      </w:r>
      <w:r w:rsidR="00B94A6D" w:rsidRPr="002364AB">
        <w:rPr>
          <w:kern w:val="22"/>
          <w:sz w:val="22"/>
          <w:lang w:val="en-GB"/>
        </w:rPr>
        <w:t xml:space="preserve"> found in New Caledonia, French Polynesia, Vanuatu, Tonga, Micronesia, and even Japan.</w:t>
      </w:r>
      <w:r w:rsidR="00B94A6D" w:rsidRPr="002364AB">
        <w:rPr>
          <w:rStyle w:val="FootnoteReference"/>
          <w:kern w:val="22"/>
          <w:sz w:val="22"/>
          <w:lang w:val="en-GB"/>
        </w:rPr>
        <w:footnoteReference w:id="44"/>
      </w:r>
      <w:r w:rsidR="00B94A6D" w:rsidRPr="002364AB">
        <w:rPr>
          <w:kern w:val="22"/>
          <w:sz w:val="22"/>
          <w:lang w:val="en-GB"/>
        </w:rPr>
        <w:t xml:space="preserve"> </w:t>
      </w:r>
      <w:r w:rsidR="00F00705" w:rsidRPr="002364AB">
        <w:rPr>
          <w:kern w:val="22"/>
          <w:sz w:val="22"/>
          <w:lang w:val="en-GB"/>
        </w:rPr>
        <w:t>A</w:t>
      </w:r>
      <w:r w:rsidRPr="002364AB">
        <w:rPr>
          <w:kern w:val="22"/>
          <w:sz w:val="22"/>
          <w:lang w:val="en-GB"/>
        </w:rPr>
        <w:t xml:space="preserve"> further </w:t>
      </w:r>
      <w:r w:rsidR="00F00705" w:rsidRPr="002364AB">
        <w:rPr>
          <w:kern w:val="22"/>
          <w:sz w:val="22"/>
          <w:lang w:val="en-GB"/>
        </w:rPr>
        <w:t xml:space="preserve">example is Neem, a tree widely known for its traditional uses in India, but which is </w:t>
      </w:r>
      <w:r w:rsidR="00756F08" w:rsidRPr="002364AB">
        <w:rPr>
          <w:kern w:val="22"/>
          <w:sz w:val="22"/>
          <w:lang w:val="en-GB"/>
        </w:rPr>
        <w:t>native</w:t>
      </w:r>
      <w:r w:rsidR="00F00705" w:rsidRPr="002364AB">
        <w:rPr>
          <w:kern w:val="22"/>
          <w:sz w:val="22"/>
          <w:lang w:val="en-GB"/>
        </w:rPr>
        <w:t xml:space="preserve"> to a number of countries on the Indian subcontinent, including Nepal, Pakistan, Bangladesh, Sri Lanka, and the Maldives, and is also found in parts of Africa.</w:t>
      </w:r>
      <w:r w:rsidR="00F00705" w:rsidRPr="002364AB">
        <w:rPr>
          <w:rStyle w:val="FootnoteReference"/>
          <w:kern w:val="22"/>
          <w:sz w:val="22"/>
          <w:lang w:val="en-GB"/>
        </w:rPr>
        <w:footnoteReference w:id="45"/>
      </w:r>
      <w:r w:rsidR="00F00705" w:rsidRPr="002364AB">
        <w:rPr>
          <w:kern w:val="22"/>
          <w:sz w:val="22"/>
          <w:lang w:val="en-GB"/>
        </w:rPr>
        <w:t xml:space="preserve"> </w:t>
      </w:r>
      <w:r w:rsidR="004A3877" w:rsidRPr="002364AB">
        <w:rPr>
          <w:kern w:val="22"/>
          <w:sz w:val="22"/>
          <w:lang w:val="en-GB"/>
        </w:rPr>
        <w:t xml:space="preserve">The dispersed nature of such </w:t>
      </w:r>
      <w:r w:rsidR="00687982" w:rsidRPr="002364AB">
        <w:rPr>
          <w:kern w:val="22"/>
          <w:sz w:val="22"/>
          <w:lang w:val="en-GB"/>
        </w:rPr>
        <w:t xml:space="preserve">transboundary </w:t>
      </w:r>
      <w:r w:rsidR="004A3877" w:rsidRPr="002364AB" w:rsidDel="00762D8C">
        <w:rPr>
          <w:kern w:val="22"/>
          <w:sz w:val="22"/>
          <w:lang w:val="en-GB"/>
        </w:rPr>
        <w:t>species</w:t>
      </w:r>
      <w:r w:rsidR="004A3877" w:rsidRPr="002364AB">
        <w:rPr>
          <w:kern w:val="22"/>
          <w:sz w:val="22"/>
          <w:lang w:val="en-GB"/>
        </w:rPr>
        <w:t xml:space="preserve"> could</w:t>
      </w:r>
      <w:r w:rsidR="00E73D33" w:rsidRPr="002364AB">
        <w:rPr>
          <w:kern w:val="22"/>
          <w:sz w:val="22"/>
          <w:lang w:val="en-GB"/>
        </w:rPr>
        <w:t xml:space="preserve"> conceivably </w:t>
      </w:r>
      <w:r w:rsidR="004A3877" w:rsidRPr="002364AB">
        <w:rPr>
          <w:kern w:val="22"/>
          <w:sz w:val="22"/>
          <w:lang w:val="en-GB"/>
        </w:rPr>
        <w:t>allow user</w:t>
      </w:r>
      <w:r w:rsidR="00AC2BB8" w:rsidRPr="002364AB">
        <w:rPr>
          <w:kern w:val="22"/>
          <w:sz w:val="22"/>
          <w:lang w:val="en-GB"/>
        </w:rPr>
        <w:t>s</w:t>
      </w:r>
      <w:r w:rsidR="004A3877" w:rsidRPr="002364AB">
        <w:rPr>
          <w:kern w:val="22"/>
          <w:sz w:val="22"/>
          <w:lang w:val="en-GB"/>
        </w:rPr>
        <w:t xml:space="preserve"> to inaccurately claim acquisition from a </w:t>
      </w:r>
      <w:r w:rsidR="008B55E0" w:rsidRPr="002364AB">
        <w:rPr>
          <w:kern w:val="22"/>
          <w:sz w:val="22"/>
          <w:lang w:val="en-GB"/>
        </w:rPr>
        <w:t>country</w:t>
      </w:r>
      <w:r w:rsidR="004A3877" w:rsidRPr="002364AB">
        <w:rPr>
          <w:kern w:val="22"/>
          <w:sz w:val="22"/>
          <w:lang w:val="en-GB"/>
        </w:rPr>
        <w:t xml:space="preserve"> which is not the actual country from which the resource was obtained</w:t>
      </w:r>
      <w:r w:rsidR="00F96273" w:rsidRPr="002364AB">
        <w:rPr>
          <w:kern w:val="22"/>
          <w:sz w:val="22"/>
          <w:lang w:val="en-GB"/>
        </w:rPr>
        <w:t>.</w:t>
      </w:r>
      <w:r w:rsidR="00756F08" w:rsidRPr="002364AB">
        <w:rPr>
          <w:rStyle w:val="FootnoteReference"/>
          <w:kern w:val="22"/>
          <w:sz w:val="22"/>
          <w:lang w:val="en-GB"/>
        </w:rPr>
        <w:footnoteReference w:id="46"/>
      </w:r>
      <w:r w:rsidR="004A3877" w:rsidRPr="002364AB">
        <w:rPr>
          <w:kern w:val="22"/>
          <w:sz w:val="22"/>
          <w:lang w:val="en-GB"/>
        </w:rPr>
        <w:t xml:space="preserve"> </w:t>
      </w:r>
      <w:r w:rsidR="00C328C9" w:rsidRPr="002364AB">
        <w:rPr>
          <w:kern w:val="22"/>
          <w:sz w:val="22"/>
          <w:lang w:val="en-GB"/>
        </w:rPr>
        <w:t xml:space="preserve">In addition, </w:t>
      </w:r>
      <w:r w:rsidR="00EC454B" w:rsidRPr="002364AB">
        <w:rPr>
          <w:kern w:val="22"/>
          <w:sz w:val="22"/>
          <w:lang w:val="en-GB"/>
        </w:rPr>
        <w:t>p</w:t>
      </w:r>
      <w:r w:rsidR="00DB7D3E" w:rsidRPr="002364AB">
        <w:rPr>
          <w:kern w:val="22"/>
          <w:sz w:val="22"/>
          <w:lang w:val="en-GB"/>
        </w:rPr>
        <w:t xml:space="preserve">rovider countries </w:t>
      </w:r>
      <w:r w:rsidR="00C328C9" w:rsidRPr="002364AB">
        <w:rPr>
          <w:kern w:val="22"/>
          <w:sz w:val="22"/>
          <w:lang w:val="en-GB"/>
        </w:rPr>
        <w:t xml:space="preserve">imposing benefit-sharing requirements </w:t>
      </w:r>
      <w:r w:rsidR="003169D6" w:rsidRPr="002364AB">
        <w:rPr>
          <w:kern w:val="22"/>
          <w:sz w:val="22"/>
          <w:lang w:val="en-GB"/>
        </w:rPr>
        <w:t xml:space="preserve">for the utilization of their genetic resources </w:t>
      </w:r>
      <w:r w:rsidR="00E71435" w:rsidRPr="002364AB">
        <w:rPr>
          <w:kern w:val="22"/>
          <w:sz w:val="22"/>
          <w:lang w:val="en-GB"/>
        </w:rPr>
        <w:t xml:space="preserve">may </w:t>
      </w:r>
      <w:r w:rsidR="00913E9F" w:rsidRPr="002364AB">
        <w:rPr>
          <w:kern w:val="22"/>
          <w:sz w:val="22"/>
          <w:lang w:val="en-GB"/>
        </w:rPr>
        <w:t xml:space="preserve">in some cases be unable to accurately determine that </w:t>
      </w:r>
      <w:r w:rsidR="00A2132F" w:rsidRPr="002364AB">
        <w:rPr>
          <w:kern w:val="22"/>
          <w:sz w:val="22"/>
          <w:lang w:val="en-GB"/>
        </w:rPr>
        <w:t>sharing obligations have accrued.</w:t>
      </w:r>
      <w:r w:rsidR="00C328C9" w:rsidRPr="002364AB">
        <w:rPr>
          <w:kern w:val="22"/>
          <w:sz w:val="22"/>
          <w:lang w:val="en-GB"/>
        </w:rPr>
        <w:t xml:space="preserve"> </w:t>
      </w:r>
      <w:r w:rsidR="00E71435" w:rsidRPr="002364AB">
        <w:rPr>
          <w:kern w:val="22"/>
          <w:sz w:val="22"/>
          <w:lang w:val="en-GB"/>
        </w:rPr>
        <w:t xml:space="preserve"> </w:t>
      </w:r>
      <w:r w:rsidR="00FF5A9D" w:rsidRPr="002364AB">
        <w:rPr>
          <w:kern w:val="22"/>
          <w:sz w:val="22"/>
          <w:lang w:val="en-GB"/>
        </w:rPr>
        <w:t>I</w:t>
      </w:r>
      <w:r w:rsidR="00EC454B" w:rsidRPr="002364AB">
        <w:rPr>
          <w:kern w:val="22"/>
          <w:sz w:val="22"/>
          <w:lang w:val="en-GB"/>
        </w:rPr>
        <w:t>n some cases</w:t>
      </w:r>
      <w:r w:rsidR="00FF5A9D" w:rsidRPr="002364AB">
        <w:rPr>
          <w:kern w:val="22"/>
          <w:sz w:val="22"/>
          <w:lang w:val="en-GB"/>
        </w:rPr>
        <w:t>, however,</w:t>
      </w:r>
      <w:r w:rsidR="00EC454B" w:rsidRPr="002364AB">
        <w:rPr>
          <w:kern w:val="22"/>
          <w:sz w:val="22"/>
          <w:lang w:val="en-GB"/>
        </w:rPr>
        <w:t xml:space="preserve"> there may be populations of species with </w:t>
      </w:r>
      <w:proofErr w:type="gramStart"/>
      <w:r w:rsidR="00EC454B" w:rsidRPr="002364AB">
        <w:rPr>
          <w:kern w:val="22"/>
          <w:sz w:val="22"/>
          <w:lang w:val="en-GB"/>
        </w:rPr>
        <w:t>sufficient</w:t>
      </w:r>
      <w:proofErr w:type="gramEnd"/>
      <w:r w:rsidR="00EC454B" w:rsidRPr="002364AB">
        <w:rPr>
          <w:kern w:val="22"/>
          <w:sz w:val="22"/>
          <w:lang w:val="en-GB"/>
        </w:rPr>
        <w:t xml:space="preserve"> genetic differences to allow identification of source.</w:t>
      </w:r>
    </w:p>
    <w:p w14:paraId="0AAACC4B" w14:textId="405F6609" w:rsidR="00FC5588" w:rsidRPr="002364AB" w:rsidRDefault="00FC5588" w:rsidP="00B80668">
      <w:pPr>
        <w:pStyle w:val="Heading2"/>
        <w:rPr>
          <w:kern w:val="22"/>
          <w:sz w:val="22"/>
          <w:szCs w:val="22"/>
          <w:lang w:val="en-GB"/>
        </w:rPr>
      </w:pPr>
      <w:bookmarkStart w:id="109" w:name="_Toc31040290"/>
      <w:bookmarkStart w:id="110" w:name="_Toc31056858"/>
      <w:bookmarkStart w:id="111" w:name="_Toc32490852"/>
      <w:bookmarkStart w:id="112" w:name="_Toc34249585"/>
      <w:bookmarkStart w:id="113" w:name="_Toc39580427"/>
      <w:bookmarkStart w:id="114" w:name="_Toc43134978"/>
      <w:r w:rsidRPr="002364AB">
        <w:rPr>
          <w:kern w:val="22"/>
          <w:sz w:val="22"/>
          <w:szCs w:val="22"/>
          <w:lang w:val="en-GB"/>
        </w:rPr>
        <w:t xml:space="preserve">Migratory </w:t>
      </w:r>
      <w:r w:rsidR="00B80668" w:rsidRPr="002364AB">
        <w:rPr>
          <w:kern w:val="22"/>
          <w:sz w:val="22"/>
          <w:szCs w:val="22"/>
          <w:lang w:val="en-GB"/>
        </w:rPr>
        <w:t>S</w:t>
      </w:r>
      <w:r w:rsidRPr="002364AB">
        <w:rPr>
          <w:kern w:val="22"/>
          <w:sz w:val="22"/>
          <w:szCs w:val="22"/>
          <w:lang w:val="en-GB"/>
        </w:rPr>
        <w:t>pecies</w:t>
      </w:r>
      <w:bookmarkEnd w:id="109"/>
      <w:bookmarkEnd w:id="110"/>
      <w:bookmarkEnd w:id="111"/>
      <w:bookmarkEnd w:id="112"/>
      <w:bookmarkEnd w:id="113"/>
      <w:bookmarkEnd w:id="114"/>
      <w:r w:rsidR="00A67C4B" w:rsidRPr="002364AB">
        <w:rPr>
          <w:kern w:val="22"/>
          <w:sz w:val="22"/>
          <w:szCs w:val="22"/>
          <w:lang w:val="en-GB"/>
        </w:rPr>
        <w:t xml:space="preserve"> </w:t>
      </w:r>
    </w:p>
    <w:p w14:paraId="3023BEA4" w14:textId="6903DD60" w:rsidR="00F63091" w:rsidRPr="002364AB" w:rsidRDefault="00592915" w:rsidP="00592915">
      <w:pPr>
        <w:rPr>
          <w:kern w:val="22"/>
          <w:sz w:val="22"/>
          <w:lang w:val="en-GB"/>
        </w:rPr>
      </w:pPr>
      <w:r w:rsidRPr="002364AB">
        <w:rPr>
          <w:kern w:val="22"/>
          <w:sz w:val="22"/>
          <w:lang w:val="en-GB"/>
        </w:rPr>
        <w:t xml:space="preserve">Many migratory species spend parts of their life cycle in different national jurisdictions or outside national jurisdictional boundaries. </w:t>
      </w:r>
      <w:r w:rsidR="00EC337C" w:rsidRPr="002364AB">
        <w:rPr>
          <w:kern w:val="22"/>
          <w:sz w:val="22"/>
          <w:lang w:val="en-GB"/>
        </w:rPr>
        <w:t xml:space="preserve">Such species thus can be </w:t>
      </w:r>
      <w:r w:rsidR="00694E7E" w:rsidRPr="002364AB">
        <w:rPr>
          <w:kern w:val="22"/>
          <w:sz w:val="22"/>
          <w:lang w:val="en-GB"/>
        </w:rPr>
        <w:t>classified as occurring in transboundary</w:t>
      </w:r>
      <w:r w:rsidR="00750351" w:rsidRPr="002364AB">
        <w:rPr>
          <w:kern w:val="22"/>
          <w:sz w:val="22"/>
          <w:lang w:val="en-GB"/>
        </w:rPr>
        <w:t xml:space="preserve"> situations</w:t>
      </w:r>
      <w:r w:rsidRPr="002364AB">
        <w:rPr>
          <w:kern w:val="22"/>
          <w:sz w:val="22"/>
          <w:lang w:val="en-GB"/>
        </w:rPr>
        <w:t xml:space="preserve">. The </w:t>
      </w:r>
      <w:r w:rsidRPr="002364AB">
        <w:rPr>
          <w:i/>
          <w:kern w:val="22"/>
          <w:sz w:val="22"/>
          <w:lang w:val="en-GB"/>
        </w:rPr>
        <w:t>Convention on the Conservation of Migratory Species of Wild Animals</w:t>
      </w:r>
      <w:r w:rsidRPr="002364AB">
        <w:rPr>
          <w:rStyle w:val="FootnoteReference"/>
          <w:kern w:val="22"/>
          <w:sz w:val="22"/>
          <w:lang w:val="en-GB"/>
        </w:rPr>
        <w:footnoteReference w:id="47"/>
      </w:r>
      <w:r w:rsidRPr="002364AB">
        <w:rPr>
          <w:i/>
          <w:kern w:val="22"/>
          <w:sz w:val="22"/>
          <w:lang w:val="en-GB"/>
        </w:rPr>
        <w:t xml:space="preserve"> </w:t>
      </w:r>
      <w:r w:rsidRPr="002364AB">
        <w:rPr>
          <w:kern w:val="22"/>
          <w:sz w:val="22"/>
          <w:lang w:val="en-GB"/>
        </w:rPr>
        <w:t>(CMS) – a biodiversity-related treaty with 130 Parties focused on the conservation and sustainable use of terrestrial, aquatic and avian migratory species, their habitats and migration routes – defines migratory species as being “the entire population or any geographically separate part of the population of any species or lower taxon of wild animals, a significant proportion of whose members cyclically and predictably cross one or more national jurisdictional boundaries.”</w:t>
      </w:r>
      <w:r w:rsidRPr="002364AB">
        <w:rPr>
          <w:rStyle w:val="FootnoteReference"/>
          <w:kern w:val="22"/>
          <w:sz w:val="22"/>
          <w:lang w:val="en-GB"/>
        </w:rPr>
        <w:footnoteReference w:id="48"/>
      </w:r>
      <w:r w:rsidRPr="002364AB">
        <w:rPr>
          <w:kern w:val="22"/>
          <w:sz w:val="22"/>
          <w:lang w:val="en-GB"/>
        </w:rPr>
        <w:t xml:space="preserve"> </w:t>
      </w:r>
    </w:p>
    <w:p w14:paraId="38D4C45B" w14:textId="1B81ADB6" w:rsidR="00592915" w:rsidRPr="002364AB" w:rsidRDefault="00592915" w:rsidP="00592915">
      <w:pPr>
        <w:rPr>
          <w:kern w:val="22"/>
          <w:sz w:val="22"/>
          <w:lang w:val="en-GB"/>
        </w:rPr>
      </w:pPr>
      <w:r w:rsidRPr="002364AB">
        <w:rPr>
          <w:kern w:val="22"/>
          <w:sz w:val="22"/>
          <w:lang w:val="en-GB"/>
        </w:rPr>
        <w:t xml:space="preserve">Although the utilization of genetic resources from migratory species </w:t>
      </w:r>
      <w:r w:rsidR="00D406EA" w:rsidRPr="002364AB">
        <w:rPr>
          <w:kern w:val="22"/>
          <w:sz w:val="22"/>
          <w:lang w:val="en-GB"/>
        </w:rPr>
        <w:t xml:space="preserve">is generally </w:t>
      </w:r>
      <w:r w:rsidRPr="002364AB">
        <w:rPr>
          <w:kern w:val="22"/>
          <w:sz w:val="22"/>
          <w:lang w:val="en-GB"/>
        </w:rPr>
        <w:t>subject to the bilateral approach,</w:t>
      </w:r>
      <w:r w:rsidR="009706B0" w:rsidRPr="002364AB">
        <w:rPr>
          <w:rStyle w:val="FootnoteReference"/>
          <w:kern w:val="22"/>
          <w:sz w:val="22"/>
          <w:lang w:val="en-GB"/>
        </w:rPr>
        <w:footnoteReference w:id="49"/>
      </w:r>
      <w:r w:rsidRPr="002364AB">
        <w:rPr>
          <w:kern w:val="22"/>
          <w:sz w:val="22"/>
          <w:lang w:val="en-GB"/>
        </w:rPr>
        <w:t xml:space="preserve"> this raises questions of equity between States, especially in cases where species migrate across and between continents.</w:t>
      </w:r>
      <w:r w:rsidR="00CA5E2B" w:rsidRPr="002364AB">
        <w:rPr>
          <w:rStyle w:val="FootnoteReference"/>
          <w:kern w:val="22"/>
          <w:sz w:val="22"/>
          <w:lang w:val="en-GB"/>
        </w:rPr>
        <w:footnoteReference w:id="50"/>
      </w:r>
      <w:r w:rsidR="00D27A95" w:rsidRPr="002364AB">
        <w:rPr>
          <w:kern w:val="22"/>
          <w:sz w:val="22"/>
          <w:lang w:val="en-GB"/>
        </w:rPr>
        <w:t xml:space="preserve"> </w:t>
      </w:r>
      <w:r w:rsidR="00F63091" w:rsidRPr="002364AB">
        <w:rPr>
          <w:kern w:val="22"/>
          <w:sz w:val="22"/>
          <w:lang w:val="en-GB"/>
        </w:rPr>
        <w:t xml:space="preserve">A bilateral approach to benefit-sharing may not </w:t>
      </w:r>
      <w:r w:rsidR="00F84F8C" w:rsidRPr="002364AB">
        <w:rPr>
          <w:kern w:val="22"/>
          <w:sz w:val="22"/>
          <w:lang w:val="en-GB"/>
        </w:rPr>
        <w:t xml:space="preserve">equitably </w:t>
      </w:r>
      <w:r w:rsidR="00F63091" w:rsidRPr="002364AB">
        <w:rPr>
          <w:kern w:val="22"/>
          <w:sz w:val="22"/>
          <w:lang w:val="en-GB"/>
        </w:rPr>
        <w:t>channel resources to where they are needed to conserve such</w:t>
      </w:r>
      <w:r w:rsidR="00F63091" w:rsidRPr="002364AB" w:rsidDel="00910976">
        <w:rPr>
          <w:kern w:val="22"/>
          <w:sz w:val="22"/>
          <w:lang w:val="en-GB"/>
        </w:rPr>
        <w:t xml:space="preserve"> species.</w:t>
      </w:r>
      <w:r w:rsidR="00F63091" w:rsidRPr="002364AB">
        <w:rPr>
          <w:kern w:val="22"/>
          <w:sz w:val="22"/>
          <w:vertAlign w:val="superscript"/>
          <w:lang w:val="en-GB"/>
        </w:rPr>
        <w:footnoteReference w:id="51"/>
      </w:r>
      <w:r w:rsidR="00F63091" w:rsidRPr="002364AB">
        <w:rPr>
          <w:kern w:val="22"/>
          <w:sz w:val="22"/>
          <w:lang w:val="en-GB"/>
        </w:rPr>
        <w:t xml:space="preserve"> </w:t>
      </w:r>
      <w:r w:rsidR="00D27A95" w:rsidRPr="002364AB">
        <w:rPr>
          <w:kern w:val="22"/>
          <w:sz w:val="22"/>
          <w:lang w:val="en-GB"/>
        </w:rPr>
        <w:t xml:space="preserve">The following three examples illustrate </w:t>
      </w:r>
      <w:r w:rsidR="008516F9" w:rsidRPr="002364AB">
        <w:rPr>
          <w:kern w:val="22"/>
          <w:sz w:val="22"/>
          <w:lang w:val="en-GB"/>
        </w:rPr>
        <w:t xml:space="preserve">some of </w:t>
      </w:r>
      <w:r w:rsidR="00D27A95" w:rsidRPr="002364AB">
        <w:rPr>
          <w:kern w:val="22"/>
          <w:sz w:val="22"/>
          <w:lang w:val="en-GB"/>
        </w:rPr>
        <w:t>the challenges arising in the specific case of migratory species.</w:t>
      </w:r>
      <w:r w:rsidR="00D406EA" w:rsidRPr="002364AB">
        <w:rPr>
          <w:kern w:val="22"/>
          <w:sz w:val="22"/>
          <w:lang w:val="en-GB"/>
        </w:rPr>
        <w:t xml:space="preserve"> References to patents below </w:t>
      </w:r>
      <w:r w:rsidR="007974D8" w:rsidRPr="002364AB">
        <w:rPr>
          <w:kern w:val="22"/>
          <w:sz w:val="22"/>
          <w:lang w:val="en-GB"/>
        </w:rPr>
        <w:t>are used as a reflection of the utilization of genetic resources</w:t>
      </w:r>
      <w:r w:rsidR="009F168A" w:rsidRPr="002364AB">
        <w:rPr>
          <w:kern w:val="22"/>
          <w:sz w:val="22"/>
          <w:lang w:val="en-GB"/>
        </w:rPr>
        <w:t>, and the possibility that benefits are being generated</w:t>
      </w:r>
      <w:r w:rsidR="007974D8" w:rsidRPr="002364AB">
        <w:rPr>
          <w:kern w:val="22"/>
          <w:sz w:val="22"/>
          <w:lang w:val="en-GB"/>
        </w:rPr>
        <w:t>.</w:t>
      </w:r>
      <w:r w:rsidR="009F168A" w:rsidRPr="002364AB">
        <w:rPr>
          <w:kern w:val="22"/>
          <w:sz w:val="22"/>
          <w:lang w:val="en-GB"/>
        </w:rPr>
        <w:t xml:space="preserve"> The authors do not intend to suggest that benefits are required to be shared in any of the </w:t>
      </w:r>
      <w:r w:rsidR="00682DD7" w:rsidRPr="002364AB">
        <w:rPr>
          <w:kern w:val="22"/>
          <w:sz w:val="22"/>
          <w:lang w:val="en-GB"/>
        </w:rPr>
        <w:t xml:space="preserve">specific </w:t>
      </w:r>
      <w:r w:rsidR="009F168A" w:rsidRPr="002364AB">
        <w:rPr>
          <w:kern w:val="22"/>
          <w:sz w:val="22"/>
          <w:lang w:val="en-GB"/>
        </w:rPr>
        <w:t>examples below.</w:t>
      </w:r>
    </w:p>
    <w:p w14:paraId="0140043A" w14:textId="425B4CF3" w:rsidR="00E83104" w:rsidRPr="002364AB" w:rsidRDefault="00E83104" w:rsidP="008811EE">
      <w:pPr>
        <w:rPr>
          <w:i/>
          <w:kern w:val="22"/>
          <w:sz w:val="22"/>
          <w:lang w:val="en-GB"/>
        </w:rPr>
      </w:pPr>
      <w:r w:rsidRPr="002364AB">
        <w:rPr>
          <w:i/>
          <w:iCs/>
          <w:kern w:val="22"/>
          <w:sz w:val="22"/>
          <w:lang w:val="en-GB"/>
        </w:rPr>
        <w:t xml:space="preserve">European eel (Anguilla </w:t>
      </w:r>
      <w:proofErr w:type="spellStart"/>
      <w:r w:rsidRPr="002364AB">
        <w:rPr>
          <w:i/>
          <w:iCs/>
          <w:kern w:val="22"/>
          <w:sz w:val="22"/>
          <w:lang w:val="en-GB"/>
        </w:rPr>
        <w:t>anguilla</w:t>
      </w:r>
      <w:proofErr w:type="spellEnd"/>
      <w:r w:rsidRPr="002364AB">
        <w:rPr>
          <w:i/>
          <w:iCs/>
          <w:kern w:val="22"/>
          <w:sz w:val="22"/>
          <w:lang w:val="en-GB"/>
        </w:rPr>
        <w:t>)</w:t>
      </w:r>
    </w:p>
    <w:p w14:paraId="4F311C27" w14:textId="5F4B368D" w:rsidR="006B2D98" w:rsidRPr="002364AB" w:rsidRDefault="00592915" w:rsidP="008811EE">
      <w:pPr>
        <w:rPr>
          <w:kern w:val="22"/>
          <w:sz w:val="22"/>
          <w:lang w:val="en-GB"/>
        </w:rPr>
      </w:pPr>
      <w:r w:rsidRPr="002364AB">
        <w:rPr>
          <w:kern w:val="22"/>
          <w:sz w:val="22"/>
          <w:lang w:val="en-GB"/>
        </w:rPr>
        <w:t>The European</w:t>
      </w:r>
      <w:r w:rsidR="00E83104" w:rsidRPr="002364AB">
        <w:rPr>
          <w:kern w:val="22"/>
          <w:sz w:val="22"/>
          <w:lang w:val="en-GB"/>
        </w:rPr>
        <w:t xml:space="preserve"> eel</w:t>
      </w:r>
      <w:r w:rsidRPr="002364AB">
        <w:rPr>
          <w:kern w:val="22"/>
          <w:sz w:val="22"/>
          <w:lang w:val="en-GB"/>
        </w:rPr>
        <w:t xml:space="preserve"> (</w:t>
      </w:r>
      <w:r w:rsidRPr="002364AB">
        <w:rPr>
          <w:rStyle w:val="Emphasis"/>
          <w:kern w:val="22"/>
          <w:sz w:val="22"/>
          <w:lang w:val="en-GB"/>
        </w:rPr>
        <w:t xml:space="preserve">Anguilla </w:t>
      </w:r>
      <w:proofErr w:type="spellStart"/>
      <w:r w:rsidRPr="002364AB">
        <w:rPr>
          <w:rStyle w:val="Emphasis"/>
          <w:kern w:val="22"/>
          <w:sz w:val="22"/>
          <w:lang w:val="en-GB"/>
        </w:rPr>
        <w:t>anguilla</w:t>
      </w:r>
      <w:proofErr w:type="spellEnd"/>
      <w:r w:rsidRPr="002364AB">
        <w:rPr>
          <w:rStyle w:val="Emphasis"/>
          <w:i w:val="0"/>
          <w:iCs w:val="0"/>
          <w:kern w:val="22"/>
          <w:sz w:val="22"/>
          <w:lang w:val="en-GB"/>
        </w:rPr>
        <w:t>)</w:t>
      </w:r>
      <w:r w:rsidRPr="002364AB" w:rsidDel="00E83104">
        <w:rPr>
          <w:kern w:val="22"/>
          <w:sz w:val="22"/>
          <w:lang w:val="en-GB"/>
        </w:rPr>
        <w:t xml:space="preserve"> </w:t>
      </w:r>
      <w:r w:rsidRPr="002364AB">
        <w:rPr>
          <w:kern w:val="22"/>
          <w:sz w:val="22"/>
          <w:lang w:val="en-GB"/>
        </w:rPr>
        <w:t xml:space="preserve">is </w:t>
      </w:r>
      <w:r w:rsidR="003E3CFA" w:rsidRPr="002364AB">
        <w:rPr>
          <w:kern w:val="22"/>
          <w:sz w:val="22"/>
          <w:lang w:val="en-GB"/>
        </w:rPr>
        <w:t xml:space="preserve">a species that ranges broadly throughout its lifecycle. </w:t>
      </w:r>
      <w:r w:rsidRPr="002364AB">
        <w:rPr>
          <w:kern w:val="22"/>
          <w:sz w:val="22"/>
          <w:lang w:val="en-GB"/>
        </w:rPr>
        <w:t xml:space="preserve">In the middle of its life cycle, its habitat </w:t>
      </w:r>
      <w:r w:rsidR="00980979" w:rsidRPr="002364AB">
        <w:rPr>
          <w:kern w:val="22"/>
          <w:sz w:val="22"/>
          <w:lang w:val="en-GB"/>
        </w:rPr>
        <w:t>extends</w:t>
      </w:r>
      <w:r w:rsidRPr="002364AB">
        <w:rPr>
          <w:kern w:val="22"/>
          <w:sz w:val="22"/>
          <w:lang w:val="en-GB"/>
        </w:rPr>
        <w:t xml:space="preserve"> from the Baltic Sea to </w:t>
      </w:r>
      <w:r w:rsidR="00B805AA" w:rsidRPr="002364AB">
        <w:rPr>
          <w:kern w:val="22"/>
          <w:sz w:val="22"/>
          <w:lang w:val="en-GB"/>
        </w:rPr>
        <w:t>North Africa</w:t>
      </w:r>
      <w:r w:rsidRPr="002364AB">
        <w:rPr>
          <w:kern w:val="22"/>
          <w:sz w:val="22"/>
          <w:lang w:val="en-GB"/>
        </w:rPr>
        <w:t>.</w:t>
      </w:r>
      <w:r w:rsidRPr="002364AB">
        <w:rPr>
          <w:rStyle w:val="FootnoteReference"/>
          <w:kern w:val="22"/>
          <w:sz w:val="22"/>
          <w:lang w:val="en-GB"/>
        </w:rPr>
        <w:footnoteReference w:id="52"/>
      </w:r>
      <w:r w:rsidRPr="002364AB">
        <w:rPr>
          <w:kern w:val="22"/>
          <w:sz w:val="22"/>
          <w:lang w:val="en-GB"/>
        </w:rPr>
        <w:t xml:space="preserve"> </w:t>
      </w:r>
      <w:r w:rsidR="00A1186F" w:rsidRPr="002364AB">
        <w:rPr>
          <w:kern w:val="22"/>
          <w:sz w:val="22"/>
          <w:lang w:val="en-GB"/>
        </w:rPr>
        <w:t xml:space="preserve">Some populations also migrate </w:t>
      </w:r>
      <w:r w:rsidR="0021706C" w:rsidRPr="002364AB">
        <w:rPr>
          <w:kern w:val="22"/>
          <w:sz w:val="22"/>
          <w:lang w:val="en-GB"/>
        </w:rPr>
        <w:t xml:space="preserve">some distance </w:t>
      </w:r>
      <w:r w:rsidR="0001332F" w:rsidRPr="002364AB">
        <w:rPr>
          <w:kern w:val="22"/>
          <w:sz w:val="22"/>
          <w:lang w:val="en-GB"/>
        </w:rPr>
        <w:t xml:space="preserve">inland </w:t>
      </w:r>
      <w:r w:rsidR="0010576F" w:rsidRPr="002364AB">
        <w:rPr>
          <w:kern w:val="22"/>
          <w:sz w:val="22"/>
          <w:lang w:val="en-GB"/>
        </w:rPr>
        <w:t xml:space="preserve">using </w:t>
      </w:r>
      <w:r w:rsidR="0001332F" w:rsidRPr="002364AB">
        <w:rPr>
          <w:kern w:val="22"/>
          <w:sz w:val="22"/>
          <w:lang w:val="en-GB"/>
        </w:rPr>
        <w:t>freshwater systems (unusually, eels live in both salt and fresh water during their lifecycles)</w:t>
      </w:r>
      <w:r w:rsidR="0021706C" w:rsidRPr="002364AB">
        <w:rPr>
          <w:kern w:val="22"/>
          <w:sz w:val="22"/>
          <w:lang w:val="en-GB"/>
        </w:rPr>
        <w:t xml:space="preserve">. </w:t>
      </w:r>
      <w:r w:rsidRPr="002364AB">
        <w:rPr>
          <w:kern w:val="22"/>
          <w:sz w:val="22"/>
          <w:lang w:val="en-GB"/>
        </w:rPr>
        <w:t xml:space="preserve">However, at the beginning and end of their lifecycle, they traverse the </w:t>
      </w:r>
      <w:r w:rsidR="003A65C2" w:rsidRPr="002364AB">
        <w:rPr>
          <w:kern w:val="22"/>
          <w:sz w:val="22"/>
          <w:lang w:val="en-GB"/>
        </w:rPr>
        <w:t>Atlantic Ocean</w:t>
      </w:r>
      <w:r w:rsidR="0013470C" w:rsidRPr="002364AB">
        <w:rPr>
          <w:kern w:val="22"/>
          <w:sz w:val="22"/>
          <w:lang w:val="en-GB"/>
        </w:rPr>
        <w:t xml:space="preserve"> to reach their only known spawning area, t</w:t>
      </w:r>
      <w:r w:rsidRPr="002364AB">
        <w:rPr>
          <w:kern w:val="22"/>
          <w:sz w:val="22"/>
          <w:lang w:val="en-GB"/>
        </w:rPr>
        <w:t>he Sargasso Sea</w:t>
      </w:r>
      <w:r w:rsidR="0013470C" w:rsidRPr="002364AB">
        <w:rPr>
          <w:kern w:val="22"/>
          <w:sz w:val="22"/>
          <w:lang w:val="en-GB"/>
        </w:rPr>
        <w:t xml:space="preserve"> (</w:t>
      </w:r>
      <w:r w:rsidRPr="002364AB">
        <w:rPr>
          <w:kern w:val="22"/>
          <w:sz w:val="22"/>
          <w:lang w:val="en-GB"/>
        </w:rPr>
        <w:t>recognized by the CBD COP as an Ecologically or Biologically Significant Area</w:t>
      </w:r>
      <w:r w:rsidR="0013470C" w:rsidRPr="002364AB">
        <w:rPr>
          <w:kern w:val="22"/>
          <w:sz w:val="22"/>
          <w:lang w:val="en-GB"/>
        </w:rPr>
        <w:t>).</w:t>
      </w:r>
      <w:r w:rsidRPr="002364AB">
        <w:rPr>
          <w:rStyle w:val="FootnoteReference"/>
          <w:kern w:val="22"/>
          <w:sz w:val="22"/>
          <w:lang w:val="en-GB"/>
        </w:rPr>
        <w:footnoteReference w:id="53"/>
      </w:r>
      <w:r w:rsidRPr="002364AB">
        <w:rPr>
          <w:kern w:val="22"/>
          <w:sz w:val="22"/>
          <w:lang w:val="en-GB"/>
        </w:rPr>
        <w:t xml:space="preserve"> Although the Sargasso Sea ecosystem is mainly outside of national jurisdiction, it also falls squarely within Bermuda’s exclusive economic zone (EEZ) and parts of other EEZs (e.g. Bahamas, Dominican Republic, United States).</w:t>
      </w:r>
      <w:r w:rsidR="009A2E9B" w:rsidRPr="002364AB">
        <w:rPr>
          <w:kern w:val="22"/>
          <w:sz w:val="22"/>
          <w:lang w:val="en-GB"/>
        </w:rPr>
        <w:t xml:space="preserve"> </w:t>
      </w:r>
      <w:r w:rsidRPr="002364AB">
        <w:rPr>
          <w:kern w:val="22"/>
          <w:sz w:val="22"/>
          <w:lang w:val="en-GB"/>
        </w:rPr>
        <w:t>Patents have been obtained primarily in the United States and Europe that reference the European eel and biochemicals present in the species such as lectins</w:t>
      </w:r>
      <w:r w:rsidRPr="002364AB">
        <w:rPr>
          <w:rStyle w:val="FootnoteReference"/>
          <w:kern w:val="22"/>
          <w:sz w:val="22"/>
          <w:lang w:val="en-GB"/>
        </w:rPr>
        <w:footnoteReference w:id="54"/>
      </w:r>
      <w:r w:rsidRPr="002364AB">
        <w:rPr>
          <w:kern w:val="22"/>
          <w:sz w:val="22"/>
          <w:lang w:val="en-GB"/>
        </w:rPr>
        <w:t xml:space="preserve"> and </w:t>
      </w:r>
      <w:r w:rsidR="00E30A86" w:rsidRPr="002364AB">
        <w:rPr>
          <w:kern w:val="22"/>
          <w:sz w:val="22"/>
          <w:lang w:val="en-GB"/>
        </w:rPr>
        <w:t xml:space="preserve">a </w:t>
      </w:r>
      <w:r w:rsidRPr="002364AB">
        <w:rPr>
          <w:kern w:val="22"/>
          <w:sz w:val="22"/>
          <w:lang w:val="en-GB"/>
        </w:rPr>
        <w:t>cytokine.</w:t>
      </w:r>
      <w:r w:rsidRPr="002364AB">
        <w:rPr>
          <w:rStyle w:val="FootnoteReference"/>
          <w:kern w:val="22"/>
          <w:sz w:val="22"/>
          <w:lang w:val="en-GB"/>
        </w:rPr>
        <w:footnoteReference w:id="55"/>
      </w:r>
      <w:r w:rsidR="00704498" w:rsidRPr="002364AB">
        <w:rPr>
          <w:kern w:val="22"/>
          <w:sz w:val="22"/>
          <w:lang w:val="en-GB"/>
        </w:rPr>
        <w:t xml:space="preserve"> </w:t>
      </w:r>
    </w:p>
    <w:p w14:paraId="198C137F" w14:textId="7FB19DE3" w:rsidR="00E83104" w:rsidRPr="002364AB" w:rsidRDefault="00E83104" w:rsidP="008811EE">
      <w:pPr>
        <w:rPr>
          <w:kern w:val="22"/>
          <w:sz w:val="22"/>
          <w:lang w:val="en-GB"/>
        </w:rPr>
      </w:pPr>
      <w:r w:rsidRPr="002364AB">
        <w:rPr>
          <w:i/>
          <w:iCs/>
          <w:kern w:val="22"/>
          <w:sz w:val="22"/>
          <w:lang w:val="en-GB"/>
        </w:rPr>
        <w:t>M</w:t>
      </w:r>
      <w:r w:rsidRPr="002364AB">
        <w:rPr>
          <w:i/>
          <w:kern w:val="22"/>
          <w:sz w:val="22"/>
          <w:lang w:val="en-GB"/>
        </w:rPr>
        <w:t>onarch butterfly</w:t>
      </w:r>
      <w:r w:rsidRPr="002364AB">
        <w:rPr>
          <w:kern w:val="22"/>
          <w:sz w:val="22"/>
          <w:lang w:val="en-GB"/>
        </w:rPr>
        <w:t xml:space="preserve"> (</w:t>
      </w:r>
      <w:r w:rsidRPr="002364AB">
        <w:rPr>
          <w:i/>
          <w:iCs/>
          <w:kern w:val="22"/>
          <w:sz w:val="22"/>
          <w:lang w:val="en-GB"/>
        </w:rPr>
        <w:t xml:space="preserve">Danaus </w:t>
      </w:r>
      <w:proofErr w:type="spellStart"/>
      <w:r w:rsidRPr="002364AB">
        <w:rPr>
          <w:i/>
          <w:iCs/>
          <w:kern w:val="22"/>
          <w:sz w:val="22"/>
          <w:lang w:val="en-GB"/>
        </w:rPr>
        <w:t>plexippus</w:t>
      </w:r>
      <w:proofErr w:type="spellEnd"/>
      <w:r w:rsidRPr="002364AB">
        <w:rPr>
          <w:kern w:val="22"/>
          <w:sz w:val="22"/>
          <w:lang w:val="en-GB"/>
        </w:rPr>
        <w:t>)</w:t>
      </w:r>
    </w:p>
    <w:p w14:paraId="6F9C816D" w14:textId="77777777" w:rsidR="003E3CFA" w:rsidRPr="002364AB" w:rsidRDefault="0086352B" w:rsidP="008811EE">
      <w:pPr>
        <w:rPr>
          <w:kern w:val="22"/>
          <w:sz w:val="22"/>
          <w:lang w:val="en-GB"/>
        </w:rPr>
      </w:pPr>
      <w:r w:rsidRPr="002364AB">
        <w:rPr>
          <w:kern w:val="22"/>
          <w:sz w:val="22"/>
          <w:lang w:val="en-GB"/>
        </w:rPr>
        <w:t>Another well</w:t>
      </w:r>
      <w:r w:rsidR="00E83104" w:rsidRPr="002364AB">
        <w:rPr>
          <w:kern w:val="22"/>
          <w:sz w:val="22"/>
          <w:lang w:val="en-GB"/>
        </w:rPr>
        <w:t>-</w:t>
      </w:r>
      <w:r w:rsidRPr="002364AB">
        <w:rPr>
          <w:kern w:val="22"/>
          <w:sz w:val="22"/>
          <w:lang w:val="en-GB"/>
        </w:rPr>
        <w:t xml:space="preserve">known migratory species, the </w:t>
      </w:r>
      <w:r w:rsidR="00D6147B" w:rsidRPr="002364AB">
        <w:rPr>
          <w:kern w:val="22"/>
          <w:sz w:val="22"/>
          <w:lang w:val="en-GB"/>
        </w:rPr>
        <w:t>m</w:t>
      </w:r>
      <w:r w:rsidRPr="002364AB">
        <w:rPr>
          <w:kern w:val="22"/>
          <w:sz w:val="22"/>
          <w:lang w:val="en-GB"/>
        </w:rPr>
        <w:t xml:space="preserve">onarch </w:t>
      </w:r>
      <w:r w:rsidR="00D6147B" w:rsidRPr="002364AB">
        <w:rPr>
          <w:kern w:val="22"/>
          <w:sz w:val="22"/>
          <w:lang w:val="en-GB"/>
        </w:rPr>
        <w:t>b</w:t>
      </w:r>
      <w:r w:rsidRPr="002364AB">
        <w:rPr>
          <w:kern w:val="22"/>
          <w:sz w:val="22"/>
          <w:lang w:val="en-GB"/>
        </w:rPr>
        <w:t>utterfly (</w:t>
      </w:r>
      <w:r w:rsidRPr="002364AB">
        <w:rPr>
          <w:i/>
          <w:iCs/>
          <w:kern w:val="22"/>
          <w:sz w:val="22"/>
          <w:lang w:val="en-GB"/>
        </w:rPr>
        <w:t xml:space="preserve">Danaus </w:t>
      </w:r>
      <w:proofErr w:type="spellStart"/>
      <w:r w:rsidRPr="002364AB">
        <w:rPr>
          <w:i/>
          <w:iCs/>
          <w:kern w:val="22"/>
          <w:sz w:val="22"/>
          <w:lang w:val="en-GB"/>
        </w:rPr>
        <w:t>plexippus</w:t>
      </w:r>
      <w:proofErr w:type="spellEnd"/>
      <w:r w:rsidRPr="002364AB">
        <w:rPr>
          <w:kern w:val="22"/>
          <w:sz w:val="22"/>
          <w:lang w:val="en-GB"/>
        </w:rPr>
        <w:t>)</w:t>
      </w:r>
      <w:r w:rsidR="00855833" w:rsidRPr="002364AB">
        <w:rPr>
          <w:kern w:val="22"/>
          <w:sz w:val="22"/>
          <w:lang w:val="en-GB"/>
        </w:rPr>
        <w:t>,</w:t>
      </w:r>
      <w:r w:rsidR="00470104" w:rsidRPr="002364AB">
        <w:rPr>
          <w:kern w:val="22"/>
          <w:sz w:val="22"/>
          <w:lang w:val="en-GB"/>
        </w:rPr>
        <w:t xml:space="preserve"> </w:t>
      </w:r>
      <w:r w:rsidR="006F0F70" w:rsidRPr="002364AB">
        <w:rPr>
          <w:kern w:val="22"/>
          <w:sz w:val="22"/>
          <w:lang w:val="en-GB"/>
        </w:rPr>
        <w:t>is migratory in</w:t>
      </w:r>
      <w:r w:rsidR="00464810" w:rsidRPr="002364AB">
        <w:rPr>
          <w:kern w:val="22"/>
          <w:sz w:val="22"/>
          <w:lang w:val="en-GB"/>
        </w:rPr>
        <w:t xml:space="preserve"> </w:t>
      </w:r>
      <w:r w:rsidR="006F0F70" w:rsidRPr="002364AB">
        <w:rPr>
          <w:kern w:val="22"/>
          <w:sz w:val="22"/>
          <w:lang w:val="en-GB"/>
        </w:rPr>
        <w:t xml:space="preserve">the Americas, traversing Mexico, the United States and Canada </w:t>
      </w:r>
      <w:r w:rsidR="00C309F4" w:rsidRPr="002364AB">
        <w:rPr>
          <w:kern w:val="22"/>
          <w:sz w:val="22"/>
          <w:lang w:val="en-GB"/>
        </w:rPr>
        <w:t xml:space="preserve">throughout </w:t>
      </w:r>
      <w:r w:rsidR="006F0F70" w:rsidRPr="002364AB">
        <w:rPr>
          <w:kern w:val="22"/>
          <w:sz w:val="22"/>
          <w:lang w:val="en-GB"/>
        </w:rPr>
        <w:t>its life cycle</w:t>
      </w:r>
      <w:r w:rsidR="00C309F4" w:rsidRPr="002364AB">
        <w:rPr>
          <w:kern w:val="22"/>
          <w:sz w:val="22"/>
          <w:lang w:val="en-GB"/>
        </w:rPr>
        <w:t xml:space="preserve">. </w:t>
      </w:r>
      <w:r w:rsidR="00464810" w:rsidRPr="002364AB">
        <w:rPr>
          <w:kern w:val="22"/>
          <w:sz w:val="22"/>
          <w:lang w:val="en-GB"/>
        </w:rPr>
        <w:t>It has been listed in</w:t>
      </w:r>
      <w:r w:rsidR="00AE2298" w:rsidRPr="002364AB">
        <w:rPr>
          <w:kern w:val="22"/>
          <w:sz w:val="22"/>
          <w:lang w:val="en-GB"/>
        </w:rPr>
        <w:t xml:space="preserve"> the</w:t>
      </w:r>
      <w:r w:rsidR="00464810" w:rsidRPr="002364AB">
        <w:rPr>
          <w:kern w:val="22"/>
          <w:sz w:val="22"/>
          <w:lang w:val="en-GB"/>
        </w:rPr>
        <w:t xml:space="preserve"> CMS Appendix II since 1979. The monarch butterfly </w:t>
      </w:r>
      <w:r w:rsidR="003F5A4A" w:rsidRPr="002364AB">
        <w:rPr>
          <w:kern w:val="22"/>
          <w:sz w:val="22"/>
          <w:lang w:val="en-GB"/>
        </w:rPr>
        <w:t>has now spread to islands in the Pacific and beyond, where it</w:t>
      </w:r>
      <w:r w:rsidR="00502755" w:rsidRPr="002364AB">
        <w:rPr>
          <w:kern w:val="22"/>
          <w:sz w:val="22"/>
          <w:lang w:val="en-GB"/>
        </w:rPr>
        <w:t xml:space="preserve"> no longer carries out</w:t>
      </w:r>
      <w:r w:rsidR="00496A17" w:rsidRPr="002364AB">
        <w:rPr>
          <w:kern w:val="22"/>
          <w:sz w:val="22"/>
          <w:lang w:val="en-GB"/>
        </w:rPr>
        <w:t xml:space="preserve"> lengthy migrations</w:t>
      </w:r>
      <w:r w:rsidR="003F5A4A" w:rsidRPr="002364AB">
        <w:rPr>
          <w:kern w:val="22"/>
          <w:sz w:val="22"/>
          <w:lang w:val="en-GB"/>
        </w:rPr>
        <w:t>.</w:t>
      </w:r>
      <w:r w:rsidR="00496A17" w:rsidRPr="002364AB">
        <w:rPr>
          <w:rStyle w:val="FootnoteReference"/>
          <w:kern w:val="22"/>
          <w:sz w:val="22"/>
          <w:lang w:val="en-GB"/>
        </w:rPr>
        <w:footnoteReference w:id="56"/>
      </w:r>
      <w:r w:rsidR="008B2E1C" w:rsidRPr="002364AB">
        <w:rPr>
          <w:kern w:val="22"/>
          <w:sz w:val="22"/>
          <w:lang w:val="en-GB"/>
        </w:rPr>
        <w:t xml:space="preserve"> The </w:t>
      </w:r>
      <w:r w:rsidR="00D6147B" w:rsidRPr="002364AB">
        <w:rPr>
          <w:kern w:val="22"/>
          <w:sz w:val="22"/>
          <w:lang w:val="en-GB"/>
        </w:rPr>
        <w:t>m</w:t>
      </w:r>
      <w:r w:rsidR="008B2E1C" w:rsidRPr="002364AB">
        <w:rPr>
          <w:kern w:val="22"/>
          <w:sz w:val="22"/>
          <w:lang w:val="en-GB"/>
        </w:rPr>
        <w:t xml:space="preserve">onarch </w:t>
      </w:r>
      <w:proofErr w:type="spellStart"/>
      <w:r w:rsidR="00D6147B" w:rsidRPr="002364AB">
        <w:rPr>
          <w:kern w:val="22"/>
          <w:sz w:val="22"/>
          <w:lang w:val="en-GB"/>
        </w:rPr>
        <w:t>b</w:t>
      </w:r>
      <w:r w:rsidR="008B2E1C" w:rsidRPr="002364AB">
        <w:rPr>
          <w:kern w:val="22"/>
          <w:sz w:val="22"/>
          <w:lang w:val="en-GB"/>
        </w:rPr>
        <w:t>utterfly’s</w:t>
      </w:r>
      <w:proofErr w:type="spellEnd"/>
      <w:r w:rsidR="008B2E1C" w:rsidRPr="002364AB">
        <w:rPr>
          <w:kern w:val="22"/>
          <w:sz w:val="22"/>
          <w:lang w:val="en-GB"/>
        </w:rPr>
        <w:t xml:space="preserve"> genome was </w:t>
      </w:r>
      <w:r w:rsidR="008B1D3A" w:rsidRPr="002364AB">
        <w:rPr>
          <w:kern w:val="22"/>
          <w:sz w:val="22"/>
          <w:lang w:val="en-GB"/>
        </w:rPr>
        <w:t xml:space="preserve">fully sequenced and </w:t>
      </w:r>
      <w:r w:rsidR="008B2E1C" w:rsidRPr="002364AB">
        <w:rPr>
          <w:kern w:val="22"/>
          <w:sz w:val="22"/>
          <w:lang w:val="en-GB"/>
        </w:rPr>
        <w:t>released publicly in 201</w:t>
      </w:r>
      <w:r w:rsidR="00B53E9B" w:rsidRPr="002364AB">
        <w:rPr>
          <w:kern w:val="22"/>
          <w:sz w:val="22"/>
          <w:lang w:val="en-GB"/>
        </w:rPr>
        <w:t>1</w:t>
      </w:r>
      <w:r w:rsidR="008B2E1C" w:rsidRPr="002364AB">
        <w:rPr>
          <w:kern w:val="22"/>
          <w:sz w:val="22"/>
          <w:lang w:val="en-GB"/>
        </w:rPr>
        <w:t>.</w:t>
      </w:r>
      <w:r w:rsidR="00B53E9B" w:rsidRPr="002364AB">
        <w:rPr>
          <w:rStyle w:val="FootnoteReference"/>
          <w:kern w:val="22"/>
          <w:sz w:val="22"/>
          <w:lang w:val="en-GB"/>
        </w:rPr>
        <w:footnoteReference w:id="57"/>
      </w:r>
      <w:r w:rsidR="008B2E1C" w:rsidRPr="002364AB">
        <w:rPr>
          <w:kern w:val="22"/>
          <w:sz w:val="22"/>
          <w:lang w:val="en-GB"/>
        </w:rPr>
        <w:t xml:space="preserve"> </w:t>
      </w:r>
    </w:p>
    <w:p w14:paraId="557D9C4B" w14:textId="01A56E53" w:rsidR="00592915" w:rsidRPr="002364AB" w:rsidRDefault="00504C80" w:rsidP="008811EE">
      <w:pPr>
        <w:rPr>
          <w:kern w:val="22"/>
          <w:sz w:val="22"/>
          <w:lang w:val="en-GB"/>
        </w:rPr>
      </w:pPr>
      <w:r w:rsidRPr="002364AB">
        <w:rPr>
          <w:kern w:val="22"/>
          <w:sz w:val="22"/>
          <w:lang w:val="en-GB"/>
        </w:rPr>
        <w:t xml:space="preserve">Examples exist of </w:t>
      </w:r>
      <w:r w:rsidR="00550ECF" w:rsidRPr="002364AB">
        <w:rPr>
          <w:kern w:val="22"/>
          <w:sz w:val="22"/>
          <w:lang w:val="en-GB"/>
        </w:rPr>
        <w:t>patents</w:t>
      </w:r>
      <w:r w:rsidR="002B5505" w:rsidRPr="002364AB">
        <w:rPr>
          <w:kern w:val="22"/>
          <w:sz w:val="22"/>
          <w:lang w:val="en-GB"/>
        </w:rPr>
        <w:t xml:space="preserve"> or patent filings</w:t>
      </w:r>
      <w:r w:rsidR="00550ECF" w:rsidRPr="002364AB">
        <w:rPr>
          <w:kern w:val="22"/>
          <w:sz w:val="22"/>
          <w:lang w:val="en-GB"/>
        </w:rPr>
        <w:t xml:space="preserve"> </w:t>
      </w:r>
      <w:r w:rsidR="00C945EC" w:rsidRPr="002364AB">
        <w:rPr>
          <w:kern w:val="22"/>
          <w:sz w:val="22"/>
          <w:lang w:val="en-GB"/>
        </w:rPr>
        <w:t xml:space="preserve">using </w:t>
      </w:r>
      <w:r w:rsidR="00A56FDB" w:rsidRPr="002364AB">
        <w:rPr>
          <w:kern w:val="22"/>
          <w:sz w:val="22"/>
          <w:lang w:val="en-GB"/>
        </w:rPr>
        <w:t>cell lines</w:t>
      </w:r>
      <w:r w:rsidR="00B026E3" w:rsidRPr="002364AB">
        <w:rPr>
          <w:kern w:val="22"/>
          <w:sz w:val="22"/>
          <w:lang w:val="en-GB"/>
        </w:rPr>
        <w:t>,</w:t>
      </w:r>
      <w:r w:rsidR="00C945EC" w:rsidRPr="002364AB">
        <w:rPr>
          <w:rStyle w:val="FootnoteReference"/>
          <w:kern w:val="22"/>
          <w:sz w:val="22"/>
          <w:lang w:val="en-GB"/>
        </w:rPr>
        <w:footnoteReference w:id="58"/>
      </w:r>
      <w:r w:rsidR="00A56FDB" w:rsidRPr="002364AB">
        <w:rPr>
          <w:kern w:val="22"/>
          <w:sz w:val="22"/>
          <w:lang w:val="en-GB"/>
        </w:rPr>
        <w:t xml:space="preserve"> </w:t>
      </w:r>
      <w:r w:rsidR="00CE3B8A" w:rsidRPr="002364AB">
        <w:rPr>
          <w:kern w:val="22"/>
          <w:sz w:val="22"/>
          <w:lang w:val="en-GB"/>
        </w:rPr>
        <w:t xml:space="preserve">and </w:t>
      </w:r>
      <w:r w:rsidR="00B026E3" w:rsidRPr="002364AB">
        <w:rPr>
          <w:kern w:val="22"/>
          <w:sz w:val="22"/>
          <w:lang w:val="en-GB"/>
        </w:rPr>
        <w:t xml:space="preserve">covering </w:t>
      </w:r>
      <w:r w:rsidR="00D6147B" w:rsidRPr="002364AB">
        <w:rPr>
          <w:kern w:val="22"/>
          <w:sz w:val="22"/>
          <w:lang w:val="en-GB"/>
        </w:rPr>
        <w:t>sequences,</w:t>
      </w:r>
      <w:r w:rsidR="00D6147B" w:rsidRPr="002364AB">
        <w:rPr>
          <w:rStyle w:val="FootnoteReference"/>
          <w:kern w:val="22"/>
          <w:sz w:val="22"/>
          <w:lang w:val="en-GB"/>
        </w:rPr>
        <w:footnoteReference w:id="59"/>
      </w:r>
      <w:r w:rsidR="00D6147B" w:rsidRPr="002364AB">
        <w:rPr>
          <w:kern w:val="22"/>
          <w:sz w:val="22"/>
          <w:lang w:val="en-GB"/>
        </w:rPr>
        <w:t xml:space="preserve"> </w:t>
      </w:r>
      <w:r w:rsidR="00FE3BD9" w:rsidRPr="002364AB">
        <w:rPr>
          <w:kern w:val="22"/>
          <w:sz w:val="22"/>
          <w:lang w:val="en-GB"/>
        </w:rPr>
        <w:t>proteases</w:t>
      </w:r>
      <w:r w:rsidR="00FD31C1" w:rsidRPr="002364AB">
        <w:rPr>
          <w:kern w:val="22"/>
          <w:sz w:val="22"/>
          <w:lang w:val="en-GB"/>
        </w:rPr>
        <w:t>,</w:t>
      </w:r>
      <w:r w:rsidR="00FD31C1" w:rsidRPr="002364AB">
        <w:rPr>
          <w:rStyle w:val="FootnoteReference"/>
          <w:kern w:val="22"/>
          <w:sz w:val="22"/>
          <w:lang w:val="en-GB"/>
        </w:rPr>
        <w:footnoteReference w:id="60"/>
      </w:r>
      <w:r w:rsidR="00FE3BD9" w:rsidRPr="002364AB">
        <w:rPr>
          <w:kern w:val="22"/>
          <w:sz w:val="22"/>
          <w:lang w:val="en-GB"/>
        </w:rPr>
        <w:t xml:space="preserve"> </w:t>
      </w:r>
      <w:r w:rsidR="00CF3227" w:rsidRPr="002364AB">
        <w:rPr>
          <w:kern w:val="22"/>
          <w:sz w:val="22"/>
          <w:lang w:val="en-GB"/>
        </w:rPr>
        <w:t>and enzymes</w:t>
      </w:r>
      <w:r w:rsidR="00CF3227" w:rsidRPr="002364AB">
        <w:rPr>
          <w:rStyle w:val="FootnoteReference"/>
          <w:kern w:val="22"/>
          <w:sz w:val="22"/>
          <w:lang w:val="en-GB"/>
        </w:rPr>
        <w:footnoteReference w:id="61"/>
      </w:r>
      <w:r w:rsidR="00CF3227" w:rsidRPr="002364AB">
        <w:rPr>
          <w:kern w:val="22"/>
          <w:sz w:val="22"/>
          <w:lang w:val="en-GB"/>
        </w:rPr>
        <w:t xml:space="preserve"> from monarch butterflies.</w:t>
      </w:r>
      <w:r w:rsidR="00464810" w:rsidRPr="002364AB">
        <w:rPr>
          <w:kern w:val="22"/>
          <w:sz w:val="22"/>
          <w:lang w:val="en-GB"/>
        </w:rPr>
        <w:t xml:space="preserve"> </w:t>
      </w:r>
      <w:r w:rsidR="0026236C" w:rsidRPr="002364AB">
        <w:rPr>
          <w:kern w:val="22"/>
          <w:sz w:val="22"/>
          <w:lang w:val="en-GB"/>
        </w:rPr>
        <w:t xml:space="preserve">The most </w:t>
      </w:r>
      <w:r w:rsidR="00A419B5" w:rsidRPr="002364AB">
        <w:rPr>
          <w:kern w:val="22"/>
          <w:sz w:val="22"/>
          <w:lang w:val="en-GB"/>
        </w:rPr>
        <w:t xml:space="preserve">geographically concentrated conservation burden </w:t>
      </w:r>
      <w:r w:rsidR="0026236C" w:rsidRPr="002364AB">
        <w:rPr>
          <w:kern w:val="22"/>
          <w:sz w:val="22"/>
          <w:lang w:val="en-GB"/>
        </w:rPr>
        <w:t>for this species</w:t>
      </w:r>
      <w:r w:rsidR="00E459F9" w:rsidRPr="002364AB">
        <w:rPr>
          <w:kern w:val="22"/>
          <w:sz w:val="22"/>
          <w:lang w:val="en-GB"/>
        </w:rPr>
        <w:t xml:space="preserve"> falls</w:t>
      </w:r>
      <w:r w:rsidR="0026236C" w:rsidRPr="002364AB">
        <w:rPr>
          <w:kern w:val="22"/>
          <w:sz w:val="22"/>
          <w:lang w:val="en-GB"/>
        </w:rPr>
        <w:t xml:space="preserve"> on Mexico</w:t>
      </w:r>
      <w:r w:rsidR="00A14F5F" w:rsidRPr="002364AB">
        <w:rPr>
          <w:kern w:val="22"/>
          <w:sz w:val="22"/>
          <w:lang w:val="en-GB"/>
        </w:rPr>
        <w:t xml:space="preserve"> – </w:t>
      </w:r>
      <w:r w:rsidR="0026236C" w:rsidRPr="002364AB">
        <w:rPr>
          <w:kern w:val="22"/>
          <w:sz w:val="22"/>
          <w:lang w:val="en-GB"/>
        </w:rPr>
        <w:t xml:space="preserve">the only migratory range </w:t>
      </w:r>
      <w:r w:rsidR="00145EFB" w:rsidRPr="002364AB">
        <w:rPr>
          <w:kern w:val="22"/>
          <w:sz w:val="22"/>
          <w:lang w:val="en-GB"/>
        </w:rPr>
        <w:t>S</w:t>
      </w:r>
      <w:r w:rsidR="0026236C" w:rsidRPr="002364AB">
        <w:rPr>
          <w:kern w:val="22"/>
          <w:sz w:val="22"/>
          <w:lang w:val="en-GB"/>
        </w:rPr>
        <w:t>tate that is a Party to the Nagoya Protocol</w:t>
      </w:r>
      <w:r w:rsidR="00A14F5F" w:rsidRPr="002364AB">
        <w:rPr>
          <w:kern w:val="22"/>
          <w:sz w:val="22"/>
          <w:lang w:val="en-GB"/>
        </w:rPr>
        <w:t xml:space="preserve"> – </w:t>
      </w:r>
      <w:r w:rsidR="00392E34" w:rsidRPr="002364AB">
        <w:rPr>
          <w:kern w:val="22"/>
          <w:sz w:val="22"/>
          <w:lang w:val="en-GB"/>
        </w:rPr>
        <w:t xml:space="preserve">which is responsible for protecting overwintering sites </w:t>
      </w:r>
      <w:r w:rsidR="008B5CC7" w:rsidRPr="002364AB">
        <w:rPr>
          <w:kern w:val="22"/>
          <w:sz w:val="22"/>
          <w:lang w:val="en-GB"/>
        </w:rPr>
        <w:t>in the high-elevation Oyamel fir forests of central Mexico</w:t>
      </w:r>
      <w:r w:rsidR="0026236C" w:rsidRPr="002364AB">
        <w:rPr>
          <w:kern w:val="22"/>
          <w:sz w:val="22"/>
          <w:lang w:val="en-GB"/>
        </w:rPr>
        <w:t xml:space="preserve">. </w:t>
      </w:r>
      <w:r w:rsidR="004F53D1" w:rsidRPr="002364AB">
        <w:rPr>
          <w:kern w:val="22"/>
          <w:sz w:val="22"/>
          <w:lang w:val="en-GB"/>
        </w:rPr>
        <w:t>These overwintering</w:t>
      </w:r>
      <w:r w:rsidR="00292014" w:rsidRPr="002364AB">
        <w:rPr>
          <w:kern w:val="22"/>
          <w:sz w:val="22"/>
          <w:lang w:val="en-GB"/>
        </w:rPr>
        <w:t xml:space="preserve"> sites are under threat from climate change and illegal logging – despite</w:t>
      </w:r>
      <w:r w:rsidR="00893EC4" w:rsidRPr="002364AB">
        <w:rPr>
          <w:kern w:val="22"/>
          <w:sz w:val="22"/>
          <w:lang w:val="en-GB"/>
        </w:rPr>
        <w:t xml:space="preserve"> many of the sites being</w:t>
      </w:r>
      <w:r w:rsidR="00EC3954" w:rsidRPr="002364AB">
        <w:rPr>
          <w:kern w:val="22"/>
          <w:sz w:val="22"/>
          <w:lang w:val="en-GB"/>
        </w:rPr>
        <w:t xml:space="preserve"> located within </w:t>
      </w:r>
      <w:r w:rsidR="00EE62B3" w:rsidRPr="002364AB">
        <w:rPr>
          <w:kern w:val="22"/>
          <w:sz w:val="22"/>
          <w:lang w:val="en-GB"/>
        </w:rPr>
        <w:t>a biosphere reserve.</w:t>
      </w:r>
      <w:r w:rsidR="00EE62B3" w:rsidRPr="002364AB">
        <w:rPr>
          <w:rStyle w:val="FootnoteReference"/>
          <w:kern w:val="22"/>
          <w:sz w:val="22"/>
          <w:lang w:val="en-GB"/>
        </w:rPr>
        <w:footnoteReference w:id="62"/>
      </w:r>
      <w:r w:rsidR="00321737" w:rsidRPr="002364AB">
        <w:rPr>
          <w:kern w:val="22"/>
          <w:sz w:val="22"/>
          <w:lang w:val="en-GB"/>
        </w:rPr>
        <w:t xml:space="preserve"> The World Heritage List description </w:t>
      </w:r>
      <w:r w:rsidR="008A2CF2" w:rsidRPr="002364AB">
        <w:rPr>
          <w:kern w:val="22"/>
          <w:sz w:val="22"/>
          <w:lang w:val="en-GB"/>
        </w:rPr>
        <w:t>recognizes the need to work with local communities on environmental protection and the provision of alternative livelihoods to logging</w:t>
      </w:r>
      <w:r w:rsidR="007C35AF" w:rsidRPr="002364AB">
        <w:rPr>
          <w:kern w:val="22"/>
          <w:sz w:val="22"/>
          <w:lang w:val="en-GB"/>
        </w:rPr>
        <w:t xml:space="preserve">, including </w:t>
      </w:r>
      <w:r w:rsidR="008A2CF2" w:rsidRPr="002364AB">
        <w:rPr>
          <w:kern w:val="22"/>
          <w:sz w:val="22"/>
          <w:lang w:val="en-GB"/>
        </w:rPr>
        <w:t>promot</w:t>
      </w:r>
      <w:r w:rsidR="007C35AF" w:rsidRPr="002364AB">
        <w:rPr>
          <w:kern w:val="22"/>
          <w:sz w:val="22"/>
          <w:lang w:val="en-GB"/>
        </w:rPr>
        <w:t>ing</w:t>
      </w:r>
      <w:r w:rsidR="008A2CF2" w:rsidRPr="002364AB">
        <w:rPr>
          <w:kern w:val="22"/>
          <w:sz w:val="22"/>
          <w:lang w:val="en-GB"/>
        </w:rPr>
        <w:t xml:space="preserve"> benefit-sharing mechanisms for local communities as an incentive to enhance their support </w:t>
      </w:r>
      <w:r w:rsidR="007C35AF" w:rsidRPr="002364AB">
        <w:rPr>
          <w:kern w:val="22"/>
          <w:sz w:val="22"/>
          <w:lang w:val="en-GB"/>
        </w:rPr>
        <w:t xml:space="preserve">for </w:t>
      </w:r>
      <w:r w:rsidR="008A2CF2" w:rsidRPr="002364AB">
        <w:rPr>
          <w:kern w:val="22"/>
          <w:sz w:val="22"/>
          <w:lang w:val="en-GB"/>
        </w:rPr>
        <w:t>conservation.</w:t>
      </w:r>
      <w:r w:rsidR="00756875" w:rsidRPr="002364AB">
        <w:rPr>
          <w:rStyle w:val="FootnoteReference"/>
          <w:kern w:val="22"/>
          <w:sz w:val="22"/>
          <w:lang w:val="en-GB"/>
        </w:rPr>
        <w:footnoteReference w:id="63"/>
      </w:r>
    </w:p>
    <w:p w14:paraId="4286120F" w14:textId="2C6FB43A" w:rsidR="0017771C" w:rsidRPr="002364AB" w:rsidRDefault="0017771C" w:rsidP="008811EE">
      <w:pPr>
        <w:rPr>
          <w:kern w:val="22"/>
          <w:sz w:val="22"/>
          <w:lang w:val="en-GB"/>
        </w:rPr>
      </w:pPr>
    </w:p>
    <w:p w14:paraId="5461CDCA" w14:textId="4720AB7A" w:rsidR="0017771C" w:rsidRPr="002364AB" w:rsidRDefault="0017771C" w:rsidP="008811EE">
      <w:pPr>
        <w:rPr>
          <w:kern w:val="22"/>
          <w:sz w:val="22"/>
          <w:lang w:val="en-GB"/>
        </w:rPr>
      </w:pPr>
    </w:p>
    <w:p w14:paraId="4B5F5324" w14:textId="77777777" w:rsidR="0017771C" w:rsidRPr="002364AB" w:rsidRDefault="0017771C" w:rsidP="008811EE">
      <w:pPr>
        <w:rPr>
          <w:kern w:val="22"/>
          <w:sz w:val="22"/>
          <w:lang w:val="en-GB"/>
        </w:rPr>
      </w:pPr>
    </w:p>
    <w:p w14:paraId="312427EB" w14:textId="7C7DC773" w:rsidR="00E83104" w:rsidRPr="002364AB" w:rsidRDefault="00E83104" w:rsidP="008811EE">
      <w:pPr>
        <w:rPr>
          <w:i/>
          <w:kern w:val="22"/>
          <w:sz w:val="22"/>
          <w:lang w:val="en-GB"/>
        </w:rPr>
      </w:pPr>
      <w:r w:rsidRPr="002364AB">
        <w:rPr>
          <w:i/>
          <w:kern w:val="22"/>
          <w:sz w:val="22"/>
          <w:lang w:val="en-GB"/>
        </w:rPr>
        <w:t>Mallard duck (</w:t>
      </w:r>
      <w:r w:rsidRPr="002364AB">
        <w:rPr>
          <w:i/>
          <w:iCs/>
          <w:kern w:val="22"/>
          <w:sz w:val="22"/>
          <w:lang w:val="en-GB"/>
        </w:rPr>
        <w:t>Anas platyrhynchos</w:t>
      </w:r>
      <w:r w:rsidRPr="002364AB">
        <w:rPr>
          <w:i/>
          <w:kern w:val="22"/>
          <w:sz w:val="22"/>
          <w:lang w:val="en-GB"/>
        </w:rPr>
        <w:t>)</w:t>
      </w:r>
    </w:p>
    <w:p w14:paraId="3950CE16" w14:textId="77777777" w:rsidR="003E3CFA" w:rsidRPr="002364AB" w:rsidRDefault="00FC0404" w:rsidP="008811EE">
      <w:pPr>
        <w:rPr>
          <w:kern w:val="22"/>
          <w:sz w:val="22"/>
          <w:lang w:val="en-GB"/>
        </w:rPr>
      </w:pPr>
      <w:r w:rsidRPr="002364AB">
        <w:rPr>
          <w:kern w:val="22"/>
          <w:sz w:val="22"/>
          <w:lang w:val="en-GB"/>
        </w:rPr>
        <w:t>A</w:t>
      </w:r>
      <w:r w:rsidR="00FA44D0" w:rsidRPr="002364AB">
        <w:rPr>
          <w:kern w:val="22"/>
          <w:sz w:val="22"/>
          <w:lang w:val="en-GB"/>
        </w:rPr>
        <w:t xml:space="preserve"> final </w:t>
      </w:r>
      <w:r w:rsidRPr="002364AB">
        <w:rPr>
          <w:kern w:val="22"/>
          <w:sz w:val="22"/>
          <w:lang w:val="en-GB"/>
        </w:rPr>
        <w:t>example is the mallard duck (</w:t>
      </w:r>
      <w:r w:rsidRPr="002364AB">
        <w:rPr>
          <w:i/>
          <w:iCs/>
          <w:kern w:val="22"/>
          <w:sz w:val="22"/>
          <w:lang w:val="en-GB"/>
        </w:rPr>
        <w:t xml:space="preserve">Anas </w:t>
      </w:r>
      <w:r w:rsidR="00F9212F" w:rsidRPr="002364AB">
        <w:rPr>
          <w:i/>
          <w:iCs/>
          <w:kern w:val="22"/>
          <w:sz w:val="22"/>
          <w:lang w:val="en-GB"/>
        </w:rPr>
        <w:t>p</w:t>
      </w:r>
      <w:r w:rsidRPr="002364AB">
        <w:rPr>
          <w:i/>
          <w:iCs/>
          <w:kern w:val="22"/>
          <w:sz w:val="22"/>
          <w:lang w:val="en-GB"/>
        </w:rPr>
        <w:t>latyrhynchos</w:t>
      </w:r>
      <w:r w:rsidRPr="002364AB">
        <w:rPr>
          <w:kern w:val="22"/>
          <w:sz w:val="22"/>
          <w:lang w:val="en-GB"/>
        </w:rPr>
        <w:t>)</w:t>
      </w:r>
      <w:r w:rsidR="00F9212F" w:rsidRPr="002364AB">
        <w:rPr>
          <w:kern w:val="22"/>
          <w:sz w:val="22"/>
          <w:lang w:val="en-GB"/>
        </w:rPr>
        <w:t xml:space="preserve">, a species covered by the </w:t>
      </w:r>
      <w:r w:rsidR="00B422EF" w:rsidRPr="002364AB">
        <w:rPr>
          <w:i/>
          <w:iCs/>
          <w:kern w:val="22"/>
          <w:sz w:val="22"/>
          <w:lang w:val="en-GB"/>
        </w:rPr>
        <w:t xml:space="preserve">Agreement on the Conservation of African-Eurasian Migratory </w:t>
      </w:r>
      <w:proofErr w:type="spellStart"/>
      <w:r w:rsidR="00B422EF" w:rsidRPr="002364AB">
        <w:rPr>
          <w:i/>
          <w:iCs/>
          <w:kern w:val="22"/>
          <w:sz w:val="22"/>
          <w:lang w:val="en-GB"/>
        </w:rPr>
        <w:t>Waterbirds</w:t>
      </w:r>
      <w:proofErr w:type="spellEnd"/>
      <w:r w:rsidR="002017B4" w:rsidRPr="002364AB">
        <w:rPr>
          <w:rStyle w:val="FootnoteReference"/>
          <w:kern w:val="22"/>
          <w:sz w:val="22"/>
          <w:lang w:val="en-GB"/>
        </w:rPr>
        <w:footnoteReference w:id="64"/>
      </w:r>
      <w:r w:rsidR="00B422EF" w:rsidRPr="002364AB">
        <w:rPr>
          <w:kern w:val="22"/>
          <w:sz w:val="22"/>
          <w:lang w:val="en-GB"/>
        </w:rPr>
        <w:t xml:space="preserve"> (AEWA), a treaty dedicated to the conservation of migratory </w:t>
      </w:r>
      <w:proofErr w:type="spellStart"/>
      <w:r w:rsidR="00B422EF" w:rsidRPr="002364AB">
        <w:rPr>
          <w:kern w:val="22"/>
          <w:sz w:val="22"/>
          <w:lang w:val="en-GB"/>
        </w:rPr>
        <w:t>waterbirds</w:t>
      </w:r>
      <w:proofErr w:type="spellEnd"/>
      <w:r w:rsidR="00B422EF" w:rsidRPr="002364AB">
        <w:rPr>
          <w:kern w:val="22"/>
          <w:sz w:val="22"/>
          <w:lang w:val="en-GB"/>
        </w:rPr>
        <w:t xml:space="preserve"> and their habitats across Africa, Europe, the Middle East, Central Asia, Greenland and the Canadian Archipelago.</w:t>
      </w:r>
      <w:r w:rsidR="00B422EF" w:rsidRPr="002364AB">
        <w:rPr>
          <w:rStyle w:val="FootnoteReference"/>
          <w:kern w:val="22"/>
          <w:sz w:val="22"/>
          <w:lang w:val="en-GB"/>
        </w:rPr>
        <w:footnoteReference w:id="65"/>
      </w:r>
      <w:r w:rsidR="001473D2" w:rsidRPr="002364AB">
        <w:rPr>
          <w:kern w:val="22"/>
          <w:sz w:val="22"/>
          <w:lang w:val="en-GB"/>
        </w:rPr>
        <w:t xml:space="preserve"> </w:t>
      </w:r>
      <w:r w:rsidR="00654EE8" w:rsidRPr="002364AB">
        <w:rPr>
          <w:kern w:val="22"/>
          <w:sz w:val="22"/>
          <w:lang w:val="en-GB"/>
        </w:rPr>
        <w:t xml:space="preserve">The mallard duck’s range </w:t>
      </w:r>
      <w:r w:rsidR="00941C05" w:rsidRPr="002364AB">
        <w:rPr>
          <w:kern w:val="22"/>
          <w:sz w:val="22"/>
          <w:lang w:val="en-GB"/>
        </w:rPr>
        <w:t xml:space="preserve">includes </w:t>
      </w:r>
      <w:r w:rsidR="00654EE8" w:rsidRPr="002364AB">
        <w:rPr>
          <w:kern w:val="22"/>
          <w:sz w:val="22"/>
          <w:lang w:val="en-GB"/>
        </w:rPr>
        <w:t xml:space="preserve">North and East Africa, </w:t>
      </w:r>
      <w:r w:rsidR="00941C05" w:rsidRPr="002364AB">
        <w:rPr>
          <w:kern w:val="22"/>
          <w:sz w:val="22"/>
          <w:lang w:val="en-GB"/>
        </w:rPr>
        <w:t>Europe and Central Asia, and Iceland and Canada.</w:t>
      </w:r>
      <w:r w:rsidR="00654EE8" w:rsidRPr="002364AB">
        <w:rPr>
          <w:kern w:val="22"/>
          <w:sz w:val="22"/>
          <w:lang w:val="en-GB"/>
        </w:rPr>
        <w:t xml:space="preserve"> </w:t>
      </w:r>
      <w:r w:rsidR="002566B0" w:rsidRPr="002364AB">
        <w:rPr>
          <w:kern w:val="22"/>
          <w:sz w:val="22"/>
          <w:lang w:val="en-GB"/>
        </w:rPr>
        <w:t>It is the ancestor of most domestic duck breeds.</w:t>
      </w:r>
      <w:r w:rsidR="00137F86" w:rsidRPr="002364AB">
        <w:rPr>
          <w:kern w:val="22"/>
          <w:sz w:val="22"/>
          <w:lang w:val="en-GB"/>
        </w:rPr>
        <w:t xml:space="preserve"> </w:t>
      </w:r>
    </w:p>
    <w:p w14:paraId="19C7E849" w14:textId="1F907ED2" w:rsidR="004E6C67" w:rsidRPr="002364AB" w:rsidRDefault="001473D2" w:rsidP="00592915">
      <w:pPr>
        <w:rPr>
          <w:kern w:val="22"/>
          <w:sz w:val="22"/>
          <w:lang w:val="en-GB"/>
        </w:rPr>
      </w:pPr>
      <w:r w:rsidRPr="002364AB">
        <w:rPr>
          <w:kern w:val="22"/>
          <w:sz w:val="22"/>
          <w:lang w:val="en-GB"/>
        </w:rPr>
        <w:t xml:space="preserve">Several patents </w:t>
      </w:r>
      <w:r w:rsidR="005D2B7A" w:rsidRPr="002364AB">
        <w:rPr>
          <w:kern w:val="22"/>
          <w:sz w:val="22"/>
          <w:lang w:val="en-GB"/>
        </w:rPr>
        <w:t xml:space="preserve">have been obtained, or patent applications made, using genetic resources from </w:t>
      </w:r>
      <w:r w:rsidR="00AB505C" w:rsidRPr="002364AB">
        <w:rPr>
          <w:kern w:val="22"/>
          <w:sz w:val="22"/>
          <w:lang w:val="en-GB"/>
        </w:rPr>
        <w:t xml:space="preserve">mallard ducks, including developing </w:t>
      </w:r>
      <w:r w:rsidR="00A56FDB" w:rsidRPr="002364AB">
        <w:rPr>
          <w:kern w:val="22"/>
          <w:sz w:val="22"/>
          <w:lang w:val="en-GB"/>
        </w:rPr>
        <w:t>cell lines,</w:t>
      </w:r>
      <w:r w:rsidR="00A56FDB" w:rsidRPr="002364AB">
        <w:rPr>
          <w:rStyle w:val="FootnoteReference"/>
          <w:kern w:val="22"/>
          <w:sz w:val="22"/>
          <w:lang w:val="en-GB"/>
        </w:rPr>
        <w:footnoteReference w:id="66"/>
      </w:r>
      <w:r w:rsidR="00A56FDB" w:rsidRPr="002364AB">
        <w:rPr>
          <w:kern w:val="22"/>
          <w:sz w:val="22"/>
          <w:lang w:val="en-GB"/>
        </w:rPr>
        <w:t xml:space="preserve"> </w:t>
      </w:r>
      <w:r w:rsidR="00AB505C" w:rsidRPr="002364AB">
        <w:rPr>
          <w:kern w:val="22"/>
          <w:sz w:val="22"/>
          <w:lang w:val="en-GB"/>
        </w:rPr>
        <w:t xml:space="preserve">using </w:t>
      </w:r>
      <w:r w:rsidR="00263230" w:rsidRPr="002364AB">
        <w:rPr>
          <w:kern w:val="22"/>
          <w:sz w:val="22"/>
          <w:lang w:val="en-GB"/>
        </w:rPr>
        <w:t xml:space="preserve">nucleic acids and </w:t>
      </w:r>
      <w:r w:rsidR="000C3E30" w:rsidRPr="002364AB">
        <w:rPr>
          <w:kern w:val="22"/>
          <w:sz w:val="22"/>
          <w:lang w:val="en-GB"/>
        </w:rPr>
        <w:t xml:space="preserve">cells </w:t>
      </w:r>
      <w:r w:rsidR="00AB505C" w:rsidRPr="002364AB">
        <w:rPr>
          <w:kern w:val="22"/>
          <w:sz w:val="22"/>
          <w:lang w:val="en-GB"/>
        </w:rPr>
        <w:t xml:space="preserve">for </w:t>
      </w:r>
      <w:r w:rsidR="00263230" w:rsidRPr="002364AB">
        <w:rPr>
          <w:kern w:val="22"/>
          <w:sz w:val="22"/>
          <w:lang w:val="en-GB"/>
        </w:rPr>
        <w:t>producing vaccines,</w:t>
      </w:r>
      <w:r w:rsidR="00263230" w:rsidRPr="002364AB">
        <w:rPr>
          <w:rStyle w:val="FootnoteReference"/>
          <w:kern w:val="22"/>
          <w:sz w:val="22"/>
          <w:lang w:val="en-GB"/>
        </w:rPr>
        <w:footnoteReference w:id="67"/>
      </w:r>
      <w:r w:rsidR="00263230" w:rsidRPr="002364AB">
        <w:rPr>
          <w:kern w:val="22"/>
          <w:sz w:val="22"/>
          <w:lang w:val="en-GB"/>
        </w:rPr>
        <w:t xml:space="preserve"> </w:t>
      </w:r>
      <w:r w:rsidR="00AB505C" w:rsidRPr="002364AB">
        <w:rPr>
          <w:kern w:val="22"/>
          <w:sz w:val="22"/>
          <w:lang w:val="en-GB"/>
        </w:rPr>
        <w:t xml:space="preserve">using </w:t>
      </w:r>
      <w:r w:rsidR="00FC117A" w:rsidRPr="002364AB">
        <w:rPr>
          <w:kern w:val="22"/>
          <w:sz w:val="22"/>
          <w:lang w:val="en-GB"/>
        </w:rPr>
        <w:t>immunoglobins</w:t>
      </w:r>
      <w:r w:rsidR="00B97FF4" w:rsidRPr="002364AB">
        <w:rPr>
          <w:kern w:val="22"/>
          <w:sz w:val="22"/>
          <w:lang w:val="en-GB"/>
        </w:rPr>
        <w:t xml:space="preserve"> for establishing disease resistance in invertebrates</w:t>
      </w:r>
      <w:r w:rsidR="00FC117A" w:rsidRPr="002364AB">
        <w:rPr>
          <w:kern w:val="22"/>
          <w:sz w:val="22"/>
          <w:lang w:val="en-GB"/>
        </w:rPr>
        <w:t>,</w:t>
      </w:r>
      <w:r w:rsidR="00AB505C" w:rsidRPr="002364AB">
        <w:rPr>
          <w:rStyle w:val="FootnoteReference"/>
          <w:kern w:val="22"/>
          <w:sz w:val="22"/>
          <w:lang w:val="en-GB"/>
        </w:rPr>
        <w:footnoteReference w:id="68"/>
      </w:r>
      <w:r w:rsidR="00FC117A" w:rsidRPr="002364AB">
        <w:rPr>
          <w:kern w:val="22"/>
          <w:sz w:val="22"/>
          <w:lang w:val="en-GB"/>
        </w:rPr>
        <w:t xml:space="preserve"> </w:t>
      </w:r>
      <w:r w:rsidR="00FB23D4" w:rsidRPr="002364AB">
        <w:rPr>
          <w:kern w:val="22"/>
          <w:sz w:val="22"/>
          <w:lang w:val="en-GB"/>
        </w:rPr>
        <w:t>treatment of hepatitis,</w:t>
      </w:r>
      <w:r w:rsidR="00FB23D4" w:rsidRPr="002364AB">
        <w:rPr>
          <w:rStyle w:val="FootnoteReference"/>
          <w:kern w:val="22"/>
          <w:sz w:val="22"/>
          <w:lang w:val="en-GB"/>
        </w:rPr>
        <w:footnoteReference w:id="69"/>
      </w:r>
      <w:r w:rsidR="00FB23D4" w:rsidRPr="002364AB">
        <w:rPr>
          <w:kern w:val="22"/>
          <w:sz w:val="22"/>
          <w:lang w:val="en-GB"/>
        </w:rPr>
        <w:t xml:space="preserve"> </w:t>
      </w:r>
      <w:r w:rsidR="009B15A6" w:rsidRPr="002364AB">
        <w:rPr>
          <w:kern w:val="22"/>
          <w:sz w:val="22"/>
          <w:lang w:val="en-GB"/>
        </w:rPr>
        <w:t xml:space="preserve">and </w:t>
      </w:r>
      <w:r w:rsidR="005C4828" w:rsidRPr="002364AB">
        <w:rPr>
          <w:kern w:val="22"/>
          <w:sz w:val="22"/>
          <w:lang w:val="en-GB"/>
        </w:rPr>
        <w:t xml:space="preserve">production of biofuels </w:t>
      </w:r>
      <w:r w:rsidR="009B15A6" w:rsidRPr="002364AB">
        <w:rPr>
          <w:kern w:val="22"/>
          <w:sz w:val="22"/>
          <w:lang w:val="en-GB"/>
        </w:rPr>
        <w:t>and bulk chemicals.</w:t>
      </w:r>
      <w:r w:rsidR="009B15A6" w:rsidRPr="002364AB">
        <w:rPr>
          <w:rStyle w:val="FootnoteReference"/>
          <w:kern w:val="22"/>
          <w:sz w:val="22"/>
          <w:lang w:val="en-GB"/>
        </w:rPr>
        <w:footnoteReference w:id="70"/>
      </w:r>
      <w:r w:rsidR="006E1E0B" w:rsidRPr="002364AB">
        <w:rPr>
          <w:kern w:val="22"/>
          <w:sz w:val="22"/>
          <w:lang w:val="en-GB"/>
        </w:rPr>
        <w:t xml:space="preserve"> </w:t>
      </w:r>
      <w:r w:rsidR="00B20EEA" w:rsidRPr="002364AB">
        <w:rPr>
          <w:kern w:val="22"/>
          <w:sz w:val="22"/>
          <w:lang w:val="en-GB"/>
        </w:rPr>
        <w:t xml:space="preserve"> </w:t>
      </w:r>
      <w:r w:rsidR="00AC7011" w:rsidRPr="002364AB">
        <w:rPr>
          <w:kern w:val="22"/>
          <w:sz w:val="22"/>
          <w:lang w:val="en-GB"/>
        </w:rPr>
        <w:t xml:space="preserve"> </w:t>
      </w:r>
    </w:p>
    <w:p w14:paraId="055DF13F" w14:textId="708A3500" w:rsidR="00BC07D8" w:rsidRPr="002364AB" w:rsidRDefault="00BC07D8" w:rsidP="00592915">
      <w:pPr>
        <w:rPr>
          <w:kern w:val="22"/>
          <w:sz w:val="22"/>
          <w:lang w:val="en-GB"/>
        </w:rPr>
      </w:pPr>
      <w:r w:rsidRPr="002364AB">
        <w:rPr>
          <w:kern w:val="22"/>
          <w:sz w:val="22"/>
          <w:lang w:val="en-GB"/>
        </w:rPr>
        <w:t xml:space="preserve">As noted earlier, </w:t>
      </w:r>
      <w:r w:rsidR="00DB47DB" w:rsidRPr="002364AB">
        <w:rPr>
          <w:kern w:val="22"/>
          <w:sz w:val="22"/>
          <w:lang w:val="en-GB"/>
        </w:rPr>
        <w:t xml:space="preserve">the Parties may conclude that </w:t>
      </w:r>
      <w:r w:rsidR="00DF271C" w:rsidRPr="002364AB">
        <w:rPr>
          <w:kern w:val="22"/>
          <w:sz w:val="22"/>
          <w:lang w:val="en-GB"/>
        </w:rPr>
        <w:t xml:space="preserve">the above examples are amenable to resolution under Article 10, some under Article 11, or that </w:t>
      </w:r>
      <w:r w:rsidR="004A6937" w:rsidRPr="002364AB">
        <w:rPr>
          <w:kern w:val="22"/>
          <w:sz w:val="22"/>
          <w:lang w:val="en-GB"/>
        </w:rPr>
        <w:t>one or more of the examples fall outside of the scope of the Convention and Protocol.</w:t>
      </w:r>
    </w:p>
    <w:p w14:paraId="600361E7" w14:textId="7F32AA64" w:rsidR="004B59B5" w:rsidRPr="002364AB" w:rsidRDefault="004B59B5" w:rsidP="004B59B5">
      <w:pPr>
        <w:pStyle w:val="Heading2"/>
        <w:rPr>
          <w:kern w:val="22"/>
          <w:sz w:val="22"/>
          <w:szCs w:val="22"/>
          <w:lang w:val="en-GB"/>
        </w:rPr>
      </w:pPr>
      <w:bookmarkStart w:id="115" w:name="_Toc33744285"/>
      <w:bookmarkStart w:id="116" w:name="_Toc31040291"/>
      <w:bookmarkStart w:id="117" w:name="_Toc31056859"/>
      <w:bookmarkStart w:id="118" w:name="_Toc31042119"/>
      <w:bookmarkStart w:id="119" w:name="_Toc34249586"/>
      <w:bookmarkStart w:id="120" w:name="_Toc39580428"/>
      <w:bookmarkStart w:id="121" w:name="_Toc43134979"/>
      <w:bookmarkEnd w:id="115"/>
      <w:r w:rsidRPr="002364AB">
        <w:rPr>
          <w:kern w:val="22"/>
          <w:sz w:val="22"/>
          <w:szCs w:val="22"/>
          <w:lang w:val="en-GB"/>
        </w:rPr>
        <w:t>Areas Beyond National Jurisdiction</w:t>
      </w:r>
      <w:bookmarkEnd w:id="116"/>
      <w:bookmarkEnd w:id="117"/>
      <w:bookmarkEnd w:id="118"/>
      <w:bookmarkEnd w:id="119"/>
      <w:bookmarkEnd w:id="120"/>
      <w:bookmarkEnd w:id="121"/>
    </w:p>
    <w:p w14:paraId="3C32491C" w14:textId="4EA29D8C" w:rsidR="00925041" w:rsidRPr="002364AB" w:rsidRDefault="004B59B5" w:rsidP="009E708F">
      <w:pPr>
        <w:rPr>
          <w:rFonts w:eastAsia="Times New Roman"/>
          <w:kern w:val="22"/>
          <w:sz w:val="22"/>
          <w:lang w:val="en-GB"/>
        </w:rPr>
      </w:pPr>
      <w:r w:rsidRPr="002364AB">
        <w:rPr>
          <w:kern w:val="22"/>
          <w:sz w:val="22"/>
          <w:lang w:val="en-GB"/>
        </w:rPr>
        <w:t xml:space="preserve">International law recognizes certain </w:t>
      </w:r>
      <w:r w:rsidR="00F154B8" w:rsidRPr="002364AB">
        <w:rPr>
          <w:kern w:val="22"/>
          <w:sz w:val="22"/>
          <w:lang w:val="en-GB"/>
        </w:rPr>
        <w:t>locations</w:t>
      </w:r>
      <w:r w:rsidRPr="002364AB">
        <w:rPr>
          <w:kern w:val="22"/>
          <w:sz w:val="22"/>
          <w:lang w:val="en-GB"/>
        </w:rPr>
        <w:t xml:space="preserve"> as </w:t>
      </w:r>
      <w:r w:rsidR="00977C30" w:rsidRPr="002364AB">
        <w:rPr>
          <w:kern w:val="22"/>
          <w:sz w:val="22"/>
          <w:lang w:val="en-GB"/>
        </w:rPr>
        <w:t xml:space="preserve">areas beyond national jurisdiction </w:t>
      </w:r>
      <w:r w:rsidRPr="002364AB">
        <w:rPr>
          <w:kern w:val="22"/>
          <w:sz w:val="22"/>
          <w:lang w:val="en-GB"/>
        </w:rPr>
        <w:t>where States cannot assert claims to sovereignty, such as the high seas</w:t>
      </w:r>
      <w:r w:rsidR="00D70B39" w:rsidRPr="002364AB">
        <w:rPr>
          <w:kern w:val="22"/>
          <w:sz w:val="22"/>
          <w:lang w:val="en-GB"/>
        </w:rPr>
        <w:t xml:space="preserve"> and the deep seabed (‘the Area’)</w:t>
      </w:r>
      <w:r w:rsidRPr="002364AB">
        <w:rPr>
          <w:kern w:val="22"/>
          <w:sz w:val="22"/>
          <w:lang w:val="en-GB"/>
        </w:rPr>
        <w:t xml:space="preserve">. </w:t>
      </w:r>
      <w:r w:rsidR="00A4175A" w:rsidRPr="002364AB">
        <w:rPr>
          <w:kern w:val="22"/>
          <w:sz w:val="22"/>
          <w:lang w:val="en-GB"/>
        </w:rPr>
        <w:t xml:space="preserve">In </w:t>
      </w:r>
      <w:r w:rsidR="00216EC3" w:rsidRPr="002364AB">
        <w:rPr>
          <w:kern w:val="22"/>
          <w:sz w:val="22"/>
          <w:lang w:val="en-GB"/>
        </w:rPr>
        <w:t xml:space="preserve">late </w:t>
      </w:r>
      <w:r w:rsidR="00A4175A" w:rsidRPr="002364AB">
        <w:rPr>
          <w:kern w:val="22"/>
          <w:sz w:val="22"/>
          <w:lang w:val="en-GB"/>
        </w:rPr>
        <w:t xml:space="preserve">2017, </w:t>
      </w:r>
      <w:r w:rsidR="00901B8E" w:rsidRPr="002364AB">
        <w:rPr>
          <w:rFonts w:eastAsia="Times New Roman"/>
          <w:kern w:val="22"/>
          <w:sz w:val="22"/>
          <w:lang w:val="en-GB"/>
        </w:rPr>
        <w:t>the U</w:t>
      </w:r>
      <w:r w:rsidR="00F0674D" w:rsidRPr="002364AB">
        <w:rPr>
          <w:rFonts w:eastAsia="Times New Roman"/>
          <w:kern w:val="22"/>
          <w:sz w:val="22"/>
          <w:lang w:val="en-GB"/>
        </w:rPr>
        <w:t xml:space="preserve">nited </w:t>
      </w:r>
      <w:r w:rsidR="00901B8E" w:rsidRPr="002364AB">
        <w:rPr>
          <w:rFonts w:eastAsia="Times New Roman"/>
          <w:kern w:val="22"/>
          <w:sz w:val="22"/>
          <w:lang w:val="en-GB"/>
        </w:rPr>
        <w:t>N</w:t>
      </w:r>
      <w:r w:rsidR="00F0674D" w:rsidRPr="002364AB">
        <w:rPr>
          <w:rFonts w:eastAsia="Times New Roman"/>
          <w:kern w:val="22"/>
          <w:sz w:val="22"/>
          <w:lang w:val="en-GB"/>
        </w:rPr>
        <w:t xml:space="preserve">ations </w:t>
      </w:r>
      <w:r w:rsidR="00901B8E" w:rsidRPr="002364AB">
        <w:rPr>
          <w:rFonts w:eastAsia="Times New Roman"/>
          <w:kern w:val="22"/>
          <w:sz w:val="22"/>
          <w:lang w:val="en-GB"/>
        </w:rPr>
        <w:t>G</w:t>
      </w:r>
      <w:r w:rsidR="00F0674D" w:rsidRPr="002364AB">
        <w:rPr>
          <w:rFonts w:eastAsia="Times New Roman"/>
          <w:kern w:val="22"/>
          <w:sz w:val="22"/>
          <w:lang w:val="en-GB"/>
        </w:rPr>
        <w:t xml:space="preserve">eneral </w:t>
      </w:r>
      <w:r w:rsidR="00901B8E" w:rsidRPr="002364AB">
        <w:rPr>
          <w:rFonts w:eastAsia="Times New Roman"/>
          <w:kern w:val="22"/>
          <w:sz w:val="22"/>
          <w:lang w:val="en-GB"/>
        </w:rPr>
        <w:t>A</w:t>
      </w:r>
      <w:r w:rsidR="00F0674D" w:rsidRPr="002364AB">
        <w:rPr>
          <w:rFonts w:eastAsia="Times New Roman"/>
          <w:kern w:val="22"/>
          <w:sz w:val="22"/>
          <w:lang w:val="en-GB"/>
        </w:rPr>
        <w:t>ssembly</w:t>
      </w:r>
      <w:r w:rsidR="00901B8E" w:rsidRPr="002364AB">
        <w:rPr>
          <w:rFonts w:eastAsia="Times New Roman"/>
          <w:kern w:val="22"/>
          <w:sz w:val="22"/>
          <w:lang w:val="en-GB"/>
        </w:rPr>
        <w:t xml:space="preserve"> adopted Resolution </w:t>
      </w:r>
      <w:r w:rsidR="00216EC3" w:rsidRPr="002364AB">
        <w:rPr>
          <w:rFonts w:eastAsia="Times New Roman"/>
          <w:kern w:val="22"/>
          <w:sz w:val="22"/>
          <w:lang w:val="en-GB"/>
        </w:rPr>
        <w:t>72/249</w:t>
      </w:r>
      <w:r w:rsidR="001E1E6F" w:rsidRPr="002364AB">
        <w:rPr>
          <w:rFonts w:eastAsia="Times New Roman"/>
          <w:kern w:val="22"/>
          <w:sz w:val="22"/>
          <w:lang w:val="en-GB"/>
        </w:rPr>
        <w:t xml:space="preserve"> to </w:t>
      </w:r>
      <w:r w:rsidR="00AE0803" w:rsidRPr="002364AB">
        <w:rPr>
          <w:rFonts w:eastAsia="Times New Roman"/>
          <w:kern w:val="22"/>
          <w:sz w:val="22"/>
          <w:lang w:val="en-GB"/>
        </w:rPr>
        <w:t xml:space="preserve">initiate </w:t>
      </w:r>
      <w:r w:rsidRPr="002364AB">
        <w:rPr>
          <w:rFonts w:eastAsia="Times New Roman"/>
          <w:kern w:val="22"/>
          <w:sz w:val="22"/>
          <w:lang w:val="en-GB"/>
        </w:rPr>
        <w:t>negotiations on a legally binding international instrument on marine biodiversity of areas beyond national jurisdiction</w:t>
      </w:r>
      <w:r w:rsidR="00A56803" w:rsidRPr="002364AB">
        <w:rPr>
          <w:rFonts w:eastAsia="Times New Roman"/>
          <w:kern w:val="22"/>
          <w:sz w:val="22"/>
          <w:lang w:val="en-GB"/>
        </w:rPr>
        <w:t xml:space="preserve"> (BBNJ)</w:t>
      </w:r>
      <w:r w:rsidR="00AE0803" w:rsidRPr="002364AB">
        <w:rPr>
          <w:rFonts w:eastAsia="Times New Roman"/>
          <w:kern w:val="22"/>
          <w:sz w:val="22"/>
          <w:lang w:val="en-GB"/>
        </w:rPr>
        <w:t xml:space="preserve"> under the aegis of the United Nations Convention on the Law of the Sea (UNCLOS</w:t>
      </w:r>
      <w:r w:rsidR="00A56803" w:rsidRPr="002364AB">
        <w:rPr>
          <w:rFonts w:eastAsia="Times New Roman"/>
          <w:kern w:val="22"/>
          <w:sz w:val="22"/>
          <w:lang w:val="en-GB"/>
        </w:rPr>
        <w:t>)</w:t>
      </w:r>
      <w:r w:rsidRPr="002364AB">
        <w:rPr>
          <w:rFonts w:eastAsia="Times New Roman"/>
          <w:kern w:val="22"/>
          <w:sz w:val="22"/>
          <w:lang w:val="en-GB"/>
        </w:rPr>
        <w:t>.</w:t>
      </w:r>
      <w:r w:rsidRPr="002364AB">
        <w:rPr>
          <w:rStyle w:val="FootnoteReference"/>
          <w:rFonts w:eastAsia="Times New Roman"/>
          <w:kern w:val="22"/>
          <w:sz w:val="22"/>
          <w:lang w:val="en-GB"/>
        </w:rPr>
        <w:footnoteReference w:id="71"/>
      </w:r>
    </w:p>
    <w:p w14:paraId="6166E684" w14:textId="75673BAA" w:rsidR="00A448B0" w:rsidRPr="002364AB" w:rsidRDefault="004B59B5" w:rsidP="00A448B0">
      <w:pPr>
        <w:rPr>
          <w:kern w:val="22"/>
          <w:sz w:val="22"/>
          <w:lang w:val="en-GB"/>
        </w:rPr>
      </w:pPr>
      <w:r w:rsidRPr="002364AB">
        <w:rPr>
          <w:rFonts w:eastAsia="Times New Roman"/>
          <w:kern w:val="22"/>
          <w:sz w:val="22"/>
          <w:lang w:val="en-GB"/>
        </w:rPr>
        <w:t xml:space="preserve">Delegates at the third session of the Intergovernmental Conference on the Conservation and Sustainable Use of Marine Biodiversity of Areas Beyond National Jurisdiction </w:t>
      </w:r>
      <w:r w:rsidR="00D678BC" w:rsidRPr="002364AB">
        <w:rPr>
          <w:rFonts w:eastAsia="Times New Roman"/>
          <w:kern w:val="22"/>
          <w:sz w:val="22"/>
          <w:lang w:val="en-GB"/>
        </w:rPr>
        <w:t>e</w:t>
      </w:r>
      <w:r w:rsidR="000B76D3" w:rsidRPr="002364AB">
        <w:rPr>
          <w:rFonts w:eastAsia="Times New Roman"/>
          <w:kern w:val="22"/>
          <w:sz w:val="22"/>
          <w:lang w:val="en-GB"/>
        </w:rPr>
        <w:t>ngaged, for the first time, i</w:t>
      </w:r>
      <w:r w:rsidR="00D678BC" w:rsidRPr="002364AB">
        <w:rPr>
          <w:rFonts w:eastAsia="Times New Roman"/>
          <w:kern w:val="22"/>
          <w:sz w:val="22"/>
          <w:lang w:val="en-GB"/>
        </w:rPr>
        <w:t xml:space="preserve">n </w:t>
      </w:r>
      <w:r w:rsidRPr="002364AB">
        <w:rPr>
          <w:rFonts w:eastAsia="Times New Roman"/>
          <w:kern w:val="22"/>
          <w:sz w:val="22"/>
          <w:lang w:val="en-GB"/>
        </w:rPr>
        <w:t xml:space="preserve">textual negotiations </w:t>
      </w:r>
      <w:proofErr w:type="gramStart"/>
      <w:r w:rsidRPr="002364AB">
        <w:rPr>
          <w:rFonts w:eastAsia="Times New Roman"/>
          <w:kern w:val="22"/>
          <w:sz w:val="22"/>
          <w:lang w:val="en-GB"/>
        </w:rPr>
        <w:t>on the basis of</w:t>
      </w:r>
      <w:proofErr w:type="gramEnd"/>
      <w:r w:rsidRPr="002364AB">
        <w:rPr>
          <w:rFonts w:eastAsia="Times New Roman"/>
          <w:kern w:val="22"/>
          <w:sz w:val="22"/>
          <w:lang w:val="en-GB"/>
        </w:rPr>
        <w:t xml:space="preserve"> a “zero draft”. The document’s structure addressed general provisions and cross-cutting issues, as well as the four elements identified </w:t>
      </w:r>
      <w:r w:rsidR="0055794C" w:rsidRPr="002364AB">
        <w:rPr>
          <w:rFonts w:eastAsia="Times New Roman"/>
          <w:kern w:val="22"/>
          <w:sz w:val="22"/>
          <w:lang w:val="en-GB"/>
        </w:rPr>
        <w:t xml:space="preserve">in the package </w:t>
      </w:r>
      <w:r w:rsidR="008218C1" w:rsidRPr="002364AB">
        <w:rPr>
          <w:rFonts w:eastAsia="Times New Roman"/>
          <w:kern w:val="22"/>
          <w:sz w:val="22"/>
          <w:lang w:val="en-GB"/>
        </w:rPr>
        <w:t xml:space="preserve">agreed </w:t>
      </w:r>
      <w:r w:rsidRPr="002364AB">
        <w:rPr>
          <w:rFonts w:eastAsia="Times New Roman"/>
          <w:kern w:val="22"/>
          <w:sz w:val="22"/>
          <w:lang w:val="en-GB"/>
        </w:rPr>
        <w:t>in 2011</w:t>
      </w:r>
      <w:r w:rsidR="00F506A9" w:rsidRPr="002364AB">
        <w:rPr>
          <w:rFonts w:eastAsia="Times New Roman"/>
          <w:kern w:val="22"/>
          <w:sz w:val="22"/>
          <w:lang w:val="en-GB"/>
        </w:rPr>
        <w:t xml:space="preserve">. One </w:t>
      </w:r>
      <w:r w:rsidR="00FB7B70" w:rsidRPr="002364AB">
        <w:rPr>
          <w:rFonts w:eastAsia="Times New Roman"/>
          <w:kern w:val="22"/>
          <w:sz w:val="22"/>
          <w:lang w:val="en-GB"/>
        </w:rPr>
        <w:t xml:space="preserve">of these </w:t>
      </w:r>
      <w:r w:rsidR="00F506A9" w:rsidRPr="002364AB">
        <w:rPr>
          <w:rFonts w:eastAsia="Times New Roman"/>
          <w:kern w:val="22"/>
          <w:sz w:val="22"/>
          <w:lang w:val="en-GB"/>
        </w:rPr>
        <w:t>element</w:t>
      </w:r>
      <w:r w:rsidR="00FB7B70" w:rsidRPr="002364AB">
        <w:rPr>
          <w:rFonts w:eastAsia="Times New Roman"/>
          <w:kern w:val="22"/>
          <w:sz w:val="22"/>
          <w:lang w:val="en-GB"/>
        </w:rPr>
        <w:t>s</w:t>
      </w:r>
      <w:r w:rsidR="00F506A9" w:rsidRPr="002364AB">
        <w:rPr>
          <w:rFonts w:eastAsia="Times New Roman"/>
          <w:kern w:val="22"/>
          <w:sz w:val="22"/>
          <w:lang w:val="en-GB"/>
        </w:rPr>
        <w:t xml:space="preserve"> </w:t>
      </w:r>
      <w:r w:rsidR="00FB7B70" w:rsidRPr="002364AB">
        <w:rPr>
          <w:rFonts w:eastAsia="Times New Roman"/>
          <w:kern w:val="22"/>
          <w:sz w:val="22"/>
          <w:lang w:val="en-GB"/>
        </w:rPr>
        <w:t>i</w:t>
      </w:r>
      <w:r w:rsidR="00F506A9" w:rsidRPr="002364AB">
        <w:rPr>
          <w:rFonts w:eastAsia="Times New Roman"/>
          <w:kern w:val="22"/>
          <w:sz w:val="22"/>
          <w:lang w:val="en-GB"/>
        </w:rPr>
        <w:t xml:space="preserve">s the subject of </w:t>
      </w:r>
      <w:r w:rsidRPr="002364AB">
        <w:rPr>
          <w:rFonts w:eastAsia="Times New Roman"/>
          <w:kern w:val="22"/>
          <w:sz w:val="22"/>
          <w:lang w:val="en-GB"/>
        </w:rPr>
        <w:t>marine genetic resources, including questions on the sharing of benefits</w:t>
      </w:r>
      <w:r w:rsidR="00F506A9" w:rsidRPr="002364AB">
        <w:rPr>
          <w:rFonts w:eastAsia="Times New Roman"/>
          <w:kern w:val="22"/>
          <w:sz w:val="22"/>
          <w:lang w:val="en-GB"/>
        </w:rPr>
        <w:t>.</w:t>
      </w:r>
      <w:r w:rsidRPr="002364AB">
        <w:rPr>
          <w:rFonts w:eastAsia="Times New Roman"/>
          <w:kern w:val="22"/>
          <w:sz w:val="22"/>
          <w:lang w:val="en-GB"/>
        </w:rPr>
        <w:t xml:space="preserve"> The fourth session of the Intergovernmental Conference will consider a revised draft text of an agreement which includes a section on </w:t>
      </w:r>
      <w:r w:rsidR="00D27A95" w:rsidRPr="002364AB">
        <w:rPr>
          <w:rFonts w:eastAsia="Times New Roman"/>
          <w:kern w:val="22"/>
          <w:sz w:val="22"/>
          <w:lang w:val="en-GB"/>
        </w:rPr>
        <w:t>marine genetic resources</w:t>
      </w:r>
      <w:r w:rsidRPr="002364AB">
        <w:rPr>
          <w:rFonts w:eastAsia="Times New Roman"/>
          <w:kern w:val="22"/>
          <w:sz w:val="22"/>
          <w:lang w:val="en-GB"/>
        </w:rPr>
        <w:t xml:space="preserve"> and benefit-sharing.</w:t>
      </w:r>
      <w:r w:rsidRPr="002364AB">
        <w:rPr>
          <w:rStyle w:val="FootnoteReference"/>
          <w:kern w:val="22"/>
          <w:sz w:val="22"/>
          <w:lang w:val="en-GB"/>
        </w:rPr>
        <w:footnoteReference w:id="72"/>
      </w:r>
      <w:r w:rsidR="00486E87" w:rsidRPr="002364AB">
        <w:rPr>
          <w:rFonts w:eastAsia="Times New Roman"/>
          <w:kern w:val="22"/>
          <w:sz w:val="22"/>
          <w:lang w:val="en-GB"/>
        </w:rPr>
        <w:t xml:space="preserve"> </w:t>
      </w:r>
    </w:p>
    <w:p w14:paraId="3B5C9816" w14:textId="1F75FD23" w:rsidR="00947660" w:rsidRPr="002364AB" w:rsidRDefault="00A448B0" w:rsidP="001D0E49">
      <w:pPr>
        <w:rPr>
          <w:kern w:val="22"/>
          <w:sz w:val="22"/>
          <w:lang w:val="en-GB"/>
        </w:rPr>
      </w:pPr>
      <w:r w:rsidRPr="002364AB">
        <w:rPr>
          <w:kern w:val="22"/>
          <w:sz w:val="22"/>
          <w:lang w:val="en-GB"/>
        </w:rPr>
        <w:t xml:space="preserve">There are at least two </w:t>
      </w:r>
      <w:r w:rsidR="00946B56" w:rsidRPr="002364AB">
        <w:rPr>
          <w:kern w:val="22"/>
          <w:sz w:val="22"/>
          <w:lang w:val="en-GB"/>
        </w:rPr>
        <w:t>transboundary</w:t>
      </w:r>
      <w:r w:rsidRPr="002364AB">
        <w:rPr>
          <w:kern w:val="22"/>
          <w:sz w:val="22"/>
          <w:lang w:val="en-GB"/>
        </w:rPr>
        <w:t xml:space="preserve"> issues at play in the relationship between the Nagoya Protocol and the prospective instrument on BBNJ. The first pertains to ‘straddling’ genetic resources, which may traverse, or exist on both sides of, the boundary between a State’s EEZ and the </w:t>
      </w:r>
      <w:proofErr w:type="spellStart"/>
      <w:r w:rsidR="00EC454B" w:rsidRPr="002364AB">
        <w:rPr>
          <w:kern w:val="22"/>
          <w:sz w:val="22"/>
          <w:lang w:val="en-GB"/>
        </w:rPr>
        <w:t>H</w:t>
      </w:r>
      <w:r w:rsidRPr="002364AB">
        <w:rPr>
          <w:kern w:val="22"/>
          <w:sz w:val="22"/>
          <w:lang w:val="en-GB"/>
        </w:rPr>
        <w:t>gh</w:t>
      </w:r>
      <w:proofErr w:type="spellEnd"/>
      <w:r w:rsidRPr="002364AB">
        <w:rPr>
          <w:kern w:val="22"/>
          <w:sz w:val="22"/>
          <w:lang w:val="en-GB"/>
        </w:rPr>
        <w:t xml:space="preserve"> </w:t>
      </w:r>
      <w:r w:rsidR="00EC454B" w:rsidRPr="002364AB">
        <w:rPr>
          <w:kern w:val="22"/>
          <w:sz w:val="22"/>
          <w:lang w:val="en-GB"/>
        </w:rPr>
        <w:t>S</w:t>
      </w:r>
      <w:r w:rsidRPr="002364AB">
        <w:rPr>
          <w:kern w:val="22"/>
          <w:sz w:val="22"/>
          <w:lang w:val="en-GB"/>
        </w:rPr>
        <w:t>eas</w:t>
      </w:r>
      <w:r w:rsidR="00EC454B" w:rsidRPr="002364AB">
        <w:rPr>
          <w:kern w:val="22"/>
          <w:sz w:val="22"/>
          <w:lang w:val="en-GB"/>
        </w:rPr>
        <w:t xml:space="preserve"> and the deep seabed (“the Area”)</w:t>
      </w:r>
      <w:r w:rsidRPr="002364AB">
        <w:rPr>
          <w:kern w:val="22"/>
          <w:sz w:val="22"/>
          <w:lang w:val="en-GB"/>
        </w:rPr>
        <w:t xml:space="preserve">. The second pertains to marine areas situated over the extended continental shelf of a coastal State. In </w:t>
      </w:r>
      <w:proofErr w:type="gramStart"/>
      <w:r w:rsidRPr="002364AB">
        <w:rPr>
          <w:kern w:val="22"/>
          <w:sz w:val="22"/>
          <w:lang w:val="en-GB"/>
        </w:rPr>
        <w:t>both of these</w:t>
      </w:r>
      <w:proofErr w:type="gramEnd"/>
      <w:r w:rsidRPr="002364AB">
        <w:rPr>
          <w:kern w:val="22"/>
          <w:sz w:val="22"/>
          <w:lang w:val="en-GB"/>
        </w:rPr>
        <w:t xml:space="preserve"> cases, it could be that the same genetic resource can be found both within nat</w:t>
      </w:r>
      <w:r w:rsidR="00221D84" w:rsidRPr="002364AB">
        <w:rPr>
          <w:kern w:val="22"/>
          <w:sz w:val="22"/>
          <w:lang w:val="en-GB"/>
        </w:rPr>
        <w:t>ional</w:t>
      </w:r>
      <w:r w:rsidRPr="002364AB">
        <w:rPr>
          <w:kern w:val="22"/>
          <w:sz w:val="22"/>
          <w:lang w:val="en-GB"/>
        </w:rPr>
        <w:t xml:space="preserve"> jurisdiction, and in areas beyond national jurisdiction. If the prospective instrument on BBNJ ultimately addresses the genetic resources of high seas waters, these genetic resources would potentially fall under two different regimes.</w:t>
      </w:r>
      <w:r w:rsidRPr="002364AB">
        <w:rPr>
          <w:rStyle w:val="FootnoteReference"/>
          <w:rFonts w:eastAsia="Times New Roman"/>
          <w:kern w:val="22"/>
          <w:sz w:val="22"/>
          <w:lang w:val="en-GB"/>
        </w:rPr>
        <w:footnoteReference w:id="73"/>
      </w:r>
      <w:bookmarkStart w:id="122" w:name="_Toc41571885"/>
      <w:bookmarkStart w:id="123" w:name="_Toc41571962"/>
      <w:bookmarkEnd w:id="122"/>
      <w:bookmarkEnd w:id="123"/>
      <w:r w:rsidR="009D7229" w:rsidRPr="002364AB">
        <w:rPr>
          <w:kern w:val="22"/>
          <w:sz w:val="22"/>
          <w:lang w:val="en-GB"/>
        </w:rPr>
        <w:t xml:space="preserve"> </w:t>
      </w:r>
      <w:r w:rsidR="001D77C9" w:rsidRPr="002364AB">
        <w:rPr>
          <w:kern w:val="22"/>
          <w:sz w:val="22"/>
          <w:lang w:val="en-GB"/>
        </w:rPr>
        <w:t xml:space="preserve">Article 11 would </w:t>
      </w:r>
      <w:r w:rsidR="009D7229" w:rsidRPr="002364AB">
        <w:rPr>
          <w:kern w:val="22"/>
          <w:sz w:val="22"/>
          <w:lang w:val="en-GB"/>
        </w:rPr>
        <w:t xml:space="preserve">not be </w:t>
      </w:r>
      <w:r w:rsidR="001D77C9" w:rsidRPr="002364AB">
        <w:rPr>
          <w:kern w:val="22"/>
          <w:sz w:val="22"/>
          <w:lang w:val="en-GB"/>
        </w:rPr>
        <w:t>applicable</w:t>
      </w:r>
      <w:r w:rsidR="009D7229" w:rsidRPr="002364AB">
        <w:rPr>
          <w:kern w:val="22"/>
          <w:sz w:val="22"/>
          <w:lang w:val="en-GB"/>
        </w:rPr>
        <w:t>, as</w:t>
      </w:r>
      <w:r w:rsidR="001D77C9" w:rsidRPr="002364AB">
        <w:rPr>
          <w:kern w:val="22"/>
          <w:sz w:val="22"/>
          <w:lang w:val="en-GB"/>
        </w:rPr>
        <w:t xml:space="preserve"> it only calls for transboundary cooperation in cases where </w:t>
      </w:r>
      <w:r w:rsidR="008877FF" w:rsidRPr="002364AB">
        <w:rPr>
          <w:kern w:val="22"/>
          <w:sz w:val="22"/>
          <w:lang w:val="en-GB"/>
        </w:rPr>
        <w:t>the same genetic resources are found in situ within the territory of more than one Party.</w:t>
      </w:r>
      <w:r w:rsidR="00D0265F" w:rsidRPr="002364AB">
        <w:rPr>
          <w:kern w:val="22"/>
          <w:sz w:val="22"/>
          <w:lang w:val="en-GB"/>
        </w:rPr>
        <w:t xml:space="preserve"> </w:t>
      </w:r>
      <w:r w:rsidR="00D0265F" w:rsidRPr="002364AB">
        <w:rPr>
          <w:rFonts w:eastAsia="Times New Roman"/>
          <w:kern w:val="22"/>
          <w:sz w:val="22"/>
          <w:lang w:val="en-GB"/>
        </w:rPr>
        <w:t>Some States have proposed language that would address the questions raised in the above paragraph, but the text is not agreed.</w:t>
      </w:r>
      <w:r w:rsidR="00D0265F" w:rsidRPr="002364AB">
        <w:rPr>
          <w:rStyle w:val="FootnoteReference"/>
          <w:rFonts w:eastAsia="Times New Roman"/>
          <w:kern w:val="22"/>
          <w:sz w:val="22"/>
          <w:lang w:val="en-GB"/>
        </w:rPr>
        <w:footnoteReference w:id="74"/>
      </w:r>
    </w:p>
    <w:p w14:paraId="2A4F5D58" w14:textId="77777777" w:rsidR="00F92EB6" w:rsidRPr="002364AB" w:rsidRDefault="00F92EB6" w:rsidP="00F43F79">
      <w:pPr>
        <w:pStyle w:val="Heading1"/>
        <w:numPr>
          <w:ilvl w:val="0"/>
          <w:numId w:val="28"/>
        </w:numPr>
        <w:spacing w:before="240"/>
        <w:ind w:left="357" w:right="431" w:hanging="357"/>
        <w:rPr>
          <w:kern w:val="22"/>
          <w:sz w:val="22"/>
          <w:szCs w:val="22"/>
          <w:lang w:val="en-GB"/>
        </w:rPr>
      </w:pPr>
      <w:bookmarkStart w:id="124" w:name="_Toc41551375"/>
      <w:bookmarkStart w:id="125" w:name="_Toc41551448"/>
      <w:bookmarkStart w:id="126" w:name="_Toc41571303"/>
      <w:bookmarkStart w:id="127" w:name="_Toc41571332"/>
      <w:bookmarkStart w:id="128" w:name="_Toc41571361"/>
      <w:bookmarkStart w:id="129" w:name="_Toc41571390"/>
      <w:bookmarkStart w:id="130" w:name="_Toc41571425"/>
      <w:bookmarkStart w:id="131" w:name="_Toc41571454"/>
      <w:bookmarkStart w:id="132" w:name="_Toc41571483"/>
      <w:bookmarkStart w:id="133" w:name="_Toc41571512"/>
      <w:bookmarkStart w:id="134" w:name="_Toc41571541"/>
      <w:bookmarkStart w:id="135" w:name="_Toc41571570"/>
      <w:bookmarkStart w:id="136" w:name="_Toc41571599"/>
      <w:bookmarkStart w:id="137" w:name="_Toc41571670"/>
      <w:bookmarkStart w:id="138" w:name="_Toc41571887"/>
      <w:bookmarkStart w:id="139" w:name="_Toc41571964"/>
      <w:bookmarkStart w:id="140" w:name="_Toc42261091"/>
      <w:bookmarkStart w:id="141" w:name="_Toc34249587"/>
      <w:bookmarkStart w:id="142" w:name="_Toc39580430"/>
      <w:bookmarkStart w:id="143" w:name="_Toc431349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2364AB">
        <w:rPr>
          <w:kern w:val="22"/>
          <w:sz w:val="22"/>
          <w:szCs w:val="22"/>
          <w:lang w:val="en-GB"/>
        </w:rPr>
        <w:t>Specific Cases of Genetic Resources For Which It Is Not Possible To Grant or Obtain PIC</w:t>
      </w:r>
      <w:bookmarkEnd w:id="141"/>
      <w:bookmarkEnd w:id="142"/>
      <w:bookmarkEnd w:id="143"/>
      <w:r w:rsidRPr="002364AB">
        <w:rPr>
          <w:kern w:val="22"/>
          <w:sz w:val="22"/>
          <w:szCs w:val="22"/>
          <w:lang w:val="en-GB"/>
        </w:rPr>
        <w:t xml:space="preserve"> </w:t>
      </w:r>
    </w:p>
    <w:p w14:paraId="5D56B572" w14:textId="22781711" w:rsidR="005A25F0" w:rsidRPr="002364AB" w:rsidRDefault="14AC87FF" w:rsidP="006568BD">
      <w:pPr>
        <w:rPr>
          <w:kern w:val="22"/>
          <w:sz w:val="22"/>
          <w:lang w:val="en-GB"/>
        </w:rPr>
      </w:pPr>
      <w:r w:rsidRPr="002364AB">
        <w:rPr>
          <w:kern w:val="22"/>
          <w:sz w:val="22"/>
          <w:lang w:val="en-GB"/>
        </w:rPr>
        <w:t xml:space="preserve">Genetic resources of untraceable </w:t>
      </w:r>
      <w:r w:rsidR="008B55E0" w:rsidRPr="002364AB">
        <w:rPr>
          <w:kern w:val="22"/>
          <w:sz w:val="22"/>
          <w:lang w:val="en-GB"/>
        </w:rPr>
        <w:t>provenance</w:t>
      </w:r>
      <w:r w:rsidRPr="002364AB">
        <w:rPr>
          <w:kern w:val="22"/>
          <w:sz w:val="22"/>
          <w:lang w:val="en-GB"/>
        </w:rPr>
        <w:t xml:space="preserve"> in </w:t>
      </w:r>
      <w:r w:rsidRPr="002364AB">
        <w:rPr>
          <w:i/>
          <w:iCs/>
          <w:kern w:val="22"/>
          <w:sz w:val="22"/>
          <w:lang w:val="en-GB"/>
        </w:rPr>
        <w:t>ex situ</w:t>
      </w:r>
      <w:r w:rsidRPr="002364AB">
        <w:rPr>
          <w:kern w:val="22"/>
          <w:sz w:val="22"/>
          <w:lang w:val="en-GB"/>
        </w:rPr>
        <w:t xml:space="preserve"> collections</w:t>
      </w:r>
      <w:r w:rsidR="005D0704" w:rsidRPr="002364AB">
        <w:rPr>
          <w:kern w:val="22"/>
          <w:sz w:val="22"/>
          <w:lang w:val="en-GB"/>
        </w:rPr>
        <w:t>,</w:t>
      </w:r>
      <w:r w:rsidRPr="002364AB">
        <w:rPr>
          <w:kern w:val="22"/>
          <w:sz w:val="22"/>
          <w:lang w:val="en-GB"/>
        </w:rPr>
        <w:t xml:space="preserve"> the </w:t>
      </w:r>
      <w:r w:rsidR="00926566" w:rsidRPr="002364AB">
        <w:rPr>
          <w:kern w:val="22"/>
          <w:sz w:val="22"/>
          <w:lang w:val="en-GB"/>
        </w:rPr>
        <w:t>utilization and screening of geographically diverse samples sourced from different regions and countries</w:t>
      </w:r>
      <w:r w:rsidRPr="002364AB">
        <w:rPr>
          <w:kern w:val="22"/>
          <w:sz w:val="22"/>
          <w:lang w:val="en-GB"/>
        </w:rPr>
        <w:t xml:space="preserve">, and </w:t>
      </w:r>
      <w:r w:rsidR="00FE73C2" w:rsidRPr="002364AB">
        <w:rPr>
          <w:kern w:val="22"/>
          <w:sz w:val="22"/>
          <w:lang w:val="en-GB"/>
        </w:rPr>
        <w:t>DSI</w:t>
      </w:r>
      <w:r w:rsidRPr="002364AB">
        <w:rPr>
          <w:kern w:val="22"/>
          <w:sz w:val="22"/>
          <w:lang w:val="en-GB"/>
        </w:rPr>
        <w:t xml:space="preserve">, are all </w:t>
      </w:r>
      <w:r w:rsidR="002E1F6D" w:rsidRPr="002364AB">
        <w:rPr>
          <w:kern w:val="22"/>
          <w:sz w:val="22"/>
          <w:lang w:val="en-GB"/>
        </w:rPr>
        <w:t xml:space="preserve">situations </w:t>
      </w:r>
      <w:r w:rsidR="00FE73C2" w:rsidRPr="002364AB">
        <w:rPr>
          <w:kern w:val="22"/>
          <w:sz w:val="22"/>
          <w:lang w:val="en-GB"/>
        </w:rPr>
        <w:t xml:space="preserve">that can be considered to </w:t>
      </w:r>
      <w:r w:rsidRPr="002364AB">
        <w:rPr>
          <w:kern w:val="22"/>
          <w:sz w:val="22"/>
          <w:lang w:val="en-GB"/>
        </w:rPr>
        <w:t>involv</w:t>
      </w:r>
      <w:r w:rsidR="00FE73C2" w:rsidRPr="002364AB">
        <w:rPr>
          <w:kern w:val="22"/>
          <w:sz w:val="22"/>
          <w:lang w:val="en-GB"/>
        </w:rPr>
        <w:t>e</w:t>
      </w:r>
      <w:r w:rsidRPr="002364AB">
        <w:rPr>
          <w:kern w:val="22"/>
          <w:sz w:val="22"/>
          <w:lang w:val="en-GB"/>
        </w:rPr>
        <w:t xml:space="preserve"> genetic resources for which it </w:t>
      </w:r>
      <w:r w:rsidR="003A65C2" w:rsidRPr="002364AB">
        <w:rPr>
          <w:kern w:val="22"/>
          <w:sz w:val="22"/>
          <w:lang w:val="en-GB"/>
        </w:rPr>
        <w:t>may not</w:t>
      </w:r>
      <w:r w:rsidRPr="002364AB">
        <w:rPr>
          <w:kern w:val="22"/>
          <w:sz w:val="22"/>
          <w:lang w:val="en-GB"/>
        </w:rPr>
        <w:t xml:space="preserve"> be possible to grant or obtain PIC. These cases also implicate other </w:t>
      </w:r>
      <w:r w:rsidR="005F3358" w:rsidRPr="002364AB">
        <w:rPr>
          <w:kern w:val="22"/>
          <w:sz w:val="22"/>
          <w:lang w:val="en-GB"/>
        </w:rPr>
        <w:t>aspects of</w:t>
      </w:r>
      <w:r w:rsidRPr="002364AB">
        <w:rPr>
          <w:kern w:val="22"/>
          <w:sz w:val="22"/>
          <w:lang w:val="en-GB"/>
        </w:rPr>
        <w:t xml:space="preserve"> the Protocol that </w:t>
      </w:r>
      <w:r w:rsidR="005F3358" w:rsidRPr="002364AB">
        <w:rPr>
          <w:kern w:val="22"/>
          <w:sz w:val="22"/>
          <w:lang w:val="en-GB"/>
        </w:rPr>
        <w:t xml:space="preserve">are not </w:t>
      </w:r>
      <w:r w:rsidRPr="002364AB">
        <w:rPr>
          <w:kern w:val="22"/>
          <w:sz w:val="22"/>
          <w:lang w:val="en-GB"/>
        </w:rPr>
        <w:t>definitively address</w:t>
      </w:r>
      <w:r w:rsidR="005F3358" w:rsidRPr="002364AB">
        <w:rPr>
          <w:kern w:val="22"/>
          <w:sz w:val="22"/>
          <w:lang w:val="en-GB"/>
        </w:rPr>
        <w:t>ed</w:t>
      </w:r>
      <w:r w:rsidRPr="002364AB">
        <w:rPr>
          <w:kern w:val="22"/>
          <w:sz w:val="22"/>
          <w:lang w:val="en-GB"/>
        </w:rPr>
        <w:t xml:space="preserve"> </w:t>
      </w:r>
      <w:r w:rsidR="0010709D" w:rsidRPr="002364AB">
        <w:rPr>
          <w:kern w:val="22"/>
          <w:sz w:val="22"/>
          <w:lang w:val="en-GB"/>
        </w:rPr>
        <w:t xml:space="preserve">– </w:t>
      </w:r>
      <w:r w:rsidRPr="002364AB" w:rsidDel="0010709D">
        <w:rPr>
          <w:kern w:val="22"/>
          <w:sz w:val="22"/>
          <w:lang w:val="en-GB"/>
        </w:rPr>
        <w:t>i</w:t>
      </w:r>
      <w:r w:rsidRPr="002364AB">
        <w:rPr>
          <w:kern w:val="22"/>
          <w:sz w:val="22"/>
          <w:lang w:val="en-GB"/>
        </w:rPr>
        <w:t>n particular, the parameters of temporal and subject matter scope</w:t>
      </w:r>
      <w:r w:rsidR="00DD020C" w:rsidRPr="002364AB">
        <w:rPr>
          <w:kern w:val="22"/>
          <w:sz w:val="22"/>
          <w:lang w:val="en-GB"/>
        </w:rPr>
        <w:t>,</w:t>
      </w:r>
      <w:r w:rsidRPr="002364AB">
        <w:rPr>
          <w:kern w:val="22"/>
          <w:sz w:val="22"/>
          <w:lang w:val="en-GB"/>
        </w:rPr>
        <w:t xml:space="preserve"> and what it means to access a genetic resource. </w:t>
      </w:r>
    </w:p>
    <w:p w14:paraId="00365A9D" w14:textId="0EAFF8D9" w:rsidR="00100087" w:rsidRPr="002364AB" w:rsidRDefault="00100087" w:rsidP="00100087">
      <w:pPr>
        <w:pStyle w:val="Heading2"/>
        <w:numPr>
          <w:ilvl w:val="1"/>
          <w:numId w:val="31"/>
        </w:numPr>
        <w:rPr>
          <w:kern w:val="22"/>
          <w:sz w:val="22"/>
          <w:szCs w:val="22"/>
          <w:lang w:val="en-GB"/>
        </w:rPr>
      </w:pPr>
      <w:bookmarkStart w:id="144" w:name="_Toc43134981"/>
      <w:r w:rsidRPr="002364AB">
        <w:rPr>
          <w:kern w:val="22"/>
          <w:sz w:val="22"/>
          <w:szCs w:val="22"/>
          <w:lang w:val="en-GB"/>
        </w:rPr>
        <w:t xml:space="preserve">Genetic Resources of Untraceable </w:t>
      </w:r>
      <w:r w:rsidR="008B55E0" w:rsidRPr="002364AB">
        <w:rPr>
          <w:kern w:val="22"/>
          <w:sz w:val="22"/>
          <w:szCs w:val="22"/>
          <w:lang w:val="en-GB"/>
        </w:rPr>
        <w:t>Provenance</w:t>
      </w:r>
      <w:r w:rsidRPr="002364AB">
        <w:rPr>
          <w:kern w:val="22"/>
          <w:sz w:val="22"/>
          <w:szCs w:val="22"/>
          <w:lang w:val="en-GB"/>
        </w:rPr>
        <w:t xml:space="preserve"> in </w:t>
      </w:r>
      <w:r w:rsidRPr="002364AB">
        <w:rPr>
          <w:i/>
          <w:iCs/>
          <w:kern w:val="22"/>
          <w:sz w:val="22"/>
          <w:szCs w:val="22"/>
          <w:lang w:val="en-GB"/>
        </w:rPr>
        <w:t>Ex Situ</w:t>
      </w:r>
      <w:r w:rsidRPr="002364AB">
        <w:rPr>
          <w:kern w:val="22"/>
          <w:sz w:val="22"/>
          <w:szCs w:val="22"/>
          <w:lang w:val="en-GB"/>
        </w:rPr>
        <w:t xml:space="preserve"> Collections</w:t>
      </w:r>
      <w:bookmarkEnd w:id="144"/>
      <w:r w:rsidRPr="002364AB">
        <w:rPr>
          <w:kern w:val="22"/>
          <w:sz w:val="22"/>
          <w:szCs w:val="22"/>
          <w:lang w:val="en-GB"/>
        </w:rPr>
        <w:t xml:space="preserve"> </w:t>
      </w:r>
    </w:p>
    <w:p w14:paraId="403EFBA6" w14:textId="601D1E42" w:rsidR="00100087" w:rsidRPr="002364AB" w:rsidRDefault="00100087" w:rsidP="00100087">
      <w:pPr>
        <w:rPr>
          <w:rFonts w:cs="Times New Roman"/>
          <w:kern w:val="22"/>
          <w:sz w:val="22"/>
          <w:lang w:val="en-GB"/>
        </w:rPr>
      </w:pPr>
      <w:r w:rsidRPr="002364AB">
        <w:rPr>
          <w:rFonts w:cs="Times New Roman"/>
          <w:kern w:val="22"/>
          <w:sz w:val="22"/>
          <w:lang w:val="en-GB"/>
        </w:rPr>
        <w:t xml:space="preserve">Samples of genetic resources are held in a diversity of </w:t>
      </w:r>
      <w:r w:rsidRPr="002364AB">
        <w:rPr>
          <w:rFonts w:cs="Times New Roman"/>
          <w:i/>
          <w:kern w:val="22"/>
          <w:sz w:val="22"/>
          <w:lang w:val="en-GB"/>
        </w:rPr>
        <w:t>ex situ</w:t>
      </w:r>
      <w:r w:rsidRPr="002364AB">
        <w:rPr>
          <w:rFonts w:cs="Times New Roman"/>
          <w:kern w:val="22"/>
          <w:sz w:val="22"/>
          <w:lang w:val="en-GB"/>
        </w:rPr>
        <w:t xml:space="preserve"> repositories across the globe. These collections include botanical gardens, herbari</w:t>
      </w:r>
      <w:r w:rsidR="002975B6" w:rsidRPr="002364AB">
        <w:rPr>
          <w:rFonts w:cs="Times New Roman"/>
          <w:kern w:val="22"/>
          <w:sz w:val="22"/>
          <w:lang w:val="en-GB"/>
        </w:rPr>
        <w:t>a</w:t>
      </w:r>
      <w:r w:rsidRPr="002364AB">
        <w:rPr>
          <w:rFonts w:cs="Times New Roman"/>
          <w:kern w:val="22"/>
          <w:sz w:val="22"/>
          <w:lang w:val="en-GB"/>
        </w:rPr>
        <w:t xml:space="preserve">, culture collections, gene banks, seed banks, zoos, aquaria, and private collections. </w:t>
      </w:r>
      <w:r w:rsidR="00CF6C37" w:rsidRPr="002364AB">
        <w:rPr>
          <w:rFonts w:cs="Times New Roman"/>
          <w:kern w:val="22"/>
          <w:sz w:val="22"/>
          <w:lang w:val="en-GB"/>
        </w:rPr>
        <w:t xml:space="preserve">Many </w:t>
      </w:r>
      <w:r w:rsidR="00CF6C37" w:rsidRPr="002364AB">
        <w:rPr>
          <w:rFonts w:cs="Times New Roman"/>
          <w:i/>
          <w:iCs/>
          <w:kern w:val="22"/>
          <w:sz w:val="22"/>
          <w:lang w:val="en-GB"/>
        </w:rPr>
        <w:t xml:space="preserve">ex situ </w:t>
      </w:r>
      <w:r w:rsidR="00CF6C37" w:rsidRPr="002364AB">
        <w:rPr>
          <w:rFonts w:cs="Times New Roman"/>
          <w:kern w:val="22"/>
          <w:sz w:val="22"/>
          <w:lang w:val="en-GB"/>
        </w:rPr>
        <w:t xml:space="preserve">collections </w:t>
      </w:r>
      <w:r w:rsidR="00F40F7B" w:rsidRPr="002364AB">
        <w:rPr>
          <w:rFonts w:cs="Times New Roman"/>
          <w:kern w:val="22"/>
          <w:sz w:val="22"/>
          <w:lang w:val="en-GB"/>
        </w:rPr>
        <w:t xml:space="preserve">hold specimens acquired prior to </w:t>
      </w:r>
      <w:r w:rsidRPr="002364AB">
        <w:rPr>
          <w:rFonts w:cs="Times New Roman"/>
          <w:kern w:val="22"/>
          <w:sz w:val="22"/>
          <w:lang w:val="en-GB"/>
        </w:rPr>
        <w:t>the entry into force of the CBD</w:t>
      </w:r>
      <w:r w:rsidR="009C1A35" w:rsidRPr="002364AB">
        <w:rPr>
          <w:rFonts w:cs="Times New Roman"/>
          <w:kern w:val="22"/>
          <w:sz w:val="22"/>
          <w:lang w:val="en-GB"/>
        </w:rPr>
        <w:t xml:space="preserve">, some of which </w:t>
      </w:r>
      <w:r w:rsidRPr="002364AB">
        <w:rPr>
          <w:rFonts w:cs="Times New Roman"/>
          <w:kern w:val="22"/>
          <w:sz w:val="22"/>
          <w:lang w:val="en-GB"/>
        </w:rPr>
        <w:t xml:space="preserve">may </w:t>
      </w:r>
      <w:r w:rsidR="00137848" w:rsidRPr="002364AB">
        <w:rPr>
          <w:rFonts w:cs="Times New Roman"/>
          <w:kern w:val="22"/>
          <w:sz w:val="22"/>
          <w:lang w:val="en-GB"/>
        </w:rPr>
        <w:t xml:space="preserve">possibly be </w:t>
      </w:r>
      <w:r w:rsidRPr="002364AB">
        <w:rPr>
          <w:rFonts w:cs="Times New Roman"/>
          <w:kern w:val="22"/>
          <w:sz w:val="22"/>
          <w:lang w:val="en-GB"/>
        </w:rPr>
        <w:t>accessed for commercial purposes,</w:t>
      </w:r>
      <w:r w:rsidR="00266C29" w:rsidRPr="002364AB">
        <w:rPr>
          <w:rStyle w:val="FootnoteReference"/>
          <w:rFonts w:cs="Times New Roman"/>
          <w:kern w:val="22"/>
          <w:sz w:val="22"/>
          <w:lang w:val="en-GB"/>
        </w:rPr>
        <w:footnoteReference w:id="75"/>
      </w:r>
      <w:r w:rsidR="00266C29" w:rsidRPr="002364AB">
        <w:rPr>
          <w:rFonts w:cs="Times New Roman"/>
          <w:kern w:val="22"/>
          <w:sz w:val="22"/>
          <w:lang w:val="en-GB"/>
        </w:rPr>
        <w:t xml:space="preserve"> </w:t>
      </w:r>
      <w:r w:rsidRPr="002364AB">
        <w:rPr>
          <w:rFonts w:cs="Times New Roman"/>
          <w:kern w:val="22"/>
          <w:sz w:val="22"/>
          <w:lang w:val="en-GB"/>
        </w:rPr>
        <w:t>and</w:t>
      </w:r>
      <w:r w:rsidR="009C1A35" w:rsidRPr="002364AB">
        <w:rPr>
          <w:rFonts w:cs="Times New Roman"/>
          <w:kern w:val="22"/>
          <w:sz w:val="22"/>
          <w:lang w:val="en-GB"/>
        </w:rPr>
        <w:t xml:space="preserve"> some contain</w:t>
      </w:r>
      <w:r w:rsidRPr="002364AB">
        <w:rPr>
          <w:rFonts w:cs="Times New Roman"/>
          <w:kern w:val="22"/>
          <w:sz w:val="22"/>
          <w:lang w:val="en-GB"/>
        </w:rPr>
        <w:t xml:space="preserve"> specimens deposited without </w:t>
      </w:r>
      <w:r w:rsidR="006C2508" w:rsidRPr="002364AB">
        <w:rPr>
          <w:rFonts w:cs="Times New Roman"/>
          <w:kern w:val="22"/>
          <w:sz w:val="22"/>
          <w:lang w:val="en-GB"/>
        </w:rPr>
        <w:t xml:space="preserve">provider </w:t>
      </w:r>
      <w:r w:rsidRPr="002364AB">
        <w:rPr>
          <w:rFonts w:cs="Times New Roman"/>
          <w:kern w:val="22"/>
          <w:sz w:val="22"/>
          <w:lang w:val="en-GB"/>
        </w:rPr>
        <w:t xml:space="preserve">country information. To add to the complexity, </w:t>
      </w:r>
      <w:r w:rsidRPr="002364AB">
        <w:rPr>
          <w:rFonts w:cs="Times New Roman"/>
          <w:i/>
          <w:iCs/>
          <w:kern w:val="22"/>
          <w:sz w:val="22"/>
          <w:lang w:val="en-GB"/>
        </w:rPr>
        <w:t>ex situ</w:t>
      </w:r>
      <w:r w:rsidRPr="002364AB">
        <w:rPr>
          <w:rFonts w:cs="Times New Roman"/>
          <w:kern w:val="22"/>
          <w:sz w:val="22"/>
          <w:lang w:val="en-GB"/>
        </w:rPr>
        <w:t xml:space="preserve"> collections across the globe are facing challenges relating to funding and changing research priorities. So-called orphan or endangered collections may be disposed of</w:t>
      </w:r>
      <w:r w:rsidR="001A1D06" w:rsidRPr="002364AB">
        <w:rPr>
          <w:rFonts w:cs="Times New Roman"/>
          <w:kern w:val="22"/>
          <w:sz w:val="22"/>
          <w:lang w:val="en-GB"/>
        </w:rPr>
        <w:t xml:space="preserve">, including to third parties, </w:t>
      </w:r>
      <w:r w:rsidRPr="002364AB">
        <w:rPr>
          <w:rFonts w:cs="Times New Roman"/>
          <w:kern w:val="22"/>
          <w:sz w:val="22"/>
          <w:lang w:val="en-GB"/>
        </w:rPr>
        <w:t>rapidly, with possible issues relating to documentation arising for the recipient.</w:t>
      </w:r>
      <w:r w:rsidRPr="002364AB">
        <w:rPr>
          <w:rStyle w:val="FootnoteReference"/>
          <w:rFonts w:cs="Times New Roman"/>
          <w:kern w:val="22"/>
          <w:sz w:val="22"/>
          <w:lang w:val="en-GB"/>
        </w:rPr>
        <w:footnoteReference w:id="76"/>
      </w:r>
      <w:r w:rsidRPr="002364AB">
        <w:rPr>
          <w:rFonts w:cs="Times New Roman"/>
          <w:kern w:val="22"/>
          <w:sz w:val="22"/>
          <w:lang w:val="en-GB"/>
        </w:rPr>
        <w:t xml:space="preserve"> </w:t>
      </w:r>
    </w:p>
    <w:p w14:paraId="4B48D524" w14:textId="7721888B" w:rsidR="00100087" w:rsidRPr="002364AB" w:rsidRDefault="00100087" w:rsidP="00100087">
      <w:pPr>
        <w:rPr>
          <w:rFonts w:cs="Times New Roman"/>
          <w:kern w:val="22"/>
          <w:sz w:val="22"/>
          <w:lang w:val="en-GB"/>
        </w:rPr>
      </w:pPr>
      <w:r w:rsidRPr="002364AB">
        <w:rPr>
          <w:rFonts w:cs="Times New Roman"/>
          <w:kern w:val="22"/>
          <w:sz w:val="22"/>
          <w:lang w:val="en-GB"/>
        </w:rPr>
        <w:t xml:space="preserve">Countries differ on whether Protocol obligations apply to entities making new uses of genetic resources in </w:t>
      </w:r>
      <w:r w:rsidRPr="002364AB">
        <w:rPr>
          <w:rFonts w:cs="Times New Roman"/>
          <w:i/>
          <w:kern w:val="22"/>
          <w:sz w:val="22"/>
          <w:lang w:val="en-GB"/>
        </w:rPr>
        <w:t>ex situ</w:t>
      </w:r>
      <w:r w:rsidRPr="002364AB">
        <w:rPr>
          <w:rFonts w:cs="Times New Roman"/>
          <w:kern w:val="22"/>
          <w:sz w:val="22"/>
          <w:lang w:val="en-GB"/>
        </w:rPr>
        <w:t xml:space="preserve"> collections.  For example, the EU Regulation</w:t>
      </w:r>
      <w:r w:rsidR="00FA1F17" w:rsidRPr="002364AB">
        <w:rPr>
          <w:rFonts w:cs="Times New Roman"/>
          <w:kern w:val="22"/>
          <w:sz w:val="22"/>
          <w:lang w:val="en-GB"/>
        </w:rPr>
        <w:t xml:space="preserve"> implementing the Nagoya Protocol </w:t>
      </w:r>
      <w:r w:rsidRPr="002364AB">
        <w:rPr>
          <w:rFonts w:cs="Times New Roman"/>
          <w:kern w:val="22"/>
          <w:sz w:val="22"/>
          <w:lang w:val="en-GB"/>
        </w:rPr>
        <w:t>is clear that it does not apply to genetic resources accessed prior to the entry into force of the Protocol.</w:t>
      </w:r>
      <w:r w:rsidRPr="002364AB">
        <w:rPr>
          <w:rFonts w:cs="Times New Roman"/>
          <w:kern w:val="22"/>
          <w:sz w:val="22"/>
          <w:vertAlign w:val="superscript"/>
          <w:lang w:val="en-GB"/>
        </w:rPr>
        <w:footnoteReference w:id="77"/>
      </w:r>
      <w:r w:rsidRPr="002364AB">
        <w:rPr>
          <w:rFonts w:cs="Times New Roman"/>
          <w:kern w:val="22"/>
          <w:sz w:val="22"/>
          <w:lang w:val="en-GB"/>
        </w:rPr>
        <w:t xml:space="preserve"> But legislation in </w:t>
      </w:r>
      <w:r w:rsidR="002E1353" w:rsidRPr="002364AB">
        <w:rPr>
          <w:rFonts w:cs="Times New Roman"/>
          <w:kern w:val="22"/>
          <w:sz w:val="22"/>
          <w:lang w:val="en-GB"/>
        </w:rPr>
        <w:t>several</w:t>
      </w:r>
      <w:r w:rsidRPr="002364AB">
        <w:rPr>
          <w:rFonts w:cs="Times New Roman"/>
          <w:kern w:val="22"/>
          <w:sz w:val="22"/>
          <w:lang w:val="en-GB"/>
        </w:rPr>
        <w:t xml:space="preserve"> countries such as Brazil, Colombia, and South Africa, requires benefit-sharing from utilization of genetic resources</w:t>
      </w:r>
      <w:r w:rsidR="00147087" w:rsidRPr="002364AB">
        <w:rPr>
          <w:rFonts w:cs="Times New Roman"/>
          <w:kern w:val="22"/>
          <w:sz w:val="22"/>
          <w:lang w:val="en-GB"/>
        </w:rPr>
        <w:t xml:space="preserve"> accessed at a time prior to entry into force of the Protocol</w:t>
      </w:r>
      <w:r w:rsidRPr="002364AB">
        <w:rPr>
          <w:rFonts w:cs="Times New Roman"/>
          <w:kern w:val="22"/>
          <w:sz w:val="22"/>
          <w:lang w:val="en-GB"/>
        </w:rPr>
        <w:t>.</w:t>
      </w:r>
      <w:r w:rsidRPr="002364AB">
        <w:rPr>
          <w:rFonts w:cs="Times New Roman"/>
          <w:kern w:val="22"/>
          <w:sz w:val="22"/>
          <w:vertAlign w:val="superscript"/>
          <w:lang w:val="en-GB"/>
        </w:rPr>
        <w:footnoteReference w:id="78"/>
      </w:r>
      <w:r w:rsidRPr="002364AB">
        <w:rPr>
          <w:rFonts w:cs="Times New Roman"/>
          <w:kern w:val="22"/>
          <w:sz w:val="22"/>
          <w:lang w:val="en-GB"/>
        </w:rPr>
        <w:t xml:space="preserve"> For countries requiring benefit-sharing </w:t>
      </w:r>
      <w:r w:rsidR="00A11A9B" w:rsidRPr="002364AB">
        <w:rPr>
          <w:rFonts w:cs="Times New Roman"/>
          <w:kern w:val="22"/>
          <w:sz w:val="22"/>
          <w:lang w:val="en-GB"/>
        </w:rPr>
        <w:t xml:space="preserve">from the </w:t>
      </w:r>
      <w:r w:rsidRPr="002364AB">
        <w:rPr>
          <w:rFonts w:cs="Times New Roman"/>
          <w:kern w:val="22"/>
          <w:sz w:val="22"/>
          <w:lang w:val="en-GB"/>
        </w:rPr>
        <w:t xml:space="preserve">utilization of genetic resources in </w:t>
      </w:r>
      <w:r w:rsidRPr="002364AB">
        <w:rPr>
          <w:rFonts w:cs="Times New Roman"/>
          <w:i/>
          <w:kern w:val="22"/>
          <w:sz w:val="22"/>
          <w:lang w:val="en-GB"/>
        </w:rPr>
        <w:t>ex situ</w:t>
      </w:r>
      <w:r w:rsidRPr="002364AB">
        <w:rPr>
          <w:rFonts w:cs="Times New Roman"/>
          <w:kern w:val="22"/>
          <w:sz w:val="22"/>
          <w:lang w:val="en-GB"/>
        </w:rPr>
        <w:t xml:space="preserve"> collections, a problem arises for specimens deposited without </w:t>
      </w:r>
      <w:r w:rsidR="00A856FB" w:rsidRPr="002364AB">
        <w:rPr>
          <w:rFonts w:cs="Times New Roman"/>
          <w:kern w:val="22"/>
          <w:sz w:val="22"/>
          <w:lang w:val="en-GB"/>
        </w:rPr>
        <w:t>c</w:t>
      </w:r>
      <w:r w:rsidRPr="002364AB">
        <w:rPr>
          <w:rFonts w:cs="Times New Roman"/>
          <w:kern w:val="22"/>
          <w:sz w:val="22"/>
          <w:lang w:val="en-GB"/>
        </w:rPr>
        <w:t xml:space="preserve">ountry </w:t>
      </w:r>
      <w:r w:rsidR="00A856FB" w:rsidRPr="002364AB">
        <w:rPr>
          <w:rFonts w:cs="Times New Roman"/>
          <w:kern w:val="22"/>
          <w:sz w:val="22"/>
          <w:lang w:val="en-GB"/>
        </w:rPr>
        <w:t xml:space="preserve">of origin </w:t>
      </w:r>
      <w:r w:rsidRPr="002364AB">
        <w:rPr>
          <w:rFonts w:cs="Times New Roman"/>
          <w:kern w:val="22"/>
          <w:sz w:val="22"/>
          <w:lang w:val="en-GB"/>
        </w:rPr>
        <w:t xml:space="preserve">information, or deposited prior to the CBD or Protocol such that PIC, if now required, was not granted. The following examples are illustrative of the challenge of genetic resources of untraceable </w:t>
      </w:r>
      <w:r w:rsidR="008B55E0" w:rsidRPr="002364AB">
        <w:rPr>
          <w:rFonts w:cs="Times New Roman"/>
          <w:kern w:val="22"/>
          <w:sz w:val="22"/>
          <w:lang w:val="en-GB"/>
        </w:rPr>
        <w:t>provenance</w:t>
      </w:r>
      <w:r w:rsidRPr="002364AB">
        <w:rPr>
          <w:rFonts w:cs="Times New Roman"/>
          <w:kern w:val="22"/>
          <w:sz w:val="22"/>
          <w:lang w:val="en-GB"/>
        </w:rPr>
        <w:t xml:space="preserve"> in </w:t>
      </w:r>
      <w:r w:rsidRPr="002364AB">
        <w:rPr>
          <w:rFonts w:cs="Times New Roman"/>
          <w:i/>
          <w:iCs/>
          <w:kern w:val="22"/>
          <w:sz w:val="22"/>
          <w:lang w:val="en-GB"/>
        </w:rPr>
        <w:t>ex situ</w:t>
      </w:r>
      <w:r w:rsidRPr="002364AB">
        <w:rPr>
          <w:rFonts w:cs="Times New Roman"/>
          <w:kern w:val="22"/>
          <w:sz w:val="22"/>
          <w:lang w:val="en-GB"/>
        </w:rPr>
        <w:t xml:space="preserve"> collections</w:t>
      </w:r>
      <w:r w:rsidR="00341792" w:rsidRPr="002364AB">
        <w:rPr>
          <w:rFonts w:cs="Times New Roman"/>
          <w:kern w:val="22"/>
          <w:sz w:val="22"/>
          <w:lang w:val="en-GB"/>
        </w:rPr>
        <w:t xml:space="preserve"> and</w:t>
      </w:r>
      <w:r w:rsidRPr="002364AB">
        <w:rPr>
          <w:rFonts w:cs="Times New Roman"/>
          <w:kern w:val="22"/>
          <w:sz w:val="22"/>
          <w:lang w:val="en-GB"/>
        </w:rPr>
        <w:t xml:space="preserve"> provides information </w:t>
      </w:r>
      <w:r w:rsidR="00341792" w:rsidRPr="002364AB">
        <w:rPr>
          <w:rFonts w:cs="Times New Roman"/>
          <w:kern w:val="22"/>
          <w:sz w:val="22"/>
          <w:lang w:val="en-GB"/>
        </w:rPr>
        <w:t xml:space="preserve">on </w:t>
      </w:r>
      <w:r w:rsidRPr="002364AB">
        <w:rPr>
          <w:rFonts w:cs="Times New Roman"/>
          <w:kern w:val="22"/>
          <w:sz w:val="22"/>
          <w:lang w:val="en-GB"/>
        </w:rPr>
        <w:t xml:space="preserve">how </w:t>
      </w:r>
      <w:r w:rsidR="00341792" w:rsidRPr="002364AB">
        <w:rPr>
          <w:rFonts w:cs="Times New Roman"/>
          <w:kern w:val="22"/>
          <w:sz w:val="22"/>
          <w:lang w:val="en-GB"/>
        </w:rPr>
        <w:t xml:space="preserve">some </w:t>
      </w:r>
      <w:r w:rsidRPr="002364AB">
        <w:rPr>
          <w:rFonts w:cs="Times New Roman"/>
          <w:i/>
          <w:kern w:val="22"/>
          <w:sz w:val="22"/>
          <w:lang w:val="en-GB"/>
        </w:rPr>
        <w:t>ex situ</w:t>
      </w:r>
      <w:r w:rsidRPr="002364AB">
        <w:rPr>
          <w:rFonts w:cs="Times New Roman"/>
          <w:kern w:val="22"/>
          <w:sz w:val="22"/>
          <w:lang w:val="en-GB"/>
        </w:rPr>
        <w:t xml:space="preserve"> collections deal with access and benefit-sharing requirement</w:t>
      </w:r>
      <w:r w:rsidR="00341792" w:rsidRPr="002364AB">
        <w:rPr>
          <w:rFonts w:cs="Times New Roman"/>
          <w:kern w:val="22"/>
          <w:sz w:val="22"/>
          <w:lang w:val="en-GB"/>
        </w:rPr>
        <w:t>s</w:t>
      </w:r>
      <w:r w:rsidRPr="002364AB">
        <w:rPr>
          <w:rFonts w:cs="Times New Roman"/>
          <w:kern w:val="22"/>
          <w:sz w:val="22"/>
          <w:lang w:val="en-GB"/>
        </w:rPr>
        <w:t xml:space="preserve"> for the different resources held in their collections</w:t>
      </w:r>
      <w:r w:rsidR="0030782E" w:rsidRPr="002364AB">
        <w:rPr>
          <w:rFonts w:cs="Times New Roman"/>
          <w:kern w:val="22"/>
          <w:sz w:val="22"/>
          <w:lang w:val="en-GB"/>
        </w:rPr>
        <w:t>.</w:t>
      </w:r>
    </w:p>
    <w:p w14:paraId="129FA215" w14:textId="77777777" w:rsidR="00AC0D8F" w:rsidRPr="002364AB" w:rsidRDefault="00AC0D8F" w:rsidP="00AC0D8F">
      <w:pPr>
        <w:rPr>
          <w:rFonts w:cs="Times New Roman"/>
          <w:b/>
          <w:i/>
          <w:kern w:val="22"/>
          <w:sz w:val="22"/>
          <w:lang w:val="en-GB"/>
        </w:rPr>
      </w:pPr>
      <w:r w:rsidRPr="002364AB">
        <w:rPr>
          <w:rFonts w:cs="Times New Roman"/>
          <w:i/>
          <w:kern w:val="22"/>
          <w:sz w:val="22"/>
          <w:lang w:val="en-GB"/>
        </w:rPr>
        <w:t>Culture collections</w:t>
      </w:r>
    </w:p>
    <w:p w14:paraId="0E5BFAC7" w14:textId="25A07D55" w:rsidR="00FB1B65" w:rsidRPr="002364AB" w:rsidRDefault="00AC0D8F" w:rsidP="00AC0D8F">
      <w:pPr>
        <w:rPr>
          <w:rFonts w:cs="Times New Roman"/>
          <w:kern w:val="22"/>
          <w:sz w:val="22"/>
          <w:lang w:val="en-GB"/>
        </w:rPr>
      </w:pPr>
      <w:r w:rsidRPr="002364AB">
        <w:rPr>
          <w:rFonts w:cs="Times New Roman"/>
          <w:kern w:val="22"/>
          <w:sz w:val="22"/>
          <w:lang w:val="en-GB"/>
        </w:rPr>
        <w:t xml:space="preserve">The primary </w:t>
      </w:r>
      <w:r w:rsidRPr="002364AB">
        <w:rPr>
          <w:rFonts w:cs="Times New Roman"/>
          <w:i/>
          <w:iCs/>
          <w:kern w:val="22"/>
          <w:sz w:val="22"/>
          <w:lang w:val="en-GB"/>
        </w:rPr>
        <w:t>ex situ</w:t>
      </w:r>
      <w:r w:rsidRPr="002364AB">
        <w:rPr>
          <w:rFonts w:cs="Times New Roman"/>
          <w:kern w:val="22"/>
          <w:sz w:val="22"/>
          <w:lang w:val="en-GB"/>
        </w:rPr>
        <w:t xml:space="preserve"> repositories of microorganisms are culture collections, many of which are members of the World Federation for Culture Collections (WFCC). The microscopic organisms (or microorganisms) contained in these collections include bacteria, </w:t>
      </w:r>
      <w:r w:rsidR="00C6671C" w:rsidRPr="002364AB">
        <w:rPr>
          <w:rFonts w:cs="Times New Roman"/>
          <w:kern w:val="22"/>
          <w:sz w:val="22"/>
          <w:lang w:val="en-GB"/>
        </w:rPr>
        <w:t xml:space="preserve">protozoa, </w:t>
      </w:r>
      <w:r w:rsidR="00F54084" w:rsidRPr="002364AB">
        <w:rPr>
          <w:rFonts w:cs="Times New Roman"/>
          <w:kern w:val="22"/>
          <w:sz w:val="22"/>
          <w:lang w:val="en-GB"/>
        </w:rPr>
        <w:t>fungi and algae</w:t>
      </w:r>
      <w:r w:rsidR="00452436" w:rsidRPr="002364AB">
        <w:rPr>
          <w:rFonts w:cs="Times New Roman"/>
          <w:kern w:val="22"/>
          <w:sz w:val="22"/>
          <w:lang w:val="en-GB"/>
        </w:rPr>
        <w:t>. Culture collections may also contain</w:t>
      </w:r>
      <w:r w:rsidR="00C30170" w:rsidRPr="002364AB">
        <w:rPr>
          <w:rFonts w:cs="Times New Roman"/>
          <w:kern w:val="22"/>
          <w:sz w:val="22"/>
          <w:lang w:val="en-GB"/>
        </w:rPr>
        <w:t xml:space="preserve"> </w:t>
      </w:r>
      <w:r w:rsidRPr="002364AB">
        <w:rPr>
          <w:rFonts w:cs="Times New Roman"/>
          <w:kern w:val="22"/>
          <w:sz w:val="22"/>
          <w:lang w:val="en-GB"/>
        </w:rPr>
        <w:t xml:space="preserve">plant and animal cell lines, </w:t>
      </w:r>
      <w:r w:rsidR="00452436" w:rsidRPr="002364AB">
        <w:rPr>
          <w:rFonts w:cs="Times New Roman"/>
          <w:kern w:val="22"/>
          <w:sz w:val="22"/>
          <w:lang w:val="en-GB"/>
        </w:rPr>
        <w:t>viruses, and derivatives</w:t>
      </w:r>
      <w:r w:rsidRPr="002364AB">
        <w:rPr>
          <w:rFonts w:cs="Times New Roman"/>
          <w:kern w:val="22"/>
          <w:sz w:val="22"/>
          <w:lang w:val="en-GB"/>
        </w:rPr>
        <w:t xml:space="preserve"> such as plasmids and complementary DNA (also known as cDNA).</w:t>
      </w:r>
      <w:r w:rsidRPr="002364AB">
        <w:rPr>
          <w:rStyle w:val="FootnoteReference"/>
          <w:kern w:val="22"/>
          <w:sz w:val="22"/>
          <w:lang w:val="en-GB"/>
        </w:rPr>
        <w:footnoteReference w:id="79"/>
      </w:r>
      <w:r w:rsidRPr="002364AB">
        <w:rPr>
          <w:rFonts w:cs="Times New Roman"/>
          <w:kern w:val="22"/>
          <w:sz w:val="22"/>
          <w:lang w:val="en-GB"/>
        </w:rPr>
        <w:t xml:space="preserve"> </w:t>
      </w:r>
    </w:p>
    <w:p w14:paraId="1119CB4F" w14:textId="3D904F42" w:rsidR="00AC0D8F" w:rsidRPr="002364AB" w:rsidRDefault="00AC0D8F" w:rsidP="00AC0D8F">
      <w:pPr>
        <w:rPr>
          <w:rFonts w:cs="Times New Roman"/>
          <w:kern w:val="22"/>
          <w:sz w:val="22"/>
          <w:lang w:val="en-GB"/>
        </w:rPr>
      </w:pPr>
      <w:r w:rsidRPr="002364AB">
        <w:rPr>
          <w:rFonts w:cs="Times New Roman"/>
          <w:kern w:val="22"/>
          <w:sz w:val="22"/>
          <w:lang w:val="en-GB"/>
        </w:rPr>
        <w:t>The WFCC has almost 1000 registered collection members or affiliate members from 125 countries.</w:t>
      </w:r>
      <w:r w:rsidRPr="002364AB">
        <w:rPr>
          <w:rStyle w:val="FootnoteReference"/>
          <w:kern w:val="22"/>
          <w:sz w:val="22"/>
          <w:lang w:val="en-GB"/>
        </w:rPr>
        <w:footnoteReference w:id="80"/>
      </w:r>
      <w:r w:rsidRPr="002364AB">
        <w:rPr>
          <w:rFonts w:cs="Times New Roman"/>
          <w:kern w:val="22"/>
          <w:sz w:val="22"/>
          <w:lang w:val="en-GB"/>
        </w:rPr>
        <w:t xml:space="preserve"> It also has a code of conduct which “</w:t>
      </w:r>
      <w:r w:rsidRPr="002364AB">
        <w:rPr>
          <w:kern w:val="22"/>
          <w:sz w:val="22"/>
          <w:lang w:val="en-GB"/>
        </w:rPr>
        <w:t>endorses the principles of the Convention on Biological Diversity and requires biological materials to be received and supplied within the spirit of the CBD.”</w:t>
      </w:r>
      <w:r w:rsidRPr="002364AB">
        <w:rPr>
          <w:rStyle w:val="FootnoteReference"/>
          <w:kern w:val="22"/>
          <w:sz w:val="22"/>
          <w:lang w:val="en-GB"/>
        </w:rPr>
        <w:footnoteReference w:id="81"/>
      </w:r>
      <w:r w:rsidRPr="002364AB">
        <w:rPr>
          <w:rFonts w:cs="Times New Roman"/>
          <w:kern w:val="22"/>
          <w:sz w:val="22"/>
          <w:lang w:val="en-GB"/>
        </w:rPr>
        <w:t xml:space="preserve"> While most microbial genetic resources in culture collections originate from </w:t>
      </w:r>
      <w:r w:rsidRPr="002364AB">
        <w:rPr>
          <w:rFonts w:cs="Times New Roman"/>
          <w:i/>
          <w:iCs/>
          <w:kern w:val="22"/>
          <w:sz w:val="22"/>
          <w:lang w:val="en-GB"/>
        </w:rPr>
        <w:t>in situ</w:t>
      </w:r>
      <w:r w:rsidRPr="002364AB">
        <w:rPr>
          <w:rFonts w:cs="Times New Roman"/>
          <w:kern w:val="22"/>
          <w:sz w:val="22"/>
          <w:lang w:val="en-GB"/>
        </w:rPr>
        <w:t xml:space="preserve"> sources, how they are acquired varies.</w:t>
      </w:r>
      <w:r w:rsidRPr="002364AB">
        <w:rPr>
          <w:rStyle w:val="FootnoteReference"/>
          <w:kern w:val="22"/>
          <w:sz w:val="22"/>
          <w:lang w:val="en-GB"/>
        </w:rPr>
        <w:footnoteReference w:id="82"/>
      </w:r>
      <w:r w:rsidRPr="002364AB">
        <w:rPr>
          <w:rFonts w:cs="Times New Roman"/>
          <w:kern w:val="22"/>
          <w:sz w:val="22"/>
          <w:lang w:val="en-GB"/>
        </w:rPr>
        <w:t xml:space="preserve"> Public culture collections directly acquire </w:t>
      </w:r>
      <w:r w:rsidR="008C6E0C" w:rsidRPr="002364AB">
        <w:rPr>
          <w:rFonts w:cs="Times New Roman"/>
          <w:kern w:val="22"/>
          <w:sz w:val="22"/>
          <w:lang w:val="en-GB"/>
        </w:rPr>
        <w:t xml:space="preserve">over </w:t>
      </w:r>
      <w:r w:rsidRPr="002364AB">
        <w:rPr>
          <w:rFonts w:cs="Times New Roman"/>
          <w:kern w:val="22"/>
          <w:sz w:val="22"/>
          <w:lang w:val="en-GB"/>
        </w:rPr>
        <w:t xml:space="preserve">half of these specimens </w:t>
      </w:r>
      <w:r w:rsidR="00390EC2" w:rsidRPr="002364AB">
        <w:rPr>
          <w:rFonts w:cs="Times New Roman"/>
          <w:kern w:val="22"/>
          <w:sz w:val="22"/>
          <w:lang w:val="en-GB"/>
        </w:rPr>
        <w:t xml:space="preserve">from </w:t>
      </w:r>
      <w:r w:rsidR="00390EC2" w:rsidRPr="002364AB">
        <w:rPr>
          <w:kern w:val="22"/>
          <w:sz w:val="22"/>
          <w:lang w:val="en-GB"/>
        </w:rPr>
        <w:t>ecosystems and natural habitats</w:t>
      </w:r>
      <w:r w:rsidRPr="002364AB">
        <w:rPr>
          <w:rFonts w:cs="Times New Roman"/>
          <w:kern w:val="22"/>
          <w:sz w:val="22"/>
          <w:lang w:val="en-GB"/>
        </w:rPr>
        <w:t>, with researchers depositing material</w:t>
      </w:r>
      <w:r w:rsidR="00530EC5" w:rsidRPr="002364AB">
        <w:rPr>
          <w:rFonts w:cs="Times New Roman"/>
          <w:kern w:val="22"/>
          <w:sz w:val="22"/>
          <w:lang w:val="en-GB"/>
        </w:rPr>
        <w:t xml:space="preserve"> in the collections</w:t>
      </w:r>
      <w:r w:rsidRPr="002364AB">
        <w:rPr>
          <w:rFonts w:cs="Times New Roman"/>
          <w:kern w:val="22"/>
          <w:sz w:val="22"/>
          <w:lang w:val="en-GB"/>
        </w:rPr>
        <w:t xml:space="preserve"> </w:t>
      </w:r>
      <w:r w:rsidR="00F50BFC" w:rsidRPr="002364AB">
        <w:rPr>
          <w:rFonts w:cs="Times New Roman"/>
          <w:kern w:val="22"/>
          <w:sz w:val="22"/>
          <w:lang w:val="en-GB"/>
        </w:rPr>
        <w:t xml:space="preserve">often </w:t>
      </w:r>
      <w:r w:rsidRPr="002364AB">
        <w:rPr>
          <w:rFonts w:cs="Times New Roman"/>
          <w:kern w:val="22"/>
          <w:sz w:val="22"/>
          <w:lang w:val="en-GB"/>
        </w:rPr>
        <w:t>in conjunction with a publication</w:t>
      </w:r>
      <w:r w:rsidR="00400EBF" w:rsidRPr="002364AB">
        <w:rPr>
          <w:rFonts w:cs="Times New Roman"/>
          <w:kern w:val="22"/>
          <w:sz w:val="22"/>
          <w:lang w:val="en-GB"/>
        </w:rPr>
        <w:t xml:space="preserve"> or </w:t>
      </w:r>
      <w:r w:rsidR="00FF6B44" w:rsidRPr="002364AB">
        <w:rPr>
          <w:rFonts w:cs="Times New Roman"/>
          <w:kern w:val="22"/>
          <w:sz w:val="22"/>
          <w:lang w:val="en-GB"/>
        </w:rPr>
        <w:t>claim for intellectual property rights</w:t>
      </w:r>
      <w:r w:rsidRPr="002364AB">
        <w:rPr>
          <w:rFonts w:cs="Times New Roman"/>
          <w:kern w:val="22"/>
          <w:sz w:val="22"/>
          <w:lang w:val="en-GB"/>
        </w:rPr>
        <w:t>, and formal and informal exchanges amongst institutions con</w:t>
      </w:r>
      <w:r w:rsidR="00F50BFC" w:rsidRPr="002364AB">
        <w:rPr>
          <w:rFonts w:cs="Times New Roman"/>
          <w:kern w:val="22"/>
          <w:sz w:val="22"/>
          <w:lang w:val="en-GB"/>
        </w:rPr>
        <w:t>s</w:t>
      </w:r>
      <w:r w:rsidRPr="002364AB">
        <w:rPr>
          <w:rFonts w:cs="Times New Roman"/>
          <w:kern w:val="22"/>
          <w:sz w:val="22"/>
          <w:lang w:val="en-GB"/>
        </w:rPr>
        <w:t>tituting the balance</w:t>
      </w:r>
      <w:r w:rsidR="00390EC2" w:rsidRPr="002364AB">
        <w:rPr>
          <w:rFonts w:cs="Times New Roman"/>
          <w:kern w:val="22"/>
          <w:sz w:val="22"/>
          <w:lang w:val="en-GB"/>
        </w:rPr>
        <w:t xml:space="preserve"> of the acquisition</w:t>
      </w:r>
      <w:r w:rsidR="000173EB" w:rsidRPr="002364AB">
        <w:rPr>
          <w:rFonts w:cs="Times New Roman"/>
          <w:kern w:val="22"/>
          <w:sz w:val="22"/>
          <w:lang w:val="en-GB"/>
        </w:rPr>
        <w:t>s</w:t>
      </w:r>
      <w:r w:rsidRPr="002364AB">
        <w:rPr>
          <w:rStyle w:val="FootnoteReference"/>
          <w:kern w:val="22"/>
          <w:sz w:val="22"/>
          <w:lang w:val="en-GB"/>
        </w:rPr>
        <w:footnoteReference w:id="83"/>
      </w:r>
      <w:r w:rsidRPr="002364AB">
        <w:rPr>
          <w:rFonts w:cs="Times New Roman"/>
          <w:kern w:val="22"/>
          <w:sz w:val="22"/>
          <w:lang w:val="en-GB"/>
        </w:rPr>
        <w:t xml:space="preserve"> </w:t>
      </w:r>
    </w:p>
    <w:p w14:paraId="25995AB6" w14:textId="627D5B00" w:rsidR="00AC0D8F" w:rsidRPr="002364AB" w:rsidRDefault="00AC0D8F" w:rsidP="00AC0D8F">
      <w:pPr>
        <w:rPr>
          <w:rFonts w:cs="Times New Roman"/>
          <w:kern w:val="22"/>
          <w:sz w:val="22"/>
          <w:lang w:val="en-GB"/>
        </w:rPr>
      </w:pPr>
      <w:r w:rsidRPr="002364AB">
        <w:rPr>
          <w:rFonts w:cs="Times New Roman"/>
          <w:kern w:val="22"/>
          <w:sz w:val="22"/>
          <w:lang w:val="en-GB"/>
        </w:rPr>
        <w:t xml:space="preserve">In a 2017 submission by the WFCC, in conjunction with two related bodies, two scenarios were provided in which </w:t>
      </w:r>
      <w:r w:rsidR="00E5449A" w:rsidRPr="002364AB">
        <w:rPr>
          <w:rFonts w:cs="Times New Roman"/>
          <w:kern w:val="22"/>
          <w:sz w:val="22"/>
          <w:lang w:val="en-GB"/>
        </w:rPr>
        <w:t xml:space="preserve">it is not possible to grant or obtain PIC in relation to </w:t>
      </w:r>
      <w:r w:rsidR="00E5449A" w:rsidRPr="002364AB">
        <w:rPr>
          <w:rFonts w:cs="Times New Roman"/>
          <w:i/>
          <w:kern w:val="22"/>
          <w:sz w:val="22"/>
          <w:lang w:val="en-GB"/>
        </w:rPr>
        <w:t xml:space="preserve">ex situ </w:t>
      </w:r>
      <w:r w:rsidR="00E5449A" w:rsidRPr="002364AB">
        <w:rPr>
          <w:rFonts w:cs="Times New Roman"/>
          <w:kern w:val="22"/>
          <w:sz w:val="22"/>
          <w:lang w:val="en-GB"/>
        </w:rPr>
        <w:t>genetic resources</w:t>
      </w:r>
      <w:r w:rsidRPr="002364AB">
        <w:rPr>
          <w:rFonts w:cs="Times New Roman"/>
          <w:kern w:val="22"/>
          <w:sz w:val="22"/>
          <w:lang w:val="en-GB"/>
        </w:rPr>
        <w:t xml:space="preserve">: (1) </w:t>
      </w:r>
      <w:r w:rsidRPr="002364AB">
        <w:rPr>
          <w:rFonts w:cs="Times New Roman"/>
          <w:i/>
          <w:iCs/>
          <w:kern w:val="22"/>
          <w:sz w:val="22"/>
          <w:lang w:val="en-GB"/>
        </w:rPr>
        <w:t xml:space="preserve">in situ </w:t>
      </w:r>
      <w:r w:rsidRPr="002364AB">
        <w:rPr>
          <w:rFonts w:cs="Times New Roman"/>
          <w:kern w:val="22"/>
          <w:sz w:val="22"/>
          <w:lang w:val="en-GB"/>
        </w:rPr>
        <w:t xml:space="preserve">sampling occurred before the entry into force of the Nagoya Protocol but no documentation is available </w:t>
      </w:r>
      <w:r w:rsidR="00F22B5D" w:rsidRPr="002364AB">
        <w:rPr>
          <w:rFonts w:cs="Times New Roman"/>
          <w:kern w:val="22"/>
          <w:sz w:val="22"/>
          <w:lang w:val="en-GB"/>
        </w:rPr>
        <w:t>other than</w:t>
      </w:r>
      <w:r w:rsidRPr="002364AB">
        <w:rPr>
          <w:rFonts w:cs="Times New Roman"/>
          <w:kern w:val="22"/>
          <w:sz w:val="22"/>
          <w:lang w:val="en-GB"/>
        </w:rPr>
        <w:t xml:space="preserve"> the date of the deposit </w:t>
      </w:r>
      <w:r w:rsidR="00F22B5D" w:rsidRPr="002364AB">
        <w:rPr>
          <w:rFonts w:cs="Times New Roman"/>
          <w:kern w:val="22"/>
          <w:sz w:val="22"/>
          <w:lang w:val="en-GB"/>
        </w:rPr>
        <w:t xml:space="preserve">of a specimen, </w:t>
      </w:r>
      <w:r w:rsidRPr="002364AB">
        <w:rPr>
          <w:rFonts w:cs="Times New Roman"/>
          <w:kern w:val="22"/>
          <w:sz w:val="22"/>
          <w:lang w:val="en-GB"/>
        </w:rPr>
        <w:t xml:space="preserve">and (2) third parties lacking documentation on date or location of sampling, or PIC, who seek to deposit material in a culture collection. The WFCC explained that: </w:t>
      </w:r>
    </w:p>
    <w:p w14:paraId="0739B6C3" w14:textId="414D3D36" w:rsidR="00AC0D8F" w:rsidRPr="002364AB" w:rsidRDefault="00AC0D8F" w:rsidP="00AC0D8F">
      <w:pPr>
        <w:ind w:left="720" w:right="720"/>
        <w:rPr>
          <w:rFonts w:cs="Times New Roman"/>
          <w:kern w:val="22"/>
          <w:sz w:val="22"/>
          <w:lang w:val="en-GB"/>
        </w:rPr>
      </w:pPr>
      <w:r w:rsidRPr="002364AB">
        <w:rPr>
          <w:rFonts w:cs="Times New Roman"/>
          <w:kern w:val="22"/>
          <w:sz w:val="22"/>
          <w:lang w:val="en-GB"/>
        </w:rPr>
        <w:t xml:space="preserve">rather than rejecting material that may have great scientific value, although not having evidence of legality, a culture collection may accept the material but inform the authorities </w:t>
      </w:r>
      <w:proofErr w:type="gramStart"/>
      <w:r w:rsidRPr="002364AB">
        <w:rPr>
          <w:rFonts w:cs="Times New Roman"/>
          <w:i/>
          <w:iCs/>
          <w:kern w:val="22"/>
          <w:sz w:val="22"/>
          <w:lang w:val="en-GB"/>
        </w:rPr>
        <w:t>a posteriori</w:t>
      </w:r>
      <w:proofErr w:type="gramEnd"/>
      <w:r w:rsidRPr="002364AB">
        <w:rPr>
          <w:rFonts w:cs="Times New Roman"/>
          <w:kern w:val="22"/>
          <w:sz w:val="22"/>
          <w:lang w:val="en-GB"/>
        </w:rPr>
        <w:t xml:space="preserve">. When no country of origin is unambiguously identifiable (for instance because the microbial material is ubiquitous) a global multilateral benefit sharing mechanism may be useful </w:t>
      </w:r>
      <w:proofErr w:type="gramStart"/>
      <w:r w:rsidRPr="002364AB">
        <w:rPr>
          <w:rFonts w:cs="Times New Roman"/>
          <w:kern w:val="22"/>
          <w:sz w:val="22"/>
          <w:lang w:val="en-GB"/>
        </w:rPr>
        <w:t>as long as</w:t>
      </w:r>
      <w:proofErr w:type="gramEnd"/>
      <w:r w:rsidRPr="002364AB">
        <w:rPr>
          <w:rFonts w:cs="Times New Roman"/>
          <w:kern w:val="22"/>
          <w:sz w:val="22"/>
          <w:lang w:val="en-GB"/>
        </w:rPr>
        <w:t xml:space="preserve"> it is cost efficient</w:t>
      </w:r>
      <w:r w:rsidR="00D5234E" w:rsidRPr="002364AB">
        <w:rPr>
          <w:rFonts w:cs="Times New Roman"/>
          <w:kern w:val="22"/>
          <w:sz w:val="22"/>
          <w:lang w:val="en-GB"/>
        </w:rPr>
        <w:t xml:space="preserve"> and operationalizable within the scope of the Convention</w:t>
      </w:r>
      <w:r w:rsidRPr="002364AB">
        <w:rPr>
          <w:rFonts w:cs="Times New Roman"/>
          <w:kern w:val="22"/>
          <w:sz w:val="22"/>
          <w:lang w:val="en-GB"/>
        </w:rPr>
        <w:t>.</w:t>
      </w:r>
      <w:r w:rsidRPr="002364AB">
        <w:rPr>
          <w:rStyle w:val="FootnoteReference"/>
          <w:kern w:val="22"/>
          <w:sz w:val="22"/>
          <w:lang w:val="en-GB"/>
        </w:rPr>
        <w:footnoteReference w:id="84"/>
      </w:r>
    </w:p>
    <w:p w14:paraId="44259308" w14:textId="2AECC1A1" w:rsidR="00100087" w:rsidRPr="002364AB" w:rsidRDefault="00100087" w:rsidP="00100087">
      <w:pPr>
        <w:rPr>
          <w:rFonts w:cs="Times New Roman"/>
          <w:b/>
          <w:i/>
          <w:kern w:val="22"/>
          <w:sz w:val="22"/>
          <w:lang w:val="en-GB"/>
        </w:rPr>
      </w:pPr>
      <w:r w:rsidRPr="002364AB">
        <w:rPr>
          <w:rFonts w:cs="Times New Roman"/>
          <w:i/>
          <w:kern w:val="22"/>
          <w:sz w:val="22"/>
          <w:lang w:val="en-GB"/>
        </w:rPr>
        <w:t>Botanical Gardens</w:t>
      </w:r>
    </w:p>
    <w:p w14:paraId="70866249" w14:textId="7E18F978" w:rsidR="00100087" w:rsidRPr="002364AB" w:rsidRDefault="00100087" w:rsidP="00100087">
      <w:pPr>
        <w:rPr>
          <w:kern w:val="22"/>
          <w:sz w:val="22"/>
          <w:lang w:val="en-GB"/>
        </w:rPr>
      </w:pPr>
      <w:r w:rsidRPr="002364AB">
        <w:rPr>
          <w:kern w:val="22"/>
          <w:sz w:val="22"/>
          <w:lang w:val="en-GB"/>
        </w:rPr>
        <w:t>Vast numbers of living specimens of biodiversity reside in the more than 3600 registered “botanical living collections” across the globe.</w:t>
      </w:r>
      <w:r w:rsidRPr="002364AB">
        <w:rPr>
          <w:rStyle w:val="FootnoteReference"/>
          <w:kern w:val="22"/>
          <w:sz w:val="22"/>
          <w:lang w:val="en-GB"/>
        </w:rPr>
        <w:footnoteReference w:id="85"/>
      </w:r>
      <w:r w:rsidRPr="002364AB">
        <w:rPr>
          <w:kern w:val="22"/>
          <w:sz w:val="22"/>
          <w:lang w:val="en-GB"/>
        </w:rPr>
        <w:t xml:space="preserve"> These include botanical gardens, zoological gardens, and arboreta. Moreover, some botanical gardens </w:t>
      </w:r>
      <w:r w:rsidR="008B41F4" w:rsidRPr="002364AB">
        <w:rPr>
          <w:kern w:val="22"/>
          <w:sz w:val="22"/>
          <w:lang w:val="en-GB"/>
        </w:rPr>
        <w:t xml:space="preserve">also </w:t>
      </w:r>
      <w:r w:rsidR="00A4105A" w:rsidRPr="002364AB">
        <w:rPr>
          <w:kern w:val="22"/>
          <w:sz w:val="22"/>
          <w:lang w:val="en-GB"/>
        </w:rPr>
        <w:t xml:space="preserve">undertake </w:t>
      </w:r>
      <w:r w:rsidRPr="002364AB">
        <w:rPr>
          <w:kern w:val="22"/>
          <w:sz w:val="22"/>
          <w:lang w:val="en-GB"/>
        </w:rPr>
        <w:t xml:space="preserve">other forms of </w:t>
      </w:r>
      <w:r w:rsidRPr="002364AB">
        <w:rPr>
          <w:i/>
          <w:kern w:val="22"/>
          <w:sz w:val="22"/>
          <w:lang w:val="en-GB"/>
        </w:rPr>
        <w:t>ex situ</w:t>
      </w:r>
      <w:r w:rsidRPr="002364AB">
        <w:rPr>
          <w:kern w:val="22"/>
          <w:sz w:val="22"/>
          <w:lang w:val="en-GB"/>
        </w:rPr>
        <w:t xml:space="preserve"> conservation, such as tissue</w:t>
      </w:r>
      <w:r w:rsidR="00BF1F4D" w:rsidRPr="002364AB">
        <w:rPr>
          <w:kern w:val="22"/>
          <w:sz w:val="22"/>
          <w:lang w:val="en-GB"/>
        </w:rPr>
        <w:t xml:space="preserve"> collections</w:t>
      </w:r>
      <w:r w:rsidRPr="002364AB">
        <w:rPr>
          <w:kern w:val="22"/>
          <w:sz w:val="22"/>
          <w:lang w:val="en-GB"/>
        </w:rPr>
        <w:t>, fungi, seed, and gene banks</w:t>
      </w:r>
      <w:r w:rsidR="008B41F4" w:rsidRPr="002364AB">
        <w:rPr>
          <w:kern w:val="22"/>
          <w:sz w:val="22"/>
          <w:lang w:val="en-GB"/>
        </w:rPr>
        <w:t>,</w:t>
      </w:r>
      <w:r w:rsidRPr="002364AB">
        <w:rPr>
          <w:kern w:val="22"/>
          <w:sz w:val="22"/>
          <w:lang w:val="en-GB"/>
        </w:rPr>
        <w:t xml:space="preserve"> and </w:t>
      </w:r>
      <w:r w:rsidR="00A4105A" w:rsidRPr="002364AB">
        <w:rPr>
          <w:kern w:val="22"/>
          <w:sz w:val="22"/>
          <w:lang w:val="en-GB"/>
        </w:rPr>
        <w:t xml:space="preserve">possess </w:t>
      </w:r>
      <w:r w:rsidR="00FB3877" w:rsidRPr="002364AB">
        <w:rPr>
          <w:kern w:val="22"/>
          <w:sz w:val="22"/>
          <w:lang w:val="en-GB"/>
        </w:rPr>
        <w:t xml:space="preserve">research collections such as </w:t>
      </w:r>
      <w:r w:rsidRPr="002364AB">
        <w:rPr>
          <w:kern w:val="22"/>
          <w:sz w:val="22"/>
          <w:lang w:val="en-GB"/>
        </w:rPr>
        <w:t>herbaria</w:t>
      </w:r>
      <w:r w:rsidR="00E809BF" w:rsidRPr="002364AB">
        <w:rPr>
          <w:kern w:val="22"/>
          <w:sz w:val="22"/>
          <w:lang w:val="en-GB"/>
        </w:rPr>
        <w:t xml:space="preserve"> and</w:t>
      </w:r>
      <w:r w:rsidR="00A4105A" w:rsidRPr="002364AB">
        <w:rPr>
          <w:kern w:val="22"/>
          <w:sz w:val="22"/>
          <w:lang w:val="en-GB"/>
        </w:rPr>
        <w:t xml:space="preserve"> </w:t>
      </w:r>
      <w:r w:rsidR="00E809BF" w:rsidRPr="002364AB">
        <w:rPr>
          <w:kern w:val="22"/>
          <w:sz w:val="22"/>
          <w:lang w:val="en-GB"/>
        </w:rPr>
        <w:t>ethnobotany collections</w:t>
      </w:r>
      <w:r w:rsidRPr="002364AB">
        <w:rPr>
          <w:kern w:val="22"/>
          <w:sz w:val="22"/>
          <w:lang w:val="en-GB"/>
        </w:rPr>
        <w:t>.</w:t>
      </w:r>
      <w:r w:rsidRPr="002364AB">
        <w:rPr>
          <w:rStyle w:val="FootnoteReference"/>
          <w:kern w:val="22"/>
          <w:sz w:val="22"/>
          <w:lang w:val="en-GB"/>
        </w:rPr>
        <w:footnoteReference w:id="86"/>
      </w:r>
      <w:r w:rsidRPr="002364AB">
        <w:rPr>
          <w:kern w:val="22"/>
          <w:sz w:val="22"/>
          <w:lang w:val="en-GB"/>
        </w:rPr>
        <w:t xml:space="preserve">  </w:t>
      </w:r>
    </w:p>
    <w:p w14:paraId="6E757630" w14:textId="180B39B2" w:rsidR="00100087" w:rsidRPr="002364AB" w:rsidRDefault="00100087" w:rsidP="00100087">
      <w:pPr>
        <w:rPr>
          <w:kern w:val="22"/>
          <w:sz w:val="22"/>
          <w:lang w:val="en-GB"/>
        </w:rPr>
      </w:pPr>
      <w:r w:rsidRPr="002364AB">
        <w:rPr>
          <w:kern w:val="22"/>
          <w:sz w:val="22"/>
          <w:lang w:val="en-GB"/>
        </w:rPr>
        <w:t>The International Plant Exchange Network (IPEN) was established in 2002</w:t>
      </w:r>
      <w:r w:rsidR="00822EA8" w:rsidRPr="002364AB">
        <w:rPr>
          <w:kern w:val="22"/>
          <w:sz w:val="22"/>
          <w:lang w:val="en-GB"/>
        </w:rPr>
        <w:t xml:space="preserve"> by the </w:t>
      </w:r>
      <w:proofErr w:type="spellStart"/>
      <w:r w:rsidR="00822EA8" w:rsidRPr="002364AB">
        <w:rPr>
          <w:kern w:val="22"/>
          <w:sz w:val="22"/>
          <w:lang w:val="en-GB"/>
        </w:rPr>
        <w:t>Verband</w:t>
      </w:r>
      <w:proofErr w:type="spellEnd"/>
      <w:r w:rsidR="00822EA8" w:rsidRPr="002364AB">
        <w:rPr>
          <w:kern w:val="22"/>
          <w:sz w:val="22"/>
          <w:lang w:val="en-GB"/>
        </w:rPr>
        <w:t xml:space="preserve"> </w:t>
      </w:r>
      <w:proofErr w:type="spellStart"/>
      <w:r w:rsidR="00822EA8" w:rsidRPr="002364AB">
        <w:rPr>
          <w:kern w:val="22"/>
          <w:sz w:val="22"/>
          <w:lang w:val="en-GB"/>
        </w:rPr>
        <w:t>Botanischer</w:t>
      </w:r>
      <w:proofErr w:type="spellEnd"/>
      <w:r w:rsidR="00822EA8" w:rsidRPr="002364AB">
        <w:rPr>
          <w:kern w:val="22"/>
          <w:sz w:val="22"/>
          <w:lang w:val="en-GB"/>
        </w:rPr>
        <w:t xml:space="preserve"> </w:t>
      </w:r>
      <w:proofErr w:type="spellStart"/>
      <w:r w:rsidR="00822EA8" w:rsidRPr="002364AB">
        <w:rPr>
          <w:kern w:val="22"/>
          <w:sz w:val="22"/>
          <w:lang w:val="en-GB"/>
        </w:rPr>
        <w:t>Gärten</w:t>
      </w:r>
      <w:proofErr w:type="spellEnd"/>
      <w:r w:rsidR="00822EA8" w:rsidRPr="002364AB">
        <w:rPr>
          <w:kern w:val="22"/>
          <w:sz w:val="22"/>
          <w:lang w:val="en-GB"/>
        </w:rPr>
        <w:t xml:space="preserve"> as a system to facilitate international exchange of living plant material between botanic gardens </w:t>
      </w:r>
      <w:r w:rsidR="007466E1" w:rsidRPr="002364AB">
        <w:rPr>
          <w:kern w:val="22"/>
          <w:sz w:val="22"/>
          <w:lang w:val="en-GB"/>
        </w:rPr>
        <w:t xml:space="preserve">for non-commercial purposes </w:t>
      </w:r>
      <w:r w:rsidR="00822EA8" w:rsidRPr="002364AB">
        <w:rPr>
          <w:kern w:val="22"/>
          <w:sz w:val="22"/>
          <w:lang w:val="en-GB"/>
        </w:rPr>
        <w:t>in compliance with the CBD.</w:t>
      </w:r>
      <w:r w:rsidR="005D5F79" w:rsidRPr="002364AB">
        <w:rPr>
          <w:rStyle w:val="FootnoteReference"/>
          <w:kern w:val="22"/>
          <w:sz w:val="22"/>
          <w:lang w:val="en-GB"/>
        </w:rPr>
        <w:footnoteReference w:id="87"/>
      </w:r>
      <w:r w:rsidR="00822EA8" w:rsidRPr="002364AB">
        <w:rPr>
          <w:kern w:val="22"/>
          <w:sz w:val="22"/>
          <w:lang w:val="en-GB"/>
        </w:rPr>
        <w:t xml:space="preserve"> IPEN members use a shared code of conduct, shared exchange documents and trackable identification number</w:t>
      </w:r>
      <w:r w:rsidR="001B0A0C" w:rsidRPr="002364AB">
        <w:rPr>
          <w:kern w:val="22"/>
          <w:sz w:val="22"/>
          <w:lang w:val="en-GB"/>
        </w:rPr>
        <w:t>s</w:t>
      </w:r>
      <w:r w:rsidR="00822EA8" w:rsidRPr="002364AB">
        <w:rPr>
          <w:kern w:val="22"/>
          <w:sz w:val="22"/>
          <w:lang w:val="en-GB"/>
        </w:rPr>
        <w:t>.</w:t>
      </w:r>
      <w:r w:rsidRPr="002364AB">
        <w:rPr>
          <w:kern w:val="22"/>
          <w:sz w:val="22"/>
          <w:lang w:val="en-GB"/>
        </w:rPr>
        <w:t xml:space="preserve"> The objective of IPEN is to provide a sound basis for cooperation, transparency and communication, </w:t>
      </w:r>
      <w:proofErr w:type="gramStart"/>
      <w:r w:rsidRPr="002364AB">
        <w:rPr>
          <w:kern w:val="22"/>
          <w:sz w:val="22"/>
          <w:lang w:val="en-GB"/>
        </w:rPr>
        <w:t>taking into account</w:t>
      </w:r>
      <w:proofErr w:type="gramEnd"/>
      <w:r w:rsidRPr="002364AB">
        <w:rPr>
          <w:kern w:val="22"/>
          <w:sz w:val="22"/>
          <w:lang w:val="en-GB"/>
        </w:rPr>
        <w:t xml:space="preserve"> the concerns of both the providers and the users of genetic resources. According to the IPEN Code of Conduct “IPEN member gardens are strongly recommended to treat all </w:t>
      </w:r>
      <w:r w:rsidR="00B13A08" w:rsidRPr="002364AB">
        <w:rPr>
          <w:kern w:val="22"/>
          <w:sz w:val="22"/>
          <w:lang w:val="en-GB"/>
        </w:rPr>
        <w:t xml:space="preserve">[living] </w:t>
      </w:r>
      <w:r w:rsidRPr="002364AB">
        <w:rPr>
          <w:kern w:val="22"/>
          <w:sz w:val="22"/>
          <w:lang w:val="en-GB"/>
        </w:rPr>
        <w:t>plant material 'as if' acquired after the CBD came into effect and therefore being subject to the CBD. This does, however, not imply that responsibility is accepted for retroactive benefit-sharing claims regarding commercial use of plants acquired before the CBD came into effect.”</w:t>
      </w:r>
      <w:r w:rsidRPr="002364AB">
        <w:rPr>
          <w:rStyle w:val="FootnoteReference"/>
          <w:rFonts w:cs="Times New Roman"/>
          <w:kern w:val="22"/>
          <w:sz w:val="22"/>
          <w:lang w:val="en-GB"/>
        </w:rPr>
        <w:footnoteReference w:id="88"/>
      </w:r>
      <w:r w:rsidRPr="002364AB">
        <w:rPr>
          <w:kern w:val="22"/>
          <w:sz w:val="22"/>
          <w:lang w:val="en-GB"/>
        </w:rPr>
        <w:t xml:space="preserve"> </w:t>
      </w:r>
    </w:p>
    <w:p w14:paraId="2B441064" w14:textId="5C78E2C1" w:rsidR="00100087" w:rsidRPr="002364AB" w:rsidRDefault="00100087" w:rsidP="00100087">
      <w:pPr>
        <w:rPr>
          <w:rFonts w:cs="Times New Roman"/>
          <w:kern w:val="22"/>
          <w:sz w:val="22"/>
          <w:lang w:val="en-GB"/>
        </w:rPr>
      </w:pPr>
      <w:r w:rsidRPr="002364AB">
        <w:rPr>
          <w:rFonts w:cs="Times New Roman"/>
          <w:kern w:val="22"/>
          <w:sz w:val="22"/>
          <w:lang w:val="en-GB"/>
        </w:rPr>
        <w:t xml:space="preserve">The Royal Botanic Gardens, Kew (Kew), </w:t>
      </w:r>
      <w:r w:rsidR="00C0120E" w:rsidRPr="002364AB">
        <w:rPr>
          <w:rFonts w:cs="Times New Roman"/>
          <w:kern w:val="22"/>
          <w:sz w:val="22"/>
          <w:lang w:val="en-GB"/>
        </w:rPr>
        <w:t xml:space="preserve">which is </w:t>
      </w:r>
      <w:r w:rsidRPr="002364AB">
        <w:rPr>
          <w:rFonts w:cs="Times New Roman"/>
          <w:kern w:val="22"/>
          <w:sz w:val="22"/>
          <w:lang w:val="en-GB"/>
        </w:rPr>
        <w:t xml:space="preserve">not an IPEN member, </w:t>
      </w:r>
      <w:r w:rsidR="009B0CE8" w:rsidRPr="002364AB">
        <w:rPr>
          <w:rFonts w:cs="Times New Roman"/>
          <w:kern w:val="22"/>
          <w:sz w:val="22"/>
          <w:lang w:val="en-GB"/>
        </w:rPr>
        <w:t xml:space="preserve">curates diverse collections </w:t>
      </w:r>
      <w:r w:rsidR="005B5286" w:rsidRPr="002364AB">
        <w:rPr>
          <w:rFonts w:cs="Times New Roman"/>
          <w:kern w:val="22"/>
          <w:sz w:val="22"/>
          <w:lang w:val="en-GB"/>
        </w:rPr>
        <w:t xml:space="preserve">including </w:t>
      </w:r>
      <w:r w:rsidRPr="002364AB">
        <w:rPr>
          <w:rFonts w:cs="Times New Roman"/>
          <w:kern w:val="22"/>
          <w:sz w:val="22"/>
          <w:lang w:val="en-GB"/>
        </w:rPr>
        <w:t>50,000 living plants</w:t>
      </w:r>
      <w:r w:rsidR="00461377" w:rsidRPr="002364AB">
        <w:rPr>
          <w:rFonts w:cs="Times New Roman"/>
          <w:kern w:val="22"/>
          <w:sz w:val="22"/>
          <w:lang w:val="en-GB"/>
        </w:rPr>
        <w:t>,</w:t>
      </w:r>
      <w:r w:rsidRPr="002364AB">
        <w:rPr>
          <w:rFonts w:cs="Times New Roman"/>
          <w:kern w:val="22"/>
          <w:sz w:val="22"/>
          <w:lang w:val="en-GB"/>
        </w:rPr>
        <w:t xml:space="preserve"> an arboretum, and several </w:t>
      </w:r>
      <w:r w:rsidR="00FC1311" w:rsidRPr="002364AB">
        <w:rPr>
          <w:rFonts w:cs="Times New Roman"/>
          <w:kern w:val="22"/>
          <w:sz w:val="22"/>
          <w:lang w:val="en-GB"/>
        </w:rPr>
        <w:t xml:space="preserve">additional </w:t>
      </w:r>
      <w:r w:rsidRPr="002364AB">
        <w:rPr>
          <w:rFonts w:cs="Times New Roman"/>
          <w:kern w:val="22"/>
          <w:sz w:val="22"/>
          <w:lang w:val="en-GB"/>
        </w:rPr>
        <w:t xml:space="preserve">collections including a herbarium, and fungi, seed, gene, and other banks </w:t>
      </w:r>
      <w:proofErr w:type="spellStart"/>
      <w:r w:rsidRPr="002364AB">
        <w:rPr>
          <w:rFonts w:cs="Times New Roman"/>
          <w:kern w:val="22"/>
          <w:sz w:val="22"/>
          <w:lang w:val="en-GB"/>
        </w:rPr>
        <w:t>totaling</w:t>
      </w:r>
      <w:proofErr w:type="spellEnd"/>
      <w:r w:rsidRPr="002364AB">
        <w:rPr>
          <w:rFonts w:cs="Times New Roman"/>
          <w:kern w:val="22"/>
          <w:sz w:val="22"/>
          <w:lang w:val="en-GB"/>
        </w:rPr>
        <w:t xml:space="preserve"> 8.5 million items.</w:t>
      </w:r>
      <w:r w:rsidRPr="002364AB">
        <w:rPr>
          <w:rStyle w:val="FootnoteReference"/>
          <w:kern w:val="22"/>
          <w:sz w:val="22"/>
          <w:lang w:val="en-GB"/>
        </w:rPr>
        <w:footnoteReference w:id="89"/>
      </w:r>
      <w:r w:rsidRPr="002364AB">
        <w:rPr>
          <w:rFonts w:cs="Times New Roman"/>
          <w:kern w:val="22"/>
          <w:sz w:val="22"/>
          <w:lang w:val="en-GB"/>
        </w:rPr>
        <w:t xml:space="preserve"> </w:t>
      </w:r>
      <w:r w:rsidR="004A144F" w:rsidRPr="002364AB">
        <w:rPr>
          <w:rFonts w:cs="Times New Roman"/>
          <w:kern w:val="22"/>
          <w:sz w:val="22"/>
          <w:lang w:val="en-GB"/>
        </w:rPr>
        <w:t>Kew</w:t>
      </w:r>
      <w:r w:rsidR="00406D5F" w:rsidRPr="002364AB">
        <w:rPr>
          <w:rFonts w:cs="Times New Roman"/>
          <w:kern w:val="22"/>
          <w:sz w:val="22"/>
          <w:lang w:val="en-GB"/>
        </w:rPr>
        <w:t xml:space="preserve">’s </w:t>
      </w:r>
      <w:r w:rsidR="008F4760" w:rsidRPr="002364AB">
        <w:rPr>
          <w:rFonts w:cs="Times New Roman"/>
          <w:kern w:val="22"/>
          <w:sz w:val="22"/>
          <w:lang w:val="en-GB"/>
        </w:rPr>
        <w:t>2004</w:t>
      </w:r>
      <w:r w:rsidR="00406D5F" w:rsidRPr="002364AB">
        <w:rPr>
          <w:rFonts w:cs="Times New Roman"/>
          <w:kern w:val="22"/>
          <w:sz w:val="22"/>
          <w:lang w:val="en-GB"/>
        </w:rPr>
        <w:t xml:space="preserve"> ABS policy </w:t>
      </w:r>
      <w:r w:rsidR="00774420" w:rsidRPr="002364AB">
        <w:rPr>
          <w:rFonts w:cs="Times New Roman"/>
          <w:kern w:val="22"/>
          <w:sz w:val="22"/>
          <w:lang w:val="en-GB"/>
        </w:rPr>
        <w:t>notes that Kew “makes efforts to share benefits fairly and equitably where they arise from the use of genetic resources which were acquired before the CBD came into force</w:t>
      </w:r>
      <w:r w:rsidR="00CE5A1C" w:rsidRPr="002364AB">
        <w:rPr>
          <w:rFonts w:cs="Times New Roman"/>
          <w:kern w:val="22"/>
          <w:sz w:val="22"/>
          <w:lang w:val="en-GB"/>
        </w:rPr>
        <w:t>”</w:t>
      </w:r>
      <w:r w:rsidR="00D51CCC" w:rsidRPr="002364AB">
        <w:rPr>
          <w:rFonts w:cs="Times New Roman"/>
          <w:kern w:val="22"/>
          <w:sz w:val="22"/>
          <w:lang w:val="en-GB"/>
        </w:rPr>
        <w:t>.</w:t>
      </w:r>
      <w:r w:rsidR="00D51CCC" w:rsidRPr="002364AB">
        <w:rPr>
          <w:rStyle w:val="FootnoteReference"/>
          <w:rFonts w:cs="Times New Roman"/>
          <w:kern w:val="22"/>
          <w:sz w:val="22"/>
          <w:lang w:val="en-GB"/>
        </w:rPr>
        <w:footnoteReference w:id="90"/>
      </w:r>
      <w:r w:rsidR="00702BF7" w:rsidRPr="002364AB">
        <w:rPr>
          <w:rFonts w:cs="Times New Roman"/>
          <w:kern w:val="22"/>
          <w:sz w:val="22"/>
          <w:lang w:val="en-GB"/>
        </w:rPr>
        <w:t xml:space="preserve"> </w:t>
      </w:r>
      <w:r w:rsidR="002F4910" w:rsidRPr="002364AB">
        <w:rPr>
          <w:rFonts w:cs="Times New Roman"/>
          <w:kern w:val="22"/>
          <w:sz w:val="22"/>
          <w:lang w:val="en-GB"/>
        </w:rPr>
        <w:t>In cases where Kew wish</w:t>
      </w:r>
      <w:r w:rsidR="00A94DB7" w:rsidRPr="002364AB">
        <w:rPr>
          <w:rFonts w:cs="Times New Roman"/>
          <w:kern w:val="22"/>
          <w:sz w:val="22"/>
          <w:lang w:val="en-GB"/>
        </w:rPr>
        <w:t>es</w:t>
      </w:r>
      <w:r w:rsidR="002F4910" w:rsidRPr="002364AB">
        <w:rPr>
          <w:rFonts w:cs="Times New Roman"/>
          <w:kern w:val="22"/>
          <w:sz w:val="22"/>
          <w:lang w:val="en-GB"/>
        </w:rPr>
        <w:t xml:space="preserve"> to </w:t>
      </w:r>
      <w:r w:rsidR="00A94DB7" w:rsidRPr="002364AB">
        <w:rPr>
          <w:rFonts w:cs="Times New Roman"/>
          <w:kern w:val="22"/>
          <w:sz w:val="22"/>
          <w:lang w:val="en-GB"/>
        </w:rPr>
        <w:t>c</w:t>
      </w:r>
      <w:r w:rsidR="002F4910" w:rsidRPr="002364AB">
        <w:rPr>
          <w:rFonts w:cs="Times New Roman"/>
          <w:kern w:val="22"/>
          <w:sz w:val="22"/>
          <w:lang w:val="en-GB"/>
        </w:rPr>
        <w:t xml:space="preserve">ommercialise any plant or fungal material collected before </w:t>
      </w:r>
      <w:r w:rsidR="00A94DB7" w:rsidRPr="002364AB">
        <w:rPr>
          <w:rFonts w:cs="Times New Roman"/>
          <w:kern w:val="22"/>
          <w:sz w:val="22"/>
          <w:lang w:val="en-GB"/>
        </w:rPr>
        <w:t>the entry into force of the CBD, it will “</w:t>
      </w:r>
      <w:r w:rsidR="002F4910" w:rsidRPr="002364AB">
        <w:rPr>
          <w:rFonts w:cs="Times New Roman"/>
          <w:kern w:val="22"/>
          <w:sz w:val="22"/>
          <w:lang w:val="en-GB"/>
        </w:rPr>
        <w:t>as far as is possible,</w:t>
      </w:r>
      <w:r w:rsidR="00A94DB7" w:rsidRPr="002364AB">
        <w:rPr>
          <w:rFonts w:cs="Times New Roman"/>
          <w:kern w:val="22"/>
          <w:sz w:val="22"/>
          <w:lang w:val="en-GB"/>
        </w:rPr>
        <w:t xml:space="preserve"> </w:t>
      </w:r>
      <w:r w:rsidR="002F4910" w:rsidRPr="002364AB">
        <w:rPr>
          <w:rFonts w:cs="Times New Roman"/>
          <w:kern w:val="22"/>
          <w:sz w:val="22"/>
          <w:lang w:val="en-GB"/>
        </w:rPr>
        <w:t>share benefits fairly and equitably</w:t>
      </w:r>
      <w:r w:rsidR="00A94DB7" w:rsidRPr="002364AB">
        <w:rPr>
          <w:rFonts w:cs="Times New Roman"/>
          <w:kern w:val="22"/>
          <w:sz w:val="22"/>
          <w:lang w:val="en-GB"/>
        </w:rPr>
        <w:t>.”</w:t>
      </w:r>
      <w:r w:rsidR="00A94DB7" w:rsidRPr="002364AB">
        <w:rPr>
          <w:rStyle w:val="FootnoteReference"/>
          <w:rFonts w:cs="Times New Roman"/>
          <w:kern w:val="22"/>
          <w:sz w:val="22"/>
          <w:lang w:val="en-GB"/>
        </w:rPr>
        <w:footnoteReference w:id="91"/>
      </w:r>
      <w:r w:rsidR="00A94DB7" w:rsidRPr="002364AB">
        <w:rPr>
          <w:rFonts w:cs="Times New Roman"/>
          <w:kern w:val="22"/>
          <w:sz w:val="22"/>
          <w:lang w:val="en-GB"/>
        </w:rPr>
        <w:t xml:space="preserve"> </w:t>
      </w:r>
      <w:r w:rsidRPr="002364AB">
        <w:rPr>
          <w:rFonts w:cs="Times New Roman"/>
          <w:kern w:val="22"/>
          <w:sz w:val="22"/>
          <w:lang w:val="en-GB"/>
        </w:rPr>
        <w:t>The Kew Economic Botany Collection (EBC) founded in 1847, is one of the largest specimen collections at Kew, with approximately 90,000 entries comprising “plant raw materials and artefacts representing all aspects of craft and daily life worldwide, including medicines, textiles, basketry, dyes, gums and resins, foods and woods.”</w:t>
      </w:r>
      <w:r w:rsidRPr="002364AB">
        <w:rPr>
          <w:rStyle w:val="FootnoteReference"/>
          <w:kern w:val="22"/>
          <w:sz w:val="22"/>
          <w:lang w:val="en-GB"/>
        </w:rPr>
        <w:footnoteReference w:id="92"/>
      </w:r>
      <w:r w:rsidRPr="002364AB">
        <w:rPr>
          <w:rFonts w:cs="Times New Roman"/>
          <w:kern w:val="22"/>
          <w:sz w:val="22"/>
          <w:lang w:val="en-GB"/>
        </w:rPr>
        <w:t xml:space="preserve"> A cursory search of the EBC database yielded several examples of </w:t>
      </w:r>
      <w:r w:rsidR="0056684B" w:rsidRPr="002364AB">
        <w:rPr>
          <w:rFonts w:cs="Times New Roman"/>
          <w:kern w:val="22"/>
          <w:sz w:val="22"/>
          <w:lang w:val="en-GB"/>
        </w:rPr>
        <w:t xml:space="preserve">historic </w:t>
      </w:r>
      <w:r w:rsidRPr="002364AB">
        <w:rPr>
          <w:rFonts w:cs="Times New Roman"/>
          <w:kern w:val="22"/>
          <w:sz w:val="22"/>
          <w:lang w:val="en-GB"/>
        </w:rPr>
        <w:t xml:space="preserve">specimen entries with no </w:t>
      </w:r>
      <w:r w:rsidR="008B55E0" w:rsidRPr="002364AB">
        <w:rPr>
          <w:rFonts w:cs="Times New Roman"/>
          <w:kern w:val="22"/>
          <w:sz w:val="22"/>
          <w:lang w:val="en-GB"/>
        </w:rPr>
        <w:t>provider country</w:t>
      </w:r>
      <w:r w:rsidRPr="002364AB">
        <w:rPr>
          <w:rFonts w:cs="Times New Roman"/>
          <w:kern w:val="22"/>
          <w:sz w:val="22"/>
          <w:lang w:val="en-GB"/>
        </w:rPr>
        <w:t xml:space="preserve"> information and/or no IPLC information for uses which appeared to comprise associated traditional knowledge.</w:t>
      </w:r>
      <w:r w:rsidRPr="002364AB">
        <w:rPr>
          <w:rStyle w:val="FootnoteReference"/>
          <w:kern w:val="22"/>
          <w:sz w:val="22"/>
          <w:lang w:val="en-GB"/>
        </w:rPr>
        <w:footnoteReference w:id="93"/>
      </w:r>
      <w:r w:rsidRPr="002364AB">
        <w:rPr>
          <w:rFonts w:cs="Times New Roman"/>
          <w:kern w:val="22"/>
          <w:sz w:val="22"/>
          <w:lang w:val="en-GB"/>
        </w:rPr>
        <w:t xml:space="preserve"> </w:t>
      </w:r>
    </w:p>
    <w:p w14:paraId="06F2546B" w14:textId="77777777" w:rsidR="00100087" w:rsidRPr="002364AB" w:rsidRDefault="00100087" w:rsidP="00100087">
      <w:pPr>
        <w:rPr>
          <w:rFonts w:cs="Times New Roman"/>
          <w:b/>
          <w:i/>
          <w:kern w:val="22"/>
          <w:sz w:val="22"/>
          <w:lang w:val="en-GB"/>
        </w:rPr>
      </w:pPr>
      <w:r w:rsidRPr="002364AB">
        <w:rPr>
          <w:rFonts w:cs="Times New Roman"/>
          <w:i/>
          <w:kern w:val="22"/>
          <w:sz w:val="22"/>
          <w:lang w:val="en-GB"/>
        </w:rPr>
        <w:t>Herbaria</w:t>
      </w:r>
    </w:p>
    <w:p w14:paraId="199D5375" w14:textId="249FFF33" w:rsidR="00100087" w:rsidRPr="002364AB" w:rsidRDefault="00100087" w:rsidP="00100087">
      <w:pPr>
        <w:rPr>
          <w:rFonts w:cs="Times New Roman"/>
          <w:kern w:val="22"/>
          <w:sz w:val="22"/>
          <w:lang w:val="en-GB"/>
        </w:rPr>
      </w:pPr>
      <w:r w:rsidRPr="002364AB">
        <w:rPr>
          <w:rFonts w:cs="Times New Roman"/>
          <w:kern w:val="22"/>
          <w:sz w:val="22"/>
          <w:lang w:val="en-GB"/>
        </w:rPr>
        <w:t xml:space="preserve">Whereas botanical gardens are known primarily as repositories of living plant specimens, herbaria house dried and preserved plant samples that have been annotated with relevant identifying information on the location from which the sample was taken (which may not be the </w:t>
      </w:r>
      <w:r w:rsidR="004C60E6" w:rsidRPr="002364AB">
        <w:rPr>
          <w:rFonts w:cs="Times New Roman"/>
          <w:kern w:val="22"/>
          <w:sz w:val="22"/>
          <w:lang w:val="en-GB"/>
        </w:rPr>
        <w:t xml:space="preserve">provider </w:t>
      </w:r>
      <w:r w:rsidRPr="002364AB">
        <w:rPr>
          <w:rFonts w:cs="Times New Roman"/>
          <w:kern w:val="22"/>
          <w:sz w:val="22"/>
          <w:lang w:val="en-GB"/>
        </w:rPr>
        <w:t>country), the collector, date collected, phenotypic features, and uses, particularly from ethnobotanical collectors.</w:t>
      </w:r>
      <w:r w:rsidR="00E312BB" w:rsidRPr="002364AB">
        <w:rPr>
          <w:rFonts w:cs="Times New Roman"/>
          <w:kern w:val="22"/>
          <w:sz w:val="22"/>
          <w:lang w:val="en-GB"/>
        </w:rPr>
        <w:t xml:space="preserve"> </w:t>
      </w:r>
      <w:r w:rsidR="00CD1EE7" w:rsidRPr="002364AB">
        <w:rPr>
          <w:rFonts w:cs="Times New Roman"/>
          <w:kern w:val="22"/>
          <w:sz w:val="22"/>
          <w:lang w:val="en-GB"/>
        </w:rPr>
        <w:t xml:space="preserve">The Index </w:t>
      </w:r>
      <w:proofErr w:type="spellStart"/>
      <w:r w:rsidR="00CD1EE7" w:rsidRPr="002364AB">
        <w:rPr>
          <w:rFonts w:cs="Times New Roman"/>
          <w:kern w:val="22"/>
          <w:sz w:val="22"/>
          <w:lang w:val="en-GB"/>
        </w:rPr>
        <w:t>Herbariorum</w:t>
      </w:r>
      <w:proofErr w:type="spellEnd"/>
      <w:r w:rsidR="00CD1EE7" w:rsidRPr="002364AB">
        <w:rPr>
          <w:rFonts w:cs="Times New Roman"/>
          <w:kern w:val="22"/>
          <w:sz w:val="22"/>
          <w:lang w:val="en-GB"/>
        </w:rPr>
        <w:t xml:space="preserve"> listed 3324 active herbaria in the world as of 15 December 2019, which contained over 390 million specimens.</w:t>
      </w:r>
      <w:r w:rsidR="00CD1EE7" w:rsidRPr="002364AB">
        <w:rPr>
          <w:rStyle w:val="FootnoteReference"/>
          <w:rFonts w:cs="Times New Roman"/>
          <w:kern w:val="22"/>
          <w:sz w:val="22"/>
          <w:lang w:val="en-GB"/>
        </w:rPr>
        <w:footnoteReference w:id="94"/>
      </w:r>
      <w:r w:rsidR="00CD1EE7" w:rsidRPr="002364AB">
        <w:rPr>
          <w:rFonts w:cs="Times New Roman"/>
          <w:kern w:val="22"/>
          <w:sz w:val="22"/>
          <w:lang w:val="en-GB"/>
        </w:rPr>
        <w:t xml:space="preserve"> Many are associated with universities, museums, botanical gardens, or other research institutes.</w:t>
      </w:r>
      <w:r w:rsidR="00CD1EE7" w:rsidRPr="002364AB">
        <w:rPr>
          <w:rStyle w:val="FootnoteReference"/>
          <w:rFonts w:cs="Times New Roman"/>
          <w:kern w:val="22"/>
          <w:sz w:val="22"/>
          <w:lang w:val="en-GB"/>
        </w:rPr>
        <w:footnoteReference w:id="95"/>
      </w:r>
      <w:r w:rsidR="00CD1EE7" w:rsidRPr="002364AB">
        <w:rPr>
          <w:rFonts w:cs="Times New Roman"/>
          <w:kern w:val="22"/>
          <w:sz w:val="22"/>
          <w:lang w:val="en-GB"/>
        </w:rPr>
        <w:t xml:space="preserve"> </w:t>
      </w:r>
      <w:r w:rsidR="00FA1455" w:rsidRPr="002364AB">
        <w:rPr>
          <w:rFonts w:cs="Times New Roman"/>
          <w:kern w:val="22"/>
          <w:sz w:val="22"/>
          <w:lang w:val="en-GB"/>
        </w:rPr>
        <w:t xml:space="preserve">They </w:t>
      </w:r>
      <w:r w:rsidRPr="002364AB">
        <w:rPr>
          <w:rFonts w:cs="Times New Roman"/>
          <w:kern w:val="22"/>
          <w:sz w:val="22"/>
          <w:lang w:val="en-GB"/>
        </w:rPr>
        <w:t>are a rich source of information for research, educational, and even commercial purposes.</w:t>
      </w:r>
      <w:r w:rsidR="003150A7" w:rsidRPr="002364AB">
        <w:rPr>
          <w:rStyle w:val="FootnoteReference"/>
          <w:rFonts w:cs="Times New Roman"/>
          <w:kern w:val="22"/>
          <w:sz w:val="22"/>
          <w:lang w:val="en-GB"/>
        </w:rPr>
        <w:footnoteReference w:id="96"/>
      </w:r>
      <w:r w:rsidRPr="002364AB">
        <w:rPr>
          <w:rFonts w:cs="Times New Roman"/>
          <w:kern w:val="22"/>
          <w:sz w:val="22"/>
          <w:lang w:val="en-GB"/>
        </w:rPr>
        <w:t xml:space="preserve"> Developments in gene sequencing technology </w:t>
      </w:r>
      <w:r w:rsidR="007A5BE1" w:rsidRPr="002364AB">
        <w:rPr>
          <w:rFonts w:cs="Times New Roman"/>
          <w:kern w:val="22"/>
          <w:sz w:val="22"/>
          <w:lang w:val="en-GB"/>
        </w:rPr>
        <w:t xml:space="preserve">now allow </w:t>
      </w:r>
      <w:r w:rsidRPr="002364AB">
        <w:rPr>
          <w:rFonts w:cs="Times New Roman"/>
          <w:kern w:val="22"/>
          <w:sz w:val="22"/>
          <w:lang w:val="en-GB"/>
        </w:rPr>
        <w:t>for the analysis of herbaria specimens over 100 years old, including long-extinct species.</w:t>
      </w:r>
      <w:r w:rsidRPr="002364AB">
        <w:rPr>
          <w:rStyle w:val="FootnoteReference"/>
          <w:rFonts w:cs="Times New Roman"/>
          <w:kern w:val="22"/>
          <w:sz w:val="22"/>
          <w:lang w:val="en-GB"/>
        </w:rPr>
        <w:footnoteReference w:id="97"/>
      </w:r>
      <w:r w:rsidRPr="002364AB">
        <w:rPr>
          <w:rFonts w:cs="Times New Roman"/>
          <w:kern w:val="22"/>
          <w:sz w:val="22"/>
          <w:lang w:val="en-GB"/>
        </w:rPr>
        <w:t xml:space="preserve"> </w:t>
      </w:r>
      <w:r w:rsidR="004D4CEA" w:rsidRPr="002364AB">
        <w:rPr>
          <w:rFonts w:cs="Times New Roman"/>
          <w:kern w:val="22"/>
          <w:sz w:val="22"/>
          <w:lang w:val="en-GB"/>
        </w:rPr>
        <w:t xml:space="preserve">As with botanical gardens, culture collections, and other </w:t>
      </w:r>
      <w:r w:rsidR="004D4CEA" w:rsidRPr="002364AB">
        <w:rPr>
          <w:rFonts w:cs="Times New Roman"/>
          <w:i/>
          <w:iCs/>
          <w:kern w:val="22"/>
          <w:sz w:val="22"/>
          <w:lang w:val="en-GB"/>
        </w:rPr>
        <w:t>ex situ</w:t>
      </w:r>
      <w:r w:rsidR="004D4CEA" w:rsidRPr="002364AB">
        <w:rPr>
          <w:rFonts w:cs="Times New Roman"/>
          <w:kern w:val="22"/>
          <w:sz w:val="22"/>
          <w:lang w:val="en-GB"/>
        </w:rPr>
        <w:t xml:space="preserve"> repositories, some samples held by herbaria may be missing information on the </w:t>
      </w:r>
      <w:r w:rsidR="00EE0B2C" w:rsidRPr="002364AB">
        <w:rPr>
          <w:rFonts w:cs="Times New Roman"/>
          <w:kern w:val="22"/>
          <w:sz w:val="22"/>
          <w:lang w:val="en-GB"/>
        </w:rPr>
        <w:t xml:space="preserve">sample’s </w:t>
      </w:r>
      <w:r w:rsidR="004D4CEA" w:rsidRPr="002364AB">
        <w:rPr>
          <w:rFonts w:cs="Times New Roman"/>
          <w:kern w:val="22"/>
          <w:sz w:val="22"/>
          <w:lang w:val="en-GB"/>
        </w:rPr>
        <w:t>source o</w:t>
      </w:r>
      <w:r w:rsidR="00D8460E" w:rsidRPr="002364AB">
        <w:rPr>
          <w:rFonts w:cs="Times New Roman"/>
          <w:kern w:val="22"/>
          <w:sz w:val="22"/>
          <w:lang w:val="en-GB"/>
        </w:rPr>
        <w:t>r</w:t>
      </w:r>
      <w:r w:rsidR="004D4CEA" w:rsidRPr="002364AB">
        <w:rPr>
          <w:rFonts w:cs="Times New Roman"/>
          <w:kern w:val="22"/>
          <w:sz w:val="22"/>
          <w:lang w:val="en-GB"/>
        </w:rPr>
        <w:t xml:space="preserve"> origin.</w:t>
      </w:r>
      <w:r w:rsidR="0030782E" w:rsidRPr="002364AB">
        <w:rPr>
          <w:rStyle w:val="FootnoteReference"/>
          <w:rFonts w:cs="Times New Roman"/>
          <w:kern w:val="22"/>
          <w:sz w:val="22"/>
          <w:lang w:val="en-GB"/>
        </w:rPr>
        <w:footnoteReference w:id="98"/>
      </w:r>
    </w:p>
    <w:p w14:paraId="43976707" w14:textId="77777777" w:rsidR="00100087" w:rsidRPr="002364AB" w:rsidRDefault="00100087" w:rsidP="00100087">
      <w:pPr>
        <w:rPr>
          <w:rFonts w:cs="Times New Roman"/>
          <w:i/>
          <w:kern w:val="22"/>
          <w:sz w:val="22"/>
          <w:lang w:val="en-GB"/>
        </w:rPr>
      </w:pPr>
      <w:r w:rsidRPr="002364AB">
        <w:rPr>
          <w:rFonts w:cs="Times New Roman"/>
          <w:i/>
          <w:kern w:val="22"/>
          <w:sz w:val="22"/>
          <w:lang w:val="en-GB"/>
        </w:rPr>
        <w:t xml:space="preserve">Evolving approaches to utilization in </w:t>
      </w:r>
      <w:r w:rsidRPr="002364AB">
        <w:rPr>
          <w:rFonts w:cs="Times New Roman"/>
          <w:kern w:val="22"/>
          <w:sz w:val="22"/>
          <w:lang w:val="en-GB"/>
        </w:rPr>
        <w:t>ex situ</w:t>
      </w:r>
      <w:r w:rsidRPr="002364AB">
        <w:rPr>
          <w:rFonts w:cs="Times New Roman"/>
          <w:i/>
          <w:kern w:val="22"/>
          <w:sz w:val="22"/>
          <w:lang w:val="en-GB"/>
        </w:rPr>
        <w:t xml:space="preserve"> collections</w:t>
      </w:r>
    </w:p>
    <w:p w14:paraId="225841E0" w14:textId="03B5653B" w:rsidR="00100087" w:rsidRPr="002364AB" w:rsidRDefault="00100087" w:rsidP="00100087">
      <w:pPr>
        <w:rPr>
          <w:noProof/>
          <w:kern w:val="22"/>
          <w:sz w:val="22"/>
          <w:lang w:val="en-GB"/>
        </w:rPr>
      </w:pPr>
      <w:r w:rsidRPr="002364AB">
        <w:rPr>
          <w:rFonts w:cs="Times New Roman"/>
          <w:kern w:val="22"/>
          <w:sz w:val="22"/>
          <w:lang w:val="en-GB"/>
        </w:rPr>
        <w:t>The Consortium of European Taxonomic Facilities (CETAF) is</w:t>
      </w:r>
      <w:r w:rsidRPr="002364AB" w:rsidDel="00811667">
        <w:rPr>
          <w:rFonts w:cs="Times New Roman"/>
          <w:kern w:val="22"/>
          <w:sz w:val="22"/>
          <w:lang w:val="en-GB"/>
        </w:rPr>
        <w:t xml:space="preserve"> </w:t>
      </w:r>
      <w:r w:rsidRPr="002364AB">
        <w:rPr>
          <w:rFonts w:cs="Times New Roman"/>
          <w:kern w:val="22"/>
          <w:sz w:val="22"/>
          <w:lang w:val="en-GB"/>
        </w:rPr>
        <w:t>a consortium of</w:t>
      </w:r>
      <w:r w:rsidRPr="002364AB" w:rsidDel="00811667">
        <w:rPr>
          <w:rFonts w:cs="Times New Roman"/>
          <w:kern w:val="22"/>
          <w:sz w:val="22"/>
          <w:lang w:val="en-GB"/>
        </w:rPr>
        <w:t xml:space="preserve"> </w:t>
      </w:r>
      <w:r w:rsidR="003A49ED" w:rsidRPr="002364AB">
        <w:rPr>
          <w:rFonts w:cs="Times New Roman"/>
          <w:kern w:val="22"/>
          <w:sz w:val="22"/>
          <w:lang w:val="en-GB"/>
        </w:rPr>
        <w:t xml:space="preserve">“publicly funded </w:t>
      </w:r>
      <w:r w:rsidR="00C309CE" w:rsidRPr="002364AB">
        <w:rPr>
          <w:rFonts w:cs="Times New Roman"/>
          <w:kern w:val="22"/>
          <w:sz w:val="22"/>
          <w:lang w:val="en-GB"/>
        </w:rPr>
        <w:t>n</w:t>
      </w:r>
      <w:r w:rsidR="003A49ED" w:rsidRPr="002364AB">
        <w:rPr>
          <w:rFonts w:cs="Times New Roman"/>
          <w:kern w:val="22"/>
          <w:sz w:val="22"/>
          <w:lang w:val="en-GB"/>
        </w:rPr>
        <w:t xml:space="preserve">atural </w:t>
      </w:r>
      <w:r w:rsidR="00C309CE" w:rsidRPr="002364AB">
        <w:rPr>
          <w:rFonts w:cs="Times New Roman"/>
          <w:kern w:val="22"/>
          <w:sz w:val="22"/>
          <w:lang w:val="en-GB"/>
        </w:rPr>
        <w:t>s</w:t>
      </w:r>
      <w:r w:rsidR="003A49ED" w:rsidRPr="002364AB">
        <w:rPr>
          <w:rFonts w:cs="Times New Roman"/>
          <w:kern w:val="22"/>
          <w:sz w:val="22"/>
          <w:lang w:val="en-GB"/>
        </w:rPr>
        <w:t xml:space="preserve">cience </w:t>
      </w:r>
      <w:r w:rsidR="00C309CE" w:rsidRPr="002364AB">
        <w:rPr>
          <w:rFonts w:cs="Times New Roman"/>
          <w:kern w:val="22"/>
          <w:sz w:val="22"/>
          <w:lang w:val="en-GB"/>
        </w:rPr>
        <w:t>m</w:t>
      </w:r>
      <w:r w:rsidR="003A49ED" w:rsidRPr="002364AB">
        <w:rPr>
          <w:rFonts w:cs="Times New Roman"/>
          <w:kern w:val="22"/>
          <w:sz w:val="22"/>
          <w:lang w:val="en-GB"/>
        </w:rPr>
        <w:t xml:space="preserve">useums, </w:t>
      </w:r>
      <w:r w:rsidR="00C309CE" w:rsidRPr="002364AB">
        <w:rPr>
          <w:rFonts w:cs="Times New Roman"/>
          <w:kern w:val="22"/>
          <w:sz w:val="22"/>
          <w:lang w:val="en-GB"/>
        </w:rPr>
        <w:t>n</w:t>
      </w:r>
      <w:r w:rsidR="003A49ED" w:rsidRPr="002364AB">
        <w:rPr>
          <w:rFonts w:cs="Times New Roman"/>
          <w:kern w:val="22"/>
          <w:sz w:val="22"/>
          <w:lang w:val="en-GB"/>
        </w:rPr>
        <w:t xml:space="preserve">atural </w:t>
      </w:r>
      <w:r w:rsidR="00C309CE" w:rsidRPr="002364AB">
        <w:rPr>
          <w:rFonts w:cs="Times New Roman"/>
          <w:kern w:val="22"/>
          <w:sz w:val="22"/>
          <w:lang w:val="en-GB"/>
        </w:rPr>
        <w:t>h</w:t>
      </w:r>
      <w:r w:rsidR="003A49ED" w:rsidRPr="002364AB">
        <w:rPr>
          <w:rFonts w:cs="Times New Roman"/>
          <w:kern w:val="22"/>
          <w:sz w:val="22"/>
          <w:lang w:val="en-GB"/>
        </w:rPr>
        <w:t xml:space="preserve">istory </w:t>
      </w:r>
      <w:r w:rsidR="00C309CE" w:rsidRPr="002364AB">
        <w:rPr>
          <w:rFonts w:cs="Times New Roman"/>
          <w:kern w:val="22"/>
          <w:sz w:val="22"/>
          <w:lang w:val="en-GB"/>
        </w:rPr>
        <w:t>m</w:t>
      </w:r>
      <w:r w:rsidR="003A49ED" w:rsidRPr="002364AB">
        <w:rPr>
          <w:rFonts w:cs="Times New Roman"/>
          <w:kern w:val="22"/>
          <w:sz w:val="22"/>
          <w:lang w:val="en-GB"/>
        </w:rPr>
        <w:t xml:space="preserve">useums, </w:t>
      </w:r>
      <w:r w:rsidR="00C309CE" w:rsidRPr="002364AB">
        <w:rPr>
          <w:rFonts w:cs="Times New Roman"/>
          <w:kern w:val="22"/>
          <w:sz w:val="22"/>
          <w:lang w:val="en-GB"/>
        </w:rPr>
        <w:t>b</w:t>
      </w:r>
      <w:r w:rsidR="003A49ED" w:rsidRPr="002364AB">
        <w:rPr>
          <w:rFonts w:cs="Times New Roman"/>
          <w:kern w:val="22"/>
          <w:sz w:val="22"/>
          <w:lang w:val="en-GB"/>
        </w:rPr>
        <w:t xml:space="preserve">otanic </w:t>
      </w:r>
      <w:r w:rsidR="00C309CE" w:rsidRPr="002364AB">
        <w:rPr>
          <w:rFonts w:cs="Times New Roman"/>
          <w:kern w:val="22"/>
          <w:sz w:val="22"/>
          <w:lang w:val="en-GB"/>
        </w:rPr>
        <w:t>g</w:t>
      </w:r>
      <w:r w:rsidR="003A49ED" w:rsidRPr="002364AB">
        <w:rPr>
          <w:rFonts w:cs="Times New Roman"/>
          <w:kern w:val="22"/>
          <w:sz w:val="22"/>
          <w:lang w:val="en-GB"/>
        </w:rPr>
        <w:t xml:space="preserve">ardens and </w:t>
      </w:r>
      <w:r w:rsidR="00C309CE" w:rsidRPr="002364AB">
        <w:rPr>
          <w:rFonts w:cs="Times New Roman"/>
          <w:kern w:val="22"/>
          <w:sz w:val="22"/>
          <w:lang w:val="en-GB"/>
        </w:rPr>
        <w:t>b</w:t>
      </w:r>
      <w:r w:rsidR="003A49ED" w:rsidRPr="002364AB">
        <w:rPr>
          <w:rFonts w:cs="Times New Roman"/>
          <w:kern w:val="22"/>
          <w:sz w:val="22"/>
          <w:lang w:val="en-GB"/>
        </w:rPr>
        <w:t xml:space="preserve">iodiversity </w:t>
      </w:r>
      <w:r w:rsidR="00C309CE" w:rsidRPr="002364AB">
        <w:rPr>
          <w:rFonts w:cs="Times New Roman"/>
          <w:kern w:val="22"/>
          <w:sz w:val="22"/>
          <w:lang w:val="en-GB"/>
        </w:rPr>
        <w:t>r</w:t>
      </w:r>
      <w:r w:rsidR="003A49ED" w:rsidRPr="002364AB">
        <w:rPr>
          <w:rFonts w:cs="Times New Roman"/>
          <w:kern w:val="22"/>
          <w:sz w:val="22"/>
          <w:lang w:val="en-GB"/>
        </w:rPr>
        <w:t xml:space="preserve">esearch </w:t>
      </w:r>
      <w:r w:rsidR="00C309CE" w:rsidRPr="002364AB">
        <w:rPr>
          <w:rFonts w:cs="Times New Roman"/>
          <w:kern w:val="22"/>
          <w:sz w:val="22"/>
          <w:lang w:val="en-GB"/>
        </w:rPr>
        <w:t>c</w:t>
      </w:r>
      <w:r w:rsidR="003A49ED" w:rsidRPr="002364AB">
        <w:rPr>
          <w:rFonts w:cs="Times New Roman"/>
          <w:kern w:val="22"/>
          <w:sz w:val="22"/>
          <w:lang w:val="en-GB"/>
        </w:rPr>
        <w:t xml:space="preserve">entres engaged in taxonomic research and promoting </w:t>
      </w:r>
      <w:r w:rsidRPr="002364AB">
        <w:rPr>
          <w:rFonts w:cs="Times New Roman"/>
          <w:kern w:val="22"/>
          <w:sz w:val="22"/>
          <w:lang w:val="en-GB"/>
        </w:rPr>
        <w:t>training, research and understanding of systematic biology</w:t>
      </w:r>
      <w:r w:rsidR="003A49ED" w:rsidRPr="002364AB">
        <w:rPr>
          <w:rFonts w:cs="Times New Roman"/>
          <w:kern w:val="22"/>
          <w:sz w:val="22"/>
          <w:lang w:val="en-GB"/>
        </w:rPr>
        <w:t>,</w:t>
      </w:r>
      <w:r w:rsidRPr="002364AB">
        <w:rPr>
          <w:rFonts w:cs="Times New Roman"/>
          <w:kern w:val="22"/>
          <w:sz w:val="22"/>
          <w:lang w:val="en-GB"/>
        </w:rPr>
        <w:t xml:space="preserve"> </w:t>
      </w:r>
      <w:proofErr w:type="spellStart"/>
      <w:r w:rsidRPr="002364AB">
        <w:rPr>
          <w:rFonts w:cs="Times New Roman"/>
          <w:kern w:val="22"/>
          <w:sz w:val="22"/>
          <w:lang w:val="en-GB"/>
        </w:rPr>
        <w:t>palaeobiology</w:t>
      </w:r>
      <w:proofErr w:type="spellEnd"/>
      <w:r w:rsidR="003A49ED" w:rsidRPr="002364AB">
        <w:rPr>
          <w:rFonts w:cs="Times New Roman"/>
          <w:kern w:val="22"/>
          <w:sz w:val="22"/>
          <w:lang w:val="en-GB"/>
        </w:rPr>
        <w:t xml:space="preserve"> and earth sciences</w:t>
      </w:r>
      <w:r w:rsidRPr="002364AB">
        <w:rPr>
          <w:rFonts w:cs="Times New Roman"/>
          <w:kern w:val="22"/>
          <w:sz w:val="22"/>
          <w:lang w:val="en-GB"/>
        </w:rPr>
        <w:t xml:space="preserve">. CETAF institutions hold significant </w:t>
      </w:r>
      <w:r w:rsidR="003B7289" w:rsidRPr="002364AB">
        <w:rPr>
          <w:rFonts w:cs="Times New Roman"/>
          <w:kern w:val="22"/>
          <w:sz w:val="22"/>
          <w:lang w:val="en-GB"/>
        </w:rPr>
        <w:t xml:space="preserve">zoological, botanical, </w:t>
      </w:r>
      <w:proofErr w:type="spellStart"/>
      <w:r w:rsidR="003B7289" w:rsidRPr="002364AB">
        <w:rPr>
          <w:rFonts w:cs="Times New Roman"/>
          <w:kern w:val="22"/>
          <w:sz w:val="22"/>
          <w:lang w:val="en-GB"/>
        </w:rPr>
        <w:t>palaeobiological</w:t>
      </w:r>
      <w:proofErr w:type="spellEnd"/>
      <w:r w:rsidR="003B7289" w:rsidRPr="002364AB">
        <w:rPr>
          <w:rFonts w:cs="Times New Roman"/>
          <w:kern w:val="22"/>
          <w:sz w:val="22"/>
          <w:lang w:val="en-GB"/>
        </w:rPr>
        <w:t>, palaeontological and geological collections</w:t>
      </w:r>
      <w:r w:rsidR="00847823" w:rsidRPr="002364AB">
        <w:rPr>
          <w:rFonts w:cs="Times New Roman"/>
          <w:kern w:val="22"/>
          <w:sz w:val="22"/>
          <w:lang w:val="en-GB"/>
        </w:rPr>
        <w:t>.</w:t>
      </w:r>
      <w:r w:rsidR="003B7289" w:rsidRPr="002364AB" w:rsidDel="003B7289">
        <w:rPr>
          <w:rFonts w:cs="Times New Roman"/>
          <w:kern w:val="22"/>
          <w:sz w:val="22"/>
          <w:lang w:val="en-GB"/>
        </w:rPr>
        <w:t xml:space="preserve"> </w:t>
      </w:r>
      <w:r w:rsidR="00FB4908" w:rsidRPr="002364AB">
        <w:rPr>
          <w:rFonts w:cs="Times New Roman"/>
          <w:kern w:val="22"/>
          <w:sz w:val="22"/>
          <w:lang w:val="en-GB"/>
        </w:rPr>
        <w:t xml:space="preserve">CETAF developed a Code of Conduct and Best Practice for Access and Benefit Sharing to assist taxonomists and biodiversity researchers in their obligations resulting from the CBD and the Nagoya Protocol. The CETAF Code of Conduct is the first acknowledged best practice under Art. 8 </w:t>
      </w:r>
      <w:r w:rsidR="00C35F0A" w:rsidRPr="002364AB">
        <w:rPr>
          <w:rFonts w:cs="Times New Roman"/>
          <w:kern w:val="22"/>
          <w:sz w:val="22"/>
          <w:lang w:val="en-GB"/>
        </w:rPr>
        <w:t xml:space="preserve">of </w:t>
      </w:r>
      <w:r w:rsidR="00FB4908" w:rsidRPr="002364AB">
        <w:rPr>
          <w:rFonts w:cs="Times New Roman"/>
          <w:kern w:val="22"/>
          <w:sz w:val="22"/>
          <w:lang w:val="en-GB"/>
        </w:rPr>
        <w:t>Regulation (EU) No 511/2014</w:t>
      </w:r>
      <w:r w:rsidR="007E16DB" w:rsidRPr="002364AB">
        <w:rPr>
          <w:rFonts w:cs="Times New Roman"/>
          <w:kern w:val="22"/>
          <w:sz w:val="22"/>
          <w:lang w:val="en-GB"/>
        </w:rPr>
        <w:t>.</w:t>
      </w:r>
      <w:r w:rsidR="007E16DB" w:rsidRPr="002364AB">
        <w:rPr>
          <w:rStyle w:val="FootnoteReference"/>
          <w:noProof/>
          <w:kern w:val="22"/>
          <w:sz w:val="22"/>
          <w:lang w:val="en-GB"/>
        </w:rPr>
        <w:footnoteReference w:id="99"/>
      </w:r>
      <w:r w:rsidR="00FB4908" w:rsidRPr="002364AB">
        <w:rPr>
          <w:rFonts w:cs="Times New Roman"/>
          <w:kern w:val="22"/>
          <w:sz w:val="22"/>
          <w:lang w:val="en-GB"/>
        </w:rPr>
        <w:t xml:space="preserve"> </w:t>
      </w:r>
      <w:r w:rsidRPr="002364AB">
        <w:rPr>
          <w:noProof/>
          <w:kern w:val="22"/>
          <w:sz w:val="22"/>
          <w:lang w:val="en-GB"/>
        </w:rPr>
        <w:t xml:space="preserve"> </w:t>
      </w:r>
      <w:r w:rsidR="00DA0D34" w:rsidRPr="002364AB">
        <w:rPr>
          <w:noProof/>
          <w:kern w:val="22"/>
          <w:sz w:val="22"/>
          <w:lang w:val="en-GB"/>
        </w:rPr>
        <w:t xml:space="preserve">CETAF </w:t>
      </w:r>
      <w:r w:rsidR="00F44FCA" w:rsidRPr="002364AB">
        <w:rPr>
          <w:noProof/>
          <w:kern w:val="22"/>
          <w:sz w:val="22"/>
          <w:lang w:val="en-GB"/>
        </w:rPr>
        <w:t xml:space="preserve">Member institutions approved the Code of Conduct </w:t>
      </w:r>
      <w:r w:rsidR="0090294E" w:rsidRPr="002364AB">
        <w:rPr>
          <w:noProof/>
          <w:kern w:val="22"/>
          <w:sz w:val="22"/>
          <w:lang w:val="en-GB"/>
        </w:rPr>
        <w:t xml:space="preserve">for application </w:t>
      </w:r>
      <w:r w:rsidRPr="002364AB">
        <w:rPr>
          <w:noProof/>
          <w:kern w:val="22"/>
          <w:sz w:val="22"/>
          <w:lang w:val="en-GB"/>
        </w:rPr>
        <w:t>as far as reasonably possible to biological material in their collections.</w:t>
      </w:r>
      <w:r w:rsidRPr="002364AB">
        <w:rPr>
          <w:rStyle w:val="FootnoteReference"/>
          <w:noProof/>
          <w:kern w:val="22"/>
          <w:sz w:val="22"/>
          <w:lang w:val="en-GB"/>
        </w:rPr>
        <w:footnoteReference w:id="100"/>
      </w:r>
      <w:r w:rsidRPr="002364AB">
        <w:rPr>
          <w:noProof/>
          <w:kern w:val="22"/>
          <w:sz w:val="22"/>
          <w:lang w:val="en-GB"/>
        </w:rPr>
        <w:t xml:space="preserve"> </w:t>
      </w:r>
    </w:p>
    <w:p w14:paraId="2EE3E90C" w14:textId="72886A65" w:rsidR="00100087" w:rsidRPr="002364AB" w:rsidRDefault="00100087" w:rsidP="00100087">
      <w:pPr>
        <w:rPr>
          <w:noProof/>
          <w:kern w:val="22"/>
          <w:sz w:val="22"/>
          <w:lang w:val="en-GB"/>
        </w:rPr>
      </w:pPr>
      <w:r w:rsidRPr="002364AB">
        <w:rPr>
          <w:noProof/>
          <w:kern w:val="22"/>
          <w:sz w:val="22"/>
          <w:lang w:val="en-GB"/>
        </w:rPr>
        <w:t>When acquiring or receiving biological material for purposes other than utilization</w:t>
      </w:r>
      <w:r w:rsidR="00F1524C" w:rsidRPr="002364AB">
        <w:rPr>
          <w:rStyle w:val="FootnoteReference"/>
          <w:noProof/>
          <w:kern w:val="22"/>
          <w:sz w:val="22"/>
          <w:lang w:val="en-GB"/>
        </w:rPr>
        <w:footnoteReference w:id="101"/>
      </w:r>
      <w:r w:rsidRPr="002364AB">
        <w:rPr>
          <w:noProof/>
          <w:kern w:val="22"/>
          <w:sz w:val="22"/>
          <w:lang w:val="en-GB"/>
        </w:rPr>
        <w:t xml:space="preserve"> from </w:t>
      </w:r>
      <w:r w:rsidRPr="002364AB">
        <w:rPr>
          <w:i/>
          <w:iCs/>
          <w:noProof/>
          <w:kern w:val="22"/>
          <w:sz w:val="22"/>
          <w:lang w:val="en-GB"/>
        </w:rPr>
        <w:t xml:space="preserve">ex situ </w:t>
      </w:r>
      <w:r w:rsidRPr="002364AB">
        <w:rPr>
          <w:noProof/>
          <w:kern w:val="22"/>
          <w:sz w:val="22"/>
          <w:lang w:val="en-GB"/>
        </w:rPr>
        <w:t xml:space="preserve">sources, CETAF institutions will evaluate </w:t>
      </w:r>
      <w:r w:rsidR="00942753" w:rsidRPr="002364AB">
        <w:rPr>
          <w:noProof/>
          <w:kern w:val="22"/>
          <w:sz w:val="22"/>
          <w:lang w:val="en-GB"/>
        </w:rPr>
        <w:t>the material’s</w:t>
      </w:r>
      <w:r w:rsidRPr="002364AB">
        <w:rPr>
          <w:noProof/>
          <w:kern w:val="22"/>
          <w:sz w:val="22"/>
          <w:lang w:val="en-GB"/>
        </w:rPr>
        <w:t xml:space="preserve"> provenance and available documentation, to ensure that it was acquired in accordance with applicable law and that its legal status is clear.</w:t>
      </w:r>
      <w:r w:rsidRPr="002364AB">
        <w:rPr>
          <w:rStyle w:val="FootnoteReference"/>
          <w:noProof/>
          <w:kern w:val="22"/>
          <w:sz w:val="22"/>
          <w:lang w:val="en-GB"/>
        </w:rPr>
        <w:footnoteReference w:id="102"/>
      </w:r>
      <w:r w:rsidRPr="002364AB">
        <w:rPr>
          <w:noProof/>
          <w:kern w:val="22"/>
          <w:sz w:val="22"/>
          <w:lang w:val="en-GB"/>
        </w:rPr>
        <w:t xml:space="preserve"> In cases where material is obtained for utilization, CETAF institutions will evaluate its provenance and available documentation and, where necessary, take appropriate steps to ensure that it was legally accessed and can </w:t>
      </w:r>
      <w:r w:rsidR="00F50D9C" w:rsidRPr="002364AB">
        <w:rPr>
          <w:noProof/>
          <w:kern w:val="22"/>
          <w:sz w:val="22"/>
          <w:lang w:val="en-GB"/>
        </w:rPr>
        <w:t xml:space="preserve">thus </w:t>
      </w:r>
      <w:r w:rsidRPr="002364AB">
        <w:rPr>
          <w:noProof/>
          <w:kern w:val="22"/>
          <w:sz w:val="22"/>
          <w:lang w:val="en-GB"/>
        </w:rPr>
        <w:t>be legally utilized.</w:t>
      </w:r>
      <w:r w:rsidRPr="002364AB">
        <w:rPr>
          <w:rStyle w:val="FootnoteReference"/>
          <w:noProof/>
          <w:kern w:val="22"/>
          <w:sz w:val="22"/>
          <w:lang w:val="en-GB"/>
        </w:rPr>
        <w:footnoteReference w:id="103"/>
      </w:r>
      <w:r w:rsidRPr="002364AB">
        <w:rPr>
          <w:noProof/>
          <w:kern w:val="22"/>
          <w:sz w:val="22"/>
          <w:lang w:val="en-GB"/>
        </w:rPr>
        <w:t xml:space="preserve"> Member institutions also will strive to share benefits from new utilizations of genetic resources accessed or otherwised acquired prior to the entry into force of the Nagoya Protocol, as far as reasonably possible, in the same manner as for those acquired thereafter – while not accepting responsibility for any retroactive claims.</w:t>
      </w:r>
      <w:r w:rsidRPr="002364AB">
        <w:rPr>
          <w:rStyle w:val="FootnoteReference"/>
          <w:noProof/>
          <w:kern w:val="22"/>
          <w:sz w:val="22"/>
          <w:lang w:val="en-GB"/>
        </w:rPr>
        <w:footnoteReference w:id="104"/>
      </w:r>
    </w:p>
    <w:p w14:paraId="78702D73" w14:textId="77777777" w:rsidR="00100087" w:rsidRPr="002364AB" w:rsidRDefault="00100087" w:rsidP="00100087">
      <w:pPr>
        <w:rPr>
          <w:rFonts w:eastAsia="Times New Roman" w:cs="Times New Roman"/>
          <w:kern w:val="22"/>
          <w:sz w:val="22"/>
          <w:lang w:val="en-GB"/>
        </w:rPr>
      </w:pPr>
      <w:r w:rsidRPr="002364AB">
        <w:rPr>
          <w:noProof/>
          <w:kern w:val="22"/>
          <w:sz w:val="22"/>
          <w:lang w:val="en-GB"/>
        </w:rPr>
        <w:t xml:space="preserve">The </w:t>
      </w:r>
      <w:proofErr w:type="spellStart"/>
      <w:r w:rsidRPr="002364AB">
        <w:rPr>
          <w:kern w:val="22"/>
          <w:sz w:val="22"/>
          <w:lang w:val="en-GB"/>
        </w:rPr>
        <w:t>Muséum</w:t>
      </w:r>
      <w:proofErr w:type="spellEnd"/>
      <w:r w:rsidRPr="002364AB">
        <w:rPr>
          <w:kern w:val="22"/>
          <w:sz w:val="22"/>
          <w:lang w:val="en-GB"/>
        </w:rPr>
        <w:t xml:space="preserve"> National </w:t>
      </w:r>
      <w:proofErr w:type="spellStart"/>
      <w:r w:rsidRPr="002364AB">
        <w:rPr>
          <w:kern w:val="22"/>
          <w:sz w:val="22"/>
          <w:lang w:val="en-GB"/>
        </w:rPr>
        <w:t>d’Histoire</w:t>
      </w:r>
      <w:proofErr w:type="spellEnd"/>
      <w:r w:rsidRPr="002364AB">
        <w:rPr>
          <w:kern w:val="22"/>
          <w:sz w:val="22"/>
          <w:lang w:val="en-GB"/>
        </w:rPr>
        <w:t xml:space="preserve"> Naturelle (MNHN), a CETAF member, faces challenges in the matter of access to its collections. MNHN </w:t>
      </w:r>
      <w:r w:rsidRPr="002364AB">
        <w:rPr>
          <w:rFonts w:eastAsia="Times New Roman" w:cs="Times New Roman"/>
          <w:kern w:val="22"/>
          <w:sz w:val="22"/>
          <w:lang w:val="en-GB"/>
        </w:rPr>
        <w:t xml:space="preserve">plays a dual role consisting of preserving collections and hosting researchers. As such, it is a provider of </w:t>
      </w:r>
      <w:r w:rsidRPr="002364AB">
        <w:rPr>
          <w:rFonts w:eastAsia="Times New Roman" w:cs="Times New Roman"/>
          <w:i/>
          <w:iCs/>
          <w:kern w:val="22"/>
          <w:sz w:val="22"/>
          <w:lang w:val="en-GB"/>
        </w:rPr>
        <w:t>ex situ</w:t>
      </w:r>
      <w:r w:rsidRPr="002364AB">
        <w:rPr>
          <w:rFonts w:eastAsia="Times New Roman" w:cs="Times New Roman"/>
          <w:kern w:val="22"/>
          <w:sz w:val="22"/>
          <w:lang w:val="en-GB"/>
        </w:rPr>
        <w:t xml:space="preserve"> genetic resources to which it must ensure access for different groups of researchers: MNHN staff who conduct research on collections, and external and worldwide researchers who are hosted temporarily to study collections. MNHN researchers also often lend specimens to other scientific museums and research </w:t>
      </w:r>
      <w:proofErr w:type="spellStart"/>
      <w:r w:rsidRPr="002364AB">
        <w:rPr>
          <w:rFonts w:eastAsia="Times New Roman" w:cs="Times New Roman"/>
          <w:kern w:val="22"/>
          <w:sz w:val="22"/>
          <w:lang w:val="en-GB"/>
        </w:rPr>
        <w:t>centers</w:t>
      </w:r>
      <w:proofErr w:type="spellEnd"/>
      <w:r w:rsidRPr="002364AB">
        <w:rPr>
          <w:rFonts w:eastAsia="Times New Roman" w:cs="Times New Roman"/>
          <w:kern w:val="22"/>
          <w:sz w:val="22"/>
          <w:lang w:val="en-GB"/>
        </w:rPr>
        <w:t xml:space="preserve">. It is presently regularizing its practices in line with the requirements set out in the Nagoya Protocol by developing digital tools to ensure traceability by recording all legal documents and ABS obligations linked to collections databases. This will include a designated ‘Nagoya database’ separate from, but complementary to, collections databases that will allow managers to know of any rights and possible restrictions on use and utilization of the specimens requested for a loan, a sample or a study. </w:t>
      </w:r>
    </w:p>
    <w:p w14:paraId="645F0866" w14:textId="2B9EA676" w:rsidR="00100087" w:rsidRPr="002364AB" w:rsidRDefault="00100087" w:rsidP="00D67C7E">
      <w:pPr>
        <w:rPr>
          <w:rFonts w:cs="Times New Roman"/>
          <w:kern w:val="22"/>
          <w:sz w:val="22"/>
          <w:lang w:val="en-GB"/>
        </w:rPr>
      </w:pPr>
      <w:r w:rsidRPr="002364AB">
        <w:rPr>
          <w:rFonts w:eastAsia="Times New Roman" w:cs="Times New Roman"/>
          <w:kern w:val="22"/>
          <w:sz w:val="22"/>
          <w:lang w:val="en-GB"/>
        </w:rPr>
        <w:t xml:space="preserve">The </w:t>
      </w:r>
      <w:r w:rsidRPr="002364AB">
        <w:rPr>
          <w:kern w:val="22"/>
          <w:sz w:val="22"/>
          <w:lang w:val="en-GB"/>
        </w:rPr>
        <w:t>French law implementing the Nagoya Protocol</w:t>
      </w:r>
      <w:r w:rsidR="00A10F90" w:rsidRPr="002364AB">
        <w:rPr>
          <w:kern w:val="22"/>
          <w:sz w:val="22"/>
          <w:lang w:val="en-GB"/>
        </w:rPr>
        <w:t xml:space="preserve"> </w:t>
      </w:r>
      <w:r w:rsidRPr="002364AB">
        <w:rPr>
          <w:kern w:val="22"/>
          <w:sz w:val="22"/>
          <w:lang w:val="en-GB"/>
        </w:rPr>
        <w:t xml:space="preserve">establishes </w:t>
      </w:r>
      <w:r w:rsidR="00A10F90" w:rsidRPr="002364AB">
        <w:rPr>
          <w:kern w:val="22"/>
          <w:sz w:val="22"/>
          <w:lang w:val="en-GB"/>
        </w:rPr>
        <w:t xml:space="preserve">that </w:t>
      </w:r>
      <w:r w:rsidRPr="002364AB">
        <w:rPr>
          <w:kern w:val="22"/>
          <w:sz w:val="22"/>
          <w:lang w:val="en-GB"/>
        </w:rPr>
        <w:t xml:space="preserve">a ‘new utilization’ </w:t>
      </w:r>
      <w:r w:rsidR="000A4FC1" w:rsidRPr="002364AB">
        <w:rPr>
          <w:kern w:val="22"/>
          <w:sz w:val="22"/>
          <w:lang w:val="en-GB"/>
        </w:rPr>
        <w:t xml:space="preserve">triggers </w:t>
      </w:r>
      <w:r w:rsidR="001A0CD7" w:rsidRPr="002364AB">
        <w:rPr>
          <w:kern w:val="22"/>
          <w:sz w:val="22"/>
          <w:lang w:val="en-GB"/>
        </w:rPr>
        <w:t xml:space="preserve">ABS obligations </w:t>
      </w:r>
      <w:r w:rsidRPr="002364AB">
        <w:rPr>
          <w:kern w:val="22"/>
          <w:sz w:val="22"/>
          <w:lang w:val="en-GB"/>
        </w:rPr>
        <w:t xml:space="preserve">when </w:t>
      </w:r>
      <w:r w:rsidR="001A0CD7" w:rsidRPr="002364AB">
        <w:rPr>
          <w:kern w:val="22"/>
          <w:sz w:val="22"/>
          <w:lang w:val="en-GB"/>
        </w:rPr>
        <w:t xml:space="preserve">there is </w:t>
      </w:r>
      <w:r w:rsidRPr="002364AB">
        <w:rPr>
          <w:kern w:val="22"/>
          <w:sz w:val="22"/>
          <w:lang w:val="en-GB"/>
        </w:rPr>
        <w:t>commercial intent</w:t>
      </w:r>
      <w:r w:rsidR="004733EB" w:rsidRPr="002364AB">
        <w:rPr>
          <w:kern w:val="22"/>
          <w:sz w:val="22"/>
          <w:lang w:val="en-GB"/>
        </w:rPr>
        <w:t>.</w:t>
      </w:r>
      <w:r w:rsidRPr="002364AB">
        <w:rPr>
          <w:rStyle w:val="FootnoteReference"/>
          <w:kern w:val="22"/>
          <w:sz w:val="22"/>
          <w:lang w:val="en-GB"/>
        </w:rPr>
        <w:footnoteReference w:id="105"/>
      </w:r>
      <w:r w:rsidRPr="002364AB">
        <w:rPr>
          <w:kern w:val="22"/>
          <w:sz w:val="22"/>
          <w:lang w:val="en-GB"/>
        </w:rPr>
        <w:t xml:space="preserve"> </w:t>
      </w:r>
      <w:r w:rsidR="004733EB" w:rsidRPr="002364AB">
        <w:rPr>
          <w:kern w:val="22"/>
          <w:sz w:val="22"/>
          <w:lang w:val="en-GB"/>
        </w:rPr>
        <w:t xml:space="preserve">This </w:t>
      </w:r>
      <w:r w:rsidRPr="002364AB">
        <w:rPr>
          <w:kern w:val="22"/>
          <w:sz w:val="22"/>
          <w:lang w:val="en-GB"/>
        </w:rPr>
        <w:t xml:space="preserve">brings – at </w:t>
      </w:r>
      <w:r w:rsidR="00543A23" w:rsidRPr="002364AB">
        <w:rPr>
          <w:kern w:val="22"/>
          <w:sz w:val="22"/>
          <w:lang w:val="en-GB"/>
        </w:rPr>
        <w:t xml:space="preserve">a </w:t>
      </w:r>
      <w:r w:rsidRPr="002364AB">
        <w:rPr>
          <w:kern w:val="22"/>
          <w:sz w:val="22"/>
          <w:lang w:val="en-GB"/>
        </w:rPr>
        <w:t xml:space="preserve">minimum – biological material and associated traditional knowledge collected after the entry into force of the CBD within </w:t>
      </w:r>
      <w:r w:rsidR="004733EB" w:rsidRPr="002364AB">
        <w:rPr>
          <w:kern w:val="22"/>
          <w:sz w:val="22"/>
          <w:lang w:val="en-GB"/>
        </w:rPr>
        <w:t xml:space="preserve">the scope of the law </w:t>
      </w:r>
      <w:r w:rsidRPr="002364AB">
        <w:rPr>
          <w:kern w:val="22"/>
          <w:sz w:val="22"/>
          <w:lang w:val="en-GB"/>
        </w:rPr>
        <w:t>and</w:t>
      </w:r>
      <w:r w:rsidR="00A21D79" w:rsidRPr="002364AB">
        <w:rPr>
          <w:kern w:val="22"/>
          <w:sz w:val="22"/>
          <w:lang w:val="en-GB"/>
        </w:rPr>
        <w:t>,</w:t>
      </w:r>
      <w:r w:rsidRPr="002364AB">
        <w:rPr>
          <w:kern w:val="22"/>
          <w:sz w:val="22"/>
          <w:lang w:val="en-GB"/>
        </w:rPr>
        <w:t xml:space="preserve"> possibly, material and associated traditional knowledge collected beforehand. This is leading to a rethinking of access to MNHN’s </w:t>
      </w:r>
      <w:r w:rsidR="005611D1" w:rsidRPr="002364AB">
        <w:rPr>
          <w:kern w:val="22"/>
          <w:sz w:val="22"/>
          <w:lang w:val="en-GB"/>
        </w:rPr>
        <w:t xml:space="preserve">pre-Nagoya </w:t>
      </w:r>
      <w:r w:rsidRPr="002364AB">
        <w:rPr>
          <w:kern w:val="22"/>
          <w:sz w:val="22"/>
          <w:lang w:val="en-GB"/>
        </w:rPr>
        <w:t>botany collections</w:t>
      </w:r>
      <w:r w:rsidR="00926E28" w:rsidRPr="002364AB">
        <w:rPr>
          <w:kern w:val="22"/>
          <w:sz w:val="22"/>
          <w:lang w:val="en-GB"/>
        </w:rPr>
        <w:t xml:space="preserve"> for utilization</w:t>
      </w:r>
      <w:r w:rsidRPr="002364AB">
        <w:rPr>
          <w:kern w:val="22"/>
          <w:sz w:val="22"/>
          <w:lang w:val="en-GB"/>
        </w:rPr>
        <w:t>.</w:t>
      </w:r>
      <w:r w:rsidRPr="002364AB">
        <w:rPr>
          <w:rStyle w:val="FootnoteReference"/>
          <w:kern w:val="22"/>
          <w:sz w:val="22"/>
          <w:lang w:val="en-GB"/>
        </w:rPr>
        <w:footnoteReference w:id="106"/>
      </w:r>
      <w:r w:rsidRPr="002364AB">
        <w:rPr>
          <w:kern w:val="22"/>
          <w:sz w:val="22"/>
          <w:lang w:val="en-GB"/>
        </w:rPr>
        <w:t xml:space="preserve"> This </w:t>
      </w:r>
      <w:r w:rsidR="00C24E0F" w:rsidRPr="002364AB">
        <w:rPr>
          <w:kern w:val="22"/>
          <w:sz w:val="22"/>
          <w:lang w:val="en-GB"/>
        </w:rPr>
        <w:t xml:space="preserve">may </w:t>
      </w:r>
      <w:r w:rsidRPr="002364AB">
        <w:rPr>
          <w:kern w:val="22"/>
          <w:sz w:val="22"/>
          <w:lang w:val="en-GB"/>
        </w:rPr>
        <w:t>be a challenge faced by herbaria</w:t>
      </w:r>
      <w:r w:rsidR="00C24E0F" w:rsidRPr="002364AB">
        <w:rPr>
          <w:kern w:val="22"/>
          <w:sz w:val="22"/>
          <w:lang w:val="en-GB"/>
        </w:rPr>
        <w:t xml:space="preserve"> and other types of </w:t>
      </w:r>
      <w:r w:rsidR="00C24E0F" w:rsidRPr="002364AB">
        <w:rPr>
          <w:i/>
          <w:iCs/>
          <w:kern w:val="22"/>
          <w:sz w:val="22"/>
          <w:lang w:val="en-GB"/>
        </w:rPr>
        <w:t>ex situ</w:t>
      </w:r>
      <w:r w:rsidR="00C24E0F" w:rsidRPr="002364AB">
        <w:rPr>
          <w:kern w:val="22"/>
          <w:sz w:val="22"/>
          <w:lang w:val="en-GB"/>
        </w:rPr>
        <w:t xml:space="preserve"> collections</w:t>
      </w:r>
      <w:r w:rsidRPr="002364AB">
        <w:rPr>
          <w:kern w:val="22"/>
          <w:sz w:val="22"/>
          <w:lang w:val="en-GB"/>
        </w:rPr>
        <w:t xml:space="preserve"> located in </w:t>
      </w:r>
      <w:r w:rsidR="00E96E4F" w:rsidRPr="002364AB">
        <w:rPr>
          <w:kern w:val="22"/>
          <w:sz w:val="22"/>
          <w:lang w:val="en-GB"/>
        </w:rPr>
        <w:t xml:space="preserve">other </w:t>
      </w:r>
      <w:r w:rsidRPr="002364AB">
        <w:rPr>
          <w:kern w:val="22"/>
          <w:sz w:val="22"/>
          <w:lang w:val="en-GB"/>
        </w:rPr>
        <w:t>countries with a utilization trigger for ABS obligations.</w:t>
      </w:r>
    </w:p>
    <w:p w14:paraId="2CD20AF9" w14:textId="0B255346" w:rsidR="00100087" w:rsidRPr="002364AB" w:rsidRDefault="007F218A" w:rsidP="00100087">
      <w:pPr>
        <w:pStyle w:val="Heading2"/>
        <w:rPr>
          <w:kern w:val="22"/>
          <w:sz w:val="22"/>
          <w:szCs w:val="22"/>
          <w:lang w:val="en-GB"/>
        </w:rPr>
      </w:pPr>
      <w:bookmarkStart w:id="145" w:name="_Toc43134982"/>
      <w:r w:rsidRPr="002364AB">
        <w:rPr>
          <w:kern w:val="22"/>
          <w:sz w:val="22"/>
          <w:szCs w:val="22"/>
          <w:lang w:val="en-GB"/>
        </w:rPr>
        <w:t>Utilization and Screening of Geographically Diverse Samples Sourced from Different Regions and Countries</w:t>
      </w:r>
      <w:bookmarkEnd w:id="145"/>
    </w:p>
    <w:p w14:paraId="10FBBBBD" w14:textId="5C675528" w:rsidR="00100087" w:rsidRPr="002364AB" w:rsidRDefault="00590960" w:rsidP="00100087">
      <w:pPr>
        <w:spacing w:after="120"/>
        <w:rPr>
          <w:rFonts w:cs="Times New Roman"/>
          <w:kern w:val="22"/>
          <w:sz w:val="22"/>
          <w:lang w:val="en-GB"/>
        </w:rPr>
      </w:pPr>
      <w:r w:rsidRPr="002364AB">
        <w:rPr>
          <w:rFonts w:cs="Times New Roman"/>
          <w:kern w:val="22"/>
          <w:sz w:val="22"/>
          <w:lang w:val="en-GB"/>
        </w:rPr>
        <w:t>I</w:t>
      </w:r>
      <w:r w:rsidR="00CF5BFD" w:rsidRPr="002364AB">
        <w:rPr>
          <w:rFonts w:cs="Times New Roman"/>
          <w:kern w:val="22"/>
          <w:sz w:val="22"/>
          <w:lang w:val="en-GB"/>
        </w:rPr>
        <w:t xml:space="preserve">n research </w:t>
      </w:r>
      <w:r w:rsidR="00F87A64" w:rsidRPr="002364AB">
        <w:rPr>
          <w:rFonts w:cs="Times New Roman"/>
          <w:kern w:val="22"/>
          <w:sz w:val="22"/>
          <w:lang w:val="en-GB"/>
        </w:rPr>
        <w:t xml:space="preserve">and development, </w:t>
      </w:r>
      <w:r w:rsidR="00100087" w:rsidRPr="002364AB">
        <w:rPr>
          <w:rFonts w:cs="Times New Roman"/>
          <w:kern w:val="22"/>
          <w:sz w:val="22"/>
          <w:lang w:val="en-GB"/>
        </w:rPr>
        <w:t xml:space="preserve">it is not uncommon </w:t>
      </w:r>
      <w:r w:rsidR="00100087" w:rsidRPr="002364AB" w:rsidDel="005E16DD">
        <w:rPr>
          <w:rFonts w:cs="Times New Roman"/>
          <w:kern w:val="22"/>
          <w:sz w:val="22"/>
          <w:lang w:val="en-GB"/>
        </w:rPr>
        <w:t xml:space="preserve">for researchers </w:t>
      </w:r>
      <w:r w:rsidR="00100087" w:rsidRPr="002364AB">
        <w:rPr>
          <w:rFonts w:cs="Times New Roman"/>
          <w:kern w:val="22"/>
          <w:sz w:val="22"/>
          <w:lang w:val="en-GB"/>
        </w:rPr>
        <w:t xml:space="preserve">to use large numbers of physical samples in screening and development projects to, </w:t>
      </w:r>
      <w:r w:rsidR="00100087" w:rsidRPr="002364AB">
        <w:rPr>
          <w:rFonts w:cs="Times New Roman"/>
          <w:i/>
          <w:kern w:val="22"/>
          <w:sz w:val="22"/>
          <w:lang w:val="en-GB"/>
        </w:rPr>
        <w:t>inter alia</w:t>
      </w:r>
      <w:r w:rsidR="00100087" w:rsidRPr="002364AB">
        <w:rPr>
          <w:rFonts w:cs="Times New Roman"/>
          <w:kern w:val="22"/>
          <w:sz w:val="22"/>
          <w:lang w:val="en-GB"/>
        </w:rPr>
        <w:t xml:space="preserve">, identify promising leads for further exploration in many commercially important fields. The following example provides an </w:t>
      </w:r>
      <w:r w:rsidR="0088737F" w:rsidRPr="002364AB">
        <w:rPr>
          <w:rFonts w:cs="Times New Roman"/>
          <w:kern w:val="22"/>
          <w:sz w:val="22"/>
          <w:lang w:val="en-GB"/>
        </w:rPr>
        <w:t xml:space="preserve">instance </w:t>
      </w:r>
      <w:r w:rsidR="00100087" w:rsidRPr="002364AB">
        <w:rPr>
          <w:rFonts w:cs="Times New Roman"/>
          <w:kern w:val="22"/>
          <w:sz w:val="22"/>
          <w:lang w:val="en-GB"/>
        </w:rPr>
        <w:t>of such screening</w:t>
      </w:r>
      <w:r w:rsidR="002D2BE6" w:rsidRPr="002364AB">
        <w:rPr>
          <w:rFonts w:cs="Times New Roman"/>
          <w:kern w:val="22"/>
          <w:sz w:val="22"/>
          <w:lang w:val="en-GB"/>
        </w:rPr>
        <w:t>,</w:t>
      </w:r>
      <w:r w:rsidR="00100087" w:rsidRPr="002364AB">
        <w:rPr>
          <w:rFonts w:cs="Times New Roman"/>
          <w:kern w:val="22"/>
          <w:sz w:val="22"/>
          <w:lang w:val="en-GB"/>
        </w:rPr>
        <w:t xml:space="preserve"> without rendering judgment on </w:t>
      </w:r>
      <w:proofErr w:type="gramStart"/>
      <w:r w:rsidR="00100087" w:rsidRPr="002364AB">
        <w:rPr>
          <w:rFonts w:cs="Times New Roman"/>
          <w:kern w:val="22"/>
          <w:sz w:val="22"/>
          <w:lang w:val="en-GB"/>
        </w:rPr>
        <w:t>whether or not</w:t>
      </w:r>
      <w:proofErr w:type="gramEnd"/>
      <w:r w:rsidR="00100087" w:rsidRPr="002364AB">
        <w:rPr>
          <w:rFonts w:cs="Times New Roman"/>
          <w:kern w:val="22"/>
          <w:sz w:val="22"/>
          <w:lang w:val="en-GB"/>
        </w:rPr>
        <w:t xml:space="preserve"> agricultural seeds fall within the scope of the Nagoya Protocol.</w:t>
      </w:r>
      <w:r w:rsidR="00100087" w:rsidRPr="002364AB">
        <w:rPr>
          <w:rStyle w:val="FootnoteReference"/>
          <w:rFonts w:cs="Times New Roman"/>
          <w:kern w:val="22"/>
          <w:sz w:val="22"/>
          <w:lang w:val="en-GB"/>
        </w:rPr>
        <w:footnoteReference w:id="107"/>
      </w:r>
      <w:r w:rsidR="00100087" w:rsidRPr="002364AB">
        <w:rPr>
          <w:rFonts w:cs="Times New Roman"/>
          <w:kern w:val="22"/>
          <w:sz w:val="22"/>
          <w:lang w:val="en-GB"/>
        </w:rPr>
        <w:t xml:space="preserve">    </w:t>
      </w:r>
    </w:p>
    <w:p w14:paraId="39ED3C7E" w14:textId="77777777" w:rsidR="005938C7" w:rsidRPr="002364AB" w:rsidRDefault="001344C2" w:rsidP="00100087">
      <w:pPr>
        <w:spacing w:after="120"/>
        <w:rPr>
          <w:rFonts w:cs="Times New Roman"/>
          <w:kern w:val="22"/>
          <w:sz w:val="22"/>
          <w:lang w:val="en-GB"/>
        </w:rPr>
      </w:pPr>
      <w:r w:rsidRPr="002364AB">
        <w:rPr>
          <w:rFonts w:cs="Times New Roman"/>
          <w:kern w:val="22"/>
          <w:sz w:val="22"/>
          <w:lang w:val="en-GB"/>
        </w:rPr>
        <w:t>I</w:t>
      </w:r>
      <w:r w:rsidR="00100087" w:rsidRPr="002364AB">
        <w:rPr>
          <w:rFonts w:cs="Times New Roman"/>
          <w:kern w:val="22"/>
          <w:sz w:val="22"/>
          <w:lang w:val="en-GB"/>
        </w:rPr>
        <w:t>n 2014 the coalition “No Patents on Seeds”</w:t>
      </w:r>
      <w:r w:rsidR="00100087" w:rsidRPr="002364AB">
        <w:rPr>
          <w:rStyle w:val="FootnoteReference"/>
          <w:kern w:val="22"/>
          <w:sz w:val="22"/>
          <w:lang w:val="en-GB"/>
        </w:rPr>
        <w:footnoteReference w:id="108"/>
      </w:r>
      <w:r w:rsidR="00100087" w:rsidRPr="002364AB">
        <w:rPr>
          <w:rFonts w:cs="Times New Roman"/>
          <w:kern w:val="22"/>
          <w:sz w:val="22"/>
          <w:lang w:val="en-GB"/>
        </w:rPr>
        <w:t xml:space="preserve"> opposed a Monsanto patent application</w:t>
      </w:r>
      <w:r w:rsidR="00100087" w:rsidRPr="002364AB">
        <w:rPr>
          <w:rStyle w:val="FootnoteReference"/>
          <w:kern w:val="22"/>
          <w:sz w:val="22"/>
          <w:lang w:val="en-GB"/>
        </w:rPr>
        <w:footnoteReference w:id="109"/>
      </w:r>
      <w:r w:rsidR="00100087" w:rsidRPr="002364AB">
        <w:rPr>
          <w:rFonts w:cs="Times New Roman"/>
          <w:kern w:val="22"/>
          <w:sz w:val="22"/>
          <w:lang w:val="en-GB"/>
        </w:rPr>
        <w:t xml:space="preserve"> in the European Patent Office (EPO) which claimed methods of screening and selecting soybean plants and seeds for plant maturity and growth groupings using single nucleotide polymorphisms (SNPs). The opposition cited the patent application’s assertion that “more than 250 plants from ‘exotic’ species were screened for variations in climate adaption potential and variations in the period of time needed until maturity and harvesting.”</w:t>
      </w:r>
      <w:r w:rsidR="00100087" w:rsidRPr="002364AB">
        <w:rPr>
          <w:rStyle w:val="FootnoteReference"/>
          <w:rFonts w:cs="Times New Roman"/>
          <w:kern w:val="22"/>
          <w:sz w:val="22"/>
          <w:lang w:val="en-GB"/>
        </w:rPr>
        <w:footnoteReference w:id="110"/>
      </w:r>
      <w:r w:rsidR="00100087" w:rsidRPr="002364AB">
        <w:rPr>
          <w:rFonts w:cs="Times New Roman"/>
          <w:kern w:val="22"/>
          <w:sz w:val="22"/>
          <w:lang w:val="en-GB"/>
        </w:rPr>
        <w:t xml:space="preserve"> The opposers noted that wild and cultivated species from Australia and Asia were identified as the ones screened and that they were chosen to expand the “narrow” genetic base of U.S. soybean lines. The </w:t>
      </w:r>
      <w:r w:rsidR="00B66049" w:rsidRPr="002364AB">
        <w:rPr>
          <w:rFonts w:cs="Times New Roman"/>
          <w:kern w:val="22"/>
          <w:sz w:val="22"/>
          <w:lang w:val="en-GB"/>
        </w:rPr>
        <w:t xml:space="preserve">patent </w:t>
      </w:r>
      <w:r w:rsidR="00100087" w:rsidRPr="002364AB">
        <w:rPr>
          <w:rFonts w:cs="Times New Roman"/>
          <w:kern w:val="22"/>
          <w:sz w:val="22"/>
          <w:lang w:val="en-GB"/>
        </w:rPr>
        <w:t>application note</w:t>
      </w:r>
      <w:r w:rsidR="002D4EF6" w:rsidRPr="002364AB">
        <w:rPr>
          <w:rFonts w:cs="Times New Roman"/>
          <w:kern w:val="22"/>
          <w:sz w:val="22"/>
          <w:lang w:val="en-GB"/>
        </w:rPr>
        <w:t>d</w:t>
      </w:r>
      <w:r w:rsidR="00100087" w:rsidRPr="002364AB">
        <w:rPr>
          <w:rFonts w:cs="Times New Roman"/>
          <w:kern w:val="22"/>
          <w:sz w:val="22"/>
          <w:lang w:val="en-GB"/>
        </w:rPr>
        <w:t xml:space="preserve"> that such expansion with “exotic species” can result in germplasm that can better tolerate a variety of environmental stressors and resist diseases, insects, and nematodes.</w:t>
      </w:r>
      <w:r w:rsidR="00100087" w:rsidRPr="002364AB">
        <w:rPr>
          <w:rStyle w:val="FootnoteReference"/>
          <w:kern w:val="22"/>
          <w:sz w:val="22"/>
          <w:lang w:val="en-GB"/>
        </w:rPr>
        <w:footnoteReference w:id="111"/>
      </w:r>
      <w:r w:rsidR="00100087" w:rsidRPr="002364AB">
        <w:rPr>
          <w:rFonts w:cs="Times New Roman"/>
          <w:kern w:val="22"/>
          <w:sz w:val="22"/>
          <w:lang w:val="en-GB"/>
        </w:rPr>
        <w:t xml:space="preserve"> </w:t>
      </w:r>
    </w:p>
    <w:p w14:paraId="245E0DDD" w14:textId="5BB1C59F" w:rsidR="00100087" w:rsidRPr="002364AB" w:rsidRDefault="00100087" w:rsidP="00100087">
      <w:pPr>
        <w:spacing w:after="120"/>
        <w:rPr>
          <w:rFonts w:cs="Times New Roman"/>
          <w:kern w:val="22"/>
          <w:sz w:val="22"/>
          <w:lang w:val="en-GB"/>
        </w:rPr>
      </w:pPr>
      <w:r w:rsidRPr="002364AB">
        <w:rPr>
          <w:rFonts w:cs="Times New Roman"/>
          <w:kern w:val="22"/>
          <w:sz w:val="22"/>
          <w:lang w:val="en-GB"/>
        </w:rPr>
        <w:t xml:space="preserve">Requiring distinct bilateral agreements to be negotiated for </w:t>
      </w:r>
      <w:r w:rsidR="009A56F0" w:rsidRPr="002364AB">
        <w:rPr>
          <w:rFonts w:cs="Times New Roman"/>
          <w:kern w:val="22"/>
          <w:sz w:val="22"/>
          <w:lang w:val="en-GB"/>
        </w:rPr>
        <w:t xml:space="preserve">whatever portion of the </w:t>
      </w:r>
      <w:r w:rsidRPr="002364AB">
        <w:rPr>
          <w:rFonts w:cs="Times New Roman"/>
          <w:kern w:val="22"/>
          <w:sz w:val="22"/>
          <w:lang w:val="en-GB"/>
        </w:rPr>
        <w:t>258 exotic plant lines</w:t>
      </w:r>
      <w:r w:rsidRPr="002364AB">
        <w:rPr>
          <w:rStyle w:val="FootnoteReference"/>
          <w:rFonts w:cs="Times New Roman"/>
          <w:kern w:val="22"/>
          <w:sz w:val="22"/>
          <w:lang w:val="en-GB"/>
        </w:rPr>
        <w:footnoteReference w:id="112"/>
      </w:r>
      <w:r w:rsidRPr="002364AB">
        <w:rPr>
          <w:rFonts w:cs="Times New Roman"/>
          <w:kern w:val="22"/>
          <w:sz w:val="22"/>
          <w:lang w:val="en-GB"/>
        </w:rPr>
        <w:t xml:space="preserve"> </w:t>
      </w:r>
      <w:r w:rsidR="004321E7" w:rsidRPr="002364AB">
        <w:rPr>
          <w:rFonts w:cs="Times New Roman"/>
          <w:kern w:val="22"/>
          <w:sz w:val="22"/>
          <w:lang w:val="en-GB"/>
        </w:rPr>
        <w:t xml:space="preserve">are subject to provider country benefit sharing obligations </w:t>
      </w:r>
      <w:r w:rsidR="00217388" w:rsidRPr="002364AB">
        <w:rPr>
          <w:rFonts w:cs="Times New Roman"/>
          <w:kern w:val="22"/>
          <w:sz w:val="22"/>
          <w:lang w:val="en-GB"/>
        </w:rPr>
        <w:t>is likely functionally impossible</w:t>
      </w:r>
      <w:r w:rsidRPr="002364AB">
        <w:rPr>
          <w:rFonts w:cs="Times New Roman"/>
          <w:kern w:val="22"/>
          <w:sz w:val="22"/>
          <w:lang w:val="en-GB"/>
        </w:rPr>
        <w:t xml:space="preserve"> from the standpoint of time and cost, even if the </w:t>
      </w:r>
      <w:r w:rsidR="008B55E0" w:rsidRPr="002364AB">
        <w:rPr>
          <w:rFonts w:cs="Times New Roman"/>
          <w:kern w:val="22"/>
          <w:sz w:val="22"/>
          <w:lang w:val="en-GB"/>
        </w:rPr>
        <w:t>provider country</w:t>
      </w:r>
      <w:r w:rsidRPr="002364AB">
        <w:rPr>
          <w:rFonts w:cs="Times New Roman"/>
          <w:kern w:val="22"/>
          <w:sz w:val="22"/>
          <w:lang w:val="en-GB"/>
        </w:rPr>
        <w:t xml:space="preserve"> of each sample </w:t>
      </w:r>
      <w:r w:rsidR="00217388" w:rsidRPr="002364AB">
        <w:rPr>
          <w:rFonts w:cs="Times New Roman"/>
          <w:kern w:val="22"/>
          <w:sz w:val="22"/>
          <w:lang w:val="en-GB"/>
        </w:rPr>
        <w:t>were</w:t>
      </w:r>
      <w:r w:rsidRPr="002364AB">
        <w:rPr>
          <w:rFonts w:cs="Times New Roman"/>
          <w:kern w:val="22"/>
          <w:sz w:val="22"/>
          <w:lang w:val="en-GB"/>
        </w:rPr>
        <w:t xml:space="preserve"> known, which may not be the case.</w:t>
      </w:r>
    </w:p>
    <w:p w14:paraId="431E3B13" w14:textId="5C46585D" w:rsidR="00FC5588" w:rsidRPr="002364AB" w:rsidRDefault="16208E17" w:rsidP="00527AA2">
      <w:pPr>
        <w:pStyle w:val="Heading2"/>
        <w:spacing w:before="0"/>
        <w:rPr>
          <w:kern w:val="22"/>
          <w:sz w:val="22"/>
          <w:szCs w:val="22"/>
          <w:lang w:val="en-GB"/>
        </w:rPr>
      </w:pPr>
      <w:bookmarkStart w:id="146" w:name="_Toc31040295"/>
      <w:bookmarkStart w:id="147" w:name="_Toc31056863"/>
      <w:bookmarkStart w:id="148" w:name="_Toc32490879"/>
      <w:bookmarkStart w:id="149" w:name="_Toc34249590"/>
      <w:bookmarkStart w:id="150" w:name="_Toc39580431"/>
      <w:bookmarkStart w:id="151" w:name="_Toc43134983"/>
      <w:r w:rsidRPr="002364AB">
        <w:rPr>
          <w:kern w:val="22"/>
          <w:sz w:val="22"/>
          <w:szCs w:val="22"/>
          <w:lang w:val="en-GB"/>
        </w:rPr>
        <w:t>Digital Sequence Information (DSI)</w:t>
      </w:r>
      <w:bookmarkEnd w:id="146"/>
      <w:bookmarkEnd w:id="147"/>
      <w:bookmarkEnd w:id="148"/>
      <w:bookmarkEnd w:id="149"/>
      <w:bookmarkEnd w:id="150"/>
      <w:bookmarkEnd w:id="151"/>
    </w:p>
    <w:p w14:paraId="36F2CD80" w14:textId="23057488" w:rsidR="008F7315" w:rsidRPr="002364AB" w:rsidRDefault="006E752A" w:rsidP="006E752A">
      <w:pPr>
        <w:spacing w:after="120"/>
        <w:rPr>
          <w:rFonts w:cs="Times New Roman"/>
          <w:kern w:val="22"/>
          <w:sz w:val="22"/>
          <w:lang w:val="en-GB"/>
        </w:rPr>
      </w:pPr>
      <w:r w:rsidRPr="002364AB">
        <w:rPr>
          <w:rFonts w:cs="Times New Roman"/>
          <w:kern w:val="22"/>
          <w:sz w:val="22"/>
          <w:lang w:val="en-GB"/>
        </w:rPr>
        <w:t>Decision 14/20 of the Conference of the Parties noted that the term “digital sequence information” may not be the most appropriate term</w:t>
      </w:r>
      <w:r w:rsidR="00222268" w:rsidRPr="002364AB">
        <w:rPr>
          <w:rFonts w:cs="Times New Roman"/>
          <w:kern w:val="22"/>
          <w:sz w:val="22"/>
          <w:lang w:val="en-GB"/>
        </w:rPr>
        <w:t>,</w:t>
      </w:r>
      <w:r w:rsidRPr="002364AB">
        <w:rPr>
          <w:rFonts w:cs="Times New Roman"/>
          <w:kern w:val="22"/>
          <w:sz w:val="22"/>
          <w:lang w:val="en-GB"/>
        </w:rPr>
        <w:t xml:space="preserve"> and that it is used as a placeholder until an alternative term is agreed.</w:t>
      </w:r>
      <w:r w:rsidR="00AB4AC1" w:rsidRPr="002364AB" w:rsidDel="00B53ED9">
        <w:rPr>
          <w:rFonts w:cs="Times New Roman"/>
          <w:kern w:val="22"/>
          <w:sz w:val="22"/>
          <w:lang w:val="en-GB"/>
        </w:rPr>
        <w:t xml:space="preserve"> </w:t>
      </w:r>
      <w:r w:rsidR="00B53ED9" w:rsidRPr="002364AB">
        <w:rPr>
          <w:rFonts w:cs="Times New Roman"/>
          <w:kern w:val="22"/>
          <w:sz w:val="22"/>
          <w:lang w:val="en-GB"/>
        </w:rPr>
        <w:t>The 20</w:t>
      </w:r>
      <w:r w:rsidR="008F7315" w:rsidRPr="002364AB">
        <w:rPr>
          <w:rFonts w:cs="Times New Roman"/>
          <w:kern w:val="22"/>
          <w:sz w:val="22"/>
          <w:lang w:val="en-GB"/>
        </w:rPr>
        <w:t>20</w:t>
      </w:r>
      <w:r w:rsidR="00B53ED9" w:rsidRPr="002364AB">
        <w:rPr>
          <w:rFonts w:cs="Times New Roman"/>
          <w:kern w:val="22"/>
          <w:sz w:val="22"/>
          <w:lang w:val="en-GB"/>
        </w:rPr>
        <w:t xml:space="preserve"> Ad Hoc Technical Expert Group (AHTEG) on Digital Sequence Information on Genetic Resources </w:t>
      </w:r>
      <w:r w:rsidR="008F7315" w:rsidRPr="002364AB">
        <w:rPr>
          <w:rFonts w:cs="Times New Roman"/>
          <w:kern w:val="22"/>
          <w:sz w:val="22"/>
          <w:lang w:val="en-GB"/>
        </w:rPr>
        <w:t xml:space="preserve">agreed that Groups 1-3 in Table </w:t>
      </w:r>
      <w:r w:rsidR="000F7A81" w:rsidRPr="002364AB">
        <w:rPr>
          <w:rFonts w:cs="Times New Roman"/>
          <w:kern w:val="22"/>
          <w:sz w:val="22"/>
          <w:lang w:val="en-GB"/>
        </w:rPr>
        <w:t>2</w:t>
      </w:r>
      <w:r w:rsidR="008F7315" w:rsidRPr="002364AB">
        <w:rPr>
          <w:rStyle w:val="FootnoteReference"/>
          <w:rFonts w:cs="Times New Roman"/>
          <w:kern w:val="22"/>
          <w:sz w:val="22"/>
          <w:lang w:val="en-GB"/>
        </w:rPr>
        <w:footnoteReference w:id="113"/>
      </w:r>
      <w:r w:rsidR="008F7315" w:rsidRPr="002364AB">
        <w:rPr>
          <w:rFonts w:cs="Times New Roman"/>
          <w:kern w:val="22"/>
          <w:sz w:val="22"/>
          <w:lang w:val="en-GB"/>
        </w:rPr>
        <w:t xml:space="preserve"> below, could be considered as </w:t>
      </w:r>
      <w:r w:rsidR="00A56579" w:rsidRPr="002364AB">
        <w:rPr>
          <w:rFonts w:cs="Times New Roman"/>
          <w:kern w:val="22"/>
          <w:sz w:val="22"/>
          <w:lang w:val="en-GB"/>
        </w:rPr>
        <w:t>DSI</w:t>
      </w:r>
      <w:r w:rsidR="008F7315" w:rsidRPr="002364AB">
        <w:rPr>
          <w:rFonts w:cs="Times New Roman"/>
          <w:kern w:val="22"/>
          <w:sz w:val="22"/>
          <w:lang w:val="en-GB"/>
        </w:rPr>
        <w:t>.</w:t>
      </w:r>
    </w:p>
    <w:p w14:paraId="56D5BA30" w14:textId="77777777" w:rsidR="0017771C" w:rsidRPr="002364AB" w:rsidRDefault="0017771C" w:rsidP="006E752A">
      <w:pPr>
        <w:spacing w:after="120"/>
        <w:rPr>
          <w:rFonts w:cs="Times New Roman"/>
          <w:kern w:val="22"/>
          <w:sz w:val="22"/>
          <w:lang w:val="en-GB"/>
        </w:rPr>
      </w:pPr>
    </w:p>
    <w:p w14:paraId="2B8C6B4C" w14:textId="77777777" w:rsidR="00BB786E" w:rsidRPr="002364AB" w:rsidRDefault="000F7A81" w:rsidP="006E752A">
      <w:pPr>
        <w:spacing w:after="120"/>
        <w:rPr>
          <w:rFonts w:cs="Times New Roman"/>
          <w:kern w:val="22"/>
          <w:sz w:val="22"/>
          <w:lang w:val="en-GB"/>
        </w:rPr>
      </w:pPr>
      <w:r w:rsidRPr="002364AB">
        <w:rPr>
          <w:rFonts w:cs="Times New Roman"/>
          <w:kern w:val="22"/>
          <w:sz w:val="22"/>
          <w:lang w:val="en-GB"/>
        </w:rPr>
        <w:t xml:space="preserve">Table 2: </w:t>
      </w:r>
      <w:r w:rsidR="00EF60B7" w:rsidRPr="002364AB">
        <w:rPr>
          <w:rFonts w:cs="Times New Roman"/>
          <w:kern w:val="22"/>
          <w:sz w:val="22"/>
          <w:lang w:val="en-GB"/>
        </w:rPr>
        <w:t xml:space="preserve">2020 AHTEG - </w:t>
      </w:r>
      <w:r w:rsidR="00FE34BB" w:rsidRPr="002364AB">
        <w:rPr>
          <w:rFonts w:cs="Times New Roman"/>
          <w:kern w:val="22"/>
          <w:sz w:val="22"/>
          <w:lang w:val="en-GB"/>
        </w:rPr>
        <w:t xml:space="preserve">Clarifying the scope </w:t>
      </w:r>
      <w:r w:rsidR="00EF60B7" w:rsidRPr="002364AB">
        <w:rPr>
          <w:rFonts w:cs="Times New Roman"/>
          <w:kern w:val="22"/>
          <w:sz w:val="22"/>
          <w:lang w:val="en-GB"/>
        </w:rPr>
        <w:t>of digital sequence information on genetic resources</w:t>
      </w:r>
    </w:p>
    <w:tbl>
      <w:tblPr>
        <w:tblStyle w:val="TableGrid"/>
        <w:tblW w:w="0" w:type="auto"/>
        <w:jc w:val="center"/>
        <w:tblLook w:val="04A0" w:firstRow="1" w:lastRow="0" w:firstColumn="1" w:lastColumn="0" w:noHBand="0" w:noVBand="1"/>
      </w:tblPr>
      <w:tblGrid>
        <w:gridCol w:w="1271"/>
        <w:gridCol w:w="1985"/>
        <w:gridCol w:w="1984"/>
        <w:gridCol w:w="2126"/>
        <w:gridCol w:w="1984"/>
      </w:tblGrid>
      <w:tr w:rsidR="00BB786E" w:rsidRPr="002364AB" w14:paraId="7EEA0137" w14:textId="77777777" w:rsidTr="00BB786E">
        <w:trPr>
          <w:cantSplit/>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CE35371" w14:textId="77777777" w:rsidR="00BB786E" w:rsidRPr="002364AB" w:rsidRDefault="00BB786E">
            <w:pPr>
              <w:suppressLineNumbers/>
              <w:suppressAutoHyphens/>
              <w:rPr>
                <w:kern w:val="22"/>
                <w:sz w:val="20"/>
                <w:szCs w:val="20"/>
                <w:lang w:val="en-GB"/>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04E5A0" w14:textId="77777777" w:rsidR="00BB786E" w:rsidRPr="002364AB" w:rsidRDefault="00BB786E">
            <w:pPr>
              <w:suppressLineNumbers/>
              <w:suppressAutoHyphens/>
              <w:jc w:val="center"/>
              <w:rPr>
                <w:b/>
                <w:bCs/>
                <w:kern w:val="22"/>
                <w:sz w:val="20"/>
                <w:szCs w:val="20"/>
                <w:lang w:val="en-GB"/>
              </w:rPr>
            </w:pPr>
            <w:r w:rsidRPr="002364AB">
              <w:rPr>
                <w:b/>
                <w:bCs/>
                <w:kern w:val="22"/>
                <w:sz w:val="20"/>
                <w:szCs w:val="20"/>
                <w:lang w:val="en-GB"/>
              </w:rPr>
              <w:t>Information related to a genetic resource</w:t>
            </w:r>
          </w:p>
        </w:tc>
      </w:tr>
      <w:tr w:rsidR="00BB786E" w:rsidRPr="002364AB" w14:paraId="5C5A8CC5" w14:textId="77777777" w:rsidTr="00BB786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8FDE" w14:textId="77777777" w:rsidR="00BB786E" w:rsidRPr="002364AB" w:rsidRDefault="00BB786E">
            <w:pPr>
              <w:rPr>
                <w:rFonts w:eastAsia="Times New Roman" w:cs="Times New Roman"/>
                <w:kern w:val="22"/>
                <w:sz w:val="20"/>
                <w:szCs w:val="20"/>
                <w:lang w:val="en-GB"/>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51F46" w14:textId="77777777" w:rsidR="00BB786E" w:rsidRPr="002364AB" w:rsidRDefault="00BB786E">
            <w:pPr>
              <w:suppressLineNumbers/>
              <w:suppressAutoHyphens/>
              <w:jc w:val="center"/>
              <w:rPr>
                <w:b/>
                <w:bCs/>
                <w:kern w:val="22"/>
                <w:sz w:val="20"/>
                <w:szCs w:val="20"/>
                <w:lang w:val="en-GB"/>
              </w:rPr>
            </w:pPr>
            <w:r w:rsidRPr="002364AB">
              <w:rPr>
                <w:b/>
                <w:bCs/>
                <w:kern w:val="22"/>
                <w:sz w:val="20"/>
                <w:szCs w:val="20"/>
                <w:lang w:val="en-GB"/>
              </w:rPr>
              <w:t>Genetic and biochemical information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DA25D" w14:textId="77777777" w:rsidR="00BB786E" w:rsidRPr="002364AB" w:rsidRDefault="00BB786E">
            <w:pPr>
              <w:suppressLineNumbers/>
              <w:suppressAutoHyphens/>
              <w:jc w:val="center"/>
              <w:rPr>
                <w:b/>
                <w:bCs/>
                <w:kern w:val="22"/>
                <w:sz w:val="20"/>
                <w:szCs w:val="20"/>
                <w:lang w:val="en-GB"/>
              </w:rPr>
            </w:pPr>
            <w:r w:rsidRPr="002364AB">
              <w:rPr>
                <w:b/>
                <w:bCs/>
                <w:kern w:val="22"/>
                <w:sz w:val="20"/>
                <w:szCs w:val="20"/>
                <w:lang w:val="en-GB"/>
              </w:rPr>
              <w:t>Associated information</w:t>
            </w:r>
          </w:p>
        </w:tc>
      </w:tr>
      <w:tr w:rsidR="00BB786E" w:rsidRPr="002364AB" w14:paraId="340613C3" w14:textId="77777777" w:rsidTr="00BB786E">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8D74A3E" w14:textId="77777777" w:rsidR="00BB786E" w:rsidRPr="002364AB" w:rsidRDefault="00BB786E">
            <w:pPr>
              <w:suppressLineNumbers/>
              <w:suppressAutoHyphens/>
              <w:rPr>
                <w:b/>
                <w:bCs/>
                <w:kern w:val="22"/>
                <w:sz w:val="20"/>
                <w:szCs w:val="20"/>
                <w:lang w:val="en-GB"/>
              </w:rPr>
            </w:pPr>
            <w:r w:rsidRPr="002364AB">
              <w:rPr>
                <w:b/>
                <w:bCs/>
                <w:kern w:val="22"/>
                <w:sz w:val="20"/>
                <w:szCs w:val="20"/>
                <w:lang w:val="en-GB"/>
              </w:rPr>
              <w:t>Group reference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7FCD9" w14:textId="77777777"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 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BDFE1" w14:textId="77777777"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8ACC7" w14:textId="77777777"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939AB" w14:textId="77777777" w:rsidR="00BB786E" w:rsidRPr="002364AB" w:rsidRDefault="00BB786E">
            <w:pPr>
              <w:rPr>
                <w:rFonts w:eastAsia="Times New Roman" w:cs="Times New Roman"/>
                <w:b/>
                <w:bCs/>
                <w:kern w:val="22"/>
                <w:sz w:val="20"/>
                <w:szCs w:val="20"/>
                <w:lang w:val="en-GB"/>
              </w:rPr>
            </w:pPr>
          </w:p>
        </w:tc>
      </w:tr>
      <w:tr w:rsidR="00BB786E" w:rsidRPr="002364AB" w14:paraId="20D94C7C" w14:textId="77777777" w:rsidTr="00BB786E">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6830F3FC" w14:textId="77777777" w:rsidR="00BB786E" w:rsidRPr="002364AB" w:rsidRDefault="00BB786E" w:rsidP="00A2063C">
            <w:pPr>
              <w:suppressLineNumbers/>
              <w:suppressAutoHyphens/>
              <w:jc w:val="left"/>
              <w:rPr>
                <w:b/>
                <w:bCs/>
                <w:kern w:val="22"/>
                <w:sz w:val="20"/>
                <w:szCs w:val="20"/>
                <w:lang w:val="en-GB"/>
              </w:rPr>
            </w:pPr>
            <w:r w:rsidRPr="002364AB">
              <w:rPr>
                <w:b/>
                <w:bCs/>
                <w:kern w:val="22"/>
                <w:sz w:val="20"/>
                <w:szCs w:val="20"/>
                <w:lang w:val="en-GB"/>
              </w:rPr>
              <w:t>High-level description of each group</w:t>
            </w:r>
          </w:p>
        </w:tc>
        <w:tc>
          <w:tcPr>
            <w:tcW w:w="1985" w:type="dxa"/>
            <w:tcBorders>
              <w:top w:val="single" w:sz="4" w:space="0" w:color="auto"/>
              <w:left w:val="single" w:sz="4" w:space="0" w:color="auto"/>
              <w:bottom w:val="single" w:sz="4" w:space="0" w:color="auto"/>
              <w:right w:val="single" w:sz="4" w:space="0" w:color="auto"/>
            </w:tcBorders>
            <w:hideMark/>
          </w:tcPr>
          <w:p w14:paraId="390CFAB7" w14:textId="77777777" w:rsidR="00BB786E" w:rsidRPr="002364AB" w:rsidRDefault="00BB786E">
            <w:pPr>
              <w:suppressLineNumbers/>
              <w:suppressAutoHyphens/>
              <w:rPr>
                <w:kern w:val="22"/>
                <w:sz w:val="20"/>
                <w:szCs w:val="20"/>
                <w:lang w:val="en-GB"/>
              </w:rPr>
            </w:pPr>
            <w:r w:rsidRPr="002364AB">
              <w:rPr>
                <w:kern w:val="22"/>
                <w:sz w:val="20"/>
                <w:szCs w:val="20"/>
                <w:lang w:val="en-GB"/>
              </w:rPr>
              <w:t xml:space="preserve"> DNA and RNA</w:t>
            </w:r>
          </w:p>
        </w:tc>
        <w:tc>
          <w:tcPr>
            <w:tcW w:w="1984" w:type="dxa"/>
            <w:tcBorders>
              <w:top w:val="single" w:sz="4" w:space="0" w:color="auto"/>
              <w:left w:val="single" w:sz="4" w:space="0" w:color="auto"/>
              <w:bottom w:val="single" w:sz="4" w:space="0" w:color="auto"/>
              <w:right w:val="single" w:sz="4" w:space="0" w:color="auto"/>
            </w:tcBorders>
            <w:hideMark/>
          </w:tcPr>
          <w:p w14:paraId="41FB1519" w14:textId="77777777" w:rsidR="00BB786E" w:rsidRPr="002364AB" w:rsidRDefault="00BB786E">
            <w:pPr>
              <w:suppressLineNumbers/>
              <w:suppressAutoHyphens/>
              <w:rPr>
                <w:kern w:val="22"/>
                <w:sz w:val="20"/>
                <w:szCs w:val="20"/>
                <w:lang w:val="en-GB"/>
              </w:rPr>
            </w:pPr>
            <w:r w:rsidRPr="002364AB">
              <w:rPr>
                <w:kern w:val="22"/>
                <w:sz w:val="20"/>
                <w:szCs w:val="20"/>
                <w:lang w:val="en-GB"/>
              </w:rPr>
              <w:t>Group 1 + proteins + epigenetic modifications</w:t>
            </w:r>
          </w:p>
        </w:tc>
        <w:tc>
          <w:tcPr>
            <w:tcW w:w="2126" w:type="dxa"/>
            <w:tcBorders>
              <w:top w:val="single" w:sz="4" w:space="0" w:color="auto"/>
              <w:left w:val="single" w:sz="4" w:space="0" w:color="auto"/>
              <w:bottom w:val="single" w:sz="4" w:space="0" w:color="auto"/>
              <w:right w:val="single" w:sz="4" w:space="0" w:color="auto"/>
            </w:tcBorders>
            <w:hideMark/>
          </w:tcPr>
          <w:p w14:paraId="58653905" w14:textId="77777777" w:rsidR="00BB786E" w:rsidRPr="002364AB" w:rsidRDefault="00BB786E">
            <w:pPr>
              <w:suppressLineNumbers/>
              <w:suppressAutoHyphens/>
              <w:rPr>
                <w:kern w:val="22"/>
                <w:sz w:val="20"/>
                <w:szCs w:val="20"/>
                <w:lang w:val="en-GB"/>
              </w:rPr>
            </w:pPr>
            <w:r w:rsidRPr="002364AB">
              <w:rPr>
                <w:kern w:val="22"/>
                <w:sz w:val="20"/>
                <w:szCs w:val="20"/>
                <w:lang w:val="en-GB"/>
              </w:rPr>
              <w:t>Group 2 + metabolites and other macromolecules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965F5" w14:textId="77777777" w:rsidR="00BB786E" w:rsidRPr="002364AB" w:rsidRDefault="00BB786E">
            <w:pPr>
              <w:rPr>
                <w:rFonts w:eastAsia="Times New Roman" w:cs="Times New Roman"/>
                <w:b/>
                <w:bCs/>
                <w:kern w:val="22"/>
                <w:sz w:val="20"/>
                <w:szCs w:val="20"/>
                <w:lang w:val="en-GB"/>
              </w:rPr>
            </w:pPr>
          </w:p>
        </w:tc>
      </w:tr>
      <w:tr w:rsidR="00BB786E" w:rsidRPr="002364AB" w14:paraId="3B2E63FF" w14:textId="77777777" w:rsidTr="000402AC">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4B57FAC7" w14:textId="77777777" w:rsidR="00BB786E" w:rsidRPr="002364AB" w:rsidRDefault="00BB786E">
            <w:pPr>
              <w:suppressLineNumbers/>
              <w:suppressAutoHyphens/>
              <w:rPr>
                <w:b/>
                <w:bCs/>
                <w:kern w:val="22"/>
                <w:sz w:val="20"/>
                <w:szCs w:val="20"/>
                <w:lang w:val="en-GB"/>
              </w:rPr>
            </w:pPr>
            <w:r w:rsidRPr="002364AB">
              <w:rPr>
                <w:b/>
                <w:bCs/>
                <w:kern w:val="22"/>
                <w:sz w:val="20"/>
                <w:szCs w:val="20"/>
                <w:lang w:val="en-GB"/>
              </w:rPr>
              <w:t>Examples of granular subject matter</w:t>
            </w:r>
          </w:p>
        </w:tc>
        <w:tc>
          <w:tcPr>
            <w:tcW w:w="1985" w:type="dxa"/>
            <w:tcBorders>
              <w:top w:val="single" w:sz="4" w:space="0" w:color="auto"/>
              <w:left w:val="single" w:sz="4" w:space="0" w:color="auto"/>
              <w:bottom w:val="single" w:sz="4" w:space="0" w:color="auto"/>
              <w:right w:val="single" w:sz="4" w:space="0" w:color="auto"/>
            </w:tcBorders>
            <w:hideMark/>
          </w:tcPr>
          <w:p w14:paraId="093C73F2"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Nucleic acid sequence reads;</w:t>
            </w:r>
          </w:p>
          <w:p w14:paraId="6F38C19C"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Associated data to nucleic acid reads;</w:t>
            </w:r>
          </w:p>
          <w:p w14:paraId="6F686E70"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Non-coding nucleic acid sequences;</w:t>
            </w:r>
          </w:p>
          <w:p w14:paraId="1461A6C4"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Genetic mapping (for example, genotyping, microsatellite analysis, SNPs, etc.);</w:t>
            </w:r>
          </w:p>
          <w:p w14:paraId="01476C39"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Structural annotation.</w:t>
            </w:r>
          </w:p>
        </w:tc>
        <w:tc>
          <w:tcPr>
            <w:tcW w:w="1984" w:type="dxa"/>
            <w:tcBorders>
              <w:top w:val="single" w:sz="4" w:space="0" w:color="auto"/>
              <w:left w:val="single" w:sz="4" w:space="0" w:color="auto"/>
              <w:bottom w:val="single" w:sz="4" w:space="0" w:color="auto"/>
              <w:right w:val="single" w:sz="4" w:space="0" w:color="auto"/>
            </w:tcBorders>
            <w:hideMark/>
          </w:tcPr>
          <w:p w14:paraId="2C0F70F8"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Amino acid sequences;</w:t>
            </w:r>
          </w:p>
          <w:p w14:paraId="676D9EA7"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Information on gene expression;</w:t>
            </w:r>
          </w:p>
          <w:p w14:paraId="736C59B9"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Functional annotation;</w:t>
            </w:r>
          </w:p>
          <w:p w14:paraId="1EBB09B1"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Epigenetic modifications (for example, methylation patterns and acetylation);</w:t>
            </w:r>
          </w:p>
          <w:p w14:paraId="086F8BF8"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 xml:space="preserve">Molecular structures of proteins; </w:t>
            </w:r>
          </w:p>
          <w:p w14:paraId="3A595334"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Molecular interaction networks.</w:t>
            </w:r>
          </w:p>
        </w:tc>
        <w:tc>
          <w:tcPr>
            <w:tcW w:w="2126" w:type="dxa"/>
            <w:tcBorders>
              <w:top w:val="single" w:sz="4" w:space="0" w:color="auto"/>
              <w:left w:val="single" w:sz="4" w:space="0" w:color="auto"/>
              <w:bottom w:val="single" w:sz="4" w:space="0" w:color="auto"/>
              <w:right w:val="single" w:sz="4" w:space="0" w:color="auto"/>
            </w:tcBorders>
            <w:hideMark/>
          </w:tcPr>
          <w:p w14:paraId="0FD9CEE1"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Information on the biochemical composition of a genetic resource;</w:t>
            </w:r>
          </w:p>
          <w:p w14:paraId="31E2512D"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Macromolecules (other than DNA, RNA and proteins);</w:t>
            </w:r>
          </w:p>
          <w:p w14:paraId="5250F11B"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Cellular metabolites (molecular structures).</w:t>
            </w:r>
          </w:p>
        </w:tc>
        <w:tc>
          <w:tcPr>
            <w:tcW w:w="1984" w:type="dxa"/>
            <w:tcBorders>
              <w:top w:val="single" w:sz="4" w:space="0" w:color="auto"/>
              <w:left w:val="single" w:sz="4" w:space="0" w:color="auto"/>
              <w:bottom w:val="single" w:sz="4" w:space="0" w:color="auto"/>
              <w:right w:val="single" w:sz="4" w:space="0" w:color="auto"/>
            </w:tcBorders>
            <w:hideMark/>
          </w:tcPr>
          <w:p w14:paraId="063E76C6" w14:textId="77777777" w:rsidR="00BB786E" w:rsidRPr="002364AB" w:rsidRDefault="00BB786E" w:rsidP="00BB786E">
            <w:pPr>
              <w:pStyle w:val="ListParagraph"/>
              <w:numPr>
                <w:ilvl w:val="0"/>
                <w:numId w:val="32"/>
              </w:numPr>
              <w:suppressLineNumbers/>
              <w:suppressAutoHyphens/>
              <w:ind w:left="196" w:hanging="147"/>
              <w:jc w:val="left"/>
              <w:rPr>
                <w:rFonts w:cs="Times New Roman"/>
                <w:kern w:val="22"/>
                <w:sz w:val="20"/>
                <w:szCs w:val="20"/>
                <w:lang w:val="en-GB"/>
              </w:rPr>
            </w:pPr>
            <w:r w:rsidRPr="002364AB">
              <w:rPr>
                <w:rFonts w:cs="Times New Roman"/>
                <w:kern w:val="22"/>
                <w:sz w:val="20"/>
                <w:szCs w:val="20"/>
                <w:lang w:val="en-GB"/>
              </w:rPr>
              <w:t>Traditional knowledge associated with genetic resources</w:t>
            </w:r>
          </w:p>
          <w:p w14:paraId="255F34DE" w14:textId="77777777" w:rsidR="00BB786E" w:rsidRPr="002364AB" w:rsidRDefault="00BB786E" w:rsidP="00BB786E">
            <w:pPr>
              <w:pStyle w:val="ListParagraph"/>
              <w:numPr>
                <w:ilvl w:val="0"/>
                <w:numId w:val="32"/>
              </w:numPr>
              <w:suppressLineNumbers/>
              <w:suppressAutoHyphens/>
              <w:ind w:left="211" w:hanging="147"/>
              <w:jc w:val="left"/>
              <w:rPr>
                <w:rFonts w:cs="Times New Roman"/>
                <w:kern w:val="22"/>
                <w:sz w:val="20"/>
                <w:szCs w:val="20"/>
                <w:lang w:val="en-GB"/>
              </w:rPr>
            </w:pPr>
            <w:r w:rsidRPr="002364AB">
              <w:rPr>
                <w:rFonts w:cs="Times New Roman"/>
                <w:kern w:val="22"/>
                <w:sz w:val="20"/>
                <w:szCs w:val="20"/>
                <w:lang w:val="en-GB"/>
              </w:rPr>
              <w:t>Information associated with digital sequence information Groups 1, 2 and 3 (for example, biotic and abiotic factors in the environment or associated with the organism)</w:t>
            </w:r>
          </w:p>
          <w:p w14:paraId="507BDF32" w14:textId="77777777" w:rsidR="00BB786E" w:rsidRPr="002364AB" w:rsidRDefault="00BB786E" w:rsidP="00BB786E">
            <w:pPr>
              <w:pStyle w:val="ListParagraph"/>
              <w:numPr>
                <w:ilvl w:val="0"/>
                <w:numId w:val="32"/>
              </w:numPr>
              <w:suppressLineNumbers/>
              <w:suppressAutoHyphens/>
              <w:ind w:left="211" w:hanging="147"/>
              <w:jc w:val="left"/>
              <w:rPr>
                <w:rFonts w:cs="Times New Roman"/>
                <w:kern w:val="22"/>
                <w:sz w:val="20"/>
                <w:szCs w:val="20"/>
                <w:lang w:val="en-GB"/>
              </w:rPr>
            </w:pPr>
            <w:r w:rsidRPr="002364AB">
              <w:rPr>
                <w:rFonts w:cs="Times New Roman"/>
                <w:kern w:val="22"/>
                <w:sz w:val="20"/>
                <w:szCs w:val="20"/>
                <w:lang w:val="en-GB"/>
              </w:rPr>
              <w:t>Other types of information associated with a genetic resource or its utilization.</w:t>
            </w:r>
          </w:p>
        </w:tc>
      </w:tr>
    </w:tbl>
    <w:p w14:paraId="7AA0183A" w14:textId="6B5134B4" w:rsidR="00E82CFA" w:rsidRPr="002364AB" w:rsidRDefault="00B53ED9" w:rsidP="000402AC">
      <w:pPr>
        <w:spacing w:before="240" w:after="120"/>
        <w:rPr>
          <w:rFonts w:cs="Times New Roman"/>
          <w:kern w:val="22"/>
          <w:sz w:val="22"/>
          <w:lang w:val="en-GB"/>
        </w:rPr>
      </w:pPr>
      <w:r w:rsidRPr="002364AB">
        <w:rPr>
          <w:rFonts w:cs="Times New Roman"/>
          <w:kern w:val="22"/>
          <w:sz w:val="22"/>
          <w:lang w:val="en-GB"/>
        </w:rPr>
        <w:t xml:space="preserve">There is a divergence of views </w:t>
      </w:r>
      <w:r w:rsidR="00EA16E3" w:rsidRPr="002364AB">
        <w:rPr>
          <w:rFonts w:cs="Times New Roman"/>
          <w:kern w:val="22"/>
          <w:sz w:val="22"/>
          <w:lang w:val="en-GB"/>
        </w:rPr>
        <w:t xml:space="preserve">on </w:t>
      </w:r>
      <w:r w:rsidR="00AB4AC1" w:rsidRPr="002364AB">
        <w:rPr>
          <w:rFonts w:cs="Times New Roman"/>
          <w:kern w:val="22"/>
          <w:sz w:val="22"/>
          <w:lang w:val="en-GB"/>
        </w:rPr>
        <w:t>whether</w:t>
      </w:r>
      <w:r w:rsidR="00311569" w:rsidRPr="002364AB">
        <w:rPr>
          <w:rFonts w:cs="Times New Roman"/>
          <w:kern w:val="22"/>
          <w:sz w:val="22"/>
          <w:lang w:val="en-GB"/>
        </w:rPr>
        <w:t xml:space="preserve"> and/or how</w:t>
      </w:r>
      <w:r w:rsidR="00AB4AC1" w:rsidRPr="002364AB">
        <w:rPr>
          <w:rFonts w:cs="Times New Roman"/>
          <w:kern w:val="22"/>
          <w:sz w:val="22"/>
          <w:lang w:val="en-GB"/>
        </w:rPr>
        <w:t xml:space="preserve"> DSI </w:t>
      </w:r>
      <w:r w:rsidR="00EA16E3" w:rsidRPr="002364AB">
        <w:rPr>
          <w:rFonts w:cs="Times New Roman"/>
          <w:kern w:val="22"/>
          <w:sz w:val="22"/>
          <w:lang w:val="en-GB"/>
        </w:rPr>
        <w:t>falls</w:t>
      </w:r>
      <w:r w:rsidR="00AB4AC1" w:rsidRPr="002364AB">
        <w:rPr>
          <w:rFonts w:cs="Times New Roman"/>
          <w:kern w:val="22"/>
          <w:sz w:val="22"/>
          <w:lang w:val="en-GB"/>
        </w:rPr>
        <w:t xml:space="preserve"> within the scope of the CBD</w:t>
      </w:r>
      <w:r w:rsidR="00B8747B" w:rsidRPr="002364AB">
        <w:rPr>
          <w:rFonts w:cs="Times New Roman"/>
          <w:kern w:val="22"/>
          <w:sz w:val="22"/>
          <w:lang w:val="en-GB"/>
        </w:rPr>
        <w:t xml:space="preserve"> or</w:t>
      </w:r>
      <w:r w:rsidR="00EA16E3" w:rsidRPr="002364AB">
        <w:rPr>
          <w:rFonts w:cs="Times New Roman"/>
          <w:kern w:val="22"/>
          <w:sz w:val="22"/>
          <w:lang w:val="en-GB"/>
        </w:rPr>
        <w:t xml:space="preserve"> the Nagoya</w:t>
      </w:r>
      <w:r w:rsidR="00B8747B" w:rsidRPr="002364AB">
        <w:rPr>
          <w:rFonts w:cs="Times New Roman"/>
          <w:kern w:val="22"/>
          <w:sz w:val="22"/>
          <w:lang w:val="en-GB"/>
        </w:rPr>
        <w:t xml:space="preserve"> Protocol</w:t>
      </w:r>
      <w:r w:rsidRPr="002364AB">
        <w:rPr>
          <w:rFonts w:cs="Times New Roman"/>
          <w:kern w:val="22"/>
          <w:sz w:val="22"/>
          <w:lang w:val="en-GB"/>
        </w:rPr>
        <w:t>.</w:t>
      </w:r>
      <w:r w:rsidR="00AB4AC1" w:rsidRPr="002364AB">
        <w:rPr>
          <w:rFonts w:cs="Times New Roman"/>
          <w:kern w:val="22"/>
          <w:sz w:val="22"/>
          <w:lang w:val="en-GB"/>
        </w:rPr>
        <w:t xml:space="preserve"> </w:t>
      </w:r>
      <w:r w:rsidR="0061559A" w:rsidRPr="002364AB">
        <w:rPr>
          <w:rFonts w:cs="Times New Roman"/>
          <w:kern w:val="22"/>
          <w:sz w:val="22"/>
          <w:lang w:val="en-GB"/>
        </w:rPr>
        <w:t xml:space="preserve">As such, </w:t>
      </w:r>
      <w:r w:rsidR="00E86BBE" w:rsidRPr="002364AB">
        <w:rPr>
          <w:rFonts w:cs="Times New Roman"/>
          <w:kern w:val="22"/>
          <w:sz w:val="22"/>
          <w:lang w:val="en-GB"/>
        </w:rPr>
        <w:t xml:space="preserve">and as explained in Section 1, </w:t>
      </w:r>
      <w:r w:rsidR="0061559A" w:rsidRPr="002364AB">
        <w:rPr>
          <w:rFonts w:cs="Times New Roman"/>
          <w:kern w:val="22"/>
          <w:sz w:val="22"/>
          <w:lang w:val="en-GB"/>
        </w:rPr>
        <w:t xml:space="preserve">the relevance of the material in this section to the Article 10 discussions is contingent on further developments on DSI </w:t>
      </w:r>
      <w:r w:rsidR="0061559A" w:rsidRPr="002364AB" w:rsidDel="00D9209C">
        <w:rPr>
          <w:rFonts w:cs="Times New Roman"/>
          <w:kern w:val="22"/>
          <w:sz w:val="22"/>
          <w:lang w:val="en-GB"/>
        </w:rPr>
        <w:t>in the</w:t>
      </w:r>
      <w:r w:rsidR="00D9209C" w:rsidRPr="002364AB">
        <w:rPr>
          <w:rFonts w:cs="Times New Roman"/>
          <w:kern w:val="22"/>
          <w:sz w:val="22"/>
          <w:lang w:val="en-GB"/>
        </w:rPr>
        <w:t xml:space="preserve"> ongoing negotiations under</w:t>
      </w:r>
      <w:r w:rsidR="0061559A" w:rsidRPr="002364AB">
        <w:rPr>
          <w:rFonts w:cs="Times New Roman"/>
          <w:kern w:val="22"/>
          <w:sz w:val="22"/>
          <w:lang w:val="en-GB"/>
        </w:rPr>
        <w:t xml:space="preserve"> </w:t>
      </w:r>
      <w:r w:rsidR="00D9209C" w:rsidRPr="002364AB">
        <w:rPr>
          <w:rFonts w:cs="Times New Roman"/>
          <w:kern w:val="22"/>
          <w:sz w:val="22"/>
          <w:lang w:val="en-GB"/>
        </w:rPr>
        <w:t>the C</w:t>
      </w:r>
      <w:r w:rsidR="00633911" w:rsidRPr="002364AB">
        <w:rPr>
          <w:rFonts w:cs="Times New Roman"/>
          <w:kern w:val="22"/>
          <w:sz w:val="22"/>
          <w:lang w:val="en-GB"/>
        </w:rPr>
        <w:t>BD</w:t>
      </w:r>
      <w:r w:rsidR="00AB4AC1" w:rsidRPr="002364AB">
        <w:rPr>
          <w:rFonts w:cs="Times New Roman"/>
          <w:kern w:val="22"/>
          <w:sz w:val="22"/>
          <w:lang w:val="en-GB"/>
        </w:rPr>
        <w:t xml:space="preserve"> </w:t>
      </w:r>
      <w:r w:rsidR="00AB4AC1" w:rsidRPr="002364AB" w:rsidDel="00EA16E3">
        <w:rPr>
          <w:rFonts w:cs="Times New Roman"/>
          <w:kern w:val="22"/>
          <w:sz w:val="22"/>
          <w:lang w:val="en-GB"/>
        </w:rPr>
        <w:t xml:space="preserve">and </w:t>
      </w:r>
      <w:r w:rsidR="00E82CFA" w:rsidRPr="002364AB">
        <w:rPr>
          <w:rFonts w:cs="Times New Roman"/>
          <w:kern w:val="22"/>
          <w:sz w:val="22"/>
          <w:lang w:val="en-GB"/>
        </w:rPr>
        <w:t>Nagoya Protocol</w:t>
      </w:r>
      <w:r w:rsidR="0061559A" w:rsidRPr="002364AB">
        <w:rPr>
          <w:rFonts w:cs="Times New Roman"/>
          <w:kern w:val="22"/>
          <w:sz w:val="22"/>
          <w:lang w:val="en-GB"/>
        </w:rPr>
        <w:t xml:space="preserve">. </w:t>
      </w:r>
      <w:r w:rsidR="00742011" w:rsidRPr="002364AB">
        <w:rPr>
          <w:rFonts w:cs="Times New Roman"/>
          <w:kern w:val="22"/>
          <w:sz w:val="22"/>
          <w:lang w:val="en-GB"/>
        </w:rPr>
        <w:t xml:space="preserve">The report of the 2020 AHTEG on DSI </w:t>
      </w:r>
      <w:r w:rsidR="00DD6D27" w:rsidRPr="002364AB">
        <w:rPr>
          <w:rFonts w:cs="Times New Roman"/>
          <w:kern w:val="22"/>
          <w:sz w:val="22"/>
          <w:lang w:val="en-GB"/>
        </w:rPr>
        <w:t xml:space="preserve">notes that </w:t>
      </w:r>
      <w:r w:rsidR="008841E0" w:rsidRPr="002364AB">
        <w:rPr>
          <w:rFonts w:cs="Times New Roman"/>
          <w:kern w:val="22"/>
          <w:sz w:val="22"/>
          <w:lang w:val="en-GB"/>
        </w:rPr>
        <w:t>“the importance of a concerted and cost-effective international approach to digital sequence information on genetic resources was highlighted, and experts noted possible approaches, including</w:t>
      </w:r>
      <w:r w:rsidR="00DD6D27" w:rsidRPr="002364AB">
        <w:rPr>
          <w:rFonts w:cs="Times New Roman"/>
          <w:kern w:val="22"/>
          <w:sz w:val="22"/>
          <w:lang w:val="en-GB"/>
        </w:rPr>
        <w:t xml:space="preserve">… </w:t>
      </w:r>
      <w:r w:rsidR="008841E0" w:rsidRPr="002364AB">
        <w:rPr>
          <w:rFonts w:cs="Times New Roman"/>
          <w:kern w:val="22"/>
          <w:sz w:val="22"/>
          <w:lang w:val="en-GB"/>
        </w:rPr>
        <w:t>a possible multilateral approach.”</w:t>
      </w:r>
      <w:r w:rsidR="00E13646" w:rsidRPr="002364AB">
        <w:rPr>
          <w:rStyle w:val="FootnoteReference"/>
          <w:rFonts w:cs="Times New Roman"/>
          <w:kern w:val="22"/>
          <w:sz w:val="22"/>
          <w:lang w:val="en-GB"/>
        </w:rPr>
        <w:footnoteReference w:id="114"/>
      </w:r>
    </w:p>
    <w:p w14:paraId="4970ED69" w14:textId="02F0A5ED" w:rsidR="00AB4AC1" w:rsidRPr="002364AB" w:rsidRDefault="00E86BBE" w:rsidP="00B53ED9">
      <w:pPr>
        <w:spacing w:after="120"/>
        <w:rPr>
          <w:rFonts w:cs="Times New Roman"/>
          <w:kern w:val="22"/>
          <w:sz w:val="22"/>
          <w:lang w:val="en-GB"/>
        </w:rPr>
      </w:pPr>
      <w:r w:rsidRPr="002364AB">
        <w:rPr>
          <w:rFonts w:cs="Times New Roman"/>
          <w:kern w:val="22"/>
          <w:sz w:val="22"/>
          <w:lang w:val="en-GB"/>
        </w:rPr>
        <w:t xml:space="preserve">Most Parties have not employed administrative, legislative, or other domestic measures to regulate access or benefit-sharing for DSI and many have no intention of doing so in the future. </w:t>
      </w:r>
      <w:r w:rsidR="00AB4AC1" w:rsidRPr="002364AB">
        <w:rPr>
          <w:rFonts w:cs="Times New Roman"/>
          <w:kern w:val="22"/>
          <w:sz w:val="22"/>
          <w:lang w:val="en-GB"/>
        </w:rPr>
        <w:t>Nevertheless, as described</w:t>
      </w:r>
      <w:r w:rsidR="00AB4AC1" w:rsidRPr="002364AB" w:rsidDel="00EA16E3">
        <w:rPr>
          <w:rFonts w:cs="Times New Roman"/>
          <w:kern w:val="22"/>
          <w:sz w:val="22"/>
          <w:lang w:val="en-GB"/>
        </w:rPr>
        <w:t xml:space="preserve"> </w:t>
      </w:r>
      <w:r w:rsidR="00AB4AC1" w:rsidRPr="002364AB">
        <w:rPr>
          <w:rFonts w:cs="Times New Roman"/>
          <w:kern w:val="22"/>
          <w:sz w:val="22"/>
          <w:lang w:val="en-GB"/>
        </w:rPr>
        <w:t xml:space="preserve">in a recent study commissioned by the CBD Secretariat pursuant to </w:t>
      </w:r>
      <w:r w:rsidR="00633911" w:rsidRPr="002364AB">
        <w:rPr>
          <w:rFonts w:cs="Times New Roman"/>
          <w:kern w:val="22"/>
          <w:sz w:val="22"/>
          <w:lang w:val="en-GB"/>
        </w:rPr>
        <w:t>COP d</w:t>
      </w:r>
      <w:r w:rsidR="00AB4AC1" w:rsidRPr="002364AB">
        <w:rPr>
          <w:rFonts w:cs="Times New Roman"/>
          <w:kern w:val="22"/>
          <w:sz w:val="22"/>
          <w:lang w:val="en-GB"/>
        </w:rPr>
        <w:t>ecision 14/20, at least 15 countries have domestic ABS measures to address the use of DSI and at least 1</w:t>
      </w:r>
      <w:r w:rsidR="0061559A" w:rsidRPr="002364AB">
        <w:rPr>
          <w:rFonts w:cs="Times New Roman"/>
          <w:kern w:val="22"/>
          <w:sz w:val="22"/>
          <w:lang w:val="en-GB"/>
        </w:rPr>
        <w:t>8</w:t>
      </w:r>
      <w:r w:rsidR="00AB4AC1" w:rsidRPr="002364AB">
        <w:rPr>
          <w:rFonts w:cs="Times New Roman"/>
          <w:kern w:val="22"/>
          <w:sz w:val="22"/>
          <w:lang w:val="en-GB"/>
        </w:rPr>
        <w:t xml:space="preserve"> more are in the process of developing such measures.</w:t>
      </w:r>
      <w:r w:rsidR="00AB4AC1" w:rsidRPr="002364AB">
        <w:rPr>
          <w:rStyle w:val="FootnoteReference"/>
          <w:kern w:val="22"/>
          <w:sz w:val="22"/>
          <w:lang w:val="en-GB"/>
        </w:rPr>
        <w:footnoteReference w:id="115"/>
      </w:r>
      <w:r w:rsidR="00AB4AC1" w:rsidRPr="002364AB">
        <w:rPr>
          <w:rFonts w:cs="Times New Roman"/>
          <w:kern w:val="22"/>
          <w:sz w:val="22"/>
          <w:lang w:val="en-GB"/>
        </w:rPr>
        <w:t xml:space="preserve"> </w:t>
      </w:r>
      <w:r w:rsidR="00B8747B" w:rsidRPr="002364AB">
        <w:rPr>
          <w:rFonts w:cs="Times New Roman"/>
          <w:kern w:val="22"/>
          <w:sz w:val="22"/>
          <w:lang w:val="en-GB"/>
        </w:rPr>
        <w:t xml:space="preserve">It should be noted that even if DSI is </w:t>
      </w:r>
      <w:r w:rsidR="000F0DCC" w:rsidRPr="002364AB">
        <w:rPr>
          <w:rFonts w:cs="Times New Roman"/>
          <w:kern w:val="22"/>
          <w:sz w:val="22"/>
          <w:lang w:val="en-GB"/>
        </w:rPr>
        <w:t xml:space="preserve">deemed to </w:t>
      </w:r>
      <w:r w:rsidR="00EA16E3" w:rsidRPr="002364AB">
        <w:rPr>
          <w:rFonts w:cs="Times New Roman"/>
          <w:kern w:val="22"/>
          <w:sz w:val="22"/>
          <w:lang w:val="en-GB"/>
        </w:rPr>
        <w:t>fall</w:t>
      </w:r>
      <w:r w:rsidR="000F0DCC" w:rsidRPr="002364AB">
        <w:rPr>
          <w:rFonts w:cs="Times New Roman"/>
          <w:kern w:val="22"/>
          <w:sz w:val="22"/>
          <w:lang w:val="en-GB"/>
        </w:rPr>
        <w:t xml:space="preserve"> outside of the </w:t>
      </w:r>
      <w:r w:rsidR="00C052C3" w:rsidRPr="002364AB">
        <w:rPr>
          <w:rFonts w:cs="Times New Roman"/>
          <w:kern w:val="22"/>
          <w:sz w:val="22"/>
          <w:lang w:val="en-GB"/>
        </w:rPr>
        <w:t>definition of</w:t>
      </w:r>
      <w:r w:rsidR="00EA16E3" w:rsidRPr="002364AB">
        <w:rPr>
          <w:rFonts w:cs="Times New Roman"/>
          <w:kern w:val="22"/>
          <w:sz w:val="22"/>
          <w:lang w:val="en-GB"/>
        </w:rPr>
        <w:t xml:space="preserve"> </w:t>
      </w:r>
      <w:r w:rsidR="000F0DCC" w:rsidRPr="002364AB">
        <w:rPr>
          <w:rFonts w:cs="Times New Roman"/>
          <w:kern w:val="22"/>
          <w:sz w:val="22"/>
          <w:lang w:val="en-GB"/>
        </w:rPr>
        <w:t>“genetic resources”</w:t>
      </w:r>
      <w:r w:rsidR="00B53ED9" w:rsidRPr="002364AB">
        <w:rPr>
          <w:rFonts w:cs="Times New Roman"/>
          <w:kern w:val="22"/>
          <w:sz w:val="22"/>
          <w:lang w:val="en-GB"/>
        </w:rPr>
        <w:t xml:space="preserve"> as understood under the CBD and the Nagoya Protocol</w:t>
      </w:r>
      <w:r w:rsidR="000F0DCC" w:rsidRPr="002364AB">
        <w:rPr>
          <w:rFonts w:cs="Times New Roman"/>
          <w:kern w:val="22"/>
          <w:sz w:val="22"/>
          <w:lang w:val="en-GB"/>
        </w:rPr>
        <w:t xml:space="preserve">, DSI produced </w:t>
      </w:r>
      <w:r w:rsidR="00127E48" w:rsidRPr="002364AB">
        <w:rPr>
          <w:rFonts w:cs="Times New Roman"/>
          <w:kern w:val="22"/>
          <w:sz w:val="22"/>
          <w:lang w:val="en-GB"/>
        </w:rPr>
        <w:t>from</w:t>
      </w:r>
      <w:r w:rsidR="00EA16E3" w:rsidRPr="002364AB">
        <w:rPr>
          <w:rFonts w:cs="Times New Roman"/>
          <w:kern w:val="22"/>
          <w:sz w:val="22"/>
          <w:lang w:val="en-GB"/>
        </w:rPr>
        <w:t xml:space="preserve"> </w:t>
      </w:r>
      <w:r w:rsidR="000F0DCC" w:rsidRPr="002364AB">
        <w:rPr>
          <w:rFonts w:cs="Times New Roman"/>
          <w:kern w:val="22"/>
          <w:sz w:val="22"/>
          <w:lang w:val="en-GB"/>
        </w:rPr>
        <w:t xml:space="preserve">the utilization of a genetic resource </w:t>
      </w:r>
      <w:r w:rsidR="00BA26FC" w:rsidRPr="002364AB">
        <w:rPr>
          <w:rFonts w:cs="Times New Roman"/>
          <w:kern w:val="22"/>
          <w:sz w:val="22"/>
          <w:lang w:val="en-GB"/>
        </w:rPr>
        <w:t xml:space="preserve">could </w:t>
      </w:r>
      <w:r w:rsidR="000F0DCC" w:rsidRPr="002364AB">
        <w:rPr>
          <w:rFonts w:cs="Times New Roman"/>
          <w:kern w:val="22"/>
          <w:sz w:val="22"/>
          <w:lang w:val="en-GB"/>
        </w:rPr>
        <w:t>still be subject to benefit-sharing</w:t>
      </w:r>
      <w:r w:rsidR="00161C5B" w:rsidRPr="002364AB">
        <w:rPr>
          <w:rFonts w:cs="Times New Roman"/>
          <w:kern w:val="22"/>
          <w:sz w:val="22"/>
          <w:lang w:val="en-GB"/>
        </w:rPr>
        <w:t>.</w:t>
      </w:r>
      <w:r w:rsidR="000F0DCC" w:rsidRPr="002364AB">
        <w:rPr>
          <w:rFonts w:cs="Times New Roman"/>
          <w:kern w:val="22"/>
          <w:sz w:val="22"/>
          <w:lang w:val="en-GB"/>
        </w:rPr>
        <w:t xml:space="preserve"> </w:t>
      </w:r>
    </w:p>
    <w:p w14:paraId="0C50A745" w14:textId="77B59504" w:rsidR="00AB4AC1" w:rsidRPr="002364AB" w:rsidRDefault="00AB4AC1" w:rsidP="00AB4AC1">
      <w:pPr>
        <w:spacing w:after="120"/>
        <w:rPr>
          <w:rFonts w:cs="Times New Roman"/>
          <w:kern w:val="22"/>
          <w:sz w:val="22"/>
          <w:lang w:val="en-GB"/>
        </w:rPr>
      </w:pPr>
      <w:r w:rsidRPr="002364AB">
        <w:rPr>
          <w:rFonts w:cs="Times New Roman"/>
          <w:kern w:val="22"/>
          <w:sz w:val="22"/>
          <w:lang w:val="en-GB"/>
        </w:rPr>
        <w:t xml:space="preserve">The bilateral ABS model can be applied to DSI in </w:t>
      </w:r>
      <w:r w:rsidR="00EB41E5" w:rsidRPr="002364AB">
        <w:rPr>
          <w:rFonts w:cs="Times New Roman"/>
          <w:kern w:val="22"/>
          <w:sz w:val="22"/>
          <w:lang w:val="en-GB"/>
        </w:rPr>
        <w:t xml:space="preserve">certain </w:t>
      </w:r>
      <w:r w:rsidRPr="002364AB">
        <w:rPr>
          <w:rFonts w:cs="Times New Roman"/>
          <w:kern w:val="22"/>
          <w:sz w:val="22"/>
          <w:lang w:val="en-GB"/>
        </w:rPr>
        <w:t xml:space="preserve">situations, particularly as part of </w:t>
      </w:r>
      <w:r w:rsidR="00822BA4" w:rsidRPr="002364AB">
        <w:rPr>
          <w:rFonts w:cs="Times New Roman"/>
          <w:kern w:val="22"/>
          <w:sz w:val="22"/>
          <w:lang w:val="en-GB"/>
        </w:rPr>
        <w:t xml:space="preserve">MAT </w:t>
      </w:r>
      <w:r w:rsidRPr="002364AB">
        <w:rPr>
          <w:rFonts w:cs="Times New Roman"/>
          <w:kern w:val="22"/>
          <w:sz w:val="22"/>
          <w:lang w:val="en-GB"/>
        </w:rPr>
        <w:t>for the use of tangible genetic material</w:t>
      </w:r>
      <w:r w:rsidR="00EB41E5" w:rsidRPr="002364AB">
        <w:rPr>
          <w:rFonts w:cs="Times New Roman"/>
          <w:kern w:val="22"/>
          <w:sz w:val="22"/>
          <w:lang w:val="en-GB"/>
        </w:rPr>
        <w:t xml:space="preserve">. </w:t>
      </w:r>
      <w:r w:rsidR="00EB41E5" w:rsidRPr="002364AB" w:rsidDel="00EA16E3">
        <w:rPr>
          <w:rFonts w:cs="Times New Roman"/>
          <w:kern w:val="22"/>
          <w:sz w:val="22"/>
          <w:lang w:val="en-GB"/>
        </w:rPr>
        <w:t>It also may be feasible</w:t>
      </w:r>
      <w:r w:rsidRPr="002364AB" w:rsidDel="00EA16E3">
        <w:rPr>
          <w:rFonts w:cs="Times New Roman"/>
          <w:kern w:val="22"/>
          <w:sz w:val="22"/>
          <w:lang w:val="en-GB"/>
        </w:rPr>
        <w:t xml:space="preserve"> where a small number of agreements would be required. </w:t>
      </w:r>
      <w:r w:rsidRPr="002364AB">
        <w:rPr>
          <w:rFonts w:cs="Times New Roman"/>
          <w:kern w:val="22"/>
          <w:sz w:val="22"/>
          <w:lang w:val="en-GB"/>
        </w:rPr>
        <w:t xml:space="preserve">However, there are </w:t>
      </w:r>
      <w:proofErr w:type="gramStart"/>
      <w:r w:rsidRPr="002364AB">
        <w:rPr>
          <w:rFonts w:cs="Times New Roman"/>
          <w:kern w:val="22"/>
          <w:sz w:val="22"/>
          <w:lang w:val="en-GB"/>
        </w:rPr>
        <w:t>a number of</w:t>
      </w:r>
      <w:proofErr w:type="gramEnd"/>
      <w:r w:rsidRPr="002364AB">
        <w:rPr>
          <w:rFonts w:cs="Times New Roman"/>
          <w:kern w:val="22"/>
          <w:sz w:val="22"/>
          <w:lang w:val="en-GB"/>
        </w:rPr>
        <w:t xml:space="preserve"> scenarios involving access to and use of DSI for which the bilateral approach would </w:t>
      </w:r>
      <w:r w:rsidR="00C052C3" w:rsidRPr="002364AB">
        <w:rPr>
          <w:rFonts w:cs="Times New Roman"/>
          <w:kern w:val="22"/>
          <w:sz w:val="22"/>
          <w:lang w:val="en-GB"/>
        </w:rPr>
        <w:t xml:space="preserve">be </w:t>
      </w:r>
      <w:r w:rsidR="007D320F" w:rsidRPr="002364AB">
        <w:rPr>
          <w:rFonts w:cs="Times New Roman"/>
          <w:kern w:val="22"/>
          <w:sz w:val="22"/>
          <w:lang w:val="en-GB"/>
        </w:rPr>
        <w:t xml:space="preserve">functionally if not factually </w:t>
      </w:r>
      <w:r w:rsidR="004527B4" w:rsidRPr="002364AB">
        <w:rPr>
          <w:rFonts w:cs="Times New Roman"/>
          <w:kern w:val="22"/>
          <w:sz w:val="22"/>
          <w:lang w:val="en-GB"/>
        </w:rPr>
        <w:t>impossible</w:t>
      </w:r>
      <w:r w:rsidRPr="002364AB">
        <w:rPr>
          <w:rFonts w:cs="Times New Roman"/>
          <w:kern w:val="22"/>
          <w:sz w:val="22"/>
          <w:lang w:val="en-GB"/>
        </w:rPr>
        <w:t xml:space="preserve">. </w:t>
      </w:r>
      <w:r w:rsidR="00EB41E5" w:rsidRPr="002364AB">
        <w:rPr>
          <w:rFonts w:cs="Times New Roman"/>
          <w:kern w:val="22"/>
          <w:sz w:val="22"/>
          <w:lang w:val="en-GB"/>
        </w:rPr>
        <w:t xml:space="preserve">Two such </w:t>
      </w:r>
      <w:r w:rsidR="007F5DDB" w:rsidRPr="002364AB">
        <w:rPr>
          <w:rFonts w:cs="Times New Roman"/>
          <w:kern w:val="22"/>
          <w:sz w:val="22"/>
          <w:lang w:val="en-GB"/>
        </w:rPr>
        <w:t>categories of cases</w:t>
      </w:r>
      <w:r w:rsidR="00EB41E5" w:rsidRPr="002364AB">
        <w:rPr>
          <w:rFonts w:cs="Times New Roman"/>
          <w:kern w:val="22"/>
          <w:sz w:val="22"/>
          <w:lang w:val="en-GB"/>
        </w:rPr>
        <w:t xml:space="preserve"> are discussed bel</w:t>
      </w:r>
      <w:r w:rsidR="00271360" w:rsidRPr="002364AB">
        <w:rPr>
          <w:rFonts w:cs="Times New Roman"/>
          <w:kern w:val="22"/>
          <w:sz w:val="22"/>
          <w:lang w:val="en-GB"/>
        </w:rPr>
        <w:t>ow</w:t>
      </w:r>
      <w:r w:rsidR="00EB41E5" w:rsidRPr="002364AB">
        <w:rPr>
          <w:rFonts w:cs="Times New Roman"/>
          <w:kern w:val="22"/>
          <w:sz w:val="22"/>
          <w:lang w:val="en-GB"/>
        </w:rPr>
        <w:t>.</w:t>
      </w:r>
    </w:p>
    <w:p w14:paraId="44AECC47" w14:textId="10B80F2C" w:rsidR="00805085" w:rsidRPr="002364AB" w:rsidRDefault="00FC5588" w:rsidP="001029D1">
      <w:pPr>
        <w:pStyle w:val="Heading3"/>
        <w:rPr>
          <w:kern w:val="22"/>
          <w:sz w:val="22"/>
          <w:szCs w:val="22"/>
          <w:lang w:val="en-GB"/>
        </w:rPr>
      </w:pPr>
      <w:bookmarkStart w:id="152" w:name="_Toc31040296"/>
      <w:bookmarkStart w:id="153" w:name="_Toc31056864"/>
      <w:bookmarkStart w:id="154" w:name="_Toc32490880"/>
      <w:bookmarkStart w:id="155" w:name="_Toc34249591"/>
      <w:bookmarkStart w:id="156" w:name="_Toc39580432"/>
      <w:bookmarkStart w:id="157" w:name="_Toc43134984"/>
      <w:r w:rsidRPr="002364AB">
        <w:rPr>
          <w:kern w:val="22"/>
          <w:sz w:val="22"/>
          <w:szCs w:val="22"/>
          <w:lang w:val="en-GB"/>
        </w:rPr>
        <w:t xml:space="preserve">Cases </w:t>
      </w:r>
      <w:r w:rsidR="005D29DF" w:rsidRPr="002364AB">
        <w:rPr>
          <w:kern w:val="22"/>
          <w:sz w:val="22"/>
          <w:szCs w:val="22"/>
          <w:lang w:val="en-GB"/>
        </w:rPr>
        <w:t>W</w:t>
      </w:r>
      <w:r w:rsidRPr="002364AB">
        <w:rPr>
          <w:kern w:val="22"/>
          <w:sz w:val="22"/>
          <w:szCs w:val="22"/>
          <w:lang w:val="en-GB"/>
        </w:rPr>
        <w:t xml:space="preserve">here no </w:t>
      </w:r>
      <w:r w:rsidR="005D29DF" w:rsidRPr="002364AB">
        <w:rPr>
          <w:kern w:val="22"/>
          <w:sz w:val="22"/>
          <w:szCs w:val="22"/>
          <w:lang w:val="en-GB"/>
        </w:rPr>
        <w:t>P</w:t>
      </w:r>
      <w:r w:rsidRPr="002364AB">
        <w:rPr>
          <w:kern w:val="22"/>
          <w:sz w:val="22"/>
          <w:szCs w:val="22"/>
          <w:lang w:val="en-GB"/>
        </w:rPr>
        <w:t xml:space="preserve">hysical </w:t>
      </w:r>
      <w:r w:rsidR="005D29DF" w:rsidRPr="002364AB">
        <w:rPr>
          <w:kern w:val="22"/>
          <w:sz w:val="22"/>
          <w:szCs w:val="22"/>
          <w:lang w:val="en-GB"/>
        </w:rPr>
        <w:t>A</w:t>
      </w:r>
      <w:r w:rsidRPr="002364AB">
        <w:rPr>
          <w:kern w:val="22"/>
          <w:sz w:val="22"/>
          <w:szCs w:val="22"/>
          <w:lang w:val="en-GB"/>
        </w:rPr>
        <w:t xml:space="preserve">ccess is </w:t>
      </w:r>
      <w:r w:rsidR="005D29DF" w:rsidRPr="002364AB">
        <w:rPr>
          <w:kern w:val="22"/>
          <w:sz w:val="22"/>
          <w:szCs w:val="22"/>
          <w:lang w:val="en-GB"/>
        </w:rPr>
        <w:t>N</w:t>
      </w:r>
      <w:r w:rsidRPr="002364AB">
        <w:rPr>
          <w:kern w:val="22"/>
          <w:sz w:val="22"/>
          <w:szCs w:val="22"/>
          <w:lang w:val="en-GB"/>
        </w:rPr>
        <w:t xml:space="preserve">eeded to </w:t>
      </w:r>
      <w:r w:rsidR="005D29DF" w:rsidRPr="002364AB">
        <w:rPr>
          <w:kern w:val="22"/>
          <w:sz w:val="22"/>
          <w:szCs w:val="22"/>
          <w:lang w:val="en-GB"/>
        </w:rPr>
        <w:t>U</w:t>
      </w:r>
      <w:r w:rsidR="009374E7" w:rsidRPr="002364AB">
        <w:rPr>
          <w:kern w:val="22"/>
          <w:sz w:val="22"/>
          <w:szCs w:val="22"/>
          <w:lang w:val="en-GB"/>
        </w:rPr>
        <w:t>tilize</w:t>
      </w:r>
      <w:r w:rsidRPr="002364AB">
        <w:rPr>
          <w:kern w:val="22"/>
          <w:sz w:val="22"/>
          <w:szCs w:val="22"/>
          <w:lang w:val="en-GB"/>
        </w:rPr>
        <w:t xml:space="preserve"> </w:t>
      </w:r>
      <w:r w:rsidR="005D29DF" w:rsidRPr="002364AB">
        <w:rPr>
          <w:kern w:val="22"/>
          <w:sz w:val="22"/>
          <w:szCs w:val="22"/>
          <w:lang w:val="en-GB"/>
        </w:rPr>
        <w:t>G</w:t>
      </w:r>
      <w:r w:rsidR="00DE109E" w:rsidRPr="002364AB">
        <w:rPr>
          <w:kern w:val="22"/>
          <w:sz w:val="22"/>
          <w:szCs w:val="22"/>
          <w:lang w:val="en-GB"/>
        </w:rPr>
        <w:t xml:space="preserve">enetic </w:t>
      </w:r>
      <w:r w:rsidR="005D29DF" w:rsidRPr="002364AB">
        <w:rPr>
          <w:kern w:val="22"/>
          <w:sz w:val="22"/>
          <w:szCs w:val="22"/>
          <w:lang w:val="en-GB"/>
        </w:rPr>
        <w:t>I</w:t>
      </w:r>
      <w:r w:rsidR="00DE109E" w:rsidRPr="002364AB">
        <w:rPr>
          <w:kern w:val="22"/>
          <w:sz w:val="22"/>
          <w:szCs w:val="22"/>
          <w:lang w:val="en-GB"/>
        </w:rPr>
        <w:t>nformation</w:t>
      </w:r>
      <w:bookmarkEnd w:id="152"/>
      <w:bookmarkEnd w:id="153"/>
      <w:bookmarkEnd w:id="154"/>
      <w:bookmarkEnd w:id="155"/>
      <w:bookmarkEnd w:id="156"/>
      <w:bookmarkEnd w:id="157"/>
    </w:p>
    <w:p w14:paraId="198B27C7" w14:textId="2AE424A5" w:rsidR="00361CB9" w:rsidRPr="002364AB" w:rsidRDefault="001A0A60" w:rsidP="00361CB9">
      <w:pPr>
        <w:rPr>
          <w:rFonts w:cs="Times New Roman"/>
          <w:kern w:val="22"/>
          <w:sz w:val="22"/>
          <w:lang w:val="en-GB"/>
        </w:rPr>
      </w:pPr>
      <w:r w:rsidRPr="002364AB">
        <w:rPr>
          <w:rFonts w:cs="Times New Roman"/>
          <w:kern w:val="22"/>
          <w:sz w:val="22"/>
          <w:lang w:val="en-GB"/>
        </w:rPr>
        <w:t>Some third-party commercial</w:t>
      </w:r>
      <w:r w:rsidR="004C06F1" w:rsidRPr="002364AB">
        <w:rPr>
          <w:rFonts w:cs="Times New Roman"/>
          <w:kern w:val="22"/>
          <w:sz w:val="22"/>
          <w:lang w:val="en-GB"/>
        </w:rPr>
        <w:t xml:space="preserve"> and non-commercial</w:t>
      </w:r>
      <w:r w:rsidRPr="002364AB">
        <w:rPr>
          <w:rFonts w:cs="Times New Roman"/>
          <w:kern w:val="22"/>
          <w:sz w:val="22"/>
          <w:lang w:val="en-GB"/>
        </w:rPr>
        <w:t xml:space="preserve"> uses of information </w:t>
      </w:r>
      <w:r w:rsidR="009015CC" w:rsidRPr="002364AB">
        <w:rPr>
          <w:rFonts w:cs="Times New Roman"/>
          <w:kern w:val="22"/>
          <w:sz w:val="22"/>
          <w:lang w:val="en-GB"/>
        </w:rPr>
        <w:t xml:space="preserve">obtained from the utilization of </w:t>
      </w:r>
      <w:r w:rsidRPr="002364AB">
        <w:rPr>
          <w:rFonts w:cs="Times New Roman"/>
          <w:kern w:val="22"/>
          <w:sz w:val="22"/>
          <w:lang w:val="en-GB"/>
        </w:rPr>
        <w:t>genetic resource</w:t>
      </w:r>
      <w:r w:rsidR="009015CC" w:rsidRPr="002364AB">
        <w:rPr>
          <w:rFonts w:cs="Times New Roman"/>
          <w:kern w:val="22"/>
          <w:sz w:val="22"/>
          <w:lang w:val="en-GB"/>
        </w:rPr>
        <w:t xml:space="preserve">s </w:t>
      </w:r>
      <w:r w:rsidR="0047227D" w:rsidRPr="002364AB">
        <w:rPr>
          <w:rFonts w:cs="Times New Roman"/>
          <w:kern w:val="22"/>
          <w:sz w:val="22"/>
          <w:lang w:val="en-GB"/>
        </w:rPr>
        <w:t xml:space="preserve">held </w:t>
      </w:r>
      <w:r w:rsidR="009015CC" w:rsidRPr="002364AB">
        <w:rPr>
          <w:rFonts w:cs="Times New Roman"/>
          <w:kern w:val="22"/>
          <w:sz w:val="22"/>
          <w:lang w:val="en-GB"/>
        </w:rPr>
        <w:t>in</w:t>
      </w:r>
      <w:r w:rsidRPr="002364AB">
        <w:rPr>
          <w:rFonts w:cs="Times New Roman"/>
          <w:kern w:val="22"/>
          <w:sz w:val="22"/>
          <w:lang w:val="en-GB"/>
        </w:rPr>
        <w:t xml:space="preserve"> publicly accessible databases can be </w:t>
      </w:r>
      <w:r w:rsidR="00C67E14" w:rsidRPr="002364AB">
        <w:rPr>
          <w:rFonts w:cs="Times New Roman"/>
          <w:kern w:val="22"/>
          <w:sz w:val="22"/>
          <w:lang w:val="en-GB"/>
        </w:rPr>
        <w:t>considered</w:t>
      </w:r>
      <w:r w:rsidRPr="002364AB">
        <w:rPr>
          <w:rFonts w:cs="Times New Roman"/>
          <w:kern w:val="22"/>
          <w:sz w:val="22"/>
          <w:lang w:val="en-GB"/>
        </w:rPr>
        <w:t xml:space="preserve"> a situation where it is not </w:t>
      </w:r>
      <w:r w:rsidR="006C6388" w:rsidRPr="002364AB">
        <w:rPr>
          <w:rFonts w:cs="Times New Roman"/>
          <w:kern w:val="22"/>
          <w:sz w:val="22"/>
          <w:lang w:val="en-GB"/>
        </w:rPr>
        <w:t xml:space="preserve">functionally </w:t>
      </w:r>
      <w:r w:rsidR="00C67E14" w:rsidRPr="002364AB">
        <w:rPr>
          <w:rFonts w:cs="Times New Roman"/>
          <w:kern w:val="22"/>
          <w:sz w:val="22"/>
          <w:lang w:val="en-GB"/>
        </w:rPr>
        <w:t>possible</w:t>
      </w:r>
      <w:r w:rsidRPr="002364AB">
        <w:rPr>
          <w:rFonts w:cs="Times New Roman"/>
          <w:kern w:val="22"/>
          <w:sz w:val="22"/>
          <w:lang w:val="en-GB"/>
        </w:rPr>
        <w:t xml:space="preserve"> to obtain consent. </w:t>
      </w:r>
      <w:r w:rsidR="002907E5" w:rsidRPr="002364AB">
        <w:rPr>
          <w:rFonts w:cs="Times New Roman"/>
          <w:kern w:val="22"/>
          <w:sz w:val="22"/>
          <w:lang w:val="en-GB"/>
        </w:rPr>
        <w:t>A recent study commissioned by the CBD Secretariat identified more than 1</w:t>
      </w:r>
      <w:r w:rsidR="005852BB" w:rsidRPr="002364AB">
        <w:rPr>
          <w:rFonts w:cs="Times New Roman"/>
          <w:kern w:val="22"/>
          <w:sz w:val="22"/>
          <w:lang w:val="en-GB"/>
        </w:rPr>
        <w:t>,</w:t>
      </w:r>
      <w:r w:rsidR="002907E5" w:rsidRPr="002364AB">
        <w:rPr>
          <w:rFonts w:cs="Times New Roman"/>
          <w:kern w:val="22"/>
          <w:sz w:val="22"/>
          <w:lang w:val="en-GB"/>
        </w:rPr>
        <w:t>600 databases which contain “trillions” of nucleotide bases.</w:t>
      </w:r>
      <w:r w:rsidR="002907E5" w:rsidRPr="002364AB">
        <w:rPr>
          <w:rStyle w:val="FootnoteReference"/>
          <w:rFonts w:cs="Times New Roman"/>
          <w:kern w:val="22"/>
          <w:sz w:val="22"/>
          <w:lang w:val="en-GB"/>
        </w:rPr>
        <w:footnoteReference w:id="116"/>
      </w:r>
      <w:r w:rsidR="002907E5" w:rsidRPr="002364AB">
        <w:rPr>
          <w:rFonts w:cs="Times New Roman"/>
          <w:kern w:val="22"/>
          <w:sz w:val="22"/>
          <w:lang w:val="en-GB"/>
        </w:rPr>
        <w:t xml:space="preserve"> </w:t>
      </w:r>
      <w:r w:rsidR="00361CB9" w:rsidRPr="002364AB">
        <w:rPr>
          <w:rFonts w:cs="Times New Roman"/>
          <w:kern w:val="22"/>
          <w:sz w:val="22"/>
          <w:lang w:val="en-GB"/>
        </w:rPr>
        <w:t xml:space="preserve">The International Nucleotide Sequence Database Collaboration (INSDC) is a consortium of three </w:t>
      </w:r>
      <w:r w:rsidR="009015CC" w:rsidRPr="002364AB">
        <w:rPr>
          <w:rFonts w:cs="Times New Roman"/>
          <w:kern w:val="22"/>
          <w:sz w:val="22"/>
          <w:lang w:val="en-GB"/>
        </w:rPr>
        <w:t xml:space="preserve">of the largest and most commonly used </w:t>
      </w:r>
      <w:r w:rsidR="00361CB9" w:rsidRPr="002364AB">
        <w:rPr>
          <w:rFonts w:cs="Times New Roman"/>
          <w:kern w:val="22"/>
          <w:sz w:val="22"/>
          <w:lang w:val="en-GB"/>
        </w:rPr>
        <w:t xml:space="preserve">databases: </w:t>
      </w:r>
      <w:r w:rsidR="006E0B7D" w:rsidRPr="002364AB">
        <w:rPr>
          <w:rFonts w:cs="Times New Roman"/>
          <w:kern w:val="22"/>
          <w:sz w:val="22"/>
          <w:lang w:val="en-GB"/>
        </w:rPr>
        <w:t xml:space="preserve">GenBank at </w:t>
      </w:r>
      <w:r w:rsidR="00361CB9" w:rsidRPr="002364AB">
        <w:rPr>
          <w:rFonts w:cs="Times New Roman"/>
          <w:kern w:val="22"/>
          <w:sz w:val="22"/>
          <w:lang w:val="en-GB"/>
        </w:rPr>
        <w:t xml:space="preserve">the National </w:t>
      </w:r>
      <w:proofErr w:type="spellStart"/>
      <w:r w:rsidR="00361CB9" w:rsidRPr="002364AB">
        <w:rPr>
          <w:rFonts w:cs="Times New Roman"/>
          <w:kern w:val="22"/>
          <w:sz w:val="22"/>
          <w:lang w:val="en-GB"/>
        </w:rPr>
        <w:t>Center</w:t>
      </w:r>
      <w:proofErr w:type="spellEnd"/>
      <w:r w:rsidR="00361CB9" w:rsidRPr="002364AB">
        <w:rPr>
          <w:rFonts w:cs="Times New Roman"/>
          <w:kern w:val="22"/>
          <w:sz w:val="22"/>
          <w:lang w:val="en-GB"/>
        </w:rPr>
        <w:t xml:space="preserve"> for Biotechnology Information </w:t>
      </w:r>
      <w:r w:rsidR="00D9209C" w:rsidRPr="002364AB">
        <w:rPr>
          <w:rFonts w:cs="Times New Roman"/>
          <w:kern w:val="22"/>
          <w:sz w:val="22"/>
          <w:lang w:val="en-GB"/>
        </w:rPr>
        <w:t>i</w:t>
      </w:r>
      <w:r w:rsidR="00361CB9" w:rsidRPr="002364AB">
        <w:rPr>
          <w:rFonts w:cs="Times New Roman"/>
          <w:kern w:val="22"/>
          <w:sz w:val="22"/>
          <w:lang w:val="en-GB"/>
        </w:rPr>
        <w:t xml:space="preserve">n the United States, the </w:t>
      </w:r>
      <w:r w:rsidR="009E0950" w:rsidRPr="002364AB">
        <w:rPr>
          <w:rFonts w:cs="Times New Roman"/>
          <w:kern w:val="22"/>
          <w:sz w:val="22"/>
          <w:lang w:val="en-GB"/>
        </w:rPr>
        <w:t>European Molecular Biology Laboratory</w:t>
      </w:r>
      <w:r w:rsidR="00912566" w:rsidRPr="002364AB">
        <w:rPr>
          <w:rFonts w:cs="Times New Roman"/>
          <w:kern w:val="22"/>
          <w:sz w:val="22"/>
          <w:lang w:val="en-GB"/>
        </w:rPr>
        <w:t>-</w:t>
      </w:r>
      <w:r w:rsidR="00361CB9" w:rsidRPr="002364AB">
        <w:rPr>
          <w:rFonts w:cs="Times New Roman"/>
          <w:kern w:val="22"/>
          <w:sz w:val="22"/>
          <w:lang w:val="en-GB"/>
        </w:rPr>
        <w:t>European Bioinformatics Institute</w:t>
      </w:r>
      <w:r w:rsidR="0055701C" w:rsidRPr="002364AB">
        <w:rPr>
          <w:rFonts w:cs="Times New Roman"/>
          <w:kern w:val="22"/>
          <w:sz w:val="22"/>
          <w:lang w:val="en-GB"/>
        </w:rPr>
        <w:t xml:space="preserve"> in the United Kingdom</w:t>
      </w:r>
      <w:r w:rsidR="00361CB9" w:rsidRPr="002364AB">
        <w:rPr>
          <w:rFonts w:cs="Times New Roman"/>
          <w:kern w:val="22"/>
          <w:sz w:val="22"/>
          <w:lang w:val="en-GB"/>
        </w:rPr>
        <w:t xml:space="preserve">, and the </w:t>
      </w:r>
      <w:r w:rsidR="00317EA9" w:rsidRPr="002364AB">
        <w:rPr>
          <w:rFonts w:cs="Times New Roman"/>
          <w:kern w:val="22"/>
          <w:sz w:val="22"/>
          <w:lang w:val="en-GB"/>
        </w:rPr>
        <w:t xml:space="preserve">Data Bank of Japan </w:t>
      </w:r>
      <w:r w:rsidR="00361CB9" w:rsidRPr="002364AB">
        <w:rPr>
          <w:rFonts w:cs="Times New Roman"/>
          <w:kern w:val="22"/>
          <w:sz w:val="22"/>
          <w:lang w:val="en-GB"/>
        </w:rPr>
        <w:t xml:space="preserve">at </w:t>
      </w:r>
      <w:r w:rsidR="00EA16E3" w:rsidRPr="002364AB">
        <w:rPr>
          <w:rFonts w:cs="Times New Roman"/>
          <w:kern w:val="22"/>
          <w:sz w:val="22"/>
          <w:lang w:val="en-GB"/>
        </w:rPr>
        <w:t xml:space="preserve">the </w:t>
      </w:r>
      <w:r w:rsidR="00361CB9" w:rsidRPr="002364AB">
        <w:rPr>
          <w:rFonts w:cs="Times New Roman"/>
          <w:kern w:val="22"/>
          <w:sz w:val="22"/>
          <w:lang w:val="en-GB"/>
        </w:rPr>
        <w:t>National Institute of Genetics, which share their contents</w:t>
      </w:r>
      <w:r w:rsidR="009E0950" w:rsidRPr="002364AB">
        <w:rPr>
          <w:rFonts w:cs="Times New Roman"/>
          <w:kern w:val="22"/>
          <w:sz w:val="22"/>
          <w:lang w:val="en-GB"/>
        </w:rPr>
        <w:t xml:space="preserve"> and</w:t>
      </w:r>
      <w:r w:rsidR="00361CB9" w:rsidRPr="002364AB">
        <w:rPr>
          <w:rFonts w:cs="Times New Roman"/>
          <w:kern w:val="22"/>
          <w:sz w:val="22"/>
          <w:lang w:val="en-GB"/>
        </w:rPr>
        <w:t xml:space="preserve"> provide tools to advance research which relies on biological information.</w:t>
      </w:r>
      <w:r w:rsidR="00361CB9" w:rsidRPr="002364AB">
        <w:rPr>
          <w:rStyle w:val="FootnoteReference"/>
          <w:rFonts w:cs="Times New Roman"/>
          <w:kern w:val="22"/>
          <w:sz w:val="22"/>
          <w:lang w:val="en-GB"/>
        </w:rPr>
        <w:footnoteReference w:id="117"/>
      </w:r>
      <w:r w:rsidR="00361CB9" w:rsidRPr="002364AB">
        <w:rPr>
          <w:rFonts w:cs="Times New Roman"/>
          <w:kern w:val="22"/>
          <w:sz w:val="22"/>
          <w:lang w:val="en-GB"/>
        </w:rPr>
        <w:t xml:space="preserve"> Together, these databases contain a large and rapidly growing amount of sequence data and other </w:t>
      </w:r>
      <w:r w:rsidR="000465EB" w:rsidRPr="002364AB">
        <w:rPr>
          <w:rFonts w:cs="Times New Roman"/>
          <w:kern w:val="22"/>
          <w:sz w:val="22"/>
          <w:lang w:val="en-GB"/>
        </w:rPr>
        <w:t xml:space="preserve">possible </w:t>
      </w:r>
      <w:r w:rsidR="00361CB9" w:rsidRPr="002364AB">
        <w:rPr>
          <w:rFonts w:cs="Times New Roman"/>
          <w:kern w:val="22"/>
          <w:sz w:val="22"/>
          <w:lang w:val="en-GB"/>
        </w:rPr>
        <w:t>forms of DSI</w:t>
      </w:r>
      <w:r w:rsidR="005B0DEA" w:rsidRPr="002364AB">
        <w:rPr>
          <w:rFonts w:cs="Times New Roman"/>
          <w:kern w:val="22"/>
          <w:sz w:val="22"/>
          <w:lang w:val="en-GB"/>
        </w:rPr>
        <w:t>.</w:t>
      </w:r>
      <w:r w:rsidR="00361CB9" w:rsidRPr="002364AB">
        <w:rPr>
          <w:rFonts w:cs="Times New Roman"/>
          <w:kern w:val="22"/>
          <w:sz w:val="22"/>
          <w:lang w:val="en-GB"/>
        </w:rPr>
        <w:t xml:space="preserve"> As of April 20</w:t>
      </w:r>
      <w:r w:rsidR="005C6E08" w:rsidRPr="002364AB">
        <w:rPr>
          <w:rFonts w:cs="Times New Roman"/>
          <w:kern w:val="22"/>
          <w:sz w:val="22"/>
          <w:lang w:val="en-GB"/>
        </w:rPr>
        <w:t>20</w:t>
      </w:r>
      <w:r w:rsidR="00361CB9" w:rsidRPr="002364AB">
        <w:rPr>
          <w:rFonts w:cs="Times New Roman"/>
          <w:kern w:val="22"/>
          <w:sz w:val="22"/>
          <w:lang w:val="en-GB"/>
        </w:rPr>
        <w:t xml:space="preserve">, GenBank contained over </w:t>
      </w:r>
      <w:r w:rsidR="005C6E08" w:rsidRPr="002364AB">
        <w:rPr>
          <w:rFonts w:cs="Times New Roman"/>
          <w:kern w:val="22"/>
          <w:sz w:val="22"/>
          <w:lang w:val="en-GB"/>
        </w:rPr>
        <w:t>415</w:t>
      </w:r>
      <w:r w:rsidR="00361CB9" w:rsidRPr="002364AB">
        <w:rPr>
          <w:rFonts w:cs="Times New Roman"/>
          <w:kern w:val="22"/>
          <w:sz w:val="22"/>
          <w:lang w:val="en-GB"/>
        </w:rPr>
        <w:t xml:space="preserve"> billion bases.</w:t>
      </w:r>
      <w:r w:rsidR="00361CB9" w:rsidRPr="002364AB">
        <w:rPr>
          <w:rFonts w:cs="Times New Roman"/>
          <w:kern w:val="22"/>
          <w:sz w:val="22"/>
          <w:vertAlign w:val="superscript"/>
          <w:lang w:val="en-GB"/>
        </w:rPr>
        <w:footnoteReference w:id="118"/>
      </w:r>
      <w:r w:rsidR="00361CB9" w:rsidRPr="002364AB">
        <w:rPr>
          <w:rFonts w:cs="Times New Roman"/>
          <w:kern w:val="22"/>
          <w:sz w:val="22"/>
          <w:lang w:val="en-GB"/>
        </w:rPr>
        <w:t xml:space="preserve"> </w:t>
      </w:r>
    </w:p>
    <w:p w14:paraId="24CDB35B" w14:textId="20BFF34C" w:rsidR="0056077E" w:rsidRPr="002364AB" w:rsidRDefault="0056077E" w:rsidP="0056077E">
      <w:pPr>
        <w:rPr>
          <w:rFonts w:cs="Times New Roman"/>
          <w:kern w:val="22"/>
          <w:sz w:val="22"/>
          <w:lang w:val="en-GB"/>
        </w:rPr>
      </w:pPr>
      <w:r w:rsidRPr="002364AB">
        <w:rPr>
          <w:rFonts w:cs="Times New Roman"/>
          <w:kern w:val="22"/>
          <w:sz w:val="22"/>
          <w:lang w:val="en-GB"/>
        </w:rPr>
        <w:t xml:space="preserve">Moreover, the amount of publicly accessible sequence data is only bound to increase </w:t>
      </w:r>
      <w:r w:rsidR="00B401B5" w:rsidRPr="002364AB">
        <w:rPr>
          <w:rFonts w:cs="Times New Roman"/>
          <w:kern w:val="22"/>
          <w:sz w:val="22"/>
          <w:lang w:val="en-GB"/>
        </w:rPr>
        <w:t>considering</w:t>
      </w:r>
      <w:r w:rsidRPr="002364AB">
        <w:rPr>
          <w:rFonts w:cs="Times New Roman"/>
          <w:kern w:val="22"/>
          <w:sz w:val="22"/>
          <w:lang w:val="en-GB"/>
        </w:rPr>
        <w:t xml:space="preserve"> </w:t>
      </w:r>
      <w:r w:rsidR="00361CB9" w:rsidRPr="002364AB">
        <w:rPr>
          <w:rFonts w:cs="Times New Roman"/>
          <w:kern w:val="22"/>
          <w:sz w:val="22"/>
          <w:lang w:val="en-GB"/>
        </w:rPr>
        <w:t xml:space="preserve">other </w:t>
      </w:r>
      <w:r w:rsidRPr="002364AB">
        <w:rPr>
          <w:rFonts w:cs="Times New Roman"/>
          <w:kern w:val="22"/>
          <w:sz w:val="22"/>
          <w:lang w:val="en-GB"/>
        </w:rPr>
        <w:t xml:space="preserve">initiatives already underway. For example, the Earth </w:t>
      </w:r>
      <w:proofErr w:type="spellStart"/>
      <w:r w:rsidRPr="002364AB">
        <w:rPr>
          <w:rFonts w:cs="Times New Roman"/>
          <w:kern w:val="22"/>
          <w:sz w:val="22"/>
          <w:lang w:val="en-GB"/>
        </w:rPr>
        <w:t>Biogenome</w:t>
      </w:r>
      <w:proofErr w:type="spellEnd"/>
      <w:r w:rsidRPr="002364AB">
        <w:rPr>
          <w:rFonts w:cs="Times New Roman"/>
          <w:kern w:val="22"/>
          <w:sz w:val="22"/>
          <w:lang w:val="en-GB"/>
        </w:rPr>
        <w:t xml:space="preserve"> Project </w:t>
      </w:r>
      <w:r w:rsidR="004C06F1" w:rsidRPr="002364AB">
        <w:rPr>
          <w:rFonts w:cs="Times New Roman"/>
          <w:kern w:val="22"/>
          <w:sz w:val="22"/>
          <w:lang w:val="en-GB"/>
        </w:rPr>
        <w:t>aims t</w:t>
      </w:r>
      <w:r w:rsidR="00AA1854" w:rsidRPr="002364AB">
        <w:rPr>
          <w:rFonts w:cs="Times New Roman"/>
          <w:kern w:val="22"/>
          <w:sz w:val="22"/>
          <w:lang w:val="en-GB"/>
        </w:rPr>
        <w:t>o</w:t>
      </w:r>
      <w:r w:rsidRPr="002364AB">
        <w:rPr>
          <w:rFonts w:cs="Times New Roman"/>
          <w:kern w:val="22"/>
          <w:sz w:val="22"/>
          <w:lang w:val="en-GB"/>
        </w:rPr>
        <w:t xml:space="preserve"> sequence, characterize, and catalogue the genomes of all eukaryotic species on Earth within 10 years.</w:t>
      </w:r>
      <w:r w:rsidRPr="002364AB">
        <w:rPr>
          <w:rFonts w:cs="Times New Roman"/>
          <w:kern w:val="22"/>
          <w:sz w:val="22"/>
          <w:vertAlign w:val="superscript"/>
          <w:lang w:val="en-GB"/>
        </w:rPr>
        <w:footnoteReference w:id="119"/>
      </w:r>
      <w:r w:rsidRPr="002364AB">
        <w:rPr>
          <w:rFonts w:cs="Times New Roman"/>
          <w:kern w:val="22"/>
          <w:sz w:val="22"/>
          <w:lang w:val="en-GB"/>
        </w:rPr>
        <w:t xml:space="preserve"> The massive amount of data </w:t>
      </w:r>
      <w:r w:rsidR="00D423D0" w:rsidRPr="002364AB">
        <w:rPr>
          <w:rFonts w:cs="Times New Roman"/>
          <w:kern w:val="22"/>
          <w:sz w:val="22"/>
          <w:lang w:val="en-GB"/>
        </w:rPr>
        <w:t xml:space="preserve">expected to be </w:t>
      </w:r>
      <w:r w:rsidRPr="002364AB">
        <w:rPr>
          <w:rFonts w:cs="Times New Roman"/>
          <w:kern w:val="22"/>
          <w:sz w:val="22"/>
          <w:lang w:val="en-GB"/>
        </w:rPr>
        <w:t xml:space="preserve">produced from this project has the potential to be useful </w:t>
      </w:r>
      <w:r w:rsidR="004C06F1" w:rsidRPr="002364AB">
        <w:rPr>
          <w:rFonts w:cs="Times New Roman"/>
          <w:kern w:val="22"/>
          <w:sz w:val="22"/>
          <w:lang w:val="en-GB"/>
        </w:rPr>
        <w:t xml:space="preserve">for </w:t>
      </w:r>
      <w:r w:rsidRPr="002364AB">
        <w:rPr>
          <w:rFonts w:cs="Times New Roman"/>
          <w:kern w:val="22"/>
          <w:sz w:val="22"/>
          <w:lang w:val="en-GB"/>
        </w:rPr>
        <w:t>both commercial and non-commercial research, and ultimately may reduce</w:t>
      </w:r>
      <w:r w:rsidR="004C06F1" w:rsidRPr="002364AB">
        <w:rPr>
          <w:rFonts w:cs="Times New Roman"/>
          <w:kern w:val="22"/>
          <w:sz w:val="22"/>
          <w:lang w:val="en-GB"/>
        </w:rPr>
        <w:t xml:space="preserve"> significantly</w:t>
      </w:r>
      <w:r w:rsidRPr="002364AB">
        <w:rPr>
          <w:rFonts w:cs="Times New Roman"/>
          <w:kern w:val="22"/>
          <w:sz w:val="22"/>
          <w:lang w:val="en-GB"/>
        </w:rPr>
        <w:t xml:space="preserve"> the need for access to physical samples of genetic resources. </w:t>
      </w:r>
    </w:p>
    <w:p w14:paraId="3D592245" w14:textId="77777777" w:rsidR="004A2B97" w:rsidRPr="002364AB" w:rsidRDefault="00590D68" w:rsidP="779DD645">
      <w:pPr>
        <w:rPr>
          <w:rFonts w:cs="Times New Roman"/>
          <w:kern w:val="22"/>
          <w:sz w:val="22"/>
          <w:lang w:val="en-GB"/>
        </w:rPr>
      </w:pPr>
      <w:r w:rsidRPr="002364AB">
        <w:rPr>
          <w:rFonts w:cs="Times New Roman"/>
          <w:kern w:val="22"/>
          <w:sz w:val="22"/>
          <w:lang w:val="en-GB"/>
        </w:rPr>
        <w:t>As a</w:t>
      </w:r>
      <w:r w:rsidR="007B08FD" w:rsidRPr="002364AB">
        <w:rPr>
          <w:rFonts w:cs="Times New Roman"/>
          <w:kern w:val="22"/>
          <w:sz w:val="22"/>
          <w:lang w:val="en-GB"/>
        </w:rPr>
        <w:t>l</w:t>
      </w:r>
      <w:r w:rsidRPr="002364AB">
        <w:rPr>
          <w:rFonts w:cs="Times New Roman"/>
          <w:kern w:val="22"/>
          <w:sz w:val="22"/>
          <w:lang w:val="en-GB"/>
        </w:rPr>
        <w:t>ready noted,</w:t>
      </w:r>
      <w:r w:rsidR="00887574" w:rsidRPr="002364AB">
        <w:rPr>
          <w:rFonts w:cs="Times New Roman"/>
          <w:kern w:val="22"/>
          <w:sz w:val="22"/>
          <w:lang w:val="en-GB"/>
        </w:rPr>
        <w:t xml:space="preserve"> there is no agreement among Parties </w:t>
      </w:r>
      <w:r w:rsidRPr="002364AB">
        <w:rPr>
          <w:rFonts w:cs="Times New Roman"/>
          <w:kern w:val="22"/>
          <w:sz w:val="22"/>
          <w:lang w:val="en-GB"/>
        </w:rPr>
        <w:t xml:space="preserve">that benefit-sharing obligations attach to such information. However, for countries whose domestic laws do require benefit-sharing for DSI </w:t>
      </w:r>
      <w:r w:rsidR="00FE16B8" w:rsidRPr="002364AB">
        <w:rPr>
          <w:rFonts w:cs="Times New Roman"/>
          <w:kern w:val="22"/>
          <w:sz w:val="22"/>
          <w:lang w:val="en-GB"/>
        </w:rPr>
        <w:t xml:space="preserve">being screened </w:t>
      </w:r>
      <w:r w:rsidR="009015CC" w:rsidRPr="002364AB">
        <w:rPr>
          <w:rFonts w:cs="Times New Roman"/>
          <w:kern w:val="22"/>
          <w:sz w:val="22"/>
          <w:lang w:val="en-GB"/>
        </w:rPr>
        <w:t xml:space="preserve">in </w:t>
      </w:r>
      <w:r w:rsidR="00FE16B8" w:rsidRPr="002364AB">
        <w:rPr>
          <w:rFonts w:cs="Times New Roman"/>
          <w:kern w:val="22"/>
          <w:sz w:val="22"/>
          <w:lang w:val="en-GB"/>
        </w:rPr>
        <w:t>or obtained from</w:t>
      </w:r>
      <w:r w:rsidR="00FE16B8" w:rsidRPr="002364AB">
        <w:rPr>
          <w:kern w:val="22"/>
          <w:sz w:val="22"/>
          <w:lang w:val="en-GB"/>
        </w:rPr>
        <w:t xml:space="preserve"> </w:t>
      </w:r>
      <w:r w:rsidR="009015CC" w:rsidRPr="002364AB">
        <w:rPr>
          <w:rFonts w:cs="Times New Roman"/>
          <w:kern w:val="22"/>
          <w:sz w:val="22"/>
          <w:lang w:val="en-GB"/>
        </w:rPr>
        <w:t xml:space="preserve">databases such as GenBank, </w:t>
      </w:r>
      <w:r w:rsidRPr="002364AB">
        <w:rPr>
          <w:rFonts w:cs="Times New Roman"/>
          <w:kern w:val="22"/>
          <w:sz w:val="22"/>
          <w:lang w:val="en-GB"/>
        </w:rPr>
        <w:t xml:space="preserve">provider </w:t>
      </w:r>
      <w:r w:rsidR="009015CC" w:rsidRPr="002364AB">
        <w:rPr>
          <w:rFonts w:cs="Times New Roman"/>
          <w:kern w:val="22"/>
          <w:sz w:val="22"/>
          <w:lang w:val="en-GB"/>
        </w:rPr>
        <w:t>country</w:t>
      </w:r>
      <w:r w:rsidRPr="002364AB">
        <w:rPr>
          <w:rFonts w:cs="Times New Roman"/>
          <w:kern w:val="22"/>
          <w:sz w:val="22"/>
          <w:lang w:val="en-GB"/>
        </w:rPr>
        <w:t>/country</w:t>
      </w:r>
      <w:r w:rsidR="009015CC" w:rsidRPr="002364AB">
        <w:rPr>
          <w:rFonts w:cs="Times New Roman"/>
          <w:kern w:val="22"/>
          <w:sz w:val="22"/>
          <w:lang w:val="en-GB"/>
        </w:rPr>
        <w:t xml:space="preserve"> of origin information may not be available</w:t>
      </w:r>
      <w:r w:rsidR="00B401B5" w:rsidRPr="002364AB">
        <w:rPr>
          <w:rFonts w:cs="Times New Roman"/>
          <w:kern w:val="22"/>
          <w:sz w:val="22"/>
          <w:lang w:val="en-GB"/>
        </w:rPr>
        <w:t>,</w:t>
      </w:r>
      <w:r w:rsidR="009015CC" w:rsidRPr="002364AB">
        <w:rPr>
          <w:rFonts w:cs="Times New Roman"/>
          <w:kern w:val="22"/>
          <w:sz w:val="22"/>
          <w:lang w:val="en-GB"/>
        </w:rPr>
        <w:t xml:space="preserve"> as the database operators may not </w:t>
      </w:r>
      <w:r w:rsidR="00CD14CF" w:rsidRPr="002364AB">
        <w:rPr>
          <w:rFonts w:cs="Times New Roman"/>
          <w:kern w:val="22"/>
          <w:sz w:val="22"/>
          <w:lang w:val="en-GB"/>
        </w:rPr>
        <w:t xml:space="preserve">have </w:t>
      </w:r>
      <w:r w:rsidR="009015CC" w:rsidRPr="002364AB">
        <w:rPr>
          <w:rFonts w:cs="Times New Roman"/>
          <w:kern w:val="22"/>
          <w:sz w:val="22"/>
          <w:lang w:val="en-GB"/>
        </w:rPr>
        <w:t>require</w:t>
      </w:r>
      <w:r w:rsidR="00CD14CF" w:rsidRPr="002364AB">
        <w:rPr>
          <w:rFonts w:cs="Times New Roman"/>
          <w:kern w:val="22"/>
          <w:sz w:val="22"/>
          <w:lang w:val="en-GB"/>
        </w:rPr>
        <w:t>d</w:t>
      </w:r>
      <w:r w:rsidR="009015CC" w:rsidRPr="002364AB">
        <w:rPr>
          <w:rFonts w:cs="Times New Roman"/>
          <w:kern w:val="22"/>
          <w:sz w:val="22"/>
          <w:lang w:val="en-GB"/>
        </w:rPr>
        <w:t xml:space="preserve"> sequence submitters to provide such information.</w:t>
      </w:r>
      <w:r w:rsidR="009015CC" w:rsidRPr="002364AB">
        <w:rPr>
          <w:rStyle w:val="FootnoteReference"/>
          <w:kern w:val="22"/>
          <w:sz w:val="22"/>
          <w:lang w:val="en-GB"/>
        </w:rPr>
        <w:footnoteReference w:id="120"/>
      </w:r>
      <w:r w:rsidR="009015CC" w:rsidRPr="002364AB">
        <w:rPr>
          <w:rFonts w:cs="Times New Roman"/>
          <w:kern w:val="22"/>
          <w:sz w:val="22"/>
          <w:lang w:val="en-GB"/>
        </w:rPr>
        <w:t xml:space="preserve"> </w:t>
      </w:r>
      <w:r w:rsidRPr="002364AB">
        <w:rPr>
          <w:rFonts w:cs="Times New Roman"/>
          <w:kern w:val="22"/>
          <w:sz w:val="22"/>
          <w:lang w:val="en-GB"/>
        </w:rPr>
        <w:t xml:space="preserve">Moreover, </w:t>
      </w:r>
      <w:r w:rsidR="00C67E14" w:rsidRPr="002364AB">
        <w:rPr>
          <w:rFonts w:cs="Times New Roman"/>
          <w:kern w:val="22"/>
          <w:sz w:val="22"/>
          <w:lang w:val="en-GB"/>
        </w:rPr>
        <w:t xml:space="preserve">even if </w:t>
      </w:r>
      <w:r w:rsidR="009015CC" w:rsidRPr="002364AB">
        <w:rPr>
          <w:rFonts w:cs="Times New Roman"/>
          <w:kern w:val="22"/>
          <w:sz w:val="22"/>
          <w:lang w:val="en-GB"/>
        </w:rPr>
        <w:t xml:space="preserve">such information is available, while it might theoretically be possible to negotiate benefit-sharing contracts with each </w:t>
      </w:r>
      <w:r w:rsidR="007320BA" w:rsidRPr="002364AB">
        <w:rPr>
          <w:rFonts w:cs="Times New Roman"/>
          <w:kern w:val="22"/>
          <w:sz w:val="22"/>
          <w:lang w:val="en-GB"/>
        </w:rPr>
        <w:t xml:space="preserve">provider </w:t>
      </w:r>
      <w:r w:rsidR="009015CC" w:rsidRPr="002364AB">
        <w:rPr>
          <w:rFonts w:cs="Times New Roman"/>
          <w:kern w:val="22"/>
          <w:sz w:val="22"/>
          <w:lang w:val="en-GB"/>
        </w:rPr>
        <w:t xml:space="preserve">country </w:t>
      </w:r>
      <w:r w:rsidR="009939BA" w:rsidRPr="002364AB">
        <w:rPr>
          <w:rFonts w:cs="Times New Roman"/>
          <w:kern w:val="22"/>
          <w:sz w:val="22"/>
          <w:lang w:val="en-GB"/>
        </w:rPr>
        <w:t>with a benefit-sharing claim</w:t>
      </w:r>
      <w:r w:rsidR="009015CC" w:rsidRPr="002364AB">
        <w:rPr>
          <w:rFonts w:cs="Times New Roman"/>
          <w:kern w:val="22"/>
          <w:sz w:val="22"/>
          <w:lang w:val="en-GB"/>
        </w:rPr>
        <w:t xml:space="preserve">, it </w:t>
      </w:r>
      <w:r w:rsidR="005C6E08" w:rsidRPr="002364AB">
        <w:rPr>
          <w:rFonts w:cs="Times New Roman"/>
          <w:kern w:val="22"/>
          <w:sz w:val="22"/>
          <w:lang w:val="en-GB"/>
        </w:rPr>
        <w:t xml:space="preserve">effectively </w:t>
      </w:r>
      <w:r w:rsidR="009015CC" w:rsidRPr="002364AB">
        <w:rPr>
          <w:rFonts w:cs="Times New Roman"/>
          <w:kern w:val="22"/>
          <w:sz w:val="22"/>
          <w:lang w:val="en-GB"/>
        </w:rPr>
        <w:t xml:space="preserve">would be </w:t>
      </w:r>
      <w:r w:rsidR="005C6E08" w:rsidRPr="002364AB">
        <w:rPr>
          <w:rFonts w:cs="Times New Roman"/>
          <w:kern w:val="22"/>
          <w:sz w:val="22"/>
          <w:lang w:val="en-GB"/>
        </w:rPr>
        <w:t xml:space="preserve">impossible </w:t>
      </w:r>
      <w:r w:rsidR="00887574" w:rsidRPr="002364AB">
        <w:rPr>
          <w:rFonts w:cs="Times New Roman"/>
          <w:kern w:val="22"/>
          <w:sz w:val="22"/>
          <w:lang w:val="en-GB"/>
        </w:rPr>
        <w:t>as well as</w:t>
      </w:r>
      <w:r w:rsidR="00E5603D" w:rsidRPr="002364AB">
        <w:rPr>
          <w:rFonts w:cs="Times New Roman"/>
          <w:kern w:val="22"/>
          <w:sz w:val="22"/>
          <w:lang w:val="en-GB"/>
        </w:rPr>
        <w:t xml:space="preserve"> </w:t>
      </w:r>
      <w:r w:rsidR="009015CC" w:rsidRPr="002364AB">
        <w:rPr>
          <w:rFonts w:cs="Times New Roman"/>
          <w:kern w:val="22"/>
          <w:sz w:val="22"/>
          <w:lang w:val="en-GB"/>
        </w:rPr>
        <w:t>impractical</w:t>
      </w:r>
      <w:r w:rsidR="005C6E08" w:rsidRPr="002364AB">
        <w:rPr>
          <w:rFonts w:cs="Times New Roman"/>
          <w:kern w:val="22"/>
          <w:sz w:val="22"/>
          <w:lang w:val="en-GB"/>
        </w:rPr>
        <w:t>,</w:t>
      </w:r>
      <w:r w:rsidR="009015CC" w:rsidRPr="002364AB">
        <w:rPr>
          <w:rFonts w:cs="Times New Roman"/>
          <w:kern w:val="22"/>
          <w:sz w:val="22"/>
          <w:lang w:val="en-GB"/>
        </w:rPr>
        <w:t xml:space="preserve"> </w:t>
      </w:r>
      <w:r w:rsidR="005C6E08" w:rsidRPr="002364AB">
        <w:rPr>
          <w:rFonts w:cs="Times New Roman"/>
          <w:kern w:val="22"/>
          <w:sz w:val="22"/>
          <w:lang w:val="en-GB"/>
        </w:rPr>
        <w:t xml:space="preserve">due to </w:t>
      </w:r>
      <w:r w:rsidR="009015CC" w:rsidRPr="002364AB">
        <w:rPr>
          <w:rFonts w:cs="Times New Roman"/>
          <w:kern w:val="22"/>
          <w:sz w:val="22"/>
          <w:lang w:val="en-GB"/>
        </w:rPr>
        <w:t xml:space="preserve">prohibitive transaction costs, both </w:t>
      </w:r>
      <w:r w:rsidR="003D3AD5" w:rsidRPr="002364AB">
        <w:rPr>
          <w:rFonts w:cs="Times New Roman"/>
          <w:kern w:val="22"/>
          <w:sz w:val="22"/>
          <w:lang w:val="en-GB"/>
        </w:rPr>
        <w:t xml:space="preserve">in </w:t>
      </w:r>
      <w:r w:rsidR="00C5719F" w:rsidRPr="002364AB">
        <w:rPr>
          <w:rFonts w:cs="Times New Roman"/>
          <w:kern w:val="22"/>
          <w:sz w:val="22"/>
          <w:lang w:val="en-GB"/>
        </w:rPr>
        <w:t xml:space="preserve">terms of </w:t>
      </w:r>
      <w:r w:rsidR="003D3AD5" w:rsidRPr="002364AB">
        <w:rPr>
          <w:rFonts w:cs="Times New Roman"/>
          <w:kern w:val="22"/>
          <w:sz w:val="22"/>
          <w:lang w:val="en-GB"/>
        </w:rPr>
        <w:t>time and money</w:t>
      </w:r>
      <w:r w:rsidR="002F602D" w:rsidRPr="002364AB">
        <w:rPr>
          <w:rFonts w:cs="Times New Roman"/>
          <w:kern w:val="22"/>
          <w:sz w:val="22"/>
          <w:lang w:val="en-GB"/>
        </w:rPr>
        <w:t>.</w:t>
      </w:r>
      <w:r w:rsidR="005C6E08" w:rsidRPr="002364AB">
        <w:rPr>
          <w:rFonts w:cs="Times New Roman"/>
          <w:kern w:val="22"/>
          <w:sz w:val="22"/>
          <w:lang w:val="en-GB"/>
        </w:rPr>
        <w:t xml:space="preserve"> </w:t>
      </w:r>
    </w:p>
    <w:p w14:paraId="722E8A31" w14:textId="73A5DE96" w:rsidR="001029D1" w:rsidRPr="002364AB" w:rsidRDefault="009015CC" w:rsidP="779DD645">
      <w:pPr>
        <w:rPr>
          <w:rFonts w:cs="Times New Roman"/>
          <w:kern w:val="22"/>
          <w:sz w:val="22"/>
          <w:lang w:val="en-GB"/>
        </w:rPr>
      </w:pPr>
      <w:r w:rsidRPr="002364AB">
        <w:rPr>
          <w:rFonts w:cs="Times New Roman"/>
          <w:kern w:val="22"/>
          <w:sz w:val="22"/>
          <w:lang w:val="en-GB"/>
        </w:rPr>
        <w:t xml:space="preserve">In addition, users of sequences from these databases </w:t>
      </w:r>
      <w:r w:rsidR="0037620C" w:rsidRPr="002364AB">
        <w:rPr>
          <w:rFonts w:cs="Times New Roman"/>
          <w:kern w:val="22"/>
          <w:sz w:val="22"/>
          <w:lang w:val="en-GB"/>
        </w:rPr>
        <w:t xml:space="preserve">generally </w:t>
      </w:r>
      <w:r w:rsidRPr="002364AB">
        <w:rPr>
          <w:rFonts w:cs="Times New Roman"/>
          <w:kern w:val="22"/>
          <w:sz w:val="22"/>
          <w:lang w:val="en-GB"/>
        </w:rPr>
        <w:t>are not tracked</w:t>
      </w:r>
      <w:r w:rsidR="00BA6D0B" w:rsidRPr="002364AB">
        <w:rPr>
          <w:rFonts w:cs="Times New Roman"/>
          <w:kern w:val="22"/>
          <w:sz w:val="22"/>
          <w:lang w:val="en-GB"/>
        </w:rPr>
        <w:t xml:space="preserve">, which makes </w:t>
      </w:r>
      <w:r w:rsidR="00970DC7" w:rsidRPr="002364AB">
        <w:rPr>
          <w:rFonts w:cs="Times New Roman"/>
          <w:kern w:val="22"/>
          <w:sz w:val="22"/>
          <w:lang w:val="en-GB"/>
        </w:rPr>
        <w:t xml:space="preserve">determining the </w:t>
      </w:r>
      <w:r w:rsidR="00FB422A" w:rsidRPr="002364AB">
        <w:rPr>
          <w:rFonts w:cs="Times New Roman"/>
          <w:kern w:val="22"/>
          <w:sz w:val="22"/>
          <w:lang w:val="en-GB"/>
        </w:rPr>
        <w:t>downstream uses</w:t>
      </w:r>
      <w:r w:rsidRPr="002364AB">
        <w:rPr>
          <w:rFonts w:cs="Times New Roman"/>
          <w:kern w:val="22"/>
          <w:sz w:val="22"/>
          <w:lang w:val="en-GB"/>
        </w:rPr>
        <w:t xml:space="preserve"> of the sequence information access</w:t>
      </w:r>
      <w:r w:rsidR="008A6525" w:rsidRPr="002364AB">
        <w:rPr>
          <w:rFonts w:cs="Times New Roman"/>
          <w:kern w:val="22"/>
          <w:sz w:val="22"/>
          <w:lang w:val="en-GB"/>
        </w:rPr>
        <w:t>ed</w:t>
      </w:r>
      <w:r w:rsidRPr="002364AB">
        <w:rPr>
          <w:rFonts w:cs="Times New Roman"/>
          <w:kern w:val="22"/>
          <w:sz w:val="22"/>
          <w:lang w:val="en-GB"/>
        </w:rPr>
        <w:t xml:space="preserve"> or download</w:t>
      </w:r>
      <w:r w:rsidR="008A6525" w:rsidRPr="002364AB">
        <w:rPr>
          <w:rFonts w:cs="Times New Roman"/>
          <w:kern w:val="22"/>
          <w:sz w:val="22"/>
          <w:lang w:val="en-GB"/>
        </w:rPr>
        <w:t>ed impossible</w:t>
      </w:r>
      <w:r w:rsidR="0037620C" w:rsidRPr="002364AB">
        <w:rPr>
          <w:rFonts w:cs="Times New Roman"/>
          <w:kern w:val="22"/>
          <w:sz w:val="22"/>
          <w:lang w:val="en-GB"/>
        </w:rPr>
        <w:t>,</w:t>
      </w:r>
      <w:r w:rsidR="002F602D" w:rsidRPr="002364AB">
        <w:rPr>
          <w:rFonts w:cs="Times New Roman"/>
          <w:kern w:val="22"/>
          <w:sz w:val="22"/>
          <w:lang w:val="en-GB"/>
        </w:rPr>
        <w:t xml:space="preserve"> s</w:t>
      </w:r>
      <w:r w:rsidR="0037620C" w:rsidRPr="002364AB">
        <w:rPr>
          <w:rFonts w:cs="Times New Roman"/>
          <w:kern w:val="22"/>
          <w:sz w:val="22"/>
          <w:lang w:val="en-GB"/>
        </w:rPr>
        <w:t>uch that</w:t>
      </w:r>
      <w:r w:rsidR="002F602D" w:rsidRPr="002364AB">
        <w:rPr>
          <w:rFonts w:cs="Times New Roman"/>
          <w:kern w:val="22"/>
          <w:sz w:val="22"/>
          <w:lang w:val="en-GB"/>
        </w:rPr>
        <w:t xml:space="preserve"> countries would not even know who to seek contracts with</w:t>
      </w:r>
      <w:r w:rsidRPr="002364AB">
        <w:rPr>
          <w:rFonts w:cs="Times New Roman"/>
          <w:kern w:val="22"/>
          <w:sz w:val="22"/>
          <w:lang w:val="en-GB"/>
        </w:rPr>
        <w:t xml:space="preserve">. </w:t>
      </w:r>
      <w:r w:rsidR="004D266C" w:rsidRPr="002364AB">
        <w:rPr>
          <w:rFonts w:cs="Times New Roman"/>
          <w:kern w:val="22"/>
          <w:sz w:val="22"/>
          <w:lang w:val="en-GB"/>
        </w:rPr>
        <w:t>In sum, t</w:t>
      </w:r>
      <w:r w:rsidRPr="002364AB">
        <w:rPr>
          <w:rFonts w:cs="Times New Roman"/>
          <w:kern w:val="22"/>
          <w:sz w:val="22"/>
          <w:lang w:val="en-GB"/>
        </w:rPr>
        <w:t>his suggests that</w:t>
      </w:r>
      <w:r w:rsidR="00B44973" w:rsidRPr="002364AB">
        <w:rPr>
          <w:rFonts w:cs="Times New Roman"/>
          <w:kern w:val="22"/>
          <w:sz w:val="22"/>
          <w:lang w:val="en-GB"/>
        </w:rPr>
        <w:t>,</w:t>
      </w:r>
      <w:r w:rsidRPr="002364AB">
        <w:rPr>
          <w:rFonts w:cs="Times New Roman"/>
          <w:kern w:val="22"/>
          <w:sz w:val="22"/>
          <w:lang w:val="en-GB"/>
        </w:rPr>
        <w:t xml:space="preserve"> </w:t>
      </w:r>
      <w:r w:rsidR="003E2C98" w:rsidRPr="002364AB">
        <w:rPr>
          <w:rFonts w:cs="Times New Roman"/>
          <w:kern w:val="22"/>
          <w:sz w:val="22"/>
          <w:lang w:val="en-GB"/>
        </w:rPr>
        <w:t xml:space="preserve">given </w:t>
      </w:r>
      <w:r w:rsidR="675B34AE" w:rsidRPr="002364AB">
        <w:rPr>
          <w:rFonts w:cs="Times New Roman"/>
          <w:kern w:val="22"/>
          <w:sz w:val="22"/>
          <w:lang w:val="en-GB"/>
        </w:rPr>
        <w:t xml:space="preserve">current </w:t>
      </w:r>
      <w:r w:rsidR="000B723E" w:rsidRPr="002364AB">
        <w:rPr>
          <w:rFonts w:cs="Times New Roman"/>
          <w:kern w:val="22"/>
          <w:sz w:val="22"/>
          <w:lang w:val="en-GB"/>
        </w:rPr>
        <w:t>free</w:t>
      </w:r>
      <w:r w:rsidR="779DD645" w:rsidRPr="002364AB">
        <w:rPr>
          <w:rFonts w:cs="Times New Roman"/>
          <w:kern w:val="22"/>
          <w:sz w:val="22"/>
          <w:lang w:val="en-GB"/>
        </w:rPr>
        <w:t xml:space="preserve"> access practices and limited </w:t>
      </w:r>
      <w:r w:rsidR="00D11C1C" w:rsidRPr="002364AB">
        <w:rPr>
          <w:rFonts w:cs="Times New Roman"/>
          <w:kern w:val="22"/>
          <w:sz w:val="22"/>
          <w:lang w:val="en-GB"/>
        </w:rPr>
        <w:t xml:space="preserve">passport data </w:t>
      </w:r>
      <w:r w:rsidR="779DD645" w:rsidRPr="002364AB">
        <w:rPr>
          <w:rFonts w:cs="Times New Roman"/>
          <w:kern w:val="22"/>
          <w:sz w:val="22"/>
          <w:lang w:val="en-GB"/>
        </w:rPr>
        <w:t>and traceability features</w:t>
      </w:r>
      <w:r w:rsidR="675B34AE" w:rsidRPr="002364AB">
        <w:rPr>
          <w:rFonts w:cs="Times New Roman"/>
          <w:kern w:val="22"/>
          <w:sz w:val="22"/>
          <w:lang w:val="en-GB"/>
        </w:rPr>
        <w:t xml:space="preserve"> of sequence</w:t>
      </w:r>
      <w:r w:rsidR="00FB422A" w:rsidRPr="002364AB">
        <w:rPr>
          <w:rFonts w:cs="Times New Roman"/>
          <w:kern w:val="22"/>
          <w:sz w:val="22"/>
          <w:lang w:val="en-GB"/>
        </w:rPr>
        <w:t xml:space="preserve"> information</w:t>
      </w:r>
      <w:r w:rsidR="0036729F" w:rsidRPr="002364AB">
        <w:rPr>
          <w:rFonts w:cs="Times New Roman"/>
          <w:kern w:val="22"/>
          <w:sz w:val="22"/>
          <w:lang w:val="en-GB"/>
        </w:rPr>
        <w:t xml:space="preserve"> held</w:t>
      </w:r>
      <w:r w:rsidR="675B34AE" w:rsidRPr="002364AB">
        <w:rPr>
          <w:rFonts w:cs="Times New Roman"/>
          <w:kern w:val="22"/>
          <w:sz w:val="22"/>
          <w:lang w:val="en-GB"/>
        </w:rPr>
        <w:t xml:space="preserve"> in public databases such as the INSDC</w:t>
      </w:r>
      <w:r w:rsidR="00FB422A" w:rsidRPr="002364AB">
        <w:rPr>
          <w:rFonts w:cs="Times New Roman"/>
          <w:kern w:val="22"/>
          <w:sz w:val="22"/>
          <w:lang w:val="en-GB"/>
        </w:rPr>
        <w:t>,</w:t>
      </w:r>
      <w:r w:rsidR="675B34AE" w:rsidRPr="002364AB">
        <w:rPr>
          <w:rFonts w:cs="Times New Roman"/>
          <w:kern w:val="22"/>
          <w:sz w:val="22"/>
          <w:lang w:val="en-GB"/>
        </w:rPr>
        <w:t xml:space="preserve"> </w:t>
      </w:r>
      <w:r w:rsidR="00FB422A" w:rsidRPr="002364AB">
        <w:rPr>
          <w:rFonts w:cs="Times New Roman"/>
          <w:kern w:val="22"/>
          <w:sz w:val="22"/>
          <w:lang w:val="en-GB"/>
        </w:rPr>
        <w:t xml:space="preserve">and in the many private, in-house databases that download sequence information from INSDC, </w:t>
      </w:r>
      <w:r w:rsidR="675B34AE" w:rsidRPr="002364AB">
        <w:rPr>
          <w:rFonts w:cs="Times New Roman"/>
          <w:kern w:val="22"/>
          <w:sz w:val="22"/>
          <w:lang w:val="en-GB"/>
        </w:rPr>
        <w:t xml:space="preserve">it </w:t>
      </w:r>
      <w:r w:rsidR="779DD645" w:rsidRPr="002364AB">
        <w:rPr>
          <w:rFonts w:cs="Times New Roman"/>
          <w:kern w:val="22"/>
          <w:sz w:val="22"/>
          <w:lang w:val="en-GB"/>
        </w:rPr>
        <w:t xml:space="preserve">may be </w:t>
      </w:r>
      <w:r w:rsidR="002F602D" w:rsidRPr="002364AB">
        <w:rPr>
          <w:rFonts w:cs="Times New Roman"/>
          <w:kern w:val="22"/>
          <w:sz w:val="22"/>
          <w:lang w:val="en-GB"/>
        </w:rPr>
        <w:t>im</w:t>
      </w:r>
      <w:r w:rsidR="001C6610" w:rsidRPr="002364AB">
        <w:rPr>
          <w:rFonts w:cs="Times New Roman"/>
          <w:kern w:val="22"/>
          <w:sz w:val="22"/>
          <w:lang w:val="en-GB"/>
        </w:rPr>
        <w:t>possible</w:t>
      </w:r>
      <w:r w:rsidR="00FE16B8" w:rsidRPr="002364AB">
        <w:rPr>
          <w:rFonts w:cs="Times New Roman"/>
          <w:kern w:val="22"/>
          <w:sz w:val="22"/>
          <w:lang w:val="en-GB"/>
        </w:rPr>
        <w:t xml:space="preserve"> to determine </w:t>
      </w:r>
      <w:r w:rsidR="675B34AE" w:rsidRPr="002364AB">
        <w:rPr>
          <w:rFonts w:cs="Times New Roman"/>
          <w:kern w:val="22"/>
          <w:sz w:val="22"/>
          <w:lang w:val="en-GB"/>
        </w:rPr>
        <w:t xml:space="preserve">compliance with </w:t>
      </w:r>
      <w:r w:rsidR="00E438C5" w:rsidRPr="002364AB">
        <w:rPr>
          <w:rFonts w:cs="Times New Roman"/>
          <w:kern w:val="22"/>
          <w:sz w:val="22"/>
          <w:lang w:val="en-GB"/>
        </w:rPr>
        <w:t>ABS</w:t>
      </w:r>
      <w:r w:rsidR="675B34AE" w:rsidRPr="002364AB">
        <w:rPr>
          <w:rFonts w:cs="Times New Roman"/>
          <w:kern w:val="22"/>
          <w:sz w:val="22"/>
          <w:lang w:val="en-GB"/>
        </w:rPr>
        <w:t xml:space="preserve"> obligations </w:t>
      </w:r>
      <w:r w:rsidR="00FE16B8" w:rsidRPr="002364AB">
        <w:rPr>
          <w:rFonts w:cs="Times New Roman"/>
          <w:kern w:val="22"/>
          <w:sz w:val="22"/>
          <w:lang w:val="en-GB"/>
        </w:rPr>
        <w:t xml:space="preserve">in </w:t>
      </w:r>
      <w:r w:rsidR="00FC4525" w:rsidRPr="002364AB">
        <w:rPr>
          <w:rFonts w:cs="Times New Roman"/>
          <w:kern w:val="22"/>
          <w:sz w:val="22"/>
          <w:lang w:val="en-GB"/>
        </w:rPr>
        <w:t xml:space="preserve">many </w:t>
      </w:r>
      <w:r w:rsidR="00FE16B8" w:rsidRPr="002364AB">
        <w:rPr>
          <w:rFonts w:cs="Times New Roman"/>
          <w:kern w:val="22"/>
          <w:sz w:val="22"/>
          <w:lang w:val="en-GB"/>
        </w:rPr>
        <w:t>cases.</w:t>
      </w:r>
    </w:p>
    <w:p w14:paraId="2E171BFC" w14:textId="65D7E99E" w:rsidR="00E739AA" w:rsidRPr="002364AB" w:rsidRDefault="001A0A60" w:rsidP="00E739AA">
      <w:pPr>
        <w:rPr>
          <w:rFonts w:cs="Times New Roman"/>
          <w:kern w:val="22"/>
          <w:sz w:val="22"/>
          <w:lang w:val="en-GB"/>
        </w:rPr>
      </w:pPr>
      <w:r w:rsidRPr="002364AB">
        <w:rPr>
          <w:rFonts w:cs="Times New Roman"/>
          <w:kern w:val="22"/>
          <w:sz w:val="22"/>
          <w:lang w:val="en-GB"/>
        </w:rPr>
        <w:t xml:space="preserve">For example, </w:t>
      </w:r>
      <w:r w:rsidR="00E739AA" w:rsidRPr="002364AB">
        <w:rPr>
          <w:rFonts w:cs="Times New Roman"/>
          <w:kern w:val="22"/>
          <w:sz w:val="22"/>
          <w:lang w:val="en-GB"/>
        </w:rPr>
        <w:t>Gibberellic acid (GA) regulates plant growth and can allow for the development of (preferred) dwarf coconut trees.</w:t>
      </w:r>
      <w:r w:rsidR="00E739AA" w:rsidRPr="002364AB" w:rsidDel="005D29DF">
        <w:rPr>
          <w:rFonts w:cs="Times New Roman"/>
          <w:kern w:val="22"/>
          <w:sz w:val="22"/>
          <w:lang w:val="en-GB"/>
        </w:rPr>
        <w:t xml:space="preserve"> </w:t>
      </w:r>
      <w:r w:rsidR="00E739AA" w:rsidRPr="002364AB">
        <w:rPr>
          <w:rFonts w:cs="Times New Roman"/>
          <w:kern w:val="22"/>
          <w:sz w:val="22"/>
          <w:lang w:val="en-GB"/>
        </w:rPr>
        <w:t xml:space="preserve">In one study, researchers used </w:t>
      </w:r>
      <w:r w:rsidR="00F8024A" w:rsidRPr="002364AB">
        <w:rPr>
          <w:rFonts w:cs="Times New Roman"/>
          <w:kern w:val="22"/>
          <w:sz w:val="22"/>
          <w:lang w:val="en-GB"/>
        </w:rPr>
        <w:t>the</w:t>
      </w:r>
      <w:r w:rsidR="00E739AA" w:rsidRPr="002364AB">
        <w:rPr>
          <w:rFonts w:cs="Times New Roman"/>
          <w:kern w:val="22"/>
          <w:sz w:val="22"/>
          <w:lang w:val="en-GB"/>
        </w:rPr>
        <w:t xml:space="preserve"> </w:t>
      </w:r>
      <w:r w:rsidR="000B6ABF" w:rsidRPr="002364AB">
        <w:rPr>
          <w:rFonts w:cs="Times New Roman"/>
          <w:kern w:val="22"/>
          <w:sz w:val="22"/>
          <w:lang w:val="en-GB"/>
        </w:rPr>
        <w:t>Basic Local Alignment Search Tool (</w:t>
      </w:r>
      <w:r w:rsidR="00E739AA" w:rsidRPr="002364AB">
        <w:rPr>
          <w:rFonts w:cs="Times New Roman"/>
          <w:kern w:val="22"/>
          <w:sz w:val="22"/>
          <w:lang w:val="en-GB"/>
        </w:rPr>
        <w:t>BLAST</w:t>
      </w:r>
      <w:r w:rsidR="000B6ABF" w:rsidRPr="002364AB">
        <w:rPr>
          <w:rFonts w:cs="Times New Roman"/>
          <w:kern w:val="22"/>
          <w:sz w:val="22"/>
          <w:lang w:val="en-GB"/>
        </w:rPr>
        <w:t>)</w:t>
      </w:r>
      <w:r w:rsidR="006C74E1" w:rsidRPr="002364AB">
        <w:rPr>
          <w:rFonts w:cs="Times New Roman"/>
          <w:kern w:val="22"/>
          <w:sz w:val="22"/>
          <w:lang w:val="en-GB"/>
        </w:rPr>
        <w:t>,</w:t>
      </w:r>
      <w:r w:rsidR="000B6ABF" w:rsidRPr="002364AB">
        <w:rPr>
          <w:rStyle w:val="FootnoteReference"/>
          <w:kern w:val="22"/>
          <w:sz w:val="22"/>
          <w:lang w:val="en-GB"/>
        </w:rPr>
        <w:footnoteReference w:id="121"/>
      </w:r>
      <w:r w:rsidR="00197E77" w:rsidRPr="002364AB">
        <w:rPr>
          <w:rFonts w:cs="Times New Roman"/>
          <w:kern w:val="22"/>
          <w:sz w:val="22"/>
          <w:lang w:val="en-GB"/>
        </w:rPr>
        <w:t xml:space="preserve"> </w:t>
      </w:r>
      <w:r w:rsidR="006C74E1" w:rsidRPr="002364AB">
        <w:rPr>
          <w:rFonts w:cs="Times New Roman"/>
          <w:kern w:val="22"/>
          <w:sz w:val="22"/>
          <w:lang w:val="en-GB"/>
        </w:rPr>
        <w:t xml:space="preserve">in addition to other </w:t>
      </w:r>
      <w:r w:rsidR="003C630F" w:rsidRPr="002364AB">
        <w:rPr>
          <w:rFonts w:cs="Times New Roman"/>
          <w:kern w:val="22"/>
          <w:sz w:val="22"/>
          <w:lang w:val="en-GB"/>
        </w:rPr>
        <w:t>alignment search</w:t>
      </w:r>
      <w:r w:rsidR="006C74E1" w:rsidRPr="002364AB">
        <w:rPr>
          <w:rFonts w:cs="Times New Roman"/>
          <w:kern w:val="22"/>
          <w:sz w:val="22"/>
          <w:lang w:val="en-GB"/>
        </w:rPr>
        <w:t xml:space="preserve"> tools,</w:t>
      </w:r>
      <w:r w:rsidR="00E739AA" w:rsidRPr="002364AB">
        <w:rPr>
          <w:rFonts w:cs="Times New Roman"/>
          <w:kern w:val="22"/>
          <w:sz w:val="22"/>
          <w:lang w:val="en-GB"/>
        </w:rPr>
        <w:t xml:space="preserve"> to search for genes </w:t>
      </w:r>
      <w:proofErr w:type="gramStart"/>
      <w:r w:rsidR="00E739AA" w:rsidRPr="002364AB">
        <w:rPr>
          <w:rFonts w:cs="Times New Roman"/>
          <w:kern w:val="22"/>
          <w:sz w:val="22"/>
          <w:lang w:val="en-GB"/>
        </w:rPr>
        <w:t>similar to</w:t>
      </w:r>
      <w:proofErr w:type="gramEnd"/>
      <w:r w:rsidR="00E739AA" w:rsidRPr="002364AB">
        <w:rPr>
          <w:rFonts w:cs="Times New Roman"/>
          <w:kern w:val="22"/>
          <w:sz w:val="22"/>
          <w:lang w:val="en-GB"/>
        </w:rPr>
        <w:t xml:space="preserve"> those used in GA biosynthesis</w:t>
      </w:r>
      <w:r w:rsidR="00B83E8C" w:rsidRPr="002364AB">
        <w:rPr>
          <w:rFonts w:cs="Times New Roman"/>
          <w:kern w:val="22"/>
          <w:sz w:val="22"/>
          <w:lang w:val="en-GB"/>
        </w:rPr>
        <w:t xml:space="preserve">. They </w:t>
      </w:r>
      <w:r w:rsidR="00E739AA" w:rsidRPr="002364AB">
        <w:rPr>
          <w:rFonts w:cs="Times New Roman"/>
          <w:kern w:val="22"/>
          <w:sz w:val="22"/>
          <w:lang w:val="en-GB"/>
        </w:rPr>
        <w:t>found seven in other model plant species</w:t>
      </w:r>
      <w:r w:rsidR="00276F9C" w:rsidRPr="002364AB">
        <w:rPr>
          <w:rFonts w:cs="Times New Roman"/>
          <w:kern w:val="22"/>
          <w:sz w:val="22"/>
          <w:lang w:val="en-GB"/>
        </w:rPr>
        <w:t>,</w:t>
      </w:r>
      <w:r w:rsidR="00E739AA" w:rsidRPr="002364AB">
        <w:rPr>
          <w:rFonts w:cs="Times New Roman"/>
          <w:kern w:val="22"/>
          <w:sz w:val="22"/>
          <w:lang w:val="en-GB"/>
        </w:rPr>
        <w:t xml:space="preserve"> and were able to then predict the likely function of the genes in GA biosynthesis.</w:t>
      </w:r>
      <w:r w:rsidR="00E739AA" w:rsidRPr="002364AB">
        <w:rPr>
          <w:rStyle w:val="FootnoteReference"/>
          <w:kern w:val="22"/>
          <w:sz w:val="22"/>
          <w:lang w:val="en-GB"/>
        </w:rPr>
        <w:footnoteReference w:id="122"/>
      </w:r>
      <w:r w:rsidR="00E739AA" w:rsidRPr="002364AB">
        <w:rPr>
          <w:rFonts w:cs="Times New Roman"/>
          <w:kern w:val="22"/>
          <w:sz w:val="22"/>
          <w:lang w:val="en-GB"/>
        </w:rPr>
        <w:t xml:space="preserve"> BLAST searches “use” all of the sequences in the Gen</w:t>
      </w:r>
      <w:r w:rsidR="00D426FA" w:rsidRPr="002364AB">
        <w:rPr>
          <w:rFonts w:cs="Times New Roman"/>
          <w:kern w:val="22"/>
          <w:sz w:val="22"/>
          <w:lang w:val="en-GB"/>
        </w:rPr>
        <w:t>B</w:t>
      </w:r>
      <w:r w:rsidR="00E739AA" w:rsidRPr="002364AB">
        <w:rPr>
          <w:rFonts w:cs="Times New Roman"/>
          <w:kern w:val="22"/>
          <w:sz w:val="22"/>
          <w:lang w:val="en-GB"/>
        </w:rPr>
        <w:t>ank database in the sense that they are all searched for homology to the reference sequence. As</w:t>
      </w:r>
      <w:r w:rsidR="006A2300" w:rsidRPr="002364AB">
        <w:rPr>
          <w:rFonts w:cs="Times New Roman"/>
          <w:kern w:val="22"/>
          <w:sz w:val="22"/>
          <w:lang w:val="en-GB"/>
        </w:rPr>
        <w:t xml:space="preserve"> vast numbers of </w:t>
      </w:r>
      <w:r w:rsidR="00E739AA" w:rsidRPr="002364AB">
        <w:rPr>
          <w:rFonts w:cs="Times New Roman"/>
          <w:kern w:val="22"/>
          <w:sz w:val="22"/>
          <w:lang w:val="en-GB"/>
        </w:rPr>
        <w:t xml:space="preserve">sequences </w:t>
      </w:r>
      <w:r w:rsidR="006A2300" w:rsidRPr="002364AB">
        <w:rPr>
          <w:rFonts w:cs="Times New Roman"/>
          <w:kern w:val="22"/>
          <w:sz w:val="22"/>
          <w:lang w:val="en-GB"/>
        </w:rPr>
        <w:t xml:space="preserve">are present in the databases </w:t>
      </w:r>
      <w:r w:rsidR="00E739AA" w:rsidRPr="002364AB">
        <w:rPr>
          <w:rFonts w:cs="Times New Roman"/>
          <w:kern w:val="22"/>
          <w:sz w:val="22"/>
          <w:lang w:val="en-GB"/>
        </w:rPr>
        <w:t>and</w:t>
      </w:r>
      <w:r w:rsidR="006A2300" w:rsidRPr="002364AB">
        <w:rPr>
          <w:rFonts w:cs="Times New Roman"/>
          <w:kern w:val="22"/>
          <w:sz w:val="22"/>
          <w:lang w:val="en-GB"/>
        </w:rPr>
        <w:t xml:space="preserve"> vast numbers of </w:t>
      </w:r>
      <w:r w:rsidR="00E739AA" w:rsidRPr="002364AB">
        <w:rPr>
          <w:rFonts w:cs="Times New Roman"/>
          <w:kern w:val="22"/>
          <w:sz w:val="22"/>
          <w:lang w:val="en-GB"/>
        </w:rPr>
        <w:t xml:space="preserve">users are conducting searches, some for commercial and </w:t>
      </w:r>
      <w:r w:rsidR="00860395" w:rsidRPr="002364AB">
        <w:rPr>
          <w:rFonts w:cs="Times New Roman"/>
          <w:kern w:val="22"/>
          <w:sz w:val="22"/>
          <w:lang w:val="en-GB"/>
        </w:rPr>
        <w:t xml:space="preserve">others </w:t>
      </w:r>
      <w:r w:rsidR="00E739AA" w:rsidRPr="002364AB">
        <w:rPr>
          <w:rFonts w:cs="Times New Roman"/>
          <w:kern w:val="22"/>
          <w:sz w:val="22"/>
          <w:lang w:val="en-GB"/>
        </w:rPr>
        <w:t xml:space="preserve">for non-commercial </w:t>
      </w:r>
      <w:r w:rsidR="00860395" w:rsidRPr="002364AB">
        <w:rPr>
          <w:rFonts w:cs="Times New Roman"/>
          <w:kern w:val="22"/>
          <w:sz w:val="22"/>
          <w:lang w:val="en-GB"/>
        </w:rPr>
        <w:t>purposes</w:t>
      </w:r>
      <w:r w:rsidR="00E739AA" w:rsidRPr="002364AB">
        <w:rPr>
          <w:rFonts w:cs="Times New Roman"/>
          <w:kern w:val="22"/>
          <w:sz w:val="22"/>
          <w:lang w:val="en-GB"/>
        </w:rPr>
        <w:t>, assigning a monetary value to any particular sequence, determining whether its use is for a commercial or non-commercial purpose, and tracing its use by entities running BLAST-type</w:t>
      </w:r>
      <w:r w:rsidR="00E739AA" w:rsidRPr="002364AB">
        <w:rPr>
          <w:rStyle w:val="FootnoteReference"/>
          <w:kern w:val="22"/>
          <w:sz w:val="22"/>
          <w:lang w:val="en-GB"/>
        </w:rPr>
        <w:footnoteReference w:id="123"/>
      </w:r>
      <w:r w:rsidR="00E739AA" w:rsidRPr="002364AB">
        <w:rPr>
          <w:rFonts w:cs="Times New Roman"/>
          <w:kern w:val="22"/>
          <w:sz w:val="22"/>
          <w:lang w:val="en-GB"/>
        </w:rPr>
        <w:t xml:space="preserve"> searches i</w:t>
      </w:r>
      <w:r w:rsidR="00860395" w:rsidRPr="002364AB" w:rsidDel="00860395">
        <w:rPr>
          <w:rFonts w:cs="Times New Roman"/>
          <w:kern w:val="22"/>
          <w:sz w:val="22"/>
          <w:lang w:val="en-GB"/>
        </w:rPr>
        <w:t>s</w:t>
      </w:r>
      <w:r w:rsidR="00860395" w:rsidRPr="002364AB">
        <w:rPr>
          <w:rFonts w:cs="Times New Roman"/>
          <w:kern w:val="22"/>
          <w:sz w:val="22"/>
          <w:lang w:val="en-GB"/>
        </w:rPr>
        <w:t xml:space="preserve"> currently</w:t>
      </w:r>
      <w:r w:rsidR="00E739AA" w:rsidRPr="002364AB">
        <w:rPr>
          <w:rFonts w:cs="Times New Roman"/>
          <w:kern w:val="22"/>
          <w:sz w:val="22"/>
          <w:lang w:val="en-GB"/>
        </w:rPr>
        <w:t xml:space="preserve"> not </w:t>
      </w:r>
      <w:r w:rsidR="007D320F" w:rsidRPr="002364AB">
        <w:rPr>
          <w:rFonts w:cs="Times New Roman"/>
          <w:kern w:val="22"/>
          <w:sz w:val="22"/>
          <w:lang w:val="en-GB"/>
        </w:rPr>
        <w:t>possible</w:t>
      </w:r>
      <w:r w:rsidR="00E739AA" w:rsidRPr="002364AB">
        <w:rPr>
          <w:rFonts w:cs="Times New Roman"/>
          <w:kern w:val="22"/>
          <w:sz w:val="22"/>
          <w:lang w:val="en-GB"/>
        </w:rPr>
        <w:t>.</w:t>
      </w:r>
      <w:r w:rsidR="006A2300" w:rsidRPr="002364AB">
        <w:rPr>
          <w:rStyle w:val="FootnoteReference"/>
          <w:rFonts w:cs="Times New Roman"/>
          <w:kern w:val="22"/>
          <w:sz w:val="22"/>
          <w:lang w:val="en-GB"/>
        </w:rPr>
        <w:footnoteReference w:id="124"/>
      </w:r>
      <w:r w:rsidR="00E739AA" w:rsidRPr="002364AB">
        <w:rPr>
          <w:rFonts w:cs="Times New Roman"/>
          <w:kern w:val="22"/>
          <w:sz w:val="22"/>
          <w:lang w:val="en-GB"/>
        </w:rPr>
        <w:t xml:space="preserve"> </w:t>
      </w:r>
    </w:p>
    <w:p w14:paraId="628B175D" w14:textId="6077D409" w:rsidR="00921E16" w:rsidRPr="002364AB" w:rsidRDefault="00921E16" w:rsidP="00E739AA">
      <w:pPr>
        <w:rPr>
          <w:rFonts w:cs="Times New Roman"/>
          <w:i/>
          <w:kern w:val="22"/>
          <w:sz w:val="22"/>
          <w:lang w:val="en-GB"/>
        </w:rPr>
      </w:pPr>
      <w:r w:rsidRPr="002364AB">
        <w:rPr>
          <w:rFonts w:cs="Times New Roman"/>
          <w:i/>
          <w:kern w:val="22"/>
          <w:sz w:val="22"/>
          <w:lang w:val="en-GB"/>
        </w:rPr>
        <w:t>Development of Ebola drug REGN-EB3</w:t>
      </w:r>
    </w:p>
    <w:p w14:paraId="3E4EEB7E" w14:textId="1105306F" w:rsidR="00706D1C" w:rsidRPr="002364AB" w:rsidRDefault="14AC87FF" w:rsidP="14AC87FF">
      <w:pPr>
        <w:rPr>
          <w:rFonts w:cs="Times New Roman"/>
          <w:kern w:val="22"/>
          <w:sz w:val="22"/>
          <w:lang w:val="en-GB"/>
        </w:rPr>
      </w:pPr>
      <w:r w:rsidRPr="002364AB">
        <w:rPr>
          <w:rFonts w:cs="Times New Roman"/>
          <w:kern w:val="22"/>
          <w:sz w:val="22"/>
          <w:lang w:val="en-GB"/>
        </w:rPr>
        <w:t>C</w:t>
      </w:r>
      <w:r w:rsidR="002E62EE" w:rsidRPr="002364AB">
        <w:rPr>
          <w:rFonts w:cs="Times New Roman"/>
          <w:kern w:val="22"/>
          <w:sz w:val="22"/>
          <w:lang w:val="en-GB"/>
        </w:rPr>
        <w:t>urrently</w:t>
      </w:r>
      <w:r w:rsidRPr="002364AB">
        <w:rPr>
          <w:rFonts w:cs="Times New Roman"/>
          <w:kern w:val="22"/>
          <w:sz w:val="22"/>
          <w:lang w:val="en-GB"/>
        </w:rPr>
        <w:t>, there</w:t>
      </w:r>
      <w:r w:rsidR="002E62EE" w:rsidRPr="002364AB">
        <w:rPr>
          <w:rFonts w:cs="Times New Roman"/>
          <w:kern w:val="22"/>
          <w:sz w:val="22"/>
          <w:lang w:val="en-GB"/>
        </w:rPr>
        <w:t xml:space="preserve"> is no </w:t>
      </w:r>
      <w:r w:rsidRPr="002364AB">
        <w:rPr>
          <w:rFonts w:cs="Times New Roman"/>
          <w:kern w:val="22"/>
          <w:sz w:val="22"/>
          <w:lang w:val="en-GB"/>
        </w:rPr>
        <w:t xml:space="preserve">established </w:t>
      </w:r>
      <w:r w:rsidR="002E62EE" w:rsidRPr="002364AB">
        <w:rPr>
          <w:rFonts w:cs="Times New Roman"/>
          <w:kern w:val="22"/>
          <w:sz w:val="22"/>
          <w:lang w:val="en-GB"/>
        </w:rPr>
        <w:t>mechanism for PIC to apply to DSI</w:t>
      </w:r>
      <w:r w:rsidRPr="002364AB">
        <w:rPr>
          <w:rFonts w:cs="Times New Roman"/>
          <w:kern w:val="22"/>
          <w:sz w:val="22"/>
          <w:lang w:val="en-GB"/>
        </w:rPr>
        <w:t xml:space="preserve"> made available in </w:t>
      </w:r>
      <w:r w:rsidR="002E62EE" w:rsidRPr="002364AB">
        <w:rPr>
          <w:rFonts w:cs="Times New Roman"/>
          <w:kern w:val="22"/>
          <w:sz w:val="22"/>
          <w:lang w:val="en-GB"/>
        </w:rPr>
        <w:t>public databases such as Gen</w:t>
      </w:r>
      <w:r w:rsidR="00527AA2" w:rsidRPr="002364AB">
        <w:rPr>
          <w:rFonts w:cs="Times New Roman"/>
          <w:kern w:val="22"/>
          <w:sz w:val="22"/>
          <w:lang w:val="en-GB"/>
        </w:rPr>
        <w:t>B</w:t>
      </w:r>
      <w:r w:rsidR="002E62EE" w:rsidRPr="002364AB">
        <w:rPr>
          <w:rFonts w:cs="Times New Roman"/>
          <w:kern w:val="22"/>
          <w:sz w:val="22"/>
          <w:lang w:val="en-GB"/>
        </w:rPr>
        <w:t>ank.</w:t>
      </w:r>
      <w:r w:rsidR="002D1600" w:rsidRPr="002364AB">
        <w:rPr>
          <w:rStyle w:val="FootnoteReference"/>
          <w:rFonts w:cs="Times New Roman"/>
          <w:kern w:val="22"/>
          <w:sz w:val="22"/>
          <w:lang w:val="en-GB"/>
        </w:rPr>
        <w:footnoteReference w:id="125"/>
      </w:r>
      <w:r w:rsidR="002E62EE" w:rsidRPr="002364AB">
        <w:rPr>
          <w:rFonts w:cs="Times New Roman"/>
          <w:kern w:val="22"/>
          <w:sz w:val="22"/>
          <w:lang w:val="en-GB"/>
        </w:rPr>
        <w:t xml:space="preserve"> </w:t>
      </w:r>
      <w:r w:rsidR="00716A8B" w:rsidRPr="002364AB">
        <w:rPr>
          <w:rFonts w:cs="Times New Roman"/>
          <w:kern w:val="22"/>
          <w:sz w:val="22"/>
          <w:lang w:val="en-GB"/>
        </w:rPr>
        <w:t>Thus</w:t>
      </w:r>
      <w:r w:rsidR="002E62EE" w:rsidRPr="002364AB">
        <w:rPr>
          <w:rFonts w:cs="Times New Roman"/>
          <w:kern w:val="22"/>
          <w:sz w:val="22"/>
          <w:lang w:val="en-GB"/>
        </w:rPr>
        <w:t xml:space="preserve">, while bilateral benefit-sharing may in theory be possible, </w:t>
      </w:r>
      <w:r w:rsidRPr="002364AB">
        <w:rPr>
          <w:rFonts w:cs="Times New Roman"/>
          <w:kern w:val="22"/>
          <w:sz w:val="22"/>
          <w:lang w:val="en-GB"/>
        </w:rPr>
        <w:t>the system is not currently set up to facilitate or enable benefit-sharing in the context of the CBD and Nagoya Protocol</w:t>
      </w:r>
      <w:r w:rsidRPr="002364AB" w:rsidDel="00AA59DD">
        <w:rPr>
          <w:rFonts w:cs="Times New Roman"/>
          <w:kern w:val="22"/>
          <w:sz w:val="22"/>
          <w:lang w:val="en-GB"/>
        </w:rPr>
        <w:t>.</w:t>
      </w:r>
      <w:r w:rsidR="002E62EE" w:rsidRPr="002364AB">
        <w:rPr>
          <w:rFonts w:cs="Times New Roman"/>
          <w:kern w:val="22"/>
          <w:sz w:val="22"/>
          <w:lang w:val="en-GB"/>
        </w:rPr>
        <w:t xml:space="preserve"> Consider the development of the Ebola drug RE</w:t>
      </w:r>
      <w:r w:rsidR="675B34AE" w:rsidRPr="002364AB">
        <w:rPr>
          <w:rFonts w:cs="Times New Roman"/>
          <w:kern w:val="22"/>
          <w:sz w:val="22"/>
          <w:lang w:val="en-GB"/>
        </w:rPr>
        <w:t>G</w:t>
      </w:r>
      <w:r w:rsidR="002E62EE" w:rsidRPr="002364AB">
        <w:rPr>
          <w:rFonts w:cs="Times New Roman"/>
          <w:kern w:val="22"/>
          <w:sz w:val="22"/>
          <w:lang w:val="en-GB"/>
        </w:rPr>
        <w:t>N-EB3 by the p</w:t>
      </w:r>
      <w:r w:rsidR="002E62EE" w:rsidRPr="002364AB">
        <w:rPr>
          <w:kern w:val="22"/>
          <w:sz w:val="22"/>
          <w:lang w:val="en-GB"/>
        </w:rPr>
        <w:t>harmaceutical company Regeneron using</w:t>
      </w:r>
      <w:r w:rsidR="00716A8B" w:rsidRPr="002364AB">
        <w:rPr>
          <w:kern w:val="22"/>
          <w:sz w:val="22"/>
          <w:lang w:val="en-GB"/>
        </w:rPr>
        <w:t>, in part,</w:t>
      </w:r>
      <w:r w:rsidR="002E62EE" w:rsidRPr="002364AB">
        <w:rPr>
          <w:kern w:val="22"/>
          <w:sz w:val="22"/>
          <w:lang w:val="en-GB"/>
        </w:rPr>
        <w:t xml:space="preserve"> a virus strain </w:t>
      </w:r>
      <w:r w:rsidR="006036E7" w:rsidRPr="002364AB">
        <w:rPr>
          <w:kern w:val="22"/>
          <w:sz w:val="22"/>
          <w:lang w:val="en-GB"/>
        </w:rPr>
        <w:t xml:space="preserve">sequence </w:t>
      </w:r>
      <w:r w:rsidR="002E62EE" w:rsidRPr="002364AB">
        <w:rPr>
          <w:kern w:val="22"/>
          <w:sz w:val="22"/>
          <w:lang w:val="en-GB"/>
        </w:rPr>
        <w:t>it obtained from Gen</w:t>
      </w:r>
      <w:r w:rsidR="00527AA2" w:rsidRPr="002364AB">
        <w:rPr>
          <w:kern w:val="22"/>
          <w:sz w:val="22"/>
          <w:lang w:val="en-GB"/>
        </w:rPr>
        <w:t>B</w:t>
      </w:r>
      <w:r w:rsidR="002E62EE" w:rsidRPr="002364AB">
        <w:rPr>
          <w:kern w:val="22"/>
          <w:sz w:val="22"/>
          <w:lang w:val="en-GB"/>
        </w:rPr>
        <w:t xml:space="preserve">ank. The sequence information for the strain had been uploaded without restriction to </w:t>
      </w:r>
      <w:r w:rsidR="004A51E0" w:rsidRPr="002364AB">
        <w:rPr>
          <w:kern w:val="22"/>
          <w:sz w:val="22"/>
          <w:lang w:val="en-GB"/>
        </w:rPr>
        <w:t xml:space="preserve">the </w:t>
      </w:r>
      <w:r w:rsidR="002E62EE" w:rsidRPr="002364AB">
        <w:rPr>
          <w:kern w:val="22"/>
          <w:sz w:val="22"/>
          <w:lang w:val="en-GB"/>
        </w:rPr>
        <w:t>G</w:t>
      </w:r>
      <w:r w:rsidR="004A51E0" w:rsidRPr="002364AB">
        <w:rPr>
          <w:kern w:val="22"/>
          <w:sz w:val="22"/>
          <w:lang w:val="en-GB"/>
        </w:rPr>
        <w:t>en</w:t>
      </w:r>
      <w:r w:rsidR="00527AA2" w:rsidRPr="002364AB">
        <w:rPr>
          <w:kern w:val="22"/>
          <w:sz w:val="22"/>
          <w:lang w:val="en-GB"/>
        </w:rPr>
        <w:t>B</w:t>
      </w:r>
      <w:r w:rsidR="004A51E0" w:rsidRPr="002364AB">
        <w:rPr>
          <w:kern w:val="22"/>
          <w:sz w:val="22"/>
          <w:lang w:val="en-GB"/>
        </w:rPr>
        <w:t>ank</w:t>
      </w:r>
      <w:r w:rsidR="002E62EE" w:rsidRPr="002364AB">
        <w:rPr>
          <w:kern w:val="22"/>
          <w:sz w:val="22"/>
          <w:lang w:val="en-GB"/>
        </w:rPr>
        <w:t xml:space="preserve"> database by the </w:t>
      </w:r>
      <w:r w:rsidR="003C11B5" w:rsidRPr="002364AB">
        <w:rPr>
          <w:kern w:val="22"/>
          <w:sz w:val="22"/>
          <w:lang w:val="en-GB"/>
        </w:rPr>
        <w:t xml:space="preserve">Bernard </w:t>
      </w:r>
      <w:proofErr w:type="spellStart"/>
      <w:r w:rsidR="003C11B5" w:rsidRPr="002364AB">
        <w:rPr>
          <w:kern w:val="22"/>
          <w:sz w:val="22"/>
          <w:lang w:val="en-GB"/>
        </w:rPr>
        <w:t>Nocht</w:t>
      </w:r>
      <w:proofErr w:type="spellEnd"/>
      <w:r w:rsidR="003C11B5" w:rsidRPr="002364AB">
        <w:rPr>
          <w:kern w:val="22"/>
          <w:sz w:val="22"/>
          <w:lang w:val="en-GB"/>
        </w:rPr>
        <w:t xml:space="preserve"> Institute for Tropical Medicine (BNITM), a member of the Leibniz Association</w:t>
      </w:r>
      <w:r w:rsidR="002E62EE" w:rsidRPr="002364AB">
        <w:rPr>
          <w:kern w:val="22"/>
          <w:sz w:val="22"/>
          <w:lang w:val="en-GB"/>
        </w:rPr>
        <w:t xml:space="preserve">, </w:t>
      </w:r>
      <w:r w:rsidR="004A51E0" w:rsidRPr="002364AB">
        <w:rPr>
          <w:kern w:val="22"/>
          <w:sz w:val="22"/>
          <w:lang w:val="en-GB"/>
        </w:rPr>
        <w:t>and had been obtained by synthesis</w:t>
      </w:r>
      <w:r w:rsidR="002E62EE" w:rsidRPr="002364AB">
        <w:rPr>
          <w:kern w:val="22"/>
          <w:sz w:val="22"/>
          <w:lang w:val="en-GB"/>
        </w:rPr>
        <w:t xml:space="preserve"> from a survivor of the 2014 Guinean Ebola outbreak.</w:t>
      </w:r>
      <w:r w:rsidR="008B765E" w:rsidRPr="002364AB">
        <w:rPr>
          <w:rStyle w:val="FootnoteReference"/>
          <w:kern w:val="22"/>
          <w:sz w:val="22"/>
          <w:lang w:val="en-GB"/>
        </w:rPr>
        <w:footnoteReference w:id="126"/>
      </w:r>
      <w:r w:rsidR="002E62EE" w:rsidRPr="002364AB">
        <w:rPr>
          <w:kern w:val="22"/>
          <w:sz w:val="22"/>
          <w:lang w:val="en-GB"/>
        </w:rPr>
        <w:t xml:space="preserve"> </w:t>
      </w:r>
      <w:r w:rsidR="002C2C49" w:rsidRPr="002364AB">
        <w:rPr>
          <w:kern w:val="22"/>
          <w:sz w:val="22"/>
          <w:lang w:val="en-GB"/>
        </w:rPr>
        <w:t>W</w:t>
      </w:r>
      <w:r w:rsidR="004A51E0" w:rsidRPr="002364AB">
        <w:rPr>
          <w:kern w:val="22"/>
          <w:sz w:val="22"/>
          <w:lang w:val="en-GB"/>
        </w:rPr>
        <w:t xml:space="preserve">hile </w:t>
      </w:r>
      <w:r w:rsidR="007C334A" w:rsidRPr="002364AB">
        <w:rPr>
          <w:rFonts w:cs="Times New Roman"/>
          <w:kern w:val="22"/>
          <w:sz w:val="22"/>
          <w:lang w:val="en-GB"/>
        </w:rPr>
        <w:t xml:space="preserve">BNITM </w:t>
      </w:r>
      <w:r w:rsidR="002E62EE" w:rsidRPr="002364AB">
        <w:rPr>
          <w:rFonts w:cs="Times New Roman"/>
          <w:kern w:val="22"/>
          <w:sz w:val="22"/>
          <w:lang w:val="en-GB"/>
        </w:rPr>
        <w:t>require</w:t>
      </w:r>
      <w:r w:rsidR="00716A8B" w:rsidRPr="002364AB">
        <w:rPr>
          <w:rFonts w:cs="Times New Roman"/>
          <w:kern w:val="22"/>
          <w:sz w:val="22"/>
          <w:lang w:val="en-GB"/>
        </w:rPr>
        <w:t>d</w:t>
      </w:r>
      <w:r w:rsidR="002E62EE" w:rsidRPr="002364AB">
        <w:rPr>
          <w:rFonts w:cs="Times New Roman"/>
          <w:kern w:val="22"/>
          <w:sz w:val="22"/>
          <w:lang w:val="en-GB"/>
        </w:rPr>
        <w:t xml:space="preserve"> recipients of physical</w:t>
      </w:r>
      <w:r w:rsidR="002E62EE" w:rsidRPr="002364AB">
        <w:rPr>
          <w:rFonts w:cs="Times New Roman"/>
          <w:i/>
          <w:iCs/>
          <w:kern w:val="22"/>
          <w:sz w:val="22"/>
          <w:lang w:val="en-GB"/>
        </w:rPr>
        <w:t xml:space="preserve"> </w:t>
      </w:r>
      <w:r w:rsidR="002E62EE" w:rsidRPr="002364AB">
        <w:rPr>
          <w:rFonts w:cs="Times New Roman"/>
          <w:kern w:val="22"/>
          <w:sz w:val="22"/>
          <w:lang w:val="en-GB"/>
        </w:rPr>
        <w:t>samples of the virus to sign a</w:t>
      </w:r>
      <w:r w:rsidR="00716A8B" w:rsidRPr="002364AB">
        <w:rPr>
          <w:rFonts w:cs="Times New Roman"/>
          <w:kern w:val="22"/>
          <w:sz w:val="22"/>
          <w:lang w:val="en-GB"/>
        </w:rPr>
        <w:t xml:space="preserve"> material transfer agreement (</w:t>
      </w:r>
      <w:r w:rsidR="002E62EE" w:rsidRPr="002364AB">
        <w:rPr>
          <w:rFonts w:cs="Times New Roman"/>
          <w:kern w:val="22"/>
          <w:sz w:val="22"/>
          <w:lang w:val="en-GB"/>
        </w:rPr>
        <w:t>MTA</w:t>
      </w:r>
      <w:r w:rsidR="00716A8B" w:rsidRPr="002364AB">
        <w:rPr>
          <w:rFonts w:cs="Times New Roman"/>
          <w:kern w:val="22"/>
          <w:sz w:val="22"/>
          <w:lang w:val="en-GB"/>
        </w:rPr>
        <w:t>)</w:t>
      </w:r>
      <w:r w:rsidR="002E62EE" w:rsidRPr="002364AB">
        <w:rPr>
          <w:rFonts w:cs="Times New Roman"/>
          <w:kern w:val="22"/>
          <w:sz w:val="22"/>
          <w:lang w:val="en-GB"/>
        </w:rPr>
        <w:t xml:space="preserve"> </w:t>
      </w:r>
      <w:r w:rsidR="00716A8B" w:rsidRPr="002364AB">
        <w:rPr>
          <w:rFonts w:cs="Times New Roman"/>
          <w:kern w:val="22"/>
          <w:sz w:val="22"/>
          <w:lang w:val="en-GB"/>
        </w:rPr>
        <w:t>affirming the need to</w:t>
      </w:r>
      <w:r w:rsidR="002E62EE" w:rsidRPr="002364AB">
        <w:rPr>
          <w:rFonts w:cs="Times New Roman"/>
          <w:kern w:val="22"/>
          <w:sz w:val="22"/>
          <w:lang w:val="en-GB"/>
        </w:rPr>
        <w:t xml:space="preserve"> negotiate benefit</w:t>
      </w:r>
      <w:r w:rsidR="00716A8B" w:rsidRPr="002364AB">
        <w:rPr>
          <w:rFonts w:cs="Times New Roman"/>
          <w:kern w:val="22"/>
          <w:sz w:val="22"/>
          <w:lang w:val="en-GB"/>
        </w:rPr>
        <w:t>-</w:t>
      </w:r>
      <w:r w:rsidR="002E62EE" w:rsidRPr="002364AB">
        <w:rPr>
          <w:rFonts w:cs="Times New Roman"/>
          <w:kern w:val="22"/>
          <w:sz w:val="22"/>
          <w:lang w:val="en-GB"/>
        </w:rPr>
        <w:t xml:space="preserve">sharing </w:t>
      </w:r>
      <w:r w:rsidR="00716A8B" w:rsidRPr="002364AB">
        <w:rPr>
          <w:rFonts w:cs="Times New Roman"/>
          <w:kern w:val="22"/>
          <w:sz w:val="22"/>
          <w:lang w:val="en-GB"/>
        </w:rPr>
        <w:t>for commercial products</w:t>
      </w:r>
      <w:r w:rsidR="002E62EE" w:rsidRPr="002364AB">
        <w:rPr>
          <w:rFonts w:cs="Times New Roman"/>
          <w:kern w:val="22"/>
          <w:sz w:val="22"/>
          <w:lang w:val="en-GB"/>
        </w:rPr>
        <w:t xml:space="preserve"> with Guinea pursuant to the CBD and the Nagoya </w:t>
      </w:r>
      <w:r w:rsidR="004A51E0" w:rsidRPr="002364AB">
        <w:rPr>
          <w:rFonts w:cs="Times New Roman"/>
          <w:kern w:val="22"/>
          <w:sz w:val="22"/>
          <w:lang w:val="en-GB"/>
        </w:rPr>
        <w:t xml:space="preserve">Protocol, it </w:t>
      </w:r>
      <w:r w:rsidR="002C2C49" w:rsidRPr="002364AB">
        <w:rPr>
          <w:rFonts w:cs="Times New Roman"/>
          <w:kern w:val="22"/>
          <w:sz w:val="22"/>
          <w:lang w:val="en-GB"/>
        </w:rPr>
        <w:t xml:space="preserve">did not </w:t>
      </w:r>
      <w:r w:rsidR="00F46AA3" w:rsidRPr="002364AB">
        <w:rPr>
          <w:rFonts w:cs="Times New Roman"/>
          <w:kern w:val="22"/>
          <w:sz w:val="22"/>
          <w:lang w:val="en-GB"/>
        </w:rPr>
        <w:t xml:space="preserve">require this </w:t>
      </w:r>
      <w:r w:rsidR="004A51E0" w:rsidRPr="002364AB">
        <w:rPr>
          <w:rFonts w:cs="Times New Roman"/>
          <w:kern w:val="22"/>
          <w:sz w:val="22"/>
          <w:lang w:val="en-GB"/>
        </w:rPr>
        <w:t xml:space="preserve">for </w:t>
      </w:r>
      <w:r w:rsidR="00716A8B" w:rsidRPr="002364AB">
        <w:rPr>
          <w:rFonts w:cs="Times New Roman"/>
          <w:kern w:val="22"/>
          <w:sz w:val="22"/>
          <w:lang w:val="en-GB"/>
        </w:rPr>
        <w:t xml:space="preserve">the </w:t>
      </w:r>
      <w:r w:rsidR="00F46AA3" w:rsidRPr="002364AB">
        <w:rPr>
          <w:rFonts w:cs="Times New Roman"/>
          <w:kern w:val="22"/>
          <w:sz w:val="22"/>
          <w:lang w:val="en-GB"/>
        </w:rPr>
        <w:t xml:space="preserve">use of the </w:t>
      </w:r>
      <w:r w:rsidR="00716A8B" w:rsidRPr="002364AB">
        <w:rPr>
          <w:rFonts w:cs="Times New Roman"/>
          <w:kern w:val="22"/>
          <w:sz w:val="22"/>
          <w:lang w:val="en-GB"/>
        </w:rPr>
        <w:t xml:space="preserve">uploaded </w:t>
      </w:r>
      <w:r w:rsidR="008B765E" w:rsidRPr="002364AB">
        <w:rPr>
          <w:rFonts w:cs="Times New Roman"/>
          <w:kern w:val="22"/>
          <w:sz w:val="22"/>
          <w:lang w:val="en-GB"/>
        </w:rPr>
        <w:t>sequence information</w:t>
      </w:r>
      <w:r w:rsidR="002E62EE" w:rsidRPr="002364AB">
        <w:rPr>
          <w:rFonts w:cs="Times New Roman"/>
          <w:kern w:val="22"/>
          <w:sz w:val="22"/>
          <w:lang w:val="en-GB"/>
        </w:rPr>
        <w:t>.</w:t>
      </w:r>
      <w:r w:rsidR="008B765E" w:rsidRPr="002364AB">
        <w:rPr>
          <w:rStyle w:val="FootnoteReference"/>
          <w:rFonts w:cs="Times New Roman"/>
          <w:kern w:val="22"/>
          <w:sz w:val="22"/>
          <w:lang w:val="en-GB"/>
        </w:rPr>
        <w:footnoteReference w:id="127"/>
      </w:r>
      <w:r w:rsidR="002E62EE" w:rsidRPr="002364AB">
        <w:rPr>
          <w:rFonts w:cs="Times New Roman"/>
          <w:kern w:val="22"/>
          <w:sz w:val="22"/>
          <w:lang w:val="en-GB"/>
        </w:rPr>
        <w:t xml:space="preserve"> </w:t>
      </w:r>
    </w:p>
    <w:p w14:paraId="6E836726" w14:textId="77777777" w:rsidR="00252B22" w:rsidRPr="002364AB" w:rsidRDefault="675B34AE">
      <w:pPr>
        <w:spacing w:after="120"/>
        <w:rPr>
          <w:kern w:val="22"/>
          <w:sz w:val="22"/>
          <w:lang w:val="en-GB"/>
        </w:rPr>
      </w:pPr>
      <w:r w:rsidRPr="002364AB">
        <w:rPr>
          <w:rFonts w:cs="Times New Roman"/>
          <w:kern w:val="22"/>
          <w:sz w:val="22"/>
          <w:lang w:val="en-GB"/>
        </w:rPr>
        <w:t>REGN-EB3</w:t>
      </w:r>
      <w:r w:rsidR="00716A8B" w:rsidRPr="002364AB">
        <w:rPr>
          <w:rStyle w:val="FootnoteReference"/>
          <w:rFonts w:cs="Times New Roman"/>
          <w:kern w:val="22"/>
          <w:sz w:val="22"/>
          <w:lang w:val="en-GB"/>
        </w:rPr>
        <w:footnoteReference w:id="128"/>
      </w:r>
      <w:r w:rsidR="00716A8B" w:rsidRPr="002364AB">
        <w:rPr>
          <w:rFonts w:cs="Times New Roman"/>
          <w:kern w:val="22"/>
          <w:sz w:val="22"/>
          <w:lang w:val="en-GB"/>
        </w:rPr>
        <w:t xml:space="preserve"> has attracted over </w:t>
      </w:r>
      <w:r w:rsidR="001738E7" w:rsidRPr="002364AB">
        <w:rPr>
          <w:rFonts w:cs="Times New Roman"/>
          <w:kern w:val="22"/>
          <w:sz w:val="22"/>
          <w:lang w:val="en-GB"/>
        </w:rPr>
        <w:t>US</w:t>
      </w:r>
      <w:r w:rsidR="00716A8B" w:rsidRPr="002364AB">
        <w:rPr>
          <w:rFonts w:cs="Times New Roman"/>
          <w:kern w:val="22"/>
          <w:sz w:val="22"/>
          <w:lang w:val="en-GB"/>
        </w:rPr>
        <w:t>$</w:t>
      </w:r>
      <w:r w:rsidR="001738E7" w:rsidRPr="002364AB">
        <w:rPr>
          <w:rFonts w:cs="Times New Roman"/>
          <w:kern w:val="22"/>
          <w:sz w:val="22"/>
          <w:lang w:val="en-GB"/>
        </w:rPr>
        <w:t xml:space="preserve"> </w:t>
      </w:r>
      <w:r w:rsidR="00716A8B" w:rsidRPr="002364AB">
        <w:rPr>
          <w:rFonts w:cs="Times New Roman"/>
          <w:kern w:val="22"/>
          <w:sz w:val="22"/>
          <w:lang w:val="en-GB"/>
        </w:rPr>
        <w:t xml:space="preserve">400 million in </w:t>
      </w:r>
      <w:r w:rsidR="00FA7F07" w:rsidRPr="002364AB">
        <w:rPr>
          <w:rFonts w:cs="Times New Roman"/>
          <w:kern w:val="22"/>
          <w:sz w:val="22"/>
          <w:lang w:val="en-GB"/>
        </w:rPr>
        <w:t xml:space="preserve">research and </w:t>
      </w:r>
      <w:r w:rsidR="00716A8B" w:rsidRPr="002364AB">
        <w:rPr>
          <w:rFonts w:cs="Times New Roman"/>
          <w:kern w:val="22"/>
          <w:sz w:val="22"/>
          <w:lang w:val="en-GB"/>
        </w:rPr>
        <w:t>development commitments from the</w:t>
      </w:r>
      <w:r w:rsidR="001738E7" w:rsidRPr="002364AB">
        <w:rPr>
          <w:kern w:val="22"/>
          <w:sz w:val="22"/>
          <w:lang w:val="en-GB"/>
        </w:rPr>
        <w:t xml:space="preserve"> </w:t>
      </w:r>
      <w:r w:rsidR="00010E0B" w:rsidRPr="002364AB">
        <w:rPr>
          <w:kern w:val="22"/>
          <w:sz w:val="22"/>
          <w:lang w:val="en-GB"/>
        </w:rPr>
        <w:t xml:space="preserve">U.S. Department of Health and Human Services </w:t>
      </w:r>
      <w:r w:rsidR="001738E7" w:rsidRPr="002364AB">
        <w:rPr>
          <w:kern w:val="22"/>
          <w:sz w:val="22"/>
          <w:lang w:val="en-GB"/>
        </w:rPr>
        <w:t>Biomedical Advanced Research and Development Authority</w:t>
      </w:r>
      <w:r w:rsidR="00FA7F07" w:rsidRPr="002364AB">
        <w:rPr>
          <w:rFonts w:cs="Times New Roman"/>
          <w:kern w:val="22"/>
          <w:sz w:val="22"/>
          <w:lang w:val="en-GB"/>
        </w:rPr>
        <w:t>.</w:t>
      </w:r>
      <w:r w:rsidR="00FA7F07" w:rsidRPr="002364AB">
        <w:rPr>
          <w:rStyle w:val="FootnoteReference"/>
          <w:rFonts w:cs="Times New Roman"/>
          <w:kern w:val="22"/>
          <w:sz w:val="22"/>
          <w:lang w:val="en-GB"/>
        </w:rPr>
        <w:footnoteReference w:id="129"/>
      </w:r>
      <w:r w:rsidR="00FA7F07" w:rsidRPr="002364AB">
        <w:rPr>
          <w:rFonts w:cs="Times New Roman"/>
          <w:kern w:val="22"/>
          <w:sz w:val="22"/>
          <w:lang w:val="en-GB"/>
        </w:rPr>
        <w:t xml:space="preserve"> </w:t>
      </w:r>
      <w:r w:rsidR="0014291A" w:rsidRPr="002364AB">
        <w:rPr>
          <w:rFonts w:cs="Times New Roman"/>
          <w:kern w:val="22"/>
          <w:sz w:val="22"/>
          <w:lang w:val="en-GB"/>
        </w:rPr>
        <w:t xml:space="preserve">It has also received Orphan Drug designation from both the U.S. Food and Drug Administration and </w:t>
      </w:r>
      <w:r w:rsidR="00986F48" w:rsidRPr="002364AB">
        <w:rPr>
          <w:rFonts w:cs="Times New Roman"/>
          <w:kern w:val="22"/>
          <w:sz w:val="22"/>
          <w:lang w:val="en-GB"/>
        </w:rPr>
        <w:t xml:space="preserve">the </w:t>
      </w:r>
      <w:r w:rsidR="00A82C6C" w:rsidRPr="002364AB">
        <w:rPr>
          <w:rFonts w:cs="Times New Roman"/>
          <w:kern w:val="22"/>
          <w:sz w:val="22"/>
          <w:lang w:val="en-GB"/>
        </w:rPr>
        <w:t xml:space="preserve">European Medicines Agency, </w:t>
      </w:r>
      <w:r w:rsidR="00562E61" w:rsidRPr="002364AB">
        <w:rPr>
          <w:rFonts w:cs="Times New Roman"/>
          <w:kern w:val="22"/>
          <w:sz w:val="22"/>
          <w:lang w:val="en-GB"/>
        </w:rPr>
        <w:t xml:space="preserve">providing its private sector developer </w:t>
      </w:r>
      <w:r w:rsidR="00A82C6C" w:rsidRPr="002364AB">
        <w:rPr>
          <w:rFonts w:cs="Times New Roman"/>
          <w:kern w:val="22"/>
          <w:sz w:val="22"/>
          <w:lang w:val="en-GB"/>
        </w:rPr>
        <w:t xml:space="preserve">Regeneron with </w:t>
      </w:r>
      <w:r w:rsidR="005C6E82" w:rsidRPr="002364AB">
        <w:rPr>
          <w:rFonts w:cs="Times New Roman"/>
          <w:kern w:val="22"/>
          <w:sz w:val="22"/>
          <w:lang w:val="en-GB"/>
        </w:rPr>
        <w:t xml:space="preserve">– among others – </w:t>
      </w:r>
      <w:r w:rsidR="002A04DF" w:rsidRPr="002364AB">
        <w:rPr>
          <w:rFonts w:cs="Times New Roman"/>
          <w:kern w:val="22"/>
          <w:sz w:val="22"/>
          <w:lang w:val="en-GB"/>
        </w:rPr>
        <w:t xml:space="preserve">tax breaks for R&amp;D expenditures and </w:t>
      </w:r>
      <w:r w:rsidR="0024710A" w:rsidRPr="002364AB">
        <w:rPr>
          <w:rFonts w:cs="Times New Roman"/>
          <w:kern w:val="22"/>
          <w:sz w:val="22"/>
          <w:lang w:val="en-GB"/>
        </w:rPr>
        <w:t xml:space="preserve">time-bound </w:t>
      </w:r>
      <w:r w:rsidR="002A04DF" w:rsidRPr="002364AB">
        <w:rPr>
          <w:rFonts w:cs="Times New Roman"/>
          <w:kern w:val="22"/>
          <w:sz w:val="22"/>
          <w:lang w:val="en-GB"/>
        </w:rPr>
        <w:t>market exclusivity for the drug.</w:t>
      </w:r>
      <w:r w:rsidR="0024710A" w:rsidRPr="002364AB">
        <w:rPr>
          <w:rStyle w:val="FootnoteReference"/>
          <w:rFonts w:cs="Times New Roman"/>
          <w:kern w:val="22"/>
          <w:sz w:val="22"/>
          <w:lang w:val="en-GB"/>
        </w:rPr>
        <w:footnoteReference w:id="130"/>
      </w:r>
      <w:r w:rsidR="00986F48" w:rsidRPr="002364AB">
        <w:rPr>
          <w:rFonts w:cs="Times New Roman"/>
          <w:kern w:val="22"/>
          <w:sz w:val="22"/>
          <w:lang w:val="en-GB"/>
        </w:rPr>
        <w:t xml:space="preserve"> </w:t>
      </w:r>
      <w:r w:rsidR="00716A8B" w:rsidRPr="002364AB">
        <w:rPr>
          <w:rFonts w:cs="Times New Roman"/>
          <w:kern w:val="22"/>
          <w:sz w:val="22"/>
          <w:lang w:val="en-GB"/>
        </w:rPr>
        <w:t xml:space="preserve">Moreover, </w:t>
      </w:r>
      <w:r w:rsidR="006E0572" w:rsidRPr="002364AB">
        <w:rPr>
          <w:rFonts w:cs="Times New Roman"/>
          <w:kern w:val="22"/>
          <w:sz w:val="22"/>
          <w:lang w:val="en-GB"/>
        </w:rPr>
        <w:t xml:space="preserve">more than 100 patent applications have been filed worldwide, with some already granted in the </w:t>
      </w:r>
      <w:r w:rsidR="006E0572" w:rsidRPr="002364AB">
        <w:rPr>
          <w:kern w:val="22"/>
          <w:sz w:val="22"/>
          <w:lang w:val="en-GB"/>
        </w:rPr>
        <w:t>U.S., Nigeria, and South Africa.</w:t>
      </w:r>
      <w:r w:rsidR="006E0572" w:rsidRPr="002364AB">
        <w:rPr>
          <w:rStyle w:val="FootnoteReference"/>
          <w:kern w:val="22"/>
          <w:sz w:val="22"/>
          <w:lang w:val="en-GB"/>
        </w:rPr>
        <w:footnoteReference w:id="131"/>
      </w:r>
      <w:r w:rsidR="000679A7" w:rsidRPr="002364AB">
        <w:rPr>
          <w:kern w:val="22"/>
          <w:sz w:val="22"/>
          <w:lang w:val="en-GB"/>
        </w:rPr>
        <w:t xml:space="preserve"> </w:t>
      </w:r>
    </w:p>
    <w:p w14:paraId="2FBDC04D" w14:textId="66070ACB" w:rsidR="000679A7" w:rsidRPr="002364AB" w:rsidRDefault="000679A7" w:rsidP="00FC4525">
      <w:pPr>
        <w:spacing w:after="120"/>
        <w:rPr>
          <w:kern w:val="22"/>
          <w:sz w:val="22"/>
          <w:lang w:val="en-GB"/>
        </w:rPr>
      </w:pPr>
      <w:r w:rsidRPr="002364AB">
        <w:rPr>
          <w:kern w:val="22"/>
          <w:sz w:val="22"/>
          <w:lang w:val="en-GB"/>
        </w:rPr>
        <w:t xml:space="preserve">This is not an isolated occurrence. As observed by Rourke and others: </w:t>
      </w:r>
    </w:p>
    <w:p w14:paraId="596030E5" w14:textId="269FBB93" w:rsidR="007311AD" w:rsidRPr="002364AB" w:rsidRDefault="000679A7" w:rsidP="00BE23B2">
      <w:pPr>
        <w:spacing w:after="120"/>
        <w:ind w:left="432" w:right="432"/>
        <w:rPr>
          <w:kern w:val="22"/>
          <w:sz w:val="22"/>
          <w:lang w:val="en-GB"/>
        </w:rPr>
      </w:pPr>
      <w:r w:rsidRPr="002364AB">
        <w:rPr>
          <w:kern w:val="22"/>
          <w:sz w:val="22"/>
          <w:lang w:val="en-GB"/>
        </w:rPr>
        <w:t xml:space="preserve">In 2017, a Canadian research team synthesized the horsepox virus using [DSI] that was openly accessible on GenBank. The team could have accessed a physical sample of horsepox virus from the U.S. </w:t>
      </w:r>
      <w:proofErr w:type="spellStart"/>
      <w:r w:rsidRPr="002364AB">
        <w:rPr>
          <w:kern w:val="22"/>
          <w:sz w:val="22"/>
          <w:lang w:val="en-GB"/>
        </w:rPr>
        <w:t>Centers</w:t>
      </w:r>
      <w:proofErr w:type="spellEnd"/>
      <w:r w:rsidRPr="002364AB">
        <w:rPr>
          <w:kern w:val="22"/>
          <w:sz w:val="22"/>
          <w:lang w:val="en-GB"/>
        </w:rPr>
        <w:t xml:space="preserve"> for Disease Control and Prevention, but this would have required signing a material transfer agreement, with potential limits on commercializing future products. There is evidence that the Canadian team decided to synthesize the virus to avoid these legal obligations. The synthesis of viruses demonstrates how openly accessible </w:t>
      </w:r>
      <w:r w:rsidR="002B1D4C" w:rsidRPr="002364AB">
        <w:rPr>
          <w:kern w:val="22"/>
          <w:sz w:val="22"/>
          <w:lang w:val="en-GB"/>
        </w:rPr>
        <w:t>[DSI]</w:t>
      </w:r>
      <w:r w:rsidRPr="002364AB">
        <w:rPr>
          <w:kern w:val="22"/>
          <w:sz w:val="22"/>
          <w:lang w:val="en-GB"/>
        </w:rPr>
        <w:t xml:space="preserve"> creates a major gap in global ABS governance.</w:t>
      </w:r>
      <w:r w:rsidRPr="002364AB">
        <w:rPr>
          <w:rStyle w:val="FootnoteReference"/>
          <w:kern w:val="22"/>
          <w:sz w:val="22"/>
          <w:lang w:val="en-GB"/>
        </w:rPr>
        <w:footnoteReference w:id="132"/>
      </w:r>
    </w:p>
    <w:p w14:paraId="3DF51E7B" w14:textId="09EB7184" w:rsidR="007311AD" w:rsidRPr="002364AB" w:rsidRDefault="007311AD" w:rsidP="007311AD">
      <w:pPr>
        <w:rPr>
          <w:rFonts w:cs="Times New Roman"/>
          <w:kern w:val="22"/>
          <w:sz w:val="22"/>
          <w:lang w:val="en-GB"/>
        </w:rPr>
      </w:pPr>
      <w:r w:rsidRPr="002364AB">
        <w:rPr>
          <w:rFonts w:cs="Times New Roman"/>
          <w:i/>
          <w:kern w:val="22"/>
          <w:sz w:val="22"/>
          <w:lang w:val="en-GB"/>
        </w:rPr>
        <w:t>Protein Data Bank</w:t>
      </w:r>
    </w:p>
    <w:p w14:paraId="2679CC9C" w14:textId="0406D91C" w:rsidR="007311AD" w:rsidRPr="002364AB" w:rsidRDefault="007311AD" w:rsidP="007311AD">
      <w:pPr>
        <w:rPr>
          <w:rFonts w:cs="Times New Roman"/>
          <w:kern w:val="22"/>
          <w:sz w:val="22"/>
          <w:lang w:val="en-GB"/>
        </w:rPr>
      </w:pPr>
      <w:r w:rsidRPr="002364AB">
        <w:rPr>
          <w:rFonts w:cs="Times New Roman"/>
          <w:kern w:val="22"/>
          <w:sz w:val="22"/>
          <w:lang w:val="en-GB"/>
        </w:rPr>
        <w:t>Much like DNA sequences can be obtained from GenBank without physically accessing the genetic material, protein databases such as the Protein Data Bank (PDB) can be used to visualize and mutate existing protein structures. The PDB contains more than 155,000 biomolecule entries that are freely available to the public.</w:t>
      </w:r>
      <w:r w:rsidRPr="002364AB">
        <w:rPr>
          <w:rFonts w:cs="Times New Roman"/>
          <w:kern w:val="22"/>
          <w:sz w:val="22"/>
          <w:vertAlign w:val="superscript"/>
          <w:lang w:val="en-GB"/>
        </w:rPr>
        <w:footnoteReference w:id="133"/>
      </w:r>
      <w:r w:rsidRPr="002364AB">
        <w:rPr>
          <w:rFonts w:cs="Times New Roman"/>
          <w:kern w:val="22"/>
          <w:sz w:val="22"/>
          <w:lang w:val="en-GB"/>
        </w:rPr>
        <w:t xml:space="preserve"> Most journals now require scientists to deposit their structures into the PDB as a condition of publication.</w:t>
      </w:r>
      <w:r w:rsidRPr="002364AB">
        <w:rPr>
          <w:rFonts w:cs="Times New Roman"/>
          <w:kern w:val="22"/>
          <w:sz w:val="22"/>
          <w:vertAlign w:val="superscript"/>
          <w:lang w:val="en-GB"/>
        </w:rPr>
        <w:footnoteReference w:id="134"/>
      </w:r>
      <w:r w:rsidRPr="002364AB">
        <w:rPr>
          <w:rFonts w:cs="Times New Roman"/>
          <w:kern w:val="22"/>
          <w:sz w:val="22"/>
          <w:lang w:val="en-GB"/>
        </w:rPr>
        <w:t xml:space="preserve"> The replacement value of the current PDB archives is estimated to be more than US$ 15 billion.</w:t>
      </w:r>
      <w:r w:rsidRPr="002364AB">
        <w:rPr>
          <w:rFonts w:cs="Times New Roman"/>
          <w:kern w:val="22"/>
          <w:sz w:val="22"/>
          <w:vertAlign w:val="superscript"/>
          <w:lang w:val="en-GB"/>
        </w:rPr>
        <w:t xml:space="preserve"> </w:t>
      </w:r>
      <w:r w:rsidRPr="002364AB">
        <w:rPr>
          <w:rFonts w:cs="Times New Roman"/>
          <w:kern w:val="22"/>
          <w:sz w:val="22"/>
          <w:vertAlign w:val="superscript"/>
          <w:lang w:val="en-GB"/>
        </w:rPr>
        <w:footnoteReference w:id="135"/>
      </w:r>
      <w:r w:rsidRPr="002364AB">
        <w:rPr>
          <w:rFonts w:cs="Times New Roman"/>
          <w:kern w:val="22"/>
          <w:sz w:val="22"/>
          <w:lang w:val="en-GB"/>
        </w:rPr>
        <w:t xml:space="preserve"> A</w:t>
      </w:r>
      <w:r w:rsidR="00817109" w:rsidRPr="002364AB">
        <w:rPr>
          <w:rFonts w:cs="Times New Roman"/>
          <w:kern w:val="22"/>
          <w:sz w:val="22"/>
          <w:lang w:val="en-GB"/>
        </w:rPr>
        <w:t>ccording to a</w:t>
      </w:r>
      <w:r w:rsidRPr="002364AB">
        <w:rPr>
          <w:rFonts w:cs="Times New Roman"/>
          <w:kern w:val="22"/>
          <w:sz w:val="22"/>
          <w:lang w:val="en-GB"/>
        </w:rPr>
        <w:t xml:space="preserve"> recent study</w:t>
      </w:r>
      <w:r w:rsidR="00817109" w:rsidRPr="002364AB">
        <w:rPr>
          <w:rFonts w:cs="Times New Roman"/>
          <w:kern w:val="22"/>
          <w:sz w:val="22"/>
          <w:lang w:val="en-GB"/>
        </w:rPr>
        <w:t>,</w:t>
      </w:r>
      <w:r w:rsidRPr="002364AB">
        <w:rPr>
          <w:rFonts w:cs="Times New Roman"/>
          <w:kern w:val="22"/>
          <w:sz w:val="22"/>
          <w:lang w:val="en-GB"/>
        </w:rPr>
        <w:t xml:space="preserve"> “US FDA approval of 88% of 210 new molecular entities (NMEs or new drugs from 2010 to 2016) was facilitated by open access to </w:t>
      </w:r>
      <w:r w:rsidRPr="002364AB">
        <w:rPr>
          <w:rFonts w:ascii="Cambria Math" w:hAnsi="Cambria Math" w:cs="Cambria Math"/>
          <w:kern w:val="22"/>
          <w:sz w:val="22"/>
          <w:lang w:val="en-GB"/>
        </w:rPr>
        <w:t>∼</w:t>
      </w:r>
      <w:r w:rsidRPr="002364AB">
        <w:rPr>
          <w:rFonts w:cs="Times New Roman"/>
          <w:kern w:val="22"/>
          <w:sz w:val="22"/>
          <w:lang w:val="en-GB"/>
        </w:rPr>
        <w:t>6,000 PDB structures containing the protein targeted by the NME and/or the new drug itself.”</w:t>
      </w:r>
      <w:r w:rsidRPr="002364AB">
        <w:rPr>
          <w:rStyle w:val="FootnoteReference"/>
          <w:rFonts w:cs="Times New Roman"/>
          <w:kern w:val="22"/>
          <w:sz w:val="22"/>
          <w:lang w:val="en-GB"/>
        </w:rPr>
        <w:footnoteReference w:id="136"/>
      </w:r>
      <w:r w:rsidRPr="002364AB">
        <w:rPr>
          <w:rFonts w:cs="Times New Roman"/>
          <w:kern w:val="22"/>
          <w:sz w:val="22"/>
          <w:lang w:val="en-GB"/>
        </w:rPr>
        <w:t xml:space="preserve"> The importance of </w:t>
      </w:r>
      <w:r w:rsidR="001B71CA" w:rsidRPr="002364AB">
        <w:rPr>
          <w:rFonts w:cs="Times New Roman"/>
          <w:kern w:val="22"/>
          <w:sz w:val="22"/>
          <w:lang w:val="en-GB"/>
        </w:rPr>
        <w:t xml:space="preserve">the </w:t>
      </w:r>
      <w:r w:rsidRPr="002364AB">
        <w:rPr>
          <w:rFonts w:cs="Times New Roman"/>
          <w:kern w:val="22"/>
          <w:sz w:val="22"/>
          <w:lang w:val="en-GB"/>
        </w:rPr>
        <w:t xml:space="preserve">PDB in pharmaceuticals is </w:t>
      </w:r>
      <w:r w:rsidR="00817109" w:rsidRPr="002364AB">
        <w:rPr>
          <w:rFonts w:cs="Times New Roman"/>
          <w:kern w:val="22"/>
          <w:sz w:val="22"/>
          <w:lang w:val="en-GB"/>
        </w:rPr>
        <w:t xml:space="preserve">also indicated by the fact that </w:t>
      </w:r>
      <w:r w:rsidRPr="002364AB">
        <w:rPr>
          <w:rFonts w:cs="Times New Roman"/>
          <w:kern w:val="22"/>
          <w:sz w:val="22"/>
          <w:lang w:val="en-GB"/>
        </w:rPr>
        <w:t>“these structures were cited in a significant fraction of more than 2 million papers reporting publicly funded, precompetitive research on the drug targets that influenced drug company investment decisions</w:t>
      </w:r>
      <w:r w:rsidR="001B71CA" w:rsidRPr="002364AB">
        <w:rPr>
          <w:rFonts w:cs="Times New Roman"/>
          <w:kern w:val="22"/>
          <w:sz w:val="22"/>
          <w:lang w:val="en-GB"/>
        </w:rPr>
        <w:t>.”</w:t>
      </w:r>
      <w:r w:rsidRPr="002364AB">
        <w:rPr>
          <w:rStyle w:val="FootnoteReference"/>
          <w:rFonts w:cs="Times New Roman"/>
          <w:kern w:val="22"/>
          <w:sz w:val="22"/>
          <w:lang w:val="en-GB"/>
        </w:rPr>
        <w:footnoteReference w:id="137"/>
      </w:r>
      <w:r w:rsidRPr="002364AB">
        <w:rPr>
          <w:rFonts w:cs="Times New Roman"/>
          <w:kern w:val="22"/>
          <w:sz w:val="22"/>
          <w:lang w:val="en-GB"/>
        </w:rPr>
        <w:t xml:space="preserve"> </w:t>
      </w:r>
    </w:p>
    <w:p w14:paraId="210A91C7" w14:textId="59A93050" w:rsidR="00E20B91" w:rsidRPr="002364AB" w:rsidRDefault="007311AD" w:rsidP="007311AD">
      <w:pPr>
        <w:rPr>
          <w:rFonts w:cs="Times New Roman"/>
          <w:kern w:val="22"/>
          <w:sz w:val="22"/>
          <w:lang w:val="en-GB"/>
        </w:rPr>
      </w:pPr>
      <w:r w:rsidRPr="002364AB">
        <w:rPr>
          <w:rFonts w:cs="Times New Roman"/>
          <w:kern w:val="22"/>
          <w:sz w:val="22"/>
          <w:lang w:val="en-GB"/>
        </w:rPr>
        <w:t xml:space="preserve">For example, one area of drug discovery facilitated by PDB structures is voltage-gated ion channels (VGIC), which are involved in many </w:t>
      </w:r>
      <w:proofErr w:type="spellStart"/>
      <w:r w:rsidRPr="002364AB">
        <w:rPr>
          <w:rFonts w:cs="Times New Roman"/>
          <w:kern w:val="22"/>
          <w:sz w:val="22"/>
          <w:lang w:val="en-GB"/>
        </w:rPr>
        <w:t>signaling</w:t>
      </w:r>
      <w:proofErr w:type="spellEnd"/>
      <w:r w:rsidRPr="002364AB">
        <w:rPr>
          <w:rFonts w:cs="Times New Roman"/>
          <w:kern w:val="22"/>
          <w:sz w:val="22"/>
          <w:lang w:val="en-GB"/>
        </w:rPr>
        <w:t xml:space="preserve"> pathways and </w:t>
      </w:r>
      <w:r w:rsidR="001B71CA" w:rsidRPr="002364AB">
        <w:rPr>
          <w:rFonts w:cs="Times New Roman"/>
          <w:kern w:val="22"/>
          <w:sz w:val="22"/>
          <w:lang w:val="en-GB"/>
        </w:rPr>
        <w:t>therefore are targets for drugs; the</w:t>
      </w:r>
      <w:r w:rsidRPr="002364AB">
        <w:rPr>
          <w:rFonts w:cs="Times New Roman"/>
          <w:kern w:val="22"/>
          <w:sz w:val="22"/>
          <w:lang w:val="en-GB"/>
        </w:rPr>
        <w:t xml:space="preserve"> PDB contains more than 750 VGIC structures.</w:t>
      </w:r>
      <w:r w:rsidRPr="002364AB">
        <w:rPr>
          <w:rFonts w:cs="Times New Roman"/>
          <w:kern w:val="22"/>
          <w:sz w:val="22"/>
          <w:vertAlign w:val="superscript"/>
          <w:lang w:val="en-GB"/>
        </w:rPr>
        <w:footnoteReference w:id="138"/>
      </w:r>
      <w:r w:rsidRPr="002364AB">
        <w:rPr>
          <w:rFonts w:cs="Times New Roman"/>
          <w:kern w:val="22"/>
          <w:sz w:val="22"/>
          <w:lang w:val="en-GB"/>
        </w:rPr>
        <w:t xml:space="preserve"> US Patent 8043829B2, </w:t>
      </w:r>
      <w:r w:rsidR="001B71CA" w:rsidRPr="002364AB">
        <w:rPr>
          <w:rFonts w:cs="Times New Roman"/>
          <w:kern w:val="22"/>
          <w:sz w:val="22"/>
          <w:lang w:val="en-GB"/>
        </w:rPr>
        <w:t>assigned to</w:t>
      </w:r>
      <w:r w:rsidRPr="002364AB">
        <w:rPr>
          <w:rFonts w:cs="Times New Roman"/>
          <w:kern w:val="22"/>
          <w:sz w:val="22"/>
          <w:lang w:val="en-GB"/>
        </w:rPr>
        <w:t xml:space="preserve"> Amgen, Inc., claims a method of treating autoimmune disorders, including multiple sclerosis, type 1 diabetes, psoriasis, and inflammatory bowel disease, by targeting a voltage-gated potassium channel. In determining a toxin to inhibit potassium channels, the patent describes visualizing structures from PDB of toxins from sea anemone, scorpion, marine cone snail</w:t>
      </w:r>
      <w:r w:rsidR="002079BD" w:rsidRPr="002364AB">
        <w:rPr>
          <w:rFonts w:cs="Times New Roman"/>
          <w:kern w:val="22"/>
          <w:sz w:val="22"/>
          <w:lang w:val="en-GB"/>
        </w:rPr>
        <w:t xml:space="preserve"> and </w:t>
      </w:r>
      <w:r w:rsidRPr="002364AB">
        <w:rPr>
          <w:rFonts w:cs="Times New Roman"/>
          <w:kern w:val="22"/>
          <w:sz w:val="22"/>
          <w:lang w:val="en-GB"/>
        </w:rPr>
        <w:t xml:space="preserve">tarantula. The patent uses a peptide </w:t>
      </w:r>
      <w:proofErr w:type="spellStart"/>
      <w:r w:rsidRPr="002364AB">
        <w:rPr>
          <w:rFonts w:cs="Times New Roman"/>
          <w:kern w:val="22"/>
          <w:sz w:val="22"/>
          <w:lang w:val="en-GB"/>
        </w:rPr>
        <w:t>analog</w:t>
      </w:r>
      <w:proofErr w:type="spellEnd"/>
      <w:r w:rsidRPr="002364AB">
        <w:rPr>
          <w:rFonts w:cs="Times New Roman"/>
          <w:kern w:val="22"/>
          <w:sz w:val="22"/>
          <w:lang w:val="en-GB"/>
        </w:rPr>
        <w:t xml:space="preserve"> of OSK1, a toxin from scorpion venom, which was </w:t>
      </w:r>
      <w:r w:rsidR="002079BD" w:rsidRPr="002364AB">
        <w:rPr>
          <w:rFonts w:cs="Times New Roman"/>
          <w:kern w:val="22"/>
          <w:sz w:val="22"/>
          <w:lang w:val="en-GB"/>
        </w:rPr>
        <w:t>discovered using structural information from diverse organisms deposited in PDB</w:t>
      </w:r>
      <w:r w:rsidRPr="002364AB">
        <w:rPr>
          <w:rFonts w:cs="Times New Roman"/>
          <w:kern w:val="22"/>
          <w:sz w:val="22"/>
          <w:lang w:val="en-GB"/>
        </w:rPr>
        <w:t xml:space="preserve">. Thus, </w:t>
      </w:r>
      <w:r w:rsidR="002079BD" w:rsidRPr="002364AB">
        <w:rPr>
          <w:rFonts w:cs="Times New Roman"/>
          <w:kern w:val="22"/>
          <w:sz w:val="22"/>
          <w:lang w:val="en-GB"/>
        </w:rPr>
        <w:t xml:space="preserve">using PBD </w:t>
      </w:r>
      <w:r w:rsidRPr="002364AB">
        <w:rPr>
          <w:rFonts w:cs="Times New Roman"/>
          <w:kern w:val="22"/>
          <w:sz w:val="22"/>
          <w:lang w:val="en-GB"/>
        </w:rPr>
        <w:t xml:space="preserve">allows individuals to access hundreds of thousands of biomolecule structures from around the world. Requiring bilateral agreements for each </w:t>
      </w:r>
      <w:r w:rsidR="00EF32E1" w:rsidRPr="002364AB">
        <w:rPr>
          <w:rFonts w:cs="Times New Roman"/>
          <w:kern w:val="22"/>
          <w:sz w:val="22"/>
          <w:lang w:val="en-GB"/>
        </w:rPr>
        <w:t xml:space="preserve">provider </w:t>
      </w:r>
      <w:r w:rsidRPr="002364AB">
        <w:rPr>
          <w:rFonts w:cs="Times New Roman"/>
          <w:kern w:val="22"/>
          <w:sz w:val="22"/>
          <w:lang w:val="en-GB"/>
        </w:rPr>
        <w:t xml:space="preserve">country </w:t>
      </w:r>
      <w:r w:rsidR="00EF32E1" w:rsidRPr="002364AB">
        <w:rPr>
          <w:rFonts w:cs="Times New Roman"/>
          <w:kern w:val="22"/>
          <w:sz w:val="22"/>
          <w:lang w:val="en-GB"/>
        </w:rPr>
        <w:t xml:space="preserve">with benefit-sharing obligations </w:t>
      </w:r>
      <w:r w:rsidRPr="002364AB">
        <w:rPr>
          <w:rFonts w:cs="Times New Roman"/>
          <w:kern w:val="22"/>
          <w:sz w:val="22"/>
          <w:lang w:val="en-GB"/>
        </w:rPr>
        <w:t xml:space="preserve">from which structures were deposited or visualized would be </w:t>
      </w:r>
      <w:r w:rsidR="00EF32E1" w:rsidRPr="002364AB">
        <w:rPr>
          <w:rFonts w:cs="Times New Roman"/>
          <w:kern w:val="22"/>
          <w:sz w:val="22"/>
          <w:lang w:val="en-GB"/>
        </w:rPr>
        <w:t>functionally impossible</w:t>
      </w:r>
      <w:r w:rsidRPr="002364AB">
        <w:rPr>
          <w:rFonts w:cs="Times New Roman"/>
          <w:kern w:val="22"/>
          <w:sz w:val="22"/>
          <w:lang w:val="en-GB"/>
        </w:rPr>
        <w:t>.</w:t>
      </w:r>
    </w:p>
    <w:p w14:paraId="204EDCFE" w14:textId="7541A9A1" w:rsidR="003E3A50" w:rsidRPr="002364AB" w:rsidRDefault="0079048F" w:rsidP="007311AD">
      <w:pPr>
        <w:rPr>
          <w:rFonts w:cs="Times New Roman"/>
          <w:i/>
          <w:kern w:val="22"/>
          <w:sz w:val="22"/>
          <w:lang w:val="en-GB"/>
        </w:rPr>
      </w:pPr>
      <w:r w:rsidRPr="002364AB">
        <w:rPr>
          <w:rFonts w:cs="Times New Roman"/>
          <w:i/>
          <w:kern w:val="22"/>
          <w:sz w:val="22"/>
          <w:lang w:val="en-GB"/>
        </w:rPr>
        <w:t>Natural Product Libraries</w:t>
      </w:r>
    </w:p>
    <w:p w14:paraId="237988C1" w14:textId="391BCCCB" w:rsidR="0079048F" w:rsidRPr="002364AB" w:rsidRDefault="0079048F" w:rsidP="0079048F">
      <w:pPr>
        <w:rPr>
          <w:rFonts w:cs="Times New Roman"/>
          <w:kern w:val="22"/>
          <w:sz w:val="22"/>
          <w:lang w:val="en-GB"/>
        </w:rPr>
      </w:pPr>
      <w:r w:rsidRPr="002364AB">
        <w:rPr>
          <w:rFonts w:cs="Times New Roman"/>
          <w:kern w:val="22"/>
          <w:sz w:val="22"/>
          <w:lang w:val="en-GB"/>
        </w:rPr>
        <w:t xml:space="preserve">Another </w:t>
      </w:r>
      <w:r w:rsidR="00695B61" w:rsidRPr="002364AB">
        <w:rPr>
          <w:rFonts w:cs="Times New Roman"/>
          <w:kern w:val="22"/>
          <w:sz w:val="22"/>
          <w:lang w:val="en-GB"/>
        </w:rPr>
        <w:t xml:space="preserve">possible </w:t>
      </w:r>
      <w:r w:rsidRPr="002364AB">
        <w:rPr>
          <w:rFonts w:cs="Times New Roman"/>
          <w:kern w:val="22"/>
          <w:sz w:val="22"/>
          <w:lang w:val="en-GB"/>
        </w:rPr>
        <w:t>form of DSI is contained in natural product (NP) databases and collections. Over 120 of these databases and collections have been published since 2000; 98 are still accessible, of which only 50 are open access.</w:t>
      </w:r>
      <w:r w:rsidRPr="002364AB">
        <w:rPr>
          <w:rFonts w:cs="Times New Roman"/>
          <w:kern w:val="22"/>
          <w:sz w:val="22"/>
          <w:vertAlign w:val="superscript"/>
          <w:lang w:val="en-GB"/>
        </w:rPr>
        <w:footnoteReference w:id="139"/>
      </w:r>
      <w:r w:rsidRPr="002364AB">
        <w:rPr>
          <w:rFonts w:cs="Times New Roman"/>
          <w:kern w:val="22"/>
          <w:sz w:val="22"/>
          <w:lang w:val="en-GB"/>
        </w:rPr>
        <w:t xml:space="preserve"> Virtual NP collections are helpful for the first step in exploratory molecular analyses - virtual screening of molecular structures – and the development of NP-based drugs or other kinds of active components.</w:t>
      </w:r>
      <w:r w:rsidRPr="002364AB">
        <w:rPr>
          <w:rFonts w:cs="Times New Roman"/>
          <w:kern w:val="22"/>
          <w:sz w:val="22"/>
          <w:vertAlign w:val="superscript"/>
          <w:lang w:val="en-GB"/>
        </w:rPr>
        <w:footnoteReference w:id="140"/>
      </w:r>
      <w:r w:rsidRPr="002364AB">
        <w:rPr>
          <w:rFonts w:cs="Times New Roman"/>
          <w:kern w:val="22"/>
          <w:sz w:val="22"/>
          <w:lang w:val="en-GB"/>
        </w:rPr>
        <w:t xml:space="preserve"> Use of modern cheminformatics technologies of this type can accelerate research and save time and money, with better results.</w:t>
      </w:r>
      <w:r w:rsidRPr="002364AB">
        <w:rPr>
          <w:rFonts w:cs="Times New Roman"/>
          <w:kern w:val="22"/>
          <w:sz w:val="22"/>
          <w:vertAlign w:val="superscript"/>
          <w:lang w:val="en-GB"/>
        </w:rPr>
        <w:footnoteReference w:id="141"/>
      </w:r>
      <w:r w:rsidRPr="002364AB">
        <w:rPr>
          <w:rFonts w:cs="Times New Roman"/>
          <w:kern w:val="22"/>
          <w:sz w:val="22"/>
          <w:lang w:val="en-GB"/>
        </w:rPr>
        <w:t xml:space="preserve"> </w:t>
      </w:r>
    </w:p>
    <w:p w14:paraId="00BC016A" w14:textId="3917DD48" w:rsidR="0079048F" w:rsidRPr="002364AB" w:rsidRDefault="0079048F" w:rsidP="0079048F">
      <w:pPr>
        <w:rPr>
          <w:rFonts w:cs="Times New Roman"/>
          <w:kern w:val="22"/>
          <w:sz w:val="22"/>
          <w:lang w:val="en-GB"/>
        </w:rPr>
      </w:pPr>
      <w:r w:rsidRPr="002364AB">
        <w:rPr>
          <w:rFonts w:cs="Times New Roman"/>
          <w:kern w:val="22"/>
          <w:sz w:val="22"/>
          <w:lang w:val="en-GB"/>
        </w:rPr>
        <w:t>Many companies that isolate biochemical compounds offer product catalogues and, in some cases, these catalogues also contain compound structures and annotations. These catalogues are often cited in the scientific literature as sources of NP structures, but a number are accessible only to clients on-demand or to registered users.</w:t>
      </w:r>
      <w:r w:rsidRPr="002364AB">
        <w:rPr>
          <w:rFonts w:cs="Times New Roman"/>
          <w:kern w:val="22"/>
          <w:sz w:val="22"/>
          <w:vertAlign w:val="superscript"/>
          <w:lang w:val="en-GB"/>
        </w:rPr>
        <w:footnoteReference w:id="142"/>
      </w:r>
      <w:r w:rsidRPr="002364AB">
        <w:rPr>
          <w:rFonts w:cs="Times New Roman"/>
          <w:kern w:val="22"/>
          <w:sz w:val="22"/>
          <w:lang w:val="en-GB"/>
        </w:rPr>
        <w:t xml:space="preserve"> There are a number of country level efforts to catalogue NP within their national borders, such as in Brazil (NUBBEDB), Mexico (BIOFAQUIM) and South Africa (SANCDB). However, a number of these databases are much broader in their scope and are based on literature searches that may include documented traditional knowledge, e.g. the pan-African natural products library (p-ANAPL),</w:t>
      </w:r>
      <w:r w:rsidRPr="002364AB">
        <w:rPr>
          <w:rFonts w:cs="Times New Roman"/>
          <w:kern w:val="22"/>
          <w:sz w:val="22"/>
          <w:vertAlign w:val="superscript"/>
          <w:lang w:val="en-GB"/>
        </w:rPr>
        <w:footnoteReference w:id="143"/>
      </w:r>
      <w:r w:rsidRPr="002364AB">
        <w:rPr>
          <w:rFonts w:cs="Times New Roman"/>
          <w:kern w:val="22"/>
          <w:sz w:val="22"/>
          <w:lang w:val="en-GB"/>
        </w:rPr>
        <w:t xml:space="preserve"> </w:t>
      </w:r>
      <w:proofErr w:type="spellStart"/>
      <w:r w:rsidRPr="002364AB">
        <w:rPr>
          <w:rFonts w:cs="Times New Roman"/>
          <w:kern w:val="22"/>
          <w:sz w:val="22"/>
          <w:lang w:val="en-GB"/>
        </w:rPr>
        <w:t>AfroDB</w:t>
      </w:r>
      <w:proofErr w:type="spellEnd"/>
      <w:r w:rsidRPr="002364AB">
        <w:rPr>
          <w:rFonts w:cs="Times New Roman"/>
          <w:kern w:val="22"/>
          <w:sz w:val="22"/>
          <w:lang w:val="en-GB"/>
        </w:rPr>
        <w:t>,</w:t>
      </w:r>
      <w:r w:rsidRPr="002364AB">
        <w:rPr>
          <w:rFonts w:cs="Times New Roman"/>
          <w:kern w:val="22"/>
          <w:sz w:val="22"/>
          <w:vertAlign w:val="superscript"/>
          <w:lang w:val="en-GB"/>
        </w:rPr>
        <w:footnoteReference w:id="144"/>
      </w:r>
      <w:r w:rsidRPr="002364AB">
        <w:rPr>
          <w:rFonts w:cs="Times New Roman"/>
          <w:kern w:val="22"/>
          <w:sz w:val="22"/>
          <w:lang w:val="en-GB"/>
        </w:rPr>
        <w:t xml:space="preserve"> NANPDB,</w:t>
      </w:r>
      <w:r w:rsidRPr="002364AB">
        <w:rPr>
          <w:rFonts w:cs="Times New Roman"/>
          <w:kern w:val="22"/>
          <w:sz w:val="22"/>
          <w:vertAlign w:val="superscript"/>
          <w:lang w:val="en-GB"/>
        </w:rPr>
        <w:footnoteReference w:id="145"/>
      </w:r>
      <w:r w:rsidRPr="002364AB">
        <w:rPr>
          <w:rFonts w:cs="Times New Roman"/>
          <w:kern w:val="22"/>
          <w:sz w:val="22"/>
          <w:lang w:val="en-GB"/>
        </w:rPr>
        <w:t xml:space="preserve"> and Northeast Asian TM (TM-MC).</w:t>
      </w:r>
      <w:r w:rsidRPr="002364AB">
        <w:rPr>
          <w:rFonts w:cs="Times New Roman"/>
          <w:kern w:val="22"/>
          <w:sz w:val="22"/>
          <w:vertAlign w:val="superscript"/>
          <w:lang w:val="en-GB"/>
        </w:rPr>
        <w:footnoteReference w:id="146"/>
      </w:r>
    </w:p>
    <w:p w14:paraId="23E543B6" w14:textId="26020D0C" w:rsidR="00921E16" w:rsidRPr="002364AB" w:rsidRDefault="14AC87FF" w:rsidP="14AC87FF">
      <w:pPr>
        <w:rPr>
          <w:rFonts w:cs="Times New Roman"/>
          <w:i/>
          <w:iCs/>
          <w:kern w:val="22"/>
          <w:sz w:val="22"/>
          <w:lang w:val="en-GB"/>
        </w:rPr>
      </w:pPr>
      <w:r w:rsidRPr="002364AB">
        <w:rPr>
          <w:rFonts w:cs="Times New Roman"/>
          <w:i/>
          <w:iCs/>
          <w:kern w:val="22"/>
          <w:sz w:val="22"/>
          <w:lang w:val="en-GB"/>
        </w:rPr>
        <w:t>“Designing around” the claim</w:t>
      </w:r>
      <w:r w:rsidR="00FF38F0" w:rsidRPr="002364AB">
        <w:rPr>
          <w:rFonts w:cs="Times New Roman"/>
          <w:i/>
          <w:iCs/>
          <w:kern w:val="22"/>
          <w:sz w:val="22"/>
          <w:lang w:val="en-GB"/>
        </w:rPr>
        <w:t>s</w:t>
      </w:r>
      <w:r w:rsidRPr="002364AB">
        <w:rPr>
          <w:rFonts w:cs="Times New Roman"/>
          <w:i/>
          <w:iCs/>
          <w:kern w:val="22"/>
          <w:sz w:val="22"/>
          <w:lang w:val="en-GB"/>
        </w:rPr>
        <w:t xml:space="preserve"> of patent on an invention based on the utilization of DSI or a </w:t>
      </w:r>
      <w:r w:rsidR="00CB2C30" w:rsidRPr="002364AB">
        <w:rPr>
          <w:rFonts w:cs="Times New Roman"/>
          <w:i/>
          <w:iCs/>
          <w:kern w:val="22"/>
          <w:sz w:val="22"/>
          <w:lang w:val="en-GB"/>
        </w:rPr>
        <w:t>tangible</w:t>
      </w:r>
      <w:r w:rsidRPr="002364AB">
        <w:rPr>
          <w:rFonts w:cs="Times New Roman"/>
          <w:i/>
          <w:iCs/>
          <w:kern w:val="22"/>
          <w:sz w:val="22"/>
          <w:lang w:val="en-GB"/>
        </w:rPr>
        <w:t xml:space="preserve"> genetic resource</w:t>
      </w:r>
    </w:p>
    <w:p w14:paraId="5F2F79AF" w14:textId="6FFF3F02" w:rsidR="00525AC0" w:rsidRPr="002364AB" w:rsidRDefault="002079BD" w:rsidP="00FE16B8">
      <w:pPr>
        <w:rPr>
          <w:rFonts w:cs="Times New Roman"/>
          <w:kern w:val="22"/>
          <w:sz w:val="22"/>
          <w:lang w:val="en-GB"/>
        </w:rPr>
      </w:pPr>
      <w:r w:rsidRPr="002364AB">
        <w:rPr>
          <w:rFonts w:cs="Times New Roman"/>
          <w:kern w:val="22"/>
          <w:sz w:val="22"/>
          <w:lang w:val="en-GB"/>
        </w:rPr>
        <w:t>I</w:t>
      </w:r>
      <w:r w:rsidR="00B52170" w:rsidRPr="002364AB">
        <w:rPr>
          <w:rFonts w:cs="Times New Roman"/>
          <w:kern w:val="22"/>
          <w:sz w:val="22"/>
          <w:lang w:val="en-GB"/>
        </w:rPr>
        <w:t>t should be noted that a</w:t>
      </w:r>
      <w:r w:rsidR="00DB1D95" w:rsidRPr="002364AB">
        <w:rPr>
          <w:rFonts w:cs="Times New Roman"/>
          <w:kern w:val="22"/>
          <w:sz w:val="22"/>
          <w:lang w:val="en-GB"/>
        </w:rPr>
        <w:t>nother scenario in which DSI could be used without physical access to a genetic resource is when a</w:t>
      </w:r>
      <w:r w:rsidR="00525AC0" w:rsidRPr="002364AB">
        <w:rPr>
          <w:rFonts w:cs="Times New Roman"/>
          <w:kern w:val="22"/>
          <w:sz w:val="22"/>
          <w:lang w:val="en-GB"/>
        </w:rPr>
        <w:t>n entity</w:t>
      </w:r>
      <w:r w:rsidR="00DB1D95" w:rsidRPr="002364AB">
        <w:rPr>
          <w:rFonts w:cs="Times New Roman"/>
          <w:kern w:val="22"/>
          <w:sz w:val="22"/>
          <w:lang w:val="en-GB"/>
        </w:rPr>
        <w:t xml:space="preserve"> chooses to </w:t>
      </w:r>
      <w:r w:rsidR="00D60FDF" w:rsidRPr="002364AB">
        <w:rPr>
          <w:rFonts w:cs="Times New Roman"/>
          <w:kern w:val="22"/>
          <w:sz w:val="22"/>
          <w:lang w:val="en-GB"/>
        </w:rPr>
        <w:t>‘</w:t>
      </w:r>
      <w:r w:rsidR="00DB1D95" w:rsidRPr="002364AB">
        <w:rPr>
          <w:rFonts w:cs="Times New Roman"/>
          <w:kern w:val="22"/>
          <w:sz w:val="22"/>
          <w:lang w:val="en-GB"/>
        </w:rPr>
        <w:t>design</w:t>
      </w:r>
      <w:r w:rsidR="00860395" w:rsidRPr="002364AB">
        <w:rPr>
          <w:rFonts w:cs="Times New Roman"/>
          <w:kern w:val="22"/>
          <w:sz w:val="22"/>
          <w:lang w:val="en-GB"/>
        </w:rPr>
        <w:t>-</w:t>
      </w:r>
      <w:r w:rsidR="00DB1D95" w:rsidRPr="002364AB">
        <w:rPr>
          <w:rFonts w:cs="Times New Roman"/>
          <w:kern w:val="22"/>
          <w:sz w:val="22"/>
          <w:lang w:val="en-GB"/>
        </w:rPr>
        <w:t>around</w:t>
      </w:r>
      <w:r w:rsidR="00D60FDF" w:rsidRPr="002364AB">
        <w:rPr>
          <w:rFonts w:cs="Times New Roman"/>
          <w:kern w:val="22"/>
          <w:sz w:val="22"/>
          <w:lang w:val="en-GB"/>
        </w:rPr>
        <w:t>’</w:t>
      </w:r>
      <w:r w:rsidR="00DB1D95" w:rsidRPr="002364AB">
        <w:rPr>
          <w:rFonts w:cs="Times New Roman"/>
          <w:kern w:val="22"/>
          <w:sz w:val="22"/>
          <w:lang w:val="en-GB"/>
        </w:rPr>
        <w:t xml:space="preserve"> the claims of a patent that covers an invention made through the utilization of DSI or a </w:t>
      </w:r>
      <w:r w:rsidR="00CB2C30" w:rsidRPr="002364AB">
        <w:rPr>
          <w:rFonts w:cs="Times New Roman"/>
          <w:kern w:val="22"/>
          <w:sz w:val="22"/>
          <w:lang w:val="en-GB"/>
        </w:rPr>
        <w:t>tangible</w:t>
      </w:r>
      <w:r w:rsidR="00DB1D95" w:rsidRPr="002364AB">
        <w:rPr>
          <w:rFonts w:cs="Times New Roman"/>
          <w:kern w:val="22"/>
          <w:sz w:val="22"/>
          <w:lang w:val="en-GB"/>
        </w:rPr>
        <w:t xml:space="preserve"> genetic resource. Designing around a patent claim is a common competitive tool and involves “</w:t>
      </w:r>
      <w:r w:rsidR="00805085" w:rsidRPr="002364AB">
        <w:rPr>
          <w:rFonts w:cs="Times New Roman"/>
          <w:kern w:val="22"/>
          <w:sz w:val="22"/>
          <w:lang w:val="en-GB"/>
        </w:rPr>
        <w:t>eliminating a prescribed element or step found in the patent claims</w:t>
      </w:r>
      <w:r w:rsidR="00525AC0" w:rsidRPr="002364AB">
        <w:rPr>
          <w:rFonts w:cs="Times New Roman"/>
          <w:kern w:val="22"/>
          <w:sz w:val="22"/>
          <w:lang w:val="en-GB"/>
        </w:rPr>
        <w:t>” with the goal of replicating the patented technological benefit while avoiding infringement liability</w:t>
      </w:r>
      <w:r w:rsidR="00805085" w:rsidRPr="002364AB">
        <w:rPr>
          <w:rFonts w:cs="Times New Roman"/>
          <w:kern w:val="22"/>
          <w:sz w:val="22"/>
          <w:lang w:val="en-GB"/>
        </w:rPr>
        <w:t>.</w:t>
      </w:r>
      <w:r w:rsidR="00525AC0" w:rsidRPr="002364AB">
        <w:rPr>
          <w:rFonts w:cs="Times New Roman"/>
          <w:kern w:val="22"/>
          <w:sz w:val="22"/>
          <w:vertAlign w:val="superscript"/>
          <w:lang w:val="en-GB"/>
        </w:rPr>
        <w:footnoteReference w:id="147"/>
      </w:r>
      <w:r w:rsidR="00805085" w:rsidRPr="002364AB">
        <w:rPr>
          <w:rFonts w:cs="Times New Roman"/>
          <w:kern w:val="22"/>
          <w:sz w:val="22"/>
          <w:lang w:val="en-GB"/>
        </w:rPr>
        <w:t xml:space="preserve"> </w:t>
      </w:r>
    </w:p>
    <w:p w14:paraId="3B7AB248" w14:textId="31378467" w:rsidR="00116765" w:rsidRPr="002364AB" w:rsidRDefault="00805085" w:rsidP="00FE16B8">
      <w:pPr>
        <w:rPr>
          <w:rFonts w:cs="Times New Roman"/>
          <w:kern w:val="22"/>
          <w:sz w:val="22"/>
          <w:lang w:val="en-GB"/>
        </w:rPr>
      </w:pPr>
      <w:r w:rsidRPr="002364AB">
        <w:rPr>
          <w:rFonts w:cs="Times New Roman"/>
          <w:kern w:val="22"/>
          <w:sz w:val="22"/>
          <w:lang w:val="en-GB"/>
        </w:rPr>
        <w:t>Intentional design-around</w:t>
      </w:r>
      <w:r w:rsidR="00525AC0" w:rsidRPr="002364AB">
        <w:rPr>
          <w:rFonts w:cs="Times New Roman"/>
          <w:kern w:val="22"/>
          <w:sz w:val="22"/>
          <w:lang w:val="en-GB"/>
        </w:rPr>
        <w:t xml:space="preserve"> activity is generally encouraged and seen as</w:t>
      </w:r>
      <w:r w:rsidRPr="002364AB">
        <w:rPr>
          <w:rFonts w:cs="Times New Roman"/>
          <w:kern w:val="22"/>
          <w:sz w:val="22"/>
          <w:lang w:val="en-GB"/>
        </w:rPr>
        <w:t xml:space="preserve"> be</w:t>
      </w:r>
      <w:r w:rsidR="00DB1D95" w:rsidRPr="002364AB">
        <w:rPr>
          <w:rFonts w:cs="Times New Roman"/>
          <w:kern w:val="22"/>
          <w:sz w:val="22"/>
          <w:lang w:val="en-GB"/>
        </w:rPr>
        <w:t>neficial</w:t>
      </w:r>
      <w:r w:rsidR="00525AC0" w:rsidRPr="002364AB">
        <w:rPr>
          <w:rFonts w:cs="Times New Roman"/>
          <w:kern w:val="22"/>
          <w:sz w:val="22"/>
          <w:lang w:val="en-GB"/>
        </w:rPr>
        <w:t xml:space="preserve"> </w:t>
      </w:r>
      <w:r w:rsidR="00757F9A" w:rsidRPr="002364AB">
        <w:rPr>
          <w:rFonts w:cs="Times New Roman"/>
          <w:kern w:val="22"/>
          <w:sz w:val="22"/>
          <w:lang w:val="en-GB"/>
        </w:rPr>
        <w:t xml:space="preserve">to society </w:t>
      </w:r>
      <w:r w:rsidR="00525AC0" w:rsidRPr="002364AB">
        <w:rPr>
          <w:rFonts w:cs="Times New Roman"/>
          <w:kern w:val="22"/>
          <w:sz w:val="22"/>
          <w:lang w:val="en-GB"/>
        </w:rPr>
        <w:t>because it often will result in further innovation in the form of the</w:t>
      </w:r>
      <w:r w:rsidR="00757F9A" w:rsidRPr="002364AB">
        <w:rPr>
          <w:rFonts w:cs="Times New Roman"/>
          <w:kern w:val="22"/>
          <w:sz w:val="22"/>
          <w:lang w:val="en-GB"/>
        </w:rPr>
        <w:t xml:space="preserve"> new</w:t>
      </w:r>
      <w:r w:rsidR="00525AC0" w:rsidRPr="002364AB">
        <w:rPr>
          <w:rFonts w:cs="Times New Roman"/>
          <w:kern w:val="22"/>
          <w:sz w:val="22"/>
          <w:lang w:val="en-GB"/>
        </w:rPr>
        <w:t xml:space="preserve"> design-around.</w:t>
      </w:r>
      <w:r w:rsidR="00525AC0" w:rsidRPr="002364AB">
        <w:rPr>
          <w:rStyle w:val="FootnoteReference"/>
          <w:rFonts w:cs="Times New Roman"/>
          <w:kern w:val="22"/>
          <w:sz w:val="22"/>
          <w:lang w:val="en-GB"/>
        </w:rPr>
        <w:footnoteReference w:id="148"/>
      </w:r>
      <w:r w:rsidR="00525AC0" w:rsidRPr="002364AB">
        <w:rPr>
          <w:rFonts w:cs="Times New Roman"/>
          <w:kern w:val="22"/>
          <w:sz w:val="22"/>
          <w:lang w:val="en-GB"/>
        </w:rPr>
        <w:t xml:space="preserve"> </w:t>
      </w:r>
      <w:r w:rsidR="00752105" w:rsidRPr="002364AB">
        <w:rPr>
          <w:rFonts w:cs="Times New Roman"/>
          <w:kern w:val="22"/>
          <w:sz w:val="22"/>
          <w:lang w:val="en-GB"/>
        </w:rPr>
        <w:t>In the same way</w:t>
      </w:r>
      <w:r w:rsidR="00087211" w:rsidRPr="002364AB">
        <w:rPr>
          <w:rFonts w:cs="Times New Roman"/>
          <w:kern w:val="22"/>
          <w:sz w:val="22"/>
          <w:lang w:val="en-GB"/>
        </w:rPr>
        <w:t xml:space="preserve"> </w:t>
      </w:r>
      <w:r w:rsidR="00752105" w:rsidRPr="002364AB">
        <w:rPr>
          <w:rFonts w:cs="Times New Roman"/>
          <w:kern w:val="22"/>
          <w:sz w:val="22"/>
          <w:lang w:val="en-GB"/>
        </w:rPr>
        <w:t xml:space="preserve">that DSI can be </w:t>
      </w:r>
      <w:r w:rsidR="00087211" w:rsidRPr="002364AB">
        <w:rPr>
          <w:rFonts w:cs="Times New Roman"/>
          <w:kern w:val="22"/>
          <w:sz w:val="22"/>
          <w:lang w:val="en-GB"/>
        </w:rPr>
        <w:t xml:space="preserve">gleaned from a database or publication and used in the development of an invention, third parties </w:t>
      </w:r>
      <w:r w:rsidR="00851C66" w:rsidRPr="002364AB">
        <w:rPr>
          <w:rFonts w:cs="Times New Roman"/>
          <w:kern w:val="22"/>
          <w:sz w:val="22"/>
          <w:lang w:val="en-GB"/>
        </w:rPr>
        <w:t xml:space="preserve">can </w:t>
      </w:r>
      <w:r w:rsidR="00B545AA" w:rsidRPr="002364AB">
        <w:rPr>
          <w:rFonts w:cs="Times New Roman"/>
          <w:kern w:val="22"/>
          <w:sz w:val="22"/>
          <w:lang w:val="en-GB"/>
        </w:rPr>
        <w:t xml:space="preserve">glean information from a patented invention in which DSI was utilized to </w:t>
      </w:r>
      <w:r w:rsidR="00851C66" w:rsidRPr="002364AB">
        <w:rPr>
          <w:rFonts w:cs="Times New Roman"/>
          <w:kern w:val="22"/>
          <w:sz w:val="22"/>
          <w:lang w:val="en-GB"/>
        </w:rPr>
        <w:t>create a further invention</w:t>
      </w:r>
      <w:r w:rsidR="00B545AA" w:rsidRPr="002364AB">
        <w:rPr>
          <w:rFonts w:cs="Times New Roman"/>
          <w:kern w:val="22"/>
          <w:sz w:val="22"/>
          <w:lang w:val="en-GB"/>
        </w:rPr>
        <w:t>.</w:t>
      </w:r>
      <w:r w:rsidR="00C06974" w:rsidRPr="002364AB">
        <w:rPr>
          <w:rFonts w:cs="Times New Roman"/>
          <w:kern w:val="22"/>
          <w:sz w:val="22"/>
          <w:lang w:val="en-GB"/>
        </w:rPr>
        <w:t xml:space="preserve"> </w:t>
      </w:r>
      <w:r w:rsidR="00757F9A" w:rsidRPr="002364AB">
        <w:rPr>
          <w:rFonts w:cs="Times New Roman"/>
          <w:kern w:val="22"/>
          <w:sz w:val="22"/>
          <w:lang w:val="en-GB"/>
        </w:rPr>
        <w:t xml:space="preserve">Some </w:t>
      </w:r>
      <w:r w:rsidR="00C06974" w:rsidRPr="002364AB">
        <w:rPr>
          <w:rFonts w:cs="Times New Roman"/>
          <w:kern w:val="22"/>
          <w:sz w:val="22"/>
          <w:lang w:val="en-GB"/>
        </w:rPr>
        <w:t>Parties may conclude that</w:t>
      </w:r>
      <w:r w:rsidR="00525AC0" w:rsidRPr="002364AB" w:rsidDel="00C06974">
        <w:rPr>
          <w:rFonts w:cs="Times New Roman"/>
          <w:kern w:val="22"/>
          <w:sz w:val="22"/>
          <w:lang w:val="en-GB"/>
        </w:rPr>
        <w:t xml:space="preserve"> by</w:t>
      </w:r>
      <w:r w:rsidR="00525AC0" w:rsidRPr="002364AB">
        <w:rPr>
          <w:rFonts w:cs="Times New Roman"/>
          <w:kern w:val="22"/>
          <w:sz w:val="22"/>
          <w:lang w:val="en-GB"/>
        </w:rPr>
        <w:t xml:space="preserve"> </w:t>
      </w:r>
      <w:proofErr w:type="spellStart"/>
      <w:r w:rsidR="00525AC0" w:rsidRPr="002364AB">
        <w:rPr>
          <w:rFonts w:cs="Times New Roman"/>
          <w:kern w:val="22"/>
          <w:sz w:val="22"/>
          <w:lang w:val="en-GB"/>
        </w:rPr>
        <w:t>analyzing</w:t>
      </w:r>
      <w:proofErr w:type="spellEnd"/>
      <w:r w:rsidR="00525AC0" w:rsidRPr="002364AB">
        <w:rPr>
          <w:rFonts w:cs="Times New Roman"/>
          <w:kern w:val="22"/>
          <w:sz w:val="22"/>
          <w:lang w:val="en-GB"/>
        </w:rPr>
        <w:t xml:space="preserve"> the invention claimed in the patent and intentionally incorporating some of its elements, entities who perform the design-around have used</w:t>
      </w:r>
      <w:r w:rsidR="00525AC0" w:rsidRPr="002364AB" w:rsidDel="00757F9A">
        <w:rPr>
          <w:rFonts w:cs="Times New Roman"/>
          <w:kern w:val="22"/>
          <w:sz w:val="22"/>
          <w:lang w:val="en-GB"/>
        </w:rPr>
        <w:t xml:space="preserve"> </w:t>
      </w:r>
      <w:r w:rsidR="00525AC0" w:rsidRPr="002364AB">
        <w:rPr>
          <w:rFonts w:cs="Times New Roman"/>
          <w:kern w:val="22"/>
          <w:sz w:val="22"/>
          <w:lang w:val="en-GB"/>
        </w:rPr>
        <w:t xml:space="preserve">the genetic resources utilized in creating the patented invention, </w:t>
      </w:r>
      <w:r w:rsidR="00C06974" w:rsidRPr="002364AB">
        <w:rPr>
          <w:rFonts w:cs="Times New Roman"/>
          <w:kern w:val="22"/>
          <w:sz w:val="22"/>
          <w:lang w:val="en-GB"/>
        </w:rPr>
        <w:t xml:space="preserve">and that </w:t>
      </w:r>
      <w:r w:rsidR="00525AC0" w:rsidRPr="002364AB">
        <w:rPr>
          <w:rFonts w:cs="Times New Roman"/>
          <w:kern w:val="22"/>
          <w:sz w:val="22"/>
          <w:lang w:val="en-GB"/>
        </w:rPr>
        <w:t xml:space="preserve">benefit-sharing from the new design-around may be </w:t>
      </w:r>
      <w:r w:rsidR="00F130B5" w:rsidRPr="002364AB">
        <w:rPr>
          <w:rFonts w:cs="Times New Roman"/>
          <w:kern w:val="22"/>
          <w:sz w:val="22"/>
          <w:lang w:val="en-GB"/>
        </w:rPr>
        <w:t>required under the</w:t>
      </w:r>
      <w:r w:rsidR="00757F9A" w:rsidRPr="002364AB">
        <w:rPr>
          <w:rFonts w:cs="Times New Roman"/>
          <w:kern w:val="22"/>
          <w:sz w:val="22"/>
          <w:lang w:val="en-GB"/>
        </w:rPr>
        <w:t>ir</w:t>
      </w:r>
      <w:r w:rsidR="00F130B5" w:rsidRPr="002364AB">
        <w:rPr>
          <w:rFonts w:cs="Times New Roman"/>
          <w:kern w:val="22"/>
          <w:sz w:val="22"/>
          <w:lang w:val="en-GB"/>
        </w:rPr>
        <w:t xml:space="preserve"> ABS laws</w:t>
      </w:r>
      <w:r w:rsidR="00757F9A" w:rsidRPr="002364AB">
        <w:rPr>
          <w:rFonts w:cs="Times New Roman"/>
          <w:kern w:val="22"/>
          <w:sz w:val="22"/>
          <w:lang w:val="en-GB"/>
        </w:rPr>
        <w:t>.</w:t>
      </w:r>
      <w:r w:rsidR="00C06974" w:rsidRPr="002364AB">
        <w:rPr>
          <w:rFonts w:cs="Times New Roman"/>
          <w:kern w:val="22"/>
          <w:sz w:val="22"/>
          <w:lang w:val="en-GB"/>
        </w:rPr>
        <w:t xml:space="preserve"> </w:t>
      </w:r>
      <w:r w:rsidR="00525AC0" w:rsidRPr="002364AB">
        <w:rPr>
          <w:rFonts w:cs="Times New Roman"/>
          <w:kern w:val="22"/>
          <w:sz w:val="22"/>
          <w:lang w:val="en-GB"/>
        </w:rPr>
        <w:t xml:space="preserve"> </w:t>
      </w:r>
      <w:r w:rsidR="00C06974" w:rsidRPr="002364AB">
        <w:rPr>
          <w:rFonts w:cs="Times New Roman"/>
          <w:kern w:val="22"/>
          <w:sz w:val="22"/>
          <w:lang w:val="en-GB"/>
        </w:rPr>
        <w:t xml:space="preserve">However, </w:t>
      </w:r>
      <w:r w:rsidR="00525AC0" w:rsidRPr="002364AB">
        <w:rPr>
          <w:rFonts w:cs="Times New Roman"/>
          <w:kern w:val="22"/>
          <w:sz w:val="22"/>
          <w:lang w:val="en-GB"/>
        </w:rPr>
        <w:t xml:space="preserve">no bilateral negotiation </w:t>
      </w:r>
      <w:r w:rsidR="00757F9A" w:rsidRPr="002364AB">
        <w:rPr>
          <w:rFonts w:cs="Times New Roman"/>
          <w:kern w:val="22"/>
          <w:sz w:val="22"/>
          <w:lang w:val="en-GB"/>
        </w:rPr>
        <w:t xml:space="preserve">may be possible </w:t>
      </w:r>
      <w:r w:rsidR="00525AC0" w:rsidRPr="002364AB">
        <w:rPr>
          <w:rFonts w:cs="Times New Roman"/>
          <w:kern w:val="22"/>
          <w:sz w:val="22"/>
          <w:lang w:val="en-GB"/>
        </w:rPr>
        <w:t xml:space="preserve">as the </w:t>
      </w:r>
      <w:r w:rsidR="00C26D80" w:rsidRPr="002364AB">
        <w:rPr>
          <w:rFonts w:cs="Times New Roman"/>
          <w:kern w:val="22"/>
          <w:sz w:val="22"/>
          <w:lang w:val="en-GB"/>
        </w:rPr>
        <w:t>cou</w:t>
      </w:r>
      <w:r w:rsidR="005B457B" w:rsidRPr="002364AB">
        <w:rPr>
          <w:rFonts w:cs="Times New Roman"/>
          <w:kern w:val="22"/>
          <w:sz w:val="22"/>
          <w:lang w:val="en-GB"/>
        </w:rPr>
        <w:t xml:space="preserve">ntry providing </w:t>
      </w:r>
      <w:r w:rsidR="00525AC0" w:rsidRPr="002364AB">
        <w:rPr>
          <w:rFonts w:cs="Times New Roman"/>
          <w:kern w:val="22"/>
          <w:sz w:val="22"/>
          <w:lang w:val="en-GB"/>
        </w:rPr>
        <w:t>the genetic resources may not be known or multiple species from diverse locations may be involved.</w:t>
      </w:r>
      <w:r w:rsidR="00B110DC" w:rsidRPr="002364AB">
        <w:rPr>
          <w:rStyle w:val="FootnoteReference"/>
          <w:rFonts w:cs="Times New Roman"/>
          <w:kern w:val="22"/>
          <w:sz w:val="22"/>
          <w:lang w:val="en-GB"/>
        </w:rPr>
        <w:footnoteReference w:id="149"/>
      </w:r>
    </w:p>
    <w:p w14:paraId="29797C3B" w14:textId="02F31D64" w:rsidR="00FC5588" w:rsidRPr="002364AB" w:rsidRDefault="00FC5588" w:rsidP="00707D9C">
      <w:pPr>
        <w:pStyle w:val="Heading3"/>
        <w:rPr>
          <w:kern w:val="22"/>
          <w:sz w:val="22"/>
          <w:szCs w:val="22"/>
          <w:lang w:val="en-GB"/>
        </w:rPr>
      </w:pPr>
      <w:bookmarkStart w:id="158" w:name="_Toc31040297"/>
      <w:bookmarkStart w:id="159" w:name="_Toc31056865"/>
      <w:bookmarkStart w:id="160" w:name="_Toc32490881"/>
      <w:bookmarkStart w:id="161" w:name="_Toc34249592"/>
      <w:bookmarkStart w:id="162" w:name="_Toc39580433"/>
      <w:bookmarkStart w:id="163" w:name="_Toc43134985"/>
      <w:r w:rsidRPr="002364AB">
        <w:rPr>
          <w:kern w:val="22"/>
          <w:sz w:val="22"/>
          <w:szCs w:val="22"/>
          <w:lang w:val="en-GB"/>
        </w:rPr>
        <w:t xml:space="preserve">Utilization of </w:t>
      </w:r>
      <w:r w:rsidR="00AB4AC1" w:rsidRPr="002364AB">
        <w:rPr>
          <w:kern w:val="22"/>
          <w:sz w:val="22"/>
          <w:szCs w:val="22"/>
          <w:lang w:val="en-GB"/>
        </w:rPr>
        <w:t>G</w:t>
      </w:r>
      <w:r w:rsidRPr="002364AB">
        <w:rPr>
          <w:kern w:val="22"/>
          <w:sz w:val="22"/>
          <w:szCs w:val="22"/>
          <w:lang w:val="en-GB"/>
        </w:rPr>
        <w:t xml:space="preserve">enetic </w:t>
      </w:r>
      <w:r w:rsidR="00AB4AC1" w:rsidRPr="002364AB">
        <w:rPr>
          <w:kern w:val="22"/>
          <w:sz w:val="22"/>
          <w:szCs w:val="22"/>
          <w:lang w:val="en-GB"/>
        </w:rPr>
        <w:t>C</w:t>
      </w:r>
      <w:r w:rsidRPr="002364AB">
        <w:rPr>
          <w:kern w:val="22"/>
          <w:sz w:val="22"/>
          <w:szCs w:val="22"/>
          <w:lang w:val="en-GB"/>
        </w:rPr>
        <w:t xml:space="preserve">omponents </w:t>
      </w:r>
      <w:r w:rsidR="00AB4AC1" w:rsidRPr="002364AB">
        <w:rPr>
          <w:kern w:val="22"/>
          <w:sz w:val="22"/>
          <w:szCs w:val="22"/>
          <w:lang w:val="en-GB"/>
        </w:rPr>
        <w:t>F</w:t>
      </w:r>
      <w:r w:rsidRPr="002364AB">
        <w:rPr>
          <w:kern w:val="22"/>
          <w:sz w:val="22"/>
          <w:szCs w:val="22"/>
          <w:lang w:val="en-GB"/>
        </w:rPr>
        <w:t xml:space="preserve">ound in </w:t>
      </w:r>
      <w:r w:rsidR="00AB4AC1" w:rsidRPr="002364AB">
        <w:rPr>
          <w:kern w:val="22"/>
          <w:sz w:val="22"/>
          <w:szCs w:val="22"/>
          <w:lang w:val="en-GB"/>
        </w:rPr>
        <w:t>M</w:t>
      </w:r>
      <w:r w:rsidRPr="002364AB">
        <w:rPr>
          <w:kern w:val="22"/>
          <w:sz w:val="22"/>
          <w:szCs w:val="22"/>
          <w:lang w:val="en-GB"/>
        </w:rPr>
        <w:t xml:space="preserve">ultiple </w:t>
      </w:r>
      <w:r w:rsidR="00AB4AC1" w:rsidRPr="002364AB">
        <w:rPr>
          <w:kern w:val="22"/>
          <w:sz w:val="22"/>
          <w:szCs w:val="22"/>
          <w:lang w:val="en-GB"/>
        </w:rPr>
        <w:t>O</w:t>
      </w:r>
      <w:r w:rsidRPr="002364AB">
        <w:rPr>
          <w:kern w:val="22"/>
          <w:sz w:val="22"/>
          <w:szCs w:val="22"/>
          <w:lang w:val="en-GB"/>
        </w:rPr>
        <w:t>rganisms</w:t>
      </w:r>
      <w:bookmarkEnd w:id="158"/>
      <w:bookmarkEnd w:id="159"/>
      <w:bookmarkEnd w:id="160"/>
      <w:bookmarkEnd w:id="161"/>
      <w:bookmarkEnd w:id="162"/>
      <w:bookmarkEnd w:id="163"/>
    </w:p>
    <w:p w14:paraId="58CA9E98" w14:textId="0186A190" w:rsidR="00527AA2" w:rsidRPr="002364AB" w:rsidRDefault="00DB2D77" w:rsidP="00A349E9">
      <w:pPr>
        <w:spacing w:after="120"/>
        <w:rPr>
          <w:rFonts w:eastAsia="Batang" w:cs="Times New Roman"/>
          <w:kern w:val="22"/>
          <w:sz w:val="22"/>
          <w:lang w:val="en-GB"/>
        </w:rPr>
      </w:pPr>
      <w:r w:rsidRPr="002364AB">
        <w:rPr>
          <w:rFonts w:eastAsia="Batang" w:cs="Times New Roman"/>
          <w:kern w:val="22"/>
          <w:sz w:val="22"/>
          <w:lang w:val="en-GB"/>
        </w:rPr>
        <w:t>New</w:t>
      </w:r>
      <w:r w:rsidR="00311569" w:rsidRPr="002364AB">
        <w:rPr>
          <w:rFonts w:eastAsia="Batang" w:cs="Times New Roman"/>
          <w:kern w:val="22"/>
          <w:sz w:val="22"/>
          <w:lang w:val="en-GB"/>
        </w:rPr>
        <w:t>er</w:t>
      </w:r>
      <w:r w:rsidRPr="002364AB">
        <w:rPr>
          <w:rFonts w:eastAsia="Batang" w:cs="Times New Roman"/>
          <w:kern w:val="22"/>
          <w:sz w:val="22"/>
          <w:lang w:val="en-GB"/>
        </w:rPr>
        <w:t xml:space="preserve"> approaches to research, such as synthetic biology, may also involve scenarios for which a bilateral benefit-sharing model </w:t>
      </w:r>
      <w:r w:rsidR="00026AE8" w:rsidRPr="002364AB">
        <w:rPr>
          <w:rFonts w:eastAsia="Batang" w:cs="Times New Roman"/>
          <w:kern w:val="22"/>
          <w:sz w:val="22"/>
          <w:lang w:val="en-GB"/>
        </w:rPr>
        <w:t xml:space="preserve">are </w:t>
      </w:r>
      <w:r w:rsidR="001C6610" w:rsidRPr="002364AB">
        <w:rPr>
          <w:rFonts w:eastAsia="Batang" w:cs="Times New Roman"/>
          <w:kern w:val="22"/>
          <w:sz w:val="22"/>
          <w:lang w:val="en-GB"/>
        </w:rPr>
        <w:t xml:space="preserve">not </w:t>
      </w:r>
      <w:r w:rsidR="00311569" w:rsidRPr="002364AB">
        <w:rPr>
          <w:rFonts w:eastAsia="Batang" w:cs="Times New Roman"/>
          <w:kern w:val="22"/>
          <w:sz w:val="22"/>
          <w:lang w:val="en-GB"/>
        </w:rPr>
        <w:t>possible/practical</w:t>
      </w:r>
      <w:r w:rsidR="00026AE8" w:rsidRPr="002364AB">
        <w:rPr>
          <w:rFonts w:eastAsia="Batang" w:cs="Times New Roman"/>
          <w:kern w:val="22"/>
          <w:sz w:val="22"/>
          <w:lang w:val="en-GB"/>
        </w:rPr>
        <w:t xml:space="preserve">. </w:t>
      </w:r>
      <w:r w:rsidR="00A65869" w:rsidRPr="002364AB">
        <w:rPr>
          <w:rFonts w:eastAsia="Batang" w:cs="Times New Roman"/>
          <w:kern w:val="22"/>
          <w:sz w:val="22"/>
          <w:lang w:val="en-GB"/>
        </w:rPr>
        <w:t>Synthetic biology is based on the idea that any biological system can be viewed as a combination of functional elements or parts that can be organized in new ways to modify living organisms</w:t>
      </w:r>
      <w:r w:rsidR="001562C2" w:rsidRPr="002364AB">
        <w:rPr>
          <w:rFonts w:eastAsia="Batang" w:cs="Times New Roman"/>
          <w:kern w:val="22"/>
          <w:sz w:val="22"/>
          <w:lang w:val="en-GB"/>
        </w:rPr>
        <w:t xml:space="preserve"> </w:t>
      </w:r>
      <w:r w:rsidR="001562C2" w:rsidRPr="002364AB">
        <w:rPr>
          <w:rFonts w:eastAsia="Calibri"/>
          <w:kern w:val="22"/>
          <w:sz w:val="22"/>
          <w:lang w:val="en-GB"/>
        </w:rPr>
        <w:t>or to produce synthetic products or components</w:t>
      </w:r>
      <w:r w:rsidR="00A65869" w:rsidRPr="002364AB">
        <w:rPr>
          <w:rFonts w:eastAsia="Batang" w:cs="Times New Roman"/>
          <w:kern w:val="22"/>
          <w:sz w:val="22"/>
          <w:lang w:val="en-GB"/>
        </w:rPr>
        <w:t>.</w:t>
      </w:r>
      <w:r w:rsidR="00A65869" w:rsidRPr="002364AB">
        <w:rPr>
          <w:rStyle w:val="FootnoteReference"/>
          <w:kern w:val="22"/>
          <w:sz w:val="22"/>
          <w:lang w:val="en-GB"/>
        </w:rPr>
        <w:footnoteReference w:id="150"/>
      </w:r>
      <w:r w:rsidR="00A65869" w:rsidRPr="002364AB">
        <w:rPr>
          <w:rFonts w:eastAsia="Batang" w:cs="Times New Roman"/>
          <w:kern w:val="22"/>
          <w:sz w:val="22"/>
          <w:lang w:val="en-GB"/>
        </w:rPr>
        <w:t xml:space="preserve"> </w:t>
      </w:r>
      <w:r w:rsidR="009F4D85" w:rsidRPr="002364AB">
        <w:rPr>
          <w:rFonts w:eastAsia="Batang" w:cs="Times New Roman"/>
          <w:kern w:val="22"/>
          <w:sz w:val="22"/>
          <w:lang w:val="en-GB"/>
        </w:rPr>
        <w:t xml:space="preserve">The </w:t>
      </w:r>
      <w:r w:rsidR="00B40C10" w:rsidRPr="002364AB">
        <w:rPr>
          <w:rFonts w:eastAsia="Batang" w:cs="Times New Roman"/>
          <w:kern w:val="22"/>
          <w:sz w:val="22"/>
          <w:lang w:val="en-GB"/>
        </w:rPr>
        <w:t xml:space="preserve">2015 </w:t>
      </w:r>
      <w:r w:rsidR="00D60FDF" w:rsidRPr="002364AB">
        <w:rPr>
          <w:rFonts w:cs="Times New Roman"/>
          <w:kern w:val="22"/>
          <w:sz w:val="22"/>
          <w:lang w:val="en-GB"/>
        </w:rPr>
        <w:t>AHTEG</w:t>
      </w:r>
      <w:r w:rsidR="00D60FDF" w:rsidRPr="002364AB">
        <w:rPr>
          <w:rFonts w:eastAsia="Batang" w:cs="Times New Roman"/>
          <w:kern w:val="22"/>
          <w:sz w:val="22"/>
          <w:lang w:val="en-GB"/>
        </w:rPr>
        <w:t xml:space="preserve"> </w:t>
      </w:r>
      <w:r w:rsidR="009F4D85" w:rsidRPr="002364AB">
        <w:rPr>
          <w:rFonts w:eastAsia="Batang" w:cs="Times New Roman"/>
          <w:kern w:val="22"/>
          <w:sz w:val="22"/>
          <w:lang w:val="en-GB"/>
        </w:rPr>
        <w:t xml:space="preserve">on </w:t>
      </w:r>
      <w:r w:rsidR="00D60FDF" w:rsidRPr="002364AB">
        <w:rPr>
          <w:rFonts w:eastAsia="Batang" w:cs="Times New Roman"/>
          <w:kern w:val="22"/>
          <w:sz w:val="22"/>
          <w:lang w:val="en-GB"/>
        </w:rPr>
        <w:t>S</w:t>
      </w:r>
      <w:r w:rsidR="009F4D85" w:rsidRPr="002364AB">
        <w:rPr>
          <w:rFonts w:eastAsia="Batang" w:cs="Times New Roman"/>
          <w:kern w:val="22"/>
          <w:sz w:val="22"/>
          <w:lang w:val="en-GB"/>
        </w:rPr>
        <w:t xml:space="preserve">ynthetic </w:t>
      </w:r>
      <w:r w:rsidR="00D60FDF" w:rsidRPr="002364AB">
        <w:rPr>
          <w:rFonts w:eastAsia="Batang" w:cs="Times New Roman"/>
          <w:kern w:val="22"/>
          <w:sz w:val="22"/>
          <w:lang w:val="en-GB"/>
        </w:rPr>
        <w:t>B</w:t>
      </w:r>
      <w:r w:rsidR="009F4D85" w:rsidRPr="002364AB">
        <w:rPr>
          <w:rFonts w:eastAsia="Batang" w:cs="Times New Roman"/>
          <w:kern w:val="22"/>
          <w:sz w:val="22"/>
          <w:lang w:val="en-GB"/>
        </w:rPr>
        <w:t>iology defined it as “a 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00A65869" w:rsidRPr="002364AB">
        <w:rPr>
          <w:rStyle w:val="FootnoteReference"/>
          <w:kern w:val="22"/>
          <w:sz w:val="22"/>
          <w:lang w:val="en-GB"/>
        </w:rPr>
        <w:footnoteReference w:id="151"/>
      </w:r>
      <w:r w:rsidR="00A65869" w:rsidRPr="002364AB">
        <w:rPr>
          <w:rFonts w:eastAsia="Batang" w:cs="Times New Roman"/>
          <w:kern w:val="22"/>
          <w:sz w:val="22"/>
          <w:lang w:val="en-GB"/>
        </w:rPr>
        <w:t xml:space="preserve">  </w:t>
      </w:r>
    </w:p>
    <w:p w14:paraId="03CBF38B" w14:textId="34460238" w:rsidR="00A65869" w:rsidRPr="002364AB" w:rsidRDefault="00253783" w:rsidP="00A349E9">
      <w:pPr>
        <w:spacing w:after="120"/>
        <w:rPr>
          <w:rFonts w:eastAsia="Batang" w:cs="Times New Roman"/>
          <w:kern w:val="22"/>
          <w:sz w:val="22"/>
          <w:lang w:val="en-GB"/>
        </w:rPr>
      </w:pPr>
      <w:r w:rsidRPr="002364AB">
        <w:rPr>
          <w:rFonts w:eastAsia="Batang" w:cs="Times New Roman"/>
          <w:kern w:val="22"/>
          <w:sz w:val="22"/>
          <w:lang w:val="en-GB"/>
        </w:rPr>
        <w:t>S</w:t>
      </w:r>
      <w:r w:rsidR="0015773C" w:rsidRPr="002364AB">
        <w:rPr>
          <w:rFonts w:eastAsia="Batang" w:cs="Times New Roman"/>
          <w:kern w:val="22"/>
          <w:sz w:val="22"/>
          <w:lang w:val="en-GB"/>
        </w:rPr>
        <w:t xml:space="preserve">everal technologies and tools </w:t>
      </w:r>
      <w:r w:rsidRPr="002364AB">
        <w:rPr>
          <w:rFonts w:eastAsia="Batang" w:cs="Times New Roman"/>
          <w:kern w:val="22"/>
          <w:sz w:val="22"/>
          <w:lang w:val="en-GB"/>
        </w:rPr>
        <w:t xml:space="preserve">enable the use of </w:t>
      </w:r>
      <w:r w:rsidR="0015773C" w:rsidRPr="002364AB">
        <w:rPr>
          <w:rFonts w:eastAsia="Batang" w:cs="Times New Roman"/>
          <w:kern w:val="22"/>
          <w:sz w:val="22"/>
          <w:lang w:val="en-GB"/>
        </w:rPr>
        <w:t>synthetic biology, including genomic databases, registries of biological parts, standard methods for physical assembly of DNA sequences, commercial services for DNA synthesis and sequencing, and advance</w:t>
      </w:r>
      <w:r w:rsidR="0017009E" w:rsidRPr="002364AB">
        <w:rPr>
          <w:rFonts w:eastAsia="Batang" w:cs="Times New Roman"/>
          <w:kern w:val="22"/>
          <w:sz w:val="22"/>
          <w:lang w:val="en-GB"/>
        </w:rPr>
        <w:t>d</w:t>
      </w:r>
      <w:r w:rsidR="0015773C" w:rsidRPr="002364AB">
        <w:rPr>
          <w:rFonts w:eastAsia="Batang" w:cs="Times New Roman"/>
          <w:kern w:val="22"/>
          <w:sz w:val="22"/>
          <w:lang w:val="en-GB"/>
        </w:rPr>
        <w:t xml:space="preserve"> bioinformatics.</w:t>
      </w:r>
      <w:r w:rsidR="0015773C" w:rsidRPr="002364AB">
        <w:rPr>
          <w:rStyle w:val="FootnoteReference"/>
          <w:rFonts w:eastAsia="Batang" w:cs="Times New Roman"/>
          <w:kern w:val="22"/>
          <w:sz w:val="22"/>
          <w:lang w:val="en-GB"/>
        </w:rPr>
        <w:footnoteReference w:id="152"/>
      </w:r>
      <w:r w:rsidR="0015773C" w:rsidRPr="002364AB">
        <w:rPr>
          <w:rFonts w:eastAsia="Batang" w:cs="Times New Roman"/>
          <w:kern w:val="22"/>
          <w:sz w:val="22"/>
          <w:lang w:val="en-GB"/>
        </w:rPr>
        <w:t xml:space="preserve"> These resources allow r</w:t>
      </w:r>
      <w:r w:rsidR="00A65869" w:rsidRPr="002364AB">
        <w:rPr>
          <w:rFonts w:eastAsia="Batang" w:cs="Times New Roman"/>
          <w:kern w:val="22"/>
          <w:sz w:val="22"/>
          <w:lang w:val="en-GB"/>
        </w:rPr>
        <w:t xml:space="preserve">esearchers </w:t>
      </w:r>
      <w:r w:rsidR="0015773C" w:rsidRPr="002364AB">
        <w:rPr>
          <w:rFonts w:eastAsia="Batang" w:cs="Times New Roman"/>
          <w:kern w:val="22"/>
          <w:sz w:val="22"/>
          <w:lang w:val="en-GB"/>
        </w:rPr>
        <w:t>to</w:t>
      </w:r>
      <w:r w:rsidR="00A65869" w:rsidRPr="002364AB">
        <w:rPr>
          <w:rFonts w:eastAsia="Batang" w:cs="Times New Roman"/>
          <w:kern w:val="22"/>
          <w:sz w:val="22"/>
          <w:lang w:val="en-GB"/>
        </w:rPr>
        <w:t xml:space="preserve"> us</w:t>
      </w:r>
      <w:r w:rsidR="0015773C" w:rsidRPr="002364AB">
        <w:rPr>
          <w:rFonts w:eastAsia="Batang" w:cs="Times New Roman"/>
          <w:kern w:val="22"/>
          <w:sz w:val="22"/>
          <w:lang w:val="en-GB"/>
        </w:rPr>
        <w:t>e</w:t>
      </w:r>
      <w:r w:rsidR="00A65869" w:rsidRPr="002364AB">
        <w:rPr>
          <w:rFonts w:eastAsia="Batang" w:cs="Times New Roman"/>
          <w:kern w:val="22"/>
          <w:sz w:val="22"/>
          <w:lang w:val="en-GB"/>
        </w:rPr>
        <w:t xml:space="preserve"> DNA sequences from many different </w:t>
      </w:r>
      <w:r w:rsidR="006504FA" w:rsidRPr="002364AB">
        <w:rPr>
          <w:rFonts w:eastAsia="Batang" w:cs="Times New Roman"/>
          <w:kern w:val="22"/>
          <w:sz w:val="22"/>
          <w:lang w:val="en-GB"/>
        </w:rPr>
        <w:t>organisms</w:t>
      </w:r>
      <w:r w:rsidR="006A2300" w:rsidRPr="002364AB">
        <w:rPr>
          <w:rFonts w:eastAsia="Batang" w:cs="Times New Roman"/>
          <w:kern w:val="22"/>
          <w:sz w:val="22"/>
          <w:lang w:val="en-GB"/>
        </w:rPr>
        <w:t>, accessible in public or private databases,</w:t>
      </w:r>
      <w:r w:rsidR="00A65869" w:rsidRPr="002364AB">
        <w:rPr>
          <w:rFonts w:eastAsia="Batang" w:cs="Times New Roman"/>
          <w:kern w:val="22"/>
          <w:sz w:val="22"/>
          <w:lang w:val="en-GB"/>
        </w:rPr>
        <w:t xml:space="preserve"> in designing new biosynthe</w:t>
      </w:r>
      <w:r w:rsidR="0017009E" w:rsidRPr="002364AB">
        <w:rPr>
          <w:rFonts w:eastAsia="Batang" w:cs="Times New Roman"/>
          <w:kern w:val="22"/>
          <w:sz w:val="22"/>
          <w:lang w:val="en-GB"/>
        </w:rPr>
        <w:t>tic</w:t>
      </w:r>
      <w:r w:rsidR="00A65869" w:rsidRPr="002364AB">
        <w:rPr>
          <w:rFonts w:eastAsia="Batang" w:cs="Times New Roman"/>
          <w:kern w:val="22"/>
          <w:sz w:val="22"/>
          <w:lang w:val="en-GB"/>
        </w:rPr>
        <w:t xml:space="preserve"> pathways</w:t>
      </w:r>
      <w:r w:rsidR="0017009E" w:rsidRPr="002364AB">
        <w:rPr>
          <w:rFonts w:eastAsia="Batang" w:cs="Times New Roman"/>
          <w:kern w:val="22"/>
          <w:sz w:val="22"/>
          <w:lang w:val="en-GB"/>
        </w:rPr>
        <w:t>, re-designing biological systems and in other advanced biotechnological applications</w:t>
      </w:r>
      <w:r w:rsidR="00A65869" w:rsidRPr="002364AB">
        <w:rPr>
          <w:rFonts w:eastAsia="Batang" w:cs="Times New Roman"/>
          <w:kern w:val="22"/>
          <w:sz w:val="22"/>
          <w:lang w:val="en-GB"/>
        </w:rPr>
        <w:t xml:space="preserve">.  </w:t>
      </w:r>
    </w:p>
    <w:p w14:paraId="0BEB8E44" w14:textId="1AF325F9" w:rsidR="00E42DC6" w:rsidRPr="002364AB" w:rsidRDefault="00C93236" w:rsidP="00E42DC6">
      <w:pPr>
        <w:spacing w:after="120"/>
        <w:rPr>
          <w:rFonts w:eastAsia="Batang" w:cs="Times New Roman"/>
          <w:kern w:val="22"/>
          <w:sz w:val="22"/>
          <w:lang w:val="en-GB"/>
        </w:rPr>
      </w:pPr>
      <w:r w:rsidRPr="002364AB">
        <w:rPr>
          <w:rFonts w:eastAsia="Batang" w:cs="Times New Roman"/>
          <w:kern w:val="22"/>
          <w:sz w:val="22"/>
          <w:lang w:val="en-GB"/>
        </w:rPr>
        <w:t>For example, a</w:t>
      </w:r>
      <w:r w:rsidR="00E42DC6" w:rsidRPr="002364AB">
        <w:rPr>
          <w:rFonts w:eastAsia="Batang" w:cs="Times New Roman"/>
          <w:kern w:val="22"/>
          <w:sz w:val="22"/>
          <w:lang w:val="en-GB"/>
        </w:rPr>
        <w:t xml:space="preserve">s described </w:t>
      </w:r>
      <w:r w:rsidRPr="002364AB">
        <w:rPr>
          <w:rFonts w:eastAsia="Batang" w:cs="Times New Roman"/>
          <w:kern w:val="22"/>
          <w:sz w:val="22"/>
          <w:lang w:val="en-GB"/>
        </w:rPr>
        <w:t xml:space="preserve">in a submission by the </w:t>
      </w:r>
      <w:r w:rsidR="00E42DC6" w:rsidRPr="002364AB">
        <w:rPr>
          <w:rFonts w:eastAsia="Batang" w:cs="Times New Roman"/>
          <w:kern w:val="22"/>
          <w:sz w:val="22"/>
          <w:lang w:val="en-GB"/>
        </w:rPr>
        <w:t>International Chamber of Commerce</w:t>
      </w:r>
      <w:r w:rsidRPr="002364AB">
        <w:rPr>
          <w:rFonts w:eastAsia="Batang" w:cs="Times New Roman"/>
          <w:kern w:val="22"/>
          <w:sz w:val="22"/>
          <w:lang w:val="en-GB"/>
        </w:rPr>
        <w:t xml:space="preserve"> (ICC)</w:t>
      </w:r>
      <w:r w:rsidR="00A90E4B" w:rsidRPr="002364AB">
        <w:rPr>
          <w:rFonts w:eastAsia="Batang" w:cs="Times New Roman"/>
          <w:kern w:val="22"/>
          <w:sz w:val="22"/>
          <w:lang w:val="en-GB"/>
        </w:rPr>
        <w:t xml:space="preserve"> arguing against inclusion of DSI within the scope of the Nagoya Protocol</w:t>
      </w:r>
      <w:r w:rsidR="00E42DC6" w:rsidRPr="002364AB">
        <w:rPr>
          <w:rFonts w:eastAsia="Batang" w:cs="Times New Roman"/>
          <w:kern w:val="22"/>
          <w:sz w:val="22"/>
          <w:lang w:val="en-GB"/>
        </w:rPr>
        <w:t xml:space="preserve">, “in state-of-the-art bioinformatics projects, hundreds to thousands of </w:t>
      </w:r>
      <w:r w:rsidR="00A90E4B" w:rsidRPr="002364AB">
        <w:rPr>
          <w:rFonts w:eastAsia="Batang" w:cs="Times New Roman"/>
          <w:kern w:val="22"/>
          <w:sz w:val="22"/>
          <w:lang w:val="en-GB"/>
        </w:rPr>
        <w:t xml:space="preserve">. . . </w:t>
      </w:r>
      <w:r w:rsidR="00E42DC6" w:rsidRPr="002364AB">
        <w:rPr>
          <w:rFonts w:eastAsia="Batang" w:cs="Times New Roman"/>
          <w:kern w:val="22"/>
          <w:sz w:val="22"/>
          <w:lang w:val="en-GB"/>
        </w:rPr>
        <w:t xml:space="preserve">sequences may be used to develop a particular commercial product. The final product has a sequence that represents an “average” of all input sequences; </w:t>
      </w:r>
      <w:r w:rsidR="00A90E4B" w:rsidRPr="002364AB">
        <w:rPr>
          <w:rFonts w:eastAsia="Batang" w:cs="Times New Roman"/>
          <w:kern w:val="22"/>
          <w:sz w:val="22"/>
          <w:lang w:val="en-GB"/>
        </w:rPr>
        <w:t>[thus]</w:t>
      </w:r>
      <w:r w:rsidR="00E42DC6" w:rsidRPr="002364AB">
        <w:rPr>
          <w:rFonts w:eastAsia="Batang" w:cs="Times New Roman"/>
          <w:kern w:val="22"/>
          <w:sz w:val="22"/>
          <w:lang w:val="en-GB"/>
        </w:rPr>
        <w:t xml:space="preserve"> it is virtually impossible to determine the relative value of each individual input sequence.”</w:t>
      </w:r>
      <w:r w:rsidR="00E42DC6" w:rsidRPr="002364AB">
        <w:rPr>
          <w:rStyle w:val="FootnoteReference"/>
          <w:kern w:val="22"/>
          <w:sz w:val="22"/>
          <w:lang w:val="en-GB"/>
        </w:rPr>
        <w:footnoteReference w:id="153"/>
      </w:r>
      <w:r w:rsidR="00E42DC6" w:rsidRPr="002364AB">
        <w:rPr>
          <w:rFonts w:eastAsia="Batang" w:cs="Times New Roman"/>
          <w:kern w:val="22"/>
          <w:sz w:val="22"/>
          <w:lang w:val="en-GB"/>
        </w:rPr>
        <w:t xml:space="preserve"> </w:t>
      </w:r>
    </w:p>
    <w:p w14:paraId="7D04886A" w14:textId="0641C666" w:rsidR="006A0294" w:rsidRPr="002364AB" w:rsidRDefault="006A0294" w:rsidP="00E42DC6">
      <w:pPr>
        <w:spacing w:after="120"/>
        <w:rPr>
          <w:rFonts w:eastAsia="Batang" w:cs="Times New Roman"/>
          <w:kern w:val="22"/>
          <w:sz w:val="22"/>
          <w:lang w:val="en-GB"/>
        </w:rPr>
      </w:pPr>
      <w:r w:rsidRPr="002364AB">
        <w:rPr>
          <w:rFonts w:eastAsia="Batang" w:cs="Times New Roman"/>
          <w:kern w:val="22"/>
          <w:sz w:val="22"/>
          <w:lang w:val="en-GB"/>
        </w:rPr>
        <w:t xml:space="preserve">The following </w:t>
      </w:r>
      <w:r w:rsidR="005D7A6F" w:rsidRPr="002364AB">
        <w:rPr>
          <w:rFonts w:eastAsia="Batang" w:cs="Times New Roman"/>
          <w:kern w:val="22"/>
          <w:sz w:val="22"/>
          <w:lang w:val="en-GB"/>
        </w:rPr>
        <w:t xml:space="preserve">examples illustrate the utilization of DSI from </w:t>
      </w:r>
      <w:r w:rsidR="00FA67C5" w:rsidRPr="002364AB">
        <w:rPr>
          <w:rFonts w:eastAsia="Batang" w:cs="Times New Roman"/>
          <w:kern w:val="22"/>
          <w:sz w:val="22"/>
          <w:lang w:val="en-GB"/>
        </w:rPr>
        <w:t>multiple organisms.</w:t>
      </w:r>
    </w:p>
    <w:p w14:paraId="642CE083" w14:textId="07017634" w:rsidR="00442FE9" w:rsidRPr="002364AB" w:rsidRDefault="00442FE9" w:rsidP="00E42DC6">
      <w:pPr>
        <w:spacing w:after="120"/>
        <w:rPr>
          <w:rFonts w:eastAsia="Batang" w:cs="Times New Roman"/>
          <w:i/>
          <w:kern w:val="22"/>
          <w:sz w:val="22"/>
          <w:lang w:val="en-GB"/>
        </w:rPr>
      </w:pPr>
      <w:proofErr w:type="spellStart"/>
      <w:r w:rsidRPr="002364AB">
        <w:rPr>
          <w:rFonts w:eastAsia="Batang" w:cs="Times New Roman"/>
          <w:i/>
          <w:kern w:val="22"/>
          <w:sz w:val="22"/>
          <w:lang w:val="en-GB"/>
        </w:rPr>
        <w:t>Steviol</w:t>
      </w:r>
      <w:proofErr w:type="spellEnd"/>
      <w:r w:rsidRPr="002364AB">
        <w:rPr>
          <w:rFonts w:eastAsia="Batang" w:cs="Times New Roman"/>
          <w:i/>
          <w:kern w:val="22"/>
          <w:sz w:val="22"/>
          <w:lang w:val="en-GB"/>
        </w:rPr>
        <w:t xml:space="preserve"> glycosides</w:t>
      </w:r>
    </w:p>
    <w:p w14:paraId="4FD0C2FA" w14:textId="7CCFEB84" w:rsidR="00DF688E" w:rsidRPr="002364AB" w:rsidRDefault="00C93236" w:rsidP="00C93236">
      <w:pPr>
        <w:spacing w:after="120"/>
        <w:rPr>
          <w:rFonts w:eastAsia="Batang" w:cs="Times New Roman"/>
          <w:kern w:val="22"/>
          <w:sz w:val="22"/>
          <w:lang w:val="en-GB"/>
        </w:rPr>
      </w:pPr>
      <w:r w:rsidRPr="002364AB">
        <w:rPr>
          <w:rFonts w:eastAsia="Batang" w:cs="Times New Roman"/>
          <w:kern w:val="22"/>
          <w:sz w:val="22"/>
          <w:lang w:val="en-GB"/>
        </w:rPr>
        <w:t xml:space="preserve">Smaller but still significant numbers of diverse </w:t>
      </w:r>
      <w:r w:rsidR="00754E8D" w:rsidRPr="002364AB">
        <w:rPr>
          <w:rFonts w:eastAsia="Batang" w:cs="Times New Roman"/>
          <w:kern w:val="22"/>
          <w:sz w:val="22"/>
          <w:lang w:val="en-GB"/>
        </w:rPr>
        <w:t xml:space="preserve">organisms </w:t>
      </w:r>
      <w:r w:rsidRPr="002364AB">
        <w:rPr>
          <w:rFonts w:eastAsia="Batang" w:cs="Times New Roman"/>
          <w:kern w:val="22"/>
          <w:sz w:val="22"/>
          <w:lang w:val="en-GB"/>
        </w:rPr>
        <w:t>may also be used that defy efficient use of a bilateral benefit-sharing approach. Consider</w:t>
      </w:r>
      <w:r w:rsidR="00805085" w:rsidRPr="002364AB">
        <w:rPr>
          <w:rFonts w:eastAsia="Batang" w:cs="Times New Roman"/>
          <w:kern w:val="22"/>
          <w:sz w:val="22"/>
          <w:lang w:val="en-GB"/>
        </w:rPr>
        <w:t xml:space="preserve"> U.S. patent </w:t>
      </w:r>
      <w:r w:rsidR="00DF688E" w:rsidRPr="002364AB">
        <w:rPr>
          <w:rFonts w:eastAsia="Batang" w:cs="Times New Roman"/>
          <w:kern w:val="22"/>
          <w:sz w:val="22"/>
          <w:lang w:val="en-GB"/>
        </w:rPr>
        <w:t xml:space="preserve">9,284,570 which </w:t>
      </w:r>
      <w:r w:rsidR="00805085" w:rsidRPr="002364AB">
        <w:rPr>
          <w:rFonts w:eastAsia="Batang" w:cs="Times New Roman"/>
          <w:kern w:val="22"/>
          <w:sz w:val="22"/>
          <w:lang w:val="en-GB"/>
        </w:rPr>
        <w:t xml:space="preserve">describes the production of synthetic </w:t>
      </w:r>
      <w:proofErr w:type="spellStart"/>
      <w:r w:rsidR="00805085" w:rsidRPr="002364AB">
        <w:rPr>
          <w:rFonts w:eastAsia="Batang" w:cs="Times New Roman"/>
          <w:kern w:val="22"/>
          <w:sz w:val="22"/>
          <w:lang w:val="en-GB"/>
        </w:rPr>
        <w:t>steviol</w:t>
      </w:r>
      <w:proofErr w:type="spellEnd"/>
      <w:r w:rsidR="00805085" w:rsidRPr="002364AB">
        <w:rPr>
          <w:rFonts w:eastAsia="Batang" w:cs="Times New Roman"/>
          <w:kern w:val="22"/>
          <w:sz w:val="22"/>
          <w:lang w:val="en-GB"/>
        </w:rPr>
        <w:t xml:space="preserve"> glycosides as a replacement for stevia and other sweeteners, by engineering yeast, </w:t>
      </w:r>
      <w:r w:rsidR="00805085" w:rsidRPr="002364AB">
        <w:rPr>
          <w:rFonts w:eastAsia="Batang" w:cs="Times New Roman"/>
          <w:i/>
          <w:kern w:val="22"/>
          <w:sz w:val="22"/>
          <w:lang w:val="en-GB"/>
        </w:rPr>
        <w:t>E</w:t>
      </w:r>
      <w:r w:rsidR="00280084" w:rsidRPr="002364AB">
        <w:rPr>
          <w:rFonts w:eastAsia="Batang" w:cs="Times New Roman"/>
          <w:i/>
          <w:kern w:val="22"/>
          <w:sz w:val="22"/>
          <w:lang w:val="en-GB"/>
        </w:rPr>
        <w:t xml:space="preserve">scherichia </w:t>
      </w:r>
      <w:r w:rsidR="00805085" w:rsidRPr="002364AB">
        <w:rPr>
          <w:rFonts w:eastAsia="Batang" w:cs="Times New Roman"/>
          <w:i/>
          <w:kern w:val="22"/>
          <w:sz w:val="22"/>
          <w:lang w:val="en-GB"/>
        </w:rPr>
        <w:t>coli</w:t>
      </w:r>
      <w:r w:rsidR="00805085" w:rsidRPr="002364AB">
        <w:rPr>
          <w:rFonts w:eastAsia="Batang" w:cs="Times New Roman"/>
          <w:kern w:val="22"/>
          <w:sz w:val="22"/>
          <w:lang w:val="en-GB"/>
        </w:rPr>
        <w:t xml:space="preserve">, or plant cells to express novel recombinant genes encoding </w:t>
      </w:r>
      <w:proofErr w:type="spellStart"/>
      <w:r w:rsidR="00805085" w:rsidRPr="002364AB">
        <w:rPr>
          <w:rFonts w:eastAsia="Batang" w:cs="Times New Roman"/>
          <w:kern w:val="22"/>
          <w:sz w:val="22"/>
          <w:lang w:val="en-GB"/>
        </w:rPr>
        <w:t>steviol</w:t>
      </w:r>
      <w:proofErr w:type="spellEnd"/>
      <w:r w:rsidR="00805085" w:rsidRPr="002364AB">
        <w:rPr>
          <w:rFonts w:eastAsia="Batang" w:cs="Times New Roman"/>
          <w:kern w:val="22"/>
          <w:sz w:val="22"/>
          <w:lang w:val="en-GB"/>
        </w:rPr>
        <w:t xml:space="preserve"> biosynthetic enzymes to produce </w:t>
      </w:r>
      <w:proofErr w:type="spellStart"/>
      <w:r w:rsidR="00805085" w:rsidRPr="002364AB">
        <w:rPr>
          <w:rFonts w:eastAsia="Batang" w:cs="Times New Roman"/>
          <w:kern w:val="22"/>
          <w:sz w:val="22"/>
          <w:lang w:val="en-GB"/>
        </w:rPr>
        <w:t>steviol</w:t>
      </w:r>
      <w:proofErr w:type="spellEnd"/>
      <w:r w:rsidR="00805085" w:rsidRPr="002364AB">
        <w:rPr>
          <w:rFonts w:eastAsia="Batang" w:cs="Times New Roman"/>
          <w:kern w:val="22"/>
          <w:sz w:val="22"/>
          <w:lang w:val="en-GB"/>
        </w:rPr>
        <w:t xml:space="preserve"> or </w:t>
      </w:r>
      <w:proofErr w:type="spellStart"/>
      <w:r w:rsidR="00805085" w:rsidRPr="002364AB">
        <w:rPr>
          <w:rFonts w:eastAsia="Batang" w:cs="Times New Roman"/>
          <w:kern w:val="22"/>
          <w:sz w:val="22"/>
          <w:lang w:val="en-GB"/>
        </w:rPr>
        <w:t>steviol</w:t>
      </w:r>
      <w:proofErr w:type="spellEnd"/>
      <w:r w:rsidR="00805085" w:rsidRPr="002364AB">
        <w:rPr>
          <w:rFonts w:eastAsia="Batang" w:cs="Times New Roman"/>
          <w:kern w:val="22"/>
          <w:sz w:val="22"/>
          <w:lang w:val="en-GB"/>
        </w:rPr>
        <w:t xml:space="preserve"> glycosides. The process </w:t>
      </w:r>
      <w:r w:rsidR="00280084" w:rsidRPr="002364AB">
        <w:rPr>
          <w:rFonts w:eastAsia="Batang" w:cs="Times New Roman"/>
          <w:kern w:val="22"/>
          <w:sz w:val="22"/>
          <w:lang w:val="en-GB"/>
        </w:rPr>
        <w:t xml:space="preserve">mentions the </w:t>
      </w:r>
      <w:r w:rsidR="00442FE9" w:rsidRPr="002364AB">
        <w:rPr>
          <w:rFonts w:eastAsia="Batang" w:cs="Times New Roman"/>
          <w:kern w:val="22"/>
          <w:sz w:val="22"/>
          <w:lang w:val="en-GB"/>
        </w:rPr>
        <w:t xml:space="preserve">possible </w:t>
      </w:r>
      <w:r w:rsidR="00280084" w:rsidRPr="002364AB">
        <w:rPr>
          <w:rFonts w:eastAsia="Batang" w:cs="Times New Roman"/>
          <w:kern w:val="22"/>
          <w:sz w:val="22"/>
          <w:lang w:val="en-GB"/>
        </w:rPr>
        <w:t xml:space="preserve">use of </w:t>
      </w:r>
      <w:r w:rsidR="00805085" w:rsidRPr="002364AB">
        <w:rPr>
          <w:rFonts w:eastAsia="Batang" w:cs="Times New Roman"/>
          <w:kern w:val="22"/>
          <w:sz w:val="22"/>
          <w:lang w:val="en-GB"/>
        </w:rPr>
        <w:t xml:space="preserve">genes </w:t>
      </w:r>
      <w:r w:rsidR="00442FE9" w:rsidRPr="002364AB">
        <w:rPr>
          <w:rFonts w:eastAsia="Batang" w:cs="Times New Roman"/>
          <w:kern w:val="22"/>
          <w:sz w:val="22"/>
          <w:lang w:val="en-GB"/>
        </w:rPr>
        <w:t xml:space="preserve">or biosynthetic pathways </w:t>
      </w:r>
      <w:r w:rsidR="00805085" w:rsidRPr="002364AB">
        <w:rPr>
          <w:rFonts w:eastAsia="Batang" w:cs="Times New Roman"/>
          <w:kern w:val="22"/>
          <w:sz w:val="22"/>
          <w:lang w:val="en-GB"/>
        </w:rPr>
        <w:t xml:space="preserve">from </w:t>
      </w:r>
      <w:r w:rsidR="00442FE9" w:rsidRPr="002364AB">
        <w:rPr>
          <w:rFonts w:eastAsia="Batang" w:cs="Times New Roman"/>
          <w:kern w:val="22"/>
          <w:sz w:val="22"/>
          <w:lang w:val="en-GB"/>
        </w:rPr>
        <w:t>more than</w:t>
      </w:r>
      <w:r w:rsidR="00BE2DC0" w:rsidRPr="002364AB">
        <w:rPr>
          <w:rFonts w:eastAsia="Batang" w:cs="Times New Roman"/>
          <w:kern w:val="22"/>
          <w:sz w:val="22"/>
          <w:lang w:val="en-GB"/>
        </w:rPr>
        <w:t xml:space="preserve"> </w:t>
      </w:r>
      <w:r w:rsidR="00805085" w:rsidRPr="002364AB">
        <w:rPr>
          <w:rFonts w:eastAsia="Batang" w:cs="Times New Roman"/>
          <w:kern w:val="22"/>
          <w:sz w:val="22"/>
          <w:lang w:val="en-GB"/>
        </w:rPr>
        <w:t xml:space="preserve">30 different organisms including </w:t>
      </w:r>
      <w:r w:rsidR="00280084" w:rsidRPr="002364AB">
        <w:rPr>
          <w:rFonts w:eastAsia="Batang" w:cs="Times New Roman"/>
          <w:iCs/>
          <w:kern w:val="22"/>
          <w:sz w:val="22"/>
          <w:lang w:val="en-GB"/>
        </w:rPr>
        <w:t>a bacterium</w:t>
      </w:r>
      <w:r w:rsidR="00280084" w:rsidRPr="002364AB">
        <w:rPr>
          <w:rFonts w:eastAsia="Batang" w:cs="Times New Roman"/>
          <w:i/>
          <w:iCs/>
          <w:kern w:val="22"/>
          <w:sz w:val="22"/>
          <w:lang w:val="en-GB"/>
        </w:rPr>
        <w:t xml:space="preserve"> (</w:t>
      </w:r>
      <w:proofErr w:type="spellStart"/>
      <w:r w:rsidR="00280084" w:rsidRPr="002364AB">
        <w:rPr>
          <w:rFonts w:eastAsia="Batang" w:cs="Times New Roman"/>
          <w:i/>
          <w:iCs/>
          <w:kern w:val="22"/>
          <w:sz w:val="22"/>
          <w:lang w:val="en-GB"/>
        </w:rPr>
        <w:t>Kitasatospora</w:t>
      </w:r>
      <w:proofErr w:type="spellEnd"/>
      <w:r w:rsidR="00280084" w:rsidRPr="002364AB">
        <w:rPr>
          <w:rFonts w:eastAsia="Batang" w:cs="Times New Roman"/>
          <w:i/>
          <w:iCs/>
          <w:kern w:val="22"/>
          <w:sz w:val="22"/>
          <w:lang w:val="en-GB"/>
        </w:rPr>
        <w:t xml:space="preserve"> </w:t>
      </w:r>
      <w:proofErr w:type="spellStart"/>
      <w:r w:rsidR="00280084" w:rsidRPr="002364AB">
        <w:rPr>
          <w:rFonts w:eastAsia="Batang" w:cs="Times New Roman"/>
          <w:i/>
          <w:iCs/>
          <w:kern w:val="22"/>
          <w:sz w:val="22"/>
          <w:lang w:val="en-GB"/>
        </w:rPr>
        <w:t>griseola</w:t>
      </w:r>
      <w:proofErr w:type="spellEnd"/>
      <w:r w:rsidR="00280084" w:rsidRPr="002364AB">
        <w:rPr>
          <w:rFonts w:eastAsia="Batang" w:cs="Times New Roman"/>
          <w:i/>
          <w:iCs/>
          <w:kern w:val="22"/>
          <w:sz w:val="22"/>
          <w:lang w:val="en-GB"/>
        </w:rPr>
        <w:t xml:space="preserve">), </w:t>
      </w:r>
      <w:r w:rsidR="00280084" w:rsidRPr="002364AB">
        <w:rPr>
          <w:rFonts w:eastAsia="Batang" w:cs="Times New Roman"/>
          <w:iCs/>
          <w:kern w:val="22"/>
          <w:sz w:val="22"/>
          <w:lang w:val="en-GB"/>
        </w:rPr>
        <w:t>human</w:t>
      </w:r>
      <w:r w:rsidR="00280084" w:rsidRPr="002364AB">
        <w:rPr>
          <w:rFonts w:eastAsia="Batang" w:cs="Times New Roman"/>
          <w:i/>
          <w:iCs/>
          <w:kern w:val="22"/>
          <w:sz w:val="22"/>
          <w:lang w:val="en-GB"/>
        </w:rPr>
        <w:t xml:space="preserve"> (Homo sapiens), </w:t>
      </w:r>
      <w:r w:rsidR="00280084" w:rsidRPr="002364AB">
        <w:rPr>
          <w:rFonts w:eastAsia="Batang" w:cs="Times New Roman"/>
          <w:iCs/>
          <w:kern w:val="22"/>
          <w:sz w:val="22"/>
          <w:lang w:val="en-GB"/>
        </w:rPr>
        <w:t>fruit fly</w:t>
      </w:r>
      <w:r w:rsidR="00280084" w:rsidRPr="002364AB">
        <w:rPr>
          <w:rFonts w:eastAsia="Batang" w:cs="Times New Roman"/>
          <w:i/>
          <w:iCs/>
          <w:kern w:val="22"/>
          <w:sz w:val="22"/>
          <w:lang w:val="en-GB"/>
        </w:rPr>
        <w:t xml:space="preserve"> (Drosophila melanogaster), </w:t>
      </w:r>
      <w:r w:rsidR="00280084" w:rsidRPr="002364AB">
        <w:rPr>
          <w:rFonts w:eastAsia="Batang" w:cs="Times New Roman"/>
          <w:iCs/>
          <w:kern w:val="22"/>
          <w:sz w:val="22"/>
          <w:lang w:val="en-GB"/>
        </w:rPr>
        <w:t>red jungle fowl</w:t>
      </w:r>
      <w:r w:rsidR="00280084" w:rsidRPr="002364AB">
        <w:rPr>
          <w:rFonts w:eastAsia="Batang" w:cs="Times New Roman"/>
          <w:i/>
          <w:iCs/>
          <w:kern w:val="22"/>
          <w:sz w:val="22"/>
          <w:lang w:val="en-GB"/>
        </w:rPr>
        <w:t xml:space="preserve"> (Gallus </w:t>
      </w:r>
      <w:proofErr w:type="spellStart"/>
      <w:r w:rsidR="00280084" w:rsidRPr="002364AB">
        <w:rPr>
          <w:rFonts w:eastAsia="Batang" w:cs="Times New Roman"/>
          <w:i/>
          <w:iCs/>
          <w:kern w:val="22"/>
          <w:sz w:val="22"/>
          <w:lang w:val="en-GB"/>
        </w:rPr>
        <w:t>gallus</w:t>
      </w:r>
      <w:proofErr w:type="spellEnd"/>
      <w:r w:rsidR="00280084" w:rsidRPr="002364AB">
        <w:rPr>
          <w:rFonts w:eastAsia="Batang" w:cs="Times New Roman"/>
          <w:i/>
          <w:iCs/>
          <w:kern w:val="22"/>
          <w:sz w:val="22"/>
          <w:lang w:val="en-GB"/>
        </w:rPr>
        <w:t xml:space="preserve">), </w:t>
      </w:r>
      <w:r w:rsidR="00442FE9" w:rsidRPr="002364AB">
        <w:rPr>
          <w:rFonts w:eastAsia="Batang" w:cs="Times New Roman"/>
          <w:iCs/>
          <w:kern w:val="22"/>
          <w:sz w:val="22"/>
          <w:lang w:val="en-GB"/>
        </w:rPr>
        <w:t>and</w:t>
      </w:r>
      <w:r w:rsidR="00442FE9" w:rsidRPr="002364AB">
        <w:rPr>
          <w:rFonts w:eastAsia="Batang" w:cs="Times New Roman"/>
          <w:i/>
          <w:iCs/>
          <w:kern w:val="22"/>
          <w:sz w:val="22"/>
          <w:lang w:val="en-GB"/>
        </w:rPr>
        <w:t xml:space="preserve"> </w:t>
      </w:r>
      <w:r w:rsidR="00706AB2" w:rsidRPr="002364AB">
        <w:rPr>
          <w:rFonts w:eastAsia="Batang" w:cs="Times New Roman"/>
          <w:kern w:val="22"/>
          <w:sz w:val="22"/>
          <w:lang w:val="en-GB"/>
        </w:rPr>
        <w:t>tobacco</w:t>
      </w:r>
      <w:r w:rsidR="00280084" w:rsidRPr="002364AB">
        <w:rPr>
          <w:rFonts w:eastAsia="Batang" w:cs="Times New Roman"/>
          <w:kern w:val="22"/>
          <w:sz w:val="22"/>
          <w:lang w:val="en-GB"/>
        </w:rPr>
        <w:t xml:space="preserve"> (</w:t>
      </w:r>
      <w:r w:rsidR="00280084" w:rsidRPr="002364AB">
        <w:rPr>
          <w:rFonts w:eastAsia="Batang" w:cs="Times New Roman"/>
          <w:i/>
          <w:iCs/>
          <w:kern w:val="22"/>
          <w:sz w:val="22"/>
          <w:lang w:val="en-GB"/>
        </w:rPr>
        <w:t xml:space="preserve">Nicotiana attenuate), </w:t>
      </w:r>
      <w:r w:rsidR="00805085" w:rsidRPr="002364AB">
        <w:rPr>
          <w:rFonts w:eastAsia="Batang" w:cs="Times New Roman"/>
          <w:kern w:val="22"/>
          <w:sz w:val="22"/>
          <w:lang w:val="en-GB"/>
        </w:rPr>
        <w:t>to produce products for use as commercial sweeteners in food products and dietary supplements.</w:t>
      </w:r>
      <w:r w:rsidR="00805085" w:rsidRPr="002364AB">
        <w:rPr>
          <w:rStyle w:val="FootnoteReference"/>
          <w:kern w:val="22"/>
          <w:sz w:val="22"/>
          <w:lang w:val="en-GB"/>
        </w:rPr>
        <w:footnoteReference w:id="154"/>
      </w:r>
      <w:r w:rsidR="00805085" w:rsidRPr="002364AB">
        <w:rPr>
          <w:rFonts w:eastAsia="Batang" w:cs="Times New Roman"/>
          <w:kern w:val="22"/>
          <w:sz w:val="22"/>
          <w:lang w:val="en-GB"/>
        </w:rPr>
        <w:t xml:space="preserve"> </w:t>
      </w:r>
    </w:p>
    <w:p w14:paraId="3E5F0F7E" w14:textId="7ABD95DA" w:rsidR="00B35566" w:rsidRPr="002364AB" w:rsidRDefault="00DF688E" w:rsidP="00C93236">
      <w:pPr>
        <w:spacing w:after="120"/>
        <w:rPr>
          <w:rFonts w:eastAsia="Batang" w:cs="Times New Roman"/>
          <w:kern w:val="22"/>
          <w:sz w:val="22"/>
          <w:lang w:val="en-GB"/>
        </w:rPr>
      </w:pPr>
      <w:r w:rsidRPr="002364AB">
        <w:rPr>
          <w:rFonts w:eastAsia="Batang" w:cs="Times New Roman"/>
          <w:kern w:val="22"/>
          <w:sz w:val="22"/>
          <w:lang w:val="en-GB"/>
        </w:rPr>
        <w:t xml:space="preserve">Beyond the use of model organisms such as yeast, </w:t>
      </w:r>
      <w:r w:rsidRPr="002364AB">
        <w:rPr>
          <w:rFonts w:eastAsia="Batang" w:cs="Times New Roman"/>
          <w:i/>
          <w:kern w:val="22"/>
          <w:sz w:val="22"/>
          <w:lang w:val="en-GB"/>
        </w:rPr>
        <w:t>E</w:t>
      </w:r>
      <w:r w:rsidR="002079BD" w:rsidRPr="002364AB">
        <w:rPr>
          <w:rFonts w:eastAsia="Batang" w:cs="Times New Roman"/>
          <w:i/>
          <w:kern w:val="22"/>
          <w:sz w:val="22"/>
          <w:lang w:val="en-GB"/>
        </w:rPr>
        <w:t>.</w:t>
      </w:r>
      <w:r w:rsidRPr="002364AB">
        <w:rPr>
          <w:rFonts w:eastAsia="Batang" w:cs="Times New Roman"/>
          <w:i/>
          <w:kern w:val="22"/>
          <w:sz w:val="22"/>
          <w:lang w:val="en-GB"/>
        </w:rPr>
        <w:t xml:space="preserve"> coli</w:t>
      </w:r>
      <w:r w:rsidRPr="002364AB">
        <w:rPr>
          <w:rFonts w:eastAsia="Batang" w:cs="Times New Roman"/>
          <w:kern w:val="22"/>
          <w:sz w:val="22"/>
          <w:lang w:val="en-GB"/>
        </w:rPr>
        <w:t xml:space="preserve">, or plant cells, the patent also describes production of </w:t>
      </w:r>
      <w:proofErr w:type="spellStart"/>
      <w:r w:rsidRPr="002364AB">
        <w:rPr>
          <w:rFonts w:eastAsia="Batang" w:cs="Times New Roman"/>
          <w:kern w:val="22"/>
          <w:sz w:val="22"/>
          <w:lang w:val="en-GB"/>
        </w:rPr>
        <w:t>steviol</w:t>
      </w:r>
      <w:proofErr w:type="spellEnd"/>
      <w:r w:rsidRPr="002364AB">
        <w:rPr>
          <w:rFonts w:eastAsia="Batang" w:cs="Times New Roman"/>
          <w:kern w:val="22"/>
          <w:sz w:val="22"/>
          <w:lang w:val="en-GB"/>
        </w:rPr>
        <w:t xml:space="preserve"> glycosides in more than 20 different fungal cells including: </w:t>
      </w:r>
      <w:proofErr w:type="spellStart"/>
      <w:r w:rsidRPr="002364AB">
        <w:rPr>
          <w:rFonts w:eastAsia="Batang" w:cs="Times New Roman"/>
          <w:i/>
          <w:kern w:val="22"/>
          <w:sz w:val="22"/>
          <w:lang w:val="en-GB"/>
        </w:rPr>
        <w:t>Schizosaccharomyces</w:t>
      </w:r>
      <w:proofErr w:type="spellEnd"/>
      <w:r w:rsidRPr="002364AB">
        <w:rPr>
          <w:rFonts w:eastAsia="Batang" w:cs="Times New Roman"/>
          <w:kern w:val="22"/>
          <w:sz w:val="22"/>
          <w:lang w:val="en-GB"/>
        </w:rPr>
        <w:t xml:space="preserve"> spp., </w:t>
      </w:r>
      <w:r w:rsidRPr="002364AB">
        <w:rPr>
          <w:rFonts w:eastAsia="Batang" w:cs="Times New Roman"/>
          <w:i/>
          <w:kern w:val="22"/>
          <w:sz w:val="22"/>
          <w:lang w:val="en-GB"/>
        </w:rPr>
        <w:t>Pichia</w:t>
      </w:r>
      <w:r w:rsidRPr="002364AB">
        <w:rPr>
          <w:rFonts w:eastAsia="Batang" w:cs="Times New Roman"/>
          <w:kern w:val="22"/>
          <w:sz w:val="22"/>
          <w:lang w:val="en-GB"/>
        </w:rPr>
        <w:t xml:space="preserve"> spp., </w:t>
      </w:r>
      <w:proofErr w:type="spellStart"/>
      <w:r w:rsidRPr="002364AB">
        <w:rPr>
          <w:rFonts w:eastAsia="Batang" w:cs="Times New Roman"/>
          <w:i/>
          <w:kern w:val="22"/>
          <w:sz w:val="22"/>
          <w:lang w:val="en-GB"/>
        </w:rPr>
        <w:t>Pafia</w:t>
      </w:r>
      <w:proofErr w:type="spellEnd"/>
      <w:r w:rsidRPr="002364AB">
        <w:rPr>
          <w:rFonts w:eastAsia="Batang" w:cs="Times New Roman"/>
          <w:kern w:val="22"/>
          <w:sz w:val="22"/>
          <w:lang w:val="en-GB"/>
        </w:rPr>
        <w:t xml:space="preserve"> spp., </w:t>
      </w:r>
      <w:proofErr w:type="spellStart"/>
      <w:r w:rsidRPr="002364AB">
        <w:rPr>
          <w:rFonts w:eastAsia="Batang" w:cs="Times New Roman"/>
          <w:i/>
          <w:kern w:val="22"/>
          <w:sz w:val="22"/>
          <w:lang w:val="en-GB"/>
        </w:rPr>
        <w:t>Kluyveromyces</w:t>
      </w:r>
      <w:proofErr w:type="spellEnd"/>
      <w:r w:rsidRPr="002364AB">
        <w:rPr>
          <w:rFonts w:eastAsia="Batang" w:cs="Times New Roman"/>
          <w:kern w:val="22"/>
          <w:sz w:val="22"/>
          <w:lang w:val="en-GB"/>
        </w:rPr>
        <w:t xml:space="preserve"> spp., </w:t>
      </w:r>
      <w:r w:rsidRPr="002364AB">
        <w:rPr>
          <w:rFonts w:eastAsia="Batang" w:cs="Times New Roman"/>
          <w:i/>
          <w:kern w:val="22"/>
          <w:sz w:val="22"/>
          <w:lang w:val="en-GB"/>
        </w:rPr>
        <w:t xml:space="preserve">Candida </w:t>
      </w:r>
      <w:r w:rsidRPr="002364AB">
        <w:rPr>
          <w:rFonts w:eastAsia="Batang" w:cs="Times New Roman"/>
          <w:kern w:val="22"/>
          <w:sz w:val="22"/>
          <w:lang w:val="en-GB"/>
        </w:rPr>
        <w:t xml:space="preserve">spp., </w:t>
      </w:r>
      <w:proofErr w:type="spellStart"/>
      <w:r w:rsidRPr="002364AB">
        <w:rPr>
          <w:rFonts w:eastAsia="Batang" w:cs="Times New Roman"/>
          <w:i/>
          <w:kern w:val="22"/>
          <w:sz w:val="22"/>
          <w:lang w:val="en-GB"/>
        </w:rPr>
        <w:t>Talaromyces</w:t>
      </w:r>
      <w:proofErr w:type="spellEnd"/>
      <w:r w:rsidRPr="002364AB">
        <w:rPr>
          <w:rFonts w:eastAsia="Batang" w:cs="Times New Roman"/>
          <w:kern w:val="22"/>
          <w:sz w:val="22"/>
          <w:lang w:val="en-GB"/>
        </w:rPr>
        <w:t xml:space="preserve"> spp., </w:t>
      </w:r>
      <w:r w:rsidRPr="002364AB">
        <w:rPr>
          <w:rFonts w:eastAsia="Batang" w:cs="Times New Roman"/>
          <w:i/>
          <w:kern w:val="22"/>
          <w:sz w:val="22"/>
          <w:lang w:val="en-GB"/>
        </w:rPr>
        <w:t>Brettanomyces</w:t>
      </w:r>
      <w:r w:rsidRPr="002364AB">
        <w:rPr>
          <w:rFonts w:eastAsia="Batang" w:cs="Times New Roman"/>
          <w:kern w:val="22"/>
          <w:sz w:val="22"/>
          <w:lang w:val="en-GB"/>
        </w:rPr>
        <w:t xml:space="preserve"> spp., </w:t>
      </w:r>
      <w:proofErr w:type="spellStart"/>
      <w:r w:rsidRPr="002364AB">
        <w:rPr>
          <w:rFonts w:eastAsia="Batang" w:cs="Times New Roman"/>
          <w:i/>
          <w:kern w:val="22"/>
          <w:sz w:val="22"/>
          <w:lang w:val="en-GB"/>
        </w:rPr>
        <w:t>Pachysolen</w:t>
      </w:r>
      <w:proofErr w:type="spellEnd"/>
      <w:r w:rsidRPr="002364AB">
        <w:rPr>
          <w:rFonts w:eastAsia="Batang" w:cs="Times New Roman"/>
          <w:kern w:val="22"/>
          <w:sz w:val="22"/>
          <w:lang w:val="en-GB"/>
        </w:rPr>
        <w:t xml:space="preserve"> spp., </w:t>
      </w:r>
      <w:proofErr w:type="spellStart"/>
      <w:r w:rsidRPr="002364AB">
        <w:rPr>
          <w:rFonts w:eastAsia="Batang" w:cs="Times New Roman"/>
          <w:i/>
          <w:kern w:val="22"/>
          <w:sz w:val="22"/>
          <w:lang w:val="en-GB"/>
        </w:rPr>
        <w:t>Debaryomyces</w:t>
      </w:r>
      <w:proofErr w:type="spellEnd"/>
      <w:r w:rsidRPr="002364AB">
        <w:rPr>
          <w:rFonts w:eastAsia="Batang" w:cs="Times New Roman"/>
          <w:i/>
          <w:kern w:val="22"/>
          <w:sz w:val="22"/>
          <w:lang w:val="en-GB"/>
        </w:rPr>
        <w:t xml:space="preserve"> </w:t>
      </w:r>
      <w:r w:rsidRPr="002364AB">
        <w:rPr>
          <w:rFonts w:eastAsia="Batang" w:cs="Times New Roman"/>
          <w:kern w:val="22"/>
          <w:sz w:val="22"/>
          <w:lang w:val="en-GB"/>
        </w:rPr>
        <w:t xml:space="preserve">spp., and </w:t>
      </w:r>
      <w:proofErr w:type="spellStart"/>
      <w:r w:rsidRPr="002364AB">
        <w:rPr>
          <w:rFonts w:eastAsia="Batang" w:cs="Times New Roman"/>
          <w:i/>
          <w:kern w:val="22"/>
          <w:sz w:val="22"/>
          <w:lang w:val="en-GB"/>
        </w:rPr>
        <w:t>Yarrowia</w:t>
      </w:r>
      <w:proofErr w:type="spellEnd"/>
      <w:r w:rsidRPr="002364AB">
        <w:rPr>
          <w:rFonts w:eastAsia="Batang" w:cs="Times New Roman"/>
          <w:kern w:val="22"/>
          <w:sz w:val="22"/>
          <w:lang w:val="en-GB"/>
        </w:rPr>
        <w:t xml:space="preserve"> spp. It also describes the use of more than 15 different bacterial species including </w:t>
      </w:r>
      <w:proofErr w:type="spellStart"/>
      <w:r w:rsidRPr="002364AB">
        <w:rPr>
          <w:rFonts w:eastAsia="Batang" w:cs="Times New Roman"/>
          <w:i/>
          <w:kern w:val="22"/>
          <w:sz w:val="22"/>
          <w:lang w:val="en-GB"/>
        </w:rPr>
        <w:t>Zymonas</w:t>
      </w:r>
      <w:proofErr w:type="spellEnd"/>
      <w:r w:rsidRPr="002364AB">
        <w:rPr>
          <w:rFonts w:eastAsia="Batang" w:cs="Times New Roman"/>
          <w:kern w:val="22"/>
          <w:sz w:val="22"/>
          <w:lang w:val="en-GB"/>
        </w:rPr>
        <w:t xml:space="preserve"> spp., </w:t>
      </w:r>
      <w:r w:rsidRPr="002364AB">
        <w:rPr>
          <w:rFonts w:eastAsia="Batang" w:cs="Times New Roman"/>
          <w:i/>
          <w:kern w:val="22"/>
          <w:sz w:val="22"/>
          <w:lang w:val="en-GB"/>
        </w:rPr>
        <w:t>Acetobacter</w:t>
      </w:r>
      <w:r w:rsidRPr="002364AB">
        <w:rPr>
          <w:rFonts w:eastAsia="Batang" w:cs="Times New Roman"/>
          <w:kern w:val="22"/>
          <w:sz w:val="22"/>
          <w:lang w:val="en-GB"/>
        </w:rPr>
        <w:t xml:space="preserve"> spp., </w:t>
      </w:r>
      <w:r w:rsidRPr="002364AB">
        <w:rPr>
          <w:rFonts w:eastAsia="Batang" w:cs="Times New Roman"/>
          <w:i/>
          <w:kern w:val="22"/>
          <w:sz w:val="22"/>
          <w:lang w:val="en-GB"/>
        </w:rPr>
        <w:t>Citrobacter</w:t>
      </w:r>
      <w:r w:rsidRPr="002364AB">
        <w:rPr>
          <w:rFonts w:eastAsia="Batang" w:cs="Times New Roman"/>
          <w:kern w:val="22"/>
          <w:sz w:val="22"/>
          <w:lang w:val="en-GB"/>
        </w:rPr>
        <w:t xml:space="preserve"> spp., </w:t>
      </w:r>
      <w:proofErr w:type="spellStart"/>
      <w:r w:rsidRPr="002364AB">
        <w:rPr>
          <w:rFonts w:eastAsia="Batang" w:cs="Times New Roman"/>
          <w:i/>
          <w:kern w:val="22"/>
          <w:sz w:val="22"/>
          <w:lang w:val="en-GB"/>
        </w:rPr>
        <w:t>Synechocystis</w:t>
      </w:r>
      <w:proofErr w:type="spellEnd"/>
      <w:r w:rsidRPr="002364AB">
        <w:rPr>
          <w:rFonts w:eastAsia="Batang" w:cs="Times New Roman"/>
          <w:kern w:val="22"/>
          <w:sz w:val="22"/>
          <w:lang w:val="en-GB"/>
        </w:rPr>
        <w:t xml:space="preserve"> spp., </w:t>
      </w:r>
      <w:r w:rsidRPr="002364AB">
        <w:rPr>
          <w:rFonts w:eastAsia="Batang" w:cs="Times New Roman"/>
          <w:i/>
          <w:kern w:val="22"/>
          <w:sz w:val="22"/>
          <w:lang w:val="en-GB"/>
        </w:rPr>
        <w:t xml:space="preserve">Rhizobium </w:t>
      </w:r>
      <w:r w:rsidRPr="002364AB">
        <w:rPr>
          <w:rFonts w:eastAsia="Batang" w:cs="Times New Roman"/>
          <w:kern w:val="22"/>
          <w:sz w:val="22"/>
          <w:lang w:val="en-GB"/>
        </w:rPr>
        <w:t xml:space="preserve">spp., </w:t>
      </w:r>
      <w:r w:rsidRPr="002364AB">
        <w:rPr>
          <w:rFonts w:eastAsia="Batang" w:cs="Times New Roman"/>
          <w:i/>
          <w:kern w:val="22"/>
          <w:sz w:val="22"/>
          <w:lang w:val="en-GB"/>
        </w:rPr>
        <w:t>Clostridium</w:t>
      </w:r>
      <w:r w:rsidRPr="002364AB">
        <w:rPr>
          <w:rFonts w:eastAsia="Batang" w:cs="Times New Roman"/>
          <w:kern w:val="22"/>
          <w:sz w:val="22"/>
          <w:lang w:val="en-GB"/>
        </w:rPr>
        <w:t xml:space="preserve"> spp., </w:t>
      </w:r>
      <w:r w:rsidRPr="002364AB">
        <w:rPr>
          <w:rFonts w:eastAsia="Batang" w:cs="Times New Roman"/>
          <w:i/>
          <w:kern w:val="22"/>
          <w:sz w:val="22"/>
          <w:lang w:val="en-GB"/>
        </w:rPr>
        <w:t>Corynebacterium</w:t>
      </w:r>
      <w:r w:rsidRPr="002364AB">
        <w:rPr>
          <w:rFonts w:eastAsia="Batang" w:cs="Times New Roman"/>
          <w:kern w:val="22"/>
          <w:sz w:val="22"/>
          <w:lang w:val="en-GB"/>
        </w:rPr>
        <w:t xml:space="preserve"> spp., </w:t>
      </w:r>
      <w:r w:rsidRPr="002364AB">
        <w:rPr>
          <w:rFonts w:eastAsia="Batang" w:cs="Times New Roman"/>
          <w:i/>
          <w:kern w:val="22"/>
          <w:sz w:val="22"/>
          <w:lang w:val="en-GB"/>
        </w:rPr>
        <w:t>Streptococcus</w:t>
      </w:r>
      <w:r w:rsidRPr="002364AB">
        <w:rPr>
          <w:rFonts w:eastAsia="Batang" w:cs="Times New Roman"/>
          <w:kern w:val="22"/>
          <w:sz w:val="22"/>
          <w:lang w:val="en-GB"/>
        </w:rPr>
        <w:t xml:space="preserve"> spp., </w:t>
      </w:r>
      <w:r w:rsidRPr="002364AB">
        <w:rPr>
          <w:rFonts w:eastAsia="Batang" w:cs="Times New Roman"/>
          <w:i/>
          <w:kern w:val="22"/>
          <w:sz w:val="22"/>
          <w:lang w:val="en-GB"/>
        </w:rPr>
        <w:t>Xanthomonas</w:t>
      </w:r>
      <w:r w:rsidRPr="002364AB">
        <w:rPr>
          <w:rFonts w:eastAsia="Batang" w:cs="Times New Roman"/>
          <w:kern w:val="22"/>
          <w:sz w:val="22"/>
          <w:lang w:val="en-GB"/>
        </w:rPr>
        <w:t xml:space="preserve"> spp., </w:t>
      </w:r>
      <w:r w:rsidRPr="002364AB">
        <w:rPr>
          <w:rFonts w:eastAsia="Batang" w:cs="Times New Roman"/>
          <w:i/>
          <w:kern w:val="22"/>
          <w:sz w:val="22"/>
          <w:lang w:val="en-GB"/>
        </w:rPr>
        <w:t xml:space="preserve">Lactobacillus </w:t>
      </w:r>
      <w:r w:rsidRPr="002364AB">
        <w:rPr>
          <w:rFonts w:eastAsia="Batang" w:cs="Times New Roman"/>
          <w:kern w:val="22"/>
          <w:sz w:val="22"/>
          <w:lang w:val="en-GB"/>
        </w:rPr>
        <w:t xml:space="preserve">spp., </w:t>
      </w:r>
      <w:r w:rsidRPr="002364AB">
        <w:rPr>
          <w:rFonts w:eastAsia="Batang" w:cs="Times New Roman"/>
          <w:i/>
          <w:kern w:val="22"/>
          <w:sz w:val="22"/>
          <w:lang w:val="en-GB"/>
        </w:rPr>
        <w:t>Lactococcus</w:t>
      </w:r>
      <w:r w:rsidRPr="002364AB">
        <w:rPr>
          <w:rFonts w:eastAsia="Batang" w:cs="Times New Roman"/>
          <w:kern w:val="22"/>
          <w:sz w:val="22"/>
          <w:lang w:val="en-GB"/>
        </w:rPr>
        <w:t xml:space="preserve"> spp. None of these species of fungi and bacteria are traditionally considered as model organisms.</w:t>
      </w:r>
      <w:r w:rsidR="00A65869" w:rsidRPr="002364AB">
        <w:rPr>
          <w:rStyle w:val="FootnoteReference"/>
          <w:kern w:val="22"/>
          <w:sz w:val="22"/>
          <w:lang w:val="en-GB"/>
        </w:rPr>
        <w:footnoteReference w:id="155"/>
      </w:r>
      <w:r w:rsidR="00A65869" w:rsidRPr="002364AB">
        <w:rPr>
          <w:rFonts w:eastAsia="Batang" w:cs="Times New Roman"/>
          <w:kern w:val="22"/>
          <w:sz w:val="22"/>
          <w:lang w:val="en-GB"/>
        </w:rPr>
        <w:t xml:space="preserve"> </w:t>
      </w:r>
    </w:p>
    <w:p w14:paraId="771A8EEC" w14:textId="29215A4D" w:rsidR="00442FE9" w:rsidRPr="002364AB" w:rsidRDefault="00442FE9" w:rsidP="008713DC">
      <w:pPr>
        <w:spacing w:after="120"/>
        <w:rPr>
          <w:rFonts w:eastAsia="Batang" w:cs="Times New Roman"/>
          <w:i/>
          <w:kern w:val="22"/>
          <w:sz w:val="22"/>
          <w:lang w:val="en-GB"/>
        </w:rPr>
      </w:pPr>
      <w:r w:rsidRPr="002364AB">
        <w:rPr>
          <w:rFonts w:eastAsia="Batang" w:cs="Times New Roman"/>
          <w:i/>
          <w:kern w:val="22"/>
          <w:sz w:val="22"/>
          <w:lang w:val="en-GB"/>
        </w:rPr>
        <w:t>D-glucaric acid</w:t>
      </w:r>
    </w:p>
    <w:p w14:paraId="21BCCF11" w14:textId="4D5A4D5B" w:rsidR="008713DC" w:rsidRPr="002364AB" w:rsidRDefault="00551033" w:rsidP="14AC87FF">
      <w:pPr>
        <w:spacing w:after="120"/>
        <w:rPr>
          <w:rFonts w:eastAsia="Batang" w:cs="Times New Roman"/>
          <w:kern w:val="22"/>
          <w:sz w:val="22"/>
          <w:lang w:val="en-GB"/>
        </w:rPr>
      </w:pPr>
      <w:r w:rsidRPr="002364AB">
        <w:rPr>
          <w:rFonts w:eastAsia="Batang" w:cs="Times New Roman"/>
          <w:kern w:val="22"/>
          <w:sz w:val="22"/>
          <w:lang w:val="en-GB"/>
        </w:rPr>
        <w:t>A s</w:t>
      </w:r>
      <w:r w:rsidR="00AE7AF7" w:rsidRPr="002364AB">
        <w:rPr>
          <w:rFonts w:eastAsia="Batang" w:cs="Times New Roman"/>
          <w:kern w:val="22"/>
          <w:sz w:val="22"/>
          <w:lang w:val="en-GB"/>
        </w:rPr>
        <w:t>imilar</w:t>
      </w:r>
      <w:r w:rsidRPr="002364AB">
        <w:rPr>
          <w:rFonts w:eastAsia="Batang" w:cs="Times New Roman"/>
          <w:kern w:val="22"/>
          <w:sz w:val="22"/>
          <w:lang w:val="en-GB"/>
        </w:rPr>
        <w:t xml:space="preserve"> example involves </w:t>
      </w:r>
      <w:r w:rsidR="00A65869" w:rsidRPr="002364AB">
        <w:rPr>
          <w:rFonts w:eastAsia="Batang" w:cs="Times New Roman"/>
          <w:kern w:val="22"/>
          <w:sz w:val="22"/>
          <w:lang w:val="en-GB"/>
        </w:rPr>
        <w:t xml:space="preserve">the successful enhancement of the yield of D-glucaric acid by </w:t>
      </w:r>
      <w:r w:rsidR="00805085" w:rsidRPr="002364AB">
        <w:rPr>
          <w:rFonts w:eastAsia="Batang" w:cs="Times New Roman"/>
          <w:kern w:val="22"/>
          <w:sz w:val="22"/>
          <w:lang w:val="en-GB"/>
        </w:rPr>
        <w:t>Moon</w:t>
      </w:r>
      <w:r w:rsidR="00DB49E7" w:rsidRPr="002364AB">
        <w:rPr>
          <w:rFonts w:eastAsia="Batang" w:cs="Times New Roman"/>
          <w:kern w:val="22"/>
          <w:sz w:val="22"/>
          <w:lang w:val="en-GB"/>
        </w:rPr>
        <w:t xml:space="preserve"> and others</w:t>
      </w:r>
      <w:r w:rsidR="00805085" w:rsidRPr="002364AB">
        <w:rPr>
          <w:rFonts w:eastAsia="Batang" w:cs="Times New Roman"/>
          <w:kern w:val="22"/>
          <w:sz w:val="22"/>
          <w:lang w:val="en-GB"/>
        </w:rPr>
        <w:t xml:space="preserve">, involving </w:t>
      </w:r>
      <w:r w:rsidR="00A65869" w:rsidRPr="002364AB">
        <w:rPr>
          <w:rFonts w:eastAsia="Batang" w:cs="Times New Roman"/>
          <w:kern w:val="22"/>
          <w:sz w:val="22"/>
          <w:lang w:val="en-GB"/>
        </w:rPr>
        <w:t xml:space="preserve">constructing a biosynthetic pathway to produce glucaric acid in </w:t>
      </w:r>
      <w:r w:rsidR="00A65869" w:rsidRPr="002364AB">
        <w:rPr>
          <w:rFonts w:eastAsia="Batang" w:cs="Times New Roman"/>
          <w:i/>
          <w:iCs/>
          <w:kern w:val="22"/>
          <w:sz w:val="22"/>
          <w:lang w:val="en-GB"/>
        </w:rPr>
        <w:t>E.</w:t>
      </w:r>
      <w:r w:rsidR="00E1230C" w:rsidRPr="002364AB">
        <w:rPr>
          <w:rFonts w:eastAsia="Batang" w:cs="Times New Roman"/>
          <w:i/>
          <w:iCs/>
          <w:kern w:val="22"/>
          <w:sz w:val="22"/>
          <w:lang w:val="en-GB"/>
        </w:rPr>
        <w:t xml:space="preserve"> </w:t>
      </w:r>
      <w:r w:rsidR="00A65869" w:rsidRPr="002364AB">
        <w:rPr>
          <w:rFonts w:eastAsia="Batang" w:cs="Times New Roman"/>
          <w:i/>
          <w:iCs/>
          <w:kern w:val="22"/>
          <w:sz w:val="22"/>
          <w:lang w:val="en-GB"/>
        </w:rPr>
        <w:t>coli</w:t>
      </w:r>
      <w:r w:rsidR="00A65869" w:rsidRPr="002364AB">
        <w:rPr>
          <w:rFonts w:eastAsia="Batang" w:cs="Times New Roman"/>
          <w:kern w:val="22"/>
          <w:sz w:val="22"/>
          <w:lang w:val="en-GB"/>
        </w:rPr>
        <w:t xml:space="preserve">. The method </w:t>
      </w:r>
      <w:r w:rsidR="00E74B6A" w:rsidRPr="002364AB">
        <w:rPr>
          <w:rFonts w:eastAsia="Batang" w:cs="Times New Roman"/>
          <w:kern w:val="22"/>
          <w:sz w:val="22"/>
          <w:lang w:val="en-GB"/>
        </w:rPr>
        <w:t>comprised</w:t>
      </w:r>
      <w:r w:rsidR="00A65869" w:rsidRPr="002364AB">
        <w:rPr>
          <w:rFonts w:eastAsia="Batang" w:cs="Times New Roman"/>
          <w:kern w:val="22"/>
          <w:sz w:val="22"/>
          <w:lang w:val="en-GB"/>
        </w:rPr>
        <w:t xml:space="preserve"> “combining biological parts from disparate organisms”, namely myo‐inositol‐1‐phosphate synthase (I</w:t>
      </w:r>
      <w:r w:rsidR="002079BD" w:rsidRPr="002364AB">
        <w:rPr>
          <w:rFonts w:eastAsia="Batang" w:cs="Times New Roman"/>
          <w:kern w:val="22"/>
          <w:sz w:val="22"/>
          <w:lang w:val="en-GB"/>
        </w:rPr>
        <w:t>NO</w:t>
      </w:r>
      <w:r w:rsidR="00A65869" w:rsidRPr="002364AB">
        <w:rPr>
          <w:rFonts w:eastAsia="Batang" w:cs="Times New Roman"/>
          <w:kern w:val="22"/>
          <w:sz w:val="22"/>
          <w:lang w:val="en-GB"/>
        </w:rPr>
        <w:t>) from </w:t>
      </w:r>
      <w:r w:rsidR="00A65869" w:rsidRPr="002364AB">
        <w:rPr>
          <w:rFonts w:eastAsia="Batang" w:cs="Times New Roman"/>
          <w:i/>
          <w:iCs/>
          <w:kern w:val="22"/>
          <w:sz w:val="22"/>
          <w:lang w:val="en-GB"/>
        </w:rPr>
        <w:t xml:space="preserve">Saccharomyces cerevisiae </w:t>
      </w:r>
      <w:r w:rsidR="00A65869" w:rsidRPr="002364AB">
        <w:rPr>
          <w:rFonts w:eastAsia="Batang" w:cs="Times New Roman"/>
          <w:iCs/>
          <w:kern w:val="22"/>
          <w:sz w:val="22"/>
          <w:lang w:val="en-GB"/>
        </w:rPr>
        <w:t>(yeast)</w:t>
      </w:r>
      <w:r w:rsidR="00A65869" w:rsidRPr="002364AB">
        <w:rPr>
          <w:rFonts w:eastAsia="Batang" w:cs="Times New Roman"/>
          <w:kern w:val="22"/>
          <w:sz w:val="22"/>
          <w:lang w:val="en-GB"/>
        </w:rPr>
        <w:t>, an endogenous </w:t>
      </w:r>
      <w:r w:rsidR="00A65869" w:rsidRPr="002364AB">
        <w:rPr>
          <w:rFonts w:eastAsia="Batang" w:cs="Times New Roman"/>
          <w:i/>
          <w:iCs/>
          <w:kern w:val="22"/>
          <w:sz w:val="22"/>
          <w:lang w:val="en-GB"/>
        </w:rPr>
        <w:t>E. coli</w:t>
      </w:r>
      <w:r w:rsidR="00A65869" w:rsidRPr="002364AB">
        <w:rPr>
          <w:rFonts w:eastAsia="Batang" w:cs="Times New Roman"/>
          <w:kern w:val="22"/>
          <w:sz w:val="22"/>
          <w:lang w:val="en-GB"/>
        </w:rPr>
        <w:t> phosphatase, myo‐inositol oxygenase (</w:t>
      </w:r>
      <w:proofErr w:type="spellStart"/>
      <w:r w:rsidR="00A65869" w:rsidRPr="002364AB">
        <w:rPr>
          <w:rFonts w:eastAsia="Batang" w:cs="Times New Roman"/>
          <w:kern w:val="22"/>
          <w:sz w:val="22"/>
          <w:lang w:val="en-GB"/>
        </w:rPr>
        <w:t>M</w:t>
      </w:r>
      <w:r w:rsidR="002079BD" w:rsidRPr="002364AB">
        <w:rPr>
          <w:rFonts w:eastAsia="Batang" w:cs="Times New Roman"/>
          <w:kern w:val="22"/>
          <w:sz w:val="22"/>
          <w:lang w:val="en-GB"/>
        </w:rPr>
        <w:t>iox</w:t>
      </w:r>
      <w:proofErr w:type="spellEnd"/>
      <w:r w:rsidR="00A65869" w:rsidRPr="002364AB">
        <w:rPr>
          <w:rFonts w:eastAsia="Batang" w:cs="Times New Roman"/>
          <w:kern w:val="22"/>
          <w:sz w:val="22"/>
          <w:lang w:val="en-GB"/>
        </w:rPr>
        <w:t>) from </w:t>
      </w:r>
      <w:r w:rsidR="00A65869" w:rsidRPr="002364AB">
        <w:rPr>
          <w:rFonts w:eastAsia="Batang" w:cs="Times New Roman"/>
          <w:i/>
          <w:iCs/>
          <w:kern w:val="22"/>
          <w:sz w:val="22"/>
          <w:lang w:val="en-GB"/>
        </w:rPr>
        <w:t xml:space="preserve">Mus musculus </w:t>
      </w:r>
      <w:r w:rsidR="00A65869" w:rsidRPr="002364AB">
        <w:rPr>
          <w:rFonts w:eastAsia="Batang" w:cs="Times New Roman"/>
          <w:iCs/>
          <w:kern w:val="22"/>
          <w:sz w:val="22"/>
          <w:lang w:val="en-GB"/>
        </w:rPr>
        <w:t>(mice)</w:t>
      </w:r>
      <w:r w:rsidR="00A65869" w:rsidRPr="002364AB">
        <w:rPr>
          <w:rFonts w:eastAsia="Batang" w:cs="Times New Roman"/>
          <w:kern w:val="22"/>
          <w:sz w:val="22"/>
          <w:lang w:val="en-GB"/>
        </w:rPr>
        <w:t xml:space="preserve"> and </w:t>
      </w:r>
      <w:proofErr w:type="spellStart"/>
      <w:r w:rsidR="00A65869" w:rsidRPr="002364AB">
        <w:rPr>
          <w:rFonts w:eastAsia="Batang" w:cs="Times New Roman"/>
          <w:kern w:val="22"/>
          <w:sz w:val="22"/>
          <w:lang w:val="en-GB"/>
        </w:rPr>
        <w:t>uronate</w:t>
      </w:r>
      <w:proofErr w:type="spellEnd"/>
      <w:r w:rsidR="00A65869" w:rsidRPr="002364AB">
        <w:rPr>
          <w:rFonts w:eastAsia="Batang" w:cs="Times New Roman"/>
          <w:kern w:val="22"/>
          <w:sz w:val="22"/>
          <w:lang w:val="en-GB"/>
        </w:rPr>
        <w:t xml:space="preserve"> dehydrogenase (</w:t>
      </w:r>
      <w:proofErr w:type="spellStart"/>
      <w:r w:rsidR="00A65869" w:rsidRPr="002364AB">
        <w:rPr>
          <w:rFonts w:eastAsia="Batang" w:cs="Times New Roman"/>
          <w:kern w:val="22"/>
          <w:sz w:val="22"/>
          <w:lang w:val="en-GB"/>
        </w:rPr>
        <w:t>udh</w:t>
      </w:r>
      <w:proofErr w:type="spellEnd"/>
      <w:r w:rsidR="00A65869" w:rsidRPr="002364AB">
        <w:rPr>
          <w:rFonts w:eastAsia="Batang" w:cs="Times New Roman"/>
          <w:kern w:val="22"/>
          <w:sz w:val="22"/>
          <w:lang w:val="en-GB"/>
        </w:rPr>
        <w:t>) from </w:t>
      </w:r>
      <w:r w:rsidR="00A65869" w:rsidRPr="002364AB">
        <w:rPr>
          <w:rFonts w:eastAsia="Batang" w:cs="Times New Roman"/>
          <w:i/>
          <w:iCs/>
          <w:kern w:val="22"/>
          <w:sz w:val="22"/>
          <w:lang w:val="en-GB"/>
        </w:rPr>
        <w:t xml:space="preserve">Pseudomonas </w:t>
      </w:r>
      <w:proofErr w:type="spellStart"/>
      <w:r w:rsidR="00A65869" w:rsidRPr="002364AB">
        <w:rPr>
          <w:rFonts w:eastAsia="Batang" w:cs="Times New Roman"/>
          <w:i/>
          <w:iCs/>
          <w:kern w:val="22"/>
          <w:sz w:val="22"/>
          <w:lang w:val="en-GB"/>
        </w:rPr>
        <w:t>syringae</w:t>
      </w:r>
      <w:proofErr w:type="spellEnd"/>
      <w:r w:rsidR="00A65869" w:rsidRPr="002364AB">
        <w:rPr>
          <w:rFonts w:eastAsia="Batang" w:cs="Times New Roman"/>
          <w:kern w:val="22"/>
          <w:sz w:val="22"/>
          <w:lang w:val="en-GB"/>
        </w:rPr>
        <w:t>.</w:t>
      </w:r>
      <w:r w:rsidR="00A65869" w:rsidRPr="002364AB">
        <w:rPr>
          <w:rStyle w:val="FootnoteReference"/>
          <w:kern w:val="22"/>
          <w:sz w:val="22"/>
          <w:lang w:val="en-GB"/>
        </w:rPr>
        <w:footnoteReference w:id="156"/>
      </w:r>
      <w:r w:rsidR="00A65869" w:rsidRPr="002364AB">
        <w:rPr>
          <w:rFonts w:eastAsia="Batang" w:cs="Times New Roman"/>
          <w:kern w:val="22"/>
          <w:sz w:val="22"/>
          <w:lang w:val="en-GB"/>
        </w:rPr>
        <w:t xml:space="preserve"> Glucaric acid is used </w:t>
      </w:r>
      <w:r w:rsidR="00970E51" w:rsidRPr="002364AB">
        <w:rPr>
          <w:rFonts w:eastAsia="Batang" w:cs="Times New Roman"/>
          <w:kern w:val="22"/>
          <w:sz w:val="22"/>
          <w:lang w:val="en-GB"/>
        </w:rPr>
        <w:t xml:space="preserve">in commercial products and </w:t>
      </w:r>
      <w:r w:rsidR="00A65869" w:rsidRPr="002364AB">
        <w:rPr>
          <w:rFonts w:eastAsia="Batang" w:cs="Times New Roman"/>
          <w:kern w:val="22"/>
          <w:sz w:val="22"/>
          <w:lang w:val="en-GB"/>
        </w:rPr>
        <w:t>also has been studied for therapeutic uses in cancer and cholesterol-lowering treatments.</w:t>
      </w:r>
      <w:r w:rsidR="00A65869" w:rsidRPr="002364AB">
        <w:rPr>
          <w:rStyle w:val="FootnoteReference"/>
          <w:kern w:val="22"/>
          <w:sz w:val="22"/>
          <w:lang w:val="en-GB"/>
        </w:rPr>
        <w:footnoteReference w:id="157"/>
      </w:r>
      <w:r w:rsidR="00A65869" w:rsidRPr="002364AB">
        <w:rPr>
          <w:rFonts w:eastAsia="Batang" w:cs="Times New Roman"/>
          <w:kern w:val="22"/>
          <w:sz w:val="22"/>
          <w:lang w:val="en-GB"/>
        </w:rPr>
        <w:t xml:space="preserve"> </w:t>
      </w:r>
      <w:r w:rsidRPr="002364AB">
        <w:rPr>
          <w:rFonts w:eastAsia="Batang" w:cs="Times New Roman"/>
          <w:kern w:val="22"/>
          <w:sz w:val="22"/>
          <w:lang w:val="en-GB"/>
        </w:rPr>
        <w:t>Development of the</w:t>
      </w:r>
      <w:r w:rsidR="00A65869" w:rsidRPr="002364AB">
        <w:rPr>
          <w:rFonts w:eastAsia="Batang" w:cs="Times New Roman"/>
          <w:kern w:val="22"/>
          <w:sz w:val="22"/>
          <w:lang w:val="en-GB"/>
        </w:rPr>
        <w:t xml:space="preserve"> glucaric acid biosynthetic pathway required no physical material from any of the species </w:t>
      </w:r>
      <w:r w:rsidRPr="002364AB">
        <w:rPr>
          <w:rFonts w:eastAsia="Batang" w:cs="Times New Roman"/>
          <w:kern w:val="22"/>
          <w:sz w:val="22"/>
          <w:lang w:val="en-GB"/>
        </w:rPr>
        <w:t>whose DNA was</w:t>
      </w:r>
      <w:r w:rsidR="00A65869" w:rsidRPr="002364AB">
        <w:rPr>
          <w:rFonts w:eastAsia="Batang" w:cs="Times New Roman"/>
          <w:kern w:val="22"/>
          <w:sz w:val="22"/>
          <w:lang w:val="en-GB"/>
        </w:rPr>
        <w:t xml:space="preserve"> incorporated into the </w:t>
      </w:r>
      <w:r w:rsidR="00A65869" w:rsidRPr="002364AB">
        <w:rPr>
          <w:rFonts w:eastAsia="Batang" w:cs="Times New Roman"/>
          <w:i/>
          <w:iCs/>
          <w:kern w:val="22"/>
          <w:sz w:val="22"/>
          <w:lang w:val="en-GB"/>
        </w:rPr>
        <w:t>E. coli</w:t>
      </w:r>
      <w:r w:rsidR="00A65869" w:rsidRPr="002364AB">
        <w:rPr>
          <w:rFonts w:eastAsia="Batang" w:cs="Times New Roman"/>
          <w:kern w:val="22"/>
          <w:sz w:val="22"/>
          <w:lang w:val="en-GB"/>
        </w:rPr>
        <w:t>.</w:t>
      </w:r>
      <w:r w:rsidR="00A65869" w:rsidRPr="002364AB">
        <w:rPr>
          <w:rFonts w:eastAsia="Batang" w:cs="Times New Roman"/>
          <w:kern w:val="22"/>
          <w:sz w:val="22"/>
          <w:vertAlign w:val="superscript"/>
          <w:lang w:val="en-GB"/>
        </w:rPr>
        <w:t xml:space="preserve"> </w:t>
      </w:r>
      <w:r w:rsidR="00A65869" w:rsidRPr="002364AB">
        <w:rPr>
          <w:rStyle w:val="FootnoteReference"/>
          <w:kern w:val="22"/>
          <w:sz w:val="22"/>
          <w:lang w:val="en-GB"/>
        </w:rPr>
        <w:footnoteReference w:id="158"/>
      </w:r>
      <w:r w:rsidR="00A65869" w:rsidRPr="002364AB">
        <w:rPr>
          <w:rFonts w:eastAsia="Batang" w:cs="Times New Roman"/>
          <w:kern w:val="22"/>
          <w:sz w:val="22"/>
          <w:lang w:val="en-GB"/>
        </w:rPr>
        <w:t xml:space="preserve"> Furthermore, the final glucaric acid product is indistinguishable from other glucaric acid products. Therefore, if this biosynthetic system were incorporated into a glucaric acid manufacturing pipeline, there would be no way to know from the product that DSI from several species had been used in its production.</w:t>
      </w:r>
    </w:p>
    <w:p w14:paraId="685A7102" w14:textId="256D6FDC" w:rsidR="00442FE9" w:rsidRPr="002364AB" w:rsidRDefault="00442FE9" w:rsidP="008713DC">
      <w:pPr>
        <w:spacing w:after="120"/>
        <w:rPr>
          <w:rFonts w:eastAsia="Batang" w:cs="Times New Roman"/>
          <w:i/>
          <w:kern w:val="22"/>
          <w:sz w:val="22"/>
          <w:lang w:val="en-GB"/>
        </w:rPr>
      </w:pPr>
      <w:r w:rsidRPr="002364AB">
        <w:rPr>
          <w:rFonts w:eastAsia="Batang" w:cs="Times New Roman"/>
          <w:i/>
          <w:kern w:val="22"/>
          <w:sz w:val="22"/>
          <w:lang w:val="en-GB"/>
        </w:rPr>
        <w:t>Bioethanol production</w:t>
      </w:r>
    </w:p>
    <w:p w14:paraId="2E2D005E" w14:textId="6244CE32" w:rsidR="006D5F9A" w:rsidRPr="002364AB" w:rsidRDefault="008713DC" w:rsidP="008713DC">
      <w:pPr>
        <w:spacing w:after="120"/>
        <w:rPr>
          <w:rFonts w:eastAsia="Batang" w:cs="Times New Roman"/>
          <w:kern w:val="22"/>
          <w:sz w:val="22"/>
          <w:lang w:val="en-GB"/>
        </w:rPr>
      </w:pPr>
      <w:r w:rsidRPr="002364AB">
        <w:rPr>
          <w:rFonts w:eastAsia="Batang" w:cs="Times New Roman"/>
          <w:kern w:val="22"/>
          <w:sz w:val="22"/>
          <w:lang w:val="en-GB"/>
        </w:rPr>
        <w:t xml:space="preserve">A recent study </w:t>
      </w:r>
      <w:r w:rsidR="006D5F9A" w:rsidRPr="002364AB">
        <w:rPr>
          <w:rFonts w:eastAsia="Batang" w:cs="Times New Roman"/>
          <w:kern w:val="22"/>
          <w:sz w:val="22"/>
          <w:lang w:val="en-GB"/>
        </w:rPr>
        <w:t>commissioned by the CBD Secretariat pursuant to decision 14/20, para 11(b), identified another pertinent example involving the production of bioethanol. It notes:</w:t>
      </w:r>
    </w:p>
    <w:p w14:paraId="04A73666" w14:textId="5ED2F5DA" w:rsidR="006D5F9A" w:rsidRPr="002364AB" w:rsidRDefault="006D5F9A" w:rsidP="007D10F9">
      <w:pPr>
        <w:spacing w:after="120"/>
        <w:ind w:left="432" w:right="432"/>
        <w:rPr>
          <w:rFonts w:eastAsia="Batang" w:cs="Times New Roman"/>
          <w:kern w:val="22"/>
          <w:sz w:val="22"/>
          <w:lang w:val="en-GB"/>
        </w:rPr>
      </w:pPr>
      <w:r w:rsidRPr="002364AB">
        <w:rPr>
          <w:rFonts w:eastAsia="Batang" w:cs="Times New Roman"/>
          <w:kern w:val="22"/>
          <w:sz w:val="22"/>
          <w:lang w:val="en-GB"/>
        </w:rPr>
        <w:t>Related genes from different organisms can be ‘shuffled’ to produce ‘chimeric’ enzymes. These can be tested to determine if they have increased productivity, in this case the production of bioethanol. These genes can be reshuffled until enzyme activity is optimized. Shuffled genes that express chimeric enzymes are difficult to trace back to an originating DNA sequence as this is a product of the gene families used and the shuffling process.</w:t>
      </w:r>
      <w:r w:rsidRPr="002364AB">
        <w:rPr>
          <w:rStyle w:val="FootnoteReference"/>
          <w:rFonts w:eastAsia="Batang" w:cs="Times New Roman"/>
          <w:kern w:val="22"/>
          <w:sz w:val="22"/>
          <w:lang w:val="en-GB"/>
        </w:rPr>
        <w:footnoteReference w:id="159"/>
      </w:r>
    </w:p>
    <w:p w14:paraId="682808FD" w14:textId="5BA1303F" w:rsidR="00784AE0" w:rsidRPr="002364AB" w:rsidRDefault="006C74E1" w:rsidP="006C74E1">
      <w:pPr>
        <w:rPr>
          <w:rFonts w:eastAsia="Times New Roman" w:cs="Times New Roman"/>
          <w:color w:val="000000"/>
          <w:kern w:val="22"/>
          <w:sz w:val="22"/>
          <w:lang w:val="en-GB"/>
        </w:rPr>
      </w:pPr>
      <w:r w:rsidRPr="002364AB">
        <w:rPr>
          <w:rFonts w:eastAsia="Batang" w:cs="Times New Roman"/>
          <w:color w:val="000000"/>
          <w:kern w:val="22"/>
          <w:sz w:val="22"/>
          <w:lang w:val="en-GB"/>
        </w:rPr>
        <w:t xml:space="preserve">Production of alcohol-based energy precursors using synthetic biology can also be accomplished using genes from non-model organisms. For example, one “next generation” biofuel is </w:t>
      </w:r>
      <w:proofErr w:type="spellStart"/>
      <w:r w:rsidRPr="002364AB">
        <w:rPr>
          <w:rFonts w:eastAsia="Batang" w:cs="Times New Roman"/>
          <w:color w:val="000000"/>
          <w:kern w:val="22"/>
          <w:sz w:val="22"/>
          <w:lang w:val="en-GB"/>
        </w:rPr>
        <w:t>isobutanol</w:t>
      </w:r>
      <w:proofErr w:type="spellEnd"/>
      <w:r w:rsidRPr="002364AB">
        <w:rPr>
          <w:rFonts w:eastAsia="Batang" w:cs="Times New Roman"/>
          <w:color w:val="000000"/>
          <w:kern w:val="22"/>
          <w:sz w:val="22"/>
          <w:lang w:val="en-GB"/>
        </w:rPr>
        <w:t>, which can be produced in a variety of organisms.</w:t>
      </w:r>
      <w:r w:rsidRPr="002364AB">
        <w:rPr>
          <w:rFonts w:eastAsia="Batang" w:cs="Times New Roman"/>
          <w:color w:val="000000"/>
          <w:kern w:val="22"/>
          <w:sz w:val="22"/>
          <w:vertAlign w:val="superscript"/>
          <w:lang w:val="en-GB"/>
        </w:rPr>
        <w:footnoteReference w:id="160"/>
      </w:r>
      <w:r w:rsidRPr="002364AB">
        <w:rPr>
          <w:rFonts w:eastAsia="Batang" w:cs="Times New Roman"/>
          <w:color w:val="000000"/>
          <w:kern w:val="22"/>
          <w:sz w:val="22"/>
          <w:lang w:val="en-GB"/>
        </w:rPr>
        <w:t xml:space="preserve"> Although the </w:t>
      </w:r>
      <w:proofErr w:type="spellStart"/>
      <w:r w:rsidRPr="002364AB">
        <w:rPr>
          <w:rFonts w:eastAsia="Batang" w:cs="Times New Roman"/>
          <w:color w:val="000000"/>
          <w:kern w:val="22"/>
          <w:sz w:val="22"/>
          <w:lang w:val="en-GB"/>
        </w:rPr>
        <w:t>isobutanol</w:t>
      </w:r>
      <w:proofErr w:type="spellEnd"/>
      <w:r w:rsidRPr="002364AB">
        <w:rPr>
          <w:rFonts w:eastAsia="Batang" w:cs="Times New Roman"/>
          <w:color w:val="000000"/>
          <w:kern w:val="22"/>
          <w:sz w:val="22"/>
          <w:lang w:val="en-GB"/>
        </w:rPr>
        <w:t xml:space="preserve"> pathway has been produced in model organisms such as </w:t>
      </w:r>
      <w:r w:rsidRPr="002364AB">
        <w:rPr>
          <w:rFonts w:eastAsia="Times New Roman" w:cs="Times New Roman"/>
          <w:i/>
          <w:iCs/>
          <w:color w:val="000000"/>
          <w:kern w:val="22"/>
          <w:sz w:val="22"/>
          <w:lang w:val="en-GB"/>
        </w:rPr>
        <w:t>E</w:t>
      </w:r>
      <w:r w:rsidR="002079BD" w:rsidRPr="002364AB">
        <w:rPr>
          <w:rFonts w:eastAsia="Times New Roman" w:cs="Times New Roman"/>
          <w:i/>
          <w:iCs/>
          <w:color w:val="000000"/>
          <w:kern w:val="22"/>
          <w:sz w:val="22"/>
          <w:lang w:val="en-GB"/>
        </w:rPr>
        <w:t>.</w:t>
      </w:r>
      <w:r w:rsidRPr="002364AB">
        <w:rPr>
          <w:rFonts w:eastAsia="Times New Roman" w:cs="Times New Roman"/>
          <w:i/>
          <w:iCs/>
          <w:color w:val="000000"/>
          <w:kern w:val="22"/>
          <w:sz w:val="22"/>
          <w:lang w:val="en-GB"/>
        </w:rPr>
        <w:t>coli</w:t>
      </w:r>
      <w:r w:rsidRPr="002364AB">
        <w:rPr>
          <w:rFonts w:eastAsia="Times New Roman" w:cs="Times New Roman"/>
          <w:color w:val="000000"/>
          <w:kern w:val="22"/>
          <w:sz w:val="22"/>
          <w:lang w:val="en-GB"/>
        </w:rPr>
        <w:t xml:space="preserve"> and </w:t>
      </w:r>
      <w:r w:rsidRPr="002364AB">
        <w:rPr>
          <w:rFonts w:eastAsia="Times New Roman" w:cs="Times New Roman"/>
          <w:i/>
          <w:iCs/>
          <w:color w:val="000000"/>
          <w:kern w:val="22"/>
          <w:sz w:val="22"/>
          <w:lang w:val="en-GB"/>
        </w:rPr>
        <w:t>S</w:t>
      </w:r>
      <w:r w:rsidR="002079BD" w:rsidRPr="002364AB">
        <w:rPr>
          <w:rFonts w:eastAsia="Times New Roman" w:cs="Times New Roman"/>
          <w:i/>
          <w:iCs/>
          <w:color w:val="000000"/>
          <w:kern w:val="22"/>
          <w:sz w:val="22"/>
          <w:lang w:val="en-GB"/>
        </w:rPr>
        <w:t>.</w:t>
      </w:r>
      <w:r w:rsidRPr="002364AB">
        <w:rPr>
          <w:rFonts w:eastAsia="Times New Roman" w:cs="Times New Roman"/>
          <w:i/>
          <w:iCs/>
          <w:color w:val="000000"/>
          <w:kern w:val="22"/>
          <w:sz w:val="22"/>
          <w:lang w:val="en-GB"/>
        </w:rPr>
        <w:t xml:space="preserve"> cerevisiae</w:t>
      </w:r>
      <w:r w:rsidRPr="002364AB">
        <w:rPr>
          <w:rFonts w:eastAsia="Times New Roman" w:cs="Times New Roman"/>
          <w:color w:val="000000"/>
          <w:kern w:val="22"/>
          <w:sz w:val="22"/>
          <w:lang w:val="en-GB"/>
        </w:rPr>
        <w:t xml:space="preserve">, it has also been used in organisms that are not normally considered model organisms, such as </w:t>
      </w:r>
      <w:r w:rsidRPr="002364AB">
        <w:rPr>
          <w:rFonts w:eastAsia="Times New Roman" w:cs="Times New Roman"/>
          <w:i/>
          <w:iCs/>
          <w:color w:val="000000"/>
          <w:kern w:val="22"/>
          <w:sz w:val="22"/>
          <w:lang w:val="en-GB"/>
        </w:rPr>
        <w:t xml:space="preserve">Klebsiella </w:t>
      </w:r>
      <w:proofErr w:type="spellStart"/>
      <w:r w:rsidRPr="002364AB">
        <w:rPr>
          <w:rFonts w:eastAsia="Times New Roman" w:cs="Times New Roman"/>
          <w:i/>
          <w:iCs/>
          <w:color w:val="000000"/>
          <w:kern w:val="22"/>
          <w:sz w:val="22"/>
          <w:lang w:val="en-GB"/>
        </w:rPr>
        <w:t>oxytoca</w:t>
      </w:r>
      <w:proofErr w:type="spellEnd"/>
      <w:r w:rsidRPr="002364AB">
        <w:rPr>
          <w:rFonts w:eastAsia="Times New Roman" w:cs="Times New Roman"/>
          <w:color w:val="000000"/>
          <w:kern w:val="22"/>
          <w:sz w:val="22"/>
          <w:lang w:val="en-GB"/>
        </w:rPr>
        <w:t> and </w:t>
      </w:r>
      <w:proofErr w:type="spellStart"/>
      <w:r w:rsidRPr="002364AB">
        <w:rPr>
          <w:rFonts w:eastAsia="Times New Roman" w:cs="Times New Roman"/>
          <w:i/>
          <w:iCs/>
          <w:color w:val="000000"/>
          <w:kern w:val="22"/>
          <w:sz w:val="22"/>
          <w:lang w:val="en-GB"/>
        </w:rPr>
        <w:t>Synecococcus</w:t>
      </w:r>
      <w:proofErr w:type="spellEnd"/>
      <w:r w:rsidRPr="002364AB">
        <w:rPr>
          <w:rFonts w:eastAsia="Times New Roman" w:cs="Times New Roman"/>
          <w:i/>
          <w:iCs/>
          <w:color w:val="000000"/>
          <w:kern w:val="22"/>
          <w:sz w:val="22"/>
          <w:lang w:val="en-GB"/>
        </w:rPr>
        <w:t xml:space="preserve"> elongatus</w:t>
      </w:r>
      <w:r w:rsidRPr="002364AB">
        <w:rPr>
          <w:rFonts w:eastAsia="Times New Roman" w:cs="Times New Roman"/>
          <w:color w:val="000000"/>
          <w:kern w:val="22"/>
          <w:sz w:val="22"/>
          <w:lang w:val="en-GB"/>
        </w:rPr>
        <w:t>.</w:t>
      </w:r>
      <w:r w:rsidRPr="002364AB">
        <w:rPr>
          <w:rFonts w:eastAsia="Times New Roman" w:cs="Times New Roman"/>
          <w:color w:val="000000"/>
          <w:kern w:val="22"/>
          <w:sz w:val="22"/>
          <w:vertAlign w:val="superscript"/>
          <w:lang w:val="en-GB"/>
        </w:rPr>
        <w:footnoteReference w:id="161"/>
      </w:r>
      <w:r w:rsidRPr="002364AB">
        <w:rPr>
          <w:rFonts w:eastAsia="Times New Roman" w:cs="Times New Roman"/>
          <w:color w:val="000000"/>
          <w:kern w:val="22"/>
          <w:sz w:val="22"/>
          <w:lang w:val="en-GB"/>
        </w:rPr>
        <w:t xml:space="preserve"> One study, funded in part by the Department of Energy and the Great Lakes Bioenergy Research </w:t>
      </w:r>
      <w:proofErr w:type="spellStart"/>
      <w:r w:rsidRPr="002364AB">
        <w:rPr>
          <w:rFonts w:eastAsia="Times New Roman" w:cs="Times New Roman"/>
          <w:color w:val="000000"/>
          <w:kern w:val="22"/>
          <w:sz w:val="22"/>
          <w:lang w:val="en-GB"/>
        </w:rPr>
        <w:t>Center</w:t>
      </w:r>
      <w:proofErr w:type="spellEnd"/>
      <w:r w:rsidRPr="002364AB">
        <w:rPr>
          <w:rFonts w:eastAsia="Times New Roman" w:cs="Times New Roman"/>
          <w:color w:val="000000"/>
          <w:kern w:val="22"/>
          <w:sz w:val="22"/>
          <w:lang w:val="en-GB"/>
        </w:rPr>
        <w:t xml:space="preserve">, describes methods for maximizing the productivity of the </w:t>
      </w:r>
      <w:proofErr w:type="spellStart"/>
      <w:r w:rsidRPr="002364AB">
        <w:rPr>
          <w:rFonts w:eastAsia="Times New Roman" w:cs="Times New Roman"/>
          <w:color w:val="000000"/>
          <w:kern w:val="22"/>
          <w:sz w:val="22"/>
          <w:lang w:val="en-GB"/>
        </w:rPr>
        <w:t>isobutanol</w:t>
      </w:r>
      <w:proofErr w:type="spellEnd"/>
      <w:r w:rsidRPr="002364AB">
        <w:rPr>
          <w:rFonts w:eastAsia="Times New Roman" w:cs="Times New Roman"/>
          <w:color w:val="000000"/>
          <w:kern w:val="22"/>
          <w:sz w:val="22"/>
          <w:lang w:val="en-GB"/>
        </w:rPr>
        <w:t xml:space="preserve"> pathway, with applicability to industrial biofuel production.</w:t>
      </w:r>
      <w:r w:rsidRPr="002364AB">
        <w:rPr>
          <w:rFonts w:eastAsia="Times New Roman" w:cs="Times New Roman"/>
          <w:color w:val="000000"/>
          <w:kern w:val="22"/>
          <w:sz w:val="22"/>
          <w:vertAlign w:val="superscript"/>
          <w:lang w:val="en-GB"/>
        </w:rPr>
        <w:footnoteReference w:id="162"/>
      </w:r>
      <w:r w:rsidRPr="002364AB">
        <w:rPr>
          <w:rFonts w:eastAsia="Times New Roman" w:cs="Times New Roman"/>
          <w:color w:val="000000"/>
          <w:kern w:val="22"/>
          <w:sz w:val="22"/>
          <w:lang w:val="en-GB"/>
        </w:rPr>
        <w:t xml:space="preserve"> This method includes the use of genes from </w:t>
      </w:r>
      <w:r w:rsidRPr="002364AB">
        <w:rPr>
          <w:rFonts w:eastAsia="Times New Roman" w:cs="Times New Roman"/>
          <w:i/>
          <w:color w:val="000000"/>
          <w:kern w:val="22"/>
          <w:sz w:val="22"/>
          <w:lang w:val="en-GB"/>
        </w:rPr>
        <w:t>B. subtilis</w:t>
      </w:r>
      <w:r w:rsidRPr="002364AB">
        <w:rPr>
          <w:rFonts w:eastAsia="Times New Roman" w:cs="Times New Roman"/>
          <w:color w:val="000000"/>
          <w:kern w:val="22"/>
          <w:sz w:val="22"/>
          <w:lang w:val="en-GB"/>
        </w:rPr>
        <w:t xml:space="preserve">, </w:t>
      </w:r>
      <w:r w:rsidRPr="002364AB">
        <w:rPr>
          <w:rFonts w:eastAsia="Times New Roman" w:cs="Times New Roman"/>
          <w:i/>
          <w:color w:val="000000"/>
          <w:kern w:val="22"/>
          <w:sz w:val="22"/>
          <w:lang w:val="en-GB"/>
        </w:rPr>
        <w:t>E. coli</w:t>
      </w:r>
      <w:r w:rsidRPr="002364AB">
        <w:rPr>
          <w:rFonts w:eastAsia="Times New Roman" w:cs="Times New Roman"/>
          <w:color w:val="000000"/>
          <w:kern w:val="22"/>
          <w:sz w:val="22"/>
          <w:lang w:val="en-GB"/>
        </w:rPr>
        <w:t xml:space="preserve">, and </w:t>
      </w:r>
      <w:r w:rsidRPr="002364AB">
        <w:rPr>
          <w:rFonts w:eastAsia="Times New Roman" w:cs="Times New Roman"/>
          <w:i/>
          <w:color w:val="000000"/>
          <w:kern w:val="22"/>
          <w:sz w:val="22"/>
          <w:lang w:val="en-GB"/>
        </w:rPr>
        <w:t>L. lactis</w:t>
      </w:r>
      <w:r w:rsidRPr="002364AB">
        <w:rPr>
          <w:rFonts w:eastAsia="Times New Roman" w:cs="Times New Roman"/>
          <w:color w:val="000000"/>
          <w:kern w:val="22"/>
          <w:sz w:val="22"/>
          <w:lang w:val="en-GB"/>
        </w:rPr>
        <w:t xml:space="preserve">. It also includes the use of engineered genetic ribosome binding site (RBS) sequences fused to the open reading frames </w:t>
      </w:r>
      <w:r w:rsidR="0093430D" w:rsidRPr="002364AB">
        <w:rPr>
          <w:rFonts w:eastAsia="Times New Roman" w:cs="Times New Roman"/>
          <w:color w:val="000000"/>
          <w:kern w:val="22"/>
          <w:sz w:val="22"/>
          <w:lang w:val="en-GB"/>
        </w:rPr>
        <w:t xml:space="preserve">(ORF) </w:t>
      </w:r>
      <w:r w:rsidRPr="002364AB">
        <w:rPr>
          <w:rFonts w:eastAsia="Times New Roman" w:cs="Times New Roman"/>
          <w:color w:val="000000"/>
          <w:kern w:val="22"/>
          <w:sz w:val="22"/>
          <w:lang w:val="en-GB"/>
        </w:rPr>
        <w:t>of each gene from the aforementioned</w:t>
      </w:r>
      <w:r w:rsidR="00CA314F" w:rsidRPr="002364AB">
        <w:rPr>
          <w:rFonts w:eastAsia="Times New Roman" w:cs="Times New Roman"/>
          <w:color w:val="000000"/>
          <w:kern w:val="22"/>
          <w:sz w:val="22"/>
          <w:lang w:val="en-GB"/>
        </w:rPr>
        <w:t>-</w:t>
      </w:r>
      <w:r w:rsidRPr="002364AB">
        <w:rPr>
          <w:rFonts w:eastAsia="Times New Roman" w:cs="Times New Roman"/>
          <w:color w:val="000000"/>
          <w:kern w:val="22"/>
          <w:sz w:val="22"/>
          <w:lang w:val="en-GB"/>
        </w:rPr>
        <w:t xml:space="preserve">bacterial species. </w:t>
      </w:r>
    </w:p>
    <w:p w14:paraId="02C1DD59" w14:textId="533387CD" w:rsidR="006C74E1" w:rsidRPr="002364AB" w:rsidRDefault="006C74E1" w:rsidP="006C74E1">
      <w:pPr>
        <w:rPr>
          <w:rFonts w:eastAsia="Times New Roman" w:cs="Times New Roman"/>
          <w:color w:val="000000"/>
          <w:kern w:val="22"/>
          <w:sz w:val="22"/>
          <w:lang w:val="en-GB"/>
        </w:rPr>
      </w:pPr>
      <w:r w:rsidRPr="002364AB">
        <w:rPr>
          <w:rFonts w:eastAsia="Times New Roman" w:cs="Times New Roman"/>
          <w:color w:val="000000"/>
          <w:kern w:val="22"/>
          <w:sz w:val="22"/>
          <w:lang w:val="en-GB"/>
        </w:rPr>
        <w:t xml:space="preserve">The RBS-ORF fragments were used in an expression library containing 243 unique combinations. The study also </w:t>
      </w:r>
      <w:proofErr w:type="spellStart"/>
      <w:r w:rsidRPr="002364AB">
        <w:rPr>
          <w:rFonts w:eastAsia="Times New Roman" w:cs="Times New Roman"/>
          <w:color w:val="000000"/>
          <w:kern w:val="22"/>
          <w:sz w:val="22"/>
          <w:lang w:val="en-GB"/>
        </w:rPr>
        <w:t>analyzed</w:t>
      </w:r>
      <w:proofErr w:type="spellEnd"/>
      <w:r w:rsidRPr="002364AB">
        <w:rPr>
          <w:rFonts w:eastAsia="Times New Roman" w:cs="Times New Roman"/>
          <w:color w:val="000000"/>
          <w:kern w:val="22"/>
          <w:sz w:val="22"/>
          <w:lang w:val="en-GB"/>
        </w:rPr>
        <w:t xml:space="preserve"> variants of </w:t>
      </w:r>
      <w:proofErr w:type="spellStart"/>
      <w:r w:rsidRPr="002364AB">
        <w:rPr>
          <w:rFonts w:eastAsia="Times New Roman" w:cs="Times New Roman"/>
          <w:color w:val="000000"/>
          <w:kern w:val="22"/>
          <w:sz w:val="22"/>
          <w:lang w:val="en-GB"/>
        </w:rPr>
        <w:t>isobutanol</w:t>
      </w:r>
      <w:proofErr w:type="spellEnd"/>
      <w:r w:rsidRPr="002364AB">
        <w:rPr>
          <w:rFonts w:eastAsia="Times New Roman" w:cs="Times New Roman"/>
          <w:color w:val="000000"/>
          <w:kern w:val="22"/>
          <w:sz w:val="22"/>
          <w:lang w:val="en-GB"/>
        </w:rPr>
        <w:t xml:space="preserve"> enzymes by using PCR mutagenesis to create approximately 10</w:t>
      </w:r>
      <w:r w:rsidRPr="002364AB">
        <w:rPr>
          <w:rFonts w:eastAsia="Times New Roman" w:cs="Times New Roman"/>
          <w:color w:val="000000"/>
          <w:kern w:val="22"/>
          <w:sz w:val="22"/>
          <w:vertAlign w:val="superscript"/>
          <w:lang w:val="en-GB"/>
        </w:rPr>
        <w:t>6</w:t>
      </w:r>
      <w:r w:rsidRPr="002364AB">
        <w:rPr>
          <w:rFonts w:eastAsia="Times New Roman" w:cs="Times New Roman"/>
          <w:color w:val="000000"/>
          <w:kern w:val="22"/>
          <w:sz w:val="22"/>
          <w:lang w:val="en-GB"/>
        </w:rPr>
        <w:t xml:space="preserve"> coding sequence variants. The study thereby screened many combinations of genetic material to identify combinations leading to maximum </w:t>
      </w:r>
      <w:proofErr w:type="spellStart"/>
      <w:r w:rsidRPr="002364AB">
        <w:rPr>
          <w:rFonts w:eastAsia="Times New Roman" w:cs="Times New Roman"/>
          <w:color w:val="000000"/>
          <w:kern w:val="22"/>
          <w:sz w:val="22"/>
          <w:lang w:val="en-GB"/>
        </w:rPr>
        <w:t>isobutanol</w:t>
      </w:r>
      <w:proofErr w:type="spellEnd"/>
      <w:r w:rsidRPr="002364AB">
        <w:rPr>
          <w:rFonts w:eastAsia="Times New Roman" w:cs="Times New Roman"/>
          <w:color w:val="000000"/>
          <w:kern w:val="22"/>
          <w:sz w:val="22"/>
          <w:lang w:val="en-GB"/>
        </w:rPr>
        <w:t xml:space="preserve"> production. Thus, this method of biofuel production, which may be of critical commercial importance in the energy industry, uses genetic components from multiple different species </w:t>
      </w:r>
      <w:proofErr w:type="gramStart"/>
      <w:r w:rsidRPr="002364AB">
        <w:rPr>
          <w:rFonts w:eastAsia="Times New Roman" w:cs="Times New Roman"/>
          <w:color w:val="000000"/>
          <w:kern w:val="22"/>
          <w:sz w:val="22"/>
          <w:lang w:val="en-GB"/>
        </w:rPr>
        <w:t>and also</w:t>
      </w:r>
      <w:proofErr w:type="gramEnd"/>
      <w:r w:rsidRPr="002364AB">
        <w:rPr>
          <w:rFonts w:eastAsia="Times New Roman" w:cs="Times New Roman"/>
          <w:color w:val="000000"/>
          <w:kern w:val="22"/>
          <w:sz w:val="22"/>
          <w:lang w:val="en-GB"/>
        </w:rPr>
        <w:t xml:space="preserve"> utilizes vast amounts </w:t>
      </w:r>
      <w:r w:rsidR="00784AE0" w:rsidRPr="002364AB">
        <w:rPr>
          <w:rFonts w:eastAsia="Times New Roman" w:cs="Times New Roman"/>
          <w:color w:val="000000"/>
          <w:kern w:val="22"/>
          <w:sz w:val="22"/>
          <w:lang w:val="en-GB"/>
        </w:rPr>
        <w:t xml:space="preserve">of </w:t>
      </w:r>
      <w:r w:rsidRPr="002364AB">
        <w:rPr>
          <w:rFonts w:eastAsia="Times New Roman" w:cs="Times New Roman"/>
          <w:color w:val="000000"/>
          <w:kern w:val="22"/>
          <w:sz w:val="22"/>
          <w:lang w:val="en-GB"/>
        </w:rPr>
        <w:t>genetic information without the need for physical access to the genetic resources.</w:t>
      </w:r>
    </w:p>
    <w:p w14:paraId="2A5D1897" w14:textId="4AF1E786" w:rsidR="00442FE9" w:rsidRPr="002364AB" w:rsidRDefault="00442FE9" w:rsidP="007D10F9">
      <w:pPr>
        <w:spacing w:after="120"/>
        <w:rPr>
          <w:i/>
          <w:kern w:val="22"/>
          <w:sz w:val="22"/>
          <w:lang w:val="en-GB"/>
        </w:rPr>
      </w:pPr>
      <w:r w:rsidRPr="002364AB">
        <w:rPr>
          <w:i/>
          <w:kern w:val="22"/>
          <w:sz w:val="22"/>
          <w:lang w:val="en-GB"/>
        </w:rPr>
        <w:t>BLAST searches</w:t>
      </w:r>
    </w:p>
    <w:p w14:paraId="3D4E089F" w14:textId="78370F27" w:rsidR="001C144C" w:rsidRPr="002364AB" w:rsidRDefault="000E6890" w:rsidP="007D10F9">
      <w:pPr>
        <w:spacing w:after="120"/>
        <w:rPr>
          <w:kern w:val="22"/>
          <w:sz w:val="22"/>
          <w:lang w:val="en-GB"/>
        </w:rPr>
      </w:pPr>
      <w:r w:rsidRPr="002364AB">
        <w:rPr>
          <w:kern w:val="22"/>
          <w:sz w:val="22"/>
          <w:lang w:val="en-GB"/>
        </w:rPr>
        <w:t>A</w:t>
      </w:r>
      <w:r w:rsidR="00E42682" w:rsidRPr="002364AB">
        <w:rPr>
          <w:kern w:val="22"/>
          <w:sz w:val="22"/>
          <w:lang w:val="en-GB"/>
        </w:rPr>
        <w:t xml:space="preserve"> further</w:t>
      </w:r>
      <w:r w:rsidRPr="002364AB">
        <w:rPr>
          <w:kern w:val="22"/>
          <w:sz w:val="22"/>
          <w:lang w:val="en-GB"/>
        </w:rPr>
        <w:t xml:space="preserve"> </w:t>
      </w:r>
      <w:r w:rsidR="002F785A" w:rsidRPr="002364AB">
        <w:rPr>
          <w:kern w:val="22"/>
          <w:sz w:val="22"/>
          <w:lang w:val="en-GB"/>
        </w:rPr>
        <w:t xml:space="preserve">relevant </w:t>
      </w:r>
      <w:r w:rsidR="00346846" w:rsidRPr="002364AB">
        <w:rPr>
          <w:kern w:val="22"/>
          <w:sz w:val="22"/>
          <w:lang w:val="en-GB"/>
        </w:rPr>
        <w:t xml:space="preserve">way in which </w:t>
      </w:r>
      <w:r w:rsidR="002F785A" w:rsidRPr="002364AB">
        <w:rPr>
          <w:kern w:val="22"/>
          <w:sz w:val="22"/>
          <w:lang w:val="en-GB"/>
        </w:rPr>
        <w:t xml:space="preserve">DSI can be used </w:t>
      </w:r>
      <w:r w:rsidR="00262289" w:rsidRPr="002364AB">
        <w:rPr>
          <w:kern w:val="22"/>
          <w:sz w:val="22"/>
          <w:lang w:val="en-GB"/>
        </w:rPr>
        <w:t xml:space="preserve">relates to gene </w:t>
      </w:r>
      <w:r w:rsidR="0087253A" w:rsidRPr="002364AB">
        <w:rPr>
          <w:kern w:val="22"/>
          <w:sz w:val="22"/>
          <w:lang w:val="en-GB"/>
        </w:rPr>
        <w:t>sequence alignment</w:t>
      </w:r>
      <w:r w:rsidR="009C5C9C" w:rsidRPr="002364AB">
        <w:rPr>
          <w:kern w:val="22"/>
          <w:sz w:val="22"/>
          <w:lang w:val="en-GB"/>
        </w:rPr>
        <w:t xml:space="preserve"> searches in databases such as GenBank</w:t>
      </w:r>
      <w:r w:rsidR="00674D86" w:rsidRPr="002364AB">
        <w:rPr>
          <w:kern w:val="22"/>
          <w:sz w:val="22"/>
          <w:lang w:val="en-GB"/>
        </w:rPr>
        <w:t xml:space="preserve"> using </w:t>
      </w:r>
      <w:r w:rsidR="00970E51" w:rsidRPr="002364AB">
        <w:rPr>
          <w:kern w:val="22"/>
          <w:sz w:val="22"/>
          <w:lang w:val="en-GB"/>
        </w:rPr>
        <w:t>tools such as</w:t>
      </w:r>
      <w:r w:rsidR="00674D86" w:rsidRPr="002364AB">
        <w:rPr>
          <w:kern w:val="22"/>
          <w:sz w:val="22"/>
          <w:lang w:val="en-GB"/>
        </w:rPr>
        <w:t xml:space="preserve"> BLAST described in Section</w:t>
      </w:r>
      <w:r w:rsidR="00253931" w:rsidRPr="002364AB">
        <w:rPr>
          <w:kern w:val="22"/>
          <w:sz w:val="22"/>
          <w:lang w:val="en-GB"/>
        </w:rPr>
        <w:t xml:space="preserve"> 3.</w:t>
      </w:r>
      <w:r w:rsidR="001F7ED2" w:rsidRPr="002364AB">
        <w:rPr>
          <w:kern w:val="22"/>
          <w:sz w:val="22"/>
          <w:lang w:val="en-GB"/>
        </w:rPr>
        <w:t>3</w:t>
      </w:r>
      <w:r w:rsidR="00253931" w:rsidRPr="002364AB">
        <w:rPr>
          <w:kern w:val="22"/>
          <w:sz w:val="22"/>
          <w:lang w:val="en-GB"/>
        </w:rPr>
        <w:t>.1</w:t>
      </w:r>
      <w:r w:rsidR="0087253A" w:rsidRPr="002364AB">
        <w:rPr>
          <w:kern w:val="22"/>
          <w:sz w:val="22"/>
          <w:lang w:val="en-GB"/>
        </w:rPr>
        <w:t xml:space="preserve">. </w:t>
      </w:r>
      <w:r w:rsidR="004C258C" w:rsidRPr="002364AB">
        <w:rPr>
          <w:kern w:val="22"/>
          <w:sz w:val="22"/>
          <w:lang w:val="en-GB"/>
        </w:rPr>
        <w:t>It is known that m</w:t>
      </w:r>
      <w:r w:rsidR="00746150" w:rsidRPr="002364AB">
        <w:rPr>
          <w:kern w:val="22"/>
          <w:sz w:val="22"/>
          <w:lang w:val="en-GB"/>
        </w:rPr>
        <w:t>any species share genes</w:t>
      </w:r>
      <w:r w:rsidR="00002237" w:rsidRPr="002364AB">
        <w:rPr>
          <w:kern w:val="22"/>
          <w:sz w:val="22"/>
          <w:lang w:val="en-GB"/>
        </w:rPr>
        <w:t xml:space="preserve">. </w:t>
      </w:r>
      <w:r w:rsidR="00671BA8" w:rsidRPr="002364AB">
        <w:rPr>
          <w:kern w:val="22"/>
          <w:sz w:val="22"/>
          <w:lang w:val="en-GB"/>
        </w:rPr>
        <w:t>R</w:t>
      </w:r>
      <w:r w:rsidR="009F7141" w:rsidRPr="002364AB">
        <w:rPr>
          <w:kern w:val="22"/>
          <w:sz w:val="22"/>
          <w:lang w:val="en-GB"/>
        </w:rPr>
        <w:t xml:space="preserve">ecent research has </w:t>
      </w:r>
      <w:r w:rsidR="006A647E" w:rsidRPr="002364AB">
        <w:rPr>
          <w:kern w:val="22"/>
          <w:sz w:val="22"/>
          <w:lang w:val="en-GB"/>
        </w:rPr>
        <w:t xml:space="preserve">also </w:t>
      </w:r>
      <w:r w:rsidR="009F7141" w:rsidRPr="002364AB">
        <w:rPr>
          <w:kern w:val="22"/>
          <w:sz w:val="22"/>
          <w:lang w:val="en-GB"/>
        </w:rPr>
        <w:t xml:space="preserve">demonstrated that </w:t>
      </w:r>
      <w:r w:rsidR="00671BA8" w:rsidRPr="002364AB">
        <w:rPr>
          <w:kern w:val="22"/>
          <w:sz w:val="22"/>
          <w:lang w:val="en-GB"/>
        </w:rPr>
        <w:t xml:space="preserve">the </w:t>
      </w:r>
      <w:r w:rsidR="009F7141" w:rsidRPr="002364AB">
        <w:rPr>
          <w:kern w:val="22"/>
          <w:sz w:val="22"/>
          <w:lang w:val="en-GB"/>
        </w:rPr>
        <w:t xml:space="preserve">horizontal transfer </w:t>
      </w:r>
      <w:r w:rsidR="00671BA8" w:rsidRPr="002364AB">
        <w:rPr>
          <w:kern w:val="22"/>
          <w:sz w:val="22"/>
          <w:lang w:val="en-GB"/>
        </w:rPr>
        <w:t>of genetic material</w:t>
      </w:r>
      <w:r w:rsidR="00DD3345" w:rsidRPr="002364AB">
        <w:rPr>
          <w:kern w:val="22"/>
          <w:sz w:val="22"/>
          <w:lang w:val="en-GB"/>
        </w:rPr>
        <w:t xml:space="preserve"> </w:t>
      </w:r>
      <w:r w:rsidR="009F7141" w:rsidRPr="002364AB">
        <w:rPr>
          <w:kern w:val="22"/>
          <w:sz w:val="22"/>
          <w:lang w:val="en-GB"/>
        </w:rPr>
        <w:t>is more common</w:t>
      </w:r>
      <w:r w:rsidR="003976FC" w:rsidRPr="002364AB">
        <w:rPr>
          <w:kern w:val="22"/>
          <w:sz w:val="22"/>
          <w:lang w:val="en-GB"/>
        </w:rPr>
        <w:t xml:space="preserve"> </w:t>
      </w:r>
      <w:r w:rsidR="009F7141" w:rsidRPr="002364AB">
        <w:rPr>
          <w:kern w:val="22"/>
          <w:sz w:val="22"/>
          <w:lang w:val="en-GB"/>
        </w:rPr>
        <w:t xml:space="preserve">than previously </w:t>
      </w:r>
      <w:r w:rsidR="00C2652A" w:rsidRPr="002364AB">
        <w:rPr>
          <w:kern w:val="22"/>
          <w:sz w:val="22"/>
          <w:lang w:val="en-GB"/>
        </w:rPr>
        <w:t>realized</w:t>
      </w:r>
      <w:r w:rsidR="00002237" w:rsidRPr="002364AB">
        <w:rPr>
          <w:kern w:val="22"/>
          <w:sz w:val="22"/>
          <w:lang w:val="en-GB"/>
        </w:rPr>
        <w:t>.</w:t>
      </w:r>
      <w:r w:rsidR="006373CB" w:rsidRPr="002364AB">
        <w:rPr>
          <w:rStyle w:val="FootnoteReference"/>
          <w:kern w:val="22"/>
          <w:sz w:val="22"/>
          <w:lang w:val="en-GB"/>
        </w:rPr>
        <w:footnoteReference w:id="163"/>
      </w:r>
      <w:r w:rsidR="007E668F" w:rsidRPr="002364AB">
        <w:rPr>
          <w:rStyle w:val="FootnoteReference"/>
          <w:kern w:val="22"/>
          <w:sz w:val="22"/>
          <w:lang w:val="en-GB"/>
        </w:rPr>
        <w:footnoteReference w:id="164"/>
      </w:r>
      <w:r w:rsidR="008713DC" w:rsidRPr="002364AB">
        <w:rPr>
          <w:kern w:val="22"/>
          <w:sz w:val="22"/>
          <w:lang w:val="en-GB"/>
        </w:rPr>
        <w:t xml:space="preserve"> </w:t>
      </w:r>
      <w:r w:rsidR="001C144C" w:rsidRPr="002364AB">
        <w:rPr>
          <w:kern w:val="22"/>
          <w:sz w:val="22"/>
          <w:lang w:val="en-GB"/>
        </w:rPr>
        <w:t xml:space="preserve">BLAST alignment </w:t>
      </w:r>
      <w:r w:rsidR="00C06E0F" w:rsidRPr="002364AB">
        <w:rPr>
          <w:kern w:val="22"/>
          <w:sz w:val="22"/>
          <w:lang w:val="en-GB"/>
        </w:rPr>
        <w:t xml:space="preserve">searches </w:t>
      </w:r>
      <w:r w:rsidR="009F1100" w:rsidRPr="002364AB">
        <w:rPr>
          <w:kern w:val="22"/>
          <w:sz w:val="22"/>
          <w:lang w:val="en-GB"/>
        </w:rPr>
        <w:t>may</w:t>
      </w:r>
      <w:r w:rsidR="00520C39" w:rsidRPr="002364AB">
        <w:rPr>
          <w:kern w:val="22"/>
          <w:sz w:val="22"/>
          <w:lang w:val="en-GB"/>
        </w:rPr>
        <w:t xml:space="preserve"> </w:t>
      </w:r>
      <w:r w:rsidR="00C06E0F" w:rsidRPr="002364AB">
        <w:rPr>
          <w:kern w:val="22"/>
          <w:sz w:val="22"/>
          <w:lang w:val="en-GB"/>
        </w:rPr>
        <w:t xml:space="preserve">allow </w:t>
      </w:r>
      <w:r w:rsidR="006627C9" w:rsidRPr="002364AB">
        <w:rPr>
          <w:kern w:val="22"/>
          <w:sz w:val="22"/>
          <w:lang w:val="en-GB"/>
        </w:rPr>
        <w:t xml:space="preserve">a user </w:t>
      </w:r>
      <w:r w:rsidR="00EE6D07" w:rsidRPr="002364AB">
        <w:rPr>
          <w:kern w:val="22"/>
          <w:sz w:val="22"/>
          <w:lang w:val="en-GB"/>
        </w:rPr>
        <w:t xml:space="preserve">who has identified a sequence of interest, </w:t>
      </w:r>
      <w:r w:rsidR="00B3088F" w:rsidRPr="002364AB">
        <w:rPr>
          <w:kern w:val="22"/>
          <w:sz w:val="22"/>
          <w:lang w:val="en-GB"/>
        </w:rPr>
        <w:t xml:space="preserve">perhaps from a species to which PIC/MAT obligations attach, </w:t>
      </w:r>
      <w:r w:rsidR="006627C9" w:rsidRPr="002364AB">
        <w:rPr>
          <w:kern w:val="22"/>
          <w:sz w:val="22"/>
          <w:lang w:val="en-GB"/>
        </w:rPr>
        <w:t xml:space="preserve">to </w:t>
      </w:r>
      <w:r w:rsidR="00EE6D07" w:rsidRPr="002364AB">
        <w:rPr>
          <w:kern w:val="22"/>
          <w:sz w:val="22"/>
          <w:lang w:val="en-GB"/>
        </w:rPr>
        <w:t>locate</w:t>
      </w:r>
      <w:r w:rsidR="00520C39" w:rsidRPr="002364AB">
        <w:rPr>
          <w:kern w:val="22"/>
          <w:sz w:val="22"/>
          <w:lang w:val="en-GB"/>
        </w:rPr>
        <w:t xml:space="preserve"> </w:t>
      </w:r>
      <w:r w:rsidR="006627C9" w:rsidRPr="002364AB">
        <w:rPr>
          <w:kern w:val="22"/>
          <w:sz w:val="22"/>
          <w:lang w:val="en-GB"/>
        </w:rPr>
        <w:t xml:space="preserve">similar </w:t>
      </w:r>
      <w:r w:rsidR="001C144C" w:rsidRPr="002364AB">
        <w:rPr>
          <w:kern w:val="22"/>
          <w:sz w:val="22"/>
          <w:lang w:val="en-GB"/>
        </w:rPr>
        <w:t xml:space="preserve">sequences </w:t>
      </w:r>
      <w:r w:rsidR="00520C39" w:rsidRPr="002364AB">
        <w:rPr>
          <w:kern w:val="22"/>
          <w:sz w:val="22"/>
          <w:lang w:val="en-GB"/>
        </w:rPr>
        <w:t>of inter</w:t>
      </w:r>
      <w:r w:rsidR="00EE6D07" w:rsidRPr="002364AB">
        <w:rPr>
          <w:kern w:val="22"/>
          <w:sz w:val="22"/>
          <w:lang w:val="en-GB"/>
        </w:rPr>
        <w:t xml:space="preserve">est in </w:t>
      </w:r>
      <w:r w:rsidR="001C144C" w:rsidRPr="002364AB">
        <w:rPr>
          <w:kern w:val="22"/>
          <w:sz w:val="22"/>
          <w:lang w:val="en-GB"/>
        </w:rPr>
        <w:t>species</w:t>
      </w:r>
      <w:r w:rsidR="00520C39" w:rsidRPr="002364AB">
        <w:rPr>
          <w:kern w:val="22"/>
          <w:sz w:val="22"/>
          <w:lang w:val="en-GB"/>
        </w:rPr>
        <w:t xml:space="preserve"> </w:t>
      </w:r>
      <w:r w:rsidR="00EE6D07" w:rsidRPr="002364AB">
        <w:rPr>
          <w:kern w:val="22"/>
          <w:sz w:val="22"/>
          <w:lang w:val="en-GB"/>
        </w:rPr>
        <w:t xml:space="preserve">different to the one in which the sequence was originally </w:t>
      </w:r>
      <w:r w:rsidR="00657952" w:rsidRPr="002364AB">
        <w:rPr>
          <w:kern w:val="22"/>
          <w:sz w:val="22"/>
          <w:lang w:val="en-GB"/>
        </w:rPr>
        <w:t>identified</w:t>
      </w:r>
      <w:r w:rsidR="00547305" w:rsidRPr="002364AB">
        <w:rPr>
          <w:kern w:val="22"/>
          <w:sz w:val="22"/>
          <w:lang w:val="en-GB"/>
        </w:rPr>
        <w:t xml:space="preserve">. These different species may not be </w:t>
      </w:r>
      <w:r w:rsidR="00520C39" w:rsidRPr="002364AB">
        <w:rPr>
          <w:kern w:val="22"/>
          <w:sz w:val="22"/>
          <w:lang w:val="en-GB"/>
        </w:rPr>
        <w:t>covered by PIC requirements</w:t>
      </w:r>
      <w:r w:rsidR="001C144C" w:rsidRPr="002364AB">
        <w:rPr>
          <w:kern w:val="22"/>
          <w:sz w:val="22"/>
          <w:lang w:val="en-GB"/>
        </w:rPr>
        <w:t>.</w:t>
      </w:r>
      <w:r w:rsidR="001C144C" w:rsidRPr="002364AB">
        <w:rPr>
          <w:rStyle w:val="FootnoteReference"/>
          <w:kern w:val="22"/>
          <w:sz w:val="22"/>
          <w:lang w:val="en-GB"/>
        </w:rPr>
        <w:footnoteReference w:id="165"/>
      </w:r>
      <w:r w:rsidR="00227EEF" w:rsidRPr="002364AB">
        <w:rPr>
          <w:kern w:val="22"/>
          <w:sz w:val="22"/>
          <w:lang w:val="en-GB"/>
        </w:rPr>
        <w:t xml:space="preserve"> </w:t>
      </w:r>
      <w:r w:rsidR="006E2F5A" w:rsidRPr="002364AB">
        <w:rPr>
          <w:kern w:val="22"/>
          <w:sz w:val="22"/>
          <w:lang w:val="en-GB"/>
        </w:rPr>
        <w:t xml:space="preserve">Given the difficulties in tracking the use of DSI, </w:t>
      </w:r>
      <w:r w:rsidR="009F1100" w:rsidRPr="002364AB">
        <w:rPr>
          <w:kern w:val="22"/>
          <w:sz w:val="22"/>
          <w:lang w:val="en-GB"/>
        </w:rPr>
        <w:t>such alignment searches may allow</w:t>
      </w:r>
      <w:r w:rsidR="006E2F5A" w:rsidRPr="002364AB">
        <w:rPr>
          <w:kern w:val="22"/>
          <w:sz w:val="22"/>
          <w:lang w:val="en-GB"/>
        </w:rPr>
        <w:t xml:space="preserve"> </w:t>
      </w:r>
      <w:r w:rsidR="0034761C" w:rsidRPr="002364AB">
        <w:rPr>
          <w:kern w:val="22"/>
          <w:sz w:val="22"/>
          <w:lang w:val="en-GB"/>
        </w:rPr>
        <w:t xml:space="preserve">a </w:t>
      </w:r>
      <w:proofErr w:type="spellStart"/>
      <w:r w:rsidR="005D3E03" w:rsidRPr="002364AB">
        <w:rPr>
          <w:kern w:val="22"/>
          <w:sz w:val="22"/>
          <w:lang w:val="en-GB"/>
        </w:rPr>
        <w:t>esearcher</w:t>
      </w:r>
      <w:proofErr w:type="spellEnd"/>
      <w:r w:rsidR="00D2104D" w:rsidRPr="002364AB">
        <w:rPr>
          <w:kern w:val="22"/>
          <w:sz w:val="22"/>
          <w:lang w:val="en-GB"/>
        </w:rPr>
        <w:t xml:space="preserve"> </w:t>
      </w:r>
      <w:r w:rsidR="009F1100" w:rsidRPr="002364AB">
        <w:rPr>
          <w:kern w:val="22"/>
          <w:sz w:val="22"/>
          <w:lang w:val="en-GB"/>
        </w:rPr>
        <w:t xml:space="preserve">who </w:t>
      </w:r>
      <w:r w:rsidR="0034761C" w:rsidRPr="002364AB">
        <w:rPr>
          <w:kern w:val="22"/>
          <w:sz w:val="22"/>
          <w:lang w:val="en-GB"/>
        </w:rPr>
        <w:t>is</w:t>
      </w:r>
      <w:r w:rsidR="009F1100" w:rsidRPr="002364AB">
        <w:rPr>
          <w:kern w:val="22"/>
          <w:sz w:val="22"/>
          <w:lang w:val="en-GB"/>
        </w:rPr>
        <w:t xml:space="preserve"> so</w:t>
      </w:r>
      <w:r w:rsidR="00D2104D" w:rsidRPr="002364AB">
        <w:rPr>
          <w:kern w:val="22"/>
          <w:sz w:val="22"/>
          <w:lang w:val="en-GB"/>
        </w:rPr>
        <w:t xml:space="preserve"> inclined</w:t>
      </w:r>
      <w:r w:rsidR="0061214D" w:rsidRPr="002364AB">
        <w:rPr>
          <w:kern w:val="22"/>
          <w:sz w:val="22"/>
          <w:lang w:val="en-GB"/>
        </w:rPr>
        <w:t>,</w:t>
      </w:r>
      <w:r w:rsidR="00D2104D" w:rsidRPr="002364AB">
        <w:rPr>
          <w:kern w:val="22"/>
          <w:sz w:val="22"/>
          <w:lang w:val="en-GB"/>
        </w:rPr>
        <w:t xml:space="preserve"> to </w:t>
      </w:r>
      <w:r w:rsidR="005D3E03" w:rsidRPr="002364AB">
        <w:rPr>
          <w:kern w:val="22"/>
          <w:sz w:val="22"/>
          <w:lang w:val="en-GB"/>
        </w:rPr>
        <w:t xml:space="preserve">misstate the true origin of </w:t>
      </w:r>
      <w:r w:rsidR="00D2104D" w:rsidRPr="002364AB">
        <w:rPr>
          <w:kern w:val="22"/>
          <w:sz w:val="22"/>
          <w:lang w:val="en-GB"/>
        </w:rPr>
        <w:t xml:space="preserve">the </w:t>
      </w:r>
      <w:r w:rsidR="005D3E03" w:rsidRPr="002364AB">
        <w:rPr>
          <w:kern w:val="22"/>
          <w:sz w:val="22"/>
          <w:lang w:val="en-GB"/>
        </w:rPr>
        <w:t>information utilized</w:t>
      </w:r>
      <w:r w:rsidR="00D2104D" w:rsidRPr="002364AB">
        <w:rPr>
          <w:kern w:val="22"/>
          <w:sz w:val="22"/>
          <w:lang w:val="en-GB"/>
        </w:rPr>
        <w:t xml:space="preserve"> </w:t>
      </w:r>
      <w:r w:rsidR="00D12F34" w:rsidRPr="002364AB">
        <w:rPr>
          <w:kern w:val="22"/>
          <w:sz w:val="22"/>
          <w:lang w:val="en-GB"/>
        </w:rPr>
        <w:t xml:space="preserve">in </w:t>
      </w:r>
      <w:r w:rsidR="0034761C" w:rsidRPr="002364AB">
        <w:rPr>
          <w:kern w:val="22"/>
          <w:sz w:val="22"/>
          <w:lang w:val="en-GB"/>
        </w:rPr>
        <w:t>his or her</w:t>
      </w:r>
      <w:r w:rsidR="009F1100" w:rsidRPr="002364AB">
        <w:rPr>
          <w:kern w:val="22"/>
          <w:sz w:val="22"/>
          <w:lang w:val="en-GB"/>
        </w:rPr>
        <w:t xml:space="preserve"> </w:t>
      </w:r>
      <w:r w:rsidR="00D12F34" w:rsidRPr="002364AB">
        <w:rPr>
          <w:kern w:val="22"/>
          <w:sz w:val="22"/>
          <w:lang w:val="en-GB"/>
        </w:rPr>
        <w:t>R&amp;D</w:t>
      </w:r>
      <w:r w:rsidR="009F1100" w:rsidRPr="002364AB">
        <w:rPr>
          <w:kern w:val="22"/>
          <w:sz w:val="22"/>
          <w:lang w:val="en-GB"/>
        </w:rPr>
        <w:t xml:space="preserve"> efforts</w:t>
      </w:r>
      <w:r w:rsidR="00D2104D" w:rsidRPr="002364AB">
        <w:rPr>
          <w:kern w:val="22"/>
          <w:sz w:val="22"/>
          <w:lang w:val="en-GB"/>
        </w:rPr>
        <w:t>.</w:t>
      </w:r>
      <w:r w:rsidR="00D12F34" w:rsidRPr="002364AB">
        <w:rPr>
          <w:rStyle w:val="FootnoteReference"/>
          <w:kern w:val="22"/>
          <w:sz w:val="22"/>
          <w:lang w:val="en-GB"/>
        </w:rPr>
        <w:footnoteReference w:id="166"/>
      </w:r>
      <w:r w:rsidR="007E2B2A" w:rsidRPr="002364AB">
        <w:rPr>
          <w:kern w:val="22"/>
          <w:sz w:val="22"/>
          <w:lang w:val="en-GB"/>
        </w:rPr>
        <w:t xml:space="preserve">  </w:t>
      </w:r>
    </w:p>
    <w:p w14:paraId="7BBB036C" w14:textId="7D9ED34A" w:rsidR="007E2B2A" w:rsidRPr="002364AB" w:rsidRDefault="007E2B2A" w:rsidP="007E2B2A">
      <w:pPr>
        <w:spacing w:after="120"/>
        <w:rPr>
          <w:kern w:val="22"/>
          <w:sz w:val="22"/>
          <w:lang w:val="en-GB"/>
        </w:rPr>
      </w:pPr>
      <w:r w:rsidRPr="002364AB">
        <w:rPr>
          <w:kern w:val="22"/>
          <w:sz w:val="22"/>
          <w:lang w:val="en-GB"/>
        </w:rPr>
        <w:t xml:space="preserve">In all of these examples, DSI from multiple, diverse, organisms </w:t>
      </w:r>
      <w:proofErr w:type="gramStart"/>
      <w:r w:rsidRPr="002364AB">
        <w:rPr>
          <w:kern w:val="22"/>
          <w:sz w:val="22"/>
          <w:lang w:val="en-GB"/>
        </w:rPr>
        <w:t>is</w:t>
      </w:r>
      <w:proofErr w:type="gramEnd"/>
      <w:r w:rsidRPr="002364AB">
        <w:rPr>
          <w:kern w:val="22"/>
          <w:sz w:val="22"/>
          <w:lang w:val="en-GB"/>
        </w:rPr>
        <w:t xml:space="preserve"> being utilized. If it is deemed to be within scope, users may need to negotiate MAT with multiple governments engendering uncertainty, delay, and expense, as properly valuing the contributions of sequence fragments may not be possible.</w:t>
      </w:r>
      <w:r w:rsidRPr="002364AB">
        <w:rPr>
          <w:kern w:val="22"/>
          <w:sz w:val="22"/>
          <w:vertAlign w:val="superscript"/>
          <w:lang w:val="en-GB"/>
        </w:rPr>
        <w:footnoteReference w:id="167"/>
      </w:r>
    </w:p>
    <w:p w14:paraId="734D49DE" w14:textId="77777777" w:rsidR="007E2B2A" w:rsidRPr="002364AB" w:rsidRDefault="007E2B2A" w:rsidP="007D10F9">
      <w:pPr>
        <w:spacing w:after="120"/>
        <w:rPr>
          <w:kern w:val="22"/>
          <w:sz w:val="22"/>
          <w:lang w:val="en-GB"/>
        </w:rPr>
      </w:pPr>
    </w:p>
    <w:p w14:paraId="449F3AC9" w14:textId="14E9D1A1" w:rsidR="0034431B" w:rsidRPr="002364AB" w:rsidRDefault="00CE136B" w:rsidP="00EA15AC">
      <w:pPr>
        <w:rPr>
          <w:kern w:val="22"/>
          <w:sz w:val="22"/>
          <w:lang w:val="en-GB"/>
        </w:rPr>
      </w:pPr>
      <w:r w:rsidRPr="002364AB">
        <w:rPr>
          <w:rFonts w:eastAsia="Batang" w:cs="Times New Roman"/>
          <w:kern w:val="22"/>
          <w:sz w:val="22"/>
          <w:lang w:val="en-GB"/>
        </w:rPr>
        <w:t xml:space="preserve">As noted earlier, </w:t>
      </w:r>
      <w:r w:rsidR="001B1E25" w:rsidRPr="002364AB">
        <w:rPr>
          <w:rFonts w:eastAsia="Batang" w:cs="Times New Roman"/>
          <w:kern w:val="22"/>
          <w:sz w:val="22"/>
          <w:lang w:val="en-GB"/>
        </w:rPr>
        <w:t xml:space="preserve">Parties are not in agreement on whether or to what extent </w:t>
      </w:r>
      <w:r w:rsidR="007E2B2A" w:rsidRPr="002364AB">
        <w:rPr>
          <w:rFonts w:eastAsia="Batang" w:cs="Times New Roman"/>
          <w:i/>
          <w:kern w:val="22"/>
          <w:sz w:val="22"/>
          <w:lang w:val="en-GB"/>
        </w:rPr>
        <w:t>ex situ</w:t>
      </w:r>
      <w:r w:rsidR="007E2B2A" w:rsidRPr="002364AB">
        <w:rPr>
          <w:rFonts w:eastAsia="Batang" w:cs="Times New Roman"/>
          <w:kern w:val="22"/>
          <w:sz w:val="22"/>
          <w:lang w:val="en-GB"/>
        </w:rPr>
        <w:t xml:space="preserve"> col</w:t>
      </w:r>
      <w:r w:rsidR="003F0E65" w:rsidRPr="002364AB">
        <w:rPr>
          <w:rFonts w:eastAsia="Batang" w:cs="Times New Roman"/>
          <w:kern w:val="22"/>
          <w:sz w:val="22"/>
          <w:lang w:val="en-GB"/>
        </w:rPr>
        <w:t>lections, discussed in Section 3.</w:t>
      </w:r>
      <w:r w:rsidR="0001410A" w:rsidRPr="002364AB">
        <w:rPr>
          <w:rFonts w:eastAsia="Batang" w:cs="Times New Roman"/>
          <w:kern w:val="22"/>
          <w:sz w:val="22"/>
          <w:lang w:val="en-GB"/>
        </w:rPr>
        <w:t>1, or DSI, discussed in this section,</w:t>
      </w:r>
      <w:r w:rsidR="001B1E25" w:rsidRPr="002364AB">
        <w:rPr>
          <w:rFonts w:eastAsia="Batang" w:cs="Times New Roman"/>
          <w:kern w:val="22"/>
          <w:sz w:val="22"/>
          <w:lang w:val="en-GB"/>
        </w:rPr>
        <w:t xml:space="preserve"> </w:t>
      </w:r>
      <w:r w:rsidR="0019071D" w:rsidRPr="002364AB">
        <w:rPr>
          <w:rFonts w:eastAsia="Batang" w:cs="Times New Roman"/>
          <w:kern w:val="22"/>
          <w:sz w:val="22"/>
          <w:lang w:val="en-GB"/>
        </w:rPr>
        <w:t>are</w:t>
      </w:r>
      <w:r w:rsidR="001B1E25" w:rsidRPr="002364AB">
        <w:rPr>
          <w:rFonts w:eastAsia="Batang" w:cs="Times New Roman"/>
          <w:kern w:val="22"/>
          <w:sz w:val="22"/>
          <w:lang w:val="en-GB"/>
        </w:rPr>
        <w:t xml:space="preserve"> within the scope of the Protocol.  </w:t>
      </w:r>
      <w:r w:rsidR="0019071D" w:rsidRPr="002364AB">
        <w:rPr>
          <w:rFonts w:eastAsia="Batang" w:cs="Times New Roman"/>
          <w:kern w:val="22"/>
          <w:sz w:val="22"/>
          <w:lang w:val="en-GB"/>
        </w:rPr>
        <w:t xml:space="preserve">As such, the examples discussed may or may not ultimately be deemed amenable to </w:t>
      </w:r>
      <w:r w:rsidR="00BB3419" w:rsidRPr="002364AB">
        <w:rPr>
          <w:rFonts w:eastAsia="Batang" w:cs="Times New Roman"/>
          <w:kern w:val="22"/>
          <w:sz w:val="22"/>
          <w:lang w:val="en-GB"/>
        </w:rPr>
        <w:t>any solution under Article 10.</w:t>
      </w:r>
    </w:p>
    <w:p w14:paraId="681A51F3" w14:textId="77777777" w:rsidR="00EA15AC" w:rsidRPr="002364AB" w:rsidRDefault="00EA15AC" w:rsidP="00EA15AC">
      <w:pPr>
        <w:rPr>
          <w:rFonts w:cs="Times New Roman"/>
          <w:kern w:val="22"/>
          <w:sz w:val="22"/>
          <w:lang w:val="en-GB"/>
        </w:rPr>
      </w:pPr>
    </w:p>
    <w:p w14:paraId="11285CA8" w14:textId="73BDE43D" w:rsidR="00450392" w:rsidRPr="002364AB" w:rsidRDefault="14AC87FF" w:rsidP="00450392">
      <w:pPr>
        <w:pStyle w:val="Heading1"/>
        <w:numPr>
          <w:ilvl w:val="0"/>
          <w:numId w:val="4"/>
        </w:numPr>
        <w:rPr>
          <w:kern w:val="22"/>
          <w:sz w:val="22"/>
          <w:szCs w:val="22"/>
          <w:lang w:val="en-GB"/>
        </w:rPr>
      </w:pPr>
      <w:bookmarkStart w:id="164" w:name="_Toc34249593"/>
      <w:bookmarkStart w:id="165" w:name="_Toc39580434"/>
      <w:bookmarkStart w:id="166" w:name="_Toc43134986"/>
      <w:r w:rsidRPr="002364AB">
        <w:rPr>
          <w:kern w:val="22"/>
          <w:sz w:val="22"/>
          <w:szCs w:val="22"/>
          <w:lang w:val="en-GB"/>
        </w:rPr>
        <w:t>Specific Cases of Traditional Knowledge Associated With</w:t>
      </w:r>
      <w:r w:rsidR="006D06F5" w:rsidRPr="002364AB">
        <w:rPr>
          <w:kern w:val="22"/>
          <w:sz w:val="22"/>
          <w:szCs w:val="22"/>
          <w:lang w:val="en-GB"/>
        </w:rPr>
        <w:t xml:space="preserve"> </w:t>
      </w:r>
      <w:r w:rsidRPr="002364AB">
        <w:rPr>
          <w:kern w:val="22"/>
          <w:sz w:val="22"/>
          <w:szCs w:val="22"/>
          <w:lang w:val="en-GB"/>
        </w:rPr>
        <w:t xml:space="preserve">Genetic Resources </w:t>
      </w:r>
      <w:r w:rsidR="002E3A0E" w:rsidRPr="002364AB">
        <w:rPr>
          <w:kern w:val="22"/>
          <w:sz w:val="22"/>
          <w:szCs w:val="22"/>
          <w:lang w:val="en-GB"/>
        </w:rPr>
        <w:t xml:space="preserve">that Occur in Transboundary Situations or </w:t>
      </w:r>
      <w:r w:rsidRPr="002364AB">
        <w:rPr>
          <w:kern w:val="22"/>
          <w:sz w:val="22"/>
          <w:szCs w:val="22"/>
          <w:lang w:val="en-GB"/>
        </w:rPr>
        <w:t>For Which It Is Not Possible to Grant or Obtain PIC</w:t>
      </w:r>
      <w:bookmarkEnd w:id="164"/>
      <w:bookmarkEnd w:id="165"/>
      <w:bookmarkEnd w:id="166"/>
    </w:p>
    <w:p w14:paraId="07B12BAB" w14:textId="268259A1" w:rsidR="00E600A0" w:rsidRPr="002364AB" w:rsidRDefault="00EB31AB" w:rsidP="00E600A0">
      <w:pPr>
        <w:rPr>
          <w:kern w:val="22"/>
          <w:sz w:val="22"/>
          <w:lang w:val="en-GB"/>
        </w:rPr>
      </w:pPr>
      <w:r w:rsidRPr="002364AB">
        <w:rPr>
          <w:rFonts w:cs="Times New Roman"/>
          <w:kern w:val="22"/>
          <w:sz w:val="22"/>
          <w:lang w:val="en-GB"/>
        </w:rPr>
        <w:t>Patterns of colonization and migration over centuries in conjunction with moving political boundaries have contributed to situations where IPLCs in different countries share traditional knowledge regarding the same genetic resources.</w:t>
      </w:r>
      <w:r w:rsidR="00457783" w:rsidRPr="002364AB">
        <w:rPr>
          <w:rFonts w:cs="Times New Roman"/>
          <w:kern w:val="22"/>
          <w:sz w:val="22"/>
          <w:vertAlign w:val="superscript"/>
          <w:lang w:val="en-GB"/>
        </w:rPr>
        <w:footnoteReference w:id="168"/>
      </w:r>
      <w:r w:rsidR="00457783" w:rsidRPr="002364AB">
        <w:rPr>
          <w:rFonts w:cs="Times New Roman"/>
          <w:kern w:val="22"/>
          <w:sz w:val="22"/>
          <w:lang w:val="en-GB"/>
        </w:rPr>
        <w:t xml:space="preserve"> </w:t>
      </w:r>
      <w:r w:rsidR="00E600A0" w:rsidRPr="002364AB">
        <w:rPr>
          <w:rFonts w:cs="Times New Roman"/>
          <w:kern w:val="22"/>
          <w:sz w:val="22"/>
          <w:lang w:val="en-GB"/>
        </w:rPr>
        <w:t>A fundamental premise of the Nagoya Protocol is the need for PIC to be obtained and MAT to be negotiated with traditional knowledge holders prior to use of traditional knowledge</w:t>
      </w:r>
      <w:r w:rsidR="00D13603" w:rsidRPr="002364AB">
        <w:rPr>
          <w:rFonts w:cs="Times New Roman"/>
          <w:kern w:val="22"/>
          <w:sz w:val="22"/>
          <w:lang w:val="en-GB"/>
        </w:rPr>
        <w:t xml:space="preserve"> associated with genetic resources</w:t>
      </w:r>
      <w:r w:rsidR="00E600A0" w:rsidRPr="002364AB">
        <w:rPr>
          <w:rFonts w:cs="Times New Roman"/>
          <w:kern w:val="22"/>
          <w:sz w:val="22"/>
          <w:lang w:val="en-GB"/>
        </w:rPr>
        <w:t xml:space="preserve">, and that benefits from </w:t>
      </w:r>
      <w:r w:rsidR="00D13603" w:rsidRPr="002364AB">
        <w:rPr>
          <w:rFonts w:cs="Times New Roman"/>
          <w:kern w:val="22"/>
          <w:sz w:val="22"/>
          <w:lang w:val="en-GB"/>
        </w:rPr>
        <w:t xml:space="preserve">its </w:t>
      </w:r>
      <w:r w:rsidR="00E600A0" w:rsidRPr="002364AB">
        <w:rPr>
          <w:rFonts w:cs="Times New Roman"/>
          <w:kern w:val="22"/>
          <w:sz w:val="22"/>
          <w:lang w:val="en-GB"/>
        </w:rPr>
        <w:t>utilization are to be shared with the IPLCs that hold such knowledge. However, this bilateral approach may not always be possible</w:t>
      </w:r>
      <w:r w:rsidR="00900FD9" w:rsidRPr="002364AB">
        <w:rPr>
          <w:rFonts w:cs="Times New Roman"/>
          <w:kern w:val="22"/>
          <w:sz w:val="22"/>
          <w:lang w:val="en-GB"/>
        </w:rPr>
        <w:t xml:space="preserve"> where the knowledge is held by transboundary IPLCs or where</w:t>
      </w:r>
      <w:r w:rsidR="00422C43" w:rsidRPr="002364AB">
        <w:rPr>
          <w:rFonts w:cs="Times New Roman"/>
          <w:kern w:val="22"/>
          <w:sz w:val="22"/>
          <w:lang w:val="en-GB"/>
        </w:rPr>
        <w:t>,</w:t>
      </w:r>
      <w:r w:rsidR="00900FD9" w:rsidRPr="002364AB">
        <w:rPr>
          <w:rFonts w:cs="Times New Roman"/>
          <w:kern w:val="22"/>
          <w:sz w:val="22"/>
          <w:lang w:val="en-GB"/>
        </w:rPr>
        <w:t xml:space="preserve"> for some other reason, it is not possible to grant or obtain PIC.</w:t>
      </w:r>
      <w:r w:rsidRPr="002364AB">
        <w:rPr>
          <w:rFonts w:cs="Times New Roman"/>
          <w:kern w:val="22"/>
          <w:sz w:val="22"/>
          <w:lang w:val="en-GB"/>
        </w:rPr>
        <w:t xml:space="preserve"> </w:t>
      </w:r>
    </w:p>
    <w:p w14:paraId="1349501C" w14:textId="77777777" w:rsidR="00E600A0" w:rsidRPr="002364AB" w:rsidRDefault="00E600A0" w:rsidP="00E600A0">
      <w:pPr>
        <w:pStyle w:val="Heading2"/>
        <w:rPr>
          <w:kern w:val="22"/>
          <w:sz w:val="22"/>
          <w:szCs w:val="22"/>
          <w:lang w:val="en-GB"/>
        </w:rPr>
      </w:pPr>
      <w:bookmarkStart w:id="167" w:name="_Toc31040289"/>
      <w:bookmarkStart w:id="168" w:name="_Toc31056857"/>
      <w:bookmarkStart w:id="169" w:name="_Toc32490851"/>
      <w:bookmarkStart w:id="170" w:name="_Toc34249584"/>
      <w:bookmarkStart w:id="171" w:name="_Toc39580435"/>
      <w:bookmarkStart w:id="172" w:name="_Toc43134987"/>
      <w:r w:rsidRPr="002364AB">
        <w:rPr>
          <w:kern w:val="22"/>
          <w:sz w:val="22"/>
          <w:szCs w:val="22"/>
          <w:lang w:val="en-GB"/>
        </w:rPr>
        <w:t>Traditional Knowledge held by Indigenous Peoples and Local Communities across National Boundaries</w:t>
      </w:r>
      <w:bookmarkEnd w:id="167"/>
      <w:bookmarkEnd w:id="168"/>
      <w:bookmarkEnd w:id="169"/>
      <w:bookmarkEnd w:id="170"/>
      <w:bookmarkEnd w:id="171"/>
      <w:bookmarkEnd w:id="172"/>
    </w:p>
    <w:p w14:paraId="6C43C5EF" w14:textId="67F81BCD" w:rsidR="009F3C3A" w:rsidRPr="002364AB" w:rsidRDefault="004C40F1" w:rsidP="009F3C3A">
      <w:pPr>
        <w:rPr>
          <w:kern w:val="22"/>
          <w:sz w:val="22"/>
          <w:lang w:val="en-GB"/>
        </w:rPr>
      </w:pPr>
      <w:r w:rsidRPr="002364AB">
        <w:rPr>
          <w:rFonts w:cs="Times New Roman"/>
          <w:kern w:val="22"/>
          <w:sz w:val="22"/>
          <w:lang w:val="en-GB"/>
        </w:rPr>
        <w:t>There are at least three transboundary scenarios in which t</w:t>
      </w:r>
      <w:r w:rsidR="00E600A0" w:rsidRPr="002364AB">
        <w:rPr>
          <w:rFonts w:cs="Times New Roman"/>
          <w:kern w:val="22"/>
          <w:sz w:val="22"/>
          <w:lang w:val="en-GB"/>
        </w:rPr>
        <w:t>raditional knowledge associated with genetic resources may be held by IPLCs</w:t>
      </w:r>
      <w:r w:rsidR="000B7436" w:rsidRPr="002364AB">
        <w:rPr>
          <w:rFonts w:cs="Times New Roman"/>
          <w:kern w:val="22"/>
          <w:sz w:val="22"/>
          <w:lang w:val="en-GB"/>
        </w:rPr>
        <w:t>. Namely, b</w:t>
      </w:r>
      <w:r w:rsidR="00E600A0" w:rsidRPr="002364AB">
        <w:rPr>
          <w:rFonts w:cs="Times New Roman"/>
          <w:kern w:val="22"/>
          <w:sz w:val="22"/>
          <w:lang w:val="en-GB"/>
        </w:rPr>
        <w:t>y a single group across multiple countries (whose boundaries may or may not be contiguous)</w:t>
      </w:r>
      <w:r w:rsidR="000B7436" w:rsidRPr="002364AB">
        <w:rPr>
          <w:rFonts w:cs="Times New Roman"/>
          <w:kern w:val="22"/>
          <w:sz w:val="22"/>
          <w:lang w:val="en-GB"/>
        </w:rPr>
        <w:t>, b</w:t>
      </w:r>
      <w:r w:rsidR="00E600A0" w:rsidRPr="002364AB">
        <w:rPr>
          <w:rFonts w:cs="Times New Roman"/>
          <w:kern w:val="22"/>
          <w:sz w:val="22"/>
          <w:lang w:val="en-GB"/>
        </w:rPr>
        <w:t>y more than one group located across multiple countries (whose boundaries may or may not be contiguous); and</w:t>
      </w:r>
      <w:r w:rsidR="000B7436" w:rsidRPr="002364AB">
        <w:rPr>
          <w:rFonts w:cs="Times New Roman"/>
          <w:kern w:val="22"/>
          <w:sz w:val="22"/>
          <w:lang w:val="en-GB"/>
        </w:rPr>
        <w:t xml:space="preserve"> b</w:t>
      </w:r>
      <w:r w:rsidR="00E600A0" w:rsidRPr="002364AB">
        <w:rPr>
          <w:rFonts w:cs="Times New Roman"/>
          <w:kern w:val="22"/>
          <w:sz w:val="22"/>
          <w:lang w:val="en-GB"/>
        </w:rPr>
        <w:t>y a community in one country about a genetic resource originating in another country.</w:t>
      </w:r>
      <w:r w:rsidR="009F3C3A" w:rsidRPr="002364AB">
        <w:rPr>
          <w:rFonts w:cs="Times New Roman"/>
          <w:kern w:val="22"/>
          <w:sz w:val="22"/>
          <w:lang w:val="en-GB"/>
        </w:rPr>
        <w:t xml:space="preserve"> </w:t>
      </w:r>
      <w:r w:rsidR="009F3C3A" w:rsidRPr="002364AB">
        <w:rPr>
          <w:kern w:val="22"/>
          <w:sz w:val="22"/>
          <w:lang w:val="en-GB"/>
        </w:rPr>
        <w:t xml:space="preserve">These examples do not preclude the possibility of resolution under Article 11. However, they do illustrate that while a bilateral approach may be possible in some situations in which traditional knowledge is held by IPLCs whose membership spans national boundaries, complications can arise, making it </w:t>
      </w:r>
      <w:r w:rsidR="0017333B" w:rsidRPr="002364AB">
        <w:rPr>
          <w:kern w:val="22"/>
          <w:sz w:val="22"/>
          <w:lang w:val="en-GB"/>
        </w:rPr>
        <w:t>functionally</w:t>
      </w:r>
      <w:r w:rsidR="00AB6344" w:rsidRPr="002364AB">
        <w:rPr>
          <w:kern w:val="22"/>
          <w:sz w:val="22"/>
          <w:lang w:val="en-GB"/>
        </w:rPr>
        <w:t xml:space="preserve"> im</w:t>
      </w:r>
      <w:r w:rsidR="009F3C3A" w:rsidRPr="002364AB">
        <w:rPr>
          <w:kern w:val="22"/>
          <w:sz w:val="22"/>
          <w:lang w:val="en-GB"/>
        </w:rPr>
        <w:t>possible to negotiate PIC and MAT</w:t>
      </w:r>
      <w:r w:rsidR="00AB6344" w:rsidRPr="002364AB">
        <w:rPr>
          <w:kern w:val="22"/>
          <w:sz w:val="22"/>
          <w:lang w:val="en-GB"/>
        </w:rPr>
        <w:t xml:space="preserve"> in other situations</w:t>
      </w:r>
      <w:r w:rsidR="009F3C3A" w:rsidRPr="002364AB">
        <w:rPr>
          <w:kern w:val="22"/>
          <w:sz w:val="22"/>
          <w:lang w:val="en-GB"/>
        </w:rPr>
        <w:t>.</w:t>
      </w:r>
    </w:p>
    <w:p w14:paraId="4FCFDDEE" w14:textId="3E90D319" w:rsidR="00E600A0" w:rsidRPr="002364AB" w:rsidRDefault="00E600A0" w:rsidP="00E600A0">
      <w:pPr>
        <w:rPr>
          <w:rFonts w:cs="Times New Roman"/>
          <w:i/>
          <w:kern w:val="22"/>
          <w:sz w:val="22"/>
          <w:lang w:val="en-GB"/>
        </w:rPr>
      </w:pPr>
      <w:r w:rsidRPr="002364AB">
        <w:rPr>
          <w:rFonts w:cs="Times New Roman"/>
          <w:i/>
          <w:kern w:val="22"/>
          <w:sz w:val="22"/>
          <w:lang w:val="en-GB"/>
        </w:rPr>
        <w:t xml:space="preserve">Scenario </w:t>
      </w:r>
      <w:r w:rsidR="004C40F1" w:rsidRPr="002364AB">
        <w:rPr>
          <w:rFonts w:cs="Times New Roman"/>
          <w:i/>
          <w:kern w:val="22"/>
          <w:sz w:val="22"/>
          <w:lang w:val="en-GB"/>
        </w:rPr>
        <w:t>1</w:t>
      </w:r>
      <w:r w:rsidRPr="002364AB">
        <w:rPr>
          <w:rFonts w:cs="Times New Roman"/>
          <w:i/>
          <w:kern w:val="22"/>
          <w:sz w:val="22"/>
          <w:lang w:val="en-GB"/>
        </w:rPr>
        <w:t>: Traditional knowledge held by a single group across multiple countries</w:t>
      </w:r>
    </w:p>
    <w:p w14:paraId="1366E8DF" w14:textId="002BC30D" w:rsidR="00E600A0" w:rsidRPr="002364AB" w:rsidRDefault="00E600A0" w:rsidP="00E600A0">
      <w:pPr>
        <w:rPr>
          <w:kern w:val="22"/>
          <w:sz w:val="22"/>
          <w:lang w:val="en-GB"/>
        </w:rPr>
      </w:pPr>
      <w:r w:rsidRPr="002364AB">
        <w:rPr>
          <w:rFonts w:cs="Times New Roman"/>
          <w:kern w:val="22"/>
          <w:sz w:val="22"/>
          <w:lang w:val="en-GB"/>
        </w:rPr>
        <w:t xml:space="preserve">The indigenous </w:t>
      </w:r>
      <w:proofErr w:type="spellStart"/>
      <w:r w:rsidRPr="002364AB">
        <w:rPr>
          <w:rFonts w:cs="Times New Roman"/>
          <w:kern w:val="22"/>
          <w:sz w:val="22"/>
          <w:lang w:val="en-GB"/>
        </w:rPr>
        <w:t>Guna</w:t>
      </w:r>
      <w:proofErr w:type="spellEnd"/>
      <w:r w:rsidRPr="002364AB">
        <w:rPr>
          <w:rFonts w:cs="Times New Roman"/>
          <w:kern w:val="22"/>
          <w:sz w:val="22"/>
          <w:lang w:val="en-GB"/>
        </w:rPr>
        <w:t xml:space="preserve"> people could be considered an example under this scenario. While located in both Panama and Col</w:t>
      </w:r>
      <w:r w:rsidR="004C40F1" w:rsidRPr="002364AB">
        <w:rPr>
          <w:rFonts w:cs="Times New Roman"/>
          <w:kern w:val="22"/>
          <w:sz w:val="22"/>
          <w:lang w:val="en-GB"/>
        </w:rPr>
        <w:t>o</w:t>
      </w:r>
      <w:r w:rsidRPr="002364AB">
        <w:rPr>
          <w:rFonts w:cs="Times New Roman"/>
          <w:kern w:val="22"/>
          <w:sz w:val="22"/>
          <w:lang w:val="en-GB"/>
        </w:rPr>
        <w:t xml:space="preserve">mbia, they are a single group and do not recognize geopolitical boundaries. For ABS agreements involving </w:t>
      </w:r>
      <w:proofErr w:type="spellStart"/>
      <w:r w:rsidRPr="002364AB">
        <w:rPr>
          <w:rFonts w:cs="Times New Roman"/>
          <w:kern w:val="22"/>
          <w:sz w:val="22"/>
          <w:lang w:val="en-GB"/>
        </w:rPr>
        <w:t>Guna</w:t>
      </w:r>
      <w:proofErr w:type="spellEnd"/>
      <w:r w:rsidRPr="002364AB">
        <w:rPr>
          <w:rFonts w:cs="Times New Roman"/>
          <w:kern w:val="22"/>
          <w:sz w:val="22"/>
          <w:lang w:val="en-GB"/>
        </w:rPr>
        <w:t xml:space="preserve"> traditional knowledge and Panamanian genetic resources, the Panamanian government consults with the </w:t>
      </w:r>
      <w:proofErr w:type="spellStart"/>
      <w:r w:rsidRPr="002364AB">
        <w:rPr>
          <w:rFonts w:cs="Times New Roman"/>
          <w:kern w:val="22"/>
          <w:sz w:val="22"/>
          <w:lang w:val="en-GB"/>
        </w:rPr>
        <w:t>Guna</w:t>
      </w:r>
      <w:proofErr w:type="spellEnd"/>
      <w:r w:rsidRPr="002364AB">
        <w:rPr>
          <w:rFonts w:cs="Times New Roman"/>
          <w:kern w:val="22"/>
          <w:sz w:val="22"/>
          <w:lang w:val="en-GB"/>
        </w:rPr>
        <w:t xml:space="preserve"> representatives and, if an agreement is reached, facilitates the distribution of benefits to the group without focusing on the fact that the group is physically located within two countries</w:t>
      </w:r>
      <w:r w:rsidR="00E61BCF" w:rsidRPr="002364AB">
        <w:rPr>
          <w:rFonts w:cs="Times New Roman"/>
          <w:kern w:val="22"/>
          <w:sz w:val="22"/>
          <w:lang w:val="en-GB"/>
        </w:rPr>
        <w:t>,</w:t>
      </w:r>
      <w:r w:rsidR="004C40F1" w:rsidRPr="002364AB">
        <w:rPr>
          <w:rFonts w:cs="Times New Roman"/>
          <w:kern w:val="22"/>
          <w:sz w:val="22"/>
          <w:lang w:val="en-GB"/>
        </w:rPr>
        <w:t xml:space="preserve"> and apparently the Colombian government takes the same approach</w:t>
      </w:r>
      <w:r w:rsidRPr="002364AB">
        <w:rPr>
          <w:rFonts w:cs="Times New Roman"/>
          <w:kern w:val="22"/>
          <w:sz w:val="22"/>
          <w:lang w:val="en-GB"/>
        </w:rPr>
        <w:t>.</w:t>
      </w:r>
      <w:r w:rsidRPr="002364AB">
        <w:rPr>
          <w:rStyle w:val="FootnoteReference"/>
          <w:kern w:val="22"/>
          <w:sz w:val="22"/>
          <w:lang w:val="en-GB"/>
        </w:rPr>
        <w:footnoteReference w:id="169"/>
      </w:r>
      <w:r w:rsidRPr="002364AB">
        <w:rPr>
          <w:rFonts w:cs="Times New Roman"/>
          <w:kern w:val="22"/>
          <w:sz w:val="22"/>
          <w:lang w:val="en-GB"/>
        </w:rPr>
        <w:t xml:space="preserve"> </w:t>
      </w:r>
      <w:r w:rsidR="004C40F1" w:rsidRPr="002364AB">
        <w:rPr>
          <w:rFonts w:cs="Times New Roman"/>
          <w:kern w:val="22"/>
          <w:sz w:val="22"/>
          <w:lang w:val="en-GB"/>
        </w:rPr>
        <w:t xml:space="preserve">Therefore this </w:t>
      </w:r>
      <w:r w:rsidR="009F0C7E" w:rsidRPr="002364AB">
        <w:rPr>
          <w:rFonts w:cs="Times New Roman"/>
          <w:kern w:val="22"/>
          <w:sz w:val="22"/>
          <w:lang w:val="en-GB"/>
        </w:rPr>
        <w:t xml:space="preserve">type of </w:t>
      </w:r>
      <w:r w:rsidR="004C40F1" w:rsidRPr="002364AB">
        <w:rPr>
          <w:rFonts w:cs="Times New Roman"/>
          <w:kern w:val="22"/>
          <w:sz w:val="22"/>
          <w:lang w:val="en-GB"/>
        </w:rPr>
        <w:t xml:space="preserve">scenario </w:t>
      </w:r>
      <w:r w:rsidR="00A02816" w:rsidRPr="002364AB">
        <w:rPr>
          <w:rFonts w:cs="Times New Roman"/>
          <w:kern w:val="22"/>
          <w:sz w:val="22"/>
          <w:lang w:val="en-GB"/>
        </w:rPr>
        <w:t xml:space="preserve">could </w:t>
      </w:r>
      <w:r w:rsidR="004C40F1" w:rsidRPr="002364AB">
        <w:rPr>
          <w:rFonts w:cs="Times New Roman"/>
          <w:kern w:val="22"/>
          <w:sz w:val="22"/>
          <w:lang w:val="en-GB"/>
        </w:rPr>
        <w:t>be addressed under Article 11 of the Protocol.</w:t>
      </w:r>
      <w:r w:rsidRPr="002364AB">
        <w:rPr>
          <w:rFonts w:cs="Times New Roman"/>
          <w:kern w:val="22"/>
          <w:sz w:val="22"/>
          <w:lang w:val="en-GB"/>
        </w:rPr>
        <w:t xml:space="preserve"> However, it </w:t>
      </w:r>
      <w:r w:rsidR="004C40F1" w:rsidRPr="002364AB">
        <w:rPr>
          <w:rFonts w:cs="Times New Roman"/>
          <w:kern w:val="22"/>
          <w:sz w:val="22"/>
          <w:lang w:val="en-GB"/>
        </w:rPr>
        <w:t xml:space="preserve">should be </w:t>
      </w:r>
      <w:r w:rsidRPr="002364AB">
        <w:rPr>
          <w:rFonts w:cs="Times New Roman"/>
          <w:kern w:val="22"/>
          <w:sz w:val="22"/>
          <w:lang w:val="en-GB"/>
        </w:rPr>
        <w:t>not</w:t>
      </w:r>
      <w:r w:rsidR="004C40F1" w:rsidRPr="002364AB">
        <w:rPr>
          <w:rFonts w:cs="Times New Roman"/>
          <w:kern w:val="22"/>
          <w:sz w:val="22"/>
          <w:lang w:val="en-GB"/>
        </w:rPr>
        <w:t>ed</w:t>
      </w:r>
      <w:r w:rsidRPr="002364AB">
        <w:rPr>
          <w:rFonts w:cs="Times New Roman"/>
          <w:kern w:val="22"/>
          <w:sz w:val="22"/>
          <w:lang w:val="en-GB"/>
        </w:rPr>
        <w:t xml:space="preserve"> that Costa Rica identified the scenario of the </w:t>
      </w:r>
      <w:proofErr w:type="spellStart"/>
      <w:r w:rsidRPr="002364AB">
        <w:rPr>
          <w:rFonts w:cs="Times New Roman"/>
          <w:kern w:val="22"/>
          <w:sz w:val="22"/>
          <w:lang w:val="en-GB"/>
        </w:rPr>
        <w:t>Ngobe</w:t>
      </w:r>
      <w:proofErr w:type="spellEnd"/>
      <w:r w:rsidRPr="002364AB">
        <w:rPr>
          <w:rFonts w:cs="Times New Roman"/>
          <w:kern w:val="22"/>
          <w:sz w:val="22"/>
          <w:lang w:val="en-GB"/>
        </w:rPr>
        <w:t xml:space="preserve"> Bugle people</w:t>
      </w:r>
      <w:r w:rsidR="004C40F1" w:rsidRPr="002364AB">
        <w:rPr>
          <w:rFonts w:cs="Times New Roman"/>
          <w:kern w:val="22"/>
          <w:sz w:val="22"/>
          <w:lang w:val="en-GB"/>
        </w:rPr>
        <w:t>,</w:t>
      </w:r>
      <w:r w:rsidRPr="002364AB">
        <w:rPr>
          <w:rFonts w:cs="Times New Roman"/>
          <w:kern w:val="22"/>
          <w:sz w:val="22"/>
          <w:lang w:val="en-GB"/>
        </w:rPr>
        <w:t xml:space="preserve"> who live in both Costa Rica and Panama</w:t>
      </w:r>
      <w:r w:rsidR="004C40F1" w:rsidRPr="002364AB">
        <w:rPr>
          <w:rFonts w:cs="Times New Roman"/>
          <w:kern w:val="22"/>
          <w:sz w:val="22"/>
          <w:lang w:val="en-GB"/>
        </w:rPr>
        <w:t>,</w:t>
      </w:r>
      <w:r w:rsidRPr="002364AB">
        <w:rPr>
          <w:rFonts w:cs="Times New Roman"/>
          <w:kern w:val="22"/>
          <w:sz w:val="22"/>
          <w:lang w:val="en-GB"/>
        </w:rPr>
        <w:t xml:space="preserve"> as one possibly amenable to a global multilateral benefit-sharing mechanism.</w:t>
      </w:r>
      <w:r w:rsidRPr="002364AB">
        <w:rPr>
          <w:rStyle w:val="FootnoteReference"/>
          <w:kern w:val="22"/>
          <w:sz w:val="22"/>
          <w:lang w:val="en-GB"/>
        </w:rPr>
        <w:footnoteReference w:id="170"/>
      </w:r>
    </w:p>
    <w:p w14:paraId="6E007911" w14:textId="69EDE9D6" w:rsidR="00E600A0" w:rsidRPr="002364AB" w:rsidRDefault="00E600A0" w:rsidP="00E600A0">
      <w:pPr>
        <w:rPr>
          <w:i/>
          <w:kern w:val="22"/>
          <w:sz w:val="22"/>
          <w:lang w:val="en-GB"/>
        </w:rPr>
      </w:pPr>
      <w:r w:rsidRPr="002364AB">
        <w:rPr>
          <w:i/>
          <w:kern w:val="22"/>
          <w:sz w:val="22"/>
          <w:lang w:val="en-GB"/>
        </w:rPr>
        <w:t xml:space="preserve">Scenario </w:t>
      </w:r>
      <w:r w:rsidR="00B87DAB" w:rsidRPr="002364AB">
        <w:rPr>
          <w:i/>
          <w:kern w:val="22"/>
          <w:sz w:val="22"/>
          <w:lang w:val="en-GB"/>
        </w:rPr>
        <w:t>2</w:t>
      </w:r>
      <w:r w:rsidRPr="002364AB">
        <w:rPr>
          <w:i/>
          <w:kern w:val="22"/>
          <w:sz w:val="22"/>
          <w:lang w:val="en-GB"/>
        </w:rPr>
        <w:t>: Traditional knowledge held by more than one group located across multiple countries</w:t>
      </w:r>
    </w:p>
    <w:p w14:paraId="23317B03" w14:textId="03D1A581" w:rsidR="00E600A0" w:rsidRPr="002364AB" w:rsidRDefault="00E600A0" w:rsidP="00E600A0">
      <w:pPr>
        <w:rPr>
          <w:kern w:val="22"/>
          <w:sz w:val="22"/>
          <w:lang w:val="en-GB"/>
        </w:rPr>
      </w:pPr>
      <w:r w:rsidRPr="002364AB">
        <w:rPr>
          <w:kern w:val="22"/>
          <w:sz w:val="22"/>
          <w:lang w:val="en-GB"/>
        </w:rPr>
        <w:t xml:space="preserve">Cases under </w:t>
      </w:r>
      <w:r w:rsidR="005F28FA" w:rsidRPr="002364AB">
        <w:rPr>
          <w:kern w:val="22"/>
          <w:sz w:val="22"/>
          <w:lang w:val="en-GB"/>
        </w:rPr>
        <w:t>S</w:t>
      </w:r>
      <w:r w:rsidRPr="002364AB">
        <w:rPr>
          <w:kern w:val="22"/>
          <w:sz w:val="22"/>
          <w:lang w:val="en-GB"/>
        </w:rPr>
        <w:t xml:space="preserve">cenario </w:t>
      </w:r>
      <w:r w:rsidR="00BF11E5" w:rsidRPr="002364AB">
        <w:rPr>
          <w:kern w:val="22"/>
          <w:sz w:val="22"/>
          <w:lang w:val="en-GB"/>
        </w:rPr>
        <w:t>2</w:t>
      </w:r>
      <w:r w:rsidRPr="002364AB">
        <w:rPr>
          <w:kern w:val="22"/>
          <w:sz w:val="22"/>
          <w:lang w:val="en-GB"/>
        </w:rPr>
        <w:t xml:space="preserve"> may be some of the most complex ones to address</w:t>
      </w:r>
      <w:r w:rsidRPr="002364AB" w:rsidDel="00CE3083">
        <w:rPr>
          <w:kern w:val="22"/>
          <w:sz w:val="22"/>
          <w:lang w:val="en-GB"/>
        </w:rPr>
        <w:t xml:space="preserve"> </w:t>
      </w:r>
      <w:r w:rsidRPr="002364AB">
        <w:rPr>
          <w:kern w:val="22"/>
          <w:sz w:val="22"/>
          <w:lang w:val="en-GB"/>
        </w:rPr>
        <w:t>in a bilateral ABS context. Not only are multiple IPLCs involved with varying or non-existent community protocols,</w:t>
      </w:r>
      <w:r w:rsidR="009F0C7E" w:rsidRPr="002364AB">
        <w:rPr>
          <w:rStyle w:val="FootnoteReference"/>
          <w:kern w:val="22"/>
          <w:sz w:val="22"/>
          <w:lang w:val="en-GB"/>
        </w:rPr>
        <w:footnoteReference w:id="171"/>
      </w:r>
      <w:r w:rsidRPr="002364AB">
        <w:rPr>
          <w:kern w:val="22"/>
          <w:sz w:val="22"/>
          <w:lang w:val="en-GB"/>
        </w:rPr>
        <w:t xml:space="preserve"> multiple sovereign countries are involved and may not be able to easily identify who is entitled to benefits</w:t>
      </w:r>
      <w:r w:rsidR="00C61126" w:rsidRPr="002364AB">
        <w:rPr>
          <w:kern w:val="22"/>
          <w:sz w:val="22"/>
          <w:lang w:val="en-GB"/>
        </w:rPr>
        <w:t>,</w:t>
      </w:r>
      <w:r w:rsidRPr="002364AB">
        <w:rPr>
          <w:kern w:val="22"/>
          <w:sz w:val="22"/>
          <w:lang w:val="en-GB"/>
        </w:rPr>
        <w:t xml:space="preserve"> or reach agreement on how to move forward, leaving researchers unable to obtain necessary permissions or equitably share benefits. </w:t>
      </w:r>
    </w:p>
    <w:p w14:paraId="6A4F442B" w14:textId="79736B0E" w:rsidR="00382C90" w:rsidRPr="002364AB" w:rsidRDefault="00382C90" w:rsidP="00382C90">
      <w:pPr>
        <w:rPr>
          <w:rFonts w:eastAsia="Calibri" w:cs="Times New Roman"/>
          <w:color w:val="000000"/>
          <w:kern w:val="22"/>
          <w:sz w:val="22"/>
          <w:lang w:val="en-GB"/>
        </w:rPr>
      </w:pPr>
      <w:r w:rsidRPr="002364AB">
        <w:rPr>
          <w:kern w:val="22"/>
          <w:sz w:val="22"/>
          <w:lang w:val="en-GB"/>
        </w:rPr>
        <w:t xml:space="preserve">For example, </w:t>
      </w:r>
      <w:bookmarkStart w:id="173" w:name="_Hlk42085977"/>
      <w:proofErr w:type="spellStart"/>
      <w:r w:rsidRPr="002364AB">
        <w:rPr>
          <w:rFonts w:eastAsia="Calibri" w:cs="Times New Roman"/>
          <w:i/>
          <w:color w:val="000000"/>
          <w:kern w:val="22"/>
          <w:sz w:val="22"/>
          <w:lang w:val="en-GB"/>
        </w:rPr>
        <w:t>Artemesia</w:t>
      </w:r>
      <w:proofErr w:type="spellEnd"/>
      <w:r w:rsidRPr="002364AB">
        <w:rPr>
          <w:rFonts w:eastAsia="Calibri" w:cs="Times New Roman"/>
          <w:i/>
          <w:color w:val="000000"/>
          <w:kern w:val="22"/>
          <w:sz w:val="22"/>
          <w:lang w:val="en-GB"/>
        </w:rPr>
        <w:t xml:space="preserve"> </w:t>
      </w:r>
      <w:proofErr w:type="spellStart"/>
      <w:r w:rsidRPr="002364AB">
        <w:rPr>
          <w:rFonts w:eastAsia="Calibri" w:cs="Times New Roman"/>
          <w:i/>
          <w:color w:val="000000"/>
          <w:kern w:val="22"/>
          <w:sz w:val="22"/>
          <w:lang w:val="en-GB"/>
        </w:rPr>
        <w:t>judaica</w:t>
      </w:r>
      <w:bookmarkEnd w:id="173"/>
      <w:proofErr w:type="spellEnd"/>
      <w:r w:rsidRPr="002364AB">
        <w:rPr>
          <w:rFonts w:eastAsia="Calibri" w:cs="Times New Roman"/>
          <w:color w:val="000000"/>
          <w:kern w:val="22"/>
          <w:sz w:val="22"/>
          <w:lang w:val="en-GB"/>
        </w:rPr>
        <w:t>, also known as Judean wormwood, is a medicinal shrub found widely across desert areas of North Africa and Arabia. Traditional uses of the plant include the treatment of cancer, diabetes, fungal infections, atherosclerosis, and arthritis, and its use as a traditional medicine by a variety of IPLCs in Libya,</w:t>
      </w:r>
      <w:r w:rsidRPr="002364AB">
        <w:rPr>
          <w:rFonts w:eastAsia="Calibri" w:cs="Times New Roman"/>
          <w:color w:val="000000"/>
          <w:kern w:val="22"/>
          <w:sz w:val="22"/>
          <w:vertAlign w:val="superscript"/>
          <w:lang w:val="en-GB"/>
        </w:rPr>
        <w:footnoteReference w:id="172"/>
      </w:r>
      <w:r w:rsidRPr="002364AB">
        <w:rPr>
          <w:rFonts w:eastAsia="Calibri" w:cs="Times New Roman"/>
          <w:color w:val="000000"/>
          <w:kern w:val="22"/>
          <w:sz w:val="22"/>
          <w:lang w:val="en-GB"/>
        </w:rPr>
        <w:t xml:space="preserve"> Jordan,</w:t>
      </w:r>
      <w:r w:rsidRPr="002364AB">
        <w:rPr>
          <w:rFonts w:eastAsia="Calibri" w:cs="Times New Roman"/>
          <w:color w:val="000000"/>
          <w:kern w:val="22"/>
          <w:sz w:val="22"/>
          <w:vertAlign w:val="superscript"/>
          <w:lang w:val="en-GB"/>
        </w:rPr>
        <w:footnoteReference w:id="173"/>
      </w:r>
      <w:r w:rsidRPr="002364AB">
        <w:rPr>
          <w:rFonts w:eastAsia="Calibri" w:cs="Times New Roman"/>
          <w:color w:val="000000"/>
          <w:kern w:val="22"/>
          <w:sz w:val="22"/>
          <w:lang w:val="en-GB"/>
        </w:rPr>
        <w:t xml:space="preserve"> Egypt</w:t>
      </w:r>
      <w:r w:rsidR="00D037B8" w:rsidRPr="002364AB">
        <w:rPr>
          <w:rFonts w:eastAsia="Calibri" w:cs="Times New Roman"/>
          <w:color w:val="000000"/>
          <w:kern w:val="22"/>
          <w:sz w:val="22"/>
          <w:lang w:val="en-GB"/>
        </w:rPr>
        <w:t>,</w:t>
      </w:r>
      <w:r w:rsidRPr="002364AB">
        <w:rPr>
          <w:rFonts w:eastAsia="Calibri" w:cs="Times New Roman"/>
          <w:color w:val="000000"/>
          <w:kern w:val="22"/>
          <w:sz w:val="22"/>
          <w:vertAlign w:val="superscript"/>
          <w:lang w:val="en-GB"/>
        </w:rPr>
        <w:footnoteReference w:id="174"/>
      </w:r>
      <w:r w:rsidRPr="002364AB">
        <w:rPr>
          <w:rFonts w:eastAsia="Calibri" w:cs="Times New Roman"/>
          <w:color w:val="000000"/>
          <w:kern w:val="22"/>
          <w:sz w:val="22"/>
          <w:lang w:val="en-GB"/>
        </w:rPr>
        <w:t xml:space="preserve"> and beyond</w:t>
      </w:r>
      <w:r w:rsidR="00D037B8" w:rsidRPr="002364AB">
        <w:rPr>
          <w:rFonts w:eastAsia="Calibri" w:cs="Times New Roman"/>
          <w:color w:val="000000"/>
          <w:kern w:val="22"/>
          <w:sz w:val="22"/>
          <w:lang w:val="en-GB"/>
        </w:rPr>
        <w:t>,</w:t>
      </w:r>
      <w:r w:rsidRPr="002364AB">
        <w:rPr>
          <w:rFonts w:eastAsia="Calibri" w:cs="Times New Roman"/>
          <w:color w:val="000000"/>
          <w:kern w:val="22"/>
          <w:sz w:val="22"/>
          <w:lang w:val="en-GB"/>
        </w:rPr>
        <w:t xml:space="preserve"> is known. Several patent applications have been filed with claims relating to </w:t>
      </w:r>
      <w:r w:rsidRPr="002364AB">
        <w:rPr>
          <w:rFonts w:eastAsia="Calibri" w:cs="Times New Roman"/>
          <w:i/>
          <w:color w:val="000000"/>
          <w:kern w:val="22"/>
          <w:sz w:val="22"/>
          <w:lang w:val="en-GB"/>
        </w:rPr>
        <w:t xml:space="preserve">A. </w:t>
      </w:r>
      <w:proofErr w:type="spellStart"/>
      <w:r w:rsidR="00EA0D6C" w:rsidRPr="002364AB">
        <w:rPr>
          <w:rFonts w:eastAsia="Calibri" w:cs="Times New Roman"/>
          <w:i/>
          <w:color w:val="000000"/>
          <w:kern w:val="22"/>
          <w:sz w:val="22"/>
          <w:lang w:val="en-GB"/>
        </w:rPr>
        <w:t>j</w:t>
      </w:r>
      <w:r w:rsidRPr="002364AB">
        <w:rPr>
          <w:rFonts w:eastAsia="Calibri" w:cs="Times New Roman"/>
          <w:i/>
          <w:color w:val="000000"/>
          <w:kern w:val="22"/>
          <w:sz w:val="22"/>
          <w:lang w:val="en-GB"/>
        </w:rPr>
        <w:t>udaica</w:t>
      </w:r>
      <w:proofErr w:type="spellEnd"/>
      <w:r w:rsidRPr="002364AB">
        <w:rPr>
          <w:rFonts w:eastAsia="Calibri" w:cs="Times New Roman"/>
          <w:color w:val="000000"/>
          <w:kern w:val="22"/>
          <w:sz w:val="22"/>
          <w:lang w:val="en-GB"/>
        </w:rPr>
        <w:t xml:space="preserve"> and mentioning, directly or through citing other references, traditional uses of the plant. These include European Patent No. EP2170360B1, entitled “Herbal compositions for the treatment of diabetes and/or conditions associated therewith” which claims </w:t>
      </w:r>
      <w:r w:rsidRPr="002364AB">
        <w:rPr>
          <w:rFonts w:eastAsia="Calibri" w:cs="Times New Roman"/>
          <w:i/>
          <w:color w:val="000000"/>
          <w:kern w:val="22"/>
          <w:sz w:val="22"/>
          <w:lang w:val="en-GB"/>
        </w:rPr>
        <w:t xml:space="preserve">A. </w:t>
      </w:r>
      <w:proofErr w:type="spellStart"/>
      <w:r w:rsidR="00EA0D6C" w:rsidRPr="002364AB">
        <w:rPr>
          <w:rFonts w:eastAsia="Calibri" w:cs="Times New Roman"/>
          <w:i/>
          <w:color w:val="000000"/>
          <w:kern w:val="22"/>
          <w:sz w:val="22"/>
          <w:lang w:val="en-GB"/>
        </w:rPr>
        <w:t>j</w:t>
      </w:r>
      <w:r w:rsidRPr="002364AB">
        <w:rPr>
          <w:rFonts w:eastAsia="Calibri" w:cs="Times New Roman"/>
          <w:i/>
          <w:color w:val="000000"/>
          <w:kern w:val="22"/>
          <w:sz w:val="22"/>
          <w:lang w:val="en-GB"/>
        </w:rPr>
        <w:t>udaica</w:t>
      </w:r>
      <w:proofErr w:type="spellEnd"/>
      <w:r w:rsidRPr="002364AB">
        <w:rPr>
          <w:rFonts w:eastAsia="Calibri" w:cs="Times New Roman"/>
          <w:color w:val="000000"/>
          <w:kern w:val="22"/>
          <w:sz w:val="22"/>
          <w:lang w:val="en-GB"/>
        </w:rPr>
        <w:t xml:space="preserve">-containing compositions for the treatment of diabetes. </w:t>
      </w:r>
    </w:p>
    <w:p w14:paraId="41D6D447" w14:textId="00C9DBEA" w:rsidR="00382C90" w:rsidRPr="002364AB" w:rsidRDefault="00382C90" w:rsidP="00E600A0">
      <w:pPr>
        <w:rPr>
          <w:kern w:val="22"/>
          <w:sz w:val="22"/>
          <w:lang w:val="en-GB"/>
        </w:rPr>
      </w:pPr>
      <w:r w:rsidRPr="002364AB">
        <w:rPr>
          <w:kern w:val="22"/>
          <w:sz w:val="22"/>
          <w:lang w:val="en-GB"/>
        </w:rPr>
        <w:t xml:space="preserve">For a variety of reasons, benefit sharing obligations may not attach to </w:t>
      </w:r>
      <w:r w:rsidR="008D32AF" w:rsidRPr="002364AB">
        <w:rPr>
          <w:kern w:val="22"/>
          <w:sz w:val="22"/>
          <w:lang w:val="en-GB"/>
        </w:rPr>
        <w:t xml:space="preserve">commercial uses of </w:t>
      </w:r>
      <w:r w:rsidR="008D32AF" w:rsidRPr="002364AB">
        <w:rPr>
          <w:i/>
          <w:kern w:val="22"/>
          <w:sz w:val="22"/>
          <w:lang w:val="en-GB"/>
        </w:rPr>
        <w:t xml:space="preserve">A. </w:t>
      </w:r>
      <w:proofErr w:type="spellStart"/>
      <w:r w:rsidR="000431D0" w:rsidRPr="002364AB">
        <w:rPr>
          <w:i/>
          <w:kern w:val="22"/>
          <w:sz w:val="22"/>
          <w:lang w:val="en-GB"/>
        </w:rPr>
        <w:t>j</w:t>
      </w:r>
      <w:r w:rsidR="008D32AF" w:rsidRPr="002364AB">
        <w:rPr>
          <w:i/>
          <w:kern w:val="22"/>
          <w:sz w:val="22"/>
          <w:lang w:val="en-GB"/>
        </w:rPr>
        <w:t>udaica</w:t>
      </w:r>
      <w:proofErr w:type="spellEnd"/>
      <w:r w:rsidR="008D32AF" w:rsidRPr="002364AB">
        <w:rPr>
          <w:kern w:val="22"/>
          <w:sz w:val="22"/>
          <w:lang w:val="en-GB"/>
        </w:rPr>
        <w:t xml:space="preserve"> to treat the same conditions for which it was used traditionally. If there are situations in which they do, however, it may not be possible to correctly identify which IPLCs, in which countries</w:t>
      </w:r>
      <w:r w:rsidR="00F176A2" w:rsidRPr="002364AB">
        <w:rPr>
          <w:kern w:val="22"/>
          <w:sz w:val="22"/>
          <w:lang w:val="en-GB"/>
        </w:rPr>
        <w:t>,</w:t>
      </w:r>
      <w:r w:rsidR="008D32AF" w:rsidRPr="002364AB">
        <w:rPr>
          <w:kern w:val="22"/>
          <w:sz w:val="22"/>
          <w:lang w:val="en-GB"/>
        </w:rPr>
        <w:t xml:space="preserve"> are entitled to negotiate </w:t>
      </w:r>
      <w:r w:rsidR="00CE26DA" w:rsidRPr="002364AB">
        <w:rPr>
          <w:kern w:val="22"/>
          <w:sz w:val="22"/>
          <w:lang w:val="en-GB"/>
        </w:rPr>
        <w:t>PIC and MAT</w:t>
      </w:r>
      <w:r w:rsidR="002500FC" w:rsidRPr="002364AB">
        <w:rPr>
          <w:kern w:val="22"/>
          <w:sz w:val="22"/>
          <w:lang w:val="en-GB"/>
        </w:rPr>
        <w:t>,</w:t>
      </w:r>
      <w:r w:rsidR="008D32AF" w:rsidRPr="002364AB">
        <w:rPr>
          <w:kern w:val="22"/>
          <w:sz w:val="22"/>
          <w:lang w:val="en-GB"/>
        </w:rPr>
        <w:t xml:space="preserve"> and the transboundary nature of the genetic resource itself is a further complication. </w:t>
      </w:r>
    </w:p>
    <w:p w14:paraId="616F6F7F" w14:textId="1F606D3D" w:rsidR="00E600A0" w:rsidRPr="002364AB" w:rsidRDefault="00784AE0" w:rsidP="00E600A0">
      <w:pPr>
        <w:rPr>
          <w:kern w:val="22"/>
          <w:sz w:val="22"/>
          <w:lang w:val="en-GB"/>
        </w:rPr>
      </w:pPr>
      <w:r w:rsidRPr="002364AB">
        <w:rPr>
          <w:kern w:val="22"/>
          <w:sz w:val="22"/>
          <w:lang w:val="en-GB"/>
        </w:rPr>
        <w:t>I</w:t>
      </w:r>
      <w:r w:rsidR="00E600A0" w:rsidRPr="002364AB">
        <w:rPr>
          <w:kern w:val="22"/>
          <w:sz w:val="22"/>
          <w:lang w:val="en-GB"/>
        </w:rPr>
        <w:t xml:space="preserve">f PIC and MAT were being sought in a case under </w:t>
      </w:r>
      <w:r w:rsidR="00DD2332" w:rsidRPr="002364AB">
        <w:rPr>
          <w:kern w:val="22"/>
          <w:sz w:val="22"/>
          <w:lang w:val="en-GB"/>
        </w:rPr>
        <w:t>S</w:t>
      </w:r>
      <w:r w:rsidR="00E600A0" w:rsidRPr="002364AB">
        <w:rPr>
          <w:kern w:val="22"/>
          <w:sz w:val="22"/>
          <w:lang w:val="en-GB"/>
        </w:rPr>
        <w:t xml:space="preserve">cenario </w:t>
      </w:r>
      <w:r w:rsidR="00C77AE8" w:rsidRPr="002364AB">
        <w:rPr>
          <w:kern w:val="22"/>
          <w:sz w:val="22"/>
          <w:lang w:val="en-GB"/>
        </w:rPr>
        <w:t>2</w:t>
      </w:r>
      <w:r w:rsidR="00E600A0" w:rsidRPr="002364AB">
        <w:rPr>
          <w:kern w:val="22"/>
          <w:sz w:val="22"/>
          <w:lang w:val="en-GB"/>
        </w:rPr>
        <w:t xml:space="preserve"> before serious research on a project involving such </w:t>
      </w:r>
      <w:r w:rsidR="00E600A0" w:rsidRPr="002364AB">
        <w:rPr>
          <w:iCs/>
          <w:kern w:val="22"/>
          <w:sz w:val="22"/>
          <w:lang w:val="en-GB"/>
        </w:rPr>
        <w:t>associated traditional knowledge</w:t>
      </w:r>
      <w:r w:rsidR="00E600A0" w:rsidRPr="002364AB">
        <w:rPr>
          <w:kern w:val="22"/>
          <w:sz w:val="22"/>
          <w:lang w:val="en-GB"/>
        </w:rPr>
        <w:t xml:space="preserve"> had begun, the delays in seeking consent from multiple groups in multiple countries, with differing (or non-existent) community protocols, and agreeing to MAT amongst multiple IPLCs </w:t>
      </w:r>
      <w:r w:rsidR="00C0482B" w:rsidRPr="002364AB">
        <w:rPr>
          <w:kern w:val="22"/>
          <w:sz w:val="22"/>
          <w:lang w:val="en-GB"/>
        </w:rPr>
        <w:t>(</w:t>
      </w:r>
      <w:r w:rsidR="00E600A0" w:rsidRPr="002364AB">
        <w:rPr>
          <w:kern w:val="22"/>
          <w:sz w:val="22"/>
          <w:lang w:val="en-GB"/>
        </w:rPr>
        <w:t xml:space="preserve">and </w:t>
      </w:r>
      <w:r w:rsidR="00E42714" w:rsidRPr="002364AB">
        <w:rPr>
          <w:kern w:val="22"/>
          <w:sz w:val="22"/>
          <w:lang w:val="en-GB"/>
        </w:rPr>
        <w:t xml:space="preserve">where </w:t>
      </w:r>
      <w:r w:rsidR="00C0482B" w:rsidRPr="002364AB">
        <w:rPr>
          <w:kern w:val="22"/>
          <w:sz w:val="22"/>
          <w:lang w:val="en-GB"/>
        </w:rPr>
        <w:t xml:space="preserve">legally required, approval from </w:t>
      </w:r>
      <w:r w:rsidR="00E42714" w:rsidRPr="002364AB">
        <w:rPr>
          <w:kern w:val="22"/>
          <w:sz w:val="22"/>
          <w:lang w:val="en-GB"/>
        </w:rPr>
        <w:t xml:space="preserve">relevant </w:t>
      </w:r>
      <w:r w:rsidR="00E600A0" w:rsidRPr="002364AB">
        <w:rPr>
          <w:kern w:val="22"/>
          <w:sz w:val="22"/>
          <w:lang w:val="en-GB"/>
        </w:rPr>
        <w:t>country governments</w:t>
      </w:r>
      <w:r w:rsidR="00C0482B" w:rsidRPr="002364AB">
        <w:rPr>
          <w:kern w:val="22"/>
          <w:sz w:val="22"/>
          <w:lang w:val="en-GB"/>
        </w:rPr>
        <w:t>)</w:t>
      </w:r>
      <w:r w:rsidR="00E600A0" w:rsidRPr="002364AB">
        <w:rPr>
          <w:kern w:val="22"/>
          <w:sz w:val="22"/>
          <w:lang w:val="en-GB"/>
        </w:rPr>
        <w:t xml:space="preserve">, could </w:t>
      </w:r>
      <w:r w:rsidR="00743401" w:rsidRPr="002364AB">
        <w:rPr>
          <w:kern w:val="22"/>
          <w:sz w:val="22"/>
          <w:lang w:val="en-GB"/>
        </w:rPr>
        <w:t>halt</w:t>
      </w:r>
      <w:r w:rsidR="00E600A0" w:rsidRPr="002364AB">
        <w:rPr>
          <w:kern w:val="22"/>
          <w:sz w:val="22"/>
          <w:lang w:val="en-GB"/>
        </w:rPr>
        <w:t xml:space="preserve"> the project at its inception, irrespective of its potential for life-saving societal benefits.</w:t>
      </w:r>
      <w:r w:rsidR="00E600A0" w:rsidRPr="002364AB">
        <w:rPr>
          <w:rStyle w:val="FootnoteReference"/>
          <w:kern w:val="22"/>
          <w:sz w:val="22"/>
          <w:lang w:val="en-GB"/>
        </w:rPr>
        <w:footnoteReference w:id="175"/>
      </w:r>
      <w:r w:rsidR="00E600A0" w:rsidRPr="002364AB">
        <w:rPr>
          <w:kern w:val="22"/>
          <w:sz w:val="22"/>
          <w:lang w:val="en-GB"/>
        </w:rPr>
        <w:t xml:space="preserve"> </w:t>
      </w:r>
      <w:r w:rsidR="00FA28AC" w:rsidRPr="002364AB">
        <w:rPr>
          <w:kern w:val="22"/>
          <w:sz w:val="22"/>
          <w:lang w:val="en-GB"/>
        </w:rPr>
        <w:t xml:space="preserve">Alternatively, users may choose to only </w:t>
      </w:r>
      <w:r w:rsidR="00B17E05" w:rsidRPr="002364AB">
        <w:rPr>
          <w:kern w:val="22"/>
          <w:sz w:val="22"/>
          <w:lang w:val="en-GB"/>
        </w:rPr>
        <w:t xml:space="preserve">work with IPLCs in one country, to the possible detriment of IPLCs in </w:t>
      </w:r>
      <w:r w:rsidR="00FB2D93" w:rsidRPr="002364AB">
        <w:rPr>
          <w:kern w:val="22"/>
          <w:sz w:val="22"/>
          <w:lang w:val="en-GB"/>
        </w:rPr>
        <w:t>the other countries.</w:t>
      </w:r>
      <w:r w:rsidR="00FB2D93" w:rsidRPr="002364AB">
        <w:rPr>
          <w:rStyle w:val="FootnoteReference"/>
          <w:kern w:val="22"/>
          <w:sz w:val="22"/>
          <w:lang w:val="en-GB"/>
        </w:rPr>
        <w:footnoteReference w:id="176"/>
      </w:r>
    </w:p>
    <w:p w14:paraId="0B153368" w14:textId="644FDCE9" w:rsidR="00E600A0" w:rsidRPr="002364AB" w:rsidRDefault="00E600A0" w:rsidP="00E600A0">
      <w:pPr>
        <w:rPr>
          <w:i/>
          <w:iCs/>
          <w:kern w:val="22"/>
          <w:sz w:val="22"/>
          <w:lang w:val="en-GB"/>
        </w:rPr>
      </w:pPr>
      <w:r w:rsidRPr="002364AB">
        <w:rPr>
          <w:i/>
          <w:iCs/>
          <w:kern w:val="22"/>
          <w:sz w:val="22"/>
          <w:lang w:val="en-GB"/>
        </w:rPr>
        <w:t xml:space="preserve">Scenario </w:t>
      </w:r>
      <w:r w:rsidR="00B87DAB" w:rsidRPr="002364AB">
        <w:rPr>
          <w:i/>
          <w:iCs/>
          <w:kern w:val="22"/>
          <w:sz w:val="22"/>
          <w:lang w:val="en-GB"/>
        </w:rPr>
        <w:t>3</w:t>
      </w:r>
      <w:r w:rsidRPr="002364AB">
        <w:rPr>
          <w:i/>
          <w:iCs/>
          <w:kern w:val="22"/>
          <w:sz w:val="22"/>
          <w:lang w:val="en-GB"/>
        </w:rPr>
        <w:t>: A community in one country holding traditional knowledge associated with a genetic resource originating in another country</w:t>
      </w:r>
    </w:p>
    <w:p w14:paraId="26F5E3D7" w14:textId="200D976F" w:rsidR="004019ED" w:rsidRPr="002364AB" w:rsidRDefault="00E600A0" w:rsidP="00E600A0">
      <w:pPr>
        <w:rPr>
          <w:kern w:val="22"/>
          <w:sz w:val="22"/>
          <w:lang w:val="en-GB"/>
        </w:rPr>
      </w:pPr>
      <w:r w:rsidRPr="002364AB">
        <w:rPr>
          <w:kern w:val="22"/>
          <w:sz w:val="22"/>
          <w:lang w:val="en-GB"/>
        </w:rPr>
        <w:t xml:space="preserve">The case of </w:t>
      </w:r>
      <w:r w:rsidR="00C77AE8" w:rsidRPr="002364AB">
        <w:rPr>
          <w:kern w:val="22"/>
          <w:sz w:val="22"/>
          <w:lang w:val="en-GB"/>
        </w:rPr>
        <w:t xml:space="preserve">the </w:t>
      </w:r>
      <w:r w:rsidRPr="002364AB">
        <w:rPr>
          <w:kern w:val="22"/>
          <w:sz w:val="22"/>
          <w:lang w:val="en-GB"/>
        </w:rPr>
        <w:t>Rosy periwinkle is a</w:t>
      </w:r>
      <w:r w:rsidR="00C77AE8" w:rsidRPr="002364AB">
        <w:rPr>
          <w:kern w:val="22"/>
          <w:sz w:val="22"/>
          <w:lang w:val="en-GB"/>
        </w:rPr>
        <w:t xml:space="preserve"> Scenario 3</w:t>
      </w:r>
      <w:r w:rsidRPr="002364AB">
        <w:rPr>
          <w:kern w:val="22"/>
          <w:sz w:val="22"/>
          <w:lang w:val="en-GB"/>
        </w:rPr>
        <w:t xml:space="preserve"> example.</w:t>
      </w:r>
      <w:r w:rsidR="004019ED" w:rsidRPr="002364AB">
        <w:rPr>
          <w:rStyle w:val="FootnoteReference"/>
          <w:kern w:val="22"/>
          <w:sz w:val="22"/>
          <w:lang w:val="en-GB"/>
        </w:rPr>
        <w:footnoteReference w:id="177"/>
      </w:r>
      <w:r w:rsidRPr="002364AB">
        <w:rPr>
          <w:kern w:val="22"/>
          <w:sz w:val="22"/>
          <w:lang w:val="en-GB"/>
        </w:rPr>
        <w:t xml:space="preserve"> Rosy periwinkle, or </w:t>
      </w:r>
      <w:proofErr w:type="spellStart"/>
      <w:r w:rsidRPr="002364AB">
        <w:rPr>
          <w:i/>
          <w:kern w:val="22"/>
          <w:sz w:val="22"/>
          <w:lang w:val="en-GB"/>
        </w:rPr>
        <w:t>Catharanthus</w:t>
      </w:r>
      <w:proofErr w:type="spellEnd"/>
      <w:r w:rsidRPr="002364AB">
        <w:rPr>
          <w:i/>
          <w:kern w:val="22"/>
          <w:sz w:val="22"/>
          <w:lang w:val="en-GB"/>
        </w:rPr>
        <w:t xml:space="preserve"> roseus</w:t>
      </w:r>
      <w:r w:rsidRPr="002364AB">
        <w:rPr>
          <w:kern w:val="22"/>
          <w:sz w:val="22"/>
          <w:lang w:val="en-GB"/>
        </w:rPr>
        <w:t xml:space="preserve">, </w:t>
      </w:r>
      <w:r w:rsidR="00113BA7" w:rsidRPr="002364AB">
        <w:rPr>
          <w:kern w:val="22"/>
          <w:sz w:val="22"/>
          <w:lang w:val="en-GB"/>
        </w:rPr>
        <w:t xml:space="preserve">may have </w:t>
      </w:r>
      <w:r w:rsidRPr="002364AB">
        <w:rPr>
          <w:kern w:val="22"/>
          <w:sz w:val="22"/>
          <w:lang w:val="en-GB"/>
        </w:rPr>
        <w:t xml:space="preserve">originated in Madagascar, but </w:t>
      </w:r>
      <w:r w:rsidR="00113BA7" w:rsidRPr="002364AB">
        <w:rPr>
          <w:kern w:val="22"/>
          <w:sz w:val="22"/>
          <w:lang w:val="en-GB"/>
        </w:rPr>
        <w:t>is now a “resolutely cosmopolitan species now cultivated on six continents and thoroughly integrated into the folk healing traditions of countries as distant from one another as England, Pakistan, Vietnam, and Dominica.”</w:t>
      </w:r>
      <w:r w:rsidRPr="002364AB">
        <w:rPr>
          <w:rStyle w:val="FootnoteReference"/>
          <w:kern w:val="22"/>
          <w:sz w:val="22"/>
          <w:lang w:val="en-GB"/>
        </w:rPr>
        <w:footnoteReference w:id="178"/>
      </w:r>
      <w:r w:rsidRPr="002364AB">
        <w:rPr>
          <w:kern w:val="22"/>
          <w:sz w:val="22"/>
          <w:lang w:val="en-GB"/>
        </w:rPr>
        <w:t xml:space="preserve"> </w:t>
      </w:r>
      <w:r w:rsidR="00113BA7" w:rsidRPr="002364AB">
        <w:rPr>
          <w:kern w:val="22"/>
          <w:sz w:val="22"/>
          <w:lang w:val="en-GB"/>
        </w:rPr>
        <w:t>Eli Lilly researchers first investigated the plant after finding, in a literature search for Australasian plants with credible indigenous use patterns, reports of its traditional use in the Philippines as an insulin substitute.</w:t>
      </w:r>
      <w:r w:rsidR="00113BA7" w:rsidRPr="002364AB">
        <w:rPr>
          <w:rStyle w:val="FootnoteReference"/>
          <w:kern w:val="22"/>
          <w:sz w:val="22"/>
          <w:lang w:val="en-GB"/>
        </w:rPr>
        <w:footnoteReference w:id="179"/>
      </w:r>
      <w:r w:rsidR="00113BA7" w:rsidRPr="002364AB">
        <w:rPr>
          <w:kern w:val="22"/>
          <w:sz w:val="22"/>
          <w:lang w:val="en-GB"/>
        </w:rPr>
        <w:t xml:space="preserve">  </w:t>
      </w:r>
      <w:r w:rsidR="000B705A" w:rsidRPr="002364AB">
        <w:rPr>
          <w:kern w:val="22"/>
          <w:sz w:val="22"/>
          <w:lang w:val="en-GB"/>
        </w:rPr>
        <w:t xml:space="preserve">Lilly’s first collected samples were from India and ultimately led to the development of the successful cancer drug </w:t>
      </w:r>
      <w:r w:rsidR="00AE1039" w:rsidRPr="002364AB">
        <w:rPr>
          <w:kern w:val="22"/>
          <w:sz w:val="22"/>
          <w:lang w:val="en-GB"/>
        </w:rPr>
        <w:t>V</w:t>
      </w:r>
      <w:r w:rsidR="000B705A" w:rsidRPr="002364AB">
        <w:rPr>
          <w:kern w:val="22"/>
          <w:sz w:val="22"/>
          <w:lang w:val="en-GB"/>
        </w:rPr>
        <w:t>incristine.  In a separate development,</w:t>
      </w:r>
      <w:r w:rsidRPr="002364AB">
        <w:rPr>
          <w:kern w:val="22"/>
          <w:sz w:val="22"/>
          <w:lang w:val="en-GB"/>
        </w:rPr>
        <w:t xml:space="preserve"> samples of its leaves were sent by a doctor from Jamaica, where it was locally used to treat diabetes, to Canada, where researchers identified and patented </w:t>
      </w:r>
      <w:r w:rsidR="000B705A" w:rsidRPr="002364AB">
        <w:rPr>
          <w:kern w:val="22"/>
          <w:sz w:val="22"/>
          <w:lang w:val="en-GB"/>
        </w:rPr>
        <w:t>Vinblastine, a different cancer drug</w:t>
      </w:r>
      <w:r w:rsidRPr="002364AB">
        <w:rPr>
          <w:kern w:val="22"/>
          <w:sz w:val="22"/>
          <w:lang w:val="en-GB"/>
        </w:rPr>
        <w:t>.</w:t>
      </w:r>
      <w:r w:rsidRPr="002364AB">
        <w:rPr>
          <w:rStyle w:val="FootnoteReference"/>
          <w:kern w:val="22"/>
          <w:sz w:val="22"/>
          <w:lang w:val="en-GB"/>
        </w:rPr>
        <w:footnoteReference w:id="180"/>
      </w:r>
      <w:r w:rsidRPr="002364AB">
        <w:rPr>
          <w:kern w:val="22"/>
          <w:sz w:val="22"/>
          <w:lang w:val="en-GB"/>
        </w:rPr>
        <w:t xml:space="preserve"> </w:t>
      </w:r>
    </w:p>
    <w:p w14:paraId="4761CF35" w14:textId="6F7E263D" w:rsidR="00E600A0" w:rsidRPr="002364AB" w:rsidRDefault="00C76D95" w:rsidP="00E600A0">
      <w:pPr>
        <w:rPr>
          <w:kern w:val="22"/>
          <w:sz w:val="22"/>
          <w:lang w:val="en-GB"/>
        </w:rPr>
      </w:pPr>
      <w:r w:rsidRPr="002364AB">
        <w:rPr>
          <w:kern w:val="22"/>
          <w:sz w:val="22"/>
          <w:lang w:val="en-GB"/>
        </w:rPr>
        <w:t xml:space="preserve">Neither cancer drug </w:t>
      </w:r>
      <w:r w:rsidR="00E600A0" w:rsidRPr="002364AB">
        <w:rPr>
          <w:kern w:val="22"/>
          <w:sz w:val="22"/>
          <w:lang w:val="en-GB"/>
        </w:rPr>
        <w:t xml:space="preserve">was based directly on </w:t>
      </w:r>
      <w:r w:rsidR="00E600A0" w:rsidRPr="002364AB">
        <w:rPr>
          <w:iCs/>
          <w:kern w:val="22"/>
          <w:sz w:val="22"/>
          <w:lang w:val="en-GB"/>
        </w:rPr>
        <w:t>associated traditional knowledge</w:t>
      </w:r>
      <w:r w:rsidR="00E600A0" w:rsidRPr="002364AB">
        <w:rPr>
          <w:kern w:val="22"/>
          <w:sz w:val="22"/>
          <w:lang w:val="en-GB"/>
        </w:rPr>
        <w:t xml:space="preserve"> (treating diabetes, not cancer, was the traditional use of the plant)</w:t>
      </w:r>
      <w:r w:rsidR="005A4A51" w:rsidRPr="002364AB">
        <w:rPr>
          <w:kern w:val="22"/>
          <w:sz w:val="22"/>
          <w:lang w:val="en-GB"/>
        </w:rPr>
        <w:t>.</w:t>
      </w:r>
      <w:r w:rsidR="00E600A0" w:rsidRPr="002364AB">
        <w:rPr>
          <w:kern w:val="22"/>
          <w:sz w:val="22"/>
          <w:lang w:val="en-GB"/>
        </w:rPr>
        <w:t xml:space="preserve"> </w:t>
      </w:r>
      <w:r w:rsidR="005A4A51" w:rsidRPr="002364AB">
        <w:rPr>
          <w:kern w:val="22"/>
          <w:sz w:val="22"/>
          <w:lang w:val="en-GB"/>
        </w:rPr>
        <w:t>N</w:t>
      </w:r>
      <w:r w:rsidR="00277CD9" w:rsidRPr="002364AB">
        <w:rPr>
          <w:kern w:val="22"/>
          <w:sz w:val="22"/>
          <w:lang w:val="en-GB"/>
        </w:rPr>
        <w:t xml:space="preserve">evertheless, </w:t>
      </w:r>
      <w:r w:rsidR="00E600A0" w:rsidRPr="002364AB">
        <w:rPr>
          <w:kern w:val="22"/>
          <w:sz w:val="22"/>
          <w:lang w:val="en-GB"/>
        </w:rPr>
        <w:t xml:space="preserve">without </w:t>
      </w:r>
      <w:r w:rsidRPr="002364AB">
        <w:rPr>
          <w:kern w:val="22"/>
          <w:sz w:val="22"/>
          <w:lang w:val="en-GB"/>
        </w:rPr>
        <w:t>the reported</w:t>
      </w:r>
      <w:r w:rsidR="00E600A0" w:rsidRPr="002364AB">
        <w:rPr>
          <w:kern w:val="22"/>
          <w:sz w:val="22"/>
          <w:lang w:val="en-GB"/>
        </w:rPr>
        <w:t xml:space="preserve"> </w:t>
      </w:r>
      <w:r w:rsidR="00E600A0" w:rsidRPr="002364AB">
        <w:rPr>
          <w:iCs/>
          <w:kern w:val="22"/>
          <w:sz w:val="22"/>
          <w:lang w:val="en-GB"/>
        </w:rPr>
        <w:t>traditional knowledge</w:t>
      </w:r>
      <w:r w:rsidR="00E600A0" w:rsidRPr="002364AB">
        <w:rPr>
          <w:kern w:val="22"/>
          <w:sz w:val="22"/>
          <w:lang w:val="en-GB"/>
        </w:rPr>
        <w:t xml:space="preserve"> from</w:t>
      </w:r>
      <w:r w:rsidRPr="002364AB">
        <w:rPr>
          <w:kern w:val="22"/>
          <w:sz w:val="22"/>
          <w:lang w:val="en-GB"/>
        </w:rPr>
        <w:t xml:space="preserve"> the Philippines, </w:t>
      </w:r>
      <w:r w:rsidR="00277CD9" w:rsidRPr="002364AB">
        <w:rPr>
          <w:kern w:val="22"/>
          <w:sz w:val="22"/>
          <w:lang w:val="en-GB"/>
        </w:rPr>
        <w:t>and associated traditional knowledge from</w:t>
      </w:r>
      <w:r w:rsidRPr="002364AB">
        <w:rPr>
          <w:kern w:val="22"/>
          <w:sz w:val="22"/>
          <w:lang w:val="en-GB"/>
        </w:rPr>
        <w:t xml:space="preserve"> </w:t>
      </w:r>
      <w:r w:rsidR="00E600A0" w:rsidRPr="002364AB">
        <w:rPr>
          <w:kern w:val="22"/>
          <w:sz w:val="22"/>
          <w:lang w:val="en-GB"/>
        </w:rPr>
        <w:t>Jamaica</w:t>
      </w:r>
      <w:r w:rsidRPr="002364AB">
        <w:rPr>
          <w:kern w:val="22"/>
          <w:sz w:val="22"/>
          <w:lang w:val="en-GB"/>
        </w:rPr>
        <w:t>, respectively,</w:t>
      </w:r>
      <w:r w:rsidR="00E600A0" w:rsidRPr="002364AB">
        <w:rPr>
          <w:kern w:val="22"/>
          <w:sz w:val="22"/>
          <w:lang w:val="en-GB"/>
        </w:rPr>
        <w:t xml:space="preserve"> </w:t>
      </w:r>
      <w:r w:rsidRPr="002364AB">
        <w:rPr>
          <w:kern w:val="22"/>
          <w:sz w:val="22"/>
          <w:lang w:val="en-GB"/>
        </w:rPr>
        <w:t xml:space="preserve">neither set of researchers </w:t>
      </w:r>
      <w:r w:rsidR="00E600A0" w:rsidRPr="002364AB">
        <w:rPr>
          <w:kern w:val="22"/>
          <w:sz w:val="22"/>
          <w:lang w:val="en-GB"/>
        </w:rPr>
        <w:t xml:space="preserve">seemingly would have </w:t>
      </w:r>
      <w:r w:rsidR="00277CD9" w:rsidRPr="002364AB">
        <w:rPr>
          <w:kern w:val="22"/>
          <w:sz w:val="22"/>
          <w:lang w:val="en-GB"/>
        </w:rPr>
        <w:t xml:space="preserve">been led to </w:t>
      </w:r>
      <w:r w:rsidR="003B220E" w:rsidRPr="002364AB">
        <w:rPr>
          <w:kern w:val="22"/>
          <w:sz w:val="22"/>
          <w:lang w:val="en-GB"/>
        </w:rPr>
        <w:t>investigate the plant for its potential medical uses</w:t>
      </w:r>
      <w:r w:rsidR="00E600A0" w:rsidRPr="002364AB">
        <w:rPr>
          <w:kern w:val="22"/>
          <w:sz w:val="22"/>
          <w:lang w:val="en-GB"/>
        </w:rPr>
        <w:t>.</w:t>
      </w:r>
      <w:r w:rsidR="004019ED" w:rsidRPr="002364AB" w:rsidDel="009F3C3A">
        <w:rPr>
          <w:kern w:val="22"/>
          <w:sz w:val="22"/>
          <w:lang w:val="en-GB"/>
        </w:rPr>
        <w:t xml:space="preserve"> </w:t>
      </w:r>
      <w:r w:rsidR="004019ED" w:rsidRPr="002364AB">
        <w:rPr>
          <w:kern w:val="22"/>
          <w:sz w:val="22"/>
          <w:lang w:val="en-GB"/>
        </w:rPr>
        <w:t>N</w:t>
      </w:r>
      <w:r w:rsidRPr="002364AB">
        <w:rPr>
          <w:kern w:val="22"/>
          <w:sz w:val="22"/>
          <w:lang w:val="en-GB"/>
        </w:rPr>
        <w:t>evertheless, th</w:t>
      </w:r>
      <w:r w:rsidR="004019ED" w:rsidRPr="002364AB">
        <w:rPr>
          <w:kern w:val="22"/>
          <w:sz w:val="22"/>
          <w:lang w:val="en-GB"/>
        </w:rPr>
        <w:t>e</w:t>
      </w:r>
      <w:r w:rsidRPr="002364AB">
        <w:rPr>
          <w:kern w:val="22"/>
          <w:sz w:val="22"/>
          <w:lang w:val="en-GB"/>
        </w:rPr>
        <w:t xml:space="preserve"> example shows a type of scenario where a provider country (India) is different to the country of the IPLCs who contributed traditional knowledge (located in the Philippines), and it is not clear that the specific IPLCs could be identified from the literature source.</w:t>
      </w:r>
      <w:r w:rsidR="00E600A0" w:rsidRPr="002364AB">
        <w:rPr>
          <w:kern w:val="22"/>
          <w:sz w:val="22"/>
          <w:lang w:val="en-GB"/>
        </w:rPr>
        <w:t xml:space="preserve">   </w:t>
      </w:r>
    </w:p>
    <w:p w14:paraId="6F24587D" w14:textId="43C5AFC2" w:rsidR="00FC5588" w:rsidRPr="002364AB" w:rsidRDefault="14AC87FF" w:rsidP="00707D9C">
      <w:pPr>
        <w:pStyle w:val="Heading2"/>
        <w:rPr>
          <w:kern w:val="22"/>
          <w:sz w:val="22"/>
          <w:szCs w:val="22"/>
          <w:lang w:val="en-GB"/>
        </w:rPr>
      </w:pPr>
      <w:bookmarkStart w:id="174" w:name="_Toc31040299"/>
      <w:bookmarkStart w:id="175" w:name="_Toc31056867"/>
      <w:bookmarkStart w:id="176" w:name="_Toc32490883"/>
      <w:bookmarkStart w:id="177" w:name="_Toc34249594"/>
      <w:bookmarkStart w:id="178" w:name="_Toc39580436"/>
      <w:bookmarkStart w:id="179" w:name="_Toc43134988"/>
      <w:r w:rsidRPr="002364AB">
        <w:rPr>
          <w:kern w:val="22"/>
          <w:sz w:val="22"/>
          <w:szCs w:val="22"/>
          <w:lang w:val="en-GB"/>
        </w:rPr>
        <w:t>Publicly Available Traditional Knowledge Associated with Genetic Resources</w:t>
      </w:r>
      <w:bookmarkEnd w:id="174"/>
      <w:bookmarkEnd w:id="175"/>
      <w:bookmarkEnd w:id="176"/>
      <w:bookmarkEnd w:id="177"/>
      <w:bookmarkEnd w:id="178"/>
      <w:bookmarkEnd w:id="179"/>
    </w:p>
    <w:p w14:paraId="7D9A5786" w14:textId="6A828792" w:rsidR="002F20A8" w:rsidRPr="002364AB" w:rsidRDefault="007C77E2" w:rsidP="003B2D54">
      <w:pPr>
        <w:rPr>
          <w:rFonts w:cs="Times New Roman"/>
          <w:kern w:val="22"/>
          <w:sz w:val="22"/>
          <w:lang w:val="en-GB"/>
        </w:rPr>
      </w:pPr>
      <w:r w:rsidRPr="002364AB">
        <w:rPr>
          <w:rFonts w:cs="Times New Roman"/>
          <w:kern w:val="22"/>
          <w:sz w:val="22"/>
          <w:lang w:val="en-GB"/>
        </w:rPr>
        <w:t xml:space="preserve">The issue of </w:t>
      </w:r>
      <w:r w:rsidR="0091409E" w:rsidRPr="002364AB">
        <w:rPr>
          <w:rFonts w:cs="Times New Roman"/>
          <w:kern w:val="22"/>
          <w:sz w:val="22"/>
          <w:lang w:val="en-GB"/>
        </w:rPr>
        <w:t>whether</w:t>
      </w:r>
      <w:r w:rsidRPr="002364AB">
        <w:rPr>
          <w:rFonts w:cs="Times New Roman"/>
          <w:kern w:val="22"/>
          <w:sz w:val="22"/>
          <w:lang w:val="en-GB"/>
        </w:rPr>
        <w:t xml:space="preserve"> publicly available </w:t>
      </w:r>
      <w:r w:rsidR="00580345" w:rsidRPr="002364AB">
        <w:rPr>
          <w:rFonts w:cs="Times New Roman"/>
          <w:kern w:val="22"/>
          <w:sz w:val="22"/>
          <w:lang w:val="en-GB"/>
        </w:rPr>
        <w:t>traditional knowledge</w:t>
      </w:r>
      <w:r w:rsidRPr="002364AB">
        <w:rPr>
          <w:rFonts w:cs="Times New Roman"/>
          <w:kern w:val="22"/>
          <w:sz w:val="22"/>
          <w:lang w:val="en-GB"/>
        </w:rPr>
        <w:t xml:space="preserve"> associated with genetic resources is within the scope of the Protocol and subject to benefit-sharing </w:t>
      </w:r>
      <w:r w:rsidR="00D2110F" w:rsidRPr="002364AB">
        <w:rPr>
          <w:rFonts w:cs="Times New Roman"/>
          <w:kern w:val="22"/>
          <w:sz w:val="22"/>
          <w:lang w:val="en-GB"/>
        </w:rPr>
        <w:t xml:space="preserve">remains </w:t>
      </w:r>
      <w:r w:rsidRPr="002364AB">
        <w:rPr>
          <w:rFonts w:cs="Times New Roman"/>
          <w:kern w:val="22"/>
          <w:sz w:val="22"/>
          <w:lang w:val="en-GB"/>
        </w:rPr>
        <w:t xml:space="preserve">unresolved. Nevertheless, to the extent that it is considered within the scope of the Protocol, PIC negotiations would </w:t>
      </w:r>
      <w:r w:rsidR="00724BF0" w:rsidRPr="002364AB">
        <w:rPr>
          <w:rFonts w:cs="Times New Roman"/>
          <w:kern w:val="22"/>
          <w:sz w:val="22"/>
          <w:lang w:val="en-GB"/>
        </w:rPr>
        <w:t>not take place</w:t>
      </w:r>
      <w:r w:rsidR="00900FD9" w:rsidRPr="002364AB">
        <w:rPr>
          <w:rFonts w:cs="Times New Roman"/>
          <w:kern w:val="22"/>
          <w:sz w:val="22"/>
          <w:lang w:val="en-GB"/>
        </w:rPr>
        <w:t>,</w:t>
      </w:r>
      <w:r w:rsidRPr="002364AB">
        <w:rPr>
          <w:rFonts w:cs="Times New Roman"/>
          <w:kern w:val="22"/>
          <w:sz w:val="22"/>
          <w:lang w:val="en-GB"/>
        </w:rPr>
        <w:t xml:space="preserve"> as access is already available without restriction.</w:t>
      </w:r>
      <w:r w:rsidR="006D397C" w:rsidRPr="002364AB">
        <w:rPr>
          <w:rFonts w:cs="Times New Roman"/>
          <w:kern w:val="22"/>
          <w:sz w:val="22"/>
          <w:lang w:val="en-GB"/>
        </w:rPr>
        <w:t xml:space="preserve"> </w:t>
      </w:r>
    </w:p>
    <w:p w14:paraId="443D5C09" w14:textId="027CD81B" w:rsidR="002F20A8" w:rsidRPr="002364AB" w:rsidRDefault="003B2D54" w:rsidP="002F20A8">
      <w:pPr>
        <w:rPr>
          <w:rFonts w:cs="Times New Roman"/>
          <w:kern w:val="22"/>
          <w:sz w:val="22"/>
          <w:lang w:val="en-GB"/>
        </w:rPr>
      </w:pPr>
      <w:r w:rsidRPr="002364AB">
        <w:rPr>
          <w:rFonts w:cs="Times New Roman"/>
          <w:kern w:val="22"/>
          <w:sz w:val="22"/>
          <w:lang w:val="en-GB"/>
        </w:rPr>
        <w:t xml:space="preserve">Nevertheless, it </w:t>
      </w:r>
      <w:r w:rsidR="00F55C10" w:rsidRPr="002364AB">
        <w:rPr>
          <w:rFonts w:cs="Times New Roman"/>
          <w:kern w:val="22"/>
          <w:sz w:val="22"/>
          <w:lang w:val="en-GB"/>
        </w:rPr>
        <w:t>should be noted</w:t>
      </w:r>
      <w:r w:rsidRPr="002364AB">
        <w:rPr>
          <w:rFonts w:cs="Times New Roman"/>
          <w:kern w:val="22"/>
          <w:sz w:val="22"/>
          <w:lang w:val="en-GB"/>
        </w:rPr>
        <w:t xml:space="preserve"> that the fact that information is publicly available does not mean </w:t>
      </w:r>
      <w:r w:rsidR="009F3C3A" w:rsidRPr="002364AB">
        <w:rPr>
          <w:rFonts w:cs="Times New Roman"/>
          <w:kern w:val="22"/>
          <w:sz w:val="22"/>
          <w:lang w:val="en-GB"/>
        </w:rPr>
        <w:t xml:space="preserve">that </w:t>
      </w:r>
      <w:r w:rsidRPr="002364AB">
        <w:rPr>
          <w:rFonts w:cs="Times New Roman"/>
          <w:kern w:val="22"/>
          <w:sz w:val="22"/>
          <w:lang w:val="en-GB"/>
        </w:rPr>
        <w:t>it is in the public domain</w:t>
      </w:r>
      <w:r w:rsidR="00752B4F" w:rsidRPr="002364AB">
        <w:rPr>
          <w:rFonts w:cs="Times New Roman"/>
          <w:kern w:val="22"/>
          <w:sz w:val="22"/>
          <w:lang w:val="en-GB"/>
        </w:rPr>
        <w:t xml:space="preserve"> and thus owned by no one</w:t>
      </w:r>
      <w:r w:rsidRPr="002364AB">
        <w:rPr>
          <w:rFonts w:cs="Times New Roman"/>
          <w:kern w:val="22"/>
          <w:sz w:val="22"/>
          <w:lang w:val="en-GB"/>
        </w:rPr>
        <w:t xml:space="preserve">. The phrase “public domain” is a national construct and is widely understood in the context </w:t>
      </w:r>
      <w:r w:rsidR="00785FBB" w:rsidRPr="002364AB">
        <w:rPr>
          <w:rFonts w:cs="Times New Roman"/>
          <w:kern w:val="22"/>
          <w:sz w:val="22"/>
          <w:lang w:val="en-GB"/>
        </w:rPr>
        <w:t xml:space="preserve">of intellectual property </w:t>
      </w:r>
      <w:r w:rsidRPr="002364AB">
        <w:rPr>
          <w:rFonts w:cs="Times New Roman"/>
          <w:kern w:val="22"/>
          <w:sz w:val="22"/>
          <w:lang w:val="en-GB"/>
        </w:rPr>
        <w:t xml:space="preserve">to mean that some subject matter is no longer (or was never) protected by exclusive rights under a particular regime, such as patent, copyright, or </w:t>
      </w:r>
      <w:r w:rsidRPr="002364AB">
        <w:rPr>
          <w:rFonts w:cs="Times New Roman"/>
          <w:i/>
          <w:kern w:val="22"/>
          <w:sz w:val="22"/>
          <w:lang w:val="en-GB"/>
        </w:rPr>
        <w:t>a sui generis</w:t>
      </w:r>
      <w:r w:rsidRPr="002364AB">
        <w:rPr>
          <w:rFonts w:cs="Times New Roman"/>
          <w:kern w:val="22"/>
          <w:sz w:val="22"/>
          <w:lang w:val="en-GB"/>
        </w:rPr>
        <w:t xml:space="preserve"> protection system, in a given </w:t>
      </w:r>
      <w:r w:rsidR="00F55C10" w:rsidRPr="002364AB">
        <w:rPr>
          <w:rFonts w:cs="Times New Roman"/>
          <w:kern w:val="22"/>
          <w:sz w:val="22"/>
          <w:lang w:val="en-GB"/>
        </w:rPr>
        <w:t>territory</w:t>
      </w:r>
      <w:r w:rsidRPr="002364AB">
        <w:rPr>
          <w:rFonts w:cs="Times New Roman"/>
          <w:kern w:val="22"/>
          <w:sz w:val="22"/>
          <w:lang w:val="en-GB"/>
        </w:rPr>
        <w:t>.</w:t>
      </w:r>
      <w:r w:rsidR="00900FD9" w:rsidRPr="002364AB">
        <w:rPr>
          <w:rStyle w:val="FootnoteReference"/>
          <w:rFonts w:cs="Times New Roman"/>
          <w:kern w:val="22"/>
          <w:sz w:val="22"/>
          <w:lang w:val="en-GB"/>
        </w:rPr>
        <w:footnoteReference w:id="181"/>
      </w:r>
      <w:r w:rsidRPr="002364AB">
        <w:rPr>
          <w:rFonts w:cs="Times New Roman"/>
          <w:kern w:val="22"/>
          <w:sz w:val="22"/>
          <w:lang w:val="en-GB"/>
        </w:rPr>
        <w:t xml:space="preserve"> Whereas no one owns the public domain however it is defined, much publicly available information is understood to still be subject to exclusive rights, such as the information disclosed in an issued, non-expired patent document within a particular territory.</w:t>
      </w:r>
      <w:r w:rsidR="002F20A8" w:rsidRPr="002364AB">
        <w:rPr>
          <w:rFonts w:cs="Times New Roman"/>
          <w:kern w:val="22"/>
          <w:sz w:val="22"/>
          <w:lang w:val="en-GB"/>
        </w:rPr>
        <w:t xml:space="preserve"> </w:t>
      </w:r>
    </w:p>
    <w:p w14:paraId="45DE724D" w14:textId="5AFF2C89" w:rsidR="006D397C" w:rsidRPr="002364AB" w:rsidRDefault="00BB3972" w:rsidP="004D3337">
      <w:pPr>
        <w:rPr>
          <w:kern w:val="22"/>
          <w:sz w:val="22"/>
          <w:lang w:val="en-GB"/>
        </w:rPr>
      </w:pPr>
      <w:r w:rsidRPr="002364AB">
        <w:rPr>
          <w:rFonts w:cs="Times New Roman"/>
          <w:kern w:val="22"/>
          <w:sz w:val="22"/>
          <w:lang w:val="en-GB"/>
        </w:rPr>
        <w:t xml:space="preserve">Numerous </w:t>
      </w:r>
      <w:r w:rsidR="003B2D54" w:rsidRPr="002364AB" w:rsidDel="004B7FBD">
        <w:rPr>
          <w:rFonts w:cs="Times New Roman"/>
          <w:kern w:val="22"/>
          <w:sz w:val="22"/>
          <w:lang w:val="en-GB"/>
        </w:rPr>
        <w:t>c</w:t>
      </w:r>
      <w:r w:rsidR="003B2D54" w:rsidRPr="002364AB">
        <w:rPr>
          <w:rFonts w:cs="Times New Roman"/>
          <w:kern w:val="22"/>
          <w:sz w:val="22"/>
          <w:lang w:val="en-GB"/>
        </w:rPr>
        <w:t>ountries</w:t>
      </w:r>
      <w:r w:rsidR="004B7FBD" w:rsidRPr="002364AB">
        <w:rPr>
          <w:rFonts w:cs="Times New Roman"/>
          <w:kern w:val="22"/>
          <w:sz w:val="22"/>
          <w:lang w:val="en-GB"/>
        </w:rPr>
        <w:t xml:space="preserve"> in Africa, the Americas, </w:t>
      </w:r>
      <w:r w:rsidRPr="002364AB">
        <w:rPr>
          <w:rFonts w:cs="Times New Roman"/>
          <w:kern w:val="22"/>
          <w:sz w:val="22"/>
          <w:lang w:val="en-GB"/>
        </w:rPr>
        <w:t xml:space="preserve">Asia and the Pacific </w:t>
      </w:r>
      <w:r w:rsidR="003B2D54" w:rsidRPr="002364AB">
        <w:rPr>
          <w:rFonts w:cs="Times New Roman"/>
          <w:kern w:val="22"/>
          <w:sz w:val="22"/>
          <w:lang w:val="en-GB"/>
        </w:rPr>
        <w:t xml:space="preserve">have protection systems for </w:t>
      </w:r>
      <w:r w:rsidR="00580345" w:rsidRPr="002364AB">
        <w:rPr>
          <w:rFonts w:cs="Times New Roman"/>
          <w:kern w:val="22"/>
          <w:sz w:val="22"/>
          <w:lang w:val="en-GB"/>
        </w:rPr>
        <w:t>traditional knowledge</w:t>
      </w:r>
      <w:r w:rsidRPr="002364AB">
        <w:rPr>
          <w:rFonts w:cs="Times New Roman"/>
          <w:kern w:val="22"/>
          <w:sz w:val="22"/>
          <w:lang w:val="en-GB"/>
        </w:rPr>
        <w:t>. I</w:t>
      </w:r>
      <w:r w:rsidR="003B2D54" w:rsidRPr="002364AB">
        <w:rPr>
          <w:rFonts w:cs="Times New Roman"/>
          <w:kern w:val="22"/>
          <w:sz w:val="22"/>
          <w:lang w:val="en-GB"/>
        </w:rPr>
        <w:t xml:space="preserve">n those countries, the fact that </w:t>
      </w:r>
      <w:r w:rsidR="00580345" w:rsidRPr="002364AB">
        <w:rPr>
          <w:rFonts w:cs="Times New Roman"/>
          <w:kern w:val="22"/>
          <w:sz w:val="22"/>
          <w:lang w:val="en-GB"/>
        </w:rPr>
        <w:t>the knowledge</w:t>
      </w:r>
      <w:r w:rsidR="003B2D54" w:rsidRPr="002364AB">
        <w:rPr>
          <w:rFonts w:cs="Times New Roman"/>
          <w:kern w:val="22"/>
          <w:sz w:val="22"/>
          <w:lang w:val="en-GB"/>
        </w:rPr>
        <w:t xml:space="preserve"> may be publicly available </w:t>
      </w:r>
      <w:r w:rsidR="002F20A8" w:rsidRPr="002364AB">
        <w:rPr>
          <w:rFonts w:cs="Times New Roman"/>
          <w:kern w:val="22"/>
          <w:sz w:val="22"/>
          <w:lang w:val="en-GB"/>
        </w:rPr>
        <w:t xml:space="preserve">does not necessarily </w:t>
      </w:r>
      <w:r w:rsidR="003B2D54" w:rsidRPr="002364AB">
        <w:rPr>
          <w:rFonts w:cs="Times New Roman"/>
          <w:kern w:val="22"/>
          <w:sz w:val="22"/>
          <w:lang w:val="en-GB"/>
        </w:rPr>
        <w:t xml:space="preserve">mean </w:t>
      </w:r>
      <w:r w:rsidR="002F20A8" w:rsidRPr="002364AB">
        <w:rPr>
          <w:rFonts w:cs="Times New Roman"/>
          <w:kern w:val="22"/>
          <w:sz w:val="22"/>
          <w:lang w:val="en-GB"/>
        </w:rPr>
        <w:t>th</w:t>
      </w:r>
      <w:r w:rsidR="003B2D54" w:rsidRPr="002364AB">
        <w:rPr>
          <w:rFonts w:cs="Times New Roman"/>
          <w:kern w:val="22"/>
          <w:sz w:val="22"/>
          <w:lang w:val="en-GB"/>
        </w:rPr>
        <w:t>at benefit-sharing obligations</w:t>
      </w:r>
      <w:r w:rsidR="002F20A8" w:rsidRPr="002364AB">
        <w:rPr>
          <w:rFonts w:cs="Times New Roman"/>
          <w:kern w:val="22"/>
          <w:sz w:val="22"/>
          <w:lang w:val="en-GB"/>
        </w:rPr>
        <w:t xml:space="preserve"> </w:t>
      </w:r>
      <w:r w:rsidRPr="002364AB">
        <w:rPr>
          <w:rFonts w:cs="Times New Roman"/>
          <w:kern w:val="22"/>
          <w:sz w:val="22"/>
          <w:lang w:val="en-GB"/>
        </w:rPr>
        <w:t>are not applicable</w:t>
      </w:r>
      <w:r w:rsidR="002F20A8" w:rsidRPr="002364AB">
        <w:rPr>
          <w:rFonts w:cs="Times New Roman"/>
          <w:kern w:val="22"/>
          <w:sz w:val="22"/>
          <w:lang w:val="en-GB"/>
        </w:rPr>
        <w:t xml:space="preserve">. </w:t>
      </w:r>
      <w:r w:rsidR="002F20A8" w:rsidRPr="002364AB">
        <w:rPr>
          <w:kern w:val="22"/>
          <w:sz w:val="22"/>
          <w:lang w:val="en-GB"/>
        </w:rPr>
        <w:t xml:space="preserve">National law is key: a user </w:t>
      </w:r>
      <w:r w:rsidR="00592155" w:rsidRPr="002364AB">
        <w:rPr>
          <w:kern w:val="22"/>
          <w:sz w:val="22"/>
          <w:lang w:val="en-GB"/>
        </w:rPr>
        <w:t>of associated traditional knowledge from a country without legislation protecting such knowledge may not have legal PIC/MAT obligations. However</w:t>
      </w:r>
      <w:r w:rsidRPr="002364AB">
        <w:rPr>
          <w:kern w:val="22"/>
          <w:sz w:val="22"/>
          <w:lang w:val="en-GB"/>
        </w:rPr>
        <w:t>,</w:t>
      </w:r>
      <w:r w:rsidR="00592155" w:rsidRPr="002364AB">
        <w:rPr>
          <w:kern w:val="22"/>
          <w:sz w:val="22"/>
          <w:lang w:val="en-GB"/>
        </w:rPr>
        <w:t xml:space="preserve"> users of associated traditional knowledge from countries with such legislation, who live either in that country or another country that is a Party to the Protocol, may have PIC/MAT obligations.</w:t>
      </w:r>
      <w:r w:rsidR="002F20A8" w:rsidRPr="002364AB">
        <w:rPr>
          <w:rStyle w:val="FootnoteReference"/>
          <w:kern w:val="22"/>
          <w:sz w:val="22"/>
          <w:lang w:val="en-GB"/>
        </w:rPr>
        <w:footnoteReference w:id="182"/>
      </w:r>
    </w:p>
    <w:p w14:paraId="55F72D5D" w14:textId="79AA5D7B" w:rsidR="001B5B7F" w:rsidRPr="002364AB" w:rsidRDefault="00F10CC4" w:rsidP="004D3337">
      <w:pPr>
        <w:rPr>
          <w:rFonts w:cs="Times New Roman"/>
          <w:kern w:val="22"/>
          <w:sz w:val="22"/>
          <w:lang w:val="en-GB"/>
        </w:rPr>
      </w:pPr>
      <w:r w:rsidRPr="002364AB">
        <w:rPr>
          <w:rFonts w:cs="Times New Roman"/>
          <w:kern w:val="22"/>
          <w:sz w:val="22"/>
          <w:lang w:val="en-GB"/>
        </w:rPr>
        <w:t>B</w:t>
      </w:r>
      <w:r w:rsidR="007C77E2" w:rsidRPr="002364AB">
        <w:rPr>
          <w:rFonts w:cs="Times New Roman"/>
          <w:kern w:val="22"/>
          <w:sz w:val="22"/>
          <w:lang w:val="en-GB"/>
        </w:rPr>
        <w:t xml:space="preserve">enefit-sharing negotiations </w:t>
      </w:r>
      <w:r w:rsidRPr="002364AB">
        <w:rPr>
          <w:rFonts w:cs="Times New Roman"/>
          <w:kern w:val="22"/>
          <w:sz w:val="22"/>
          <w:lang w:val="en-GB"/>
        </w:rPr>
        <w:t xml:space="preserve">for publicly available traditional knowledge </w:t>
      </w:r>
      <w:r w:rsidR="007C77E2" w:rsidRPr="002364AB">
        <w:rPr>
          <w:rFonts w:cs="Times New Roman"/>
          <w:kern w:val="22"/>
          <w:sz w:val="22"/>
          <w:lang w:val="en-GB"/>
        </w:rPr>
        <w:t xml:space="preserve">may not be possible because, </w:t>
      </w:r>
      <w:r w:rsidR="007C77E2" w:rsidRPr="002364AB">
        <w:rPr>
          <w:rFonts w:cs="Times New Roman"/>
          <w:i/>
          <w:kern w:val="22"/>
          <w:sz w:val="22"/>
          <w:lang w:val="en-GB"/>
        </w:rPr>
        <w:t>inter alia</w:t>
      </w:r>
      <w:r w:rsidR="007C77E2" w:rsidRPr="002364AB">
        <w:rPr>
          <w:rFonts w:cs="Times New Roman"/>
          <w:kern w:val="22"/>
          <w:sz w:val="22"/>
          <w:lang w:val="en-GB"/>
        </w:rPr>
        <w:t>, the original holders may not be identifiable</w:t>
      </w:r>
      <w:r w:rsidR="000565D8" w:rsidRPr="002364AB">
        <w:rPr>
          <w:rFonts w:cs="Times New Roman"/>
          <w:kern w:val="22"/>
          <w:sz w:val="22"/>
          <w:lang w:val="en-GB"/>
        </w:rPr>
        <w:t xml:space="preserve"> or may be extinct</w:t>
      </w:r>
      <w:r w:rsidR="007C77E2" w:rsidRPr="002364AB">
        <w:rPr>
          <w:rFonts w:cs="Times New Roman"/>
          <w:kern w:val="22"/>
          <w:sz w:val="22"/>
          <w:lang w:val="en-GB"/>
        </w:rPr>
        <w:t>,</w:t>
      </w:r>
      <w:r w:rsidR="00A032D0" w:rsidRPr="002364AB">
        <w:rPr>
          <w:rStyle w:val="FootnoteReference"/>
          <w:kern w:val="22"/>
          <w:sz w:val="22"/>
          <w:lang w:val="en-GB"/>
        </w:rPr>
        <w:footnoteReference w:id="183"/>
      </w:r>
      <w:r w:rsidR="007C77E2" w:rsidRPr="002364AB">
        <w:rPr>
          <w:rFonts w:cs="Times New Roman"/>
          <w:kern w:val="22"/>
          <w:sz w:val="22"/>
          <w:lang w:val="en-GB"/>
        </w:rPr>
        <w:t xml:space="preserve"> such </w:t>
      </w:r>
      <w:r w:rsidR="00580345" w:rsidRPr="002364AB">
        <w:rPr>
          <w:rFonts w:cs="Times New Roman"/>
          <w:kern w:val="22"/>
          <w:sz w:val="22"/>
          <w:lang w:val="en-GB"/>
        </w:rPr>
        <w:t>traditional knowledge</w:t>
      </w:r>
      <w:r w:rsidR="007C77E2" w:rsidRPr="002364AB">
        <w:rPr>
          <w:rFonts w:cs="Times New Roman"/>
          <w:kern w:val="22"/>
          <w:sz w:val="22"/>
          <w:lang w:val="en-GB"/>
        </w:rPr>
        <w:t xml:space="preserve"> may be attributed to a country</w:t>
      </w:r>
      <w:r w:rsidR="00F64D83" w:rsidRPr="002364AB">
        <w:rPr>
          <w:rStyle w:val="FootnoteReference"/>
          <w:kern w:val="22"/>
          <w:sz w:val="22"/>
          <w:lang w:val="en-GB"/>
        </w:rPr>
        <w:footnoteReference w:id="184"/>
      </w:r>
      <w:r w:rsidR="007C77E2" w:rsidRPr="002364AB">
        <w:rPr>
          <w:rFonts w:cs="Times New Roman"/>
          <w:kern w:val="22"/>
          <w:sz w:val="22"/>
          <w:lang w:val="en-GB"/>
        </w:rPr>
        <w:t xml:space="preserve"> but not a particular people </w:t>
      </w:r>
      <w:r w:rsidR="00AA14D6" w:rsidRPr="002364AB">
        <w:rPr>
          <w:rFonts w:cs="Times New Roman"/>
          <w:kern w:val="22"/>
          <w:sz w:val="22"/>
          <w:lang w:val="en-GB"/>
        </w:rPr>
        <w:t xml:space="preserve">or </w:t>
      </w:r>
      <w:r w:rsidR="007C77E2" w:rsidRPr="002364AB">
        <w:rPr>
          <w:rFonts w:cs="Times New Roman"/>
          <w:kern w:val="22"/>
          <w:sz w:val="22"/>
          <w:lang w:val="en-GB"/>
        </w:rPr>
        <w:t xml:space="preserve">group, or </w:t>
      </w:r>
      <w:r w:rsidR="002F20A8" w:rsidRPr="002364AB">
        <w:rPr>
          <w:rFonts w:cs="Times New Roman"/>
          <w:kern w:val="22"/>
          <w:sz w:val="22"/>
          <w:lang w:val="en-GB"/>
        </w:rPr>
        <w:t xml:space="preserve">the </w:t>
      </w:r>
      <w:r w:rsidR="00580345" w:rsidRPr="002364AB">
        <w:rPr>
          <w:rFonts w:cs="Times New Roman"/>
          <w:kern w:val="22"/>
          <w:sz w:val="22"/>
          <w:lang w:val="en-GB"/>
        </w:rPr>
        <w:t>knowledge</w:t>
      </w:r>
      <w:r w:rsidR="002F20A8" w:rsidRPr="002364AB">
        <w:rPr>
          <w:rFonts w:cs="Times New Roman"/>
          <w:kern w:val="22"/>
          <w:sz w:val="22"/>
          <w:lang w:val="en-GB"/>
        </w:rPr>
        <w:t xml:space="preserve"> </w:t>
      </w:r>
      <w:r w:rsidR="007C77E2" w:rsidRPr="002364AB">
        <w:rPr>
          <w:rFonts w:cs="Times New Roman"/>
          <w:kern w:val="22"/>
          <w:sz w:val="22"/>
          <w:lang w:val="en-GB"/>
        </w:rPr>
        <w:t xml:space="preserve">may have been originally published and available prior to the entry into force of the CBD or Protocol.  </w:t>
      </w:r>
      <w:r w:rsidRPr="002364AB">
        <w:rPr>
          <w:rFonts w:cs="Times New Roman"/>
          <w:kern w:val="22"/>
          <w:sz w:val="22"/>
          <w:lang w:val="en-GB"/>
        </w:rPr>
        <w:t xml:space="preserve">We note that because Art. 8(j) of the CBD and Arts. 5.5 and 7 of the Nagoya Protocol refer to knowledge of IPLCs only, traditional knowledge attributable to countries or extinct groups would not appear to come within the scope of either </w:t>
      </w:r>
      <w:r w:rsidR="00BE4F86" w:rsidRPr="002364AB">
        <w:rPr>
          <w:rFonts w:cs="Times New Roman"/>
          <w:kern w:val="22"/>
          <w:sz w:val="22"/>
          <w:lang w:val="en-GB"/>
        </w:rPr>
        <w:t>treaty</w:t>
      </w:r>
      <w:r w:rsidRPr="002364AB">
        <w:rPr>
          <w:rFonts w:cs="Times New Roman"/>
          <w:kern w:val="22"/>
          <w:sz w:val="22"/>
          <w:lang w:val="en-GB"/>
        </w:rPr>
        <w:t>. As such, P</w:t>
      </w:r>
      <w:r w:rsidR="008F7B74" w:rsidRPr="002364AB">
        <w:rPr>
          <w:rFonts w:cs="Times New Roman"/>
          <w:kern w:val="22"/>
          <w:sz w:val="22"/>
          <w:lang w:val="en-GB"/>
        </w:rPr>
        <w:t>arties are not in agreement on whether there should be benefit-sharing obligations in any of these circumstances.</w:t>
      </w:r>
    </w:p>
    <w:p w14:paraId="39D99DF3" w14:textId="06DBC864" w:rsidR="00FB4556" w:rsidRPr="002364AB" w:rsidRDefault="002D02A0" w:rsidP="00F64D83">
      <w:pPr>
        <w:rPr>
          <w:rFonts w:cs="Times New Roman"/>
          <w:i/>
          <w:kern w:val="22"/>
          <w:sz w:val="22"/>
          <w:lang w:val="en-GB"/>
        </w:rPr>
      </w:pPr>
      <w:r w:rsidRPr="002364AB">
        <w:rPr>
          <w:rFonts w:cs="Times New Roman"/>
          <w:i/>
          <w:kern w:val="22"/>
          <w:sz w:val="22"/>
          <w:lang w:val="en-GB"/>
        </w:rPr>
        <w:t>Plant Compendia</w:t>
      </w:r>
    </w:p>
    <w:p w14:paraId="116CD28B" w14:textId="6B653A29" w:rsidR="008345C0" w:rsidRPr="002364AB" w:rsidRDefault="000270D1" w:rsidP="00F64D83">
      <w:pPr>
        <w:rPr>
          <w:rFonts w:cs="Times New Roman"/>
          <w:kern w:val="22"/>
          <w:sz w:val="22"/>
          <w:lang w:val="en-GB"/>
        </w:rPr>
      </w:pPr>
      <w:r w:rsidRPr="002364AB">
        <w:rPr>
          <w:rFonts w:cs="Times New Roman"/>
          <w:kern w:val="22"/>
          <w:sz w:val="22"/>
          <w:lang w:val="en-GB"/>
        </w:rPr>
        <w:t>Numerous</w:t>
      </w:r>
      <w:r w:rsidR="00147105" w:rsidRPr="002364AB">
        <w:rPr>
          <w:rFonts w:cs="Times New Roman"/>
          <w:kern w:val="22"/>
          <w:sz w:val="22"/>
          <w:lang w:val="en-GB"/>
        </w:rPr>
        <w:t xml:space="preserve"> publications </w:t>
      </w:r>
      <w:r w:rsidR="00F64D83" w:rsidRPr="002364AB">
        <w:rPr>
          <w:rFonts w:cs="Times New Roman"/>
          <w:kern w:val="22"/>
          <w:sz w:val="22"/>
          <w:lang w:val="en-GB"/>
        </w:rPr>
        <w:t xml:space="preserve">and journals exist which </w:t>
      </w:r>
      <w:proofErr w:type="spellStart"/>
      <w:r w:rsidR="00F64D83" w:rsidRPr="002364AB">
        <w:rPr>
          <w:rFonts w:cs="Times New Roman"/>
          <w:kern w:val="22"/>
          <w:sz w:val="22"/>
          <w:lang w:val="en-GB"/>
        </w:rPr>
        <w:t>catalog</w:t>
      </w:r>
      <w:proofErr w:type="spellEnd"/>
      <w:r w:rsidR="00F64D83" w:rsidRPr="002364AB">
        <w:rPr>
          <w:rFonts w:cs="Times New Roman"/>
          <w:kern w:val="22"/>
          <w:sz w:val="22"/>
          <w:lang w:val="en-GB"/>
        </w:rPr>
        <w:t xml:space="preserve"> plant use in various regions of the world. One of many examples detailing </w:t>
      </w:r>
      <w:r w:rsidR="002044BA" w:rsidRPr="002364AB">
        <w:rPr>
          <w:rFonts w:cs="Times New Roman"/>
          <w:kern w:val="22"/>
          <w:sz w:val="22"/>
          <w:lang w:val="en-GB"/>
        </w:rPr>
        <w:t xml:space="preserve">the uses of </w:t>
      </w:r>
      <w:r w:rsidR="008345C0" w:rsidRPr="002364AB">
        <w:rPr>
          <w:rFonts w:cs="Times New Roman"/>
          <w:kern w:val="22"/>
          <w:sz w:val="22"/>
          <w:lang w:val="en-GB"/>
        </w:rPr>
        <w:t xml:space="preserve">African plants is a compendium of African medicinal plants published by the African Union entitled </w:t>
      </w:r>
      <w:r w:rsidR="008345C0" w:rsidRPr="002364AB">
        <w:rPr>
          <w:rFonts w:cs="Times New Roman"/>
          <w:i/>
          <w:iCs/>
          <w:kern w:val="22"/>
          <w:sz w:val="22"/>
          <w:lang w:val="en-GB"/>
        </w:rPr>
        <w:t>African Pharmacopoeia.</w:t>
      </w:r>
      <w:r w:rsidR="008345C0" w:rsidRPr="002364AB">
        <w:rPr>
          <w:rFonts w:cs="Times New Roman"/>
          <w:kern w:val="22"/>
          <w:sz w:val="22"/>
          <w:lang w:val="en-GB"/>
        </w:rPr>
        <w:t xml:space="preserve">  </w:t>
      </w:r>
      <w:r w:rsidR="00913B71" w:rsidRPr="002364AB">
        <w:rPr>
          <w:rFonts w:cs="Times New Roman"/>
          <w:kern w:val="22"/>
          <w:sz w:val="22"/>
          <w:lang w:val="en-GB"/>
        </w:rPr>
        <w:t xml:space="preserve">Developed in response to the “global upsurge in the use of traditional medicines” and the lucrative market for such products, the </w:t>
      </w:r>
      <w:r w:rsidR="00913B71" w:rsidRPr="002364AB">
        <w:rPr>
          <w:rFonts w:cs="Times New Roman"/>
          <w:i/>
          <w:iCs/>
          <w:kern w:val="22"/>
          <w:sz w:val="22"/>
          <w:lang w:val="en-GB"/>
        </w:rPr>
        <w:t>Pharmacopoeia</w:t>
      </w:r>
      <w:r w:rsidR="008345C0" w:rsidRPr="002364AB">
        <w:rPr>
          <w:rFonts w:cs="Times New Roman"/>
          <w:kern w:val="22"/>
          <w:sz w:val="22"/>
          <w:lang w:val="en-GB"/>
        </w:rPr>
        <w:t xml:space="preserve"> </w:t>
      </w:r>
      <w:r w:rsidR="00913B71" w:rsidRPr="002364AB">
        <w:rPr>
          <w:rFonts w:cs="Times New Roman"/>
          <w:kern w:val="22"/>
          <w:sz w:val="22"/>
          <w:lang w:val="en-GB"/>
        </w:rPr>
        <w:t xml:space="preserve">provides “scientifically organized information on useful medicinal plants which have been found efficacious in the management of certain aliments” on the continent of Africa. In doing so, it </w:t>
      </w:r>
      <w:proofErr w:type="spellStart"/>
      <w:r w:rsidR="008345C0" w:rsidRPr="002364AB">
        <w:rPr>
          <w:rFonts w:cs="Times New Roman"/>
          <w:kern w:val="22"/>
          <w:sz w:val="22"/>
          <w:lang w:val="en-GB"/>
        </w:rPr>
        <w:t>catalogs</w:t>
      </w:r>
      <w:proofErr w:type="spellEnd"/>
      <w:r w:rsidR="008345C0" w:rsidRPr="002364AB">
        <w:rPr>
          <w:rFonts w:cs="Times New Roman"/>
          <w:kern w:val="22"/>
          <w:sz w:val="22"/>
          <w:lang w:val="en-GB"/>
        </w:rPr>
        <w:t xml:space="preserve"> </w:t>
      </w:r>
      <w:r w:rsidR="00913B71" w:rsidRPr="002364AB">
        <w:rPr>
          <w:rFonts w:cs="Times New Roman"/>
          <w:kern w:val="22"/>
          <w:sz w:val="22"/>
          <w:lang w:val="en-GB"/>
        </w:rPr>
        <w:t xml:space="preserve">more than 160 different </w:t>
      </w:r>
      <w:r w:rsidR="008345C0" w:rsidRPr="002364AB">
        <w:rPr>
          <w:rFonts w:cs="Times New Roman"/>
          <w:kern w:val="22"/>
          <w:sz w:val="22"/>
          <w:lang w:val="en-GB"/>
        </w:rPr>
        <w:t>plant species that are native to multiple countries and may be known by different names in various countries.</w:t>
      </w:r>
      <w:r w:rsidR="008345C0" w:rsidRPr="002364AB">
        <w:rPr>
          <w:rFonts w:cs="Times New Roman"/>
          <w:kern w:val="22"/>
          <w:sz w:val="22"/>
          <w:vertAlign w:val="superscript"/>
          <w:lang w:val="en-GB"/>
        </w:rPr>
        <w:footnoteReference w:id="185"/>
      </w:r>
      <w:r w:rsidR="00EC0138" w:rsidRPr="002364AB">
        <w:rPr>
          <w:rFonts w:cs="Times New Roman"/>
          <w:kern w:val="22"/>
          <w:sz w:val="22"/>
          <w:lang w:val="en-GB"/>
        </w:rPr>
        <w:t xml:space="preserve"> This resource compiles a wealth of valuable information about a diversity of medicinal plants and their traditional uses without necessarily identifying the IPLC sources of the information</w:t>
      </w:r>
      <w:r w:rsidR="001437F2" w:rsidRPr="002364AB">
        <w:rPr>
          <w:rFonts w:cs="Times New Roman"/>
          <w:kern w:val="22"/>
          <w:sz w:val="22"/>
          <w:lang w:val="en-GB"/>
        </w:rPr>
        <w:t xml:space="preserve"> on their uses</w:t>
      </w:r>
      <w:r w:rsidR="00EC0138" w:rsidRPr="002364AB">
        <w:rPr>
          <w:rFonts w:cs="Times New Roman"/>
          <w:kern w:val="22"/>
          <w:sz w:val="22"/>
          <w:lang w:val="en-GB"/>
        </w:rPr>
        <w:t>.</w:t>
      </w:r>
      <w:r w:rsidR="00EC0138" w:rsidRPr="002364AB">
        <w:rPr>
          <w:rFonts w:cs="Times New Roman"/>
          <w:kern w:val="22"/>
          <w:sz w:val="22"/>
          <w:vertAlign w:val="superscript"/>
          <w:lang w:val="en-GB"/>
        </w:rPr>
        <w:footnoteReference w:id="186"/>
      </w:r>
    </w:p>
    <w:p w14:paraId="6CEF68BF" w14:textId="100805CA" w:rsidR="001C0C42" w:rsidRPr="002364AB" w:rsidRDefault="00EC0138" w:rsidP="00F64D83">
      <w:pPr>
        <w:rPr>
          <w:rFonts w:cs="Times New Roman"/>
          <w:kern w:val="22"/>
          <w:sz w:val="22"/>
          <w:lang w:val="en-GB"/>
        </w:rPr>
      </w:pPr>
      <w:r w:rsidRPr="002364AB">
        <w:rPr>
          <w:rFonts w:cs="Times New Roman"/>
          <w:kern w:val="22"/>
          <w:sz w:val="22"/>
          <w:lang w:val="en-GB"/>
        </w:rPr>
        <w:t>Another example</w:t>
      </w:r>
      <w:r w:rsidR="00F64D83" w:rsidRPr="002364AB">
        <w:rPr>
          <w:rFonts w:cs="Times New Roman"/>
          <w:kern w:val="22"/>
          <w:sz w:val="22"/>
          <w:lang w:val="en-GB"/>
        </w:rPr>
        <w:t xml:space="preserve"> is Dan </w:t>
      </w:r>
      <w:proofErr w:type="spellStart"/>
      <w:r w:rsidR="00F64D83" w:rsidRPr="002364AB">
        <w:rPr>
          <w:rFonts w:cs="Times New Roman"/>
          <w:kern w:val="22"/>
          <w:sz w:val="22"/>
          <w:lang w:val="en-GB"/>
        </w:rPr>
        <w:t>Moerman’s</w:t>
      </w:r>
      <w:proofErr w:type="spellEnd"/>
      <w:r w:rsidR="00F64D83" w:rsidRPr="002364AB">
        <w:rPr>
          <w:rFonts w:cs="Times New Roman"/>
          <w:kern w:val="22"/>
          <w:sz w:val="22"/>
          <w:lang w:val="en-GB"/>
        </w:rPr>
        <w:t xml:space="preserve"> </w:t>
      </w:r>
      <w:r w:rsidR="00F64D83" w:rsidRPr="002364AB">
        <w:rPr>
          <w:rFonts w:cs="Times New Roman"/>
          <w:i/>
          <w:kern w:val="22"/>
          <w:sz w:val="22"/>
          <w:lang w:val="en-GB"/>
        </w:rPr>
        <w:t>Native American Ethnobotany</w:t>
      </w:r>
      <w:r w:rsidR="00F64D83" w:rsidRPr="002364AB">
        <w:rPr>
          <w:rFonts w:cs="Times New Roman"/>
          <w:kern w:val="22"/>
          <w:sz w:val="22"/>
          <w:lang w:val="en-GB"/>
        </w:rPr>
        <w:t>, which describes</w:t>
      </w:r>
      <w:r w:rsidR="00147105" w:rsidRPr="002364AB">
        <w:rPr>
          <w:rFonts w:cs="Times New Roman"/>
          <w:kern w:val="22"/>
          <w:sz w:val="22"/>
          <w:lang w:val="en-GB"/>
        </w:rPr>
        <w:t xml:space="preserve"> plants and associated </w:t>
      </w:r>
      <w:r w:rsidR="00580345" w:rsidRPr="002364AB">
        <w:rPr>
          <w:rFonts w:cs="Times New Roman"/>
          <w:kern w:val="22"/>
          <w:sz w:val="22"/>
          <w:lang w:val="en-GB"/>
        </w:rPr>
        <w:t>traditional knowledge</w:t>
      </w:r>
      <w:r w:rsidR="00147105" w:rsidRPr="002364AB">
        <w:rPr>
          <w:rFonts w:cs="Times New Roman"/>
          <w:kern w:val="22"/>
          <w:sz w:val="22"/>
          <w:lang w:val="en-GB"/>
        </w:rPr>
        <w:t xml:space="preserve"> by plant, use</w:t>
      </w:r>
      <w:r w:rsidR="00F64D83" w:rsidRPr="002364AB">
        <w:rPr>
          <w:rFonts w:cs="Times New Roman"/>
          <w:kern w:val="22"/>
          <w:sz w:val="22"/>
          <w:lang w:val="en-GB"/>
        </w:rPr>
        <w:t>,</w:t>
      </w:r>
      <w:r w:rsidR="00147105" w:rsidRPr="002364AB">
        <w:rPr>
          <w:rFonts w:cs="Times New Roman"/>
          <w:kern w:val="22"/>
          <w:sz w:val="22"/>
          <w:lang w:val="en-GB"/>
        </w:rPr>
        <w:t xml:space="preserve"> and tribe. </w:t>
      </w:r>
      <w:r w:rsidR="00F64D83" w:rsidRPr="002364AB">
        <w:rPr>
          <w:rFonts w:cs="Times New Roman"/>
          <w:kern w:val="22"/>
          <w:sz w:val="22"/>
          <w:lang w:val="en-GB"/>
        </w:rPr>
        <w:t>It is described as</w:t>
      </w:r>
      <w:r w:rsidR="00147105" w:rsidRPr="002364AB">
        <w:rPr>
          <w:rFonts w:cs="Times New Roman"/>
          <w:kern w:val="22"/>
          <w:sz w:val="22"/>
          <w:lang w:val="en-GB"/>
        </w:rPr>
        <w:t>:</w:t>
      </w:r>
    </w:p>
    <w:p w14:paraId="37924B0B" w14:textId="4D815CD0" w:rsidR="00F64D83" w:rsidRPr="002364AB" w:rsidRDefault="00F64D83" w:rsidP="0063421F">
      <w:pPr>
        <w:spacing w:after="120"/>
        <w:ind w:left="432" w:right="432"/>
        <w:rPr>
          <w:rFonts w:cs="Times New Roman"/>
          <w:bCs/>
          <w:kern w:val="22"/>
          <w:sz w:val="22"/>
          <w:lang w:val="en-GB"/>
        </w:rPr>
      </w:pPr>
      <w:r w:rsidRPr="002364AB">
        <w:rPr>
          <w:rFonts w:cs="Times New Roman"/>
          <w:bCs/>
          <w:kern w:val="22"/>
          <w:sz w:val="22"/>
          <w:lang w:val="en-GB"/>
        </w:rPr>
        <w:t xml:space="preserve">“An extraordinary compilation of the plants used by North American native peoples for medicine, food, </w:t>
      </w:r>
      <w:proofErr w:type="spellStart"/>
      <w:r w:rsidRPr="002364AB">
        <w:rPr>
          <w:rFonts w:cs="Times New Roman"/>
          <w:bCs/>
          <w:kern w:val="22"/>
          <w:sz w:val="22"/>
          <w:lang w:val="en-GB"/>
        </w:rPr>
        <w:t>fiber</w:t>
      </w:r>
      <w:proofErr w:type="spellEnd"/>
      <w:r w:rsidRPr="002364AB">
        <w:rPr>
          <w:rFonts w:cs="Times New Roman"/>
          <w:bCs/>
          <w:kern w:val="22"/>
          <w:sz w:val="22"/>
          <w:lang w:val="en-GB"/>
        </w:rPr>
        <w:t xml:space="preserve">, dye, and a host of other things. Anthropologist Daniel E. </w:t>
      </w:r>
      <w:proofErr w:type="spellStart"/>
      <w:r w:rsidRPr="002364AB">
        <w:rPr>
          <w:rFonts w:cs="Times New Roman"/>
          <w:bCs/>
          <w:kern w:val="22"/>
          <w:sz w:val="22"/>
          <w:lang w:val="en-GB"/>
        </w:rPr>
        <w:t>Moerman</w:t>
      </w:r>
      <w:proofErr w:type="spellEnd"/>
      <w:r w:rsidRPr="002364AB">
        <w:rPr>
          <w:rFonts w:cs="Times New Roman"/>
          <w:bCs/>
          <w:kern w:val="22"/>
          <w:sz w:val="22"/>
          <w:lang w:val="en-GB"/>
        </w:rPr>
        <w:t xml:space="preserve"> has devoted 25 years to the task of gathering together the accumulated ethnobotanical knowledge on more than 4000 plants. More than 44,000 uses for these plants by various tribes are documented here. This is undoubtedly the most massive ethnobotanical survey ever undertaken, preserving an enormous store of information for the future.”</w:t>
      </w:r>
      <w:r w:rsidR="00B97F03" w:rsidRPr="002364AB">
        <w:rPr>
          <w:rStyle w:val="FootnoteReference"/>
          <w:kern w:val="22"/>
          <w:sz w:val="22"/>
          <w:lang w:val="en-GB"/>
        </w:rPr>
        <w:footnoteReference w:id="187"/>
      </w:r>
    </w:p>
    <w:p w14:paraId="61AFDD4B" w14:textId="366D0447" w:rsidR="00AA5927" w:rsidRPr="002364AB" w:rsidRDefault="00027572" w:rsidP="004D3337">
      <w:pPr>
        <w:rPr>
          <w:rFonts w:cs="Times New Roman"/>
          <w:kern w:val="22"/>
          <w:sz w:val="22"/>
          <w:lang w:val="en-GB"/>
        </w:rPr>
      </w:pPr>
      <w:r w:rsidRPr="002364AB">
        <w:rPr>
          <w:rFonts w:cs="Times New Roman"/>
          <w:kern w:val="22"/>
          <w:sz w:val="22"/>
          <w:lang w:val="en-GB"/>
        </w:rPr>
        <w:t xml:space="preserve">Because </w:t>
      </w:r>
      <w:r w:rsidR="001C3E55" w:rsidRPr="002364AB">
        <w:rPr>
          <w:rFonts w:cs="Times New Roman"/>
          <w:kern w:val="22"/>
          <w:sz w:val="22"/>
          <w:lang w:val="en-GB"/>
        </w:rPr>
        <w:t>indigenous peoples are found across</w:t>
      </w:r>
      <w:r w:rsidRPr="002364AB">
        <w:rPr>
          <w:rFonts w:cs="Times New Roman"/>
          <w:kern w:val="22"/>
          <w:sz w:val="22"/>
          <w:lang w:val="en-GB"/>
        </w:rPr>
        <w:t xml:space="preserve"> Canada, the United States, and Mexico,</w:t>
      </w:r>
      <w:r w:rsidR="007612B8" w:rsidRPr="002364AB">
        <w:rPr>
          <w:rStyle w:val="FootnoteReference"/>
          <w:rFonts w:cs="Times New Roman"/>
          <w:kern w:val="22"/>
          <w:sz w:val="22"/>
          <w:lang w:val="en-GB"/>
        </w:rPr>
        <w:footnoteReference w:id="188"/>
      </w:r>
      <w:r w:rsidRPr="002364AB">
        <w:rPr>
          <w:rFonts w:cs="Times New Roman"/>
          <w:kern w:val="22"/>
          <w:sz w:val="22"/>
          <w:lang w:val="en-GB"/>
        </w:rPr>
        <w:t xml:space="preserve"> a mixture of CBD and Nagoya Protocol Parties and non-</w:t>
      </w:r>
      <w:r w:rsidR="00061AD5" w:rsidRPr="002364AB">
        <w:rPr>
          <w:rFonts w:cs="Times New Roman"/>
          <w:kern w:val="22"/>
          <w:sz w:val="22"/>
          <w:lang w:val="en-GB"/>
        </w:rPr>
        <w:t>P</w:t>
      </w:r>
      <w:r w:rsidRPr="002364AB">
        <w:rPr>
          <w:rFonts w:cs="Times New Roman"/>
          <w:kern w:val="22"/>
          <w:sz w:val="22"/>
          <w:lang w:val="en-GB"/>
        </w:rPr>
        <w:t xml:space="preserve">arties, PIC/MAT would not be required </w:t>
      </w:r>
      <w:r w:rsidR="008B5BA7" w:rsidRPr="002364AB">
        <w:rPr>
          <w:rFonts w:cs="Times New Roman"/>
          <w:kern w:val="22"/>
          <w:sz w:val="22"/>
          <w:lang w:val="en-GB"/>
        </w:rPr>
        <w:t>in all cases</w:t>
      </w:r>
      <w:r w:rsidR="00E227DC" w:rsidRPr="002364AB">
        <w:rPr>
          <w:rFonts w:cs="Times New Roman"/>
          <w:kern w:val="22"/>
          <w:sz w:val="22"/>
          <w:lang w:val="en-GB"/>
        </w:rPr>
        <w:t xml:space="preserve"> of use of associated traditional knowledge from this </w:t>
      </w:r>
      <w:r w:rsidR="00733B3E" w:rsidRPr="002364AB">
        <w:rPr>
          <w:rFonts w:cs="Times New Roman"/>
          <w:kern w:val="22"/>
          <w:sz w:val="22"/>
          <w:lang w:val="en-GB"/>
        </w:rPr>
        <w:t>volume</w:t>
      </w:r>
      <w:r w:rsidR="007612B8" w:rsidRPr="002364AB">
        <w:rPr>
          <w:rFonts w:cs="Times New Roman"/>
          <w:kern w:val="22"/>
          <w:sz w:val="22"/>
          <w:lang w:val="en-GB"/>
        </w:rPr>
        <w:t>. Nevertheless, this compendium is a</w:t>
      </w:r>
      <w:r w:rsidR="000625B4" w:rsidRPr="002364AB">
        <w:rPr>
          <w:rFonts w:cs="Times New Roman"/>
          <w:kern w:val="22"/>
          <w:sz w:val="22"/>
          <w:lang w:val="en-GB"/>
        </w:rPr>
        <w:t>n</w:t>
      </w:r>
      <w:r w:rsidR="007612B8" w:rsidRPr="002364AB">
        <w:rPr>
          <w:rFonts w:cs="Times New Roman"/>
          <w:kern w:val="22"/>
          <w:sz w:val="22"/>
          <w:lang w:val="en-GB"/>
        </w:rPr>
        <w:t xml:space="preserve"> example of the kind of </w:t>
      </w:r>
      <w:r w:rsidR="00EC0138" w:rsidRPr="002364AB">
        <w:rPr>
          <w:rFonts w:cs="Times New Roman"/>
          <w:kern w:val="22"/>
          <w:sz w:val="22"/>
          <w:lang w:val="en-GB"/>
        </w:rPr>
        <w:t>publication</w:t>
      </w:r>
      <w:r w:rsidR="00F64D83" w:rsidRPr="002364AB">
        <w:rPr>
          <w:rFonts w:cs="Times New Roman"/>
          <w:kern w:val="22"/>
          <w:sz w:val="22"/>
          <w:lang w:val="en-GB"/>
        </w:rPr>
        <w:t xml:space="preserve"> </w:t>
      </w:r>
      <w:r w:rsidR="007612B8" w:rsidRPr="002364AB">
        <w:rPr>
          <w:rFonts w:cs="Times New Roman"/>
          <w:kern w:val="22"/>
          <w:sz w:val="22"/>
          <w:lang w:val="en-GB"/>
        </w:rPr>
        <w:t xml:space="preserve">that </w:t>
      </w:r>
      <w:r w:rsidR="00F64D83" w:rsidRPr="002364AB">
        <w:rPr>
          <w:rFonts w:cs="Times New Roman"/>
          <w:kern w:val="22"/>
          <w:sz w:val="22"/>
          <w:lang w:val="en-GB"/>
        </w:rPr>
        <w:t>facilitate</w:t>
      </w:r>
      <w:r w:rsidR="00061AD5" w:rsidRPr="002364AB">
        <w:rPr>
          <w:rFonts w:cs="Times New Roman"/>
          <w:kern w:val="22"/>
          <w:sz w:val="22"/>
          <w:lang w:val="en-GB"/>
        </w:rPr>
        <w:t>s</w:t>
      </w:r>
      <w:r w:rsidR="00F64D83" w:rsidRPr="002364AB">
        <w:rPr>
          <w:rFonts w:cs="Times New Roman"/>
          <w:kern w:val="22"/>
          <w:sz w:val="22"/>
          <w:lang w:val="en-GB"/>
        </w:rPr>
        <w:t xml:space="preserve"> literature-based bioprospecting without the need to seek PIC from</w:t>
      </w:r>
      <w:r w:rsidR="00F64D83" w:rsidRPr="002364AB" w:rsidDel="00EC0138">
        <w:rPr>
          <w:rFonts w:cs="Times New Roman"/>
          <w:kern w:val="22"/>
          <w:sz w:val="22"/>
          <w:lang w:val="en-GB"/>
        </w:rPr>
        <w:t xml:space="preserve"> </w:t>
      </w:r>
      <w:r w:rsidR="00F64D83" w:rsidRPr="002364AB">
        <w:rPr>
          <w:rFonts w:cs="Times New Roman"/>
          <w:kern w:val="22"/>
          <w:sz w:val="22"/>
          <w:lang w:val="en-GB"/>
        </w:rPr>
        <w:t>relevant IPLCs</w:t>
      </w:r>
      <w:r w:rsidR="00EC0138" w:rsidRPr="002364AB">
        <w:rPr>
          <w:rFonts w:cs="Times New Roman"/>
          <w:kern w:val="22"/>
          <w:sz w:val="22"/>
          <w:lang w:val="en-GB"/>
        </w:rPr>
        <w:t xml:space="preserve"> whe</w:t>
      </w:r>
      <w:r w:rsidR="00733B3E" w:rsidRPr="002364AB">
        <w:rPr>
          <w:rFonts w:cs="Times New Roman"/>
          <w:kern w:val="22"/>
          <w:sz w:val="22"/>
          <w:lang w:val="en-GB"/>
        </w:rPr>
        <w:t>re otherwise</w:t>
      </w:r>
      <w:r w:rsidR="00EC0138" w:rsidRPr="002364AB">
        <w:rPr>
          <w:rFonts w:cs="Times New Roman"/>
          <w:kern w:val="22"/>
          <w:sz w:val="22"/>
          <w:lang w:val="en-GB"/>
        </w:rPr>
        <w:t xml:space="preserve"> required by national law</w:t>
      </w:r>
      <w:r w:rsidR="00F64D83" w:rsidRPr="002364AB">
        <w:rPr>
          <w:rFonts w:cs="Times New Roman"/>
          <w:kern w:val="22"/>
          <w:sz w:val="22"/>
          <w:lang w:val="en-GB"/>
        </w:rPr>
        <w:t>.</w:t>
      </w:r>
      <w:r w:rsidR="00B97F03" w:rsidRPr="002364AB">
        <w:rPr>
          <w:rStyle w:val="FootnoteReference"/>
          <w:kern w:val="22"/>
          <w:sz w:val="22"/>
          <w:lang w:val="en-GB"/>
        </w:rPr>
        <w:footnoteReference w:id="189"/>
      </w:r>
      <w:r w:rsidR="00F64D83" w:rsidRPr="002364AB">
        <w:rPr>
          <w:rFonts w:cs="Times New Roman"/>
          <w:kern w:val="22"/>
          <w:sz w:val="22"/>
          <w:lang w:val="en-GB"/>
        </w:rPr>
        <w:t xml:space="preserve"> </w:t>
      </w:r>
    </w:p>
    <w:p w14:paraId="3F038F54" w14:textId="7115C253" w:rsidR="00FB4556" w:rsidRPr="002364AB" w:rsidRDefault="00FB4556" w:rsidP="00703D1B">
      <w:pPr>
        <w:rPr>
          <w:rFonts w:cs="Times New Roman"/>
          <w:i/>
          <w:kern w:val="22"/>
          <w:sz w:val="22"/>
          <w:lang w:val="en-GB"/>
        </w:rPr>
      </w:pPr>
      <w:r w:rsidRPr="002364AB">
        <w:rPr>
          <w:rFonts w:cs="Times New Roman"/>
          <w:i/>
          <w:kern w:val="22"/>
          <w:sz w:val="22"/>
          <w:lang w:val="en-GB"/>
        </w:rPr>
        <w:t>Rosy Periwinkle</w:t>
      </w:r>
    </w:p>
    <w:p w14:paraId="016794B7" w14:textId="0D4A717D" w:rsidR="00547305" w:rsidRPr="002364AB" w:rsidRDefault="00703D1B" w:rsidP="00703D1B">
      <w:pPr>
        <w:rPr>
          <w:rFonts w:cs="Times New Roman"/>
          <w:kern w:val="22"/>
          <w:sz w:val="22"/>
          <w:lang w:val="en-GB"/>
        </w:rPr>
      </w:pPr>
      <w:r w:rsidRPr="002364AB">
        <w:rPr>
          <w:rFonts w:cs="Times New Roman"/>
          <w:kern w:val="22"/>
          <w:sz w:val="22"/>
          <w:lang w:val="en-GB"/>
        </w:rPr>
        <w:t xml:space="preserve">The Rosy Periwinkle example in Section </w:t>
      </w:r>
      <w:r w:rsidR="00900FD9" w:rsidRPr="002364AB">
        <w:rPr>
          <w:rFonts w:cs="Times New Roman"/>
          <w:kern w:val="22"/>
          <w:sz w:val="22"/>
          <w:lang w:val="en-GB"/>
        </w:rPr>
        <w:t>4.1</w:t>
      </w:r>
      <w:r w:rsidRPr="002364AB">
        <w:rPr>
          <w:rFonts w:cs="Times New Roman"/>
          <w:kern w:val="22"/>
          <w:sz w:val="22"/>
          <w:lang w:val="en-GB"/>
        </w:rPr>
        <w:t xml:space="preserve"> above provides a further illustration of the commercial use of publicly available </w:t>
      </w:r>
      <w:r w:rsidR="00580345" w:rsidRPr="002364AB">
        <w:rPr>
          <w:rFonts w:cs="Times New Roman"/>
          <w:kern w:val="22"/>
          <w:sz w:val="22"/>
          <w:lang w:val="en-GB"/>
        </w:rPr>
        <w:t>traditional knowledge associated with genetic resources</w:t>
      </w:r>
      <w:r w:rsidRPr="002364AB">
        <w:rPr>
          <w:rFonts w:cs="Times New Roman"/>
          <w:kern w:val="22"/>
          <w:sz w:val="22"/>
          <w:lang w:val="en-GB"/>
        </w:rPr>
        <w:t xml:space="preserve">. Two cancer medications were developed based on initial leads from </w:t>
      </w:r>
      <w:r w:rsidR="00580345" w:rsidRPr="002364AB">
        <w:rPr>
          <w:rFonts w:cs="Times New Roman"/>
          <w:kern w:val="22"/>
          <w:sz w:val="22"/>
          <w:lang w:val="en-GB"/>
        </w:rPr>
        <w:t>traditional knowledge</w:t>
      </w:r>
      <w:r w:rsidRPr="002364AB">
        <w:rPr>
          <w:rFonts w:cs="Times New Roman"/>
          <w:kern w:val="22"/>
          <w:sz w:val="22"/>
          <w:lang w:val="en-GB"/>
        </w:rPr>
        <w:t xml:space="preserve"> regarding the plant, one from the Philippines (Vincristine) and the other from Jamaica (Vinblastine).</w:t>
      </w:r>
      <w:r w:rsidRPr="002364AB">
        <w:rPr>
          <w:rStyle w:val="FootnoteReference"/>
          <w:rFonts w:cs="Times New Roman"/>
          <w:kern w:val="22"/>
          <w:sz w:val="22"/>
          <w:lang w:val="en-GB"/>
        </w:rPr>
        <w:t xml:space="preserve"> </w:t>
      </w:r>
      <w:r w:rsidRPr="002364AB">
        <w:rPr>
          <w:rStyle w:val="FootnoteReference"/>
          <w:rFonts w:cs="Times New Roman"/>
          <w:kern w:val="22"/>
          <w:sz w:val="22"/>
          <w:lang w:val="en-GB"/>
        </w:rPr>
        <w:footnoteReference w:id="190"/>
      </w:r>
      <w:r w:rsidRPr="002364AB">
        <w:rPr>
          <w:rFonts w:cs="Times New Roman"/>
          <w:kern w:val="22"/>
          <w:sz w:val="22"/>
          <w:lang w:val="en-GB"/>
        </w:rPr>
        <w:t xml:space="preserve"> Both of the </w:t>
      </w:r>
      <w:r w:rsidR="00580345" w:rsidRPr="002364AB">
        <w:rPr>
          <w:rFonts w:cs="Times New Roman"/>
          <w:kern w:val="22"/>
          <w:sz w:val="22"/>
          <w:lang w:val="en-GB"/>
        </w:rPr>
        <w:t>traditional knowledge</w:t>
      </w:r>
      <w:r w:rsidRPr="002364AB">
        <w:rPr>
          <w:rFonts w:cs="Times New Roman"/>
          <w:kern w:val="22"/>
          <w:sz w:val="22"/>
          <w:lang w:val="en-GB"/>
        </w:rPr>
        <w:t xml:space="preserve"> leads were for diabetes, but the Philippines case was based on publicly available knowledge whereas the Jamaican one was not.</w:t>
      </w:r>
      <w:r w:rsidRPr="002364AB">
        <w:rPr>
          <w:rStyle w:val="FootnoteReference"/>
          <w:rFonts w:cs="Times New Roman"/>
          <w:kern w:val="22"/>
          <w:sz w:val="22"/>
          <w:lang w:val="en-GB"/>
        </w:rPr>
        <w:footnoteReference w:id="191"/>
      </w:r>
      <w:r w:rsidRPr="002364AB">
        <w:rPr>
          <w:rFonts w:cs="Times New Roman"/>
          <w:kern w:val="22"/>
          <w:sz w:val="22"/>
          <w:lang w:val="en-GB"/>
        </w:rPr>
        <w:t xml:space="preserve">  </w:t>
      </w:r>
    </w:p>
    <w:p w14:paraId="60639929" w14:textId="429DFC22" w:rsidR="00FC5588" w:rsidRPr="002364AB" w:rsidRDefault="00721699" w:rsidP="00707D9C">
      <w:pPr>
        <w:pStyle w:val="Heading2"/>
        <w:rPr>
          <w:kern w:val="22"/>
          <w:sz w:val="22"/>
          <w:szCs w:val="22"/>
          <w:lang w:val="en-GB"/>
        </w:rPr>
      </w:pPr>
      <w:bookmarkStart w:id="180" w:name="_Toc31040300"/>
      <w:bookmarkStart w:id="181" w:name="_Toc31056868"/>
      <w:bookmarkStart w:id="182" w:name="_Toc32490884"/>
      <w:bookmarkStart w:id="183" w:name="_Toc34249595"/>
      <w:bookmarkStart w:id="184" w:name="_Toc39580437"/>
      <w:bookmarkStart w:id="185" w:name="_Toc43134989"/>
      <w:r w:rsidRPr="002364AB">
        <w:rPr>
          <w:kern w:val="22"/>
          <w:sz w:val="22"/>
          <w:szCs w:val="22"/>
          <w:lang w:val="en-GB"/>
        </w:rPr>
        <w:t xml:space="preserve">Traditional Knowledge Associated </w:t>
      </w:r>
      <w:r w:rsidR="000A4BBF" w:rsidRPr="002364AB">
        <w:rPr>
          <w:kern w:val="22"/>
          <w:sz w:val="22"/>
          <w:szCs w:val="22"/>
          <w:lang w:val="en-GB"/>
        </w:rPr>
        <w:t>w</w:t>
      </w:r>
      <w:r w:rsidRPr="002364AB">
        <w:rPr>
          <w:kern w:val="22"/>
          <w:sz w:val="22"/>
          <w:szCs w:val="22"/>
          <w:lang w:val="en-GB"/>
        </w:rPr>
        <w:t>ith Genetic Resources</w:t>
      </w:r>
      <w:r w:rsidR="00FC5588" w:rsidRPr="002364AB">
        <w:rPr>
          <w:kern w:val="22"/>
          <w:sz w:val="22"/>
          <w:szCs w:val="22"/>
          <w:lang w:val="en-GB"/>
        </w:rPr>
        <w:t xml:space="preserve"> of </w:t>
      </w:r>
      <w:r w:rsidR="00707D9C" w:rsidRPr="002364AB">
        <w:rPr>
          <w:kern w:val="22"/>
          <w:sz w:val="22"/>
          <w:szCs w:val="22"/>
          <w:lang w:val="en-GB"/>
        </w:rPr>
        <w:t>U</w:t>
      </w:r>
      <w:r w:rsidR="00FC5588" w:rsidRPr="002364AB">
        <w:rPr>
          <w:kern w:val="22"/>
          <w:sz w:val="22"/>
          <w:szCs w:val="22"/>
          <w:lang w:val="en-GB"/>
        </w:rPr>
        <w:t xml:space="preserve">ntraceable </w:t>
      </w:r>
      <w:r w:rsidR="00707D9C" w:rsidRPr="002364AB">
        <w:rPr>
          <w:kern w:val="22"/>
          <w:sz w:val="22"/>
          <w:szCs w:val="22"/>
          <w:lang w:val="en-GB"/>
        </w:rPr>
        <w:t>O</w:t>
      </w:r>
      <w:r w:rsidR="00FC5588" w:rsidRPr="002364AB">
        <w:rPr>
          <w:kern w:val="22"/>
          <w:sz w:val="22"/>
          <w:szCs w:val="22"/>
          <w:lang w:val="en-GB"/>
        </w:rPr>
        <w:t xml:space="preserve">rigin in </w:t>
      </w:r>
      <w:r w:rsidR="00707D9C" w:rsidRPr="002364AB">
        <w:rPr>
          <w:i/>
          <w:kern w:val="22"/>
          <w:sz w:val="22"/>
          <w:szCs w:val="22"/>
          <w:lang w:val="en-GB"/>
        </w:rPr>
        <w:t>E</w:t>
      </w:r>
      <w:r w:rsidR="00FC5588" w:rsidRPr="002364AB">
        <w:rPr>
          <w:i/>
          <w:kern w:val="22"/>
          <w:sz w:val="22"/>
          <w:szCs w:val="22"/>
          <w:lang w:val="en-GB"/>
        </w:rPr>
        <w:t xml:space="preserve">x </w:t>
      </w:r>
      <w:r w:rsidR="00707D9C" w:rsidRPr="002364AB">
        <w:rPr>
          <w:i/>
          <w:kern w:val="22"/>
          <w:sz w:val="22"/>
          <w:szCs w:val="22"/>
          <w:lang w:val="en-GB"/>
        </w:rPr>
        <w:t>S</w:t>
      </w:r>
      <w:r w:rsidR="00FC5588" w:rsidRPr="002364AB">
        <w:rPr>
          <w:i/>
          <w:kern w:val="22"/>
          <w:sz w:val="22"/>
          <w:szCs w:val="22"/>
          <w:lang w:val="en-GB"/>
        </w:rPr>
        <w:t>itu</w:t>
      </w:r>
      <w:r w:rsidR="00FC5588" w:rsidRPr="002364AB">
        <w:rPr>
          <w:kern w:val="22"/>
          <w:sz w:val="22"/>
          <w:szCs w:val="22"/>
          <w:lang w:val="en-GB"/>
        </w:rPr>
        <w:t xml:space="preserve"> </w:t>
      </w:r>
      <w:r w:rsidR="00707D9C" w:rsidRPr="002364AB">
        <w:rPr>
          <w:kern w:val="22"/>
          <w:sz w:val="22"/>
          <w:szCs w:val="22"/>
          <w:lang w:val="en-GB"/>
        </w:rPr>
        <w:t>C</w:t>
      </w:r>
      <w:r w:rsidR="00FC5588" w:rsidRPr="002364AB">
        <w:rPr>
          <w:kern w:val="22"/>
          <w:sz w:val="22"/>
          <w:szCs w:val="22"/>
          <w:lang w:val="en-GB"/>
        </w:rPr>
        <w:t>ollections</w:t>
      </w:r>
      <w:bookmarkEnd w:id="180"/>
      <w:bookmarkEnd w:id="181"/>
      <w:bookmarkEnd w:id="182"/>
      <w:bookmarkEnd w:id="183"/>
      <w:bookmarkEnd w:id="184"/>
      <w:bookmarkEnd w:id="185"/>
    </w:p>
    <w:p w14:paraId="7B80BEE9" w14:textId="6F849834" w:rsidR="00046603" w:rsidRPr="002364AB" w:rsidRDefault="009F7B75" w:rsidP="00CE54FF">
      <w:pPr>
        <w:rPr>
          <w:rFonts w:cs="Times New Roman"/>
          <w:kern w:val="22"/>
          <w:sz w:val="22"/>
          <w:lang w:val="en-GB"/>
        </w:rPr>
      </w:pPr>
      <w:r w:rsidRPr="002364AB">
        <w:rPr>
          <w:rFonts w:cs="Times New Roman"/>
          <w:kern w:val="22"/>
          <w:sz w:val="22"/>
          <w:lang w:val="en-GB"/>
        </w:rPr>
        <w:t>Many samples of genetic materials collected by ethnobotanists and deposited in botanical gardens, herbari</w:t>
      </w:r>
      <w:r w:rsidR="00E13867" w:rsidRPr="002364AB">
        <w:rPr>
          <w:rFonts w:cs="Times New Roman"/>
          <w:kern w:val="22"/>
          <w:sz w:val="22"/>
          <w:lang w:val="en-GB"/>
        </w:rPr>
        <w:t>a</w:t>
      </w:r>
      <w:r w:rsidRPr="002364AB">
        <w:rPr>
          <w:rFonts w:cs="Times New Roman"/>
          <w:kern w:val="22"/>
          <w:sz w:val="22"/>
          <w:lang w:val="en-GB"/>
        </w:rPr>
        <w:t xml:space="preserve">, and other repositories were </w:t>
      </w:r>
      <w:r w:rsidR="00580345" w:rsidRPr="002364AB">
        <w:rPr>
          <w:rFonts w:cs="Times New Roman"/>
          <w:kern w:val="22"/>
          <w:sz w:val="22"/>
          <w:lang w:val="en-GB"/>
        </w:rPr>
        <w:t>obtained</w:t>
      </w:r>
      <w:r w:rsidRPr="002364AB">
        <w:rPr>
          <w:rFonts w:cs="Times New Roman"/>
          <w:kern w:val="22"/>
          <w:sz w:val="22"/>
          <w:lang w:val="en-GB"/>
        </w:rPr>
        <w:t xml:space="preserve"> with the assistance and direction of IPLCs who used the materials for medicinal and other purposes. As a result, </w:t>
      </w:r>
      <w:r w:rsidR="002040C0" w:rsidRPr="002364AB">
        <w:rPr>
          <w:rFonts w:cs="Times New Roman"/>
          <w:kern w:val="22"/>
          <w:sz w:val="22"/>
          <w:lang w:val="en-GB"/>
        </w:rPr>
        <w:t>traditional</w:t>
      </w:r>
      <w:r w:rsidR="001B5B7F" w:rsidRPr="002364AB">
        <w:rPr>
          <w:rFonts w:cs="Times New Roman"/>
          <w:kern w:val="22"/>
          <w:sz w:val="22"/>
          <w:lang w:val="en-GB"/>
        </w:rPr>
        <w:t xml:space="preserve"> </w:t>
      </w:r>
      <w:r w:rsidRPr="002364AB">
        <w:rPr>
          <w:rFonts w:cs="Times New Roman"/>
          <w:kern w:val="22"/>
          <w:sz w:val="22"/>
          <w:lang w:val="en-GB"/>
        </w:rPr>
        <w:t xml:space="preserve">uses of plants and other materials are sometimes included in the identifying information for the sample, particularly in herbaria deposits. However, while </w:t>
      </w:r>
      <w:r w:rsidR="008B55E0" w:rsidRPr="002364AB">
        <w:rPr>
          <w:rFonts w:cs="Times New Roman"/>
          <w:kern w:val="22"/>
          <w:sz w:val="22"/>
          <w:lang w:val="en-GB"/>
        </w:rPr>
        <w:t>provider country</w:t>
      </w:r>
      <w:r w:rsidRPr="002364AB">
        <w:rPr>
          <w:rFonts w:cs="Times New Roman"/>
          <w:kern w:val="22"/>
          <w:sz w:val="22"/>
          <w:lang w:val="en-GB"/>
        </w:rPr>
        <w:t xml:space="preserve"> information is often present, identifying information on the IPLCs from whom the </w:t>
      </w:r>
      <w:r w:rsidR="00580345" w:rsidRPr="002364AB">
        <w:rPr>
          <w:rFonts w:cs="Times New Roman"/>
          <w:kern w:val="22"/>
          <w:sz w:val="22"/>
          <w:lang w:val="en-GB"/>
        </w:rPr>
        <w:t>genetic resource</w:t>
      </w:r>
      <w:r w:rsidR="002040C0" w:rsidRPr="002364AB">
        <w:rPr>
          <w:rFonts w:cs="Times New Roman"/>
          <w:kern w:val="22"/>
          <w:sz w:val="22"/>
          <w:lang w:val="en-GB"/>
        </w:rPr>
        <w:t xml:space="preserve"> </w:t>
      </w:r>
      <w:r w:rsidRPr="002364AB">
        <w:rPr>
          <w:rFonts w:cs="Times New Roman"/>
          <w:kern w:val="22"/>
          <w:sz w:val="22"/>
          <w:lang w:val="en-GB"/>
        </w:rPr>
        <w:t xml:space="preserve">use information was derived </w:t>
      </w:r>
      <w:r w:rsidR="00F909E6" w:rsidRPr="002364AB">
        <w:rPr>
          <w:rFonts w:cs="Times New Roman"/>
          <w:kern w:val="22"/>
          <w:sz w:val="22"/>
          <w:lang w:val="en-GB"/>
        </w:rPr>
        <w:t>may</w:t>
      </w:r>
      <w:r w:rsidRPr="002364AB">
        <w:rPr>
          <w:rFonts w:cs="Times New Roman"/>
          <w:kern w:val="22"/>
          <w:sz w:val="22"/>
          <w:lang w:val="en-GB"/>
        </w:rPr>
        <w:t xml:space="preserve"> </w:t>
      </w:r>
      <w:r w:rsidR="007F3A2C" w:rsidRPr="002364AB">
        <w:rPr>
          <w:rFonts w:cs="Times New Roman"/>
          <w:kern w:val="22"/>
          <w:sz w:val="22"/>
          <w:lang w:val="en-GB"/>
        </w:rPr>
        <w:t>not be</w:t>
      </w:r>
      <w:r w:rsidR="00046603" w:rsidRPr="002364AB">
        <w:rPr>
          <w:rFonts w:cs="Times New Roman"/>
          <w:kern w:val="22"/>
          <w:sz w:val="22"/>
          <w:lang w:val="en-GB"/>
        </w:rPr>
        <w:t>.</w:t>
      </w:r>
      <w:r w:rsidR="00C7198A" w:rsidRPr="002364AB">
        <w:rPr>
          <w:rStyle w:val="FootnoteReference"/>
          <w:rFonts w:cs="Times New Roman"/>
          <w:kern w:val="22"/>
          <w:sz w:val="22"/>
          <w:lang w:val="en-GB"/>
        </w:rPr>
        <w:footnoteReference w:id="192"/>
      </w:r>
      <w:r w:rsidR="007F3A2C" w:rsidRPr="002364AB">
        <w:rPr>
          <w:rFonts w:cs="Times New Roman"/>
          <w:kern w:val="22"/>
          <w:sz w:val="22"/>
          <w:lang w:val="en-GB"/>
        </w:rPr>
        <w:t xml:space="preserve"> </w:t>
      </w:r>
      <w:r w:rsidRPr="002364AB">
        <w:rPr>
          <w:rFonts w:cs="Times New Roman"/>
          <w:kern w:val="22"/>
          <w:sz w:val="22"/>
          <w:lang w:val="en-GB"/>
        </w:rPr>
        <w:t xml:space="preserve">In some cases, this </w:t>
      </w:r>
      <w:r w:rsidR="00F909E6" w:rsidRPr="002364AB">
        <w:rPr>
          <w:rFonts w:cs="Times New Roman"/>
          <w:kern w:val="22"/>
          <w:sz w:val="22"/>
          <w:lang w:val="en-GB"/>
        </w:rPr>
        <w:t>is</w:t>
      </w:r>
      <w:r w:rsidRPr="002364AB">
        <w:rPr>
          <w:rFonts w:cs="Times New Roman"/>
          <w:kern w:val="22"/>
          <w:sz w:val="22"/>
          <w:lang w:val="en-GB"/>
        </w:rPr>
        <w:t xml:space="preserve"> because many different individuals from in and outside of a community have provided </w:t>
      </w:r>
      <w:r w:rsidR="00F909E6" w:rsidRPr="002364AB">
        <w:rPr>
          <w:rFonts w:cs="Times New Roman"/>
          <w:kern w:val="22"/>
          <w:sz w:val="22"/>
          <w:lang w:val="en-GB"/>
        </w:rPr>
        <w:t>medicinal use leads</w:t>
      </w:r>
      <w:r w:rsidRPr="002364AB">
        <w:rPr>
          <w:rFonts w:cs="Times New Roman"/>
          <w:kern w:val="22"/>
          <w:sz w:val="22"/>
          <w:lang w:val="en-GB"/>
        </w:rPr>
        <w:t>, or because the use information was taken from a seconda</w:t>
      </w:r>
      <w:r w:rsidR="00CE54FF" w:rsidRPr="002364AB">
        <w:rPr>
          <w:rFonts w:cs="Times New Roman"/>
          <w:kern w:val="22"/>
          <w:sz w:val="22"/>
          <w:lang w:val="en-GB"/>
        </w:rPr>
        <w:t>ry source, such as a pharmacop</w:t>
      </w:r>
      <w:r w:rsidRPr="002364AB">
        <w:rPr>
          <w:rFonts w:cs="Times New Roman"/>
          <w:kern w:val="22"/>
          <w:sz w:val="22"/>
          <w:lang w:val="en-GB"/>
        </w:rPr>
        <w:t>e</w:t>
      </w:r>
      <w:r w:rsidR="00CE54FF" w:rsidRPr="002364AB">
        <w:rPr>
          <w:rFonts w:cs="Times New Roman"/>
          <w:kern w:val="22"/>
          <w:sz w:val="22"/>
          <w:lang w:val="en-GB"/>
        </w:rPr>
        <w:t>i</w:t>
      </w:r>
      <w:r w:rsidRPr="002364AB">
        <w:rPr>
          <w:rFonts w:cs="Times New Roman"/>
          <w:kern w:val="22"/>
          <w:sz w:val="22"/>
          <w:lang w:val="en-GB"/>
        </w:rPr>
        <w:t xml:space="preserve">a or other extant work which does not list the original providers of the </w:t>
      </w:r>
      <w:r w:rsidR="00580345" w:rsidRPr="002364AB">
        <w:rPr>
          <w:rFonts w:cs="Times New Roman"/>
          <w:kern w:val="22"/>
          <w:sz w:val="22"/>
          <w:lang w:val="en-GB"/>
        </w:rPr>
        <w:t>associated traditional knowledge</w:t>
      </w:r>
      <w:r w:rsidRPr="002364AB">
        <w:rPr>
          <w:rFonts w:cs="Times New Roman"/>
          <w:kern w:val="22"/>
          <w:sz w:val="22"/>
          <w:lang w:val="en-GB"/>
        </w:rPr>
        <w:t>.</w:t>
      </w:r>
      <w:r w:rsidRPr="002364AB">
        <w:rPr>
          <w:rStyle w:val="FootnoteReference"/>
          <w:kern w:val="22"/>
          <w:sz w:val="22"/>
          <w:lang w:val="en-GB"/>
        </w:rPr>
        <w:footnoteReference w:id="193"/>
      </w:r>
      <w:r w:rsidRPr="002364AB">
        <w:rPr>
          <w:rFonts w:cs="Times New Roman"/>
          <w:kern w:val="22"/>
          <w:sz w:val="22"/>
          <w:lang w:val="en-GB"/>
        </w:rPr>
        <w:t xml:space="preserve"> </w:t>
      </w:r>
    </w:p>
    <w:p w14:paraId="4CCFF515" w14:textId="1AE1A82F" w:rsidR="00D749C6" w:rsidRPr="002364AB" w:rsidRDefault="003A5B05" w:rsidP="00CE54FF">
      <w:pPr>
        <w:rPr>
          <w:rFonts w:cs="Times New Roman"/>
          <w:kern w:val="22"/>
          <w:sz w:val="22"/>
          <w:lang w:val="en-GB"/>
        </w:rPr>
      </w:pPr>
      <w:r w:rsidRPr="002364AB">
        <w:rPr>
          <w:rFonts w:cs="Times New Roman"/>
          <w:kern w:val="22"/>
          <w:sz w:val="22"/>
          <w:lang w:val="en-GB"/>
        </w:rPr>
        <w:t>Again, Parties are not in agreement that PIC/MAT obligations apply to the various cases described in this section</w:t>
      </w:r>
      <w:r w:rsidR="002C02F8" w:rsidRPr="002364AB">
        <w:rPr>
          <w:rFonts w:cs="Times New Roman"/>
          <w:kern w:val="22"/>
          <w:sz w:val="22"/>
          <w:lang w:val="en-GB"/>
        </w:rPr>
        <w:t>. Moreover, identifying information on IPLCs from whom traditional knowledge was derived my not be available, rendering the negotiation of PIC/MAT</w:t>
      </w:r>
      <w:r w:rsidR="00E62F2C" w:rsidRPr="002364AB">
        <w:rPr>
          <w:rFonts w:cs="Times New Roman"/>
          <w:kern w:val="22"/>
          <w:sz w:val="22"/>
          <w:lang w:val="en-GB"/>
        </w:rPr>
        <w:t xml:space="preserve"> impossible in some cases.</w:t>
      </w:r>
    </w:p>
    <w:p w14:paraId="17246472" w14:textId="3161E143" w:rsidR="00B00CC2" w:rsidRPr="002364AB" w:rsidRDefault="00B00CC2" w:rsidP="001437F2">
      <w:pPr>
        <w:pStyle w:val="Heading1"/>
        <w:numPr>
          <w:ilvl w:val="0"/>
          <w:numId w:val="4"/>
        </w:numPr>
        <w:rPr>
          <w:kern w:val="22"/>
          <w:sz w:val="22"/>
          <w:szCs w:val="22"/>
          <w:lang w:val="en-GB"/>
        </w:rPr>
      </w:pPr>
      <w:bookmarkStart w:id="186" w:name="_Toc34249596"/>
      <w:bookmarkStart w:id="187" w:name="_Toc39580438"/>
      <w:bookmarkStart w:id="188" w:name="_Toc43134990"/>
      <w:bookmarkStart w:id="189" w:name="_Hlk41570775"/>
      <w:r w:rsidRPr="002364AB">
        <w:rPr>
          <w:kern w:val="22"/>
          <w:sz w:val="22"/>
          <w:szCs w:val="22"/>
          <w:lang w:val="en-GB"/>
        </w:rPr>
        <w:t>Conclusions</w:t>
      </w:r>
      <w:bookmarkEnd w:id="186"/>
      <w:bookmarkEnd w:id="187"/>
      <w:bookmarkEnd w:id="188"/>
    </w:p>
    <w:bookmarkEnd w:id="189"/>
    <w:p w14:paraId="5B955859" w14:textId="1E23253E" w:rsidR="0068240C" w:rsidRPr="002364AB" w:rsidRDefault="14AC87FF" w:rsidP="14AC87FF">
      <w:pPr>
        <w:rPr>
          <w:rFonts w:eastAsia="Times New Roman" w:cs="Times New Roman"/>
          <w:color w:val="000000"/>
          <w:kern w:val="22"/>
          <w:sz w:val="22"/>
          <w:lang w:val="en-GB" w:eastAsia="en-CA"/>
        </w:rPr>
      </w:pPr>
      <w:r w:rsidRPr="002364AB">
        <w:rPr>
          <w:kern w:val="22"/>
          <w:sz w:val="22"/>
          <w:lang w:val="en-GB"/>
        </w:rPr>
        <w:t xml:space="preserve">This study identifies a variety of </w:t>
      </w:r>
      <w:r w:rsidR="00DF2052" w:rsidRPr="002364AB">
        <w:rPr>
          <w:rFonts w:eastAsia="Times New Roman" w:cs="Times New Roman"/>
          <w:color w:val="000000"/>
          <w:kern w:val="22"/>
          <w:sz w:val="22"/>
          <w:lang w:val="en-GB" w:eastAsia="en-CA"/>
        </w:rPr>
        <w:t>distinct categories of</w:t>
      </w:r>
      <w:r w:rsidR="00DF2052" w:rsidRPr="002364AB">
        <w:rPr>
          <w:rFonts w:eastAsia="Times New Roman" w:cs="Times New Roman"/>
          <w:i/>
          <w:iCs/>
          <w:color w:val="000000"/>
          <w:kern w:val="22"/>
          <w:sz w:val="22"/>
          <w:lang w:val="en-GB" w:eastAsia="en-CA"/>
        </w:rPr>
        <w:t xml:space="preserve"> </w:t>
      </w:r>
      <w:r w:rsidRPr="002364AB">
        <w:rPr>
          <w:kern w:val="22"/>
          <w:sz w:val="22"/>
          <w:lang w:val="en-GB"/>
        </w:rPr>
        <w:t xml:space="preserve">cases </w:t>
      </w:r>
      <w:r w:rsidR="00742037" w:rsidRPr="002364AB">
        <w:rPr>
          <w:kern w:val="22"/>
          <w:sz w:val="22"/>
          <w:lang w:val="en-GB"/>
        </w:rPr>
        <w:t>that could</w:t>
      </w:r>
      <w:r w:rsidR="00CE5D3E" w:rsidRPr="002364AB">
        <w:rPr>
          <w:kern w:val="22"/>
          <w:sz w:val="22"/>
          <w:lang w:val="en-GB"/>
        </w:rPr>
        <w:t xml:space="preserve">, depending on decisions of </w:t>
      </w:r>
      <w:r w:rsidR="00742037" w:rsidRPr="002364AB">
        <w:rPr>
          <w:kern w:val="22"/>
          <w:sz w:val="22"/>
          <w:lang w:val="en-GB"/>
        </w:rPr>
        <w:t xml:space="preserve">the </w:t>
      </w:r>
      <w:r w:rsidR="00CE5D3E" w:rsidRPr="002364AB">
        <w:rPr>
          <w:kern w:val="22"/>
          <w:sz w:val="22"/>
          <w:lang w:val="en-GB"/>
        </w:rPr>
        <w:t>Parties,</w:t>
      </w:r>
      <w:r w:rsidR="00742037" w:rsidRPr="002364AB">
        <w:rPr>
          <w:kern w:val="22"/>
          <w:sz w:val="22"/>
          <w:lang w:val="en-GB"/>
        </w:rPr>
        <w:t xml:space="preserve"> fall within the scope of Article 10. </w:t>
      </w:r>
      <w:r w:rsidRPr="002364AB">
        <w:rPr>
          <w:kern w:val="22"/>
          <w:sz w:val="22"/>
          <w:lang w:val="en-GB"/>
        </w:rPr>
        <w:t xml:space="preserve">These include </w:t>
      </w:r>
      <w:r w:rsidRPr="002364AB">
        <w:rPr>
          <w:rFonts w:eastAsia="Times New Roman" w:cs="Times New Roman"/>
          <w:color w:val="000000" w:themeColor="text1"/>
          <w:kern w:val="22"/>
          <w:sz w:val="22"/>
          <w:lang w:val="en-GB" w:eastAsia="en-CA"/>
        </w:rPr>
        <w:t xml:space="preserve">specific cases of genetic resources and associated traditional knowledge that occur in transboundary situations, </w:t>
      </w:r>
      <w:r w:rsidR="004A1286" w:rsidRPr="002364AB">
        <w:rPr>
          <w:rFonts w:eastAsia="Times New Roman" w:cs="Times New Roman"/>
          <w:color w:val="000000" w:themeColor="text1"/>
          <w:kern w:val="22"/>
          <w:sz w:val="22"/>
          <w:lang w:val="en-GB" w:eastAsia="en-CA"/>
        </w:rPr>
        <w:t>highlight</w:t>
      </w:r>
      <w:r w:rsidR="00724222" w:rsidRPr="002364AB">
        <w:rPr>
          <w:rFonts w:eastAsia="Times New Roman" w:cs="Times New Roman"/>
          <w:color w:val="000000" w:themeColor="text1"/>
          <w:kern w:val="22"/>
          <w:sz w:val="22"/>
          <w:lang w:val="en-GB" w:eastAsia="en-CA"/>
        </w:rPr>
        <w:t>ing</w:t>
      </w:r>
      <w:r w:rsidRPr="002364AB">
        <w:rPr>
          <w:rFonts w:eastAsia="Times New Roman" w:cs="Times New Roman"/>
          <w:color w:val="000000" w:themeColor="text1"/>
          <w:kern w:val="22"/>
          <w:sz w:val="22"/>
          <w:lang w:val="en-GB" w:eastAsia="en-CA"/>
        </w:rPr>
        <w:t xml:space="preserve"> examples of shared </w:t>
      </w:r>
      <w:r w:rsidR="00356397" w:rsidRPr="002364AB">
        <w:rPr>
          <w:rFonts w:eastAsia="Times New Roman" w:cs="Times New Roman"/>
          <w:color w:val="000000" w:themeColor="text1"/>
          <w:kern w:val="22"/>
          <w:sz w:val="22"/>
          <w:lang w:val="en-GB" w:eastAsia="en-CA"/>
        </w:rPr>
        <w:t xml:space="preserve">ecosystems and </w:t>
      </w:r>
      <w:r w:rsidR="003069A8" w:rsidRPr="002364AB">
        <w:rPr>
          <w:rFonts w:eastAsia="Times New Roman" w:cs="Times New Roman"/>
          <w:color w:val="000000" w:themeColor="text1"/>
          <w:kern w:val="22"/>
          <w:sz w:val="22"/>
          <w:lang w:val="en-GB" w:eastAsia="en-CA"/>
        </w:rPr>
        <w:t>habitats</w:t>
      </w:r>
      <w:r w:rsidRPr="002364AB">
        <w:rPr>
          <w:rFonts w:eastAsia="Times New Roman" w:cs="Times New Roman"/>
          <w:color w:val="000000" w:themeColor="text1"/>
          <w:kern w:val="22"/>
          <w:sz w:val="22"/>
          <w:lang w:val="en-GB" w:eastAsia="en-CA"/>
        </w:rPr>
        <w:t>, migratory species</w:t>
      </w:r>
      <w:r w:rsidR="00EA7C48" w:rsidRPr="002364AB">
        <w:rPr>
          <w:rFonts w:eastAsia="Times New Roman" w:cs="Times New Roman"/>
          <w:color w:val="000000" w:themeColor="text1"/>
          <w:kern w:val="22"/>
          <w:sz w:val="22"/>
          <w:lang w:val="en-GB" w:eastAsia="en-CA"/>
        </w:rPr>
        <w:t>, and areas beyond national jurisdiction</w:t>
      </w:r>
      <w:r w:rsidRPr="002364AB">
        <w:rPr>
          <w:rFonts w:eastAsia="Times New Roman" w:cs="Times New Roman"/>
          <w:color w:val="000000" w:themeColor="text1"/>
          <w:kern w:val="22"/>
          <w:sz w:val="22"/>
          <w:lang w:val="en-GB" w:eastAsia="en-CA"/>
        </w:rPr>
        <w:t xml:space="preserve">. </w:t>
      </w:r>
      <w:r w:rsidR="0011503B" w:rsidRPr="002364AB">
        <w:rPr>
          <w:rFonts w:eastAsia="Times New Roman" w:cs="Times New Roman"/>
          <w:color w:val="000000" w:themeColor="text1"/>
          <w:kern w:val="22"/>
          <w:sz w:val="22"/>
          <w:lang w:val="en-GB" w:eastAsia="en-CA"/>
        </w:rPr>
        <w:t xml:space="preserve"> </w:t>
      </w:r>
      <w:r w:rsidR="004A1286" w:rsidRPr="002364AB">
        <w:rPr>
          <w:rFonts w:eastAsia="Times New Roman" w:cs="Times New Roman"/>
          <w:color w:val="000000" w:themeColor="text1"/>
          <w:kern w:val="22"/>
          <w:sz w:val="22"/>
          <w:lang w:val="en-GB" w:eastAsia="en-CA"/>
        </w:rPr>
        <w:t>S</w:t>
      </w:r>
      <w:r w:rsidR="0011503B" w:rsidRPr="002364AB">
        <w:rPr>
          <w:rFonts w:eastAsia="Times New Roman" w:cs="Times New Roman"/>
          <w:color w:val="000000" w:themeColor="text1"/>
          <w:kern w:val="22"/>
          <w:sz w:val="22"/>
          <w:lang w:val="en-GB" w:eastAsia="en-CA"/>
        </w:rPr>
        <w:t xml:space="preserve">everal types of transboundary genetic resource situations have been identified which embody challenges for a bilateral approach to benefit-sharing; though the authors note that there is not agreement that </w:t>
      </w:r>
      <w:r w:rsidR="004A1286" w:rsidRPr="002364AB">
        <w:rPr>
          <w:rFonts w:eastAsia="Times New Roman" w:cs="Times New Roman"/>
          <w:color w:val="000000" w:themeColor="text1"/>
          <w:kern w:val="22"/>
          <w:sz w:val="22"/>
          <w:lang w:val="en-GB" w:eastAsia="en-CA"/>
        </w:rPr>
        <w:t>each</w:t>
      </w:r>
      <w:r w:rsidR="0011503B" w:rsidRPr="002364AB">
        <w:rPr>
          <w:rFonts w:eastAsia="Times New Roman" w:cs="Times New Roman"/>
          <w:color w:val="000000" w:themeColor="text1"/>
          <w:kern w:val="22"/>
          <w:sz w:val="22"/>
          <w:lang w:val="en-GB" w:eastAsia="en-CA"/>
        </w:rPr>
        <w:t xml:space="preserve"> of these situations involve</w:t>
      </w:r>
      <w:r w:rsidR="004A1286" w:rsidRPr="002364AB">
        <w:rPr>
          <w:rFonts w:eastAsia="Times New Roman" w:cs="Times New Roman"/>
          <w:color w:val="000000" w:themeColor="text1"/>
          <w:kern w:val="22"/>
          <w:sz w:val="22"/>
          <w:lang w:val="en-GB" w:eastAsia="en-CA"/>
        </w:rPr>
        <w:t>s</w:t>
      </w:r>
      <w:r w:rsidR="0011503B" w:rsidRPr="002364AB">
        <w:rPr>
          <w:rFonts w:eastAsia="Times New Roman" w:cs="Times New Roman"/>
          <w:color w:val="000000" w:themeColor="text1"/>
          <w:kern w:val="22"/>
          <w:sz w:val="22"/>
          <w:lang w:val="en-GB" w:eastAsia="en-CA"/>
        </w:rPr>
        <w:t xml:space="preserve"> a benefit-sharing obligation. As such, some of these types of transboundary cases could be addressed in the context of Article 10, some under Article 11, or some </w:t>
      </w:r>
      <w:r w:rsidR="007F7775" w:rsidRPr="002364AB">
        <w:rPr>
          <w:rFonts w:eastAsia="Times New Roman" w:cs="Times New Roman"/>
          <w:color w:val="000000" w:themeColor="text1"/>
          <w:kern w:val="22"/>
          <w:sz w:val="22"/>
          <w:lang w:val="en-GB" w:eastAsia="en-CA"/>
        </w:rPr>
        <w:t xml:space="preserve">could </w:t>
      </w:r>
      <w:r w:rsidR="0011503B" w:rsidRPr="002364AB">
        <w:rPr>
          <w:rFonts w:eastAsia="Times New Roman" w:cs="Times New Roman"/>
          <w:color w:val="000000" w:themeColor="text1"/>
          <w:kern w:val="22"/>
          <w:sz w:val="22"/>
          <w:lang w:val="en-GB" w:eastAsia="en-CA"/>
        </w:rPr>
        <w:t xml:space="preserve">be completely excluded from consideration in the context of the Protocol. </w:t>
      </w:r>
    </w:p>
    <w:p w14:paraId="7A0576F7" w14:textId="1EF18457" w:rsidR="000A4BBF" w:rsidRPr="002364AB" w:rsidRDefault="008F40FD" w:rsidP="005A7D0C">
      <w:pPr>
        <w:rPr>
          <w:rFonts w:eastAsia="Times New Roman" w:cs="Times New Roman"/>
          <w:iCs/>
          <w:color w:val="000000"/>
          <w:kern w:val="22"/>
          <w:sz w:val="22"/>
          <w:lang w:val="en-GB" w:eastAsia="en-CA"/>
        </w:rPr>
      </w:pPr>
      <w:r w:rsidRPr="002364AB">
        <w:rPr>
          <w:rFonts w:eastAsia="Times New Roman" w:cs="Times New Roman"/>
          <w:iCs/>
          <w:color w:val="000000"/>
          <w:kern w:val="22"/>
          <w:sz w:val="22"/>
          <w:lang w:val="en-GB" w:eastAsia="en-CA"/>
        </w:rPr>
        <w:t>Other</w:t>
      </w:r>
      <w:r w:rsidR="0068240C" w:rsidRPr="002364AB">
        <w:rPr>
          <w:rFonts w:eastAsia="Times New Roman" w:cs="Times New Roman"/>
          <w:iCs/>
          <w:color w:val="000000"/>
          <w:kern w:val="22"/>
          <w:sz w:val="22"/>
          <w:lang w:val="en-GB" w:eastAsia="en-CA"/>
        </w:rPr>
        <w:t xml:space="preserve"> </w:t>
      </w:r>
      <w:r w:rsidR="00DF2052" w:rsidRPr="002364AB">
        <w:rPr>
          <w:rFonts w:eastAsia="Times New Roman" w:cs="Times New Roman"/>
          <w:iCs/>
          <w:color w:val="000000"/>
          <w:kern w:val="22"/>
          <w:sz w:val="22"/>
          <w:lang w:val="en-GB" w:eastAsia="en-CA"/>
        </w:rPr>
        <w:t xml:space="preserve">categories of </w:t>
      </w:r>
      <w:r w:rsidR="0068240C" w:rsidRPr="002364AB">
        <w:rPr>
          <w:rFonts w:eastAsia="Times New Roman" w:cs="Times New Roman"/>
          <w:iCs/>
          <w:color w:val="000000"/>
          <w:kern w:val="22"/>
          <w:sz w:val="22"/>
          <w:lang w:val="en-GB" w:eastAsia="en-CA"/>
        </w:rPr>
        <w:t xml:space="preserve">cases include </w:t>
      </w:r>
      <w:r w:rsidR="000B0175" w:rsidRPr="002364AB">
        <w:rPr>
          <w:rFonts w:eastAsia="Times New Roman" w:cs="Times New Roman"/>
          <w:iCs/>
          <w:color w:val="000000"/>
          <w:kern w:val="22"/>
          <w:sz w:val="22"/>
          <w:lang w:val="en-GB" w:eastAsia="en-CA"/>
        </w:rPr>
        <w:t xml:space="preserve">genetic resources for which it is not possible to grant or obtain PIC, including genetic resources of untraceable </w:t>
      </w:r>
      <w:r w:rsidR="008B55E0" w:rsidRPr="002364AB">
        <w:rPr>
          <w:rFonts w:eastAsia="Times New Roman" w:cs="Times New Roman"/>
          <w:iCs/>
          <w:color w:val="000000"/>
          <w:kern w:val="22"/>
          <w:sz w:val="22"/>
          <w:lang w:val="en-GB" w:eastAsia="en-CA"/>
        </w:rPr>
        <w:t>provenance</w:t>
      </w:r>
      <w:r w:rsidR="000B0175" w:rsidRPr="002364AB">
        <w:rPr>
          <w:rFonts w:eastAsia="Times New Roman" w:cs="Times New Roman"/>
          <w:iCs/>
          <w:color w:val="000000"/>
          <w:kern w:val="22"/>
          <w:sz w:val="22"/>
          <w:lang w:val="en-GB" w:eastAsia="en-CA"/>
        </w:rPr>
        <w:t xml:space="preserve"> in </w:t>
      </w:r>
      <w:r w:rsidR="000B0175" w:rsidRPr="002364AB">
        <w:rPr>
          <w:rFonts w:eastAsia="Times New Roman" w:cs="Times New Roman"/>
          <w:i/>
          <w:color w:val="000000"/>
          <w:kern w:val="22"/>
          <w:sz w:val="22"/>
          <w:lang w:val="en-GB" w:eastAsia="en-CA"/>
        </w:rPr>
        <w:t>ex situ</w:t>
      </w:r>
      <w:r w:rsidR="000B0175" w:rsidRPr="002364AB">
        <w:rPr>
          <w:rFonts w:eastAsia="Times New Roman" w:cs="Times New Roman"/>
          <w:iCs/>
          <w:color w:val="000000"/>
          <w:kern w:val="22"/>
          <w:sz w:val="22"/>
          <w:lang w:val="en-GB" w:eastAsia="en-CA"/>
        </w:rPr>
        <w:t xml:space="preserve"> collections, utilization of samples from large numbers of geographically diverse organisms, </w:t>
      </w:r>
      <w:r w:rsidR="00A37263" w:rsidRPr="002364AB">
        <w:rPr>
          <w:rFonts w:eastAsia="Times New Roman" w:cs="Times New Roman"/>
          <w:iCs/>
          <w:color w:val="000000"/>
          <w:kern w:val="22"/>
          <w:sz w:val="22"/>
          <w:lang w:val="en-GB" w:eastAsia="en-CA"/>
        </w:rPr>
        <w:t>DSI</w:t>
      </w:r>
      <w:r w:rsidR="000B0175" w:rsidRPr="002364AB">
        <w:rPr>
          <w:rFonts w:eastAsia="Times New Roman" w:cs="Times New Roman"/>
          <w:iCs/>
          <w:color w:val="000000"/>
          <w:kern w:val="22"/>
          <w:sz w:val="22"/>
          <w:lang w:val="en-GB" w:eastAsia="en-CA"/>
        </w:rPr>
        <w:t xml:space="preserve"> cases where no physical access is needed to utilize genetic information, and utilization of genetic components found in multiple organisms. </w:t>
      </w:r>
      <w:r w:rsidR="000A4BBF" w:rsidRPr="002364AB">
        <w:rPr>
          <w:rFonts w:eastAsia="Times New Roman" w:cs="Times New Roman"/>
          <w:iCs/>
          <w:color w:val="000000"/>
          <w:kern w:val="22"/>
          <w:sz w:val="22"/>
          <w:lang w:val="en-GB" w:eastAsia="en-CA"/>
        </w:rPr>
        <w:t xml:space="preserve">Parties are not in agreement on whether or to what extent </w:t>
      </w:r>
      <w:r w:rsidR="00BD7C11" w:rsidRPr="002364AB">
        <w:rPr>
          <w:rFonts w:eastAsia="Times New Roman" w:cs="Times New Roman"/>
          <w:i/>
          <w:iCs/>
          <w:color w:val="000000"/>
          <w:kern w:val="22"/>
          <w:sz w:val="22"/>
          <w:lang w:val="en-GB" w:eastAsia="en-CA"/>
        </w:rPr>
        <w:t>ex situ</w:t>
      </w:r>
      <w:r w:rsidR="00BD7C11" w:rsidRPr="002364AB">
        <w:rPr>
          <w:rFonts w:eastAsia="Times New Roman" w:cs="Times New Roman"/>
          <w:iCs/>
          <w:color w:val="000000"/>
          <w:kern w:val="22"/>
          <w:sz w:val="22"/>
          <w:lang w:val="en-GB" w:eastAsia="en-CA"/>
        </w:rPr>
        <w:t xml:space="preserve"> collections or </w:t>
      </w:r>
      <w:r w:rsidR="000A4BBF" w:rsidRPr="002364AB">
        <w:rPr>
          <w:rFonts w:eastAsia="Times New Roman" w:cs="Times New Roman"/>
          <w:iCs/>
          <w:color w:val="000000"/>
          <w:kern w:val="22"/>
          <w:sz w:val="22"/>
          <w:lang w:val="en-GB" w:eastAsia="en-CA"/>
        </w:rPr>
        <w:t xml:space="preserve">DSI </w:t>
      </w:r>
      <w:r w:rsidR="00BD7C11" w:rsidRPr="002364AB">
        <w:rPr>
          <w:rFonts w:eastAsia="Times New Roman" w:cs="Times New Roman"/>
          <w:iCs/>
          <w:color w:val="000000"/>
          <w:kern w:val="22"/>
          <w:sz w:val="22"/>
          <w:lang w:val="en-GB" w:eastAsia="en-CA"/>
        </w:rPr>
        <w:t>are</w:t>
      </w:r>
      <w:r w:rsidR="000A4BBF" w:rsidRPr="002364AB">
        <w:rPr>
          <w:rFonts w:eastAsia="Times New Roman" w:cs="Times New Roman"/>
          <w:iCs/>
          <w:color w:val="000000"/>
          <w:kern w:val="22"/>
          <w:sz w:val="22"/>
          <w:lang w:val="en-GB" w:eastAsia="en-CA"/>
        </w:rPr>
        <w:t xml:space="preserve"> within the scope of the Protocol.  In </w:t>
      </w:r>
      <w:r w:rsidR="00372AD7" w:rsidRPr="002364AB">
        <w:rPr>
          <w:rFonts w:eastAsia="Times New Roman" w:cs="Times New Roman"/>
          <w:iCs/>
          <w:color w:val="000000"/>
          <w:kern w:val="22"/>
          <w:sz w:val="22"/>
          <w:lang w:val="en-GB" w:eastAsia="en-CA"/>
        </w:rPr>
        <w:t>several of th</w:t>
      </w:r>
      <w:r w:rsidR="00A37263" w:rsidRPr="002364AB">
        <w:rPr>
          <w:rFonts w:eastAsia="Times New Roman" w:cs="Times New Roman"/>
          <w:iCs/>
          <w:color w:val="000000"/>
          <w:kern w:val="22"/>
          <w:sz w:val="22"/>
          <w:lang w:val="en-GB" w:eastAsia="en-CA"/>
        </w:rPr>
        <w:t>e</w:t>
      </w:r>
      <w:r w:rsidR="000A4BBF" w:rsidRPr="002364AB">
        <w:rPr>
          <w:rFonts w:eastAsia="Times New Roman" w:cs="Times New Roman"/>
          <w:iCs/>
          <w:color w:val="000000"/>
          <w:kern w:val="22"/>
          <w:sz w:val="22"/>
          <w:lang w:val="en-GB" w:eastAsia="en-CA"/>
        </w:rPr>
        <w:t xml:space="preserve"> examples</w:t>
      </w:r>
      <w:r w:rsidR="00A37263" w:rsidRPr="002364AB">
        <w:rPr>
          <w:rFonts w:eastAsia="Times New Roman" w:cs="Times New Roman"/>
          <w:iCs/>
          <w:color w:val="000000"/>
          <w:kern w:val="22"/>
          <w:sz w:val="22"/>
          <w:lang w:val="en-GB" w:eastAsia="en-CA"/>
        </w:rPr>
        <w:t xml:space="preserve"> presented</w:t>
      </w:r>
      <w:r w:rsidR="000334B0" w:rsidRPr="002364AB">
        <w:rPr>
          <w:rFonts w:eastAsia="Times New Roman" w:cs="Times New Roman"/>
          <w:iCs/>
          <w:color w:val="000000"/>
          <w:kern w:val="22"/>
          <w:sz w:val="22"/>
          <w:lang w:val="en-GB" w:eastAsia="en-CA"/>
        </w:rPr>
        <w:t>,</w:t>
      </w:r>
      <w:r w:rsidR="000A4BBF" w:rsidRPr="002364AB">
        <w:rPr>
          <w:rFonts w:eastAsia="Times New Roman" w:cs="Times New Roman"/>
          <w:iCs/>
          <w:color w:val="000000"/>
          <w:kern w:val="22"/>
          <w:sz w:val="22"/>
          <w:lang w:val="en-GB" w:eastAsia="en-CA"/>
        </w:rPr>
        <w:t xml:space="preserve"> DSI from multiple, diverse, organisms</w:t>
      </w:r>
      <w:r w:rsidR="006802AC" w:rsidRPr="002364AB">
        <w:rPr>
          <w:rFonts w:eastAsia="Times New Roman" w:cs="Times New Roman"/>
          <w:iCs/>
          <w:color w:val="000000"/>
          <w:kern w:val="22"/>
          <w:sz w:val="22"/>
          <w:lang w:val="en-GB" w:eastAsia="en-CA"/>
        </w:rPr>
        <w:t>,</w:t>
      </w:r>
      <w:r w:rsidR="000A4BBF" w:rsidRPr="002364AB">
        <w:rPr>
          <w:rFonts w:eastAsia="Times New Roman" w:cs="Times New Roman"/>
          <w:iCs/>
          <w:color w:val="000000"/>
          <w:kern w:val="22"/>
          <w:sz w:val="22"/>
          <w:lang w:val="en-GB" w:eastAsia="en-CA"/>
        </w:rPr>
        <w:t xml:space="preserve"> is being utilized, and if it is deemed to be within scope, some users may need to negotiate MAT with multiple governments and many users will not be individually identifiable or traceable.</w:t>
      </w:r>
    </w:p>
    <w:p w14:paraId="1BD1B385" w14:textId="7797A6A4" w:rsidR="006F3EA4" w:rsidRPr="002364AB" w:rsidRDefault="000B0175" w:rsidP="005A7D0C">
      <w:pPr>
        <w:rPr>
          <w:kern w:val="22"/>
          <w:sz w:val="22"/>
          <w:lang w:val="en-GB"/>
        </w:rPr>
      </w:pPr>
      <w:r w:rsidRPr="002364AB">
        <w:rPr>
          <w:rFonts w:eastAsia="Times New Roman" w:cs="Times New Roman"/>
          <w:iCs/>
          <w:color w:val="000000"/>
          <w:kern w:val="22"/>
          <w:sz w:val="22"/>
          <w:lang w:val="en-GB" w:eastAsia="en-CA"/>
        </w:rPr>
        <w:t xml:space="preserve">Finally, </w:t>
      </w:r>
      <w:r w:rsidR="0068240C" w:rsidRPr="002364AB">
        <w:rPr>
          <w:rFonts w:eastAsia="Times New Roman" w:cs="Times New Roman"/>
          <w:iCs/>
          <w:color w:val="000000"/>
          <w:kern w:val="22"/>
          <w:sz w:val="22"/>
          <w:lang w:val="en-GB" w:eastAsia="en-CA"/>
        </w:rPr>
        <w:t>the study identifies</w:t>
      </w:r>
      <w:r w:rsidRPr="002364AB">
        <w:rPr>
          <w:rFonts w:eastAsia="Times New Roman" w:cs="Times New Roman"/>
          <w:iCs/>
          <w:color w:val="000000"/>
          <w:kern w:val="22"/>
          <w:sz w:val="22"/>
          <w:lang w:val="en-GB" w:eastAsia="en-CA"/>
        </w:rPr>
        <w:t xml:space="preserve"> specific cases </w:t>
      </w:r>
      <w:r w:rsidR="000A4BBF" w:rsidRPr="002364AB">
        <w:rPr>
          <w:rFonts w:eastAsia="Times New Roman" w:cs="Times New Roman"/>
          <w:iCs/>
          <w:color w:val="000000"/>
          <w:kern w:val="22"/>
          <w:sz w:val="22"/>
          <w:lang w:val="en-GB" w:eastAsia="en-CA"/>
        </w:rPr>
        <w:t xml:space="preserve">of </w:t>
      </w:r>
      <w:r w:rsidR="00C8141F" w:rsidRPr="002364AB">
        <w:rPr>
          <w:rFonts w:eastAsia="Times New Roman" w:cs="Times New Roman"/>
          <w:iCs/>
          <w:color w:val="000000"/>
          <w:kern w:val="22"/>
          <w:sz w:val="22"/>
          <w:lang w:val="en-GB" w:eastAsia="en-CA"/>
        </w:rPr>
        <w:t xml:space="preserve">traditional knowledge </w:t>
      </w:r>
      <w:r w:rsidR="00362A84" w:rsidRPr="002364AB">
        <w:rPr>
          <w:rFonts w:eastAsia="Times New Roman" w:cs="Times New Roman"/>
          <w:iCs/>
          <w:color w:val="000000"/>
          <w:kern w:val="22"/>
          <w:sz w:val="22"/>
          <w:lang w:val="en-GB" w:eastAsia="en-CA"/>
        </w:rPr>
        <w:t xml:space="preserve">associated with genetic resources </w:t>
      </w:r>
      <w:r w:rsidR="00C8141F" w:rsidRPr="002364AB">
        <w:rPr>
          <w:rFonts w:eastAsia="Times New Roman" w:cs="Times New Roman"/>
          <w:iCs/>
          <w:color w:val="000000"/>
          <w:kern w:val="22"/>
          <w:sz w:val="22"/>
          <w:lang w:val="en-GB" w:eastAsia="en-CA"/>
        </w:rPr>
        <w:t xml:space="preserve">held by indigenous peoples and local communities (IPLCs) across national boundaries, and of </w:t>
      </w:r>
      <w:r w:rsidR="00362A84" w:rsidRPr="002364AB">
        <w:rPr>
          <w:rFonts w:eastAsia="Times New Roman" w:cs="Times New Roman"/>
          <w:iCs/>
          <w:color w:val="000000"/>
          <w:kern w:val="22"/>
          <w:sz w:val="22"/>
          <w:lang w:val="en-GB" w:eastAsia="en-CA"/>
        </w:rPr>
        <w:t xml:space="preserve">associated </w:t>
      </w:r>
      <w:r w:rsidR="00C8141F" w:rsidRPr="002364AB">
        <w:rPr>
          <w:rFonts w:eastAsia="Times New Roman" w:cs="Times New Roman"/>
          <w:iCs/>
          <w:color w:val="000000"/>
          <w:kern w:val="22"/>
          <w:sz w:val="22"/>
          <w:lang w:val="en-GB" w:eastAsia="en-CA"/>
        </w:rPr>
        <w:t xml:space="preserve">traditional knowledge </w:t>
      </w:r>
      <w:r w:rsidR="0068240C" w:rsidRPr="002364AB">
        <w:rPr>
          <w:rFonts w:eastAsia="Times New Roman" w:cs="Times New Roman"/>
          <w:iCs/>
          <w:color w:val="000000"/>
          <w:kern w:val="22"/>
          <w:sz w:val="22"/>
          <w:lang w:val="en-GB" w:eastAsia="en-CA"/>
        </w:rPr>
        <w:t>fo</w:t>
      </w:r>
      <w:r w:rsidRPr="002364AB">
        <w:rPr>
          <w:rFonts w:eastAsia="Times New Roman" w:cs="Times New Roman"/>
          <w:iCs/>
          <w:color w:val="000000"/>
          <w:kern w:val="22"/>
          <w:sz w:val="22"/>
          <w:lang w:val="en-GB" w:eastAsia="en-CA"/>
        </w:rPr>
        <w:t xml:space="preserve">r which it is not possible to grant or obtain PIC, including publicly available </w:t>
      </w:r>
      <w:r w:rsidR="0068240C" w:rsidRPr="002364AB">
        <w:rPr>
          <w:rFonts w:eastAsia="Times New Roman" w:cs="Times New Roman"/>
          <w:iCs/>
          <w:color w:val="000000"/>
          <w:kern w:val="22"/>
          <w:sz w:val="22"/>
          <w:lang w:val="en-GB" w:eastAsia="en-CA"/>
        </w:rPr>
        <w:t>associated traditional knowledge</w:t>
      </w:r>
      <w:r w:rsidRPr="002364AB">
        <w:rPr>
          <w:rFonts w:eastAsia="Times New Roman" w:cs="Times New Roman"/>
          <w:iCs/>
          <w:color w:val="000000"/>
          <w:kern w:val="22"/>
          <w:sz w:val="22"/>
          <w:lang w:val="en-GB" w:eastAsia="en-CA"/>
        </w:rPr>
        <w:t xml:space="preserve">, and </w:t>
      </w:r>
      <w:r w:rsidR="0068240C" w:rsidRPr="002364AB">
        <w:rPr>
          <w:rFonts w:eastAsia="Times New Roman" w:cs="Times New Roman"/>
          <w:iCs/>
          <w:color w:val="000000"/>
          <w:kern w:val="22"/>
          <w:sz w:val="22"/>
          <w:lang w:val="en-GB" w:eastAsia="en-CA"/>
        </w:rPr>
        <w:t xml:space="preserve">associated traditional knowledge </w:t>
      </w:r>
      <w:r w:rsidRPr="002364AB">
        <w:rPr>
          <w:rFonts w:eastAsia="Times New Roman" w:cs="Times New Roman"/>
          <w:iCs/>
          <w:color w:val="000000"/>
          <w:kern w:val="22"/>
          <w:sz w:val="22"/>
          <w:lang w:val="en-GB" w:eastAsia="en-CA"/>
        </w:rPr>
        <w:t xml:space="preserve">of untraceable origin in </w:t>
      </w:r>
      <w:r w:rsidRPr="002364AB">
        <w:rPr>
          <w:rFonts w:eastAsia="Times New Roman" w:cs="Times New Roman"/>
          <w:i/>
          <w:color w:val="000000"/>
          <w:kern w:val="22"/>
          <w:sz w:val="22"/>
          <w:lang w:val="en-GB" w:eastAsia="en-CA"/>
        </w:rPr>
        <w:t>ex situ</w:t>
      </w:r>
      <w:r w:rsidRPr="002364AB">
        <w:rPr>
          <w:rFonts w:eastAsia="Times New Roman" w:cs="Times New Roman"/>
          <w:iCs/>
          <w:color w:val="000000"/>
          <w:kern w:val="22"/>
          <w:sz w:val="22"/>
          <w:lang w:val="en-GB" w:eastAsia="en-CA"/>
        </w:rPr>
        <w:t xml:space="preserve"> collections.</w:t>
      </w:r>
      <w:r w:rsidR="006D06F5" w:rsidRPr="002364AB">
        <w:rPr>
          <w:rFonts w:cs="Times New Roman"/>
          <w:kern w:val="22"/>
          <w:sz w:val="22"/>
          <w:lang w:val="en-GB"/>
        </w:rPr>
        <w:t xml:space="preserve"> </w:t>
      </w:r>
      <w:r w:rsidR="006D06F5" w:rsidRPr="002364AB">
        <w:rPr>
          <w:rFonts w:eastAsia="Times New Roman" w:cs="Times New Roman"/>
          <w:iCs/>
          <w:color w:val="000000"/>
          <w:kern w:val="22"/>
          <w:sz w:val="22"/>
          <w:lang w:val="en-GB" w:eastAsia="en-CA"/>
        </w:rPr>
        <w:t xml:space="preserve">   </w:t>
      </w:r>
    </w:p>
    <w:p w14:paraId="30E52D16" w14:textId="6001958E" w:rsidR="002E59C2" w:rsidRPr="002364AB" w:rsidRDefault="00972D65" w:rsidP="00F43F79">
      <w:pPr>
        <w:rPr>
          <w:kern w:val="22"/>
          <w:sz w:val="22"/>
          <w:lang w:val="en-GB"/>
        </w:rPr>
      </w:pPr>
      <w:r w:rsidRPr="002364AB">
        <w:rPr>
          <w:kern w:val="22"/>
          <w:sz w:val="22"/>
          <w:lang w:val="en-GB"/>
        </w:rPr>
        <w:t>Based on the research undertaken, this study concludes that there could be specific cases that fall within the scope of Article 10</w:t>
      </w:r>
      <w:r w:rsidR="00375A71" w:rsidRPr="002364AB">
        <w:rPr>
          <w:kern w:val="22"/>
          <w:sz w:val="22"/>
          <w:lang w:val="en-GB"/>
        </w:rPr>
        <w:t>.</w:t>
      </w:r>
      <w:r w:rsidRPr="002364AB">
        <w:rPr>
          <w:kern w:val="22"/>
          <w:sz w:val="22"/>
          <w:lang w:val="en-GB"/>
        </w:rPr>
        <w:t xml:space="preserve"> Whether any of these cases establish a need for a global multilateral benefit-sharing mechanism</w:t>
      </w:r>
      <w:r w:rsidR="00214AF0" w:rsidRPr="002364AB">
        <w:rPr>
          <w:kern w:val="22"/>
          <w:sz w:val="22"/>
          <w:lang w:val="en-GB"/>
        </w:rPr>
        <w:t>,</w:t>
      </w:r>
      <w:r w:rsidR="008C61A1" w:rsidRPr="002364AB">
        <w:rPr>
          <w:kern w:val="22"/>
          <w:sz w:val="22"/>
          <w:lang w:val="en-GB"/>
        </w:rPr>
        <w:t xml:space="preserve"> and what the modalities of such a mechanism would be </w:t>
      </w:r>
      <w:r w:rsidR="00214AF0" w:rsidRPr="002364AB">
        <w:rPr>
          <w:kern w:val="22"/>
          <w:sz w:val="22"/>
          <w:lang w:val="en-GB"/>
        </w:rPr>
        <w:t>if a need were established,</w:t>
      </w:r>
      <w:r w:rsidRPr="002364AB">
        <w:rPr>
          <w:kern w:val="22"/>
          <w:sz w:val="22"/>
          <w:lang w:val="en-GB"/>
        </w:rPr>
        <w:t xml:space="preserve"> </w:t>
      </w:r>
      <w:r w:rsidR="00A90382" w:rsidRPr="002364AB">
        <w:rPr>
          <w:kern w:val="22"/>
          <w:sz w:val="22"/>
          <w:lang w:val="en-GB"/>
        </w:rPr>
        <w:t>are to be</w:t>
      </w:r>
      <w:r w:rsidR="00100D16" w:rsidRPr="002364AB">
        <w:rPr>
          <w:kern w:val="22"/>
          <w:sz w:val="22"/>
          <w:lang w:val="en-GB"/>
        </w:rPr>
        <w:t xml:space="preserve"> determined by </w:t>
      </w:r>
      <w:r w:rsidR="008C5C41" w:rsidRPr="002364AB">
        <w:rPr>
          <w:kern w:val="22"/>
          <w:sz w:val="22"/>
          <w:lang w:val="en-GB"/>
        </w:rPr>
        <w:t xml:space="preserve">the </w:t>
      </w:r>
      <w:r w:rsidR="00100D16" w:rsidRPr="002364AB">
        <w:rPr>
          <w:kern w:val="22"/>
          <w:sz w:val="22"/>
          <w:lang w:val="en-GB"/>
        </w:rPr>
        <w:t>Parties to the Nagoya Protocol.</w:t>
      </w:r>
    </w:p>
    <w:p w14:paraId="6FBE27D4" w14:textId="73218EF6" w:rsidR="00B14375" w:rsidRPr="002364AB" w:rsidRDefault="00B14375" w:rsidP="00B14375">
      <w:pPr>
        <w:pStyle w:val="Heading1"/>
        <w:rPr>
          <w:kern w:val="22"/>
          <w:sz w:val="22"/>
          <w:szCs w:val="22"/>
          <w:lang w:val="en-GB"/>
        </w:rPr>
      </w:pPr>
      <w:bookmarkStart w:id="190" w:name="_Toc43134991"/>
      <w:r w:rsidRPr="002364AB">
        <w:rPr>
          <w:kern w:val="22"/>
          <w:sz w:val="22"/>
          <w:szCs w:val="22"/>
          <w:lang w:val="en-GB"/>
        </w:rPr>
        <w:t>Acknowledgements</w:t>
      </w:r>
      <w:bookmarkEnd w:id="190"/>
    </w:p>
    <w:p w14:paraId="7B366B23" w14:textId="4513310F" w:rsidR="007D320F" w:rsidRPr="002364AB" w:rsidRDefault="00243399" w:rsidP="00112AD2">
      <w:pPr>
        <w:spacing w:line="259" w:lineRule="auto"/>
        <w:rPr>
          <w:rFonts w:cs="Times New Roman"/>
          <w:kern w:val="22"/>
          <w:sz w:val="22"/>
          <w:lang w:val="en-GB"/>
        </w:rPr>
      </w:pPr>
      <w:r w:rsidRPr="002364AB">
        <w:rPr>
          <w:rFonts w:cs="Times New Roman"/>
          <w:kern w:val="22"/>
          <w:sz w:val="22"/>
          <w:lang w:val="en-GB"/>
        </w:rPr>
        <w:t xml:space="preserve">The authors would like to thank Eric Boyer and Candace Walther for excellent research assistance, and the CBD Secretariat staff (Worku </w:t>
      </w:r>
      <w:r w:rsidR="008F62DF" w:rsidRPr="002364AB">
        <w:rPr>
          <w:rFonts w:cs="Times New Roman"/>
          <w:kern w:val="22"/>
          <w:sz w:val="22"/>
          <w:lang w:val="en-GB"/>
        </w:rPr>
        <w:t xml:space="preserve">Yifru, </w:t>
      </w:r>
      <w:r w:rsidRPr="002364AB">
        <w:rPr>
          <w:rFonts w:cs="Times New Roman"/>
          <w:kern w:val="22"/>
          <w:sz w:val="22"/>
          <w:lang w:val="en-GB"/>
        </w:rPr>
        <w:t xml:space="preserve">Beatriz Gomez, </w:t>
      </w:r>
      <w:r w:rsidR="00856A7C" w:rsidRPr="002364AB">
        <w:rPr>
          <w:rFonts w:cs="Times New Roman"/>
          <w:kern w:val="22"/>
          <w:sz w:val="22"/>
          <w:lang w:val="en-GB"/>
        </w:rPr>
        <w:t>Austein McLoughlin</w:t>
      </w:r>
      <w:r w:rsidRPr="002364AB">
        <w:rPr>
          <w:rFonts w:cs="Times New Roman"/>
          <w:kern w:val="22"/>
          <w:sz w:val="22"/>
          <w:lang w:val="en-GB"/>
        </w:rPr>
        <w:t>, and Rodrigo Sara) for their helpful involvement throughout the study process.</w:t>
      </w:r>
      <w:r w:rsidR="007D320F" w:rsidRPr="002364AB">
        <w:rPr>
          <w:rFonts w:cs="Times New Roman"/>
          <w:kern w:val="22"/>
          <w:sz w:val="22"/>
          <w:lang w:val="en-GB"/>
        </w:rPr>
        <w:br w:type="page"/>
      </w:r>
    </w:p>
    <w:p w14:paraId="76F61AF8" w14:textId="34F08AC8" w:rsidR="009C24C9" w:rsidRPr="002364AB" w:rsidRDefault="009C24C9" w:rsidP="00B53EA6">
      <w:pPr>
        <w:pStyle w:val="Heading1"/>
        <w:rPr>
          <w:kern w:val="22"/>
          <w:sz w:val="22"/>
          <w:szCs w:val="22"/>
          <w:lang w:val="en-GB"/>
        </w:rPr>
      </w:pPr>
      <w:bookmarkStart w:id="191" w:name="_Toc34249597"/>
      <w:bookmarkStart w:id="192" w:name="_Toc39580439"/>
      <w:bookmarkStart w:id="193" w:name="_Toc43134992"/>
      <w:bookmarkStart w:id="194" w:name="_Toc32490886"/>
      <w:r w:rsidRPr="002364AB">
        <w:rPr>
          <w:kern w:val="22"/>
          <w:sz w:val="22"/>
          <w:szCs w:val="22"/>
          <w:lang w:val="en-GB"/>
        </w:rPr>
        <w:t xml:space="preserve">Annex A: </w:t>
      </w:r>
      <w:bookmarkEnd w:id="191"/>
      <w:bookmarkEnd w:id="192"/>
      <w:r w:rsidR="00B53EA6" w:rsidRPr="002364AB">
        <w:rPr>
          <w:kern w:val="22"/>
          <w:sz w:val="22"/>
          <w:szCs w:val="22"/>
          <w:lang w:val="en-GB"/>
        </w:rPr>
        <w:t>List of Interviewees</w:t>
      </w:r>
      <w:bookmarkEnd w:id="193"/>
    </w:p>
    <w:bookmarkEnd w:id="194"/>
    <w:tbl>
      <w:tblPr>
        <w:tblStyle w:val="TableGrid1"/>
        <w:tblW w:w="9208" w:type="dxa"/>
        <w:tblLook w:val="04A0" w:firstRow="1" w:lastRow="0" w:firstColumn="1" w:lastColumn="0" w:noHBand="0" w:noVBand="1"/>
      </w:tblPr>
      <w:tblGrid>
        <w:gridCol w:w="1304"/>
        <w:gridCol w:w="3219"/>
        <w:gridCol w:w="1461"/>
        <w:gridCol w:w="1979"/>
        <w:gridCol w:w="1245"/>
      </w:tblGrid>
      <w:tr w:rsidR="00381D7E" w:rsidRPr="00A2063C" w14:paraId="10417264" w14:textId="77777777" w:rsidTr="00A2063C">
        <w:tc>
          <w:tcPr>
            <w:tcW w:w="1304" w:type="dxa"/>
            <w:shd w:val="clear" w:color="auto" w:fill="BFBFBF" w:themeFill="background1" w:themeFillShade="BF"/>
          </w:tcPr>
          <w:p w14:paraId="017AE62E" w14:textId="77777777" w:rsidR="00CF3362" w:rsidRPr="00A2063C" w:rsidRDefault="00CF3362" w:rsidP="004C2C06">
            <w:pPr>
              <w:spacing w:line="252" w:lineRule="auto"/>
              <w:rPr>
                <w:rFonts w:cs="Times New Roman"/>
                <w:b/>
                <w:bCs/>
                <w:kern w:val="22"/>
                <w:sz w:val="20"/>
                <w:szCs w:val="20"/>
                <w:lang w:val="en-GB"/>
              </w:rPr>
            </w:pPr>
          </w:p>
        </w:tc>
        <w:tc>
          <w:tcPr>
            <w:tcW w:w="3219" w:type="dxa"/>
            <w:shd w:val="clear" w:color="auto" w:fill="BFBFBF" w:themeFill="background1" w:themeFillShade="BF"/>
          </w:tcPr>
          <w:p w14:paraId="62DD21C4" w14:textId="77777777" w:rsidR="00CF3362" w:rsidRPr="00A2063C" w:rsidRDefault="00CF3362" w:rsidP="004C2C06">
            <w:pPr>
              <w:spacing w:line="252" w:lineRule="auto"/>
              <w:rPr>
                <w:rFonts w:cs="Times New Roman"/>
                <w:b/>
                <w:bCs/>
                <w:kern w:val="22"/>
                <w:sz w:val="20"/>
                <w:szCs w:val="20"/>
                <w:lang w:val="en-GB"/>
              </w:rPr>
            </w:pPr>
            <w:r w:rsidRPr="00A2063C">
              <w:rPr>
                <w:rFonts w:cs="Times New Roman"/>
                <w:b/>
                <w:bCs/>
                <w:kern w:val="22"/>
                <w:sz w:val="20"/>
                <w:szCs w:val="20"/>
                <w:lang w:val="en-GB"/>
              </w:rPr>
              <w:t xml:space="preserve">Type of Interviewee </w:t>
            </w:r>
          </w:p>
        </w:tc>
        <w:tc>
          <w:tcPr>
            <w:tcW w:w="1461" w:type="dxa"/>
            <w:shd w:val="clear" w:color="auto" w:fill="BFBFBF" w:themeFill="background1" w:themeFillShade="BF"/>
          </w:tcPr>
          <w:p w14:paraId="586538BD" w14:textId="77777777" w:rsidR="00CF3362" w:rsidRPr="00A2063C" w:rsidRDefault="00CF3362" w:rsidP="004C2C06">
            <w:pPr>
              <w:spacing w:line="252" w:lineRule="auto"/>
              <w:rPr>
                <w:rFonts w:cs="Times New Roman"/>
                <w:b/>
                <w:bCs/>
                <w:kern w:val="22"/>
                <w:sz w:val="20"/>
                <w:szCs w:val="20"/>
                <w:lang w:val="en-GB"/>
              </w:rPr>
            </w:pPr>
            <w:r w:rsidRPr="00A2063C">
              <w:rPr>
                <w:rFonts w:cs="Times New Roman"/>
                <w:b/>
                <w:bCs/>
                <w:kern w:val="22"/>
                <w:sz w:val="20"/>
                <w:szCs w:val="20"/>
                <w:lang w:val="en-GB"/>
              </w:rPr>
              <w:t>UN Region</w:t>
            </w:r>
          </w:p>
        </w:tc>
        <w:tc>
          <w:tcPr>
            <w:tcW w:w="1979" w:type="dxa"/>
            <w:shd w:val="clear" w:color="auto" w:fill="BFBFBF" w:themeFill="background1" w:themeFillShade="BF"/>
          </w:tcPr>
          <w:p w14:paraId="3E3E9C7A" w14:textId="77777777" w:rsidR="00CF3362" w:rsidRPr="00A2063C" w:rsidRDefault="00CF3362" w:rsidP="00A2063C">
            <w:pPr>
              <w:spacing w:line="252" w:lineRule="auto"/>
              <w:jc w:val="left"/>
              <w:rPr>
                <w:rFonts w:cs="Times New Roman"/>
                <w:b/>
                <w:bCs/>
                <w:kern w:val="22"/>
                <w:sz w:val="20"/>
                <w:szCs w:val="20"/>
                <w:lang w:val="en-GB"/>
              </w:rPr>
            </w:pPr>
            <w:r w:rsidRPr="00A2063C">
              <w:rPr>
                <w:rFonts w:cs="Times New Roman"/>
                <w:b/>
                <w:bCs/>
                <w:kern w:val="22"/>
                <w:sz w:val="20"/>
                <w:szCs w:val="20"/>
                <w:lang w:val="en-GB"/>
              </w:rPr>
              <w:t xml:space="preserve">Form of communication </w:t>
            </w:r>
          </w:p>
        </w:tc>
        <w:tc>
          <w:tcPr>
            <w:tcW w:w="1245" w:type="dxa"/>
            <w:shd w:val="clear" w:color="auto" w:fill="BFBFBF" w:themeFill="background1" w:themeFillShade="BF"/>
          </w:tcPr>
          <w:p w14:paraId="0305CACB" w14:textId="77777777" w:rsidR="00CF3362" w:rsidRPr="00A2063C" w:rsidRDefault="00CF3362" w:rsidP="004C2C06">
            <w:pPr>
              <w:spacing w:line="252" w:lineRule="auto"/>
              <w:rPr>
                <w:rFonts w:cs="Times New Roman"/>
                <w:b/>
                <w:bCs/>
                <w:kern w:val="22"/>
                <w:sz w:val="20"/>
                <w:szCs w:val="20"/>
                <w:lang w:val="en-GB"/>
              </w:rPr>
            </w:pPr>
            <w:r w:rsidRPr="00A2063C">
              <w:rPr>
                <w:rFonts w:cs="Times New Roman"/>
                <w:b/>
                <w:bCs/>
                <w:kern w:val="22"/>
                <w:sz w:val="20"/>
                <w:szCs w:val="20"/>
                <w:lang w:val="en-GB"/>
              </w:rPr>
              <w:t>Date</w:t>
            </w:r>
          </w:p>
        </w:tc>
      </w:tr>
      <w:tr w:rsidR="00381D7E" w:rsidRPr="00A2063C" w14:paraId="4AA99E96" w14:textId="77777777" w:rsidTr="00A2063C">
        <w:trPr>
          <w:trHeight w:val="335"/>
        </w:trPr>
        <w:tc>
          <w:tcPr>
            <w:tcW w:w="1304" w:type="dxa"/>
          </w:tcPr>
          <w:p w14:paraId="39CE12FD" w14:textId="0FE0EAB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w:t>
            </w:r>
          </w:p>
        </w:tc>
        <w:tc>
          <w:tcPr>
            <w:tcW w:w="3219" w:type="dxa"/>
          </w:tcPr>
          <w:p w14:paraId="31BB4848" w14:textId="0E9224C1"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Academia, TK expert</w:t>
            </w:r>
          </w:p>
        </w:tc>
        <w:tc>
          <w:tcPr>
            <w:tcW w:w="1461" w:type="dxa"/>
          </w:tcPr>
          <w:p w14:paraId="78D0B9DC" w14:textId="20304482" w:rsidR="00CF3362" w:rsidRPr="00A2063C" w:rsidRDefault="00563605" w:rsidP="00A2063C">
            <w:pPr>
              <w:spacing w:line="252" w:lineRule="auto"/>
              <w:jc w:val="left"/>
              <w:rPr>
                <w:rFonts w:cs="Times New Roman"/>
                <w:kern w:val="22"/>
                <w:sz w:val="20"/>
                <w:szCs w:val="20"/>
                <w:lang w:val="en-GB"/>
              </w:rPr>
            </w:pPr>
            <w:r w:rsidRPr="00A2063C">
              <w:rPr>
                <w:rFonts w:cs="Times New Roman"/>
                <w:kern w:val="22"/>
                <w:sz w:val="20"/>
                <w:szCs w:val="20"/>
                <w:lang w:val="en-GB"/>
              </w:rPr>
              <w:t>Western European and Others Group (</w:t>
            </w:r>
            <w:r w:rsidR="00CF3362" w:rsidRPr="00A2063C">
              <w:rPr>
                <w:rFonts w:cs="Times New Roman"/>
                <w:kern w:val="22"/>
                <w:sz w:val="20"/>
                <w:szCs w:val="20"/>
                <w:lang w:val="en-GB"/>
              </w:rPr>
              <w:t>WEOG</w:t>
            </w:r>
            <w:r w:rsidRPr="00A2063C">
              <w:rPr>
                <w:rFonts w:cs="Times New Roman"/>
                <w:kern w:val="22"/>
                <w:sz w:val="20"/>
                <w:szCs w:val="20"/>
                <w:lang w:val="en-GB"/>
              </w:rPr>
              <w:t>)</w:t>
            </w:r>
          </w:p>
        </w:tc>
        <w:tc>
          <w:tcPr>
            <w:tcW w:w="1979" w:type="dxa"/>
          </w:tcPr>
          <w:p w14:paraId="7A77269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 xml:space="preserve">Video conference </w:t>
            </w:r>
          </w:p>
        </w:tc>
        <w:tc>
          <w:tcPr>
            <w:tcW w:w="1245" w:type="dxa"/>
          </w:tcPr>
          <w:p w14:paraId="4810E18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19.01.2020</w:t>
            </w:r>
          </w:p>
        </w:tc>
      </w:tr>
      <w:tr w:rsidR="00381D7E" w:rsidRPr="00A2063C" w14:paraId="44B6AD2A" w14:textId="77777777" w:rsidTr="00A2063C">
        <w:trPr>
          <w:trHeight w:val="335"/>
        </w:trPr>
        <w:tc>
          <w:tcPr>
            <w:tcW w:w="1304" w:type="dxa"/>
          </w:tcPr>
          <w:p w14:paraId="6835BB74" w14:textId="4298A5BA" w:rsidR="00CF3362" w:rsidRPr="00A2063C" w:rsidRDefault="00381D7E" w:rsidP="004C2C06">
            <w:pPr>
              <w:rPr>
                <w:rFonts w:cs="Times New Roman"/>
                <w:kern w:val="22"/>
                <w:sz w:val="20"/>
                <w:szCs w:val="20"/>
                <w:lang w:val="en-GB" w:eastAsia="es-PE"/>
              </w:rPr>
            </w:pPr>
            <w:r w:rsidRPr="00A2063C">
              <w:rPr>
                <w:rFonts w:cs="Times New Roman"/>
                <w:kern w:val="22"/>
                <w:sz w:val="20"/>
                <w:szCs w:val="20"/>
                <w:lang w:val="en-GB" w:eastAsia="es-PE"/>
              </w:rPr>
              <w:t>2</w:t>
            </w:r>
          </w:p>
        </w:tc>
        <w:tc>
          <w:tcPr>
            <w:tcW w:w="3219" w:type="dxa"/>
          </w:tcPr>
          <w:p w14:paraId="70653E9C" w14:textId="77777777" w:rsidR="00CF3362" w:rsidRPr="00A2063C" w:rsidRDefault="00CF3362" w:rsidP="004C2C06">
            <w:pPr>
              <w:spacing w:line="252" w:lineRule="auto"/>
              <w:rPr>
                <w:rFonts w:cs="Times New Roman"/>
                <w:kern w:val="22"/>
                <w:sz w:val="20"/>
                <w:szCs w:val="20"/>
                <w:lang w:val="en-GB"/>
              </w:rPr>
            </w:pPr>
            <w:r w:rsidRPr="00A2063C">
              <w:rPr>
                <w:rFonts w:cs="Times New Roman"/>
                <w:color w:val="000000"/>
                <w:kern w:val="22"/>
                <w:sz w:val="20"/>
                <w:szCs w:val="20"/>
                <w:lang w:val="en-GB"/>
              </w:rPr>
              <w:t>Academia, Ethnobotanist</w:t>
            </w:r>
          </w:p>
        </w:tc>
        <w:tc>
          <w:tcPr>
            <w:tcW w:w="1461" w:type="dxa"/>
          </w:tcPr>
          <w:p w14:paraId="771FCEF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1A53FA4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22B63FB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14.01.2020</w:t>
            </w:r>
          </w:p>
        </w:tc>
      </w:tr>
      <w:tr w:rsidR="00381D7E" w:rsidRPr="00A2063C" w14:paraId="7540998C" w14:textId="77777777" w:rsidTr="00A2063C">
        <w:trPr>
          <w:trHeight w:val="335"/>
        </w:trPr>
        <w:tc>
          <w:tcPr>
            <w:tcW w:w="1304" w:type="dxa"/>
          </w:tcPr>
          <w:p w14:paraId="2B90236E" w14:textId="5F72A0C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3</w:t>
            </w:r>
          </w:p>
        </w:tc>
        <w:tc>
          <w:tcPr>
            <w:tcW w:w="3219" w:type="dxa"/>
          </w:tcPr>
          <w:p w14:paraId="53ABFA38"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07AB0639" w14:textId="753B547D" w:rsidR="00CF3362" w:rsidRPr="00A2063C" w:rsidRDefault="002F016B" w:rsidP="00A2063C">
            <w:pPr>
              <w:spacing w:line="252" w:lineRule="auto"/>
              <w:jc w:val="left"/>
              <w:rPr>
                <w:rFonts w:cs="Times New Roman"/>
                <w:kern w:val="22"/>
                <w:sz w:val="20"/>
                <w:szCs w:val="20"/>
                <w:lang w:val="en-GB"/>
              </w:rPr>
            </w:pPr>
            <w:r w:rsidRPr="00A2063C">
              <w:rPr>
                <w:rFonts w:cs="Times New Roman"/>
                <w:kern w:val="22"/>
                <w:sz w:val="20"/>
                <w:szCs w:val="20"/>
                <w:lang w:val="en-GB"/>
              </w:rPr>
              <w:t>Latin American and Caribbean Group (</w:t>
            </w:r>
            <w:r w:rsidR="00CF3362" w:rsidRPr="00A2063C">
              <w:rPr>
                <w:rFonts w:cs="Times New Roman"/>
                <w:kern w:val="22"/>
                <w:sz w:val="20"/>
                <w:szCs w:val="20"/>
                <w:lang w:val="en-GB"/>
              </w:rPr>
              <w:t>GRULAC</w:t>
            </w:r>
            <w:r w:rsidRPr="00A2063C">
              <w:rPr>
                <w:rFonts w:cs="Times New Roman"/>
                <w:kern w:val="22"/>
                <w:sz w:val="20"/>
                <w:szCs w:val="20"/>
                <w:lang w:val="en-GB"/>
              </w:rPr>
              <w:t>)</w:t>
            </w:r>
          </w:p>
        </w:tc>
        <w:tc>
          <w:tcPr>
            <w:tcW w:w="1979" w:type="dxa"/>
          </w:tcPr>
          <w:p w14:paraId="471A5DF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5992F15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381D7E" w:rsidRPr="00A2063C" w14:paraId="36969722" w14:textId="77777777" w:rsidTr="00A2063C">
        <w:trPr>
          <w:trHeight w:val="335"/>
        </w:trPr>
        <w:tc>
          <w:tcPr>
            <w:tcW w:w="1304" w:type="dxa"/>
          </w:tcPr>
          <w:p w14:paraId="4A4F89FE" w14:textId="4B8F67D5"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4</w:t>
            </w:r>
          </w:p>
        </w:tc>
        <w:tc>
          <w:tcPr>
            <w:tcW w:w="3219" w:type="dxa"/>
          </w:tcPr>
          <w:p w14:paraId="686DB21C"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5356B80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GRULAC</w:t>
            </w:r>
          </w:p>
        </w:tc>
        <w:tc>
          <w:tcPr>
            <w:tcW w:w="1979" w:type="dxa"/>
          </w:tcPr>
          <w:p w14:paraId="40DEFF45"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r w:rsidRPr="00A2063C" w:rsidDel="00D202E4">
              <w:rPr>
                <w:rFonts w:cs="Times New Roman"/>
                <w:kern w:val="22"/>
                <w:sz w:val="20"/>
                <w:szCs w:val="20"/>
                <w:lang w:val="en-GB"/>
              </w:rPr>
              <w:t xml:space="preserve"> </w:t>
            </w:r>
          </w:p>
        </w:tc>
        <w:tc>
          <w:tcPr>
            <w:tcW w:w="1245" w:type="dxa"/>
          </w:tcPr>
          <w:p w14:paraId="45F3D74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381D7E" w:rsidRPr="00A2063C" w14:paraId="23168CFB" w14:textId="77777777" w:rsidTr="00A2063C">
        <w:trPr>
          <w:trHeight w:val="335"/>
        </w:trPr>
        <w:tc>
          <w:tcPr>
            <w:tcW w:w="1304" w:type="dxa"/>
          </w:tcPr>
          <w:p w14:paraId="4A30D31C" w14:textId="578F3948"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5</w:t>
            </w:r>
          </w:p>
        </w:tc>
        <w:tc>
          <w:tcPr>
            <w:tcW w:w="3219" w:type="dxa"/>
          </w:tcPr>
          <w:p w14:paraId="4E1FB841"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 xml:space="preserve">Industry, Synthetic biology researcher </w:t>
            </w:r>
          </w:p>
        </w:tc>
        <w:tc>
          <w:tcPr>
            <w:tcW w:w="1461" w:type="dxa"/>
          </w:tcPr>
          <w:p w14:paraId="31EC82B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595F459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Telephone</w:t>
            </w:r>
          </w:p>
        </w:tc>
        <w:tc>
          <w:tcPr>
            <w:tcW w:w="1245" w:type="dxa"/>
          </w:tcPr>
          <w:p w14:paraId="36FD00D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381D7E" w:rsidRPr="00A2063C" w14:paraId="2561E680" w14:textId="77777777" w:rsidTr="00A2063C">
        <w:trPr>
          <w:trHeight w:val="335"/>
        </w:trPr>
        <w:tc>
          <w:tcPr>
            <w:tcW w:w="1304" w:type="dxa"/>
          </w:tcPr>
          <w:p w14:paraId="332B2E3C" w14:textId="2C95765E"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6</w:t>
            </w:r>
          </w:p>
        </w:tc>
        <w:tc>
          <w:tcPr>
            <w:tcW w:w="3219" w:type="dxa"/>
          </w:tcPr>
          <w:p w14:paraId="1A997E5A"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 xml:space="preserve">Industry, Intellectual property law counsel </w:t>
            </w:r>
          </w:p>
        </w:tc>
        <w:tc>
          <w:tcPr>
            <w:tcW w:w="1461" w:type="dxa"/>
          </w:tcPr>
          <w:p w14:paraId="0D91124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1176B72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 xml:space="preserve">Telephone </w:t>
            </w:r>
          </w:p>
        </w:tc>
        <w:tc>
          <w:tcPr>
            <w:tcW w:w="1245" w:type="dxa"/>
          </w:tcPr>
          <w:p w14:paraId="125D6E6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381D7E" w:rsidRPr="00A2063C" w14:paraId="67ED2E70" w14:textId="77777777" w:rsidTr="00A2063C">
        <w:trPr>
          <w:trHeight w:val="335"/>
        </w:trPr>
        <w:tc>
          <w:tcPr>
            <w:tcW w:w="1304" w:type="dxa"/>
          </w:tcPr>
          <w:p w14:paraId="37D477FE" w14:textId="7CEACD9C"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7</w:t>
            </w:r>
          </w:p>
        </w:tc>
        <w:tc>
          <w:tcPr>
            <w:tcW w:w="3219" w:type="dxa"/>
          </w:tcPr>
          <w:p w14:paraId="6D0C2DA7"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Academia, Ethnobotanist</w:t>
            </w:r>
          </w:p>
        </w:tc>
        <w:tc>
          <w:tcPr>
            <w:tcW w:w="1461" w:type="dxa"/>
          </w:tcPr>
          <w:p w14:paraId="07404C7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48C2412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Video conference</w:t>
            </w:r>
          </w:p>
        </w:tc>
        <w:tc>
          <w:tcPr>
            <w:tcW w:w="1245" w:type="dxa"/>
          </w:tcPr>
          <w:p w14:paraId="5F4B544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16.01.2020</w:t>
            </w:r>
          </w:p>
        </w:tc>
      </w:tr>
      <w:tr w:rsidR="00381D7E" w:rsidRPr="00A2063C" w14:paraId="56EEAD6E" w14:textId="77777777" w:rsidTr="00A2063C">
        <w:trPr>
          <w:trHeight w:val="335"/>
        </w:trPr>
        <w:tc>
          <w:tcPr>
            <w:tcW w:w="1304" w:type="dxa"/>
          </w:tcPr>
          <w:p w14:paraId="111B6831" w14:textId="56DED53A"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8</w:t>
            </w:r>
          </w:p>
        </w:tc>
        <w:tc>
          <w:tcPr>
            <w:tcW w:w="3219" w:type="dxa"/>
          </w:tcPr>
          <w:p w14:paraId="6378C9AF"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2BDE2D05"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0571E89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7DF5BA0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3BA01A14" w14:textId="77777777" w:rsidTr="00A2063C">
        <w:trPr>
          <w:trHeight w:val="335"/>
        </w:trPr>
        <w:tc>
          <w:tcPr>
            <w:tcW w:w="1304" w:type="dxa"/>
          </w:tcPr>
          <w:p w14:paraId="1D803DCA" w14:textId="3DA7002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9</w:t>
            </w:r>
          </w:p>
        </w:tc>
        <w:tc>
          <w:tcPr>
            <w:tcW w:w="3219" w:type="dxa"/>
          </w:tcPr>
          <w:p w14:paraId="5BCF2647"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34FC5EF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50D3F62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6E9740D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19FE0B53" w14:textId="77777777" w:rsidTr="00A2063C">
        <w:trPr>
          <w:trHeight w:val="335"/>
        </w:trPr>
        <w:tc>
          <w:tcPr>
            <w:tcW w:w="1304" w:type="dxa"/>
          </w:tcPr>
          <w:p w14:paraId="0815494F" w14:textId="4ABD3866"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10</w:t>
            </w:r>
          </w:p>
        </w:tc>
        <w:tc>
          <w:tcPr>
            <w:tcW w:w="3219" w:type="dxa"/>
          </w:tcPr>
          <w:p w14:paraId="33AA1F96"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208A86B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7D5E464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24BA4BE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2B851FCC" w14:textId="77777777" w:rsidTr="00A2063C">
        <w:trPr>
          <w:trHeight w:val="335"/>
        </w:trPr>
        <w:tc>
          <w:tcPr>
            <w:tcW w:w="1304" w:type="dxa"/>
          </w:tcPr>
          <w:p w14:paraId="42052A0C" w14:textId="58297A4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11</w:t>
            </w:r>
          </w:p>
        </w:tc>
        <w:tc>
          <w:tcPr>
            <w:tcW w:w="3219" w:type="dxa"/>
          </w:tcPr>
          <w:p w14:paraId="5B2ADF5B"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16C78D7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008AB4D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6447A4A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70A6509A" w14:textId="77777777" w:rsidTr="00A2063C">
        <w:trPr>
          <w:trHeight w:val="335"/>
        </w:trPr>
        <w:tc>
          <w:tcPr>
            <w:tcW w:w="1304" w:type="dxa"/>
          </w:tcPr>
          <w:p w14:paraId="2D2194BA" w14:textId="5F1877BC" w:rsidR="00CF3362" w:rsidRPr="00A2063C" w:rsidDel="00D202E4" w:rsidRDefault="00381D7E" w:rsidP="004C2C06">
            <w:pPr>
              <w:rPr>
                <w:rFonts w:cs="Times New Roman"/>
                <w:kern w:val="22"/>
                <w:sz w:val="20"/>
                <w:szCs w:val="20"/>
                <w:lang w:val="en-GB"/>
              </w:rPr>
            </w:pPr>
            <w:r w:rsidRPr="00A2063C">
              <w:rPr>
                <w:rFonts w:cs="Times New Roman"/>
                <w:kern w:val="22"/>
                <w:sz w:val="20"/>
                <w:szCs w:val="20"/>
                <w:lang w:val="en-GB"/>
              </w:rPr>
              <w:t>12</w:t>
            </w:r>
          </w:p>
        </w:tc>
        <w:tc>
          <w:tcPr>
            <w:tcW w:w="3219" w:type="dxa"/>
          </w:tcPr>
          <w:p w14:paraId="7C535F36"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25788AF0"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1C76D775"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Correspondence</w:t>
            </w:r>
          </w:p>
        </w:tc>
        <w:tc>
          <w:tcPr>
            <w:tcW w:w="1245" w:type="dxa"/>
          </w:tcPr>
          <w:p w14:paraId="163454CF"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27.02.2020</w:t>
            </w:r>
          </w:p>
        </w:tc>
      </w:tr>
      <w:tr w:rsidR="00381D7E" w:rsidRPr="00A2063C" w14:paraId="02CF0E1A" w14:textId="77777777" w:rsidTr="00A2063C">
        <w:trPr>
          <w:trHeight w:val="335"/>
        </w:trPr>
        <w:tc>
          <w:tcPr>
            <w:tcW w:w="1304" w:type="dxa"/>
          </w:tcPr>
          <w:p w14:paraId="376F281F" w14:textId="4A4575E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13</w:t>
            </w:r>
          </w:p>
        </w:tc>
        <w:tc>
          <w:tcPr>
            <w:tcW w:w="3219" w:type="dxa"/>
          </w:tcPr>
          <w:p w14:paraId="3E62F09F"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74B5E8E9"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01B53B1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20A8B25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50BF15FF" w14:textId="77777777" w:rsidTr="00A2063C">
        <w:trPr>
          <w:trHeight w:val="410"/>
        </w:trPr>
        <w:tc>
          <w:tcPr>
            <w:tcW w:w="1304" w:type="dxa"/>
          </w:tcPr>
          <w:p w14:paraId="5C5CB909" w14:textId="65C8CC8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14</w:t>
            </w:r>
          </w:p>
        </w:tc>
        <w:tc>
          <w:tcPr>
            <w:tcW w:w="3219" w:type="dxa"/>
          </w:tcPr>
          <w:p w14:paraId="6C3373F2"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 xml:space="preserve">Academia, Biologist </w:t>
            </w:r>
          </w:p>
        </w:tc>
        <w:tc>
          <w:tcPr>
            <w:tcW w:w="1461" w:type="dxa"/>
          </w:tcPr>
          <w:p w14:paraId="0CF40E6B"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GRULAC</w:t>
            </w:r>
          </w:p>
        </w:tc>
        <w:tc>
          <w:tcPr>
            <w:tcW w:w="1979" w:type="dxa"/>
          </w:tcPr>
          <w:p w14:paraId="09D9C9F5"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0325807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1BB1E353" w14:textId="77777777" w:rsidTr="00A2063C">
        <w:trPr>
          <w:trHeight w:val="335"/>
        </w:trPr>
        <w:tc>
          <w:tcPr>
            <w:tcW w:w="1304" w:type="dxa"/>
          </w:tcPr>
          <w:p w14:paraId="4DBBC8A1" w14:textId="635C087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15</w:t>
            </w:r>
          </w:p>
        </w:tc>
        <w:tc>
          <w:tcPr>
            <w:tcW w:w="3219" w:type="dxa"/>
          </w:tcPr>
          <w:p w14:paraId="380CB609"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5AB0402C"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369ACE1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6BE06C9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1C5491B9" w14:textId="77777777" w:rsidTr="00A2063C">
        <w:trPr>
          <w:trHeight w:val="335"/>
        </w:trPr>
        <w:tc>
          <w:tcPr>
            <w:tcW w:w="1304" w:type="dxa"/>
          </w:tcPr>
          <w:p w14:paraId="126AA951" w14:textId="5CBD0BB4"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16</w:t>
            </w:r>
          </w:p>
        </w:tc>
        <w:tc>
          <w:tcPr>
            <w:tcW w:w="3219" w:type="dxa"/>
          </w:tcPr>
          <w:p w14:paraId="20EE4AD1"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70B8E4DA"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0030707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5D58377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78FA7FD7" w14:textId="77777777" w:rsidTr="00A2063C">
        <w:trPr>
          <w:trHeight w:val="335"/>
        </w:trPr>
        <w:tc>
          <w:tcPr>
            <w:tcW w:w="1304" w:type="dxa"/>
          </w:tcPr>
          <w:p w14:paraId="73671EA0" w14:textId="5B76CFC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17</w:t>
            </w:r>
          </w:p>
        </w:tc>
        <w:tc>
          <w:tcPr>
            <w:tcW w:w="3219" w:type="dxa"/>
          </w:tcPr>
          <w:p w14:paraId="560ED7B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Regional IGO</w:t>
            </w:r>
          </w:p>
        </w:tc>
        <w:tc>
          <w:tcPr>
            <w:tcW w:w="1461" w:type="dxa"/>
          </w:tcPr>
          <w:p w14:paraId="12763710"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5C2B216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7DAD35E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701CE4F3" w14:textId="77777777" w:rsidTr="00A2063C">
        <w:trPr>
          <w:trHeight w:val="335"/>
        </w:trPr>
        <w:tc>
          <w:tcPr>
            <w:tcW w:w="1304" w:type="dxa"/>
          </w:tcPr>
          <w:p w14:paraId="3D074488" w14:textId="780D175F"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18</w:t>
            </w:r>
          </w:p>
        </w:tc>
        <w:tc>
          <w:tcPr>
            <w:tcW w:w="3219" w:type="dxa"/>
          </w:tcPr>
          <w:p w14:paraId="5ADCDEC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IPLC</w:t>
            </w:r>
          </w:p>
        </w:tc>
        <w:tc>
          <w:tcPr>
            <w:tcW w:w="1461" w:type="dxa"/>
          </w:tcPr>
          <w:p w14:paraId="665AB202"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406BE865"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06BF333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CF3362" w:rsidRPr="00A2063C" w14:paraId="6415CBFC" w14:textId="77777777" w:rsidTr="00A2063C">
        <w:trPr>
          <w:trHeight w:val="335"/>
        </w:trPr>
        <w:tc>
          <w:tcPr>
            <w:tcW w:w="1304" w:type="dxa"/>
          </w:tcPr>
          <w:p w14:paraId="684EA1BB" w14:textId="294685CF"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19</w:t>
            </w:r>
          </w:p>
        </w:tc>
        <w:tc>
          <w:tcPr>
            <w:tcW w:w="3219" w:type="dxa"/>
          </w:tcPr>
          <w:p w14:paraId="2B9F83E3" w14:textId="618AB99F"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IPLC</w:t>
            </w:r>
          </w:p>
        </w:tc>
        <w:tc>
          <w:tcPr>
            <w:tcW w:w="1461" w:type="dxa"/>
          </w:tcPr>
          <w:p w14:paraId="2193718F" w14:textId="4AF5066A"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3078497A" w14:textId="554D4CD4"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11A78E96" w14:textId="124CE9BC"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381D7E" w:rsidRPr="00A2063C" w14:paraId="4BE36A10" w14:textId="77777777" w:rsidTr="00A2063C">
        <w:trPr>
          <w:trHeight w:val="335"/>
        </w:trPr>
        <w:tc>
          <w:tcPr>
            <w:tcW w:w="1304" w:type="dxa"/>
          </w:tcPr>
          <w:p w14:paraId="1F8836EA" w14:textId="11881810"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20</w:t>
            </w:r>
          </w:p>
        </w:tc>
        <w:tc>
          <w:tcPr>
            <w:tcW w:w="3219" w:type="dxa"/>
          </w:tcPr>
          <w:p w14:paraId="47AF7391"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30F1633C"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3778BB4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 and questionnaire</w:t>
            </w:r>
          </w:p>
        </w:tc>
        <w:tc>
          <w:tcPr>
            <w:tcW w:w="1245" w:type="dxa"/>
          </w:tcPr>
          <w:p w14:paraId="2DB676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381D7E" w:rsidRPr="00A2063C" w14:paraId="48B5F960" w14:textId="77777777" w:rsidTr="00A2063C">
        <w:trPr>
          <w:trHeight w:val="335"/>
        </w:trPr>
        <w:tc>
          <w:tcPr>
            <w:tcW w:w="1304" w:type="dxa"/>
          </w:tcPr>
          <w:p w14:paraId="6E68C878" w14:textId="2D0FEAB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21</w:t>
            </w:r>
          </w:p>
        </w:tc>
        <w:tc>
          <w:tcPr>
            <w:tcW w:w="3219" w:type="dxa"/>
          </w:tcPr>
          <w:p w14:paraId="44DF8992"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4EAD881F"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724BDE2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6397918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381D7E" w:rsidRPr="00A2063C" w14:paraId="00B7D9DD" w14:textId="77777777" w:rsidTr="00A2063C">
        <w:trPr>
          <w:trHeight w:val="335"/>
        </w:trPr>
        <w:tc>
          <w:tcPr>
            <w:tcW w:w="1304" w:type="dxa"/>
          </w:tcPr>
          <w:p w14:paraId="082CA6DA" w14:textId="56AB49B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22</w:t>
            </w:r>
          </w:p>
        </w:tc>
        <w:tc>
          <w:tcPr>
            <w:tcW w:w="3219" w:type="dxa"/>
          </w:tcPr>
          <w:p w14:paraId="3409BDE8"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74C73669"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197F3EC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419809A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381D7E" w:rsidRPr="00A2063C" w14:paraId="40829B8D" w14:textId="77777777" w:rsidTr="00A2063C">
        <w:trPr>
          <w:trHeight w:val="335"/>
        </w:trPr>
        <w:tc>
          <w:tcPr>
            <w:tcW w:w="1304" w:type="dxa"/>
          </w:tcPr>
          <w:p w14:paraId="282DA69D" w14:textId="0437BAEA"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23</w:t>
            </w:r>
          </w:p>
        </w:tc>
        <w:tc>
          <w:tcPr>
            <w:tcW w:w="3219" w:type="dxa"/>
          </w:tcPr>
          <w:p w14:paraId="7A5D98C5"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 xml:space="preserve">Government, Party to Nagoya Protocol </w:t>
            </w:r>
          </w:p>
        </w:tc>
        <w:tc>
          <w:tcPr>
            <w:tcW w:w="1461" w:type="dxa"/>
          </w:tcPr>
          <w:p w14:paraId="73BAAAB2"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Asia &amp; Pacific Group</w:t>
            </w:r>
            <w:r w:rsidRPr="00A2063C" w:rsidDel="0096126C">
              <w:rPr>
                <w:rFonts w:cs="Times New Roman"/>
                <w:kern w:val="22"/>
                <w:sz w:val="20"/>
                <w:szCs w:val="20"/>
                <w:lang w:val="en-GB"/>
              </w:rPr>
              <w:t xml:space="preserve"> </w:t>
            </w:r>
          </w:p>
        </w:tc>
        <w:tc>
          <w:tcPr>
            <w:tcW w:w="1979" w:type="dxa"/>
          </w:tcPr>
          <w:p w14:paraId="5B33714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5F8D08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72C9347E" w14:textId="77777777" w:rsidTr="00A2063C">
        <w:trPr>
          <w:trHeight w:val="335"/>
        </w:trPr>
        <w:tc>
          <w:tcPr>
            <w:tcW w:w="1304" w:type="dxa"/>
          </w:tcPr>
          <w:p w14:paraId="6D964650" w14:textId="690A56C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24</w:t>
            </w:r>
          </w:p>
        </w:tc>
        <w:tc>
          <w:tcPr>
            <w:tcW w:w="3219" w:type="dxa"/>
          </w:tcPr>
          <w:p w14:paraId="39145FF4"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w:t>
            </w:r>
          </w:p>
        </w:tc>
        <w:tc>
          <w:tcPr>
            <w:tcW w:w="1461" w:type="dxa"/>
          </w:tcPr>
          <w:p w14:paraId="5DB1D4E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0A4183C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0E692550"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5B8C2D2B" w14:textId="77777777" w:rsidTr="00A2063C">
        <w:trPr>
          <w:trHeight w:val="335"/>
        </w:trPr>
        <w:tc>
          <w:tcPr>
            <w:tcW w:w="1304" w:type="dxa"/>
          </w:tcPr>
          <w:p w14:paraId="2BEFBC16" w14:textId="4CB0243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25</w:t>
            </w:r>
          </w:p>
        </w:tc>
        <w:tc>
          <w:tcPr>
            <w:tcW w:w="3219" w:type="dxa"/>
          </w:tcPr>
          <w:p w14:paraId="270F6AA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Academia</w:t>
            </w:r>
          </w:p>
        </w:tc>
        <w:tc>
          <w:tcPr>
            <w:tcW w:w="1461" w:type="dxa"/>
          </w:tcPr>
          <w:p w14:paraId="157AD67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GRULAC</w:t>
            </w:r>
          </w:p>
        </w:tc>
        <w:tc>
          <w:tcPr>
            <w:tcW w:w="1979" w:type="dxa"/>
          </w:tcPr>
          <w:p w14:paraId="2482789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3C59C94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381D7E" w:rsidRPr="00A2063C" w14:paraId="313CC99D" w14:textId="77777777" w:rsidTr="00A2063C">
        <w:trPr>
          <w:trHeight w:val="335"/>
        </w:trPr>
        <w:tc>
          <w:tcPr>
            <w:tcW w:w="1304" w:type="dxa"/>
          </w:tcPr>
          <w:p w14:paraId="2BADAC2E" w14:textId="1C69A7C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26</w:t>
            </w:r>
          </w:p>
        </w:tc>
        <w:tc>
          <w:tcPr>
            <w:tcW w:w="3219" w:type="dxa"/>
          </w:tcPr>
          <w:p w14:paraId="40B32738"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33F4664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Eastern European Group</w:t>
            </w:r>
          </w:p>
        </w:tc>
        <w:tc>
          <w:tcPr>
            <w:tcW w:w="1979" w:type="dxa"/>
          </w:tcPr>
          <w:p w14:paraId="4203E6C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2AB9B40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13B27216" w14:textId="77777777" w:rsidTr="00A2063C">
        <w:trPr>
          <w:trHeight w:val="335"/>
        </w:trPr>
        <w:tc>
          <w:tcPr>
            <w:tcW w:w="1304" w:type="dxa"/>
          </w:tcPr>
          <w:p w14:paraId="040F47AF" w14:textId="1C570CD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27</w:t>
            </w:r>
          </w:p>
        </w:tc>
        <w:tc>
          <w:tcPr>
            <w:tcW w:w="3219" w:type="dxa"/>
          </w:tcPr>
          <w:p w14:paraId="593DA82A"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2D6937D0"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GRULAC</w:t>
            </w:r>
          </w:p>
        </w:tc>
        <w:tc>
          <w:tcPr>
            <w:tcW w:w="1979" w:type="dxa"/>
          </w:tcPr>
          <w:p w14:paraId="388EF74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5FB090D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28DA69DE" w14:textId="77777777" w:rsidTr="00A2063C">
        <w:trPr>
          <w:trHeight w:val="335"/>
        </w:trPr>
        <w:tc>
          <w:tcPr>
            <w:tcW w:w="1304" w:type="dxa"/>
          </w:tcPr>
          <w:p w14:paraId="3FCF7CE0" w14:textId="1952216E"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28</w:t>
            </w:r>
          </w:p>
        </w:tc>
        <w:tc>
          <w:tcPr>
            <w:tcW w:w="3219" w:type="dxa"/>
          </w:tcPr>
          <w:p w14:paraId="15F670C6"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Regional IGO</w:t>
            </w:r>
          </w:p>
        </w:tc>
        <w:tc>
          <w:tcPr>
            <w:tcW w:w="1461" w:type="dxa"/>
          </w:tcPr>
          <w:p w14:paraId="2A5115C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03BD2F7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0BD2963D"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1CD852A7" w14:textId="77777777" w:rsidTr="00A2063C">
        <w:trPr>
          <w:trHeight w:val="335"/>
        </w:trPr>
        <w:tc>
          <w:tcPr>
            <w:tcW w:w="1304" w:type="dxa"/>
          </w:tcPr>
          <w:p w14:paraId="5E1C3CF8" w14:textId="7ED93AF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29</w:t>
            </w:r>
          </w:p>
        </w:tc>
        <w:tc>
          <w:tcPr>
            <w:tcW w:w="3219" w:type="dxa"/>
          </w:tcPr>
          <w:p w14:paraId="7C5BCF54"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IPLC</w:t>
            </w:r>
          </w:p>
        </w:tc>
        <w:tc>
          <w:tcPr>
            <w:tcW w:w="1461" w:type="dxa"/>
          </w:tcPr>
          <w:p w14:paraId="692DD68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1E8BF38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7A0B416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381D7E" w:rsidRPr="00A2063C" w14:paraId="1318B752" w14:textId="77777777" w:rsidTr="00A2063C">
        <w:trPr>
          <w:trHeight w:val="335"/>
        </w:trPr>
        <w:tc>
          <w:tcPr>
            <w:tcW w:w="1304" w:type="dxa"/>
          </w:tcPr>
          <w:p w14:paraId="31E7827F" w14:textId="6EB83D45"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30</w:t>
            </w:r>
          </w:p>
        </w:tc>
        <w:tc>
          <w:tcPr>
            <w:tcW w:w="3219" w:type="dxa"/>
          </w:tcPr>
          <w:p w14:paraId="198613F6"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Regional IGO</w:t>
            </w:r>
          </w:p>
        </w:tc>
        <w:tc>
          <w:tcPr>
            <w:tcW w:w="1461" w:type="dxa"/>
          </w:tcPr>
          <w:p w14:paraId="47B8855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0CDFD3D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In-person interview</w:t>
            </w:r>
          </w:p>
        </w:tc>
        <w:tc>
          <w:tcPr>
            <w:tcW w:w="1245" w:type="dxa"/>
          </w:tcPr>
          <w:p w14:paraId="01CF91C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381D7E" w:rsidRPr="00A2063C" w14:paraId="041204E0" w14:textId="77777777" w:rsidTr="00A2063C">
        <w:trPr>
          <w:trHeight w:val="335"/>
        </w:trPr>
        <w:tc>
          <w:tcPr>
            <w:tcW w:w="1304" w:type="dxa"/>
          </w:tcPr>
          <w:p w14:paraId="363D7C77" w14:textId="5B476133"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31</w:t>
            </w:r>
          </w:p>
        </w:tc>
        <w:tc>
          <w:tcPr>
            <w:tcW w:w="3219" w:type="dxa"/>
          </w:tcPr>
          <w:p w14:paraId="6FDCAA22"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Government, Party to Nagoya Protocol</w:t>
            </w:r>
          </w:p>
        </w:tc>
        <w:tc>
          <w:tcPr>
            <w:tcW w:w="1461" w:type="dxa"/>
          </w:tcPr>
          <w:p w14:paraId="7F77D06F"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African Group</w:t>
            </w:r>
          </w:p>
        </w:tc>
        <w:tc>
          <w:tcPr>
            <w:tcW w:w="1979" w:type="dxa"/>
          </w:tcPr>
          <w:p w14:paraId="32843CB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Correspondence</w:t>
            </w:r>
          </w:p>
        </w:tc>
        <w:tc>
          <w:tcPr>
            <w:tcW w:w="1245" w:type="dxa"/>
          </w:tcPr>
          <w:p w14:paraId="161A253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09.03.2020</w:t>
            </w:r>
          </w:p>
        </w:tc>
      </w:tr>
      <w:tr w:rsidR="00381D7E" w:rsidRPr="00A2063C" w14:paraId="642934C1" w14:textId="77777777" w:rsidTr="00A2063C">
        <w:trPr>
          <w:trHeight w:val="335"/>
        </w:trPr>
        <w:tc>
          <w:tcPr>
            <w:tcW w:w="1304" w:type="dxa"/>
          </w:tcPr>
          <w:p w14:paraId="4251B5B4" w14:textId="5C68BB97"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32</w:t>
            </w:r>
          </w:p>
        </w:tc>
        <w:tc>
          <w:tcPr>
            <w:tcW w:w="3219" w:type="dxa"/>
          </w:tcPr>
          <w:p w14:paraId="53B49A4C" w14:textId="77777777" w:rsidR="00CF3362" w:rsidRPr="00A2063C" w:rsidRDefault="00CF3362" w:rsidP="00A2063C">
            <w:pPr>
              <w:spacing w:line="252" w:lineRule="auto"/>
              <w:jc w:val="left"/>
              <w:rPr>
                <w:rFonts w:cs="Times New Roman"/>
                <w:kern w:val="22"/>
                <w:sz w:val="20"/>
                <w:szCs w:val="20"/>
                <w:lang w:val="en-GB"/>
              </w:rPr>
            </w:pPr>
            <w:r w:rsidRPr="00A2063C">
              <w:rPr>
                <w:rFonts w:cs="Times New Roman"/>
                <w:kern w:val="22"/>
                <w:sz w:val="20"/>
                <w:szCs w:val="20"/>
                <w:lang w:val="en-GB"/>
              </w:rPr>
              <w:t>Regional IGO</w:t>
            </w:r>
          </w:p>
        </w:tc>
        <w:tc>
          <w:tcPr>
            <w:tcW w:w="1461" w:type="dxa"/>
          </w:tcPr>
          <w:p w14:paraId="529042A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Asia &amp; Pacific Group</w:t>
            </w:r>
          </w:p>
        </w:tc>
        <w:tc>
          <w:tcPr>
            <w:tcW w:w="1979" w:type="dxa"/>
          </w:tcPr>
          <w:p w14:paraId="0358FF59"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Correspondence</w:t>
            </w:r>
          </w:p>
        </w:tc>
        <w:tc>
          <w:tcPr>
            <w:tcW w:w="1245" w:type="dxa"/>
          </w:tcPr>
          <w:p w14:paraId="0848992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30.03.2020</w:t>
            </w:r>
          </w:p>
        </w:tc>
      </w:tr>
      <w:tr w:rsidR="00E568B7" w:rsidRPr="00A2063C" w14:paraId="387CFDEA" w14:textId="77777777" w:rsidTr="00A2063C">
        <w:trPr>
          <w:trHeight w:val="335"/>
        </w:trPr>
        <w:tc>
          <w:tcPr>
            <w:tcW w:w="1304" w:type="dxa"/>
          </w:tcPr>
          <w:p w14:paraId="719DA01F" w14:textId="78E743E9" w:rsidR="00E568B7" w:rsidRPr="00A2063C" w:rsidRDefault="00E568B7" w:rsidP="004C2C06">
            <w:pPr>
              <w:spacing w:line="252" w:lineRule="auto"/>
              <w:rPr>
                <w:rFonts w:cs="Times New Roman"/>
                <w:kern w:val="22"/>
                <w:sz w:val="20"/>
                <w:szCs w:val="20"/>
                <w:lang w:val="en-GB"/>
              </w:rPr>
            </w:pPr>
            <w:r w:rsidRPr="00A2063C">
              <w:rPr>
                <w:rFonts w:cs="Times New Roman"/>
                <w:kern w:val="22"/>
                <w:sz w:val="20"/>
                <w:szCs w:val="20"/>
                <w:lang w:val="en-GB"/>
              </w:rPr>
              <w:t>33</w:t>
            </w:r>
          </w:p>
        </w:tc>
        <w:tc>
          <w:tcPr>
            <w:tcW w:w="3219" w:type="dxa"/>
          </w:tcPr>
          <w:p w14:paraId="4714C743" w14:textId="437FFC2A" w:rsidR="00E568B7" w:rsidRPr="00A2063C" w:rsidRDefault="00286DB2" w:rsidP="00A2063C">
            <w:pPr>
              <w:spacing w:line="252" w:lineRule="auto"/>
              <w:jc w:val="left"/>
              <w:rPr>
                <w:rFonts w:cs="Times New Roman"/>
                <w:kern w:val="22"/>
                <w:sz w:val="20"/>
                <w:szCs w:val="20"/>
                <w:lang w:val="en-GB"/>
              </w:rPr>
            </w:pPr>
            <w:r w:rsidRPr="00A2063C">
              <w:rPr>
                <w:rFonts w:cs="Times New Roman"/>
                <w:kern w:val="22"/>
                <w:sz w:val="20"/>
                <w:szCs w:val="20"/>
                <w:lang w:val="en-GB"/>
              </w:rPr>
              <w:t>Academia, synthetic biology researcher</w:t>
            </w:r>
          </w:p>
        </w:tc>
        <w:tc>
          <w:tcPr>
            <w:tcW w:w="1461" w:type="dxa"/>
          </w:tcPr>
          <w:p w14:paraId="032D34E1" w14:textId="682D4D4F" w:rsidR="00E568B7" w:rsidRPr="00A2063C" w:rsidRDefault="00286DB2" w:rsidP="004C2C06">
            <w:pPr>
              <w:spacing w:line="252" w:lineRule="auto"/>
              <w:rPr>
                <w:rFonts w:cs="Times New Roman"/>
                <w:kern w:val="22"/>
                <w:sz w:val="20"/>
                <w:szCs w:val="20"/>
                <w:lang w:val="en-GB"/>
              </w:rPr>
            </w:pPr>
            <w:r w:rsidRPr="00A2063C">
              <w:rPr>
                <w:rFonts w:cs="Times New Roman"/>
                <w:kern w:val="22"/>
                <w:sz w:val="20"/>
                <w:szCs w:val="20"/>
                <w:lang w:val="en-GB"/>
              </w:rPr>
              <w:t>WEOG</w:t>
            </w:r>
          </w:p>
        </w:tc>
        <w:tc>
          <w:tcPr>
            <w:tcW w:w="1979" w:type="dxa"/>
          </w:tcPr>
          <w:p w14:paraId="78523F8D" w14:textId="652AE094" w:rsidR="00E568B7" w:rsidRPr="00A2063C" w:rsidRDefault="00286DB2" w:rsidP="004C2C06">
            <w:pPr>
              <w:spacing w:line="252" w:lineRule="auto"/>
              <w:rPr>
                <w:rFonts w:cs="Times New Roman"/>
                <w:kern w:val="22"/>
                <w:sz w:val="20"/>
                <w:szCs w:val="20"/>
                <w:lang w:val="en-GB"/>
              </w:rPr>
            </w:pPr>
            <w:r w:rsidRPr="00A2063C">
              <w:rPr>
                <w:rFonts w:cs="Times New Roman"/>
                <w:kern w:val="22"/>
                <w:sz w:val="20"/>
                <w:szCs w:val="20"/>
                <w:lang w:val="en-GB"/>
              </w:rPr>
              <w:t>Telephone</w:t>
            </w:r>
          </w:p>
        </w:tc>
        <w:tc>
          <w:tcPr>
            <w:tcW w:w="1245" w:type="dxa"/>
          </w:tcPr>
          <w:p w14:paraId="065CFDB0" w14:textId="70C12964" w:rsidR="00E568B7" w:rsidRPr="00A2063C" w:rsidRDefault="00826C3F" w:rsidP="004C2C06">
            <w:pPr>
              <w:spacing w:line="252" w:lineRule="auto"/>
              <w:rPr>
                <w:rFonts w:cs="Times New Roman"/>
                <w:kern w:val="22"/>
                <w:sz w:val="20"/>
                <w:szCs w:val="20"/>
                <w:lang w:val="en-GB"/>
              </w:rPr>
            </w:pPr>
            <w:r w:rsidRPr="00A2063C">
              <w:rPr>
                <w:rFonts w:cs="Times New Roman"/>
                <w:kern w:val="22"/>
                <w:sz w:val="20"/>
                <w:szCs w:val="20"/>
                <w:lang w:val="en-GB"/>
              </w:rPr>
              <w:t>05.03.2020</w:t>
            </w:r>
          </w:p>
        </w:tc>
      </w:tr>
    </w:tbl>
    <w:p w14:paraId="78BBBFA7" w14:textId="139F077A" w:rsidR="00077DB3" w:rsidRPr="002364AB" w:rsidRDefault="006A55B7" w:rsidP="00A2063C">
      <w:pPr>
        <w:jc w:val="center"/>
        <w:rPr>
          <w:bCs/>
          <w:kern w:val="22"/>
          <w:sz w:val="22"/>
          <w:lang w:val="en-GB"/>
        </w:rPr>
      </w:pPr>
      <w:r>
        <w:rPr>
          <w:bCs/>
          <w:kern w:val="22"/>
          <w:sz w:val="22"/>
          <w:lang w:val="en-GB"/>
        </w:rPr>
        <w:t>__________</w:t>
      </w:r>
    </w:p>
    <w:p w14:paraId="37EEF5F1" w14:textId="565EE928" w:rsidR="00BF28D0" w:rsidRPr="002364AB" w:rsidRDefault="00BF28D0" w:rsidP="00C66921">
      <w:pPr>
        <w:pStyle w:val="Heading1"/>
        <w:rPr>
          <w:kern w:val="22"/>
          <w:sz w:val="22"/>
          <w:szCs w:val="22"/>
          <w:lang w:val="en-GB"/>
        </w:rPr>
      </w:pPr>
    </w:p>
    <w:sectPr w:rsidR="00BF28D0" w:rsidRPr="002364AB" w:rsidSect="0029684B">
      <w:headerReference w:type="even" r:id="rId15"/>
      <w:headerReference w:type="default" r:id="rId16"/>
      <w:footerReference w:type="default" r:id="rId17"/>
      <w:pgSz w:w="12240" w:h="15840"/>
      <w:pgMar w:top="567" w:right="1440" w:bottom="1134"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A0B" w16cex:dateUtc="2020-06-24T15:39:00Z"/>
  <w16cex:commentExtensible w16cex:durableId="229DBC0B" w16cex:dateUtc="2020-06-24T15:48:00Z"/>
  <w16cex:commentExtensible w16cex:durableId="229DBB34" w16cex:dateUtc="2020-06-24T15:44:00Z"/>
  <w16cex:commentExtensible w16cex:durableId="229DBF7D" w16cex:dateUtc="2020-06-24T16:03:00Z"/>
  <w16cex:commentExtensible w16cex:durableId="229DBDC3" w16cex:dateUtc="2020-06-24T15:55:00Z"/>
  <w16cex:commentExtensible w16cex:durableId="229DC137" w16cex:dateUtc="2020-06-24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E866" w14:textId="77777777" w:rsidR="001533F8" w:rsidRDefault="001533F8" w:rsidP="00F86834">
      <w:pPr>
        <w:spacing w:after="0"/>
      </w:pPr>
      <w:r>
        <w:separator/>
      </w:r>
    </w:p>
  </w:endnote>
  <w:endnote w:type="continuationSeparator" w:id="0">
    <w:p w14:paraId="26051B18" w14:textId="77777777" w:rsidR="001533F8" w:rsidRDefault="001533F8" w:rsidP="00F86834">
      <w:pPr>
        <w:spacing w:after="0"/>
      </w:pPr>
      <w:r>
        <w:continuationSeparator/>
      </w:r>
    </w:p>
  </w:endnote>
  <w:endnote w:type="continuationNotice" w:id="1">
    <w:p w14:paraId="20E56B92" w14:textId="77777777" w:rsidR="001533F8" w:rsidRDefault="00153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6CFE" w14:textId="55937776" w:rsidR="007511AF" w:rsidRDefault="007511AF" w:rsidP="00A206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B83C" w14:textId="77777777" w:rsidR="001533F8" w:rsidRDefault="001533F8" w:rsidP="00F86834">
      <w:pPr>
        <w:spacing w:after="0"/>
      </w:pPr>
      <w:r>
        <w:separator/>
      </w:r>
    </w:p>
  </w:footnote>
  <w:footnote w:type="continuationSeparator" w:id="0">
    <w:p w14:paraId="62B058D1" w14:textId="77777777" w:rsidR="001533F8" w:rsidRDefault="001533F8" w:rsidP="00F86834">
      <w:pPr>
        <w:spacing w:after="0"/>
      </w:pPr>
      <w:r>
        <w:continuationSeparator/>
      </w:r>
    </w:p>
  </w:footnote>
  <w:footnote w:type="continuationNotice" w:id="1">
    <w:p w14:paraId="6057ED1A" w14:textId="77777777" w:rsidR="001533F8" w:rsidRDefault="001533F8">
      <w:pPr>
        <w:spacing w:after="0"/>
      </w:pPr>
    </w:p>
  </w:footnote>
  <w:footnote w:id="2">
    <w:p w14:paraId="4DDB73D4" w14:textId="42E44563"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t>*</w:t>
      </w:r>
      <w:r w:rsidRPr="000C134C">
        <w:rPr>
          <w:kern w:val="18"/>
          <w:sz w:val="18"/>
          <w:szCs w:val="18"/>
          <w:lang w:val="en-GB"/>
        </w:rPr>
        <w:t>CBD/SBI/3/1</w:t>
      </w:r>
      <w:r w:rsidR="0029684B" w:rsidRPr="000C134C">
        <w:rPr>
          <w:kern w:val="18"/>
          <w:sz w:val="18"/>
          <w:szCs w:val="18"/>
          <w:lang w:val="en-GB"/>
        </w:rPr>
        <w:t>.</w:t>
      </w:r>
    </w:p>
  </w:footnote>
  <w:footnote w:id="3">
    <w:p w14:paraId="570B94F8" w14:textId="2C963A92" w:rsidR="006A4542" w:rsidRPr="000C134C" w:rsidRDefault="006A4542" w:rsidP="00A2063C">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notification 2020-028 of 10 March 2020 and extension of deadline (see notification 2020-030) of 19 March 2020.</w:t>
      </w:r>
    </w:p>
  </w:footnote>
  <w:footnote w:id="4">
    <w:p w14:paraId="47C9CD0C" w14:textId="7FF75BFC" w:rsidR="006A4542" w:rsidRPr="000C134C" w:rsidRDefault="006A4542">
      <w:pPr>
        <w:pStyle w:val="FootnoteText"/>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hyperlink r:id="rId1" w:history="1">
        <w:r w:rsidRPr="000C134C">
          <w:rPr>
            <w:rStyle w:val="Hyperlink"/>
            <w:kern w:val="18"/>
            <w:sz w:val="18"/>
            <w:szCs w:val="18"/>
            <w:lang w:val="en-GB"/>
          </w:rPr>
          <w:t>https://www.cbd.int/abs/art10/2019-2020/study.shtml</w:t>
        </w:r>
      </w:hyperlink>
    </w:p>
  </w:footnote>
  <w:footnote w:id="5">
    <w:p w14:paraId="58A1B980" w14:textId="14CBCA4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Emory University School of Law, Atlanta, G</w:t>
      </w:r>
      <w:r w:rsidR="00EB1B3E">
        <w:rPr>
          <w:kern w:val="18"/>
          <w:sz w:val="18"/>
          <w:szCs w:val="18"/>
          <w:lang w:val="en-GB"/>
        </w:rPr>
        <w:t>eorgia, United States of America.</w:t>
      </w:r>
    </w:p>
  </w:footnote>
  <w:footnote w:id="6">
    <w:p w14:paraId="0D51F4A5" w14:textId="691C149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Grotius Centre for International Legal Studies, Faculty of Law, Leiden University, Leiden, </w:t>
      </w:r>
      <w:r w:rsidR="00CF5CEF">
        <w:rPr>
          <w:kern w:val="18"/>
          <w:sz w:val="18"/>
          <w:szCs w:val="18"/>
          <w:lang w:val="en-GB"/>
        </w:rPr>
        <w:t>t</w:t>
      </w:r>
      <w:r w:rsidRPr="000C134C">
        <w:rPr>
          <w:kern w:val="18"/>
          <w:sz w:val="18"/>
          <w:szCs w:val="18"/>
          <w:lang w:val="en-GB"/>
        </w:rPr>
        <w:t>he Netherlands</w:t>
      </w:r>
      <w:r w:rsidR="00EB1B3E">
        <w:rPr>
          <w:kern w:val="18"/>
          <w:sz w:val="18"/>
          <w:szCs w:val="18"/>
          <w:lang w:val="en-GB"/>
        </w:rPr>
        <w:t>.</w:t>
      </w:r>
    </w:p>
  </w:footnote>
  <w:footnote w:id="7">
    <w:p w14:paraId="60BCD426" w14:textId="28028A4E" w:rsidR="007511AF" w:rsidRPr="000C134C" w:rsidRDefault="007511AF">
      <w:pPr>
        <w:pStyle w:val="FootnoteText"/>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However, in some cases there may be populations of species with </w:t>
      </w:r>
      <w:proofErr w:type="gramStart"/>
      <w:r w:rsidRPr="000C134C">
        <w:rPr>
          <w:kern w:val="18"/>
          <w:sz w:val="18"/>
          <w:szCs w:val="18"/>
          <w:lang w:val="en-GB"/>
        </w:rPr>
        <w:t>sufficient</w:t>
      </w:r>
      <w:proofErr w:type="gramEnd"/>
      <w:r w:rsidRPr="000C134C">
        <w:rPr>
          <w:kern w:val="18"/>
          <w:sz w:val="18"/>
          <w:szCs w:val="18"/>
          <w:lang w:val="en-GB"/>
        </w:rPr>
        <w:t xml:space="preserve"> genetic differences to allow identification of source.</w:t>
      </w:r>
    </w:p>
  </w:footnote>
  <w:footnote w:id="8">
    <w:p w14:paraId="245DC38B" w14:textId="623D4F26"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“Digital sequence information” (DSI) is widely acknowledged as a placeholder term for which no consensus on a replacement or precise definition exists to date.</w:t>
      </w:r>
    </w:p>
  </w:footnote>
  <w:footnote w:id="9">
    <w:p w14:paraId="02D3C3FE" w14:textId="034848B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‘specific, adj. and n.’ </w:t>
      </w:r>
      <w:r w:rsidRPr="000C134C">
        <w:rPr>
          <w:i/>
          <w:iCs/>
          <w:kern w:val="18"/>
          <w:sz w:val="18"/>
          <w:szCs w:val="18"/>
          <w:lang w:val="en-GB"/>
        </w:rPr>
        <w:t>OED Online</w:t>
      </w:r>
      <w:r w:rsidRPr="000C134C">
        <w:rPr>
          <w:kern w:val="18"/>
          <w:sz w:val="18"/>
          <w:szCs w:val="18"/>
          <w:lang w:val="en-GB"/>
        </w:rPr>
        <w:t>, Oxford University Press, March 2020, &lt;http://www.oed.com/view/Entry/185999&gt; accessed 2 May 2020: “2.a. Of qualities, properties, effects, etc.: Specially or peculiarly pertaining to a certain thing or class of things and constituting one of the characteristic features of this.”</w:t>
      </w:r>
    </w:p>
  </w:footnote>
  <w:footnote w:id="10">
    <w:p w14:paraId="1112A072" w14:textId="18FD041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‘case, n.1.’ </w:t>
      </w:r>
      <w:r w:rsidRPr="000C134C">
        <w:rPr>
          <w:i/>
          <w:iCs/>
          <w:kern w:val="18"/>
          <w:sz w:val="18"/>
          <w:szCs w:val="18"/>
          <w:lang w:val="en-GB"/>
        </w:rPr>
        <w:t>OED Online</w:t>
      </w:r>
      <w:r w:rsidRPr="000C134C">
        <w:rPr>
          <w:kern w:val="18"/>
          <w:sz w:val="18"/>
          <w:szCs w:val="18"/>
          <w:lang w:val="en-GB"/>
        </w:rPr>
        <w:t xml:space="preserve">, Oxford University Press, March 2020 &lt;http://www.oed.com/view/Entry/28393&gt; accessed 2 May 2020: “6.a. An instance of a particular situation; an example of something occurring; a particular circumstance or </w:t>
      </w:r>
      <w:proofErr w:type="gramStart"/>
      <w:r w:rsidRPr="000C134C">
        <w:rPr>
          <w:kern w:val="18"/>
          <w:sz w:val="18"/>
          <w:szCs w:val="18"/>
          <w:lang w:val="en-GB"/>
        </w:rPr>
        <w:t>state of affairs</w:t>
      </w:r>
      <w:proofErr w:type="gramEnd"/>
      <w:r w:rsidRPr="000C134C">
        <w:rPr>
          <w:kern w:val="18"/>
          <w:sz w:val="18"/>
          <w:szCs w:val="18"/>
          <w:lang w:val="en-GB"/>
        </w:rPr>
        <w:t>.”</w:t>
      </w:r>
    </w:p>
  </w:footnote>
  <w:footnote w:id="11">
    <w:p w14:paraId="4F382D86" w14:textId="716283A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Vienna Convention on the Law of Treaties (adopted 23 May 1969, entered into force 27 January 1980) 1155 UNTS 331, art 31(1). Additional interpretative materials can be used, however, information relevant to the interpretation of “not possible” in Article 10 is not available (e.g. agreements/instruments made alongside the adoption of the treaty [Decision X/1]; subsequent agreement between the Parties regarding treaty interpretation or application; subsequent practice which establishes the agreement of Parties on interpretation; relevant rules of international law; special meanings intended by the Parties [Article 2]; </w:t>
      </w:r>
      <w:r w:rsidRPr="000C134C">
        <w:rPr>
          <w:i/>
          <w:iCs/>
          <w:color w:val="000000"/>
          <w:kern w:val="18"/>
          <w:sz w:val="18"/>
          <w:szCs w:val="18"/>
          <w:lang w:val="en-GB"/>
        </w:rPr>
        <w:t xml:space="preserve">travaux </w:t>
      </w:r>
      <w:proofErr w:type="spellStart"/>
      <w:r w:rsidRPr="000C134C">
        <w:rPr>
          <w:i/>
          <w:iCs/>
          <w:color w:val="000000"/>
          <w:kern w:val="18"/>
          <w:sz w:val="18"/>
          <w:szCs w:val="18"/>
          <w:lang w:val="en-GB"/>
        </w:rPr>
        <w:t>préparatoires</w:t>
      </w:r>
      <w:proofErr w:type="spellEnd"/>
      <w:r w:rsidRPr="000C134C">
        <w:rPr>
          <w:i/>
          <w:iCs/>
          <w:color w:val="000000"/>
          <w:kern w:val="18"/>
          <w:sz w:val="18"/>
          <w:szCs w:val="18"/>
          <w:lang w:val="en-GB"/>
        </w:rPr>
        <w:t xml:space="preserve"> </w:t>
      </w:r>
      <w:r w:rsidRPr="000C134C">
        <w:rPr>
          <w:color w:val="000000"/>
          <w:kern w:val="18"/>
          <w:sz w:val="18"/>
          <w:szCs w:val="18"/>
          <w:lang w:val="en-GB"/>
        </w:rPr>
        <w:t>and the circumstances of its conclusion).</w:t>
      </w:r>
    </w:p>
  </w:footnote>
  <w:footnote w:id="12">
    <w:p w14:paraId="1998680C" w14:textId="7A75D8B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{"citationID":"Sz4fv8WL","properties":{"formattedCitation":"\\uc0\\u8216{}Possible, Adj., Adv., and n.\\uc0\\u8217{}, {\\i{}OED Online} (Oxford University Press 2020) \\uc0\\u8216{}A. adj.  1. That is capable of being; that may or can exist, be done, or happen (in general, or in given or assumed conditions or circumstances); that is in a person\\uc0\\u8217{}s power, that a person can do, exert, use, etc.\\uc0\\u8217{};","plainCitation":"‘Possible, Adj., Adv., and n.’, OED Online (Oxford University Press 2020) ‘A. adj.  1. That is capable of being; that may or can exist, be done, or happen (in general, or in given or assumed conditions or circumstances); that is in a person’s power, that a person can do, exert, use, etc.’;","noteIndex":6},"citationItems":[{"id":743,"uris":["http://zotero.org/users/local/dU5rpCrq/items/RUGJR686"],"uri":["http://zotero.org/users/local/dU5rpCrq/items/RUGJR686"],"itemData":{"id":743,"type":"entry-dictionary","multi":{"main":{},"_keys":{}},"container-title":"OED Online","publisher":"Oxford University Press","title":"possible, adj., adv., and n.","URL":"www.oed.com/view/Entry/148376","accessed":{"date-parts":[["2020",5,5]]},"issued":{"date-parts":[["2020",3]]},"seeAlso":[]},"suffix":"  \"A. adj.  1. That is capable of being; that may or can exist, be done, or happen (in general, or in given or assumed conditions or circumstances); that is in a person's power, that a person can do, exert, use, etc.\";"}],"schema":"https://github.com/citation-style-language/schema/raw/master/csl-citation.json"}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‘Possible, Adj., Adv., and n.’, </w:t>
      </w:r>
      <w:r w:rsidRPr="000C134C">
        <w:rPr>
          <w:i/>
          <w:iCs/>
          <w:kern w:val="18"/>
          <w:sz w:val="18"/>
          <w:szCs w:val="18"/>
          <w:lang w:val="en-GB"/>
        </w:rPr>
        <w:t>OED Online</w:t>
      </w:r>
      <w:r w:rsidRPr="000C134C">
        <w:rPr>
          <w:kern w:val="18"/>
          <w:sz w:val="18"/>
          <w:szCs w:val="18"/>
          <w:lang w:val="en-GB"/>
        </w:rPr>
        <w:t xml:space="preserve"> (Oxford University Press 2020) ‘A. adj.  1. That is capable of being; that may or can exist, be done, or happen (in general, or in given or assumed conditions or circumstances); that is in a person’s power, that a person can do, exert, use, etc.’;</w:t>
      </w:r>
      <w:r w:rsidRPr="000C134C">
        <w:rPr>
          <w:kern w:val="18"/>
          <w:sz w:val="18"/>
          <w:szCs w:val="18"/>
          <w:lang w:val="en-GB"/>
        </w:rPr>
        <w:fldChar w:fldCharType="end"/>
      </w:r>
      <w:r w:rsidRPr="000C134C">
        <w:rPr>
          <w:kern w:val="18"/>
          <w:sz w:val="18"/>
          <w:szCs w:val="18"/>
          <w:lang w:val="en-GB"/>
        </w:rPr>
        <w:t xml:space="preserve"> The Cambridge Dictionary defines it as ‘</w:t>
      </w:r>
      <w:hyperlink r:id="rId2" w:tooltip="able" w:history="1">
        <w:r w:rsidRPr="000C134C">
          <w:rPr>
            <w:rStyle w:val="Hyperlink"/>
            <w:rFonts w:eastAsiaTheme="majorEastAsia"/>
            <w:color w:val="auto"/>
            <w:kern w:val="18"/>
            <w:sz w:val="18"/>
            <w:szCs w:val="18"/>
            <w:u w:val="none"/>
            <w:lang w:val="en-GB"/>
          </w:rPr>
          <w:t>able</w:t>
        </w:r>
      </w:hyperlink>
      <w:r w:rsidRPr="000C134C">
        <w:rPr>
          <w:kern w:val="18"/>
          <w:sz w:val="18"/>
          <w:szCs w:val="18"/>
          <w:lang w:val="en-GB"/>
        </w:rPr>
        <w:t xml:space="preserve"> to be done or </w:t>
      </w:r>
      <w:hyperlink r:id="rId3" w:tooltip="achieved" w:history="1">
        <w:r w:rsidRPr="000C134C">
          <w:rPr>
            <w:rStyle w:val="Hyperlink"/>
            <w:rFonts w:eastAsiaTheme="majorEastAsia"/>
            <w:color w:val="auto"/>
            <w:kern w:val="18"/>
            <w:sz w:val="18"/>
            <w:szCs w:val="18"/>
            <w:u w:val="none"/>
            <w:lang w:val="en-GB"/>
          </w:rPr>
          <w:t>achieved</w:t>
        </w:r>
      </w:hyperlink>
      <w:r w:rsidRPr="000C134C">
        <w:rPr>
          <w:kern w:val="18"/>
          <w:sz w:val="18"/>
          <w:szCs w:val="18"/>
          <w:lang w:val="en-GB"/>
        </w:rPr>
        <w:t xml:space="preserve">, or </w:t>
      </w:r>
      <w:hyperlink r:id="rId4" w:tooltip="able" w:history="1">
        <w:r w:rsidRPr="000C134C">
          <w:rPr>
            <w:rStyle w:val="Hyperlink"/>
            <w:rFonts w:eastAsiaTheme="majorEastAsia"/>
            <w:color w:val="auto"/>
            <w:kern w:val="18"/>
            <w:sz w:val="18"/>
            <w:szCs w:val="18"/>
            <w:u w:val="none"/>
            <w:lang w:val="en-GB"/>
          </w:rPr>
          <w:t>able</w:t>
        </w:r>
      </w:hyperlink>
      <w:r w:rsidRPr="000C134C">
        <w:rPr>
          <w:kern w:val="18"/>
          <w:sz w:val="18"/>
          <w:szCs w:val="18"/>
          <w:lang w:val="en-GB"/>
        </w:rPr>
        <w:t xml:space="preserve"> to </w:t>
      </w:r>
      <w:hyperlink r:id="rId5" w:tooltip="exist" w:history="1">
        <w:r w:rsidRPr="000C134C">
          <w:rPr>
            <w:rStyle w:val="Hyperlink"/>
            <w:rFonts w:eastAsiaTheme="majorEastAsia"/>
            <w:color w:val="auto"/>
            <w:kern w:val="18"/>
            <w:sz w:val="18"/>
            <w:szCs w:val="18"/>
            <w:u w:val="none"/>
            <w:lang w:val="en-GB"/>
          </w:rPr>
          <w:t>exist</w:t>
        </w:r>
      </w:hyperlink>
      <w:r w:rsidRPr="000C134C">
        <w:rPr>
          <w:kern w:val="18"/>
          <w:sz w:val="18"/>
          <w:szCs w:val="18"/>
          <w:lang w:val="en-GB"/>
        </w:rPr>
        <w:t>’; Meriam-Webster Dictionary defines it as ‘</w:t>
      </w:r>
      <w:r w:rsidRPr="000C134C">
        <w:rPr>
          <w:rStyle w:val="dttext"/>
          <w:rFonts w:eastAsiaTheme="majorEastAsia"/>
          <w:kern w:val="18"/>
          <w:sz w:val="18"/>
          <w:szCs w:val="18"/>
          <w:lang w:val="en-GB"/>
        </w:rPr>
        <w:t>being within the limits of ability, capacity, or realization’</w:t>
      </w:r>
    </w:p>
  </w:footnote>
  <w:footnote w:id="13">
    <w:p w14:paraId="401C7163" w14:textId="397390C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{"citationID":"TaleqXfh","properties":{"formattedCitation":"\\uc0\\u8216{}Impossible, Adj. and n.\\uc0\\u8217{}, {\\i{}OED Online} (Oxford University Press 2020) \\uc0\\u8216{}A. adj.  1.a. Not possible; that cannot be done or effected; that cannot exist or come into being; that cannot be, in existing or specified circumstances.\\uc0\\u8217{}","plainCitation":"‘Impossible, Adj. and n.’, OED Online (Oxford University Press 2020) ‘A. adj.  1.a. Not possible; that cannot be done or effected; that cannot exist or come into being; that cannot be, in existing or specified circumstances.’","noteIndex":7},"citationItems":[{"id":744,"uris":["http://zotero.org/users/local/dU5rpCrq/items/KQJVJLS9"],"uri":["http://zotero.org/users/local/dU5rpCrq/items/KQJVJLS9"],"itemData":{"id":744,"type":"entry-dictionary","multi":{"main":{},"_keys":{}},"container-title":"OED Online","publisher":"Oxford University Press","title":"impossible, adj. and n.","URL":"www.oed.com/view/Entry/92603","accessed":{"date-parts":[["2020",5,5]]},"issued":{"date-parts":[["2020",3]]},"seeAlso":[]},"suffix":"  \"A. adj.  1.a. Not possible; that cannot be done or effected; that cannot exist or come into being; that cannot be, in existing or specified circumstances.\""}],"schema":"https://github.com/citation-style-language/schema/raw/master/csl-citation.json"}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‘Impossible, Adj. and n.’, </w:t>
      </w:r>
      <w:r w:rsidRPr="000C134C">
        <w:rPr>
          <w:i/>
          <w:iCs/>
          <w:kern w:val="18"/>
          <w:sz w:val="18"/>
          <w:szCs w:val="18"/>
          <w:lang w:val="en-GB"/>
        </w:rPr>
        <w:t>OED Online</w:t>
      </w:r>
      <w:r w:rsidRPr="000C134C">
        <w:rPr>
          <w:kern w:val="18"/>
          <w:sz w:val="18"/>
          <w:szCs w:val="18"/>
          <w:lang w:val="en-GB"/>
        </w:rPr>
        <w:t xml:space="preserve"> (Oxford University Press 2020) ‘A. adj.  1.a. Not possible; that cannot be done or effected; that cannot exist or come into being; that cannot be, in existing or specified circumstances.’</w:t>
      </w:r>
      <w:r w:rsidRPr="000C134C">
        <w:rPr>
          <w:kern w:val="18"/>
          <w:sz w:val="18"/>
          <w:szCs w:val="18"/>
          <w:lang w:val="en-GB"/>
        </w:rPr>
        <w:fldChar w:fldCharType="end"/>
      </w:r>
      <w:r w:rsidRPr="000C134C">
        <w:rPr>
          <w:kern w:val="18"/>
          <w:sz w:val="18"/>
          <w:szCs w:val="18"/>
          <w:lang w:val="en-GB"/>
        </w:rPr>
        <w:t xml:space="preserve"> The Cambridge Dictionary defines it as ‘unable to exist, happen, or be achieved; not possible’, also ‘extremely difficult to deal with or solve’; Meriam-Webster Dictionary defines it as ‘</w:t>
      </w:r>
      <w:r w:rsidRPr="000C134C">
        <w:rPr>
          <w:rStyle w:val="dttext"/>
          <w:rFonts w:eastAsiaTheme="majorEastAsia"/>
          <w:kern w:val="18"/>
          <w:sz w:val="18"/>
          <w:szCs w:val="18"/>
          <w:lang w:val="en-GB"/>
        </w:rPr>
        <w:t>incapable of being or of occurring; felt to be incapable of being done, attained, or fulfilled:</w:t>
      </w:r>
      <w:r w:rsidRPr="000C134C">
        <w:rPr>
          <w:rStyle w:val="Strong"/>
          <w:rFonts w:eastAsiaTheme="majorEastAsia"/>
          <w:kern w:val="18"/>
          <w:sz w:val="18"/>
          <w:szCs w:val="18"/>
          <w:lang w:val="en-GB"/>
        </w:rPr>
        <w:t xml:space="preserve"> </w:t>
      </w:r>
      <w:r w:rsidRPr="000C134C">
        <w:rPr>
          <w:rStyle w:val="dttext"/>
          <w:rFonts w:eastAsiaTheme="majorEastAsia"/>
          <w:kern w:val="18"/>
          <w:sz w:val="18"/>
          <w:szCs w:val="18"/>
          <w:lang w:val="en-GB"/>
        </w:rPr>
        <w:t>insuperably difficult.’</w:t>
      </w:r>
    </w:p>
  </w:footnote>
  <w:footnote w:id="14">
    <w:p w14:paraId="18A30D1D" w14:textId="1F72830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Although it is not a definitive interpretation, </w:t>
      </w:r>
      <w:r w:rsidRPr="000C134C">
        <w:rPr>
          <w:kern w:val="18"/>
          <w:sz w:val="18"/>
          <w:szCs w:val="18"/>
          <w:lang w:val="en-GB"/>
        </w:rPr>
        <w:fldChar w:fldCharType="begin"/>
      </w:r>
      <w:r w:rsidRPr="000C134C">
        <w:rPr>
          <w:kern w:val="18"/>
          <w:sz w:val="18"/>
          <w:szCs w:val="18"/>
          <w:lang w:val="en-GB"/>
        </w:rPr>
        <w:instrText xml:space="preserve"> ADDIN ZOTERO_ITEM CSL_CITATION {"citationID":"g9Vvs5cK","properties":{"formattedCitation":"Thomas Greiber and others, {\\i{}An Explanatory Guide to the Nagoya Protocol on Access and Benefit-Sharing} (IUCN Environmental Policy and Law Paper 83, IUCN 2012) 129 notes that \\uc0\\u8216{}Article 10 discussions could also take into consideration the lack of practicality of obtaining PIC.","plainCitation":"Thomas Greiber and others, An Explanatory Guide to the Nagoya Protocol on Access and Benefit-Sharing (IUCN Environmental Policy and Law Paper 83, IUCN 2012) 129 notes that ‘Article 10 discussions could also take into consideration the lack of practicality of obtaining PIC.","noteIndex":8},"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129","suffix":"notes that ‘Article 10 discussions could also take into consideration the lack of practicality of obtaining PIC."}],"schema":"https://github.com/citation-style-language/schema/raw/master/csl-citation.json"}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Thomas Greiber and others, </w:t>
      </w:r>
      <w:r w:rsidRPr="000C134C">
        <w:rPr>
          <w:i/>
          <w:iCs/>
          <w:kern w:val="18"/>
          <w:sz w:val="18"/>
          <w:szCs w:val="18"/>
          <w:lang w:val="en-GB"/>
        </w:rPr>
        <w:t>An Explanatory Guide to the Nagoya Protocol on Access and Benefit-Sharing</w:t>
      </w:r>
      <w:r w:rsidRPr="000C134C">
        <w:rPr>
          <w:kern w:val="18"/>
          <w:sz w:val="18"/>
          <w:szCs w:val="18"/>
          <w:lang w:val="en-GB"/>
        </w:rPr>
        <w:t xml:space="preserve"> (IUCN Environmental Policy and Law Paper 83, IUCN 2012) 129 notes that ‘Article 10 discussions could also take into consideration the lack of practicality of obtaining PIC.</w:t>
      </w:r>
      <w:r w:rsidRPr="000C134C">
        <w:rPr>
          <w:kern w:val="18"/>
          <w:sz w:val="18"/>
          <w:szCs w:val="18"/>
          <w:lang w:val="en-GB"/>
        </w:rPr>
        <w:fldChar w:fldCharType="end"/>
      </w:r>
      <w:r w:rsidRPr="000C134C">
        <w:rPr>
          <w:kern w:val="18"/>
          <w:sz w:val="18"/>
          <w:szCs w:val="18"/>
          <w:lang w:val="en-GB"/>
        </w:rPr>
        <w:t xml:space="preserve"> See also African Group submission 2019 (“In most of these situations it is impossible – because it is impractical – to obtain PIC from and negotiate MAT with all the actual and potential providers.”).</w:t>
      </w:r>
    </w:p>
  </w:footnote>
  <w:footnote w:id="15">
    <w:p w14:paraId="63546552" w14:textId="0A11718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Article 31(2) of the Vienna Convention on the Law of Treaties gives the preamble the same status as the remainder of the treaty text in providing context for the interpretation of its terms. As such, it can provide context for further negotiations. See also </w:t>
      </w:r>
      <w:r w:rsidRPr="000C134C">
        <w:rPr>
          <w:kern w:val="18"/>
          <w:sz w:val="18"/>
          <w:szCs w:val="18"/>
          <w:lang w:val="en-GB"/>
        </w:rPr>
        <w:fldChar w:fldCharType="begin"/>
      </w:r>
      <w:r w:rsidRPr="000C134C">
        <w:rPr>
          <w:kern w:val="18"/>
          <w:sz w:val="18"/>
          <w:szCs w:val="18"/>
          <w:lang w:val="en-GB"/>
        </w:rPr>
        <w:instrText xml:space="preserve"> ADDIN ZOTERO_ITEM CSL_CITATION {"citationID":"WAAFTRen","properties":{"formattedCitation":"ibid 47.","plainCitation":"ibid 47.","noteIndex":9},"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47"}],"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ibid 47.</w:t>
      </w:r>
      <w:r w:rsidRPr="000C134C">
        <w:rPr>
          <w:kern w:val="18"/>
          <w:sz w:val="18"/>
          <w:szCs w:val="18"/>
          <w:lang w:val="en-GB"/>
        </w:rPr>
        <w:fldChar w:fldCharType="end"/>
      </w:r>
    </w:p>
  </w:footnote>
  <w:footnote w:id="16">
    <w:p w14:paraId="574C54F4" w14:textId="25C79A28"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{"citationID":"817LKGbM","properties":{"formattedCitation":"Brian A Garner, \\uc0\\u8216{}Equitable\\uc0\\u8217{}, {\\i{}Black\\uc0\\u8217{}s Law Dictionary} (8th edn, Thomson West 2004)\\uc0\\u8216{}Just; consistent with principles of justice and right\\uc0\\u8217{}.","plainCitation":"Brian A Garner, ‘Equitable’, Black’s Law Dictionary (8th edn, Thomson West 2004)‘Just; consistent with principles of justice and right’.","noteIndex":10},"citationItems":[{"id":748,"uris":["http://zotero.org/users/local/dU5rpCrq/items/QGE443UH"],"uri":["http://zotero.org/users/local/dU5rpCrq/items/QGE443UH"],"itemData":{"id":748,"type":"entry-dictionary","multi":{"main":{},"_keys":{}},"container-title":"Black's Law Dictionary","edition":"8","publisher":"Thomson West","title":"Equitable","author":[{"family":"Garner","given":"Brian A.","multi":{"_key":{}}}],"issued":{"date-parts":[["2004"]]},"seeAlso":[]},"suffix":" \"Just; consistent with principles of justice and right\""}],"schema":"https://github.com/citation-style-language/schema/raw/master/csl-citation.json"}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Brian A Garner, ‘Equitable’, </w:t>
      </w:r>
      <w:r w:rsidRPr="000C134C">
        <w:rPr>
          <w:i/>
          <w:iCs/>
          <w:kern w:val="18"/>
          <w:sz w:val="18"/>
          <w:szCs w:val="18"/>
          <w:lang w:val="en-GB"/>
        </w:rPr>
        <w:t>Black’s Law Dictionary</w:t>
      </w:r>
      <w:r w:rsidRPr="000C134C">
        <w:rPr>
          <w:kern w:val="18"/>
          <w:sz w:val="18"/>
          <w:szCs w:val="18"/>
          <w:lang w:val="en-GB"/>
        </w:rPr>
        <w:t xml:space="preserve"> (8th edn, Thomson West 2004)‘Just; consistent with principles of justice and right’.</w:t>
      </w:r>
      <w:r w:rsidRPr="000C134C">
        <w:rPr>
          <w:kern w:val="18"/>
          <w:sz w:val="18"/>
          <w:szCs w:val="18"/>
          <w:lang w:val="en-GB"/>
        </w:rPr>
        <w:fldChar w:fldCharType="end"/>
      </w:r>
      <w:r w:rsidRPr="000C134C">
        <w:rPr>
          <w:kern w:val="18"/>
          <w:sz w:val="18"/>
          <w:szCs w:val="18"/>
          <w:lang w:val="en-GB"/>
        </w:rPr>
        <w:t xml:space="preserve"> See also </w:t>
      </w:r>
      <w:r w:rsidRPr="000C134C">
        <w:rPr>
          <w:i/>
          <w:iCs/>
          <w:kern w:val="18"/>
          <w:sz w:val="18"/>
          <w:szCs w:val="18"/>
          <w:lang w:val="en-GB"/>
        </w:rPr>
        <w:t>Diversion of Water from Meuse (Neth. v. Belg.)</w:t>
      </w:r>
      <w:r w:rsidRPr="000C134C">
        <w:rPr>
          <w:kern w:val="18"/>
          <w:sz w:val="18"/>
          <w:szCs w:val="18"/>
          <w:lang w:val="en-GB"/>
        </w:rPr>
        <w:t xml:space="preserve"> 1937 PCIJ Series A/B No 70, 76: “What are widely known as principles of equity have long been considered to constitute a part of international law.” Equity</w:t>
      </w:r>
      <w:r w:rsidRPr="000C134C" w:rsidDel="00DD41AE">
        <w:rPr>
          <w:kern w:val="18"/>
          <w:sz w:val="18"/>
          <w:szCs w:val="18"/>
          <w:lang w:val="en-GB"/>
        </w:rPr>
        <w:t xml:space="preserve"> </w:t>
      </w:r>
      <w:r w:rsidRPr="000C134C">
        <w:rPr>
          <w:kern w:val="18"/>
          <w:sz w:val="18"/>
          <w:szCs w:val="18"/>
          <w:lang w:val="en-GB"/>
        </w:rPr>
        <w:t xml:space="preserve">does not constitute a legal rule, but it may be regarded as a material source of law. See Clive Parry and others, ‘Equity’, </w:t>
      </w:r>
      <w:r w:rsidRPr="000C134C">
        <w:rPr>
          <w:i/>
          <w:iCs/>
          <w:kern w:val="18"/>
          <w:sz w:val="18"/>
          <w:szCs w:val="18"/>
          <w:lang w:val="en-GB"/>
        </w:rPr>
        <w:t>Parry and Grant Encyclopaedic Dictionary of International Law</w:t>
      </w:r>
      <w:r w:rsidRPr="000C134C">
        <w:rPr>
          <w:kern w:val="18"/>
          <w:sz w:val="18"/>
          <w:szCs w:val="18"/>
          <w:lang w:val="en-GB"/>
        </w:rPr>
        <w:t xml:space="preserve"> (3rd </w:t>
      </w:r>
      <w:proofErr w:type="spellStart"/>
      <w:r w:rsidRPr="000C134C">
        <w:rPr>
          <w:kern w:val="18"/>
          <w:sz w:val="18"/>
          <w:szCs w:val="18"/>
          <w:lang w:val="en-GB"/>
        </w:rPr>
        <w:t>edn</w:t>
      </w:r>
      <w:proofErr w:type="spellEnd"/>
      <w:r w:rsidRPr="000C134C">
        <w:rPr>
          <w:kern w:val="18"/>
          <w:sz w:val="18"/>
          <w:szCs w:val="18"/>
          <w:lang w:val="en-GB"/>
        </w:rPr>
        <w:t>, Oxford University Press.</w:t>
      </w:r>
    </w:p>
  </w:footnote>
  <w:footnote w:id="17">
    <w:p w14:paraId="5F8A7E3E" w14:textId="33DA9E8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{"citationID":"EDftudhH","properties":{"formattedCitation":"Vaughan Lowe, \\uc0\\u8216{}The Role of Equity in International Law\\uc0\\u8217{} (1989) 12 Australian Yearbook of International Law 54, 73.","plainCitation":"Vaughan Lowe, ‘The Role of Equity in International Law’ (1989) 12 Australian Yearbook of International Law 54, 73.","noteIndex":11},"citationItems":[{"id":746,"uris":["http://zotero.org/users/local/dU5rpCrq/items/FVAVF8ZL"],"uri":["http://zotero.org/users/local/dU5rpCrq/items/FVAVF8ZL"],"itemData":{"id":746,"type":"article-journal","multi":{"main":{},"_keys":{}},"container-title":"Australian Yearbook of International Law","page":"54-81","title":"The Role of Equity in International Law","volume":"12","author":[{"family":"Lowe","given":"Vaughan","multi":{"_key":{}}}],"issued":{"date-parts":[["1989"]]},"seeAlso":[]},"locator":"73"}],"schema":"https://github.com/citation-style-language/schema/raw/master/csl-citation.json"}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Vaughan Lowe, ‘The Role of Equity in International Law’ (1989) 12 Australian Yearbook of International Law 54, 73.</w:t>
      </w:r>
      <w:r w:rsidRPr="000C134C">
        <w:rPr>
          <w:kern w:val="18"/>
          <w:sz w:val="18"/>
          <w:szCs w:val="18"/>
          <w:lang w:val="en-GB"/>
        </w:rPr>
        <w:fldChar w:fldCharType="end"/>
      </w:r>
    </w:p>
  </w:footnote>
  <w:footnote w:id="18">
    <w:p w14:paraId="3EBF6FC6" w14:textId="5AD4CDB2"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“Interview” includes both semi-structured and unstructured communications by phone, email and other forms of electronic communication, and in person. Information from interviews are identified in this study as [interviewer], [interviewee], [Descriptor, if anonymous], date of interview.</w:t>
      </w:r>
      <w:r w:rsidRPr="000C134C" w:rsidDel="00A727A1">
        <w:rPr>
          <w:kern w:val="18"/>
          <w:sz w:val="18"/>
          <w:szCs w:val="18"/>
          <w:lang w:val="en-GB"/>
        </w:rPr>
        <w:t xml:space="preserve"> </w:t>
      </w:r>
      <w:r w:rsidRPr="000C134C">
        <w:rPr>
          <w:kern w:val="18"/>
          <w:sz w:val="18"/>
          <w:szCs w:val="18"/>
          <w:lang w:val="en-GB"/>
        </w:rPr>
        <w:t>The study authors selected for interviews, within the time constraints of the study, experts believed to have information about specific cases relevant to the mandate.</w:t>
      </w:r>
    </w:p>
  </w:footnote>
  <w:footnote w:id="19">
    <w:p w14:paraId="512FCFC7" w14:textId="6A11061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{"citationID":"IbHRQ49U","properties":{"formattedCitation":"Secretariat of the Convention on Biological Diversity, \\uc0\\u8216{}What Has Been Done on the Need for and Modalities of a Global Multilateral Benefit-Sharing Mechanism? Developments since the Entry into Force of the Protocol\\uc0\\u8217{} (15 April 2019) &lt;http://www.cbd.int/abs/art10-whatdone.shtml&gt; accessed 28 February 2020.","plainCitation":"Secretariat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2020.","noteIndex":13},"citationItems":[{"id":616,"uris":["http://zotero.org/users/local/dU5rpCrq/items/VAEPVTN7"],"uri":["http://zotero.org/users/local/dU5rpCrq/items/VAEPVTN7"],"itemData":{"id":616,"type":"webpage","multi":{"main":{},"_keys":{}},"title":"What has been done on the need for and modalities of a global multilateral benefit-sharing mechanism? Developments since the entry into force of the Protocol","URL":"http://www.cbd.int/abs/art10-whatdone.shtml","author":[{"family":"Secretariat of the Convention on Biological Diversity","given":"","literal":"Secretariat of the Convention on Biological Diversity","multi":{"_key":{}}}],"accessed":{"date-parts":[["2020",2,28]]},"issued":{"date-parts":[["2019",4,15]]},"seeAlso":[]}}],"schema":"https://github.com/citation-style-language/schema/raw/master/csl-citation.json"}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w:t>
      </w:r>
      <w:r w:rsidRPr="000C134C">
        <w:rPr>
          <w:kern w:val="18"/>
          <w:sz w:val="18"/>
          <w:szCs w:val="18"/>
          <w:lang w:val="en-GB"/>
        </w:rPr>
        <w:fldChar w:fldCharType="end"/>
      </w:r>
    </w:p>
  </w:footnote>
  <w:footnote w:id="20">
    <w:p w14:paraId="1E8DA937" w14:textId="5FCD6EB6" w:rsidR="007511AF" w:rsidRPr="000C134C" w:rsidRDefault="007511AF" w:rsidP="00F43F79">
      <w:pPr>
        <w:spacing w:before="20" w:after="20"/>
        <w:ind w:left="284" w:hanging="288"/>
        <w:rPr>
          <w:rFonts w:cs="Times New Roman"/>
          <w:color w:val="000000" w:themeColor="text1"/>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color w:val="000000" w:themeColor="text1"/>
          <w:kern w:val="18"/>
          <w:sz w:val="18"/>
          <w:szCs w:val="18"/>
          <w:lang w:val="en-GB"/>
        </w:rPr>
        <w:fldChar w:fldCharType="begin"/>
      </w:r>
      <w:r w:rsidRPr="000C134C">
        <w:rPr>
          <w:rFonts w:cs="Times New Roman"/>
          <w:color w:val="000000" w:themeColor="text1"/>
          <w:kern w:val="18"/>
          <w:sz w:val="18"/>
          <w:szCs w:val="18"/>
          <w:lang w:val="en-GB"/>
        </w:rPr>
        <w:instrText xml:space="preserve"> ADDIN ZOTERO_ITEM CSL_CITATION {"citationID":"cumFBeYQ","properties":{"formattedCitation":"Secretariat of the Convention on Biological Diversity, \\uc0\\u8216{}Synthesis of the Online Discussions on Article 10 of the Nagoya Protocol on Access and Benefit-Sharing\\uc0\\u8217{} (8 January 2014).","plainCitation":"Secretariat of the Convention on Biological Diversity, ‘Synthesis of the Online Discussions on Article 10 of the Nagoya Protocol on Access and Benefit-Sharing’ (8 January 2014).","noteIndex":14},"citationItems":[{"id":617,"uris":["http://zotero.org/users/local/dU5rpCrq/items/Y5F9DDC7"],"uri":["http://zotero.org/users/local/dU5rpCrq/items/Y5F9DDC7"],"itemData":{"id":617,"type":"article","multi":{"main":{},"_keys":{}},"title":"Synthesis of the Online Discussions on Article 10 of the Nagoya Protocol on Access and Benefit-Sharing","author":[{"family":"Secretariat of the Convention on Biological Diversity","given":"","literal":"Secretariat of the Convention on Biological Diversity","multi":{"_key":{}}}],"issued":{"date-parts":[["2014",1,8]]},"seeAlso":[]}}],"schema":"https://github.com/citation-style-language/schema/raw/master/csl-citation.json"} </w:instrText>
      </w:r>
      <w:r w:rsidRPr="000C134C">
        <w:rPr>
          <w:rFonts w:cs="Times New Roman"/>
          <w:color w:val="000000" w:themeColor="text1"/>
          <w:kern w:val="18"/>
          <w:sz w:val="18"/>
          <w:szCs w:val="18"/>
          <w:lang w:val="en-GB"/>
        </w:rPr>
        <w:fldChar w:fldCharType="separate"/>
      </w:r>
      <w:r w:rsidRPr="000C134C">
        <w:rPr>
          <w:rFonts w:cs="Times New Roman"/>
          <w:kern w:val="18"/>
          <w:sz w:val="18"/>
          <w:szCs w:val="18"/>
          <w:lang w:val="en-GB"/>
        </w:rPr>
        <w:t>Secretariat of the Convention on Biological Diversity, ‘Synthesis of the Online Discussions on Article 10 of the Nagoya Protocol on Access and Benefit-Sharing’ (8 January 2014).</w:t>
      </w:r>
      <w:r w:rsidRPr="000C134C">
        <w:rPr>
          <w:rFonts w:cs="Times New Roman"/>
          <w:color w:val="000000" w:themeColor="text1"/>
          <w:kern w:val="18"/>
          <w:sz w:val="18"/>
          <w:szCs w:val="18"/>
          <w:lang w:val="en-GB"/>
        </w:rPr>
        <w:fldChar w:fldCharType="end"/>
      </w:r>
    </w:p>
  </w:footnote>
  <w:footnote w:id="21">
    <w:p w14:paraId="3BA15422" w14:textId="228DCC31" w:rsidR="007511AF" w:rsidRPr="000C134C" w:rsidRDefault="007511AF" w:rsidP="00F43F79">
      <w:pPr>
        <w:spacing w:before="20" w:after="20"/>
        <w:ind w:left="284" w:hanging="288"/>
        <w:rPr>
          <w:rFonts w:cs="Times New Roman"/>
          <w:color w:val="000000" w:themeColor="text1"/>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color w:val="000000" w:themeColor="text1"/>
          <w:kern w:val="18"/>
          <w:sz w:val="18"/>
          <w:szCs w:val="18"/>
          <w:lang w:val="en-GB"/>
        </w:rPr>
        <w:fldChar w:fldCharType="begin"/>
      </w:r>
      <w:r w:rsidRPr="000C134C">
        <w:rPr>
          <w:rFonts w:cs="Times New Roman"/>
          <w:color w:val="000000" w:themeColor="text1"/>
          <w:kern w:val="18"/>
          <w:sz w:val="18"/>
          <w:szCs w:val="18"/>
          <w:lang w:val="en-GB"/>
        </w:rPr>
        <w:instrText xml:space="preserve"> ADDIN ZOTERO_ITEM CSL_CITATION {"citationID":"PI2XNPCz","properties":{"formattedCitation":"Secretariat of the Convention on Biological Diversity, \\uc0\\u8216{}Report of the Expert Meeting on Article 10 of the Nagoya Protocol on Access and Benefit-Sharing\\uc0\\u8217{} (19 September 2013).","plainCitation":"Secretariat of the Convention on Biological Diversity, ‘Report of the Expert Meeting on Article 10 of the Nagoya Protocol on Access and Benefit-Sharing’ (19 September 2013).","noteIndex":15},"citationItems":[{"id":618,"uris":["http://zotero.org/users/local/dU5rpCrq/items/ETEYVZP4"],"uri":["http://zotero.org/users/local/dU5rpCrq/items/ETEYVZP4"],"itemData":{"id":618,"type":"article","multi":{"main":{},"_keys":{}},"title":"Report of the Expert Meeting on Article 10 of the Nagoya Protocol on Access and Benefit-Sharing","author":[{"family":"Secretariat of the Convention on Biological Diversity","given":"","literal":"Secretariat of the Convention on Biological Diversity","multi":{"_key":{}}}],"issued":{"date-parts":[["2013",9,19]]},"seeAlso":[]}}],"schema":"https://github.com/citation-style-language/schema/raw/master/csl-citation.json"} </w:instrText>
      </w:r>
      <w:r w:rsidRPr="000C134C">
        <w:rPr>
          <w:rFonts w:cs="Times New Roman"/>
          <w:color w:val="000000" w:themeColor="text1"/>
          <w:kern w:val="18"/>
          <w:sz w:val="18"/>
          <w:szCs w:val="18"/>
          <w:lang w:val="en-GB"/>
        </w:rPr>
        <w:fldChar w:fldCharType="separate"/>
      </w:r>
      <w:r w:rsidRPr="000C134C">
        <w:rPr>
          <w:rFonts w:cs="Times New Roman"/>
          <w:kern w:val="18"/>
          <w:sz w:val="18"/>
          <w:szCs w:val="18"/>
          <w:lang w:val="en-GB"/>
        </w:rPr>
        <w:t>Secretariat of the Convention on Biological Diversity, ‘Report of the Expert Meeting on Article 10 of the Nagoya Protocol on Access and Benefit-Sharing’ (19 September 2013).</w:t>
      </w:r>
      <w:r w:rsidRPr="000C134C">
        <w:rPr>
          <w:rFonts w:cs="Times New Roman"/>
          <w:color w:val="000000" w:themeColor="text1"/>
          <w:kern w:val="18"/>
          <w:sz w:val="18"/>
          <w:szCs w:val="18"/>
          <w:lang w:val="en-GB"/>
        </w:rPr>
        <w:fldChar w:fldCharType="end"/>
      </w:r>
    </w:p>
  </w:footnote>
  <w:footnote w:id="22">
    <w:p w14:paraId="021B13D6" w14:textId="6CAB36F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{"citationID":"gbJnw8kI","properties":{"formattedCitation":"Secretariat of the Convention on Biological Diversity, \\uc0\\u8216{}Synthesis of Views Pursuant to Decision NP-1/10\\uc0\\u8217{} (14 December 2015).","plainCitation":"Secretariat of the Convention on Biological Diversity, ‘Synthesis of Views Pursuant to Decision NP-1/10’ (14 December 2015).","noteIndex":16},"citationItems":[{"id":619,"uris":["http://zotero.org/users/local/dU5rpCrq/items/VH5JIIQ3"],"uri":["http://zotero.org/users/local/dU5rpCrq/items/VH5JIIQ3"],"itemData":{"id":619,"type":"article","multi":{"main":{},"_keys":{}},"title":"Synthesis of Views Pursuant to Decision NP-1/10","author":[{"family":"Secretariat of the Convention on Biological Diversity","given":"","literal":"Secretariat of the Convention on Biological Diversity","multi":{"_key":{}}}],"issued":{"date-parts":[["2015",12,14]]},"seeAlso":[]}}],"schema":"https://github.com/citation-style-language/schema/raw/master/csl-citation.json"}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‘Synthesis of Views Pursuant to Decision NP-1/10’ (14 December 2015).</w:t>
      </w:r>
      <w:r w:rsidRPr="000C134C">
        <w:rPr>
          <w:kern w:val="18"/>
          <w:sz w:val="18"/>
          <w:szCs w:val="18"/>
          <w:lang w:val="en-GB"/>
        </w:rPr>
        <w:fldChar w:fldCharType="end"/>
      </w:r>
    </w:p>
  </w:footnote>
  <w:footnote w:id="23">
    <w:p w14:paraId="37257C30" w14:textId="1697ECB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{"citationID":"ZZvaKdjt","properties":{"formattedCitation":"Secretariat of the Convention on Biological Diversity, \\uc0\\u8216{}Report of the Expert Group Meeting on Article 10 of the Nagoya Protocol on Access and Benefit-Sharing\\uc0\\u8217{} (3 February 2016).","plainCitation":"Secretariat of the Convention on Biological Diversity, ‘Report of the Expert Group Meeting on Article 10 of the Nagoya Protocol on Access and Benefit-Sharing’ (3 February 2016).","noteIndex":17},"citationItems":[{"id":620,"uris":["http://zotero.org/users/local/dU5rpCrq/items/ZZATBR7F"],"uri":["http://zotero.org/users/local/dU5rpCrq/items/ZZATBR7F"],"itemData":{"id":620,"type":"article","multi":{"main":{},"_keys":{}},"title":"Report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‘Report of the Expert Group Meeting on Article 10 of the Nagoya Protocol on Access and Benefit-Sharing’ (3 February 2016).</w:t>
      </w:r>
      <w:r w:rsidRPr="000C134C">
        <w:rPr>
          <w:kern w:val="18"/>
          <w:sz w:val="18"/>
          <w:szCs w:val="18"/>
          <w:lang w:val="en-GB"/>
        </w:rPr>
        <w:fldChar w:fldCharType="end"/>
      </w:r>
    </w:p>
  </w:footnote>
  <w:footnote w:id="24">
    <w:p w14:paraId="3419FD21" w14:textId="29B96EBD" w:rsidR="007511AF" w:rsidRPr="000C134C" w:rsidRDefault="007511AF" w:rsidP="00F43F79">
      <w:pPr>
        <w:spacing w:before="20" w:after="20"/>
        <w:ind w:left="284" w:hanging="288"/>
        <w:rPr>
          <w:rFonts w:cs="Times New Roman"/>
          <w:color w:val="000000" w:themeColor="text1"/>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kern w:val="18"/>
          <w:sz w:val="18"/>
          <w:szCs w:val="18"/>
          <w:lang w:val="en-GB"/>
        </w:rPr>
        <w:fldChar w:fldCharType="begin"/>
      </w:r>
      <w:r w:rsidRPr="000C134C">
        <w:rPr>
          <w:rFonts w:cs="Times New Roman"/>
          <w:kern w:val="18"/>
          <w:sz w:val="18"/>
          <w:szCs w:val="18"/>
          <w:lang w:val="en-GB"/>
        </w:rPr>
        <w:instrText xml:space="preserve"> ADDIN ZOTERO_ITEM CSL_CITATION {"citationID":"hK8jL0sE","properties":{"formattedCitation":"Elisa Morgera, \\uc0\\u8216{}Study on Experiences Gained with the Development and Implementation of the Nagoya Protocol and Other Multilateral Mechanisms and the Potential Relevance of Ongoing Work Undertaken by Other Processes, Including Case Studies\\uc0\\u8217{} (22 December 2015).","plainCitation":"Elisa Morgera, ‘Study on Experiences Gained with the Development and Implementation of the Nagoya Protocol and Other Multilateral Mechanisms and the Potential Relevance of Ongoing Work Undertaken by Other Processes, Including Case Studies’ (22 December 2015).","noteIndex":18},"citationItems":[{"id":621,"uris":["http://zotero.org/users/local/dU5rpCrq/items/5L7DRI7S"],"uri":["http://zotero.org/users/local/dU5rpCrq/items/5L7DRI7S"],"itemData":{"id":621,"type":"article","multi":{"main":{},"_keys":{}},"title":"Study on Experiences Gained with the Development and Implementation of the Nagoya Protocol and other Multilateral Mechanisms and the Potential Relevance of Ongoing Work Undertaken by Other Processes, including Case Studies","author":[{"family":"Morgera","given":"Elisa","multi":{"_key":{}}}],"issued":{"date-parts":[["2015",12,22]]},"seeAlso":[]}}],"schema":"https://github.com/citation-style-language/schema/raw/master/csl-citation.json"} </w:instrText>
      </w:r>
      <w:r w:rsidRPr="000C134C">
        <w:rPr>
          <w:rFonts w:cs="Times New Roman"/>
          <w:kern w:val="18"/>
          <w:sz w:val="18"/>
          <w:szCs w:val="18"/>
          <w:lang w:val="en-GB"/>
        </w:rPr>
        <w:fldChar w:fldCharType="separate"/>
      </w:r>
      <w:r w:rsidRPr="000C134C">
        <w:rPr>
          <w:rFonts w:cs="Times New Roman"/>
          <w:kern w:val="18"/>
          <w:sz w:val="18"/>
          <w:szCs w:val="18"/>
          <w:lang w:val="en-GB"/>
        </w:rPr>
        <w:t>Elisa Morgera, ‘Study on Experiences Gained with the Development and Implementation of the Nagoya Protocol and Other Multilateral Mechanisms and the Potential Relevance of Ongoing Work Undertaken by Other Processes, Including Case Studies’ (22 December 2015).</w:t>
      </w:r>
      <w:r w:rsidRPr="000C134C">
        <w:rPr>
          <w:rFonts w:cs="Times New Roman"/>
          <w:kern w:val="18"/>
          <w:sz w:val="18"/>
          <w:szCs w:val="18"/>
          <w:lang w:val="en-GB"/>
        </w:rPr>
        <w:fldChar w:fldCharType="end"/>
      </w:r>
    </w:p>
  </w:footnote>
  <w:footnote w:id="25">
    <w:p w14:paraId="64109D99" w14:textId="442E2CA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{"citationID":"0dJLsd8x","properties":{"formattedCitation":"Secretariat of the Convention on Biological Diversity, \\uc0\\u8216{}Submissions on Article 10 of the Nagoya Protocol Pursuant to Decision NP-2/10\\uc0\\u8217{} (24 April 2018) &lt;https://www.cbd.int/abs/submissions-np-2-10&gt; accessed 28 February 2020.","plainCitation":"Secretariat of the Convention on Biological Diversity, ‘Submissions on Article 10 of the Nagoya Protocol Pursuant to Decision NP-2/10’ (24 April 2018) &lt;https://www.cbd.int/abs/submissions-np-2-10&gt; accessed 28 February 2020.","noteIndex":19},"citationItems":[{"id":622,"uris":["http://zotero.org/users/local/dU5rpCrq/items/ZHPVXZZN"],"uri":["http://zotero.org/users/local/dU5rpCrq/items/ZHPVXZZN"],"itemData":{"id":622,"type":"webpage","multi":{"main":{},"_keys":{}},"title":"Submissions on Article 10 of the Nagoya Protocol pursuant to decision NP-2/10","URL":"https://www.cbd.int/abs/submissions-np-2-10","author":[{"family":"Secretariat of the Convention on Biological Diversity","given":"","literal":"Secretariat of the Convention on Biological Diversity","multi":{"_key":{}}}],"accessed":{"date-parts":[["2020",2,28]]},"issued":{"date-parts":[["2018",4,24]]},"seeAlso":[]}}],"schema":"https://github.com/citation-style-language/schema/raw/master/csl-citation.json"}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‘Submissions on Article 10 of the Nagoya Protocol Pursuant to Decision NP-2/10’ (24 April 2018) &lt;https://www.cbd.int/abs/submissions-np-2-10&gt; accessed 28 February 2020.</w:t>
      </w:r>
      <w:r w:rsidRPr="000C134C">
        <w:rPr>
          <w:kern w:val="18"/>
          <w:sz w:val="18"/>
          <w:szCs w:val="18"/>
          <w:lang w:val="en-GB"/>
        </w:rPr>
        <w:fldChar w:fldCharType="end"/>
      </w:r>
    </w:p>
  </w:footnote>
  <w:footnote w:id="26">
    <w:p w14:paraId="6C7AE2C7" w14:textId="793A1261" w:rsidR="007511AF" w:rsidRPr="000C134C" w:rsidRDefault="007511AF" w:rsidP="00F43F79">
      <w:pPr>
        <w:spacing w:before="20" w:after="20"/>
        <w:ind w:left="284" w:hanging="288"/>
        <w:rPr>
          <w:rFonts w:cs="Times New Roman"/>
          <w:color w:val="000000" w:themeColor="text1"/>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kern w:val="18"/>
          <w:sz w:val="18"/>
          <w:szCs w:val="18"/>
          <w:lang w:val="en-GB"/>
        </w:rPr>
        <w:fldChar w:fldCharType="begin"/>
      </w:r>
      <w:r w:rsidRPr="000C134C">
        <w:rPr>
          <w:rFonts w:cs="Times New Roman"/>
          <w:kern w:val="18"/>
          <w:sz w:val="18"/>
          <w:szCs w:val="18"/>
          <w:lang w:val="en-GB"/>
        </w:rPr>
        <w:instrText xml:space="preserve"> ADDIN ZOTERO_ITEM CSL_CITATION {"citationID":"An8CXdDp","properties":{"formattedCitation":"Secretariat of the Convention on Biological Diversity, \\uc0\\u8216{}Global Multilateral Benefit-Sharing Mechanism (Article 10 of the Nagoya Protocol)\\uc0\\u8217{} (1 July 2018).","plainCitation":"Secretariat of the Convention on Biological Diversity, ‘Global Multilateral Benefit-Sharing Mechanism (Article 10 of the Nagoya Protocol)’ (1 July 2018).","noteIndex":20},"citationItems":[{"id":623,"uris":["http://zotero.org/users/local/dU5rpCrq/items/UB8979S2"],"uri":["http://zotero.org/users/local/dU5rpCrq/items/UB8979S2"],"itemData":{"id":623,"type":"article","multi":{"main":{},"_keys":{}},"title":"Global Multilateral Benefit-Sharing Mechanism (Article 10 of the Nagoya Protocol)","author":[{"family":"Secretariat of the Convention on Biological Diversity","given":"","literal":"Secretariat of the Convention on Biological Diversity","multi":{"_key":{}}}],"issued":{"date-parts":[["2018",7,1]]},"seeAlso":[]}}],"schema":"https://github.com/citation-style-language/schema/raw/master/csl-citation.json"} </w:instrText>
      </w:r>
      <w:r w:rsidRPr="000C134C">
        <w:rPr>
          <w:rFonts w:cs="Times New Roman"/>
          <w:kern w:val="18"/>
          <w:sz w:val="18"/>
          <w:szCs w:val="18"/>
          <w:lang w:val="en-GB"/>
        </w:rPr>
        <w:fldChar w:fldCharType="separate"/>
      </w:r>
      <w:r w:rsidRPr="000C134C">
        <w:rPr>
          <w:rFonts w:cs="Times New Roman"/>
          <w:kern w:val="18"/>
          <w:sz w:val="18"/>
          <w:szCs w:val="18"/>
          <w:lang w:val="en-GB"/>
        </w:rPr>
        <w:t>Secretariat of the Convention on Biological Diversity, ‘Global Multilateral Benefit-Sharing Mechanism (Article 10 of the Nagoya Protocol)’ (1 July 2018).</w:t>
      </w:r>
      <w:r w:rsidRPr="000C134C">
        <w:rPr>
          <w:rFonts w:cs="Times New Roman"/>
          <w:kern w:val="18"/>
          <w:sz w:val="18"/>
          <w:szCs w:val="18"/>
          <w:lang w:val="en-GB"/>
        </w:rPr>
        <w:fldChar w:fldCharType="end"/>
      </w:r>
    </w:p>
  </w:footnote>
  <w:footnote w:id="27">
    <w:p w14:paraId="541944F5" w14:textId="353CF36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{"citationID":"xQ4HVeTv","properties":{"formattedCitation":"Secretariat of the Convention on Biological Diversity, \\uc0\\u8216{}Submissions on Article 10 of the Nagoya Protocol Pursuant to Decision NP-3/13\\uc0\\u8217{} (5 February 2020) &lt;www.cbd.int/abs/art10/2019-2020/submissions.shtml&gt; accessed 28 February 2020.","plainCitation":"Secretariat of the Convention on Biological Diversity, ‘Submissions on Article 10 of the Nagoya Protocol Pursuant to Decision NP-3/13’ (5 February 2020) &lt;www.cbd.int/abs/art10/2019-2020/submissions.shtml&gt; accessed 28 February 2020.","noteIndex":21},"citationItems":[{"id":624,"uris":["http://zotero.org/users/local/dU5rpCrq/items/6VTELENH"],"uri":["http://zotero.org/users/local/dU5rpCrq/items/6VTELENH"],"itemData":{"id":624,"type":"webpage","multi":{"main":{},"_keys":{}},"title":"Submissions on Article 10 of the Nagoya Protocol pursuant to decision NP-3/13","URL":"www.cbd.int/abs/art10/2019-2020/submissions.shtml","author":[{"family":"Secretariat of the Convention on Biological Diversity","given":"","literal":"Secretariat of the Convention on Biological Diversity","multi":{"_key":{}}}],"accessed":{"date-parts":[["2020",2,28]]},"issued":{"date-parts":[["2020",2,5]]},"seeAlso":[]}}],"schema":"https://github.com/citation-style-language/schema/raw/master/csl-citation.json"}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‘Submissions on Article 10 of the Nagoya Protocol Pursuant to Decision NP-3/13’ (5 February 2020) &lt;www.cbd.int/abs/art10/2019-2020/submissions.shtml&gt; accessed 28 February 2020.</w:t>
      </w:r>
      <w:r w:rsidRPr="000C134C">
        <w:rPr>
          <w:kern w:val="18"/>
          <w:sz w:val="18"/>
          <w:szCs w:val="18"/>
          <w:lang w:val="en-GB"/>
        </w:rPr>
        <w:fldChar w:fldCharType="end"/>
      </w:r>
    </w:p>
  </w:footnote>
  <w:footnote w:id="28">
    <w:p w14:paraId="17B573AF" w14:textId="7C199B5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{"citationID":"Xq1HOkgI","properties":{"formattedCitation":"Greiber and others (n 8) 25.","plainCitation":"Greiber and others (n 8) 25.","noteIndex":22},"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25"}],"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Greiber and others (n </w:t>
      </w:r>
      <w:r w:rsidR="0099665D" w:rsidRPr="000C134C">
        <w:rPr>
          <w:kern w:val="18"/>
          <w:sz w:val="18"/>
          <w:szCs w:val="18"/>
          <w:lang w:val="en-GB"/>
        </w:rPr>
        <w:t>10</w:t>
      </w:r>
      <w:r w:rsidRPr="000C134C">
        <w:rPr>
          <w:kern w:val="18"/>
          <w:sz w:val="18"/>
          <w:szCs w:val="18"/>
          <w:lang w:val="en-GB"/>
        </w:rPr>
        <w:t>) 25.</w:t>
      </w:r>
      <w:r w:rsidRPr="000C134C">
        <w:rPr>
          <w:kern w:val="18"/>
          <w:sz w:val="18"/>
          <w:szCs w:val="18"/>
          <w:lang w:val="en-GB"/>
        </w:rPr>
        <w:fldChar w:fldCharType="end"/>
      </w:r>
    </w:p>
  </w:footnote>
  <w:footnote w:id="29">
    <w:p w14:paraId="6001A98E" w14:textId="77777777" w:rsidR="007511AF" w:rsidRPr="000C134C" w:rsidRDefault="007511AF" w:rsidP="00F43F79">
      <w:pPr>
        <w:pStyle w:val="FootnoteText"/>
        <w:spacing w:before="20" w:after="20"/>
        <w:ind w:left="284" w:hanging="288"/>
        <w:rPr>
          <w:kern w:val="18"/>
          <w:sz w:val="18"/>
          <w:szCs w:val="18"/>
          <w:lang w:val="en-GB"/>
        </w:rPr>
      </w:pPr>
      <w:r w:rsidRPr="000C134C" w:rsidDel="00187C47">
        <w:rPr>
          <w:rStyle w:val="FootnoteReference"/>
          <w:rFonts w:eastAsiaTheme="majorEastAsia"/>
          <w:kern w:val="18"/>
          <w:sz w:val="18"/>
          <w:szCs w:val="18"/>
          <w:lang w:val="en-GB"/>
        </w:rPr>
        <w:footnoteRef/>
      </w:r>
      <w:r w:rsidRPr="000C134C">
        <w:rPr>
          <w:kern w:val="18"/>
          <w:sz w:val="18"/>
          <w:szCs w:val="18"/>
          <w:lang w:val="en-GB"/>
        </w:rPr>
        <w:t xml:space="preserve"> Possible triggers, as identified in the 2015 IUCN Submission, are:</w:t>
      </w:r>
    </w:p>
    <w:p w14:paraId="47BBCCF7" w14:textId="0A43A445"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“Adoption of the CBD;</w:t>
      </w:r>
    </w:p>
    <w:p w14:paraId="0AB2FBE5"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Entry into force of the CBD;</w:t>
      </w:r>
    </w:p>
    <w:p w14:paraId="0F7643B5"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Adoption of the Nagoya Protocol;</w:t>
      </w:r>
    </w:p>
    <w:p w14:paraId="47101D1E"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Entry into force of the Nagoya Protocol;</w:t>
      </w:r>
    </w:p>
    <w:p w14:paraId="5039E1BD"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 xml:space="preserve">Ratification or other accession to the CBD by the country of origin or country providing the genetic resources; </w:t>
      </w:r>
    </w:p>
    <w:p w14:paraId="5795E155"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Ratification or other accession to the Nagoya Protocol by the country of origin or country providing the</w:t>
      </w:r>
    </w:p>
    <w:p w14:paraId="2BF25345" w14:textId="77777777" w:rsidR="007511AF" w:rsidRPr="000C134C" w:rsidDel="00187C47" w:rsidRDefault="007511AF" w:rsidP="00F43F79">
      <w:pPr>
        <w:pStyle w:val="FootnoteText"/>
        <w:spacing w:before="20" w:after="20"/>
        <w:ind w:left="284" w:hanging="288"/>
        <w:rPr>
          <w:kern w:val="18"/>
          <w:sz w:val="18"/>
          <w:szCs w:val="18"/>
          <w:lang w:val="en-GB"/>
        </w:rPr>
      </w:pPr>
      <w:r w:rsidRPr="000C134C" w:rsidDel="00187C47">
        <w:rPr>
          <w:kern w:val="18"/>
          <w:sz w:val="18"/>
          <w:szCs w:val="18"/>
          <w:lang w:val="en-GB"/>
        </w:rPr>
        <w:t xml:space="preserve"> </w:t>
      </w:r>
      <w:r w:rsidRPr="000C134C" w:rsidDel="00187C47">
        <w:rPr>
          <w:kern w:val="18"/>
          <w:sz w:val="18"/>
          <w:szCs w:val="18"/>
          <w:lang w:val="en-GB"/>
        </w:rPr>
        <w:tab/>
        <w:t>genetic resources; or</w:t>
      </w:r>
    </w:p>
    <w:p w14:paraId="0A714C4C" w14:textId="77777777" w:rsidR="007511AF" w:rsidRPr="000C134C" w:rsidDel="00187C47" w:rsidRDefault="007511AF" w:rsidP="00F43F79">
      <w:pPr>
        <w:pStyle w:val="FootnoteText"/>
        <w:numPr>
          <w:ilvl w:val="0"/>
          <w:numId w:val="16"/>
        </w:numPr>
        <w:spacing w:before="20" w:after="20"/>
        <w:ind w:left="284" w:hanging="288"/>
        <w:rPr>
          <w:kern w:val="18"/>
          <w:sz w:val="18"/>
          <w:szCs w:val="18"/>
          <w:lang w:val="en-GB"/>
        </w:rPr>
      </w:pPr>
      <w:r w:rsidRPr="000C134C" w:rsidDel="00187C47">
        <w:rPr>
          <w:kern w:val="18"/>
          <w:sz w:val="18"/>
          <w:szCs w:val="18"/>
          <w:lang w:val="en-GB"/>
        </w:rPr>
        <w:t>Adoption of ABS legislation by the country of origin or country providing the genetic resources.”</w:t>
      </w:r>
    </w:p>
    <w:p w14:paraId="13D83546" w14:textId="1C38EA15" w:rsidR="007511AF" w:rsidRPr="000C134C" w:rsidDel="00187C47" w:rsidRDefault="007511AF" w:rsidP="00F43F79">
      <w:pPr>
        <w:pStyle w:val="FootnoteText"/>
        <w:spacing w:before="20" w:after="20"/>
        <w:ind w:left="284" w:hanging="288"/>
        <w:rPr>
          <w:rFonts w:eastAsia="Calibri"/>
          <w:kern w:val="18"/>
          <w:sz w:val="18"/>
          <w:szCs w:val="18"/>
          <w:lang w:val="en-GB"/>
        </w:rPr>
      </w:pPr>
      <w:r w:rsidRPr="000C134C">
        <w:rPr>
          <w:kern w:val="18"/>
          <w:sz w:val="18"/>
          <w:szCs w:val="18"/>
          <w:lang w:val="en-GB"/>
        </w:rPr>
        <w:fldChar w:fldCharType="begin"/>
      </w:r>
      <w:r w:rsidRPr="000C134C">
        <w:rPr>
          <w:kern w:val="18"/>
          <w:sz w:val="18"/>
          <w:szCs w:val="18"/>
          <w:lang w:val="en-GB"/>
        </w:rPr>
        <w:instrText xml:space="preserve"> ADDIN ZOTERO_ITEM CSL_CITATION {"citationID":"3sDa8SPY","properties":{"formattedCitation":"IUCN Joint SSC-WCEL Global Specialist Group on ABS, Genetic Resources and Related Issues, \\uc0\\u8216{}Submission of Views in Preparation for the Expert Meeting on the Need for and Modalities of a Global Multilateral Benefit-Sharing Mechanism of the Nagoya Protocol\\uc0\\u8217{} (22 September 2015) 4.","plainCitation":"IUCN Joint SSC-WCEL Global Specialist Group on ABS, Genetic Resources and Related Issues, ‘Submission of Views in Preparation for the Expert Meeting on the Need for and Modalities of a Global Multilateral Benefit-Sharing Mechanism of the Nagoya Protocol’ (22 September 2015) 4.","noteIndex":23},"citationItems":[{"id":635,"uris":["http://zotero.org/users/local/dU5rpCrq/items/SP39NCY3"],"uri":["http://zotero.org/users/local/dU5rpCrq/items/SP39NCY3"],"itemData":{"id":635,"type":"article","multi":{"main":{},"_keys":{}},"title":"Submission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Issues","multi":{"_key":{}}}],"accessed":{"date-parts":[["2020",2,28]]},"issued":{"date-parts":[["2015",9,22]]},"seeAlso":[]},"locator":"4"}],"schema":"https://github.com/citation-style-language/schema/raw/master/csl-citation.json"}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IUCN Joint SSC-WCEL Global Specialist Group on ABS, Genetic Resources and Related Issues, ‘Submission of Views in Preparation for the Expert Meeting on the Need for and Modalities of a Global Multilateral Benefit-Sharing Mechanism of the Nagoya Protocol’ (22 September 2015) 4.</w:t>
      </w:r>
      <w:r w:rsidRPr="000C134C">
        <w:rPr>
          <w:kern w:val="18"/>
          <w:sz w:val="18"/>
          <w:szCs w:val="18"/>
          <w:lang w:val="en-GB"/>
        </w:rPr>
        <w:fldChar w:fldCharType="end"/>
      </w:r>
    </w:p>
  </w:footnote>
  <w:footnote w:id="30">
    <w:p w14:paraId="6C14A3B3" w14:textId="71B8782A"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{"citationID":"gwbB4dBm","properties":{"formattedCitation":"Greiber and others (n 8) 72\\uc0\\u8211{}73.","plainCitation":"Greiber and others (n 8) 72–73.","noteIndex":24},"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72-73"}],"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Greiber and others (n </w:t>
      </w:r>
      <w:r w:rsidR="0099665D" w:rsidRPr="000C134C">
        <w:rPr>
          <w:kern w:val="18"/>
          <w:sz w:val="18"/>
          <w:szCs w:val="18"/>
          <w:lang w:val="en-GB"/>
        </w:rPr>
        <w:t>10</w:t>
      </w:r>
      <w:r w:rsidRPr="000C134C">
        <w:rPr>
          <w:kern w:val="18"/>
          <w:sz w:val="18"/>
          <w:szCs w:val="18"/>
          <w:lang w:val="en-GB"/>
        </w:rPr>
        <w:t>) 72–73.</w:t>
      </w:r>
      <w:r w:rsidRPr="000C134C">
        <w:rPr>
          <w:kern w:val="18"/>
          <w:sz w:val="18"/>
          <w:szCs w:val="18"/>
          <w:lang w:val="en-GB"/>
        </w:rPr>
        <w:fldChar w:fldCharType="end"/>
      </w:r>
      <w:r w:rsidRPr="000C134C">
        <w:rPr>
          <w:kern w:val="18"/>
          <w:sz w:val="18"/>
          <w:szCs w:val="18"/>
          <w:lang w:val="en-GB"/>
        </w:rPr>
        <w:t xml:space="preserve"> Vienna Convention on the Law of Treaties (n </w:t>
      </w:r>
      <w:r w:rsidR="00537E93" w:rsidRPr="000C134C">
        <w:rPr>
          <w:kern w:val="18"/>
          <w:sz w:val="18"/>
          <w:szCs w:val="18"/>
          <w:lang w:val="en-GB"/>
        </w:rPr>
        <w:t>7</w:t>
      </w:r>
      <w:r w:rsidRPr="000C134C">
        <w:rPr>
          <w:kern w:val="18"/>
          <w:sz w:val="18"/>
          <w:szCs w:val="18"/>
          <w:lang w:val="en-GB"/>
        </w:rPr>
        <w:t xml:space="preserve">) art 28: “Unless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 </w:t>
      </w:r>
      <w:r w:rsidRPr="000C134C">
        <w:rPr>
          <w:kern w:val="18"/>
          <w:sz w:val="18"/>
          <w:szCs w:val="18"/>
          <w:lang w:val="en-GB"/>
        </w:rPr>
        <w:fldChar w:fldCharType="begin"/>
      </w:r>
      <w:r w:rsidRPr="000C134C">
        <w:rPr>
          <w:kern w:val="18"/>
          <w:sz w:val="18"/>
          <w:szCs w:val="18"/>
          <w:lang w:val="en-GB"/>
        </w:rPr>
        <w:instrText xml:space="preserve"> ADDIN ZOTERO_ITEM CSL_CITATION {"citationID":"AbnIlj2K","properties":{"formattedCitation":"Markus Kotzur, \\uc0\\u8216{}The Temporal Dimension: Non-Retroactivity and Its Discontents\\uc0\\u8217{} in Christian J Tams, and others (eds), {\\i{}Research Handbook on the Law of Treaties} (Edward Elgar 2014) 155\\uc0\\u8211{}56 notes that \\uc0\\u8216{}Facts or acts can occur more than once, they can be repeated, and situations might continue to exist \\uc0\\u8211{} they \\uc0\\u8220{}live on\\uc0\\u8221{}, not allowing for a strict bar against retroactive application.\\uc0\\u8217{}","plainCitation":"Markus Kotzur, ‘The Temporal Dimension: Non-Retroactivity and Its Discontents’ in Christian J Tams, and others (eds), Research Handbook on the Law of Treaties (Edward Elgar 2014) 155–56 notes that ‘Facts or acts can occur more than once, they can be repeated, and situations might continue to exist – they “live on”, not allowing for a strict bar against retroactive application.’","noteIndex":24},"citationItems":[{"id":789,"uris":["http://zotero.org/users/local/dU5rpCrq/items/PBZQC4EA"],"uri":["http://zotero.org/users/local/dU5rpCrq/items/PBZQC4EA"],"itemData":{"id":789,"type":"chapter","multi":{"main":{},"_keys":{}},"container-title":"Research Handbook on the Law of Treaties","event-place":"Cheltenham, UK","ISBN":"978-0-85793-477-2","page":"153","publisher":"Edward Elgar","publisher-place":"Cheltenham, UK","title":"The temporal dimension: Non-retroactivity and its discontents","author":[{"family":"Kotzur","given":"Markus","multi":{"_key":{}}}],"editor":[{"family":"Tams,","given":"Christian J","multi":{"_key":{}}},{"family":"Tzanakopoulos","given":"Antonios","multi":{"_key":{}}},{"family":"Zimmermann","given":"Andreas","multi":{"_key":{}}}],"issued":{"date-parts":[["2014"]]},"seeAlso":[]},"locator":"155-6","suffix":"notes that \"Facts or acts can occur more than once, they can be repeated, and situations might continue to exist – they ‘live on’, not allowing for a strict bar against retroactive application.\""}],"schema":"https://github.com/citation-style-language/schema/raw/master/csl-citation.json"}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Markus Kotzur, ‘The Temporal Dimension: Non-Retroactivity and Its Discontents’ in Christian J Tams, and others (eds), </w:t>
      </w:r>
      <w:r w:rsidRPr="000C134C">
        <w:rPr>
          <w:i/>
          <w:kern w:val="18"/>
          <w:sz w:val="18"/>
          <w:szCs w:val="18"/>
          <w:lang w:val="en-GB"/>
        </w:rPr>
        <w:t>Research Handbook on the Law of Treaties</w:t>
      </w:r>
      <w:r w:rsidRPr="000C134C">
        <w:rPr>
          <w:kern w:val="18"/>
          <w:sz w:val="18"/>
          <w:szCs w:val="18"/>
          <w:lang w:val="en-GB"/>
        </w:rPr>
        <w:t xml:space="preserve"> (Edward Elgar 2014) 155–56 notes that ‘Facts or acts can occur more than once, they can be repeated, and situations might continue to exist – they “live on”, not allowing for a strict bar against retroactive application.’</w:t>
      </w:r>
      <w:r w:rsidRPr="000C134C">
        <w:rPr>
          <w:kern w:val="18"/>
          <w:sz w:val="18"/>
          <w:szCs w:val="18"/>
          <w:lang w:val="en-GB"/>
        </w:rPr>
        <w:fldChar w:fldCharType="end"/>
      </w:r>
    </w:p>
  </w:footnote>
  <w:footnote w:id="31">
    <w:p w14:paraId="6ED904E8" w14:textId="4CE6CC15"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{"citationID":"JFG2my2A","properties":{"formattedCitation":"Morten W Tvedt and Ole K Fauchald, \\uc0\\u8216{}Implementing the Nagoya Protocol on ABS: A Hypothetical Case Study on Enforcing Benefit Sharing in Norway\\uc0\\u8217{} (2011) 14 The Journal of World Intellectual Property 383, 385.","plainCitation":"Morten W Tvedt and Ole K Fauchald, ‘Implementing the Nagoya Protocol on ABS: A Hypothetical Case Study on Enforcing Benefit Sharing in Norway’ (2011) 14 The Journal of World Intellectual Property 383, 385.","noteIndex":25},"citationItems":[{"id":589,"uris":["http://zotero.org/users/local/dU5rpCrq/items/S22CJX4M"],"uri":["http://zotero.org/users/local/dU5rpCrq/items/S22CJX4M"],"itemData":{"id":589,"type":"article-journal","multi":{"main":{},"_keys":{}},"abstract":"In October 2010, the Nagoya Protocol on Access to Genetic Resources and the Fair and Equitable Sharing of Benefits Arising From Their Utilization (NP) was adopted at the Conference of the Parties (COP-10) of the Convention on Biological Diversity (CBD). The NP establishes rules on measures to be taken by user countries in the context of access and benefit sharing (ABS). The future success of ABS as embedded in CBD and the Nagoya Protocol depends on their implementation at a national level. The binding rules of CBD and NP have in common that they need to be transformed into national legal and political contexts to establish a functional system for ABS. This article addresses measures that are needed in the international regime to secure adoption and implementation of user-country measures which are compatible with provider-country legislation. It analyses one current example of user-country legislation: the recently adopted Norwegian legislation, for the purpose of finding options for and obstacles to implementing obligations in the CBD and the NP in national law and in actual practice. One part of the ABS challenge is that obligations in the CBD and the NP apply to states, whereas the actual users of genetic resources are mostly private or public enterprises: companies, universities or other institutions. Despite showing a promising start, far from all challenges of a functional ABS system are solved.","container-title":"The Journal of World Intellectual Property","DOI":"10.1111/j.1747-1796.2011.00424.x","ISSN":"1747-1796","issue":"5","language":"en","page":"383-402","source":"Wiley Online Library","title":"Implementing the Nagoya Protocol on ABS: A Hypothetical Case Study on Enforcing Benefit Sharing in Norway","title-short":"Implementing the Nagoya Protocol on ABS","volume":"14","author":[{"family":"Tvedt","given":"Morten W.","multi":{"_key":{}}},{"family":"Fauchald","given":"Ole K.","multi":{"_key":{}}}],"issued":{"date-parts":[["2011"]]},"seeAlso":[]},"locator":"385"}],"schema":"https://github.com/citation-style-language/schema/raw/master/csl-citation.json"}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Morten W Tvedt and Ole K Fauchald, ‘Implementing the Nagoya Protocol on ABS: A Hypothetical Case Study on Enforcing Benefit Sharing in Norway’ (2011) 14 The Journal of World Intellectual Property 383, 385.</w:t>
      </w:r>
      <w:r w:rsidRPr="000C134C">
        <w:rPr>
          <w:kern w:val="18"/>
          <w:sz w:val="18"/>
          <w:szCs w:val="18"/>
          <w:lang w:val="en-GB"/>
        </w:rPr>
        <w:fldChar w:fldCharType="end"/>
      </w:r>
      <w:r w:rsidRPr="000C134C">
        <w:rPr>
          <w:kern w:val="18"/>
          <w:sz w:val="18"/>
          <w:szCs w:val="18"/>
          <w:lang w:val="en-GB"/>
        </w:rPr>
        <w:t xml:space="preserve"> See also </w:t>
      </w:r>
      <w:r w:rsidRPr="000C134C">
        <w:rPr>
          <w:kern w:val="18"/>
          <w:sz w:val="18"/>
          <w:szCs w:val="18"/>
          <w:lang w:val="en-GB"/>
        </w:rPr>
        <w:fldChar w:fldCharType="begin"/>
      </w:r>
      <w:r w:rsidRPr="000C134C">
        <w:rPr>
          <w:kern w:val="18"/>
          <w:sz w:val="18"/>
          <w:szCs w:val="18"/>
          <w:lang w:val="en-GB"/>
        </w:rPr>
        <w:instrText xml:space="preserve"> ADDIN ZOTERO_ITEM CSL_CITATION {"citationID":"AGQp0HO5","properties":{"formattedCitation":"Greiber and others (n 8) 63\\uc0\\u8211{}65; Morten W Tvedt and Olivier Rukundo, \\uc0\\u8216{}Functionality of an ABS Protocol\\uc0\\u8217{} (Fridjof Nansen Institute 2010); Kabir Bavikatte and Brendan Tobin, \\uc0\\u8216{}Cutting the Gordian Knot: Resolving Conflicts over the Term \\uc0\\u8220{}Utilization\\uc0\\u8221{}\\uc0\\u8217{} (2010) 4 Biores 3.","plainCitation":"Greiber and others (n 8) 63–65; Morten W Tvedt and Olivier Rukundo, ‘Functionality of an ABS Protocol’ (Fridjof Nansen Institute 2010); Kabir Bavikatte and Brendan Tobin, ‘Cutting the Gordian Knot: Resolving Conflicts over the Term “Utilization”’ (2010) 4 Biores 3.","noteIndex":25},"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63-65"},{"id":629,"uris":["http://zotero.org/users/local/dU5rpCrq/items/KM88ZMM5"],"uri":["http://zotero.org/users/local/dU5rpCrq/items/KM88ZMM5"],"itemData":{"id":629,"type":"article","multi":{"main":{},"_keys":{}},"publisher":"Fridjof Nansen Institute","title":"Functionality of an ABS Protocol","author":[{"family":"Tvedt","given":"Morten W","multi":{"_key":{}}},{"family":"Rukundo","given":"Olivier","multi":{"_key":{}}}],"issued":{"date-parts":[["2010"]]},"seeAlso":[]}},{"id":630,"uris":["http://zotero.org/users/local/dU5rpCrq/items/SNN7MKTB"],"uri":["http://zotero.org/users/local/dU5rpCrq/items/SNN7MKTB"],"itemData":{"id":630,"type":"article-journal","multi":{"main":{},"_keys":{}},"container-title":"Biores","issue":"3","page":"3","title":"Cutting the Gordian Knot: Resolving Conflicts over the Term “Utilization”","volume":"4","author":[{"family":"Bavikatte","given":"Kabir","multi":{"_key":{}}},{"family":"Tobin","given":"Brendan","multi":{"_key":{}}}],"issued":{"date-parts":[["2010"]]},"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Greiber and others (n </w:t>
      </w:r>
      <w:r w:rsidR="0099665D" w:rsidRPr="000C134C">
        <w:rPr>
          <w:kern w:val="18"/>
          <w:sz w:val="18"/>
          <w:szCs w:val="18"/>
          <w:lang w:val="en-GB"/>
        </w:rPr>
        <w:t>10</w:t>
      </w:r>
      <w:r w:rsidRPr="000C134C">
        <w:rPr>
          <w:kern w:val="18"/>
          <w:sz w:val="18"/>
          <w:szCs w:val="18"/>
          <w:lang w:val="en-GB"/>
        </w:rPr>
        <w:t>) 63–65; Morten W Tvedt and Olivier Rukundo, ‘Functionality of an ABS Protocol’ (Fridjof Nansen Institute 2010); Kabir Bavikatte and Brendan Tobin, ‘Cutting the Gordian Knot: Resolving Conflicts over the Term “Utilization”’ (2010) 4 Biores 3.</w:t>
      </w:r>
      <w:r w:rsidRPr="000C134C">
        <w:rPr>
          <w:kern w:val="18"/>
          <w:sz w:val="18"/>
          <w:szCs w:val="18"/>
          <w:lang w:val="en-GB"/>
        </w:rPr>
        <w:fldChar w:fldCharType="end"/>
      </w:r>
    </w:p>
  </w:footnote>
  <w:footnote w:id="32">
    <w:p w14:paraId="169E344A" w14:textId="7D6203E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See Article 2 of EU Regulation 511/2014.</w:t>
      </w:r>
    </w:p>
  </w:footnote>
  <w:footnote w:id="33">
    <w:p w14:paraId="4E48C609" w14:textId="629ED02E"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Such as Brazil, Colombia, Costa Rica, and South Africa.  See </w:t>
      </w:r>
      <w:r w:rsidRPr="000C134C">
        <w:rPr>
          <w:kern w:val="18"/>
          <w:sz w:val="18"/>
          <w:szCs w:val="18"/>
          <w:lang w:val="en-GB"/>
        </w:rPr>
        <w:fldChar w:fldCharType="begin"/>
      </w:r>
      <w:r w:rsidRPr="000C134C">
        <w:rPr>
          <w:kern w:val="18"/>
          <w:sz w:val="18"/>
          <w:szCs w:val="18"/>
          <w:lang w:val="en-GB"/>
        </w:rPr>
        <w:instrText xml:space="preserve"> ADDIN ZOTERO_ITEM CSL_CITATION {"citationID":"TYuQLyhb","properties":{"formattedCitation":"Margo A Bagley and Arti K Rai, \\uc0\\u8216{}The Nagoya Protocol and Synthetic Biology Research: A Look at the Potential Impacts\\uc0\\u8217{} (Wilson Center 2013) 17\\uc0\\u8211{}21.","plainCitation":"Margo A Bagley and Arti K Rai, ‘The Nagoya Protocol and Synthetic Biology Research: A Look at the Potential Impacts’ (Wilson Center 2013) 17–21.","noteIndex":27},"citationItems":[{"id":591,"uris":["http://zotero.org/users/local/dU5rpCrq/items/5QLBMC5M"],"uri":["http://zotero.org/users/local/dU5rpCrq/items/5QLBMC5M"],"itemData":{"id":591,"type":"report","multi":{"main":{},"_keys":{}},"publisher":"Wilson Center","title":"The Nagoya Protocol and Synthetic Biology Research: A Look at the Potential Impacts","author":[{"family":"Bagley","given":"Margo A","multi":{"_key":{}}},{"family":"Rai","given":"Arti K","multi":{"_key":{}}}],"issued":{"date-parts":[["2013"]]},"seeAlso":[]},"locator":"17-21"}],"schema":"https://github.com/citation-style-language/schema/raw/master/csl-citation.json"}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Margo A Bagley and Arti K Rai, ‘The Nagoya Protocol and Synthetic Biology Research: A Look at the Potential Impacts’ (Wilson Center 2013) 17–21.</w:t>
      </w:r>
      <w:r w:rsidRPr="000C134C">
        <w:rPr>
          <w:kern w:val="18"/>
          <w:sz w:val="18"/>
          <w:szCs w:val="18"/>
          <w:lang w:val="en-GB"/>
        </w:rPr>
        <w:fldChar w:fldCharType="end"/>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{"citationID":"RbvoVWQE","properties":{"formattedCitation":"See also Elisa Morgera and others, {\\i{}Unraveling the Nagoya Protocol: A Commentary on the Nagoya Protocol on Access and Benefit-Sharing to the Convention on Biological Diversity} (Brill Nijhoff 2014) 77\\uc0\\u8211{}80 for further commentary on this matter.","plainCitation":"See also Elisa Morgera and others, Unraveling the Nagoya Protocol: A Commentary on the Nagoya Protocol on Access and Benefit-Sharing to the Convention on Biological Diversity (Brill Nijhoff 2014) 77–80 for further commentary on this matter.","noteIndex":27},"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77-80","prefix":"See also ","suffix":"for further commentary on this matter."}],"schema":"https://github.com/citation-style-language/schema/raw/master/csl-citation.json"}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See also Elisa Morgera and others, </w:t>
      </w:r>
      <w:r w:rsidRPr="000C134C">
        <w:rPr>
          <w:i/>
          <w:iCs/>
          <w:kern w:val="18"/>
          <w:sz w:val="18"/>
          <w:szCs w:val="18"/>
          <w:lang w:val="en-GB"/>
        </w:rPr>
        <w:t>Unraveling the Nagoya Protocol: A Commentary on the Nagoya Protocol on Access and Benefit-Sharing to the Convention on Biological Diversity</w:t>
      </w:r>
      <w:r w:rsidRPr="000C134C">
        <w:rPr>
          <w:kern w:val="18"/>
          <w:sz w:val="18"/>
          <w:szCs w:val="18"/>
          <w:lang w:val="en-GB"/>
        </w:rPr>
        <w:t xml:space="preserve"> (Brill Nijhoff 2014) 77–80 for further commentary on this matter.</w:t>
      </w:r>
      <w:r w:rsidRPr="000C134C">
        <w:rPr>
          <w:kern w:val="18"/>
          <w:sz w:val="18"/>
          <w:szCs w:val="18"/>
          <w:lang w:val="en-GB"/>
        </w:rPr>
        <w:fldChar w:fldCharType="end"/>
      </w:r>
      <w:r w:rsidRPr="000C134C">
        <w:rPr>
          <w:kern w:val="18"/>
          <w:sz w:val="18"/>
          <w:szCs w:val="18"/>
          <w:lang w:val="en-GB"/>
        </w:rPr>
        <w:t xml:space="preserve">  </w:t>
      </w:r>
    </w:p>
  </w:footnote>
  <w:footnote w:id="34">
    <w:p w14:paraId="58E2283A" w14:textId="1620DD54" w:rsidR="007511AF" w:rsidRPr="000C134C" w:rsidRDefault="007511AF" w:rsidP="00F43F79">
      <w:pPr>
        <w:pStyle w:val="FootnoteText"/>
        <w:spacing w:before="20" w:after="20"/>
        <w:ind w:left="284" w:hanging="288"/>
        <w:rPr>
          <w:iCs/>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{"citationID":"OvMeenh3","properties":{"formattedCitation":"Margo A Bagley and others, \\uc0\\u8216{}Fact-Finding Study on How Domestic Measures Address Benefit-Sharing Arising from Commercial and Non-Commercial Use of Digital Sequence Information on Genetic Resources and Address the Use of Digital Sequence Information on Genetic Resources for Research and Development\\uc0\\u8217{} (Secretariat of the Convention on Biological Diversity 29 January 2020).","plainCitation":"Margo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2020).","noteIndex":28},"citationItems":[{"id":648,"uris":["http://zotero.org/users/local/dU5rpCrq/items/PD5M6V67"],"uri":["http://zotero.org/users/local/dU5rpCrq/items/PD5M6V67"],"itemData":{"id":648,"type":"article","multi":{"main":{},"_keys":{}},"publisher":"Secretariat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w:t>
      </w:r>
      <w:r w:rsidRPr="000C134C">
        <w:rPr>
          <w:kern w:val="18"/>
          <w:sz w:val="18"/>
          <w:szCs w:val="18"/>
          <w:lang w:val="en-GB"/>
        </w:rPr>
        <w:fldChar w:fldCharType="end"/>
      </w:r>
      <w:r w:rsidRPr="000C134C">
        <w:rPr>
          <w:kern w:val="18"/>
          <w:sz w:val="18"/>
          <w:szCs w:val="18"/>
          <w:lang w:val="en-GB"/>
        </w:rPr>
        <w:t xml:space="preserve"> &lt;https://www.cbd.int/doc/c/428d/017b/1b0c60b47af50c81a1a34d52/dsi-ahteg-2020-01-05-en.pdf.</w:t>
      </w:r>
    </w:p>
  </w:footnote>
  <w:footnote w:id="35">
    <w:p w14:paraId="70B101C5" w14:textId="61D391D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Convention on Biological Diversity, art 4(b).</w:t>
      </w:r>
    </w:p>
  </w:footnote>
  <w:footnote w:id="36">
    <w:p w14:paraId="2D631ECF" w14:textId="4D301FF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{"citationID":"ijjd3E87","properties":{"formattedCitation":"See Morgera and others (n 27) 81\\uc0\\u8211{}83 for additional commentary on this matter.","plainCitation":"See Morgera and others (n 27) 81–83 for additional commentary on this matter.","noteIndex":30},"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81-83","prefix":"See ","suffix":" for additional commentary on this matter."}],"schema":"https://github.com/citation-style-language/schema/raw/master/csl-citation.json"}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See Morgera and others (n 2</w:t>
      </w:r>
      <w:r w:rsidR="00F35E38" w:rsidRPr="000C134C">
        <w:rPr>
          <w:kern w:val="18"/>
          <w:sz w:val="18"/>
          <w:szCs w:val="18"/>
          <w:lang w:val="en-GB"/>
        </w:rPr>
        <w:t>9</w:t>
      </w:r>
      <w:r w:rsidRPr="000C134C">
        <w:rPr>
          <w:kern w:val="18"/>
          <w:sz w:val="18"/>
          <w:szCs w:val="18"/>
          <w:lang w:val="en-GB"/>
        </w:rPr>
        <w:t>) 81–83 for additional commentary on this matter.</w:t>
      </w:r>
      <w:r w:rsidRPr="000C134C">
        <w:rPr>
          <w:kern w:val="18"/>
          <w:sz w:val="18"/>
          <w:szCs w:val="18"/>
          <w:lang w:val="en-GB"/>
        </w:rPr>
        <w:fldChar w:fldCharType="end"/>
      </w:r>
    </w:p>
  </w:footnote>
  <w:footnote w:id="37">
    <w:p w14:paraId="36D657FB" w14:textId="4A47148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{"citationID":"9GlFjUHs","properties":{"formattedCitation":"Secretariat of the Convention on Biological Diversity, \\uc0\\u8216{}Report of the Expert Group Meeting on Article 10 of the Nagoya Protocol on Access and Benefit-Sharing\\uc0\\u8217{} (n 17).","plainCitation":"Secretariat of the Convention on Biological Diversity, ‘Report of the Expert Group Meeting on Article 10 of the Nagoya Protocol on Access and Benefit-Sharing’ (n 17).","noteIndex":31},"citationItems":[{"id":620,"uris":["http://zotero.org/users/local/dU5rpCrq/items/ZZATBR7F"],"uri":["http://zotero.org/users/local/dU5rpCrq/items/ZZATBR7F"],"itemData":{"id":620,"type":"article","multi":{"main":{},"_keys":{}},"title":"Report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‘Report of the Expert Group Meeting on Article 10 of the Nagoya Protocol on Access and Benefit-Sharing’ (n 1</w:t>
      </w:r>
      <w:r w:rsidR="00F35E38" w:rsidRPr="000C134C">
        <w:rPr>
          <w:kern w:val="18"/>
          <w:sz w:val="18"/>
          <w:szCs w:val="18"/>
          <w:lang w:val="en-GB"/>
        </w:rPr>
        <w:t>9</w:t>
      </w:r>
      <w:r w:rsidRPr="000C134C">
        <w:rPr>
          <w:kern w:val="18"/>
          <w:sz w:val="18"/>
          <w:szCs w:val="18"/>
          <w:lang w:val="en-GB"/>
        </w:rPr>
        <w:t>).</w:t>
      </w:r>
      <w:r w:rsidRPr="000C134C">
        <w:rPr>
          <w:kern w:val="18"/>
          <w:sz w:val="18"/>
          <w:szCs w:val="18"/>
          <w:lang w:val="en-GB"/>
        </w:rPr>
        <w:fldChar w:fldCharType="end"/>
      </w:r>
    </w:p>
  </w:footnote>
  <w:footnote w:id="38">
    <w:p w14:paraId="6C23E3F2" w14:textId="2D8259B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{"citationID":"zcVNtscb","properties":{"formattedCitation":"Graham Dutfield, \\uc0\\u8216{}Transboundary Resources, Consent and Customary Law\\uc0\\u8217{} (2013) 9 Law, Environment and Development Journal 259, 260.","plainCitation":"Graham Dutfield, ‘Transboundary Resources, Consent and Customary Law’ (2013) 9 Law, Environment and Development Journal 259, 260.","noteIndex":32},"citationItems":[{"id":592,"uris":["http://zotero.org/users/local/dU5rpCrq/items/B5JY57IW"],"uri":["http://zotero.org/users/local/dU5rpCrq/items/B5JY57IW"],"itemData":{"id":592,"type":"article-journal","multi":{"main":{},"_keys":{}},"container-title":"Law,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Law","volume":"9","author":[{"family":"Dutfield","given":"Graham","multi":{"_key":{}}}],"issued":{"date-parts":[["2013"]]},"seeAlso":[]},"locator":"260"}],"schema":"https://github.com/citation-style-language/schema/raw/master/csl-citation.json"}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Graham Dutfield, ‘Transboundary Resources, Consent and Customary Law’ (2013) 9 Law, Environment and Development Journal 259, 260.</w:t>
      </w:r>
      <w:r w:rsidRPr="000C134C">
        <w:rPr>
          <w:kern w:val="18"/>
          <w:sz w:val="18"/>
          <w:szCs w:val="18"/>
          <w:lang w:val="en-GB"/>
        </w:rPr>
        <w:fldChar w:fldCharType="end"/>
      </w:r>
    </w:p>
  </w:footnote>
  <w:footnote w:id="39">
    <w:p w14:paraId="0BAEA7A5" w14:textId="23EA878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{"citationID":"LPp2JOXY","properties":{"formattedCitation":"Morgera and others (n 27) 200.","plainCitation":"Morgera and others (n 27) 200.","noteIndex":33},"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200"}],"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Morgera and others (n 2</w:t>
      </w:r>
      <w:r w:rsidR="00F35E38" w:rsidRPr="000C134C">
        <w:rPr>
          <w:kern w:val="18"/>
          <w:sz w:val="18"/>
          <w:szCs w:val="18"/>
          <w:lang w:val="en-GB"/>
        </w:rPr>
        <w:t>9</w:t>
      </w:r>
      <w:r w:rsidRPr="000C134C">
        <w:rPr>
          <w:kern w:val="18"/>
          <w:sz w:val="18"/>
          <w:szCs w:val="18"/>
          <w:lang w:val="en-GB"/>
        </w:rPr>
        <w:t>) 200.</w:t>
      </w:r>
      <w:r w:rsidRPr="000C134C">
        <w:rPr>
          <w:kern w:val="18"/>
          <w:sz w:val="18"/>
          <w:szCs w:val="18"/>
          <w:lang w:val="en-GB"/>
        </w:rPr>
        <w:fldChar w:fldCharType="end"/>
      </w:r>
    </w:p>
  </w:footnote>
  <w:footnote w:id="40">
    <w:p w14:paraId="0792ADB6" w14:textId="1C2F4A46" w:rsidR="007511AF" w:rsidRPr="000C134C" w:rsidRDefault="007511AF" w:rsidP="00F43F79">
      <w:pPr>
        <w:pStyle w:val="FootnoteText"/>
        <w:spacing w:before="20" w:after="20"/>
        <w:ind w:left="284" w:hanging="288"/>
        <w:rPr>
          <w:i/>
          <w:iCs/>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{"citationID":"JrfCwo1X","properties":{"formattedCitation":"Kakudidi Esezah and others, \\uc0\\u8216{}Antifungal Medicinal Plants Used by Communities Adjacent to Bwindi Impenetrable National Park, South-Western Uganda\\uc0\\u8217{} (2015) 7 European Journal of Medicinal Plants 184, 188.","plainCitation":"Kakudidi Esezah and others, ‘Antifungal Medicinal Plants Used by Communities Adjacent to Bwindi Impenetrable National Park, South-Western Uganda’ (2015) 7 European Journal of Medicinal Plants 184, 188.","noteIndex":34},"citationItems":[{"id":610,"uris":["http://zotero.org/users/local/dU5rpCrq/items/FDAGRPAD"],"uri":["http://zotero.org/users/local/dU5rpCrq/items/FDAGRPAD"],"itemData":{"id":610,"type":"article-journal","multi":{"main":{},"_keys":{}},"container-title":"European Journal of Medicinal Plants","DOI":"10.9734/EJMP/2015/16237","ISSN":"2231-0894","issue":"4","language":"en-US","page":"184-192","source":"www.journalejmp.com","title":"Antifungal Medicinal Plants Used by Communities Adjacent to Bwindi Impenetrable National Park, South-Western Uganda","volume":"7","author":[{"family":"Esezah","given":"Kakudidi","multi":{"_key":{}}},{"family":"Godwin","given":"Anywar","multi":{"_key":{}}},{"family":"Fredrick","given":"Ayorekire","multi":{"_key":{}}},{"family":"Jasper","given":"Ogwal-Okeng","multi":{"_key":{}}}],"issued":{"date-parts":[["2015"]]},"seeAlso":[]},"locator":"188"}],"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Kakudidi Esezah and others, ‘Antifungal Medicinal Plants Used by Communities Adjacent to Bwindi Impenetrable National Park, South-Western Uganda’ (2015) 7 European Journal of Medicinal Plants 184, 188.</w:t>
      </w:r>
      <w:r w:rsidRPr="000C134C">
        <w:rPr>
          <w:kern w:val="18"/>
          <w:sz w:val="18"/>
          <w:szCs w:val="18"/>
          <w:lang w:val="en-GB"/>
        </w:rPr>
        <w:fldChar w:fldCharType="end"/>
      </w:r>
    </w:p>
  </w:footnote>
  <w:footnote w:id="41">
    <w:p w14:paraId="211ECB41" w14:textId="37AB917A"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{"citationID":"vvQuGN6K","properties":{"formattedCitation":"\\uc0\\u8216{}Carnegie Museum of Natural History Herbarium Catalog No CM226483\\uc0\\u8217{} ({\\i{}SERNEC Detailed Collection Record Information}, no date) &lt;http://sernecportal.org/portal/collections/individual/index.php?occid=12316926&amp;clid=0%3e&gt; accessed 29 February 2020.","plainCitation":"‘Carnegie Museum of Natural History Herbarium Catalog No CM226483’ (SERNEC Detailed Collection Record Information, no date) &lt;http://sernecportal.org/portal/collections/individual/index.php?occid=12316926&amp;clid=0%3e&gt; accessed 29 February 2020.","dontUpdate":true,"noteIndex":35},"citationItems":[{"id":656,"uris":["http://zotero.org/users/local/dU5rpCrq/items/R4EQ76ZQ"],"uri":["http://zotero.org/users/local/dU5rpCrq/items/R4EQ76ZQ"],"itemData":{"id":656,"type":"webpage","multi":{"main":{},"_keys":{}},"container-title":"SERNEC Detailed Collection Record Information","title":"Carnegie Museum of Natural History Herbarium Catalog No CM226483","URL":"http://sernecportal.org/portal/collections/individual/index.php?occid=12316926&amp;clid=0%3e","accessed":{"date-parts":[["2020",2,28]]},"seeAlso":[]}}],"schema":"https://github.com/citation-style-language/schema/raw/master/csl-citation.json"}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‘Carnegie Museum of Natural History Herbarium Catalog No CM226483’ (</w:t>
      </w:r>
      <w:r w:rsidRPr="000C134C">
        <w:rPr>
          <w:i/>
          <w:iCs/>
          <w:kern w:val="18"/>
          <w:sz w:val="18"/>
          <w:szCs w:val="18"/>
          <w:lang w:val="en-GB"/>
        </w:rPr>
        <w:t>SERNEC Detailed Collection Record Information</w:t>
      </w:r>
      <w:r w:rsidRPr="000C134C">
        <w:rPr>
          <w:kern w:val="18"/>
          <w:sz w:val="18"/>
          <w:szCs w:val="18"/>
          <w:lang w:val="en-GB"/>
        </w:rPr>
        <w:t>, no date) &lt;http://sernecportal.org/portal/collections/individual/index.php?occid=12316926&amp;clid=</w:t>
      </w:r>
      <w:r w:rsidRPr="000C134C">
        <w:rPr>
          <w:kern w:val="18"/>
          <w:sz w:val="18"/>
          <w:szCs w:val="18"/>
          <w:lang w:val="en-GB"/>
        </w:rPr>
        <w:br/>
        <w:t>0%3e&gt; accessed 29 February 2020.</w:t>
      </w:r>
      <w:r w:rsidRPr="000C134C">
        <w:rPr>
          <w:kern w:val="18"/>
          <w:sz w:val="18"/>
          <w:szCs w:val="18"/>
          <w:lang w:val="en-GB"/>
        </w:rPr>
        <w:fldChar w:fldCharType="end"/>
      </w:r>
      <w:r w:rsidRPr="000C134C">
        <w:rPr>
          <w:kern w:val="18"/>
          <w:sz w:val="18"/>
          <w:szCs w:val="18"/>
          <w:lang w:val="en-GB"/>
        </w:rPr>
        <w:t xml:space="preserve">  </w:t>
      </w:r>
    </w:p>
  </w:footnote>
  <w:footnote w:id="42">
    <w:p w14:paraId="71C71668" w14:textId="71147EA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{"citationID":"lX443vC2","properties":{"formattedCitation":"\\uc0\\u8216{}Arizona State University Vascular Plant Herbarium Catalog No ASU0104660\\uc0\\u8217{} ({\\i{}SERNEC Detailed Collection Record Information}, no date) &lt;http://sernecportal.org/portal/collections/individual/index.php?occid=11238099&amp;clid=0&gt; accessed 28 February 2020.","plainCitation":"‘Arizona State University Vascular Plant Herbarium Catalog No ASU0104660’ (SERNEC Detailed Collection Record Information, no date) &lt;http://sernecportal.org/portal/collections/individual/index.php?occid=11238099&amp;clid=0&gt; accessed 28 February 2020.","dontUpdate":true,"noteIndex":36},"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‘Arizona State University Vascular Plant Herbarium Catalog No ASU0104660’ (</w:t>
      </w:r>
      <w:r w:rsidRPr="000C134C">
        <w:rPr>
          <w:i/>
          <w:iCs/>
          <w:kern w:val="18"/>
          <w:sz w:val="18"/>
          <w:szCs w:val="18"/>
          <w:lang w:val="en-GB"/>
        </w:rPr>
        <w:t>SERNEC Detailed Collection Record Information</w:t>
      </w:r>
      <w:r w:rsidRPr="000C134C">
        <w:rPr>
          <w:kern w:val="18"/>
          <w:sz w:val="18"/>
          <w:szCs w:val="18"/>
          <w:lang w:val="en-GB"/>
        </w:rPr>
        <w:t>, no date) &lt;http://sernecportal.org/portal/collections/individual/index.php?occid=11238099</w:t>
      </w:r>
      <w:r w:rsidRPr="000C134C">
        <w:rPr>
          <w:kern w:val="18"/>
          <w:sz w:val="18"/>
          <w:szCs w:val="18"/>
          <w:lang w:val="en-GB"/>
        </w:rPr>
        <w:br/>
        <w:t>&amp;clid=0&gt; accessed 28 February 2020</w:t>
      </w:r>
      <w:r w:rsidRPr="000C134C">
        <w:rPr>
          <w:kern w:val="18"/>
          <w:sz w:val="18"/>
          <w:szCs w:val="18"/>
          <w:lang w:val="en-GB"/>
        </w:rPr>
        <w:fldChar w:fldCharType="end"/>
      </w:r>
      <w:r w:rsidRPr="000C134C">
        <w:rPr>
          <w:kern w:val="18"/>
          <w:sz w:val="18"/>
          <w:szCs w:val="18"/>
          <w:lang w:val="en-GB"/>
        </w:rPr>
        <w:t xml:space="preserve"> (indicating “Native of Madagascar to India”). There are numerous herbarium records in SERNEC for this plant family collected from a wide diversity of countries, including Cuba, the Bahamas, and the Philippines. </w:t>
      </w:r>
    </w:p>
  </w:footnote>
  <w:footnote w:id="43">
    <w:p w14:paraId="725C6F51" w14:textId="2D9B4BA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{"citationID":"DGZqgpG5","properties":{"formattedCitation":"African Union Scientific Technical Research Commission, {\\i{}African Pharmacopoeia} (2nd edn, African Union 2014) 27.","plainCitation":"African Union Scientific Technical Research Commission, African Pharmacopoeia (2nd edn, African Union 2014) 27.","noteIndex":37},"citationItems":[{"id":653,"uris":["http://zotero.org/users/local/dU5rpCrq/items/S68BTUW2"],"uri":["http://zotero.org/users/local/dU5rpCrq/items/S68BTUW2"],"itemData":{"id":653,"type":"book","multi":{"main":{},"_keys":{}},"edition":"2","publisher":"African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African Union Scientific Technical Research Commission, </w:t>
      </w:r>
      <w:r w:rsidRPr="000C134C">
        <w:rPr>
          <w:i/>
          <w:iCs/>
          <w:kern w:val="18"/>
          <w:sz w:val="18"/>
          <w:szCs w:val="18"/>
          <w:lang w:val="en-GB"/>
        </w:rPr>
        <w:t>African Pharmacopoeia</w:t>
      </w:r>
      <w:r w:rsidRPr="000C134C">
        <w:rPr>
          <w:kern w:val="18"/>
          <w:sz w:val="18"/>
          <w:szCs w:val="18"/>
          <w:lang w:val="en-GB"/>
        </w:rPr>
        <w:t xml:space="preserve"> (2nd edn, African Union 2014) 27.</w:t>
      </w:r>
      <w:r w:rsidRPr="000C134C">
        <w:rPr>
          <w:kern w:val="18"/>
          <w:sz w:val="18"/>
          <w:szCs w:val="18"/>
          <w:lang w:val="en-GB"/>
        </w:rPr>
        <w:fldChar w:fldCharType="end"/>
      </w:r>
      <w:r w:rsidRPr="000C134C">
        <w:rPr>
          <w:kern w:val="18"/>
          <w:sz w:val="18"/>
          <w:szCs w:val="18"/>
          <w:lang w:val="en-GB"/>
        </w:rPr>
        <w:t xml:space="preserve"> See also The Royal Botanic Gardens, Kew (Kew) has a helpful search tool “Plants of the World” which can be used to identify many of the world’s plants which are native to more than one country. See </w:t>
      </w:r>
      <w:r w:rsidRPr="000C134C">
        <w:rPr>
          <w:kern w:val="18"/>
          <w:sz w:val="18"/>
          <w:szCs w:val="18"/>
          <w:lang w:val="en-GB"/>
        </w:rPr>
        <w:fldChar w:fldCharType="begin"/>
      </w:r>
      <w:r w:rsidRPr="000C134C">
        <w:rPr>
          <w:kern w:val="18"/>
          <w:sz w:val="18"/>
          <w:szCs w:val="18"/>
          <w:lang w:val="en-GB"/>
        </w:rPr>
        <w:instrText xml:space="preserve"> ADDIN ZOTERO_ITEM CSL_CITATION {"citationID":"H9k6tzXs","properties":{"formattedCitation":"Royal Botanic Gardens, Kew, \\uc0\\u8216{}Plants of the World\\uc0\\u8217{} (no date) &lt;http://www.plantsoftheworldonline.org&gt; accessed 28 February 2020.","plainCitation":"Royal Botanic Gardens, Kew, ‘Plants of the World’ (no date) &lt;http://www.plantsoftheworldonline.org&gt; accessed 28 February 2020.","noteIndex":38},"citationItems":[{"id":625,"uris":["http://zotero.org/users/local/dU5rpCrq/items/B5I56B3F"],"uri":["http://zotero.org/users/local/dU5rpCrq/items/B5I56B3F"],"itemData":{"id":625,"type":"webpage","multi":{"main":{},"_keys":{}},"title":"Plants of the World","URL":"http://www.plantsoftheworldonline.org","author":[{"family":"Royal Botanic Gardens, Kew","given":"","literal":"Royal Botanic Gardens, Kew","multi":{"_key":{}}}],"accessed":{"date-parts":[["2020",2,28]]},"seeAlso":[]}}],"schema":"https://github.com/citation-style-language/schema/raw/master/csl-citation.json"}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Royal Botanic Gardens, Kew, ‘Plants of the World’ (no date) &lt;http://www.plantsoftheworldonline.org&gt; accessed 28 February 2020.</w:t>
      </w:r>
      <w:r w:rsidRPr="000C134C">
        <w:rPr>
          <w:kern w:val="18"/>
          <w:sz w:val="18"/>
          <w:szCs w:val="18"/>
          <w:lang w:val="en-GB"/>
        </w:rPr>
        <w:fldChar w:fldCharType="end"/>
      </w:r>
    </w:p>
  </w:footnote>
  <w:footnote w:id="44">
    <w:p w14:paraId="43138228" w14:textId="73DB7E24"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iCs/>
          <w:kern w:val="18"/>
          <w:sz w:val="18"/>
          <w:szCs w:val="18"/>
          <w:lang w:val="en-GB"/>
        </w:rPr>
        <w:t>See</w:t>
      </w:r>
      <w:r w:rsidRPr="000C134C">
        <w:rPr>
          <w:kern w:val="18"/>
          <w:sz w:val="18"/>
          <w:szCs w:val="18"/>
          <w:lang w:val="en-GB"/>
        </w:rPr>
        <w:t xml:space="preserve"> </w:t>
      </w:r>
      <w:r w:rsidRPr="000C134C">
        <w:rPr>
          <w:i/>
          <w:iCs/>
          <w:kern w:val="18"/>
          <w:sz w:val="18"/>
          <w:szCs w:val="18"/>
          <w:lang w:val="en-GB"/>
        </w:rPr>
        <w:t xml:space="preserve">Use of </w:t>
      </w:r>
      <w:proofErr w:type="spellStart"/>
      <w:r w:rsidRPr="000C134C">
        <w:rPr>
          <w:i/>
          <w:iCs/>
          <w:kern w:val="18"/>
          <w:sz w:val="18"/>
          <w:szCs w:val="18"/>
          <w:lang w:val="en-GB"/>
        </w:rPr>
        <w:t>rosmarinic</w:t>
      </w:r>
      <w:proofErr w:type="spellEnd"/>
      <w:r w:rsidRPr="000C134C">
        <w:rPr>
          <w:i/>
          <w:iCs/>
          <w:kern w:val="18"/>
          <w:sz w:val="18"/>
          <w:szCs w:val="18"/>
          <w:lang w:val="en-GB"/>
        </w:rPr>
        <w:t xml:space="preserve"> acid and the derivatives thereof to treat ciguatera</w:t>
      </w:r>
      <w:r w:rsidRPr="000C134C">
        <w:rPr>
          <w:kern w:val="18"/>
          <w:sz w:val="18"/>
          <w:szCs w:val="18"/>
          <w:lang w:val="en-GB"/>
        </w:rPr>
        <w:t xml:space="preserve"> International Patent (PCT) Application No. WO2011012780A1.</w:t>
      </w:r>
    </w:p>
  </w:footnote>
  <w:footnote w:id="45">
    <w:p w14:paraId="4E23A281" w14:textId="1B343E9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{"citationID":"v7vzBb4z","properties":{"formattedCitation":"CABI, \\uc0\\u8216{}Azadirachta Indica (Neem Tree)\\uc0\\u8217{} ({\\i{}Invasive Species Compendium}, 25 November 2019) &lt;https://www.cabi.org/isc/datasheet/8112#todistribution&gt; accessed 28 February 2020.","plainCitation":"CABI, ‘Azadirachta Indica (Neem Tree)’ (Invasive Species Compendium, 25 November 2019) &lt;https://www.cabi.org/isc/datasheet/8112#todistribution&gt; accessed 28 February 2020.","noteIndex":40},"citationItems":[{"id":626,"uris":["http://zotero.org/users/local/dU5rpCrq/items/YMPFEI4Q"],"uri":["http://zotero.org/users/local/dU5rpCrq/items/YMPFEI4Q"],"itemData":{"id":626,"type":"webpage","multi":{"main":{},"_keys":{}},"container-title":"Invasive Species Compendium","title":"Azadirachta indica (neem tree)","URL":"https://www.cabi.org/isc/datasheet/8112#todistribution","author":[{"family":"CABI","given":"","literal":"CABI","multi":{"_key":{}}}],"accessed":{"date-parts":[["2020",2,28]]},"issued":{"date-parts":[["2019",11,25]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CABI, ‘Azadirachta Indica (Neem Tree)’ (</w:t>
      </w:r>
      <w:r w:rsidRPr="000C134C">
        <w:rPr>
          <w:i/>
          <w:iCs/>
          <w:kern w:val="18"/>
          <w:sz w:val="18"/>
          <w:szCs w:val="18"/>
          <w:lang w:val="en-GB"/>
        </w:rPr>
        <w:t>Invasive Species Compendium</w:t>
      </w:r>
      <w:r w:rsidRPr="000C134C">
        <w:rPr>
          <w:kern w:val="18"/>
          <w:sz w:val="18"/>
          <w:szCs w:val="18"/>
          <w:lang w:val="en-GB"/>
        </w:rPr>
        <w:t>, 25 November 2019) &lt;https://www.cabi.org/isc/datasheet/8112#todistribution&gt; accessed 28 February 2020.</w:t>
      </w:r>
      <w:r w:rsidRPr="000C134C">
        <w:rPr>
          <w:kern w:val="18"/>
          <w:sz w:val="18"/>
          <w:szCs w:val="18"/>
          <w:lang w:val="en-GB"/>
        </w:rPr>
        <w:fldChar w:fldCharType="end"/>
      </w:r>
      <w:r w:rsidRPr="000C134C">
        <w:rPr>
          <w:kern w:val="18"/>
          <w:sz w:val="18"/>
          <w:szCs w:val="18"/>
          <w:lang w:val="en-GB"/>
        </w:rPr>
        <w:t xml:space="preserve"> (“There is much confusion in the literature about the natural distribution of </w:t>
      </w:r>
      <w:r w:rsidRPr="000C134C">
        <w:rPr>
          <w:i/>
          <w:iCs/>
          <w:kern w:val="18"/>
          <w:sz w:val="18"/>
          <w:szCs w:val="18"/>
          <w:lang w:val="en-GB"/>
        </w:rPr>
        <w:t xml:space="preserve">A. </w:t>
      </w:r>
      <w:proofErr w:type="spellStart"/>
      <w:r w:rsidRPr="000C134C">
        <w:rPr>
          <w:i/>
          <w:iCs/>
          <w:kern w:val="18"/>
          <w:sz w:val="18"/>
          <w:szCs w:val="18"/>
          <w:lang w:val="en-GB"/>
        </w:rPr>
        <w:t>indica</w:t>
      </w:r>
      <w:proofErr w:type="spellEnd"/>
      <w:r w:rsidRPr="000C134C">
        <w:rPr>
          <w:kern w:val="18"/>
          <w:sz w:val="18"/>
          <w:szCs w:val="18"/>
          <w:lang w:val="en-GB"/>
        </w:rPr>
        <w:t xml:space="preserve">. It </w:t>
      </w:r>
      <w:proofErr w:type="gramStart"/>
      <w:r w:rsidRPr="000C134C">
        <w:rPr>
          <w:kern w:val="18"/>
          <w:sz w:val="18"/>
          <w:szCs w:val="18"/>
          <w:lang w:val="en-GB"/>
        </w:rPr>
        <w:t>is considered to be</w:t>
      </w:r>
      <w:proofErr w:type="gramEnd"/>
      <w:r w:rsidRPr="000C134C">
        <w:rPr>
          <w:kern w:val="18"/>
          <w:sz w:val="18"/>
          <w:szCs w:val="18"/>
          <w:lang w:val="en-GB"/>
        </w:rPr>
        <w:t xml:space="preserve"> native to dry areas in Afghanistan, Pakistan, India, Sri Lanka, Bangladesh, Myanmar and China”).</w:t>
      </w:r>
    </w:p>
  </w:footnote>
  <w:footnote w:id="46">
    <w:p w14:paraId="306947CF" w14:textId="141AC88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Possibly to avoid a benefit-sharing requirement. See  Delegation of Switzerland, </w:t>
      </w:r>
      <w:r w:rsidRPr="000C134C">
        <w:rPr>
          <w:i/>
          <w:kern w:val="18"/>
          <w:sz w:val="18"/>
          <w:szCs w:val="18"/>
          <w:lang w:val="en-GB"/>
        </w:rPr>
        <w:t>The Declaration of the Source of Genetic Resources and Traditional Knowledge in the Swiss Patent Act and Related Swiss Regulations on Genetic Resources – Submission by Switzerland in Response to Document WIPO/GRTKF/IC/30/9</w:t>
      </w:r>
      <w:r w:rsidRPr="000C134C">
        <w:rPr>
          <w:kern w:val="18"/>
          <w:sz w:val="18"/>
          <w:szCs w:val="18"/>
          <w:lang w:val="en-GB"/>
        </w:rPr>
        <w:t>, Intergovernmental Committee on Intellectual Property and Genetic Resources, Traditional Knowledge and Folklore, WIPO/GRTKF/IC/31/8 (Sept. 2016)[hereinafter, Switzerland, Declaration of Source]. The Swiss government, in explaining a preference in their law for patent applicants to identify the “source” of genetic resources as opposed to the “country of origin” of genetic resources, noted:</w:t>
      </w:r>
    </w:p>
    <w:p w14:paraId="6C0FECB6" w14:textId="6E3524C7" w:rsidR="007511AF" w:rsidRPr="000C134C" w:rsidRDefault="007511AF" w:rsidP="00F43F79">
      <w:pPr>
        <w:pStyle w:val="FootnoteText"/>
        <w:spacing w:before="20" w:after="20"/>
        <w:ind w:left="284" w:right="720"/>
        <w:rPr>
          <w:kern w:val="18"/>
          <w:sz w:val="18"/>
          <w:szCs w:val="18"/>
          <w:lang w:val="en-GB"/>
        </w:rPr>
      </w:pPr>
      <w:r w:rsidRPr="000C134C">
        <w:rPr>
          <w:kern w:val="18"/>
          <w:sz w:val="18"/>
          <w:szCs w:val="18"/>
          <w:lang w:val="en-GB"/>
        </w:rPr>
        <w:t xml:space="preserve">If, however, the patent applicant would need to disclose the “the country of origin,” as is proposed by some delegations in the IGC negotiations, the patent applicant could disclose any of the countries of origin, namely Austria, France, Germany, Italy, Romania or Switzerland, irrespective of whether the plant was actually sourced in the country of origin that he disclosed. The concept of “country of origin” would thus provide </w:t>
      </w:r>
      <w:r w:rsidRPr="000C134C">
        <w:rPr>
          <w:i/>
          <w:kern w:val="18"/>
          <w:sz w:val="18"/>
          <w:szCs w:val="18"/>
          <w:lang w:val="en-GB"/>
        </w:rPr>
        <w:t xml:space="preserve">a possibility to avoid disclosing the country that </w:t>
      </w:r>
      <w:proofErr w:type="gramStart"/>
      <w:r w:rsidRPr="000C134C">
        <w:rPr>
          <w:i/>
          <w:kern w:val="18"/>
          <w:sz w:val="18"/>
          <w:szCs w:val="18"/>
          <w:lang w:val="en-GB"/>
        </w:rPr>
        <w:t>actually provided</w:t>
      </w:r>
      <w:proofErr w:type="gramEnd"/>
      <w:r w:rsidRPr="000C134C">
        <w:rPr>
          <w:i/>
          <w:kern w:val="18"/>
          <w:sz w:val="18"/>
          <w:szCs w:val="18"/>
          <w:lang w:val="en-GB"/>
        </w:rPr>
        <w:t xml:space="preserve"> the genetic resource</w:t>
      </w:r>
      <w:r w:rsidRPr="000C134C">
        <w:rPr>
          <w:kern w:val="18"/>
          <w:sz w:val="18"/>
          <w:szCs w:val="18"/>
          <w:lang w:val="en-GB"/>
        </w:rPr>
        <w:t>.  This would run counter to the objective of enhancing transparency in access and benefit-sharing.</w:t>
      </w:r>
    </w:p>
    <w:p w14:paraId="5845CFAA" w14:textId="47C8C8B7" w:rsidR="007511AF" w:rsidRPr="000C134C" w:rsidRDefault="007511AF" w:rsidP="00F43F79">
      <w:pPr>
        <w:pStyle w:val="FootnoteText"/>
        <w:spacing w:before="20" w:after="20"/>
        <w:ind w:left="284" w:hanging="288"/>
        <w:rPr>
          <w:kern w:val="18"/>
          <w:sz w:val="18"/>
          <w:szCs w:val="18"/>
          <w:lang w:val="en-GB"/>
        </w:rPr>
      </w:pPr>
      <w:r w:rsidRPr="000C134C">
        <w:rPr>
          <w:iCs/>
          <w:kern w:val="18"/>
          <w:sz w:val="18"/>
          <w:szCs w:val="18"/>
          <w:lang w:val="en-GB"/>
        </w:rPr>
        <w:t>ibid</w:t>
      </w:r>
      <w:r w:rsidRPr="000C134C">
        <w:rPr>
          <w:kern w:val="18"/>
          <w:sz w:val="18"/>
          <w:szCs w:val="18"/>
          <w:lang w:val="en-GB"/>
        </w:rPr>
        <w:t xml:space="preserve"> para 21 (emphasis added).  In addition, t</w:t>
      </w:r>
      <w:bookmarkStart w:id="105" w:name="_Toc457989476"/>
      <w:bookmarkStart w:id="106" w:name="_Toc457988593"/>
      <w:bookmarkStart w:id="107" w:name="_Toc457394811"/>
      <w:bookmarkStart w:id="108" w:name="_Toc457391469"/>
      <w:r w:rsidRPr="000C134C">
        <w:rPr>
          <w:kern w:val="18"/>
          <w:sz w:val="18"/>
          <w:szCs w:val="18"/>
          <w:lang w:val="en-GB"/>
        </w:rPr>
        <w:t>he Swiss Patent Act provides for post-grant sanctions of up to a 100,000 Swiss Francs fine and publication of a judge’s ruling, for the intentional wrongful declaration of a source (Art. 81</w:t>
      </w:r>
      <w:r w:rsidRPr="000C134C">
        <w:rPr>
          <w:i/>
          <w:kern w:val="18"/>
          <w:sz w:val="18"/>
          <w:szCs w:val="18"/>
          <w:lang w:val="en-GB"/>
        </w:rPr>
        <w:t>a</w:t>
      </w:r>
      <w:r w:rsidRPr="000C134C">
        <w:rPr>
          <w:kern w:val="18"/>
          <w:sz w:val="18"/>
          <w:szCs w:val="18"/>
          <w:lang w:val="en-GB"/>
        </w:rPr>
        <w:t xml:space="preserve"> </w:t>
      </w:r>
      <w:proofErr w:type="spellStart"/>
      <w:r w:rsidRPr="000C134C">
        <w:rPr>
          <w:kern w:val="18"/>
          <w:sz w:val="18"/>
          <w:szCs w:val="18"/>
          <w:lang w:val="en-GB"/>
        </w:rPr>
        <w:t>PatA</w:t>
      </w:r>
      <w:proofErr w:type="spellEnd"/>
      <w:r w:rsidRPr="000C134C">
        <w:rPr>
          <w:kern w:val="18"/>
          <w:sz w:val="18"/>
          <w:szCs w:val="18"/>
          <w:lang w:val="en-GB"/>
        </w:rPr>
        <w:t xml:space="preserve">). </w:t>
      </w:r>
      <w:r w:rsidRPr="000C134C">
        <w:rPr>
          <w:i/>
          <w:kern w:val="18"/>
          <w:sz w:val="18"/>
          <w:szCs w:val="18"/>
          <w:lang w:val="en-GB"/>
        </w:rPr>
        <w:t>Ibid</w:t>
      </w:r>
      <w:r w:rsidRPr="000C134C">
        <w:rPr>
          <w:kern w:val="18"/>
          <w:sz w:val="18"/>
          <w:szCs w:val="18"/>
          <w:lang w:val="en-GB"/>
        </w:rPr>
        <w:t xml:space="preserve"> at para. 27.  </w:t>
      </w:r>
      <w:bookmarkEnd w:id="105"/>
      <w:bookmarkEnd w:id="106"/>
      <w:bookmarkEnd w:id="107"/>
      <w:bookmarkEnd w:id="108"/>
    </w:p>
  </w:footnote>
  <w:footnote w:id="47">
    <w:p w14:paraId="4E02C84A" w14:textId="6DDC5F8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Cs/>
          <w:kern w:val="18"/>
          <w:sz w:val="18"/>
          <w:szCs w:val="18"/>
          <w:lang w:val="en-GB"/>
        </w:rPr>
        <w:t xml:space="preserve">Convention on the Conservation of Migratory Species of Wild Animals (adopted </w:t>
      </w:r>
      <w:r w:rsidRPr="000C134C">
        <w:rPr>
          <w:kern w:val="18"/>
          <w:sz w:val="18"/>
          <w:szCs w:val="18"/>
          <w:lang w:val="en-GB"/>
        </w:rPr>
        <w:t>23 June 1979, entered into force 1 November 1983) 19 ILM 15.</w:t>
      </w:r>
    </w:p>
  </w:footnote>
  <w:footnote w:id="48">
    <w:p w14:paraId="5BCAA48F" w14:textId="775E511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6E2482" w:rsidRPr="000C134C">
        <w:rPr>
          <w:kern w:val="18"/>
          <w:sz w:val="18"/>
          <w:szCs w:val="18"/>
          <w:lang w:val="en-GB"/>
        </w:rPr>
        <w:t>I</w:t>
      </w:r>
      <w:r w:rsidRPr="000C134C">
        <w:rPr>
          <w:kern w:val="18"/>
          <w:sz w:val="18"/>
          <w:szCs w:val="18"/>
          <w:lang w:val="en-GB"/>
        </w:rPr>
        <w:t>bid art 1(a).</w:t>
      </w:r>
    </w:p>
  </w:footnote>
  <w:footnote w:id="49">
    <w:p w14:paraId="04145F55" w14:textId="742DECB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For example, consider Article 2 of Executive Decree No. 19 of March 26, 2019, on the Regulation of the Access and Control of the Use of Biological and Genetic Resources in the Republic of Panama and on the Establishment of Other Measures (2019), which states in part: “Migratory species that are found due to natural causes are included in the national territory.” (unofficial translation).</w:t>
      </w:r>
    </w:p>
  </w:footnote>
  <w:footnote w:id="50">
    <w:p w14:paraId="45D92A0A" w14:textId="60DAF327" w:rsidR="007511AF" w:rsidRPr="000C134C" w:rsidRDefault="007511AF" w:rsidP="00F43F79">
      <w:pPr>
        <w:pStyle w:val="FootnoteText"/>
        <w:spacing w:before="20" w:after="20"/>
        <w:ind w:left="288"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 similar issue could be considered in relation to cosmopolitan species. In the field of biogeography, a species is referred to as "cosmopolitan" if its distribution is exhibited in most or all regions of the world.</w:t>
      </w:r>
    </w:p>
  </w:footnote>
  <w:footnote w:id="51">
    <w:p w14:paraId="2D4DCDE9" w14:textId="785A7DC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{"citationID":"Dmci5uqi","properties":{"formattedCitation":"Morgera and others (n 27) 203.","plainCitation":"Morgera and others (n 27) 203.","noteIndex":46},"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203"}],"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Morgera and others (n 2</w:t>
      </w:r>
      <w:r w:rsidR="00F35E38" w:rsidRPr="000C134C">
        <w:rPr>
          <w:kern w:val="18"/>
          <w:sz w:val="18"/>
          <w:szCs w:val="18"/>
          <w:lang w:val="en-GB"/>
        </w:rPr>
        <w:t>9</w:t>
      </w:r>
      <w:r w:rsidRPr="000C134C">
        <w:rPr>
          <w:kern w:val="18"/>
          <w:sz w:val="18"/>
          <w:szCs w:val="18"/>
          <w:lang w:val="en-GB"/>
        </w:rPr>
        <w:t>) 203.</w:t>
      </w:r>
      <w:r w:rsidRPr="000C134C">
        <w:rPr>
          <w:kern w:val="18"/>
          <w:sz w:val="18"/>
          <w:szCs w:val="18"/>
          <w:lang w:val="en-GB"/>
        </w:rPr>
        <w:fldChar w:fldCharType="end"/>
      </w:r>
    </w:p>
  </w:footnote>
  <w:footnote w:id="52">
    <w:p w14:paraId="0817EE73" w14:textId="2DA6F67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{"citationID":"SWAEtpXx","properties":{"formattedCitation":"A James Kettle and others, \\uc0\\u8216{}Where Once the Eel and the Elephant Were Together: Decline of the European Eel Because of Changing Hydrology in Southwest Europe and Northwest Africa?\\uc0\\u8217{} (2011) 12 Fish and Fisheries 380.","plainCitation":"A James Kettle and others, ‘Where Once the Eel and the Elephant Were Together: Decline of the European Eel Because of Changing Hydrology in Southwest Europe and Northwest Africa?’ (2011) 12 Fish and Fisheries 380.","noteIndex":47},"citationItems":[{"id":606,"uris":["http://zotero.org/users/local/dU5rpCrq/items/GVSV3ENC"],"uri":["http://zotero.org/users/local/dU5rpCrq/items/GVSV3ENC"],"itemData":{"id":606,"type":"article-journal","multi":{"main":{},"_keys":{}},"abstract":"The collapse in recruitment of the European eel (Anguilla anguilla) since the early 1980s has been ascribed to possible overfishing, poisoning, parasitism, habitat loss and changes in ocean circulation. It is unclear which mechanism is most important, and firm data are lacking to make an assessment of the factors that apply over the full continental range. On the other hand, the recruitment of the American eel (A. rostrata) has declined along the western Atlantic at about the same time. This suggests a candidate mechanism that can affect both species together. A change in ocean climate may be a likely explanation, which is supported by a possible link between the North Atlantic Oscillation and one important recruitment index. However, it is unsafe to discard the other possible mechanisms because of lack of evidence. Habitat loss, in particular, may be important. We review over a century of evidence to suggest how the eel may have declined through progressive habitat loss that accelerated in the early 1980s as the result of economic development linked with hydrological changes. Although no single line of evidence can definitely prove one hypothesis for the eel decline, the total body of information may indicate a pronounced susceptibility in the southwest corner of the continental range closest to the Sargasso Sea that has been particularly affected by drought and dam construction. The sexual dimorphism of the species together with the energy requirements of the spawning migration may provide insight to explain the population collapse.","container-title":"Fish and Fisheries","DOI":"10.1111/j.1467-2979.2010.00400.x","ISSN":"1467-2979","issue":"4","language":"en","page":"380-411","source":"Wiley Online Library","title":"Where once the eel and the elephant were together: decline of the European eel because of changing hydrology in southwest Europe and northwest Africa?","title-short":"Where once the eel and the elephant were together","volume":"12","author":[{"family":"Kettle","given":"A. James","multi":{"_key":{}}},{"family":"Vøllestad","given":"L. Asbjørn","multi":{"_key":{}}},{"family":"Wibig","given":"Joanna","multi":{"_key":{}}}],"issued":{"date-parts":[["2011"]]},"seeAlso":[]}}],"schema":"https://github.com/citation-style-language/schema/raw/master/csl-citation.json"}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 James Kettle and others, ‘Where Once the Eel and the Elephant Were Together: Decline of the European Eel Because of Changing Hydrology in Southwest Europe and Northwest Africa?’ (2011) 12 Fish and Fisheries 380.</w:t>
      </w:r>
      <w:r w:rsidRPr="000C134C">
        <w:rPr>
          <w:kern w:val="18"/>
          <w:sz w:val="18"/>
          <w:szCs w:val="18"/>
          <w:lang w:val="en-GB"/>
        </w:rPr>
        <w:fldChar w:fldCharType="end"/>
      </w:r>
    </w:p>
  </w:footnote>
  <w:footnote w:id="53">
    <w:p w14:paraId="192365DB" w14:textId="23FA9B6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{"citationID":"xCIM8Dqz","properties":{"formattedCitation":"Secretariat of the Convention on Biological Diversity, \\uc0\\u8216{}The Sargasso Sea\\uc0\\u8217{} ({\\i{}The Clearing House Mechanism of the Convention on Biological Diversity}, 15 June 2015) &lt;https://chm.cbd.int/database/record?documentID=200098&gt; accessed 28 February 2020.","plainCitation":"Secretariat of the Convention on Biological Diversity, ‘The Sargasso Sea’ (The Clearing House Mechanism of the Convention on Biological Diversity, 15 June 2015) &lt;https://chm.cbd.int/database/record?documentID=200098&gt; accessed 28 February 2020.","noteIndex":48},"citationItems":[{"id":608,"uris":["http://zotero.org/users/local/dU5rpCrq/items/B39926YT"],"uri":["http://zotero.org/users/local/dU5rpCrq/items/B39926YT"],"itemData":{"id":608,"type":"webpage","multi":{"main":{},"_keys":{}},"container-title":"The Clearing House Mechanism of the Convention on Biological Diversity","title":"The Sargasso Sea","URL":"https://chm.cbd.int/database/record?documentID=200098","author":[{"family":"Secretariat of the Convention on Biological Diversity","given":"","literal":"Secretariat of the Convention on Biological Diversity","multi":{"_key":{}}}],"accessed":{"date-parts":[["2020",2,28]]},"issued":{"date-parts":[["2015",6,15]]},"seeAlso":[]}}],"schema":"https://github.com/citation-style-language/schema/raw/master/csl-citation.json"}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Secretariat of the Convention on Biological Diversity, ‘The Sargasso Sea’ (</w:t>
      </w:r>
      <w:r w:rsidRPr="000C134C">
        <w:rPr>
          <w:i/>
          <w:iCs/>
          <w:kern w:val="18"/>
          <w:sz w:val="18"/>
          <w:szCs w:val="18"/>
          <w:lang w:val="en-GB"/>
        </w:rPr>
        <w:t>The Clearing House Mechanism of the Convention on Biological Diversity</w:t>
      </w:r>
      <w:r w:rsidRPr="000C134C">
        <w:rPr>
          <w:kern w:val="18"/>
          <w:sz w:val="18"/>
          <w:szCs w:val="18"/>
          <w:lang w:val="en-GB"/>
        </w:rPr>
        <w:t>, 15 June 2015) &lt;https://chm.cbd.int/database/record?documentID=200098&gt; accessed 28 February 2020.</w:t>
      </w:r>
      <w:r w:rsidRPr="000C134C">
        <w:rPr>
          <w:kern w:val="18"/>
          <w:sz w:val="18"/>
          <w:szCs w:val="18"/>
          <w:lang w:val="en-GB"/>
        </w:rPr>
        <w:fldChar w:fldCharType="end"/>
      </w:r>
    </w:p>
  </w:footnote>
  <w:footnote w:id="54">
    <w:p w14:paraId="7E073F3F" w14:textId="314B57A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As noted above, the filing and issuance of patents reflects R&amp;D activity and thus indicates that “utilization of genetic resources” is taking place. E.g. </w:t>
      </w:r>
      <w:proofErr w:type="spellStart"/>
      <w:r w:rsidRPr="000C134C">
        <w:rPr>
          <w:i/>
          <w:kern w:val="18"/>
          <w:sz w:val="18"/>
          <w:szCs w:val="18"/>
          <w:lang w:val="en-GB"/>
        </w:rPr>
        <w:t>Tumor</w:t>
      </w:r>
      <w:proofErr w:type="spellEnd"/>
      <w:r w:rsidRPr="000C134C">
        <w:rPr>
          <w:i/>
          <w:kern w:val="18"/>
          <w:sz w:val="18"/>
          <w:szCs w:val="18"/>
          <w:lang w:val="en-GB"/>
        </w:rPr>
        <w:t xml:space="preserve"> and infectious disease therapeutic compositions</w:t>
      </w:r>
      <w:r w:rsidRPr="000C134C">
        <w:rPr>
          <w:kern w:val="18"/>
          <w:sz w:val="18"/>
          <w:szCs w:val="18"/>
          <w:lang w:val="en-GB"/>
        </w:rPr>
        <w:t xml:space="preserve"> US Patent No US9035033B2; </w:t>
      </w:r>
      <w:r w:rsidRPr="000C134C">
        <w:rPr>
          <w:i/>
          <w:kern w:val="18"/>
          <w:sz w:val="18"/>
          <w:szCs w:val="18"/>
          <w:lang w:val="en-GB"/>
        </w:rPr>
        <w:t>Label free biosensors, gram-negative bacteria detection, and real-time and end point determination of antibiotic effects</w:t>
      </w:r>
      <w:r w:rsidRPr="000C134C">
        <w:rPr>
          <w:kern w:val="18"/>
          <w:sz w:val="18"/>
          <w:szCs w:val="18"/>
          <w:lang w:val="en-GB"/>
        </w:rPr>
        <w:t xml:space="preserve"> US Patent No US10287616B2; </w:t>
      </w:r>
      <w:r w:rsidRPr="000C134C">
        <w:rPr>
          <w:i/>
          <w:kern w:val="18"/>
          <w:sz w:val="18"/>
          <w:szCs w:val="18"/>
          <w:lang w:val="en-GB"/>
        </w:rPr>
        <w:t>Methods and compositions for the inhibition of biofilms on medical devices</w:t>
      </w:r>
      <w:r w:rsidRPr="000C134C">
        <w:rPr>
          <w:kern w:val="18"/>
          <w:sz w:val="18"/>
          <w:szCs w:val="18"/>
          <w:lang w:val="en-GB"/>
        </w:rPr>
        <w:t xml:space="preserve"> US Patent No US8454566B2; </w:t>
      </w:r>
      <w:proofErr w:type="spellStart"/>
      <w:r w:rsidRPr="000C134C">
        <w:rPr>
          <w:i/>
          <w:kern w:val="18"/>
          <w:sz w:val="18"/>
          <w:szCs w:val="18"/>
          <w:lang w:val="en-GB"/>
        </w:rPr>
        <w:t>Bioadhesive</w:t>
      </w:r>
      <w:proofErr w:type="spellEnd"/>
      <w:r w:rsidRPr="000C134C">
        <w:rPr>
          <w:i/>
          <w:kern w:val="18"/>
          <w:sz w:val="18"/>
          <w:szCs w:val="18"/>
          <w:lang w:val="en-GB"/>
        </w:rPr>
        <w:t xml:space="preserve"> microspheres and their use as drug delivery and imaging systems </w:t>
      </w:r>
      <w:r w:rsidRPr="000C134C">
        <w:rPr>
          <w:kern w:val="18"/>
          <w:sz w:val="18"/>
          <w:szCs w:val="18"/>
          <w:lang w:val="en-GB"/>
        </w:rPr>
        <w:t xml:space="preserve">US Patent No US6365187B2; </w:t>
      </w:r>
      <w:r w:rsidRPr="000C134C">
        <w:rPr>
          <w:i/>
          <w:kern w:val="18"/>
          <w:sz w:val="18"/>
          <w:szCs w:val="18"/>
          <w:lang w:val="en-GB"/>
        </w:rPr>
        <w:t xml:space="preserve">Method of using lectins for contraception, prophylaxis against diseases transmittable by sexual contact, and therapy of such diseases, and apparatus for administering lectins </w:t>
      </w:r>
      <w:r w:rsidRPr="000C134C">
        <w:rPr>
          <w:iCs/>
          <w:kern w:val="18"/>
          <w:sz w:val="18"/>
          <w:szCs w:val="18"/>
          <w:lang w:val="en-GB"/>
        </w:rPr>
        <w:t xml:space="preserve">US </w:t>
      </w:r>
      <w:r w:rsidRPr="000C134C">
        <w:rPr>
          <w:kern w:val="18"/>
          <w:sz w:val="18"/>
          <w:szCs w:val="18"/>
          <w:lang w:val="en-GB"/>
        </w:rPr>
        <w:t xml:space="preserve">Patent US6743773B2; </w:t>
      </w:r>
      <w:r w:rsidRPr="000C134C">
        <w:rPr>
          <w:i/>
          <w:kern w:val="18"/>
          <w:sz w:val="18"/>
          <w:szCs w:val="18"/>
          <w:lang w:val="en-GB"/>
        </w:rPr>
        <w:t>Method of using lectins for prevention and treatment of oral and alimentary tract disorders</w:t>
      </w:r>
      <w:r w:rsidRPr="000C134C">
        <w:rPr>
          <w:kern w:val="18"/>
          <w:sz w:val="18"/>
          <w:szCs w:val="18"/>
          <w:lang w:val="en-GB"/>
        </w:rPr>
        <w:t xml:space="preserve"> US Patent US7790672B2.</w:t>
      </w:r>
    </w:p>
  </w:footnote>
  <w:footnote w:id="55">
    <w:p w14:paraId="77125908" w14:textId="4CEE2C7A"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kern w:val="18"/>
          <w:sz w:val="18"/>
          <w:szCs w:val="18"/>
          <w:lang w:val="en-GB"/>
        </w:rPr>
        <w:t>Orally administrable immunostimulant product for aquaculture</w:t>
      </w:r>
      <w:r w:rsidRPr="000C134C">
        <w:rPr>
          <w:kern w:val="18"/>
          <w:sz w:val="18"/>
          <w:szCs w:val="18"/>
          <w:lang w:val="en-GB"/>
        </w:rPr>
        <w:t xml:space="preserve"> European Patent (EPO) No EP2349224B1. </w:t>
      </w:r>
    </w:p>
  </w:footnote>
  <w:footnote w:id="56">
    <w:p w14:paraId="5DBC9441" w14:textId="46FAED2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e.g. </w:t>
      </w:r>
      <w:r w:rsidRPr="000C134C">
        <w:rPr>
          <w:kern w:val="18"/>
          <w:sz w:val="18"/>
          <w:szCs w:val="18"/>
          <w:lang w:val="en-GB"/>
        </w:rPr>
        <w:fldChar w:fldCharType="begin"/>
      </w:r>
      <w:r w:rsidRPr="000C134C">
        <w:rPr>
          <w:kern w:val="18"/>
          <w:sz w:val="18"/>
          <w:szCs w:val="18"/>
          <w:lang w:val="en-GB"/>
        </w:rPr>
        <w:instrText xml:space="preserve"> ADDIN ZOTERO_ITEM CSL_CITATION {"citationID":"MMAfPPJU","properties":{"formattedCitation":"Gerald McCormack, \\uc0\\u8216{}Cook Islands Biodiversity\\uc0\\u8239{}: Cook Islands\\uc0\\u8217{} Largest Butterfly - the Monarch\\uc0\\u8217{} ({\\i{}Cook Islands Natural Heritage Trust}, 7 December 2005) &lt;http://cookislands.bishopmuseum.org/showarticle.asp?id=21&gt; accessed 28 February 2020; Monarch Butterfly New Zealand Trust, \\uc0\\u8216{}Monarch Sightings Map\\uc0\\u8217{} (no date) &lt;https://www.monarch.org.nz/introduction-to-research/monarch-sightings-map/&gt; accessed 28 February 2020.","plainCitation":"Gerald McCormack, ‘Cook Islands Biodiversity : Cook Islands’ Largest Butterfly - the Monarch’ (Cook Islands Natural Heritage Trust, 7 December 2005) &lt;http://cookislands.bishopmuseum.org/showarticle.asp?id=21&gt; accessed 28 February 2020; Monarch Butterfly New Zealand Trust, ‘Monarch Sightings Map’ (no date) &lt;https://www.monarch.org.nz/introduction-to-research/monarch-sightings-map/&gt; accessed 28 February 2020.","dontUpdate":true,"noteIndex":52},"citationItems":[{"id":649,"uris":["http://zotero.org/users/local/dU5rpCrq/items/PYMLMSW9"],"uri":["http://zotero.org/users/local/dU5rpCrq/items/PYMLMSW9"],"itemData":{"id":649,"type":"webpage","multi":{"main":{},"_keys":{}},"container-title":"Cook Islands Natural Heritage Trust","title":"Cook Islands Biodiversity : Cook Islands' Largest Butterfly - the Monarch","URL":"http://cookislands.bishopmuseum.org/showarticle.asp?id=21","author":[{"family":"McCormack","given":"Gerald","multi":{"_key":{}}}],"accessed":{"date-parts":[["2020",2,28]]},"issued":{"date-parts":[["2005",12,7]]},"seeAlso":[]}},{"id":651,"uris":["http://zotero.org/users/local/dU5rpCrq/items/VJYKB9JE"],"uri":["http://zotero.org/users/local/dU5rpCrq/items/VJYKB9JE"],"itemData":{"id":651,"type":"webpage","multi":{"main":{},"_keys":{}},"title":"Monarch Sightings Map","URL":"https://www.monarch.org.nz/introduction-to-research/monarch-sightings-map/","author":[{"family":"Monarch Butterfly New Zealand Trust","given":"","literal":"Monarch Butterfly New Zealand Trust","multi":{"_key":{}}}],"accessed":{"date-parts":[["2020",2,28]]},"seeAlso":[]}}],"schema":"https://github.com/citation-style-language/schema/raw/master/csl-citation.json"}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Gerald McCormack, ‘Cook Islands Biodiversity : Cook Islands’ Largest Butterfly - the Monarch’ (</w:t>
      </w:r>
      <w:r w:rsidRPr="000C134C">
        <w:rPr>
          <w:i/>
          <w:iCs/>
          <w:kern w:val="18"/>
          <w:sz w:val="18"/>
          <w:szCs w:val="18"/>
          <w:lang w:val="en-GB"/>
        </w:rPr>
        <w:t>Cook Islands Natural Heritage Trust</w:t>
      </w:r>
      <w:r w:rsidRPr="000C134C">
        <w:rPr>
          <w:kern w:val="18"/>
          <w:sz w:val="18"/>
          <w:szCs w:val="18"/>
          <w:lang w:val="en-GB"/>
        </w:rPr>
        <w:t>, 7 December 2005) &lt;http://cookislands.bishopmuseum.org/showarticle.asp</w:t>
      </w:r>
      <w:r w:rsidRPr="000C134C">
        <w:rPr>
          <w:kern w:val="18"/>
          <w:sz w:val="18"/>
          <w:szCs w:val="18"/>
          <w:lang w:val="en-GB"/>
        </w:rPr>
        <w:br/>
        <w:t>?id=21&gt; accessed 28 February 2020; Monarch Butterfly New Zealand Trust, ‘Monarch Sightings Map’ (no date) &lt;https://www.monarch.org.nz/introduction-to-research/monarch-sightings-map/&gt; accessed 28 February 2020.</w:t>
      </w:r>
      <w:r w:rsidRPr="000C134C">
        <w:rPr>
          <w:kern w:val="18"/>
          <w:sz w:val="18"/>
          <w:szCs w:val="18"/>
          <w:lang w:val="en-GB"/>
        </w:rPr>
        <w:fldChar w:fldCharType="end"/>
      </w:r>
    </w:p>
  </w:footnote>
  <w:footnote w:id="57">
    <w:p w14:paraId="57662E2A" w14:textId="3291FBB3"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{"citationID":"lIEab0Bz","properties":{"formattedCitation":"Shuai Zhan and others, \\uc0\\u8216{}The Monarch Butterfly Genome Yields Insights into Long-Distance Migration\\uc0\\u8217{} (2011) 147 Cell 1171.","plainCitation":"Shuai Zhan and others, ‘The Monarch Butterfly Genome Yields Insights into Long-Distance Migration’ (2011) 147 Cell 1171.","noteIndex":53},"citationItems":[{"id":636,"uris":["http://zotero.org/users/local/dU5rpCrq/items/INZQMG8Q"],"uri":["http://zotero.org/users/local/dU5rpCrq/items/INZQMG8Q"],"itemData":{"id":636,"type":"article-journal","multi":{"main":{},"_keys":{}},"container-title":"Cell","DOI":"10.1016/j.cell.2011.09.052","ISSN":"0092-8674, 1097-4172","issue":"5","journalAbbreviation":"Cell","language":"English","note":"A host of factors contribute to the amazing migration behavior of the monarch butterfly,\nincluding sensory perception, a time-compensated compass mechanism, and seasonally\nregulated gene expression. The full genome sequence of this organism yields tantalizing\nmolecular insights into the processes that likely underlie migration.\nPMID: 22118469","page":"1171-1185","source":"www.cell.com","title":"The Monarch Butterfly Genome Yields Insights into Long-Distance Migration","volume":"147","author":[{"family":"Zhan","given":"Shuai","multi":{"_key":{}}},{"family":"Merlin","given":"Christine","multi":{"_key":{}}},{"family":"Boore","given":"Jeffrey L.","multi":{"_key":{}}},{"family":"Reppert","given":"Steven M.","multi":{"_key":{}}}],"issued":{"date-parts":[["2011",11,23]]},"seeAlso":[]}}],"schema":"https://github.com/citation-style-language/schema/raw/master/csl-citation.json"}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Shuai Zhan and others, ‘The Monarch Butterfly Genome Yields Insights into Long-Distance Migration’ (2011) 147 Cell 1171.</w:t>
      </w:r>
      <w:r w:rsidRPr="000C134C">
        <w:rPr>
          <w:kern w:val="18"/>
          <w:sz w:val="18"/>
          <w:szCs w:val="18"/>
          <w:lang w:val="en-GB"/>
        </w:rPr>
        <w:fldChar w:fldCharType="end"/>
      </w:r>
    </w:p>
  </w:footnote>
  <w:footnote w:id="58">
    <w:p w14:paraId="14BB93B9" w14:textId="75601C74"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 patent search on WIPO </w:t>
      </w:r>
      <w:proofErr w:type="spellStart"/>
      <w:r w:rsidRPr="000C134C">
        <w:rPr>
          <w:kern w:val="18"/>
          <w:sz w:val="18"/>
          <w:szCs w:val="18"/>
          <w:lang w:val="en-GB"/>
        </w:rPr>
        <w:t>Patentscope</w:t>
      </w:r>
      <w:proofErr w:type="spellEnd"/>
      <w:r w:rsidRPr="000C134C">
        <w:rPr>
          <w:kern w:val="18"/>
          <w:sz w:val="18"/>
          <w:szCs w:val="18"/>
          <w:lang w:val="en-GB"/>
        </w:rPr>
        <w:t xml:space="preserve"> returns 221 patents or applications referencing the Danaus </w:t>
      </w:r>
      <w:proofErr w:type="spellStart"/>
      <w:r w:rsidRPr="000C134C">
        <w:rPr>
          <w:kern w:val="18"/>
          <w:sz w:val="18"/>
          <w:szCs w:val="18"/>
          <w:lang w:val="en-GB"/>
        </w:rPr>
        <w:t>plexippus</w:t>
      </w:r>
      <w:proofErr w:type="spellEnd"/>
      <w:r w:rsidRPr="000C134C">
        <w:rPr>
          <w:kern w:val="18"/>
          <w:sz w:val="18"/>
          <w:szCs w:val="18"/>
          <w:lang w:val="en-GB"/>
        </w:rPr>
        <w:t xml:space="preserve"> (DpN1) cell line described in </w:t>
      </w:r>
      <w:r w:rsidRPr="000C134C">
        <w:rPr>
          <w:kern w:val="18"/>
          <w:sz w:val="18"/>
          <w:szCs w:val="18"/>
          <w:lang w:val="en-GB"/>
        </w:rPr>
        <w:fldChar w:fldCharType="begin"/>
      </w:r>
      <w:r w:rsidRPr="000C134C">
        <w:rPr>
          <w:kern w:val="18"/>
          <w:sz w:val="18"/>
          <w:szCs w:val="18"/>
          <w:lang w:val="en-GB"/>
        </w:rPr>
        <w:instrText xml:space="preserve"> ADDIN ZOTERO_ITEM CSL_CITATION {"citationID":"ZYLxMjK5","properties":{"formattedCitation":"Laura A Palomares and others, \\uc0\\u8216{}Novel Insect Cell Line Capable of Complex N-Glycosylation and Sialylation of Recombinant Proteins\\uc0\\u8217{} (2003) 19 Biotechnology Progress 185.","plainCitation":"Laura A Palomares and others, ‘Novel Insect Cell Line Capable of Complex N-Glycosylation and Sialylation of Recombinant Proteins’ (2003) 19 Biotechnology Progress 185.","noteIndex":54},"citationItems":[{"id":640,"uris":["http://zotero.org/users/local/dU5rpCrq/items/VDQYNI6M"],"uri":["http://zotero.org/users/local/dU5rpCrq/items/VDQYNI6M"],"itemData":{"id":640,"type":"article-journal","multi":{"main":{},"_keys":{}},"abstract":"Paucimannose or oligomannose structures are usually attached to glycoproteins produced by insect cells, while mammalian glycoproteins usually have complex glycans. The lack of complex glycosylation has limited the use of the insect cell baculovirus expression vector system (BEVS), despite its high productivity and versatility. The availability of cell lines capable of complex glycosylation can overcome such a problem and potentially increase the utility of BEVS. In this work the capability of two novel cell lines, one from Pseudaletia unipuncta (A7S) and one from Danaus plexippus (DpN1), to produce and glycosylate a recombinant protein (secreted human placental alkaline phosphatase, SeAP) was assessed. SeAP produced by Tn5B1–4 cells at a low passage number (&lt;200) was utilized for comparison. The optimal conditions for the production of SeAP by DpN1 cells were defined, and the glycosylation profiles of SeAP produced by the cell lines were quantitatively determined. Both the A7S and the DpN1 cells produced lower concentrations of SeAP than the Tn5B1–4 cells. Less than 5% of the glycans attached to SeAP produced by the Tn5B1–4 cells had complex forms. Glycans attached to SeAP from A7S cells contained 4% hybrid and 8% complex forms. Galactosylated biantennary structures were identified. Glycans attached to SeAP produced by the DpN1 cell line had 6% hybrid and 26% complex forms. Of the complex forms in SeAP from DpN1, 13% were identified as sialylated glycans. The galactosyltransferase activity of the three cell lines was measured and correlated to their ability to produce complex forms. Even though neither novel cell line produced as much recombinant protein as the Tn5B1–4 cells, the glycosylation of SeAP expressed by both cell lines was more complete. These novel cell lines represent interesting alternatives for the production of complex glycosylated proteins utilizing the BEVS.","container-title":"Biotechnology Progress","DOI":"10.1021/bp025598o","ISSN":"1520-6033","issue":"1","language":"en","page":"185-192","source":"Wiley Online Library","title":"Novel Insect Cell Line Capable of Complex N-Glycosylation and Sialylation of Recombinant Proteins","volume":"19","author":[{"family":"Palomares","given":"Laura A.","multi":{"_key":{}}},{"family":"Joosten","given":"Christoph E.","multi":{"_key":{}}},{"family":"Hughes","given":"Patrick R.","multi":{"_key":{}}},{"family":"Granados","given":"Robert R.","multi":{"_key":{}}},{"family":"Shuler","given":"Michael L.","multi":{"_key":{}}}],"issued":{"date-parts":[["2003"]]},"seeAlso":[]}}],"schema":"https://github.com/citation-style-language/schema/raw/master/csl-citation.json"}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Laura A Palomares and others, ‘Novel Insect Cell Line Capable of Complex N-Glycosylation and Sialylation of Recombinant Proteins’ (2003) 19 Biotechnology Progress 185.</w:t>
      </w:r>
      <w:r w:rsidRPr="000C134C">
        <w:rPr>
          <w:kern w:val="18"/>
          <w:sz w:val="18"/>
          <w:szCs w:val="18"/>
          <w:lang w:val="en-GB"/>
        </w:rPr>
        <w:fldChar w:fldCharType="end"/>
      </w:r>
    </w:p>
  </w:footnote>
  <w:footnote w:id="59">
    <w:p w14:paraId="390BCA87" w14:textId="021F291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E.g. </w:t>
      </w:r>
      <w:r w:rsidRPr="000C134C">
        <w:rPr>
          <w:i/>
          <w:iCs/>
          <w:kern w:val="18"/>
          <w:sz w:val="18"/>
          <w:szCs w:val="18"/>
          <w:lang w:val="en-GB"/>
        </w:rPr>
        <w:t>Preparation of 3-Hydroxypropionic Acid in Recombinant Yeast Expressing an Insect Aspartate-1 Decarboxylase</w:t>
      </w:r>
      <w:r w:rsidRPr="000C134C">
        <w:rPr>
          <w:kern w:val="18"/>
          <w:sz w:val="18"/>
          <w:szCs w:val="18"/>
          <w:lang w:val="en-GB"/>
        </w:rPr>
        <w:t xml:space="preserve"> International Patent Application (PCT) No WO2015017721A1; </w:t>
      </w:r>
      <w:r w:rsidRPr="000C134C">
        <w:rPr>
          <w:i/>
          <w:iCs/>
          <w:kern w:val="18"/>
          <w:sz w:val="18"/>
          <w:szCs w:val="18"/>
          <w:lang w:val="en-GB"/>
        </w:rPr>
        <w:t xml:space="preserve">Methods and compositions for synthesizing improved silk </w:t>
      </w:r>
      <w:proofErr w:type="spellStart"/>
      <w:r w:rsidRPr="000C134C">
        <w:rPr>
          <w:i/>
          <w:iCs/>
          <w:kern w:val="18"/>
          <w:sz w:val="18"/>
          <w:szCs w:val="18"/>
          <w:lang w:val="en-GB"/>
        </w:rPr>
        <w:t>fibers</w:t>
      </w:r>
      <w:proofErr w:type="spellEnd"/>
      <w:r w:rsidRPr="000C134C">
        <w:rPr>
          <w:kern w:val="18"/>
          <w:sz w:val="18"/>
          <w:szCs w:val="18"/>
          <w:lang w:val="en-GB"/>
        </w:rPr>
        <w:t xml:space="preserve"> US Patent US10435516B2; </w:t>
      </w:r>
      <w:r w:rsidRPr="000C134C">
        <w:rPr>
          <w:i/>
          <w:iCs/>
          <w:kern w:val="18"/>
          <w:sz w:val="18"/>
          <w:szCs w:val="18"/>
          <w:lang w:val="en-GB"/>
        </w:rPr>
        <w:t xml:space="preserve">Modulating </w:t>
      </w:r>
      <w:proofErr w:type="spellStart"/>
      <w:r w:rsidRPr="000C134C">
        <w:rPr>
          <w:i/>
          <w:iCs/>
          <w:kern w:val="18"/>
          <w:sz w:val="18"/>
          <w:szCs w:val="18"/>
          <w:lang w:val="en-GB"/>
        </w:rPr>
        <w:t>nudix</w:t>
      </w:r>
      <w:proofErr w:type="spellEnd"/>
      <w:r w:rsidRPr="000C134C">
        <w:rPr>
          <w:i/>
          <w:iCs/>
          <w:kern w:val="18"/>
          <w:sz w:val="18"/>
          <w:szCs w:val="18"/>
          <w:lang w:val="en-GB"/>
        </w:rPr>
        <w:t xml:space="preserve"> homology domain (</w:t>
      </w:r>
      <w:proofErr w:type="spellStart"/>
      <w:r w:rsidRPr="000C134C">
        <w:rPr>
          <w:i/>
          <w:iCs/>
          <w:kern w:val="18"/>
          <w:sz w:val="18"/>
          <w:szCs w:val="18"/>
          <w:lang w:val="en-GB"/>
        </w:rPr>
        <w:t>nhd</w:t>
      </w:r>
      <w:proofErr w:type="spellEnd"/>
      <w:r w:rsidRPr="000C134C">
        <w:rPr>
          <w:i/>
          <w:iCs/>
          <w:kern w:val="18"/>
          <w:sz w:val="18"/>
          <w:szCs w:val="18"/>
          <w:lang w:val="en-GB"/>
        </w:rPr>
        <w:t xml:space="preserve">) with nicotinamide mononucleotide </w:t>
      </w:r>
      <w:proofErr w:type="spellStart"/>
      <w:r w:rsidRPr="000C134C">
        <w:rPr>
          <w:i/>
          <w:iCs/>
          <w:kern w:val="18"/>
          <w:sz w:val="18"/>
          <w:szCs w:val="18"/>
          <w:lang w:val="en-GB"/>
        </w:rPr>
        <w:t>analogs</w:t>
      </w:r>
      <w:proofErr w:type="spellEnd"/>
      <w:r w:rsidRPr="000C134C">
        <w:rPr>
          <w:i/>
          <w:iCs/>
          <w:kern w:val="18"/>
          <w:sz w:val="18"/>
          <w:szCs w:val="18"/>
          <w:lang w:val="en-GB"/>
        </w:rPr>
        <w:t xml:space="preserve"> and derivatives of same</w:t>
      </w:r>
      <w:r w:rsidRPr="000C134C">
        <w:rPr>
          <w:kern w:val="18"/>
          <w:sz w:val="18"/>
          <w:szCs w:val="18"/>
          <w:lang w:val="en-GB"/>
        </w:rPr>
        <w:t xml:space="preserve"> US Patent Application No US20190350960A1.</w:t>
      </w:r>
    </w:p>
  </w:footnote>
  <w:footnote w:id="60">
    <w:p w14:paraId="0C8263F4" w14:textId="5268CCF8" w:rsidR="007511AF" w:rsidRPr="00CD2F7F" w:rsidRDefault="007511AF" w:rsidP="00F43F79">
      <w:pPr>
        <w:pStyle w:val="FootnoteText"/>
        <w:spacing w:before="20" w:after="20"/>
        <w:ind w:left="284" w:hanging="288"/>
        <w:rPr>
          <w:kern w:val="18"/>
          <w:sz w:val="18"/>
          <w:szCs w:val="18"/>
          <w:lang w:val="fr-FR"/>
        </w:rPr>
      </w:pPr>
      <w:r w:rsidRPr="000C134C">
        <w:rPr>
          <w:rStyle w:val="FootnoteReference"/>
          <w:kern w:val="18"/>
          <w:sz w:val="18"/>
          <w:szCs w:val="18"/>
          <w:lang w:val="en-GB"/>
        </w:rPr>
        <w:footnoteRef/>
      </w:r>
      <w:r w:rsidRPr="00CD2F7F">
        <w:rPr>
          <w:kern w:val="18"/>
          <w:sz w:val="18"/>
          <w:szCs w:val="18"/>
          <w:lang w:val="fr-FR"/>
        </w:rPr>
        <w:t xml:space="preserve"> </w:t>
      </w:r>
      <w:r w:rsidRPr="00CD2F7F">
        <w:rPr>
          <w:i/>
          <w:kern w:val="18"/>
          <w:sz w:val="18"/>
          <w:szCs w:val="18"/>
          <w:lang w:val="fr-FR"/>
        </w:rPr>
        <w:t>Uso de proteases intestinais de lagartas de danaus plexippus para a hidrólise das proteínas do leite e produção de fórmulas hipoalergênicas</w:t>
      </w:r>
      <w:r w:rsidRPr="00CD2F7F">
        <w:rPr>
          <w:kern w:val="18"/>
          <w:sz w:val="18"/>
          <w:szCs w:val="18"/>
          <w:lang w:val="fr-FR"/>
        </w:rPr>
        <w:t xml:space="preserve"> Brazilian Patent Application No BR102018005066A2.</w:t>
      </w:r>
    </w:p>
  </w:footnote>
  <w:footnote w:id="61">
    <w:p w14:paraId="6C3AD1DD" w14:textId="11DBFD4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 xml:space="preserve">Methods for the enzymatic production of isoprene from </w:t>
      </w:r>
      <w:proofErr w:type="spellStart"/>
      <w:r w:rsidRPr="000C134C">
        <w:rPr>
          <w:i/>
          <w:iCs/>
          <w:kern w:val="18"/>
          <w:sz w:val="18"/>
          <w:szCs w:val="18"/>
          <w:lang w:val="en-GB"/>
        </w:rPr>
        <w:t>isoprenol</w:t>
      </w:r>
      <w:proofErr w:type="spellEnd"/>
      <w:r w:rsidRPr="000C134C">
        <w:rPr>
          <w:kern w:val="18"/>
          <w:sz w:val="18"/>
          <w:szCs w:val="18"/>
          <w:lang w:val="en-GB"/>
        </w:rPr>
        <w:t xml:space="preserve"> International Patent Application (PCT) No WO2014076016A1; </w:t>
      </w:r>
      <w:r w:rsidRPr="000C134C">
        <w:rPr>
          <w:i/>
          <w:iCs/>
          <w:kern w:val="18"/>
          <w:sz w:val="18"/>
          <w:szCs w:val="18"/>
          <w:lang w:val="en-GB"/>
        </w:rPr>
        <w:t xml:space="preserve">Microorganisms </w:t>
      </w:r>
      <w:proofErr w:type="gramStart"/>
      <w:r w:rsidRPr="000C134C">
        <w:rPr>
          <w:i/>
          <w:iCs/>
          <w:kern w:val="18"/>
          <w:sz w:val="18"/>
          <w:szCs w:val="18"/>
          <w:lang w:val="en-GB"/>
        </w:rPr>
        <w:t>for the production of</w:t>
      </w:r>
      <w:proofErr w:type="gramEnd"/>
      <w:r w:rsidRPr="000C134C">
        <w:rPr>
          <w:i/>
          <w:iCs/>
          <w:kern w:val="18"/>
          <w:sz w:val="18"/>
          <w:szCs w:val="18"/>
          <w:lang w:val="en-GB"/>
        </w:rPr>
        <w:t xml:space="preserve"> insect pheromones and related compounds</w:t>
      </w:r>
      <w:r w:rsidRPr="000C134C">
        <w:rPr>
          <w:kern w:val="18"/>
          <w:sz w:val="18"/>
          <w:szCs w:val="18"/>
          <w:lang w:val="en-GB"/>
        </w:rPr>
        <w:t xml:space="preserve"> International Patent Application (PCT) Application No WO2018213554A1.</w:t>
      </w:r>
    </w:p>
  </w:footnote>
  <w:footnote w:id="62">
    <w:p w14:paraId="75AADC46" w14:textId="2F7408F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{"citationID":"Gg57I8pe","properties":{"formattedCitation":"UNESCO, \\uc0\\u8216{}Monarch Butterfly Biosphere Reserve\\uc0\\u8217{} ({\\i{}World Heritage List}, no date) &lt;https://whc.unesco.org/en/list/1290/&gt; accessed 28 February 2020.","plainCitation":"UNESCO, ‘Monarch Butterfly Biosphere Reserve’ (World Heritage List, no date) &lt;https://whc.unesco.org/en/list/1290/&gt; accessed 28 February 2020.","dontUpdate":true,"noteIndex":58},"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UNESCO, ‘Monarch Butterfly Biosphere Reserve’ (</w:t>
      </w:r>
      <w:r w:rsidRPr="000C134C">
        <w:rPr>
          <w:i/>
          <w:iCs/>
          <w:kern w:val="18"/>
          <w:sz w:val="18"/>
          <w:szCs w:val="18"/>
          <w:lang w:val="en-GB"/>
        </w:rPr>
        <w:t>World Heritage List</w:t>
      </w:r>
      <w:r w:rsidRPr="000C134C">
        <w:rPr>
          <w:kern w:val="18"/>
          <w:sz w:val="18"/>
          <w:szCs w:val="18"/>
          <w:lang w:val="en-GB"/>
        </w:rPr>
        <w:t>, no date) &lt;https://whc.unesco.org/en/list/</w:t>
      </w:r>
      <w:r w:rsidRPr="000C134C">
        <w:rPr>
          <w:kern w:val="18"/>
          <w:sz w:val="18"/>
          <w:szCs w:val="18"/>
          <w:lang w:val="en-GB"/>
        </w:rPr>
        <w:br/>
        <w:t>1290/&gt; accessed 28 February 2020.</w:t>
      </w:r>
      <w:r w:rsidRPr="000C134C">
        <w:rPr>
          <w:kern w:val="18"/>
          <w:sz w:val="18"/>
          <w:szCs w:val="18"/>
          <w:lang w:val="en-GB"/>
        </w:rPr>
        <w:fldChar w:fldCharType="end"/>
      </w:r>
    </w:p>
  </w:footnote>
  <w:footnote w:id="63">
    <w:p w14:paraId="50C21C73" w14:textId="4299318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86Mw6XUm","properties":{"formattedCitation":"ibid.","plainCitation":"ibid.","noteIndex":59},"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0C134C">
        <w:rPr>
          <w:kern w:val="18"/>
          <w:sz w:val="18"/>
          <w:szCs w:val="18"/>
          <w:lang w:val="en-GB"/>
        </w:rPr>
        <w:fldChar w:fldCharType="separate"/>
      </w:r>
      <w:r w:rsidR="006E248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p>
  </w:footnote>
  <w:footnote w:id="64">
    <w:p w14:paraId="6A795DC3" w14:textId="20D8130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Agreement on the Conservation of African-Eurasian Migratory </w:t>
      </w:r>
      <w:proofErr w:type="spellStart"/>
      <w:r w:rsidRPr="000C134C">
        <w:rPr>
          <w:kern w:val="18"/>
          <w:sz w:val="18"/>
          <w:szCs w:val="18"/>
          <w:lang w:val="en-GB"/>
        </w:rPr>
        <w:t>Waterbirds</w:t>
      </w:r>
      <w:proofErr w:type="spellEnd"/>
      <w:r w:rsidRPr="000C134C">
        <w:rPr>
          <w:kern w:val="18"/>
          <w:sz w:val="18"/>
          <w:szCs w:val="18"/>
          <w:lang w:val="en-GB"/>
        </w:rPr>
        <w:t xml:space="preserve"> (adopted 15 August 1996, entered into force 1 November 1999) 2365 UNTS 203.</w:t>
      </w:r>
    </w:p>
  </w:footnote>
  <w:footnote w:id="65">
    <w:p w14:paraId="56EBC0C7" w14:textId="1957974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{"citationID":"izmlEToq","properties":{"formattedCitation":"AEWA, \\uc0\\u8216{}AEWA\\uc0\\u8217{} (no date) &lt;https://www.unep-aewa.org/en/legalinstrument/aewa&gt; accessed 28 February 2020","plainCitation":"AEWA, ‘AEWA’ (no date) &lt;https://www.unep-aewa.org/en/legalinstrument/aewa&gt; accessed 28 February 2020","noteIndex":61,"suppress-trailing-punctuation":true},"citationItems":[{"id":643,"uris":["http://zotero.org/users/local/dU5rpCrq/items/UUKB3RUB"],"uri":["http://zotero.org/users/local/dU5rpCrq/items/UUKB3RUB"],"itemData":{"id":643,"type":"webpage","multi":{"main":{},"_keys":{}},"title":"AEWA","URL":"https://www.unep-aewa.org/en/legalinstrument/aewa","author":[{"family":"AEWA","given":"","literal":"AEWA","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AEWA, ‘AEWA’ (no date) &lt;https://www.unep-aewa.org/en/legalinstrument/aewa&gt; accessed 28 February 2020</w:t>
      </w:r>
      <w:r w:rsidRPr="000C134C">
        <w:rPr>
          <w:kern w:val="18"/>
          <w:sz w:val="18"/>
          <w:szCs w:val="18"/>
          <w:lang w:val="en-GB"/>
        </w:rPr>
        <w:fldChar w:fldCharType="end"/>
      </w:r>
      <w:r w:rsidRPr="000C134C">
        <w:rPr>
          <w:kern w:val="18"/>
          <w:sz w:val="18"/>
          <w:szCs w:val="18"/>
          <w:lang w:val="en-GB"/>
        </w:rPr>
        <w:t xml:space="preserve"> and AEWA, ‘Species’ (no date) &lt;https://www.unep-aewa.org/en/species&gt; accessed 28 February 2020.</w:t>
      </w:r>
    </w:p>
  </w:footnote>
  <w:footnote w:id="66">
    <w:p w14:paraId="5B0D4500" w14:textId="057FE28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Immortalized avian cell lines</w:t>
      </w:r>
      <w:r w:rsidRPr="000C134C">
        <w:rPr>
          <w:kern w:val="18"/>
          <w:sz w:val="18"/>
          <w:szCs w:val="18"/>
          <w:lang w:val="en-GB"/>
        </w:rPr>
        <w:t>, International Patent Application (PCT) No WO2009004016A1.</w:t>
      </w:r>
    </w:p>
  </w:footnote>
  <w:footnote w:id="67">
    <w:p w14:paraId="2ECD408F" w14:textId="76FFD66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Avian telomerase reverse transcriptase</w:t>
      </w:r>
      <w:r w:rsidRPr="000C134C">
        <w:rPr>
          <w:kern w:val="18"/>
          <w:sz w:val="18"/>
          <w:szCs w:val="18"/>
          <w:lang w:val="en-GB"/>
        </w:rPr>
        <w:t>, International Patent Application (PCT) No WO2007077256A1.</w:t>
      </w:r>
    </w:p>
  </w:footnote>
  <w:footnote w:id="68">
    <w:p w14:paraId="7240B5EB" w14:textId="202056A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 xml:space="preserve">dsRNA induced specific and non-specific immunity in crustaceans and other invertebrates and </w:t>
      </w:r>
      <w:proofErr w:type="spellStart"/>
      <w:r w:rsidRPr="000C134C">
        <w:rPr>
          <w:i/>
          <w:iCs/>
          <w:kern w:val="18"/>
          <w:sz w:val="18"/>
          <w:szCs w:val="18"/>
          <w:lang w:val="en-GB"/>
        </w:rPr>
        <w:t>biodelivery</w:t>
      </w:r>
      <w:proofErr w:type="spellEnd"/>
      <w:r w:rsidRPr="000C134C">
        <w:rPr>
          <w:i/>
          <w:iCs/>
          <w:kern w:val="18"/>
          <w:sz w:val="18"/>
          <w:szCs w:val="18"/>
          <w:lang w:val="en-GB"/>
        </w:rPr>
        <w:t xml:space="preserve"> vehicles for use therein</w:t>
      </w:r>
      <w:r w:rsidRPr="000C134C">
        <w:rPr>
          <w:kern w:val="18"/>
          <w:sz w:val="18"/>
          <w:szCs w:val="18"/>
          <w:lang w:val="en-GB"/>
        </w:rPr>
        <w:t>, International Patent Application (PCT) No WO2009004016A1.</w:t>
      </w:r>
    </w:p>
  </w:footnote>
  <w:footnote w:id="69">
    <w:p w14:paraId="305B9156" w14:textId="50C3A5A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Preventives and remedies for chronic hepatitis</w:t>
      </w:r>
      <w:r w:rsidRPr="000C134C">
        <w:rPr>
          <w:kern w:val="18"/>
          <w:sz w:val="18"/>
          <w:szCs w:val="18"/>
          <w:lang w:val="en-GB"/>
        </w:rPr>
        <w:t>, International Patent Application (PCT) No WO2001047545A1.</w:t>
      </w:r>
    </w:p>
  </w:footnote>
  <w:footnote w:id="70">
    <w:p w14:paraId="2C5159A3" w14:textId="07F70F6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Anoxic biological production of fuels and of bulk chemicals from second generation feedstocks</w:t>
      </w:r>
      <w:r w:rsidRPr="000C134C">
        <w:rPr>
          <w:kern w:val="18"/>
          <w:sz w:val="18"/>
          <w:szCs w:val="18"/>
          <w:lang w:val="en-GB"/>
        </w:rPr>
        <w:t>, International Patent Application (PCT) No WO2014207099A1.</w:t>
      </w:r>
    </w:p>
  </w:footnote>
  <w:footnote w:id="71">
    <w:p w14:paraId="61E76438" w14:textId="42D66A6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For further information, see United Nations, “Intergovernmental Conference on Marine Biodiversity of Areas Beyond National Jurisdiction”, online: https://www.un.org/bbnj/.</w:t>
      </w:r>
    </w:p>
  </w:footnote>
  <w:footnote w:id="72">
    <w:p w14:paraId="04FC9183" w14:textId="56D57EF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kern w:val="18"/>
          <w:sz w:val="18"/>
          <w:szCs w:val="18"/>
          <w:lang w:val="en-GB"/>
        </w:rPr>
        <w:t>Revised draft text of an agreement under the United Nations Convention on the Law of the Sea on the conservation and sustainable use of marine biological diversity of areas beyond national jurisdiction</w:t>
      </w:r>
      <w:r w:rsidRPr="000C134C">
        <w:rPr>
          <w:kern w:val="18"/>
          <w:sz w:val="18"/>
          <w:szCs w:val="18"/>
          <w:lang w:val="en-GB"/>
        </w:rPr>
        <w:t>, UN Doc. A/CONF.232/2020/3, Part II: Marine Genetic Resources, Including Questions on the Sharing of Benefits. Decision 74/543 of 11 March 2020 postponed the fourth session of the conference to the earliest possible available date to be decided by the General Assembly.</w:t>
      </w:r>
    </w:p>
  </w:footnote>
  <w:footnote w:id="73">
    <w:p w14:paraId="45481E5D" w14:textId="0D48A4F8"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{"citationID":"5aibsZNO","properties":{"formattedCitation":"Tullio Scovazzi, \\uc0\\u8216{}The Rights to Genetic Resources beyond National Jurisdiction: Challenges for the Ongoing Negotiations at the United Nations\\uc0\\u8217{} (Brill | Nijhoff 2020) 236\\uc0\\u8211{}37.","plainCitation":"Tullio Scovazzi, ‘The Rights to Genetic Resources beyond National Jurisdiction: Challenges for the Ongoing Negotiations at the United Nations’ (Brill | Nijhoff 2020) 236–37.","noteIndex":69},"citationItems":[{"id":742,"uris":["http://zotero.org/users/local/dU5rpCrq/items/79SVYPQH"],"uri":["http://zotero.org/users/local/dU5rpCrq/items/79SVYPQH"],"itemData":{"id":742,"type":"chapter","multi":{"main":{},"_keys":{}},"event-place":"Leiden, The Netherlands","ISBN":"978-90-04-39155-0","publisher":"Brill | Nijhoff","publisher-place":"Leiden, The Netherlands","title":"The Rights to Genetic Resources beyond National Jurisdiction: Challenges for the Ongoing Negotiations at the United Nations","URL":"https://brill.com/view/book/edcoll/9789004391567/BP000024.xml","author":[{"family":"Scovazzi","given":"Tullio","multi":{"_key":{}}}],"issued":{"date-parts":[["2020"]]},"seeAlso":[]},"locator":"236-237"}],"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Tullio Scovazzi, ‘The Rights to Genetic Resources beyond National Jurisdiction: Challenges for the Ongoing Negotiations at the United Nations’ (Brill | Nijhoff 2020) 236–37.</w:t>
      </w:r>
      <w:r w:rsidRPr="000C134C">
        <w:rPr>
          <w:kern w:val="18"/>
          <w:sz w:val="18"/>
          <w:szCs w:val="18"/>
          <w:lang w:val="en-GB"/>
        </w:rPr>
        <w:fldChar w:fldCharType="end"/>
      </w:r>
    </w:p>
  </w:footnote>
  <w:footnote w:id="74">
    <w:p w14:paraId="1048BEDA"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i/>
          <w:iCs/>
          <w:kern w:val="18"/>
          <w:sz w:val="18"/>
          <w:szCs w:val="18"/>
          <w:lang w:val="en-GB"/>
        </w:rPr>
        <w:t>Textual proposals submitted by delegations by 20 February 2020, for consideration at the fourth session of the Intergovernmental conference on an international legally binding instrument under the United Nations Convention on the Law of the Sea on the conservation and sustainable use of marine biological diversity of areas beyond national jurisdiction (the Conference), in response to the invitation by the President of the Conference in her Note of 18 November 2019 (A/CONF.232/2020/3): Article-by-article compilation of textual proposals for consideration at the fourth session dated 15 April 2020</w:t>
      </w:r>
      <w:r w:rsidRPr="000C134C">
        <w:rPr>
          <w:kern w:val="18"/>
          <w:sz w:val="18"/>
          <w:szCs w:val="18"/>
          <w:lang w:val="en-GB"/>
        </w:rPr>
        <w:t>, European Union and Indonesian proposals on Article 10(5).</w:t>
      </w:r>
    </w:p>
  </w:footnote>
  <w:footnote w:id="75">
    <w:p w14:paraId="56BB0BBE" w14:textId="16292DA5" w:rsidR="007511AF" w:rsidRPr="000C134C" w:rsidRDefault="007511AF" w:rsidP="00A2063C">
      <w:pPr>
        <w:pStyle w:val="FootnoteText"/>
        <w:spacing w:before="20" w:after="20"/>
        <w:ind w:left="284" w:hanging="284"/>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It should be noted that the terms of acquisition for specimens may limit their use to non-commercial utilization only.   However, there are also private collections with a commercial focus. One area of use of ex-situ collections is in compiling collections or libraries of natural products to be used for screening for desired characteristics. One such library is the </w:t>
      </w:r>
      <w:proofErr w:type="spellStart"/>
      <w:r w:rsidRPr="000C134C">
        <w:rPr>
          <w:kern w:val="18"/>
          <w:sz w:val="18"/>
          <w:szCs w:val="18"/>
          <w:lang w:val="en-GB"/>
        </w:rPr>
        <w:t>TimTec</w:t>
      </w:r>
      <w:proofErr w:type="spellEnd"/>
      <w:r w:rsidRPr="000C134C">
        <w:rPr>
          <w:kern w:val="18"/>
          <w:sz w:val="18"/>
          <w:szCs w:val="18"/>
          <w:lang w:val="en-GB"/>
        </w:rPr>
        <w:t xml:space="preserve"> Natural Product Library, which is a commercially available library containing 800 pure natural compounds. The library contains broad diversity of natural materials and the compounds are primarily derived from plants, although samples also come from bacteria, fungus, and animal sources. </w:t>
      </w:r>
    </w:p>
    <w:p w14:paraId="0B5167BC" w14:textId="5CD78909" w:rsidR="007511AF" w:rsidRPr="000C134C" w:rsidRDefault="007511AF" w:rsidP="00F43F79">
      <w:pPr>
        <w:pStyle w:val="FootnoteText"/>
        <w:spacing w:before="20" w:after="20"/>
        <w:ind w:left="284" w:hanging="284"/>
        <w:rPr>
          <w:kern w:val="18"/>
          <w:sz w:val="18"/>
          <w:szCs w:val="18"/>
          <w:lang w:val="en-GB"/>
        </w:rPr>
      </w:pPr>
      <w:r w:rsidRPr="000C134C">
        <w:rPr>
          <w:kern w:val="18"/>
          <w:sz w:val="18"/>
          <w:szCs w:val="18"/>
          <w:lang w:val="en-GB"/>
        </w:rPr>
        <w:t xml:space="preserve">     Although </w:t>
      </w:r>
      <w:proofErr w:type="spellStart"/>
      <w:r w:rsidRPr="000C134C">
        <w:rPr>
          <w:kern w:val="18"/>
          <w:sz w:val="18"/>
          <w:szCs w:val="18"/>
          <w:lang w:val="en-GB"/>
        </w:rPr>
        <w:t>TimTec</w:t>
      </w:r>
      <w:proofErr w:type="spellEnd"/>
      <w:r w:rsidRPr="000C134C">
        <w:rPr>
          <w:kern w:val="18"/>
          <w:sz w:val="18"/>
          <w:szCs w:val="18"/>
          <w:lang w:val="en-GB"/>
        </w:rPr>
        <w:t xml:space="preserve"> notes that “[c]</w:t>
      </w:r>
      <w:proofErr w:type="spellStart"/>
      <w:r w:rsidRPr="000C134C">
        <w:rPr>
          <w:kern w:val="18"/>
          <w:sz w:val="18"/>
          <w:szCs w:val="18"/>
          <w:lang w:val="en-GB"/>
        </w:rPr>
        <w:t>ommon</w:t>
      </w:r>
      <w:proofErr w:type="spellEnd"/>
      <w:r w:rsidRPr="000C134C">
        <w:rPr>
          <w:kern w:val="18"/>
          <w:sz w:val="18"/>
          <w:szCs w:val="18"/>
          <w:lang w:val="en-GB"/>
        </w:rPr>
        <w:t xml:space="preserve"> natural sources and reference information is available for the majority of the samples,” it is not clear what reference information is available for the library and whether the scientists who utilize the library access the reference materials, as there are many different sources and geographic locations included. Several patented inventions have used the </w:t>
      </w:r>
      <w:proofErr w:type="spellStart"/>
      <w:r w:rsidRPr="000C134C">
        <w:rPr>
          <w:kern w:val="18"/>
          <w:sz w:val="18"/>
          <w:szCs w:val="18"/>
          <w:lang w:val="en-GB"/>
        </w:rPr>
        <w:t>TimTec</w:t>
      </w:r>
      <w:proofErr w:type="spellEnd"/>
      <w:r w:rsidRPr="000C134C">
        <w:rPr>
          <w:kern w:val="18"/>
          <w:sz w:val="18"/>
          <w:szCs w:val="18"/>
          <w:lang w:val="en-GB"/>
        </w:rPr>
        <w:t xml:space="preserve"> Natural product Library. See ‘</w:t>
      </w:r>
      <w:proofErr w:type="spellStart"/>
      <w:r w:rsidRPr="000C134C">
        <w:rPr>
          <w:kern w:val="18"/>
          <w:sz w:val="18"/>
          <w:szCs w:val="18"/>
          <w:lang w:val="en-GB"/>
        </w:rPr>
        <w:t>TimTec</w:t>
      </w:r>
      <w:proofErr w:type="spellEnd"/>
      <w:r w:rsidRPr="000C134C">
        <w:rPr>
          <w:kern w:val="18"/>
          <w:sz w:val="18"/>
          <w:szCs w:val="18"/>
          <w:lang w:val="en-GB"/>
        </w:rPr>
        <w:t xml:space="preserve"> Compound Libraries for Screening, Chemical Building Blocks’ (no date) &lt;https://www.timtec.net/&gt; accessed 10 June 2020.</w:t>
      </w:r>
    </w:p>
  </w:footnote>
  <w:footnote w:id="76">
    <w:p w14:paraId="06FF4BAE" w14:textId="6860977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{"citationID":"9cac2kWm","properties":{"formattedCitation":"Society for the Preservation of Natural History Collections, \\uc0\\u8216{}Threatened and Orphaned Collections\\uc0\\u8217{} (29 March 2017) &lt;https://spnhc.biowikifarm.net/wiki/Threatened_and_Orphaned_Collections&gt; accessed 28 February 2020; Kevin McCluskey, \\uc0\\u8216{}Orphaned and Endangered Collections the Topic at Fort Collins Meeting\\uc0\\u8217{} ({\\i{}ISBER News}, 8 December 2015) &lt;http://news.isber.org/orphaned-and-endangered-collections-the-topic-at-fort-collins-meeting/&gt; accessed 28 February 2020; OECD, {\\i{}Biological Resource Centres: Underpinning the Future of Life Sciences and Biotechnology} (OECD 2001) 23\\uc0\\u8211{}24.","plainCitation":"Society for the Preservation of Natural History Collections, ‘Threatened and Orphaned Collections’ (29 March 2017) &lt;https://spnhc.biowikifarm.net/wiki/Threatened_and_Orphaned_Collections&gt; accessed 28 February 2020; Kevin McCluskey, ‘Orphaned and Endangered Collections the Topic at Fort Collins Meeting’ (ISBER News, 8 December 2015) &lt;http://news.isber.org/orphaned-and-endangered-collections-the-topic-at-fort-collins-meeting/&gt; accessed 28 February 2020; OECD, Biological Resource Centres: Underpinning the Future of Life Sciences and Biotechnology (OECD 2001) 23–24.","noteIndex":72},"citationItems":[{"id":646,"uris":["http://zotero.org/users/local/dU5rpCrq/items/LDANNNNR"],"uri":["http://zotero.org/users/local/dU5rpCrq/items/LDANNNNR"],"itemData":{"id":646,"type":"webpage","multi":{"main":{},"_keys":{}},"title":"Threatened and Orphaned Collections","URL":"https://spnhc.biowikifarm.net/wiki/Threatened_and_Orphaned_Collections","author":[{"family":"Society for the Preservation of Natural History Collections","given":"","literal":"Society for the Preservation of Natural History Collections","multi":{"_key":{}}}],"accessed":{"date-parts":[["2020",2,28]]},"issued":{"date-parts":[["2017",3,29]]},"seeAlso":[]}},{"id":645,"uris":["http://zotero.org/users/local/dU5rpCrq/items/8T8S3676"],"uri":["http://zotero.org/users/local/dU5rpCrq/items/8T8S3676"],"itemData":{"id":645,"type":"post-weblog","multi":{"main":{},"_keys":{}},"container-title":"ISBER News","title":"Orphaned and Endangered Collections the Topic at Fort Collins Meeting","URL":"http://news.isber.org/orphaned-and-endangered-collections-the-topic-at-fort-collins-meeting/","author":[{"family":"McCluskey","given":"Kevin","multi":{"_key":{}}}],"accessed":{"date-parts":[["2020",2,28]]},"issued":{"date-parts":[["2015",12,8]]},"seeAlso":[]}},{"id":647,"uris":["http://zotero.org/users/local/dU5rpCrq/items/SJPLNWBE"],"uri":["http://zotero.org/users/local/dU5rpCrq/items/SJPLNWBE"],"itemData":{"id":647,"type":"book","multi":{"main":{},"_keys":{}},"publisher":"OECD","title":"Biological Resource Centres: Underpinning the Future of Life Sciences and Biotechnology","author":[{"family":"OECD","given":"","literal":"OECD","multi":{"_key":{}}}],"issued":{"date-parts":[["2001"]]},"seeAlso":[]},"locator":"23-24"}],"schema":"https://github.com/citation-style-language/schema/raw/master/csl-citation.json"}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Society for the Preservation of Natural History Collections, ‘Threatened and Orphaned Collections’ (29 March 2017) &lt;https://spnhc.biowikifarm.net/wiki/Threatened_and_Orphaned_Collections&gt; accessed 28 February 2020; Kevin McCluskey, ‘Orphaned and Endangered Collections the Topic at Fort Collins Meeting’ (</w:t>
      </w:r>
      <w:r w:rsidRPr="000C134C">
        <w:rPr>
          <w:i/>
          <w:iCs/>
          <w:kern w:val="18"/>
          <w:sz w:val="18"/>
          <w:szCs w:val="18"/>
          <w:lang w:val="en-GB"/>
        </w:rPr>
        <w:t>ISBER News</w:t>
      </w:r>
      <w:r w:rsidRPr="000C134C">
        <w:rPr>
          <w:kern w:val="18"/>
          <w:sz w:val="18"/>
          <w:szCs w:val="18"/>
          <w:lang w:val="en-GB"/>
        </w:rPr>
        <w:t xml:space="preserve">, 8 December 2015) &lt;http://news.isber.org/orphaned-and-endangered-collections-the-topic-at-fort-collins-meeting/&gt; accessed 28 February 2020; OECD, </w:t>
      </w:r>
      <w:r w:rsidRPr="000C134C">
        <w:rPr>
          <w:i/>
          <w:iCs/>
          <w:kern w:val="18"/>
          <w:sz w:val="18"/>
          <w:szCs w:val="18"/>
          <w:lang w:val="en-GB"/>
        </w:rPr>
        <w:t>Biological Resource Centres: Underpinning the Future of Life Sciences and Biotechnology</w:t>
      </w:r>
      <w:r w:rsidRPr="000C134C">
        <w:rPr>
          <w:kern w:val="18"/>
          <w:sz w:val="18"/>
          <w:szCs w:val="18"/>
          <w:lang w:val="en-GB"/>
        </w:rPr>
        <w:t xml:space="preserve"> (OECD 2001) 23–24.</w:t>
      </w:r>
      <w:r w:rsidRPr="000C134C">
        <w:rPr>
          <w:kern w:val="18"/>
          <w:sz w:val="18"/>
          <w:szCs w:val="18"/>
          <w:lang w:val="en-GB"/>
        </w:rPr>
        <w:fldChar w:fldCharType="end"/>
      </w:r>
    </w:p>
  </w:footnote>
  <w:footnote w:id="77">
    <w:p w14:paraId="0B0716B3" w14:textId="283713A3"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See Regulation (EU) No. 511/2014 of the European Parliament and of the Council on compliance measures for users from the Nagoya Protocol on Access to Genetic Resources and the Fair and Equitable Sharing of Benefits Arising from their Utilization in the Union, Art. 2(1) [2014] </w:t>
      </w:r>
      <w:r w:rsidRPr="000C134C">
        <w:rPr>
          <w:rStyle w:val="Emphasis"/>
          <w:rFonts w:eastAsiaTheme="majorEastAsia"/>
          <w:i w:val="0"/>
          <w:iCs w:val="0"/>
          <w:kern w:val="18"/>
          <w:sz w:val="18"/>
          <w:szCs w:val="18"/>
          <w:lang w:val="en-GB"/>
        </w:rPr>
        <w:t>OJ L150/59</w:t>
      </w:r>
      <w:r w:rsidRPr="000C134C">
        <w:rPr>
          <w:kern w:val="18"/>
          <w:sz w:val="18"/>
          <w:szCs w:val="18"/>
          <w:lang w:val="en-GB"/>
        </w:rPr>
        <w:t>.</w:t>
      </w:r>
    </w:p>
  </w:footnote>
  <w:footnote w:id="78">
    <w:p w14:paraId="29FE8541" w14:textId="7F4F6486"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See Brazil, The Biodiversity Law, Art. 2(VIII), Art. 37), Law No. 13,123/2015); Colombia, Resolution 1348 [2014] and Andean Decision 391, Art. 1, (1996); and South Africa, National Environmental Management: Biodiversity Act, Sec. 80, 2004 (Act No. 10 of 2004) (and 2013 amendments).</w:t>
      </w:r>
    </w:p>
  </w:footnote>
  <w:footnote w:id="79">
    <w:p w14:paraId="4C25049F" w14:textId="22819FE3"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{"citationID":"2ZGmvQSr","properties":{"formattedCitation":"WFCC and others, \\uc0\\u8216{}Submission Of The World Federation For Culture Collection (WFCC), World Data Centre For Microorganisms (WDCM) &amp; Transparent User-Friendly System Of Transfer Programme (TRUST) For Notification SCBD/ABS/VN/KG/Jh/86849\\uc0\\u8217{} (2017).","plainCitation":"WFCC and others, ‘Submission Of The World Federation For Culture Collection (WFCC), World Data Centre For Microorganisms (WDCM) &amp; Transparent User-Friendly System Of Transfer Programme (TRUST) For Notification SCBD/ABS/VN/KG/Jh/86849’ (2017).","noteIndex":75},"citationItems":[{"id":670,"uris":["http://zotero.org/users/local/dU5rpCrq/items/X8BIZL77"],"uri":["http://zotero.org/users/local/dU5rpCrq/items/X8BIZL77"],"itemData":{"id":670,"type":"article","multi":{"main":{},"_keys":{}},"title":"Submission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WFCC and others, ‘Submission Of The World Federation For Culture Collection (WFCC), World Data Centre For Microorganisms (WDCM) &amp; Transparent User-Friendly System Of Transfer Programme (TRUST) For Notification SCBD/ABS/VN/KG/Jh/86849’ (2017).</w:t>
      </w:r>
      <w:r w:rsidRPr="000C134C">
        <w:rPr>
          <w:kern w:val="18"/>
          <w:sz w:val="18"/>
          <w:szCs w:val="18"/>
          <w:lang w:val="en-GB"/>
        </w:rPr>
        <w:fldChar w:fldCharType="end"/>
      </w:r>
      <w:r w:rsidRPr="000C134C">
        <w:rPr>
          <w:kern w:val="18"/>
          <w:sz w:val="18"/>
          <w:szCs w:val="18"/>
          <w:lang w:val="en-GB"/>
        </w:rPr>
        <w:t xml:space="preserve"> See also </w:t>
      </w:r>
      <w:r w:rsidRPr="000C134C">
        <w:rPr>
          <w:kern w:val="18"/>
          <w:sz w:val="18"/>
          <w:szCs w:val="18"/>
          <w:lang w:val="en-GB"/>
        </w:rPr>
        <w:fldChar w:fldCharType="begin"/>
      </w:r>
      <w:r w:rsidRPr="000C134C">
        <w:rPr>
          <w:kern w:val="18"/>
          <w:sz w:val="18"/>
          <w:szCs w:val="18"/>
          <w:lang w:val="en-GB"/>
        </w:rPr>
        <w:instrText xml:space="preserve"> ADDIN ZOTERO_ITEM CSL_CITATION {"citationID":"7JJGRdBV","properties":{"formattedCitation":"Kate Davis and others, \\uc0\\u8216{}Ex Situ Collections and the Nagoya Protocol: A Briefing on the Exchange of Specimens between European and Brazilian Ex Situ Collections, and the State of the Art of Relevant ABS Practices\\uc0\\u8217{} (International Workshop on The Role to be Played by Biological Collections Under the Nagoya Protocol, Brasilia, Brazil, 2013) 16\\uc0\\u8211{}17.","plainCitation":"Kate Davis and others, ‘Ex Situ Collections and the Nagoya Protocol: A Briefing on the Exchange of Specimens between European and Brazilian Ex Situ Collections, and the State of the Art of Relevant ABS Practices’ (International Workshop on The Role to be Played by Biological Collections Under the Nagoya Protocol, Brasilia, Brazil, 2013) 16–17.","noteIndex":75},"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16-17"}],"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Kate Davis and others, ‘Ex Situ Collections and the Nagoya Protocol: A Briefing on the Exchange of Specimens between European and Brazilian Ex Situ Collections, and the State of the Art of Relevant ABS Practices’ (International Workshop on The Role to be Played by Biological Collections Under the Nagoya Protocol, Brasilia, Brazil, 2013) 16–17.</w:t>
      </w:r>
      <w:r w:rsidRPr="000C134C">
        <w:rPr>
          <w:kern w:val="18"/>
          <w:sz w:val="18"/>
          <w:szCs w:val="18"/>
          <w:lang w:val="en-GB"/>
        </w:rPr>
        <w:fldChar w:fldCharType="end"/>
      </w:r>
    </w:p>
  </w:footnote>
  <w:footnote w:id="80">
    <w:p w14:paraId="432F20ED" w14:textId="0EC3451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WFCC and others (n 75).</w:t>
      </w:r>
      <w:r w:rsidRPr="000C134C">
        <w:rPr>
          <w:kern w:val="18"/>
          <w:sz w:val="18"/>
          <w:szCs w:val="18"/>
          <w:lang w:val="en-GB"/>
        </w:rPr>
        <w:fldChar w:fldCharType="end"/>
      </w:r>
      <w:r w:rsidR="006E2482" w:rsidRPr="000C134C">
        <w:rPr>
          <w:kern w:val="18"/>
          <w:sz w:val="18"/>
          <w:szCs w:val="18"/>
          <w:lang w:val="en-GB"/>
        </w:rPr>
        <w:fldChar w:fldCharType="begin"/>
      </w:r>
      <w:r w:rsidR="006E2482" w:rsidRPr="000C134C">
        <w:rPr>
          <w:kern w:val="18"/>
          <w:sz w:val="18"/>
          <w:szCs w:val="18"/>
          <w:lang w:val="en-GB"/>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006E2482" w:rsidRPr="000C134C">
        <w:rPr>
          <w:kern w:val="18"/>
          <w:sz w:val="18"/>
          <w:szCs w:val="18"/>
          <w:lang w:val="en-GB"/>
        </w:rPr>
        <w:fldChar w:fldCharType="end"/>
      </w:r>
      <w:r w:rsidRPr="000C134C">
        <w:rPr>
          <w:kern w:val="18"/>
          <w:sz w:val="18"/>
          <w:szCs w:val="18"/>
          <w:lang w:val="en-GB"/>
        </w:rPr>
        <w:t xml:space="preserve"> See also </w:t>
      </w:r>
      <w:r w:rsidRPr="000C134C">
        <w:rPr>
          <w:kern w:val="18"/>
          <w:sz w:val="18"/>
          <w:szCs w:val="18"/>
          <w:lang w:val="en-GB"/>
        </w:rPr>
        <w:fldChar w:fldCharType="begin"/>
      </w:r>
      <w:r w:rsidRPr="000C134C">
        <w:rPr>
          <w:kern w:val="18"/>
          <w:sz w:val="18"/>
          <w:szCs w:val="18"/>
          <w:lang w:val="en-GB"/>
        </w:rPr>
        <w:instrText xml:space="preserve"> ADDIN ZOTERO_ITEM CSL_CITATION {"citationID":"WVqgjuEY","properties":{"formattedCitation":"\\uc0\\u8216{}WFCC Members\\uc0\\u8217{} ({\\i{}World Federation for Culture Collections}, no date) &lt;http://www.wfcc.info/index.php/membership/&gt; accessed 28 February 2020.","plainCitation":"‘WFCC Members’ (World Federation for Culture Collections, no date) &lt;http://www.wfcc.info/index.php/membership/&gt; accessed 28 February 2020.","dontUpdate":true,"noteIndex":76},"citationItems":[{"id":671,"uris":["http://zotero.org/users/local/dU5rpCrq/items/YDHLDI6A"],"uri":["http://zotero.org/users/local/dU5rpCrq/items/YDHLDI6A"],"itemData":{"id":671,"type":"webpage","multi":{"main":{},"_keys":{}},"container-title":"World Federation for Culture Collections","title":"WFCC Members","URL":"http://www.wfcc.info/index.php/membership/","accessed":{"date-parts":[["2020",2,28]]},"seeAlso":[]}}],"schema":"https://github.com/citation-style-language/schema/raw/master/csl-citation.json"}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‘WFCC Members’ (</w:t>
      </w:r>
      <w:r w:rsidRPr="000C134C">
        <w:rPr>
          <w:i/>
          <w:iCs/>
          <w:kern w:val="18"/>
          <w:sz w:val="18"/>
          <w:szCs w:val="18"/>
          <w:lang w:val="en-GB"/>
        </w:rPr>
        <w:t>World Federation for Culture Collections</w:t>
      </w:r>
      <w:r w:rsidRPr="000C134C">
        <w:rPr>
          <w:kern w:val="18"/>
          <w:sz w:val="18"/>
          <w:szCs w:val="18"/>
          <w:lang w:val="en-GB"/>
        </w:rPr>
        <w:t>, no date) &lt;http://www.wfcc.info/</w:t>
      </w:r>
      <w:r w:rsidRPr="000C134C">
        <w:rPr>
          <w:kern w:val="18"/>
          <w:sz w:val="18"/>
          <w:szCs w:val="18"/>
          <w:lang w:val="en-GB"/>
        </w:rPr>
        <w:br/>
        <w:t>index.php/membership/&gt; accessed 28 February 2020.</w:t>
      </w:r>
      <w:r w:rsidRPr="000C134C">
        <w:rPr>
          <w:kern w:val="18"/>
          <w:sz w:val="18"/>
          <w:szCs w:val="18"/>
          <w:lang w:val="en-GB"/>
        </w:rPr>
        <w:fldChar w:fldCharType="end"/>
      </w:r>
      <w:r w:rsidRPr="000C134C">
        <w:rPr>
          <w:kern w:val="18"/>
          <w:sz w:val="18"/>
          <w:szCs w:val="18"/>
          <w:lang w:val="en-GB"/>
        </w:rPr>
        <w:t xml:space="preserve"> (“768 culture collections from 76 countries have registered with WDCM-CCINFO and 131 of them have registered with WFCC as affiliate members from 49 countries in total 966 registration users”).</w:t>
      </w:r>
    </w:p>
  </w:footnote>
  <w:footnote w:id="81">
    <w:p w14:paraId="020F03C9" w14:textId="7365C47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{"citationID":"1sUzYrM3","properties":{"formattedCitation":"WFCC, {\\i{}Guidelines for the Establishment and Operation of Collections of Cultures of Microorganisms} (3rd edn, WFCC 2010) para 17.6.","plainCitation":"WFCC, Guidelines for the Establishment and Operation of Collections of Cultures of Microorganisms (3rd edn, WFCC 2010) para 17.6.","noteIndex":77},"citationItems":[{"id":587,"uris":["http://zotero.org/users/local/dU5rpCrq/items/PT33UM9D"],"uri":["http://zotero.org/users/local/dU5rpCrq/items/PT33UM9D"],"itemData":{"id":587,"type":"book","multi":{"main":{},"_keys":{}},"edition":"3","publisher":"WFCC","title":"Guidelines for the Establishment and Operation of Collections of Cultures of Microorganisms","author":[{"family":"WFCC","given":"","literal":"WFCC","multi":{"_key":{}}}],"issued":{"date-parts":[["2010"]]},"seeAlso":[]},"locator":"17.6","label":"paragraph"}],"schema":"https://github.com/citation-style-language/schema/raw/master/csl-citation.json"}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WFCC, </w:t>
      </w:r>
      <w:r w:rsidRPr="000C134C">
        <w:rPr>
          <w:i/>
          <w:iCs/>
          <w:kern w:val="18"/>
          <w:sz w:val="18"/>
          <w:szCs w:val="18"/>
          <w:lang w:val="en-GB"/>
        </w:rPr>
        <w:t>Guidelines for the Establishment and Operation of Collections of Cultures of Microorganisms</w:t>
      </w:r>
      <w:r w:rsidRPr="000C134C">
        <w:rPr>
          <w:kern w:val="18"/>
          <w:sz w:val="18"/>
          <w:szCs w:val="18"/>
          <w:lang w:val="en-GB"/>
        </w:rPr>
        <w:t xml:space="preserve"> (3rd edn, WFCC 2010) para 17.6.</w:t>
      </w:r>
      <w:r w:rsidRPr="000C134C">
        <w:rPr>
          <w:kern w:val="18"/>
          <w:sz w:val="18"/>
          <w:szCs w:val="18"/>
          <w:lang w:val="en-GB"/>
        </w:rPr>
        <w:fldChar w:fldCharType="end"/>
      </w:r>
    </w:p>
  </w:footnote>
  <w:footnote w:id="82">
    <w:p w14:paraId="1510E7C6" w14:textId="028CA5D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{"citationID":"W4Mw7osg","properties":{"formattedCitation":"Jerome H Reichman and others, {\\i{}Governing Digitally Integrated Genetic Resources, Data, and Literature: Global Intellectual Property Strategies for a Redesigned Microbial Research Commons} (Cambridge University Press 2016) 169.","plainCitation":"Jerome H Reichman and others, Governing Digitally Integrated Genetic Resources, Data, and Literature: Global Intellectual Property Strategies for a Redesigned Microbial Research Commons (Cambridge University Press 2016) 169.","noteIndex":78},"citationItems":[{"id":585,"uris":["http://zotero.org/users/local/dU5rpCrq/items/2326D6KA"],"uri":["http://zotero.org/users/local/dU5rpCrq/items/2326D6KA"],"itemData":{"id":585,"type":"book","multi":{"main":{},"_keys":{}},"language":"en","note":"Cambridge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Jerome H Reichman and others, </w:t>
      </w:r>
      <w:r w:rsidRPr="000C134C">
        <w:rPr>
          <w:i/>
          <w:iCs/>
          <w:kern w:val="18"/>
          <w:sz w:val="18"/>
          <w:szCs w:val="18"/>
          <w:lang w:val="en-GB"/>
        </w:rPr>
        <w:t>Governing Digitally Integrated Genetic Resources, Data, and Literature: Global Intellectual Property Strategies for a Redesigned Microbial Research Commons</w:t>
      </w:r>
      <w:r w:rsidRPr="000C134C">
        <w:rPr>
          <w:kern w:val="18"/>
          <w:sz w:val="18"/>
          <w:szCs w:val="18"/>
          <w:lang w:val="en-GB"/>
        </w:rPr>
        <w:t xml:space="preserve"> (Cambridge University Press 2016) 169.</w:t>
      </w:r>
      <w:r w:rsidRPr="000C134C">
        <w:rPr>
          <w:kern w:val="18"/>
          <w:sz w:val="18"/>
          <w:szCs w:val="18"/>
          <w:lang w:val="en-GB"/>
        </w:rPr>
        <w:fldChar w:fldCharType="end"/>
      </w:r>
    </w:p>
  </w:footnote>
  <w:footnote w:id="83">
    <w:p w14:paraId="449861C9" w14:textId="0A0F202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qeapGjqU","properties":{"formattedCitation":"ibid.","plainCitation":"ibid.","noteIndex":79},"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0C134C">
        <w:rPr>
          <w:kern w:val="18"/>
          <w:sz w:val="18"/>
          <w:szCs w:val="18"/>
          <w:lang w:val="en-GB"/>
        </w:rPr>
        <w:fldChar w:fldCharType="separate"/>
      </w:r>
      <w:r w:rsidR="006E248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r w:rsidRPr="000C134C">
        <w:rPr>
          <w:kern w:val="18"/>
          <w:sz w:val="18"/>
          <w:szCs w:val="18"/>
          <w:lang w:val="en-GB"/>
        </w:rPr>
        <w:t xml:space="preserve"> See also, Gerard </w:t>
      </w:r>
      <w:proofErr w:type="spellStart"/>
      <w:r w:rsidRPr="000C134C">
        <w:rPr>
          <w:kern w:val="18"/>
          <w:sz w:val="18"/>
          <w:szCs w:val="18"/>
          <w:lang w:val="en-GB"/>
        </w:rPr>
        <w:t>Verkley</w:t>
      </w:r>
      <w:proofErr w:type="spellEnd"/>
      <w:r w:rsidRPr="000C134C">
        <w:rPr>
          <w:kern w:val="18"/>
          <w:sz w:val="18"/>
          <w:szCs w:val="18"/>
          <w:lang w:val="en-GB"/>
        </w:rPr>
        <w:t xml:space="preserve"> and others, ‘New ECCO model documents for Material Deposit and Transfer Agreements in compliance with the Nagoya Protocol’, FEMS Microbiology Letters (2020)  367(5) </w:t>
      </w:r>
      <w:hyperlink r:id="rId6" w:history="1">
        <w:r w:rsidRPr="000C134C">
          <w:rPr>
            <w:rStyle w:val="Hyperlink"/>
            <w:color w:val="auto"/>
            <w:kern w:val="18"/>
            <w:sz w:val="18"/>
            <w:szCs w:val="18"/>
            <w:lang w:val="en-GB"/>
          </w:rPr>
          <w:t>https://doi.org/10.1093/femsle/fnaa044</w:t>
        </w:r>
      </w:hyperlink>
      <w:r w:rsidRPr="000C134C">
        <w:rPr>
          <w:kern w:val="18"/>
          <w:sz w:val="18"/>
          <w:szCs w:val="18"/>
          <w:lang w:val="en-GB"/>
        </w:rPr>
        <w:t>.</w:t>
      </w:r>
    </w:p>
  </w:footnote>
  <w:footnote w:id="84">
    <w:p w14:paraId="24EC381C" w14:textId="4DFBC2D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{"citationID":"AjViKBwc","properties":{"formattedCitation":"WFCC and others (n 75).","plainCitation":"WFCC and others (n 75).","noteIndex":80},"citationItems":[{"id":670,"uris":["http://zotero.org/users/local/dU5rpCrq/items/X8BIZL77"],"uri":["http://zotero.org/users/local/dU5rpCrq/items/X8BIZL77"],"itemData":{"id":670,"type":"article","multi":{"main":{},"_keys":{}},"title":"Submission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WFCC and others (n 75).</w:t>
      </w:r>
      <w:r w:rsidRPr="000C134C">
        <w:rPr>
          <w:kern w:val="18"/>
          <w:sz w:val="18"/>
          <w:szCs w:val="18"/>
          <w:lang w:val="en-GB"/>
        </w:rPr>
        <w:fldChar w:fldCharType="end"/>
      </w:r>
      <w:r w:rsidRPr="000C134C">
        <w:rPr>
          <w:kern w:val="18"/>
          <w:sz w:val="18"/>
          <w:szCs w:val="18"/>
          <w:lang w:val="en-GB"/>
        </w:rPr>
        <w:t xml:space="preserve">  Indeed, during the process of becoming a Registered Collection under the EU Regulation 511/2014, the Leibniz Institute DSMZ implemented stringent depositor checks before accepting new deposits. As such, a 20% reduction in deposits was observed. Thus, culture collections that rigorously seek to implement the principles of the Nagoya Protocol are faced with the dilemma whether to continue the scientific collection of novel biodiversity or remain legally compliant. See </w:t>
      </w:r>
      <w:hyperlink r:id="rId7">
        <w:r w:rsidRPr="000C134C">
          <w:rPr>
            <w:rStyle w:val="Hyperlink"/>
            <w:color w:val="auto"/>
            <w:kern w:val="18"/>
            <w:sz w:val="18"/>
            <w:szCs w:val="18"/>
            <w:lang w:val="en-GB"/>
          </w:rPr>
          <w:t>https://ec.europa.eu/environment/nature/biodiversity/international/abs/pdf/Register-of-Collections.pdf</w:t>
        </w:r>
      </w:hyperlink>
      <w:r w:rsidRPr="000C134C">
        <w:rPr>
          <w:kern w:val="18"/>
          <w:sz w:val="18"/>
          <w:szCs w:val="18"/>
          <w:lang w:val="en-GB"/>
        </w:rPr>
        <w:t>.</w:t>
      </w:r>
    </w:p>
  </w:footnote>
  <w:footnote w:id="85">
    <w:p w14:paraId="244AD93E" w14:textId="44B07A8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{"citationID":"ygPPxzJO","properties":{"formattedCitation":"Botanic Gardens Conservation International, \\uc0\\u8216{}GardenSearch\\uc0\\u8217{} (no date) &lt;https://tools.bgci.org/garden_search.php&gt; accessed 28 February 2020","plainCitation":"Botanic Gardens Conservation International, ‘GardenSearch’ (no date) &lt;https://tools.bgci.org/garden_search.php&gt; accessed 28 February 2020","noteIndex":81,"suppress-trailing-punctuation":true},"citationItems":[{"id":672,"uris":["http://zotero.org/users/local/dU5rpCrq/items/85Y6ZTQP"],"uri":["http://zotero.org/users/local/dU5rpCrq/items/85Y6ZTQP"],"itemData":{"id":672,"type":"webpage","multi":{"main":{},"_keys":{}},"title":"GardenSearch","URL":"https://tools.bgci.org/garden_search.php","author":[{"family":"Botanic Gardens Conservation International","given":"","literal":"Botanic Gardens Conservation International","multi":{"_key":{}}}],"accessed":{"date-parts":[["2020",2,28]]},"seeAlso":[]}}],"schema":"https://github.com/citation-style-language/schema/raw/master/csl-citation.json"}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Botanic Gardens Conservation International, ‘GardenSearch’ (no date) &lt;https://tools.bgci.org/garden_search.php&gt; accessed 28 February 2020</w:t>
      </w:r>
      <w:r w:rsidRPr="000C134C">
        <w:rPr>
          <w:kern w:val="18"/>
          <w:sz w:val="18"/>
          <w:szCs w:val="18"/>
          <w:lang w:val="en-GB"/>
        </w:rPr>
        <w:fldChar w:fldCharType="end"/>
      </w:r>
      <w:r w:rsidRPr="000C134C">
        <w:rPr>
          <w:kern w:val="18"/>
          <w:sz w:val="18"/>
          <w:szCs w:val="18"/>
          <w:lang w:val="en-GB"/>
        </w:rPr>
        <w:t xml:space="preserve"> (cited in </w:t>
      </w:r>
      <w:r w:rsidRPr="000C134C">
        <w:rPr>
          <w:kern w:val="18"/>
          <w:sz w:val="18"/>
          <w:szCs w:val="18"/>
          <w:lang w:val="en-GB"/>
        </w:rPr>
        <w:fldChar w:fldCharType="begin"/>
      </w:r>
      <w:r w:rsidRPr="000C134C">
        <w:rPr>
          <w:kern w:val="18"/>
          <w:sz w:val="18"/>
          <w:szCs w:val="18"/>
          <w:lang w:val="en-GB"/>
        </w:rPr>
        <w:instrText xml:space="preserve"> ADDIN ZOTERO_ITEM CSL_CITATION {"citationID":"A0x6QEH8","properties":{"formattedCitation":"Davis and others (n 75) 14.","plainCitation":"Davis and others (n 75) 14.","noteIndex":81},"citationItems":[{"id":588,"uris":["http://zotero.org/users/local/dU5rpCrq/items/T8BRS95Y"],"uri":["http://zotero.org/users/local/dU5rpCrq/items/T8BRS95Y"],"itemData":{"id":588,"type":"paper-conference","multi":{"main":{},"_keys":{}},"event":"International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14"}],"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Davis and others (n 75) 14</w:t>
      </w:r>
      <w:r w:rsidR="006E2482" w:rsidRPr="000C134C">
        <w:rPr>
          <w:kern w:val="18"/>
          <w:sz w:val="18"/>
          <w:szCs w:val="18"/>
          <w:lang w:val="en-GB"/>
        </w:rPr>
        <w:t>)</w:t>
      </w:r>
      <w:r w:rsidRPr="000C134C">
        <w:rPr>
          <w:kern w:val="18"/>
          <w:sz w:val="18"/>
          <w:szCs w:val="18"/>
          <w:lang w:val="en-GB"/>
        </w:rPr>
        <w:t>.</w:t>
      </w:r>
      <w:r w:rsidRPr="000C134C">
        <w:rPr>
          <w:kern w:val="18"/>
          <w:sz w:val="18"/>
          <w:szCs w:val="18"/>
          <w:lang w:val="en-GB"/>
        </w:rPr>
        <w:fldChar w:fldCharType="end"/>
      </w:r>
    </w:p>
  </w:footnote>
  <w:footnote w:id="86">
    <w:p w14:paraId="667CF610" w14:textId="0152476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6E2482" w:rsidRPr="000C134C">
        <w:rPr>
          <w:kern w:val="18"/>
          <w:sz w:val="18"/>
          <w:szCs w:val="18"/>
          <w:lang w:val="en-GB"/>
        </w:rPr>
        <w:t>I</w:t>
      </w:r>
      <w:r w:rsidRPr="000C134C">
        <w:rPr>
          <w:kern w:val="18"/>
          <w:sz w:val="18"/>
          <w:szCs w:val="18"/>
          <w:lang w:val="en-GB"/>
        </w:rPr>
        <w:t xml:space="preserve">bid. </w:t>
      </w:r>
    </w:p>
  </w:footnote>
  <w:footnote w:id="87">
    <w:p w14:paraId="43AF1BF8" w14:textId="5FFBC5B7" w:rsidR="007511AF" w:rsidRPr="000C134C" w:rsidRDefault="007511AF" w:rsidP="00F43F79">
      <w:pPr>
        <w:pStyle w:val="FootnoteText"/>
        <w:spacing w:before="20" w:after="20"/>
        <w:ind w:left="284" w:hanging="284"/>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It should be noted that 98.5% of IPEN’s membership is in the Global North. 97% of these members </w:t>
      </w:r>
      <w:proofErr w:type="gramStart"/>
      <w:r w:rsidRPr="000C134C">
        <w:rPr>
          <w:kern w:val="18"/>
          <w:sz w:val="18"/>
          <w:szCs w:val="18"/>
          <w:lang w:val="en-GB"/>
        </w:rPr>
        <w:t>are located in</w:t>
      </w:r>
      <w:proofErr w:type="gramEnd"/>
      <w:r w:rsidRPr="000C134C">
        <w:rPr>
          <w:kern w:val="18"/>
          <w:sz w:val="18"/>
          <w:szCs w:val="18"/>
          <w:lang w:val="en-GB"/>
        </w:rPr>
        <w:t xml:space="preserve"> West, Central or Eastern Europe. See ‘List of (IPEN) registered botanic gardens’ (</w:t>
      </w:r>
      <w:r w:rsidRPr="000C134C">
        <w:rPr>
          <w:i/>
          <w:iCs/>
          <w:kern w:val="18"/>
          <w:sz w:val="18"/>
          <w:szCs w:val="18"/>
          <w:lang w:val="en-GB"/>
        </w:rPr>
        <w:t>IPEN</w:t>
      </w:r>
      <w:r w:rsidRPr="000C134C">
        <w:rPr>
          <w:kern w:val="18"/>
          <w:sz w:val="18"/>
          <w:szCs w:val="18"/>
          <w:lang w:val="en-GB"/>
        </w:rPr>
        <w:t>, 4 February 2020) &lt;https://botu07.bio.uu.nl/data/ipenList.php&gt; accessed 10 June 2020.</w:t>
      </w:r>
    </w:p>
  </w:footnote>
  <w:footnote w:id="88">
    <w:p w14:paraId="62F8BC25" w14:textId="0863AE5E"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{"citationID":"0xkroTW8","properties":{"formattedCitation":"Botanic Gardens Conservation International, \\uc0\\u8216{}International Plant Exchange Network Resources\\uc0\\u8217{} (no date) &lt;https://www.bgci.org/resources/bgci-tools-and-resources/international-plant-exchange-network-resources/&gt; accessed 28 February 2020.","plainCitation":"Botanic Gardens Conservation International, ‘International Plant Exchange Network Resources’ (no date) &lt;https://www.bgci.org/resources/bgci-tools-and-resources/international-plant-exchange-network-resources/&gt; accessed 28 February 2020.","noteIndex":84},"citationItems":[{"id":654,"uris":["http://zotero.org/users/local/dU5rpCrq/items/3X97AK2X"],"uri":["http://zotero.org/users/local/dU5rpCrq/items/3X97AK2X"],"itemData":{"id":654,"type":"webpage","multi":{"main":{},"_keys":{}},"title":"International Plant Exchange Network Resources","URL":"https://www.bgci.org/resources/bgci-tools-and-resources/international-plant-exchange-network-resources/","author":[{"family":"Botanic Gardens Conservation International","given":"","literal":"Botanic Gardens Conservation International","multi":{"_key":{}}}],"accessed":{"date-parts":[["2020",2,28]]},"seeAlso":[]}}],"schema":"https://github.com/citation-style-language/schema/raw/master/csl-citation.json"}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Botanic Gardens Conservation International, ‘International Plant Exchange Network Resources’ (no date) &lt;https://www.bgci.org/resources/bgci-tools-and-resources/international-plant-exchange-network-resources/&gt; accessed 28 February 2020.</w:t>
      </w:r>
      <w:r w:rsidRPr="000C134C">
        <w:rPr>
          <w:kern w:val="18"/>
          <w:sz w:val="18"/>
          <w:szCs w:val="18"/>
          <w:lang w:val="en-GB"/>
        </w:rPr>
        <w:fldChar w:fldCharType="end"/>
      </w:r>
    </w:p>
  </w:footnote>
  <w:footnote w:id="89">
    <w:p w14:paraId="7B56CCB3" w14:textId="76CD6EB4"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Allowing it to bill itself as “the most biodiverse place in the world.”  Royal Botanic Gardens, Kew, ‘Welcome to Royal Botanic Gardens, Kew’ (no date) &lt;https://www.kew.org/&gt;, accessed 28 February 2020.</w:t>
      </w:r>
    </w:p>
  </w:footnote>
  <w:footnote w:id="90">
    <w:p w14:paraId="07B838E7" w14:textId="2104AB6F" w:rsidR="007511AF" w:rsidRPr="000C134C" w:rsidRDefault="007511AF" w:rsidP="00F43F79">
      <w:pPr>
        <w:pStyle w:val="FootnoteText"/>
        <w:spacing w:before="20" w:after="20"/>
        <w:ind w:left="284" w:hanging="284"/>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Royal Botanic Gardens, Kew ‘Policy on Access to Genetic Resources and Benefit-Sharing’ &lt;https://www.kew.org/about-us/reports-and-policies/conservation-and-sustainable-use&gt; accessed 10 June 2020, s 3.1.</w:t>
      </w:r>
    </w:p>
  </w:footnote>
  <w:footnote w:id="91">
    <w:p w14:paraId="10FEB2D1" w14:textId="4C89E0DB"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894272" w:rsidRPr="000C134C">
        <w:rPr>
          <w:kern w:val="18"/>
          <w:sz w:val="18"/>
          <w:szCs w:val="18"/>
          <w:lang w:val="en-GB"/>
        </w:rPr>
        <w:t xml:space="preserve">Ibid. </w:t>
      </w:r>
      <w:r w:rsidRPr="000C134C">
        <w:rPr>
          <w:kern w:val="18"/>
          <w:sz w:val="18"/>
          <w:szCs w:val="18"/>
          <w:lang w:val="en-GB"/>
        </w:rPr>
        <w:t xml:space="preserve">s 4.3. </w:t>
      </w:r>
    </w:p>
  </w:footnote>
  <w:footnote w:id="92">
    <w:p w14:paraId="4BF7F97F" w14:textId="2181CAC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{"citationID":"Bg3GvEvb","properties":{"formattedCitation":"Royal Botanic Gardens, Kew, \\uc0\\u8216{}Kew Economic Botany Database\\uc0\\u8217{} (no date) &lt;https://ecbot.science.kew.org/index.php&gt; accessed 28 February 2020.","plainCitation":"Royal Botanic Gardens, Kew, ‘Kew Economic Botany Database’ (no date) &lt;https://ecbot.science.kew.org/index.php&gt; accessed 28 February 2020.","noteIndex":88},"citationItems":[{"id":669,"uris":["http://zotero.org/users/local/dU5rpCrq/items/MVIAWQ5F"],"uri":["http://zotero.org/users/local/dU5rpCrq/items/MVIAWQ5F"],"itemData":{"id":669,"type":"webpage","multi":{"main":{},"_keys":{}},"title":"Kew Economic Botany Database","URL":"https://ecbot.science.kew.org/index.php","author":[{"family":"Royal Botanic Gardens, Kew","given":"","literal":"Royal Botanic Gardens, Kew","multi":{"_key":{}}}],"accessed":{"date-parts":[["2020",2,28]]},"seeAlso":[]}}],"schema":"https://github.com/citation-style-language/schema/raw/master/csl-citation.json"}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Royal Botanic Gardens, Kew, ‘Kew Economic Botany Database’ (no date) &lt;https://ecbot.science.kew.org/index.php&gt; accessed 28 February 2020.</w:t>
      </w:r>
      <w:r w:rsidRPr="000C134C">
        <w:rPr>
          <w:kern w:val="18"/>
          <w:sz w:val="18"/>
          <w:szCs w:val="18"/>
          <w:lang w:val="en-GB"/>
        </w:rPr>
        <w:fldChar w:fldCharType="end"/>
      </w:r>
    </w:p>
  </w:footnote>
  <w:footnote w:id="93">
    <w:p w14:paraId="032B4A64" w14:textId="6084125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We note that, as emphasized in the 2015 IUCN submission, “there is a real difference between ‘specimens whose provenance is unknown’ and ‘specimens whose provenance is undisclosed’ and that the GMBSM should not become a tool by which particular users or collectors can or would wish to evade national ABS requirements, simply by claiming that they do not know where the resources were collected.” </w:t>
      </w:r>
      <w:r w:rsidRPr="000C134C">
        <w:rPr>
          <w:kern w:val="18"/>
          <w:sz w:val="18"/>
          <w:szCs w:val="18"/>
          <w:lang w:val="en-GB"/>
        </w:rPr>
        <w:fldChar w:fldCharType="begin"/>
      </w:r>
      <w:r w:rsidRPr="000C134C">
        <w:rPr>
          <w:kern w:val="18"/>
          <w:sz w:val="18"/>
          <w:szCs w:val="18"/>
          <w:lang w:val="en-GB"/>
        </w:rPr>
        <w:instrText xml:space="preserve"> ADDIN ZOTERO_ITEM CSL_CITATION {"citationID":"oHu7qqbf","properties":{"formattedCitation":"IUCN Joint SSC-WCEL Global Specialist Group on ABS, Genetic Resources and Related Issues (n 23).","plainCitation":"IUCN Joint SSC-WCEL Global Specialist Group on ABS, Genetic Resources and Related Issues (n 23).","noteIndex":89},"citationItems":[{"id":635,"uris":["http://zotero.org/users/local/dU5rpCrq/items/SP39NCY3"],"uri":["http://zotero.org/users/local/dU5rpCrq/items/SP39NCY3"],"itemData":{"id":635,"type":"article","multi":{"main":{},"_keys":{}},"title":"Submission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IUCN Joint SSC-WCEL Global Specialist Group on ABS, Genetic Resources and Related Issues (n 2</w:t>
      </w:r>
      <w:r w:rsidR="00537E93" w:rsidRPr="000C134C">
        <w:rPr>
          <w:kern w:val="18"/>
          <w:sz w:val="18"/>
          <w:szCs w:val="18"/>
          <w:lang w:val="en-GB"/>
        </w:rPr>
        <w:t>5</w:t>
      </w:r>
      <w:r w:rsidRPr="000C134C">
        <w:rPr>
          <w:kern w:val="18"/>
          <w:sz w:val="18"/>
          <w:szCs w:val="18"/>
          <w:lang w:val="en-GB"/>
        </w:rPr>
        <w:t>).</w:t>
      </w:r>
      <w:r w:rsidRPr="000C134C">
        <w:rPr>
          <w:kern w:val="18"/>
          <w:sz w:val="18"/>
          <w:szCs w:val="18"/>
          <w:lang w:val="en-GB"/>
        </w:rPr>
        <w:fldChar w:fldCharType="end"/>
      </w:r>
      <w:r w:rsidRPr="000C134C">
        <w:rPr>
          <w:kern w:val="18"/>
          <w:sz w:val="18"/>
          <w:szCs w:val="18"/>
          <w:lang w:val="en-GB"/>
        </w:rPr>
        <w:t xml:space="preserve"> We are unable to ascertain, without more information, which of these categorizations are correct for the </w:t>
      </w:r>
      <w:r w:rsidRPr="000C134C">
        <w:rPr>
          <w:i/>
          <w:iCs/>
          <w:kern w:val="18"/>
          <w:sz w:val="18"/>
          <w:szCs w:val="18"/>
          <w:lang w:val="en-GB"/>
        </w:rPr>
        <w:t>ex situ</w:t>
      </w:r>
      <w:r w:rsidRPr="000C134C">
        <w:rPr>
          <w:kern w:val="18"/>
          <w:sz w:val="18"/>
          <w:szCs w:val="18"/>
          <w:lang w:val="en-GB"/>
        </w:rPr>
        <w:t xml:space="preserve"> collection examples cited in, or identified during the course of, this study. We also note that in the case of old specimens</w:t>
      </w:r>
      <w:r w:rsidRPr="000C134C">
        <w:rPr>
          <w:bCs/>
          <w:kern w:val="18"/>
          <w:sz w:val="18"/>
          <w:szCs w:val="18"/>
          <w:lang w:val="en-GB"/>
        </w:rPr>
        <w:t xml:space="preserve"> </w:t>
      </w:r>
      <w:r w:rsidRPr="000C134C">
        <w:rPr>
          <w:kern w:val="18"/>
          <w:sz w:val="18"/>
          <w:szCs w:val="18"/>
          <w:lang w:val="en-GB"/>
        </w:rPr>
        <w:t xml:space="preserve">with incomplete information, it may be possible to track origin information by, </w:t>
      </w:r>
      <w:r w:rsidRPr="000C134C">
        <w:rPr>
          <w:i/>
          <w:kern w:val="18"/>
          <w:sz w:val="18"/>
          <w:szCs w:val="18"/>
          <w:lang w:val="en-GB"/>
        </w:rPr>
        <w:t>inter alia</w:t>
      </w:r>
      <w:r w:rsidRPr="000C134C">
        <w:rPr>
          <w:kern w:val="18"/>
          <w:sz w:val="18"/>
          <w:szCs w:val="18"/>
          <w:lang w:val="en-GB"/>
        </w:rPr>
        <w:t xml:space="preserve">, comparing to plants in other digital collections, updating names and consulting experts. See Emma De Haas and others, ‘The </w:t>
      </w:r>
      <w:proofErr w:type="spellStart"/>
      <w:r w:rsidRPr="000C134C">
        <w:rPr>
          <w:kern w:val="18"/>
          <w:sz w:val="18"/>
          <w:szCs w:val="18"/>
          <w:lang w:val="en-GB"/>
        </w:rPr>
        <w:t>Zierikzee</w:t>
      </w:r>
      <w:proofErr w:type="spellEnd"/>
      <w:r w:rsidRPr="000C134C">
        <w:rPr>
          <w:kern w:val="18"/>
          <w:sz w:val="18"/>
          <w:szCs w:val="18"/>
          <w:lang w:val="en-GB"/>
        </w:rPr>
        <w:t xml:space="preserve"> herbarium: An analysis of the specimens and origins of an enigmatic  herbarium’ (2019), </w:t>
      </w:r>
      <w:hyperlink r:id="rId8" w:history="1">
        <w:r w:rsidRPr="000C134C">
          <w:rPr>
            <w:rStyle w:val="Hyperlink"/>
            <w:color w:val="auto"/>
            <w:kern w:val="18"/>
            <w:sz w:val="18"/>
            <w:szCs w:val="18"/>
            <w:lang w:val="en-GB"/>
          </w:rPr>
          <w:t>https://www.researchgate.net/publication/334415495</w:t>
        </w:r>
      </w:hyperlink>
      <w:r w:rsidRPr="000C134C">
        <w:rPr>
          <w:kern w:val="18"/>
          <w:sz w:val="18"/>
          <w:szCs w:val="18"/>
          <w:lang w:val="en-GB"/>
        </w:rPr>
        <w:t>.</w:t>
      </w:r>
    </w:p>
  </w:footnote>
  <w:footnote w:id="94">
    <w:p w14:paraId="2AF240EB" w14:textId="6B7B352F" w:rsidR="007511AF" w:rsidRPr="000C134C" w:rsidRDefault="007511AF" w:rsidP="00F43F79">
      <w:pPr>
        <w:pStyle w:val="FootnoteText"/>
        <w:spacing w:before="20" w:after="20"/>
        <w:ind w:left="284" w:hanging="284"/>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{"citationID":"xJOvkAZI","properties":{"formattedCitation":"Barbara M Thiers, \\uc0\\u8216{}The World\\uc0\\u8217{}s Herbaria 2019: A Summary Report Based on Data from Index Herbariorum\\uc0\\u8217{} (New York Botanical Garden 2020) 1.","plainCitation":"Barbara M Thiers, ‘The World’s Herbaria 2019: A Summary Report Based on Data from Index Herbariorum’ (New York Botanical Garden 2020) 1.","noteIndex":90},"citationItems":[{"id":666,"uris":["http://zotero.org/users/local/dU5rpCrq/items/BMR9G4R3"],"uri":["http://zotero.org/users/local/dU5rpCrq/items/BMR9G4R3"],"itemData":{"id":666,"type":"article","multi":{"main":{},"_keys":{}},"publisher":"New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M","multi":{"_key":{}}}],"accessed":{"date-parts":[["2020",6,10]]},"issued":{"date-parts":[["2020"]]},"seeAlso":[]},"locator":"1"}],"schema":"https://github.com/citation-style-language/schema/raw/master/csl-citation.json"}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Barbara M Thiers, ‘The World’s Herbaria 2019: A Summary Report Based on Data from Index Herbariorum’ (New York Botanical Garden 2020) 1.</w:t>
      </w:r>
      <w:r w:rsidRPr="000C134C">
        <w:rPr>
          <w:kern w:val="18"/>
          <w:sz w:val="18"/>
          <w:szCs w:val="18"/>
          <w:lang w:val="en-GB"/>
        </w:rPr>
        <w:fldChar w:fldCharType="end"/>
      </w:r>
    </w:p>
  </w:footnote>
  <w:footnote w:id="95">
    <w:p w14:paraId="2AB1356A" w14:textId="7F9129F8"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{"citationID":"bezUTHW3","properties":{"formattedCitation":"See list of 100 largest herbaria in ibid 8\\uc0\\u8211{}13.","plainCitation":"See list of 100 largest herbaria in ibid 8–13.","noteIndex":91},"citationItems":[{"id":666,"uris":["http://zotero.org/users/local/dU5rpCrq/items/BMR9G4R3"],"uri":["http://zotero.org/users/local/dU5rpCrq/items/BMR9G4R3"],"itemData":{"id":666,"type":"article","multi":{"main":{},"_keys":{}},"publisher":"New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M","multi":{"_key":{}}}],"accessed":{"date-parts":[["2020",6,10]]},"issued":{"date-parts":[["2020"]]},"seeAlso":[]},"locator":"8-13","prefix":"See list of 100 largest herbaria in"}],"schema":"https://github.com/citation-style-language/schema/raw/master/csl-citation.json"}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See list of 100 largest herbaria in ibid 8–13.</w:t>
      </w:r>
      <w:r w:rsidRPr="000C134C">
        <w:rPr>
          <w:kern w:val="18"/>
          <w:sz w:val="18"/>
          <w:szCs w:val="18"/>
          <w:lang w:val="en-GB"/>
        </w:rPr>
        <w:fldChar w:fldCharType="end"/>
      </w:r>
    </w:p>
  </w:footnote>
  <w:footnote w:id="96">
    <w:p w14:paraId="078AB712" w14:textId="784C35B2" w:rsidR="007511AF" w:rsidRPr="000C134C" w:rsidRDefault="007511AF" w:rsidP="00F43F79">
      <w:pPr>
        <w:pStyle w:val="FootnoteText"/>
        <w:spacing w:before="20" w:after="20"/>
        <w:ind w:left="288"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FPW and MB anonymous interviews with </w:t>
      </w:r>
      <w:r w:rsidRPr="000C134C">
        <w:rPr>
          <w:i/>
          <w:kern w:val="18"/>
          <w:sz w:val="18"/>
          <w:szCs w:val="18"/>
          <w:lang w:val="en-GB"/>
        </w:rPr>
        <w:t>ex situ</w:t>
      </w:r>
      <w:r w:rsidRPr="000C134C">
        <w:rPr>
          <w:kern w:val="18"/>
          <w:sz w:val="18"/>
          <w:szCs w:val="18"/>
          <w:lang w:val="en-GB"/>
        </w:rPr>
        <w:t xml:space="preserve"> collection personnel (2020). See also </w:t>
      </w:r>
      <w:proofErr w:type="spellStart"/>
      <w:r w:rsidRPr="000C134C">
        <w:rPr>
          <w:kern w:val="18"/>
          <w:sz w:val="18"/>
          <w:szCs w:val="18"/>
          <w:lang w:val="en-GB"/>
        </w:rPr>
        <w:t>Soejarto</w:t>
      </w:r>
      <w:proofErr w:type="spellEnd"/>
      <w:r w:rsidRPr="000C134C">
        <w:rPr>
          <w:kern w:val="18"/>
          <w:sz w:val="18"/>
          <w:szCs w:val="18"/>
          <w:lang w:val="en-GB"/>
        </w:rPr>
        <w:t xml:space="preserve"> D. D., Kinghorn A. D., Farnsworth N. R. Potential Sweetening agent of plant origin. III: “Organoleptic evaluation of Stevia leaf herbarium samples for sweetness”. J. Nat. Prod. 45, p. 590-598, (1983) cited in U.S. patent No. 9,636,314.</w:t>
      </w:r>
    </w:p>
  </w:footnote>
  <w:footnote w:id="97">
    <w:p w14:paraId="5CE3360A" w14:textId="08AF79A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{"citationID":"VHk6Xl1C","properties":{"formattedCitation":"Freek T Bakker, \\uc0\\u8216{}Herbarium Genomics: Plant Archival DNA Explored\\uc0\\u8217{} in Charlotte Lindqvist and Om P Rajora (eds), {\\i{}Paleogenomics: Genome-Scale Analysis of Ancient DNA} (Springer International Publishing 2019) mentions the successful analysis of a sample 146 years old.","plainCitation":"Freek T Bakker, ‘Herbarium Genomics: Plant Archival DNA Explored’ in Charlotte Lindqvist and Om P Rajora (eds), Paleogenomics: Genome-Scale Analysis of Ancient DNA (Springer International Publishing 2019) mentions the successful analysis of a sample 146 years old.","noteIndex":93},"citationItems":[{"id":584,"uris":["http://zotero.org/users/local/dU5rpCrq/items/MJBW9N4W"],"uri":["http://zotero.org/users/local/dU5rpCrq/items/MJBW9N4W"],"itemData":{"id":584,"type":"chapter","multi":{"main":{},"_keys":{}},"abstract":"Herbarium genomics, allowing testing of historic biological hypotheses in plant science, is a promising field mainly driven by recent advances in next-generation sequencing (NGS) technology. Herbarium collections represent an enormous botanical repository of both specimens and of phenotypic observations and locality data, of sometimes long-extinct taxa. Herbarium specimens, a large part of which stem from the nineteenth and eighteenth century, are mostly pressed and mounted and were usually heat-treated and poisoned for preservation. Whereas the presence of post-mortem damage in herbarium DNA has been found to consist of mainly genome fragmentation (single- and double-stranded breaks), damage-derived miscoding lesions appear to be highly limited or even negligible. For organelle genomes and other repetitive genomic compartments, genome skimming appears effective in retrieving sequence data from plant herbarium specimens, whereas studies addressing herbarium nuclear-encoded genes and particularly whole genomes are still in minority. High levels of herbarium genomic fragmentation possibly lead to insert sizes being smaller than Illumina read lengths applied. Using a series of 93 herbarium DNA samples, representing 10 angiosperm families, near-complete plastomes were assembled for 80% of the specimens, some of which are 146 years old. Overlapping read pairs were found to occur in roughly 80% of all read pairs obtained. After merging such overlapping pairs, the resulting fragments and their distribution can be considered to reflect the ongoing process of genome fragmentation up to the moment of DNA extraction. Fragment length distributions appear to fit gamma distributions with either many small fragments present or an increasing number of longer fragments having accumulated. These distributions appear to differ from usually observed first-order genomic degradation kinetics, possibly due to the nonrepresentative nature of genome skimming samples.","container-title":"Paleogenomics: Genome-Scale Analysis of Ancient DNA","event-place":"Cham","ISBN":"978-3-030-04753-5","language":"en","note":"DOI: 10.1007/13836_2018_40","page":"205-224","publisher":"Springer International Publishing","publisher-place":"Cham","source":"Springer Link","title":"Herbarium Genomics: Plant Archival DNA Explored","title-short":"Herbarium Genomics","URL":"https://doi.org/10.1007/13836_2018_40","author":[{"family":"Bakker","given":"Freek T.","multi":{"_key":{}}}],"editor":[{"family":"Lindqvist","given":"Charlotte","multi":{"_key":{}}},{"family":"Rajora","given":"Om P.","multi":{"_key":{}}}],"accessed":{"date-parts":[["2020",2,28]]},"issued":{"date-parts":[["2019"]]},"seeAlso":[]},"suffix":"mentions the successful analysis of a sample 146 years old."}],"schema":"https://github.com/citation-style-language/schema/raw/master/csl-citation.json"}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Freek T Bakker, ‘Herbarium Genomics: Plant Archival DNA Explored’ in Charlotte Lindqvist and Om P Rajora (eds), </w:t>
      </w:r>
      <w:r w:rsidRPr="000C134C">
        <w:rPr>
          <w:i/>
          <w:iCs/>
          <w:kern w:val="18"/>
          <w:sz w:val="18"/>
          <w:szCs w:val="18"/>
          <w:lang w:val="en-GB"/>
        </w:rPr>
        <w:t>Paleogenomics: Genome-Scale Analysis of Ancient DNA</w:t>
      </w:r>
      <w:r w:rsidRPr="000C134C">
        <w:rPr>
          <w:kern w:val="18"/>
          <w:sz w:val="18"/>
          <w:szCs w:val="18"/>
          <w:lang w:val="en-GB"/>
        </w:rPr>
        <w:t xml:space="preserve"> (Springer International Publishing 2019) mentions the successful analysis of a sample 146 years old.</w:t>
      </w:r>
      <w:r w:rsidRPr="000C134C">
        <w:rPr>
          <w:kern w:val="18"/>
          <w:sz w:val="18"/>
          <w:szCs w:val="18"/>
          <w:lang w:val="en-GB"/>
        </w:rPr>
        <w:fldChar w:fldCharType="end"/>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{"citationID":"EpIQ8Wjp","properties":{"formattedCitation":"Vanessa C Bieker and Michael D Martin, \\uc0\\u8216{}Implications and Future Prospects for Evolutionary Analyses of DNA in Historical Herbarium Collections\\uc0\\u8217{} (2018) 165 Botany Letters 409 for the prospects of such utilization.","plainCitation":"Vanessa C Bieker and Michael D Martin, ‘Implications and Future Prospects for Evolutionary Analyses of DNA in Historical Herbarium Collections’ (2018) 165 Botany Letters 409 for the prospects of such utilization.","noteIndex":93},"citationItems":[{"id":790,"uris":["http://zotero.org/users/local/dU5rpCrq/items/NV4VJLHM"],"uri":["http://zotero.org/users/local/dU5rpCrq/items/NV4VJLHM"],"itemData":{"id":790,"type":"article-journal","multi":{"main":{},"_keys":{}},"container-title":"Botany Letters","DOI":"10.1080/23818107.2018.1458651","issue":"3-4","note":"publisher: Taylor &amp; Francis\n_eprint: https://doi.org/10.1080/23818107.2018.1458651","page":"409-418","title":"Implications and future prospects for evolutionary analyses of DNA in historical herbarium collections","volume":"165","author":[{"family":"Bieker","given":"Vanessa C.","multi":{"_key":{}}},{"family":"Martin","given":"Michael D.","multi":{"_key":{}}}],"issued":{"date-parts":[["2018"]]},"seeAlso":[]},"suffix":"for the prospects of such utilization."}],"schema":"https://github.com/citation-style-language/schema/raw/master/csl-citation.json"}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Vanessa C Bieker and Michael D Martin, ‘Implications and Future Prospects for Evolutionary Analyses of DNA in Historical Herbarium Collections’ (2018) 165 Botany Letters 409 for the prospects of such utilization.</w:t>
      </w:r>
      <w:r w:rsidRPr="000C134C">
        <w:rPr>
          <w:kern w:val="18"/>
          <w:sz w:val="18"/>
          <w:szCs w:val="18"/>
          <w:lang w:val="en-GB"/>
        </w:rPr>
        <w:fldChar w:fldCharType="end"/>
      </w:r>
    </w:p>
  </w:footnote>
  <w:footnote w:id="98">
    <w:p w14:paraId="777DC944" w14:textId="40FCC765"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MB, interview, anonymous herbaria curator (2020).</w:t>
      </w:r>
    </w:p>
  </w:footnote>
  <w:footnote w:id="99">
    <w:p w14:paraId="55E4BD6C"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Commission Decision of 10.5.2019 recognising the Code of Conduct and Best Practice for Access and Benefit Sharing of the Consortium of European Taxonomic Facilities as best practice under Regulation (EU) No 511/2014 of the European Parliament and Council, C (2019) 3380 final.</w:t>
      </w:r>
    </w:p>
  </w:footnote>
  <w:footnote w:id="100">
    <w:p w14:paraId="08E861F5" w14:textId="2C2D01F4"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{"citationID":"gRFE8BFC","properties":{"formattedCitation":"Consortium of European Taxonomic Facilities (CETAF), \\uc0\\u8216{}Code of Conduct and Best Practice for Access and Benefit-Sharing\\uc0\\u8217{} (CETAF 2018) 4.","plainCitation":"Consortium of European Taxonomic Facilities (CETAF), ‘Code of Conduct and Best Practice for Access and Benefit-Sharing’ (CETAF 2018) 4.","noteIndex":96},"citationItems":[{"id":788,"uris":["http://zotero.org/users/local/dU5rpCrq/items/YGMBK4L8"],"uri":["http://zotero.org/users/local/dU5rpCrq/items/YGMBK4L8"],"itemData":{"id":788,"type":"article","multi":{"main":{},"_keys":{}},"publisher":"CETAF","title":"Code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(CETAF)","multi":{"_key":{}}}],"issued":{"date-parts":[["2018"]]},"seeAlso":[]},"locator":"4"}],"schema":"https://github.com/citation-style-language/schema/raw/master/csl-citation.json"}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Consortium of European Taxonomic Facilities (CETAF), ‘Code of Conduct and Best Practice for Access and Benefit-Sharing’ (CETAF 2018) 4.</w:t>
      </w:r>
      <w:r w:rsidRPr="000C134C">
        <w:rPr>
          <w:kern w:val="18"/>
          <w:sz w:val="18"/>
          <w:szCs w:val="18"/>
          <w:lang w:val="en-GB"/>
        </w:rPr>
        <w:fldChar w:fldCharType="end"/>
      </w:r>
    </w:p>
  </w:footnote>
  <w:footnote w:id="101">
    <w:p w14:paraId="5684A37C" w14:textId="6EFB7499"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Per EU Regulation 511/2014.</w:t>
      </w:r>
    </w:p>
  </w:footnote>
  <w:footnote w:id="102">
    <w:p w14:paraId="5602B929" w14:textId="1CFB74B3"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{"citationID":"WZC4KH48","properties":{"formattedCitation":"Consortium of European Taxonomic Facilities (CETAF) (n 96) 5.","plainCitation":"Consortium of European Taxonomic Facilities (CETAF) (n 96) 5.","noteIndex":98},"citationItems":[{"id":788,"uris":["http://zotero.org/users/local/dU5rpCrq/items/YGMBK4L8"],"uri":["http://zotero.org/users/local/dU5rpCrq/items/YGMBK4L8"],"itemData":{"id":788,"type":"article","multi":{"main":{},"_keys":{}},"publisher":"CETAF","title":"Code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Consortium of European Taxonomic Facilities (CETAF) (n 96) 5.</w:t>
      </w:r>
      <w:r w:rsidRPr="000C134C">
        <w:rPr>
          <w:kern w:val="18"/>
          <w:sz w:val="18"/>
          <w:szCs w:val="18"/>
          <w:lang w:val="en-GB"/>
        </w:rPr>
        <w:fldChar w:fldCharType="end"/>
      </w:r>
    </w:p>
  </w:footnote>
  <w:footnote w:id="103">
    <w:p w14:paraId="41864CD6" w14:textId="45C1792A" w:rsidR="007511AF" w:rsidRPr="00CD2F7F" w:rsidRDefault="007511AF" w:rsidP="00F43F79">
      <w:pPr>
        <w:pStyle w:val="FootnoteText"/>
        <w:spacing w:before="20" w:after="20"/>
        <w:ind w:left="284" w:hanging="288"/>
        <w:rPr>
          <w:kern w:val="18"/>
          <w:sz w:val="18"/>
          <w:szCs w:val="18"/>
          <w:lang w:val="fr-FR"/>
        </w:rPr>
      </w:pPr>
      <w:r w:rsidRPr="000C134C">
        <w:rPr>
          <w:rStyle w:val="FootnoteReference"/>
          <w:kern w:val="18"/>
          <w:sz w:val="18"/>
          <w:szCs w:val="18"/>
          <w:lang w:val="en-GB"/>
        </w:rPr>
        <w:footnoteRef/>
      </w:r>
      <w:r w:rsidRPr="00CD2F7F">
        <w:rPr>
          <w:kern w:val="18"/>
          <w:sz w:val="18"/>
          <w:szCs w:val="18"/>
          <w:lang w:val="fr-FR"/>
        </w:rPr>
        <w:t xml:space="preserve"> </w:t>
      </w:r>
      <w:r w:rsidRPr="000C134C">
        <w:rPr>
          <w:kern w:val="18"/>
          <w:sz w:val="18"/>
          <w:szCs w:val="18"/>
          <w:lang w:val="en-GB"/>
        </w:rPr>
        <w:fldChar w:fldCharType="begin"/>
      </w:r>
      <w:r w:rsidRPr="00CD2F7F">
        <w:rPr>
          <w:kern w:val="18"/>
          <w:sz w:val="18"/>
          <w:szCs w:val="18"/>
          <w:lang w:val="fr-FR"/>
        </w:rPr>
        <w:instrText xml:space="preserve"> ADDIN ZOTERO_ITEM CSL_CITATION {"citationID":"BGDF3Bvs","properties":{"formattedCitation":"ibid.","plainCitation":"ibid.","noteIndex":99},"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0C134C">
        <w:rPr>
          <w:kern w:val="18"/>
          <w:sz w:val="18"/>
          <w:szCs w:val="18"/>
          <w:lang w:val="en-GB"/>
        </w:rPr>
        <w:fldChar w:fldCharType="separate"/>
      </w:r>
      <w:r w:rsidR="006E2482" w:rsidRPr="00CD2F7F">
        <w:rPr>
          <w:kern w:val="18"/>
          <w:sz w:val="18"/>
          <w:szCs w:val="18"/>
          <w:lang w:val="fr-FR"/>
        </w:rPr>
        <w:t>I</w:t>
      </w:r>
      <w:r w:rsidRPr="00CD2F7F">
        <w:rPr>
          <w:kern w:val="18"/>
          <w:sz w:val="18"/>
          <w:szCs w:val="18"/>
          <w:lang w:val="fr-FR"/>
        </w:rPr>
        <w:t>bid.</w:t>
      </w:r>
      <w:r w:rsidRPr="000C134C">
        <w:rPr>
          <w:kern w:val="18"/>
          <w:sz w:val="18"/>
          <w:szCs w:val="18"/>
          <w:lang w:val="en-GB"/>
        </w:rPr>
        <w:fldChar w:fldCharType="end"/>
      </w:r>
    </w:p>
  </w:footnote>
  <w:footnote w:id="104">
    <w:p w14:paraId="583E79A5" w14:textId="2A521202" w:rsidR="007511AF" w:rsidRPr="00CD2F7F" w:rsidRDefault="007511AF" w:rsidP="00F43F79">
      <w:pPr>
        <w:pStyle w:val="FootnoteText"/>
        <w:spacing w:before="20" w:after="20"/>
        <w:ind w:left="284" w:hanging="288"/>
        <w:rPr>
          <w:kern w:val="18"/>
          <w:sz w:val="18"/>
          <w:szCs w:val="18"/>
          <w:lang w:val="fr-FR"/>
        </w:rPr>
      </w:pPr>
      <w:r w:rsidRPr="000C134C">
        <w:rPr>
          <w:rStyle w:val="FootnoteReference"/>
          <w:kern w:val="18"/>
          <w:sz w:val="18"/>
          <w:szCs w:val="18"/>
          <w:lang w:val="en-GB"/>
        </w:rPr>
        <w:footnoteRef/>
      </w:r>
      <w:r w:rsidRPr="00CD2F7F">
        <w:rPr>
          <w:kern w:val="18"/>
          <w:sz w:val="18"/>
          <w:szCs w:val="18"/>
          <w:lang w:val="fr-FR"/>
        </w:rPr>
        <w:t xml:space="preserve"> </w:t>
      </w:r>
      <w:r w:rsidRPr="000C134C">
        <w:rPr>
          <w:kern w:val="18"/>
          <w:sz w:val="18"/>
          <w:szCs w:val="18"/>
          <w:lang w:val="en-GB"/>
        </w:rPr>
        <w:fldChar w:fldCharType="begin"/>
      </w:r>
      <w:r w:rsidRPr="00CD2F7F">
        <w:rPr>
          <w:kern w:val="18"/>
          <w:sz w:val="18"/>
          <w:szCs w:val="18"/>
          <w:lang w:val="fr-FR"/>
        </w:rPr>
        <w:instrText xml:space="preserve"> ADDIN ZOTERO_ITEM CSL_CITATION {"citationID":"XDKLRVCn","properties":{"formattedCitation":"ibid 6.","plainCitation":"ibid 6.","noteIndex":100},"citationItems":[{"id":788,"uris":["http://zotero.org/users/local/dU5rpCrq/items/YGMBK4L8"],"uri":["http://zotero.org/users/local/dU5rpCrq/items/YGMBK4L8"],"itemData":{"id":788,"type":"article","multi":{"main":{},"_keys":{}},"publisher":"CETAF","title":"Code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(CETAF)","multi":{"_key":{}}}],"issued":{"date-parts":[["2018"]]},"seeAlso":[]},"locator":"6"}],"schema":"https://github.com/citation-style-language/schema/raw/master/csl-citation.json"} </w:instrText>
      </w:r>
      <w:r w:rsidRPr="000C134C">
        <w:rPr>
          <w:kern w:val="18"/>
          <w:sz w:val="18"/>
          <w:szCs w:val="18"/>
          <w:lang w:val="en-GB"/>
        </w:rPr>
        <w:fldChar w:fldCharType="separate"/>
      </w:r>
      <w:r w:rsidR="006E2482" w:rsidRPr="00CD2F7F">
        <w:rPr>
          <w:kern w:val="18"/>
          <w:sz w:val="18"/>
          <w:szCs w:val="18"/>
          <w:lang w:val="fr-FR"/>
        </w:rPr>
        <w:t>I</w:t>
      </w:r>
      <w:r w:rsidRPr="00CD2F7F">
        <w:rPr>
          <w:kern w:val="18"/>
          <w:sz w:val="18"/>
          <w:szCs w:val="18"/>
          <w:lang w:val="fr-FR"/>
        </w:rPr>
        <w:t>bid 6.</w:t>
      </w:r>
      <w:r w:rsidRPr="000C134C">
        <w:rPr>
          <w:kern w:val="18"/>
          <w:sz w:val="18"/>
          <w:szCs w:val="18"/>
          <w:lang w:val="en-GB"/>
        </w:rPr>
        <w:fldChar w:fldCharType="end"/>
      </w:r>
    </w:p>
  </w:footnote>
  <w:footnote w:id="105">
    <w:p w14:paraId="6FCD88DA" w14:textId="77777777" w:rsidR="007511AF" w:rsidRPr="00CD2F7F" w:rsidRDefault="007511AF" w:rsidP="00F43F79">
      <w:pPr>
        <w:pStyle w:val="FootnoteText"/>
        <w:spacing w:before="20" w:after="20"/>
        <w:ind w:left="284" w:hanging="288"/>
        <w:rPr>
          <w:kern w:val="18"/>
          <w:sz w:val="18"/>
          <w:szCs w:val="18"/>
          <w:lang w:val="fr-FR"/>
        </w:rPr>
      </w:pPr>
      <w:r w:rsidRPr="000C134C">
        <w:rPr>
          <w:rStyle w:val="FootnoteReference"/>
          <w:kern w:val="18"/>
          <w:sz w:val="18"/>
          <w:szCs w:val="18"/>
          <w:lang w:val="en-GB"/>
        </w:rPr>
        <w:footnoteRef/>
      </w:r>
      <w:r w:rsidRPr="00CD2F7F">
        <w:rPr>
          <w:kern w:val="18"/>
          <w:sz w:val="18"/>
          <w:szCs w:val="18"/>
          <w:lang w:val="fr-FR"/>
        </w:rPr>
        <w:t xml:space="preserve"> Loi n° 2016-1087 du 8 août 2016 pour la reconquête de la biodiversité, de la nature et des paysages, JORF n°0184 du 9 août 2016, L. 412-6 : « Dans le cas de collections de ressources génétiques ou de connaissances traditionnelles associées constituées avant la publication de la loi n° 2016-1087 du 8 août 2016 pour la reconquête de la biodiversité, de la nature et des paysages, les procédures d'accès et de partage des avantages sur les ressources génétiques relevant de la souveraineté de l'Etat et les connaissances traditionnelles associées à ces ressources génétiques s'appliquent… a toute nouvelle utilisation pour les autres fins. Une nouvelle utilisation est définie comme toute activité de recherche et de développement avec un objectif direct de développement commercial et dont le domaine d'activité se distingue de celui précédemment couvert par le même utilisateur avec la même ressource génétique ou connaissance traditionnelle associée ».</w:t>
      </w:r>
    </w:p>
  </w:footnote>
  <w:footnote w:id="106">
    <w:p w14:paraId="3B081233" w14:textId="45A04E1A" w:rsidR="007511AF" w:rsidRPr="00CD2F7F" w:rsidRDefault="007511AF" w:rsidP="00F43F79">
      <w:pPr>
        <w:pStyle w:val="FootnoteText"/>
        <w:spacing w:before="20" w:after="20"/>
        <w:ind w:left="284" w:hanging="288"/>
        <w:rPr>
          <w:kern w:val="18"/>
          <w:sz w:val="18"/>
          <w:szCs w:val="18"/>
          <w:lang w:val="fr-FR"/>
        </w:rPr>
      </w:pPr>
      <w:r w:rsidRPr="000C134C">
        <w:rPr>
          <w:rStyle w:val="FootnoteReference"/>
          <w:kern w:val="18"/>
          <w:sz w:val="18"/>
          <w:szCs w:val="18"/>
          <w:lang w:val="en-GB"/>
        </w:rPr>
        <w:footnoteRef/>
      </w:r>
      <w:r w:rsidRPr="00CD2F7F">
        <w:rPr>
          <w:kern w:val="18"/>
          <w:sz w:val="18"/>
          <w:szCs w:val="18"/>
          <w:lang w:val="fr-FR"/>
        </w:rPr>
        <w:t xml:space="preserve"> </w:t>
      </w:r>
      <w:r w:rsidRPr="000C134C">
        <w:rPr>
          <w:kern w:val="18"/>
          <w:sz w:val="18"/>
          <w:szCs w:val="18"/>
          <w:lang w:val="en-GB"/>
        </w:rPr>
        <w:fldChar w:fldCharType="begin"/>
      </w:r>
      <w:r w:rsidRPr="00CD2F7F">
        <w:rPr>
          <w:kern w:val="18"/>
          <w:sz w:val="18"/>
          <w:szCs w:val="18"/>
          <w:lang w:val="fr-FR"/>
        </w:rPr>
        <w:instrText xml:space="preserve"> ADDIN ZOTERO_ITEM CSL_CITATION {"citationID":"jUbau9hi","properties":{"formattedCitation":"Catherine Aubertin and Anne Nivart, \\uc0\\u8216{}Mus\\uc0\\u233{}e et Collections Sous Le Protocole de Nagoya\\uc0\\u8217{} in Fran\\uc0\\u231{}ois Mairesse (ed), {\\i{}D\\uc0\\u233{}finir le mus\\uc0\\u233{}e du XXIe si\\uc0\\u232{}cle: Mat\\uc0\\u233{}riaux pour une discussion} (ICOFOM 2017).","plainCitation":"Catherine Aubertin and Anne Nivart, ‘Musée et Collections Sous Le Protocole de Nagoya’ in François Mairesse (ed), Définir le musée du XXIe siècle: Matériaux pour une discussion (ICOFOM 2017).","noteIndex":102},"citationItems":[{"id":603,"uris":["http://zotero.org/users/local/dU5rpCrq/items/6MWIRS8T"],"uri":["http://zotero.org/users/local/dU5rpCrq/items/6MWIRS8T"],"itemData":{"id":603,"type":"chapter","multi":{"main":{},"_keys":{}},"container-title":"Définir le musée du XXIe siècle: Matériaux pour une discussion","publisher":"ICOFOM","title":"Musée et collections sous le protocole de Nagoya","editor":[{"family":"Mairesse","given":"François","multi":{"_key":{}}}],"author":[{"family":"Aubertin","given":"Catherine","multi":{"_key":{}}},{"family":"Nivart","given":"Anne","multi":{"_key":{}}}],"issued":{"date-parts":[["2017"]]},"seeAlso":[]}}],"schema":"https://github.com/citation-style-language/schema/raw/master/csl-citation.json"} </w:instrText>
      </w:r>
      <w:r w:rsidRPr="000C134C">
        <w:rPr>
          <w:kern w:val="18"/>
          <w:sz w:val="18"/>
          <w:szCs w:val="18"/>
          <w:lang w:val="en-GB"/>
        </w:rPr>
        <w:fldChar w:fldCharType="separate"/>
      </w:r>
      <w:r w:rsidRPr="00CD2F7F">
        <w:rPr>
          <w:kern w:val="18"/>
          <w:sz w:val="18"/>
          <w:szCs w:val="18"/>
          <w:lang w:val="fr-FR"/>
        </w:rPr>
        <w:t xml:space="preserve">Catherine Aubertin and Anne Nivart, ‘Musée et Collections Sous Le Protocole de Nagoya’ in François Mairesse (ed), </w:t>
      </w:r>
      <w:r w:rsidRPr="00CD2F7F">
        <w:rPr>
          <w:i/>
          <w:iCs/>
          <w:kern w:val="18"/>
          <w:sz w:val="18"/>
          <w:szCs w:val="18"/>
          <w:lang w:val="fr-FR"/>
        </w:rPr>
        <w:t>Définir le musée du XXIe siècle: Matériaux pour une discussion</w:t>
      </w:r>
      <w:r w:rsidRPr="00CD2F7F">
        <w:rPr>
          <w:kern w:val="18"/>
          <w:sz w:val="18"/>
          <w:szCs w:val="18"/>
          <w:lang w:val="fr-FR"/>
        </w:rPr>
        <w:t xml:space="preserve"> (ICOFOM 2017).</w:t>
      </w:r>
      <w:r w:rsidRPr="000C134C">
        <w:rPr>
          <w:kern w:val="18"/>
          <w:sz w:val="18"/>
          <w:szCs w:val="18"/>
          <w:lang w:val="en-GB"/>
        </w:rPr>
        <w:fldChar w:fldCharType="end"/>
      </w:r>
    </w:p>
  </w:footnote>
  <w:footnote w:id="107">
    <w:p w14:paraId="3FAF03DF" w14:textId="0BDB20C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At least one Party to the Nagoya Protocol, Mexico, does subject agricultural seeds to ABS procedures, see e.g. ABSCH-IRCC-MX-241563-1, ABSCH-IRCC-MX-208823-1 and ABSCH-IRCC-MX-207343-3. In addition, soybeans are not an Annex 1 crop under the Food and Agriculture International Treaty on Plant Genetic Resources for Food and Agriculture.</w:t>
      </w:r>
    </w:p>
  </w:footnote>
  <w:footnote w:id="108">
    <w:p w14:paraId="38345795" w14:textId="337B5C88"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The coalition included The Berne Declaration, Greenpeace, with support from more than 300 NGOs and farmers. See </w:t>
      </w:r>
      <w:r w:rsidRPr="000C134C">
        <w:rPr>
          <w:kern w:val="18"/>
          <w:sz w:val="18"/>
          <w:szCs w:val="18"/>
          <w:lang w:val="en-GB"/>
        </w:rPr>
        <w:fldChar w:fldCharType="begin"/>
      </w:r>
      <w:r w:rsidRPr="000C134C">
        <w:rPr>
          <w:kern w:val="18"/>
          <w:sz w:val="18"/>
          <w:szCs w:val="18"/>
          <w:lang w:val="en-GB"/>
        </w:rPr>
        <w:instrText xml:space="preserve"> ADDIN ZOTERO_ITEM CSL_CITATION {"citationID":"KsFwsMOW","properties":{"formattedCitation":"Emanuela Gambini, \\uc0\\u8216{}No Patents on Seeds Files an Opposition against Monsanto\\uc0\\u8217{}s Patent EP 2 134 870 B1 Covering the Selection of Soybean Plants and Seeds\\uc0\\u8217{} (2015) 6 European Journal of Risk Regulation 134.","plainCitation":"Emanuela Gambini, ‘No Patents on Seeds Files an Opposition against Monsanto’s Patent EP 2 134 870 B1 Covering the Selection of Soybean Plants and Seeds’ (2015) 6 European Journal of Risk Regulation 134.","noteIndex":104},"citationItems":[{"id":539,"uris":["http://zotero.org/users/local/dU5rpCrq/items/8LX3SZW4"],"uri":["http://zotero.org/users/local/dU5rpCrq/items/8LX3SZW4"],"itemData":{"id":539,"type":"article-journal","multi":{"main":{},"_keys":{}},"abstract":"On 25th November, 2014, the coalition “No Patents on Seeds” filed an opposition against the European patent EP 2 134 870 B1, held by the U.S. Company Monsanto Technology. The patent, granted on 26th February, 2014, by the European Patent Office, covers “utility of SNP [single nucleotide polimorfism] markers associated with major soybean plant maturity and growth habit genomic regions” and includes “methods for screening plants and seeds from the genus Glycine withmarkers associated with genomic regions that are related to the plant maturity and growth habit of Glycine plants”.\n“No Patents on Seeds” claims that the patent should be completely revoked, as it falls within the exclusion of essentially biological processes for the production of plants from patentability under art. 53(b) of the European Patent Convention (EPC2000) and is not a patentable invention according to art. 52(2)(a) EPC. This case note gives an overview of the opposition and discusses its implications.","container-title":"European Journal of Risk Regulation","DOI":"10.1017/S1867299X00004360","ISSN":"1867-299X, 2190-8249","issue":"1","language":"en","note":"No Patents on Seeds Files an Opposition against Monsanto's Patent EP 2 134 870 B1 Covering the Selection of Soybean Plants and Seeds - Volume 6 Issue 1 - Emanuela Gambini","page":"134-140","source":"Cambridge Core","title":"No Patents on Seeds Files an Opposition against Monsanto's Patent EP 2 134 870 B1 Covering the Selection of Soybean Plants and Seeds","volume":"6","author":[{"family":"Gambini","given":"Emanuela","multi":{"_key":{}}}],"issued":{"date-parts":[["2015",3]]},"seeAlso":[]}}],"schema":"https://github.com/citation-style-language/schema/raw/master/csl-citation.json"}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Emanuela Gambini, ‘No Patents on Seeds Files an Opposition against Monsanto’s Patent EP 2 134 870 B1 Covering the Selection of Soybean Plants and Seeds’ (2015) 6 European Journal of Risk Regulation 134.</w:t>
      </w:r>
      <w:r w:rsidRPr="000C134C">
        <w:rPr>
          <w:kern w:val="18"/>
          <w:sz w:val="18"/>
          <w:szCs w:val="18"/>
          <w:lang w:val="en-GB"/>
        </w:rPr>
        <w:fldChar w:fldCharType="end"/>
      </w:r>
    </w:p>
  </w:footnote>
  <w:footnote w:id="109">
    <w:p w14:paraId="4B10B33D"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European Patent (EPO) EP2134870 B1.  The application notes that the invention can be applied to a plant “from the group consisting of members of the genus Glycine, more specifically from the group consisting of Glycine </w:t>
      </w:r>
      <w:proofErr w:type="spellStart"/>
      <w:r w:rsidRPr="000C134C">
        <w:rPr>
          <w:kern w:val="18"/>
          <w:sz w:val="18"/>
          <w:szCs w:val="18"/>
          <w:lang w:val="en-GB"/>
        </w:rPr>
        <w:t>arenaria</w:t>
      </w:r>
      <w:proofErr w:type="spellEnd"/>
      <w:r w:rsidRPr="000C134C">
        <w:rPr>
          <w:kern w:val="18"/>
          <w:sz w:val="18"/>
          <w:szCs w:val="18"/>
          <w:lang w:val="en-GB"/>
        </w:rPr>
        <w:t xml:space="preserve">, Glycine </w:t>
      </w:r>
      <w:proofErr w:type="spellStart"/>
      <w:r w:rsidRPr="000C134C">
        <w:rPr>
          <w:kern w:val="18"/>
          <w:sz w:val="18"/>
          <w:szCs w:val="18"/>
          <w:lang w:val="en-GB"/>
        </w:rPr>
        <w:t>argyrea</w:t>
      </w:r>
      <w:proofErr w:type="spellEnd"/>
      <w:r w:rsidRPr="000C134C">
        <w:rPr>
          <w:kern w:val="18"/>
          <w:sz w:val="18"/>
          <w:szCs w:val="18"/>
          <w:lang w:val="en-GB"/>
        </w:rPr>
        <w:t xml:space="preserve">, Glycine </w:t>
      </w:r>
      <w:proofErr w:type="spellStart"/>
      <w:r w:rsidRPr="000C134C">
        <w:rPr>
          <w:kern w:val="18"/>
          <w:sz w:val="18"/>
          <w:szCs w:val="18"/>
          <w:lang w:val="en-GB"/>
        </w:rPr>
        <w:t>canescens</w:t>
      </w:r>
      <w:proofErr w:type="spellEnd"/>
      <w:r w:rsidRPr="000C134C">
        <w:rPr>
          <w:kern w:val="18"/>
          <w:sz w:val="18"/>
          <w:szCs w:val="18"/>
          <w:lang w:val="en-GB"/>
        </w:rPr>
        <w:t xml:space="preserve">, Glycine clandestine, Glycine </w:t>
      </w:r>
      <w:proofErr w:type="spellStart"/>
      <w:r w:rsidRPr="000C134C">
        <w:rPr>
          <w:kern w:val="18"/>
          <w:sz w:val="18"/>
          <w:szCs w:val="18"/>
          <w:lang w:val="en-GB"/>
        </w:rPr>
        <w:t>curvata</w:t>
      </w:r>
      <w:proofErr w:type="spellEnd"/>
      <w:r w:rsidRPr="000C134C">
        <w:rPr>
          <w:kern w:val="18"/>
          <w:sz w:val="18"/>
          <w:szCs w:val="18"/>
          <w:lang w:val="en-GB"/>
        </w:rPr>
        <w:t xml:space="preserve">, Glycine </w:t>
      </w:r>
      <w:proofErr w:type="spellStart"/>
      <w:r w:rsidRPr="000C134C">
        <w:rPr>
          <w:kern w:val="18"/>
          <w:sz w:val="18"/>
          <w:szCs w:val="18"/>
          <w:lang w:val="en-GB"/>
        </w:rPr>
        <w:t>cyrtoloba</w:t>
      </w:r>
      <w:proofErr w:type="spellEnd"/>
      <w:r w:rsidRPr="000C134C">
        <w:rPr>
          <w:kern w:val="18"/>
          <w:sz w:val="18"/>
          <w:szCs w:val="18"/>
          <w:lang w:val="en-GB"/>
        </w:rPr>
        <w:t xml:space="preserve">, Glycine falcate, Glycine </w:t>
      </w:r>
      <w:proofErr w:type="spellStart"/>
      <w:r w:rsidRPr="000C134C">
        <w:rPr>
          <w:kern w:val="18"/>
          <w:sz w:val="18"/>
          <w:szCs w:val="18"/>
          <w:lang w:val="en-GB"/>
        </w:rPr>
        <w:t>latifolia</w:t>
      </w:r>
      <w:proofErr w:type="spellEnd"/>
      <w:r w:rsidRPr="000C134C">
        <w:rPr>
          <w:kern w:val="18"/>
          <w:sz w:val="18"/>
          <w:szCs w:val="18"/>
          <w:lang w:val="en-GB"/>
        </w:rPr>
        <w:t xml:space="preserve">, Glycine </w:t>
      </w:r>
      <w:proofErr w:type="spellStart"/>
      <w:r w:rsidRPr="000C134C">
        <w:rPr>
          <w:kern w:val="18"/>
          <w:sz w:val="18"/>
          <w:szCs w:val="18"/>
          <w:lang w:val="en-GB"/>
        </w:rPr>
        <w:t>latrobeana</w:t>
      </w:r>
      <w:proofErr w:type="spellEnd"/>
      <w:r w:rsidRPr="000C134C">
        <w:rPr>
          <w:kern w:val="18"/>
          <w:sz w:val="18"/>
          <w:szCs w:val="18"/>
          <w:lang w:val="en-GB"/>
        </w:rPr>
        <w:t xml:space="preserve">, Glycine max, Glycine </w:t>
      </w:r>
      <w:proofErr w:type="spellStart"/>
      <w:r w:rsidRPr="000C134C">
        <w:rPr>
          <w:kern w:val="18"/>
          <w:sz w:val="18"/>
          <w:szCs w:val="18"/>
          <w:lang w:val="en-GB"/>
        </w:rPr>
        <w:t>microphylla</w:t>
      </w:r>
      <w:proofErr w:type="spellEnd"/>
      <w:r w:rsidRPr="000C134C">
        <w:rPr>
          <w:kern w:val="18"/>
          <w:sz w:val="18"/>
          <w:szCs w:val="18"/>
          <w:lang w:val="en-GB"/>
        </w:rPr>
        <w:t xml:space="preserve">, Glycine </w:t>
      </w:r>
      <w:proofErr w:type="spellStart"/>
      <w:r w:rsidRPr="000C134C">
        <w:rPr>
          <w:kern w:val="18"/>
          <w:sz w:val="18"/>
          <w:szCs w:val="18"/>
          <w:lang w:val="en-GB"/>
        </w:rPr>
        <w:t>pescadrensis</w:t>
      </w:r>
      <w:proofErr w:type="spellEnd"/>
      <w:r w:rsidRPr="000C134C">
        <w:rPr>
          <w:kern w:val="18"/>
          <w:sz w:val="18"/>
          <w:szCs w:val="18"/>
          <w:lang w:val="en-GB"/>
        </w:rPr>
        <w:t xml:space="preserve">, Glycine </w:t>
      </w:r>
      <w:proofErr w:type="spellStart"/>
      <w:r w:rsidRPr="000C134C">
        <w:rPr>
          <w:kern w:val="18"/>
          <w:sz w:val="18"/>
          <w:szCs w:val="18"/>
          <w:lang w:val="en-GB"/>
        </w:rPr>
        <w:t>pindanica</w:t>
      </w:r>
      <w:proofErr w:type="spellEnd"/>
      <w:r w:rsidRPr="000C134C">
        <w:rPr>
          <w:kern w:val="18"/>
          <w:sz w:val="18"/>
          <w:szCs w:val="18"/>
          <w:lang w:val="en-GB"/>
        </w:rPr>
        <w:t xml:space="preserve">, Glycine </w:t>
      </w:r>
      <w:proofErr w:type="spellStart"/>
      <w:r w:rsidRPr="000C134C">
        <w:rPr>
          <w:kern w:val="18"/>
          <w:sz w:val="18"/>
          <w:szCs w:val="18"/>
          <w:lang w:val="en-GB"/>
        </w:rPr>
        <w:t>rubiginosa</w:t>
      </w:r>
      <w:proofErr w:type="spellEnd"/>
      <w:r w:rsidRPr="000C134C">
        <w:rPr>
          <w:kern w:val="18"/>
          <w:sz w:val="18"/>
          <w:szCs w:val="18"/>
          <w:lang w:val="en-GB"/>
        </w:rPr>
        <w:t xml:space="preserve">, Glycine </w:t>
      </w:r>
      <w:proofErr w:type="spellStart"/>
      <w:r w:rsidRPr="000C134C">
        <w:rPr>
          <w:kern w:val="18"/>
          <w:sz w:val="18"/>
          <w:szCs w:val="18"/>
          <w:lang w:val="en-GB"/>
        </w:rPr>
        <w:t>soja</w:t>
      </w:r>
      <w:proofErr w:type="spellEnd"/>
      <w:r w:rsidRPr="000C134C">
        <w:rPr>
          <w:kern w:val="18"/>
          <w:sz w:val="18"/>
          <w:szCs w:val="18"/>
          <w:lang w:val="en-GB"/>
        </w:rPr>
        <w:t xml:space="preserve">, Glycine sp., Glycine </w:t>
      </w:r>
      <w:proofErr w:type="spellStart"/>
      <w:r w:rsidRPr="000C134C">
        <w:rPr>
          <w:kern w:val="18"/>
          <w:sz w:val="18"/>
          <w:szCs w:val="18"/>
          <w:lang w:val="en-GB"/>
        </w:rPr>
        <w:t>stenophita</w:t>
      </w:r>
      <w:proofErr w:type="spellEnd"/>
      <w:r w:rsidRPr="000C134C">
        <w:rPr>
          <w:kern w:val="18"/>
          <w:sz w:val="18"/>
          <w:szCs w:val="18"/>
          <w:lang w:val="en-GB"/>
        </w:rPr>
        <w:t xml:space="preserve">, Glycine </w:t>
      </w:r>
      <w:proofErr w:type="spellStart"/>
      <w:r w:rsidRPr="000C134C">
        <w:rPr>
          <w:kern w:val="18"/>
          <w:sz w:val="18"/>
          <w:szCs w:val="18"/>
          <w:lang w:val="en-GB"/>
        </w:rPr>
        <w:t>tabacina</w:t>
      </w:r>
      <w:proofErr w:type="spellEnd"/>
      <w:r w:rsidRPr="000C134C">
        <w:rPr>
          <w:kern w:val="18"/>
          <w:sz w:val="18"/>
          <w:szCs w:val="18"/>
          <w:lang w:val="en-GB"/>
        </w:rPr>
        <w:t xml:space="preserve">, and Glycine </w:t>
      </w:r>
      <w:proofErr w:type="spellStart"/>
      <w:r w:rsidRPr="000C134C">
        <w:rPr>
          <w:kern w:val="18"/>
          <w:sz w:val="18"/>
          <w:szCs w:val="18"/>
          <w:lang w:val="en-GB"/>
        </w:rPr>
        <w:t>tomentella</w:t>
      </w:r>
      <w:proofErr w:type="spellEnd"/>
      <w:r w:rsidRPr="000C134C">
        <w:rPr>
          <w:kern w:val="18"/>
          <w:sz w:val="18"/>
          <w:szCs w:val="18"/>
          <w:lang w:val="en-GB"/>
        </w:rPr>
        <w:t>.”</w:t>
      </w:r>
    </w:p>
  </w:footnote>
  <w:footnote w:id="110">
    <w:p w14:paraId="5AB90945"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Ibid.</w:t>
      </w:r>
    </w:p>
  </w:footnote>
  <w:footnote w:id="111">
    <w:p w14:paraId="07A57B4E"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European Patent (EPO) EP 2134870 B1, para. 3.</w:t>
      </w:r>
    </w:p>
  </w:footnote>
  <w:footnote w:id="112">
    <w:p w14:paraId="72780DA4" w14:textId="298990B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6E2482" w:rsidRPr="000C134C">
        <w:rPr>
          <w:kern w:val="18"/>
          <w:sz w:val="18"/>
          <w:szCs w:val="18"/>
          <w:lang w:val="en-GB"/>
        </w:rPr>
        <w:t>I</w:t>
      </w:r>
      <w:r w:rsidRPr="000C134C">
        <w:rPr>
          <w:kern w:val="18"/>
          <w:sz w:val="18"/>
          <w:szCs w:val="18"/>
          <w:lang w:val="en-GB"/>
        </w:rPr>
        <w:t>bid, para. 114. In the patent application the term “line” is defined as referring to “a group of individual plants from the similar parentage with similar traits.” Para. 18.</w:t>
      </w:r>
    </w:p>
  </w:footnote>
  <w:footnote w:id="113">
    <w:p w14:paraId="61291218" w14:textId="549EE63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Secretariat of the Convention on Biological Diversity, ‘Report of the Ad Hoc Technical Expert Group on Digital Sequence Information on Genetic Resources,’ CBD/DSI/AHTEG/2020/1/7 (Mar. 20, 2020).</w:t>
      </w:r>
    </w:p>
  </w:footnote>
  <w:footnote w:id="114">
    <w:p w14:paraId="255FD1E8" w14:textId="1D81D35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6E2482" w:rsidRPr="000C134C">
        <w:rPr>
          <w:kern w:val="18"/>
          <w:sz w:val="18"/>
          <w:szCs w:val="18"/>
          <w:lang w:val="en-GB"/>
        </w:rPr>
        <w:t>I</w:t>
      </w:r>
      <w:r w:rsidRPr="000C134C">
        <w:rPr>
          <w:kern w:val="18"/>
          <w:sz w:val="18"/>
          <w:szCs w:val="18"/>
          <w:lang w:val="en-GB"/>
        </w:rPr>
        <w:t>bid, para 30.</w:t>
      </w:r>
    </w:p>
  </w:footnote>
  <w:footnote w:id="115">
    <w:p w14:paraId="0D2DB88B" w14:textId="18947031"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{"citationID":"koYktQto","properties":{"formattedCitation":"Bagley and others (n 28).","plainCitation":"Bagley and others (n 28).","noteIndex":111},"citationItems":[{"id":648,"uris":["http://zotero.org/users/local/dU5rpCrq/items/PD5M6V67"],"uri":["http://zotero.org/users/local/dU5rpCrq/items/PD5M6V67"],"itemData":{"id":648,"type":"article","multi":{"main":{},"_keys":{}},"publisher":"Secretariat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Bagley and others (n </w:t>
      </w:r>
      <w:r w:rsidR="006E2482" w:rsidRPr="000C134C">
        <w:rPr>
          <w:kern w:val="18"/>
          <w:sz w:val="18"/>
          <w:szCs w:val="18"/>
          <w:lang w:val="en-GB"/>
        </w:rPr>
        <w:t>30</w:t>
      </w:r>
      <w:r w:rsidRPr="000C134C">
        <w:rPr>
          <w:kern w:val="18"/>
          <w:sz w:val="18"/>
          <w:szCs w:val="18"/>
          <w:lang w:val="en-GB"/>
        </w:rPr>
        <w:t>).</w:t>
      </w:r>
      <w:r w:rsidRPr="000C134C">
        <w:rPr>
          <w:kern w:val="18"/>
          <w:sz w:val="18"/>
          <w:szCs w:val="18"/>
          <w:lang w:val="en-GB"/>
        </w:rPr>
        <w:fldChar w:fldCharType="end"/>
      </w:r>
    </w:p>
  </w:footnote>
  <w:footnote w:id="116">
    <w:p w14:paraId="100099C2" w14:textId="097AFED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{"citationID":"iZ2vL0hd","properties":{"formattedCitation":"Fabian Rohden and others, \\uc0\\u8216{}Combined Study On Digital Sequence Information In Public And Private Databases And Traceability\\uc0\\u8217{} (Secretariat of the Convention on Biological Diversity 29 January 2020) 16.","plainCitation":"Fabian Rohden and others, ‘Combined Study On Digital Sequence Information In Public And Private Databases And Traceability’ (Secretariat of the Convention on Biological Diversity 29 January 2020) 16.","noteIndex":112},"citationItems":[{"id":661,"uris":["http://zotero.org/users/local/dU5rpCrq/items/UQH2C6GN"],"uri":["http://zotero.org/users/local/dU5rpCrq/items/UQH2C6GN"],"itemData":{"id":661,"type":"article","multi":{"main":{},"_keys":{}},"publisher":"Secretariat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Scholz","given":"Amber","multi":{"_key":{}}}],"issued":{"date-parts":[["2020",1,29]]},"seeAlso":[]},"locator":"16"}],"schema":"https://github.com/citation-style-language/schema/raw/master/csl-citation.json"}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Fabian Rohden and others, ‘Combined Study On Digital Sequence Information In Public And Private Databases And Traceability’ (Secretariat of the Convention on Biological Diversity 29 January 2020) 16.</w:t>
      </w:r>
      <w:r w:rsidRPr="000C134C">
        <w:rPr>
          <w:kern w:val="18"/>
          <w:sz w:val="18"/>
          <w:szCs w:val="18"/>
          <w:lang w:val="en-GB"/>
        </w:rPr>
        <w:fldChar w:fldCharType="end"/>
      </w:r>
      <w:r w:rsidRPr="000C134C">
        <w:rPr>
          <w:kern w:val="18"/>
          <w:sz w:val="18"/>
          <w:szCs w:val="18"/>
          <w:lang w:val="en-GB"/>
        </w:rPr>
        <w:t xml:space="preserve"> Available </w:t>
      </w:r>
      <w:proofErr w:type="gramStart"/>
      <w:r w:rsidRPr="000C134C">
        <w:rPr>
          <w:kern w:val="18"/>
          <w:sz w:val="18"/>
          <w:szCs w:val="18"/>
          <w:lang w:val="en-GB"/>
        </w:rPr>
        <w:t>at :</w:t>
      </w:r>
      <w:proofErr w:type="gramEnd"/>
      <w:r w:rsidRPr="000C134C">
        <w:rPr>
          <w:kern w:val="18"/>
          <w:sz w:val="18"/>
          <w:szCs w:val="18"/>
          <w:lang w:val="en-GB"/>
        </w:rPr>
        <w:t xml:space="preserve"> https://www.cbd.int/doc/c/1f8f/d793/57cb114ca40cb6468f479584/dsi-ahteg-2020-01-04-en.pdf.</w:t>
      </w:r>
    </w:p>
  </w:footnote>
  <w:footnote w:id="117">
    <w:p w14:paraId="20A769C9" w14:textId="11A0D042"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{"citationID":"pMexDH2l","properties":{"formattedCitation":"\\uc0\\u8216{}Response from International Nucleotide Sequence Database Collaboration (INSDC) to CBD Call for Views and Information on Digital Sequence Information on Genetic Resources\\uc0\\u8217{} (1 June 2019).","plainCitation":"‘Response from International Nucleotide Sequence Database Collaboration (INSDC) to CBD Call for Views and Information on Digital Sequence Information on Genetic Resources’ (1 June 2019).","noteIndex":113},"citationItems":[{"id":673,"uris":["http://zotero.org/users/local/dU5rpCrq/items/5YEQX5Q8"],"uri":["http://zotero.org/users/local/dU5rpCrq/items/5YEQX5Q8"],"itemData":{"id":673,"type":"article","multi":{"main":{},"_keys":{}},"title":"Response from International Nucleotide Sequence Database Collaboration (INSDC) to CBD call for views and information on Digital Sequence Information on Genetic Resources","issued":{"date-parts":[["2019",6,1]]},"seeAlso":[]}}],"schema":"https://github.com/citation-style-language/schema/raw/master/csl-citation.json"}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‘Response from International Nucleotide Sequence Database Collaboration (INSDC) to CBD Call for Views and Information on Digital Sequence Information on Genetic Resources’ (1 June 2019).</w:t>
      </w:r>
      <w:r w:rsidRPr="000C134C">
        <w:rPr>
          <w:kern w:val="18"/>
          <w:sz w:val="18"/>
          <w:szCs w:val="18"/>
          <w:lang w:val="en-GB"/>
        </w:rPr>
        <w:fldChar w:fldCharType="end"/>
      </w:r>
      <w:r w:rsidRPr="000C134C">
        <w:rPr>
          <w:kern w:val="18"/>
          <w:sz w:val="18"/>
          <w:szCs w:val="18"/>
          <w:lang w:val="en-GB"/>
        </w:rPr>
        <w:t xml:space="preserve"> See also </w:t>
      </w:r>
      <w:r w:rsidRPr="000C134C">
        <w:rPr>
          <w:kern w:val="18"/>
          <w:sz w:val="18"/>
          <w:szCs w:val="18"/>
          <w:lang w:val="en-GB"/>
        </w:rPr>
        <w:fldChar w:fldCharType="begin"/>
      </w:r>
      <w:r w:rsidRPr="000C134C">
        <w:rPr>
          <w:kern w:val="18"/>
          <w:sz w:val="18"/>
          <w:szCs w:val="18"/>
          <w:lang w:val="en-GB"/>
        </w:rPr>
        <w:instrText xml:space="preserve"> ADDIN ZOTERO_ITEM CSL_CITATION {"citationID":"kPHWxCKt","properties":{"formattedCitation":"Rohden and others (n 112).","plainCitation":"Rohden and others (n 112).","noteIndex":113},"citationItems":[{"id":661,"uris":["http://zotero.org/users/local/dU5rpCrq/items/UQH2C6GN"],"uri":["http://zotero.org/users/local/dU5rpCrq/items/UQH2C6GN"],"itemData":{"id":661,"type":"article","multi":{"main":{},"_keys":{}},"publisher":"Secretariat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Rohden and others (n 11</w:t>
      </w:r>
      <w:r w:rsidR="00894272" w:rsidRPr="000C134C">
        <w:rPr>
          <w:kern w:val="18"/>
          <w:sz w:val="18"/>
          <w:szCs w:val="18"/>
          <w:lang w:val="en-GB"/>
        </w:rPr>
        <w:t>2</w:t>
      </w:r>
      <w:r w:rsidRPr="000C134C">
        <w:rPr>
          <w:kern w:val="18"/>
          <w:sz w:val="18"/>
          <w:szCs w:val="18"/>
          <w:lang w:val="en-GB"/>
        </w:rPr>
        <w:t>).</w:t>
      </w:r>
      <w:r w:rsidRPr="000C134C">
        <w:rPr>
          <w:kern w:val="18"/>
          <w:sz w:val="18"/>
          <w:szCs w:val="18"/>
          <w:lang w:val="en-GB"/>
        </w:rPr>
        <w:fldChar w:fldCharType="end"/>
      </w:r>
    </w:p>
  </w:footnote>
  <w:footnote w:id="118">
    <w:p w14:paraId="0A81CB26" w14:textId="34EDDEB5"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hyperlink r:id="rId9" w:history="1">
        <w:r w:rsidRPr="000C134C">
          <w:rPr>
            <w:rStyle w:val="Hyperlink"/>
            <w:color w:val="auto"/>
            <w:kern w:val="18"/>
            <w:sz w:val="18"/>
            <w:szCs w:val="18"/>
            <w:lang w:val="en-GB"/>
          </w:rPr>
          <w:t>https://www.ncbi.nlm.nih.gov/genbank/statistics/</w:t>
        </w:r>
      </w:hyperlink>
      <w:r w:rsidRPr="000C134C">
        <w:rPr>
          <w:kern w:val="18"/>
          <w:sz w:val="18"/>
          <w:szCs w:val="18"/>
          <w:lang w:val="en-GB"/>
        </w:rPr>
        <w:t xml:space="preserve">. Bases are the nucleotides represented by the letters A, C, G, and T for DNA. It should be noted that much of the INDSC’s content is human </w:t>
      </w:r>
      <w:proofErr w:type="gramStart"/>
      <w:r w:rsidRPr="000C134C">
        <w:rPr>
          <w:kern w:val="18"/>
          <w:sz w:val="18"/>
          <w:szCs w:val="18"/>
          <w:lang w:val="en-GB"/>
        </w:rPr>
        <w:t>DNA, or</w:t>
      </w:r>
      <w:proofErr w:type="gramEnd"/>
      <w:r w:rsidRPr="000C134C">
        <w:rPr>
          <w:kern w:val="18"/>
          <w:sz w:val="18"/>
          <w:szCs w:val="18"/>
          <w:lang w:val="en-GB"/>
        </w:rPr>
        <w:t xml:space="preserve"> comes from countries that do not require PIC.</w:t>
      </w:r>
    </w:p>
  </w:footnote>
  <w:footnote w:id="119">
    <w:p w14:paraId="026677C4" w14:textId="4C5D5A73"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hyperlink r:id="rId10" w:history="1">
        <w:r w:rsidRPr="000C134C">
          <w:rPr>
            <w:rStyle w:val="Hyperlink"/>
            <w:rFonts w:eastAsiaTheme="majorEastAsia"/>
            <w:color w:val="auto"/>
            <w:kern w:val="18"/>
            <w:sz w:val="18"/>
            <w:szCs w:val="18"/>
            <w:lang w:val="en-GB"/>
          </w:rPr>
          <w:t>https://www.earthbiogenome.org/</w:t>
        </w:r>
      </w:hyperlink>
      <w:r w:rsidRPr="000C134C">
        <w:rPr>
          <w:rStyle w:val="Hyperlink"/>
          <w:rFonts w:eastAsiaTheme="majorEastAsia"/>
          <w:color w:val="auto"/>
          <w:kern w:val="18"/>
          <w:sz w:val="18"/>
          <w:szCs w:val="18"/>
          <w:lang w:val="en-GB"/>
        </w:rPr>
        <w:t>.</w:t>
      </w:r>
      <w:r w:rsidRPr="000C134C">
        <w:rPr>
          <w:rStyle w:val="Hyperlink"/>
          <w:rFonts w:eastAsiaTheme="majorEastAsia"/>
          <w:kern w:val="18"/>
          <w:sz w:val="18"/>
          <w:szCs w:val="18"/>
          <w:lang w:val="en-GB"/>
        </w:rPr>
        <w:t xml:space="preserve"> </w:t>
      </w:r>
      <w:r w:rsidRPr="000C134C">
        <w:rPr>
          <w:rStyle w:val="Hyperlink"/>
          <w:rFonts w:eastAsiaTheme="majorEastAsia"/>
          <w:color w:val="000000" w:themeColor="text1"/>
          <w:kern w:val="18"/>
          <w:sz w:val="18"/>
          <w:szCs w:val="18"/>
          <w:u w:val="none"/>
          <w:lang w:val="en-GB"/>
        </w:rPr>
        <w:t xml:space="preserve">See also </w:t>
      </w:r>
      <w:r w:rsidRPr="000C134C">
        <w:rPr>
          <w:rStyle w:val="Hyperlink"/>
          <w:rFonts w:eastAsiaTheme="majorEastAsia"/>
          <w:color w:val="000000" w:themeColor="text1"/>
          <w:kern w:val="18"/>
          <w:sz w:val="18"/>
          <w:szCs w:val="18"/>
          <w:u w:val="none"/>
          <w:lang w:val="en-GB"/>
        </w:rPr>
        <w:fldChar w:fldCharType="begin"/>
      </w:r>
      <w:r w:rsidRPr="000C134C">
        <w:rPr>
          <w:rStyle w:val="Hyperlink"/>
          <w:rFonts w:eastAsiaTheme="majorEastAsia"/>
          <w:color w:val="000000" w:themeColor="text1"/>
          <w:kern w:val="18"/>
          <w:sz w:val="18"/>
          <w:szCs w:val="18"/>
          <w:u w:val="none"/>
          <w:lang w:val="en-GB"/>
        </w:rPr>
        <w:instrText xml:space="preserve"> ADDIN ZOTERO_ITEM CSL_CITATION {"citationID":"28tY3NhS","properties":{"formattedCitation":"Harris A Lewin and others, \\uc0\\u8216{}Earth BioGenome Project: Sequencing Life for the Future of Life\\uc0\\u8217{} (2018) 115 Proceedings of the National Academy of Sciences of the United States of America 4325.","plainCitation":"Harris A Lewin and others, ‘Earth BioGenome Project: Sequencing Life for the Future of Life’ (2018) 115 Proceedings of the National Academy of Sciences of the United States of America 4325.","noteIndex":115},"citationItems":[{"id":541,"uris":["http://zotero.org/users/local/dU5rpCrq/items/A6PC3NEM"],"uri":["http://zotero.org/users/local/dU5rpCrq/items/A6PC3NEM"],"itemData":{"id":541,"type":"article-journal","multi":{"main":{},"_keys":{}},"abstract":"Increasing our understanding of Earth's biodiversity and responsibly stewarding its resources are among the most crucial scientific and social challenges of the new millennium. These challenges require fundamental new knowledge of the organization, evolution, functions, and interactions among millions of the planet's organisms. Herein, we present a perspective on the Earth BioGenome Project (EBP), a moonshot for biology that aims to sequence, catalog, and characterize the genomes of all of Earth's eukaryotic biodiversity over a period of 10 years. The outcomes of the EBP will inform a broad range of major issues facing humanity, such as the impact of climate change on biodiversity, the conservation of endangered species and ecosystems, and the preservation and enhancement of ecosystem services. We describe hurdles that the project faces, including data-sharing policies that ensure a permanent, freely available resource for future scientific discovery while respecting access and benefit sharing guidelines of the Nagoya Protocol. We also describe scientific and organizational challenges in executing such an ambitious project, and the structure proposed to achieve the project's goals. The far-reaching potential benefits of creating an open digital repository of genomic information for life on Earth can be realized only by a coordinated international effort.","container-title":"Proceedings of the National Academy of Sciences of the United States of America","DOI":"10.1073/pnas.1720115115","ISSN":"1091-6490","issue":"17","language":"eng","note":"PMID: 29686065\nPMCID: PMC5924910","page":"4325-4333","source":"PubMed","title":"Earth BioGenome Project: Sequencing life for the future of life","title-short":"Earth BioGenome Project","volume":"115","author":[{"family":"Lewin","given":"Harris A.","multi":{"_key":{}}},{"family":"Robinson","given":"Gene E.","multi":{"_key":{}}},{"family":"Kress","given":"W. John","multi":{"_key":{}}},{"family":"Baker","given":"William J.","multi":{"_key":{}}},{"family":"Coddington","given":"Jonathan","multi":{"_key":{}}},{"family":"Crandall","given":"Keith A.","multi":{"_key":{}}},{"family":"Durbin","given":"Richard","multi":{"_key":{}}},{"family":"Edwards","given":"Scott V.","multi":{"_key":{}}},{"family":"Forest","given":"Félix","multi":{"_key":{}}},{"family":"Gilbert","given":"M. Thomas P.","multi":{"_key":{}}},{"family":"Goldstein","given":"Melissa M.","multi":{"_key":{}}},{"family":"Grigoriev","given":"Igor V.","multi":{"_key":{}}},{"family":"Hackett","given":"Kevin J.","multi":{"_key":{}}},{"family":"Haussler","given":"David","multi":{"_key":{}}},{"family":"Jarvis","given":"Erich D.","multi":{"_key":{}}},{"family":"Johnson","given":"Warren E.","multi":{"_key":{}}},{"family":"Patrinos","given":"Aristides","multi":{"_key":{}}},{"family":"Richards","given":"Stephen","multi":{"_key":{}}},{"family":"Castilla-Rubio","given":"Juan Carlos","multi":{"_key":{}}},{"family":"Sluys","given":"Marie-Anne","non-dropping-particle":"van","multi":{"_key":{}}},{"family":"Soltis","given":"Pamela S.","multi":{"_key":{}}},{"family":"Xu","given":"Xun","multi":{"_key":{}}},{"family":"Yang","given":"Huanming","multi":{"_key":{}}},{"family":"Zhang","given":"Guojie","multi":{"_key":{}}}],"issued":{"date-parts":[["2018",4,24]]},"seeAlso":[]}}],"schema":"https://github.com/citation-style-language/schema/raw/master/csl-citation.json"} </w:instrText>
      </w:r>
      <w:r w:rsidRPr="000C134C">
        <w:rPr>
          <w:rStyle w:val="Hyperlink"/>
          <w:rFonts w:eastAsiaTheme="majorEastAsia"/>
          <w:color w:val="000000" w:themeColor="text1"/>
          <w:kern w:val="18"/>
          <w:sz w:val="18"/>
          <w:szCs w:val="18"/>
          <w:u w:val="none"/>
          <w:lang w:val="en-GB"/>
        </w:rPr>
        <w:fldChar w:fldCharType="separate"/>
      </w:r>
      <w:r w:rsidRPr="000C134C">
        <w:rPr>
          <w:kern w:val="18"/>
          <w:sz w:val="18"/>
          <w:szCs w:val="18"/>
          <w:lang w:val="en-GB"/>
        </w:rPr>
        <w:t>Harris A Lewin and others, ‘Earth BioGenome Project: Sequencing Life for the Future of Life’ (2018) 115 Proceedings of the National Academy of Sciences of the United States of America 4325.</w:t>
      </w:r>
      <w:r w:rsidRPr="000C134C">
        <w:rPr>
          <w:rStyle w:val="Hyperlink"/>
          <w:rFonts w:eastAsiaTheme="majorEastAsia"/>
          <w:color w:val="000000" w:themeColor="text1"/>
          <w:kern w:val="18"/>
          <w:sz w:val="18"/>
          <w:szCs w:val="18"/>
          <w:u w:val="none"/>
          <w:lang w:val="en-GB"/>
        </w:rPr>
        <w:fldChar w:fldCharType="end"/>
      </w:r>
    </w:p>
  </w:footnote>
  <w:footnote w:id="120">
    <w:p w14:paraId="798CA544" w14:textId="278DBE0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{"citationID":"jV1v5FVq","properties":{"formattedCitation":"Rohden and others (n 112).","plainCitation":"Rohden and others (n 112).","noteIndex":116},"citationItems":[{"id":661,"uris":["http://zotero.org/users/local/dU5rpCrq/items/UQH2C6GN"],"uri":["http://zotero.org/users/local/dU5rpCrq/items/UQH2C6GN"],"itemData":{"id":661,"type":"article","multi":{"main":{},"_keys":{}},"publisher":"Secretariat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Rohden and others (n 112).</w:t>
      </w:r>
      <w:r w:rsidRPr="000C134C">
        <w:rPr>
          <w:kern w:val="18"/>
          <w:sz w:val="18"/>
          <w:szCs w:val="18"/>
          <w:lang w:val="en-GB"/>
        </w:rPr>
        <w:fldChar w:fldCharType="end"/>
      </w:r>
      <w:r w:rsidRPr="000C134C">
        <w:rPr>
          <w:kern w:val="18"/>
          <w:sz w:val="18"/>
          <w:szCs w:val="18"/>
          <w:lang w:val="en-GB"/>
        </w:rPr>
        <w:t xml:space="preserve"> The country tag in INDSC became a required field for environmental samples in 2011. </w:t>
      </w:r>
      <w:r w:rsidRPr="000C134C">
        <w:rPr>
          <w:i/>
          <w:iCs/>
          <w:kern w:val="18"/>
          <w:sz w:val="18"/>
          <w:szCs w:val="18"/>
          <w:lang w:val="en-GB"/>
        </w:rPr>
        <w:t xml:space="preserve"> </w:t>
      </w:r>
    </w:p>
  </w:footnote>
  <w:footnote w:id="121">
    <w:p w14:paraId="512A1FE3" w14:textId="324CAA82"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“BLAST finds regions of similarity between biological sequences. The program compares nucleotide or protein sequences to sequence databases and calculates the statistical significance.” </w:t>
      </w:r>
      <w:hyperlink r:id="rId11" w:history="1">
        <w:r w:rsidRPr="000C134C">
          <w:rPr>
            <w:rStyle w:val="Hyperlink"/>
            <w:color w:val="auto"/>
            <w:kern w:val="18"/>
            <w:sz w:val="18"/>
            <w:szCs w:val="18"/>
            <w:lang w:val="en-GB"/>
          </w:rPr>
          <w:t>https</w:t>
        </w:r>
      </w:hyperlink>
      <w:hyperlink r:id="rId12" w:history="1">
        <w:r w:rsidRPr="000C134C">
          <w:rPr>
            <w:rStyle w:val="Hyperlink"/>
            <w:color w:val="auto"/>
            <w:kern w:val="18"/>
            <w:sz w:val="18"/>
            <w:szCs w:val="18"/>
            <w:lang w:val="en-GB"/>
          </w:rPr>
          <w:t>://blast.ncbi.nlm.nih.gov/Blast.cgi</w:t>
        </w:r>
      </w:hyperlink>
      <w:r w:rsidRPr="000C134C">
        <w:rPr>
          <w:kern w:val="18"/>
          <w:sz w:val="18"/>
          <w:szCs w:val="18"/>
          <w:lang w:val="en-GB"/>
        </w:rPr>
        <w:t>.</w:t>
      </w:r>
    </w:p>
  </w:footnote>
  <w:footnote w:id="122">
    <w:p w14:paraId="6510DD5B" w14:textId="04A8E94D"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{"citationID":"4BCExRlP","properties":{"formattedCitation":"Shafeeq Rahman and others, \\uc0\\u8216{}Transcriptome-Based Reconstruction of Gibberellic Acid Biosynthetic Pathway in Coconut (Cocos Nucifera L.)\\uc0\\u8217{} (2015) 10 Research journal of biotechnology 56, 63.","plainCitation":"Shafeeq Rahman and others, ‘Transcriptome-Based Reconstruction of Gibberellic Acid Biosynthetic Pathway in Coconut (Cocos Nucifera L.)’ (2015) 10 Research journal of biotechnology 56, 63.","noteIndex":118},"citationItems":[{"id":544,"uris":["http://zotero.org/users/local/dU5rpCrq/items/34PEDHSB"],"uri":["http://zotero.org/users/local/dU5rpCrq/items/34PEDHSB"],"itemData":{"id":544,"type":"article-journal","multi":{"main":{},"_keys":{}},"abstract":"Gibberellins are tetracyclic diterpenoid compounds which function as plant growth regulators and play an important role in many aspects of plant growth and development like stem elongation, seed germination and flower and fruit development. In the present study, we have carried out reconstruction of GA biosynthetic pathway in coconut from the transcriptome data. Information about the reference genes involved in gibberellic acid biosynthesis was identified from KEGG pathway database. A total of seven such genes were identified in other model plants and corresponding sequences (gene/protein) were retrieved from Uniprot and NCBI-GenBank databases. Based on these reference protein models, we have annotated all the seven GA biosynthesis genes (37 transcripts) in coconut leaf transcriptome using standalone Blast program. These transcripts were subjected to Gene Ontology (GO) search. Based on the results of the comparative analysis, GA biosynthetic pathway in coconut was reconstructed. The results of the present study can be used for further validation and isolation of full-length genes involved in gibberellic acid biosynthetic pathway in coconut.","container-title":"Research journal of biotechnology","journalAbbreviation":"Research journal of biotechnology","page":"56","source":"ResearchGate","title":"Transcriptome-based reconstruction of gibberellic acid biosynthetic pathway in coconut (Cocos nucifera L.)","volume":"10","author":[{"family":"Rahman","given":"Shafeeq","multi":{"_key":{}}},{"family":"K P","given":"Gangaraj","multi":{"_key":{}}},{"family":"Sudalaimuthu","given":"Naganeeswaran","multi":{"_key":{}}},{"family":"M.K.","given":"Rajesh","multi":{"_key":{}}}],"issued":{"date-parts":[["2015",10,1]]},"seeAlso":[]},"locator":"63"}],"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Shafeeq Rahman and others, ‘Transcriptome-Based Reconstruction of Gibberellic Acid Biosynthetic Pathway in Coconut (Cocos Nucifera L.)’ (2015) 10 Research journal of biotechnology 56, 63.</w:t>
      </w:r>
      <w:r w:rsidRPr="000C134C">
        <w:rPr>
          <w:kern w:val="18"/>
          <w:sz w:val="18"/>
          <w:szCs w:val="18"/>
          <w:lang w:val="en-GB"/>
        </w:rPr>
        <w:fldChar w:fldCharType="end"/>
      </w:r>
      <w:r w:rsidRPr="000C134C">
        <w:rPr>
          <w:kern w:val="18"/>
          <w:sz w:val="18"/>
          <w:szCs w:val="18"/>
          <w:lang w:val="en-GB"/>
        </w:rPr>
        <w:t xml:space="preserve">  There were several intermediate steps and additional databases used in the process. It appears the authors sequenced the GA enzymes and did an alignment using </w:t>
      </w:r>
      <w:proofErr w:type="spellStart"/>
      <w:r w:rsidRPr="000C134C">
        <w:rPr>
          <w:kern w:val="18"/>
          <w:sz w:val="18"/>
          <w:szCs w:val="18"/>
          <w:lang w:val="en-GB"/>
        </w:rPr>
        <w:t>tblastn</w:t>
      </w:r>
      <w:proofErr w:type="spellEnd"/>
      <w:r w:rsidRPr="000C134C">
        <w:rPr>
          <w:kern w:val="18"/>
          <w:sz w:val="18"/>
          <w:szCs w:val="18"/>
          <w:lang w:val="en-GB"/>
        </w:rPr>
        <w:t xml:space="preserve">, which is a function within BLAST that identifies sequences that encode proteins </w:t>
      </w:r>
      <w:proofErr w:type="gramStart"/>
      <w:r w:rsidRPr="000C134C">
        <w:rPr>
          <w:kern w:val="18"/>
          <w:sz w:val="18"/>
          <w:szCs w:val="18"/>
          <w:lang w:val="en-GB"/>
        </w:rPr>
        <w:t>similar to</w:t>
      </w:r>
      <w:proofErr w:type="gramEnd"/>
      <w:r w:rsidRPr="000C134C">
        <w:rPr>
          <w:kern w:val="18"/>
          <w:sz w:val="18"/>
          <w:szCs w:val="18"/>
          <w:lang w:val="en-GB"/>
        </w:rPr>
        <w:t xml:space="preserve"> the protein searched. They also used HMMER, which is </w:t>
      </w:r>
      <w:proofErr w:type="gramStart"/>
      <w:r w:rsidRPr="000C134C">
        <w:rPr>
          <w:kern w:val="18"/>
          <w:sz w:val="18"/>
          <w:szCs w:val="18"/>
          <w:lang w:val="en-GB"/>
        </w:rPr>
        <w:t>similar to</w:t>
      </w:r>
      <w:proofErr w:type="gramEnd"/>
      <w:r w:rsidRPr="000C134C">
        <w:rPr>
          <w:kern w:val="18"/>
          <w:sz w:val="18"/>
          <w:szCs w:val="18"/>
          <w:lang w:val="en-GB"/>
        </w:rPr>
        <w:t xml:space="preserve"> BLAST, for alignment. They used the alignment to identify 37 genes with homology towards the GA biosynthetic pathway and then used the gene ontology knowledgebase through Blast2GO, which uses BLAST to annotate the functions of the identified genes using existing data. Finally, they compared the annotated genes obtained from gene ontology to the KEGG pathway database, which provides maps of molecular interactions in metabolic pathways, such as biosynthesis. By comparing the 37 genes with homology to the KEGG reference pathway, they were able to identify the seven major genes in the GA pathway.  See </w:t>
      </w:r>
      <w:hyperlink r:id="rId13">
        <w:r w:rsidRPr="000C134C">
          <w:rPr>
            <w:rStyle w:val="Hyperlink"/>
            <w:color w:val="auto"/>
            <w:kern w:val="18"/>
            <w:sz w:val="18"/>
            <w:szCs w:val="18"/>
            <w:lang w:val="en-GB"/>
          </w:rPr>
          <w:t>https://www.genome.jp/kegg/pathway.html</w:t>
        </w:r>
      </w:hyperlink>
      <w:r w:rsidRPr="000C134C">
        <w:rPr>
          <w:kern w:val="18"/>
          <w:sz w:val="18"/>
          <w:szCs w:val="18"/>
          <w:lang w:val="en-GB"/>
        </w:rPr>
        <w:t xml:space="preserve">; </w:t>
      </w:r>
      <w:hyperlink r:id="rId14">
        <w:r w:rsidRPr="000C134C">
          <w:rPr>
            <w:kern w:val="18"/>
            <w:sz w:val="18"/>
            <w:szCs w:val="18"/>
            <w:u w:val="single"/>
            <w:lang w:val="en-GB"/>
          </w:rPr>
          <w:t>https://www.nature.com/articles/nrg3174</w:t>
        </w:r>
      </w:hyperlink>
      <w:r w:rsidRPr="000C134C">
        <w:rPr>
          <w:kern w:val="18"/>
          <w:sz w:val="18"/>
          <w:szCs w:val="18"/>
          <w:u w:val="single"/>
          <w:lang w:val="en-GB"/>
        </w:rPr>
        <w:t xml:space="preserve">; and </w:t>
      </w:r>
      <w:hyperlink r:id="rId15" w:history="1">
        <w:r w:rsidRPr="000C134C">
          <w:rPr>
            <w:rStyle w:val="Hyperlink"/>
            <w:color w:val="auto"/>
            <w:kern w:val="18"/>
            <w:sz w:val="18"/>
            <w:szCs w:val="18"/>
            <w:lang w:val="en-GB"/>
          </w:rPr>
          <w:t>http://geneontology.org/</w:t>
        </w:r>
      </w:hyperlink>
      <w:r w:rsidRPr="000C134C">
        <w:rPr>
          <w:color w:val="0000FF"/>
          <w:kern w:val="18"/>
          <w:sz w:val="18"/>
          <w:szCs w:val="18"/>
          <w:u w:val="single"/>
          <w:lang w:val="en-GB"/>
        </w:rPr>
        <w:t>.</w:t>
      </w:r>
    </w:p>
  </w:footnote>
  <w:footnote w:id="123">
    <w:p w14:paraId="47995DA0" w14:textId="44AEA652"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BLAST is not the only search tool of its kind, there are numerous other tools such as FASTA, BLAST+, </w:t>
      </w:r>
      <w:proofErr w:type="spellStart"/>
      <w:r w:rsidRPr="000C134C">
        <w:rPr>
          <w:kern w:val="18"/>
          <w:sz w:val="18"/>
          <w:szCs w:val="18"/>
          <w:lang w:val="en-GB"/>
        </w:rPr>
        <w:t>BLASTn</w:t>
      </w:r>
      <w:proofErr w:type="spellEnd"/>
      <w:r w:rsidRPr="000C134C">
        <w:rPr>
          <w:kern w:val="18"/>
          <w:sz w:val="18"/>
          <w:szCs w:val="18"/>
          <w:lang w:val="en-GB"/>
        </w:rPr>
        <w:t>, and BLAST2go.</w:t>
      </w:r>
    </w:p>
  </w:footnote>
  <w:footnote w:id="124">
    <w:p w14:paraId="5D5AD075" w14:textId="1107D55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In its peer review comments on the combined study on DSI in public and private databases and DSI traceability, the International Nucleotide Sequence Database Collaboration (INSDC) noted that “many uses of [nucleotide sequence data] do not relate to the retrieval of entire records, but rather involve the slicing out and dicing together of small elements of many records (such as a gene from 100 genome assemblies from different species within a taxonomic group).” </w:t>
      </w:r>
    </w:p>
  </w:footnote>
  <w:footnote w:id="125">
    <w:p w14:paraId="13E85C38" w14:textId="515C033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GenBank, ‘GenBank Overview’ https://www.ncbi.nlm.nih.gov/genbank/ “The GenBank database is designed to provide and encourage access within the scientific community to the most up-to-date and comprehensive DNA sequence information. Therefore, NCBI places no restrictions on the use or distribution of the GenBank data.”</w:t>
      </w:r>
    </w:p>
  </w:footnote>
  <w:footnote w:id="126">
    <w:p w14:paraId="3EBA5C99" w14:textId="02D53A43"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{"citationID":"h368VySv","properties":{"formattedCitation":"Edward Hammond, \\uc0\\u8216{}Ebola: Company Avoids Benefit Sharing Obligations By Using Sequences\\uc0\\u8217{} (Third World Network May 2019)","plainCitation":"Edward Hammond, ‘Ebola: Company Avoids Benefit Sharing Obligations By Using Sequences’ (Third World Network May 2019)","noteIndex":122,"suppress-trailing-punctuation":true},"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Edward Hammond, ‘Ebola: Company Avoids Benefit Sharing Obligations By Using Sequences’ (Third World Network May 2019)</w:t>
      </w:r>
      <w:r w:rsidRPr="000C134C">
        <w:rPr>
          <w:kern w:val="18"/>
          <w:sz w:val="18"/>
          <w:szCs w:val="18"/>
          <w:lang w:val="en-GB"/>
        </w:rPr>
        <w:fldChar w:fldCharType="end"/>
      </w:r>
      <w:r w:rsidRPr="000C134C">
        <w:rPr>
          <w:kern w:val="18"/>
          <w:sz w:val="18"/>
          <w:szCs w:val="18"/>
          <w:lang w:val="en-GB"/>
        </w:rPr>
        <w:t xml:space="preserve"> citing Kristen E Pascal and others, ‘Development of Clinical-Stage Human Monoclonal Antibodies That Treat Advanced Ebola Virus Disease in Nonhuman Primates’ (2018) 218(suppl_5) Journal of Infectious Diseases S612.</w:t>
      </w:r>
    </w:p>
  </w:footnote>
  <w:footnote w:id="127">
    <w:p w14:paraId="38BBB97F" w14:textId="6162404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sC3gXiHs","properties":{"formattedCitation":"ibid.","plainCitation":"ibid.","noteIndex":123},"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p>
  </w:footnote>
  <w:footnote w:id="128">
    <w:p w14:paraId="21115E59" w14:textId="42708B9A"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{"citationID":"5KG9HnZr","properties":{"formattedCitation":"\\uc0\\u8216{}PALM Ebola Clinical Trial Stopped Early as Regeneron\\uc0\\u8217{}s REGN-EB3 Therapy Shows Superiority to ZMapp in Preventing Ebola Deaths\\uc0\\u8217{} ({\\i{}Regeneron Pharmaceuticals Inc.}, 12 August 2019) &lt;https://newsroom.regeneron.com/news-releases/news-release-details/palm-ebola-clinical-trial-stopped-early-regenerons-regn-eb3&gt; accessed 28 February 2020.","plainCitation":"‘PALM Ebola Clinical Trial Stopped Early as Regeneron’s REGN-EB3 Therapy Shows Superiority to ZMapp in Preventing Ebola Deaths’ (Regeneron Pharmaceuticals Inc., 12 August 2019) &lt;https://newsroom.regeneron.com/news-releases/news-release-details/palm-ebola-clinical-trial-stopped-early-regenerons-regn-eb3&gt; accessed 28 February 2020.","dontUpdate":true,"noteIndex":124},"citationItems":[{"id":667,"uris":["http://zotero.org/users/local/dU5rpCrq/items/URWDUBMP"],"uri":["http://zotero.org/users/local/dU5rpCrq/items/URWDUBMP"],"itemData":{"id":667,"type":"webpage","multi":{"main":{},"_keys":{}},"container-title":"Regeneron Pharmaceuticals Inc.","title":"PALM Ebola Clinical Trial Stopped Early as Regeneron's REGN-EB3 Therapy Shows Superiority to ZMapp in Preventing Ebola Deaths","URL":"https://newsroom.regeneron.com/news-releases/news-release-details/palm-ebola-clinical-trial-stopped-early-regenerons-regn-eb3","accessed":{"date-parts":[["2020",2,28]]},"issued":{"date-parts":[["2019",8,12]]},"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‘PALM Ebola Clinical Trial Stopped Early as Regeneron’s REGN-EB3 Therapy Shows Superiority to ZMapp in Preventing Ebola Deaths’ (</w:t>
      </w:r>
      <w:r w:rsidRPr="000C134C">
        <w:rPr>
          <w:i/>
          <w:iCs/>
          <w:kern w:val="18"/>
          <w:sz w:val="18"/>
          <w:szCs w:val="18"/>
          <w:lang w:val="en-GB"/>
        </w:rPr>
        <w:t>Regeneron Pharmaceuticals Inc.</w:t>
      </w:r>
      <w:r w:rsidRPr="000C134C">
        <w:rPr>
          <w:kern w:val="18"/>
          <w:sz w:val="18"/>
          <w:szCs w:val="18"/>
          <w:lang w:val="en-GB"/>
        </w:rPr>
        <w:t>, 12 August 2019) &lt;https://newsroom.regeneron.</w:t>
      </w:r>
      <w:r w:rsidRPr="000C134C">
        <w:rPr>
          <w:kern w:val="18"/>
          <w:sz w:val="18"/>
          <w:szCs w:val="18"/>
          <w:lang w:val="en-GB"/>
        </w:rPr>
        <w:br/>
        <w:t>com/news-releases/news-release-details/palm-ebola-clinical-trial-stopped-early-regenerons-regn-eb3&gt; accessed 28 February 2020.</w:t>
      </w:r>
      <w:r w:rsidRPr="000C134C">
        <w:rPr>
          <w:kern w:val="18"/>
          <w:sz w:val="18"/>
          <w:szCs w:val="18"/>
          <w:lang w:val="en-GB"/>
        </w:rPr>
        <w:fldChar w:fldCharType="end"/>
      </w:r>
    </w:p>
  </w:footnote>
  <w:footnote w:id="129">
    <w:p w14:paraId="4A3F2592" w14:textId="503F7A7A"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USG Contract No. HHSO100201500013C and USG Contract No. HHSO100201700016C.</w:t>
      </w:r>
    </w:p>
  </w:footnote>
  <w:footnote w:id="130">
    <w:p w14:paraId="2F38D7DE" w14:textId="5522DD9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FDA Designation for ‘three human IgG1 </w:t>
      </w:r>
      <w:proofErr w:type="spellStart"/>
      <w:r w:rsidRPr="000C134C">
        <w:rPr>
          <w:kern w:val="18"/>
          <w:sz w:val="18"/>
          <w:szCs w:val="18"/>
          <w:lang w:val="en-GB"/>
        </w:rPr>
        <w:t>mAbs</w:t>
      </w:r>
      <w:proofErr w:type="spellEnd"/>
      <w:r w:rsidRPr="000C134C">
        <w:rPr>
          <w:kern w:val="18"/>
          <w:sz w:val="18"/>
          <w:szCs w:val="18"/>
          <w:lang w:val="en-GB"/>
        </w:rPr>
        <w:t xml:space="preserve"> (REGN3470, REGN3471, and REGN3479) directed against different epitopes on Ebola virus glycoprotein’; EMA designation for ‘Three human monoclonal antibodies against the EBOV glycoprotein.’ See also </w:t>
      </w:r>
      <w:r w:rsidRPr="000C134C">
        <w:rPr>
          <w:kern w:val="18"/>
          <w:sz w:val="18"/>
          <w:szCs w:val="18"/>
          <w:lang w:val="en-GB"/>
        </w:rPr>
        <w:fldChar w:fldCharType="begin"/>
      </w:r>
      <w:r w:rsidRPr="000C134C">
        <w:rPr>
          <w:kern w:val="18"/>
          <w:sz w:val="18"/>
          <w:szCs w:val="18"/>
          <w:lang w:val="en-GB"/>
        </w:rPr>
        <w:instrText xml:space="preserve"> ADDIN ZOTERO_ITEM CSL_CITATION {"citationID":"osXv9WoL","properties":{"formattedCitation":"Kiran N Meekings and others, \\uc0\\u8216{}Orphan Drug Development: An Economically Viable Strategy for Biopharma R&amp;D\\uc0\\u8217{} (2012) 17 Drug Discovery Today 660.","plainCitation":"Kiran N Meekings and others, ‘Orphan Drug Development: An Economically Viable Strategy for Biopharma R&amp;D’ (2012) 17 Drug Discovery Today 660.","noteIndex":126},"citationItems":[{"id":548,"uris":["http://zotero.org/users/local/dU5rpCrq/items/7NWJQ3UP"],"uri":["http://zotero.org/users/local/dU5rpCrq/items/7NWJQ3UP"],"itemData":{"id":548,"type":"article-journal","multi":{"main":{},"_keys":{}},"abstract":"Orphan drug incentives have stimulated research into diseases with significant unmet medical need. Although the targeting of orphan diseases is seen by industry as an attractive strategy, there are limited economic data available to support its use. In this paper we show that the revenue-generating potential of orphan drugs is as great as for non-orphan drugs, even though patient populations for rare diseases are significantly smaller. Moreover, we suggest that orphan drugs have greater profitability when considered in the full context of developmental drivers including government financial incentives, smaller clinical trial sizes, shorter clinical trial times and higher rates of regulatory success. The data support the targeting of rare diseases as an important component of a successful biopharma R&amp;D strategy.","container-title":"Drug Discovery Today","DOI":"10.1016/j.drudis.2012.02.005","ISSN":"1359-6446","issue":"13","journalAbbreviation":"Drug Discovery Today","language":"en","page":"660-664","source":"ScienceDirect","title":"Orphan drug development: an economically viable strategy for biopharma R&amp;D","title-short":"Orphan drug development","volume":"17","author":[{"family":"Meekings","given":"Kiran N.","multi":{"_key":{}}},{"family":"Williams","given":"Cory S. M.","multi":{"_key":{}}},{"family":"Arrowsmith","given":"John E.","multi":{"_key":{}}}],"issued":{"date-parts":[["2012",7,1]]},"seeAlso":[]}}],"schema":"https://github.com/citation-style-language/schema/raw/master/csl-citation.json"}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Kiran N Meekings and others, ‘Orphan Drug Development: An Economically Viable Strategy for Biopharma R&amp;D’ (2012) 17 Drug Discovery Today 660.</w:t>
      </w:r>
      <w:r w:rsidRPr="000C134C">
        <w:rPr>
          <w:kern w:val="18"/>
          <w:sz w:val="18"/>
          <w:szCs w:val="18"/>
          <w:lang w:val="en-GB"/>
        </w:rPr>
        <w:fldChar w:fldCharType="end"/>
      </w:r>
    </w:p>
  </w:footnote>
  <w:footnote w:id="131">
    <w:p w14:paraId="3B719482" w14:textId="57E1FDA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{"citationID":"31vTgLkQ","properties":{"formattedCitation":"Hammond (n 122).","plainCitation":"Hammond (n 122).","noteIndex":127},"citationItems":[{"id":547,"uris":["http://zotero.org/users/local/dU5rpCrq/items/ZAUBQ2KL"],"uri":["http://zotero.org/users/local/dU5rpCrq/items/ZAUBQ2KL"],"itemData":{"id":547,"type":"article","multi":{"main":{},"_keys":{}},"publisher":"Third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Hammond (n 122).</w:t>
      </w:r>
      <w:r w:rsidRPr="000C134C">
        <w:rPr>
          <w:kern w:val="18"/>
          <w:sz w:val="18"/>
          <w:szCs w:val="18"/>
          <w:lang w:val="en-GB"/>
        </w:rPr>
        <w:fldChar w:fldCharType="end"/>
      </w:r>
    </w:p>
  </w:footnote>
  <w:footnote w:id="132">
    <w:p w14:paraId="16E5863A" w14:textId="1E22698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Michelle Rourke and others, ‘Policy opportunities to enhance sharing for pandemic research’ (2020) 368 Science 717.</w:t>
      </w:r>
    </w:p>
  </w:footnote>
  <w:footnote w:id="133">
    <w:p w14:paraId="4CAE9855" w14:textId="34A9BFCC" w:rsidR="007511AF" w:rsidRPr="000C134C" w:rsidRDefault="007511AF" w:rsidP="00F43F79">
      <w:pPr>
        <w:spacing w:before="20" w:after="20"/>
        <w:ind w:left="284" w:hanging="288"/>
        <w:rPr>
          <w:rFonts w:eastAsia="Times New Roman"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H. M. Berman and others,</w:t>
      </w:r>
      <w:r w:rsidRPr="000C134C">
        <w:rPr>
          <w:rFonts w:eastAsia="Times New Roman" w:cs="Times New Roman"/>
          <w:color w:val="1C1D1E"/>
          <w:kern w:val="18"/>
          <w:sz w:val="18"/>
          <w:szCs w:val="18"/>
          <w:shd w:val="clear" w:color="auto" w:fill="FFFFFF"/>
          <w:lang w:val="en-GB"/>
        </w:rPr>
        <w:t xml:space="preserve"> ‘The future of the protein data bank’ (2013) 99 Biopolymers 218</w:t>
      </w:r>
      <w:r w:rsidR="00894272" w:rsidRPr="000C134C">
        <w:rPr>
          <w:rFonts w:eastAsia="Times New Roman" w:cs="Times New Roman"/>
          <w:color w:val="1C1D1E"/>
          <w:kern w:val="18"/>
          <w:sz w:val="18"/>
          <w:szCs w:val="18"/>
          <w:shd w:val="clear" w:color="auto" w:fill="FFFFFF"/>
          <w:lang w:val="en-GB"/>
        </w:rPr>
        <w:t>.</w:t>
      </w:r>
    </w:p>
  </w:footnote>
  <w:footnote w:id="134">
    <w:p w14:paraId="6116D383" w14:textId="1147D402" w:rsidR="007511AF" w:rsidRPr="000C134C" w:rsidRDefault="007511AF" w:rsidP="00F43F79">
      <w:pPr>
        <w:spacing w:before="20" w:after="20"/>
        <w:ind w:left="284" w:hanging="288"/>
        <w:rPr>
          <w:rFonts w:eastAsia="Times New Roman"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00894272" w:rsidRPr="000C134C">
        <w:rPr>
          <w:rFonts w:cs="Times New Roman"/>
          <w:kern w:val="18"/>
          <w:sz w:val="18"/>
          <w:szCs w:val="18"/>
          <w:lang w:val="en-GB"/>
        </w:rPr>
        <w:t>I</w:t>
      </w:r>
      <w:r w:rsidRPr="000C134C">
        <w:rPr>
          <w:rFonts w:cs="Times New Roman"/>
          <w:kern w:val="18"/>
          <w:sz w:val="18"/>
          <w:szCs w:val="18"/>
          <w:lang w:val="en-GB"/>
        </w:rPr>
        <w:t>bid.</w:t>
      </w:r>
    </w:p>
  </w:footnote>
  <w:footnote w:id="135">
    <w:p w14:paraId="4EC63488" w14:textId="17DACB49" w:rsidR="007511AF" w:rsidRPr="000C134C" w:rsidRDefault="007511AF" w:rsidP="00F43F79">
      <w:pPr>
        <w:spacing w:before="20" w:after="20"/>
        <w:ind w:left="284" w:hanging="288"/>
        <w:rPr>
          <w:rFonts w:eastAsia="Times New Roman"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David S. </w:t>
      </w:r>
      <w:proofErr w:type="spellStart"/>
      <w:r w:rsidRPr="000C134C">
        <w:rPr>
          <w:rFonts w:eastAsia="Times New Roman" w:cs="Times New Roman"/>
          <w:color w:val="1C1D1E"/>
          <w:kern w:val="18"/>
          <w:sz w:val="18"/>
          <w:szCs w:val="18"/>
          <w:shd w:val="clear" w:color="auto" w:fill="FFFFFF"/>
          <w:lang w:val="en-GB"/>
        </w:rPr>
        <w:t>Goodsell</w:t>
      </w:r>
      <w:proofErr w:type="spellEnd"/>
      <w:r w:rsidRPr="000C134C">
        <w:rPr>
          <w:rFonts w:eastAsia="Times New Roman" w:cs="Times New Roman"/>
          <w:color w:val="1C1D1E"/>
          <w:kern w:val="18"/>
          <w:sz w:val="18"/>
          <w:szCs w:val="18"/>
          <w:shd w:val="clear" w:color="auto" w:fill="FFFFFF"/>
          <w:lang w:val="en-GB"/>
        </w:rPr>
        <w:t xml:space="preserve"> and others, ‘RCSB Protein Data Bank: Enabling biomedical research and drug discovery’ (2020) 29 </w:t>
      </w:r>
      <w:r w:rsidRPr="000C134C">
        <w:rPr>
          <w:rFonts w:eastAsia="Times New Roman" w:cs="Times New Roman"/>
          <w:iCs/>
          <w:color w:val="1C1D1E"/>
          <w:kern w:val="18"/>
          <w:sz w:val="18"/>
          <w:szCs w:val="18"/>
          <w:shd w:val="clear" w:color="auto" w:fill="FFFFFF"/>
          <w:lang w:val="en-GB"/>
        </w:rPr>
        <w:t>Protein Science</w:t>
      </w:r>
      <w:r w:rsidRPr="000C134C">
        <w:rPr>
          <w:rFonts w:eastAsia="Times New Roman" w:cs="Times New Roman"/>
          <w:color w:val="1C1D1E"/>
          <w:kern w:val="18"/>
          <w:sz w:val="18"/>
          <w:szCs w:val="18"/>
          <w:shd w:val="clear" w:color="auto" w:fill="FFFFFF"/>
          <w:lang w:val="en-GB"/>
        </w:rPr>
        <w:t> 52. </w:t>
      </w:r>
    </w:p>
  </w:footnote>
  <w:footnote w:id="136">
    <w:p w14:paraId="562596AC" w14:textId="0B9D14C4"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894272" w:rsidRPr="000C134C">
        <w:rPr>
          <w:kern w:val="18"/>
          <w:sz w:val="18"/>
          <w:szCs w:val="18"/>
          <w:lang w:val="en-GB"/>
        </w:rPr>
        <w:t>I</w:t>
      </w:r>
      <w:r w:rsidRPr="000C134C">
        <w:rPr>
          <w:kern w:val="18"/>
          <w:sz w:val="18"/>
          <w:szCs w:val="18"/>
          <w:lang w:val="en-GB"/>
        </w:rPr>
        <w:t>bid 54.</w:t>
      </w:r>
    </w:p>
  </w:footnote>
  <w:footnote w:id="137">
    <w:p w14:paraId="4F5C2508" w14:textId="243253F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00894272" w:rsidRPr="000C134C">
        <w:rPr>
          <w:kern w:val="18"/>
          <w:sz w:val="18"/>
          <w:szCs w:val="18"/>
          <w:lang w:val="en-GB"/>
        </w:rPr>
        <w:t>I</w:t>
      </w:r>
      <w:r w:rsidRPr="000C134C">
        <w:rPr>
          <w:kern w:val="18"/>
          <w:sz w:val="18"/>
          <w:szCs w:val="18"/>
          <w:lang w:val="en-GB"/>
        </w:rPr>
        <w:t>bid.</w:t>
      </w:r>
    </w:p>
  </w:footnote>
  <w:footnote w:id="138">
    <w:p w14:paraId="61DB122B" w14:textId="39CCA78A"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00894272" w:rsidRPr="000C134C">
        <w:rPr>
          <w:kern w:val="18"/>
          <w:sz w:val="18"/>
          <w:szCs w:val="18"/>
          <w:lang w:val="en-GB"/>
        </w:rPr>
        <w:t>I</w:t>
      </w:r>
      <w:r w:rsidRPr="000C134C">
        <w:rPr>
          <w:kern w:val="18"/>
          <w:sz w:val="18"/>
          <w:szCs w:val="18"/>
          <w:lang w:val="en-GB"/>
        </w:rPr>
        <w:t>bid.</w:t>
      </w:r>
    </w:p>
  </w:footnote>
  <w:footnote w:id="139">
    <w:p w14:paraId="478EEDE3" w14:textId="1CA95D0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{"citationID":"B8buiVZ1","properties":{"formattedCitation":"Maria Sorokina and Christoph Steinbeck, \\uc0\\u8216{}Review on Natural Products Databases: Where to Find Data in 2020\\uc0\\u8217{} (2020) 12 Cheminform 1.","plainCitation":"Maria Sorokina and Christoph Steinbeck, ‘Review on Natural Products Databases: Where to Find Data in 2020’ (2020) 12 Cheminform 1.","noteIndex":135},"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Maria Sorokina and Christoph Steinbeck, ‘Review on Natural Products Databases: Where to Find Data in 2020’ (2020) 12 Cheminform 1.</w:t>
      </w:r>
      <w:r w:rsidRPr="000C134C">
        <w:rPr>
          <w:kern w:val="18"/>
          <w:sz w:val="18"/>
          <w:szCs w:val="18"/>
          <w:lang w:val="en-GB"/>
        </w:rPr>
        <w:fldChar w:fldCharType="end"/>
      </w:r>
    </w:p>
  </w:footnote>
  <w:footnote w:id="140">
    <w:p w14:paraId="51490803" w14:textId="7B442D6D"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{"citationID":"J3cpbFLo","properties":{"formattedCitation":"ibid 2.","plainCitation":"ibid 2.","noteIndex":136},"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 2.</w:t>
      </w:r>
      <w:r w:rsidRPr="000C134C">
        <w:rPr>
          <w:kern w:val="18"/>
          <w:sz w:val="18"/>
          <w:szCs w:val="18"/>
          <w:lang w:val="en-GB"/>
        </w:rPr>
        <w:fldChar w:fldCharType="end"/>
      </w:r>
    </w:p>
  </w:footnote>
  <w:footnote w:id="141">
    <w:p w14:paraId="79C54BA1" w14:textId="018F95B4"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yweAEEYe","properties":{"formattedCitation":"ibid.","plainCitation":"ibid.","noteIndex":137},"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p>
  </w:footnote>
  <w:footnote w:id="142">
    <w:p w14:paraId="20F358F3" w14:textId="7C6ECB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{"citationID":"vlJKH5dE","properties":{"formattedCitation":"ibid 44.","plainCitation":"ibid 44.","noteIndex":138},"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44"}],"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 44.</w:t>
      </w:r>
      <w:r w:rsidRPr="000C134C">
        <w:rPr>
          <w:kern w:val="18"/>
          <w:sz w:val="18"/>
          <w:szCs w:val="18"/>
          <w:lang w:val="en-GB"/>
        </w:rPr>
        <w:fldChar w:fldCharType="end"/>
      </w:r>
    </w:p>
  </w:footnote>
  <w:footnote w:id="143">
    <w:p w14:paraId="32A826B0"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proofErr w:type="spellStart"/>
      <w:r w:rsidRPr="000C134C">
        <w:rPr>
          <w:kern w:val="18"/>
          <w:sz w:val="18"/>
          <w:szCs w:val="18"/>
          <w:lang w:val="en-GB"/>
        </w:rPr>
        <w:t>Fidele</w:t>
      </w:r>
      <w:proofErr w:type="spellEnd"/>
      <w:r w:rsidRPr="000C134C">
        <w:rPr>
          <w:kern w:val="18"/>
          <w:sz w:val="18"/>
          <w:szCs w:val="18"/>
          <w:lang w:val="en-GB"/>
        </w:rPr>
        <w:t xml:space="preserve"> </w:t>
      </w:r>
      <w:proofErr w:type="spellStart"/>
      <w:r w:rsidRPr="000C134C">
        <w:rPr>
          <w:kern w:val="18"/>
          <w:sz w:val="18"/>
          <w:szCs w:val="18"/>
          <w:lang w:val="en-GB"/>
        </w:rPr>
        <w:t>Ntie</w:t>
      </w:r>
      <w:proofErr w:type="spellEnd"/>
      <w:r w:rsidRPr="000C134C">
        <w:rPr>
          <w:kern w:val="18"/>
          <w:sz w:val="18"/>
          <w:szCs w:val="18"/>
          <w:lang w:val="en-GB"/>
        </w:rPr>
        <w:t xml:space="preserve">-Kang and others ‘Virtualizing the p-ANAPL Library: A Step towards Drug Discovery from African Medicinal Plants’ (2014) 9(3) </w:t>
      </w:r>
      <w:proofErr w:type="spellStart"/>
      <w:r w:rsidRPr="000C134C">
        <w:rPr>
          <w:kern w:val="18"/>
          <w:sz w:val="18"/>
          <w:szCs w:val="18"/>
          <w:lang w:val="en-GB"/>
        </w:rPr>
        <w:t>PLoS</w:t>
      </w:r>
      <w:proofErr w:type="spellEnd"/>
      <w:r w:rsidRPr="000C134C">
        <w:rPr>
          <w:kern w:val="18"/>
          <w:sz w:val="18"/>
          <w:szCs w:val="18"/>
          <w:lang w:val="en-GB"/>
        </w:rPr>
        <w:t xml:space="preserve"> ONE e9065.</w:t>
      </w:r>
    </w:p>
  </w:footnote>
  <w:footnote w:id="144">
    <w:p w14:paraId="77E1018E"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proofErr w:type="spellStart"/>
      <w:r w:rsidRPr="000C134C">
        <w:rPr>
          <w:kern w:val="18"/>
          <w:sz w:val="18"/>
          <w:szCs w:val="18"/>
          <w:lang w:val="en-GB"/>
        </w:rPr>
        <w:t>Fidele</w:t>
      </w:r>
      <w:proofErr w:type="spellEnd"/>
      <w:r w:rsidRPr="000C134C">
        <w:rPr>
          <w:kern w:val="18"/>
          <w:sz w:val="18"/>
          <w:szCs w:val="18"/>
          <w:lang w:val="en-GB"/>
        </w:rPr>
        <w:t xml:space="preserve"> </w:t>
      </w:r>
      <w:proofErr w:type="spellStart"/>
      <w:r w:rsidRPr="000C134C">
        <w:rPr>
          <w:kern w:val="18"/>
          <w:sz w:val="18"/>
          <w:szCs w:val="18"/>
          <w:lang w:val="en-GB"/>
        </w:rPr>
        <w:t>Ntie</w:t>
      </w:r>
      <w:proofErr w:type="spellEnd"/>
      <w:r w:rsidRPr="000C134C">
        <w:rPr>
          <w:kern w:val="18"/>
          <w:sz w:val="18"/>
          <w:szCs w:val="18"/>
          <w:lang w:val="en-GB"/>
        </w:rPr>
        <w:t>-Kang and others, ‘</w:t>
      </w:r>
      <w:proofErr w:type="spellStart"/>
      <w:r w:rsidRPr="000C134C">
        <w:rPr>
          <w:kern w:val="18"/>
          <w:sz w:val="18"/>
          <w:szCs w:val="18"/>
          <w:lang w:val="en-GB"/>
        </w:rPr>
        <w:t>AfroDb</w:t>
      </w:r>
      <w:proofErr w:type="spellEnd"/>
      <w:r w:rsidRPr="000C134C">
        <w:rPr>
          <w:kern w:val="18"/>
          <w:sz w:val="18"/>
          <w:szCs w:val="18"/>
          <w:lang w:val="en-GB"/>
        </w:rPr>
        <w:t xml:space="preserve">: A Select Highly Potent and Diverse Natural Product Library from African Medicinal Plants’ (2013) 8(10) </w:t>
      </w:r>
      <w:proofErr w:type="spellStart"/>
      <w:r w:rsidRPr="000C134C">
        <w:rPr>
          <w:kern w:val="18"/>
          <w:sz w:val="18"/>
          <w:szCs w:val="18"/>
          <w:lang w:val="en-GB"/>
        </w:rPr>
        <w:t>PLoS</w:t>
      </w:r>
      <w:proofErr w:type="spellEnd"/>
      <w:r w:rsidRPr="000C134C">
        <w:rPr>
          <w:kern w:val="18"/>
          <w:sz w:val="18"/>
          <w:szCs w:val="18"/>
          <w:lang w:val="en-GB"/>
        </w:rPr>
        <w:t xml:space="preserve"> ONE e78085.</w:t>
      </w:r>
    </w:p>
  </w:footnote>
  <w:footnote w:id="145">
    <w:p w14:paraId="0E0599B4" w14:textId="6F2FC069" w:rsidR="007511AF" w:rsidRPr="000C134C" w:rsidRDefault="007511AF" w:rsidP="00F43F79">
      <w:pPr>
        <w:autoSpaceDE w:val="0"/>
        <w:autoSpaceDN w:val="0"/>
        <w:adjustRightInd w:val="0"/>
        <w:spacing w:before="20" w:after="20"/>
        <w:ind w:left="284" w:hanging="288"/>
        <w:rPr>
          <w:rFonts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proofErr w:type="spellStart"/>
      <w:r w:rsidRPr="000C134C">
        <w:rPr>
          <w:rFonts w:cs="Times New Roman"/>
          <w:kern w:val="18"/>
          <w:sz w:val="18"/>
          <w:szCs w:val="18"/>
          <w:lang w:val="en-GB"/>
        </w:rPr>
        <w:t>Fidele</w:t>
      </w:r>
      <w:proofErr w:type="spellEnd"/>
      <w:r w:rsidRPr="000C134C">
        <w:rPr>
          <w:rFonts w:cs="Times New Roman"/>
          <w:kern w:val="18"/>
          <w:sz w:val="18"/>
          <w:szCs w:val="18"/>
          <w:lang w:val="en-GB"/>
        </w:rPr>
        <w:t xml:space="preserve"> </w:t>
      </w:r>
      <w:proofErr w:type="spellStart"/>
      <w:r w:rsidRPr="000C134C">
        <w:rPr>
          <w:rFonts w:cs="Times New Roman"/>
          <w:kern w:val="18"/>
          <w:sz w:val="18"/>
          <w:szCs w:val="18"/>
          <w:lang w:val="en-GB"/>
        </w:rPr>
        <w:t>Ntie</w:t>
      </w:r>
      <w:proofErr w:type="spellEnd"/>
      <w:r w:rsidRPr="000C134C">
        <w:rPr>
          <w:rFonts w:cs="Times New Roman"/>
          <w:kern w:val="18"/>
          <w:sz w:val="18"/>
          <w:szCs w:val="18"/>
          <w:lang w:val="en-GB"/>
        </w:rPr>
        <w:t>-Kang and others, ‘NANPDB: A Resource for Natural Products from Northern African Sources’ (2017) 80 J. Nat. Prod. 2067−2076</w:t>
      </w:r>
      <w:r w:rsidR="00894272" w:rsidRPr="000C134C">
        <w:rPr>
          <w:rFonts w:cs="Times New Roman"/>
          <w:kern w:val="18"/>
          <w:sz w:val="18"/>
          <w:szCs w:val="18"/>
          <w:lang w:val="en-GB"/>
        </w:rPr>
        <w:t>.</w:t>
      </w:r>
    </w:p>
  </w:footnote>
  <w:footnote w:id="146">
    <w:p w14:paraId="07E63E46"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proofErr w:type="spellStart"/>
      <w:r w:rsidRPr="000C134C">
        <w:rPr>
          <w:kern w:val="18"/>
          <w:sz w:val="18"/>
          <w:szCs w:val="18"/>
          <w:lang w:val="en-GB"/>
        </w:rPr>
        <w:t>Sorokina</w:t>
      </w:r>
      <w:proofErr w:type="spellEnd"/>
      <w:r w:rsidRPr="000C134C">
        <w:rPr>
          <w:kern w:val="18"/>
          <w:sz w:val="18"/>
          <w:szCs w:val="18"/>
          <w:lang w:val="en-GB"/>
        </w:rPr>
        <w:t xml:space="preserve"> and Steinbeck, 41-43.</w:t>
      </w:r>
    </w:p>
  </w:footnote>
  <w:footnote w:id="147">
    <w:p w14:paraId="064049D4" w14:textId="067678A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{"citationID":"BAys5xzP","properties":{"formattedCitation":"Brian Moran and Benjamin Jensen, \\uc0\\u8216{}Designing Around a Patent as an Alternative to a License\\uc0\\u8217{} ({\\i{}IPWatchdog.com | Patents &amp; Patent Law}, 30 July 2019) &lt;https://www.ipwatchdog.com/2019/07/30/designing-around-patent-alternative-license/id=111683/&gt; accessed 28 February 2020.","plainCitation":"Brian Moran and Benjamin Jensen, ‘Designing Around a Patent as an Alternative to a License’ (IPWatchdog.com | Patents &amp; Patent Law, 30 July 2019) &lt;https://www.ipwatchdog.com/2019/07/30/designing-around-patent-alternative-license/id=111683/&gt; accessed 28 February 2020.","noteIndex":143},"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Brian Moran and Benjamin Jensen, ‘Designing Around a Patent as an Alternative to a License’ (</w:t>
      </w:r>
      <w:r w:rsidRPr="000C134C">
        <w:rPr>
          <w:i/>
          <w:iCs/>
          <w:kern w:val="18"/>
          <w:sz w:val="18"/>
          <w:szCs w:val="18"/>
          <w:lang w:val="en-GB"/>
        </w:rPr>
        <w:t>IPWatchdog.com | Patents &amp; Patent Law</w:t>
      </w:r>
      <w:r w:rsidRPr="000C134C">
        <w:rPr>
          <w:kern w:val="18"/>
          <w:sz w:val="18"/>
          <w:szCs w:val="18"/>
          <w:lang w:val="en-GB"/>
        </w:rPr>
        <w:t>, 30 July 2019) &lt;https://www.ipwatchdog.com/2019/07/30/designing-around-patent-alternative-license/id=111683/&gt; accessed 28 February 2020.</w:t>
      </w:r>
      <w:r w:rsidRPr="000C134C">
        <w:rPr>
          <w:kern w:val="18"/>
          <w:sz w:val="18"/>
          <w:szCs w:val="18"/>
          <w:lang w:val="en-GB"/>
        </w:rPr>
        <w:fldChar w:fldCharType="end"/>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{"citationID":"5KMLJ22B","properties":{"formattedCitation":"{\\i{}State Industries, Inc v AO Smith Corp} 751 Federal Reporter, 2nd Series 1226, 1236 (US Fed Cir 1985): \\uc0\\u8216{}One of the benefits of a patent system is the so-called \\uc0\\u8220{}negative incentive\\uc0\\u8221{} to \\uc0\\u8220{}design around\\uc0\\u8221{} a competitor\\uc0\\u8217{}s products.\\uc0\\u8217{}","plainCitation":"State Industries, Inc v AO Smith Corp 751 Federal Reporter, 2nd Series 1226, 1236 (US Fed Cir 1985): ‘One of the benefits of a patent system is the so-called “negative incentive” to “design around” a competitor’s products.’","noteIndex":143,"suppress-trailing-punctuation":true},"citationItems":[{"id":562,"uris":["http://zotero.org/users/local/dU5rpCrq/items/UR2XUFS9"],"uri":["http://zotero.org/users/local/dU5rpCrq/items/UR2XUFS9"],"itemData":{"id":562,"type":"legal_case","multi":{"main":{},"_keys":{}},"authority":"court.appeals.federal.circuit","container-title":"Federal Reporter, 2nd Series","genre":"Appeal","page":"1226","title":"State Industries, Inc. v. A.O. Smith Corp","volume":"751","jurisdiction":"us:c","issued":{"date-parts":[["1985",1,3]]},"seeAlso":[]},"locator":"1236","suffix":": \"One of the benefits of a patent system is the so-called ‘negative incentive’ to ‘design around’ a competitor’s products.\""}],"schema":"https://github.com/citation-style-language/schema/raw/master/csl-citation.json"} </w:instrText>
      </w:r>
      <w:r w:rsidRPr="000C134C">
        <w:rPr>
          <w:kern w:val="18"/>
          <w:sz w:val="18"/>
          <w:szCs w:val="18"/>
          <w:lang w:val="en-GB"/>
        </w:rPr>
        <w:fldChar w:fldCharType="separate"/>
      </w:r>
      <w:r w:rsidRPr="000C134C">
        <w:rPr>
          <w:i/>
          <w:iCs/>
          <w:kern w:val="18"/>
          <w:sz w:val="18"/>
          <w:szCs w:val="18"/>
          <w:lang w:val="en-GB"/>
        </w:rPr>
        <w:t>State Industries, Inc v AO Smith Corp</w:t>
      </w:r>
      <w:r w:rsidRPr="000C134C">
        <w:rPr>
          <w:kern w:val="18"/>
          <w:sz w:val="18"/>
          <w:szCs w:val="18"/>
          <w:lang w:val="en-GB"/>
        </w:rPr>
        <w:t xml:space="preserve"> 751 Federal Reporter, 2nd Series 1226, 1236 (US Fed Cir 1985): ‘One of the benefits of a patent system is the so-called “negative incentive” to “design around” a competitor’s products.’</w:t>
      </w:r>
      <w:r w:rsidRPr="000C134C">
        <w:rPr>
          <w:kern w:val="18"/>
          <w:sz w:val="18"/>
          <w:szCs w:val="18"/>
          <w:lang w:val="en-GB"/>
        </w:rPr>
        <w:fldChar w:fldCharType="end"/>
      </w:r>
      <w:r w:rsidRPr="000C134C">
        <w:rPr>
          <w:kern w:val="18"/>
          <w:sz w:val="18"/>
          <w:szCs w:val="18"/>
          <w:lang w:val="en-GB"/>
        </w:rPr>
        <w:t xml:space="preserve">) </w:t>
      </w:r>
    </w:p>
  </w:footnote>
  <w:footnote w:id="148">
    <w:p w14:paraId="7B3BB0A7" w14:textId="2F2B80F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{"citationID":"qr13BfyQ","properties":{"formattedCitation":"Moran and Jensen (n 143).","plainCitation":"Moran and Jensen (n 143).","noteIndex":144},"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Moran and Jensen (n 143).</w:t>
      </w:r>
      <w:r w:rsidRPr="000C134C">
        <w:rPr>
          <w:kern w:val="18"/>
          <w:sz w:val="18"/>
          <w:szCs w:val="18"/>
          <w:lang w:val="en-GB"/>
        </w:rPr>
        <w:fldChar w:fldCharType="end"/>
      </w:r>
    </w:p>
  </w:footnote>
  <w:footnote w:id="149">
    <w:p w14:paraId="32026252" w14:textId="565A673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MB, Interviews, anonymous synthetic biology industry researcher &amp; general counsel (2020). </w:t>
      </w:r>
    </w:p>
  </w:footnote>
  <w:footnote w:id="150">
    <w:p w14:paraId="5526A7BA" w14:textId="07C45D79"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{"citationID":"r6UOi5sx","properties":{"formattedCitation":"V\\uc0\\u237{}ctor de Lorenzo and Antoine Danchin, \\uc0\\u8216{}Synthetic Biology: Discovering New Worlds and New Words. The New and Not so New Aspects of this Emerging Research Field\\uc0\\u8217{} (2008) 9 EMBO Rep 822.","plainCitation":"Víctor de Lorenzo and Antoine Danchin, ‘Synthetic Biology: Discovering New Worlds and New Words. The New and Not so New Aspects of this Emerging Research Field’ (2008) 9 EMBO Rep 822.","noteIndex":146},"citationItems":[{"id":563,"uris":["http://zotero.org/users/local/dU5rpCrq/items/W8Y3L4ZQ"],"uri":["http://zotero.org/users/local/dU5rpCrq/items/W8Y3L4ZQ"],"itemData":{"id":563,"type":"article-journal","multi":{"main":{},"_keys":{}},"container-title":"EMBO Reports","DOI":"10.1038/embor.2008.159","ISSN":"1469-221X","issue":"9","journalAbbreviation":"EMBO Rep","note":"PMID: 18724274\nPMCID: PMC2529360","page":"822-827","source":"PubMed Central","title":"Synthetic biology: discovering new worlds and new words. The new and not so new aspects of this emerging research field","title-short":"Synthetic biology","volume":"9","author":[{"family":"Lorenzo","given":"Víctor","non-dropping-particle":"de","multi":{"_key":{}}},{"family":"Danchin","given":"Antoine","multi":{"_key":{}}}],"issued":{"date-parts":[["2008",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Víctor de Lorenzo and Antoine Danchin, ‘Synthetic Biology: Discovering New Worlds and New Words. The New and Not so New Aspects of this Emerging Research Field’ (2008) 9 EMBO Rep 822.</w:t>
      </w:r>
      <w:r w:rsidRPr="000C134C">
        <w:rPr>
          <w:kern w:val="18"/>
          <w:sz w:val="18"/>
          <w:szCs w:val="18"/>
          <w:lang w:val="en-GB"/>
        </w:rPr>
        <w:fldChar w:fldCharType="end"/>
      </w:r>
      <w:r w:rsidRPr="000C134C">
        <w:rPr>
          <w:rFonts w:eastAsia="Batang"/>
          <w:kern w:val="18"/>
          <w:sz w:val="18"/>
          <w:szCs w:val="18"/>
          <w:lang w:val="en-GB"/>
        </w:rPr>
        <w:t xml:space="preserve"> A strand of synthetic biology research has also focused on de novo organism research.  However, </w:t>
      </w:r>
      <w:proofErr w:type="gramStart"/>
      <w:r w:rsidRPr="000C134C">
        <w:rPr>
          <w:rFonts w:eastAsia="Batang"/>
          <w:kern w:val="18"/>
          <w:sz w:val="18"/>
          <w:szCs w:val="18"/>
          <w:lang w:val="en-GB"/>
        </w:rPr>
        <w:t>in an effort to</w:t>
      </w:r>
      <w:proofErr w:type="gramEnd"/>
      <w:r w:rsidRPr="000C134C">
        <w:rPr>
          <w:rFonts w:eastAsia="Batang"/>
          <w:kern w:val="18"/>
          <w:sz w:val="18"/>
          <w:szCs w:val="18"/>
          <w:lang w:val="en-GB"/>
        </w:rPr>
        <w:t xml:space="preserve"> create a controlled terminology, a 2014 European Commission Scientific Committee report adopted a definition of synthetic biology that begins with a living organism, relegating pre-life de novo research to the field of chemistry. See </w:t>
      </w:r>
      <w:r w:rsidRPr="000C134C">
        <w:rPr>
          <w:rFonts w:eastAsia="Batang"/>
          <w:kern w:val="18"/>
          <w:sz w:val="18"/>
          <w:szCs w:val="18"/>
          <w:lang w:val="en-GB"/>
        </w:rPr>
        <w:fldChar w:fldCharType="begin"/>
      </w:r>
      <w:r w:rsidRPr="000C134C">
        <w:rPr>
          <w:rFonts w:eastAsia="Batang"/>
          <w:kern w:val="18"/>
          <w:sz w:val="18"/>
          <w:szCs w:val="18"/>
          <w:lang w:val="en-GB"/>
        </w:rPr>
        <w:instrText xml:space="preserve"> ADDIN ZOTERO_ITEM CSL_CITATION {"citationID":"Q39giOkW","properties":{"formattedCitation":"SCENIHR and others, {\\i{}Opinion I: Synthetic Biology: Definition} (European Commission Scientific Committees 2014).","plainCitation":"SCENIHR and others, Opinion I: Synthetic Biology: Definition (European Commission Scientific Committees 2014).","noteIndex":146},"citationItems":[{"id":290,"uris":["http://zotero.org/users/local/dU5rpCrq/items/G8Y8VZLM"],"uri":["http://zotero.org/users/local/dU5rpCrq/items/G8Y8VZLM"],"itemData":{"id":290,"type":"book","multi":{"main":{},"_keys":{}},"publisher":"European Commission Scientific Committees","title":"Opinion I: Synthetic Biology: Definition","author":[{"family":"SCENIHR","given":"","literal":"SCENIHR","multi":{"_key":{}}},{"family":"SCCS","given":"","literal":"SCCS","multi":{"_key":{}}},{"family":"SCHER","given":"","literal":"SCHER","multi":{"_key":{}}}],"issued":{"date-parts":[["2014"]]},"seeAlso":[]}}],"schema":"https://github.com/citation-style-language/schema/raw/master/csl-citation.json"} </w:instrText>
      </w:r>
      <w:r w:rsidRPr="000C134C">
        <w:rPr>
          <w:rFonts w:eastAsia="Batang"/>
          <w:kern w:val="18"/>
          <w:sz w:val="18"/>
          <w:szCs w:val="18"/>
          <w:lang w:val="en-GB"/>
        </w:rPr>
        <w:fldChar w:fldCharType="separate"/>
      </w:r>
      <w:r w:rsidRPr="000C134C">
        <w:rPr>
          <w:kern w:val="18"/>
          <w:sz w:val="18"/>
          <w:szCs w:val="18"/>
          <w:lang w:val="en-GB"/>
        </w:rPr>
        <w:t xml:space="preserve">SCENIHR and others, </w:t>
      </w:r>
      <w:r w:rsidRPr="000C134C">
        <w:rPr>
          <w:i/>
          <w:iCs/>
          <w:kern w:val="18"/>
          <w:sz w:val="18"/>
          <w:szCs w:val="18"/>
          <w:lang w:val="en-GB"/>
        </w:rPr>
        <w:t>Opinion I: Synthetic Biology: Definition</w:t>
      </w:r>
      <w:r w:rsidRPr="000C134C">
        <w:rPr>
          <w:kern w:val="18"/>
          <w:sz w:val="18"/>
          <w:szCs w:val="18"/>
          <w:lang w:val="en-GB"/>
        </w:rPr>
        <w:t xml:space="preserve"> (European Commission Scientific Committees 2014).</w:t>
      </w:r>
      <w:r w:rsidRPr="000C134C">
        <w:rPr>
          <w:rFonts w:eastAsia="Batang"/>
          <w:kern w:val="18"/>
          <w:sz w:val="18"/>
          <w:szCs w:val="18"/>
          <w:lang w:val="en-GB"/>
        </w:rPr>
        <w:fldChar w:fldCharType="end"/>
      </w:r>
      <w:r w:rsidRPr="000C134C">
        <w:rPr>
          <w:rFonts w:eastAsia="Batang"/>
          <w:kern w:val="18"/>
          <w:sz w:val="18"/>
          <w:szCs w:val="18"/>
          <w:lang w:val="en-GB"/>
        </w:rPr>
        <w:t xml:space="preserve"> </w:t>
      </w:r>
    </w:p>
  </w:footnote>
  <w:footnote w:id="151">
    <w:p w14:paraId="46FD6AA1" w14:textId="2271DE39"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CBD, Decision XIII/17: Synthetic biology, CBD/COP/DEC/XIII/17 (16 December 2016). See also </w:t>
      </w:r>
      <w:r w:rsidRPr="000C134C">
        <w:rPr>
          <w:i/>
          <w:kern w:val="18"/>
          <w:sz w:val="18"/>
          <w:szCs w:val="18"/>
          <w:lang w:val="en-GB"/>
        </w:rPr>
        <w:fldChar w:fldCharType="begin"/>
      </w:r>
      <w:r w:rsidRPr="000C134C">
        <w:rPr>
          <w:i/>
          <w:kern w:val="18"/>
          <w:sz w:val="18"/>
          <w:szCs w:val="18"/>
          <w:lang w:val="en-GB"/>
        </w:rPr>
        <w:instrText xml:space="preserve"> ADDIN ZOTERO_ITEM CSL_CITATION {"citationID":"qYZoufNG","properties":{"formattedCitation":"Wilfried Weber and Martin Fussenegger, \\uc0\\u8216{}The Impact of Synthetic Biology on Drug Discovery\\uc0\\u8217{} (2009) 14 Drug Discovery Today 956","plainCitation":"Wilfried Weber and Martin Fussenegger, ‘The Impact of Synthetic Biology on Drug Discovery’ (2009) 14 Drug Discovery Today 956","noteIndex":147,"suppress-trailing-punctuation":true},"citationItems":[{"id":566,"uris":["http://zotero.org/users/local/dU5rpCrq/items/FEQFVUYU"],"uri":["http://zotero.org/users/local/dU5rpCrq/items/FEQFVUYU"],"itemData":{"id":566,"type":"article-journal","multi":{"main":{},"_keys":{}},"abstract":"The emergence of synthetic biology is holding great hopes for providing solutions to the unmet needs of humankind. This review article describes how synthetic biology can deliver on this promise in the field of drug discovery by providing novel opportunities throughout the entire drug discovery process. Synthetic biology tools enable disease mechanisms and target identification to be elucidated and also provide avenues to discover small chemotherapeutic molecules or design novel biopharmaceuticals. Furthermore, synthetic biologists can design cost-effective microbial production processes for complex natural products, which could help overcome global drug shortages. These impressive advances have been achieved in only a few years, and are an indicator for the potential of synthetic biology.","container-title":"Drug Discovery Today","DOI":"10.1016/j.drudis.2009.06.010","ISSN":"1878-5832","issue":"19-20","language":"eng","note":"PMID: 19580884","page":"956-963","source":"PubMed","title":"The impact of synthetic biology on drug discovery","volume":"14","author":[{"family":"Weber","given":"Wilfried","multi":{"_key":{}}},{"family":"Fussenegger","given":"Martin","multi":{"_key":{}}}],"issued":{"date-parts":[["2009",10]]},"seeAlso":[]}}],"schema":"https://github.com/citation-style-language/schema/raw/master/csl-citation.json"} </w:instrText>
      </w:r>
      <w:r w:rsidRPr="000C134C">
        <w:rPr>
          <w:i/>
          <w:kern w:val="18"/>
          <w:sz w:val="18"/>
          <w:szCs w:val="18"/>
          <w:lang w:val="en-GB"/>
        </w:rPr>
        <w:fldChar w:fldCharType="separate"/>
      </w:r>
      <w:r w:rsidRPr="000C134C">
        <w:rPr>
          <w:kern w:val="18"/>
          <w:sz w:val="18"/>
          <w:szCs w:val="18"/>
          <w:lang w:val="en-GB"/>
        </w:rPr>
        <w:t>Wilfried Weber and Martin Fussenegger, ‘The Impact of Synthetic Biology on Drug Discovery’ (2009) 14 Drug Discovery Today 956</w:t>
      </w:r>
      <w:r w:rsidRPr="000C134C">
        <w:rPr>
          <w:i/>
          <w:kern w:val="18"/>
          <w:sz w:val="18"/>
          <w:szCs w:val="18"/>
          <w:lang w:val="en-GB"/>
        </w:rPr>
        <w:fldChar w:fldCharType="end"/>
      </w:r>
      <w:r w:rsidRPr="000C134C">
        <w:rPr>
          <w:kern w:val="18"/>
          <w:sz w:val="18"/>
          <w:szCs w:val="18"/>
          <w:lang w:val="en-GB"/>
        </w:rPr>
        <w:t xml:space="preserve"> and </w:t>
      </w:r>
      <w:r w:rsidRPr="000C134C">
        <w:rPr>
          <w:kern w:val="18"/>
          <w:sz w:val="18"/>
          <w:szCs w:val="18"/>
          <w:lang w:val="en-GB"/>
        </w:rPr>
        <w:fldChar w:fldCharType="begin"/>
      </w:r>
      <w:r w:rsidRPr="000C134C">
        <w:rPr>
          <w:kern w:val="18"/>
          <w:sz w:val="18"/>
          <w:szCs w:val="18"/>
          <w:lang w:val="en-GB"/>
        </w:rPr>
        <w:instrText xml:space="preserve"> ADDIN ZOTERO_ITEM CSL_CITATION {"citationID":"4qKIp5AX","properties":{"formattedCitation":"Presidential Commission for the Study of Bioethical Issues, \\uc0\\u8216{}New Directions: The Ethics of Synthetic Biology and Emerging Technologies\\uc0\\u8217{} (Presidential Commission for the Study of Bioethical Issues 2010) 43\\uc0\\u8211{}46.","plainCitation":"Presidential Commission for the Study of Bioethical Issues, ‘New Directions: The Ethics of Synthetic Biology and Emerging Technologies’ (Presidential Commission for the Study of Bioethical Issues 2010) 43–46.","noteIndex":147},"citationItems":[{"id":265,"uris":["http://zotero.org/users/local/dU5rpCrq/items/VHIKNZNY"],"uri":["http://zotero.org/users/local/dU5rpCrq/items/VHIKNZNY"],"itemData":{"id":265,"type":"article","multi":{"main":{},"_keys":{}},"publisher":"Presidential Commission for the Study of Bioethical Issues","title":"New Directions: The Ethics of Synthetic Biology and Emerging Technologies","URL":"http://www.bioethics.gov/documents/synthetic-biology/PCSBI-Synthetic-Biology-Report-12.16.10.pdf","author":[{"family":"Presidential Commission for the Study of Bioethical Issues","given":"","literal":"Presidential Commission for the Study of Bioethical Issues","multi":{"_key":{}}}],"issued":{"date-parts":[["2010"]]},"seeAlso":[]},"locator":"43-46"}],"schema":"https://github.com/citation-style-language/schema/raw/master/csl-citation.json"}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Presidential Commission for the Study of Bioethical Issues, ‘New Directions: The Ethics of Synthetic Biology and Emerging Technologies’ (Presidential Commission for the Study of Bioethical Issues 2010) 43–46.</w:t>
      </w:r>
      <w:r w:rsidRPr="000C134C">
        <w:rPr>
          <w:kern w:val="18"/>
          <w:sz w:val="18"/>
          <w:szCs w:val="18"/>
          <w:lang w:val="en-GB"/>
        </w:rPr>
        <w:fldChar w:fldCharType="end"/>
      </w:r>
      <w:r w:rsidRPr="000C134C">
        <w:rPr>
          <w:kern w:val="18"/>
          <w:sz w:val="18"/>
          <w:szCs w:val="18"/>
          <w:lang w:val="en-GB"/>
        </w:rPr>
        <w:t xml:space="preserve"> </w:t>
      </w:r>
    </w:p>
  </w:footnote>
  <w:footnote w:id="152">
    <w:p w14:paraId="43C4E331" w14:textId="63E4B75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{"citationID":"2XWTh7bR","properties":{"formattedCitation":"Wael Houssen and others, \\uc0\\u8216{}Digital Sequence Information on Genetic Resources: Concept, Scope and Current Use\\uc0\\u8217{} (CBD/DSI/AHTEG/2020/1/3 29 January 2020).","plainCitation":"Wael Houssen and others, ‘Digital Sequence Information on Genetic Resources: Concept, Scope and Current Use’ (CBD/DSI/AHTEG/2020/1/3 29 January 2020).","noteIndex":148},"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Wael Houssen and others, ‘Digital Sequence Information on Genetic Resources: Concept, Scope and Current Use’ (CBD/DSI/AHTEG/2020/1/3 29 January 2020).</w:t>
      </w:r>
      <w:r w:rsidRPr="000C134C">
        <w:rPr>
          <w:kern w:val="18"/>
          <w:sz w:val="18"/>
          <w:szCs w:val="18"/>
          <w:lang w:val="en-GB"/>
        </w:rPr>
        <w:fldChar w:fldCharType="end"/>
      </w:r>
    </w:p>
  </w:footnote>
  <w:footnote w:id="153">
    <w:p w14:paraId="66BD7349" w14:textId="7B861ED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{"citationID":"QxLf8gUG","properties":{"formattedCitation":"ICC Task Force on Access and Benefit Sharing, \\uc0\\u8216{}Digital Sequence Information and the Nagoya Protocol\\uc0\\u8217{} (International Chamber of Commerce 2017).","plainCitation":"ICC Task Force on Access and Benefit Sharing, ‘Digital Sequence Information and the Nagoya Protocol’ (International Chamber of Commerce 2017).","noteIndex":149},"citationItems":[{"id":674,"uris":["http://zotero.org/users/local/dU5rpCrq/items/SJ7R6SDD"],"uri":["http://zotero.org/users/local/dU5rpCrq/items/SJ7R6SDD"],"itemData":{"id":674,"type":"article","multi":{"main":{},"_keys":{}},"publisher":"International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ICC Task Force on Access and Benefit Sharing, ‘Digital Sequence Information and the Nagoya Protocol’ (International Chamber of Commerce 2017).</w:t>
      </w:r>
      <w:r w:rsidRPr="000C134C">
        <w:rPr>
          <w:kern w:val="18"/>
          <w:sz w:val="18"/>
          <w:szCs w:val="18"/>
          <w:lang w:val="en-GB"/>
        </w:rPr>
        <w:fldChar w:fldCharType="end"/>
      </w:r>
    </w:p>
  </w:footnote>
  <w:footnote w:id="154">
    <w:p w14:paraId="1081099D" w14:textId="12E1DAA2" w:rsidR="007511AF" w:rsidRPr="000C134C" w:rsidRDefault="007511AF" w:rsidP="00F43F79">
      <w:pPr>
        <w:pStyle w:val="FootnoteText"/>
        <w:spacing w:before="20" w:after="20"/>
        <w:ind w:left="284" w:hanging="288"/>
        <w:rPr>
          <w:b/>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U.S. Pat. Appl. Pub. No. 2013/0171328A1 “Production of </w:t>
      </w:r>
      <w:proofErr w:type="spellStart"/>
      <w:r w:rsidRPr="000C134C">
        <w:rPr>
          <w:kern w:val="18"/>
          <w:sz w:val="18"/>
          <w:szCs w:val="18"/>
          <w:lang w:val="en-GB"/>
        </w:rPr>
        <w:t>Steviol</w:t>
      </w:r>
      <w:proofErr w:type="spellEnd"/>
      <w:r w:rsidRPr="000C134C">
        <w:rPr>
          <w:kern w:val="18"/>
          <w:sz w:val="18"/>
          <w:szCs w:val="18"/>
          <w:lang w:val="en-GB"/>
        </w:rPr>
        <w:t xml:space="preserve"> Glycosides in Microorganisms” paragraph 125.</w:t>
      </w:r>
    </w:p>
  </w:footnote>
  <w:footnote w:id="155">
    <w:p w14:paraId="5C0CEE7D" w14:textId="1F9E5713" w:rsidR="007511AF" w:rsidRPr="000C134C" w:rsidRDefault="007511AF" w:rsidP="00F43F79">
      <w:pPr>
        <w:pStyle w:val="FootnoteText"/>
        <w:spacing w:before="20" w:after="20"/>
        <w:ind w:left="284" w:hanging="288"/>
        <w:rPr>
          <w:kern w:val="18"/>
          <w:sz w:val="18"/>
          <w:szCs w:val="18"/>
          <w:lang w:val="en-GB"/>
        </w:rPr>
      </w:pPr>
      <w:r w:rsidRPr="000C134C">
        <w:rPr>
          <w:rStyle w:val="FootnoteReference"/>
          <w:rFonts w:eastAsiaTheme="majorEastAsia"/>
          <w:kern w:val="18"/>
          <w:sz w:val="18"/>
          <w:szCs w:val="18"/>
          <w:lang w:val="en-GB"/>
        </w:rPr>
        <w:footnoteRef/>
      </w:r>
      <w:r w:rsidRPr="000C134C">
        <w:rPr>
          <w:kern w:val="18"/>
          <w:sz w:val="18"/>
          <w:szCs w:val="18"/>
          <w:lang w:val="en-GB"/>
        </w:rPr>
        <w:t xml:space="preserve"> In another oft-cited example, researchers designed and produced a synthetic copy of thebaine, the opiate morphine precursor harvested from poppies for millennia, using yeast embedded with genetic sequence information from several plant species, a bacterium, and a rodent. </w:t>
      </w:r>
      <w:r w:rsidRPr="000C134C">
        <w:rPr>
          <w:kern w:val="18"/>
          <w:sz w:val="18"/>
          <w:szCs w:val="18"/>
          <w:lang w:val="en-GB"/>
        </w:rPr>
        <w:fldChar w:fldCharType="begin"/>
      </w:r>
      <w:r w:rsidRPr="000C134C">
        <w:rPr>
          <w:kern w:val="18"/>
          <w:sz w:val="18"/>
          <w:szCs w:val="18"/>
          <w:lang w:val="en-GB"/>
        </w:rPr>
        <w:instrText xml:space="preserve"> ADDIN ZOTERO_ITEM CSL_CITATION {"citationID":"me2tmc9M","properties":{"formattedCitation":"Robert F Service, \\uc0\\u8216{}Modified Yeast Produce Opiates from Sugar\\uc0\\u8217{} (2015) 349 Science 677.","plainCitation":"Robert F Service, ‘Modified Yeast Produce Opiates from Sugar’ (2015) 349 Science 677.","noteIndex":151},"citationItems":[{"id":569,"uris":["http://zotero.org/users/local/dU5rpCrq/items/SHV6AS2P"],"uri":["http://zotero.org/users/local/dU5rpCrq/items/SHV6AS2P"],"itemData":{"id":569,"type":"article-journal","multi":{"main":{},"_keys":{}},"abstract":"Synthetic biologists have engineered a strain of yeast to produce thebaine, an opiate closely related to morphine normally harvested from opium poppy plants. To do so, they engineered the microbes to express a medley of 21 genes, some from yeast themselves, as well as others from plants, bacteria, and even a rodent. By adding two additional genes, the engineers also coaxed yeast to make hydrocodone, one of the most commonly used painkillers on the market. The work may eventually help chemists come up with new painkillers and other medicines with fewer side effects, such as a lower propensity for addiction. Outsiders say the work is a landmark for the increasing sophistication of synthetic biology's ability to engineer complex metabolic pathways into microbes. But biopolicy experts worry that if drugmakers get their hands on opiate-making microbes, it could eventually enable them to brew heroin with ease.\nEngineered microbes raise hopes for better medicines and concerns about illicit drugs.\nEngineered microbes raise hopes for better medicines and concerns about illicit drugs.","container-title":"Science","DOI":"10.1126/science.349.6249.677","ISSN":"0036-8075, 1095-9203","issue":"6249","language":"en","note":"Move over, poppies. In one of the most elaborate feats of synthetic bio logy to date, a research team has engineered yeast with a medley of plant, bacterial, and rodent genes to turn sugar into thebaine, the key opiate precursor to morphine and other powerful painkilling drugs that have been harvested for thousands of years from poppy plants. The team also showed that with further tweaks, the yeast could make hydrocodone, a widely used painkiller that is now made chemically from thebaine.\n\n“This is a major milestone,” says Jens Nielsen, a synthetic biologist at Chalmers University of Technology in Göteborg, Sweden. The work, he adds, demonstrates synthetic biology's increasing sophistication at transferring complex metabolic pathways into microbes.\n\n![Figure][1]&lt;/img&gt;\n\nILLUSTRATION: A. CUADRA/ SCIENCE \n\nBy tweaking the yeast pathways, medicinal chemists may be able to produce more effective, less addictive versions of opiate painkillers. But some biopolicy experts worry that morphinemaking yeast strains could also allow illicit drugmakers to brew heroin as easily as beer enthusiasts home brew today—the drug is a simple chemical conversion from morphine. That concern is one reason the research team, led by Christina Smolke, a synthetic biologist at Stanford University in Palo Alto, California, stopped short of making a yeast strain with the complete morphine pathway; medicinal drug makers also primarily use thebaine to make new compounds.\n\nSynthetic biologists had previously engineered yeast to produce artemisinin, an antimalarial compound, but that required inserting just a handful of plant genes. To get yeast to make thebaine, Smolke's team coaxed the cells to express 21 genes in total, including many added from a diverse set of species (see [graphic][2]); making hydrocodone took 23 genes.\n\nTheir success, reported online this week in Science , caps a race to install the complex opioid pathway in yeast. Last year, Smolke's team reported engineering yeast to carry out the tail end of the process, going from thebaine to morphine. In April, Vincent Martin, a microbiologist at Concordia University in Montreal, Canada, and his colleagues said they had created yeast that could go from an earlier intermediate compound called R-reticuline to morphine. A few weeks later, John Dueber, a synthetic biologist at the University of California, Berkeley, and colleagues announced yeast that carries out most of the first half of the pathway, going from glucose to another intermediate compound, S-reticuline. Finally, two groups reported in late June that they had identified the long-sought enzyme needed to carry out the chemical transformation in the middle, S-reticuline to R-reticuline.\n\nEven so, many predicted it would take years to put all the pieces together. As it turns out, back in May, Smolke and her colleagues had already largely finished the task. “It shows this field is really moving fast,” says Kenneth Oye, a biotechnology policy expert at the Massachusetts Institute of Technology in Cambridge.\n\nThe most important challenge, Smolke says, was increasing the efficiency of each step so losses wouldn't build up. In one step, for example, a plant enzyme called SalSyn was doing a poor job of converting R-reticuline to another compound called salutaridine. Eventually, Smolke's team discovered that the yeast made the enzyme incorrectly, attaching the wrong sugars to it. The researchers fixed the problem by reengineering the inserted plant gene.\n\nSmolke plans to go on tinkering. The microbes need to increase output of thebaine by a factor of 100,000 for drug companies to be interested in using them to make medicines. That won't be easy. But Martin notes that researchers boosted the output of the artemisininmaking yeast by a similar amount. “It will happen,” he says. “The only question is how fast.” Smolke recently formed a company called Antheia, based in Palo Alto, that aims to push that pace.\n\nTo keep up with the yeast engineers, Oye says policy experts need to develop rules to limit the risk of unintended uses of engineered microbes. In the case of opiatemaking yeast, such rules might forbid developing strains to produce illicit drugs, such as heroin, and require scientists to build in genes that prevent the microbes from living outside of a controlled laboratory environment.\n\nNot everyone is worried about home-brewed opiates. Andrew Ellington, a synthetic biologist at the University of Texas, Austin, calls such fears “overblown.” The idea that producing vanishingly small quantities of opiates through fermentation is somehow going dwarf the problem of illegal drugs made from poppies is “laughable,” he says. But Martin disagrees. “Poppy fields are not readily available to someone in Chicago, whereas yeast can be made available to anyone.”\n\n [1]: pending:yes\n [2]: http://www.sciencemag.org/content/349/6249/677/F1.expansion.html\nPMID: 26273032","page":"677-677","source":"science.sciencemag.org","title":"Modified yeast produce opiates from sugar","volume":"349","author":[{"family":"Service","given":"Robert F.","multi":{"_key":{}}}],"issued":{"date-parts":[["2015",8,14]]},"seeAlso":[]}}],"schema":"https://github.com/citation-style-language/schema/raw/master/csl-citation.json"}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Robert F Service, ‘Modified Yeast Produce Opiates from Sugar’ (2015) 349 Science 677.</w:t>
      </w:r>
      <w:r w:rsidRPr="000C134C">
        <w:rPr>
          <w:kern w:val="18"/>
          <w:sz w:val="18"/>
          <w:szCs w:val="18"/>
          <w:lang w:val="en-GB"/>
        </w:rPr>
        <w:fldChar w:fldCharType="end"/>
      </w:r>
      <w:r w:rsidRPr="000C134C">
        <w:rPr>
          <w:kern w:val="18"/>
          <w:sz w:val="18"/>
          <w:szCs w:val="18"/>
          <w:lang w:val="en-GB"/>
        </w:rPr>
        <w:t xml:space="preserve"> But many more such examples exist including a similar process using yeast or </w:t>
      </w:r>
      <w:r w:rsidRPr="000C134C">
        <w:rPr>
          <w:i/>
          <w:kern w:val="18"/>
          <w:sz w:val="18"/>
          <w:szCs w:val="18"/>
          <w:lang w:val="en-GB"/>
        </w:rPr>
        <w:t>E.coli</w:t>
      </w:r>
      <w:r w:rsidRPr="000C134C">
        <w:rPr>
          <w:kern w:val="18"/>
          <w:sz w:val="18"/>
          <w:szCs w:val="18"/>
          <w:lang w:val="en-GB"/>
        </w:rPr>
        <w:t xml:space="preserve"> to produce the </w:t>
      </w:r>
      <w:proofErr w:type="spellStart"/>
      <w:r w:rsidRPr="000C134C">
        <w:rPr>
          <w:kern w:val="18"/>
          <w:sz w:val="18"/>
          <w:szCs w:val="18"/>
          <w:lang w:val="en-GB"/>
        </w:rPr>
        <w:t>flavor</w:t>
      </w:r>
      <w:proofErr w:type="spellEnd"/>
      <w:r w:rsidRPr="000C134C">
        <w:rPr>
          <w:kern w:val="18"/>
          <w:sz w:val="18"/>
          <w:szCs w:val="18"/>
          <w:lang w:val="en-GB"/>
        </w:rPr>
        <w:t xml:space="preserve"> and fragrance ingredient vanillin, which could include the use of a variety of genes or biosynthetic pathways from various donor organisms, including the vanilla orchid (</w:t>
      </w:r>
      <w:r w:rsidRPr="000C134C">
        <w:rPr>
          <w:i/>
          <w:kern w:val="18"/>
          <w:sz w:val="18"/>
          <w:szCs w:val="18"/>
          <w:lang w:val="en-GB"/>
        </w:rPr>
        <w:t xml:space="preserve">Vanilla </w:t>
      </w:r>
      <w:proofErr w:type="spellStart"/>
      <w:r w:rsidRPr="000C134C">
        <w:rPr>
          <w:i/>
          <w:kern w:val="18"/>
          <w:sz w:val="18"/>
          <w:szCs w:val="18"/>
          <w:lang w:val="en-GB"/>
        </w:rPr>
        <w:t>planifolia</w:t>
      </w:r>
      <w:proofErr w:type="spellEnd"/>
      <w:r w:rsidRPr="000C134C">
        <w:rPr>
          <w:kern w:val="18"/>
          <w:sz w:val="18"/>
          <w:szCs w:val="18"/>
          <w:lang w:val="en-GB"/>
        </w:rPr>
        <w:t xml:space="preserve">), humans or bacterial species, among others. See e.g. </w:t>
      </w:r>
      <w:r w:rsidRPr="000C134C">
        <w:rPr>
          <w:kern w:val="18"/>
          <w:sz w:val="18"/>
          <w:szCs w:val="18"/>
          <w:lang w:val="en-GB"/>
        </w:rPr>
        <w:fldChar w:fldCharType="begin"/>
      </w:r>
      <w:r w:rsidRPr="000C134C">
        <w:rPr>
          <w:kern w:val="18"/>
          <w:sz w:val="18"/>
          <w:szCs w:val="18"/>
          <w:lang w:val="en-GB"/>
        </w:rPr>
        <w:instrText xml:space="preserve"> ADDIN ZOTERO_ITEM CSL_CITATION {"citationID":"gioG6eYX","properties":{"formattedCitation":"Nethanji J Gallage and Birger Lindberg M\\uc0\\u248{}ller, \\uc0\\u8216{}Vanillin\\uc0\\u8212{}Bioconversion and Bioengineering of the Most Popular Plant Flavor and Its De Novo Biosynthesis in the Vanilla Orchid\\uc0\\u8217{} (2015) 8 Molecular Plant 40","plainCitation":"Nethanji J Gallage and Birger Lindberg Møller, ‘Vanillin—Bioconversion and Bioengineering of the Most Popular Plant Flavor and Its De Novo Biosynthesis in the Vanilla Orchid’ (2015) 8 Molecular Plant 40","noteIndex":151,"suppress-trailing-punctuation":true},"citationItems":[{"id":297,"uris":["http://zotero.org/users/local/dU5rpCrq/items/LNEF94FX"],"uri":["http://zotero.org/users/local/dU5rpCrq/items/LNEF94FX"],"itemData":{"id":297,"type":"article-journal","multi":{"main":{},"_keys":{}},"container-title":"Molecular Plant","page":"40–57","title":"Vanillin—Bioconversion and Bioengineering of the Most Popular Plant Flavor and Its De Novo Biosynthesis in the Vanilla Orchid","volume":"8","author":[{"family":"Gallage","given":"Nethanji J.","multi":{"_key":{}}},{"family":"Møller","given":"Birger Lindberg","multi":{"_key":{}}}],"issued":{"date-parts":[["2015"]]},"seeAlso":[]}}],"schema":"https://github.com/citation-style-language/schema/raw/master/csl-citation.json"}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Nethanji J Gallage and Birger Lindberg Møller, ‘Vanillin—Bioconversion and Bioengineering of the Most Popular Plant Flavor and Its De Novo Biosynthesis in the Vanilla Orchid’ (2015) 8 Molecular Plant 40</w:t>
      </w:r>
      <w:r w:rsidRPr="000C134C">
        <w:rPr>
          <w:kern w:val="18"/>
          <w:sz w:val="18"/>
          <w:szCs w:val="18"/>
          <w:lang w:val="en-GB"/>
        </w:rPr>
        <w:fldChar w:fldCharType="end"/>
      </w:r>
      <w:r w:rsidRPr="000C134C">
        <w:rPr>
          <w:kern w:val="18"/>
          <w:sz w:val="18"/>
          <w:szCs w:val="18"/>
          <w:lang w:val="en-GB"/>
        </w:rPr>
        <w:t xml:space="preserve">, in which the authors also note at 53 “An entirely new opportunity for biotechnology-based production of natural vanillin may arise from the recent identification of the vanillin synthase enzyme </w:t>
      </w:r>
      <w:proofErr w:type="spellStart"/>
      <w:r w:rsidRPr="000C134C">
        <w:rPr>
          <w:kern w:val="18"/>
          <w:sz w:val="18"/>
          <w:szCs w:val="18"/>
          <w:lang w:val="en-GB"/>
        </w:rPr>
        <w:t>VpVAN</w:t>
      </w:r>
      <w:proofErr w:type="spellEnd"/>
      <w:r w:rsidRPr="000C134C">
        <w:rPr>
          <w:kern w:val="18"/>
          <w:sz w:val="18"/>
          <w:szCs w:val="18"/>
          <w:lang w:val="en-GB"/>
        </w:rPr>
        <w:t xml:space="preserve"> from the vanilla orchid, </w:t>
      </w:r>
      <w:r w:rsidRPr="000C134C">
        <w:rPr>
          <w:i/>
          <w:kern w:val="18"/>
          <w:sz w:val="18"/>
          <w:szCs w:val="18"/>
          <w:lang w:val="en-GB"/>
        </w:rPr>
        <w:t xml:space="preserve">Vanilla </w:t>
      </w:r>
      <w:proofErr w:type="spellStart"/>
      <w:r w:rsidRPr="000C134C">
        <w:rPr>
          <w:i/>
          <w:kern w:val="18"/>
          <w:sz w:val="18"/>
          <w:szCs w:val="18"/>
          <w:lang w:val="en-GB"/>
        </w:rPr>
        <w:t>planifolia</w:t>
      </w:r>
      <w:proofErr w:type="spellEnd"/>
      <w:r w:rsidRPr="000C134C">
        <w:rPr>
          <w:kern w:val="18"/>
          <w:sz w:val="18"/>
          <w:szCs w:val="18"/>
          <w:lang w:val="en-GB"/>
        </w:rPr>
        <w:t xml:space="preserve"> </w:t>
      </w:r>
      <w:r w:rsidRPr="000C134C">
        <w:rPr>
          <w:bCs/>
          <w:kern w:val="18"/>
          <w:sz w:val="18"/>
          <w:szCs w:val="18"/>
          <w:u w:val="single"/>
          <w:lang w:val="en-GB"/>
        </w:rPr>
        <w:t>and from ground ivy (</w:t>
      </w:r>
      <w:r w:rsidRPr="000C134C">
        <w:rPr>
          <w:i/>
          <w:kern w:val="18"/>
          <w:sz w:val="18"/>
          <w:szCs w:val="18"/>
          <w:u w:val="single"/>
          <w:lang w:val="en-GB"/>
        </w:rPr>
        <w:t>Glechoma hederacea</w:t>
      </w:r>
      <w:r w:rsidRPr="000C134C">
        <w:rPr>
          <w:bCs/>
          <w:kern w:val="18"/>
          <w:sz w:val="18"/>
          <w:szCs w:val="18"/>
          <w:u w:val="single"/>
          <w:lang w:val="en-GB"/>
        </w:rPr>
        <w:t>)</w:t>
      </w:r>
      <w:r w:rsidRPr="000C134C">
        <w:rPr>
          <w:kern w:val="18"/>
          <w:sz w:val="18"/>
          <w:szCs w:val="18"/>
          <w:lang w:val="en-GB"/>
        </w:rPr>
        <w:t xml:space="preserve">” (emphasis added). See also </w:t>
      </w:r>
      <w:r w:rsidRPr="000C134C">
        <w:rPr>
          <w:kern w:val="18"/>
          <w:sz w:val="18"/>
          <w:szCs w:val="18"/>
          <w:lang w:val="en-GB"/>
        </w:rPr>
        <w:fldChar w:fldCharType="begin"/>
      </w:r>
      <w:r w:rsidRPr="000C134C">
        <w:rPr>
          <w:kern w:val="18"/>
          <w:sz w:val="18"/>
          <w:szCs w:val="18"/>
          <w:lang w:val="en-GB"/>
        </w:rPr>
        <w:instrText xml:space="preserve"> ADDIN ZOTERO_ITEM CSL_CITATION {"citationID":"vHidl1iy","properties":{"formattedCitation":"Prashanth Srinivasan and Christina D Smolke, \\uc0\\u8216{}Engineering a Microbial Biosynthesis Platform for de Novo Production of Tropane Alkaloids\\uc0\\u8217{} (2019) 10 Nature Communications 3634","plainCitation":"Prashanth Srinivasan and Christina D Smolke, ‘Engineering a Microbial Biosynthesis Platform for de Novo Production of Tropane Alkaloids’ (2019) 10 Nature Communications 3634","noteIndex":151,"suppress-trailing-punctuation":true},"citationItems":[{"id":572,"uris":["http://zotero.org/users/local/dU5rpCrq/items/4TJ7Z3DL"],"uri":["http://zotero.org/users/local/dU5rpCrq/items/4TJ7Z3DL"],"itemData":{"id":572,"type":"article-journal","multi":{"main":{},"_keys":{}},"abstract":"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sources.","container-title":"Nature Communications","DOI":"10.1038/s41467-019-11588-w","ISSN":"2041-1723","language":"en","note":"Tropane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sources.","page":"3634","source":"www.nature.com","title":"Engineering a microbial biosynthesis platform for de novo production of tropane alkaloids","volume":"10","author":[{"family":"Srinivasan","given":"Prashanth","multi":{"_key":{}}},{"family":"Smolke","given":"Christina D.","multi":{"_key":{}}}],"issued":{"date-parts":[["2019",12,8]]},"seeAlso":[]}}],"schema":"https://github.com/citation-style-language/schema/raw/master/csl-citation.json"}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Prashanth Srinivasan and Christina D Smolke, ‘Engineering a Microbial Biosynthesis Platform for de Novo Production of Tropane Alkaloids’ (2019) 10 Nature Communications 3634</w:t>
      </w:r>
      <w:r w:rsidRPr="000C134C">
        <w:rPr>
          <w:kern w:val="18"/>
          <w:sz w:val="18"/>
          <w:szCs w:val="18"/>
          <w:lang w:val="en-GB"/>
        </w:rPr>
        <w:fldChar w:fldCharType="end"/>
      </w:r>
      <w:r w:rsidRPr="000C134C">
        <w:rPr>
          <w:kern w:val="18"/>
          <w:sz w:val="18"/>
          <w:szCs w:val="18"/>
          <w:lang w:val="en-GB"/>
        </w:rPr>
        <w:t>, which describes “de novo production of tropine, a key intermediate in the biosynthetic pathway of medicinal Tropine alkaloids such as scopolamine, from simple carbon and nitrogen sources in yeast (Saccharomyces cerevisiae). Our engineered strain incorporates 15 additional genes, including 11 derived from diverse plants and bacteria”).</w:t>
      </w:r>
    </w:p>
  </w:footnote>
  <w:footnote w:id="156">
    <w:p w14:paraId="2D16FECE" w14:textId="61B632A5" w:rsidR="007511AF" w:rsidRPr="000C134C" w:rsidRDefault="007511AF" w:rsidP="00F43F79">
      <w:pPr>
        <w:spacing w:before="20" w:after="20"/>
        <w:ind w:left="284" w:hanging="288"/>
        <w:rPr>
          <w:rFonts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kern w:val="18"/>
          <w:sz w:val="18"/>
          <w:szCs w:val="18"/>
          <w:lang w:val="en-GB"/>
        </w:rPr>
        <w:fldChar w:fldCharType="begin"/>
      </w:r>
      <w:r w:rsidRPr="000C134C">
        <w:rPr>
          <w:rFonts w:cs="Times New Roman"/>
          <w:kern w:val="18"/>
          <w:sz w:val="18"/>
          <w:szCs w:val="18"/>
          <w:lang w:val="en-GB"/>
        </w:rPr>
        <w:instrText xml:space="preserve"> ADDIN ZOTERO_ITEM CSL_CITATION {"citationID":"Uhe42Zis","properties":{"formattedCitation":"Tae Seok Moon and others, \\uc0\\u8216{}Production of Glucaric Acid from a Synthetic Pathway in Recombinant Escherichia Coli\\uc0\\u8217{} (2009) 75 Applied and Environmental Microbiology 589.","plainCitation":"Tae Seok Moon and others, ‘Production of Glucaric Acid from a Synthetic Pathway in Recombinant Escherichia Coli’ (2009) 75 Applied and Environmental Microbiology 589.","noteIndex":152},"citationItems":[{"id":575,"uris":["http://zotero.org/users/local/dU5rpCrq/items/3APQJL65"],"uri":["http://zotero.org/users/local/dU5rpCrq/items/3APQJL65"],"itemData":{"id":575,"type":"article-journal","multi":{"main":{},"_keys":{}},"abstract":"A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0C134C">
        <w:rPr>
          <w:rFonts w:cs="Times New Roman"/>
          <w:kern w:val="18"/>
          <w:sz w:val="18"/>
          <w:szCs w:val="18"/>
          <w:lang w:val="en-GB"/>
        </w:rPr>
        <w:fldChar w:fldCharType="separate"/>
      </w:r>
      <w:r w:rsidRPr="000C134C">
        <w:rPr>
          <w:rFonts w:cs="Times New Roman"/>
          <w:kern w:val="18"/>
          <w:sz w:val="18"/>
          <w:szCs w:val="18"/>
          <w:lang w:val="en-GB"/>
        </w:rPr>
        <w:t>Tae Seok Moon and others, ‘Production of Glucaric Acid from a Synthetic Pathway in Recombinant Escherichia Coli’ (2009) 75 Applied and Environmental Microbiology 589.</w:t>
      </w:r>
      <w:r w:rsidRPr="000C134C">
        <w:rPr>
          <w:rFonts w:cs="Times New Roman"/>
          <w:kern w:val="18"/>
          <w:sz w:val="18"/>
          <w:szCs w:val="18"/>
          <w:lang w:val="en-GB"/>
        </w:rPr>
        <w:fldChar w:fldCharType="end"/>
      </w:r>
    </w:p>
  </w:footnote>
  <w:footnote w:id="157">
    <w:p w14:paraId="6639EDBD" w14:textId="4180937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xG09x488","properties":{"formattedCitation":"ibid.","plainCitation":"ibid.","noteIndex":153},"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p>
  </w:footnote>
  <w:footnote w:id="158">
    <w:p w14:paraId="594FDDF4" w14:textId="7CA5E536"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iPPNWfVs","properties":{"formattedCitation":"ibid.","plainCitation":"ibid.","noteIndex":154},"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0C134C">
        <w:rPr>
          <w:kern w:val="18"/>
          <w:sz w:val="18"/>
          <w:szCs w:val="18"/>
          <w:lang w:val="en-GB"/>
        </w:rPr>
        <w:fldChar w:fldCharType="separate"/>
      </w:r>
      <w:r w:rsidR="0089427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r w:rsidRPr="000C134C">
        <w:rPr>
          <w:kern w:val="18"/>
          <w:sz w:val="18"/>
          <w:szCs w:val="18"/>
          <w:lang w:val="en-GB"/>
        </w:rPr>
        <w:t xml:space="preserve"> The authors explained:</w:t>
      </w:r>
    </w:p>
    <w:p w14:paraId="576261BF" w14:textId="137ABACA" w:rsidR="007511AF" w:rsidRPr="000C134C" w:rsidRDefault="007511AF" w:rsidP="00F43F79">
      <w:pPr>
        <w:pStyle w:val="FootnoteText"/>
        <w:spacing w:before="20" w:after="20"/>
        <w:ind w:left="284" w:right="720" w:hanging="288"/>
        <w:rPr>
          <w:kern w:val="18"/>
          <w:sz w:val="18"/>
          <w:szCs w:val="18"/>
          <w:lang w:val="en-GB"/>
        </w:rPr>
      </w:pPr>
      <w:r w:rsidRPr="000C134C">
        <w:rPr>
          <w:kern w:val="18"/>
          <w:sz w:val="18"/>
          <w:szCs w:val="18"/>
          <w:lang w:val="en-GB"/>
        </w:rPr>
        <w:t xml:space="preserve"> The use of… [Ino1] from Saccharomyces cerevisiae to produce high concentrations of myo-inositol through E. coli fermentation [had] been previously reported…. MIOX is a protein of primarily eukaryotic origin, and the homologues from humans, mice, rats, and pigs are the ones that have been best characterized. The mouse version of [MIOX] had been found to have the most </w:t>
      </w:r>
      <w:proofErr w:type="spellStart"/>
      <w:r w:rsidRPr="000C134C">
        <w:rPr>
          <w:kern w:val="18"/>
          <w:sz w:val="18"/>
          <w:szCs w:val="18"/>
          <w:lang w:val="en-GB"/>
        </w:rPr>
        <w:t>favorable</w:t>
      </w:r>
      <w:proofErr w:type="spellEnd"/>
      <w:r w:rsidRPr="000C134C">
        <w:rPr>
          <w:kern w:val="18"/>
          <w:sz w:val="18"/>
          <w:szCs w:val="18"/>
          <w:lang w:val="en-GB"/>
        </w:rPr>
        <w:t xml:space="preserve"> properties upon expression in E. coli and was chosen for investigation. A synthetic version of the gene was purchased from DNA 2.0, with codon optimization for E. coli…. We recently cloned and characterized the gene encoding </w:t>
      </w:r>
      <w:proofErr w:type="spellStart"/>
      <w:r w:rsidRPr="000C134C">
        <w:rPr>
          <w:kern w:val="18"/>
          <w:sz w:val="18"/>
          <w:szCs w:val="18"/>
          <w:lang w:val="en-GB"/>
        </w:rPr>
        <w:t>udh</w:t>
      </w:r>
      <w:proofErr w:type="spellEnd"/>
      <w:r w:rsidRPr="000C134C">
        <w:rPr>
          <w:kern w:val="18"/>
          <w:sz w:val="18"/>
          <w:szCs w:val="18"/>
          <w:lang w:val="en-GB"/>
        </w:rPr>
        <w:t xml:space="preserve"> activity from Pseudomonas </w:t>
      </w:r>
      <w:proofErr w:type="spellStart"/>
      <w:r w:rsidRPr="000C134C">
        <w:rPr>
          <w:kern w:val="18"/>
          <w:sz w:val="18"/>
          <w:szCs w:val="18"/>
          <w:lang w:val="en-GB"/>
        </w:rPr>
        <w:t>syringae</w:t>
      </w:r>
      <w:proofErr w:type="spellEnd"/>
      <w:r w:rsidRPr="000C134C">
        <w:rPr>
          <w:kern w:val="18"/>
          <w:sz w:val="18"/>
          <w:szCs w:val="18"/>
          <w:lang w:val="en-GB"/>
        </w:rPr>
        <w:t xml:space="preserve"> </w:t>
      </w:r>
      <w:proofErr w:type="spellStart"/>
      <w:r w:rsidRPr="000C134C">
        <w:rPr>
          <w:kern w:val="18"/>
          <w:sz w:val="18"/>
          <w:szCs w:val="18"/>
          <w:lang w:val="en-GB"/>
        </w:rPr>
        <w:t>pv</w:t>
      </w:r>
      <w:proofErr w:type="spellEnd"/>
      <w:r w:rsidRPr="000C134C">
        <w:rPr>
          <w:kern w:val="18"/>
          <w:sz w:val="18"/>
          <w:szCs w:val="18"/>
          <w:lang w:val="en-GB"/>
        </w:rPr>
        <w:t xml:space="preserve">. tomato DC3000. The </w:t>
      </w:r>
      <w:proofErr w:type="spellStart"/>
      <w:r w:rsidRPr="000C134C">
        <w:rPr>
          <w:kern w:val="18"/>
          <w:sz w:val="18"/>
          <w:szCs w:val="18"/>
          <w:lang w:val="en-GB"/>
        </w:rPr>
        <w:t>udh</w:t>
      </w:r>
      <w:proofErr w:type="spellEnd"/>
      <w:r w:rsidRPr="000C134C">
        <w:rPr>
          <w:kern w:val="18"/>
          <w:sz w:val="18"/>
          <w:szCs w:val="18"/>
          <w:lang w:val="en-GB"/>
        </w:rPr>
        <w:t xml:space="preserve"> gene was found to be very well expressed in E. coli, resulting in high enzyme activities.” The original characterization of the enzymes required physical material but after characterization </w:t>
      </w:r>
      <w:r w:rsidRPr="000C134C">
        <w:rPr>
          <w:kern w:val="18"/>
          <w:sz w:val="18"/>
          <w:szCs w:val="18"/>
          <w:u w:val="single"/>
          <w:lang w:val="en-GB"/>
        </w:rPr>
        <w:t>no physical material was required</w:t>
      </w:r>
      <w:r w:rsidRPr="000C134C">
        <w:rPr>
          <w:kern w:val="18"/>
          <w:sz w:val="18"/>
          <w:szCs w:val="18"/>
          <w:lang w:val="en-GB"/>
        </w:rPr>
        <w:t xml:space="preserve">.  </w:t>
      </w:r>
    </w:p>
    <w:p w14:paraId="3DDE4246" w14:textId="63F57EEC" w:rsidR="007511AF" w:rsidRPr="000C134C" w:rsidRDefault="007511AF" w:rsidP="00F43F79">
      <w:pPr>
        <w:pStyle w:val="FootnoteText"/>
        <w:spacing w:before="20" w:after="20"/>
        <w:ind w:left="284" w:hanging="288"/>
        <w:rPr>
          <w:kern w:val="18"/>
          <w:sz w:val="18"/>
          <w:szCs w:val="18"/>
          <w:lang w:val="en-GB"/>
        </w:rPr>
      </w:pPr>
      <w:r w:rsidRPr="000C134C">
        <w:rPr>
          <w:kern w:val="18"/>
          <w:sz w:val="18"/>
          <w:szCs w:val="18"/>
          <w:lang w:val="en-GB"/>
        </w:rPr>
        <w:t xml:space="preserve">(emphasis added). See also Patent SU1753949A3, which describes a method for producing 2-keto-d-glucaric acid and uses the non-model organism </w:t>
      </w:r>
      <w:proofErr w:type="spellStart"/>
      <w:r w:rsidRPr="000C134C">
        <w:rPr>
          <w:i/>
          <w:kern w:val="18"/>
          <w:sz w:val="18"/>
          <w:szCs w:val="18"/>
          <w:lang w:val="en-GB"/>
        </w:rPr>
        <w:t>Pseudogluconobacter</w:t>
      </w:r>
      <w:proofErr w:type="spellEnd"/>
      <w:r w:rsidRPr="000C134C">
        <w:rPr>
          <w:i/>
          <w:kern w:val="18"/>
          <w:sz w:val="18"/>
          <w:szCs w:val="18"/>
          <w:lang w:val="en-GB"/>
        </w:rPr>
        <w:t xml:space="preserve"> </w:t>
      </w:r>
      <w:proofErr w:type="spellStart"/>
      <w:r w:rsidRPr="000C134C">
        <w:rPr>
          <w:i/>
          <w:kern w:val="18"/>
          <w:sz w:val="18"/>
          <w:szCs w:val="18"/>
          <w:lang w:val="en-GB"/>
        </w:rPr>
        <w:t>saccharoketogenes</w:t>
      </w:r>
      <w:proofErr w:type="spellEnd"/>
      <w:r w:rsidRPr="000C134C">
        <w:rPr>
          <w:kern w:val="18"/>
          <w:sz w:val="18"/>
          <w:szCs w:val="18"/>
          <w:lang w:val="en-GB"/>
        </w:rPr>
        <w:t xml:space="preserve"> for production of the d-glucaric acid.</w:t>
      </w:r>
    </w:p>
  </w:footnote>
  <w:footnote w:id="159">
    <w:p w14:paraId="5E2E88F4" w14:textId="252C20BA"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{"citationID":"oGIKrAPR","properties":{"formattedCitation":"Houssen and others (n 148)","plainCitation":"Houssen and others (n 148)","noteIndex":155,"suppress-trailing-punctuation":true},"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Houssen and others (n 148)</w:t>
      </w:r>
      <w:r w:rsidRPr="000C134C">
        <w:rPr>
          <w:kern w:val="18"/>
          <w:sz w:val="18"/>
          <w:szCs w:val="18"/>
          <w:lang w:val="en-GB"/>
        </w:rPr>
        <w:fldChar w:fldCharType="end"/>
      </w:r>
      <w:r w:rsidRPr="000C134C">
        <w:rPr>
          <w:kern w:val="18"/>
          <w:sz w:val="18"/>
          <w:szCs w:val="18"/>
          <w:lang w:val="en-GB"/>
        </w:rPr>
        <w:t xml:space="preserve"> citing </w:t>
      </w:r>
      <w:r w:rsidRPr="000C134C">
        <w:rPr>
          <w:kern w:val="18"/>
          <w:sz w:val="18"/>
          <w:szCs w:val="18"/>
          <w:lang w:val="en-GB"/>
        </w:rPr>
        <w:fldChar w:fldCharType="begin"/>
      </w:r>
      <w:r w:rsidRPr="000C134C">
        <w:rPr>
          <w:kern w:val="18"/>
          <w:sz w:val="18"/>
          <w:szCs w:val="18"/>
          <w:lang w:val="en-GB"/>
        </w:rPr>
        <w:instrText xml:space="preserve"> ADDIN ZOTERO_ITEM CSL_CITATION {"citationID":"6sduUw4E","properties":{"formattedCitation":"Toby H Richardson and others, \\uc0\\u8216{}A Novel, High Performance Enzyme for Starch Liquefaction. Discovery and Optimization of a Low PH, Thermostable Alpha-Amylase\\uc0\\u8217{} (2002) 277 The Journal of Biological Chemistry 26501.","plainCitation":"Toby H Richardson and others, ‘A Novel, High Performance Enzyme for Starch Liquefaction. Discovery and Optimization of a Low PH, Thermostable Alpha-Amylase’ (2002) 277 The Journal of Biological Chemistry 26501.","noteIndex":155},"citationItems":[{"id":578,"uris":["http://zotero.org/users/local/dU5rpCrq/items/2UXFCDEA"],"uri":["http://zotero.org/users/local/dU5rpCrq/items/2UXFCDEA"],"itemData":{"id":578,"type":"article-journal","multi":{"main":{},"_keys":{}},"abstract":"High throughput screening of microbial DNA libraries was used to identify alpha-amylases with phenotypic characteristics compatible with large scale corn wet milling process conditions. Single and multiorganism DNA libraries originating from various environments were targeted for activity and sequence-based screening approaches. After initial screening, 15 clones were designated as primary hits based upon activity at pH 4.5 or 95 degrees C without addition of endogenous Ca(2+). After further characterization, three enzyme candidates were chosen each with an exceptional expression of one or more aspects of the necessary phenotype: temperature stability, pH optimum, lowered reliance on Ca(2+) and/or enzyme rate. To combine the best aspects of the three phenotypes to optimize process compatibility, the natural gene homologues were used as a parental sequence set for gene reassembly. Approximately 21,000 chimeric daughter sequences were generated and subsets screened using a process-specific, high throughput activity assay. Gene reassembly resulted in numerous improved mutants with combined optimal phenotypes of expression, temperature stability, and pH optimum. After biochemical and process-specific characterization of these gene products, one alpha-amylase with exceptional process compatibility and economics was identified. This paper describes the synergistic approach of combining environmental discovery and laboratory evolution for identification and optimization of industrially important biocatalysts.","container-title":"The Journal of Biological Chemistry","DOI":"10.1074/jbc.M203183200","ISSN":"0021-9258","issue":"29","language":"eng","note":"PMID: 11994309","page":"26501-26507","source":"PubMed","title":"A novel, high performance enzyme for starch liquefaction. Discovery and optimization of a low pH, thermostable alpha-amylase","volume":"277","author":[{"family":"Richardson","given":"Toby H.","multi":{"_key":{}}},{"family":"Tan","given":"Xuqiu","multi":{"_key":{}}},{"family":"Frey","given":"Gerhard","multi":{"_key":{}}},{"family":"Callen","given":"Walter","multi":{"_key":{}}},{"family":"Cabell","given":"Mark","multi":{"_key":{}}},{"family":"Lam","given":"David","multi":{"_key":{}}},{"family":"Macomber","given":"John","multi":{"_key":{}}},{"family":"Short","given":"Jay M.","multi":{"_key":{}}},{"family":"Robertson","given":"Dan E.","multi":{"_key":{}}},{"family":"Miller","given":"Carl","multi":{"_key":{}}}],"issued":{"date-parts":[["2002",7,19]]},"seeAlso":[]}}],"schema":"https://github.com/citation-style-language/schema/raw/master/csl-citation.json"}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Toby H Richardson and others, ‘A Novel, High Performance Enzyme for Starch Liquefaction. Discovery and Optimization of a Low PH, Thermostable Alpha-Amylase’ (2002) 277 The Journal of Biological Chemistry 26501.</w:t>
      </w:r>
      <w:r w:rsidRPr="000C134C">
        <w:rPr>
          <w:kern w:val="18"/>
          <w:sz w:val="18"/>
          <w:szCs w:val="18"/>
          <w:lang w:val="en-GB"/>
        </w:rPr>
        <w:fldChar w:fldCharType="end"/>
      </w:r>
      <w:r w:rsidRPr="000C134C">
        <w:rPr>
          <w:kern w:val="18"/>
          <w:sz w:val="18"/>
          <w:szCs w:val="18"/>
          <w:lang w:val="en-GB"/>
        </w:rPr>
        <w:t xml:space="preserve"> </w:t>
      </w:r>
    </w:p>
  </w:footnote>
  <w:footnote w:id="160">
    <w:p w14:paraId="625540C0" w14:textId="3F8F5C87" w:rsidR="007511AF" w:rsidRPr="000C134C" w:rsidRDefault="007511AF" w:rsidP="00F43F79">
      <w:pPr>
        <w:spacing w:before="20" w:after="20"/>
        <w:ind w:left="284" w:hanging="288"/>
        <w:rPr>
          <w:rFonts w:eastAsia="Times New Roman" w:cs="Times New Roman"/>
          <w:color w:val="000000"/>
          <w:kern w:val="18"/>
          <w:sz w:val="18"/>
          <w:szCs w:val="18"/>
          <w:lang w:val="en-GB"/>
        </w:rPr>
      </w:pPr>
      <w:r w:rsidRPr="000C134C">
        <w:rPr>
          <w:rStyle w:val="FootnoteReference"/>
          <w:rFonts w:cs="Times New Roman"/>
          <w:color w:val="000000"/>
          <w:kern w:val="18"/>
          <w:sz w:val="18"/>
          <w:szCs w:val="18"/>
          <w:lang w:val="en-GB"/>
        </w:rPr>
        <w:footnoteRef/>
      </w:r>
      <w:r w:rsidRPr="000C134C">
        <w:rPr>
          <w:rFonts w:cs="Times New Roman"/>
          <w:color w:val="000000"/>
          <w:kern w:val="18"/>
          <w:sz w:val="18"/>
          <w:szCs w:val="18"/>
          <w:lang w:val="en-GB"/>
        </w:rPr>
        <w:t xml:space="preserve"> </w:t>
      </w:r>
      <w:r w:rsidRPr="000C134C">
        <w:rPr>
          <w:rFonts w:eastAsia="Times New Roman" w:cs="Times New Roman"/>
          <w:color w:val="000000"/>
          <w:kern w:val="18"/>
          <w:sz w:val="18"/>
          <w:szCs w:val="18"/>
          <w:shd w:val="clear" w:color="auto" w:fill="FFFFFF"/>
          <w:lang w:val="en-GB"/>
        </w:rPr>
        <w:t xml:space="preserve">Ghosh IN, </w:t>
      </w:r>
      <w:proofErr w:type="spellStart"/>
      <w:r w:rsidRPr="000C134C">
        <w:rPr>
          <w:rFonts w:eastAsia="Times New Roman" w:cs="Times New Roman"/>
          <w:color w:val="000000"/>
          <w:kern w:val="18"/>
          <w:sz w:val="18"/>
          <w:szCs w:val="18"/>
          <w:shd w:val="clear" w:color="auto" w:fill="FFFFFF"/>
          <w:lang w:val="en-GB"/>
        </w:rPr>
        <w:t>Martien</w:t>
      </w:r>
      <w:proofErr w:type="spellEnd"/>
      <w:r w:rsidRPr="000C134C">
        <w:rPr>
          <w:rFonts w:eastAsia="Times New Roman" w:cs="Times New Roman"/>
          <w:color w:val="000000"/>
          <w:kern w:val="18"/>
          <w:sz w:val="18"/>
          <w:szCs w:val="18"/>
          <w:shd w:val="clear" w:color="auto" w:fill="FFFFFF"/>
          <w:lang w:val="en-GB"/>
        </w:rPr>
        <w:t xml:space="preserve"> J, Hebert AS, et al. </w:t>
      </w:r>
      <w:proofErr w:type="spellStart"/>
      <w:r w:rsidRPr="000C134C">
        <w:rPr>
          <w:rFonts w:eastAsia="Times New Roman" w:cs="Times New Roman"/>
          <w:color w:val="000000"/>
          <w:kern w:val="18"/>
          <w:sz w:val="18"/>
          <w:szCs w:val="18"/>
          <w:shd w:val="clear" w:color="auto" w:fill="FFFFFF"/>
          <w:lang w:val="en-GB"/>
        </w:rPr>
        <w:t>OptSSeq</w:t>
      </w:r>
      <w:proofErr w:type="spellEnd"/>
      <w:r w:rsidRPr="000C134C">
        <w:rPr>
          <w:rFonts w:eastAsia="Times New Roman" w:cs="Times New Roman"/>
          <w:color w:val="000000"/>
          <w:kern w:val="18"/>
          <w:sz w:val="18"/>
          <w:szCs w:val="18"/>
          <w:shd w:val="clear" w:color="auto" w:fill="FFFFFF"/>
          <w:lang w:val="en-GB"/>
        </w:rPr>
        <w:t xml:space="preserve"> explores enzyme expression and function landscapes to maximize </w:t>
      </w:r>
      <w:proofErr w:type="spellStart"/>
      <w:r w:rsidRPr="000C134C">
        <w:rPr>
          <w:rFonts w:eastAsia="Times New Roman" w:cs="Times New Roman"/>
          <w:color w:val="000000"/>
          <w:kern w:val="18"/>
          <w:sz w:val="18"/>
          <w:szCs w:val="18"/>
          <w:shd w:val="clear" w:color="auto" w:fill="FFFFFF"/>
          <w:lang w:val="en-GB"/>
        </w:rPr>
        <w:t>isobutanol</w:t>
      </w:r>
      <w:proofErr w:type="spellEnd"/>
      <w:r w:rsidRPr="000C134C">
        <w:rPr>
          <w:rFonts w:eastAsia="Times New Roman" w:cs="Times New Roman"/>
          <w:color w:val="000000"/>
          <w:kern w:val="18"/>
          <w:sz w:val="18"/>
          <w:szCs w:val="18"/>
          <w:shd w:val="clear" w:color="auto" w:fill="FFFFFF"/>
          <w:lang w:val="en-GB"/>
        </w:rPr>
        <w:t xml:space="preserve"> production rate. </w:t>
      </w:r>
      <w:proofErr w:type="spellStart"/>
      <w:r w:rsidRPr="000C134C">
        <w:rPr>
          <w:rFonts w:eastAsia="Times New Roman" w:cs="Times New Roman"/>
          <w:i/>
          <w:iCs/>
          <w:color w:val="000000"/>
          <w:kern w:val="18"/>
          <w:sz w:val="18"/>
          <w:szCs w:val="18"/>
          <w:shd w:val="clear" w:color="auto" w:fill="FFFFFF"/>
          <w:lang w:val="en-GB"/>
        </w:rPr>
        <w:t>Metab</w:t>
      </w:r>
      <w:proofErr w:type="spellEnd"/>
      <w:r w:rsidRPr="000C134C">
        <w:rPr>
          <w:rFonts w:eastAsia="Times New Roman" w:cs="Times New Roman"/>
          <w:i/>
          <w:iCs/>
          <w:color w:val="000000"/>
          <w:kern w:val="18"/>
          <w:sz w:val="18"/>
          <w:szCs w:val="18"/>
          <w:shd w:val="clear" w:color="auto" w:fill="FFFFFF"/>
          <w:lang w:val="en-GB"/>
        </w:rPr>
        <w:t xml:space="preserve"> Eng</w:t>
      </w:r>
      <w:r w:rsidRPr="000C134C">
        <w:rPr>
          <w:rFonts w:eastAsia="Times New Roman" w:cs="Times New Roman"/>
          <w:color w:val="000000"/>
          <w:kern w:val="18"/>
          <w:sz w:val="18"/>
          <w:szCs w:val="18"/>
          <w:shd w:val="clear" w:color="auto" w:fill="FFFFFF"/>
          <w:lang w:val="en-GB"/>
        </w:rPr>
        <w:t xml:space="preserve">. </w:t>
      </w:r>
      <w:proofErr w:type="gramStart"/>
      <w:r w:rsidRPr="000C134C">
        <w:rPr>
          <w:rFonts w:eastAsia="Times New Roman" w:cs="Times New Roman"/>
          <w:color w:val="000000"/>
          <w:kern w:val="18"/>
          <w:sz w:val="18"/>
          <w:szCs w:val="18"/>
          <w:shd w:val="clear" w:color="auto" w:fill="FFFFFF"/>
          <w:lang w:val="en-GB"/>
        </w:rPr>
        <w:t>2019;52:324</w:t>
      </w:r>
      <w:proofErr w:type="gramEnd"/>
      <w:r w:rsidRPr="000C134C">
        <w:rPr>
          <w:rFonts w:eastAsia="Times New Roman" w:cs="Times New Roman"/>
          <w:color w:val="000000"/>
          <w:kern w:val="18"/>
          <w:sz w:val="18"/>
          <w:szCs w:val="18"/>
          <w:shd w:val="clear" w:color="auto" w:fill="FFFFFF"/>
          <w:lang w:val="en-GB"/>
        </w:rPr>
        <w:t xml:space="preserve">‐340. </w:t>
      </w:r>
      <w:proofErr w:type="gramStart"/>
      <w:r w:rsidRPr="000C134C">
        <w:rPr>
          <w:rFonts w:eastAsia="Times New Roman" w:cs="Times New Roman"/>
          <w:color w:val="000000"/>
          <w:kern w:val="18"/>
          <w:sz w:val="18"/>
          <w:szCs w:val="18"/>
          <w:shd w:val="clear" w:color="auto" w:fill="FFFFFF"/>
          <w:lang w:val="en-GB"/>
        </w:rPr>
        <w:t>doi:10.1016/j.ymben</w:t>
      </w:r>
      <w:proofErr w:type="gramEnd"/>
      <w:r w:rsidRPr="000C134C">
        <w:rPr>
          <w:rFonts w:eastAsia="Times New Roman" w:cs="Times New Roman"/>
          <w:color w:val="000000"/>
          <w:kern w:val="18"/>
          <w:sz w:val="18"/>
          <w:szCs w:val="18"/>
          <w:shd w:val="clear" w:color="auto" w:fill="FFFFFF"/>
          <w:lang w:val="en-GB"/>
        </w:rPr>
        <w:t>.2018.12.008.</w:t>
      </w:r>
    </w:p>
  </w:footnote>
  <w:footnote w:id="161">
    <w:p w14:paraId="7BA1E00A" w14:textId="77777777" w:rsidR="007511AF" w:rsidRPr="000C134C" w:rsidRDefault="007511AF" w:rsidP="00F43F79">
      <w:pPr>
        <w:pStyle w:val="FootnoteText"/>
        <w:spacing w:before="20" w:after="20"/>
        <w:ind w:left="284" w:hanging="288"/>
        <w:rPr>
          <w:color w:val="000000"/>
          <w:kern w:val="18"/>
          <w:sz w:val="18"/>
          <w:szCs w:val="18"/>
          <w:lang w:val="en-GB"/>
        </w:rPr>
      </w:pPr>
      <w:r w:rsidRPr="000C134C">
        <w:rPr>
          <w:rStyle w:val="FootnoteReference"/>
          <w:color w:val="000000"/>
          <w:kern w:val="18"/>
          <w:sz w:val="18"/>
          <w:szCs w:val="18"/>
          <w:lang w:val="en-GB"/>
        </w:rPr>
        <w:footnoteRef/>
      </w:r>
      <w:r w:rsidRPr="000C134C">
        <w:rPr>
          <w:color w:val="000000"/>
          <w:kern w:val="18"/>
          <w:sz w:val="18"/>
          <w:szCs w:val="18"/>
          <w:lang w:val="en-GB"/>
        </w:rPr>
        <w:t xml:space="preserve"> Ibid.</w:t>
      </w:r>
    </w:p>
  </w:footnote>
  <w:footnote w:id="162">
    <w:p w14:paraId="0C1CCBC2"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color w:val="000000"/>
          <w:kern w:val="18"/>
          <w:sz w:val="18"/>
          <w:szCs w:val="18"/>
          <w:lang w:val="en-GB"/>
        </w:rPr>
        <w:footnoteRef/>
      </w:r>
      <w:r w:rsidRPr="000C134C">
        <w:rPr>
          <w:color w:val="000000"/>
          <w:kern w:val="18"/>
          <w:sz w:val="18"/>
          <w:szCs w:val="18"/>
          <w:lang w:val="en-GB"/>
        </w:rPr>
        <w:t xml:space="preserve"> Ibid.</w:t>
      </w:r>
    </w:p>
  </w:footnote>
  <w:footnote w:id="163">
    <w:p w14:paraId="0EC4D0FF" w14:textId="1D44C808"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Ibid.</w:t>
      </w:r>
    </w:p>
  </w:footnote>
  <w:footnote w:id="164">
    <w:p w14:paraId="266E0BAA" w14:textId="6593C17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e.g. </w:t>
      </w:r>
      <w:r w:rsidRPr="000C134C">
        <w:rPr>
          <w:kern w:val="18"/>
          <w:sz w:val="18"/>
          <w:szCs w:val="18"/>
          <w:lang w:val="en-GB"/>
        </w:rPr>
        <w:fldChar w:fldCharType="begin"/>
      </w:r>
      <w:r w:rsidRPr="000C134C">
        <w:rPr>
          <w:kern w:val="18"/>
          <w:sz w:val="18"/>
          <w:szCs w:val="18"/>
          <w:lang w:val="en-GB"/>
        </w:rPr>
        <w:instrText xml:space="preserve"> ADDIN ZOTERO_ITEM CSL_CITATION {"citationID":"CC4bzZfv","properties":{"formattedCitation":"Alastair Crisp and others, \\uc0\\u8216{}Expression of Multiple Horizontally Acquired Genes is a Hallmark of Both Vertebrate and Invertebrate Genomes\\uc0\\u8217{} (2015) 16 Genome Biology 50.","plainCitation":"Alastair Crisp and others, ‘Expression of Multiple Horizontally Acquired Genes is a Hallmark of Both Vertebrate and Invertebrate Genomes’ (2015) 16 Genome Biology 50.","noteIndex":160},"citationItems":[{"id":581,"uris":["http://zotero.org/users/local/dU5rpCrq/items/CS7H4Z27"],"uri":["http://zotero.org/users/local/dU5rpCrq/items/CS7H4Z27"],"itemData":{"id":581,"type":"article-journal","multi":{"main":{},"_keys":{}},"abstract":"BACKGROUND: A fundamental concept in biology is that heritable material, DNA, is passed from parent to offspring, a process called vertical gene transfer. An alternative mechanism of gene acquisition is through horizontal gene transfer (HGT), which involves movement of genetic material between different species. HGT is well-known in single-celled organisms such as bacteria, but its existence in higher organisms, including animals, is less well established, and is controversial in humans.\nRESULTS: We have taken advantage of the recent availability of a sufficient number of high-quality genomes and associated transcriptomes to carry out a detailed examination of HGT in 26 animal species (10 primates, 12 flies and four nematodes) and a simplified analysis in a further 14 vertebrates. Genome-wide comparative and phylogenetic analyses show that HGT in animals typically gives rise to tens or hundreds of active 'foreign' genes, largely concerned with metabolism. Our analyses suggest that while fruit flies and nematodes have continued to acquire foreign genes throughout their evolution, humans and other primates have gained relatively few since their common ancestor. We also resolve the controversy surrounding previous evidence of HGT in humans and provide at least 33 new examples of horizontally acquired genes.\nCONCLUSIONS: We argue that HGT has occurred, and continues to occur, on a previously unsuspected scale in metazoans and is likely to have contributed to biochemical diversification during animal evolution.","container-title":"Genome Biology","DOI":"10.1186/s13059-015-0607-3","ISSN":"1474-760X","language":"eng","note":"PMID: 25785303\nPMCID: PMC4358723","page":"50","source":"PubMed","title":"Expression of multiple horizontally acquired genes is a hallmark of both vertebrate and invertebrate genomes","volume":"16","author":[{"family":"Crisp","given":"Alastair","multi":{"_key":{}}},{"family":"Boschetti","given":"Chiara","multi":{"_key":{}}},{"family":"Perry","given":"Malcolm","multi":{"_key":{}}},{"family":"Tunnacliffe","given":"Alan","multi":{"_key":{}}},{"family":"Micklem","given":"Gos","multi":{"_key":{}}}],"issued":{"date-parts":[["2015",3,13]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Alastair Crisp and others, ‘Expression of Multiple Horizontally Acquired Genes is a Hallmark of Both Vertebrate and Invertebrate Genomes’ (2015) 16 Genome Biology 50.</w:t>
      </w:r>
      <w:r w:rsidRPr="000C134C">
        <w:rPr>
          <w:kern w:val="18"/>
          <w:sz w:val="18"/>
          <w:szCs w:val="18"/>
          <w:lang w:val="en-GB"/>
        </w:rPr>
        <w:fldChar w:fldCharType="end"/>
      </w:r>
    </w:p>
  </w:footnote>
  <w:footnote w:id="165">
    <w:p w14:paraId="4ED53DBE" w14:textId="170C88E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{"citationID":"9laRjbRV","properties":{"formattedCitation":"Margo A Bagley, \\uc0\\u8216{}Towering Wave or Tempest in a Teapot? Synthetic Biology, Access and Benefit Sharing, and Economic Development\\uc0\\u8217{} in Susy Frankel and Daniel Gervais (eds), {\\i{}Intellectual Property and the Regulation of the Internet} (Victoria University Press 2017) 95.","plainCitation":"Margo A Bagley, ‘Towering Wave or Tempest in a Teapot? Synthetic Biology, Access and Benefit Sharing, and Economic Development’ in Susy Frankel and Daniel Gervais (eds), Intellectual Property and the Regulation of the Internet (Victoria University Press 2017) 95.","noteIndex":161},"citationItems":[{"id":261,"uris":["http://zotero.org/users/local/dU5rpCrq/items/28IYNBSS"],"uri":["http://zotero.org/users/local/dU5rpCrq/items/28IYNBSS"],"itemData":{"id":261,"type":"chapter","multi":{"main":{},"_keys":{}},"container-title":"Intellectual Property and the Regulation of the Internet","event-place":"Victoria, NZ","page":"85-111","publisher":"Victoria University Press","publisher-place":"Victoria, NZ","title":"Towering wave or tempest in a teapot? Synthetic biology, access and benefit sharing, and economic development","title-short":"Towering wave or tempest in a teapot","author":[{"family":"Bagley","given":"Margo A","multi":{"_key":{}}}],"editor":[{"family":"Frankel","given":"Susy","multi":{"_key":{}}},{"family":"Gervais","given":"Daniel","multi":{"_key":{}}}],"issued":{"date-parts":[["2017"]]},"seeAlso":[]},"locator":"95"}],"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Margo A Bagley, ‘Towering Wave or Tempest in a Teapot? Synthetic Biology, Access and Benefit Sharing, and Economic Development’ in Susy Frankel and Daniel Gervais (eds), </w:t>
      </w:r>
      <w:r w:rsidRPr="000C134C">
        <w:rPr>
          <w:i/>
          <w:iCs/>
          <w:kern w:val="18"/>
          <w:sz w:val="18"/>
          <w:szCs w:val="18"/>
          <w:lang w:val="en-GB"/>
        </w:rPr>
        <w:t>Intellectual Property and the Regulation of the Internet</w:t>
      </w:r>
      <w:r w:rsidRPr="000C134C">
        <w:rPr>
          <w:kern w:val="18"/>
          <w:sz w:val="18"/>
          <w:szCs w:val="18"/>
          <w:lang w:val="en-GB"/>
        </w:rPr>
        <w:t xml:space="preserve"> (Victoria University Press 2017) 95.</w:t>
      </w:r>
      <w:r w:rsidRPr="000C134C">
        <w:rPr>
          <w:kern w:val="18"/>
          <w:sz w:val="18"/>
          <w:szCs w:val="18"/>
          <w:lang w:val="en-GB"/>
        </w:rPr>
        <w:fldChar w:fldCharType="end"/>
      </w:r>
    </w:p>
  </w:footnote>
  <w:footnote w:id="166">
    <w:p w14:paraId="4C9C638E" w14:textId="0357568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supra </w:t>
      </w:r>
      <w:proofErr w:type="spellStart"/>
      <w:r w:rsidRPr="000C134C">
        <w:rPr>
          <w:kern w:val="18"/>
          <w:sz w:val="18"/>
          <w:szCs w:val="18"/>
          <w:lang w:val="en-GB"/>
        </w:rPr>
        <w:t>fn</w:t>
      </w:r>
      <w:proofErr w:type="spellEnd"/>
      <w:r w:rsidRPr="000C134C">
        <w:rPr>
          <w:kern w:val="18"/>
          <w:sz w:val="18"/>
          <w:szCs w:val="18"/>
          <w:lang w:val="en-GB"/>
        </w:rPr>
        <w:t xml:space="preserve"> 4</w:t>
      </w:r>
      <w:r w:rsidR="00894272" w:rsidRPr="000C134C">
        <w:rPr>
          <w:kern w:val="18"/>
          <w:sz w:val="18"/>
          <w:szCs w:val="18"/>
          <w:lang w:val="en-GB"/>
        </w:rPr>
        <w:t>2</w:t>
      </w:r>
      <w:r w:rsidRPr="000C134C">
        <w:rPr>
          <w:kern w:val="18"/>
          <w:sz w:val="18"/>
          <w:szCs w:val="18"/>
          <w:lang w:val="en-GB"/>
        </w:rPr>
        <w:t>, Switzerland, Declaration of Source.</w:t>
      </w:r>
    </w:p>
  </w:footnote>
  <w:footnote w:id="167">
    <w:p w14:paraId="507F47DC"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As noted in one private sector submission, “should DSI be included in the scope of the Protocol, the administrative burden of negotiating a myriad of ABS agreements for sequences with debatable input value will be significant.” </w:t>
      </w:r>
      <w:r w:rsidRPr="000C134C">
        <w:rPr>
          <w:kern w:val="18"/>
          <w:sz w:val="18"/>
          <w:szCs w:val="18"/>
          <w:lang w:val="en-GB"/>
        </w:rPr>
        <w:fldChar w:fldCharType="begin"/>
      </w:r>
      <w:r w:rsidRPr="000C134C">
        <w:rPr>
          <w:kern w:val="18"/>
          <w:sz w:val="18"/>
          <w:szCs w:val="18"/>
          <w:lang w:val="en-GB"/>
        </w:rPr>
        <w:instrText xml:space="preserve"> ADDIN ZOTERO_ITEM CSL_CITATION {"citationID":"qiIyW9aD","properties":{"formattedCitation":"ICC Task Force on Access and Benefit Sharing (n 149)","plainCitation":"ICC Task Force on Access and Benefit Sharing (n 149)","noteIndex":163,"suppress-trailing-punctuation":true},"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ICC Task Force on Access and Benefit Sharing (n 149)</w:t>
      </w:r>
      <w:r w:rsidRPr="000C134C">
        <w:rPr>
          <w:kern w:val="18"/>
          <w:sz w:val="18"/>
          <w:szCs w:val="18"/>
          <w:lang w:val="en-GB"/>
        </w:rPr>
        <w:fldChar w:fldCharType="end"/>
      </w:r>
      <w:r w:rsidRPr="000C134C">
        <w:rPr>
          <w:kern w:val="18"/>
          <w:sz w:val="18"/>
          <w:szCs w:val="18"/>
          <w:lang w:val="en-GB"/>
        </w:rPr>
        <w:t>. But as other commentators note, “developments in synthetic biology could make governments reluctant to share [DSI] on openly accessible databases if it means they could miss out on benefits that might otherwise be gained by enforcing their domestic ABS laws.” Michelle Rourke and others, ‘Policy opportunities to enhance sharing for pandemic research’, (2020) 368 Science 717. This comment was made in the context of sharing pathogenic virus sample information but is also applicable to other subject matter regulated by domestic ABS laws.</w:t>
      </w:r>
    </w:p>
  </w:footnote>
  <w:footnote w:id="168">
    <w:p w14:paraId="124ACCAD"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{"citationID":"g9uWhEMc","properties":{"formattedCitation":"Roger Chennells, \\uc0\\u8216{}Traditional Knowledge and Benefit Sharing after the Nagoya Protocol: Three Cases from South Africa\\uc0\\u8217{} (2013) 9 Law, Environment and Development Journal 169","plainCitation":"Roger Chennells, ‘Traditional Knowledge and Benefit Sharing after the Nagoya Protocol: Three Cases from South Africa’ (2013) 9 Law, Environment and Development Journal 169","noteIndex":164,"suppress-trailing-punctuation":true},"citationItems":[{"id":593,"uris":["http://zotero.org/users/local/dU5rpCrq/items/LDKI3ERJ"],"uri":["http://zotero.org/users/local/dU5rpCrq/items/LDKI3ERJ"],"itemData":{"id":593,"type":"article-journal","multi":{"main":{},"_keys":{}},"container-title":"Law, Environment and Development Journal","issue":"2","page":"169","title":"Traditional Knowledge and Benefit Sharing after the Nagoya Protocol: Three Cases from South Africa","volume":"9","author":[{"family":"Chennells","given":"Roger","multi":{"_key":{}}}],"issued":{"date-parts":[["2013"]]},"seeAlso":[]}}],"schema":"https://github.com/citation-style-language/schema/raw/master/csl-citation.json"}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Roger Chennells, ‘Traditional Knowledge and Benefit Sharing after the Nagoya Protocol: Three Cases from South Africa’ (2013) 9 Law, Environment and Development Journal 169</w:t>
      </w:r>
      <w:r w:rsidRPr="000C134C">
        <w:rPr>
          <w:kern w:val="18"/>
          <w:sz w:val="18"/>
          <w:szCs w:val="18"/>
          <w:lang w:val="en-GB"/>
        </w:rPr>
        <w:fldChar w:fldCharType="end"/>
      </w:r>
      <w:r w:rsidRPr="000C134C">
        <w:rPr>
          <w:kern w:val="18"/>
          <w:sz w:val="18"/>
          <w:szCs w:val="18"/>
          <w:lang w:val="en-GB"/>
        </w:rPr>
        <w:t xml:space="preserve"> (noting the “complexity of the origins of communities . . . [in] countries where populations have been disturbed by centuries of migration and colonisation.”)</w:t>
      </w:r>
    </w:p>
  </w:footnote>
  <w:footnote w:id="169">
    <w:p w14:paraId="36037A0D" w14:textId="4F677F9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MB, Interview with Dario </w:t>
      </w:r>
      <w:proofErr w:type="spellStart"/>
      <w:r w:rsidRPr="000C134C">
        <w:rPr>
          <w:kern w:val="18"/>
          <w:sz w:val="18"/>
          <w:szCs w:val="18"/>
          <w:lang w:val="en-GB"/>
        </w:rPr>
        <w:t>Luque</w:t>
      </w:r>
      <w:proofErr w:type="spellEnd"/>
      <w:r w:rsidRPr="000C134C">
        <w:rPr>
          <w:kern w:val="18"/>
          <w:sz w:val="18"/>
          <w:szCs w:val="18"/>
          <w:lang w:val="en-GB"/>
        </w:rPr>
        <w:t xml:space="preserve"> and Jorge Garcia (2020). In peer review comments, the government of Colombia noted that it operates in the same way as Panama on these issues.</w:t>
      </w:r>
    </w:p>
  </w:footnote>
  <w:footnote w:id="170">
    <w:p w14:paraId="3E6E1B6A" w14:textId="60274FC1"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Submission, Costa Rica (2015). However, peer-review comments by Costa Rica suggest an evolving view that includes the possibility of resolution depending on the consent of the </w:t>
      </w:r>
      <w:proofErr w:type="spellStart"/>
      <w:r w:rsidRPr="000C134C">
        <w:rPr>
          <w:kern w:val="18"/>
          <w:sz w:val="18"/>
          <w:szCs w:val="18"/>
          <w:lang w:val="en-GB"/>
        </w:rPr>
        <w:t>Ngobe</w:t>
      </w:r>
      <w:proofErr w:type="spellEnd"/>
      <w:r w:rsidRPr="000C134C">
        <w:rPr>
          <w:kern w:val="18"/>
          <w:sz w:val="18"/>
          <w:szCs w:val="18"/>
          <w:lang w:val="en-GB"/>
        </w:rPr>
        <w:t xml:space="preserve"> Bugle people. </w:t>
      </w:r>
    </w:p>
  </w:footnote>
  <w:footnote w:id="171">
    <w:p w14:paraId="1A883A48" w14:textId="06F20B4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{"citationID":"nMPyOv8k","properties":{"formattedCitation":"Natural Justice and ABS Capacity Development Initiative, \\uc0\\u8216{}Experiences and Lessons Learned from the Development and Implementation of Community Protocols and Procedures: Contribution to the First Assessment and Review of the Effectiveness of the Nagoya Protocol\\uc0\\u8217{} (Natural Justice and ABS Capacity Development Initiative 2017) 20.","plainCitation":"Natural Justice and ABS Capacity Development Initiative, ‘Experiences and Lessons Learned from the Development and Implementation of Community Protocols and Procedures: Contribution to the First Assessment and Review of the Effectiveness of the Nagoya Protocol’ (Natural Justice and ABS Capacity Development Initiative 2017) 20.","noteIndex":167},"citationItems":[{"id":627,"uris":["http://zotero.org/users/local/dU5rpCrq/items/NV7Q3KXS"],"uri":["http://zotero.org/users/local/dU5rpCrq/items/NV7Q3KXS"],"itemData":{"id":627,"type":"article","multi":{"main":{},"_keys":{}},"publisher":"Natural Justice and ABS Capacity Development Initiative","title":"Experiences and Lessons Learned from the Development and Implementation of Community Protocols and Procedures: Contribution to the First Assessment and Review of the Effectiveness of the Nagoya Protocol","URL":"https://www.cbd.int/abs/submissions/assessment/naturaljustice-abs-initiative-en.pdf","author":[{"family":"Natural Justice","given":"","literal":"Natural Justice","multi":{"_key":{}}},{"family":"ABS Capacity Development Initiative","given":"","literal":"ABS Capacity Development Initiative","multi":{"_key":{}}}],"issued":{"date-parts":[["2017"]]},"seeAlso":[]},"locator":"20"}],"schema":"https://github.com/citation-style-language/schema/raw/master/csl-citation.json"}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Natural Justice and ABS Capacity Development Initiative, ‘Experiences and Lessons Learned from the Development and Implementation of Community Protocols and Procedures: Contribution to the First Assessment and Review of the Effectiveness of the Nagoya Protocol’ (Natural Justice and ABS Capacity Development Initiative 2017) 20.</w:t>
      </w:r>
      <w:r w:rsidRPr="000C134C">
        <w:rPr>
          <w:kern w:val="18"/>
          <w:sz w:val="18"/>
          <w:szCs w:val="18"/>
          <w:lang w:val="en-GB"/>
        </w:rPr>
        <w:fldChar w:fldCharType="end"/>
      </w:r>
    </w:p>
  </w:footnote>
  <w:footnote w:id="172">
    <w:p w14:paraId="7DF71D21"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U.S. Patent No. 6,350,478 (“</w:t>
      </w:r>
      <w:r w:rsidRPr="000C134C">
        <w:rPr>
          <w:i/>
          <w:iCs/>
          <w:kern w:val="18"/>
          <w:sz w:val="18"/>
          <w:szCs w:val="18"/>
          <w:lang w:val="en-GB"/>
        </w:rPr>
        <w:t xml:space="preserve">Artemisia </w:t>
      </w:r>
      <w:proofErr w:type="spellStart"/>
      <w:r w:rsidRPr="000C134C">
        <w:rPr>
          <w:i/>
          <w:iCs/>
          <w:kern w:val="18"/>
          <w:sz w:val="18"/>
          <w:szCs w:val="18"/>
          <w:lang w:val="en-GB"/>
        </w:rPr>
        <w:t>judaica</w:t>
      </w:r>
      <w:proofErr w:type="spellEnd"/>
      <w:r w:rsidRPr="000C134C">
        <w:rPr>
          <w:i/>
          <w:iCs/>
          <w:kern w:val="18"/>
          <w:sz w:val="18"/>
          <w:szCs w:val="18"/>
          <w:lang w:val="en-GB"/>
        </w:rPr>
        <w:t> </w:t>
      </w:r>
      <w:r w:rsidRPr="000C134C">
        <w:rPr>
          <w:kern w:val="18"/>
          <w:sz w:val="18"/>
          <w:szCs w:val="18"/>
          <w:lang w:val="en-GB"/>
        </w:rPr>
        <w:t>is used in Libyan traditional medicine as an infusion for the treatment of “wasting disease”, almost certain[</w:t>
      </w:r>
      <w:proofErr w:type="spellStart"/>
      <w:r w:rsidRPr="000C134C">
        <w:rPr>
          <w:kern w:val="18"/>
          <w:sz w:val="18"/>
          <w:szCs w:val="18"/>
          <w:lang w:val="en-GB"/>
        </w:rPr>
        <w:t>ly</w:t>
      </w:r>
      <w:proofErr w:type="spellEnd"/>
      <w:r w:rsidRPr="000C134C">
        <w:rPr>
          <w:kern w:val="18"/>
          <w:sz w:val="18"/>
          <w:szCs w:val="18"/>
          <w:lang w:val="en-GB"/>
        </w:rPr>
        <w:t xml:space="preserve">] diabetes mellitus.”). See also Daniel F. Robinson, </w:t>
      </w:r>
      <w:r w:rsidRPr="000C134C">
        <w:rPr>
          <w:i/>
          <w:kern w:val="18"/>
          <w:sz w:val="18"/>
          <w:szCs w:val="18"/>
          <w:lang w:val="en-GB"/>
        </w:rPr>
        <w:t>Confronting Biopiracy: Challenges, Cases and International Debates</w:t>
      </w:r>
      <w:r w:rsidRPr="000C134C">
        <w:rPr>
          <w:kern w:val="18"/>
          <w:sz w:val="18"/>
          <w:szCs w:val="18"/>
          <w:lang w:val="en-GB"/>
        </w:rPr>
        <w:t xml:space="preserve"> (Earthscan 2010) 60 (citing several publications documenting traditional uses of the plant).</w:t>
      </w:r>
    </w:p>
  </w:footnote>
  <w:footnote w:id="173">
    <w:p w14:paraId="13530B61" w14:textId="6FD06EC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M.S. Abu-Darwish, et al., Chemical composition and biological activities of </w:t>
      </w:r>
      <w:r w:rsidRPr="000C134C">
        <w:rPr>
          <w:i/>
          <w:kern w:val="18"/>
          <w:sz w:val="18"/>
          <w:szCs w:val="18"/>
          <w:lang w:val="en-GB"/>
        </w:rPr>
        <w:t xml:space="preserve">Artemisia Judaica </w:t>
      </w:r>
      <w:r w:rsidRPr="000C134C">
        <w:rPr>
          <w:kern w:val="18"/>
          <w:sz w:val="18"/>
          <w:szCs w:val="18"/>
          <w:lang w:val="en-GB"/>
        </w:rPr>
        <w:t>essential oil from southern desert of Jordan, J. Ethnopharmacology 191 (2016) 161 (“</w:t>
      </w:r>
      <w:r w:rsidRPr="000C134C">
        <w:rPr>
          <w:i/>
          <w:kern w:val="18"/>
          <w:sz w:val="18"/>
          <w:szCs w:val="18"/>
          <w:lang w:val="en-GB"/>
        </w:rPr>
        <w:t xml:space="preserve">A. </w:t>
      </w:r>
      <w:proofErr w:type="spellStart"/>
      <w:r w:rsidRPr="000C134C">
        <w:rPr>
          <w:i/>
          <w:kern w:val="18"/>
          <w:sz w:val="18"/>
          <w:szCs w:val="18"/>
          <w:lang w:val="en-GB"/>
        </w:rPr>
        <w:t>judaica</w:t>
      </w:r>
      <w:proofErr w:type="spellEnd"/>
      <w:r w:rsidRPr="000C134C">
        <w:rPr>
          <w:kern w:val="18"/>
          <w:sz w:val="18"/>
          <w:szCs w:val="18"/>
          <w:lang w:val="en-GB"/>
        </w:rPr>
        <w:t xml:space="preserve"> was described by Jordanian herbalists as traditional agent to treat coronary artery thrombosis and cardiac infarction</w:t>
      </w:r>
      <w:proofErr w:type="gramStart"/>
      <w:r w:rsidRPr="000C134C">
        <w:rPr>
          <w:kern w:val="18"/>
          <w:sz w:val="18"/>
          <w:szCs w:val="18"/>
          <w:lang w:val="en-GB"/>
        </w:rPr>
        <w:t>. . . .</w:t>
      </w:r>
      <w:proofErr w:type="gramEnd"/>
      <w:r w:rsidRPr="000C134C">
        <w:rPr>
          <w:kern w:val="18"/>
          <w:sz w:val="18"/>
          <w:szCs w:val="18"/>
          <w:lang w:val="en-GB"/>
        </w:rPr>
        <w:t xml:space="preserve"> it is reported that </w:t>
      </w:r>
      <w:r w:rsidRPr="000C134C">
        <w:rPr>
          <w:i/>
          <w:kern w:val="18"/>
          <w:sz w:val="18"/>
          <w:szCs w:val="18"/>
          <w:lang w:val="en-GB"/>
        </w:rPr>
        <w:t xml:space="preserve">A. </w:t>
      </w:r>
      <w:proofErr w:type="spellStart"/>
      <w:r w:rsidRPr="000C134C">
        <w:rPr>
          <w:i/>
          <w:kern w:val="18"/>
          <w:sz w:val="18"/>
          <w:szCs w:val="18"/>
          <w:lang w:val="en-GB"/>
        </w:rPr>
        <w:t>judaica</w:t>
      </w:r>
      <w:proofErr w:type="spellEnd"/>
      <w:r w:rsidRPr="000C134C">
        <w:rPr>
          <w:kern w:val="18"/>
          <w:sz w:val="18"/>
          <w:szCs w:val="18"/>
          <w:lang w:val="en-GB"/>
        </w:rPr>
        <w:t xml:space="preserve"> has been used in traditional medicine of Bedouins in the Saudi Arabia desert and Sinai.”)</w:t>
      </w:r>
    </w:p>
  </w:footnote>
  <w:footnote w:id="174">
    <w:p w14:paraId="73E838F0" w14:textId="7777777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Yasser A. El-</w:t>
      </w:r>
      <w:proofErr w:type="spellStart"/>
      <w:r w:rsidRPr="000C134C">
        <w:rPr>
          <w:kern w:val="18"/>
          <w:sz w:val="18"/>
          <w:szCs w:val="18"/>
          <w:lang w:val="en-GB"/>
        </w:rPr>
        <w:t>Amier</w:t>
      </w:r>
      <w:proofErr w:type="spellEnd"/>
      <w:r w:rsidRPr="000C134C">
        <w:rPr>
          <w:kern w:val="18"/>
          <w:sz w:val="18"/>
          <w:szCs w:val="18"/>
          <w:lang w:val="en-GB"/>
        </w:rPr>
        <w:t xml:space="preserve">, et al., Potential of wild plant Artemisia </w:t>
      </w:r>
      <w:proofErr w:type="spellStart"/>
      <w:r w:rsidRPr="000C134C">
        <w:rPr>
          <w:kern w:val="18"/>
          <w:sz w:val="18"/>
          <w:szCs w:val="18"/>
          <w:lang w:val="en-GB"/>
        </w:rPr>
        <w:t>judaica</w:t>
      </w:r>
      <w:proofErr w:type="spellEnd"/>
      <w:r w:rsidRPr="000C134C">
        <w:rPr>
          <w:kern w:val="18"/>
          <w:sz w:val="18"/>
          <w:szCs w:val="18"/>
          <w:lang w:val="en-GB"/>
        </w:rPr>
        <w:t xml:space="preserve"> L. as sustainable source of antioxidant and antimicrobial compounds, J. Experimental Sci. (2019), 10: 04-08.</w:t>
      </w:r>
    </w:p>
  </w:footnote>
  <w:footnote w:id="175">
    <w:p w14:paraId="62D906C8" w14:textId="06A1047F"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Termination of projects due to an inability to obtain PIC in a timely fashion is not purely hypothetical.  A 2017 botanical garden submission notes that because of such a failure, “the first basic research applications and projects had to be cancelled”. See ‘Comments on behalf of Botanical Gardens’ (esp. IPEN – International Plant Exchange Network) (2017). </w:t>
      </w:r>
    </w:p>
  </w:footnote>
  <w:footnote w:id="176">
    <w:p w14:paraId="514B7A87" w14:textId="2FD2B45C" w:rsidR="007511AF" w:rsidRPr="000C134C" w:rsidRDefault="007511AF" w:rsidP="00F43F79">
      <w:pPr>
        <w:pStyle w:val="FootnoteText"/>
        <w:spacing w:before="20" w:after="20"/>
        <w:ind w:left="288"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This appears to be the case regarding self-fertilizing </w:t>
      </w:r>
      <w:proofErr w:type="spellStart"/>
      <w:r w:rsidRPr="000C134C">
        <w:rPr>
          <w:i/>
          <w:iCs/>
          <w:kern w:val="18"/>
          <w:sz w:val="18"/>
          <w:szCs w:val="18"/>
          <w:lang w:val="en-GB"/>
        </w:rPr>
        <w:t>olotón</w:t>
      </w:r>
      <w:proofErr w:type="spellEnd"/>
      <w:r w:rsidRPr="000C134C">
        <w:rPr>
          <w:kern w:val="18"/>
          <w:sz w:val="18"/>
          <w:szCs w:val="18"/>
          <w:lang w:val="en-GB"/>
        </w:rPr>
        <w:t xml:space="preserve"> maize, which </w:t>
      </w:r>
      <w:proofErr w:type="gramStart"/>
      <w:r w:rsidRPr="000C134C">
        <w:rPr>
          <w:kern w:val="18"/>
          <w:sz w:val="18"/>
          <w:szCs w:val="18"/>
          <w:lang w:val="en-GB"/>
        </w:rPr>
        <w:t>is capable of fixing</w:t>
      </w:r>
      <w:proofErr w:type="gramEnd"/>
      <w:r w:rsidRPr="000C134C">
        <w:rPr>
          <w:kern w:val="18"/>
          <w:sz w:val="18"/>
          <w:szCs w:val="18"/>
          <w:lang w:val="en-GB"/>
        </w:rPr>
        <w:t xml:space="preserve"> its own nitrogen, cultivated by indigenous farmers in Mexico and </w:t>
      </w:r>
      <w:proofErr w:type="spellStart"/>
      <w:r w:rsidRPr="000C134C">
        <w:rPr>
          <w:kern w:val="18"/>
          <w:sz w:val="18"/>
          <w:szCs w:val="18"/>
          <w:lang w:val="en-GB"/>
        </w:rPr>
        <w:t>Guatamala</w:t>
      </w:r>
      <w:proofErr w:type="spellEnd"/>
      <w:r w:rsidRPr="000C134C">
        <w:rPr>
          <w:kern w:val="18"/>
          <w:sz w:val="18"/>
          <w:szCs w:val="18"/>
          <w:lang w:val="en-GB"/>
        </w:rPr>
        <w:t xml:space="preserve"> for thousands of years. Researchers negotiated a benefit-sharing agreement with a group of IPLCs in one part of Mexico only.  Mexico is not a party to the International Treaty on Plant Genetic Resources for Food and Agriculture.  See Martha </w:t>
      </w:r>
      <w:proofErr w:type="spellStart"/>
      <w:r w:rsidRPr="000C134C">
        <w:rPr>
          <w:kern w:val="18"/>
          <w:sz w:val="18"/>
          <w:szCs w:val="18"/>
          <w:lang w:val="en-GB"/>
        </w:rPr>
        <w:t>Pskowski</w:t>
      </w:r>
      <w:proofErr w:type="spellEnd"/>
      <w:r w:rsidRPr="000C134C">
        <w:rPr>
          <w:kern w:val="18"/>
          <w:sz w:val="18"/>
          <w:szCs w:val="18"/>
          <w:lang w:val="en-GB"/>
        </w:rPr>
        <w:t xml:space="preserve">, ‘Indigenous Maize: Who Owns the Rights to Mexico’s ‘Wonder’ Plant?’ Yale 360 (2019), </w:t>
      </w:r>
      <w:hyperlink r:id="rId16" w:history="1">
        <w:r w:rsidRPr="000C134C">
          <w:rPr>
            <w:rStyle w:val="Hyperlink"/>
            <w:color w:val="auto"/>
            <w:kern w:val="18"/>
            <w:sz w:val="18"/>
            <w:szCs w:val="18"/>
            <w:lang w:val="en-GB"/>
          </w:rPr>
          <w:t>https://e360.yale.edu/features/indigenous-maize-who-owns-the-rights-to-mexicos-wonder-plant</w:t>
        </w:r>
      </w:hyperlink>
      <w:r w:rsidRPr="000C134C">
        <w:rPr>
          <w:kern w:val="18"/>
          <w:sz w:val="18"/>
          <w:szCs w:val="18"/>
          <w:lang w:val="en-GB"/>
        </w:rPr>
        <w:t xml:space="preserve">. </w:t>
      </w:r>
    </w:p>
  </w:footnote>
  <w:footnote w:id="177">
    <w:p w14:paraId="1A7EC9A9" w14:textId="0B6D89E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 xml:space="preserve"> ADDIN ZOTERO_ITEM CSL_CITATION {"citationID":"KsgQHJrW","properties":{"formattedCitation":"Graham Dutfield, \\uc0\\u8216{}Traditional Knowledge, Intellectual Property and Pharmaceutical Innovation: What\\uc0\\u8217{}s Left to Discuss?\\uc0\\u8217{} in Matthew David and Debora Halbert (eds), {\\i{}The SAGE Handbook of Intellectual Property} (SAGE 2014).","plainCitation":"Graham Dutfield, ‘Traditional Knowledge, Intellectual Property and Pharmaceutical Innovation: What’s Left to Discuss?’ in Matthew David and Debora Halbert (eds), The SAGE Handbook of Intellectual Property (SAGE 2014).","noteIndex":173},"citationItems":[{"id":604,"uris":["http://zotero.org/users/local/dU5rpCrq/items/EVTCAFSS"],"uri":["http://zotero.org/users/local/dU5rpCrq/items/EVTCAFSS"],"itemData":{"id":604,"type":"chapter","multi":{"main":{},"_keys":{}},"container-title":"The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Graham Dutfield, ‘Traditional Knowledge, Intellectual Property and Pharmaceutical Innovation: What’s Left to Discuss?’ in Matthew David and Debora Halbert (eds), </w:t>
      </w:r>
      <w:r w:rsidRPr="000C134C">
        <w:rPr>
          <w:i/>
          <w:iCs/>
          <w:kern w:val="18"/>
          <w:sz w:val="18"/>
          <w:szCs w:val="18"/>
          <w:lang w:val="en-GB"/>
        </w:rPr>
        <w:t>The SAGE Handbook of Intellectual Property</w:t>
      </w:r>
      <w:r w:rsidRPr="000C134C">
        <w:rPr>
          <w:kern w:val="18"/>
          <w:sz w:val="18"/>
          <w:szCs w:val="18"/>
          <w:lang w:val="en-GB"/>
        </w:rPr>
        <w:t xml:space="preserve"> (SAGE 2014).</w:t>
      </w:r>
      <w:r w:rsidRPr="000C134C">
        <w:rPr>
          <w:kern w:val="18"/>
          <w:sz w:val="18"/>
          <w:szCs w:val="18"/>
          <w:lang w:val="en-GB"/>
        </w:rPr>
        <w:fldChar w:fldCharType="end"/>
      </w:r>
      <w:r w:rsidRPr="000C134C">
        <w:rPr>
          <w:kern w:val="18"/>
          <w:sz w:val="18"/>
          <w:szCs w:val="18"/>
          <w:lang w:val="en-GB"/>
        </w:rPr>
        <w:t>(“[G]</w:t>
      </w:r>
      <w:proofErr w:type="spellStart"/>
      <w:r w:rsidRPr="000C134C">
        <w:rPr>
          <w:kern w:val="18"/>
          <w:sz w:val="18"/>
          <w:szCs w:val="18"/>
          <w:lang w:val="en-GB"/>
        </w:rPr>
        <w:t>enetic</w:t>
      </w:r>
      <w:proofErr w:type="spellEnd"/>
      <w:r w:rsidRPr="000C134C">
        <w:rPr>
          <w:kern w:val="18"/>
          <w:sz w:val="18"/>
          <w:szCs w:val="18"/>
          <w:lang w:val="en-GB"/>
        </w:rPr>
        <w:t xml:space="preserve"> resources and traditional knowledge that are in general circulation may no longer have traceable origins or else have known origins that may go back a long time, possibly centuries. The sources of the genetic resources and the knowledge may be completely different. A good example is the rosy periwinkle </w:t>
      </w:r>
      <w:proofErr w:type="gramStart"/>
      <w:r w:rsidRPr="000C134C">
        <w:rPr>
          <w:kern w:val="18"/>
          <w:sz w:val="18"/>
          <w:szCs w:val="18"/>
          <w:lang w:val="en-GB"/>
        </w:rPr>
        <w:t>. . . ”</w:t>
      </w:r>
      <w:proofErr w:type="gramEnd"/>
      <w:r w:rsidRPr="000C134C">
        <w:rPr>
          <w:kern w:val="18"/>
          <w:sz w:val="18"/>
          <w:szCs w:val="18"/>
          <w:lang w:val="en-GB"/>
        </w:rPr>
        <w:t>)</w:t>
      </w:r>
    </w:p>
  </w:footnote>
  <w:footnote w:id="178">
    <w:p w14:paraId="3AE620F1" w14:textId="489F7A72"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Michael F. Brown, </w:t>
      </w:r>
      <w:r w:rsidRPr="000C134C">
        <w:rPr>
          <w:i/>
          <w:kern w:val="18"/>
          <w:sz w:val="18"/>
          <w:szCs w:val="18"/>
          <w:lang w:val="en-GB"/>
        </w:rPr>
        <w:t>Who Owns Native Culture?</w:t>
      </w:r>
      <w:r w:rsidRPr="000C134C">
        <w:rPr>
          <w:kern w:val="18"/>
          <w:sz w:val="18"/>
          <w:szCs w:val="18"/>
          <w:lang w:val="en-GB"/>
        </w:rPr>
        <w:t xml:space="preserve"> (Harvard Univ. Press 2003) 136. See also </w:t>
      </w:r>
      <w:r w:rsidRPr="000C134C">
        <w:rPr>
          <w:rFonts w:eastAsiaTheme="minorHAnsi"/>
          <w:kern w:val="18"/>
          <w:sz w:val="18"/>
          <w:szCs w:val="18"/>
          <w:lang w:val="en-GB" w:eastAsia="en-US"/>
        </w:rPr>
        <w:fldChar w:fldCharType="begin"/>
      </w:r>
      <w:r w:rsidRPr="000C134C">
        <w:rPr>
          <w:kern w:val="18"/>
          <w:sz w:val="18"/>
          <w:szCs w:val="18"/>
          <w:lang w:val="en-GB"/>
        </w:rPr>
        <w:instrText xml:space="preserve"> ADDIN ZOTERO_ITEM CSL_CITATION {"citationID":"MyrlckWx","properties":{"formattedCitation":"\\uc0\\u8216{}Arizona State University Vascular Plant Herbarium Catalog No ASU0104660\\uc0\\u8217{} (n 36).","plainCitation":"‘Arizona State University Vascular Plant Herbarium Catalog No ASU0104660’ (n 36).","noteIndex":174},"citationItems":[{"id":658,"uris":["http://zotero.org/users/local/dU5rpCrq/items/XWFK8GK5"],"uri":["http://zotero.org/users/local/dU5rpCrq/items/XWFK8GK5"],"itemData":{"id":658,"type":"webpage","multi":{"main":{},"_keys":{}},"container-title":"SERNEC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0C134C">
        <w:rPr>
          <w:rFonts w:eastAsiaTheme="minorHAnsi"/>
          <w:kern w:val="18"/>
          <w:sz w:val="18"/>
          <w:szCs w:val="18"/>
          <w:lang w:val="en-GB" w:eastAsia="en-US"/>
        </w:rPr>
        <w:fldChar w:fldCharType="separate"/>
      </w:r>
      <w:r w:rsidRPr="000C134C">
        <w:rPr>
          <w:kern w:val="18"/>
          <w:sz w:val="18"/>
          <w:szCs w:val="18"/>
          <w:lang w:val="en-GB"/>
        </w:rPr>
        <w:t>‘Arizona State University Vascular Plant Herbarium Catalog No ASU0104660’ (n 3</w:t>
      </w:r>
      <w:r w:rsidR="00894272" w:rsidRPr="000C134C">
        <w:rPr>
          <w:kern w:val="18"/>
          <w:sz w:val="18"/>
          <w:szCs w:val="18"/>
          <w:lang w:val="en-GB"/>
        </w:rPr>
        <w:t>8</w:t>
      </w:r>
      <w:r w:rsidRPr="000C134C">
        <w:rPr>
          <w:kern w:val="18"/>
          <w:sz w:val="18"/>
          <w:szCs w:val="18"/>
          <w:lang w:val="en-GB"/>
        </w:rPr>
        <w:t>).</w:t>
      </w:r>
      <w:r w:rsidRPr="000C134C">
        <w:rPr>
          <w:kern w:val="18"/>
          <w:sz w:val="18"/>
          <w:szCs w:val="18"/>
          <w:lang w:val="en-GB"/>
        </w:rPr>
        <w:fldChar w:fldCharType="end"/>
      </w:r>
      <w:r w:rsidRPr="000C134C">
        <w:rPr>
          <w:kern w:val="18"/>
          <w:sz w:val="18"/>
          <w:szCs w:val="18"/>
          <w:lang w:val="en-GB"/>
        </w:rPr>
        <w:t xml:space="preserve">  </w:t>
      </w:r>
    </w:p>
  </w:footnote>
  <w:footnote w:id="179">
    <w:p w14:paraId="1B2E7AD9" w14:textId="36E9C6E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ibid. See also Sarah Laird, ‘Natural Products and the Commercialization of Traditional Knowledge,’ in Tom Greaves (ed.) </w:t>
      </w:r>
      <w:r w:rsidRPr="000C134C">
        <w:rPr>
          <w:i/>
          <w:kern w:val="18"/>
          <w:sz w:val="18"/>
          <w:szCs w:val="18"/>
          <w:lang w:val="en-GB"/>
        </w:rPr>
        <w:t>Intellectual Property Rights for Indigenous Peoples: A Sourcebook</w:t>
      </w:r>
      <w:r w:rsidRPr="000C134C">
        <w:rPr>
          <w:kern w:val="18"/>
          <w:sz w:val="18"/>
          <w:szCs w:val="18"/>
          <w:lang w:val="en-GB"/>
        </w:rPr>
        <w:t xml:space="preserve"> (</w:t>
      </w:r>
      <w:proofErr w:type="spellStart"/>
      <w:r w:rsidRPr="000C134C">
        <w:rPr>
          <w:kern w:val="18"/>
          <w:sz w:val="18"/>
          <w:szCs w:val="18"/>
          <w:lang w:val="en-GB"/>
        </w:rPr>
        <w:t>SfAA</w:t>
      </w:r>
      <w:proofErr w:type="spellEnd"/>
      <w:r w:rsidRPr="000C134C">
        <w:rPr>
          <w:kern w:val="18"/>
          <w:sz w:val="18"/>
          <w:szCs w:val="18"/>
          <w:lang w:val="en-GB"/>
        </w:rPr>
        <w:t xml:space="preserve"> 1999) 151.</w:t>
      </w:r>
    </w:p>
  </w:footnote>
  <w:footnote w:id="180">
    <w:p w14:paraId="41A2CE3F" w14:textId="556ED9F0"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proofErr w:type="spellStart"/>
      <w:r w:rsidRPr="000C134C">
        <w:rPr>
          <w:i/>
          <w:iCs/>
          <w:kern w:val="18"/>
          <w:sz w:val="18"/>
          <w:szCs w:val="18"/>
          <w:lang w:val="en-GB"/>
        </w:rPr>
        <w:t>Vincaleukoblastine</w:t>
      </w:r>
      <w:proofErr w:type="spellEnd"/>
      <w:r w:rsidRPr="000C134C">
        <w:rPr>
          <w:kern w:val="18"/>
          <w:sz w:val="18"/>
          <w:szCs w:val="18"/>
          <w:lang w:val="en-GB"/>
        </w:rPr>
        <w:t xml:space="preserve"> US Patent No US3097137A. Graham </w:t>
      </w:r>
      <w:proofErr w:type="spellStart"/>
      <w:r w:rsidRPr="000C134C">
        <w:rPr>
          <w:kern w:val="18"/>
          <w:sz w:val="18"/>
          <w:szCs w:val="18"/>
          <w:lang w:val="en-GB"/>
        </w:rPr>
        <w:t>Dutfield</w:t>
      </w:r>
      <w:proofErr w:type="spellEnd"/>
      <w:r w:rsidRPr="000C134C">
        <w:rPr>
          <w:kern w:val="18"/>
          <w:sz w:val="18"/>
          <w:szCs w:val="18"/>
          <w:lang w:val="en-GB"/>
        </w:rPr>
        <w:t xml:space="preserve"> reports that the patent was later licensed for lucrative commercial exploitation to Eli Lilly, see </w:t>
      </w:r>
      <w:r w:rsidRPr="000C134C">
        <w:rPr>
          <w:kern w:val="18"/>
          <w:sz w:val="18"/>
          <w:szCs w:val="18"/>
          <w:lang w:val="en-GB"/>
        </w:rPr>
        <w:fldChar w:fldCharType="begin"/>
      </w:r>
      <w:r w:rsidRPr="000C134C">
        <w:rPr>
          <w:kern w:val="18"/>
          <w:sz w:val="18"/>
          <w:szCs w:val="18"/>
          <w:lang w:val="en-GB"/>
        </w:rPr>
        <w:instrText xml:space="preserve"> ADDIN ZOTERO_ITEM CSL_CITATION {"citationID":"x0vuitBn","properties":{"formattedCitation":"Dutfield (n 173).","plainCitation":"Dutfield (n 173).","noteIndex":176},"citationItems":[{"id":604,"uris":["http://zotero.org/users/local/dU5rpCrq/items/EVTCAFSS"],"uri":["http://zotero.org/users/local/dU5rpCrq/items/EVTCAFSS"],"itemData":{"id":604,"type":"chapter","multi":{"main":{},"_keys":{}},"container-title":"The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Dutfield (n 173).</w:t>
      </w:r>
      <w:r w:rsidRPr="000C134C">
        <w:rPr>
          <w:kern w:val="18"/>
          <w:sz w:val="18"/>
          <w:szCs w:val="18"/>
          <w:lang w:val="en-GB"/>
        </w:rPr>
        <w:fldChar w:fldCharType="end"/>
      </w:r>
    </w:p>
  </w:footnote>
  <w:footnote w:id="181">
    <w:p w14:paraId="00513D5B" w14:textId="14287EB2"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w:t>
      </w:r>
      <w:r w:rsidRPr="000C134C">
        <w:rPr>
          <w:kern w:val="18"/>
          <w:sz w:val="18"/>
          <w:szCs w:val="18"/>
          <w:lang w:val="en-GB"/>
        </w:rPr>
        <w:fldChar w:fldCharType="begin"/>
      </w:r>
      <w:r w:rsidRPr="000C134C">
        <w:rPr>
          <w:kern w:val="18"/>
          <w:sz w:val="18"/>
          <w:szCs w:val="18"/>
          <w:lang w:val="en-GB"/>
        </w:rPr>
        <w:instrText>ADDIN ZOTERO_TEMP</w:instrText>
      </w:r>
      <w:r w:rsidRPr="000C134C">
        <w:rPr>
          <w:kern w:val="18"/>
          <w:sz w:val="18"/>
          <w:szCs w:val="18"/>
          <w:lang w:val="en-GB"/>
        </w:rPr>
        <w:fldChar w:fldCharType="separate"/>
      </w:r>
      <w:r w:rsidRPr="000C134C">
        <w:rPr>
          <w:kern w:val="18"/>
          <w:sz w:val="18"/>
          <w:szCs w:val="18"/>
          <w:lang w:val="en-GB"/>
        </w:rPr>
        <w:t xml:space="preserve">Ruth L Okediji, ‘Negotiating the Public Domain in an International Framework for Genetic Resources, Traditional Knowledge and Traditional Cultural Expressions’ in Daniel Robinson and others (eds), </w:t>
      </w:r>
      <w:r w:rsidRPr="000C134C">
        <w:rPr>
          <w:i/>
          <w:kern w:val="18"/>
          <w:sz w:val="18"/>
          <w:szCs w:val="18"/>
          <w:lang w:val="en-GB"/>
        </w:rPr>
        <w:t>Protecting Traditional Knowledge: The WIPO Intergovernmental Committee on Intellectual Property and Genetic Resources, Traditional Knowledge and Folklore</w:t>
      </w:r>
      <w:r w:rsidRPr="000C134C">
        <w:rPr>
          <w:kern w:val="18"/>
          <w:sz w:val="18"/>
          <w:szCs w:val="18"/>
          <w:lang w:val="en-GB"/>
        </w:rPr>
        <w:t xml:space="preserve"> (Routledge 2017) 145.</w:t>
      </w:r>
      <w:r w:rsidRPr="000C134C">
        <w:rPr>
          <w:kern w:val="18"/>
          <w:sz w:val="18"/>
          <w:szCs w:val="18"/>
          <w:lang w:val="en-GB"/>
        </w:rPr>
        <w:fldChar w:fldCharType="end"/>
      </w:r>
      <w:r w:rsidRPr="000C134C">
        <w:rPr>
          <w:kern w:val="18"/>
          <w:sz w:val="18"/>
          <w:szCs w:val="18"/>
          <w:lang w:val="en-GB"/>
        </w:rPr>
        <w:t xml:space="preserve"> As Professor </w:t>
      </w:r>
      <w:proofErr w:type="spellStart"/>
      <w:r w:rsidRPr="000C134C">
        <w:rPr>
          <w:kern w:val="18"/>
          <w:sz w:val="18"/>
          <w:szCs w:val="18"/>
          <w:lang w:val="en-GB"/>
        </w:rPr>
        <w:t>Okediji</w:t>
      </w:r>
      <w:proofErr w:type="spellEnd"/>
      <w:r w:rsidRPr="000C134C">
        <w:rPr>
          <w:kern w:val="18"/>
          <w:sz w:val="18"/>
          <w:szCs w:val="18"/>
          <w:lang w:val="en-GB"/>
        </w:rPr>
        <w:t xml:space="preserve"> explains:</w:t>
      </w:r>
    </w:p>
    <w:p w14:paraId="78BDBB0A" w14:textId="09154D43" w:rsidR="007511AF" w:rsidRPr="000C134C" w:rsidRDefault="007511AF" w:rsidP="00F43F79">
      <w:pPr>
        <w:pStyle w:val="FootnoteText"/>
        <w:spacing w:before="20" w:after="20"/>
        <w:ind w:left="576" w:right="720" w:hanging="288"/>
        <w:rPr>
          <w:kern w:val="18"/>
          <w:sz w:val="18"/>
          <w:szCs w:val="18"/>
          <w:lang w:val="en-GB"/>
        </w:rPr>
      </w:pPr>
      <w:r w:rsidRPr="000C134C">
        <w:rPr>
          <w:kern w:val="18"/>
          <w:sz w:val="18"/>
          <w:szCs w:val="18"/>
          <w:lang w:val="en-GB"/>
        </w:rPr>
        <w:t xml:space="preserve">    [T]here is no single “public domain.” Rather, every form of IP produces a differently constituted public domain. In copyright law, for example, the public domain includes unprotectable copyrightable subject matter . . .  and expired copyrighted works. Moreover, copyrights expire at different times in different countries</w:t>
      </w:r>
      <w:proofErr w:type="gramStart"/>
      <w:r w:rsidRPr="000C134C">
        <w:rPr>
          <w:kern w:val="18"/>
          <w:sz w:val="18"/>
          <w:szCs w:val="18"/>
          <w:lang w:val="en-GB"/>
        </w:rPr>
        <w:t>. . . .</w:t>
      </w:r>
      <w:proofErr w:type="gramEnd"/>
      <w:r w:rsidRPr="000C134C">
        <w:rPr>
          <w:kern w:val="18"/>
          <w:sz w:val="18"/>
          <w:szCs w:val="18"/>
          <w:lang w:val="en-GB"/>
        </w:rPr>
        <w:t xml:space="preserve"> The public domain in patent law similarly comprises ineligible subject matter, expired patents, invalidated patents, and prematurely expired patents for which maintenance fees were not paid. And, again, patents have differing terms of protection in different countries, with some allowing term extensions and adjustments while others do not. In trademark law, the public domain consists mainly of subject matter that has lost its source-identifying function.</w:t>
      </w:r>
    </w:p>
    <w:p w14:paraId="162640DE" w14:textId="04AEBCD3" w:rsidR="007511AF" w:rsidRPr="000C134C" w:rsidRDefault="007511AF" w:rsidP="00F43F79">
      <w:pPr>
        <w:pStyle w:val="FootnoteText"/>
        <w:spacing w:before="20" w:after="20"/>
        <w:ind w:left="284" w:hanging="288"/>
        <w:rPr>
          <w:kern w:val="18"/>
          <w:sz w:val="18"/>
          <w:szCs w:val="18"/>
          <w:lang w:val="en-GB"/>
        </w:rPr>
      </w:pPr>
      <w:r w:rsidRPr="000C134C">
        <w:rPr>
          <w:kern w:val="18"/>
          <w:sz w:val="18"/>
          <w:szCs w:val="18"/>
          <w:lang w:val="en-GB"/>
        </w:rPr>
        <w:t>See also WIPO, ‘Note on the Meanings of the Term "Public Domain" in the Intellectual Property System with Special Reference to the Protection of Traditional Knowledge and Traditional Cultural Expressions/Expressions of Folklore,’ WIPO/GRTKF/IC/17/INF/8 (Nov. 24, 2010) (“The public domain, in intellectual property (IP) law, is generally said to consist of intangible materials that are not subject to exclusive IP rights and which are, therefore, freely available to be used or exploited by any person. . . .The public domain is, however, an elastic, versatile and relative concept and it is not susceptible to a uniform legal meaning.”).</w:t>
      </w:r>
    </w:p>
  </w:footnote>
  <w:footnote w:id="182">
    <w:p w14:paraId="110867D5" w14:textId="08E87D3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Article 16(3) of the Nagoya Protocol obligates Parties to “as far as possible and as appropriate, cooperate in cases of alleged violation of domestic access and benefit-sharing legislation or regulatory requirements…”</w:t>
      </w:r>
    </w:p>
  </w:footnote>
  <w:footnote w:id="183">
    <w:p w14:paraId="7E716C84" w14:textId="49DAD8A5"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For example, the group may have died out.  See, e.g. </w:t>
      </w:r>
      <w:r w:rsidRPr="000C134C">
        <w:rPr>
          <w:kern w:val="18"/>
          <w:sz w:val="18"/>
          <w:szCs w:val="18"/>
          <w:lang w:val="en-GB"/>
        </w:rPr>
        <w:fldChar w:fldCharType="begin"/>
      </w:r>
      <w:r w:rsidRPr="000C134C">
        <w:rPr>
          <w:kern w:val="18"/>
          <w:sz w:val="18"/>
          <w:szCs w:val="18"/>
          <w:lang w:val="en-GB"/>
        </w:rPr>
        <w:instrText xml:space="preserve"> ADDIN ZOTERO_ITEM CSL_CITATION {"citationID":"3CuPLeQO","properties":{"formattedCitation":"Harmeet Shah Singh, \\uc0\\u8216{}Ancient Tribe Becomes Extinct as Last Member Dies\\uc0\\u8217{} ({\\i{}CNN.com}, 5 February 2010) &lt;https://edition.cnn.com/2010/WORLD/asiapcf/02/05/india.extinct.tribe/index.html&gt; accessed 28 February 2020.","plainCitation":"Harmeet Shah Singh, ‘Ancient Tribe Becomes Extinct as Last Member Dies’ (CNN.com, 5 February 2010) &lt;https://edition.cnn.com/2010/WORLD/asiapcf/02/05/india.extinct.tribe/index.html&gt; accessed 28 February 2020.","noteIndex":179},"citationItems":[{"id":668,"uris":["http://zotero.org/users/local/dU5rpCrq/items/9V943J8I"],"uri":["http://zotero.org/users/local/dU5rpCrq/items/9V943J8I"],"itemData":{"id":668,"type":"webpage","multi":{"main":{},"_keys":{}},"container-title":"CNN.com","title":"Ancient tribe becomes extinct as last member dies","URL":"https://edition.cnn.com/2010/WORLD/asiapcf/02/05/india.extinct.tribe/index.html","author":[{"family":"Singh","given":"Harmeet Shah","multi":{"_key":{}}}],"accessed":{"date-parts":[["2020",2,28]]},"issued":{"date-parts":[["2010",2,5]]},"seeAlso":[]}}],"schema":"https://github.com/citation-style-language/schema/raw/master/csl-citation.json"}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Harmeet Shah Singh, </w:t>
      </w:r>
      <w:r w:rsidRPr="000C134C">
        <w:rPr>
          <w:i/>
          <w:kern w:val="18"/>
          <w:sz w:val="18"/>
          <w:szCs w:val="18"/>
          <w:lang w:val="en-GB"/>
        </w:rPr>
        <w:t>‘Ancient Tribe Becomes Extinct as Last Member Dies’</w:t>
      </w:r>
      <w:r w:rsidRPr="000C134C">
        <w:rPr>
          <w:kern w:val="18"/>
          <w:sz w:val="18"/>
          <w:szCs w:val="18"/>
          <w:lang w:val="en-GB"/>
        </w:rPr>
        <w:t xml:space="preserve"> (</w:t>
      </w:r>
      <w:r w:rsidRPr="000C134C">
        <w:rPr>
          <w:i/>
          <w:iCs/>
          <w:kern w:val="18"/>
          <w:sz w:val="18"/>
          <w:szCs w:val="18"/>
          <w:lang w:val="en-GB"/>
        </w:rPr>
        <w:t>CNN.com</w:t>
      </w:r>
      <w:r w:rsidRPr="000C134C">
        <w:rPr>
          <w:kern w:val="18"/>
          <w:sz w:val="18"/>
          <w:szCs w:val="18"/>
          <w:lang w:val="en-GB"/>
        </w:rPr>
        <w:t>, 5 February 2010) &lt;https://edition.cnn.com/2010/WORLD/asiapcf/02/05/india.extinct.tribe/index.html&gt; accessed 28 February 2020.</w:t>
      </w:r>
      <w:r w:rsidRPr="000C134C">
        <w:rPr>
          <w:kern w:val="18"/>
          <w:sz w:val="18"/>
          <w:szCs w:val="18"/>
          <w:lang w:val="en-GB"/>
        </w:rPr>
        <w:fldChar w:fldCharType="end"/>
      </w:r>
    </w:p>
  </w:footnote>
  <w:footnote w:id="184">
    <w:p w14:paraId="47D5B8BD" w14:textId="51ECBBE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Such as Traditional Chinese Medicine. See generally, Xijun Wang, ed., Serum </w:t>
      </w:r>
      <w:proofErr w:type="spellStart"/>
      <w:r w:rsidRPr="000C134C">
        <w:rPr>
          <w:kern w:val="18"/>
          <w:sz w:val="18"/>
          <w:szCs w:val="18"/>
          <w:lang w:val="en-GB"/>
        </w:rPr>
        <w:t>Pharmacochemistry</w:t>
      </w:r>
      <w:proofErr w:type="spellEnd"/>
      <w:r w:rsidRPr="000C134C">
        <w:rPr>
          <w:kern w:val="18"/>
          <w:sz w:val="18"/>
          <w:szCs w:val="18"/>
          <w:lang w:val="en-GB"/>
        </w:rPr>
        <w:t xml:space="preserve"> of Traditional Chinese Medicine: Technologies, Strategies and Applications (Academic Press 2017).</w:t>
      </w:r>
    </w:p>
  </w:footnote>
  <w:footnote w:id="185">
    <w:p w14:paraId="482709C3" w14:textId="2929357E"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{"citationID":"2F8fbOMb","properties":{"formattedCitation":"African Union Scientific Technical Research Commission (n 37) 27.","plainCitation":"African Union Scientific Technical Research Commission (n 37) 27.","noteIndex":181},"citationItems":[{"id":653,"uris":["http://zotero.org/users/local/dU5rpCrq/items/S68BTUW2"],"uri":["http://zotero.org/users/local/dU5rpCrq/items/S68BTUW2"],"itemData":{"id":653,"type":"book","multi":{"main":{},"_keys":{}},"edition":"2","publisher":"African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African Union Scientific Technical Research Commission (n 3</w:t>
      </w:r>
      <w:r w:rsidR="00C13FF2" w:rsidRPr="000C134C">
        <w:rPr>
          <w:kern w:val="18"/>
          <w:sz w:val="18"/>
          <w:szCs w:val="18"/>
          <w:lang w:val="en-GB"/>
        </w:rPr>
        <w:t>9</w:t>
      </w:r>
      <w:r w:rsidRPr="000C134C">
        <w:rPr>
          <w:kern w:val="18"/>
          <w:sz w:val="18"/>
          <w:szCs w:val="18"/>
          <w:lang w:val="en-GB"/>
        </w:rPr>
        <w:t>) 27.</w:t>
      </w:r>
      <w:r w:rsidRPr="000C134C">
        <w:rPr>
          <w:kern w:val="18"/>
          <w:sz w:val="18"/>
          <w:szCs w:val="18"/>
          <w:lang w:val="en-GB"/>
        </w:rPr>
        <w:fldChar w:fldCharType="end"/>
      </w:r>
      <w:r w:rsidRPr="000C134C">
        <w:rPr>
          <w:kern w:val="18"/>
          <w:sz w:val="18"/>
          <w:szCs w:val="18"/>
          <w:lang w:val="en-GB"/>
        </w:rPr>
        <w:t xml:space="preserve"> </w:t>
      </w:r>
    </w:p>
  </w:footnote>
  <w:footnote w:id="186">
    <w:p w14:paraId="3B120EA2" w14:textId="2CF5E097"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{"citationID":"vjdTIEzY","properties":{"formattedCitation":"African Union Scientific Technical Research Commission (n 37).","plainCitation":"African Union Scientific Technical Research Commission (n 37).","noteIndex":182},"citationItems":[{"id":653,"uris":["http://zotero.org/users/local/dU5rpCrq/items/S68BTUW2"],"uri":["http://zotero.org/users/local/dU5rpCrq/items/S68BTUW2"],"itemData":{"id":653,"type":"book","multi":{"main":{},"_keys":{}},"edition":"2","publisher":"African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African Union Scientific Technical Research Commission (n 3</w:t>
      </w:r>
      <w:r w:rsidR="00C13FF2" w:rsidRPr="000C134C">
        <w:rPr>
          <w:kern w:val="18"/>
          <w:sz w:val="18"/>
          <w:szCs w:val="18"/>
          <w:lang w:val="en-GB"/>
        </w:rPr>
        <w:t>9</w:t>
      </w:r>
      <w:r w:rsidRPr="000C134C">
        <w:rPr>
          <w:kern w:val="18"/>
          <w:sz w:val="18"/>
          <w:szCs w:val="18"/>
          <w:lang w:val="en-GB"/>
        </w:rPr>
        <w:t>).</w:t>
      </w:r>
      <w:r w:rsidRPr="000C134C">
        <w:rPr>
          <w:kern w:val="18"/>
          <w:sz w:val="18"/>
          <w:szCs w:val="18"/>
          <w:lang w:val="en-GB"/>
        </w:rPr>
        <w:fldChar w:fldCharType="end"/>
      </w:r>
    </w:p>
  </w:footnote>
  <w:footnote w:id="187">
    <w:p w14:paraId="76D26D47" w14:textId="3CA5E9A4"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{"citationID":"vGMYQ12v","properties":{"formattedCitation":"Daniel E Moerman, {\\i{}Native American Ethnobotany} (Timber Press 1998).","plainCitation":"Daniel E Moerman, Native American Ethnobotany (Timber Press 1998).","noteIndex":183},"citationItems":[{"id":675,"uris":["http://zotero.org/users/local/dU5rpCrq/items/9MCIRM8X"],"uri":["http://zotero.org/users/local/dU5rpCrq/items/9MCIRM8X"],"itemData":{"id":675,"type":"book","multi":{"main":{},"_keys":{}},"publisher":"Timber Press","title":"Native American Ethnobotany","author":[{"family":"Moerman","given":"Daniel E","multi":{"_key":{}}}],"issued":{"date-parts":[["1998"]]},"seeAlso":[]}}],"schema":"https://github.com/citation-style-language/schema/raw/master/csl-citation.json"}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 xml:space="preserve">Daniel E Moerman, </w:t>
      </w:r>
      <w:r w:rsidRPr="000C134C">
        <w:rPr>
          <w:i/>
          <w:iCs/>
          <w:kern w:val="18"/>
          <w:sz w:val="18"/>
          <w:szCs w:val="18"/>
          <w:lang w:val="en-GB"/>
        </w:rPr>
        <w:t>Native American Ethnobotany</w:t>
      </w:r>
      <w:r w:rsidRPr="000C134C">
        <w:rPr>
          <w:kern w:val="18"/>
          <w:sz w:val="18"/>
          <w:szCs w:val="18"/>
          <w:lang w:val="en-GB"/>
        </w:rPr>
        <w:t xml:space="preserve"> (Timber Press 1998).</w:t>
      </w:r>
      <w:r w:rsidRPr="000C134C">
        <w:rPr>
          <w:kern w:val="18"/>
          <w:sz w:val="18"/>
          <w:szCs w:val="18"/>
          <w:lang w:val="en-GB"/>
        </w:rPr>
        <w:fldChar w:fldCharType="end"/>
      </w:r>
      <w:r w:rsidRPr="000C134C">
        <w:rPr>
          <w:kern w:val="18"/>
          <w:sz w:val="18"/>
          <w:szCs w:val="18"/>
          <w:lang w:val="en-GB"/>
        </w:rPr>
        <w:t xml:space="preserve"> Description from Amazon.com &lt;https://www.amazon.com/Native-American-Ethnobotany-Daniel-Moerman/dp/0881924539&gt; accessed 28 February 2020.</w:t>
      </w:r>
    </w:p>
  </w:footnote>
  <w:footnote w:id="188">
    <w:p w14:paraId="7A190311" w14:textId="7D388B3C"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See, e.g., Christina </w:t>
      </w:r>
      <w:proofErr w:type="spellStart"/>
      <w:r w:rsidRPr="000C134C">
        <w:rPr>
          <w:kern w:val="18"/>
          <w:sz w:val="18"/>
          <w:szCs w:val="18"/>
          <w:lang w:val="en-GB"/>
        </w:rPr>
        <w:t>Leza</w:t>
      </w:r>
      <w:proofErr w:type="spellEnd"/>
      <w:r w:rsidRPr="000C134C">
        <w:rPr>
          <w:kern w:val="18"/>
          <w:sz w:val="18"/>
          <w:szCs w:val="18"/>
          <w:lang w:val="en-GB"/>
        </w:rPr>
        <w:t xml:space="preserve">, </w:t>
      </w:r>
      <w:r w:rsidRPr="000C134C">
        <w:rPr>
          <w:bCs/>
          <w:i/>
          <w:kern w:val="18"/>
          <w:sz w:val="18"/>
          <w:szCs w:val="18"/>
          <w:lang w:val="en-GB"/>
        </w:rPr>
        <w:t>For Native Americans, US-Mexico border is an ‘imaginary line’</w:t>
      </w:r>
      <w:r w:rsidRPr="000C134C">
        <w:rPr>
          <w:bCs/>
          <w:kern w:val="18"/>
          <w:sz w:val="18"/>
          <w:szCs w:val="18"/>
          <w:lang w:val="en-GB"/>
        </w:rPr>
        <w:t xml:space="preserve"> (</w:t>
      </w:r>
      <w:r w:rsidRPr="000C134C">
        <w:rPr>
          <w:bCs/>
          <w:i/>
          <w:iCs/>
          <w:kern w:val="18"/>
          <w:sz w:val="18"/>
          <w:szCs w:val="18"/>
          <w:lang w:val="en-GB"/>
        </w:rPr>
        <w:t>The Conversation</w:t>
      </w:r>
      <w:r w:rsidRPr="000C134C">
        <w:rPr>
          <w:bCs/>
          <w:kern w:val="18"/>
          <w:sz w:val="18"/>
          <w:szCs w:val="18"/>
          <w:lang w:val="en-GB"/>
        </w:rPr>
        <w:t>, 19 March</w:t>
      </w:r>
      <w:r w:rsidRPr="000C134C" w:rsidDel="00214AF0">
        <w:rPr>
          <w:bCs/>
          <w:kern w:val="18"/>
          <w:sz w:val="18"/>
          <w:szCs w:val="18"/>
          <w:lang w:val="en-GB"/>
        </w:rPr>
        <w:t xml:space="preserve"> </w:t>
      </w:r>
      <w:r w:rsidRPr="000C134C">
        <w:rPr>
          <w:bCs/>
          <w:kern w:val="18"/>
          <w:sz w:val="18"/>
          <w:szCs w:val="18"/>
          <w:lang w:val="en-GB"/>
        </w:rPr>
        <w:t>2019) &lt;</w:t>
      </w:r>
      <w:hyperlink r:id="rId17" w:history="1">
        <w:r w:rsidRPr="000C134C">
          <w:rPr>
            <w:rStyle w:val="Hyperlink"/>
            <w:bCs/>
            <w:color w:val="auto"/>
            <w:kern w:val="18"/>
            <w:sz w:val="18"/>
            <w:szCs w:val="18"/>
            <w:lang w:val="en-GB"/>
          </w:rPr>
          <w:t>https://theconversation.com/for-native-americans-us-mexico-border-is-an-imaginary-line-111043</w:t>
        </w:r>
      </w:hyperlink>
      <w:r w:rsidRPr="000C134C">
        <w:rPr>
          <w:bCs/>
          <w:kern w:val="18"/>
          <w:sz w:val="18"/>
          <w:szCs w:val="18"/>
          <w:lang w:val="en-GB"/>
        </w:rPr>
        <w:t>&gt; accessed 23 May 2020, noting that “Today, tens of thousands of people belonging to U.S. Native tribes live in the Mexican states of Baja California, Sonora, Coahuila and Chihuahua, . .  Many Native Americans . . . call the U.S.-Mexico border “the imaginary line” – an invisible boundary created by colonial powers that claim sovereign indigenous territories as their own</w:t>
      </w:r>
      <w:proofErr w:type="gramStart"/>
      <w:r w:rsidRPr="000C134C">
        <w:rPr>
          <w:bCs/>
          <w:kern w:val="18"/>
          <w:sz w:val="18"/>
          <w:szCs w:val="18"/>
          <w:lang w:val="en-GB"/>
        </w:rPr>
        <w:t>. . . .</w:t>
      </w:r>
      <w:proofErr w:type="gramEnd"/>
      <w:r w:rsidRPr="000C134C">
        <w:rPr>
          <w:bCs/>
          <w:kern w:val="18"/>
          <w:sz w:val="18"/>
          <w:szCs w:val="18"/>
          <w:lang w:val="en-GB"/>
        </w:rPr>
        <w:t xml:space="preserve"> Officially, various federal laws and treaties affirm the rights of federally recognized tribes to cross between the U.S., Mexico and Canada.”</w:t>
      </w:r>
    </w:p>
  </w:footnote>
  <w:footnote w:id="189">
    <w:p w14:paraId="29978EC9" w14:textId="264C49CB"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FPW, Interview with expert in ethnobotany (2020). </w:t>
      </w:r>
    </w:p>
  </w:footnote>
  <w:footnote w:id="190">
    <w:p w14:paraId="3545DE39" w14:textId="6FB5D513"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t>
      </w:r>
      <w:r w:rsidRPr="000C134C">
        <w:rPr>
          <w:kern w:val="18"/>
          <w:sz w:val="18"/>
          <w:szCs w:val="18"/>
          <w:lang w:val="en-GB"/>
        </w:rPr>
        <w:fldChar w:fldCharType="begin"/>
      </w:r>
      <w:r w:rsidRPr="000C134C">
        <w:rPr>
          <w:kern w:val="18"/>
          <w:sz w:val="18"/>
          <w:szCs w:val="18"/>
          <w:lang w:val="en-GB"/>
        </w:rPr>
        <w:instrText xml:space="preserve"> ADDIN ZOTERO_ITEM CSL_CITATION {"citationID":"nA0kb4iQ","properties":{"formattedCitation":"Dutfield (n 32) 262\\uc0\\u8211{}63.","plainCitation":"Dutfield (n 32) 262–63.","noteIndex":186},"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0C134C">
        <w:rPr>
          <w:kern w:val="18"/>
          <w:sz w:val="18"/>
          <w:szCs w:val="18"/>
          <w:lang w:val="en-GB"/>
        </w:rPr>
        <w:fldChar w:fldCharType="separate"/>
      </w:r>
      <w:r w:rsidRPr="000C134C">
        <w:rPr>
          <w:kern w:val="18"/>
          <w:sz w:val="18"/>
          <w:szCs w:val="18"/>
          <w:lang w:val="en-GB"/>
        </w:rPr>
        <w:t>Dutfield (n 3</w:t>
      </w:r>
      <w:r w:rsidR="00C13FF2" w:rsidRPr="000C134C">
        <w:rPr>
          <w:kern w:val="18"/>
          <w:sz w:val="18"/>
          <w:szCs w:val="18"/>
          <w:lang w:val="en-GB"/>
        </w:rPr>
        <w:t>4</w:t>
      </w:r>
      <w:r w:rsidRPr="000C134C">
        <w:rPr>
          <w:kern w:val="18"/>
          <w:sz w:val="18"/>
          <w:szCs w:val="18"/>
          <w:lang w:val="en-GB"/>
        </w:rPr>
        <w:t>) 262–63.</w:t>
      </w:r>
      <w:r w:rsidRPr="000C134C">
        <w:rPr>
          <w:kern w:val="18"/>
          <w:sz w:val="18"/>
          <w:szCs w:val="18"/>
          <w:lang w:val="en-GB"/>
        </w:rPr>
        <w:fldChar w:fldCharType="end"/>
      </w:r>
    </w:p>
  </w:footnote>
  <w:footnote w:id="191">
    <w:p w14:paraId="4F1FE4E0" w14:textId="2DBC1A09" w:rsidR="007511AF" w:rsidRPr="000C134C" w:rsidRDefault="007511AF" w:rsidP="00F43F79">
      <w:pPr>
        <w:pStyle w:val="FootnoteText"/>
        <w:spacing w:before="20" w:after="20"/>
        <w:ind w:left="284" w:hanging="288"/>
        <w:rPr>
          <w:kern w:val="18"/>
          <w:sz w:val="18"/>
          <w:szCs w:val="18"/>
          <w:lang w:val="en-GB"/>
        </w:rPr>
      </w:pPr>
      <w:r w:rsidRPr="000C134C">
        <w:rPr>
          <w:rStyle w:val="FootnoteReference"/>
          <w:kern w:val="18"/>
          <w:sz w:val="18"/>
          <w:szCs w:val="18"/>
          <w:lang w:val="en-GB"/>
        </w:rPr>
        <w:footnoteRef/>
      </w:r>
      <w:r w:rsidRPr="000C134C">
        <w:rPr>
          <w:kern w:val="18"/>
          <w:sz w:val="18"/>
          <w:szCs w:val="18"/>
          <w:lang w:val="en-GB"/>
        </w:rPr>
        <w:fldChar w:fldCharType="begin"/>
      </w:r>
      <w:r w:rsidRPr="000C134C">
        <w:rPr>
          <w:kern w:val="18"/>
          <w:sz w:val="18"/>
          <w:szCs w:val="18"/>
          <w:lang w:val="en-GB"/>
        </w:rPr>
        <w:instrText xml:space="preserve"> ADDIN ZOTERO_ITEM CSL_CITATION {"citationID":"6X0khK7U","properties":{"formattedCitation":"ibid.","plainCitation":"ibid.","noteIndex":187},"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0C134C">
        <w:rPr>
          <w:kern w:val="18"/>
          <w:sz w:val="18"/>
          <w:szCs w:val="18"/>
          <w:lang w:val="en-GB"/>
        </w:rPr>
        <w:fldChar w:fldCharType="separate"/>
      </w:r>
      <w:r w:rsidR="00C13FF2" w:rsidRPr="000C134C">
        <w:rPr>
          <w:kern w:val="18"/>
          <w:sz w:val="18"/>
          <w:szCs w:val="18"/>
          <w:lang w:val="en-GB"/>
        </w:rPr>
        <w:t>I</w:t>
      </w:r>
      <w:r w:rsidRPr="000C134C">
        <w:rPr>
          <w:kern w:val="18"/>
          <w:sz w:val="18"/>
          <w:szCs w:val="18"/>
          <w:lang w:val="en-GB"/>
        </w:rPr>
        <w:t>bid.</w:t>
      </w:r>
      <w:r w:rsidRPr="000C134C">
        <w:rPr>
          <w:kern w:val="18"/>
          <w:sz w:val="18"/>
          <w:szCs w:val="18"/>
          <w:lang w:val="en-GB"/>
        </w:rPr>
        <w:fldChar w:fldCharType="end"/>
      </w:r>
    </w:p>
  </w:footnote>
  <w:footnote w:id="192">
    <w:p w14:paraId="48F62BF9" w14:textId="380FFDF4" w:rsidR="007511AF" w:rsidRPr="000C134C" w:rsidRDefault="007511AF" w:rsidP="00F43F79">
      <w:pPr>
        <w:pStyle w:val="FootnoteText"/>
        <w:spacing w:before="20" w:after="20"/>
        <w:rPr>
          <w:kern w:val="18"/>
          <w:sz w:val="18"/>
          <w:szCs w:val="18"/>
          <w:lang w:val="en-GB"/>
        </w:rPr>
      </w:pPr>
      <w:r w:rsidRPr="000C134C">
        <w:rPr>
          <w:rStyle w:val="FootnoteReference"/>
          <w:kern w:val="18"/>
          <w:sz w:val="18"/>
          <w:szCs w:val="18"/>
          <w:lang w:val="en-GB"/>
        </w:rPr>
        <w:footnoteRef/>
      </w:r>
      <w:r w:rsidRPr="000C134C">
        <w:rPr>
          <w:kern w:val="18"/>
          <w:sz w:val="18"/>
          <w:szCs w:val="18"/>
          <w:lang w:val="en-GB"/>
        </w:rPr>
        <w:t xml:space="preserve"> We note that such information often is included as notes on herbarium sheets. For new acquisitions it is possible to seek PIC from IPLCs and this is generally considered good practice (cf. CETAF Code of Conduct, page 6 footnote 10 and Annex 2 Section 1).</w:t>
      </w:r>
    </w:p>
  </w:footnote>
  <w:footnote w:id="193">
    <w:p w14:paraId="2A0529D5" w14:textId="05264EC0" w:rsidR="007511AF" w:rsidRPr="000C134C" w:rsidRDefault="007511AF" w:rsidP="00F43F79">
      <w:pPr>
        <w:spacing w:before="20" w:after="20"/>
        <w:ind w:left="284" w:hanging="288"/>
        <w:rPr>
          <w:rFonts w:cs="Times New Roman"/>
          <w:kern w:val="18"/>
          <w:sz w:val="18"/>
          <w:szCs w:val="18"/>
          <w:lang w:val="en-GB"/>
        </w:rPr>
      </w:pPr>
      <w:r w:rsidRPr="000C134C">
        <w:rPr>
          <w:rStyle w:val="FootnoteReference"/>
          <w:rFonts w:cs="Times New Roman"/>
          <w:kern w:val="18"/>
          <w:sz w:val="18"/>
          <w:szCs w:val="18"/>
          <w:lang w:val="en-GB"/>
        </w:rPr>
        <w:footnoteRef/>
      </w:r>
      <w:r w:rsidRPr="000C134C">
        <w:rPr>
          <w:rFonts w:cs="Times New Roman"/>
          <w:kern w:val="18"/>
          <w:sz w:val="18"/>
          <w:szCs w:val="18"/>
          <w:lang w:val="en-GB"/>
        </w:rPr>
        <w:t xml:space="preserve"> </w:t>
      </w:r>
      <w:r w:rsidRPr="000C134C">
        <w:rPr>
          <w:rFonts w:cs="Times New Roman"/>
          <w:color w:val="000000" w:themeColor="text1"/>
          <w:kern w:val="18"/>
          <w:sz w:val="18"/>
          <w:szCs w:val="18"/>
          <w:lang w:val="en-GB"/>
        </w:rPr>
        <w:t>MB, Interview with expert in ethnobotany</w:t>
      </w:r>
      <w:r w:rsidRPr="000C134C" w:rsidDel="007612B8">
        <w:rPr>
          <w:rFonts w:cs="Times New Roman"/>
          <w:color w:val="000000" w:themeColor="text1"/>
          <w:kern w:val="18"/>
          <w:sz w:val="18"/>
          <w:szCs w:val="18"/>
          <w:lang w:val="en-GB"/>
        </w:rPr>
        <w:t xml:space="preserve"> </w:t>
      </w:r>
      <w:r w:rsidRPr="000C134C">
        <w:rPr>
          <w:rFonts w:cs="Times New Roman"/>
          <w:color w:val="000000" w:themeColor="text1"/>
          <w:kern w:val="18"/>
          <w:sz w:val="18"/>
          <w:szCs w:val="18"/>
          <w:lang w:val="en-GB"/>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79B" w14:textId="77777777" w:rsidR="0029684B" w:rsidRPr="00A2063C" w:rsidRDefault="0029684B" w:rsidP="0029684B">
    <w:pPr>
      <w:pStyle w:val="Header"/>
      <w:rPr>
        <w:sz w:val="22"/>
      </w:rPr>
    </w:pPr>
    <w:r w:rsidRPr="00A2063C">
      <w:rPr>
        <w:sz w:val="22"/>
      </w:rPr>
      <w:t>CBD/SBI/3/15/Add.1</w:t>
    </w:r>
  </w:p>
  <w:p w14:paraId="16821A78" w14:textId="1D8EE494" w:rsidR="0029684B" w:rsidRPr="00A2063C" w:rsidRDefault="0029684B" w:rsidP="00A2063C">
    <w:pPr>
      <w:pStyle w:val="Header"/>
      <w:spacing w:after="240"/>
      <w:rPr>
        <w:sz w:val="22"/>
      </w:rPr>
    </w:pPr>
    <w:r w:rsidRPr="00A2063C">
      <w:rPr>
        <w:sz w:val="22"/>
      </w:rPr>
      <w:t xml:space="preserve">Page </w:t>
    </w:r>
    <w:r w:rsidRPr="00A2063C">
      <w:rPr>
        <w:sz w:val="22"/>
      </w:rPr>
      <w:fldChar w:fldCharType="begin"/>
    </w:r>
    <w:r w:rsidRPr="00A2063C">
      <w:rPr>
        <w:sz w:val="22"/>
      </w:rPr>
      <w:instrText xml:space="preserve"> PAGE   \* MERGEFORMAT </w:instrText>
    </w:r>
    <w:r w:rsidRPr="00A2063C">
      <w:rPr>
        <w:sz w:val="22"/>
      </w:rPr>
      <w:fldChar w:fldCharType="separate"/>
    </w:r>
    <w:r w:rsidRPr="00A2063C">
      <w:rPr>
        <w:sz w:val="22"/>
      </w:rPr>
      <w:t>2</w:t>
    </w:r>
    <w:r w:rsidRPr="00A2063C">
      <w:rPr>
        <w:noProof/>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2694" w14:textId="7556CB36" w:rsidR="007511AF" w:rsidRPr="00A2063C" w:rsidRDefault="0029684B" w:rsidP="00A2063C">
    <w:pPr>
      <w:pStyle w:val="Header"/>
      <w:jc w:val="right"/>
      <w:rPr>
        <w:sz w:val="22"/>
      </w:rPr>
    </w:pPr>
    <w:r w:rsidRPr="00A2063C">
      <w:rPr>
        <w:sz w:val="22"/>
      </w:rPr>
      <w:t>CBD/SBI/3/15/Add.1</w:t>
    </w:r>
  </w:p>
  <w:p w14:paraId="1DBED70C" w14:textId="210350BF" w:rsidR="0029684B" w:rsidRPr="00A2063C" w:rsidRDefault="0029684B" w:rsidP="00A2063C">
    <w:pPr>
      <w:pStyle w:val="Header"/>
      <w:spacing w:after="240"/>
      <w:jc w:val="right"/>
      <w:rPr>
        <w:sz w:val="22"/>
      </w:rPr>
    </w:pPr>
    <w:r w:rsidRPr="00A2063C">
      <w:rPr>
        <w:sz w:val="22"/>
      </w:rPr>
      <w:t xml:space="preserve">Page </w:t>
    </w:r>
    <w:r w:rsidRPr="00A2063C">
      <w:rPr>
        <w:sz w:val="22"/>
      </w:rPr>
      <w:fldChar w:fldCharType="begin"/>
    </w:r>
    <w:r w:rsidRPr="00A2063C">
      <w:rPr>
        <w:sz w:val="22"/>
      </w:rPr>
      <w:instrText xml:space="preserve"> PAGE   \* MERGEFORMAT </w:instrText>
    </w:r>
    <w:r w:rsidRPr="00A2063C">
      <w:rPr>
        <w:sz w:val="22"/>
      </w:rPr>
      <w:fldChar w:fldCharType="separate"/>
    </w:r>
    <w:r w:rsidRPr="00A2063C">
      <w:rPr>
        <w:noProof/>
        <w:sz w:val="22"/>
      </w:rPr>
      <w:t>1</w:t>
    </w:r>
    <w:r w:rsidRPr="00A2063C">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8"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8CAAF44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845D3E"/>
    <w:multiLevelType w:val="multilevel"/>
    <w:tmpl w:val="674AD988"/>
    <w:lvl w:ilvl="0">
      <w:start w:val="1"/>
      <w:numFmt w:val="decimal"/>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25"/>
  </w:num>
  <w:num w:numId="5">
    <w:abstractNumId w:val="2"/>
  </w:num>
  <w:num w:numId="6">
    <w:abstractNumId w:val="9"/>
  </w:num>
  <w:num w:numId="7">
    <w:abstractNumId w:val="9"/>
    <w:lvlOverride w:ilvl="0">
      <w:startOverride w:val="1"/>
    </w:lvlOverride>
  </w:num>
  <w:num w:numId="8">
    <w:abstractNumId w:val="13"/>
  </w:num>
  <w:num w:numId="9">
    <w:abstractNumId w:val="9"/>
    <w:lvlOverride w:ilvl="0">
      <w:startOverride w:val="4"/>
    </w:lvlOverride>
    <w:lvlOverride w:ilvl="1">
      <w:startOverride w:val="2"/>
    </w:lvlOverride>
    <w:lvlOverride w:ilvl="2">
      <w:startOverride w:val="3"/>
    </w:lvlOverride>
  </w:num>
  <w:num w:numId="10">
    <w:abstractNumId w:val="6"/>
  </w:num>
  <w:num w:numId="11">
    <w:abstractNumId w:val="5"/>
  </w:num>
  <w:num w:numId="12">
    <w:abstractNumId w:val="7"/>
  </w:num>
  <w:num w:numId="13">
    <w:abstractNumId w:val="1"/>
  </w:num>
  <w:num w:numId="14">
    <w:abstractNumId w:val="27"/>
  </w:num>
  <w:num w:numId="15">
    <w:abstractNumId w:val="27"/>
  </w:num>
  <w:num w:numId="16">
    <w:abstractNumId w:val="19"/>
  </w:num>
  <w:num w:numId="17">
    <w:abstractNumId w:val="26"/>
  </w:num>
  <w:num w:numId="18">
    <w:abstractNumId w:val="18"/>
  </w:num>
  <w:num w:numId="19">
    <w:abstractNumId w:val="0"/>
  </w:num>
  <w:num w:numId="20">
    <w:abstractNumId w:val="8"/>
  </w:num>
  <w:num w:numId="21">
    <w:abstractNumId w:val="11"/>
  </w:num>
  <w:num w:numId="22">
    <w:abstractNumId w:val="12"/>
  </w:num>
  <w:num w:numId="23">
    <w:abstractNumId w:val="3"/>
  </w:num>
  <w:num w:numId="24">
    <w:abstractNumId w:val="17"/>
  </w:num>
  <w:num w:numId="25">
    <w:abstractNumId w:val="21"/>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4"/>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PE" w:vendorID="64" w:dllVersion="6" w:nlCheck="1" w:checkStyle="0"/>
  <w:activeWritingStyle w:appName="MSWord" w:lang="en-US" w:vendorID="64" w:dllVersion="0" w:nlCheck="1" w:checkStyle="0"/>
  <w:activeWritingStyle w:appName="MSWord" w:lang="en-CA" w:vendorID="64" w:dllVersion="0" w:nlCheck="1" w:checkStyle="0"/>
  <w:activeWritingStyle w:appName="MSWord" w:lang="es-PE" w:vendorID="64" w:dllVersion="0" w:nlCheck="1" w:checkStyle="0"/>
  <w:activeWritingStyle w:appName="MSWord" w:lang="fr-CH"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CB"/>
    <w:rsid w:val="00000296"/>
    <w:rsid w:val="000007D2"/>
    <w:rsid w:val="00000F5B"/>
    <w:rsid w:val="00001CA5"/>
    <w:rsid w:val="00001E80"/>
    <w:rsid w:val="00002237"/>
    <w:rsid w:val="0000240C"/>
    <w:rsid w:val="00002A23"/>
    <w:rsid w:val="00003143"/>
    <w:rsid w:val="000034CF"/>
    <w:rsid w:val="000035FD"/>
    <w:rsid w:val="0000385D"/>
    <w:rsid w:val="00003C45"/>
    <w:rsid w:val="00004A52"/>
    <w:rsid w:val="0000564B"/>
    <w:rsid w:val="000065F4"/>
    <w:rsid w:val="0000663C"/>
    <w:rsid w:val="000068AE"/>
    <w:rsid w:val="0000766A"/>
    <w:rsid w:val="00010C4A"/>
    <w:rsid w:val="00010E0B"/>
    <w:rsid w:val="00010FD6"/>
    <w:rsid w:val="000112C2"/>
    <w:rsid w:val="000114D5"/>
    <w:rsid w:val="000118F2"/>
    <w:rsid w:val="000122FE"/>
    <w:rsid w:val="00013020"/>
    <w:rsid w:val="0001332F"/>
    <w:rsid w:val="0001337F"/>
    <w:rsid w:val="00013DDB"/>
    <w:rsid w:val="0001410A"/>
    <w:rsid w:val="00016809"/>
    <w:rsid w:val="00016D6C"/>
    <w:rsid w:val="000173EB"/>
    <w:rsid w:val="000178F6"/>
    <w:rsid w:val="00020DEF"/>
    <w:rsid w:val="00020EA7"/>
    <w:rsid w:val="000222FB"/>
    <w:rsid w:val="00022BA5"/>
    <w:rsid w:val="000232D2"/>
    <w:rsid w:val="0002440E"/>
    <w:rsid w:val="00025446"/>
    <w:rsid w:val="00025590"/>
    <w:rsid w:val="00025A3F"/>
    <w:rsid w:val="000263F4"/>
    <w:rsid w:val="00026617"/>
    <w:rsid w:val="0002672C"/>
    <w:rsid w:val="00026AE8"/>
    <w:rsid w:val="000270D1"/>
    <w:rsid w:val="000272F9"/>
    <w:rsid w:val="000274F4"/>
    <w:rsid w:val="00027572"/>
    <w:rsid w:val="00027648"/>
    <w:rsid w:val="00027911"/>
    <w:rsid w:val="00027D65"/>
    <w:rsid w:val="00027F16"/>
    <w:rsid w:val="000311D4"/>
    <w:rsid w:val="00031EF0"/>
    <w:rsid w:val="000326AB"/>
    <w:rsid w:val="000326BA"/>
    <w:rsid w:val="000334B0"/>
    <w:rsid w:val="00034041"/>
    <w:rsid w:val="00034EF8"/>
    <w:rsid w:val="00035231"/>
    <w:rsid w:val="00035551"/>
    <w:rsid w:val="00035946"/>
    <w:rsid w:val="00036CB5"/>
    <w:rsid w:val="00036FB3"/>
    <w:rsid w:val="000370B4"/>
    <w:rsid w:val="00037E3D"/>
    <w:rsid w:val="000402AC"/>
    <w:rsid w:val="0004036A"/>
    <w:rsid w:val="0004047D"/>
    <w:rsid w:val="00040554"/>
    <w:rsid w:val="000411F6"/>
    <w:rsid w:val="000429A5"/>
    <w:rsid w:val="000431D0"/>
    <w:rsid w:val="000439F1"/>
    <w:rsid w:val="000441F6"/>
    <w:rsid w:val="00044FC5"/>
    <w:rsid w:val="0004506F"/>
    <w:rsid w:val="000465EB"/>
    <w:rsid w:val="00046603"/>
    <w:rsid w:val="00046E20"/>
    <w:rsid w:val="000474D3"/>
    <w:rsid w:val="00047BBB"/>
    <w:rsid w:val="00047F88"/>
    <w:rsid w:val="00051012"/>
    <w:rsid w:val="00052E6D"/>
    <w:rsid w:val="00053AA9"/>
    <w:rsid w:val="000548E2"/>
    <w:rsid w:val="00055966"/>
    <w:rsid w:val="00055BEE"/>
    <w:rsid w:val="000561F0"/>
    <w:rsid w:val="000565D8"/>
    <w:rsid w:val="000569A1"/>
    <w:rsid w:val="00057A1A"/>
    <w:rsid w:val="00057BE5"/>
    <w:rsid w:val="0006089A"/>
    <w:rsid w:val="00060B66"/>
    <w:rsid w:val="00061128"/>
    <w:rsid w:val="00061470"/>
    <w:rsid w:val="0006156C"/>
    <w:rsid w:val="0006174A"/>
    <w:rsid w:val="00061AD5"/>
    <w:rsid w:val="00062063"/>
    <w:rsid w:val="0006244B"/>
    <w:rsid w:val="00062503"/>
    <w:rsid w:val="000625B4"/>
    <w:rsid w:val="000625BB"/>
    <w:rsid w:val="00062849"/>
    <w:rsid w:val="00062B7E"/>
    <w:rsid w:val="00062CB8"/>
    <w:rsid w:val="000630CC"/>
    <w:rsid w:val="0006319F"/>
    <w:rsid w:val="000634AC"/>
    <w:rsid w:val="00063CA6"/>
    <w:rsid w:val="00063E83"/>
    <w:rsid w:val="000648B0"/>
    <w:rsid w:val="00064A8E"/>
    <w:rsid w:val="00066081"/>
    <w:rsid w:val="00066181"/>
    <w:rsid w:val="00066563"/>
    <w:rsid w:val="00066698"/>
    <w:rsid w:val="00066BB1"/>
    <w:rsid w:val="00066BD7"/>
    <w:rsid w:val="00066C91"/>
    <w:rsid w:val="0006734D"/>
    <w:rsid w:val="000679A7"/>
    <w:rsid w:val="00067F0E"/>
    <w:rsid w:val="0007035B"/>
    <w:rsid w:val="00070B49"/>
    <w:rsid w:val="00070BCA"/>
    <w:rsid w:val="00071295"/>
    <w:rsid w:val="000719AF"/>
    <w:rsid w:val="000721F5"/>
    <w:rsid w:val="000733F3"/>
    <w:rsid w:val="00073444"/>
    <w:rsid w:val="00073C95"/>
    <w:rsid w:val="00074C59"/>
    <w:rsid w:val="00074EFA"/>
    <w:rsid w:val="0007575A"/>
    <w:rsid w:val="00075E61"/>
    <w:rsid w:val="00075E8B"/>
    <w:rsid w:val="000760F0"/>
    <w:rsid w:val="000764BC"/>
    <w:rsid w:val="00076C87"/>
    <w:rsid w:val="000770EA"/>
    <w:rsid w:val="0007718A"/>
    <w:rsid w:val="000771C8"/>
    <w:rsid w:val="000776D2"/>
    <w:rsid w:val="00077A51"/>
    <w:rsid w:val="00077DB3"/>
    <w:rsid w:val="00077E18"/>
    <w:rsid w:val="000803D5"/>
    <w:rsid w:val="00080998"/>
    <w:rsid w:val="00080B47"/>
    <w:rsid w:val="00080BD7"/>
    <w:rsid w:val="0008155A"/>
    <w:rsid w:val="00081AD1"/>
    <w:rsid w:val="00081B3D"/>
    <w:rsid w:val="00082187"/>
    <w:rsid w:val="00082384"/>
    <w:rsid w:val="00083E1A"/>
    <w:rsid w:val="000853B5"/>
    <w:rsid w:val="00086964"/>
    <w:rsid w:val="00086E0A"/>
    <w:rsid w:val="00087211"/>
    <w:rsid w:val="0008769C"/>
    <w:rsid w:val="00087C3A"/>
    <w:rsid w:val="00090361"/>
    <w:rsid w:val="0009181B"/>
    <w:rsid w:val="00092035"/>
    <w:rsid w:val="00092C4D"/>
    <w:rsid w:val="00093519"/>
    <w:rsid w:val="0009361E"/>
    <w:rsid w:val="00093953"/>
    <w:rsid w:val="00093E5A"/>
    <w:rsid w:val="000945CF"/>
    <w:rsid w:val="00094BA0"/>
    <w:rsid w:val="00095B4B"/>
    <w:rsid w:val="00096291"/>
    <w:rsid w:val="000968D2"/>
    <w:rsid w:val="000977A1"/>
    <w:rsid w:val="00097C11"/>
    <w:rsid w:val="000A085D"/>
    <w:rsid w:val="000A0B87"/>
    <w:rsid w:val="000A1718"/>
    <w:rsid w:val="000A4A09"/>
    <w:rsid w:val="000A4BBF"/>
    <w:rsid w:val="000A4D3E"/>
    <w:rsid w:val="000A4FC1"/>
    <w:rsid w:val="000A5049"/>
    <w:rsid w:val="000A5136"/>
    <w:rsid w:val="000A5F88"/>
    <w:rsid w:val="000A6072"/>
    <w:rsid w:val="000B0175"/>
    <w:rsid w:val="000B0401"/>
    <w:rsid w:val="000B089E"/>
    <w:rsid w:val="000B0A85"/>
    <w:rsid w:val="000B1073"/>
    <w:rsid w:val="000B154B"/>
    <w:rsid w:val="000B16C0"/>
    <w:rsid w:val="000B2145"/>
    <w:rsid w:val="000B2352"/>
    <w:rsid w:val="000B293B"/>
    <w:rsid w:val="000B2951"/>
    <w:rsid w:val="000B2B2F"/>
    <w:rsid w:val="000B37A1"/>
    <w:rsid w:val="000B37EC"/>
    <w:rsid w:val="000B3E85"/>
    <w:rsid w:val="000B44EF"/>
    <w:rsid w:val="000B5016"/>
    <w:rsid w:val="000B5E02"/>
    <w:rsid w:val="000B6128"/>
    <w:rsid w:val="000B62EC"/>
    <w:rsid w:val="000B6975"/>
    <w:rsid w:val="000B6ABF"/>
    <w:rsid w:val="000B705A"/>
    <w:rsid w:val="000B7070"/>
    <w:rsid w:val="000B723E"/>
    <w:rsid w:val="000B7436"/>
    <w:rsid w:val="000B76D3"/>
    <w:rsid w:val="000B7963"/>
    <w:rsid w:val="000C03C2"/>
    <w:rsid w:val="000C0622"/>
    <w:rsid w:val="000C11D6"/>
    <w:rsid w:val="000C134C"/>
    <w:rsid w:val="000C2DA7"/>
    <w:rsid w:val="000C3996"/>
    <w:rsid w:val="000C3B3B"/>
    <w:rsid w:val="000C3B82"/>
    <w:rsid w:val="000C3E30"/>
    <w:rsid w:val="000C4357"/>
    <w:rsid w:val="000C435D"/>
    <w:rsid w:val="000C4E10"/>
    <w:rsid w:val="000C522B"/>
    <w:rsid w:val="000C5621"/>
    <w:rsid w:val="000C5E68"/>
    <w:rsid w:val="000C5F33"/>
    <w:rsid w:val="000C70B5"/>
    <w:rsid w:val="000C7CBD"/>
    <w:rsid w:val="000D03F4"/>
    <w:rsid w:val="000D042F"/>
    <w:rsid w:val="000D093A"/>
    <w:rsid w:val="000D1782"/>
    <w:rsid w:val="000D2624"/>
    <w:rsid w:val="000D26FB"/>
    <w:rsid w:val="000D27B7"/>
    <w:rsid w:val="000D34C5"/>
    <w:rsid w:val="000D42CB"/>
    <w:rsid w:val="000D59DB"/>
    <w:rsid w:val="000D5A1F"/>
    <w:rsid w:val="000D5BFB"/>
    <w:rsid w:val="000D5D68"/>
    <w:rsid w:val="000D5E73"/>
    <w:rsid w:val="000D6F06"/>
    <w:rsid w:val="000D71E6"/>
    <w:rsid w:val="000E0F4E"/>
    <w:rsid w:val="000E151C"/>
    <w:rsid w:val="000E22C8"/>
    <w:rsid w:val="000E3E9F"/>
    <w:rsid w:val="000E4091"/>
    <w:rsid w:val="000E46A2"/>
    <w:rsid w:val="000E4AC5"/>
    <w:rsid w:val="000E50B6"/>
    <w:rsid w:val="000E51CA"/>
    <w:rsid w:val="000E540B"/>
    <w:rsid w:val="000E6890"/>
    <w:rsid w:val="000E6D3E"/>
    <w:rsid w:val="000E795F"/>
    <w:rsid w:val="000F018B"/>
    <w:rsid w:val="000F0601"/>
    <w:rsid w:val="000F0DCC"/>
    <w:rsid w:val="000F118A"/>
    <w:rsid w:val="000F155E"/>
    <w:rsid w:val="000F1743"/>
    <w:rsid w:val="000F1B2B"/>
    <w:rsid w:val="000F1CEE"/>
    <w:rsid w:val="000F202E"/>
    <w:rsid w:val="000F2A77"/>
    <w:rsid w:val="000F2DE8"/>
    <w:rsid w:val="000F35E3"/>
    <w:rsid w:val="000F370A"/>
    <w:rsid w:val="000F3D2E"/>
    <w:rsid w:val="000F40F5"/>
    <w:rsid w:val="000F4797"/>
    <w:rsid w:val="000F506F"/>
    <w:rsid w:val="000F5FF0"/>
    <w:rsid w:val="000F6269"/>
    <w:rsid w:val="000F6720"/>
    <w:rsid w:val="000F6D2A"/>
    <w:rsid w:val="000F7574"/>
    <w:rsid w:val="000F7990"/>
    <w:rsid w:val="000F7A81"/>
    <w:rsid w:val="00100087"/>
    <w:rsid w:val="001000E5"/>
    <w:rsid w:val="001007E8"/>
    <w:rsid w:val="001008FA"/>
    <w:rsid w:val="00100D16"/>
    <w:rsid w:val="001028E6"/>
    <w:rsid w:val="001029D1"/>
    <w:rsid w:val="00103BB3"/>
    <w:rsid w:val="0010415A"/>
    <w:rsid w:val="00104852"/>
    <w:rsid w:val="00104883"/>
    <w:rsid w:val="001049FE"/>
    <w:rsid w:val="0010507D"/>
    <w:rsid w:val="001054DB"/>
    <w:rsid w:val="0010576F"/>
    <w:rsid w:val="00106224"/>
    <w:rsid w:val="00106C76"/>
    <w:rsid w:val="0010709D"/>
    <w:rsid w:val="0010733A"/>
    <w:rsid w:val="00107E77"/>
    <w:rsid w:val="00110587"/>
    <w:rsid w:val="001110B0"/>
    <w:rsid w:val="00111557"/>
    <w:rsid w:val="0011189B"/>
    <w:rsid w:val="00111AF2"/>
    <w:rsid w:val="001129FF"/>
    <w:rsid w:val="00112AA9"/>
    <w:rsid w:val="00112AD2"/>
    <w:rsid w:val="00113174"/>
    <w:rsid w:val="00113330"/>
    <w:rsid w:val="00113BA7"/>
    <w:rsid w:val="00114025"/>
    <w:rsid w:val="00114144"/>
    <w:rsid w:val="0011445D"/>
    <w:rsid w:val="0011455A"/>
    <w:rsid w:val="00114A0F"/>
    <w:rsid w:val="00114AA4"/>
    <w:rsid w:val="00114BDD"/>
    <w:rsid w:val="00114C99"/>
    <w:rsid w:val="0011503B"/>
    <w:rsid w:val="00115662"/>
    <w:rsid w:val="001156D2"/>
    <w:rsid w:val="001159E6"/>
    <w:rsid w:val="00115F76"/>
    <w:rsid w:val="001166CB"/>
    <w:rsid w:val="00116765"/>
    <w:rsid w:val="00116918"/>
    <w:rsid w:val="001206F4"/>
    <w:rsid w:val="001212F0"/>
    <w:rsid w:val="001219B5"/>
    <w:rsid w:val="001219E9"/>
    <w:rsid w:val="001220E6"/>
    <w:rsid w:val="00122644"/>
    <w:rsid w:val="00122A40"/>
    <w:rsid w:val="00122A5F"/>
    <w:rsid w:val="001234CA"/>
    <w:rsid w:val="00123D59"/>
    <w:rsid w:val="0012462D"/>
    <w:rsid w:val="001250EC"/>
    <w:rsid w:val="00125516"/>
    <w:rsid w:val="00125874"/>
    <w:rsid w:val="00125AB3"/>
    <w:rsid w:val="00125FAD"/>
    <w:rsid w:val="001267BD"/>
    <w:rsid w:val="00126D45"/>
    <w:rsid w:val="00127E2F"/>
    <w:rsid w:val="00127E48"/>
    <w:rsid w:val="00130781"/>
    <w:rsid w:val="001329F7"/>
    <w:rsid w:val="0013342A"/>
    <w:rsid w:val="00133891"/>
    <w:rsid w:val="00133B54"/>
    <w:rsid w:val="0013412B"/>
    <w:rsid w:val="001343CE"/>
    <w:rsid w:val="001344C2"/>
    <w:rsid w:val="001344DE"/>
    <w:rsid w:val="0013470C"/>
    <w:rsid w:val="00134CBC"/>
    <w:rsid w:val="00135824"/>
    <w:rsid w:val="00136AAE"/>
    <w:rsid w:val="00136D8E"/>
    <w:rsid w:val="00136E93"/>
    <w:rsid w:val="0013742B"/>
    <w:rsid w:val="00137848"/>
    <w:rsid w:val="001378FF"/>
    <w:rsid w:val="00137B43"/>
    <w:rsid w:val="00137BB9"/>
    <w:rsid w:val="00137F86"/>
    <w:rsid w:val="00140D39"/>
    <w:rsid w:val="00141830"/>
    <w:rsid w:val="00142796"/>
    <w:rsid w:val="001428BA"/>
    <w:rsid w:val="0014291A"/>
    <w:rsid w:val="00142E23"/>
    <w:rsid w:val="001437F2"/>
    <w:rsid w:val="001439DA"/>
    <w:rsid w:val="00143A37"/>
    <w:rsid w:val="00143AB8"/>
    <w:rsid w:val="00143AE9"/>
    <w:rsid w:val="00144659"/>
    <w:rsid w:val="00144AE9"/>
    <w:rsid w:val="00144AED"/>
    <w:rsid w:val="00144BBF"/>
    <w:rsid w:val="00144E5D"/>
    <w:rsid w:val="00144EA2"/>
    <w:rsid w:val="00145411"/>
    <w:rsid w:val="001456B3"/>
    <w:rsid w:val="00145A93"/>
    <w:rsid w:val="00145AC9"/>
    <w:rsid w:val="00145E68"/>
    <w:rsid w:val="00145EFB"/>
    <w:rsid w:val="00146139"/>
    <w:rsid w:val="0014695E"/>
    <w:rsid w:val="00147087"/>
    <w:rsid w:val="00147105"/>
    <w:rsid w:val="001473D2"/>
    <w:rsid w:val="00150769"/>
    <w:rsid w:val="001514BA"/>
    <w:rsid w:val="0015198D"/>
    <w:rsid w:val="00151E17"/>
    <w:rsid w:val="001533F8"/>
    <w:rsid w:val="00153847"/>
    <w:rsid w:val="00153B74"/>
    <w:rsid w:val="00153EB6"/>
    <w:rsid w:val="001546B0"/>
    <w:rsid w:val="00154E87"/>
    <w:rsid w:val="001562C2"/>
    <w:rsid w:val="00157256"/>
    <w:rsid w:val="0015773C"/>
    <w:rsid w:val="00157AD6"/>
    <w:rsid w:val="001601B0"/>
    <w:rsid w:val="001602C9"/>
    <w:rsid w:val="001607F6"/>
    <w:rsid w:val="00160F63"/>
    <w:rsid w:val="001610E7"/>
    <w:rsid w:val="00161A07"/>
    <w:rsid w:val="00161C5B"/>
    <w:rsid w:val="00162131"/>
    <w:rsid w:val="001624A4"/>
    <w:rsid w:val="00162514"/>
    <w:rsid w:val="00162A3A"/>
    <w:rsid w:val="00162B37"/>
    <w:rsid w:val="0016399B"/>
    <w:rsid w:val="001649C2"/>
    <w:rsid w:val="001649E6"/>
    <w:rsid w:val="00164DB3"/>
    <w:rsid w:val="00166511"/>
    <w:rsid w:val="00166863"/>
    <w:rsid w:val="001668AB"/>
    <w:rsid w:val="00166A99"/>
    <w:rsid w:val="00166BEB"/>
    <w:rsid w:val="00166D3B"/>
    <w:rsid w:val="00166FF6"/>
    <w:rsid w:val="001671EC"/>
    <w:rsid w:val="0017009E"/>
    <w:rsid w:val="00170613"/>
    <w:rsid w:val="00170A62"/>
    <w:rsid w:val="00170D50"/>
    <w:rsid w:val="00172653"/>
    <w:rsid w:val="001729A3"/>
    <w:rsid w:val="0017333B"/>
    <w:rsid w:val="001738E7"/>
    <w:rsid w:val="00174216"/>
    <w:rsid w:val="001743B0"/>
    <w:rsid w:val="0017449A"/>
    <w:rsid w:val="001745D5"/>
    <w:rsid w:val="00174C17"/>
    <w:rsid w:val="00176487"/>
    <w:rsid w:val="001766D7"/>
    <w:rsid w:val="001767AF"/>
    <w:rsid w:val="00176E6C"/>
    <w:rsid w:val="00177470"/>
    <w:rsid w:val="0017771C"/>
    <w:rsid w:val="00177805"/>
    <w:rsid w:val="00177A45"/>
    <w:rsid w:val="001806CF"/>
    <w:rsid w:val="00180A82"/>
    <w:rsid w:val="00180BB6"/>
    <w:rsid w:val="00180F6E"/>
    <w:rsid w:val="00182251"/>
    <w:rsid w:val="001824D4"/>
    <w:rsid w:val="001828BA"/>
    <w:rsid w:val="00182DBA"/>
    <w:rsid w:val="00183AE4"/>
    <w:rsid w:val="001842A4"/>
    <w:rsid w:val="00184A0A"/>
    <w:rsid w:val="001851A1"/>
    <w:rsid w:val="001855F6"/>
    <w:rsid w:val="00186500"/>
    <w:rsid w:val="00186738"/>
    <w:rsid w:val="00187A70"/>
    <w:rsid w:val="00187C47"/>
    <w:rsid w:val="00187EEF"/>
    <w:rsid w:val="0019051C"/>
    <w:rsid w:val="001905F4"/>
    <w:rsid w:val="0019071D"/>
    <w:rsid w:val="00190A44"/>
    <w:rsid w:val="00190E6D"/>
    <w:rsid w:val="001911FB"/>
    <w:rsid w:val="0019195C"/>
    <w:rsid w:val="00191EEE"/>
    <w:rsid w:val="00191F72"/>
    <w:rsid w:val="001923E5"/>
    <w:rsid w:val="00192CFB"/>
    <w:rsid w:val="00194BAA"/>
    <w:rsid w:val="00194D02"/>
    <w:rsid w:val="00194E94"/>
    <w:rsid w:val="0019596D"/>
    <w:rsid w:val="001960BE"/>
    <w:rsid w:val="001964E6"/>
    <w:rsid w:val="0019728D"/>
    <w:rsid w:val="001975BB"/>
    <w:rsid w:val="00197AE6"/>
    <w:rsid w:val="00197D46"/>
    <w:rsid w:val="00197DB2"/>
    <w:rsid w:val="00197E77"/>
    <w:rsid w:val="001A0816"/>
    <w:rsid w:val="001A0A60"/>
    <w:rsid w:val="001A0A7F"/>
    <w:rsid w:val="001A0CD7"/>
    <w:rsid w:val="001A0CE6"/>
    <w:rsid w:val="001A0F3E"/>
    <w:rsid w:val="001A0FAA"/>
    <w:rsid w:val="001A1D06"/>
    <w:rsid w:val="001A1D45"/>
    <w:rsid w:val="001A2047"/>
    <w:rsid w:val="001A2094"/>
    <w:rsid w:val="001A2751"/>
    <w:rsid w:val="001A2830"/>
    <w:rsid w:val="001A30E5"/>
    <w:rsid w:val="001A3D6A"/>
    <w:rsid w:val="001A4769"/>
    <w:rsid w:val="001A4ED8"/>
    <w:rsid w:val="001A5C95"/>
    <w:rsid w:val="001A5DD7"/>
    <w:rsid w:val="001A62A4"/>
    <w:rsid w:val="001A6670"/>
    <w:rsid w:val="001A7A7D"/>
    <w:rsid w:val="001B058C"/>
    <w:rsid w:val="001B093A"/>
    <w:rsid w:val="001B0A0C"/>
    <w:rsid w:val="001B0F89"/>
    <w:rsid w:val="001B1630"/>
    <w:rsid w:val="001B1942"/>
    <w:rsid w:val="001B1DA7"/>
    <w:rsid w:val="001B1DE5"/>
    <w:rsid w:val="001B1E25"/>
    <w:rsid w:val="001B1F26"/>
    <w:rsid w:val="001B24DF"/>
    <w:rsid w:val="001B335F"/>
    <w:rsid w:val="001B38D4"/>
    <w:rsid w:val="001B4D3F"/>
    <w:rsid w:val="001B4D5A"/>
    <w:rsid w:val="001B527C"/>
    <w:rsid w:val="001B532D"/>
    <w:rsid w:val="001B5596"/>
    <w:rsid w:val="001B5741"/>
    <w:rsid w:val="001B5921"/>
    <w:rsid w:val="001B5B7F"/>
    <w:rsid w:val="001B5D12"/>
    <w:rsid w:val="001B67E0"/>
    <w:rsid w:val="001B6B31"/>
    <w:rsid w:val="001B6EDD"/>
    <w:rsid w:val="001B7028"/>
    <w:rsid w:val="001B71CA"/>
    <w:rsid w:val="001B759F"/>
    <w:rsid w:val="001B7868"/>
    <w:rsid w:val="001C00BF"/>
    <w:rsid w:val="001C047A"/>
    <w:rsid w:val="001C0C42"/>
    <w:rsid w:val="001C0F1F"/>
    <w:rsid w:val="001C1097"/>
    <w:rsid w:val="001C10B5"/>
    <w:rsid w:val="001C144C"/>
    <w:rsid w:val="001C1B6C"/>
    <w:rsid w:val="001C1B94"/>
    <w:rsid w:val="001C1BBF"/>
    <w:rsid w:val="001C1C45"/>
    <w:rsid w:val="001C3CE6"/>
    <w:rsid w:val="001C3E55"/>
    <w:rsid w:val="001C49CB"/>
    <w:rsid w:val="001C49CF"/>
    <w:rsid w:val="001C4CD9"/>
    <w:rsid w:val="001C4F55"/>
    <w:rsid w:val="001C4F8A"/>
    <w:rsid w:val="001C54F6"/>
    <w:rsid w:val="001C58BD"/>
    <w:rsid w:val="001C597D"/>
    <w:rsid w:val="001C5F3D"/>
    <w:rsid w:val="001C5F9F"/>
    <w:rsid w:val="001C6610"/>
    <w:rsid w:val="001C6D9D"/>
    <w:rsid w:val="001C7996"/>
    <w:rsid w:val="001C7A12"/>
    <w:rsid w:val="001D0331"/>
    <w:rsid w:val="001D059A"/>
    <w:rsid w:val="001D0E49"/>
    <w:rsid w:val="001D1123"/>
    <w:rsid w:val="001D1AE6"/>
    <w:rsid w:val="001D2A0A"/>
    <w:rsid w:val="001D2B0E"/>
    <w:rsid w:val="001D391B"/>
    <w:rsid w:val="001D3B00"/>
    <w:rsid w:val="001D3EE4"/>
    <w:rsid w:val="001D49D3"/>
    <w:rsid w:val="001D49FD"/>
    <w:rsid w:val="001D5041"/>
    <w:rsid w:val="001D556C"/>
    <w:rsid w:val="001D6670"/>
    <w:rsid w:val="001D6B4D"/>
    <w:rsid w:val="001D722F"/>
    <w:rsid w:val="001D77C9"/>
    <w:rsid w:val="001E0139"/>
    <w:rsid w:val="001E0603"/>
    <w:rsid w:val="001E1B45"/>
    <w:rsid w:val="001E1E6F"/>
    <w:rsid w:val="001E2195"/>
    <w:rsid w:val="001E266A"/>
    <w:rsid w:val="001E2716"/>
    <w:rsid w:val="001E3000"/>
    <w:rsid w:val="001E3368"/>
    <w:rsid w:val="001E33B7"/>
    <w:rsid w:val="001E3B1D"/>
    <w:rsid w:val="001E3C09"/>
    <w:rsid w:val="001E3D30"/>
    <w:rsid w:val="001E3D86"/>
    <w:rsid w:val="001E3E2F"/>
    <w:rsid w:val="001E3F9C"/>
    <w:rsid w:val="001E4CDA"/>
    <w:rsid w:val="001E4EFF"/>
    <w:rsid w:val="001E582A"/>
    <w:rsid w:val="001E5990"/>
    <w:rsid w:val="001E631E"/>
    <w:rsid w:val="001E66D1"/>
    <w:rsid w:val="001E6A61"/>
    <w:rsid w:val="001E6A9F"/>
    <w:rsid w:val="001E7182"/>
    <w:rsid w:val="001E76AA"/>
    <w:rsid w:val="001F0547"/>
    <w:rsid w:val="001F09AF"/>
    <w:rsid w:val="001F0B74"/>
    <w:rsid w:val="001F0C8B"/>
    <w:rsid w:val="001F0DED"/>
    <w:rsid w:val="001F0F74"/>
    <w:rsid w:val="001F10AA"/>
    <w:rsid w:val="001F14DD"/>
    <w:rsid w:val="001F1A27"/>
    <w:rsid w:val="001F45FF"/>
    <w:rsid w:val="001F490D"/>
    <w:rsid w:val="001F5054"/>
    <w:rsid w:val="001F55A4"/>
    <w:rsid w:val="001F5784"/>
    <w:rsid w:val="001F5E8A"/>
    <w:rsid w:val="001F5F9D"/>
    <w:rsid w:val="001F61D2"/>
    <w:rsid w:val="001F65AD"/>
    <w:rsid w:val="001F6F60"/>
    <w:rsid w:val="001F7829"/>
    <w:rsid w:val="001F7ED2"/>
    <w:rsid w:val="00200442"/>
    <w:rsid w:val="00200798"/>
    <w:rsid w:val="0020084B"/>
    <w:rsid w:val="00201410"/>
    <w:rsid w:val="002017B4"/>
    <w:rsid w:val="00201813"/>
    <w:rsid w:val="00202885"/>
    <w:rsid w:val="002040C0"/>
    <w:rsid w:val="002044BA"/>
    <w:rsid w:val="00204DDB"/>
    <w:rsid w:val="00205AC5"/>
    <w:rsid w:val="00205C52"/>
    <w:rsid w:val="002061B5"/>
    <w:rsid w:val="00206AEA"/>
    <w:rsid w:val="002076FC"/>
    <w:rsid w:val="002077C6"/>
    <w:rsid w:val="002079BD"/>
    <w:rsid w:val="00207E9A"/>
    <w:rsid w:val="00210110"/>
    <w:rsid w:val="002106B8"/>
    <w:rsid w:val="00211747"/>
    <w:rsid w:val="00211C6F"/>
    <w:rsid w:val="00212069"/>
    <w:rsid w:val="002122EE"/>
    <w:rsid w:val="00212AD3"/>
    <w:rsid w:val="00212B34"/>
    <w:rsid w:val="00212E84"/>
    <w:rsid w:val="00213F0B"/>
    <w:rsid w:val="00214AF0"/>
    <w:rsid w:val="00214D1A"/>
    <w:rsid w:val="00215241"/>
    <w:rsid w:val="002157AD"/>
    <w:rsid w:val="00215945"/>
    <w:rsid w:val="0021637E"/>
    <w:rsid w:val="002164FF"/>
    <w:rsid w:val="00216AB4"/>
    <w:rsid w:val="00216DEE"/>
    <w:rsid w:val="00216EC3"/>
    <w:rsid w:val="0021706C"/>
    <w:rsid w:val="00217388"/>
    <w:rsid w:val="00217A13"/>
    <w:rsid w:val="00217A78"/>
    <w:rsid w:val="002204F6"/>
    <w:rsid w:val="00220E5A"/>
    <w:rsid w:val="002215E6"/>
    <w:rsid w:val="00221D84"/>
    <w:rsid w:val="00222268"/>
    <w:rsid w:val="00222E7D"/>
    <w:rsid w:val="00222F1F"/>
    <w:rsid w:val="00223595"/>
    <w:rsid w:val="00223E14"/>
    <w:rsid w:val="00223E6F"/>
    <w:rsid w:val="0022423C"/>
    <w:rsid w:val="002243C8"/>
    <w:rsid w:val="00224788"/>
    <w:rsid w:val="00224E94"/>
    <w:rsid w:val="00225395"/>
    <w:rsid w:val="00225E10"/>
    <w:rsid w:val="00225FDD"/>
    <w:rsid w:val="002264F8"/>
    <w:rsid w:val="00226641"/>
    <w:rsid w:val="00227EB4"/>
    <w:rsid w:val="00227EEF"/>
    <w:rsid w:val="00230F5C"/>
    <w:rsid w:val="002315E4"/>
    <w:rsid w:val="0023161D"/>
    <w:rsid w:val="00231786"/>
    <w:rsid w:val="00231C59"/>
    <w:rsid w:val="00232157"/>
    <w:rsid w:val="0023215E"/>
    <w:rsid w:val="00232239"/>
    <w:rsid w:val="0023245F"/>
    <w:rsid w:val="0023364A"/>
    <w:rsid w:val="00234A3E"/>
    <w:rsid w:val="00234B3A"/>
    <w:rsid w:val="00235553"/>
    <w:rsid w:val="00235A91"/>
    <w:rsid w:val="00235AEA"/>
    <w:rsid w:val="00235F03"/>
    <w:rsid w:val="002364AB"/>
    <w:rsid w:val="00237748"/>
    <w:rsid w:val="00237A42"/>
    <w:rsid w:val="002409CA"/>
    <w:rsid w:val="00241762"/>
    <w:rsid w:val="002417FB"/>
    <w:rsid w:val="00241DA7"/>
    <w:rsid w:val="00242703"/>
    <w:rsid w:val="002430F6"/>
    <w:rsid w:val="00243399"/>
    <w:rsid w:val="00244904"/>
    <w:rsid w:val="00244934"/>
    <w:rsid w:val="002456E0"/>
    <w:rsid w:val="00245B94"/>
    <w:rsid w:val="00245CA5"/>
    <w:rsid w:val="00245F67"/>
    <w:rsid w:val="002463F0"/>
    <w:rsid w:val="002466CA"/>
    <w:rsid w:val="0024710A"/>
    <w:rsid w:val="002500FC"/>
    <w:rsid w:val="00250166"/>
    <w:rsid w:val="00250268"/>
    <w:rsid w:val="00250471"/>
    <w:rsid w:val="0025058E"/>
    <w:rsid w:val="00250901"/>
    <w:rsid w:val="00250E48"/>
    <w:rsid w:val="00250EB2"/>
    <w:rsid w:val="0025164E"/>
    <w:rsid w:val="00252194"/>
    <w:rsid w:val="00252886"/>
    <w:rsid w:val="00252B22"/>
    <w:rsid w:val="00252B46"/>
    <w:rsid w:val="00253305"/>
    <w:rsid w:val="00253783"/>
    <w:rsid w:val="00253931"/>
    <w:rsid w:val="0025459D"/>
    <w:rsid w:val="00255422"/>
    <w:rsid w:val="002557A5"/>
    <w:rsid w:val="0025592A"/>
    <w:rsid w:val="002566B0"/>
    <w:rsid w:val="002569B1"/>
    <w:rsid w:val="00256AEF"/>
    <w:rsid w:val="002574FE"/>
    <w:rsid w:val="00257764"/>
    <w:rsid w:val="00257A85"/>
    <w:rsid w:val="002610D1"/>
    <w:rsid w:val="0026174B"/>
    <w:rsid w:val="00261F0A"/>
    <w:rsid w:val="00262216"/>
    <w:rsid w:val="00262289"/>
    <w:rsid w:val="0026236C"/>
    <w:rsid w:val="0026281D"/>
    <w:rsid w:val="0026293A"/>
    <w:rsid w:val="00263230"/>
    <w:rsid w:val="00263B52"/>
    <w:rsid w:val="00263B62"/>
    <w:rsid w:val="00264C73"/>
    <w:rsid w:val="00265B83"/>
    <w:rsid w:val="00265EBA"/>
    <w:rsid w:val="00266B88"/>
    <w:rsid w:val="00266BA3"/>
    <w:rsid w:val="00266C29"/>
    <w:rsid w:val="002671C6"/>
    <w:rsid w:val="00267294"/>
    <w:rsid w:val="002675C3"/>
    <w:rsid w:val="00267C50"/>
    <w:rsid w:val="002706D1"/>
    <w:rsid w:val="0027082F"/>
    <w:rsid w:val="00270E09"/>
    <w:rsid w:val="00271360"/>
    <w:rsid w:val="002717CE"/>
    <w:rsid w:val="0027188D"/>
    <w:rsid w:val="00271A63"/>
    <w:rsid w:val="00272186"/>
    <w:rsid w:val="00275557"/>
    <w:rsid w:val="00275C12"/>
    <w:rsid w:val="00276046"/>
    <w:rsid w:val="00276153"/>
    <w:rsid w:val="00276F9C"/>
    <w:rsid w:val="0027740C"/>
    <w:rsid w:val="00277CD9"/>
    <w:rsid w:val="00280004"/>
    <w:rsid w:val="00280084"/>
    <w:rsid w:val="002818C3"/>
    <w:rsid w:val="00282D39"/>
    <w:rsid w:val="00282EEF"/>
    <w:rsid w:val="00283ACC"/>
    <w:rsid w:val="0028411F"/>
    <w:rsid w:val="002844AF"/>
    <w:rsid w:val="00285025"/>
    <w:rsid w:val="002851C4"/>
    <w:rsid w:val="00285452"/>
    <w:rsid w:val="0028560D"/>
    <w:rsid w:val="002860FA"/>
    <w:rsid w:val="0028610A"/>
    <w:rsid w:val="002866B3"/>
    <w:rsid w:val="00286DB2"/>
    <w:rsid w:val="00287A87"/>
    <w:rsid w:val="00290292"/>
    <w:rsid w:val="0029050F"/>
    <w:rsid w:val="002907E5"/>
    <w:rsid w:val="00290910"/>
    <w:rsid w:val="002909C9"/>
    <w:rsid w:val="00290CF5"/>
    <w:rsid w:val="0029102A"/>
    <w:rsid w:val="00291907"/>
    <w:rsid w:val="00292014"/>
    <w:rsid w:val="00292644"/>
    <w:rsid w:val="00292B7B"/>
    <w:rsid w:val="0029307D"/>
    <w:rsid w:val="002939C0"/>
    <w:rsid w:val="00294E8E"/>
    <w:rsid w:val="002951BD"/>
    <w:rsid w:val="0029559F"/>
    <w:rsid w:val="00295CD1"/>
    <w:rsid w:val="002961E4"/>
    <w:rsid w:val="0029684B"/>
    <w:rsid w:val="0029756C"/>
    <w:rsid w:val="002975B6"/>
    <w:rsid w:val="002A04DF"/>
    <w:rsid w:val="002A11F7"/>
    <w:rsid w:val="002A1FAA"/>
    <w:rsid w:val="002A3598"/>
    <w:rsid w:val="002A3DE5"/>
    <w:rsid w:val="002A3FD1"/>
    <w:rsid w:val="002A40E3"/>
    <w:rsid w:val="002A4668"/>
    <w:rsid w:val="002A47FE"/>
    <w:rsid w:val="002A5382"/>
    <w:rsid w:val="002A5A38"/>
    <w:rsid w:val="002A62A7"/>
    <w:rsid w:val="002A6947"/>
    <w:rsid w:val="002A6DA6"/>
    <w:rsid w:val="002A6F68"/>
    <w:rsid w:val="002B055C"/>
    <w:rsid w:val="002B0A23"/>
    <w:rsid w:val="002B0AD0"/>
    <w:rsid w:val="002B19BD"/>
    <w:rsid w:val="002B1CDA"/>
    <w:rsid w:val="002B1D4C"/>
    <w:rsid w:val="002B38D5"/>
    <w:rsid w:val="002B3989"/>
    <w:rsid w:val="002B3F72"/>
    <w:rsid w:val="002B4A06"/>
    <w:rsid w:val="002B4CEF"/>
    <w:rsid w:val="002B4E5A"/>
    <w:rsid w:val="002B4FB1"/>
    <w:rsid w:val="002B54E1"/>
    <w:rsid w:val="002B54FF"/>
    <w:rsid w:val="002B5505"/>
    <w:rsid w:val="002B550F"/>
    <w:rsid w:val="002B569B"/>
    <w:rsid w:val="002B62D5"/>
    <w:rsid w:val="002B64B7"/>
    <w:rsid w:val="002B66F1"/>
    <w:rsid w:val="002B67B7"/>
    <w:rsid w:val="002B728D"/>
    <w:rsid w:val="002B7A6A"/>
    <w:rsid w:val="002B7F87"/>
    <w:rsid w:val="002C012D"/>
    <w:rsid w:val="002C02F8"/>
    <w:rsid w:val="002C035D"/>
    <w:rsid w:val="002C1492"/>
    <w:rsid w:val="002C1652"/>
    <w:rsid w:val="002C1667"/>
    <w:rsid w:val="002C17A6"/>
    <w:rsid w:val="002C1ABB"/>
    <w:rsid w:val="002C2819"/>
    <w:rsid w:val="002C2C49"/>
    <w:rsid w:val="002C317C"/>
    <w:rsid w:val="002C40C7"/>
    <w:rsid w:val="002C4747"/>
    <w:rsid w:val="002C52D9"/>
    <w:rsid w:val="002C5450"/>
    <w:rsid w:val="002C56A5"/>
    <w:rsid w:val="002C5CB3"/>
    <w:rsid w:val="002C6223"/>
    <w:rsid w:val="002C67BF"/>
    <w:rsid w:val="002C7360"/>
    <w:rsid w:val="002C7457"/>
    <w:rsid w:val="002D02A0"/>
    <w:rsid w:val="002D05E9"/>
    <w:rsid w:val="002D1600"/>
    <w:rsid w:val="002D1B57"/>
    <w:rsid w:val="002D2189"/>
    <w:rsid w:val="002D26CC"/>
    <w:rsid w:val="002D2770"/>
    <w:rsid w:val="002D2BE6"/>
    <w:rsid w:val="002D37D1"/>
    <w:rsid w:val="002D4971"/>
    <w:rsid w:val="002D4EF6"/>
    <w:rsid w:val="002D56D9"/>
    <w:rsid w:val="002D5881"/>
    <w:rsid w:val="002D6116"/>
    <w:rsid w:val="002D64B9"/>
    <w:rsid w:val="002D6C8B"/>
    <w:rsid w:val="002D7073"/>
    <w:rsid w:val="002D7C1D"/>
    <w:rsid w:val="002E003D"/>
    <w:rsid w:val="002E032B"/>
    <w:rsid w:val="002E07A9"/>
    <w:rsid w:val="002E1353"/>
    <w:rsid w:val="002E16EE"/>
    <w:rsid w:val="002E1A47"/>
    <w:rsid w:val="002E1F6D"/>
    <w:rsid w:val="002E233C"/>
    <w:rsid w:val="002E26CC"/>
    <w:rsid w:val="002E3014"/>
    <w:rsid w:val="002E32B7"/>
    <w:rsid w:val="002E360F"/>
    <w:rsid w:val="002E38B8"/>
    <w:rsid w:val="002E3A0E"/>
    <w:rsid w:val="002E3E9B"/>
    <w:rsid w:val="002E4925"/>
    <w:rsid w:val="002E585D"/>
    <w:rsid w:val="002E59C2"/>
    <w:rsid w:val="002E62EE"/>
    <w:rsid w:val="002E6922"/>
    <w:rsid w:val="002E6A67"/>
    <w:rsid w:val="002E7ABB"/>
    <w:rsid w:val="002F00F4"/>
    <w:rsid w:val="002F00FB"/>
    <w:rsid w:val="002F016B"/>
    <w:rsid w:val="002F0A53"/>
    <w:rsid w:val="002F101B"/>
    <w:rsid w:val="002F160C"/>
    <w:rsid w:val="002F188C"/>
    <w:rsid w:val="002F20A8"/>
    <w:rsid w:val="002F310E"/>
    <w:rsid w:val="002F3363"/>
    <w:rsid w:val="002F366E"/>
    <w:rsid w:val="002F3D4E"/>
    <w:rsid w:val="002F3DE4"/>
    <w:rsid w:val="002F459C"/>
    <w:rsid w:val="002F4910"/>
    <w:rsid w:val="002F4B16"/>
    <w:rsid w:val="002F4DE6"/>
    <w:rsid w:val="002F517D"/>
    <w:rsid w:val="002F602D"/>
    <w:rsid w:val="002F6612"/>
    <w:rsid w:val="002F785A"/>
    <w:rsid w:val="00300A9E"/>
    <w:rsid w:val="00300ACA"/>
    <w:rsid w:val="003011CF"/>
    <w:rsid w:val="003015AB"/>
    <w:rsid w:val="00301906"/>
    <w:rsid w:val="00301BD5"/>
    <w:rsid w:val="003021A8"/>
    <w:rsid w:val="00303F76"/>
    <w:rsid w:val="00303F8C"/>
    <w:rsid w:val="00304AB7"/>
    <w:rsid w:val="00304B33"/>
    <w:rsid w:val="003050E0"/>
    <w:rsid w:val="003058FC"/>
    <w:rsid w:val="00305B28"/>
    <w:rsid w:val="00305EEC"/>
    <w:rsid w:val="00306121"/>
    <w:rsid w:val="003067F9"/>
    <w:rsid w:val="003069A8"/>
    <w:rsid w:val="003074E0"/>
    <w:rsid w:val="003077E9"/>
    <w:rsid w:val="0030782E"/>
    <w:rsid w:val="00307E86"/>
    <w:rsid w:val="003102A2"/>
    <w:rsid w:val="0031034A"/>
    <w:rsid w:val="00310BF4"/>
    <w:rsid w:val="00311569"/>
    <w:rsid w:val="00311B41"/>
    <w:rsid w:val="00311CD2"/>
    <w:rsid w:val="00312001"/>
    <w:rsid w:val="003126C1"/>
    <w:rsid w:val="003136CD"/>
    <w:rsid w:val="00313EF0"/>
    <w:rsid w:val="00314357"/>
    <w:rsid w:val="00314E06"/>
    <w:rsid w:val="003150A7"/>
    <w:rsid w:val="003151D7"/>
    <w:rsid w:val="0031533B"/>
    <w:rsid w:val="00315A80"/>
    <w:rsid w:val="00315FA9"/>
    <w:rsid w:val="00316823"/>
    <w:rsid w:val="003169D6"/>
    <w:rsid w:val="00317455"/>
    <w:rsid w:val="00317EA9"/>
    <w:rsid w:val="003203DF"/>
    <w:rsid w:val="00320C3B"/>
    <w:rsid w:val="00321737"/>
    <w:rsid w:val="00321CA0"/>
    <w:rsid w:val="00322400"/>
    <w:rsid w:val="0032284E"/>
    <w:rsid w:val="00322AB2"/>
    <w:rsid w:val="00322F02"/>
    <w:rsid w:val="00323670"/>
    <w:rsid w:val="00323771"/>
    <w:rsid w:val="0032396B"/>
    <w:rsid w:val="00324C66"/>
    <w:rsid w:val="00324CF5"/>
    <w:rsid w:val="00325134"/>
    <w:rsid w:val="0032532A"/>
    <w:rsid w:val="00325375"/>
    <w:rsid w:val="00325385"/>
    <w:rsid w:val="00326233"/>
    <w:rsid w:val="003267F2"/>
    <w:rsid w:val="00326EB5"/>
    <w:rsid w:val="003270CB"/>
    <w:rsid w:val="003276C0"/>
    <w:rsid w:val="00327B09"/>
    <w:rsid w:val="0033169F"/>
    <w:rsid w:val="00332143"/>
    <w:rsid w:val="00332623"/>
    <w:rsid w:val="00332D1F"/>
    <w:rsid w:val="00334BA0"/>
    <w:rsid w:val="00334BDA"/>
    <w:rsid w:val="00334C26"/>
    <w:rsid w:val="00334CC9"/>
    <w:rsid w:val="00335F30"/>
    <w:rsid w:val="003361A7"/>
    <w:rsid w:val="00336333"/>
    <w:rsid w:val="0033687E"/>
    <w:rsid w:val="003369AE"/>
    <w:rsid w:val="0033775C"/>
    <w:rsid w:val="00337A19"/>
    <w:rsid w:val="00340197"/>
    <w:rsid w:val="0034090B"/>
    <w:rsid w:val="00340C45"/>
    <w:rsid w:val="00341393"/>
    <w:rsid w:val="00341792"/>
    <w:rsid w:val="00341B24"/>
    <w:rsid w:val="00341D85"/>
    <w:rsid w:val="00341DC9"/>
    <w:rsid w:val="003429EC"/>
    <w:rsid w:val="0034431B"/>
    <w:rsid w:val="00344C0B"/>
    <w:rsid w:val="00345817"/>
    <w:rsid w:val="003458FA"/>
    <w:rsid w:val="00345C2D"/>
    <w:rsid w:val="00345F44"/>
    <w:rsid w:val="00346846"/>
    <w:rsid w:val="003468F9"/>
    <w:rsid w:val="00346A0C"/>
    <w:rsid w:val="00346EFE"/>
    <w:rsid w:val="00347504"/>
    <w:rsid w:val="0034759A"/>
    <w:rsid w:val="0034761C"/>
    <w:rsid w:val="0034779D"/>
    <w:rsid w:val="00347C7E"/>
    <w:rsid w:val="00347F84"/>
    <w:rsid w:val="00350ECE"/>
    <w:rsid w:val="00351346"/>
    <w:rsid w:val="003517D0"/>
    <w:rsid w:val="00352656"/>
    <w:rsid w:val="00352682"/>
    <w:rsid w:val="00353130"/>
    <w:rsid w:val="00353B05"/>
    <w:rsid w:val="00353BC6"/>
    <w:rsid w:val="00353E27"/>
    <w:rsid w:val="0035591E"/>
    <w:rsid w:val="00355C57"/>
    <w:rsid w:val="00355CFF"/>
    <w:rsid w:val="00356397"/>
    <w:rsid w:val="00356893"/>
    <w:rsid w:val="00356B51"/>
    <w:rsid w:val="003576C4"/>
    <w:rsid w:val="00360449"/>
    <w:rsid w:val="0036073C"/>
    <w:rsid w:val="00360C73"/>
    <w:rsid w:val="00361CB9"/>
    <w:rsid w:val="00362A06"/>
    <w:rsid w:val="00362A84"/>
    <w:rsid w:val="00362F53"/>
    <w:rsid w:val="003635C3"/>
    <w:rsid w:val="003636A6"/>
    <w:rsid w:val="00363FFE"/>
    <w:rsid w:val="003648E1"/>
    <w:rsid w:val="00364FD5"/>
    <w:rsid w:val="00365572"/>
    <w:rsid w:val="00365FF4"/>
    <w:rsid w:val="00366342"/>
    <w:rsid w:val="00367266"/>
    <w:rsid w:val="0036729F"/>
    <w:rsid w:val="0037079A"/>
    <w:rsid w:val="0037081B"/>
    <w:rsid w:val="00370F1F"/>
    <w:rsid w:val="00372AD7"/>
    <w:rsid w:val="00372B4C"/>
    <w:rsid w:val="00373C82"/>
    <w:rsid w:val="00373D89"/>
    <w:rsid w:val="0037478D"/>
    <w:rsid w:val="00374B24"/>
    <w:rsid w:val="00374D48"/>
    <w:rsid w:val="00375A71"/>
    <w:rsid w:val="00375A7E"/>
    <w:rsid w:val="00375C37"/>
    <w:rsid w:val="00376029"/>
    <w:rsid w:val="0037620C"/>
    <w:rsid w:val="0037679F"/>
    <w:rsid w:val="00376BFE"/>
    <w:rsid w:val="00377144"/>
    <w:rsid w:val="00377BF2"/>
    <w:rsid w:val="00377C42"/>
    <w:rsid w:val="00380935"/>
    <w:rsid w:val="003813BD"/>
    <w:rsid w:val="00381940"/>
    <w:rsid w:val="00381D7E"/>
    <w:rsid w:val="003821F8"/>
    <w:rsid w:val="003823C0"/>
    <w:rsid w:val="00382C90"/>
    <w:rsid w:val="00383DE9"/>
    <w:rsid w:val="00384773"/>
    <w:rsid w:val="00384DD8"/>
    <w:rsid w:val="003850C1"/>
    <w:rsid w:val="0038580A"/>
    <w:rsid w:val="00385B89"/>
    <w:rsid w:val="00386291"/>
    <w:rsid w:val="00386F82"/>
    <w:rsid w:val="00387002"/>
    <w:rsid w:val="003876DD"/>
    <w:rsid w:val="00387B84"/>
    <w:rsid w:val="0039025A"/>
    <w:rsid w:val="00390326"/>
    <w:rsid w:val="00390549"/>
    <w:rsid w:val="00390EC2"/>
    <w:rsid w:val="003915AA"/>
    <w:rsid w:val="0039239D"/>
    <w:rsid w:val="00392414"/>
    <w:rsid w:val="00392E34"/>
    <w:rsid w:val="00393571"/>
    <w:rsid w:val="00394640"/>
    <w:rsid w:val="00394871"/>
    <w:rsid w:val="00395017"/>
    <w:rsid w:val="00395533"/>
    <w:rsid w:val="00396518"/>
    <w:rsid w:val="00396EF9"/>
    <w:rsid w:val="003972E6"/>
    <w:rsid w:val="00397452"/>
    <w:rsid w:val="003976FC"/>
    <w:rsid w:val="003A0608"/>
    <w:rsid w:val="003A0D5A"/>
    <w:rsid w:val="003A11D7"/>
    <w:rsid w:val="003A123B"/>
    <w:rsid w:val="003A26E2"/>
    <w:rsid w:val="003A2EC2"/>
    <w:rsid w:val="003A3811"/>
    <w:rsid w:val="003A4143"/>
    <w:rsid w:val="003A42DE"/>
    <w:rsid w:val="003A43AE"/>
    <w:rsid w:val="003A45D8"/>
    <w:rsid w:val="003A49ED"/>
    <w:rsid w:val="003A4E2C"/>
    <w:rsid w:val="003A5B05"/>
    <w:rsid w:val="003A65C2"/>
    <w:rsid w:val="003A679A"/>
    <w:rsid w:val="003A6D32"/>
    <w:rsid w:val="003A6E53"/>
    <w:rsid w:val="003A7408"/>
    <w:rsid w:val="003A7909"/>
    <w:rsid w:val="003B02B0"/>
    <w:rsid w:val="003B02B6"/>
    <w:rsid w:val="003B099D"/>
    <w:rsid w:val="003B0E53"/>
    <w:rsid w:val="003B1246"/>
    <w:rsid w:val="003B1461"/>
    <w:rsid w:val="003B216D"/>
    <w:rsid w:val="003B220E"/>
    <w:rsid w:val="003B23DE"/>
    <w:rsid w:val="003B2641"/>
    <w:rsid w:val="003B2D54"/>
    <w:rsid w:val="003B3A25"/>
    <w:rsid w:val="003B41E5"/>
    <w:rsid w:val="003B43D8"/>
    <w:rsid w:val="003B461A"/>
    <w:rsid w:val="003B4DEF"/>
    <w:rsid w:val="003B4E66"/>
    <w:rsid w:val="003B4F2D"/>
    <w:rsid w:val="003B5E70"/>
    <w:rsid w:val="003B6051"/>
    <w:rsid w:val="003B6A60"/>
    <w:rsid w:val="003B6AFA"/>
    <w:rsid w:val="003B6C39"/>
    <w:rsid w:val="003B7289"/>
    <w:rsid w:val="003B754E"/>
    <w:rsid w:val="003B7AE1"/>
    <w:rsid w:val="003C0817"/>
    <w:rsid w:val="003C0CA9"/>
    <w:rsid w:val="003C11B5"/>
    <w:rsid w:val="003C1CC4"/>
    <w:rsid w:val="003C20E1"/>
    <w:rsid w:val="003C2578"/>
    <w:rsid w:val="003C2B2D"/>
    <w:rsid w:val="003C2C8E"/>
    <w:rsid w:val="003C416D"/>
    <w:rsid w:val="003C563F"/>
    <w:rsid w:val="003C5664"/>
    <w:rsid w:val="003C5CB6"/>
    <w:rsid w:val="003C630F"/>
    <w:rsid w:val="003C6ED3"/>
    <w:rsid w:val="003C7259"/>
    <w:rsid w:val="003C7275"/>
    <w:rsid w:val="003C734B"/>
    <w:rsid w:val="003D0878"/>
    <w:rsid w:val="003D1451"/>
    <w:rsid w:val="003D15F7"/>
    <w:rsid w:val="003D2F31"/>
    <w:rsid w:val="003D307D"/>
    <w:rsid w:val="003D30BB"/>
    <w:rsid w:val="003D3380"/>
    <w:rsid w:val="003D3A07"/>
    <w:rsid w:val="003D3AD5"/>
    <w:rsid w:val="003D40BC"/>
    <w:rsid w:val="003D43B9"/>
    <w:rsid w:val="003D47DB"/>
    <w:rsid w:val="003D62DD"/>
    <w:rsid w:val="003D657F"/>
    <w:rsid w:val="003D690E"/>
    <w:rsid w:val="003D72DA"/>
    <w:rsid w:val="003D7485"/>
    <w:rsid w:val="003D75B3"/>
    <w:rsid w:val="003D7E2E"/>
    <w:rsid w:val="003D7FCD"/>
    <w:rsid w:val="003E01E9"/>
    <w:rsid w:val="003E0AC8"/>
    <w:rsid w:val="003E16FE"/>
    <w:rsid w:val="003E1E8F"/>
    <w:rsid w:val="003E273A"/>
    <w:rsid w:val="003E29F3"/>
    <w:rsid w:val="003E2C98"/>
    <w:rsid w:val="003E3075"/>
    <w:rsid w:val="003E31F7"/>
    <w:rsid w:val="003E3A50"/>
    <w:rsid w:val="003E3AA5"/>
    <w:rsid w:val="003E3CFA"/>
    <w:rsid w:val="003E3FA1"/>
    <w:rsid w:val="003E5624"/>
    <w:rsid w:val="003E5841"/>
    <w:rsid w:val="003E5D9F"/>
    <w:rsid w:val="003E6894"/>
    <w:rsid w:val="003E774F"/>
    <w:rsid w:val="003E784F"/>
    <w:rsid w:val="003E7F8C"/>
    <w:rsid w:val="003F078F"/>
    <w:rsid w:val="003F0E65"/>
    <w:rsid w:val="003F1CDF"/>
    <w:rsid w:val="003F2CE6"/>
    <w:rsid w:val="003F2DA3"/>
    <w:rsid w:val="003F3823"/>
    <w:rsid w:val="003F38F2"/>
    <w:rsid w:val="003F3FD2"/>
    <w:rsid w:val="003F50D5"/>
    <w:rsid w:val="003F589D"/>
    <w:rsid w:val="003F5A4A"/>
    <w:rsid w:val="003F60D8"/>
    <w:rsid w:val="003F6331"/>
    <w:rsid w:val="003F6586"/>
    <w:rsid w:val="003F675F"/>
    <w:rsid w:val="003F6952"/>
    <w:rsid w:val="003F6CC2"/>
    <w:rsid w:val="003F79AF"/>
    <w:rsid w:val="00400045"/>
    <w:rsid w:val="00400EBF"/>
    <w:rsid w:val="004011E1"/>
    <w:rsid w:val="004013D9"/>
    <w:rsid w:val="0040191E"/>
    <w:rsid w:val="004019ED"/>
    <w:rsid w:val="004028A0"/>
    <w:rsid w:val="00402F2E"/>
    <w:rsid w:val="00403261"/>
    <w:rsid w:val="00403A2F"/>
    <w:rsid w:val="00403B4F"/>
    <w:rsid w:val="004046DE"/>
    <w:rsid w:val="00405185"/>
    <w:rsid w:val="00405B8D"/>
    <w:rsid w:val="00405EC6"/>
    <w:rsid w:val="00405F69"/>
    <w:rsid w:val="0040650C"/>
    <w:rsid w:val="00406D5F"/>
    <w:rsid w:val="00407A41"/>
    <w:rsid w:val="00411020"/>
    <w:rsid w:val="00411421"/>
    <w:rsid w:val="0041259B"/>
    <w:rsid w:val="004130A7"/>
    <w:rsid w:val="004134A9"/>
    <w:rsid w:val="0041352B"/>
    <w:rsid w:val="004135BC"/>
    <w:rsid w:val="00414104"/>
    <w:rsid w:val="00414105"/>
    <w:rsid w:val="004145A7"/>
    <w:rsid w:val="0041482C"/>
    <w:rsid w:val="004151E7"/>
    <w:rsid w:val="00415D0E"/>
    <w:rsid w:val="00415D35"/>
    <w:rsid w:val="00417A6A"/>
    <w:rsid w:val="00417AF2"/>
    <w:rsid w:val="00420A75"/>
    <w:rsid w:val="00420CE2"/>
    <w:rsid w:val="0042246C"/>
    <w:rsid w:val="00422A93"/>
    <w:rsid w:val="00422C43"/>
    <w:rsid w:val="00423035"/>
    <w:rsid w:val="004243F4"/>
    <w:rsid w:val="00424CC0"/>
    <w:rsid w:val="00424DB3"/>
    <w:rsid w:val="00424DC6"/>
    <w:rsid w:val="00425448"/>
    <w:rsid w:val="00425630"/>
    <w:rsid w:val="004263E4"/>
    <w:rsid w:val="0042700C"/>
    <w:rsid w:val="004275C8"/>
    <w:rsid w:val="00427F0F"/>
    <w:rsid w:val="00430B33"/>
    <w:rsid w:val="00431141"/>
    <w:rsid w:val="004311ED"/>
    <w:rsid w:val="00431408"/>
    <w:rsid w:val="00431687"/>
    <w:rsid w:val="00431C85"/>
    <w:rsid w:val="00431D7C"/>
    <w:rsid w:val="004320A3"/>
    <w:rsid w:val="004321E7"/>
    <w:rsid w:val="00432496"/>
    <w:rsid w:val="00432925"/>
    <w:rsid w:val="00432DE9"/>
    <w:rsid w:val="0043340E"/>
    <w:rsid w:val="00433642"/>
    <w:rsid w:val="00433B4C"/>
    <w:rsid w:val="00434464"/>
    <w:rsid w:val="0043578C"/>
    <w:rsid w:val="004363DF"/>
    <w:rsid w:val="00436F01"/>
    <w:rsid w:val="00436F15"/>
    <w:rsid w:val="0043743C"/>
    <w:rsid w:val="00437662"/>
    <w:rsid w:val="00437A43"/>
    <w:rsid w:val="00437ACB"/>
    <w:rsid w:val="004407ED"/>
    <w:rsid w:val="004411E7"/>
    <w:rsid w:val="004417B0"/>
    <w:rsid w:val="00442FE9"/>
    <w:rsid w:val="00443671"/>
    <w:rsid w:val="00443D03"/>
    <w:rsid w:val="00444117"/>
    <w:rsid w:val="0044417D"/>
    <w:rsid w:val="0044481E"/>
    <w:rsid w:val="00444D62"/>
    <w:rsid w:val="00444ECC"/>
    <w:rsid w:val="004452CD"/>
    <w:rsid w:val="004456FB"/>
    <w:rsid w:val="00445987"/>
    <w:rsid w:val="0044644A"/>
    <w:rsid w:val="004464E6"/>
    <w:rsid w:val="00446874"/>
    <w:rsid w:val="00446C2F"/>
    <w:rsid w:val="00447265"/>
    <w:rsid w:val="00447CBA"/>
    <w:rsid w:val="00450392"/>
    <w:rsid w:val="00450F80"/>
    <w:rsid w:val="00452436"/>
    <w:rsid w:val="004527B4"/>
    <w:rsid w:val="0045286B"/>
    <w:rsid w:val="0045306E"/>
    <w:rsid w:val="00453211"/>
    <w:rsid w:val="00453523"/>
    <w:rsid w:val="00453ACB"/>
    <w:rsid w:val="0045464F"/>
    <w:rsid w:val="004547A9"/>
    <w:rsid w:val="00454CD6"/>
    <w:rsid w:val="00455CF4"/>
    <w:rsid w:val="00456561"/>
    <w:rsid w:val="00456BB0"/>
    <w:rsid w:val="0045719C"/>
    <w:rsid w:val="00457480"/>
    <w:rsid w:val="00457783"/>
    <w:rsid w:val="00457A4B"/>
    <w:rsid w:val="00461377"/>
    <w:rsid w:val="00461823"/>
    <w:rsid w:val="004622BA"/>
    <w:rsid w:val="00462325"/>
    <w:rsid w:val="00463103"/>
    <w:rsid w:val="004636D5"/>
    <w:rsid w:val="00463CBE"/>
    <w:rsid w:val="0046412C"/>
    <w:rsid w:val="00464810"/>
    <w:rsid w:val="0046549B"/>
    <w:rsid w:val="00465B61"/>
    <w:rsid w:val="004672D0"/>
    <w:rsid w:val="00467CF8"/>
    <w:rsid w:val="00470005"/>
    <w:rsid w:val="00470104"/>
    <w:rsid w:val="004717B4"/>
    <w:rsid w:val="00471F84"/>
    <w:rsid w:val="0047227D"/>
    <w:rsid w:val="004732C3"/>
    <w:rsid w:val="00473377"/>
    <w:rsid w:val="004733EB"/>
    <w:rsid w:val="00473CBA"/>
    <w:rsid w:val="00474230"/>
    <w:rsid w:val="004742B3"/>
    <w:rsid w:val="0047435C"/>
    <w:rsid w:val="004744CB"/>
    <w:rsid w:val="00474BAB"/>
    <w:rsid w:val="00475E54"/>
    <w:rsid w:val="00475FA5"/>
    <w:rsid w:val="004762D9"/>
    <w:rsid w:val="004766CB"/>
    <w:rsid w:val="00476FD1"/>
    <w:rsid w:val="00477018"/>
    <w:rsid w:val="004772BA"/>
    <w:rsid w:val="004772D4"/>
    <w:rsid w:val="004775A7"/>
    <w:rsid w:val="00477D5D"/>
    <w:rsid w:val="00477F13"/>
    <w:rsid w:val="00480943"/>
    <w:rsid w:val="0048105A"/>
    <w:rsid w:val="00481538"/>
    <w:rsid w:val="004815F5"/>
    <w:rsid w:val="0048195A"/>
    <w:rsid w:val="00481F8B"/>
    <w:rsid w:val="004824B1"/>
    <w:rsid w:val="00482506"/>
    <w:rsid w:val="00482A10"/>
    <w:rsid w:val="00482C10"/>
    <w:rsid w:val="004834CE"/>
    <w:rsid w:val="00483D63"/>
    <w:rsid w:val="00483FC4"/>
    <w:rsid w:val="0048447E"/>
    <w:rsid w:val="004846C5"/>
    <w:rsid w:val="00486101"/>
    <w:rsid w:val="0048664F"/>
    <w:rsid w:val="00486985"/>
    <w:rsid w:val="00486A7C"/>
    <w:rsid w:val="00486C63"/>
    <w:rsid w:val="00486E87"/>
    <w:rsid w:val="00486F49"/>
    <w:rsid w:val="0048766A"/>
    <w:rsid w:val="00487D93"/>
    <w:rsid w:val="00490107"/>
    <w:rsid w:val="00490548"/>
    <w:rsid w:val="00490709"/>
    <w:rsid w:val="00490A6C"/>
    <w:rsid w:val="00490CB5"/>
    <w:rsid w:val="0049205A"/>
    <w:rsid w:val="004920C1"/>
    <w:rsid w:val="00492135"/>
    <w:rsid w:val="004928AC"/>
    <w:rsid w:val="004929D8"/>
    <w:rsid w:val="00493368"/>
    <w:rsid w:val="00493D48"/>
    <w:rsid w:val="00494502"/>
    <w:rsid w:val="004947B5"/>
    <w:rsid w:val="00494B25"/>
    <w:rsid w:val="0049564A"/>
    <w:rsid w:val="0049565B"/>
    <w:rsid w:val="00495C0B"/>
    <w:rsid w:val="00496A17"/>
    <w:rsid w:val="00496C91"/>
    <w:rsid w:val="00497994"/>
    <w:rsid w:val="00497F4A"/>
    <w:rsid w:val="004A037C"/>
    <w:rsid w:val="004A0679"/>
    <w:rsid w:val="004A0785"/>
    <w:rsid w:val="004A0A38"/>
    <w:rsid w:val="004A0D85"/>
    <w:rsid w:val="004A1286"/>
    <w:rsid w:val="004A144F"/>
    <w:rsid w:val="004A249A"/>
    <w:rsid w:val="004A2B97"/>
    <w:rsid w:val="004A3877"/>
    <w:rsid w:val="004A3A90"/>
    <w:rsid w:val="004A4A78"/>
    <w:rsid w:val="004A4BD8"/>
    <w:rsid w:val="004A51E0"/>
    <w:rsid w:val="004A56F4"/>
    <w:rsid w:val="004A581B"/>
    <w:rsid w:val="004A5820"/>
    <w:rsid w:val="004A66A1"/>
    <w:rsid w:val="004A6937"/>
    <w:rsid w:val="004A6A59"/>
    <w:rsid w:val="004A6BEA"/>
    <w:rsid w:val="004A6C32"/>
    <w:rsid w:val="004A6D9E"/>
    <w:rsid w:val="004A715B"/>
    <w:rsid w:val="004A74CC"/>
    <w:rsid w:val="004A7911"/>
    <w:rsid w:val="004B1C5A"/>
    <w:rsid w:val="004B1C76"/>
    <w:rsid w:val="004B1F1E"/>
    <w:rsid w:val="004B2605"/>
    <w:rsid w:val="004B33D5"/>
    <w:rsid w:val="004B3F35"/>
    <w:rsid w:val="004B4018"/>
    <w:rsid w:val="004B467F"/>
    <w:rsid w:val="004B4AB1"/>
    <w:rsid w:val="004B5073"/>
    <w:rsid w:val="004B5594"/>
    <w:rsid w:val="004B563D"/>
    <w:rsid w:val="004B5870"/>
    <w:rsid w:val="004B59B5"/>
    <w:rsid w:val="004B5C27"/>
    <w:rsid w:val="004B6535"/>
    <w:rsid w:val="004B682C"/>
    <w:rsid w:val="004B7FBD"/>
    <w:rsid w:val="004C06F1"/>
    <w:rsid w:val="004C0931"/>
    <w:rsid w:val="004C0B9C"/>
    <w:rsid w:val="004C0DC0"/>
    <w:rsid w:val="004C1AD4"/>
    <w:rsid w:val="004C1CB4"/>
    <w:rsid w:val="004C258C"/>
    <w:rsid w:val="004C271A"/>
    <w:rsid w:val="004C2C06"/>
    <w:rsid w:val="004C32BF"/>
    <w:rsid w:val="004C3400"/>
    <w:rsid w:val="004C40F1"/>
    <w:rsid w:val="004C46EE"/>
    <w:rsid w:val="004C51D0"/>
    <w:rsid w:val="004C5340"/>
    <w:rsid w:val="004C5613"/>
    <w:rsid w:val="004C5B2B"/>
    <w:rsid w:val="004C5C41"/>
    <w:rsid w:val="004C60E6"/>
    <w:rsid w:val="004C71D7"/>
    <w:rsid w:val="004C72A3"/>
    <w:rsid w:val="004C7524"/>
    <w:rsid w:val="004D0309"/>
    <w:rsid w:val="004D08EF"/>
    <w:rsid w:val="004D09DE"/>
    <w:rsid w:val="004D0BEC"/>
    <w:rsid w:val="004D1332"/>
    <w:rsid w:val="004D1931"/>
    <w:rsid w:val="004D1D76"/>
    <w:rsid w:val="004D20EF"/>
    <w:rsid w:val="004D266C"/>
    <w:rsid w:val="004D2694"/>
    <w:rsid w:val="004D27A3"/>
    <w:rsid w:val="004D3337"/>
    <w:rsid w:val="004D3451"/>
    <w:rsid w:val="004D3FF2"/>
    <w:rsid w:val="004D425E"/>
    <w:rsid w:val="004D49D7"/>
    <w:rsid w:val="004D4C47"/>
    <w:rsid w:val="004D4CEA"/>
    <w:rsid w:val="004D515A"/>
    <w:rsid w:val="004D5B7E"/>
    <w:rsid w:val="004D7971"/>
    <w:rsid w:val="004D7D06"/>
    <w:rsid w:val="004D7FB5"/>
    <w:rsid w:val="004E15B1"/>
    <w:rsid w:val="004E23B1"/>
    <w:rsid w:val="004E2779"/>
    <w:rsid w:val="004E3364"/>
    <w:rsid w:val="004E3EE4"/>
    <w:rsid w:val="004E4BD7"/>
    <w:rsid w:val="004E53C2"/>
    <w:rsid w:val="004E54B6"/>
    <w:rsid w:val="004E6739"/>
    <w:rsid w:val="004E6C67"/>
    <w:rsid w:val="004F00AE"/>
    <w:rsid w:val="004F0101"/>
    <w:rsid w:val="004F0253"/>
    <w:rsid w:val="004F02A9"/>
    <w:rsid w:val="004F02DE"/>
    <w:rsid w:val="004F050A"/>
    <w:rsid w:val="004F074E"/>
    <w:rsid w:val="004F16A7"/>
    <w:rsid w:val="004F2576"/>
    <w:rsid w:val="004F3A92"/>
    <w:rsid w:val="004F3B72"/>
    <w:rsid w:val="004F3B8D"/>
    <w:rsid w:val="004F436B"/>
    <w:rsid w:val="004F4CA9"/>
    <w:rsid w:val="004F53D1"/>
    <w:rsid w:val="004F54DA"/>
    <w:rsid w:val="004F5CDC"/>
    <w:rsid w:val="004F7AB9"/>
    <w:rsid w:val="004F7E6A"/>
    <w:rsid w:val="005001A3"/>
    <w:rsid w:val="005003F8"/>
    <w:rsid w:val="00500E95"/>
    <w:rsid w:val="00501089"/>
    <w:rsid w:val="00501257"/>
    <w:rsid w:val="005014FA"/>
    <w:rsid w:val="00501789"/>
    <w:rsid w:val="00502755"/>
    <w:rsid w:val="005027FC"/>
    <w:rsid w:val="0050285B"/>
    <w:rsid w:val="005035CB"/>
    <w:rsid w:val="00503B72"/>
    <w:rsid w:val="0050470A"/>
    <w:rsid w:val="00504C80"/>
    <w:rsid w:val="00505696"/>
    <w:rsid w:val="00505AC0"/>
    <w:rsid w:val="0050683D"/>
    <w:rsid w:val="0051008A"/>
    <w:rsid w:val="005101A2"/>
    <w:rsid w:val="005110B7"/>
    <w:rsid w:val="00511FF4"/>
    <w:rsid w:val="00512116"/>
    <w:rsid w:val="00512806"/>
    <w:rsid w:val="00512ABA"/>
    <w:rsid w:val="00512B07"/>
    <w:rsid w:val="00512F9B"/>
    <w:rsid w:val="0051327A"/>
    <w:rsid w:val="005132AB"/>
    <w:rsid w:val="005133E9"/>
    <w:rsid w:val="005158C1"/>
    <w:rsid w:val="00516390"/>
    <w:rsid w:val="00516417"/>
    <w:rsid w:val="00516877"/>
    <w:rsid w:val="005169FC"/>
    <w:rsid w:val="00516AEE"/>
    <w:rsid w:val="00516E19"/>
    <w:rsid w:val="005172FE"/>
    <w:rsid w:val="00520185"/>
    <w:rsid w:val="005201E8"/>
    <w:rsid w:val="00520C17"/>
    <w:rsid w:val="00520C39"/>
    <w:rsid w:val="00520E6F"/>
    <w:rsid w:val="005212DE"/>
    <w:rsid w:val="00521A84"/>
    <w:rsid w:val="00521CB9"/>
    <w:rsid w:val="00522145"/>
    <w:rsid w:val="005222DE"/>
    <w:rsid w:val="00522902"/>
    <w:rsid w:val="00523AD0"/>
    <w:rsid w:val="00524294"/>
    <w:rsid w:val="00524BD5"/>
    <w:rsid w:val="00525AC0"/>
    <w:rsid w:val="00525DD7"/>
    <w:rsid w:val="0052680E"/>
    <w:rsid w:val="00526C39"/>
    <w:rsid w:val="00526C97"/>
    <w:rsid w:val="005276C4"/>
    <w:rsid w:val="00527AA2"/>
    <w:rsid w:val="00530944"/>
    <w:rsid w:val="00530EC5"/>
    <w:rsid w:val="00530EE9"/>
    <w:rsid w:val="00531067"/>
    <w:rsid w:val="005310F1"/>
    <w:rsid w:val="0053111D"/>
    <w:rsid w:val="005311B3"/>
    <w:rsid w:val="00531D3F"/>
    <w:rsid w:val="0053215C"/>
    <w:rsid w:val="00532562"/>
    <w:rsid w:val="00532B9C"/>
    <w:rsid w:val="005335AD"/>
    <w:rsid w:val="005352F1"/>
    <w:rsid w:val="0053534C"/>
    <w:rsid w:val="005365A5"/>
    <w:rsid w:val="00537E93"/>
    <w:rsid w:val="00540085"/>
    <w:rsid w:val="00540490"/>
    <w:rsid w:val="00540614"/>
    <w:rsid w:val="00540FDF"/>
    <w:rsid w:val="00541E0B"/>
    <w:rsid w:val="00542097"/>
    <w:rsid w:val="005427C1"/>
    <w:rsid w:val="00542EFA"/>
    <w:rsid w:val="0054313B"/>
    <w:rsid w:val="00543A23"/>
    <w:rsid w:val="00543C3B"/>
    <w:rsid w:val="00543ECF"/>
    <w:rsid w:val="00543F3A"/>
    <w:rsid w:val="005451FB"/>
    <w:rsid w:val="00545C4B"/>
    <w:rsid w:val="0054678D"/>
    <w:rsid w:val="00547020"/>
    <w:rsid w:val="00547305"/>
    <w:rsid w:val="00547D92"/>
    <w:rsid w:val="00547F09"/>
    <w:rsid w:val="00550704"/>
    <w:rsid w:val="00550ECF"/>
    <w:rsid w:val="00551033"/>
    <w:rsid w:val="005527CC"/>
    <w:rsid w:val="00552D6D"/>
    <w:rsid w:val="005532B0"/>
    <w:rsid w:val="0055420B"/>
    <w:rsid w:val="00554551"/>
    <w:rsid w:val="00554A98"/>
    <w:rsid w:val="00554B28"/>
    <w:rsid w:val="00555A99"/>
    <w:rsid w:val="00555EC5"/>
    <w:rsid w:val="005563BC"/>
    <w:rsid w:val="0055651E"/>
    <w:rsid w:val="0055701C"/>
    <w:rsid w:val="005571A2"/>
    <w:rsid w:val="00557362"/>
    <w:rsid w:val="0055759F"/>
    <w:rsid w:val="0055794C"/>
    <w:rsid w:val="0056077E"/>
    <w:rsid w:val="00560851"/>
    <w:rsid w:val="00560B92"/>
    <w:rsid w:val="00560DB1"/>
    <w:rsid w:val="00560EBE"/>
    <w:rsid w:val="005611D1"/>
    <w:rsid w:val="005613D6"/>
    <w:rsid w:val="005613F7"/>
    <w:rsid w:val="005615E5"/>
    <w:rsid w:val="005616E5"/>
    <w:rsid w:val="00561DFE"/>
    <w:rsid w:val="00561F9C"/>
    <w:rsid w:val="00562E61"/>
    <w:rsid w:val="00562EBC"/>
    <w:rsid w:val="00563605"/>
    <w:rsid w:val="00563612"/>
    <w:rsid w:val="005640B1"/>
    <w:rsid w:val="0056425D"/>
    <w:rsid w:val="00565296"/>
    <w:rsid w:val="0056684B"/>
    <w:rsid w:val="0056764C"/>
    <w:rsid w:val="00567B7E"/>
    <w:rsid w:val="00570523"/>
    <w:rsid w:val="0057071D"/>
    <w:rsid w:val="0057084F"/>
    <w:rsid w:val="00570BCF"/>
    <w:rsid w:val="00570DB2"/>
    <w:rsid w:val="00570E6B"/>
    <w:rsid w:val="00570F44"/>
    <w:rsid w:val="005710A3"/>
    <w:rsid w:val="005713A3"/>
    <w:rsid w:val="00571503"/>
    <w:rsid w:val="005726F0"/>
    <w:rsid w:val="00572CD7"/>
    <w:rsid w:val="00572F07"/>
    <w:rsid w:val="005741B5"/>
    <w:rsid w:val="00574352"/>
    <w:rsid w:val="00574501"/>
    <w:rsid w:val="005745BE"/>
    <w:rsid w:val="005749B7"/>
    <w:rsid w:val="00575F13"/>
    <w:rsid w:val="00576FBB"/>
    <w:rsid w:val="0057789B"/>
    <w:rsid w:val="00577A7D"/>
    <w:rsid w:val="00580345"/>
    <w:rsid w:val="0058068A"/>
    <w:rsid w:val="0058095E"/>
    <w:rsid w:val="00580DB7"/>
    <w:rsid w:val="00582646"/>
    <w:rsid w:val="00582B52"/>
    <w:rsid w:val="00582D24"/>
    <w:rsid w:val="005832BE"/>
    <w:rsid w:val="0058403F"/>
    <w:rsid w:val="005845C5"/>
    <w:rsid w:val="00584738"/>
    <w:rsid w:val="005852BB"/>
    <w:rsid w:val="005857AB"/>
    <w:rsid w:val="00585AD8"/>
    <w:rsid w:val="00585F10"/>
    <w:rsid w:val="00586A41"/>
    <w:rsid w:val="00587697"/>
    <w:rsid w:val="00587854"/>
    <w:rsid w:val="00590161"/>
    <w:rsid w:val="00590960"/>
    <w:rsid w:val="00590D68"/>
    <w:rsid w:val="00590F6B"/>
    <w:rsid w:val="00591792"/>
    <w:rsid w:val="00592155"/>
    <w:rsid w:val="0059266E"/>
    <w:rsid w:val="00592915"/>
    <w:rsid w:val="005938C7"/>
    <w:rsid w:val="0059397C"/>
    <w:rsid w:val="005939AB"/>
    <w:rsid w:val="005946DA"/>
    <w:rsid w:val="0059528E"/>
    <w:rsid w:val="00595448"/>
    <w:rsid w:val="00595E84"/>
    <w:rsid w:val="00595FDE"/>
    <w:rsid w:val="00596587"/>
    <w:rsid w:val="005A077D"/>
    <w:rsid w:val="005A0877"/>
    <w:rsid w:val="005A093A"/>
    <w:rsid w:val="005A2016"/>
    <w:rsid w:val="005A20CE"/>
    <w:rsid w:val="005A215C"/>
    <w:rsid w:val="005A25F0"/>
    <w:rsid w:val="005A33DF"/>
    <w:rsid w:val="005A43DE"/>
    <w:rsid w:val="005A4848"/>
    <w:rsid w:val="005A4A51"/>
    <w:rsid w:val="005A5529"/>
    <w:rsid w:val="005A6384"/>
    <w:rsid w:val="005A63E9"/>
    <w:rsid w:val="005A64B0"/>
    <w:rsid w:val="005A68BA"/>
    <w:rsid w:val="005A698C"/>
    <w:rsid w:val="005A6C99"/>
    <w:rsid w:val="005A716A"/>
    <w:rsid w:val="005A75D7"/>
    <w:rsid w:val="005A7D0C"/>
    <w:rsid w:val="005B0215"/>
    <w:rsid w:val="005B0359"/>
    <w:rsid w:val="005B0DEA"/>
    <w:rsid w:val="005B1487"/>
    <w:rsid w:val="005B150E"/>
    <w:rsid w:val="005B1645"/>
    <w:rsid w:val="005B1B7E"/>
    <w:rsid w:val="005B25D7"/>
    <w:rsid w:val="005B4173"/>
    <w:rsid w:val="005B4333"/>
    <w:rsid w:val="005B457B"/>
    <w:rsid w:val="005B47A9"/>
    <w:rsid w:val="005B4D79"/>
    <w:rsid w:val="005B5286"/>
    <w:rsid w:val="005B571B"/>
    <w:rsid w:val="005B61E7"/>
    <w:rsid w:val="005B6698"/>
    <w:rsid w:val="005B7751"/>
    <w:rsid w:val="005B7A92"/>
    <w:rsid w:val="005C0079"/>
    <w:rsid w:val="005C00E9"/>
    <w:rsid w:val="005C0351"/>
    <w:rsid w:val="005C0734"/>
    <w:rsid w:val="005C0CA0"/>
    <w:rsid w:val="005C183C"/>
    <w:rsid w:val="005C18A1"/>
    <w:rsid w:val="005C1DF3"/>
    <w:rsid w:val="005C2213"/>
    <w:rsid w:val="005C237B"/>
    <w:rsid w:val="005C2517"/>
    <w:rsid w:val="005C2A2F"/>
    <w:rsid w:val="005C2C68"/>
    <w:rsid w:val="005C31A0"/>
    <w:rsid w:val="005C3341"/>
    <w:rsid w:val="005C34C4"/>
    <w:rsid w:val="005C4828"/>
    <w:rsid w:val="005C52B7"/>
    <w:rsid w:val="005C59BA"/>
    <w:rsid w:val="005C66BD"/>
    <w:rsid w:val="005C682E"/>
    <w:rsid w:val="005C6E08"/>
    <w:rsid w:val="005C6E82"/>
    <w:rsid w:val="005C6F28"/>
    <w:rsid w:val="005D06DA"/>
    <w:rsid w:val="005D0704"/>
    <w:rsid w:val="005D088F"/>
    <w:rsid w:val="005D12A5"/>
    <w:rsid w:val="005D1369"/>
    <w:rsid w:val="005D1519"/>
    <w:rsid w:val="005D2424"/>
    <w:rsid w:val="005D29DF"/>
    <w:rsid w:val="005D2B7A"/>
    <w:rsid w:val="005D2C98"/>
    <w:rsid w:val="005D3472"/>
    <w:rsid w:val="005D3E03"/>
    <w:rsid w:val="005D47DF"/>
    <w:rsid w:val="005D524B"/>
    <w:rsid w:val="005D52F5"/>
    <w:rsid w:val="005D53EB"/>
    <w:rsid w:val="005D55C7"/>
    <w:rsid w:val="005D5B66"/>
    <w:rsid w:val="005D5CAC"/>
    <w:rsid w:val="005D5D5D"/>
    <w:rsid w:val="005D5F79"/>
    <w:rsid w:val="005D63A9"/>
    <w:rsid w:val="005D6998"/>
    <w:rsid w:val="005D6C73"/>
    <w:rsid w:val="005D7A6F"/>
    <w:rsid w:val="005E0716"/>
    <w:rsid w:val="005E0E0F"/>
    <w:rsid w:val="005E16DD"/>
    <w:rsid w:val="005E1761"/>
    <w:rsid w:val="005E600C"/>
    <w:rsid w:val="005E6291"/>
    <w:rsid w:val="005E6A74"/>
    <w:rsid w:val="005E6B9C"/>
    <w:rsid w:val="005E76A5"/>
    <w:rsid w:val="005E7766"/>
    <w:rsid w:val="005E77DC"/>
    <w:rsid w:val="005E7818"/>
    <w:rsid w:val="005F0145"/>
    <w:rsid w:val="005F0890"/>
    <w:rsid w:val="005F0E99"/>
    <w:rsid w:val="005F28FA"/>
    <w:rsid w:val="005F3358"/>
    <w:rsid w:val="005F4428"/>
    <w:rsid w:val="005F449C"/>
    <w:rsid w:val="005F46CC"/>
    <w:rsid w:val="005F47BC"/>
    <w:rsid w:val="005F4C1E"/>
    <w:rsid w:val="005F53F5"/>
    <w:rsid w:val="005F5991"/>
    <w:rsid w:val="005F6589"/>
    <w:rsid w:val="005F73AD"/>
    <w:rsid w:val="00600E50"/>
    <w:rsid w:val="006020C2"/>
    <w:rsid w:val="006021CC"/>
    <w:rsid w:val="00602472"/>
    <w:rsid w:val="006030C1"/>
    <w:rsid w:val="00603147"/>
    <w:rsid w:val="006036E7"/>
    <w:rsid w:val="00603913"/>
    <w:rsid w:val="00603D67"/>
    <w:rsid w:val="00603D97"/>
    <w:rsid w:val="00603F78"/>
    <w:rsid w:val="00604105"/>
    <w:rsid w:val="006045F1"/>
    <w:rsid w:val="00604721"/>
    <w:rsid w:val="00604912"/>
    <w:rsid w:val="00605CAF"/>
    <w:rsid w:val="00605DB9"/>
    <w:rsid w:val="00606111"/>
    <w:rsid w:val="00606B50"/>
    <w:rsid w:val="00607069"/>
    <w:rsid w:val="006078A3"/>
    <w:rsid w:val="00607E40"/>
    <w:rsid w:val="00610399"/>
    <w:rsid w:val="00610687"/>
    <w:rsid w:val="006107B4"/>
    <w:rsid w:val="00610E79"/>
    <w:rsid w:val="006111BC"/>
    <w:rsid w:val="00611D59"/>
    <w:rsid w:val="0061214D"/>
    <w:rsid w:val="006122C7"/>
    <w:rsid w:val="0061354B"/>
    <w:rsid w:val="00613634"/>
    <w:rsid w:val="0061387F"/>
    <w:rsid w:val="00614F33"/>
    <w:rsid w:val="006154A2"/>
    <w:rsid w:val="0061559A"/>
    <w:rsid w:val="00615676"/>
    <w:rsid w:val="0061587D"/>
    <w:rsid w:val="006159AE"/>
    <w:rsid w:val="00615BA0"/>
    <w:rsid w:val="0061610A"/>
    <w:rsid w:val="006163A7"/>
    <w:rsid w:val="00616527"/>
    <w:rsid w:val="00616684"/>
    <w:rsid w:val="0061761E"/>
    <w:rsid w:val="00620A68"/>
    <w:rsid w:val="00621D8F"/>
    <w:rsid w:val="00621FB0"/>
    <w:rsid w:val="0062212E"/>
    <w:rsid w:val="00622C89"/>
    <w:rsid w:val="00623209"/>
    <w:rsid w:val="006232E4"/>
    <w:rsid w:val="00624056"/>
    <w:rsid w:val="00624356"/>
    <w:rsid w:val="006245F2"/>
    <w:rsid w:val="00625E7E"/>
    <w:rsid w:val="006260EC"/>
    <w:rsid w:val="006271DC"/>
    <w:rsid w:val="006274EA"/>
    <w:rsid w:val="00630586"/>
    <w:rsid w:val="006306C4"/>
    <w:rsid w:val="00631691"/>
    <w:rsid w:val="006322B0"/>
    <w:rsid w:val="006324FF"/>
    <w:rsid w:val="00633911"/>
    <w:rsid w:val="0063421F"/>
    <w:rsid w:val="00634665"/>
    <w:rsid w:val="0063474E"/>
    <w:rsid w:val="00635331"/>
    <w:rsid w:val="00635636"/>
    <w:rsid w:val="00636524"/>
    <w:rsid w:val="006368FC"/>
    <w:rsid w:val="00636F7E"/>
    <w:rsid w:val="006373CB"/>
    <w:rsid w:val="0063782A"/>
    <w:rsid w:val="00637AAA"/>
    <w:rsid w:val="00640AD3"/>
    <w:rsid w:val="00640E8F"/>
    <w:rsid w:val="0064142E"/>
    <w:rsid w:val="00641E7B"/>
    <w:rsid w:val="00642E45"/>
    <w:rsid w:val="006433D7"/>
    <w:rsid w:val="00643A7D"/>
    <w:rsid w:val="00643D3E"/>
    <w:rsid w:val="00644701"/>
    <w:rsid w:val="00646637"/>
    <w:rsid w:val="006466F3"/>
    <w:rsid w:val="00646F82"/>
    <w:rsid w:val="00647351"/>
    <w:rsid w:val="00647B6B"/>
    <w:rsid w:val="006500A0"/>
    <w:rsid w:val="006504FA"/>
    <w:rsid w:val="00650FEF"/>
    <w:rsid w:val="00651190"/>
    <w:rsid w:val="00651202"/>
    <w:rsid w:val="006519D2"/>
    <w:rsid w:val="00651BB8"/>
    <w:rsid w:val="00652727"/>
    <w:rsid w:val="00652ACC"/>
    <w:rsid w:val="006536AC"/>
    <w:rsid w:val="00653DF9"/>
    <w:rsid w:val="0065401E"/>
    <w:rsid w:val="00654EE8"/>
    <w:rsid w:val="00655239"/>
    <w:rsid w:val="00655753"/>
    <w:rsid w:val="006557EB"/>
    <w:rsid w:val="0065626F"/>
    <w:rsid w:val="0065685F"/>
    <w:rsid w:val="006568BD"/>
    <w:rsid w:val="00656C95"/>
    <w:rsid w:val="006570A0"/>
    <w:rsid w:val="006570B7"/>
    <w:rsid w:val="0065758F"/>
    <w:rsid w:val="0065787F"/>
    <w:rsid w:val="00657952"/>
    <w:rsid w:val="00660266"/>
    <w:rsid w:val="00660D4F"/>
    <w:rsid w:val="006615CE"/>
    <w:rsid w:val="0066165B"/>
    <w:rsid w:val="0066194E"/>
    <w:rsid w:val="00661974"/>
    <w:rsid w:val="00661F9D"/>
    <w:rsid w:val="006627C9"/>
    <w:rsid w:val="00662ACB"/>
    <w:rsid w:val="00663664"/>
    <w:rsid w:val="006638C8"/>
    <w:rsid w:val="00664998"/>
    <w:rsid w:val="00664BD5"/>
    <w:rsid w:val="00664CCD"/>
    <w:rsid w:val="006650B3"/>
    <w:rsid w:val="00665C5A"/>
    <w:rsid w:val="00666130"/>
    <w:rsid w:val="00666975"/>
    <w:rsid w:val="0066738B"/>
    <w:rsid w:val="00667B67"/>
    <w:rsid w:val="00667D8F"/>
    <w:rsid w:val="00670310"/>
    <w:rsid w:val="00670F44"/>
    <w:rsid w:val="00671219"/>
    <w:rsid w:val="0067138E"/>
    <w:rsid w:val="00671BA8"/>
    <w:rsid w:val="00671BE4"/>
    <w:rsid w:val="0067226A"/>
    <w:rsid w:val="0067270D"/>
    <w:rsid w:val="00672D3D"/>
    <w:rsid w:val="00672E0B"/>
    <w:rsid w:val="00672E74"/>
    <w:rsid w:val="00672EB7"/>
    <w:rsid w:val="00672F9C"/>
    <w:rsid w:val="0067369A"/>
    <w:rsid w:val="00673FEB"/>
    <w:rsid w:val="00674282"/>
    <w:rsid w:val="00674D86"/>
    <w:rsid w:val="00674EC9"/>
    <w:rsid w:val="00675453"/>
    <w:rsid w:val="00675504"/>
    <w:rsid w:val="006755B9"/>
    <w:rsid w:val="006755C7"/>
    <w:rsid w:val="00675B2E"/>
    <w:rsid w:val="00676270"/>
    <w:rsid w:val="006764ED"/>
    <w:rsid w:val="00676594"/>
    <w:rsid w:val="006768F0"/>
    <w:rsid w:val="00677370"/>
    <w:rsid w:val="00677519"/>
    <w:rsid w:val="00677C66"/>
    <w:rsid w:val="00677EC8"/>
    <w:rsid w:val="006802AC"/>
    <w:rsid w:val="00680607"/>
    <w:rsid w:val="006810EA"/>
    <w:rsid w:val="0068118E"/>
    <w:rsid w:val="006818D9"/>
    <w:rsid w:val="0068240C"/>
    <w:rsid w:val="00682474"/>
    <w:rsid w:val="00682A5B"/>
    <w:rsid w:val="00682DD7"/>
    <w:rsid w:val="00684398"/>
    <w:rsid w:val="0068447C"/>
    <w:rsid w:val="00684B05"/>
    <w:rsid w:val="0068502E"/>
    <w:rsid w:val="0068505D"/>
    <w:rsid w:val="006852F5"/>
    <w:rsid w:val="006870E0"/>
    <w:rsid w:val="00687461"/>
    <w:rsid w:val="00687982"/>
    <w:rsid w:val="00687B51"/>
    <w:rsid w:val="00687F49"/>
    <w:rsid w:val="0069073E"/>
    <w:rsid w:val="00690A5A"/>
    <w:rsid w:val="00690AA3"/>
    <w:rsid w:val="0069104F"/>
    <w:rsid w:val="0069146C"/>
    <w:rsid w:val="006915E7"/>
    <w:rsid w:val="00692862"/>
    <w:rsid w:val="00693011"/>
    <w:rsid w:val="006932BE"/>
    <w:rsid w:val="006934DB"/>
    <w:rsid w:val="006934DD"/>
    <w:rsid w:val="00693D29"/>
    <w:rsid w:val="00693D9D"/>
    <w:rsid w:val="00693EF0"/>
    <w:rsid w:val="006949DB"/>
    <w:rsid w:val="00694C34"/>
    <w:rsid w:val="00694E7E"/>
    <w:rsid w:val="00695B61"/>
    <w:rsid w:val="006965B7"/>
    <w:rsid w:val="006967E8"/>
    <w:rsid w:val="0069726E"/>
    <w:rsid w:val="00697946"/>
    <w:rsid w:val="006A0038"/>
    <w:rsid w:val="006A0294"/>
    <w:rsid w:val="006A0379"/>
    <w:rsid w:val="006A09D2"/>
    <w:rsid w:val="006A1731"/>
    <w:rsid w:val="006A18D9"/>
    <w:rsid w:val="006A1ED0"/>
    <w:rsid w:val="006A2300"/>
    <w:rsid w:val="006A28C0"/>
    <w:rsid w:val="006A32B8"/>
    <w:rsid w:val="006A4498"/>
    <w:rsid w:val="006A4542"/>
    <w:rsid w:val="006A4E70"/>
    <w:rsid w:val="006A55B7"/>
    <w:rsid w:val="006A568B"/>
    <w:rsid w:val="006A647E"/>
    <w:rsid w:val="006A6ECE"/>
    <w:rsid w:val="006A7321"/>
    <w:rsid w:val="006A77B9"/>
    <w:rsid w:val="006A7A38"/>
    <w:rsid w:val="006A7F94"/>
    <w:rsid w:val="006A7F99"/>
    <w:rsid w:val="006B18EC"/>
    <w:rsid w:val="006B2412"/>
    <w:rsid w:val="006B2D98"/>
    <w:rsid w:val="006B2E78"/>
    <w:rsid w:val="006B36D8"/>
    <w:rsid w:val="006B3A00"/>
    <w:rsid w:val="006B3B7B"/>
    <w:rsid w:val="006B43C0"/>
    <w:rsid w:val="006B4676"/>
    <w:rsid w:val="006B4EDE"/>
    <w:rsid w:val="006B504F"/>
    <w:rsid w:val="006B5262"/>
    <w:rsid w:val="006B60AE"/>
    <w:rsid w:val="006B614D"/>
    <w:rsid w:val="006B6352"/>
    <w:rsid w:val="006B6D89"/>
    <w:rsid w:val="006B765F"/>
    <w:rsid w:val="006B7C35"/>
    <w:rsid w:val="006B7FD7"/>
    <w:rsid w:val="006C0733"/>
    <w:rsid w:val="006C0D18"/>
    <w:rsid w:val="006C1459"/>
    <w:rsid w:val="006C1A32"/>
    <w:rsid w:val="006C2508"/>
    <w:rsid w:val="006C2B5B"/>
    <w:rsid w:val="006C3137"/>
    <w:rsid w:val="006C3DA4"/>
    <w:rsid w:val="006C47E7"/>
    <w:rsid w:val="006C47F5"/>
    <w:rsid w:val="006C4A00"/>
    <w:rsid w:val="006C5B1E"/>
    <w:rsid w:val="006C6388"/>
    <w:rsid w:val="006C6A67"/>
    <w:rsid w:val="006C6B95"/>
    <w:rsid w:val="006C74E1"/>
    <w:rsid w:val="006C750E"/>
    <w:rsid w:val="006C7B51"/>
    <w:rsid w:val="006D060D"/>
    <w:rsid w:val="006D06F5"/>
    <w:rsid w:val="006D0769"/>
    <w:rsid w:val="006D09C3"/>
    <w:rsid w:val="006D13BD"/>
    <w:rsid w:val="006D168B"/>
    <w:rsid w:val="006D1AAB"/>
    <w:rsid w:val="006D2457"/>
    <w:rsid w:val="006D31CA"/>
    <w:rsid w:val="006D397C"/>
    <w:rsid w:val="006D3BE8"/>
    <w:rsid w:val="006D4707"/>
    <w:rsid w:val="006D4A79"/>
    <w:rsid w:val="006D4AAC"/>
    <w:rsid w:val="006D5DEC"/>
    <w:rsid w:val="006D5E12"/>
    <w:rsid w:val="006D5F9A"/>
    <w:rsid w:val="006D6314"/>
    <w:rsid w:val="006D6E4D"/>
    <w:rsid w:val="006D7AAD"/>
    <w:rsid w:val="006D7DB9"/>
    <w:rsid w:val="006E026F"/>
    <w:rsid w:val="006E0572"/>
    <w:rsid w:val="006E0824"/>
    <w:rsid w:val="006E0B7D"/>
    <w:rsid w:val="006E10DB"/>
    <w:rsid w:val="006E1115"/>
    <w:rsid w:val="006E1E0B"/>
    <w:rsid w:val="006E20C9"/>
    <w:rsid w:val="006E21CF"/>
    <w:rsid w:val="006E2482"/>
    <w:rsid w:val="006E24BD"/>
    <w:rsid w:val="006E24E2"/>
    <w:rsid w:val="006E261B"/>
    <w:rsid w:val="006E2977"/>
    <w:rsid w:val="006E2991"/>
    <w:rsid w:val="006E2F5A"/>
    <w:rsid w:val="006E378D"/>
    <w:rsid w:val="006E3ABD"/>
    <w:rsid w:val="006E42C8"/>
    <w:rsid w:val="006E47A2"/>
    <w:rsid w:val="006E4980"/>
    <w:rsid w:val="006E4A8A"/>
    <w:rsid w:val="006E5B3B"/>
    <w:rsid w:val="006E5C9D"/>
    <w:rsid w:val="006E5F1B"/>
    <w:rsid w:val="006E6040"/>
    <w:rsid w:val="006E6A2D"/>
    <w:rsid w:val="006E70A4"/>
    <w:rsid w:val="006E742F"/>
    <w:rsid w:val="006E74D8"/>
    <w:rsid w:val="006E752A"/>
    <w:rsid w:val="006E7A2D"/>
    <w:rsid w:val="006E7C91"/>
    <w:rsid w:val="006F0451"/>
    <w:rsid w:val="006F0DE9"/>
    <w:rsid w:val="006F0F70"/>
    <w:rsid w:val="006F139D"/>
    <w:rsid w:val="006F1A45"/>
    <w:rsid w:val="006F2006"/>
    <w:rsid w:val="006F351B"/>
    <w:rsid w:val="006F35BB"/>
    <w:rsid w:val="006F3EA4"/>
    <w:rsid w:val="006F40A5"/>
    <w:rsid w:val="006F561C"/>
    <w:rsid w:val="006F59E2"/>
    <w:rsid w:val="006F60A0"/>
    <w:rsid w:val="006F6424"/>
    <w:rsid w:val="006F707A"/>
    <w:rsid w:val="006F7DD6"/>
    <w:rsid w:val="00700977"/>
    <w:rsid w:val="00700BAA"/>
    <w:rsid w:val="00700E77"/>
    <w:rsid w:val="0070237C"/>
    <w:rsid w:val="00702BA1"/>
    <w:rsid w:val="00702BF7"/>
    <w:rsid w:val="00703C5C"/>
    <w:rsid w:val="00703C5F"/>
    <w:rsid w:val="00703C73"/>
    <w:rsid w:val="00703D1B"/>
    <w:rsid w:val="00703FD7"/>
    <w:rsid w:val="00704498"/>
    <w:rsid w:val="0070461A"/>
    <w:rsid w:val="0070497F"/>
    <w:rsid w:val="00704ADF"/>
    <w:rsid w:val="00704CA2"/>
    <w:rsid w:val="007053C3"/>
    <w:rsid w:val="00705D11"/>
    <w:rsid w:val="00706AB2"/>
    <w:rsid w:val="00706D1C"/>
    <w:rsid w:val="00706EDB"/>
    <w:rsid w:val="00707D9C"/>
    <w:rsid w:val="00707F7D"/>
    <w:rsid w:val="007108CC"/>
    <w:rsid w:val="00710DF4"/>
    <w:rsid w:val="0071102D"/>
    <w:rsid w:val="00711BD3"/>
    <w:rsid w:val="007121E8"/>
    <w:rsid w:val="00712361"/>
    <w:rsid w:val="00712675"/>
    <w:rsid w:val="00712D00"/>
    <w:rsid w:val="00713618"/>
    <w:rsid w:val="0071435D"/>
    <w:rsid w:val="00714FBB"/>
    <w:rsid w:val="00715208"/>
    <w:rsid w:val="007161B5"/>
    <w:rsid w:val="00716A8B"/>
    <w:rsid w:val="007171C9"/>
    <w:rsid w:val="0072015E"/>
    <w:rsid w:val="00720178"/>
    <w:rsid w:val="007203B7"/>
    <w:rsid w:val="00720460"/>
    <w:rsid w:val="00720739"/>
    <w:rsid w:val="007211EE"/>
    <w:rsid w:val="00721699"/>
    <w:rsid w:val="00722B52"/>
    <w:rsid w:val="00722BA3"/>
    <w:rsid w:val="00724222"/>
    <w:rsid w:val="00724BF0"/>
    <w:rsid w:val="00724EF4"/>
    <w:rsid w:val="00725E94"/>
    <w:rsid w:val="00726555"/>
    <w:rsid w:val="00726899"/>
    <w:rsid w:val="00726D70"/>
    <w:rsid w:val="0073001D"/>
    <w:rsid w:val="00730D57"/>
    <w:rsid w:val="007311AD"/>
    <w:rsid w:val="0073126F"/>
    <w:rsid w:val="007313F8"/>
    <w:rsid w:val="00731A8D"/>
    <w:rsid w:val="007320BA"/>
    <w:rsid w:val="007320D3"/>
    <w:rsid w:val="00732615"/>
    <w:rsid w:val="00732686"/>
    <w:rsid w:val="00733B3E"/>
    <w:rsid w:val="00734253"/>
    <w:rsid w:val="007347A1"/>
    <w:rsid w:val="007348AA"/>
    <w:rsid w:val="00734F57"/>
    <w:rsid w:val="0073500E"/>
    <w:rsid w:val="0073512B"/>
    <w:rsid w:val="00736301"/>
    <w:rsid w:val="007367B7"/>
    <w:rsid w:val="0073684C"/>
    <w:rsid w:val="0073685B"/>
    <w:rsid w:val="0073693E"/>
    <w:rsid w:val="007375A8"/>
    <w:rsid w:val="007375F2"/>
    <w:rsid w:val="007377FE"/>
    <w:rsid w:val="00737FE8"/>
    <w:rsid w:val="007407DA"/>
    <w:rsid w:val="00740860"/>
    <w:rsid w:val="007408B7"/>
    <w:rsid w:val="00741346"/>
    <w:rsid w:val="007414E1"/>
    <w:rsid w:val="00741841"/>
    <w:rsid w:val="00742011"/>
    <w:rsid w:val="00742037"/>
    <w:rsid w:val="00743023"/>
    <w:rsid w:val="00743247"/>
    <w:rsid w:val="00743401"/>
    <w:rsid w:val="00743AEE"/>
    <w:rsid w:val="00743C4F"/>
    <w:rsid w:val="0074446E"/>
    <w:rsid w:val="007448F6"/>
    <w:rsid w:val="00744AC6"/>
    <w:rsid w:val="00745244"/>
    <w:rsid w:val="007452CA"/>
    <w:rsid w:val="007455DB"/>
    <w:rsid w:val="007457FB"/>
    <w:rsid w:val="007457FF"/>
    <w:rsid w:val="00745A7E"/>
    <w:rsid w:val="00746150"/>
    <w:rsid w:val="0074643C"/>
    <w:rsid w:val="007466E1"/>
    <w:rsid w:val="00746791"/>
    <w:rsid w:val="00746C06"/>
    <w:rsid w:val="007474A3"/>
    <w:rsid w:val="007476E9"/>
    <w:rsid w:val="007500F9"/>
    <w:rsid w:val="00750351"/>
    <w:rsid w:val="00750AE1"/>
    <w:rsid w:val="00750DAB"/>
    <w:rsid w:val="0075109D"/>
    <w:rsid w:val="007511AF"/>
    <w:rsid w:val="00751306"/>
    <w:rsid w:val="00752105"/>
    <w:rsid w:val="0075261E"/>
    <w:rsid w:val="007526A8"/>
    <w:rsid w:val="00752B4F"/>
    <w:rsid w:val="00752F6A"/>
    <w:rsid w:val="007530C1"/>
    <w:rsid w:val="007533F3"/>
    <w:rsid w:val="0075378E"/>
    <w:rsid w:val="00753845"/>
    <w:rsid w:val="00753B0E"/>
    <w:rsid w:val="00753F67"/>
    <w:rsid w:val="007542EB"/>
    <w:rsid w:val="00754E8D"/>
    <w:rsid w:val="0075511F"/>
    <w:rsid w:val="00755909"/>
    <w:rsid w:val="007560F9"/>
    <w:rsid w:val="00756875"/>
    <w:rsid w:val="00756F08"/>
    <w:rsid w:val="00756F66"/>
    <w:rsid w:val="007574B3"/>
    <w:rsid w:val="00757B3C"/>
    <w:rsid w:val="00757C51"/>
    <w:rsid w:val="00757F9A"/>
    <w:rsid w:val="00760E8B"/>
    <w:rsid w:val="00760F9F"/>
    <w:rsid w:val="007612B8"/>
    <w:rsid w:val="00762120"/>
    <w:rsid w:val="00762209"/>
    <w:rsid w:val="007624E9"/>
    <w:rsid w:val="007628DA"/>
    <w:rsid w:val="00762D8C"/>
    <w:rsid w:val="00762F51"/>
    <w:rsid w:val="0076368B"/>
    <w:rsid w:val="00763CF5"/>
    <w:rsid w:val="00764759"/>
    <w:rsid w:val="007651DE"/>
    <w:rsid w:val="007663A7"/>
    <w:rsid w:val="00766FCD"/>
    <w:rsid w:val="00767527"/>
    <w:rsid w:val="0076770C"/>
    <w:rsid w:val="00767783"/>
    <w:rsid w:val="007707ED"/>
    <w:rsid w:val="00770891"/>
    <w:rsid w:val="00770BB5"/>
    <w:rsid w:val="00770EE1"/>
    <w:rsid w:val="0077132D"/>
    <w:rsid w:val="00771498"/>
    <w:rsid w:val="007719B5"/>
    <w:rsid w:val="007725BE"/>
    <w:rsid w:val="00772E59"/>
    <w:rsid w:val="00773306"/>
    <w:rsid w:val="007733B3"/>
    <w:rsid w:val="00774420"/>
    <w:rsid w:val="007751D6"/>
    <w:rsid w:val="00775D3A"/>
    <w:rsid w:val="00775F60"/>
    <w:rsid w:val="007761EA"/>
    <w:rsid w:val="007772A4"/>
    <w:rsid w:val="007775F9"/>
    <w:rsid w:val="007777A8"/>
    <w:rsid w:val="00777C4D"/>
    <w:rsid w:val="0078063A"/>
    <w:rsid w:val="007807EE"/>
    <w:rsid w:val="00780864"/>
    <w:rsid w:val="00780956"/>
    <w:rsid w:val="00780F0C"/>
    <w:rsid w:val="007810AD"/>
    <w:rsid w:val="0078229E"/>
    <w:rsid w:val="00784576"/>
    <w:rsid w:val="007847E4"/>
    <w:rsid w:val="00784AE0"/>
    <w:rsid w:val="007856DC"/>
    <w:rsid w:val="0078589F"/>
    <w:rsid w:val="00785AFA"/>
    <w:rsid w:val="00785AFE"/>
    <w:rsid w:val="00785FBB"/>
    <w:rsid w:val="0078605E"/>
    <w:rsid w:val="00786EC5"/>
    <w:rsid w:val="00786FC2"/>
    <w:rsid w:val="00786FCF"/>
    <w:rsid w:val="00787493"/>
    <w:rsid w:val="00790147"/>
    <w:rsid w:val="0079048F"/>
    <w:rsid w:val="00790ACB"/>
    <w:rsid w:val="00790B4A"/>
    <w:rsid w:val="00790DA2"/>
    <w:rsid w:val="0079111A"/>
    <w:rsid w:val="007914DC"/>
    <w:rsid w:val="007917A9"/>
    <w:rsid w:val="00791921"/>
    <w:rsid w:val="00791E02"/>
    <w:rsid w:val="007923F2"/>
    <w:rsid w:val="007924D8"/>
    <w:rsid w:val="007927AA"/>
    <w:rsid w:val="00792C23"/>
    <w:rsid w:val="007931C9"/>
    <w:rsid w:val="00793F1D"/>
    <w:rsid w:val="00794887"/>
    <w:rsid w:val="00795211"/>
    <w:rsid w:val="00795896"/>
    <w:rsid w:val="007969B8"/>
    <w:rsid w:val="00796A5E"/>
    <w:rsid w:val="00796CAA"/>
    <w:rsid w:val="00797378"/>
    <w:rsid w:val="007974D8"/>
    <w:rsid w:val="0079796B"/>
    <w:rsid w:val="007A073B"/>
    <w:rsid w:val="007A0894"/>
    <w:rsid w:val="007A0A07"/>
    <w:rsid w:val="007A166E"/>
    <w:rsid w:val="007A1761"/>
    <w:rsid w:val="007A19A6"/>
    <w:rsid w:val="007A2A93"/>
    <w:rsid w:val="007A4120"/>
    <w:rsid w:val="007A44C3"/>
    <w:rsid w:val="007A4557"/>
    <w:rsid w:val="007A4CE9"/>
    <w:rsid w:val="007A5BE1"/>
    <w:rsid w:val="007A5D3E"/>
    <w:rsid w:val="007A6B72"/>
    <w:rsid w:val="007A74D1"/>
    <w:rsid w:val="007A758E"/>
    <w:rsid w:val="007A7A1C"/>
    <w:rsid w:val="007B08FD"/>
    <w:rsid w:val="007B0ACD"/>
    <w:rsid w:val="007B247D"/>
    <w:rsid w:val="007B31A0"/>
    <w:rsid w:val="007B31A5"/>
    <w:rsid w:val="007B3BF7"/>
    <w:rsid w:val="007B3F9D"/>
    <w:rsid w:val="007B45A7"/>
    <w:rsid w:val="007B4B52"/>
    <w:rsid w:val="007B5A68"/>
    <w:rsid w:val="007B6A64"/>
    <w:rsid w:val="007B7197"/>
    <w:rsid w:val="007B7236"/>
    <w:rsid w:val="007B7830"/>
    <w:rsid w:val="007B7ABE"/>
    <w:rsid w:val="007C0DF7"/>
    <w:rsid w:val="007C1DC1"/>
    <w:rsid w:val="007C25CD"/>
    <w:rsid w:val="007C2A4B"/>
    <w:rsid w:val="007C2AB8"/>
    <w:rsid w:val="007C2F1B"/>
    <w:rsid w:val="007C2F38"/>
    <w:rsid w:val="007C334A"/>
    <w:rsid w:val="007C35AF"/>
    <w:rsid w:val="007C40B0"/>
    <w:rsid w:val="007C4C2A"/>
    <w:rsid w:val="007C4FCE"/>
    <w:rsid w:val="007C6698"/>
    <w:rsid w:val="007C6C69"/>
    <w:rsid w:val="007C709F"/>
    <w:rsid w:val="007C71FF"/>
    <w:rsid w:val="007C77E2"/>
    <w:rsid w:val="007D012F"/>
    <w:rsid w:val="007D015B"/>
    <w:rsid w:val="007D03C2"/>
    <w:rsid w:val="007D05DD"/>
    <w:rsid w:val="007D06E6"/>
    <w:rsid w:val="007D0D8F"/>
    <w:rsid w:val="007D10F9"/>
    <w:rsid w:val="007D118D"/>
    <w:rsid w:val="007D1722"/>
    <w:rsid w:val="007D1A23"/>
    <w:rsid w:val="007D1E9C"/>
    <w:rsid w:val="007D2372"/>
    <w:rsid w:val="007D24E6"/>
    <w:rsid w:val="007D276E"/>
    <w:rsid w:val="007D2C01"/>
    <w:rsid w:val="007D2D10"/>
    <w:rsid w:val="007D313C"/>
    <w:rsid w:val="007D320F"/>
    <w:rsid w:val="007D457B"/>
    <w:rsid w:val="007D4B04"/>
    <w:rsid w:val="007D4CE8"/>
    <w:rsid w:val="007D5EB9"/>
    <w:rsid w:val="007D6581"/>
    <w:rsid w:val="007D65BE"/>
    <w:rsid w:val="007D678D"/>
    <w:rsid w:val="007D7338"/>
    <w:rsid w:val="007D73D7"/>
    <w:rsid w:val="007D7733"/>
    <w:rsid w:val="007D77B1"/>
    <w:rsid w:val="007D7AE6"/>
    <w:rsid w:val="007E0145"/>
    <w:rsid w:val="007E0463"/>
    <w:rsid w:val="007E0A46"/>
    <w:rsid w:val="007E0BC9"/>
    <w:rsid w:val="007E0EB2"/>
    <w:rsid w:val="007E1159"/>
    <w:rsid w:val="007E1442"/>
    <w:rsid w:val="007E16DB"/>
    <w:rsid w:val="007E1C41"/>
    <w:rsid w:val="007E2B2A"/>
    <w:rsid w:val="007E3258"/>
    <w:rsid w:val="007E34B5"/>
    <w:rsid w:val="007E3816"/>
    <w:rsid w:val="007E3E3A"/>
    <w:rsid w:val="007E40BF"/>
    <w:rsid w:val="007E411A"/>
    <w:rsid w:val="007E5234"/>
    <w:rsid w:val="007E531D"/>
    <w:rsid w:val="007E5698"/>
    <w:rsid w:val="007E61D3"/>
    <w:rsid w:val="007E668F"/>
    <w:rsid w:val="007E7462"/>
    <w:rsid w:val="007E7F81"/>
    <w:rsid w:val="007F0196"/>
    <w:rsid w:val="007F11C8"/>
    <w:rsid w:val="007F1E3A"/>
    <w:rsid w:val="007F218A"/>
    <w:rsid w:val="007F21E0"/>
    <w:rsid w:val="007F22C1"/>
    <w:rsid w:val="007F3A2C"/>
    <w:rsid w:val="007F4813"/>
    <w:rsid w:val="007F4D9D"/>
    <w:rsid w:val="007F529B"/>
    <w:rsid w:val="007F5353"/>
    <w:rsid w:val="007F5451"/>
    <w:rsid w:val="007F5DDB"/>
    <w:rsid w:val="007F5EB6"/>
    <w:rsid w:val="007F6512"/>
    <w:rsid w:val="007F70F7"/>
    <w:rsid w:val="007F7775"/>
    <w:rsid w:val="007F7D99"/>
    <w:rsid w:val="00800103"/>
    <w:rsid w:val="00800250"/>
    <w:rsid w:val="0080051B"/>
    <w:rsid w:val="0080089F"/>
    <w:rsid w:val="008008B4"/>
    <w:rsid w:val="00800BE0"/>
    <w:rsid w:val="00800FC4"/>
    <w:rsid w:val="00801749"/>
    <w:rsid w:val="0080219D"/>
    <w:rsid w:val="008023B8"/>
    <w:rsid w:val="00802903"/>
    <w:rsid w:val="00803416"/>
    <w:rsid w:val="00804809"/>
    <w:rsid w:val="008048F1"/>
    <w:rsid w:val="00804F8F"/>
    <w:rsid w:val="00805085"/>
    <w:rsid w:val="008060C7"/>
    <w:rsid w:val="00807424"/>
    <w:rsid w:val="008102E3"/>
    <w:rsid w:val="008104FC"/>
    <w:rsid w:val="00810874"/>
    <w:rsid w:val="00811642"/>
    <w:rsid w:val="00811667"/>
    <w:rsid w:val="00812751"/>
    <w:rsid w:val="00812B5B"/>
    <w:rsid w:val="00813487"/>
    <w:rsid w:val="00813739"/>
    <w:rsid w:val="00814B21"/>
    <w:rsid w:val="00814F8F"/>
    <w:rsid w:val="00814FA8"/>
    <w:rsid w:val="008153EC"/>
    <w:rsid w:val="008158F1"/>
    <w:rsid w:val="00817109"/>
    <w:rsid w:val="008179AA"/>
    <w:rsid w:val="00820132"/>
    <w:rsid w:val="008206B3"/>
    <w:rsid w:val="00820D7E"/>
    <w:rsid w:val="00821539"/>
    <w:rsid w:val="00821565"/>
    <w:rsid w:val="008215D2"/>
    <w:rsid w:val="008218C1"/>
    <w:rsid w:val="00821C47"/>
    <w:rsid w:val="00821CEA"/>
    <w:rsid w:val="008223AE"/>
    <w:rsid w:val="0082282F"/>
    <w:rsid w:val="00822BA4"/>
    <w:rsid w:val="00822EA8"/>
    <w:rsid w:val="00822F16"/>
    <w:rsid w:val="008233B0"/>
    <w:rsid w:val="008240A7"/>
    <w:rsid w:val="0082462B"/>
    <w:rsid w:val="00824A77"/>
    <w:rsid w:val="00824E58"/>
    <w:rsid w:val="008250F3"/>
    <w:rsid w:val="0082599C"/>
    <w:rsid w:val="00826C3F"/>
    <w:rsid w:val="00826EDA"/>
    <w:rsid w:val="00827B65"/>
    <w:rsid w:val="0083034C"/>
    <w:rsid w:val="00830CC7"/>
    <w:rsid w:val="00830F65"/>
    <w:rsid w:val="00831237"/>
    <w:rsid w:val="008319A5"/>
    <w:rsid w:val="00831B09"/>
    <w:rsid w:val="00832285"/>
    <w:rsid w:val="00832B8E"/>
    <w:rsid w:val="00832FC0"/>
    <w:rsid w:val="00833C5B"/>
    <w:rsid w:val="00833D05"/>
    <w:rsid w:val="008345C0"/>
    <w:rsid w:val="00834BE5"/>
    <w:rsid w:val="008353F2"/>
    <w:rsid w:val="0083557F"/>
    <w:rsid w:val="00835E93"/>
    <w:rsid w:val="00836043"/>
    <w:rsid w:val="00836428"/>
    <w:rsid w:val="008370BE"/>
    <w:rsid w:val="0083751B"/>
    <w:rsid w:val="00837838"/>
    <w:rsid w:val="00837A6A"/>
    <w:rsid w:val="00837DBB"/>
    <w:rsid w:val="0084126B"/>
    <w:rsid w:val="0084128B"/>
    <w:rsid w:val="00841730"/>
    <w:rsid w:val="008417DF"/>
    <w:rsid w:val="008418E7"/>
    <w:rsid w:val="00841B63"/>
    <w:rsid w:val="00841EC3"/>
    <w:rsid w:val="0084203C"/>
    <w:rsid w:val="00844117"/>
    <w:rsid w:val="00844971"/>
    <w:rsid w:val="00844BEA"/>
    <w:rsid w:val="00844E63"/>
    <w:rsid w:val="008452E8"/>
    <w:rsid w:val="008454C3"/>
    <w:rsid w:val="0084621C"/>
    <w:rsid w:val="00846780"/>
    <w:rsid w:val="00846B0C"/>
    <w:rsid w:val="00846B4B"/>
    <w:rsid w:val="008471A9"/>
    <w:rsid w:val="00847823"/>
    <w:rsid w:val="00847973"/>
    <w:rsid w:val="0085032C"/>
    <w:rsid w:val="00850DD3"/>
    <w:rsid w:val="00851055"/>
    <w:rsid w:val="008511D5"/>
    <w:rsid w:val="008516F9"/>
    <w:rsid w:val="00851721"/>
    <w:rsid w:val="00851C66"/>
    <w:rsid w:val="00851F45"/>
    <w:rsid w:val="00852674"/>
    <w:rsid w:val="00852FBB"/>
    <w:rsid w:val="008533FE"/>
    <w:rsid w:val="00853E3B"/>
    <w:rsid w:val="008542A4"/>
    <w:rsid w:val="00854406"/>
    <w:rsid w:val="00854BAD"/>
    <w:rsid w:val="00854BFA"/>
    <w:rsid w:val="00855408"/>
    <w:rsid w:val="008557C9"/>
    <w:rsid w:val="00855833"/>
    <w:rsid w:val="00855D7A"/>
    <w:rsid w:val="00856274"/>
    <w:rsid w:val="0085659B"/>
    <w:rsid w:val="00856A7C"/>
    <w:rsid w:val="008600B5"/>
    <w:rsid w:val="00860395"/>
    <w:rsid w:val="008606E6"/>
    <w:rsid w:val="00861CA9"/>
    <w:rsid w:val="00861D2A"/>
    <w:rsid w:val="00861FE4"/>
    <w:rsid w:val="00862686"/>
    <w:rsid w:val="00862934"/>
    <w:rsid w:val="00862C28"/>
    <w:rsid w:val="0086352B"/>
    <w:rsid w:val="00863D32"/>
    <w:rsid w:val="00864049"/>
    <w:rsid w:val="008648DA"/>
    <w:rsid w:val="00864EFA"/>
    <w:rsid w:val="00865215"/>
    <w:rsid w:val="00865493"/>
    <w:rsid w:val="00865D16"/>
    <w:rsid w:val="008661ED"/>
    <w:rsid w:val="00867112"/>
    <w:rsid w:val="0086721C"/>
    <w:rsid w:val="00867493"/>
    <w:rsid w:val="008674B3"/>
    <w:rsid w:val="00870E71"/>
    <w:rsid w:val="008713DC"/>
    <w:rsid w:val="00871808"/>
    <w:rsid w:val="00871CCA"/>
    <w:rsid w:val="008721E7"/>
    <w:rsid w:val="0087253A"/>
    <w:rsid w:val="008732D8"/>
    <w:rsid w:val="00874BCE"/>
    <w:rsid w:val="0087740A"/>
    <w:rsid w:val="008801D7"/>
    <w:rsid w:val="00880ED0"/>
    <w:rsid w:val="00881185"/>
    <w:rsid w:val="008811EE"/>
    <w:rsid w:val="008816BF"/>
    <w:rsid w:val="00881829"/>
    <w:rsid w:val="008818CD"/>
    <w:rsid w:val="00881902"/>
    <w:rsid w:val="00881C38"/>
    <w:rsid w:val="00882115"/>
    <w:rsid w:val="00882F00"/>
    <w:rsid w:val="00882FBF"/>
    <w:rsid w:val="008830CA"/>
    <w:rsid w:val="008841E0"/>
    <w:rsid w:val="008845AD"/>
    <w:rsid w:val="00884D18"/>
    <w:rsid w:val="0088537C"/>
    <w:rsid w:val="00885C69"/>
    <w:rsid w:val="00886B36"/>
    <w:rsid w:val="0088737F"/>
    <w:rsid w:val="00887553"/>
    <w:rsid w:val="00887574"/>
    <w:rsid w:val="008877FF"/>
    <w:rsid w:val="00887F64"/>
    <w:rsid w:val="0089005C"/>
    <w:rsid w:val="008929B8"/>
    <w:rsid w:val="008932DF"/>
    <w:rsid w:val="0089359A"/>
    <w:rsid w:val="00893D37"/>
    <w:rsid w:val="00893EC4"/>
    <w:rsid w:val="00894272"/>
    <w:rsid w:val="00894498"/>
    <w:rsid w:val="00894757"/>
    <w:rsid w:val="00895D03"/>
    <w:rsid w:val="0089621A"/>
    <w:rsid w:val="00896324"/>
    <w:rsid w:val="008968C1"/>
    <w:rsid w:val="00897535"/>
    <w:rsid w:val="008A049D"/>
    <w:rsid w:val="008A0686"/>
    <w:rsid w:val="008A07BD"/>
    <w:rsid w:val="008A0D4F"/>
    <w:rsid w:val="008A134C"/>
    <w:rsid w:val="008A1CFB"/>
    <w:rsid w:val="008A26E0"/>
    <w:rsid w:val="008A2C94"/>
    <w:rsid w:val="008A2CF2"/>
    <w:rsid w:val="008A317E"/>
    <w:rsid w:val="008A32BF"/>
    <w:rsid w:val="008A4E23"/>
    <w:rsid w:val="008A4E39"/>
    <w:rsid w:val="008A5476"/>
    <w:rsid w:val="008A5ADF"/>
    <w:rsid w:val="008A5DD3"/>
    <w:rsid w:val="008A5DDA"/>
    <w:rsid w:val="008A604C"/>
    <w:rsid w:val="008A62D4"/>
    <w:rsid w:val="008A6525"/>
    <w:rsid w:val="008A66E5"/>
    <w:rsid w:val="008A69BE"/>
    <w:rsid w:val="008A6A77"/>
    <w:rsid w:val="008A74E1"/>
    <w:rsid w:val="008A7A60"/>
    <w:rsid w:val="008A7F78"/>
    <w:rsid w:val="008B008A"/>
    <w:rsid w:val="008B0DF7"/>
    <w:rsid w:val="008B1052"/>
    <w:rsid w:val="008B1D3A"/>
    <w:rsid w:val="008B1E9F"/>
    <w:rsid w:val="008B2033"/>
    <w:rsid w:val="008B253A"/>
    <w:rsid w:val="008B259F"/>
    <w:rsid w:val="008B2C0C"/>
    <w:rsid w:val="008B2E1C"/>
    <w:rsid w:val="008B34D2"/>
    <w:rsid w:val="008B3537"/>
    <w:rsid w:val="008B38AB"/>
    <w:rsid w:val="008B3B8B"/>
    <w:rsid w:val="008B3C5B"/>
    <w:rsid w:val="008B41F4"/>
    <w:rsid w:val="008B46F4"/>
    <w:rsid w:val="008B4D1C"/>
    <w:rsid w:val="008B5184"/>
    <w:rsid w:val="008B55E0"/>
    <w:rsid w:val="008B57E9"/>
    <w:rsid w:val="008B5BA7"/>
    <w:rsid w:val="008B5BCA"/>
    <w:rsid w:val="008B5BF9"/>
    <w:rsid w:val="008B5CC7"/>
    <w:rsid w:val="008B66DA"/>
    <w:rsid w:val="008B6831"/>
    <w:rsid w:val="008B699B"/>
    <w:rsid w:val="008B6B79"/>
    <w:rsid w:val="008B6DAA"/>
    <w:rsid w:val="008B714F"/>
    <w:rsid w:val="008B7419"/>
    <w:rsid w:val="008B765E"/>
    <w:rsid w:val="008C0583"/>
    <w:rsid w:val="008C0AE1"/>
    <w:rsid w:val="008C22D2"/>
    <w:rsid w:val="008C230A"/>
    <w:rsid w:val="008C2A2A"/>
    <w:rsid w:val="008C2D3B"/>
    <w:rsid w:val="008C3199"/>
    <w:rsid w:val="008C3D9D"/>
    <w:rsid w:val="008C43FB"/>
    <w:rsid w:val="008C4523"/>
    <w:rsid w:val="008C4783"/>
    <w:rsid w:val="008C48D2"/>
    <w:rsid w:val="008C5013"/>
    <w:rsid w:val="008C5C41"/>
    <w:rsid w:val="008C61A1"/>
    <w:rsid w:val="008C6280"/>
    <w:rsid w:val="008C68D8"/>
    <w:rsid w:val="008C6E0C"/>
    <w:rsid w:val="008C6ED9"/>
    <w:rsid w:val="008C6FD3"/>
    <w:rsid w:val="008C70BE"/>
    <w:rsid w:val="008C7ACB"/>
    <w:rsid w:val="008D019F"/>
    <w:rsid w:val="008D07C7"/>
    <w:rsid w:val="008D1018"/>
    <w:rsid w:val="008D1260"/>
    <w:rsid w:val="008D1B27"/>
    <w:rsid w:val="008D32AF"/>
    <w:rsid w:val="008D3B04"/>
    <w:rsid w:val="008D3BFA"/>
    <w:rsid w:val="008D3FAC"/>
    <w:rsid w:val="008D465F"/>
    <w:rsid w:val="008D51E0"/>
    <w:rsid w:val="008D5C40"/>
    <w:rsid w:val="008D6234"/>
    <w:rsid w:val="008D6E38"/>
    <w:rsid w:val="008D7043"/>
    <w:rsid w:val="008D7E01"/>
    <w:rsid w:val="008E01A8"/>
    <w:rsid w:val="008E0C9C"/>
    <w:rsid w:val="008E0FC8"/>
    <w:rsid w:val="008E13CD"/>
    <w:rsid w:val="008E19E0"/>
    <w:rsid w:val="008E2D21"/>
    <w:rsid w:val="008E2E51"/>
    <w:rsid w:val="008E2F81"/>
    <w:rsid w:val="008E36E0"/>
    <w:rsid w:val="008E5170"/>
    <w:rsid w:val="008E5483"/>
    <w:rsid w:val="008E5FFC"/>
    <w:rsid w:val="008E6DD3"/>
    <w:rsid w:val="008E7F88"/>
    <w:rsid w:val="008F0340"/>
    <w:rsid w:val="008F11D7"/>
    <w:rsid w:val="008F1E1C"/>
    <w:rsid w:val="008F2CDC"/>
    <w:rsid w:val="008F2F1F"/>
    <w:rsid w:val="008F3638"/>
    <w:rsid w:val="008F3A77"/>
    <w:rsid w:val="008F3B2E"/>
    <w:rsid w:val="008F3D87"/>
    <w:rsid w:val="008F40FD"/>
    <w:rsid w:val="008F41E4"/>
    <w:rsid w:val="008F4760"/>
    <w:rsid w:val="008F4C5F"/>
    <w:rsid w:val="008F4F6A"/>
    <w:rsid w:val="008F5161"/>
    <w:rsid w:val="008F5828"/>
    <w:rsid w:val="008F62DF"/>
    <w:rsid w:val="008F63AD"/>
    <w:rsid w:val="008F664E"/>
    <w:rsid w:val="008F6C09"/>
    <w:rsid w:val="008F6CC5"/>
    <w:rsid w:val="008F6D02"/>
    <w:rsid w:val="008F6F34"/>
    <w:rsid w:val="008F7315"/>
    <w:rsid w:val="008F73AA"/>
    <w:rsid w:val="008F780C"/>
    <w:rsid w:val="008F78BA"/>
    <w:rsid w:val="008F7A76"/>
    <w:rsid w:val="008F7B74"/>
    <w:rsid w:val="009003CE"/>
    <w:rsid w:val="00900E0B"/>
    <w:rsid w:val="00900FD9"/>
    <w:rsid w:val="00901075"/>
    <w:rsid w:val="009015CC"/>
    <w:rsid w:val="00901A1F"/>
    <w:rsid w:val="00901B8E"/>
    <w:rsid w:val="00901E2B"/>
    <w:rsid w:val="0090271A"/>
    <w:rsid w:val="0090294E"/>
    <w:rsid w:val="00902A24"/>
    <w:rsid w:val="00902A95"/>
    <w:rsid w:val="00902E0E"/>
    <w:rsid w:val="009035FF"/>
    <w:rsid w:val="00903A86"/>
    <w:rsid w:val="00903BB0"/>
    <w:rsid w:val="00903CB0"/>
    <w:rsid w:val="00904F0E"/>
    <w:rsid w:val="00905210"/>
    <w:rsid w:val="00905231"/>
    <w:rsid w:val="0090543F"/>
    <w:rsid w:val="00905ED9"/>
    <w:rsid w:val="00906782"/>
    <w:rsid w:val="00906E81"/>
    <w:rsid w:val="00907532"/>
    <w:rsid w:val="00907725"/>
    <w:rsid w:val="009102C0"/>
    <w:rsid w:val="00910976"/>
    <w:rsid w:val="00910D24"/>
    <w:rsid w:val="009116B1"/>
    <w:rsid w:val="0091206B"/>
    <w:rsid w:val="00912566"/>
    <w:rsid w:val="00913B71"/>
    <w:rsid w:val="00913E9F"/>
    <w:rsid w:val="0091409E"/>
    <w:rsid w:val="00914A64"/>
    <w:rsid w:val="009157EB"/>
    <w:rsid w:val="00916955"/>
    <w:rsid w:val="00917DB4"/>
    <w:rsid w:val="009202F9"/>
    <w:rsid w:val="009207F7"/>
    <w:rsid w:val="00921024"/>
    <w:rsid w:val="0092154A"/>
    <w:rsid w:val="00921D85"/>
    <w:rsid w:val="00921D8E"/>
    <w:rsid w:val="00921E16"/>
    <w:rsid w:val="00921F57"/>
    <w:rsid w:val="00922259"/>
    <w:rsid w:val="009226B6"/>
    <w:rsid w:val="00922B58"/>
    <w:rsid w:val="00923698"/>
    <w:rsid w:val="009237CE"/>
    <w:rsid w:val="00923D83"/>
    <w:rsid w:val="009245E9"/>
    <w:rsid w:val="00925041"/>
    <w:rsid w:val="009252D6"/>
    <w:rsid w:val="009252ED"/>
    <w:rsid w:val="009254F0"/>
    <w:rsid w:val="00926566"/>
    <w:rsid w:val="00926E28"/>
    <w:rsid w:val="00927709"/>
    <w:rsid w:val="00930564"/>
    <w:rsid w:val="00930669"/>
    <w:rsid w:val="009311A4"/>
    <w:rsid w:val="00931285"/>
    <w:rsid w:val="0093175B"/>
    <w:rsid w:val="009317CD"/>
    <w:rsid w:val="00931BCA"/>
    <w:rsid w:val="00931C05"/>
    <w:rsid w:val="009323F0"/>
    <w:rsid w:val="009333C6"/>
    <w:rsid w:val="0093385E"/>
    <w:rsid w:val="009338BA"/>
    <w:rsid w:val="0093406E"/>
    <w:rsid w:val="0093430D"/>
    <w:rsid w:val="00935CF3"/>
    <w:rsid w:val="00935D81"/>
    <w:rsid w:val="009366B7"/>
    <w:rsid w:val="0093678C"/>
    <w:rsid w:val="00936D9F"/>
    <w:rsid w:val="009370F0"/>
    <w:rsid w:val="009374E7"/>
    <w:rsid w:val="009376B7"/>
    <w:rsid w:val="00937CF9"/>
    <w:rsid w:val="00937D49"/>
    <w:rsid w:val="00937EA8"/>
    <w:rsid w:val="00940078"/>
    <w:rsid w:val="009405BB"/>
    <w:rsid w:val="009413D4"/>
    <w:rsid w:val="009418AF"/>
    <w:rsid w:val="00941C05"/>
    <w:rsid w:val="009420A5"/>
    <w:rsid w:val="0094218A"/>
    <w:rsid w:val="00942753"/>
    <w:rsid w:val="009436BE"/>
    <w:rsid w:val="00943CD8"/>
    <w:rsid w:val="00943E32"/>
    <w:rsid w:val="00943FC5"/>
    <w:rsid w:val="00944C53"/>
    <w:rsid w:val="00945D30"/>
    <w:rsid w:val="00945E73"/>
    <w:rsid w:val="0094629C"/>
    <w:rsid w:val="00946AC2"/>
    <w:rsid w:val="00946B56"/>
    <w:rsid w:val="00946F3E"/>
    <w:rsid w:val="00947254"/>
    <w:rsid w:val="00947660"/>
    <w:rsid w:val="00947B78"/>
    <w:rsid w:val="00947CDD"/>
    <w:rsid w:val="009502E9"/>
    <w:rsid w:val="00950786"/>
    <w:rsid w:val="00950AE0"/>
    <w:rsid w:val="00951052"/>
    <w:rsid w:val="009511A7"/>
    <w:rsid w:val="0095153B"/>
    <w:rsid w:val="00952746"/>
    <w:rsid w:val="00953512"/>
    <w:rsid w:val="00954CC5"/>
    <w:rsid w:val="00955306"/>
    <w:rsid w:val="00957116"/>
    <w:rsid w:val="009574A7"/>
    <w:rsid w:val="009600C5"/>
    <w:rsid w:val="00960149"/>
    <w:rsid w:val="009607FB"/>
    <w:rsid w:val="00960D96"/>
    <w:rsid w:val="00960E02"/>
    <w:rsid w:val="00960FE2"/>
    <w:rsid w:val="009621E8"/>
    <w:rsid w:val="00962CF0"/>
    <w:rsid w:val="00963009"/>
    <w:rsid w:val="009642A7"/>
    <w:rsid w:val="009642D1"/>
    <w:rsid w:val="009644F2"/>
    <w:rsid w:val="00964615"/>
    <w:rsid w:val="00964616"/>
    <w:rsid w:val="00964954"/>
    <w:rsid w:val="00964C2A"/>
    <w:rsid w:val="00964D75"/>
    <w:rsid w:val="00966223"/>
    <w:rsid w:val="0096630E"/>
    <w:rsid w:val="00966EFA"/>
    <w:rsid w:val="0096702F"/>
    <w:rsid w:val="0096714A"/>
    <w:rsid w:val="009673C7"/>
    <w:rsid w:val="00967A5C"/>
    <w:rsid w:val="00970070"/>
    <w:rsid w:val="00970195"/>
    <w:rsid w:val="009704E0"/>
    <w:rsid w:val="009706B0"/>
    <w:rsid w:val="009708A2"/>
    <w:rsid w:val="00970DC7"/>
    <w:rsid w:val="00970E51"/>
    <w:rsid w:val="00970EDA"/>
    <w:rsid w:val="00971102"/>
    <w:rsid w:val="00972A34"/>
    <w:rsid w:val="00972CA0"/>
    <w:rsid w:val="00972D65"/>
    <w:rsid w:val="00973762"/>
    <w:rsid w:val="009741F4"/>
    <w:rsid w:val="00974DA4"/>
    <w:rsid w:val="009750C3"/>
    <w:rsid w:val="0097534F"/>
    <w:rsid w:val="00975D76"/>
    <w:rsid w:val="00975FE5"/>
    <w:rsid w:val="009761E8"/>
    <w:rsid w:val="0097651A"/>
    <w:rsid w:val="00976AD8"/>
    <w:rsid w:val="009770C4"/>
    <w:rsid w:val="00977C30"/>
    <w:rsid w:val="00980979"/>
    <w:rsid w:val="00981477"/>
    <w:rsid w:val="009826F7"/>
    <w:rsid w:val="00982CCF"/>
    <w:rsid w:val="00983052"/>
    <w:rsid w:val="0098354B"/>
    <w:rsid w:val="00983773"/>
    <w:rsid w:val="00983F37"/>
    <w:rsid w:val="0098486D"/>
    <w:rsid w:val="00984A58"/>
    <w:rsid w:val="00984E6C"/>
    <w:rsid w:val="00984EC8"/>
    <w:rsid w:val="009851C9"/>
    <w:rsid w:val="00985877"/>
    <w:rsid w:val="009863A7"/>
    <w:rsid w:val="00986602"/>
    <w:rsid w:val="00986792"/>
    <w:rsid w:val="00986D1B"/>
    <w:rsid w:val="00986F48"/>
    <w:rsid w:val="00987BEA"/>
    <w:rsid w:val="00987C79"/>
    <w:rsid w:val="009908A5"/>
    <w:rsid w:val="00990DC7"/>
    <w:rsid w:val="00990F2D"/>
    <w:rsid w:val="00992130"/>
    <w:rsid w:val="00992181"/>
    <w:rsid w:val="009924F1"/>
    <w:rsid w:val="00992B0E"/>
    <w:rsid w:val="009939BA"/>
    <w:rsid w:val="00994181"/>
    <w:rsid w:val="00994299"/>
    <w:rsid w:val="00994524"/>
    <w:rsid w:val="0099462B"/>
    <w:rsid w:val="00995452"/>
    <w:rsid w:val="00995F56"/>
    <w:rsid w:val="00996092"/>
    <w:rsid w:val="009960FA"/>
    <w:rsid w:val="0099665D"/>
    <w:rsid w:val="009966AB"/>
    <w:rsid w:val="009969B2"/>
    <w:rsid w:val="009A0431"/>
    <w:rsid w:val="009A0E3B"/>
    <w:rsid w:val="009A1833"/>
    <w:rsid w:val="009A1893"/>
    <w:rsid w:val="009A2E10"/>
    <w:rsid w:val="009A2E9B"/>
    <w:rsid w:val="009A31D2"/>
    <w:rsid w:val="009A3259"/>
    <w:rsid w:val="009A3CF5"/>
    <w:rsid w:val="009A405F"/>
    <w:rsid w:val="009A440F"/>
    <w:rsid w:val="009A45DD"/>
    <w:rsid w:val="009A496B"/>
    <w:rsid w:val="009A4F1B"/>
    <w:rsid w:val="009A5016"/>
    <w:rsid w:val="009A56F0"/>
    <w:rsid w:val="009A61E1"/>
    <w:rsid w:val="009A6F6E"/>
    <w:rsid w:val="009A72B0"/>
    <w:rsid w:val="009A761A"/>
    <w:rsid w:val="009A7D42"/>
    <w:rsid w:val="009A7EAB"/>
    <w:rsid w:val="009A7FB3"/>
    <w:rsid w:val="009B023A"/>
    <w:rsid w:val="009B0CE8"/>
    <w:rsid w:val="009B1435"/>
    <w:rsid w:val="009B15A6"/>
    <w:rsid w:val="009B1ED2"/>
    <w:rsid w:val="009B2107"/>
    <w:rsid w:val="009B295A"/>
    <w:rsid w:val="009B2E05"/>
    <w:rsid w:val="009B32FD"/>
    <w:rsid w:val="009B39FD"/>
    <w:rsid w:val="009B3D68"/>
    <w:rsid w:val="009B3F11"/>
    <w:rsid w:val="009B41AE"/>
    <w:rsid w:val="009B4397"/>
    <w:rsid w:val="009B4910"/>
    <w:rsid w:val="009B49C7"/>
    <w:rsid w:val="009B57F0"/>
    <w:rsid w:val="009B6350"/>
    <w:rsid w:val="009B645F"/>
    <w:rsid w:val="009B65B0"/>
    <w:rsid w:val="009B745B"/>
    <w:rsid w:val="009B7BDB"/>
    <w:rsid w:val="009C0657"/>
    <w:rsid w:val="009C10A5"/>
    <w:rsid w:val="009C1187"/>
    <w:rsid w:val="009C1640"/>
    <w:rsid w:val="009C1A35"/>
    <w:rsid w:val="009C1D53"/>
    <w:rsid w:val="009C24C9"/>
    <w:rsid w:val="009C26BA"/>
    <w:rsid w:val="009C2940"/>
    <w:rsid w:val="009C29DD"/>
    <w:rsid w:val="009C2A5C"/>
    <w:rsid w:val="009C3275"/>
    <w:rsid w:val="009C41AD"/>
    <w:rsid w:val="009C44ED"/>
    <w:rsid w:val="009C4800"/>
    <w:rsid w:val="009C4839"/>
    <w:rsid w:val="009C4D6E"/>
    <w:rsid w:val="009C5174"/>
    <w:rsid w:val="009C5A02"/>
    <w:rsid w:val="009C5C9C"/>
    <w:rsid w:val="009C6F8C"/>
    <w:rsid w:val="009C760B"/>
    <w:rsid w:val="009D00A7"/>
    <w:rsid w:val="009D09D5"/>
    <w:rsid w:val="009D1D0D"/>
    <w:rsid w:val="009D2DCA"/>
    <w:rsid w:val="009D3211"/>
    <w:rsid w:val="009D35B2"/>
    <w:rsid w:val="009D37AC"/>
    <w:rsid w:val="009D3848"/>
    <w:rsid w:val="009D392C"/>
    <w:rsid w:val="009D3A81"/>
    <w:rsid w:val="009D42F6"/>
    <w:rsid w:val="009D43D9"/>
    <w:rsid w:val="009D44F3"/>
    <w:rsid w:val="009D4BCD"/>
    <w:rsid w:val="009D4DF3"/>
    <w:rsid w:val="009D507A"/>
    <w:rsid w:val="009D55E1"/>
    <w:rsid w:val="009D5980"/>
    <w:rsid w:val="009D6CEA"/>
    <w:rsid w:val="009D6FAD"/>
    <w:rsid w:val="009D7229"/>
    <w:rsid w:val="009D7DF8"/>
    <w:rsid w:val="009E0077"/>
    <w:rsid w:val="009E009F"/>
    <w:rsid w:val="009E0148"/>
    <w:rsid w:val="009E0950"/>
    <w:rsid w:val="009E0E4F"/>
    <w:rsid w:val="009E13B8"/>
    <w:rsid w:val="009E147C"/>
    <w:rsid w:val="009E187F"/>
    <w:rsid w:val="009E1FDA"/>
    <w:rsid w:val="009E27E4"/>
    <w:rsid w:val="009E2E67"/>
    <w:rsid w:val="009E42F7"/>
    <w:rsid w:val="009E4883"/>
    <w:rsid w:val="009E4F13"/>
    <w:rsid w:val="009E5E92"/>
    <w:rsid w:val="009E6C63"/>
    <w:rsid w:val="009E708F"/>
    <w:rsid w:val="009E717C"/>
    <w:rsid w:val="009E71E9"/>
    <w:rsid w:val="009E7716"/>
    <w:rsid w:val="009E7B7F"/>
    <w:rsid w:val="009F0065"/>
    <w:rsid w:val="009F0C7E"/>
    <w:rsid w:val="009F1100"/>
    <w:rsid w:val="009F168A"/>
    <w:rsid w:val="009F1FFF"/>
    <w:rsid w:val="009F26F7"/>
    <w:rsid w:val="009F2966"/>
    <w:rsid w:val="009F36A5"/>
    <w:rsid w:val="009F3ADA"/>
    <w:rsid w:val="009F3C3A"/>
    <w:rsid w:val="009F3F78"/>
    <w:rsid w:val="009F4D85"/>
    <w:rsid w:val="009F4FD3"/>
    <w:rsid w:val="009F5DB5"/>
    <w:rsid w:val="009F61DF"/>
    <w:rsid w:val="009F6E98"/>
    <w:rsid w:val="009F708C"/>
    <w:rsid w:val="009F7141"/>
    <w:rsid w:val="009F7651"/>
    <w:rsid w:val="009F76BD"/>
    <w:rsid w:val="009F7A3E"/>
    <w:rsid w:val="009F7B75"/>
    <w:rsid w:val="00A00005"/>
    <w:rsid w:val="00A007BB"/>
    <w:rsid w:val="00A0092F"/>
    <w:rsid w:val="00A00AAE"/>
    <w:rsid w:val="00A01588"/>
    <w:rsid w:val="00A0264D"/>
    <w:rsid w:val="00A02816"/>
    <w:rsid w:val="00A028A0"/>
    <w:rsid w:val="00A02E69"/>
    <w:rsid w:val="00A032D0"/>
    <w:rsid w:val="00A033F8"/>
    <w:rsid w:val="00A0478C"/>
    <w:rsid w:val="00A05949"/>
    <w:rsid w:val="00A05FC4"/>
    <w:rsid w:val="00A06845"/>
    <w:rsid w:val="00A06F58"/>
    <w:rsid w:val="00A07142"/>
    <w:rsid w:val="00A0778C"/>
    <w:rsid w:val="00A077AC"/>
    <w:rsid w:val="00A10679"/>
    <w:rsid w:val="00A10F90"/>
    <w:rsid w:val="00A111A7"/>
    <w:rsid w:val="00A111DE"/>
    <w:rsid w:val="00A11474"/>
    <w:rsid w:val="00A1186F"/>
    <w:rsid w:val="00A11A9B"/>
    <w:rsid w:val="00A11DE8"/>
    <w:rsid w:val="00A11E05"/>
    <w:rsid w:val="00A120A1"/>
    <w:rsid w:val="00A1212B"/>
    <w:rsid w:val="00A12780"/>
    <w:rsid w:val="00A13E9A"/>
    <w:rsid w:val="00A1413E"/>
    <w:rsid w:val="00A144CC"/>
    <w:rsid w:val="00A1470E"/>
    <w:rsid w:val="00A14CF0"/>
    <w:rsid w:val="00A14F5F"/>
    <w:rsid w:val="00A15898"/>
    <w:rsid w:val="00A16041"/>
    <w:rsid w:val="00A179DF"/>
    <w:rsid w:val="00A179F1"/>
    <w:rsid w:val="00A20160"/>
    <w:rsid w:val="00A2022C"/>
    <w:rsid w:val="00A20374"/>
    <w:rsid w:val="00A205BA"/>
    <w:rsid w:val="00A2063C"/>
    <w:rsid w:val="00A2132F"/>
    <w:rsid w:val="00A21722"/>
    <w:rsid w:val="00A21D79"/>
    <w:rsid w:val="00A21E24"/>
    <w:rsid w:val="00A2222E"/>
    <w:rsid w:val="00A2273D"/>
    <w:rsid w:val="00A2287D"/>
    <w:rsid w:val="00A22DA8"/>
    <w:rsid w:val="00A22FB9"/>
    <w:rsid w:val="00A232FB"/>
    <w:rsid w:val="00A233A2"/>
    <w:rsid w:val="00A23687"/>
    <w:rsid w:val="00A23812"/>
    <w:rsid w:val="00A24087"/>
    <w:rsid w:val="00A2431C"/>
    <w:rsid w:val="00A24AE5"/>
    <w:rsid w:val="00A24D8B"/>
    <w:rsid w:val="00A25260"/>
    <w:rsid w:val="00A263BC"/>
    <w:rsid w:val="00A274DA"/>
    <w:rsid w:val="00A27542"/>
    <w:rsid w:val="00A27BD1"/>
    <w:rsid w:val="00A3113A"/>
    <w:rsid w:val="00A32E84"/>
    <w:rsid w:val="00A33101"/>
    <w:rsid w:val="00A33204"/>
    <w:rsid w:val="00A334C7"/>
    <w:rsid w:val="00A33911"/>
    <w:rsid w:val="00A33A2B"/>
    <w:rsid w:val="00A33C32"/>
    <w:rsid w:val="00A33C52"/>
    <w:rsid w:val="00A349E9"/>
    <w:rsid w:val="00A34CD5"/>
    <w:rsid w:val="00A34EF3"/>
    <w:rsid w:val="00A35C87"/>
    <w:rsid w:val="00A35CD7"/>
    <w:rsid w:val="00A35E2D"/>
    <w:rsid w:val="00A36186"/>
    <w:rsid w:val="00A37263"/>
    <w:rsid w:val="00A373F0"/>
    <w:rsid w:val="00A377D4"/>
    <w:rsid w:val="00A3783B"/>
    <w:rsid w:val="00A40643"/>
    <w:rsid w:val="00A407CF"/>
    <w:rsid w:val="00A40C95"/>
    <w:rsid w:val="00A4105A"/>
    <w:rsid w:val="00A4175A"/>
    <w:rsid w:val="00A41840"/>
    <w:rsid w:val="00A419B5"/>
    <w:rsid w:val="00A41F84"/>
    <w:rsid w:val="00A42CA5"/>
    <w:rsid w:val="00A43105"/>
    <w:rsid w:val="00A438A2"/>
    <w:rsid w:val="00A439B4"/>
    <w:rsid w:val="00A43B7D"/>
    <w:rsid w:val="00A44117"/>
    <w:rsid w:val="00A442F5"/>
    <w:rsid w:val="00A4472A"/>
    <w:rsid w:val="00A448B0"/>
    <w:rsid w:val="00A4490A"/>
    <w:rsid w:val="00A455AE"/>
    <w:rsid w:val="00A467AF"/>
    <w:rsid w:val="00A4729C"/>
    <w:rsid w:val="00A47497"/>
    <w:rsid w:val="00A478C1"/>
    <w:rsid w:val="00A511E8"/>
    <w:rsid w:val="00A51ACF"/>
    <w:rsid w:val="00A51F5E"/>
    <w:rsid w:val="00A529F8"/>
    <w:rsid w:val="00A52C44"/>
    <w:rsid w:val="00A52EFD"/>
    <w:rsid w:val="00A53AC8"/>
    <w:rsid w:val="00A540E1"/>
    <w:rsid w:val="00A54366"/>
    <w:rsid w:val="00A54FA0"/>
    <w:rsid w:val="00A55155"/>
    <w:rsid w:val="00A5561D"/>
    <w:rsid w:val="00A5597C"/>
    <w:rsid w:val="00A55D01"/>
    <w:rsid w:val="00A56579"/>
    <w:rsid w:val="00A56803"/>
    <w:rsid w:val="00A56FDB"/>
    <w:rsid w:val="00A57277"/>
    <w:rsid w:val="00A575FC"/>
    <w:rsid w:val="00A5798A"/>
    <w:rsid w:val="00A609E3"/>
    <w:rsid w:val="00A60B08"/>
    <w:rsid w:val="00A60F50"/>
    <w:rsid w:val="00A62F8D"/>
    <w:rsid w:val="00A63404"/>
    <w:rsid w:val="00A63A42"/>
    <w:rsid w:val="00A6437F"/>
    <w:rsid w:val="00A64673"/>
    <w:rsid w:val="00A64EC9"/>
    <w:rsid w:val="00A65179"/>
    <w:rsid w:val="00A651F5"/>
    <w:rsid w:val="00A65869"/>
    <w:rsid w:val="00A66B87"/>
    <w:rsid w:val="00A678D1"/>
    <w:rsid w:val="00A67BB5"/>
    <w:rsid w:val="00A67C4B"/>
    <w:rsid w:val="00A67F10"/>
    <w:rsid w:val="00A700B4"/>
    <w:rsid w:val="00A706B8"/>
    <w:rsid w:val="00A70C90"/>
    <w:rsid w:val="00A70D69"/>
    <w:rsid w:val="00A71085"/>
    <w:rsid w:val="00A710D3"/>
    <w:rsid w:val="00A711EC"/>
    <w:rsid w:val="00A71285"/>
    <w:rsid w:val="00A71D2C"/>
    <w:rsid w:val="00A7226A"/>
    <w:rsid w:val="00A7243F"/>
    <w:rsid w:val="00A727A1"/>
    <w:rsid w:val="00A72AEF"/>
    <w:rsid w:val="00A72B85"/>
    <w:rsid w:val="00A72C57"/>
    <w:rsid w:val="00A72DA1"/>
    <w:rsid w:val="00A72DD0"/>
    <w:rsid w:val="00A72FB0"/>
    <w:rsid w:val="00A7390D"/>
    <w:rsid w:val="00A73A84"/>
    <w:rsid w:val="00A73CA9"/>
    <w:rsid w:val="00A73EB5"/>
    <w:rsid w:val="00A7429D"/>
    <w:rsid w:val="00A7440F"/>
    <w:rsid w:val="00A7471B"/>
    <w:rsid w:val="00A750C6"/>
    <w:rsid w:val="00A75261"/>
    <w:rsid w:val="00A75973"/>
    <w:rsid w:val="00A75BE3"/>
    <w:rsid w:val="00A76221"/>
    <w:rsid w:val="00A76399"/>
    <w:rsid w:val="00A763AF"/>
    <w:rsid w:val="00A76596"/>
    <w:rsid w:val="00A76A05"/>
    <w:rsid w:val="00A7782D"/>
    <w:rsid w:val="00A77E20"/>
    <w:rsid w:val="00A77E43"/>
    <w:rsid w:val="00A81326"/>
    <w:rsid w:val="00A815BE"/>
    <w:rsid w:val="00A81AA7"/>
    <w:rsid w:val="00A81D4A"/>
    <w:rsid w:val="00A8248A"/>
    <w:rsid w:val="00A82C6C"/>
    <w:rsid w:val="00A83219"/>
    <w:rsid w:val="00A83821"/>
    <w:rsid w:val="00A83E46"/>
    <w:rsid w:val="00A84514"/>
    <w:rsid w:val="00A8487F"/>
    <w:rsid w:val="00A85403"/>
    <w:rsid w:val="00A856FB"/>
    <w:rsid w:val="00A86111"/>
    <w:rsid w:val="00A8622B"/>
    <w:rsid w:val="00A86383"/>
    <w:rsid w:val="00A8707E"/>
    <w:rsid w:val="00A87D5B"/>
    <w:rsid w:val="00A87DBF"/>
    <w:rsid w:val="00A87F9A"/>
    <w:rsid w:val="00A902BE"/>
    <w:rsid w:val="00A90382"/>
    <w:rsid w:val="00A90E4B"/>
    <w:rsid w:val="00A9139D"/>
    <w:rsid w:val="00A92B33"/>
    <w:rsid w:val="00A9305C"/>
    <w:rsid w:val="00A9392D"/>
    <w:rsid w:val="00A940A2"/>
    <w:rsid w:val="00A94DB7"/>
    <w:rsid w:val="00A95246"/>
    <w:rsid w:val="00A95BDD"/>
    <w:rsid w:val="00A95DE1"/>
    <w:rsid w:val="00A96F3D"/>
    <w:rsid w:val="00A970CB"/>
    <w:rsid w:val="00A97213"/>
    <w:rsid w:val="00AA0368"/>
    <w:rsid w:val="00AA0482"/>
    <w:rsid w:val="00AA0E58"/>
    <w:rsid w:val="00AA14D6"/>
    <w:rsid w:val="00AA165A"/>
    <w:rsid w:val="00AA166C"/>
    <w:rsid w:val="00AA1854"/>
    <w:rsid w:val="00AA1DDA"/>
    <w:rsid w:val="00AA1E48"/>
    <w:rsid w:val="00AA271F"/>
    <w:rsid w:val="00AA2FE9"/>
    <w:rsid w:val="00AA3665"/>
    <w:rsid w:val="00AA4119"/>
    <w:rsid w:val="00AA4653"/>
    <w:rsid w:val="00AA4709"/>
    <w:rsid w:val="00AA4796"/>
    <w:rsid w:val="00AA5927"/>
    <w:rsid w:val="00AA59DD"/>
    <w:rsid w:val="00AA5B00"/>
    <w:rsid w:val="00AA644F"/>
    <w:rsid w:val="00AA64AF"/>
    <w:rsid w:val="00AA72E8"/>
    <w:rsid w:val="00AA76B6"/>
    <w:rsid w:val="00AA7A0C"/>
    <w:rsid w:val="00AA7C6B"/>
    <w:rsid w:val="00AB0F43"/>
    <w:rsid w:val="00AB1186"/>
    <w:rsid w:val="00AB198C"/>
    <w:rsid w:val="00AB2992"/>
    <w:rsid w:val="00AB2B68"/>
    <w:rsid w:val="00AB2CE4"/>
    <w:rsid w:val="00AB34A5"/>
    <w:rsid w:val="00AB3BFA"/>
    <w:rsid w:val="00AB4115"/>
    <w:rsid w:val="00AB4548"/>
    <w:rsid w:val="00AB4AC1"/>
    <w:rsid w:val="00AB4E1C"/>
    <w:rsid w:val="00AB505C"/>
    <w:rsid w:val="00AB5116"/>
    <w:rsid w:val="00AB51F3"/>
    <w:rsid w:val="00AB52B2"/>
    <w:rsid w:val="00AB619D"/>
    <w:rsid w:val="00AB6344"/>
    <w:rsid w:val="00AB69F5"/>
    <w:rsid w:val="00AB69FA"/>
    <w:rsid w:val="00AB6B12"/>
    <w:rsid w:val="00AB6C21"/>
    <w:rsid w:val="00AB7E36"/>
    <w:rsid w:val="00AC0341"/>
    <w:rsid w:val="00AC099D"/>
    <w:rsid w:val="00AC0D8F"/>
    <w:rsid w:val="00AC0F62"/>
    <w:rsid w:val="00AC1CF7"/>
    <w:rsid w:val="00AC267A"/>
    <w:rsid w:val="00AC2785"/>
    <w:rsid w:val="00AC2BB8"/>
    <w:rsid w:val="00AC2D6D"/>
    <w:rsid w:val="00AC30F3"/>
    <w:rsid w:val="00AC3CC4"/>
    <w:rsid w:val="00AC3EE4"/>
    <w:rsid w:val="00AC4475"/>
    <w:rsid w:val="00AC44BD"/>
    <w:rsid w:val="00AC5411"/>
    <w:rsid w:val="00AC58E9"/>
    <w:rsid w:val="00AC5CD2"/>
    <w:rsid w:val="00AC675C"/>
    <w:rsid w:val="00AC6AD9"/>
    <w:rsid w:val="00AC6E54"/>
    <w:rsid w:val="00AC7011"/>
    <w:rsid w:val="00AC77BB"/>
    <w:rsid w:val="00AC7A52"/>
    <w:rsid w:val="00AD02FE"/>
    <w:rsid w:val="00AD03C9"/>
    <w:rsid w:val="00AD05C4"/>
    <w:rsid w:val="00AD14F2"/>
    <w:rsid w:val="00AD1766"/>
    <w:rsid w:val="00AD1A14"/>
    <w:rsid w:val="00AD1A59"/>
    <w:rsid w:val="00AD2118"/>
    <w:rsid w:val="00AD22DD"/>
    <w:rsid w:val="00AD3023"/>
    <w:rsid w:val="00AD3091"/>
    <w:rsid w:val="00AD344E"/>
    <w:rsid w:val="00AD364C"/>
    <w:rsid w:val="00AD39B4"/>
    <w:rsid w:val="00AD4CA0"/>
    <w:rsid w:val="00AD5D0F"/>
    <w:rsid w:val="00AD613A"/>
    <w:rsid w:val="00AD63D7"/>
    <w:rsid w:val="00AD6861"/>
    <w:rsid w:val="00AE0276"/>
    <w:rsid w:val="00AE0803"/>
    <w:rsid w:val="00AE1039"/>
    <w:rsid w:val="00AE1A35"/>
    <w:rsid w:val="00AE1ECB"/>
    <w:rsid w:val="00AE2298"/>
    <w:rsid w:val="00AE2633"/>
    <w:rsid w:val="00AE26AF"/>
    <w:rsid w:val="00AE2881"/>
    <w:rsid w:val="00AE2B5F"/>
    <w:rsid w:val="00AE2B67"/>
    <w:rsid w:val="00AE313B"/>
    <w:rsid w:val="00AE4864"/>
    <w:rsid w:val="00AE4C09"/>
    <w:rsid w:val="00AE4F2C"/>
    <w:rsid w:val="00AE5322"/>
    <w:rsid w:val="00AE532D"/>
    <w:rsid w:val="00AE5B5E"/>
    <w:rsid w:val="00AE6443"/>
    <w:rsid w:val="00AE6BA4"/>
    <w:rsid w:val="00AE7AF7"/>
    <w:rsid w:val="00AE7EA1"/>
    <w:rsid w:val="00AF0676"/>
    <w:rsid w:val="00AF0A79"/>
    <w:rsid w:val="00AF161F"/>
    <w:rsid w:val="00AF1CA7"/>
    <w:rsid w:val="00AF22E1"/>
    <w:rsid w:val="00AF24D8"/>
    <w:rsid w:val="00AF257C"/>
    <w:rsid w:val="00AF3B80"/>
    <w:rsid w:val="00AF3C31"/>
    <w:rsid w:val="00AF4CB6"/>
    <w:rsid w:val="00AF5031"/>
    <w:rsid w:val="00AF5954"/>
    <w:rsid w:val="00AF5A77"/>
    <w:rsid w:val="00AF5FAF"/>
    <w:rsid w:val="00AF6396"/>
    <w:rsid w:val="00AF6B60"/>
    <w:rsid w:val="00AF74D1"/>
    <w:rsid w:val="00AF7591"/>
    <w:rsid w:val="00B00B43"/>
    <w:rsid w:val="00B00CC2"/>
    <w:rsid w:val="00B012A4"/>
    <w:rsid w:val="00B0171A"/>
    <w:rsid w:val="00B0190A"/>
    <w:rsid w:val="00B01A7E"/>
    <w:rsid w:val="00B026E3"/>
    <w:rsid w:val="00B031A1"/>
    <w:rsid w:val="00B03C9C"/>
    <w:rsid w:val="00B040A9"/>
    <w:rsid w:val="00B04B31"/>
    <w:rsid w:val="00B04C49"/>
    <w:rsid w:val="00B05E0A"/>
    <w:rsid w:val="00B05EC9"/>
    <w:rsid w:val="00B06009"/>
    <w:rsid w:val="00B0608A"/>
    <w:rsid w:val="00B07076"/>
    <w:rsid w:val="00B075CC"/>
    <w:rsid w:val="00B07697"/>
    <w:rsid w:val="00B07DCD"/>
    <w:rsid w:val="00B07F1E"/>
    <w:rsid w:val="00B100DA"/>
    <w:rsid w:val="00B10132"/>
    <w:rsid w:val="00B10B7E"/>
    <w:rsid w:val="00B10BB3"/>
    <w:rsid w:val="00B110DC"/>
    <w:rsid w:val="00B11C02"/>
    <w:rsid w:val="00B124F8"/>
    <w:rsid w:val="00B13A08"/>
    <w:rsid w:val="00B13BC8"/>
    <w:rsid w:val="00B14375"/>
    <w:rsid w:val="00B14EC4"/>
    <w:rsid w:val="00B15483"/>
    <w:rsid w:val="00B15AA9"/>
    <w:rsid w:val="00B15CF9"/>
    <w:rsid w:val="00B16103"/>
    <w:rsid w:val="00B1673D"/>
    <w:rsid w:val="00B16A57"/>
    <w:rsid w:val="00B16A7A"/>
    <w:rsid w:val="00B16C22"/>
    <w:rsid w:val="00B16D53"/>
    <w:rsid w:val="00B1751B"/>
    <w:rsid w:val="00B17894"/>
    <w:rsid w:val="00B17C35"/>
    <w:rsid w:val="00B17E05"/>
    <w:rsid w:val="00B202B4"/>
    <w:rsid w:val="00B20AEA"/>
    <w:rsid w:val="00B20EEA"/>
    <w:rsid w:val="00B212E7"/>
    <w:rsid w:val="00B2154D"/>
    <w:rsid w:val="00B23225"/>
    <w:rsid w:val="00B2464B"/>
    <w:rsid w:val="00B248FD"/>
    <w:rsid w:val="00B24E37"/>
    <w:rsid w:val="00B25A20"/>
    <w:rsid w:val="00B25F0B"/>
    <w:rsid w:val="00B2630F"/>
    <w:rsid w:val="00B26367"/>
    <w:rsid w:val="00B26451"/>
    <w:rsid w:val="00B27085"/>
    <w:rsid w:val="00B27950"/>
    <w:rsid w:val="00B27B7D"/>
    <w:rsid w:val="00B3088F"/>
    <w:rsid w:val="00B31320"/>
    <w:rsid w:val="00B31A03"/>
    <w:rsid w:val="00B3214B"/>
    <w:rsid w:val="00B32384"/>
    <w:rsid w:val="00B32556"/>
    <w:rsid w:val="00B329CA"/>
    <w:rsid w:val="00B32A1A"/>
    <w:rsid w:val="00B33405"/>
    <w:rsid w:val="00B33CF3"/>
    <w:rsid w:val="00B33D16"/>
    <w:rsid w:val="00B35566"/>
    <w:rsid w:val="00B357E3"/>
    <w:rsid w:val="00B35A04"/>
    <w:rsid w:val="00B361E0"/>
    <w:rsid w:val="00B36506"/>
    <w:rsid w:val="00B36AFF"/>
    <w:rsid w:val="00B373D9"/>
    <w:rsid w:val="00B401B5"/>
    <w:rsid w:val="00B4047C"/>
    <w:rsid w:val="00B40800"/>
    <w:rsid w:val="00B40C10"/>
    <w:rsid w:val="00B40FE3"/>
    <w:rsid w:val="00B4177B"/>
    <w:rsid w:val="00B41D9F"/>
    <w:rsid w:val="00B422EF"/>
    <w:rsid w:val="00B42C52"/>
    <w:rsid w:val="00B43D61"/>
    <w:rsid w:val="00B43FF6"/>
    <w:rsid w:val="00B4432F"/>
    <w:rsid w:val="00B44973"/>
    <w:rsid w:val="00B452DC"/>
    <w:rsid w:val="00B4650B"/>
    <w:rsid w:val="00B465A8"/>
    <w:rsid w:val="00B46836"/>
    <w:rsid w:val="00B468DC"/>
    <w:rsid w:val="00B47217"/>
    <w:rsid w:val="00B47251"/>
    <w:rsid w:val="00B47759"/>
    <w:rsid w:val="00B501C4"/>
    <w:rsid w:val="00B51100"/>
    <w:rsid w:val="00B51912"/>
    <w:rsid w:val="00B51F1F"/>
    <w:rsid w:val="00B52170"/>
    <w:rsid w:val="00B52A56"/>
    <w:rsid w:val="00B53156"/>
    <w:rsid w:val="00B53815"/>
    <w:rsid w:val="00B53E9B"/>
    <w:rsid w:val="00B53EA6"/>
    <w:rsid w:val="00B53ED9"/>
    <w:rsid w:val="00B545AA"/>
    <w:rsid w:val="00B54773"/>
    <w:rsid w:val="00B5488E"/>
    <w:rsid w:val="00B54A45"/>
    <w:rsid w:val="00B54F54"/>
    <w:rsid w:val="00B550D5"/>
    <w:rsid w:val="00B55292"/>
    <w:rsid w:val="00B55790"/>
    <w:rsid w:val="00B557BA"/>
    <w:rsid w:val="00B55C84"/>
    <w:rsid w:val="00B55DE4"/>
    <w:rsid w:val="00B572E7"/>
    <w:rsid w:val="00B5747F"/>
    <w:rsid w:val="00B57C62"/>
    <w:rsid w:val="00B6002D"/>
    <w:rsid w:val="00B602D0"/>
    <w:rsid w:val="00B60308"/>
    <w:rsid w:val="00B609A1"/>
    <w:rsid w:val="00B6153D"/>
    <w:rsid w:val="00B62ACB"/>
    <w:rsid w:val="00B62BD3"/>
    <w:rsid w:val="00B62DE9"/>
    <w:rsid w:val="00B643D8"/>
    <w:rsid w:val="00B65849"/>
    <w:rsid w:val="00B65E91"/>
    <w:rsid w:val="00B66049"/>
    <w:rsid w:val="00B66F64"/>
    <w:rsid w:val="00B67419"/>
    <w:rsid w:val="00B67DC1"/>
    <w:rsid w:val="00B67E3E"/>
    <w:rsid w:val="00B70511"/>
    <w:rsid w:val="00B70D98"/>
    <w:rsid w:val="00B7100C"/>
    <w:rsid w:val="00B71193"/>
    <w:rsid w:val="00B71313"/>
    <w:rsid w:val="00B72699"/>
    <w:rsid w:val="00B73114"/>
    <w:rsid w:val="00B734AB"/>
    <w:rsid w:val="00B73838"/>
    <w:rsid w:val="00B74262"/>
    <w:rsid w:val="00B757E6"/>
    <w:rsid w:val="00B7601F"/>
    <w:rsid w:val="00B76E27"/>
    <w:rsid w:val="00B770E1"/>
    <w:rsid w:val="00B80028"/>
    <w:rsid w:val="00B805AA"/>
    <w:rsid w:val="00B80668"/>
    <w:rsid w:val="00B80A8B"/>
    <w:rsid w:val="00B81293"/>
    <w:rsid w:val="00B81BA1"/>
    <w:rsid w:val="00B83E8C"/>
    <w:rsid w:val="00B8487B"/>
    <w:rsid w:val="00B84F22"/>
    <w:rsid w:val="00B85A09"/>
    <w:rsid w:val="00B86389"/>
    <w:rsid w:val="00B86406"/>
    <w:rsid w:val="00B86787"/>
    <w:rsid w:val="00B86A16"/>
    <w:rsid w:val="00B86D4F"/>
    <w:rsid w:val="00B87020"/>
    <w:rsid w:val="00B8747B"/>
    <w:rsid w:val="00B8756B"/>
    <w:rsid w:val="00B87DAB"/>
    <w:rsid w:val="00B90B53"/>
    <w:rsid w:val="00B90BCC"/>
    <w:rsid w:val="00B90E3D"/>
    <w:rsid w:val="00B91140"/>
    <w:rsid w:val="00B9137B"/>
    <w:rsid w:val="00B91CB2"/>
    <w:rsid w:val="00B91CDE"/>
    <w:rsid w:val="00B9305B"/>
    <w:rsid w:val="00B9391D"/>
    <w:rsid w:val="00B94366"/>
    <w:rsid w:val="00B94890"/>
    <w:rsid w:val="00B94A6D"/>
    <w:rsid w:val="00B952A9"/>
    <w:rsid w:val="00B95A10"/>
    <w:rsid w:val="00B95AEA"/>
    <w:rsid w:val="00B95C8F"/>
    <w:rsid w:val="00B96603"/>
    <w:rsid w:val="00B96D9E"/>
    <w:rsid w:val="00B9764A"/>
    <w:rsid w:val="00B97F03"/>
    <w:rsid w:val="00B97FF4"/>
    <w:rsid w:val="00BA0A20"/>
    <w:rsid w:val="00BA145C"/>
    <w:rsid w:val="00BA147B"/>
    <w:rsid w:val="00BA203A"/>
    <w:rsid w:val="00BA2566"/>
    <w:rsid w:val="00BA26FC"/>
    <w:rsid w:val="00BA3CF0"/>
    <w:rsid w:val="00BA3FCA"/>
    <w:rsid w:val="00BA4C54"/>
    <w:rsid w:val="00BA546E"/>
    <w:rsid w:val="00BA5494"/>
    <w:rsid w:val="00BA58EA"/>
    <w:rsid w:val="00BA6079"/>
    <w:rsid w:val="00BA6496"/>
    <w:rsid w:val="00BA6D0B"/>
    <w:rsid w:val="00BA734E"/>
    <w:rsid w:val="00BA7514"/>
    <w:rsid w:val="00BA773B"/>
    <w:rsid w:val="00BB0D4E"/>
    <w:rsid w:val="00BB105C"/>
    <w:rsid w:val="00BB10C3"/>
    <w:rsid w:val="00BB18FD"/>
    <w:rsid w:val="00BB1E46"/>
    <w:rsid w:val="00BB3419"/>
    <w:rsid w:val="00BB3445"/>
    <w:rsid w:val="00BB3972"/>
    <w:rsid w:val="00BB4BCE"/>
    <w:rsid w:val="00BB4EBC"/>
    <w:rsid w:val="00BB52D3"/>
    <w:rsid w:val="00BB580D"/>
    <w:rsid w:val="00BB5BC6"/>
    <w:rsid w:val="00BB5F22"/>
    <w:rsid w:val="00BB6DE6"/>
    <w:rsid w:val="00BB7475"/>
    <w:rsid w:val="00BB786E"/>
    <w:rsid w:val="00BB7AFE"/>
    <w:rsid w:val="00BB7B40"/>
    <w:rsid w:val="00BB7CD7"/>
    <w:rsid w:val="00BC0196"/>
    <w:rsid w:val="00BC029B"/>
    <w:rsid w:val="00BC07D8"/>
    <w:rsid w:val="00BC16E0"/>
    <w:rsid w:val="00BC174F"/>
    <w:rsid w:val="00BC1955"/>
    <w:rsid w:val="00BC1B39"/>
    <w:rsid w:val="00BC1D4C"/>
    <w:rsid w:val="00BC1DD0"/>
    <w:rsid w:val="00BC25EB"/>
    <w:rsid w:val="00BC29E8"/>
    <w:rsid w:val="00BC37F1"/>
    <w:rsid w:val="00BC3946"/>
    <w:rsid w:val="00BC39F8"/>
    <w:rsid w:val="00BC4326"/>
    <w:rsid w:val="00BC4CEC"/>
    <w:rsid w:val="00BC5D35"/>
    <w:rsid w:val="00BC5F40"/>
    <w:rsid w:val="00BC5FC0"/>
    <w:rsid w:val="00BC626A"/>
    <w:rsid w:val="00BC6297"/>
    <w:rsid w:val="00BC6774"/>
    <w:rsid w:val="00BC6E44"/>
    <w:rsid w:val="00BC7371"/>
    <w:rsid w:val="00BD0DA6"/>
    <w:rsid w:val="00BD1400"/>
    <w:rsid w:val="00BD250C"/>
    <w:rsid w:val="00BD29B6"/>
    <w:rsid w:val="00BD36E2"/>
    <w:rsid w:val="00BD3A57"/>
    <w:rsid w:val="00BD402E"/>
    <w:rsid w:val="00BD563C"/>
    <w:rsid w:val="00BD56A9"/>
    <w:rsid w:val="00BD6C37"/>
    <w:rsid w:val="00BD78BF"/>
    <w:rsid w:val="00BD7C11"/>
    <w:rsid w:val="00BE00B4"/>
    <w:rsid w:val="00BE04B7"/>
    <w:rsid w:val="00BE065A"/>
    <w:rsid w:val="00BE1A73"/>
    <w:rsid w:val="00BE1ADD"/>
    <w:rsid w:val="00BE23B2"/>
    <w:rsid w:val="00BE23D6"/>
    <w:rsid w:val="00BE247F"/>
    <w:rsid w:val="00BE292A"/>
    <w:rsid w:val="00BE2DC0"/>
    <w:rsid w:val="00BE2FC0"/>
    <w:rsid w:val="00BE372E"/>
    <w:rsid w:val="00BE386D"/>
    <w:rsid w:val="00BE3909"/>
    <w:rsid w:val="00BE3DBB"/>
    <w:rsid w:val="00BE44AA"/>
    <w:rsid w:val="00BE4F86"/>
    <w:rsid w:val="00BE55C0"/>
    <w:rsid w:val="00BE62E8"/>
    <w:rsid w:val="00BE6C28"/>
    <w:rsid w:val="00BE708D"/>
    <w:rsid w:val="00BE70B6"/>
    <w:rsid w:val="00BE7149"/>
    <w:rsid w:val="00BE77C9"/>
    <w:rsid w:val="00BE7AEF"/>
    <w:rsid w:val="00BF027A"/>
    <w:rsid w:val="00BF07A5"/>
    <w:rsid w:val="00BF11E5"/>
    <w:rsid w:val="00BF1599"/>
    <w:rsid w:val="00BF1F4D"/>
    <w:rsid w:val="00BF20CF"/>
    <w:rsid w:val="00BF28D0"/>
    <w:rsid w:val="00BF2A7F"/>
    <w:rsid w:val="00BF316D"/>
    <w:rsid w:val="00BF3BF4"/>
    <w:rsid w:val="00BF4423"/>
    <w:rsid w:val="00BF4BB0"/>
    <w:rsid w:val="00BF4F84"/>
    <w:rsid w:val="00BF4FF7"/>
    <w:rsid w:val="00BF55EA"/>
    <w:rsid w:val="00BF59A6"/>
    <w:rsid w:val="00BF624A"/>
    <w:rsid w:val="00BF7123"/>
    <w:rsid w:val="00BF7B85"/>
    <w:rsid w:val="00C00AC8"/>
    <w:rsid w:val="00C0120E"/>
    <w:rsid w:val="00C029BF"/>
    <w:rsid w:val="00C02C49"/>
    <w:rsid w:val="00C03AE0"/>
    <w:rsid w:val="00C0482B"/>
    <w:rsid w:val="00C04DAA"/>
    <w:rsid w:val="00C04EF6"/>
    <w:rsid w:val="00C052C3"/>
    <w:rsid w:val="00C057C0"/>
    <w:rsid w:val="00C05AD9"/>
    <w:rsid w:val="00C06974"/>
    <w:rsid w:val="00C0699B"/>
    <w:rsid w:val="00C06E0F"/>
    <w:rsid w:val="00C06EBB"/>
    <w:rsid w:val="00C074E7"/>
    <w:rsid w:val="00C07D23"/>
    <w:rsid w:val="00C109F8"/>
    <w:rsid w:val="00C10ABC"/>
    <w:rsid w:val="00C10B4F"/>
    <w:rsid w:val="00C10E63"/>
    <w:rsid w:val="00C11216"/>
    <w:rsid w:val="00C1126E"/>
    <w:rsid w:val="00C118EE"/>
    <w:rsid w:val="00C1208C"/>
    <w:rsid w:val="00C12215"/>
    <w:rsid w:val="00C1249E"/>
    <w:rsid w:val="00C1286D"/>
    <w:rsid w:val="00C1349A"/>
    <w:rsid w:val="00C1352D"/>
    <w:rsid w:val="00C13FF2"/>
    <w:rsid w:val="00C1485E"/>
    <w:rsid w:val="00C14E66"/>
    <w:rsid w:val="00C15832"/>
    <w:rsid w:val="00C16FBB"/>
    <w:rsid w:val="00C17640"/>
    <w:rsid w:val="00C176A0"/>
    <w:rsid w:val="00C17836"/>
    <w:rsid w:val="00C202D4"/>
    <w:rsid w:val="00C205D0"/>
    <w:rsid w:val="00C20748"/>
    <w:rsid w:val="00C20C2F"/>
    <w:rsid w:val="00C20C58"/>
    <w:rsid w:val="00C20FD0"/>
    <w:rsid w:val="00C211C1"/>
    <w:rsid w:val="00C21508"/>
    <w:rsid w:val="00C21954"/>
    <w:rsid w:val="00C22CA0"/>
    <w:rsid w:val="00C22F8D"/>
    <w:rsid w:val="00C239B7"/>
    <w:rsid w:val="00C24AB7"/>
    <w:rsid w:val="00C24B7C"/>
    <w:rsid w:val="00C24E0F"/>
    <w:rsid w:val="00C25209"/>
    <w:rsid w:val="00C256C9"/>
    <w:rsid w:val="00C261EC"/>
    <w:rsid w:val="00C2652A"/>
    <w:rsid w:val="00C26D80"/>
    <w:rsid w:val="00C2768A"/>
    <w:rsid w:val="00C27785"/>
    <w:rsid w:val="00C277B0"/>
    <w:rsid w:val="00C30170"/>
    <w:rsid w:val="00C301C9"/>
    <w:rsid w:val="00C309CE"/>
    <w:rsid w:val="00C309F4"/>
    <w:rsid w:val="00C31ABE"/>
    <w:rsid w:val="00C328C9"/>
    <w:rsid w:val="00C33920"/>
    <w:rsid w:val="00C34A20"/>
    <w:rsid w:val="00C35466"/>
    <w:rsid w:val="00C35F0A"/>
    <w:rsid w:val="00C378D9"/>
    <w:rsid w:val="00C404E1"/>
    <w:rsid w:val="00C407A7"/>
    <w:rsid w:val="00C40FFF"/>
    <w:rsid w:val="00C4113F"/>
    <w:rsid w:val="00C41503"/>
    <w:rsid w:val="00C41738"/>
    <w:rsid w:val="00C41E81"/>
    <w:rsid w:val="00C42844"/>
    <w:rsid w:val="00C42C03"/>
    <w:rsid w:val="00C43502"/>
    <w:rsid w:val="00C435D1"/>
    <w:rsid w:val="00C43841"/>
    <w:rsid w:val="00C43FDA"/>
    <w:rsid w:val="00C444B8"/>
    <w:rsid w:val="00C44681"/>
    <w:rsid w:val="00C44856"/>
    <w:rsid w:val="00C4487C"/>
    <w:rsid w:val="00C44EBD"/>
    <w:rsid w:val="00C457CE"/>
    <w:rsid w:val="00C45B75"/>
    <w:rsid w:val="00C465DE"/>
    <w:rsid w:val="00C46BED"/>
    <w:rsid w:val="00C47978"/>
    <w:rsid w:val="00C47F63"/>
    <w:rsid w:val="00C501DC"/>
    <w:rsid w:val="00C50A0B"/>
    <w:rsid w:val="00C50ABD"/>
    <w:rsid w:val="00C50B4F"/>
    <w:rsid w:val="00C51257"/>
    <w:rsid w:val="00C51A5D"/>
    <w:rsid w:val="00C51D86"/>
    <w:rsid w:val="00C51FAA"/>
    <w:rsid w:val="00C52735"/>
    <w:rsid w:val="00C537FF"/>
    <w:rsid w:val="00C53BDB"/>
    <w:rsid w:val="00C53C36"/>
    <w:rsid w:val="00C54939"/>
    <w:rsid w:val="00C54B6B"/>
    <w:rsid w:val="00C54BB0"/>
    <w:rsid w:val="00C550E0"/>
    <w:rsid w:val="00C55629"/>
    <w:rsid w:val="00C55B1C"/>
    <w:rsid w:val="00C56005"/>
    <w:rsid w:val="00C56FFA"/>
    <w:rsid w:val="00C5719F"/>
    <w:rsid w:val="00C574A2"/>
    <w:rsid w:val="00C577AE"/>
    <w:rsid w:val="00C57A11"/>
    <w:rsid w:val="00C57FAE"/>
    <w:rsid w:val="00C6092C"/>
    <w:rsid w:val="00C60F2C"/>
    <w:rsid w:val="00C61126"/>
    <w:rsid w:val="00C61D8E"/>
    <w:rsid w:val="00C6319F"/>
    <w:rsid w:val="00C63331"/>
    <w:rsid w:val="00C6389B"/>
    <w:rsid w:val="00C6430B"/>
    <w:rsid w:val="00C651DC"/>
    <w:rsid w:val="00C65315"/>
    <w:rsid w:val="00C6562A"/>
    <w:rsid w:val="00C6563E"/>
    <w:rsid w:val="00C6602F"/>
    <w:rsid w:val="00C6671C"/>
    <w:rsid w:val="00C66921"/>
    <w:rsid w:val="00C66947"/>
    <w:rsid w:val="00C66EBC"/>
    <w:rsid w:val="00C66F3D"/>
    <w:rsid w:val="00C6711C"/>
    <w:rsid w:val="00C67360"/>
    <w:rsid w:val="00C67E14"/>
    <w:rsid w:val="00C67F51"/>
    <w:rsid w:val="00C67F61"/>
    <w:rsid w:val="00C70746"/>
    <w:rsid w:val="00C70A25"/>
    <w:rsid w:val="00C715C7"/>
    <w:rsid w:val="00C71968"/>
    <w:rsid w:val="00C7198A"/>
    <w:rsid w:val="00C71AD1"/>
    <w:rsid w:val="00C7207A"/>
    <w:rsid w:val="00C7286F"/>
    <w:rsid w:val="00C72F14"/>
    <w:rsid w:val="00C73336"/>
    <w:rsid w:val="00C73707"/>
    <w:rsid w:val="00C757D7"/>
    <w:rsid w:val="00C75986"/>
    <w:rsid w:val="00C75CC6"/>
    <w:rsid w:val="00C75D1C"/>
    <w:rsid w:val="00C7636A"/>
    <w:rsid w:val="00C76410"/>
    <w:rsid w:val="00C7666E"/>
    <w:rsid w:val="00C76D95"/>
    <w:rsid w:val="00C775A7"/>
    <w:rsid w:val="00C77607"/>
    <w:rsid w:val="00C77AE8"/>
    <w:rsid w:val="00C80811"/>
    <w:rsid w:val="00C80E9E"/>
    <w:rsid w:val="00C8141F"/>
    <w:rsid w:val="00C814CD"/>
    <w:rsid w:val="00C82FC4"/>
    <w:rsid w:val="00C840C5"/>
    <w:rsid w:val="00C844BC"/>
    <w:rsid w:val="00C8505C"/>
    <w:rsid w:val="00C85DFF"/>
    <w:rsid w:val="00C85FD4"/>
    <w:rsid w:val="00C86215"/>
    <w:rsid w:val="00C87158"/>
    <w:rsid w:val="00C87A09"/>
    <w:rsid w:val="00C87A77"/>
    <w:rsid w:val="00C87D79"/>
    <w:rsid w:val="00C90068"/>
    <w:rsid w:val="00C90240"/>
    <w:rsid w:val="00C9063C"/>
    <w:rsid w:val="00C9107E"/>
    <w:rsid w:val="00C918FB"/>
    <w:rsid w:val="00C91D60"/>
    <w:rsid w:val="00C92141"/>
    <w:rsid w:val="00C9238A"/>
    <w:rsid w:val="00C923A7"/>
    <w:rsid w:val="00C928C2"/>
    <w:rsid w:val="00C92BE1"/>
    <w:rsid w:val="00C92FB6"/>
    <w:rsid w:val="00C93144"/>
    <w:rsid w:val="00C93236"/>
    <w:rsid w:val="00C93F1D"/>
    <w:rsid w:val="00C940DD"/>
    <w:rsid w:val="00C945EC"/>
    <w:rsid w:val="00C951EB"/>
    <w:rsid w:val="00C95360"/>
    <w:rsid w:val="00C96126"/>
    <w:rsid w:val="00C961FD"/>
    <w:rsid w:val="00C96485"/>
    <w:rsid w:val="00C970BB"/>
    <w:rsid w:val="00C9753F"/>
    <w:rsid w:val="00C976D2"/>
    <w:rsid w:val="00C977B3"/>
    <w:rsid w:val="00C97D61"/>
    <w:rsid w:val="00CA009E"/>
    <w:rsid w:val="00CA04A5"/>
    <w:rsid w:val="00CA0F21"/>
    <w:rsid w:val="00CA0F7A"/>
    <w:rsid w:val="00CA0FC6"/>
    <w:rsid w:val="00CA1188"/>
    <w:rsid w:val="00CA2010"/>
    <w:rsid w:val="00CA21E2"/>
    <w:rsid w:val="00CA25E0"/>
    <w:rsid w:val="00CA29C9"/>
    <w:rsid w:val="00CA314F"/>
    <w:rsid w:val="00CA3524"/>
    <w:rsid w:val="00CA37E1"/>
    <w:rsid w:val="00CA3E9B"/>
    <w:rsid w:val="00CA4576"/>
    <w:rsid w:val="00CA5BB8"/>
    <w:rsid w:val="00CA5D1F"/>
    <w:rsid w:val="00CA5E2B"/>
    <w:rsid w:val="00CA6057"/>
    <w:rsid w:val="00CA60E6"/>
    <w:rsid w:val="00CA62CB"/>
    <w:rsid w:val="00CA6D40"/>
    <w:rsid w:val="00CA6EE4"/>
    <w:rsid w:val="00CA74CD"/>
    <w:rsid w:val="00CA7759"/>
    <w:rsid w:val="00CA7A0E"/>
    <w:rsid w:val="00CB01E1"/>
    <w:rsid w:val="00CB1011"/>
    <w:rsid w:val="00CB134C"/>
    <w:rsid w:val="00CB13D2"/>
    <w:rsid w:val="00CB14A3"/>
    <w:rsid w:val="00CB178F"/>
    <w:rsid w:val="00CB192B"/>
    <w:rsid w:val="00CB1C5E"/>
    <w:rsid w:val="00CB208C"/>
    <w:rsid w:val="00CB2C30"/>
    <w:rsid w:val="00CB2DAD"/>
    <w:rsid w:val="00CB2DFD"/>
    <w:rsid w:val="00CB307A"/>
    <w:rsid w:val="00CB323D"/>
    <w:rsid w:val="00CB3D6E"/>
    <w:rsid w:val="00CB3F42"/>
    <w:rsid w:val="00CB452D"/>
    <w:rsid w:val="00CB4568"/>
    <w:rsid w:val="00CB4B66"/>
    <w:rsid w:val="00CB4F8A"/>
    <w:rsid w:val="00CB579D"/>
    <w:rsid w:val="00CB5803"/>
    <w:rsid w:val="00CB5D22"/>
    <w:rsid w:val="00CB62A9"/>
    <w:rsid w:val="00CB6335"/>
    <w:rsid w:val="00CB6BE1"/>
    <w:rsid w:val="00CB6EA7"/>
    <w:rsid w:val="00CB7183"/>
    <w:rsid w:val="00CB7814"/>
    <w:rsid w:val="00CB794B"/>
    <w:rsid w:val="00CC04E8"/>
    <w:rsid w:val="00CC17BC"/>
    <w:rsid w:val="00CC19B1"/>
    <w:rsid w:val="00CC3644"/>
    <w:rsid w:val="00CC3ABC"/>
    <w:rsid w:val="00CC3AFD"/>
    <w:rsid w:val="00CC3FC5"/>
    <w:rsid w:val="00CC3FEF"/>
    <w:rsid w:val="00CC44B3"/>
    <w:rsid w:val="00CC4D98"/>
    <w:rsid w:val="00CC4E82"/>
    <w:rsid w:val="00CC4F68"/>
    <w:rsid w:val="00CC50B9"/>
    <w:rsid w:val="00CC568B"/>
    <w:rsid w:val="00CC6756"/>
    <w:rsid w:val="00CC67FE"/>
    <w:rsid w:val="00CC6C7A"/>
    <w:rsid w:val="00CD01A7"/>
    <w:rsid w:val="00CD0897"/>
    <w:rsid w:val="00CD0DD6"/>
    <w:rsid w:val="00CD0E86"/>
    <w:rsid w:val="00CD14CF"/>
    <w:rsid w:val="00CD1539"/>
    <w:rsid w:val="00CD181E"/>
    <w:rsid w:val="00CD1EE7"/>
    <w:rsid w:val="00CD239B"/>
    <w:rsid w:val="00CD23F7"/>
    <w:rsid w:val="00CD2C47"/>
    <w:rsid w:val="00CD2F7F"/>
    <w:rsid w:val="00CD345B"/>
    <w:rsid w:val="00CD3625"/>
    <w:rsid w:val="00CD3E17"/>
    <w:rsid w:val="00CD4042"/>
    <w:rsid w:val="00CD43BB"/>
    <w:rsid w:val="00CD43C7"/>
    <w:rsid w:val="00CD519A"/>
    <w:rsid w:val="00CD5F0F"/>
    <w:rsid w:val="00CD5F68"/>
    <w:rsid w:val="00CD6338"/>
    <w:rsid w:val="00CD644A"/>
    <w:rsid w:val="00CD6F5A"/>
    <w:rsid w:val="00CD6F8C"/>
    <w:rsid w:val="00CD76FB"/>
    <w:rsid w:val="00CD78D5"/>
    <w:rsid w:val="00CD7912"/>
    <w:rsid w:val="00CE04F8"/>
    <w:rsid w:val="00CE098F"/>
    <w:rsid w:val="00CE0B21"/>
    <w:rsid w:val="00CE1152"/>
    <w:rsid w:val="00CE11BC"/>
    <w:rsid w:val="00CE136B"/>
    <w:rsid w:val="00CE23B5"/>
    <w:rsid w:val="00CE248E"/>
    <w:rsid w:val="00CE26DA"/>
    <w:rsid w:val="00CE3083"/>
    <w:rsid w:val="00CE30D8"/>
    <w:rsid w:val="00CE3598"/>
    <w:rsid w:val="00CE3B8A"/>
    <w:rsid w:val="00CE3C52"/>
    <w:rsid w:val="00CE3E65"/>
    <w:rsid w:val="00CE475D"/>
    <w:rsid w:val="00CE54FF"/>
    <w:rsid w:val="00CE5A1C"/>
    <w:rsid w:val="00CE5CBD"/>
    <w:rsid w:val="00CE5D3E"/>
    <w:rsid w:val="00CE606E"/>
    <w:rsid w:val="00CE648F"/>
    <w:rsid w:val="00CE68F3"/>
    <w:rsid w:val="00CF079E"/>
    <w:rsid w:val="00CF0846"/>
    <w:rsid w:val="00CF09F2"/>
    <w:rsid w:val="00CF0CC5"/>
    <w:rsid w:val="00CF0EE2"/>
    <w:rsid w:val="00CF1172"/>
    <w:rsid w:val="00CF3227"/>
    <w:rsid w:val="00CF3362"/>
    <w:rsid w:val="00CF3784"/>
    <w:rsid w:val="00CF461E"/>
    <w:rsid w:val="00CF4D9C"/>
    <w:rsid w:val="00CF5040"/>
    <w:rsid w:val="00CF5423"/>
    <w:rsid w:val="00CF58D4"/>
    <w:rsid w:val="00CF5BFD"/>
    <w:rsid w:val="00CF5CEF"/>
    <w:rsid w:val="00CF5FAC"/>
    <w:rsid w:val="00CF6333"/>
    <w:rsid w:val="00CF6C37"/>
    <w:rsid w:val="00CF6C45"/>
    <w:rsid w:val="00CF7C7A"/>
    <w:rsid w:val="00D003F2"/>
    <w:rsid w:val="00D005E9"/>
    <w:rsid w:val="00D015F0"/>
    <w:rsid w:val="00D018EA"/>
    <w:rsid w:val="00D01C22"/>
    <w:rsid w:val="00D01FF8"/>
    <w:rsid w:val="00D023F7"/>
    <w:rsid w:val="00D025C3"/>
    <w:rsid w:val="00D0265F"/>
    <w:rsid w:val="00D02A2D"/>
    <w:rsid w:val="00D02E3A"/>
    <w:rsid w:val="00D02E7D"/>
    <w:rsid w:val="00D0306A"/>
    <w:rsid w:val="00D037B8"/>
    <w:rsid w:val="00D03C63"/>
    <w:rsid w:val="00D05D49"/>
    <w:rsid w:val="00D05F8E"/>
    <w:rsid w:val="00D0628A"/>
    <w:rsid w:val="00D06290"/>
    <w:rsid w:val="00D068B6"/>
    <w:rsid w:val="00D07367"/>
    <w:rsid w:val="00D07714"/>
    <w:rsid w:val="00D0775E"/>
    <w:rsid w:val="00D0776F"/>
    <w:rsid w:val="00D07AF7"/>
    <w:rsid w:val="00D105A9"/>
    <w:rsid w:val="00D10765"/>
    <w:rsid w:val="00D1090E"/>
    <w:rsid w:val="00D11C1C"/>
    <w:rsid w:val="00D11DD1"/>
    <w:rsid w:val="00D12D2C"/>
    <w:rsid w:val="00D12DA4"/>
    <w:rsid w:val="00D12F34"/>
    <w:rsid w:val="00D13327"/>
    <w:rsid w:val="00D13603"/>
    <w:rsid w:val="00D13861"/>
    <w:rsid w:val="00D1391F"/>
    <w:rsid w:val="00D14241"/>
    <w:rsid w:val="00D142B3"/>
    <w:rsid w:val="00D14599"/>
    <w:rsid w:val="00D152CA"/>
    <w:rsid w:val="00D1547B"/>
    <w:rsid w:val="00D15F20"/>
    <w:rsid w:val="00D162EB"/>
    <w:rsid w:val="00D16543"/>
    <w:rsid w:val="00D16B03"/>
    <w:rsid w:val="00D16EDA"/>
    <w:rsid w:val="00D177C2"/>
    <w:rsid w:val="00D202E5"/>
    <w:rsid w:val="00D20312"/>
    <w:rsid w:val="00D2031E"/>
    <w:rsid w:val="00D20E61"/>
    <w:rsid w:val="00D2104D"/>
    <w:rsid w:val="00D2110F"/>
    <w:rsid w:val="00D21547"/>
    <w:rsid w:val="00D21F11"/>
    <w:rsid w:val="00D224DF"/>
    <w:rsid w:val="00D2252F"/>
    <w:rsid w:val="00D22AAB"/>
    <w:rsid w:val="00D22AF9"/>
    <w:rsid w:val="00D22B17"/>
    <w:rsid w:val="00D22DAB"/>
    <w:rsid w:val="00D238DE"/>
    <w:rsid w:val="00D23B76"/>
    <w:rsid w:val="00D24827"/>
    <w:rsid w:val="00D248B1"/>
    <w:rsid w:val="00D24A4F"/>
    <w:rsid w:val="00D264F5"/>
    <w:rsid w:val="00D267E4"/>
    <w:rsid w:val="00D26892"/>
    <w:rsid w:val="00D26A17"/>
    <w:rsid w:val="00D26FCF"/>
    <w:rsid w:val="00D27A95"/>
    <w:rsid w:val="00D27CE8"/>
    <w:rsid w:val="00D3003D"/>
    <w:rsid w:val="00D30047"/>
    <w:rsid w:val="00D305D2"/>
    <w:rsid w:val="00D30C2C"/>
    <w:rsid w:val="00D30D8C"/>
    <w:rsid w:val="00D31902"/>
    <w:rsid w:val="00D31DA6"/>
    <w:rsid w:val="00D328F6"/>
    <w:rsid w:val="00D32954"/>
    <w:rsid w:val="00D334C8"/>
    <w:rsid w:val="00D3393D"/>
    <w:rsid w:val="00D34223"/>
    <w:rsid w:val="00D348F1"/>
    <w:rsid w:val="00D3557D"/>
    <w:rsid w:val="00D366FE"/>
    <w:rsid w:val="00D36D2B"/>
    <w:rsid w:val="00D37033"/>
    <w:rsid w:val="00D3726B"/>
    <w:rsid w:val="00D37743"/>
    <w:rsid w:val="00D4010C"/>
    <w:rsid w:val="00D401E7"/>
    <w:rsid w:val="00D405D7"/>
    <w:rsid w:val="00D406EA"/>
    <w:rsid w:val="00D407D6"/>
    <w:rsid w:val="00D414C7"/>
    <w:rsid w:val="00D4175E"/>
    <w:rsid w:val="00D4237A"/>
    <w:rsid w:val="00D423D0"/>
    <w:rsid w:val="00D426FA"/>
    <w:rsid w:val="00D42A73"/>
    <w:rsid w:val="00D43399"/>
    <w:rsid w:val="00D43553"/>
    <w:rsid w:val="00D439FB"/>
    <w:rsid w:val="00D447F5"/>
    <w:rsid w:val="00D44E96"/>
    <w:rsid w:val="00D468E3"/>
    <w:rsid w:val="00D469EF"/>
    <w:rsid w:val="00D4711B"/>
    <w:rsid w:val="00D476D0"/>
    <w:rsid w:val="00D479DF"/>
    <w:rsid w:val="00D50CEE"/>
    <w:rsid w:val="00D51136"/>
    <w:rsid w:val="00D51AD8"/>
    <w:rsid w:val="00D51CCC"/>
    <w:rsid w:val="00D51D48"/>
    <w:rsid w:val="00D5234E"/>
    <w:rsid w:val="00D53255"/>
    <w:rsid w:val="00D533AA"/>
    <w:rsid w:val="00D545E0"/>
    <w:rsid w:val="00D54FD1"/>
    <w:rsid w:val="00D55918"/>
    <w:rsid w:val="00D55A0F"/>
    <w:rsid w:val="00D55B04"/>
    <w:rsid w:val="00D55ED7"/>
    <w:rsid w:val="00D55F1F"/>
    <w:rsid w:val="00D5646F"/>
    <w:rsid w:val="00D56508"/>
    <w:rsid w:val="00D56559"/>
    <w:rsid w:val="00D5677D"/>
    <w:rsid w:val="00D56B8D"/>
    <w:rsid w:val="00D56BC3"/>
    <w:rsid w:val="00D57299"/>
    <w:rsid w:val="00D574E1"/>
    <w:rsid w:val="00D578AE"/>
    <w:rsid w:val="00D578F6"/>
    <w:rsid w:val="00D602A3"/>
    <w:rsid w:val="00D604B8"/>
    <w:rsid w:val="00D6055C"/>
    <w:rsid w:val="00D60650"/>
    <w:rsid w:val="00D609D4"/>
    <w:rsid w:val="00D60A0D"/>
    <w:rsid w:val="00D60FDF"/>
    <w:rsid w:val="00D6147B"/>
    <w:rsid w:val="00D61C6A"/>
    <w:rsid w:val="00D61D6B"/>
    <w:rsid w:val="00D62BDE"/>
    <w:rsid w:val="00D637D1"/>
    <w:rsid w:val="00D63966"/>
    <w:rsid w:val="00D63A5B"/>
    <w:rsid w:val="00D63AF0"/>
    <w:rsid w:val="00D63CB7"/>
    <w:rsid w:val="00D64237"/>
    <w:rsid w:val="00D64647"/>
    <w:rsid w:val="00D65109"/>
    <w:rsid w:val="00D65E2D"/>
    <w:rsid w:val="00D6600F"/>
    <w:rsid w:val="00D660E9"/>
    <w:rsid w:val="00D6629E"/>
    <w:rsid w:val="00D662D6"/>
    <w:rsid w:val="00D662EF"/>
    <w:rsid w:val="00D66E1E"/>
    <w:rsid w:val="00D66E34"/>
    <w:rsid w:val="00D678BC"/>
    <w:rsid w:val="00D679B3"/>
    <w:rsid w:val="00D67C7E"/>
    <w:rsid w:val="00D701F2"/>
    <w:rsid w:val="00D706E3"/>
    <w:rsid w:val="00D70B39"/>
    <w:rsid w:val="00D70CE8"/>
    <w:rsid w:val="00D70DCD"/>
    <w:rsid w:val="00D711BD"/>
    <w:rsid w:val="00D71678"/>
    <w:rsid w:val="00D718EE"/>
    <w:rsid w:val="00D72E22"/>
    <w:rsid w:val="00D7363C"/>
    <w:rsid w:val="00D737BD"/>
    <w:rsid w:val="00D73B64"/>
    <w:rsid w:val="00D74412"/>
    <w:rsid w:val="00D74521"/>
    <w:rsid w:val="00D749C6"/>
    <w:rsid w:val="00D749EE"/>
    <w:rsid w:val="00D74A0C"/>
    <w:rsid w:val="00D74FBB"/>
    <w:rsid w:val="00D75497"/>
    <w:rsid w:val="00D76105"/>
    <w:rsid w:val="00D7655F"/>
    <w:rsid w:val="00D76F0A"/>
    <w:rsid w:val="00D772B9"/>
    <w:rsid w:val="00D77796"/>
    <w:rsid w:val="00D77B24"/>
    <w:rsid w:val="00D80D37"/>
    <w:rsid w:val="00D80E07"/>
    <w:rsid w:val="00D8167B"/>
    <w:rsid w:val="00D82464"/>
    <w:rsid w:val="00D82F71"/>
    <w:rsid w:val="00D834CA"/>
    <w:rsid w:val="00D84388"/>
    <w:rsid w:val="00D8460E"/>
    <w:rsid w:val="00D84B31"/>
    <w:rsid w:val="00D87901"/>
    <w:rsid w:val="00D87D30"/>
    <w:rsid w:val="00D9080D"/>
    <w:rsid w:val="00D9090B"/>
    <w:rsid w:val="00D9092F"/>
    <w:rsid w:val="00D90DB3"/>
    <w:rsid w:val="00D9144F"/>
    <w:rsid w:val="00D916C7"/>
    <w:rsid w:val="00D91FFA"/>
    <w:rsid w:val="00D92082"/>
    <w:rsid w:val="00D9209C"/>
    <w:rsid w:val="00D92373"/>
    <w:rsid w:val="00D93886"/>
    <w:rsid w:val="00D94093"/>
    <w:rsid w:val="00D94A36"/>
    <w:rsid w:val="00D94C7C"/>
    <w:rsid w:val="00D9510C"/>
    <w:rsid w:val="00D953C6"/>
    <w:rsid w:val="00D957C9"/>
    <w:rsid w:val="00D95B15"/>
    <w:rsid w:val="00D9610A"/>
    <w:rsid w:val="00D96766"/>
    <w:rsid w:val="00D97365"/>
    <w:rsid w:val="00D97833"/>
    <w:rsid w:val="00D979E9"/>
    <w:rsid w:val="00D97B63"/>
    <w:rsid w:val="00D97DCD"/>
    <w:rsid w:val="00DA051F"/>
    <w:rsid w:val="00DA08E0"/>
    <w:rsid w:val="00DA0D34"/>
    <w:rsid w:val="00DA1404"/>
    <w:rsid w:val="00DA1547"/>
    <w:rsid w:val="00DA16BD"/>
    <w:rsid w:val="00DA1A1A"/>
    <w:rsid w:val="00DA1EE9"/>
    <w:rsid w:val="00DA2031"/>
    <w:rsid w:val="00DA29EB"/>
    <w:rsid w:val="00DA2D17"/>
    <w:rsid w:val="00DA2D7F"/>
    <w:rsid w:val="00DA367A"/>
    <w:rsid w:val="00DA47C0"/>
    <w:rsid w:val="00DA4C10"/>
    <w:rsid w:val="00DA57CE"/>
    <w:rsid w:val="00DA5B37"/>
    <w:rsid w:val="00DA62E5"/>
    <w:rsid w:val="00DA68F2"/>
    <w:rsid w:val="00DA733B"/>
    <w:rsid w:val="00DA75A3"/>
    <w:rsid w:val="00DB07EC"/>
    <w:rsid w:val="00DB0F41"/>
    <w:rsid w:val="00DB180F"/>
    <w:rsid w:val="00DB1D95"/>
    <w:rsid w:val="00DB2A70"/>
    <w:rsid w:val="00DB2D77"/>
    <w:rsid w:val="00DB319E"/>
    <w:rsid w:val="00DB3A46"/>
    <w:rsid w:val="00DB47DB"/>
    <w:rsid w:val="00DB49E7"/>
    <w:rsid w:val="00DB4D9F"/>
    <w:rsid w:val="00DB54F6"/>
    <w:rsid w:val="00DB5669"/>
    <w:rsid w:val="00DB5F4A"/>
    <w:rsid w:val="00DB6A7D"/>
    <w:rsid w:val="00DB6BF2"/>
    <w:rsid w:val="00DB7174"/>
    <w:rsid w:val="00DB7325"/>
    <w:rsid w:val="00DB7D3E"/>
    <w:rsid w:val="00DC1135"/>
    <w:rsid w:val="00DC3145"/>
    <w:rsid w:val="00DC32BA"/>
    <w:rsid w:val="00DC47FA"/>
    <w:rsid w:val="00DC4E0A"/>
    <w:rsid w:val="00DC5320"/>
    <w:rsid w:val="00DC57F6"/>
    <w:rsid w:val="00DC69F9"/>
    <w:rsid w:val="00DC6B75"/>
    <w:rsid w:val="00DC6D8E"/>
    <w:rsid w:val="00DD020C"/>
    <w:rsid w:val="00DD0486"/>
    <w:rsid w:val="00DD0852"/>
    <w:rsid w:val="00DD1710"/>
    <w:rsid w:val="00DD1AD5"/>
    <w:rsid w:val="00DD1CB9"/>
    <w:rsid w:val="00DD2332"/>
    <w:rsid w:val="00DD288E"/>
    <w:rsid w:val="00DD2923"/>
    <w:rsid w:val="00DD2EFD"/>
    <w:rsid w:val="00DD3200"/>
    <w:rsid w:val="00DD3345"/>
    <w:rsid w:val="00DD3D57"/>
    <w:rsid w:val="00DD3D83"/>
    <w:rsid w:val="00DD416C"/>
    <w:rsid w:val="00DD41AE"/>
    <w:rsid w:val="00DD4E81"/>
    <w:rsid w:val="00DD5467"/>
    <w:rsid w:val="00DD6577"/>
    <w:rsid w:val="00DD68D8"/>
    <w:rsid w:val="00DD6D27"/>
    <w:rsid w:val="00DD6D5C"/>
    <w:rsid w:val="00DD6ECA"/>
    <w:rsid w:val="00DD752B"/>
    <w:rsid w:val="00DE109E"/>
    <w:rsid w:val="00DE1495"/>
    <w:rsid w:val="00DE29A4"/>
    <w:rsid w:val="00DE2A83"/>
    <w:rsid w:val="00DE2E94"/>
    <w:rsid w:val="00DE31CE"/>
    <w:rsid w:val="00DE34BC"/>
    <w:rsid w:val="00DE3BFF"/>
    <w:rsid w:val="00DE3D61"/>
    <w:rsid w:val="00DE3D9D"/>
    <w:rsid w:val="00DE4140"/>
    <w:rsid w:val="00DE41A5"/>
    <w:rsid w:val="00DE44F5"/>
    <w:rsid w:val="00DE459E"/>
    <w:rsid w:val="00DE45EF"/>
    <w:rsid w:val="00DE51C3"/>
    <w:rsid w:val="00DE55BC"/>
    <w:rsid w:val="00DE5785"/>
    <w:rsid w:val="00DE5835"/>
    <w:rsid w:val="00DE64FA"/>
    <w:rsid w:val="00DE66E5"/>
    <w:rsid w:val="00DE6B9A"/>
    <w:rsid w:val="00DF03CB"/>
    <w:rsid w:val="00DF03E2"/>
    <w:rsid w:val="00DF0FC1"/>
    <w:rsid w:val="00DF1B6C"/>
    <w:rsid w:val="00DF1B99"/>
    <w:rsid w:val="00DF2052"/>
    <w:rsid w:val="00DF271C"/>
    <w:rsid w:val="00DF27E5"/>
    <w:rsid w:val="00DF27F0"/>
    <w:rsid w:val="00DF2FE9"/>
    <w:rsid w:val="00DF399E"/>
    <w:rsid w:val="00DF3EA0"/>
    <w:rsid w:val="00DF3ED6"/>
    <w:rsid w:val="00DF40AB"/>
    <w:rsid w:val="00DF4806"/>
    <w:rsid w:val="00DF5419"/>
    <w:rsid w:val="00DF5A58"/>
    <w:rsid w:val="00DF5D1E"/>
    <w:rsid w:val="00DF688E"/>
    <w:rsid w:val="00DF6FAC"/>
    <w:rsid w:val="00DF7917"/>
    <w:rsid w:val="00E00D3D"/>
    <w:rsid w:val="00E00FAA"/>
    <w:rsid w:val="00E02158"/>
    <w:rsid w:val="00E02F4A"/>
    <w:rsid w:val="00E03143"/>
    <w:rsid w:val="00E034D6"/>
    <w:rsid w:val="00E0429F"/>
    <w:rsid w:val="00E0498A"/>
    <w:rsid w:val="00E04B0E"/>
    <w:rsid w:val="00E052CF"/>
    <w:rsid w:val="00E05607"/>
    <w:rsid w:val="00E05AE6"/>
    <w:rsid w:val="00E06525"/>
    <w:rsid w:val="00E06D0B"/>
    <w:rsid w:val="00E06E95"/>
    <w:rsid w:val="00E06FEB"/>
    <w:rsid w:val="00E10025"/>
    <w:rsid w:val="00E10FE4"/>
    <w:rsid w:val="00E110C9"/>
    <w:rsid w:val="00E1114F"/>
    <w:rsid w:val="00E1171D"/>
    <w:rsid w:val="00E11737"/>
    <w:rsid w:val="00E11AFA"/>
    <w:rsid w:val="00E1230C"/>
    <w:rsid w:val="00E12EFF"/>
    <w:rsid w:val="00E132EA"/>
    <w:rsid w:val="00E13646"/>
    <w:rsid w:val="00E13867"/>
    <w:rsid w:val="00E142CF"/>
    <w:rsid w:val="00E1518A"/>
    <w:rsid w:val="00E15FD2"/>
    <w:rsid w:val="00E161C6"/>
    <w:rsid w:val="00E161CE"/>
    <w:rsid w:val="00E1645E"/>
    <w:rsid w:val="00E16C06"/>
    <w:rsid w:val="00E16EA2"/>
    <w:rsid w:val="00E17A00"/>
    <w:rsid w:val="00E20715"/>
    <w:rsid w:val="00E20B91"/>
    <w:rsid w:val="00E2110B"/>
    <w:rsid w:val="00E21313"/>
    <w:rsid w:val="00E2173F"/>
    <w:rsid w:val="00E21997"/>
    <w:rsid w:val="00E22499"/>
    <w:rsid w:val="00E227DC"/>
    <w:rsid w:val="00E22BE4"/>
    <w:rsid w:val="00E22C8B"/>
    <w:rsid w:val="00E2329E"/>
    <w:rsid w:val="00E239E1"/>
    <w:rsid w:val="00E2455E"/>
    <w:rsid w:val="00E24D96"/>
    <w:rsid w:val="00E2535C"/>
    <w:rsid w:val="00E254CF"/>
    <w:rsid w:val="00E257A6"/>
    <w:rsid w:val="00E25C99"/>
    <w:rsid w:val="00E25E6F"/>
    <w:rsid w:val="00E25EF6"/>
    <w:rsid w:val="00E2610D"/>
    <w:rsid w:val="00E267F9"/>
    <w:rsid w:val="00E268BD"/>
    <w:rsid w:val="00E26E16"/>
    <w:rsid w:val="00E306DC"/>
    <w:rsid w:val="00E3081E"/>
    <w:rsid w:val="00E30A86"/>
    <w:rsid w:val="00E312BB"/>
    <w:rsid w:val="00E31A4F"/>
    <w:rsid w:val="00E3206A"/>
    <w:rsid w:val="00E32994"/>
    <w:rsid w:val="00E33631"/>
    <w:rsid w:val="00E3364D"/>
    <w:rsid w:val="00E36158"/>
    <w:rsid w:val="00E368FD"/>
    <w:rsid w:val="00E36D15"/>
    <w:rsid w:val="00E37427"/>
    <w:rsid w:val="00E3742A"/>
    <w:rsid w:val="00E37864"/>
    <w:rsid w:val="00E37D1C"/>
    <w:rsid w:val="00E40510"/>
    <w:rsid w:val="00E40A6C"/>
    <w:rsid w:val="00E4192B"/>
    <w:rsid w:val="00E42682"/>
    <w:rsid w:val="00E42714"/>
    <w:rsid w:val="00E42917"/>
    <w:rsid w:val="00E42BD6"/>
    <w:rsid w:val="00E42DC6"/>
    <w:rsid w:val="00E430BA"/>
    <w:rsid w:val="00E438C5"/>
    <w:rsid w:val="00E44E58"/>
    <w:rsid w:val="00E459F9"/>
    <w:rsid w:val="00E45D61"/>
    <w:rsid w:val="00E46712"/>
    <w:rsid w:val="00E47E70"/>
    <w:rsid w:val="00E50499"/>
    <w:rsid w:val="00E505CD"/>
    <w:rsid w:val="00E50649"/>
    <w:rsid w:val="00E507BC"/>
    <w:rsid w:val="00E516E0"/>
    <w:rsid w:val="00E52526"/>
    <w:rsid w:val="00E528B8"/>
    <w:rsid w:val="00E530E1"/>
    <w:rsid w:val="00E537A8"/>
    <w:rsid w:val="00E5449A"/>
    <w:rsid w:val="00E54B89"/>
    <w:rsid w:val="00E558B3"/>
    <w:rsid w:val="00E55AC6"/>
    <w:rsid w:val="00E5603D"/>
    <w:rsid w:val="00E56334"/>
    <w:rsid w:val="00E5645E"/>
    <w:rsid w:val="00E568B7"/>
    <w:rsid w:val="00E600A0"/>
    <w:rsid w:val="00E600C8"/>
    <w:rsid w:val="00E602F6"/>
    <w:rsid w:val="00E60B2A"/>
    <w:rsid w:val="00E60FD2"/>
    <w:rsid w:val="00E61BCF"/>
    <w:rsid w:val="00E61E6C"/>
    <w:rsid w:val="00E620DC"/>
    <w:rsid w:val="00E62493"/>
    <w:rsid w:val="00E62A19"/>
    <w:rsid w:val="00E62A5B"/>
    <w:rsid w:val="00E62B1B"/>
    <w:rsid w:val="00E62C17"/>
    <w:rsid w:val="00E62F2C"/>
    <w:rsid w:val="00E63200"/>
    <w:rsid w:val="00E6345D"/>
    <w:rsid w:val="00E64395"/>
    <w:rsid w:val="00E645A8"/>
    <w:rsid w:val="00E65900"/>
    <w:rsid w:val="00E65ACE"/>
    <w:rsid w:val="00E65AD8"/>
    <w:rsid w:val="00E66598"/>
    <w:rsid w:val="00E66909"/>
    <w:rsid w:val="00E66B78"/>
    <w:rsid w:val="00E66D20"/>
    <w:rsid w:val="00E66F9A"/>
    <w:rsid w:val="00E66FFF"/>
    <w:rsid w:val="00E67A11"/>
    <w:rsid w:val="00E67B26"/>
    <w:rsid w:val="00E67C9B"/>
    <w:rsid w:val="00E67D71"/>
    <w:rsid w:val="00E67E3A"/>
    <w:rsid w:val="00E67EAC"/>
    <w:rsid w:val="00E7011F"/>
    <w:rsid w:val="00E70512"/>
    <w:rsid w:val="00E7078A"/>
    <w:rsid w:val="00E70939"/>
    <w:rsid w:val="00E71435"/>
    <w:rsid w:val="00E720EE"/>
    <w:rsid w:val="00E72487"/>
    <w:rsid w:val="00E729E8"/>
    <w:rsid w:val="00E72C61"/>
    <w:rsid w:val="00E739AA"/>
    <w:rsid w:val="00E73CBF"/>
    <w:rsid w:val="00E73D33"/>
    <w:rsid w:val="00E74B6A"/>
    <w:rsid w:val="00E74E25"/>
    <w:rsid w:val="00E753A3"/>
    <w:rsid w:val="00E77020"/>
    <w:rsid w:val="00E77475"/>
    <w:rsid w:val="00E77B2D"/>
    <w:rsid w:val="00E77D8D"/>
    <w:rsid w:val="00E77FB4"/>
    <w:rsid w:val="00E80381"/>
    <w:rsid w:val="00E8078A"/>
    <w:rsid w:val="00E808AB"/>
    <w:rsid w:val="00E809BF"/>
    <w:rsid w:val="00E80BA6"/>
    <w:rsid w:val="00E80EF5"/>
    <w:rsid w:val="00E810A6"/>
    <w:rsid w:val="00E815EC"/>
    <w:rsid w:val="00E823F2"/>
    <w:rsid w:val="00E824B0"/>
    <w:rsid w:val="00E82996"/>
    <w:rsid w:val="00E82CFA"/>
    <w:rsid w:val="00E83104"/>
    <w:rsid w:val="00E83479"/>
    <w:rsid w:val="00E838C3"/>
    <w:rsid w:val="00E839EC"/>
    <w:rsid w:val="00E83A90"/>
    <w:rsid w:val="00E8454C"/>
    <w:rsid w:val="00E846C4"/>
    <w:rsid w:val="00E84863"/>
    <w:rsid w:val="00E84937"/>
    <w:rsid w:val="00E8561D"/>
    <w:rsid w:val="00E8595E"/>
    <w:rsid w:val="00E860E3"/>
    <w:rsid w:val="00E86974"/>
    <w:rsid w:val="00E86BBE"/>
    <w:rsid w:val="00E904A0"/>
    <w:rsid w:val="00E91064"/>
    <w:rsid w:val="00E92E66"/>
    <w:rsid w:val="00E9334F"/>
    <w:rsid w:val="00E935AC"/>
    <w:rsid w:val="00E93A04"/>
    <w:rsid w:val="00E93E93"/>
    <w:rsid w:val="00E93EBE"/>
    <w:rsid w:val="00E94126"/>
    <w:rsid w:val="00E947BE"/>
    <w:rsid w:val="00E95396"/>
    <w:rsid w:val="00E95821"/>
    <w:rsid w:val="00E95A61"/>
    <w:rsid w:val="00E966E0"/>
    <w:rsid w:val="00E96E4F"/>
    <w:rsid w:val="00E972A6"/>
    <w:rsid w:val="00E97559"/>
    <w:rsid w:val="00EA0D00"/>
    <w:rsid w:val="00EA0D6C"/>
    <w:rsid w:val="00EA0EC9"/>
    <w:rsid w:val="00EA1281"/>
    <w:rsid w:val="00EA15AC"/>
    <w:rsid w:val="00EA16E3"/>
    <w:rsid w:val="00EA190C"/>
    <w:rsid w:val="00EA1A2C"/>
    <w:rsid w:val="00EA201A"/>
    <w:rsid w:val="00EA2596"/>
    <w:rsid w:val="00EA2C55"/>
    <w:rsid w:val="00EA2FF5"/>
    <w:rsid w:val="00EA346F"/>
    <w:rsid w:val="00EA3845"/>
    <w:rsid w:val="00EA4B52"/>
    <w:rsid w:val="00EA59A8"/>
    <w:rsid w:val="00EA5EB3"/>
    <w:rsid w:val="00EA608E"/>
    <w:rsid w:val="00EA6562"/>
    <w:rsid w:val="00EA6775"/>
    <w:rsid w:val="00EA68F6"/>
    <w:rsid w:val="00EA7AFF"/>
    <w:rsid w:val="00EA7B61"/>
    <w:rsid w:val="00EA7C48"/>
    <w:rsid w:val="00EB026C"/>
    <w:rsid w:val="00EB0584"/>
    <w:rsid w:val="00EB0ADC"/>
    <w:rsid w:val="00EB1B3E"/>
    <w:rsid w:val="00EB21D5"/>
    <w:rsid w:val="00EB264C"/>
    <w:rsid w:val="00EB280E"/>
    <w:rsid w:val="00EB2A79"/>
    <w:rsid w:val="00EB2B1B"/>
    <w:rsid w:val="00EB3120"/>
    <w:rsid w:val="00EB31AB"/>
    <w:rsid w:val="00EB3B22"/>
    <w:rsid w:val="00EB41E5"/>
    <w:rsid w:val="00EB4299"/>
    <w:rsid w:val="00EB5176"/>
    <w:rsid w:val="00EB5AB6"/>
    <w:rsid w:val="00EB5FCB"/>
    <w:rsid w:val="00EB618A"/>
    <w:rsid w:val="00EB6499"/>
    <w:rsid w:val="00EB6B2D"/>
    <w:rsid w:val="00EB6F97"/>
    <w:rsid w:val="00EB7A2B"/>
    <w:rsid w:val="00EB7EED"/>
    <w:rsid w:val="00EC0108"/>
    <w:rsid w:val="00EC0138"/>
    <w:rsid w:val="00EC10E3"/>
    <w:rsid w:val="00EC132F"/>
    <w:rsid w:val="00EC1722"/>
    <w:rsid w:val="00EC1C11"/>
    <w:rsid w:val="00EC216A"/>
    <w:rsid w:val="00EC2648"/>
    <w:rsid w:val="00EC2701"/>
    <w:rsid w:val="00EC29F6"/>
    <w:rsid w:val="00EC337C"/>
    <w:rsid w:val="00EC3954"/>
    <w:rsid w:val="00EC454B"/>
    <w:rsid w:val="00EC497A"/>
    <w:rsid w:val="00EC5142"/>
    <w:rsid w:val="00EC61EC"/>
    <w:rsid w:val="00EC6E71"/>
    <w:rsid w:val="00EC7CA6"/>
    <w:rsid w:val="00ED049B"/>
    <w:rsid w:val="00ED0EE0"/>
    <w:rsid w:val="00ED1074"/>
    <w:rsid w:val="00ED1286"/>
    <w:rsid w:val="00ED173E"/>
    <w:rsid w:val="00ED1A2B"/>
    <w:rsid w:val="00ED1ED1"/>
    <w:rsid w:val="00ED261D"/>
    <w:rsid w:val="00ED3D14"/>
    <w:rsid w:val="00ED4BD2"/>
    <w:rsid w:val="00ED5026"/>
    <w:rsid w:val="00ED526E"/>
    <w:rsid w:val="00ED6191"/>
    <w:rsid w:val="00ED6E22"/>
    <w:rsid w:val="00ED75E9"/>
    <w:rsid w:val="00ED7D5B"/>
    <w:rsid w:val="00ED7FA1"/>
    <w:rsid w:val="00EE043A"/>
    <w:rsid w:val="00EE087D"/>
    <w:rsid w:val="00EE098D"/>
    <w:rsid w:val="00EE0B2C"/>
    <w:rsid w:val="00EE0D98"/>
    <w:rsid w:val="00EE1FE9"/>
    <w:rsid w:val="00EE22C3"/>
    <w:rsid w:val="00EE2EB4"/>
    <w:rsid w:val="00EE3031"/>
    <w:rsid w:val="00EE36CB"/>
    <w:rsid w:val="00EE3744"/>
    <w:rsid w:val="00EE3776"/>
    <w:rsid w:val="00EE5C63"/>
    <w:rsid w:val="00EE62B3"/>
    <w:rsid w:val="00EE6622"/>
    <w:rsid w:val="00EE6D07"/>
    <w:rsid w:val="00EE7473"/>
    <w:rsid w:val="00EE7661"/>
    <w:rsid w:val="00EE7A76"/>
    <w:rsid w:val="00EE7B03"/>
    <w:rsid w:val="00EF03A8"/>
    <w:rsid w:val="00EF1474"/>
    <w:rsid w:val="00EF1A69"/>
    <w:rsid w:val="00EF2E71"/>
    <w:rsid w:val="00EF32E1"/>
    <w:rsid w:val="00EF3476"/>
    <w:rsid w:val="00EF4150"/>
    <w:rsid w:val="00EF4445"/>
    <w:rsid w:val="00EF48A8"/>
    <w:rsid w:val="00EF4982"/>
    <w:rsid w:val="00EF5DD7"/>
    <w:rsid w:val="00EF5FC9"/>
    <w:rsid w:val="00EF60B7"/>
    <w:rsid w:val="00EF6505"/>
    <w:rsid w:val="00EF6B8B"/>
    <w:rsid w:val="00EF7988"/>
    <w:rsid w:val="00EF7B1B"/>
    <w:rsid w:val="00F00074"/>
    <w:rsid w:val="00F00512"/>
    <w:rsid w:val="00F00705"/>
    <w:rsid w:val="00F01D61"/>
    <w:rsid w:val="00F02494"/>
    <w:rsid w:val="00F0296B"/>
    <w:rsid w:val="00F03336"/>
    <w:rsid w:val="00F04709"/>
    <w:rsid w:val="00F0481E"/>
    <w:rsid w:val="00F0543B"/>
    <w:rsid w:val="00F05960"/>
    <w:rsid w:val="00F05B0D"/>
    <w:rsid w:val="00F06305"/>
    <w:rsid w:val="00F06314"/>
    <w:rsid w:val="00F064A3"/>
    <w:rsid w:val="00F0674D"/>
    <w:rsid w:val="00F071DC"/>
    <w:rsid w:val="00F072A4"/>
    <w:rsid w:val="00F07444"/>
    <w:rsid w:val="00F07BAB"/>
    <w:rsid w:val="00F07C1A"/>
    <w:rsid w:val="00F104DF"/>
    <w:rsid w:val="00F10CC4"/>
    <w:rsid w:val="00F10E21"/>
    <w:rsid w:val="00F10E5A"/>
    <w:rsid w:val="00F1101C"/>
    <w:rsid w:val="00F11B1D"/>
    <w:rsid w:val="00F12097"/>
    <w:rsid w:val="00F12547"/>
    <w:rsid w:val="00F12CD6"/>
    <w:rsid w:val="00F12F9D"/>
    <w:rsid w:val="00F130B5"/>
    <w:rsid w:val="00F1328D"/>
    <w:rsid w:val="00F132F3"/>
    <w:rsid w:val="00F137BE"/>
    <w:rsid w:val="00F13F30"/>
    <w:rsid w:val="00F13F51"/>
    <w:rsid w:val="00F143DA"/>
    <w:rsid w:val="00F14716"/>
    <w:rsid w:val="00F1524C"/>
    <w:rsid w:val="00F154B8"/>
    <w:rsid w:val="00F1558E"/>
    <w:rsid w:val="00F15982"/>
    <w:rsid w:val="00F15AFE"/>
    <w:rsid w:val="00F15EAD"/>
    <w:rsid w:val="00F15FDB"/>
    <w:rsid w:val="00F1660A"/>
    <w:rsid w:val="00F168C9"/>
    <w:rsid w:val="00F16AAA"/>
    <w:rsid w:val="00F16CA7"/>
    <w:rsid w:val="00F176A2"/>
    <w:rsid w:val="00F177D1"/>
    <w:rsid w:val="00F2029D"/>
    <w:rsid w:val="00F20534"/>
    <w:rsid w:val="00F205F6"/>
    <w:rsid w:val="00F20732"/>
    <w:rsid w:val="00F21183"/>
    <w:rsid w:val="00F212E3"/>
    <w:rsid w:val="00F214BD"/>
    <w:rsid w:val="00F2155E"/>
    <w:rsid w:val="00F2185E"/>
    <w:rsid w:val="00F21A27"/>
    <w:rsid w:val="00F21F4B"/>
    <w:rsid w:val="00F22B5D"/>
    <w:rsid w:val="00F23296"/>
    <w:rsid w:val="00F23299"/>
    <w:rsid w:val="00F24361"/>
    <w:rsid w:val="00F247B6"/>
    <w:rsid w:val="00F25163"/>
    <w:rsid w:val="00F2516A"/>
    <w:rsid w:val="00F2636C"/>
    <w:rsid w:val="00F26C37"/>
    <w:rsid w:val="00F30BF1"/>
    <w:rsid w:val="00F318FC"/>
    <w:rsid w:val="00F31FED"/>
    <w:rsid w:val="00F32099"/>
    <w:rsid w:val="00F32C24"/>
    <w:rsid w:val="00F331B6"/>
    <w:rsid w:val="00F33CFC"/>
    <w:rsid w:val="00F33F4B"/>
    <w:rsid w:val="00F34505"/>
    <w:rsid w:val="00F35E38"/>
    <w:rsid w:val="00F35F25"/>
    <w:rsid w:val="00F35F8B"/>
    <w:rsid w:val="00F36583"/>
    <w:rsid w:val="00F37192"/>
    <w:rsid w:val="00F373F1"/>
    <w:rsid w:val="00F375B8"/>
    <w:rsid w:val="00F3769D"/>
    <w:rsid w:val="00F40687"/>
    <w:rsid w:val="00F40876"/>
    <w:rsid w:val="00F40F7B"/>
    <w:rsid w:val="00F411B6"/>
    <w:rsid w:val="00F41D22"/>
    <w:rsid w:val="00F42255"/>
    <w:rsid w:val="00F42267"/>
    <w:rsid w:val="00F4343A"/>
    <w:rsid w:val="00F43799"/>
    <w:rsid w:val="00F43EA9"/>
    <w:rsid w:val="00F43F79"/>
    <w:rsid w:val="00F440FC"/>
    <w:rsid w:val="00F44FCA"/>
    <w:rsid w:val="00F458A2"/>
    <w:rsid w:val="00F460A9"/>
    <w:rsid w:val="00F46AA3"/>
    <w:rsid w:val="00F46B25"/>
    <w:rsid w:val="00F46CE0"/>
    <w:rsid w:val="00F46E39"/>
    <w:rsid w:val="00F46F51"/>
    <w:rsid w:val="00F47263"/>
    <w:rsid w:val="00F47962"/>
    <w:rsid w:val="00F47CC9"/>
    <w:rsid w:val="00F50533"/>
    <w:rsid w:val="00F506A9"/>
    <w:rsid w:val="00F50B31"/>
    <w:rsid w:val="00F50BFC"/>
    <w:rsid w:val="00F50D9C"/>
    <w:rsid w:val="00F514F8"/>
    <w:rsid w:val="00F51E00"/>
    <w:rsid w:val="00F520ED"/>
    <w:rsid w:val="00F524AF"/>
    <w:rsid w:val="00F52659"/>
    <w:rsid w:val="00F53374"/>
    <w:rsid w:val="00F54084"/>
    <w:rsid w:val="00F544CA"/>
    <w:rsid w:val="00F54B2C"/>
    <w:rsid w:val="00F55C10"/>
    <w:rsid w:val="00F55D13"/>
    <w:rsid w:val="00F560DC"/>
    <w:rsid w:val="00F56B60"/>
    <w:rsid w:val="00F56D6B"/>
    <w:rsid w:val="00F577BF"/>
    <w:rsid w:val="00F57B96"/>
    <w:rsid w:val="00F57E36"/>
    <w:rsid w:val="00F57F9A"/>
    <w:rsid w:val="00F6007F"/>
    <w:rsid w:val="00F60342"/>
    <w:rsid w:val="00F60525"/>
    <w:rsid w:val="00F607B0"/>
    <w:rsid w:val="00F60A2E"/>
    <w:rsid w:val="00F60E0E"/>
    <w:rsid w:val="00F61502"/>
    <w:rsid w:val="00F61993"/>
    <w:rsid w:val="00F6263C"/>
    <w:rsid w:val="00F63091"/>
    <w:rsid w:val="00F633BA"/>
    <w:rsid w:val="00F63C0E"/>
    <w:rsid w:val="00F64D83"/>
    <w:rsid w:val="00F65B10"/>
    <w:rsid w:val="00F6622A"/>
    <w:rsid w:val="00F669F0"/>
    <w:rsid w:val="00F67406"/>
    <w:rsid w:val="00F676AA"/>
    <w:rsid w:val="00F67BA5"/>
    <w:rsid w:val="00F67EAC"/>
    <w:rsid w:val="00F67F80"/>
    <w:rsid w:val="00F70AD8"/>
    <w:rsid w:val="00F7120F"/>
    <w:rsid w:val="00F71582"/>
    <w:rsid w:val="00F71B44"/>
    <w:rsid w:val="00F71CCB"/>
    <w:rsid w:val="00F723F5"/>
    <w:rsid w:val="00F72F26"/>
    <w:rsid w:val="00F73242"/>
    <w:rsid w:val="00F743D4"/>
    <w:rsid w:val="00F759E7"/>
    <w:rsid w:val="00F76DD9"/>
    <w:rsid w:val="00F77185"/>
    <w:rsid w:val="00F8024A"/>
    <w:rsid w:val="00F806A6"/>
    <w:rsid w:val="00F80F4D"/>
    <w:rsid w:val="00F81123"/>
    <w:rsid w:val="00F81432"/>
    <w:rsid w:val="00F8209E"/>
    <w:rsid w:val="00F82800"/>
    <w:rsid w:val="00F831C1"/>
    <w:rsid w:val="00F8399C"/>
    <w:rsid w:val="00F84F8C"/>
    <w:rsid w:val="00F8539F"/>
    <w:rsid w:val="00F85C5A"/>
    <w:rsid w:val="00F8676A"/>
    <w:rsid w:val="00F86834"/>
    <w:rsid w:val="00F86EB1"/>
    <w:rsid w:val="00F8700A"/>
    <w:rsid w:val="00F87544"/>
    <w:rsid w:val="00F87A64"/>
    <w:rsid w:val="00F87B2B"/>
    <w:rsid w:val="00F90251"/>
    <w:rsid w:val="00F9071E"/>
    <w:rsid w:val="00F90930"/>
    <w:rsid w:val="00F909E6"/>
    <w:rsid w:val="00F91427"/>
    <w:rsid w:val="00F920F6"/>
    <w:rsid w:val="00F9212F"/>
    <w:rsid w:val="00F9219A"/>
    <w:rsid w:val="00F92AB3"/>
    <w:rsid w:val="00F92ADB"/>
    <w:rsid w:val="00F92EB6"/>
    <w:rsid w:val="00F92FFC"/>
    <w:rsid w:val="00F934BD"/>
    <w:rsid w:val="00F94CF4"/>
    <w:rsid w:val="00F94F8A"/>
    <w:rsid w:val="00F95048"/>
    <w:rsid w:val="00F9515F"/>
    <w:rsid w:val="00F95256"/>
    <w:rsid w:val="00F96273"/>
    <w:rsid w:val="00F9642E"/>
    <w:rsid w:val="00F967D4"/>
    <w:rsid w:val="00F96E8A"/>
    <w:rsid w:val="00FA01E4"/>
    <w:rsid w:val="00FA1455"/>
    <w:rsid w:val="00FA1F17"/>
    <w:rsid w:val="00FA2719"/>
    <w:rsid w:val="00FA28AC"/>
    <w:rsid w:val="00FA2BB7"/>
    <w:rsid w:val="00FA2BDE"/>
    <w:rsid w:val="00FA2D32"/>
    <w:rsid w:val="00FA38A8"/>
    <w:rsid w:val="00FA3950"/>
    <w:rsid w:val="00FA44D0"/>
    <w:rsid w:val="00FA62CD"/>
    <w:rsid w:val="00FA67C5"/>
    <w:rsid w:val="00FA74DB"/>
    <w:rsid w:val="00FA751C"/>
    <w:rsid w:val="00FA7F07"/>
    <w:rsid w:val="00FB02A4"/>
    <w:rsid w:val="00FB08FE"/>
    <w:rsid w:val="00FB0C98"/>
    <w:rsid w:val="00FB0CF4"/>
    <w:rsid w:val="00FB1061"/>
    <w:rsid w:val="00FB1195"/>
    <w:rsid w:val="00FB1B65"/>
    <w:rsid w:val="00FB23D4"/>
    <w:rsid w:val="00FB25B7"/>
    <w:rsid w:val="00FB2D93"/>
    <w:rsid w:val="00FB3877"/>
    <w:rsid w:val="00FB422A"/>
    <w:rsid w:val="00FB4556"/>
    <w:rsid w:val="00FB463A"/>
    <w:rsid w:val="00FB4908"/>
    <w:rsid w:val="00FB4D74"/>
    <w:rsid w:val="00FB518C"/>
    <w:rsid w:val="00FB59C5"/>
    <w:rsid w:val="00FB5D4A"/>
    <w:rsid w:val="00FB6014"/>
    <w:rsid w:val="00FB6181"/>
    <w:rsid w:val="00FB6665"/>
    <w:rsid w:val="00FB6D02"/>
    <w:rsid w:val="00FB6E0D"/>
    <w:rsid w:val="00FB7481"/>
    <w:rsid w:val="00FB7876"/>
    <w:rsid w:val="00FB7B70"/>
    <w:rsid w:val="00FC0404"/>
    <w:rsid w:val="00FC0C65"/>
    <w:rsid w:val="00FC0E39"/>
    <w:rsid w:val="00FC117A"/>
    <w:rsid w:val="00FC1311"/>
    <w:rsid w:val="00FC1719"/>
    <w:rsid w:val="00FC1A8B"/>
    <w:rsid w:val="00FC1F07"/>
    <w:rsid w:val="00FC2313"/>
    <w:rsid w:val="00FC2489"/>
    <w:rsid w:val="00FC2875"/>
    <w:rsid w:val="00FC29C0"/>
    <w:rsid w:val="00FC2D34"/>
    <w:rsid w:val="00FC334A"/>
    <w:rsid w:val="00FC3941"/>
    <w:rsid w:val="00FC3A75"/>
    <w:rsid w:val="00FC4525"/>
    <w:rsid w:val="00FC495A"/>
    <w:rsid w:val="00FC49C4"/>
    <w:rsid w:val="00FC5588"/>
    <w:rsid w:val="00FC6835"/>
    <w:rsid w:val="00FC68E0"/>
    <w:rsid w:val="00FC6EA0"/>
    <w:rsid w:val="00FC7471"/>
    <w:rsid w:val="00FC7542"/>
    <w:rsid w:val="00FC7C1F"/>
    <w:rsid w:val="00FD09F3"/>
    <w:rsid w:val="00FD2AE0"/>
    <w:rsid w:val="00FD31C1"/>
    <w:rsid w:val="00FD33FA"/>
    <w:rsid w:val="00FD381A"/>
    <w:rsid w:val="00FD4630"/>
    <w:rsid w:val="00FD5394"/>
    <w:rsid w:val="00FD627B"/>
    <w:rsid w:val="00FD63C4"/>
    <w:rsid w:val="00FD67E5"/>
    <w:rsid w:val="00FD7BF3"/>
    <w:rsid w:val="00FE014C"/>
    <w:rsid w:val="00FE0164"/>
    <w:rsid w:val="00FE070E"/>
    <w:rsid w:val="00FE07C5"/>
    <w:rsid w:val="00FE0849"/>
    <w:rsid w:val="00FE12BA"/>
    <w:rsid w:val="00FE16B8"/>
    <w:rsid w:val="00FE1AAF"/>
    <w:rsid w:val="00FE2379"/>
    <w:rsid w:val="00FE2C75"/>
    <w:rsid w:val="00FE31E2"/>
    <w:rsid w:val="00FE34BB"/>
    <w:rsid w:val="00FE3683"/>
    <w:rsid w:val="00FE3705"/>
    <w:rsid w:val="00FE388D"/>
    <w:rsid w:val="00FE3A94"/>
    <w:rsid w:val="00FE3BD9"/>
    <w:rsid w:val="00FE3BE6"/>
    <w:rsid w:val="00FE3C1E"/>
    <w:rsid w:val="00FE40C2"/>
    <w:rsid w:val="00FE42D3"/>
    <w:rsid w:val="00FE4813"/>
    <w:rsid w:val="00FE4A7E"/>
    <w:rsid w:val="00FE4F84"/>
    <w:rsid w:val="00FE563C"/>
    <w:rsid w:val="00FE57DE"/>
    <w:rsid w:val="00FE581D"/>
    <w:rsid w:val="00FE5A6F"/>
    <w:rsid w:val="00FE5F48"/>
    <w:rsid w:val="00FE6CB7"/>
    <w:rsid w:val="00FE73C2"/>
    <w:rsid w:val="00FE75A5"/>
    <w:rsid w:val="00FF00FD"/>
    <w:rsid w:val="00FF1932"/>
    <w:rsid w:val="00FF1CA1"/>
    <w:rsid w:val="00FF1DCE"/>
    <w:rsid w:val="00FF1E24"/>
    <w:rsid w:val="00FF24E6"/>
    <w:rsid w:val="00FF3833"/>
    <w:rsid w:val="00FF38F0"/>
    <w:rsid w:val="00FF3ED7"/>
    <w:rsid w:val="00FF4495"/>
    <w:rsid w:val="00FF4660"/>
    <w:rsid w:val="00FF4B4F"/>
    <w:rsid w:val="00FF4B84"/>
    <w:rsid w:val="00FF4C71"/>
    <w:rsid w:val="00FF4F53"/>
    <w:rsid w:val="00FF52AE"/>
    <w:rsid w:val="00FF5A9D"/>
    <w:rsid w:val="00FF609B"/>
    <w:rsid w:val="00FF61FC"/>
    <w:rsid w:val="00FF66EE"/>
    <w:rsid w:val="00FF6B44"/>
    <w:rsid w:val="00FF6BF1"/>
    <w:rsid w:val="00FF74EB"/>
    <w:rsid w:val="00FF7575"/>
    <w:rsid w:val="14AC87FF"/>
    <w:rsid w:val="16208E17"/>
    <w:rsid w:val="16C3EDF6"/>
    <w:rsid w:val="1895F480"/>
    <w:rsid w:val="18D9AC78"/>
    <w:rsid w:val="1DEF5A56"/>
    <w:rsid w:val="2447061E"/>
    <w:rsid w:val="248AA06A"/>
    <w:rsid w:val="35733B0B"/>
    <w:rsid w:val="3C81C91A"/>
    <w:rsid w:val="45EAF8B4"/>
    <w:rsid w:val="59B23E21"/>
    <w:rsid w:val="6482AE75"/>
    <w:rsid w:val="675B34AE"/>
    <w:rsid w:val="67840786"/>
    <w:rsid w:val="6873B90E"/>
    <w:rsid w:val="7042171D"/>
    <w:rsid w:val="779DD645"/>
    <w:rsid w:val="7E432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C13D"/>
  <w15:chartTrackingRefBased/>
  <w15:docId w15:val="{7A3A6904-BB94-4D79-BA65-ABE1BB7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94"/>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80668"/>
    <w:pPr>
      <w:keepNext/>
      <w:keepLines/>
      <w:spacing w:after="120"/>
      <w:ind w:left="432" w:hanging="432"/>
      <w:outlineLvl w:val="0"/>
    </w:pPr>
    <w:rPr>
      <w:rFonts w:eastAsiaTheme="majorEastAsia" w:cs="Times New Roman"/>
      <w:b/>
      <w:smallCaps/>
      <w:szCs w:val="24"/>
    </w:rPr>
  </w:style>
  <w:style w:type="paragraph" w:styleId="Heading2">
    <w:name w:val="heading 2"/>
    <w:basedOn w:val="Normal"/>
    <w:next w:val="Normal"/>
    <w:link w:val="Heading2Char"/>
    <w:uiPriority w:val="9"/>
    <w:unhideWhenUsed/>
    <w:qFormat/>
    <w:rsid w:val="00B80668"/>
    <w:pPr>
      <w:keepNext/>
      <w:keepLines/>
      <w:numPr>
        <w:ilvl w:val="1"/>
        <w:numId w:val="4"/>
      </w:numPr>
      <w:spacing w:before="120" w:after="120"/>
      <w:ind w:left="792"/>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707D9C"/>
    <w:pPr>
      <w:keepNext/>
      <w:keepLines/>
      <w:numPr>
        <w:ilvl w:val="2"/>
        <w:numId w:val="4"/>
      </w:numPr>
      <w:spacing w:after="1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15076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076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076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76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7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7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6F"/>
    <w:pPr>
      <w:ind w:left="720"/>
      <w:contextualSpacing/>
    </w:pPr>
  </w:style>
  <w:style w:type="character" w:customStyle="1" w:styleId="Heading1Char">
    <w:name w:val="Heading 1 Char"/>
    <w:basedOn w:val="DefaultParagraphFont"/>
    <w:link w:val="Heading1"/>
    <w:uiPriority w:val="9"/>
    <w:rsid w:val="00B80668"/>
    <w:rPr>
      <w:rFonts w:ascii="Times New Roman" w:eastAsiaTheme="majorEastAsia" w:hAnsi="Times New Roman" w:cs="Times New Roman"/>
      <w:b/>
      <w:smallCaps/>
      <w:sz w:val="24"/>
      <w:szCs w:val="24"/>
    </w:rPr>
  </w:style>
  <w:style w:type="character" w:customStyle="1" w:styleId="Heading2Char">
    <w:name w:val="Heading 2 Char"/>
    <w:basedOn w:val="DefaultParagraphFont"/>
    <w:link w:val="Heading2"/>
    <w:uiPriority w:val="9"/>
    <w:rsid w:val="00B8066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07D9C"/>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1507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07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07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07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0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76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3557D"/>
    <w:rPr>
      <w:sz w:val="16"/>
      <w:szCs w:val="16"/>
    </w:rPr>
  </w:style>
  <w:style w:type="paragraph" w:styleId="CommentText">
    <w:name w:val="annotation text"/>
    <w:basedOn w:val="Normal"/>
    <w:link w:val="CommentTextChar"/>
    <w:uiPriority w:val="99"/>
    <w:unhideWhenUsed/>
    <w:rsid w:val="00D3557D"/>
    <w:rPr>
      <w:sz w:val="20"/>
      <w:szCs w:val="20"/>
    </w:rPr>
  </w:style>
  <w:style w:type="character" w:customStyle="1" w:styleId="CommentTextChar">
    <w:name w:val="Comment Text Char"/>
    <w:basedOn w:val="DefaultParagraphFont"/>
    <w:link w:val="CommentText"/>
    <w:uiPriority w:val="99"/>
    <w:rsid w:val="00D3557D"/>
    <w:rPr>
      <w:sz w:val="20"/>
      <w:szCs w:val="20"/>
    </w:rPr>
  </w:style>
  <w:style w:type="paragraph" w:styleId="CommentSubject">
    <w:name w:val="annotation subject"/>
    <w:basedOn w:val="CommentText"/>
    <w:next w:val="CommentText"/>
    <w:link w:val="CommentSubjectChar"/>
    <w:uiPriority w:val="99"/>
    <w:semiHidden/>
    <w:unhideWhenUsed/>
    <w:rsid w:val="00D3557D"/>
    <w:rPr>
      <w:b/>
      <w:bCs/>
    </w:rPr>
  </w:style>
  <w:style w:type="character" w:customStyle="1" w:styleId="CommentSubjectChar">
    <w:name w:val="Comment Subject Char"/>
    <w:basedOn w:val="CommentTextChar"/>
    <w:link w:val="CommentSubject"/>
    <w:uiPriority w:val="99"/>
    <w:semiHidden/>
    <w:rsid w:val="00D3557D"/>
    <w:rPr>
      <w:b/>
      <w:bCs/>
      <w:sz w:val="20"/>
      <w:szCs w:val="20"/>
    </w:rPr>
  </w:style>
  <w:style w:type="paragraph" w:styleId="BalloonText">
    <w:name w:val="Balloon Text"/>
    <w:basedOn w:val="Normal"/>
    <w:link w:val="BalloonTextChar"/>
    <w:uiPriority w:val="99"/>
    <w:semiHidden/>
    <w:unhideWhenUsed/>
    <w:rsid w:val="00D35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7D"/>
    <w:rPr>
      <w:rFonts w:ascii="Segoe UI" w:hAnsi="Segoe UI" w:cs="Segoe UI"/>
      <w:sz w:val="18"/>
      <w:szCs w:val="18"/>
    </w:rPr>
  </w:style>
  <w:style w:type="paragraph" w:customStyle="1" w:styleId="p1">
    <w:name w:val="p1"/>
    <w:basedOn w:val="Normal"/>
    <w:rsid w:val="00DC3145"/>
    <w:pPr>
      <w:spacing w:after="0"/>
    </w:pPr>
    <w:rPr>
      <w:rFonts w:ascii="Helvetica" w:hAnsi="Helvetica" w:cs="Times New Roman"/>
      <w:sz w:val="18"/>
      <w:szCs w:val="18"/>
    </w:rPr>
  </w:style>
  <w:style w:type="paragraph" w:styleId="Revision">
    <w:name w:val="Revision"/>
    <w:hidden/>
    <w:uiPriority w:val="99"/>
    <w:semiHidden/>
    <w:rsid w:val="00CF5423"/>
    <w:pPr>
      <w:spacing w:after="0" w:line="240" w:lineRule="auto"/>
    </w:p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uiPriority w:val="99"/>
    <w:unhideWhenUsed/>
    <w:qFormat/>
    <w:rsid w:val="00F86834"/>
    <w:pPr>
      <w:spacing w:after="0"/>
    </w:pPr>
    <w:rPr>
      <w:rFonts w:eastAsia="Times New Roman" w:cs="Times New Roman"/>
      <w:sz w:val="20"/>
      <w:szCs w:val="20"/>
      <w:lang w:eastAsia="en-CA"/>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qFormat/>
    <w:rsid w:val="00F86834"/>
    <w:rPr>
      <w:rFonts w:ascii="Times New Roman" w:eastAsia="Times New Roman" w:hAnsi="Times New Roman" w:cs="Times New Roman"/>
      <w:sz w:val="20"/>
      <w:szCs w:val="20"/>
      <w:lang w:eastAsia="en-CA"/>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basedOn w:val="DefaultParagraphFont"/>
    <w:uiPriority w:val="99"/>
    <w:unhideWhenUsed/>
    <w:rsid w:val="00F86834"/>
    <w:rPr>
      <w:vertAlign w:val="superscript"/>
    </w:rPr>
  </w:style>
  <w:style w:type="paragraph" w:styleId="Header">
    <w:name w:val="header"/>
    <w:basedOn w:val="Normal"/>
    <w:link w:val="HeaderChar"/>
    <w:uiPriority w:val="99"/>
    <w:unhideWhenUsed/>
    <w:rsid w:val="00BF20CF"/>
    <w:pPr>
      <w:tabs>
        <w:tab w:val="center" w:pos="4680"/>
        <w:tab w:val="right" w:pos="9360"/>
      </w:tabs>
      <w:spacing w:after="0"/>
    </w:pPr>
  </w:style>
  <w:style w:type="character" w:customStyle="1" w:styleId="HeaderChar">
    <w:name w:val="Header Char"/>
    <w:basedOn w:val="DefaultParagraphFont"/>
    <w:link w:val="Header"/>
    <w:uiPriority w:val="99"/>
    <w:rsid w:val="00BF20CF"/>
  </w:style>
  <w:style w:type="paragraph" w:styleId="Footer">
    <w:name w:val="footer"/>
    <w:basedOn w:val="Normal"/>
    <w:link w:val="FooterChar"/>
    <w:uiPriority w:val="99"/>
    <w:unhideWhenUsed/>
    <w:rsid w:val="00BF20CF"/>
    <w:pPr>
      <w:tabs>
        <w:tab w:val="center" w:pos="4680"/>
        <w:tab w:val="right" w:pos="9360"/>
      </w:tabs>
      <w:spacing w:after="0"/>
    </w:pPr>
  </w:style>
  <w:style w:type="character" w:customStyle="1" w:styleId="FooterChar">
    <w:name w:val="Footer Char"/>
    <w:basedOn w:val="DefaultParagraphFont"/>
    <w:link w:val="Footer"/>
    <w:uiPriority w:val="99"/>
    <w:rsid w:val="00BF20CF"/>
  </w:style>
  <w:style w:type="paragraph" w:styleId="TOCHeading">
    <w:name w:val="TOC Heading"/>
    <w:basedOn w:val="Heading1"/>
    <w:next w:val="Normal"/>
    <w:uiPriority w:val="39"/>
    <w:unhideWhenUsed/>
    <w:qFormat/>
    <w:rsid w:val="00BF20CF"/>
    <w:pPr>
      <w:ind w:left="0" w:firstLine="0"/>
      <w:outlineLvl w:val="9"/>
    </w:pPr>
  </w:style>
  <w:style w:type="paragraph" w:styleId="TOC1">
    <w:name w:val="toc 1"/>
    <w:basedOn w:val="Normal"/>
    <w:next w:val="Normal"/>
    <w:autoRedefine/>
    <w:uiPriority w:val="39"/>
    <w:unhideWhenUsed/>
    <w:rsid w:val="00036CB5"/>
    <w:pPr>
      <w:tabs>
        <w:tab w:val="left" w:pos="440"/>
        <w:tab w:val="right" w:leader="dot" w:pos="9350"/>
      </w:tabs>
      <w:spacing w:after="100"/>
      <w:ind w:left="432" w:hanging="432"/>
    </w:pPr>
  </w:style>
  <w:style w:type="paragraph" w:styleId="TOC2">
    <w:name w:val="toc 2"/>
    <w:basedOn w:val="Normal"/>
    <w:next w:val="Normal"/>
    <w:autoRedefine/>
    <w:uiPriority w:val="39"/>
    <w:unhideWhenUsed/>
    <w:rsid w:val="00AF0A79"/>
    <w:pPr>
      <w:tabs>
        <w:tab w:val="left" w:pos="1100"/>
        <w:tab w:val="right" w:leader="dot" w:pos="9350"/>
      </w:tabs>
      <w:spacing w:after="100"/>
      <w:ind w:left="993" w:right="144" w:hanging="567"/>
    </w:pPr>
  </w:style>
  <w:style w:type="paragraph" w:styleId="TOC3">
    <w:name w:val="toc 3"/>
    <w:basedOn w:val="Normal"/>
    <w:next w:val="Normal"/>
    <w:autoRedefine/>
    <w:uiPriority w:val="39"/>
    <w:unhideWhenUsed/>
    <w:rsid w:val="00721699"/>
    <w:pPr>
      <w:tabs>
        <w:tab w:val="left" w:pos="1320"/>
        <w:tab w:val="right" w:leader="dot" w:pos="9350"/>
      </w:tabs>
      <w:spacing w:after="100"/>
      <w:ind w:left="709"/>
    </w:pPr>
  </w:style>
  <w:style w:type="character" w:styleId="Hyperlink">
    <w:name w:val="Hyperlink"/>
    <w:basedOn w:val="DefaultParagraphFont"/>
    <w:uiPriority w:val="99"/>
    <w:unhideWhenUsed/>
    <w:rsid w:val="00BF20CF"/>
    <w:rPr>
      <w:color w:val="0563C1" w:themeColor="hyperlink"/>
      <w:u w:val="single"/>
    </w:rPr>
  </w:style>
  <w:style w:type="character" w:styleId="FollowedHyperlink">
    <w:name w:val="FollowedHyperlink"/>
    <w:basedOn w:val="DefaultParagraphFont"/>
    <w:uiPriority w:val="99"/>
    <w:semiHidden/>
    <w:unhideWhenUsed/>
    <w:rsid w:val="00922259"/>
    <w:rPr>
      <w:color w:val="954F72" w:themeColor="followedHyperlink"/>
      <w:u w:val="single"/>
    </w:rPr>
  </w:style>
  <w:style w:type="table" w:customStyle="1" w:styleId="TableGrid1">
    <w:name w:val="Table Grid1"/>
    <w:basedOn w:val="TableNormal"/>
    <w:next w:val="TableGrid"/>
    <w:uiPriority w:val="39"/>
    <w:rsid w:val="00430B33"/>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D1"/>
    <w:rPr>
      <w:rFonts w:cs="Times New Roman"/>
      <w:szCs w:val="24"/>
    </w:rPr>
  </w:style>
  <w:style w:type="character" w:customStyle="1" w:styleId="UnresolvedMention1">
    <w:name w:val="Unresolved Mention1"/>
    <w:basedOn w:val="DefaultParagraphFont"/>
    <w:uiPriority w:val="99"/>
    <w:semiHidden/>
    <w:unhideWhenUsed/>
    <w:rsid w:val="00957116"/>
    <w:rPr>
      <w:color w:val="605E5C"/>
      <w:shd w:val="clear" w:color="auto" w:fill="E1DFDD"/>
    </w:rPr>
  </w:style>
  <w:style w:type="paragraph" w:styleId="List">
    <w:name w:val="List"/>
    <w:basedOn w:val="Normal"/>
    <w:rsid w:val="003F79AF"/>
    <w:pPr>
      <w:numPr>
        <w:numId w:val="14"/>
      </w:numPr>
      <w:tabs>
        <w:tab w:val="left" w:pos="720"/>
        <w:tab w:val="right" w:pos="9270"/>
      </w:tabs>
      <w:spacing w:after="0"/>
      <w:contextualSpacing/>
    </w:pPr>
    <w:rPr>
      <w:rFonts w:eastAsia="ヒラギノ角ゴ Pro W3" w:cs="Times New Roman"/>
      <w:color w:val="000000"/>
    </w:rPr>
  </w:style>
  <w:style w:type="character" w:customStyle="1" w:styleId="st">
    <w:name w:val="st"/>
    <w:basedOn w:val="DefaultParagraphFont"/>
    <w:rsid w:val="00BE372E"/>
  </w:style>
  <w:style w:type="character" w:styleId="Emphasis">
    <w:name w:val="Emphasis"/>
    <w:basedOn w:val="DefaultParagraphFont"/>
    <w:uiPriority w:val="20"/>
    <w:qFormat/>
    <w:rsid w:val="00BE372E"/>
    <w:rPr>
      <w:i/>
      <w:iCs/>
    </w:rPr>
  </w:style>
  <w:style w:type="character" w:styleId="EndnoteReference">
    <w:name w:val="endnote reference"/>
    <w:basedOn w:val="DefaultParagraphFont"/>
    <w:uiPriority w:val="99"/>
    <w:semiHidden/>
    <w:unhideWhenUsed/>
    <w:rsid w:val="000F2A77"/>
    <w:rPr>
      <w:vertAlign w:val="superscript"/>
    </w:rPr>
  </w:style>
  <w:style w:type="character" w:customStyle="1" w:styleId="UnresolvedMention2">
    <w:name w:val="Unresolved Mention2"/>
    <w:basedOn w:val="DefaultParagraphFont"/>
    <w:uiPriority w:val="99"/>
    <w:semiHidden/>
    <w:unhideWhenUsed/>
    <w:rsid w:val="00D737BD"/>
    <w:rPr>
      <w:color w:val="605E5C"/>
      <w:shd w:val="clear" w:color="auto" w:fill="E1DFDD"/>
    </w:rPr>
  </w:style>
  <w:style w:type="character" w:customStyle="1" w:styleId="characteristicsitemtexttext">
    <w:name w:val="characteristics__item__text__text"/>
    <w:basedOn w:val="DefaultParagraphFont"/>
    <w:rsid w:val="00FE3705"/>
  </w:style>
  <w:style w:type="character" w:customStyle="1" w:styleId="field-content">
    <w:name w:val="field-content"/>
    <w:basedOn w:val="DefaultParagraphFont"/>
    <w:rsid w:val="007457FF"/>
  </w:style>
  <w:style w:type="character" w:customStyle="1" w:styleId="searchhit">
    <w:name w:val="searchhit"/>
    <w:basedOn w:val="DefaultParagraphFont"/>
    <w:rsid w:val="00EA2596"/>
  </w:style>
  <w:style w:type="character" w:customStyle="1" w:styleId="hwsect">
    <w:name w:val="hwsect"/>
    <w:basedOn w:val="DefaultParagraphFont"/>
    <w:rsid w:val="001B5921"/>
  </w:style>
  <w:style w:type="character" w:customStyle="1" w:styleId="hw">
    <w:name w:val="hw"/>
    <w:basedOn w:val="DefaultParagraphFont"/>
    <w:rsid w:val="001B5921"/>
  </w:style>
  <w:style w:type="character" w:customStyle="1" w:styleId="ps">
    <w:name w:val="ps"/>
    <w:basedOn w:val="DefaultParagraphFont"/>
    <w:rsid w:val="001B5921"/>
  </w:style>
  <w:style w:type="character" w:customStyle="1" w:styleId="card-text">
    <w:name w:val="card-text"/>
    <w:basedOn w:val="DefaultParagraphFont"/>
    <w:rsid w:val="002B62D5"/>
  </w:style>
  <w:style w:type="character" w:customStyle="1" w:styleId="UnresolvedMention3">
    <w:name w:val="Unresolved Mention3"/>
    <w:basedOn w:val="DefaultParagraphFont"/>
    <w:uiPriority w:val="99"/>
    <w:semiHidden/>
    <w:unhideWhenUsed/>
    <w:rsid w:val="00D9080D"/>
    <w:rPr>
      <w:color w:val="605E5C"/>
      <w:shd w:val="clear" w:color="auto" w:fill="E1DFDD"/>
    </w:rPr>
  </w:style>
  <w:style w:type="character" w:customStyle="1" w:styleId="UnresolvedMention4">
    <w:name w:val="Unresolved Mention4"/>
    <w:basedOn w:val="DefaultParagraphFont"/>
    <w:uiPriority w:val="99"/>
    <w:semiHidden/>
    <w:unhideWhenUsed/>
    <w:rsid w:val="00A438A2"/>
    <w:rPr>
      <w:color w:val="605E5C"/>
      <w:shd w:val="clear" w:color="auto" w:fill="E1DFDD"/>
    </w:rPr>
  </w:style>
  <w:style w:type="paragraph" w:customStyle="1" w:styleId="Default">
    <w:name w:val="Default"/>
    <w:rsid w:val="005845C5"/>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D53255"/>
    <w:rPr>
      <w:color w:val="605E5C"/>
      <w:shd w:val="clear" w:color="auto" w:fill="E1DFDD"/>
    </w:rPr>
  </w:style>
  <w:style w:type="character" w:customStyle="1" w:styleId="UnresolvedMention6">
    <w:name w:val="Unresolved Mention6"/>
    <w:basedOn w:val="DefaultParagraphFont"/>
    <w:uiPriority w:val="99"/>
    <w:semiHidden/>
    <w:unhideWhenUsed/>
    <w:rsid w:val="007347A1"/>
    <w:rPr>
      <w:color w:val="605E5C"/>
      <w:shd w:val="clear" w:color="auto" w:fill="E1DFDD"/>
    </w:rPr>
  </w:style>
  <w:style w:type="character" w:customStyle="1" w:styleId="dttext">
    <w:name w:val="dttext"/>
    <w:basedOn w:val="DefaultParagraphFont"/>
    <w:rsid w:val="009D44F3"/>
  </w:style>
  <w:style w:type="character" w:styleId="Strong">
    <w:name w:val="Strong"/>
    <w:basedOn w:val="DefaultParagraphFont"/>
    <w:uiPriority w:val="22"/>
    <w:qFormat/>
    <w:rsid w:val="009D44F3"/>
    <w:rPr>
      <w:b/>
      <w:bCs/>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F26F7"/>
    <w:rPr>
      <w:color w:val="605E5C"/>
      <w:shd w:val="clear" w:color="auto" w:fill="E1DFDD"/>
    </w:rPr>
  </w:style>
  <w:style w:type="character" w:styleId="PlaceholderText">
    <w:name w:val="Placeholder Text"/>
    <w:basedOn w:val="DefaultParagraphFont"/>
    <w:uiPriority w:val="67"/>
    <w:rsid w:val="008533FE"/>
    <w:rPr>
      <w:color w:val="808080"/>
    </w:rPr>
  </w:style>
  <w:style w:type="paragraph" w:styleId="EndnoteText">
    <w:name w:val="endnote text"/>
    <w:basedOn w:val="Normal"/>
    <w:link w:val="EndnoteTextChar"/>
    <w:uiPriority w:val="99"/>
    <w:semiHidden/>
    <w:unhideWhenUsed/>
    <w:rsid w:val="00262216"/>
    <w:pPr>
      <w:spacing w:after="0"/>
    </w:pPr>
    <w:rPr>
      <w:sz w:val="20"/>
      <w:szCs w:val="20"/>
    </w:rPr>
  </w:style>
  <w:style w:type="character" w:customStyle="1" w:styleId="EndnoteTextChar">
    <w:name w:val="Endnote Text Char"/>
    <w:basedOn w:val="DefaultParagraphFont"/>
    <w:link w:val="EndnoteText"/>
    <w:uiPriority w:val="99"/>
    <w:semiHidden/>
    <w:rsid w:val="0026221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760">
      <w:bodyDiv w:val="1"/>
      <w:marLeft w:val="0"/>
      <w:marRight w:val="0"/>
      <w:marTop w:val="0"/>
      <w:marBottom w:val="0"/>
      <w:divBdr>
        <w:top w:val="none" w:sz="0" w:space="0" w:color="auto"/>
        <w:left w:val="none" w:sz="0" w:space="0" w:color="auto"/>
        <w:bottom w:val="none" w:sz="0" w:space="0" w:color="auto"/>
        <w:right w:val="none" w:sz="0" w:space="0" w:color="auto"/>
      </w:divBdr>
    </w:div>
    <w:div w:id="27730285">
      <w:bodyDiv w:val="1"/>
      <w:marLeft w:val="0"/>
      <w:marRight w:val="0"/>
      <w:marTop w:val="0"/>
      <w:marBottom w:val="0"/>
      <w:divBdr>
        <w:top w:val="none" w:sz="0" w:space="0" w:color="auto"/>
        <w:left w:val="none" w:sz="0" w:space="0" w:color="auto"/>
        <w:bottom w:val="none" w:sz="0" w:space="0" w:color="auto"/>
        <w:right w:val="none" w:sz="0" w:space="0" w:color="auto"/>
      </w:divBdr>
    </w:div>
    <w:div w:id="34738061">
      <w:bodyDiv w:val="1"/>
      <w:marLeft w:val="0"/>
      <w:marRight w:val="0"/>
      <w:marTop w:val="0"/>
      <w:marBottom w:val="0"/>
      <w:divBdr>
        <w:top w:val="none" w:sz="0" w:space="0" w:color="auto"/>
        <w:left w:val="none" w:sz="0" w:space="0" w:color="auto"/>
        <w:bottom w:val="none" w:sz="0" w:space="0" w:color="auto"/>
        <w:right w:val="none" w:sz="0" w:space="0" w:color="auto"/>
      </w:divBdr>
    </w:div>
    <w:div w:id="34739723">
      <w:bodyDiv w:val="1"/>
      <w:marLeft w:val="0"/>
      <w:marRight w:val="0"/>
      <w:marTop w:val="0"/>
      <w:marBottom w:val="0"/>
      <w:divBdr>
        <w:top w:val="none" w:sz="0" w:space="0" w:color="auto"/>
        <w:left w:val="none" w:sz="0" w:space="0" w:color="auto"/>
        <w:bottom w:val="none" w:sz="0" w:space="0" w:color="auto"/>
        <w:right w:val="none" w:sz="0" w:space="0" w:color="auto"/>
      </w:divBdr>
    </w:div>
    <w:div w:id="39403832">
      <w:bodyDiv w:val="1"/>
      <w:marLeft w:val="0"/>
      <w:marRight w:val="0"/>
      <w:marTop w:val="0"/>
      <w:marBottom w:val="0"/>
      <w:divBdr>
        <w:top w:val="none" w:sz="0" w:space="0" w:color="auto"/>
        <w:left w:val="none" w:sz="0" w:space="0" w:color="auto"/>
        <w:bottom w:val="none" w:sz="0" w:space="0" w:color="auto"/>
        <w:right w:val="none" w:sz="0" w:space="0" w:color="auto"/>
      </w:divBdr>
    </w:div>
    <w:div w:id="46731665">
      <w:bodyDiv w:val="1"/>
      <w:marLeft w:val="0"/>
      <w:marRight w:val="0"/>
      <w:marTop w:val="0"/>
      <w:marBottom w:val="0"/>
      <w:divBdr>
        <w:top w:val="none" w:sz="0" w:space="0" w:color="auto"/>
        <w:left w:val="none" w:sz="0" w:space="0" w:color="auto"/>
        <w:bottom w:val="none" w:sz="0" w:space="0" w:color="auto"/>
        <w:right w:val="none" w:sz="0" w:space="0" w:color="auto"/>
      </w:divBdr>
    </w:div>
    <w:div w:id="60105986">
      <w:bodyDiv w:val="1"/>
      <w:marLeft w:val="0"/>
      <w:marRight w:val="0"/>
      <w:marTop w:val="0"/>
      <w:marBottom w:val="0"/>
      <w:divBdr>
        <w:top w:val="none" w:sz="0" w:space="0" w:color="auto"/>
        <w:left w:val="none" w:sz="0" w:space="0" w:color="auto"/>
        <w:bottom w:val="none" w:sz="0" w:space="0" w:color="auto"/>
        <w:right w:val="none" w:sz="0" w:space="0" w:color="auto"/>
      </w:divBdr>
    </w:div>
    <w:div w:id="93595920">
      <w:bodyDiv w:val="1"/>
      <w:marLeft w:val="0"/>
      <w:marRight w:val="0"/>
      <w:marTop w:val="0"/>
      <w:marBottom w:val="0"/>
      <w:divBdr>
        <w:top w:val="none" w:sz="0" w:space="0" w:color="auto"/>
        <w:left w:val="none" w:sz="0" w:space="0" w:color="auto"/>
        <w:bottom w:val="none" w:sz="0" w:space="0" w:color="auto"/>
        <w:right w:val="none" w:sz="0" w:space="0" w:color="auto"/>
      </w:divBdr>
    </w:div>
    <w:div w:id="118227276">
      <w:bodyDiv w:val="1"/>
      <w:marLeft w:val="0"/>
      <w:marRight w:val="0"/>
      <w:marTop w:val="0"/>
      <w:marBottom w:val="0"/>
      <w:divBdr>
        <w:top w:val="none" w:sz="0" w:space="0" w:color="auto"/>
        <w:left w:val="none" w:sz="0" w:space="0" w:color="auto"/>
        <w:bottom w:val="none" w:sz="0" w:space="0" w:color="auto"/>
        <w:right w:val="none" w:sz="0" w:space="0" w:color="auto"/>
      </w:divBdr>
    </w:div>
    <w:div w:id="123357518">
      <w:bodyDiv w:val="1"/>
      <w:marLeft w:val="0"/>
      <w:marRight w:val="0"/>
      <w:marTop w:val="0"/>
      <w:marBottom w:val="0"/>
      <w:divBdr>
        <w:top w:val="none" w:sz="0" w:space="0" w:color="auto"/>
        <w:left w:val="none" w:sz="0" w:space="0" w:color="auto"/>
        <w:bottom w:val="none" w:sz="0" w:space="0" w:color="auto"/>
        <w:right w:val="none" w:sz="0" w:space="0" w:color="auto"/>
      </w:divBdr>
    </w:div>
    <w:div w:id="13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69297980">
          <w:marLeft w:val="0"/>
          <w:marRight w:val="0"/>
          <w:marTop w:val="0"/>
          <w:marBottom w:val="0"/>
          <w:divBdr>
            <w:top w:val="none" w:sz="0" w:space="0" w:color="auto"/>
            <w:left w:val="none" w:sz="0" w:space="0" w:color="auto"/>
            <w:bottom w:val="none" w:sz="0" w:space="0" w:color="auto"/>
            <w:right w:val="none" w:sz="0" w:space="0" w:color="auto"/>
          </w:divBdr>
          <w:divsChild>
            <w:div w:id="702440380">
              <w:marLeft w:val="0"/>
              <w:marRight w:val="0"/>
              <w:marTop w:val="0"/>
              <w:marBottom w:val="0"/>
              <w:divBdr>
                <w:top w:val="none" w:sz="0" w:space="0" w:color="auto"/>
                <w:left w:val="none" w:sz="0" w:space="0" w:color="auto"/>
                <w:bottom w:val="none" w:sz="0" w:space="0" w:color="auto"/>
                <w:right w:val="none" w:sz="0" w:space="0" w:color="auto"/>
              </w:divBdr>
              <w:divsChild>
                <w:div w:id="401755316">
                  <w:marLeft w:val="0"/>
                  <w:marRight w:val="0"/>
                  <w:marTop w:val="0"/>
                  <w:marBottom w:val="0"/>
                  <w:divBdr>
                    <w:top w:val="none" w:sz="0" w:space="0" w:color="auto"/>
                    <w:left w:val="none" w:sz="0" w:space="0" w:color="auto"/>
                    <w:bottom w:val="none" w:sz="0" w:space="0" w:color="auto"/>
                    <w:right w:val="none" w:sz="0" w:space="0" w:color="auto"/>
                  </w:divBdr>
                  <w:divsChild>
                    <w:div w:id="601760257">
                      <w:marLeft w:val="0"/>
                      <w:marRight w:val="0"/>
                      <w:marTop w:val="0"/>
                      <w:marBottom w:val="0"/>
                      <w:divBdr>
                        <w:top w:val="none" w:sz="0" w:space="0" w:color="auto"/>
                        <w:left w:val="none" w:sz="0" w:space="0" w:color="auto"/>
                        <w:bottom w:val="none" w:sz="0" w:space="0" w:color="auto"/>
                        <w:right w:val="none" w:sz="0" w:space="0" w:color="auto"/>
                      </w:divBdr>
                      <w:divsChild>
                        <w:div w:id="719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7367">
      <w:bodyDiv w:val="1"/>
      <w:marLeft w:val="0"/>
      <w:marRight w:val="0"/>
      <w:marTop w:val="0"/>
      <w:marBottom w:val="0"/>
      <w:divBdr>
        <w:top w:val="none" w:sz="0" w:space="0" w:color="auto"/>
        <w:left w:val="none" w:sz="0" w:space="0" w:color="auto"/>
        <w:bottom w:val="none" w:sz="0" w:space="0" w:color="auto"/>
        <w:right w:val="none" w:sz="0" w:space="0" w:color="auto"/>
      </w:divBdr>
    </w:div>
    <w:div w:id="189146319">
      <w:bodyDiv w:val="1"/>
      <w:marLeft w:val="0"/>
      <w:marRight w:val="0"/>
      <w:marTop w:val="0"/>
      <w:marBottom w:val="0"/>
      <w:divBdr>
        <w:top w:val="none" w:sz="0" w:space="0" w:color="auto"/>
        <w:left w:val="none" w:sz="0" w:space="0" w:color="auto"/>
        <w:bottom w:val="none" w:sz="0" w:space="0" w:color="auto"/>
        <w:right w:val="none" w:sz="0" w:space="0" w:color="auto"/>
      </w:divBdr>
    </w:div>
    <w:div w:id="201139358">
      <w:bodyDiv w:val="1"/>
      <w:marLeft w:val="0"/>
      <w:marRight w:val="0"/>
      <w:marTop w:val="0"/>
      <w:marBottom w:val="0"/>
      <w:divBdr>
        <w:top w:val="none" w:sz="0" w:space="0" w:color="auto"/>
        <w:left w:val="none" w:sz="0" w:space="0" w:color="auto"/>
        <w:bottom w:val="none" w:sz="0" w:space="0" w:color="auto"/>
        <w:right w:val="none" w:sz="0" w:space="0" w:color="auto"/>
      </w:divBdr>
    </w:div>
    <w:div w:id="202716277">
      <w:bodyDiv w:val="1"/>
      <w:marLeft w:val="0"/>
      <w:marRight w:val="0"/>
      <w:marTop w:val="0"/>
      <w:marBottom w:val="0"/>
      <w:divBdr>
        <w:top w:val="none" w:sz="0" w:space="0" w:color="auto"/>
        <w:left w:val="none" w:sz="0" w:space="0" w:color="auto"/>
        <w:bottom w:val="none" w:sz="0" w:space="0" w:color="auto"/>
        <w:right w:val="none" w:sz="0" w:space="0" w:color="auto"/>
      </w:divBdr>
    </w:div>
    <w:div w:id="211231839">
      <w:bodyDiv w:val="1"/>
      <w:marLeft w:val="0"/>
      <w:marRight w:val="0"/>
      <w:marTop w:val="0"/>
      <w:marBottom w:val="0"/>
      <w:divBdr>
        <w:top w:val="none" w:sz="0" w:space="0" w:color="auto"/>
        <w:left w:val="none" w:sz="0" w:space="0" w:color="auto"/>
        <w:bottom w:val="none" w:sz="0" w:space="0" w:color="auto"/>
        <w:right w:val="none" w:sz="0" w:space="0" w:color="auto"/>
      </w:divBdr>
    </w:div>
    <w:div w:id="231740467">
      <w:bodyDiv w:val="1"/>
      <w:marLeft w:val="0"/>
      <w:marRight w:val="0"/>
      <w:marTop w:val="0"/>
      <w:marBottom w:val="0"/>
      <w:divBdr>
        <w:top w:val="none" w:sz="0" w:space="0" w:color="auto"/>
        <w:left w:val="none" w:sz="0" w:space="0" w:color="auto"/>
        <w:bottom w:val="none" w:sz="0" w:space="0" w:color="auto"/>
        <w:right w:val="none" w:sz="0" w:space="0" w:color="auto"/>
      </w:divBdr>
    </w:div>
    <w:div w:id="283653414">
      <w:bodyDiv w:val="1"/>
      <w:marLeft w:val="0"/>
      <w:marRight w:val="0"/>
      <w:marTop w:val="0"/>
      <w:marBottom w:val="0"/>
      <w:divBdr>
        <w:top w:val="none" w:sz="0" w:space="0" w:color="auto"/>
        <w:left w:val="none" w:sz="0" w:space="0" w:color="auto"/>
        <w:bottom w:val="none" w:sz="0" w:space="0" w:color="auto"/>
        <w:right w:val="none" w:sz="0" w:space="0" w:color="auto"/>
      </w:divBdr>
    </w:div>
    <w:div w:id="340740207">
      <w:bodyDiv w:val="1"/>
      <w:marLeft w:val="0"/>
      <w:marRight w:val="0"/>
      <w:marTop w:val="0"/>
      <w:marBottom w:val="0"/>
      <w:divBdr>
        <w:top w:val="none" w:sz="0" w:space="0" w:color="auto"/>
        <w:left w:val="none" w:sz="0" w:space="0" w:color="auto"/>
        <w:bottom w:val="none" w:sz="0" w:space="0" w:color="auto"/>
        <w:right w:val="none" w:sz="0" w:space="0" w:color="auto"/>
      </w:divBdr>
    </w:div>
    <w:div w:id="348718209">
      <w:bodyDiv w:val="1"/>
      <w:marLeft w:val="0"/>
      <w:marRight w:val="0"/>
      <w:marTop w:val="0"/>
      <w:marBottom w:val="0"/>
      <w:divBdr>
        <w:top w:val="none" w:sz="0" w:space="0" w:color="auto"/>
        <w:left w:val="none" w:sz="0" w:space="0" w:color="auto"/>
        <w:bottom w:val="none" w:sz="0" w:space="0" w:color="auto"/>
        <w:right w:val="none" w:sz="0" w:space="0" w:color="auto"/>
      </w:divBdr>
    </w:div>
    <w:div w:id="352802101">
      <w:bodyDiv w:val="1"/>
      <w:marLeft w:val="0"/>
      <w:marRight w:val="0"/>
      <w:marTop w:val="0"/>
      <w:marBottom w:val="0"/>
      <w:divBdr>
        <w:top w:val="none" w:sz="0" w:space="0" w:color="auto"/>
        <w:left w:val="none" w:sz="0" w:space="0" w:color="auto"/>
        <w:bottom w:val="none" w:sz="0" w:space="0" w:color="auto"/>
        <w:right w:val="none" w:sz="0" w:space="0" w:color="auto"/>
      </w:divBdr>
    </w:div>
    <w:div w:id="376051223">
      <w:bodyDiv w:val="1"/>
      <w:marLeft w:val="0"/>
      <w:marRight w:val="0"/>
      <w:marTop w:val="0"/>
      <w:marBottom w:val="0"/>
      <w:divBdr>
        <w:top w:val="none" w:sz="0" w:space="0" w:color="auto"/>
        <w:left w:val="none" w:sz="0" w:space="0" w:color="auto"/>
        <w:bottom w:val="none" w:sz="0" w:space="0" w:color="auto"/>
        <w:right w:val="none" w:sz="0" w:space="0" w:color="auto"/>
      </w:divBdr>
    </w:div>
    <w:div w:id="383675594">
      <w:bodyDiv w:val="1"/>
      <w:marLeft w:val="0"/>
      <w:marRight w:val="0"/>
      <w:marTop w:val="0"/>
      <w:marBottom w:val="0"/>
      <w:divBdr>
        <w:top w:val="none" w:sz="0" w:space="0" w:color="auto"/>
        <w:left w:val="none" w:sz="0" w:space="0" w:color="auto"/>
        <w:bottom w:val="none" w:sz="0" w:space="0" w:color="auto"/>
        <w:right w:val="none" w:sz="0" w:space="0" w:color="auto"/>
      </w:divBdr>
    </w:div>
    <w:div w:id="400950356">
      <w:bodyDiv w:val="1"/>
      <w:marLeft w:val="0"/>
      <w:marRight w:val="0"/>
      <w:marTop w:val="0"/>
      <w:marBottom w:val="0"/>
      <w:divBdr>
        <w:top w:val="none" w:sz="0" w:space="0" w:color="auto"/>
        <w:left w:val="none" w:sz="0" w:space="0" w:color="auto"/>
        <w:bottom w:val="none" w:sz="0" w:space="0" w:color="auto"/>
        <w:right w:val="none" w:sz="0" w:space="0" w:color="auto"/>
      </w:divBdr>
    </w:div>
    <w:div w:id="416830942">
      <w:bodyDiv w:val="1"/>
      <w:marLeft w:val="0"/>
      <w:marRight w:val="0"/>
      <w:marTop w:val="0"/>
      <w:marBottom w:val="0"/>
      <w:divBdr>
        <w:top w:val="none" w:sz="0" w:space="0" w:color="auto"/>
        <w:left w:val="none" w:sz="0" w:space="0" w:color="auto"/>
        <w:bottom w:val="none" w:sz="0" w:space="0" w:color="auto"/>
        <w:right w:val="none" w:sz="0" w:space="0" w:color="auto"/>
      </w:divBdr>
    </w:div>
    <w:div w:id="443694762">
      <w:bodyDiv w:val="1"/>
      <w:marLeft w:val="0"/>
      <w:marRight w:val="0"/>
      <w:marTop w:val="0"/>
      <w:marBottom w:val="0"/>
      <w:divBdr>
        <w:top w:val="none" w:sz="0" w:space="0" w:color="auto"/>
        <w:left w:val="none" w:sz="0" w:space="0" w:color="auto"/>
        <w:bottom w:val="none" w:sz="0" w:space="0" w:color="auto"/>
        <w:right w:val="none" w:sz="0" w:space="0" w:color="auto"/>
      </w:divBdr>
      <w:divsChild>
        <w:div w:id="589311543">
          <w:marLeft w:val="0"/>
          <w:marRight w:val="0"/>
          <w:marTop w:val="0"/>
          <w:marBottom w:val="0"/>
          <w:divBdr>
            <w:top w:val="none" w:sz="0" w:space="0" w:color="auto"/>
            <w:left w:val="none" w:sz="0" w:space="0" w:color="auto"/>
            <w:bottom w:val="none" w:sz="0" w:space="0" w:color="auto"/>
            <w:right w:val="none" w:sz="0" w:space="0" w:color="auto"/>
          </w:divBdr>
        </w:div>
      </w:divsChild>
    </w:div>
    <w:div w:id="447286409">
      <w:bodyDiv w:val="1"/>
      <w:marLeft w:val="0"/>
      <w:marRight w:val="0"/>
      <w:marTop w:val="0"/>
      <w:marBottom w:val="0"/>
      <w:divBdr>
        <w:top w:val="none" w:sz="0" w:space="0" w:color="auto"/>
        <w:left w:val="none" w:sz="0" w:space="0" w:color="auto"/>
        <w:bottom w:val="none" w:sz="0" w:space="0" w:color="auto"/>
        <w:right w:val="none" w:sz="0" w:space="0" w:color="auto"/>
      </w:divBdr>
    </w:div>
    <w:div w:id="477310200">
      <w:bodyDiv w:val="1"/>
      <w:marLeft w:val="0"/>
      <w:marRight w:val="0"/>
      <w:marTop w:val="0"/>
      <w:marBottom w:val="0"/>
      <w:divBdr>
        <w:top w:val="none" w:sz="0" w:space="0" w:color="auto"/>
        <w:left w:val="none" w:sz="0" w:space="0" w:color="auto"/>
        <w:bottom w:val="none" w:sz="0" w:space="0" w:color="auto"/>
        <w:right w:val="none" w:sz="0" w:space="0" w:color="auto"/>
      </w:divBdr>
    </w:div>
    <w:div w:id="502017843">
      <w:bodyDiv w:val="1"/>
      <w:marLeft w:val="0"/>
      <w:marRight w:val="0"/>
      <w:marTop w:val="0"/>
      <w:marBottom w:val="0"/>
      <w:divBdr>
        <w:top w:val="none" w:sz="0" w:space="0" w:color="auto"/>
        <w:left w:val="none" w:sz="0" w:space="0" w:color="auto"/>
        <w:bottom w:val="none" w:sz="0" w:space="0" w:color="auto"/>
        <w:right w:val="none" w:sz="0" w:space="0" w:color="auto"/>
      </w:divBdr>
    </w:div>
    <w:div w:id="504512162">
      <w:bodyDiv w:val="1"/>
      <w:marLeft w:val="0"/>
      <w:marRight w:val="0"/>
      <w:marTop w:val="0"/>
      <w:marBottom w:val="0"/>
      <w:divBdr>
        <w:top w:val="none" w:sz="0" w:space="0" w:color="auto"/>
        <w:left w:val="none" w:sz="0" w:space="0" w:color="auto"/>
        <w:bottom w:val="none" w:sz="0" w:space="0" w:color="auto"/>
        <w:right w:val="none" w:sz="0" w:space="0" w:color="auto"/>
      </w:divBdr>
    </w:div>
    <w:div w:id="524712379">
      <w:bodyDiv w:val="1"/>
      <w:marLeft w:val="0"/>
      <w:marRight w:val="0"/>
      <w:marTop w:val="0"/>
      <w:marBottom w:val="0"/>
      <w:divBdr>
        <w:top w:val="none" w:sz="0" w:space="0" w:color="auto"/>
        <w:left w:val="none" w:sz="0" w:space="0" w:color="auto"/>
        <w:bottom w:val="none" w:sz="0" w:space="0" w:color="auto"/>
        <w:right w:val="none" w:sz="0" w:space="0" w:color="auto"/>
      </w:divBdr>
    </w:div>
    <w:div w:id="554898523">
      <w:bodyDiv w:val="1"/>
      <w:marLeft w:val="0"/>
      <w:marRight w:val="0"/>
      <w:marTop w:val="0"/>
      <w:marBottom w:val="0"/>
      <w:divBdr>
        <w:top w:val="none" w:sz="0" w:space="0" w:color="auto"/>
        <w:left w:val="none" w:sz="0" w:space="0" w:color="auto"/>
        <w:bottom w:val="none" w:sz="0" w:space="0" w:color="auto"/>
        <w:right w:val="none" w:sz="0" w:space="0" w:color="auto"/>
      </w:divBdr>
    </w:div>
    <w:div w:id="572786414">
      <w:bodyDiv w:val="1"/>
      <w:marLeft w:val="0"/>
      <w:marRight w:val="0"/>
      <w:marTop w:val="0"/>
      <w:marBottom w:val="0"/>
      <w:divBdr>
        <w:top w:val="none" w:sz="0" w:space="0" w:color="auto"/>
        <w:left w:val="none" w:sz="0" w:space="0" w:color="auto"/>
        <w:bottom w:val="none" w:sz="0" w:space="0" w:color="auto"/>
        <w:right w:val="none" w:sz="0" w:space="0" w:color="auto"/>
      </w:divBdr>
    </w:div>
    <w:div w:id="596519981">
      <w:bodyDiv w:val="1"/>
      <w:marLeft w:val="0"/>
      <w:marRight w:val="0"/>
      <w:marTop w:val="0"/>
      <w:marBottom w:val="0"/>
      <w:divBdr>
        <w:top w:val="none" w:sz="0" w:space="0" w:color="auto"/>
        <w:left w:val="none" w:sz="0" w:space="0" w:color="auto"/>
        <w:bottom w:val="none" w:sz="0" w:space="0" w:color="auto"/>
        <w:right w:val="none" w:sz="0" w:space="0" w:color="auto"/>
      </w:divBdr>
    </w:div>
    <w:div w:id="649334651">
      <w:bodyDiv w:val="1"/>
      <w:marLeft w:val="0"/>
      <w:marRight w:val="0"/>
      <w:marTop w:val="0"/>
      <w:marBottom w:val="0"/>
      <w:divBdr>
        <w:top w:val="none" w:sz="0" w:space="0" w:color="auto"/>
        <w:left w:val="none" w:sz="0" w:space="0" w:color="auto"/>
        <w:bottom w:val="none" w:sz="0" w:space="0" w:color="auto"/>
        <w:right w:val="none" w:sz="0" w:space="0" w:color="auto"/>
      </w:divBdr>
      <w:divsChild>
        <w:div w:id="1861624061">
          <w:marLeft w:val="0"/>
          <w:marRight w:val="0"/>
          <w:marTop w:val="0"/>
          <w:marBottom w:val="0"/>
          <w:divBdr>
            <w:top w:val="none" w:sz="0" w:space="0" w:color="auto"/>
            <w:left w:val="none" w:sz="0" w:space="0" w:color="auto"/>
            <w:bottom w:val="none" w:sz="0" w:space="0" w:color="auto"/>
            <w:right w:val="none" w:sz="0" w:space="0" w:color="auto"/>
          </w:divBdr>
        </w:div>
      </w:divsChild>
    </w:div>
    <w:div w:id="658118743">
      <w:bodyDiv w:val="1"/>
      <w:marLeft w:val="0"/>
      <w:marRight w:val="0"/>
      <w:marTop w:val="0"/>
      <w:marBottom w:val="0"/>
      <w:divBdr>
        <w:top w:val="none" w:sz="0" w:space="0" w:color="auto"/>
        <w:left w:val="none" w:sz="0" w:space="0" w:color="auto"/>
        <w:bottom w:val="none" w:sz="0" w:space="0" w:color="auto"/>
        <w:right w:val="none" w:sz="0" w:space="0" w:color="auto"/>
      </w:divBdr>
    </w:div>
    <w:div w:id="660894809">
      <w:bodyDiv w:val="1"/>
      <w:marLeft w:val="0"/>
      <w:marRight w:val="0"/>
      <w:marTop w:val="0"/>
      <w:marBottom w:val="0"/>
      <w:divBdr>
        <w:top w:val="none" w:sz="0" w:space="0" w:color="auto"/>
        <w:left w:val="none" w:sz="0" w:space="0" w:color="auto"/>
        <w:bottom w:val="none" w:sz="0" w:space="0" w:color="auto"/>
        <w:right w:val="none" w:sz="0" w:space="0" w:color="auto"/>
      </w:divBdr>
    </w:div>
    <w:div w:id="676466420">
      <w:bodyDiv w:val="1"/>
      <w:marLeft w:val="0"/>
      <w:marRight w:val="0"/>
      <w:marTop w:val="0"/>
      <w:marBottom w:val="0"/>
      <w:divBdr>
        <w:top w:val="none" w:sz="0" w:space="0" w:color="auto"/>
        <w:left w:val="none" w:sz="0" w:space="0" w:color="auto"/>
        <w:bottom w:val="none" w:sz="0" w:space="0" w:color="auto"/>
        <w:right w:val="none" w:sz="0" w:space="0" w:color="auto"/>
      </w:divBdr>
    </w:div>
    <w:div w:id="705058617">
      <w:bodyDiv w:val="1"/>
      <w:marLeft w:val="0"/>
      <w:marRight w:val="0"/>
      <w:marTop w:val="0"/>
      <w:marBottom w:val="0"/>
      <w:divBdr>
        <w:top w:val="none" w:sz="0" w:space="0" w:color="auto"/>
        <w:left w:val="none" w:sz="0" w:space="0" w:color="auto"/>
        <w:bottom w:val="none" w:sz="0" w:space="0" w:color="auto"/>
        <w:right w:val="none" w:sz="0" w:space="0" w:color="auto"/>
      </w:divBdr>
    </w:div>
    <w:div w:id="706222498">
      <w:bodyDiv w:val="1"/>
      <w:marLeft w:val="0"/>
      <w:marRight w:val="0"/>
      <w:marTop w:val="0"/>
      <w:marBottom w:val="0"/>
      <w:divBdr>
        <w:top w:val="none" w:sz="0" w:space="0" w:color="auto"/>
        <w:left w:val="none" w:sz="0" w:space="0" w:color="auto"/>
        <w:bottom w:val="none" w:sz="0" w:space="0" w:color="auto"/>
        <w:right w:val="none" w:sz="0" w:space="0" w:color="auto"/>
      </w:divBdr>
    </w:div>
    <w:div w:id="718089573">
      <w:bodyDiv w:val="1"/>
      <w:marLeft w:val="0"/>
      <w:marRight w:val="0"/>
      <w:marTop w:val="0"/>
      <w:marBottom w:val="0"/>
      <w:divBdr>
        <w:top w:val="none" w:sz="0" w:space="0" w:color="auto"/>
        <w:left w:val="none" w:sz="0" w:space="0" w:color="auto"/>
        <w:bottom w:val="none" w:sz="0" w:space="0" w:color="auto"/>
        <w:right w:val="none" w:sz="0" w:space="0" w:color="auto"/>
      </w:divBdr>
    </w:div>
    <w:div w:id="730811726">
      <w:bodyDiv w:val="1"/>
      <w:marLeft w:val="0"/>
      <w:marRight w:val="0"/>
      <w:marTop w:val="0"/>
      <w:marBottom w:val="0"/>
      <w:divBdr>
        <w:top w:val="none" w:sz="0" w:space="0" w:color="auto"/>
        <w:left w:val="none" w:sz="0" w:space="0" w:color="auto"/>
        <w:bottom w:val="none" w:sz="0" w:space="0" w:color="auto"/>
        <w:right w:val="none" w:sz="0" w:space="0" w:color="auto"/>
      </w:divBdr>
    </w:div>
    <w:div w:id="741635958">
      <w:bodyDiv w:val="1"/>
      <w:marLeft w:val="0"/>
      <w:marRight w:val="0"/>
      <w:marTop w:val="0"/>
      <w:marBottom w:val="0"/>
      <w:divBdr>
        <w:top w:val="none" w:sz="0" w:space="0" w:color="auto"/>
        <w:left w:val="none" w:sz="0" w:space="0" w:color="auto"/>
        <w:bottom w:val="none" w:sz="0" w:space="0" w:color="auto"/>
        <w:right w:val="none" w:sz="0" w:space="0" w:color="auto"/>
      </w:divBdr>
    </w:div>
    <w:div w:id="750781612">
      <w:bodyDiv w:val="1"/>
      <w:marLeft w:val="0"/>
      <w:marRight w:val="0"/>
      <w:marTop w:val="0"/>
      <w:marBottom w:val="0"/>
      <w:divBdr>
        <w:top w:val="none" w:sz="0" w:space="0" w:color="auto"/>
        <w:left w:val="none" w:sz="0" w:space="0" w:color="auto"/>
        <w:bottom w:val="none" w:sz="0" w:space="0" w:color="auto"/>
        <w:right w:val="none" w:sz="0" w:space="0" w:color="auto"/>
      </w:divBdr>
    </w:div>
    <w:div w:id="763457608">
      <w:bodyDiv w:val="1"/>
      <w:marLeft w:val="0"/>
      <w:marRight w:val="0"/>
      <w:marTop w:val="0"/>
      <w:marBottom w:val="0"/>
      <w:divBdr>
        <w:top w:val="none" w:sz="0" w:space="0" w:color="auto"/>
        <w:left w:val="none" w:sz="0" w:space="0" w:color="auto"/>
        <w:bottom w:val="none" w:sz="0" w:space="0" w:color="auto"/>
        <w:right w:val="none" w:sz="0" w:space="0" w:color="auto"/>
      </w:divBdr>
    </w:div>
    <w:div w:id="787116920">
      <w:bodyDiv w:val="1"/>
      <w:marLeft w:val="0"/>
      <w:marRight w:val="0"/>
      <w:marTop w:val="0"/>
      <w:marBottom w:val="0"/>
      <w:divBdr>
        <w:top w:val="none" w:sz="0" w:space="0" w:color="auto"/>
        <w:left w:val="none" w:sz="0" w:space="0" w:color="auto"/>
        <w:bottom w:val="none" w:sz="0" w:space="0" w:color="auto"/>
        <w:right w:val="none" w:sz="0" w:space="0" w:color="auto"/>
      </w:divBdr>
    </w:div>
    <w:div w:id="796333815">
      <w:bodyDiv w:val="1"/>
      <w:marLeft w:val="0"/>
      <w:marRight w:val="0"/>
      <w:marTop w:val="0"/>
      <w:marBottom w:val="0"/>
      <w:divBdr>
        <w:top w:val="none" w:sz="0" w:space="0" w:color="auto"/>
        <w:left w:val="none" w:sz="0" w:space="0" w:color="auto"/>
        <w:bottom w:val="none" w:sz="0" w:space="0" w:color="auto"/>
        <w:right w:val="none" w:sz="0" w:space="0" w:color="auto"/>
      </w:divBdr>
    </w:div>
    <w:div w:id="799111830">
      <w:bodyDiv w:val="1"/>
      <w:marLeft w:val="0"/>
      <w:marRight w:val="0"/>
      <w:marTop w:val="0"/>
      <w:marBottom w:val="0"/>
      <w:divBdr>
        <w:top w:val="none" w:sz="0" w:space="0" w:color="auto"/>
        <w:left w:val="none" w:sz="0" w:space="0" w:color="auto"/>
        <w:bottom w:val="none" w:sz="0" w:space="0" w:color="auto"/>
        <w:right w:val="none" w:sz="0" w:space="0" w:color="auto"/>
      </w:divBdr>
    </w:div>
    <w:div w:id="833030567">
      <w:bodyDiv w:val="1"/>
      <w:marLeft w:val="0"/>
      <w:marRight w:val="0"/>
      <w:marTop w:val="0"/>
      <w:marBottom w:val="0"/>
      <w:divBdr>
        <w:top w:val="none" w:sz="0" w:space="0" w:color="auto"/>
        <w:left w:val="none" w:sz="0" w:space="0" w:color="auto"/>
        <w:bottom w:val="none" w:sz="0" w:space="0" w:color="auto"/>
        <w:right w:val="none" w:sz="0" w:space="0" w:color="auto"/>
      </w:divBdr>
    </w:div>
    <w:div w:id="857280140">
      <w:bodyDiv w:val="1"/>
      <w:marLeft w:val="0"/>
      <w:marRight w:val="0"/>
      <w:marTop w:val="0"/>
      <w:marBottom w:val="0"/>
      <w:divBdr>
        <w:top w:val="none" w:sz="0" w:space="0" w:color="auto"/>
        <w:left w:val="none" w:sz="0" w:space="0" w:color="auto"/>
        <w:bottom w:val="none" w:sz="0" w:space="0" w:color="auto"/>
        <w:right w:val="none" w:sz="0" w:space="0" w:color="auto"/>
      </w:divBdr>
    </w:div>
    <w:div w:id="924608971">
      <w:bodyDiv w:val="1"/>
      <w:marLeft w:val="0"/>
      <w:marRight w:val="0"/>
      <w:marTop w:val="0"/>
      <w:marBottom w:val="0"/>
      <w:divBdr>
        <w:top w:val="none" w:sz="0" w:space="0" w:color="auto"/>
        <w:left w:val="none" w:sz="0" w:space="0" w:color="auto"/>
        <w:bottom w:val="none" w:sz="0" w:space="0" w:color="auto"/>
        <w:right w:val="none" w:sz="0" w:space="0" w:color="auto"/>
      </w:divBdr>
    </w:div>
    <w:div w:id="942998972">
      <w:bodyDiv w:val="1"/>
      <w:marLeft w:val="0"/>
      <w:marRight w:val="0"/>
      <w:marTop w:val="0"/>
      <w:marBottom w:val="0"/>
      <w:divBdr>
        <w:top w:val="none" w:sz="0" w:space="0" w:color="auto"/>
        <w:left w:val="none" w:sz="0" w:space="0" w:color="auto"/>
        <w:bottom w:val="none" w:sz="0" w:space="0" w:color="auto"/>
        <w:right w:val="none" w:sz="0" w:space="0" w:color="auto"/>
      </w:divBdr>
      <w:divsChild>
        <w:div w:id="1991443284">
          <w:marLeft w:val="0"/>
          <w:marRight w:val="0"/>
          <w:marTop w:val="0"/>
          <w:marBottom w:val="0"/>
          <w:divBdr>
            <w:top w:val="none" w:sz="0" w:space="0" w:color="auto"/>
            <w:left w:val="none" w:sz="0" w:space="0" w:color="auto"/>
            <w:bottom w:val="none" w:sz="0" w:space="0" w:color="auto"/>
            <w:right w:val="none" w:sz="0" w:space="0" w:color="auto"/>
          </w:divBdr>
          <w:divsChild>
            <w:div w:id="69498661">
              <w:marLeft w:val="0"/>
              <w:marRight w:val="0"/>
              <w:marTop w:val="0"/>
              <w:marBottom w:val="0"/>
              <w:divBdr>
                <w:top w:val="none" w:sz="0" w:space="0" w:color="auto"/>
                <w:left w:val="none" w:sz="0" w:space="0" w:color="auto"/>
                <w:bottom w:val="none" w:sz="0" w:space="0" w:color="auto"/>
                <w:right w:val="none" w:sz="0" w:space="0" w:color="auto"/>
              </w:divBdr>
              <w:divsChild>
                <w:div w:id="414207835">
                  <w:marLeft w:val="0"/>
                  <w:marRight w:val="0"/>
                  <w:marTop w:val="0"/>
                  <w:marBottom w:val="0"/>
                  <w:divBdr>
                    <w:top w:val="none" w:sz="0" w:space="0" w:color="auto"/>
                    <w:left w:val="none" w:sz="0" w:space="0" w:color="auto"/>
                    <w:bottom w:val="none" w:sz="0" w:space="0" w:color="auto"/>
                    <w:right w:val="none" w:sz="0" w:space="0" w:color="auto"/>
                  </w:divBdr>
                  <w:divsChild>
                    <w:div w:id="833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6272">
      <w:bodyDiv w:val="1"/>
      <w:marLeft w:val="0"/>
      <w:marRight w:val="0"/>
      <w:marTop w:val="0"/>
      <w:marBottom w:val="0"/>
      <w:divBdr>
        <w:top w:val="none" w:sz="0" w:space="0" w:color="auto"/>
        <w:left w:val="none" w:sz="0" w:space="0" w:color="auto"/>
        <w:bottom w:val="none" w:sz="0" w:space="0" w:color="auto"/>
        <w:right w:val="none" w:sz="0" w:space="0" w:color="auto"/>
      </w:divBdr>
    </w:div>
    <w:div w:id="982394941">
      <w:bodyDiv w:val="1"/>
      <w:marLeft w:val="0"/>
      <w:marRight w:val="0"/>
      <w:marTop w:val="0"/>
      <w:marBottom w:val="0"/>
      <w:divBdr>
        <w:top w:val="none" w:sz="0" w:space="0" w:color="auto"/>
        <w:left w:val="none" w:sz="0" w:space="0" w:color="auto"/>
        <w:bottom w:val="none" w:sz="0" w:space="0" w:color="auto"/>
        <w:right w:val="none" w:sz="0" w:space="0" w:color="auto"/>
      </w:divBdr>
      <w:divsChild>
        <w:div w:id="889805079">
          <w:marLeft w:val="0"/>
          <w:marRight w:val="0"/>
          <w:marTop w:val="0"/>
          <w:marBottom w:val="0"/>
          <w:divBdr>
            <w:top w:val="none" w:sz="0" w:space="0" w:color="auto"/>
            <w:left w:val="none" w:sz="0" w:space="0" w:color="auto"/>
            <w:bottom w:val="none" w:sz="0" w:space="0" w:color="auto"/>
            <w:right w:val="none" w:sz="0" w:space="0" w:color="auto"/>
          </w:divBdr>
        </w:div>
        <w:div w:id="1766806689">
          <w:marLeft w:val="0"/>
          <w:marRight w:val="0"/>
          <w:marTop w:val="0"/>
          <w:marBottom w:val="0"/>
          <w:divBdr>
            <w:top w:val="none" w:sz="0" w:space="0" w:color="auto"/>
            <w:left w:val="none" w:sz="0" w:space="0" w:color="auto"/>
            <w:bottom w:val="none" w:sz="0" w:space="0" w:color="auto"/>
            <w:right w:val="none" w:sz="0" w:space="0" w:color="auto"/>
          </w:divBdr>
        </w:div>
      </w:divsChild>
    </w:div>
    <w:div w:id="1040663388">
      <w:bodyDiv w:val="1"/>
      <w:marLeft w:val="0"/>
      <w:marRight w:val="0"/>
      <w:marTop w:val="0"/>
      <w:marBottom w:val="0"/>
      <w:divBdr>
        <w:top w:val="none" w:sz="0" w:space="0" w:color="auto"/>
        <w:left w:val="none" w:sz="0" w:space="0" w:color="auto"/>
        <w:bottom w:val="none" w:sz="0" w:space="0" w:color="auto"/>
        <w:right w:val="none" w:sz="0" w:space="0" w:color="auto"/>
      </w:divBdr>
    </w:div>
    <w:div w:id="1042251463">
      <w:bodyDiv w:val="1"/>
      <w:marLeft w:val="0"/>
      <w:marRight w:val="0"/>
      <w:marTop w:val="0"/>
      <w:marBottom w:val="0"/>
      <w:divBdr>
        <w:top w:val="none" w:sz="0" w:space="0" w:color="auto"/>
        <w:left w:val="none" w:sz="0" w:space="0" w:color="auto"/>
        <w:bottom w:val="none" w:sz="0" w:space="0" w:color="auto"/>
        <w:right w:val="none" w:sz="0" w:space="0" w:color="auto"/>
      </w:divBdr>
    </w:div>
    <w:div w:id="1057319554">
      <w:bodyDiv w:val="1"/>
      <w:marLeft w:val="0"/>
      <w:marRight w:val="0"/>
      <w:marTop w:val="0"/>
      <w:marBottom w:val="0"/>
      <w:divBdr>
        <w:top w:val="none" w:sz="0" w:space="0" w:color="auto"/>
        <w:left w:val="none" w:sz="0" w:space="0" w:color="auto"/>
        <w:bottom w:val="none" w:sz="0" w:space="0" w:color="auto"/>
        <w:right w:val="none" w:sz="0" w:space="0" w:color="auto"/>
      </w:divBdr>
      <w:divsChild>
        <w:div w:id="1591231431">
          <w:marLeft w:val="0"/>
          <w:marRight w:val="0"/>
          <w:marTop w:val="0"/>
          <w:marBottom w:val="0"/>
          <w:divBdr>
            <w:top w:val="none" w:sz="0" w:space="0" w:color="auto"/>
            <w:left w:val="none" w:sz="0" w:space="0" w:color="auto"/>
            <w:bottom w:val="none" w:sz="0" w:space="0" w:color="auto"/>
            <w:right w:val="none" w:sz="0" w:space="0" w:color="auto"/>
          </w:divBdr>
          <w:divsChild>
            <w:div w:id="1741318958">
              <w:marLeft w:val="0"/>
              <w:marRight w:val="0"/>
              <w:marTop w:val="0"/>
              <w:marBottom w:val="0"/>
              <w:divBdr>
                <w:top w:val="none" w:sz="0" w:space="0" w:color="auto"/>
                <w:left w:val="none" w:sz="0" w:space="0" w:color="auto"/>
                <w:bottom w:val="none" w:sz="0" w:space="0" w:color="auto"/>
                <w:right w:val="none" w:sz="0" w:space="0" w:color="auto"/>
              </w:divBdr>
              <w:divsChild>
                <w:div w:id="351565341">
                  <w:marLeft w:val="0"/>
                  <w:marRight w:val="0"/>
                  <w:marTop w:val="0"/>
                  <w:marBottom w:val="0"/>
                  <w:divBdr>
                    <w:top w:val="none" w:sz="0" w:space="0" w:color="auto"/>
                    <w:left w:val="none" w:sz="0" w:space="0" w:color="auto"/>
                    <w:bottom w:val="none" w:sz="0" w:space="0" w:color="auto"/>
                    <w:right w:val="none" w:sz="0" w:space="0" w:color="auto"/>
                  </w:divBdr>
                  <w:divsChild>
                    <w:div w:id="1637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92467">
      <w:bodyDiv w:val="1"/>
      <w:marLeft w:val="0"/>
      <w:marRight w:val="0"/>
      <w:marTop w:val="0"/>
      <w:marBottom w:val="0"/>
      <w:divBdr>
        <w:top w:val="none" w:sz="0" w:space="0" w:color="auto"/>
        <w:left w:val="none" w:sz="0" w:space="0" w:color="auto"/>
        <w:bottom w:val="none" w:sz="0" w:space="0" w:color="auto"/>
        <w:right w:val="none" w:sz="0" w:space="0" w:color="auto"/>
      </w:divBdr>
    </w:div>
    <w:div w:id="1115827878">
      <w:bodyDiv w:val="1"/>
      <w:marLeft w:val="0"/>
      <w:marRight w:val="0"/>
      <w:marTop w:val="0"/>
      <w:marBottom w:val="0"/>
      <w:divBdr>
        <w:top w:val="none" w:sz="0" w:space="0" w:color="auto"/>
        <w:left w:val="none" w:sz="0" w:space="0" w:color="auto"/>
        <w:bottom w:val="none" w:sz="0" w:space="0" w:color="auto"/>
        <w:right w:val="none" w:sz="0" w:space="0" w:color="auto"/>
      </w:divBdr>
    </w:div>
    <w:div w:id="1131289556">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56186987">
      <w:bodyDiv w:val="1"/>
      <w:marLeft w:val="0"/>
      <w:marRight w:val="0"/>
      <w:marTop w:val="0"/>
      <w:marBottom w:val="0"/>
      <w:divBdr>
        <w:top w:val="none" w:sz="0" w:space="0" w:color="auto"/>
        <w:left w:val="none" w:sz="0" w:space="0" w:color="auto"/>
        <w:bottom w:val="none" w:sz="0" w:space="0" w:color="auto"/>
        <w:right w:val="none" w:sz="0" w:space="0" w:color="auto"/>
      </w:divBdr>
    </w:div>
    <w:div w:id="1173226780">
      <w:bodyDiv w:val="1"/>
      <w:marLeft w:val="0"/>
      <w:marRight w:val="0"/>
      <w:marTop w:val="0"/>
      <w:marBottom w:val="0"/>
      <w:divBdr>
        <w:top w:val="none" w:sz="0" w:space="0" w:color="auto"/>
        <w:left w:val="none" w:sz="0" w:space="0" w:color="auto"/>
        <w:bottom w:val="none" w:sz="0" w:space="0" w:color="auto"/>
        <w:right w:val="none" w:sz="0" w:space="0" w:color="auto"/>
      </w:divBdr>
    </w:div>
    <w:div w:id="1185480998">
      <w:bodyDiv w:val="1"/>
      <w:marLeft w:val="0"/>
      <w:marRight w:val="0"/>
      <w:marTop w:val="0"/>
      <w:marBottom w:val="0"/>
      <w:divBdr>
        <w:top w:val="none" w:sz="0" w:space="0" w:color="auto"/>
        <w:left w:val="none" w:sz="0" w:space="0" w:color="auto"/>
        <w:bottom w:val="none" w:sz="0" w:space="0" w:color="auto"/>
        <w:right w:val="none" w:sz="0" w:space="0" w:color="auto"/>
      </w:divBdr>
    </w:div>
    <w:div w:id="1233080830">
      <w:bodyDiv w:val="1"/>
      <w:marLeft w:val="0"/>
      <w:marRight w:val="0"/>
      <w:marTop w:val="0"/>
      <w:marBottom w:val="0"/>
      <w:divBdr>
        <w:top w:val="none" w:sz="0" w:space="0" w:color="auto"/>
        <w:left w:val="none" w:sz="0" w:space="0" w:color="auto"/>
        <w:bottom w:val="none" w:sz="0" w:space="0" w:color="auto"/>
        <w:right w:val="none" w:sz="0" w:space="0" w:color="auto"/>
      </w:divBdr>
    </w:div>
    <w:div w:id="1241522137">
      <w:bodyDiv w:val="1"/>
      <w:marLeft w:val="0"/>
      <w:marRight w:val="0"/>
      <w:marTop w:val="0"/>
      <w:marBottom w:val="0"/>
      <w:divBdr>
        <w:top w:val="none" w:sz="0" w:space="0" w:color="auto"/>
        <w:left w:val="none" w:sz="0" w:space="0" w:color="auto"/>
        <w:bottom w:val="none" w:sz="0" w:space="0" w:color="auto"/>
        <w:right w:val="none" w:sz="0" w:space="0" w:color="auto"/>
      </w:divBdr>
    </w:div>
    <w:div w:id="1301493835">
      <w:bodyDiv w:val="1"/>
      <w:marLeft w:val="0"/>
      <w:marRight w:val="0"/>
      <w:marTop w:val="0"/>
      <w:marBottom w:val="0"/>
      <w:divBdr>
        <w:top w:val="none" w:sz="0" w:space="0" w:color="auto"/>
        <w:left w:val="none" w:sz="0" w:space="0" w:color="auto"/>
        <w:bottom w:val="none" w:sz="0" w:space="0" w:color="auto"/>
        <w:right w:val="none" w:sz="0" w:space="0" w:color="auto"/>
      </w:divBdr>
    </w:div>
    <w:div w:id="1333876963">
      <w:bodyDiv w:val="1"/>
      <w:marLeft w:val="0"/>
      <w:marRight w:val="0"/>
      <w:marTop w:val="0"/>
      <w:marBottom w:val="0"/>
      <w:divBdr>
        <w:top w:val="none" w:sz="0" w:space="0" w:color="auto"/>
        <w:left w:val="none" w:sz="0" w:space="0" w:color="auto"/>
        <w:bottom w:val="none" w:sz="0" w:space="0" w:color="auto"/>
        <w:right w:val="none" w:sz="0" w:space="0" w:color="auto"/>
      </w:divBdr>
    </w:div>
    <w:div w:id="1346906028">
      <w:bodyDiv w:val="1"/>
      <w:marLeft w:val="0"/>
      <w:marRight w:val="0"/>
      <w:marTop w:val="0"/>
      <w:marBottom w:val="0"/>
      <w:divBdr>
        <w:top w:val="none" w:sz="0" w:space="0" w:color="auto"/>
        <w:left w:val="none" w:sz="0" w:space="0" w:color="auto"/>
        <w:bottom w:val="none" w:sz="0" w:space="0" w:color="auto"/>
        <w:right w:val="none" w:sz="0" w:space="0" w:color="auto"/>
      </w:divBdr>
    </w:div>
    <w:div w:id="1406949996">
      <w:bodyDiv w:val="1"/>
      <w:marLeft w:val="0"/>
      <w:marRight w:val="0"/>
      <w:marTop w:val="0"/>
      <w:marBottom w:val="0"/>
      <w:divBdr>
        <w:top w:val="none" w:sz="0" w:space="0" w:color="auto"/>
        <w:left w:val="none" w:sz="0" w:space="0" w:color="auto"/>
        <w:bottom w:val="none" w:sz="0" w:space="0" w:color="auto"/>
        <w:right w:val="none" w:sz="0" w:space="0" w:color="auto"/>
      </w:divBdr>
    </w:div>
    <w:div w:id="1408923151">
      <w:bodyDiv w:val="1"/>
      <w:marLeft w:val="0"/>
      <w:marRight w:val="0"/>
      <w:marTop w:val="0"/>
      <w:marBottom w:val="0"/>
      <w:divBdr>
        <w:top w:val="none" w:sz="0" w:space="0" w:color="auto"/>
        <w:left w:val="none" w:sz="0" w:space="0" w:color="auto"/>
        <w:bottom w:val="none" w:sz="0" w:space="0" w:color="auto"/>
        <w:right w:val="none" w:sz="0" w:space="0" w:color="auto"/>
      </w:divBdr>
    </w:div>
    <w:div w:id="1442871432">
      <w:bodyDiv w:val="1"/>
      <w:marLeft w:val="0"/>
      <w:marRight w:val="0"/>
      <w:marTop w:val="0"/>
      <w:marBottom w:val="0"/>
      <w:divBdr>
        <w:top w:val="none" w:sz="0" w:space="0" w:color="auto"/>
        <w:left w:val="none" w:sz="0" w:space="0" w:color="auto"/>
        <w:bottom w:val="none" w:sz="0" w:space="0" w:color="auto"/>
        <w:right w:val="none" w:sz="0" w:space="0" w:color="auto"/>
      </w:divBdr>
    </w:div>
    <w:div w:id="1526166388">
      <w:bodyDiv w:val="1"/>
      <w:marLeft w:val="0"/>
      <w:marRight w:val="0"/>
      <w:marTop w:val="0"/>
      <w:marBottom w:val="0"/>
      <w:divBdr>
        <w:top w:val="none" w:sz="0" w:space="0" w:color="auto"/>
        <w:left w:val="none" w:sz="0" w:space="0" w:color="auto"/>
        <w:bottom w:val="none" w:sz="0" w:space="0" w:color="auto"/>
        <w:right w:val="none" w:sz="0" w:space="0" w:color="auto"/>
      </w:divBdr>
    </w:div>
    <w:div w:id="1546327890">
      <w:bodyDiv w:val="1"/>
      <w:marLeft w:val="0"/>
      <w:marRight w:val="0"/>
      <w:marTop w:val="0"/>
      <w:marBottom w:val="0"/>
      <w:divBdr>
        <w:top w:val="none" w:sz="0" w:space="0" w:color="auto"/>
        <w:left w:val="none" w:sz="0" w:space="0" w:color="auto"/>
        <w:bottom w:val="none" w:sz="0" w:space="0" w:color="auto"/>
        <w:right w:val="none" w:sz="0" w:space="0" w:color="auto"/>
      </w:divBdr>
    </w:div>
    <w:div w:id="1563058577">
      <w:bodyDiv w:val="1"/>
      <w:marLeft w:val="0"/>
      <w:marRight w:val="0"/>
      <w:marTop w:val="0"/>
      <w:marBottom w:val="0"/>
      <w:divBdr>
        <w:top w:val="none" w:sz="0" w:space="0" w:color="auto"/>
        <w:left w:val="none" w:sz="0" w:space="0" w:color="auto"/>
        <w:bottom w:val="none" w:sz="0" w:space="0" w:color="auto"/>
        <w:right w:val="none" w:sz="0" w:space="0" w:color="auto"/>
      </w:divBdr>
    </w:div>
    <w:div w:id="1589656182">
      <w:bodyDiv w:val="1"/>
      <w:marLeft w:val="0"/>
      <w:marRight w:val="0"/>
      <w:marTop w:val="0"/>
      <w:marBottom w:val="0"/>
      <w:divBdr>
        <w:top w:val="none" w:sz="0" w:space="0" w:color="auto"/>
        <w:left w:val="none" w:sz="0" w:space="0" w:color="auto"/>
        <w:bottom w:val="none" w:sz="0" w:space="0" w:color="auto"/>
        <w:right w:val="none" w:sz="0" w:space="0" w:color="auto"/>
      </w:divBdr>
      <w:divsChild>
        <w:div w:id="629633817">
          <w:marLeft w:val="0"/>
          <w:marRight w:val="0"/>
          <w:marTop w:val="0"/>
          <w:marBottom w:val="0"/>
          <w:divBdr>
            <w:top w:val="none" w:sz="0" w:space="0" w:color="auto"/>
            <w:left w:val="none" w:sz="0" w:space="0" w:color="auto"/>
            <w:bottom w:val="none" w:sz="0" w:space="0" w:color="auto"/>
            <w:right w:val="none" w:sz="0" w:space="0" w:color="auto"/>
          </w:divBdr>
        </w:div>
        <w:div w:id="647168006">
          <w:marLeft w:val="0"/>
          <w:marRight w:val="0"/>
          <w:marTop w:val="0"/>
          <w:marBottom w:val="0"/>
          <w:divBdr>
            <w:top w:val="none" w:sz="0" w:space="0" w:color="auto"/>
            <w:left w:val="none" w:sz="0" w:space="0" w:color="auto"/>
            <w:bottom w:val="none" w:sz="0" w:space="0" w:color="auto"/>
            <w:right w:val="none" w:sz="0" w:space="0" w:color="auto"/>
          </w:divBdr>
        </w:div>
      </w:divsChild>
    </w:div>
    <w:div w:id="1592814769">
      <w:bodyDiv w:val="1"/>
      <w:marLeft w:val="0"/>
      <w:marRight w:val="0"/>
      <w:marTop w:val="0"/>
      <w:marBottom w:val="0"/>
      <w:divBdr>
        <w:top w:val="none" w:sz="0" w:space="0" w:color="auto"/>
        <w:left w:val="none" w:sz="0" w:space="0" w:color="auto"/>
        <w:bottom w:val="none" w:sz="0" w:space="0" w:color="auto"/>
        <w:right w:val="none" w:sz="0" w:space="0" w:color="auto"/>
      </w:divBdr>
    </w:div>
    <w:div w:id="1600872351">
      <w:bodyDiv w:val="1"/>
      <w:marLeft w:val="0"/>
      <w:marRight w:val="0"/>
      <w:marTop w:val="0"/>
      <w:marBottom w:val="0"/>
      <w:divBdr>
        <w:top w:val="none" w:sz="0" w:space="0" w:color="auto"/>
        <w:left w:val="none" w:sz="0" w:space="0" w:color="auto"/>
        <w:bottom w:val="none" w:sz="0" w:space="0" w:color="auto"/>
        <w:right w:val="none" w:sz="0" w:space="0" w:color="auto"/>
      </w:divBdr>
    </w:div>
    <w:div w:id="1602295000">
      <w:bodyDiv w:val="1"/>
      <w:marLeft w:val="0"/>
      <w:marRight w:val="0"/>
      <w:marTop w:val="0"/>
      <w:marBottom w:val="0"/>
      <w:divBdr>
        <w:top w:val="none" w:sz="0" w:space="0" w:color="auto"/>
        <w:left w:val="none" w:sz="0" w:space="0" w:color="auto"/>
        <w:bottom w:val="none" w:sz="0" w:space="0" w:color="auto"/>
        <w:right w:val="none" w:sz="0" w:space="0" w:color="auto"/>
      </w:divBdr>
    </w:div>
    <w:div w:id="1602832266">
      <w:bodyDiv w:val="1"/>
      <w:marLeft w:val="0"/>
      <w:marRight w:val="0"/>
      <w:marTop w:val="0"/>
      <w:marBottom w:val="0"/>
      <w:divBdr>
        <w:top w:val="none" w:sz="0" w:space="0" w:color="auto"/>
        <w:left w:val="none" w:sz="0" w:space="0" w:color="auto"/>
        <w:bottom w:val="none" w:sz="0" w:space="0" w:color="auto"/>
        <w:right w:val="none" w:sz="0" w:space="0" w:color="auto"/>
      </w:divBdr>
    </w:div>
    <w:div w:id="1619139294">
      <w:bodyDiv w:val="1"/>
      <w:marLeft w:val="0"/>
      <w:marRight w:val="0"/>
      <w:marTop w:val="0"/>
      <w:marBottom w:val="0"/>
      <w:divBdr>
        <w:top w:val="none" w:sz="0" w:space="0" w:color="auto"/>
        <w:left w:val="none" w:sz="0" w:space="0" w:color="auto"/>
        <w:bottom w:val="none" w:sz="0" w:space="0" w:color="auto"/>
        <w:right w:val="none" w:sz="0" w:space="0" w:color="auto"/>
      </w:divBdr>
    </w:div>
    <w:div w:id="1633899553">
      <w:bodyDiv w:val="1"/>
      <w:marLeft w:val="0"/>
      <w:marRight w:val="0"/>
      <w:marTop w:val="0"/>
      <w:marBottom w:val="0"/>
      <w:divBdr>
        <w:top w:val="none" w:sz="0" w:space="0" w:color="auto"/>
        <w:left w:val="none" w:sz="0" w:space="0" w:color="auto"/>
        <w:bottom w:val="none" w:sz="0" w:space="0" w:color="auto"/>
        <w:right w:val="none" w:sz="0" w:space="0" w:color="auto"/>
      </w:divBdr>
    </w:div>
    <w:div w:id="1637642783">
      <w:bodyDiv w:val="1"/>
      <w:marLeft w:val="0"/>
      <w:marRight w:val="0"/>
      <w:marTop w:val="0"/>
      <w:marBottom w:val="0"/>
      <w:divBdr>
        <w:top w:val="none" w:sz="0" w:space="0" w:color="auto"/>
        <w:left w:val="none" w:sz="0" w:space="0" w:color="auto"/>
        <w:bottom w:val="none" w:sz="0" w:space="0" w:color="auto"/>
        <w:right w:val="none" w:sz="0" w:space="0" w:color="auto"/>
      </w:divBdr>
    </w:div>
    <w:div w:id="1642735291">
      <w:bodyDiv w:val="1"/>
      <w:marLeft w:val="0"/>
      <w:marRight w:val="0"/>
      <w:marTop w:val="0"/>
      <w:marBottom w:val="0"/>
      <w:divBdr>
        <w:top w:val="none" w:sz="0" w:space="0" w:color="auto"/>
        <w:left w:val="none" w:sz="0" w:space="0" w:color="auto"/>
        <w:bottom w:val="none" w:sz="0" w:space="0" w:color="auto"/>
        <w:right w:val="none" w:sz="0" w:space="0" w:color="auto"/>
      </w:divBdr>
    </w:div>
    <w:div w:id="1643537277">
      <w:bodyDiv w:val="1"/>
      <w:marLeft w:val="0"/>
      <w:marRight w:val="0"/>
      <w:marTop w:val="0"/>
      <w:marBottom w:val="0"/>
      <w:divBdr>
        <w:top w:val="none" w:sz="0" w:space="0" w:color="auto"/>
        <w:left w:val="none" w:sz="0" w:space="0" w:color="auto"/>
        <w:bottom w:val="none" w:sz="0" w:space="0" w:color="auto"/>
        <w:right w:val="none" w:sz="0" w:space="0" w:color="auto"/>
      </w:divBdr>
    </w:div>
    <w:div w:id="1651402794">
      <w:bodyDiv w:val="1"/>
      <w:marLeft w:val="0"/>
      <w:marRight w:val="0"/>
      <w:marTop w:val="0"/>
      <w:marBottom w:val="0"/>
      <w:divBdr>
        <w:top w:val="none" w:sz="0" w:space="0" w:color="auto"/>
        <w:left w:val="none" w:sz="0" w:space="0" w:color="auto"/>
        <w:bottom w:val="none" w:sz="0" w:space="0" w:color="auto"/>
        <w:right w:val="none" w:sz="0" w:space="0" w:color="auto"/>
      </w:divBdr>
    </w:div>
    <w:div w:id="1658997396">
      <w:bodyDiv w:val="1"/>
      <w:marLeft w:val="0"/>
      <w:marRight w:val="0"/>
      <w:marTop w:val="0"/>
      <w:marBottom w:val="0"/>
      <w:divBdr>
        <w:top w:val="none" w:sz="0" w:space="0" w:color="auto"/>
        <w:left w:val="none" w:sz="0" w:space="0" w:color="auto"/>
        <w:bottom w:val="none" w:sz="0" w:space="0" w:color="auto"/>
        <w:right w:val="none" w:sz="0" w:space="0" w:color="auto"/>
      </w:divBdr>
    </w:div>
    <w:div w:id="1775975558">
      <w:bodyDiv w:val="1"/>
      <w:marLeft w:val="0"/>
      <w:marRight w:val="0"/>
      <w:marTop w:val="0"/>
      <w:marBottom w:val="0"/>
      <w:divBdr>
        <w:top w:val="none" w:sz="0" w:space="0" w:color="auto"/>
        <w:left w:val="none" w:sz="0" w:space="0" w:color="auto"/>
        <w:bottom w:val="none" w:sz="0" w:space="0" w:color="auto"/>
        <w:right w:val="none" w:sz="0" w:space="0" w:color="auto"/>
      </w:divBdr>
    </w:div>
    <w:div w:id="1803765582">
      <w:bodyDiv w:val="1"/>
      <w:marLeft w:val="0"/>
      <w:marRight w:val="0"/>
      <w:marTop w:val="0"/>
      <w:marBottom w:val="0"/>
      <w:divBdr>
        <w:top w:val="none" w:sz="0" w:space="0" w:color="auto"/>
        <w:left w:val="none" w:sz="0" w:space="0" w:color="auto"/>
        <w:bottom w:val="none" w:sz="0" w:space="0" w:color="auto"/>
        <w:right w:val="none" w:sz="0" w:space="0" w:color="auto"/>
      </w:divBdr>
    </w:div>
    <w:div w:id="1817185174">
      <w:bodyDiv w:val="1"/>
      <w:marLeft w:val="0"/>
      <w:marRight w:val="0"/>
      <w:marTop w:val="0"/>
      <w:marBottom w:val="0"/>
      <w:divBdr>
        <w:top w:val="none" w:sz="0" w:space="0" w:color="auto"/>
        <w:left w:val="none" w:sz="0" w:space="0" w:color="auto"/>
        <w:bottom w:val="none" w:sz="0" w:space="0" w:color="auto"/>
        <w:right w:val="none" w:sz="0" w:space="0" w:color="auto"/>
      </w:divBdr>
    </w:div>
    <w:div w:id="1836606469">
      <w:bodyDiv w:val="1"/>
      <w:marLeft w:val="0"/>
      <w:marRight w:val="0"/>
      <w:marTop w:val="0"/>
      <w:marBottom w:val="0"/>
      <w:divBdr>
        <w:top w:val="none" w:sz="0" w:space="0" w:color="auto"/>
        <w:left w:val="none" w:sz="0" w:space="0" w:color="auto"/>
        <w:bottom w:val="none" w:sz="0" w:space="0" w:color="auto"/>
        <w:right w:val="none" w:sz="0" w:space="0" w:color="auto"/>
      </w:divBdr>
    </w:div>
    <w:div w:id="1836872884">
      <w:bodyDiv w:val="1"/>
      <w:marLeft w:val="0"/>
      <w:marRight w:val="0"/>
      <w:marTop w:val="0"/>
      <w:marBottom w:val="0"/>
      <w:divBdr>
        <w:top w:val="none" w:sz="0" w:space="0" w:color="auto"/>
        <w:left w:val="none" w:sz="0" w:space="0" w:color="auto"/>
        <w:bottom w:val="none" w:sz="0" w:space="0" w:color="auto"/>
        <w:right w:val="none" w:sz="0" w:space="0" w:color="auto"/>
      </w:divBdr>
    </w:div>
    <w:div w:id="1872721567">
      <w:bodyDiv w:val="1"/>
      <w:marLeft w:val="0"/>
      <w:marRight w:val="0"/>
      <w:marTop w:val="0"/>
      <w:marBottom w:val="0"/>
      <w:divBdr>
        <w:top w:val="none" w:sz="0" w:space="0" w:color="auto"/>
        <w:left w:val="none" w:sz="0" w:space="0" w:color="auto"/>
        <w:bottom w:val="none" w:sz="0" w:space="0" w:color="auto"/>
        <w:right w:val="none" w:sz="0" w:space="0" w:color="auto"/>
      </w:divBdr>
    </w:div>
    <w:div w:id="1896620044">
      <w:bodyDiv w:val="1"/>
      <w:marLeft w:val="0"/>
      <w:marRight w:val="0"/>
      <w:marTop w:val="0"/>
      <w:marBottom w:val="0"/>
      <w:divBdr>
        <w:top w:val="none" w:sz="0" w:space="0" w:color="auto"/>
        <w:left w:val="none" w:sz="0" w:space="0" w:color="auto"/>
        <w:bottom w:val="none" w:sz="0" w:space="0" w:color="auto"/>
        <w:right w:val="none" w:sz="0" w:space="0" w:color="auto"/>
      </w:divBdr>
    </w:div>
    <w:div w:id="1922642563">
      <w:bodyDiv w:val="1"/>
      <w:marLeft w:val="0"/>
      <w:marRight w:val="0"/>
      <w:marTop w:val="0"/>
      <w:marBottom w:val="0"/>
      <w:divBdr>
        <w:top w:val="none" w:sz="0" w:space="0" w:color="auto"/>
        <w:left w:val="none" w:sz="0" w:space="0" w:color="auto"/>
        <w:bottom w:val="none" w:sz="0" w:space="0" w:color="auto"/>
        <w:right w:val="none" w:sz="0" w:space="0" w:color="auto"/>
      </w:divBdr>
    </w:div>
    <w:div w:id="1931884558">
      <w:bodyDiv w:val="1"/>
      <w:marLeft w:val="0"/>
      <w:marRight w:val="0"/>
      <w:marTop w:val="0"/>
      <w:marBottom w:val="0"/>
      <w:divBdr>
        <w:top w:val="none" w:sz="0" w:space="0" w:color="auto"/>
        <w:left w:val="none" w:sz="0" w:space="0" w:color="auto"/>
        <w:bottom w:val="none" w:sz="0" w:space="0" w:color="auto"/>
        <w:right w:val="none" w:sz="0" w:space="0" w:color="auto"/>
      </w:divBdr>
    </w:div>
    <w:div w:id="1932468127">
      <w:bodyDiv w:val="1"/>
      <w:marLeft w:val="0"/>
      <w:marRight w:val="0"/>
      <w:marTop w:val="0"/>
      <w:marBottom w:val="0"/>
      <w:divBdr>
        <w:top w:val="none" w:sz="0" w:space="0" w:color="auto"/>
        <w:left w:val="none" w:sz="0" w:space="0" w:color="auto"/>
        <w:bottom w:val="none" w:sz="0" w:space="0" w:color="auto"/>
        <w:right w:val="none" w:sz="0" w:space="0" w:color="auto"/>
      </w:divBdr>
      <w:divsChild>
        <w:div w:id="267977991">
          <w:marLeft w:val="0"/>
          <w:marRight w:val="0"/>
          <w:marTop w:val="0"/>
          <w:marBottom w:val="0"/>
          <w:divBdr>
            <w:top w:val="none" w:sz="0" w:space="0" w:color="auto"/>
            <w:left w:val="none" w:sz="0" w:space="0" w:color="auto"/>
            <w:bottom w:val="none" w:sz="0" w:space="0" w:color="auto"/>
            <w:right w:val="none" w:sz="0" w:space="0" w:color="auto"/>
          </w:divBdr>
          <w:divsChild>
            <w:div w:id="1539589479">
              <w:marLeft w:val="0"/>
              <w:marRight w:val="0"/>
              <w:marTop w:val="0"/>
              <w:marBottom w:val="0"/>
              <w:divBdr>
                <w:top w:val="none" w:sz="0" w:space="0" w:color="auto"/>
                <w:left w:val="none" w:sz="0" w:space="0" w:color="auto"/>
                <w:bottom w:val="none" w:sz="0" w:space="0" w:color="auto"/>
                <w:right w:val="none" w:sz="0" w:space="0" w:color="auto"/>
              </w:divBdr>
              <w:divsChild>
                <w:div w:id="235168140">
                  <w:marLeft w:val="0"/>
                  <w:marRight w:val="0"/>
                  <w:marTop w:val="0"/>
                  <w:marBottom w:val="0"/>
                  <w:divBdr>
                    <w:top w:val="none" w:sz="0" w:space="0" w:color="auto"/>
                    <w:left w:val="none" w:sz="0" w:space="0" w:color="auto"/>
                    <w:bottom w:val="none" w:sz="0" w:space="0" w:color="auto"/>
                    <w:right w:val="none" w:sz="0" w:space="0" w:color="auto"/>
                  </w:divBdr>
                  <w:divsChild>
                    <w:div w:id="1614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0552">
      <w:bodyDiv w:val="1"/>
      <w:marLeft w:val="0"/>
      <w:marRight w:val="0"/>
      <w:marTop w:val="0"/>
      <w:marBottom w:val="0"/>
      <w:divBdr>
        <w:top w:val="none" w:sz="0" w:space="0" w:color="auto"/>
        <w:left w:val="none" w:sz="0" w:space="0" w:color="auto"/>
        <w:bottom w:val="none" w:sz="0" w:space="0" w:color="auto"/>
        <w:right w:val="none" w:sz="0" w:space="0" w:color="auto"/>
      </w:divBdr>
    </w:div>
    <w:div w:id="1944604384">
      <w:bodyDiv w:val="1"/>
      <w:marLeft w:val="0"/>
      <w:marRight w:val="0"/>
      <w:marTop w:val="0"/>
      <w:marBottom w:val="0"/>
      <w:divBdr>
        <w:top w:val="none" w:sz="0" w:space="0" w:color="auto"/>
        <w:left w:val="none" w:sz="0" w:space="0" w:color="auto"/>
        <w:bottom w:val="none" w:sz="0" w:space="0" w:color="auto"/>
        <w:right w:val="none" w:sz="0" w:space="0" w:color="auto"/>
      </w:divBdr>
    </w:div>
    <w:div w:id="1960138372">
      <w:bodyDiv w:val="1"/>
      <w:marLeft w:val="0"/>
      <w:marRight w:val="0"/>
      <w:marTop w:val="0"/>
      <w:marBottom w:val="0"/>
      <w:divBdr>
        <w:top w:val="none" w:sz="0" w:space="0" w:color="auto"/>
        <w:left w:val="none" w:sz="0" w:space="0" w:color="auto"/>
        <w:bottom w:val="none" w:sz="0" w:space="0" w:color="auto"/>
        <w:right w:val="none" w:sz="0" w:space="0" w:color="auto"/>
      </w:divBdr>
    </w:div>
    <w:div w:id="2002079880">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 w:id="2125227769">
      <w:bodyDiv w:val="1"/>
      <w:marLeft w:val="0"/>
      <w:marRight w:val="0"/>
      <w:marTop w:val="0"/>
      <w:marBottom w:val="0"/>
      <w:divBdr>
        <w:top w:val="none" w:sz="0" w:space="0" w:color="auto"/>
        <w:left w:val="none" w:sz="0" w:space="0" w:color="auto"/>
        <w:bottom w:val="none" w:sz="0" w:space="0" w:color="auto"/>
        <w:right w:val="none" w:sz="0" w:space="0" w:color="auto"/>
      </w:divBdr>
      <w:divsChild>
        <w:div w:id="1948191321">
          <w:marLeft w:val="0"/>
          <w:marRight w:val="0"/>
          <w:marTop w:val="0"/>
          <w:marBottom w:val="0"/>
          <w:divBdr>
            <w:top w:val="none" w:sz="0" w:space="0" w:color="auto"/>
            <w:left w:val="none" w:sz="0" w:space="0" w:color="auto"/>
            <w:bottom w:val="none" w:sz="0" w:space="0" w:color="auto"/>
            <w:right w:val="none" w:sz="0" w:space="0" w:color="auto"/>
          </w:divBdr>
        </w:div>
      </w:divsChild>
    </w:div>
    <w:div w:id="2125540758">
      <w:bodyDiv w:val="1"/>
      <w:marLeft w:val="0"/>
      <w:marRight w:val="0"/>
      <w:marTop w:val="0"/>
      <w:marBottom w:val="0"/>
      <w:divBdr>
        <w:top w:val="none" w:sz="0" w:space="0" w:color="auto"/>
        <w:left w:val="none" w:sz="0" w:space="0" w:color="auto"/>
        <w:bottom w:val="none" w:sz="0" w:space="0" w:color="auto"/>
        <w:right w:val="none" w:sz="0" w:space="0" w:color="auto"/>
      </w:divBdr>
    </w:div>
    <w:div w:id="2137530300">
      <w:bodyDiv w:val="1"/>
      <w:marLeft w:val="0"/>
      <w:marRight w:val="0"/>
      <w:marTop w:val="0"/>
      <w:marBottom w:val="0"/>
      <w:divBdr>
        <w:top w:val="none" w:sz="0" w:space="0" w:color="auto"/>
        <w:left w:val="none" w:sz="0" w:space="0" w:color="auto"/>
        <w:bottom w:val="none" w:sz="0" w:space="0" w:color="auto"/>
        <w:right w:val="none" w:sz="0" w:space="0" w:color="auto"/>
      </w:divBdr>
    </w:div>
    <w:div w:id="21471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3-en.pdf"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334415495" TargetMode="External"/><Relationship Id="rId13" Type="http://schemas.openxmlformats.org/officeDocument/2006/relationships/hyperlink" Target="https://www.genome.jp/kegg/pathway.html" TargetMode="External"/><Relationship Id="rId3" Type="http://schemas.openxmlformats.org/officeDocument/2006/relationships/hyperlink" Target="https://dictionary.cambridge.org/dictionary/english/achieve" TargetMode="External"/><Relationship Id="rId7" Type="http://schemas.openxmlformats.org/officeDocument/2006/relationships/hyperlink" Target="https://ec.europa.eu/environment/nature/biodiversity/international/abs/pdf/Register-of-Collections.pdf" TargetMode="External"/><Relationship Id="rId12" Type="http://schemas.openxmlformats.org/officeDocument/2006/relationships/hyperlink" Target="https://blast.ncbi.nlm.nih.gov/Blast.cgi" TargetMode="External"/><Relationship Id="rId17" Type="http://schemas.openxmlformats.org/officeDocument/2006/relationships/hyperlink" Target="https://theconversation.com/for-native-americans-us-mexico-border-is-an-imaginary-line-111043" TargetMode="External"/><Relationship Id="rId2" Type="http://schemas.openxmlformats.org/officeDocument/2006/relationships/hyperlink" Target="https://dictionary.cambridge.org/dictionary/english/able" TargetMode="External"/><Relationship Id="rId16" Type="http://schemas.openxmlformats.org/officeDocument/2006/relationships/hyperlink" Target="https://e360.yale.edu/features/indigenous-maize-who-owns-the-rights-to-mexicos-wonder-plant" TargetMode="External"/><Relationship Id="rId1" Type="http://schemas.openxmlformats.org/officeDocument/2006/relationships/hyperlink" Target="https://www.cbd.int/abs/art10/2019-2020/study.shtml" TargetMode="External"/><Relationship Id="rId6" Type="http://schemas.openxmlformats.org/officeDocument/2006/relationships/hyperlink" Target="https://doi.org/10.1093/femsle/fnaa044" TargetMode="External"/><Relationship Id="rId11" Type="http://schemas.openxmlformats.org/officeDocument/2006/relationships/hyperlink" Target="https://blast.ncbi.nlm.nih.gov/Blast.cgi" TargetMode="External"/><Relationship Id="rId5" Type="http://schemas.openxmlformats.org/officeDocument/2006/relationships/hyperlink" Target="https://dictionary.cambridge.org/dictionary/english/exist" TargetMode="External"/><Relationship Id="rId15" Type="http://schemas.openxmlformats.org/officeDocument/2006/relationships/hyperlink" Target="http://geneontology.org/" TargetMode="External"/><Relationship Id="rId10" Type="http://schemas.openxmlformats.org/officeDocument/2006/relationships/hyperlink" Target="https://www.earthbiogenome.org/" TargetMode="External"/><Relationship Id="rId4" Type="http://schemas.openxmlformats.org/officeDocument/2006/relationships/hyperlink" Target="https://dictionary.cambridge.org/dictionary/english/able"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ature.com/articles/nrg31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51FA5095394A22B6286ABC61933FFB"/>
        <w:category>
          <w:name w:val="General"/>
          <w:gallery w:val="placeholder"/>
        </w:category>
        <w:types>
          <w:type w:val="bbPlcHdr"/>
        </w:types>
        <w:behaviors>
          <w:behavior w:val="content"/>
        </w:behaviors>
        <w:guid w:val="{C5DE62DC-BC67-46B7-88A5-B4D9688A6561}"/>
      </w:docPartPr>
      <w:docPartBody>
        <w:p w:rsidR="0038506F" w:rsidRDefault="008049D9" w:rsidP="008049D9">
          <w:pPr>
            <w:pStyle w:val="8551FA5095394A22B6286ABC61933FFB"/>
          </w:pPr>
          <w:r w:rsidRPr="007E02EB">
            <w:rPr>
              <w:rStyle w:val="PlaceholderText"/>
            </w:rPr>
            <w:t>[Title]</w:t>
          </w:r>
        </w:p>
      </w:docPartBody>
    </w:docPart>
    <w:docPart>
      <w:docPartPr>
        <w:name w:val="AF7956A100824BCC9FA96850A1F70DC6"/>
        <w:category>
          <w:name w:val="General"/>
          <w:gallery w:val="placeholder"/>
        </w:category>
        <w:types>
          <w:type w:val="bbPlcHdr"/>
        </w:types>
        <w:behaviors>
          <w:behavior w:val="content"/>
        </w:behaviors>
        <w:guid w:val="{EDED9725-2578-49F0-947F-F22A5575C408}"/>
      </w:docPartPr>
      <w:docPartBody>
        <w:p w:rsidR="00E37392" w:rsidRDefault="00FA0455" w:rsidP="00FA0455">
          <w:pPr>
            <w:pStyle w:val="AF7956A100824BCC9FA96850A1F70D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D9"/>
    <w:rsid w:val="00065352"/>
    <w:rsid w:val="000A7F5A"/>
    <w:rsid w:val="000B1D95"/>
    <w:rsid w:val="001D092B"/>
    <w:rsid w:val="00207F71"/>
    <w:rsid w:val="0038506F"/>
    <w:rsid w:val="004555BE"/>
    <w:rsid w:val="004737EF"/>
    <w:rsid w:val="005638CB"/>
    <w:rsid w:val="00584B79"/>
    <w:rsid w:val="007B638B"/>
    <w:rsid w:val="008049D9"/>
    <w:rsid w:val="0095047F"/>
    <w:rsid w:val="00AE3EB5"/>
    <w:rsid w:val="00BB647B"/>
    <w:rsid w:val="00D80F67"/>
    <w:rsid w:val="00DD4ADB"/>
    <w:rsid w:val="00E37392"/>
    <w:rsid w:val="00E40EA7"/>
    <w:rsid w:val="00FA0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A0455"/>
    <w:rPr>
      <w:color w:val="808080"/>
    </w:rPr>
  </w:style>
  <w:style w:type="paragraph" w:customStyle="1" w:styleId="0E173F00931E406D9067A68B5119509B">
    <w:name w:val="0E173F00931E406D9067A68B5119509B"/>
    <w:rsid w:val="008049D9"/>
  </w:style>
  <w:style w:type="paragraph" w:customStyle="1" w:styleId="8551FA5095394A22B6286ABC61933FFB">
    <w:name w:val="8551FA5095394A22B6286ABC61933FFB"/>
    <w:rsid w:val="008049D9"/>
  </w:style>
  <w:style w:type="paragraph" w:customStyle="1" w:styleId="6CF4517D7DAA4568A5EE5E50346EAE05">
    <w:name w:val="6CF4517D7DAA4568A5EE5E50346EAE05"/>
    <w:rsid w:val="008049D9"/>
  </w:style>
  <w:style w:type="paragraph" w:customStyle="1" w:styleId="3642DF81E1554BC8A85CB6CEA203C795">
    <w:name w:val="3642DF81E1554BC8A85CB6CEA203C795"/>
    <w:rsid w:val="00FA0455"/>
  </w:style>
  <w:style w:type="paragraph" w:customStyle="1" w:styleId="AF7956A100824BCC9FA96850A1F70DC6">
    <w:name w:val="AF7956A100824BCC9FA96850A1F70DC6"/>
    <w:rsid w:val="00FA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C6C1-4A5F-4996-BD96-03994607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1CEE5-822A-4770-B690-0D433A4EA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0B027-B600-48F5-8BFC-58BEF26B2593}">
  <ds:schemaRefs>
    <ds:schemaRef ds:uri="http://schemas.microsoft.com/sharepoint/v3/contenttype/forms"/>
  </ds:schemaRefs>
</ds:datastoreItem>
</file>

<file path=customXml/itemProps4.xml><?xml version="1.0" encoding="utf-8"?>
<ds:datastoreItem xmlns:ds="http://schemas.openxmlformats.org/officeDocument/2006/customXml" ds:itemID="{12886AC6-0C87-453E-9130-5F9D007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15197</Words>
  <Characters>86626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Study to identify specific cases of genetic resources and traditional knowledge associated with genetic resources that occur in transboundary situations or for which It is not possible to grant or obtain prior informed consent</vt:lpstr>
    </vt:vector>
  </TitlesOfParts>
  <Company>Emory University</Company>
  <LinksUpToDate>false</LinksUpToDate>
  <CharactersWithSpaces>101620</CharactersWithSpaces>
  <SharedDoc>false</SharedDoc>
  <HLinks>
    <vt:vector size="204" baseType="variant">
      <vt:variant>
        <vt:i4>1441846</vt:i4>
      </vt:variant>
      <vt:variant>
        <vt:i4>104</vt:i4>
      </vt:variant>
      <vt:variant>
        <vt:i4>0</vt:i4>
      </vt:variant>
      <vt:variant>
        <vt:i4>5</vt:i4>
      </vt:variant>
      <vt:variant>
        <vt:lpwstr/>
      </vt:variant>
      <vt:variant>
        <vt:lpwstr>_Toc43057750</vt:lpwstr>
      </vt:variant>
      <vt:variant>
        <vt:i4>2031671</vt:i4>
      </vt:variant>
      <vt:variant>
        <vt:i4>98</vt:i4>
      </vt:variant>
      <vt:variant>
        <vt:i4>0</vt:i4>
      </vt:variant>
      <vt:variant>
        <vt:i4>5</vt:i4>
      </vt:variant>
      <vt:variant>
        <vt:lpwstr/>
      </vt:variant>
      <vt:variant>
        <vt:lpwstr>_Toc43057749</vt:lpwstr>
      </vt:variant>
      <vt:variant>
        <vt:i4>1966135</vt:i4>
      </vt:variant>
      <vt:variant>
        <vt:i4>92</vt:i4>
      </vt:variant>
      <vt:variant>
        <vt:i4>0</vt:i4>
      </vt:variant>
      <vt:variant>
        <vt:i4>5</vt:i4>
      </vt:variant>
      <vt:variant>
        <vt:lpwstr/>
      </vt:variant>
      <vt:variant>
        <vt:lpwstr>_Toc43057748</vt:lpwstr>
      </vt:variant>
      <vt:variant>
        <vt:i4>1114167</vt:i4>
      </vt:variant>
      <vt:variant>
        <vt:i4>86</vt:i4>
      </vt:variant>
      <vt:variant>
        <vt:i4>0</vt:i4>
      </vt:variant>
      <vt:variant>
        <vt:i4>5</vt:i4>
      </vt:variant>
      <vt:variant>
        <vt:lpwstr/>
      </vt:variant>
      <vt:variant>
        <vt:lpwstr>_Toc43057747</vt:lpwstr>
      </vt:variant>
      <vt:variant>
        <vt:i4>1048631</vt:i4>
      </vt:variant>
      <vt:variant>
        <vt:i4>80</vt:i4>
      </vt:variant>
      <vt:variant>
        <vt:i4>0</vt:i4>
      </vt:variant>
      <vt:variant>
        <vt:i4>5</vt:i4>
      </vt:variant>
      <vt:variant>
        <vt:lpwstr/>
      </vt:variant>
      <vt:variant>
        <vt:lpwstr>_Toc43057746</vt:lpwstr>
      </vt:variant>
      <vt:variant>
        <vt:i4>1245239</vt:i4>
      </vt:variant>
      <vt:variant>
        <vt:i4>74</vt:i4>
      </vt:variant>
      <vt:variant>
        <vt:i4>0</vt:i4>
      </vt:variant>
      <vt:variant>
        <vt:i4>5</vt:i4>
      </vt:variant>
      <vt:variant>
        <vt:lpwstr/>
      </vt:variant>
      <vt:variant>
        <vt:lpwstr>_Toc43057745</vt:lpwstr>
      </vt:variant>
      <vt:variant>
        <vt:i4>1179703</vt:i4>
      </vt:variant>
      <vt:variant>
        <vt:i4>68</vt:i4>
      </vt:variant>
      <vt:variant>
        <vt:i4>0</vt:i4>
      </vt:variant>
      <vt:variant>
        <vt:i4>5</vt:i4>
      </vt:variant>
      <vt:variant>
        <vt:lpwstr/>
      </vt:variant>
      <vt:variant>
        <vt:lpwstr>_Toc43057744</vt:lpwstr>
      </vt:variant>
      <vt:variant>
        <vt:i4>1376311</vt:i4>
      </vt:variant>
      <vt:variant>
        <vt:i4>62</vt:i4>
      </vt:variant>
      <vt:variant>
        <vt:i4>0</vt:i4>
      </vt:variant>
      <vt:variant>
        <vt:i4>5</vt:i4>
      </vt:variant>
      <vt:variant>
        <vt:lpwstr/>
      </vt:variant>
      <vt:variant>
        <vt:lpwstr>_Toc43057743</vt:lpwstr>
      </vt:variant>
      <vt:variant>
        <vt:i4>1310775</vt:i4>
      </vt:variant>
      <vt:variant>
        <vt:i4>56</vt:i4>
      </vt:variant>
      <vt:variant>
        <vt:i4>0</vt:i4>
      </vt:variant>
      <vt:variant>
        <vt:i4>5</vt:i4>
      </vt:variant>
      <vt:variant>
        <vt:lpwstr/>
      </vt:variant>
      <vt:variant>
        <vt:lpwstr>_Toc43057742</vt:lpwstr>
      </vt:variant>
      <vt:variant>
        <vt:i4>1507383</vt:i4>
      </vt:variant>
      <vt:variant>
        <vt:i4>50</vt:i4>
      </vt:variant>
      <vt:variant>
        <vt:i4>0</vt:i4>
      </vt:variant>
      <vt:variant>
        <vt:i4>5</vt:i4>
      </vt:variant>
      <vt:variant>
        <vt:lpwstr/>
      </vt:variant>
      <vt:variant>
        <vt:lpwstr>_Toc43057741</vt:lpwstr>
      </vt:variant>
      <vt:variant>
        <vt:i4>1441847</vt:i4>
      </vt:variant>
      <vt:variant>
        <vt:i4>44</vt:i4>
      </vt:variant>
      <vt:variant>
        <vt:i4>0</vt:i4>
      </vt:variant>
      <vt:variant>
        <vt:i4>5</vt:i4>
      </vt:variant>
      <vt:variant>
        <vt:lpwstr/>
      </vt:variant>
      <vt:variant>
        <vt:lpwstr>_Toc43057740</vt:lpwstr>
      </vt:variant>
      <vt:variant>
        <vt:i4>2031664</vt:i4>
      </vt:variant>
      <vt:variant>
        <vt:i4>38</vt:i4>
      </vt:variant>
      <vt:variant>
        <vt:i4>0</vt:i4>
      </vt:variant>
      <vt:variant>
        <vt:i4>5</vt:i4>
      </vt:variant>
      <vt:variant>
        <vt:lpwstr/>
      </vt:variant>
      <vt:variant>
        <vt:lpwstr>_Toc43057739</vt:lpwstr>
      </vt:variant>
      <vt:variant>
        <vt:i4>1966128</vt:i4>
      </vt:variant>
      <vt:variant>
        <vt:i4>32</vt:i4>
      </vt:variant>
      <vt:variant>
        <vt:i4>0</vt:i4>
      </vt:variant>
      <vt:variant>
        <vt:i4>5</vt:i4>
      </vt:variant>
      <vt:variant>
        <vt:lpwstr/>
      </vt:variant>
      <vt:variant>
        <vt:lpwstr>_Toc43057738</vt:lpwstr>
      </vt:variant>
      <vt:variant>
        <vt:i4>1114160</vt:i4>
      </vt:variant>
      <vt:variant>
        <vt:i4>26</vt:i4>
      </vt:variant>
      <vt:variant>
        <vt:i4>0</vt:i4>
      </vt:variant>
      <vt:variant>
        <vt:i4>5</vt:i4>
      </vt:variant>
      <vt:variant>
        <vt:lpwstr/>
      </vt:variant>
      <vt:variant>
        <vt:lpwstr>_Toc43057737</vt:lpwstr>
      </vt:variant>
      <vt:variant>
        <vt:i4>1048624</vt:i4>
      </vt:variant>
      <vt:variant>
        <vt:i4>20</vt:i4>
      </vt:variant>
      <vt:variant>
        <vt:i4>0</vt:i4>
      </vt:variant>
      <vt:variant>
        <vt:i4>5</vt:i4>
      </vt:variant>
      <vt:variant>
        <vt:lpwstr/>
      </vt:variant>
      <vt:variant>
        <vt:lpwstr>_Toc43057736</vt:lpwstr>
      </vt:variant>
      <vt:variant>
        <vt:i4>1245232</vt:i4>
      </vt:variant>
      <vt:variant>
        <vt:i4>14</vt:i4>
      </vt:variant>
      <vt:variant>
        <vt:i4>0</vt:i4>
      </vt:variant>
      <vt:variant>
        <vt:i4>5</vt:i4>
      </vt:variant>
      <vt:variant>
        <vt:lpwstr/>
      </vt:variant>
      <vt:variant>
        <vt:lpwstr>_Toc43057735</vt:lpwstr>
      </vt:variant>
      <vt:variant>
        <vt:i4>1179696</vt:i4>
      </vt:variant>
      <vt:variant>
        <vt:i4>8</vt:i4>
      </vt:variant>
      <vt:variant>
        <vt:i4>0</vt:i4>
      </vt:variant>
      <vt:variant>
        <vt:i4>5</vt:i4>
      </vt:variant>
      <vt:variant>
        <vt:lpwstr/>
      </vt:variant>
      <vt:variant>
        <vt:lpwstr>_Toc43057734</vt:lpwstr>
      </vt:variant>
      <vt:variant>
        <vt:i4>1376304</vt:i4>
      </vt:variant>
      <vt:variant>
        <vt:i4>2</vt:i4>
      </vt:variant>
      <vt:variant>
        <vt:i4>0</vt:i4>
      </vt:variant>
      <vt:variant>
        <vt:i4>5</vt:i4>
      </vt:variant>
      <vt:variant>
        <vt:lpwstr/>
      </vt:variant>
      <vt:variant>
        <vt:lpwstr>_Toc43057733</vt:lpwstr>
      </vt:variant>
      <vt:variant>
        <vt:i4>1572884</vt:i4>
      </vt:variant>
      <vt:variant>
        <vt:i4>393</vt:i4>
      </vt:variant>
      <vt:variant>
        <vt:i4>0</vt:i4>
      </vt:variant>
      <vt:variant>
        <vt:i4>5</vt:i4>
      </vt:variant>
      <vt:variant>
        <vt:lpwstr>https://theconversation.com/for-native-americans-us-mexico-border-is-an-imaginary-line-111043</vt:lpwstr>
      </vt:variant>
      <vt:variant>
        <vt:lpwstr/>
      </vt:variant>
      <vt:variant>
        <vt:i4>3997810</vt:i4>
      </vt:variant>
      <vt:variant>
        <vt:i4>366</vt:i4>
      </vt:variant>
      <vt:variant>
        <vt:i4>0</vt:i4>
      </vt:variant>
      <vt:variant>
        <vt:i4>5</vt:i4>
      </vt:variant>
      <vt:variant>
        <vt:lpwstr>https://e360.yale.edu/features/indigenous-maize-who-owns-the-rights-to-mexicos-wonder-plant</vt:lpwstr>
      </vt:variant>
      <vt:variant>
        <vt:lpwstr/>
      </vt:variant>
      <vt:variant>
        <vt:i4>4259862</vt:i4>
      </vt:variant>
      <vt:variant>
        <vt:i4>270</vt:i4>
      </vt:variant>
      <vt:variant>
        <vt:i4>0</vt:i4>
      </vt:variant>
      <vt:variant>
        <vt:i4>5</vt:i4>
      </vt:variant>
      <vt:variant>
        <vt:lpwstr>http://geneontology.org/</vt:lpwstr>
      </vt:variant>
      <vt:variant>
        <vt:lpwstr/>
      </vt:variant>
      <vt:variant>
        <vt:i4>8192122</vt:i4>
      </vt:variant>
      <vt:variant>
        <vt:i4>267</vt:i4>
      </vt:variant>
      <vt:variant>
        <vt:i4>0</vt:i4>
      </vt:variant>
      <vt:variant>
        <vt:i4>5</vt:i4>
      </vt:variant>
      <vt:variant>
        <vt:lpwstr>https://www.nature.com/articles/nrg3174</vt:lpwstr>
      </vt:variant>
      <vt:variant>
        <vt:lpwstr/>
      </vt:variant>
      <vt:variant>
        <vt:i4>7274603</vt:i4>
      </vt:variant>
      <vt:variant>
        <vt:i4>264</vt:i4>
      </vt:variant>
      <vt:variant>
        <vt:i4>0</vt:i4>
      </vt:variant>
      <vt:variant>
        <vt:i4>5</vt:i4>
      </vt:variant>
      <vt:variant>
        <vt:lpwstr>https://www.genome.jp/kegg/pathway.html</vt:lpwstr>
      </vt:variant>
      <vt:variant>
        <vt:lpwstr/>
      </vt:variant>
      <vt:variant>
        <vt:i4>4390918</vt:i4>
      </vt:variant>
      <vt:variant>
        <vt:i4>258</vt:i4>
      </vt:variant>
      <vt:variant>
        <vt:i4>0</vt:i4>
      </vt:variant>
      <vt:variant>
        <vt:i4>5</vt:i4>
      </vt:variant>
      <vt:variant>
        <vt:lpwstr>https://blast.ncbi.nlm.nih.gov/Blast.cgi</vt:lpwstr>
      </vt:variant>
      <vt:variant>
        <vt:lpwstr/>
      </vt:variant>
      <vt:variant>
        <vt:i4>4390918</vt:i4>
      </vt:variant>
      <vt:variant>
        <vt:i4>255</vt:i4>
      </vt:variant>
      <vt:variant>
        <vt:i4>0</vt:i4>
      </vt:variant>
      <vt:variant>
        <vt:i4>5</vt:i4>
      </vt:variant>
      <vt:variant>
        <vt:lpwstr>https://blast.ncbi.nlm.nih.gov/Blast.cgi</vt:lpwstr>
      </vt:variant>
      <vt:variant>
        <vt:lpwstr/>
      </vt:variant>
      <vt:variant>
        <vt:i4>3604590</vt:i4>
      </vt:variant>
      <vt:variant>
        <vt:i4>246</vt:i4>
      </vt:variant>
      <vt:variant>
        <vt:i4>0</vt:i4>
      </vt:variant>
      <vt:variant>
        <vt:i4>5</vt:i4>
      </vt:variant>
      <vt:variant>
        <vt:lpwstr>https://www.earthbiogenome.org/</vt:lpwstr>
      </vt:variant>
      <vt:variant>
        <vt:lpwstr/>
      </vt:variant>
      <vt:variant>
        <vt:i4>1441800</vt:i4>
      </vt:variant>
      <vt:variant>
        <vt:i4>243</vt:i4>
      </vt:variant>
      <vt:variant>
        <vt:i4>0</vt:i4>
      </vt:variant>
      <vt:variant>
        <vt:i4>5</vt:i4>
      </vt:variant>
      <vt:variant>
        <vt:lpwstr>https://www.ncbi.nlm.nih.gov/genbank/statistics/</vt:lpwstr>
      </vt:variant>
      <vt:variant>
        <vt:lpwstr/>
      </vt:variant>
      <vt:variant>
        <vt:i4>6684785</vt:i4>
      </vt:variant>
      <vt:variant>
        <vt:i4>198</vt:i4>
      </vt:variant>
      <vt:variant>
        <vt:i4>0</vt:i4>
      </vt:variant>
      <vt:variant>
        <vt:i4>5</vt:i4>
      </vt:variant>
      <vt:variant>
        <vt:lpwstr>https://www.researchgate.net/publication/334415495</vt:lpwstr>
      </vt:variant>
      <vt:variant>
        <vt:lpwstr/>
      </vt:variant>
      <vt:variant>
        <vt:i4>3342453</vt:i4>
      </vt:variant>
      <vt:variant>
        <vt:i4>180</vt:i4>
      </vt:variant>
      <vt:variant>
        <vt:i4>0</vt:i4>
      </vt:variant>
      <vt:variant>
        <vt:i4>5</vt:i4>
      </vt:variant>
      <vt:variant>
        <vt:lpwstr>https://ec.europa.eu/environment/nature/biodiversity/international/abs/pdf/Register-of-Collections.pdf</vt:lpwstr>
      </vt:variant>
      <vt:variant>
        <vt:lpwstr/>
      </vt:variant>
      <vt:variant>
        <vt:i4>6946858</vt:i4>
      </vt:variant>
      <vt:variant>
        <vt:i4>174</vt:i4>
      </vt:variant>
      <vt:variant>
        <vt:i4>0</vt:i4>
      </vt:variant>
      <vt:variant>
        <vt:i4>5</vt:i4>
      </vt:variant>
      <vt:variant>
        <vt:lpwstr>https://doi.org/10.1093/femsle/fnaa044</vt:lpwstr>
      </vt:variant>
      <vt:variant>
        <vt:lpwstr/>
      </vt:variant>
      <vt:variant>
        <vt:i4>393223</vt:i4>
      </vt:variant>
      <vt:variant>
        <vt:i4>12</vt:i4>
      </vt:variant>
      <vt:variant>
        <vt:i4>0</vt:i4>
      </vt:variant>
      <vt:variant>
        <vt:i4>5</vt:i4>
      </vt:variant>
      <vt:variant>
        <vt:lpwstr>https://dictionary.cambridge.org/dictionary/english/exist</vt:lpwstr>
      </vt:variant>
      <vt:variant>
        <vt:lpwstr/>
      </vt:variant>
      <vt:variant>
        <vt:i4>655366</vt:i4>
      </vt:variant>
      <vt:variant>
        <vt:i4>9</vt:i4>
      </vt:variant>
      <vt:variant>
        <vt:i4>0</vt:i4>
      </vt:variant>
      <vt:variant>
        <vt:i4>5</vt:i4>
      </vt:variant>
      <vt:variant>
        <vt:lpwstr>https://dictionary.cambridge.org/dictionary/english/able</vt:lpwstr>
      </vt:variant>
      <vt:variant>
        <vt:lpwstr/>
      </vt:variant>
      <vt:variant>
        <vt:i4>7405671</vt:i4>
      </vt:variant>
      <vt:variant>
        <vt:i4>6</vt:i4>
      </vt:variant>
      <vt:variant>
        <vt:i4>0</vt:i4>
      </vt:variant>
      <vt:variant>
        <vt:i4>5</vt:i4>
      </vt:variant>
      <vt:variant>
        <vt:lpwstr>https://dictionary.cambridge.org/dictionary/english/achieve</vt:lpwstr>
      </vt:variant>
      <vt:variant>
        <vt:lpwstr/>
      </vt:variant>
      <vt:variant>
        <vt:i4>655366</vt:i4>
      </vt:variant>
      <vt:variant>
        <vt:i4>3</vt:i4>
      </vt:variant>
      <vt:variant>
        <vt:i4>0</vt:i4>
      </vt:variant>
      <vt:variant>
        <vt:i4>5</vt:i4>
      </vt:variant>
      <vt:variant>
        <vt:lpwstr>https://dictionary.cambridge.org/dictionary/english/able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 identify specific cases of genetic resources and traditional knowledge associated with genetic resources that occur in transboundary situations or for which It is not possible to grant or obtain prior informed consent</dc:title>
  <dc:subject>CBD/SBI/3/15/Add.1</dc:subject>
  <dc:creator>Bagley, Margo A.</dc:creator>
  <cp:keywords>Subsidiary Body on Implementation, third meeting, Convention on Biological Diversity</cp:keywords>
  <dc:description/>
  <cp:lastModifiedBy>Veronique Lefebvre</cp:lastModifiedBy>
  <cp:revision>16</cp:revision>
  <cp:lastPrinted>2020-06-04T04:39:00Z</cp:lastPrinted>
  <dcterms:created xsi:type="dcterms:W3CDTF">2020-07-23T19:39:00Z</dcterms:created>
  <dcterms:modified xsi:type="dcterms:W3CDTF">2020-08-18T14:21:00Z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onTranslation" value=""/&gt;&lt;pref name="citationSort" value=""/&gt;&lt;pref name="citationLangPrefsPersons" value="orig"/&gt;&lt;pref name="citationLangPrefsInstitutions" value="orig"/&gt;&lt;pref name="citationLangPrefsTitles" value="orig"/&gt;&lt;pref name="citationLangPrefsJourn</vt:lpwstr>
  </property>
  <property fmtid="{D5CDD505-2E9C-101B-9397-08002B2CF9AE}" pid="3" name="ZOTERO_PREF_3">
    <vt:lpwstr>als" value="orig"/&gt;&lt;pref name="citationLangPrefsPublishers" value="orig"/&gt;&lt;pref name="citationLangPrefsPlaces" value="orig"/&gt;&lt;pref name="citationAffixes" value="|||||||||||||||||||||||||||||||||||||||||||||||"/&gt;&lt;pref name="extractingLibraryName" value="No</vt:lpwstr>
  </property>
  <property fmtid="{D5CDD505-2E9C-101B-9397-08002B2CF9AE}" pid="4" name="ContentTypeId">
    <vt:lpwstr>0x01010069BFACF6D92CD24AA50050CE23F68F74</vt:lpwstr>
  </property>
  <property fmtid="{D5CDD505-2E9C-101B-9397-08002B2CF9AE}" pid="5" name="ZOTERO_PREF_4">
    <vt:lpwstr> group selected"/&gt;&lt;pref name="fieldType" value="Field"/&gt;&lt;pref name="noteType" value="1"/&gt;&lt;pref name="dontAskDelayCitationUpdates" value="true"/&gt;&lt;/prefs&gt;&lt;/data&gt;</vt:lpwstr>
  </property>
  <property fmtid="{D5CDD505-2E9C-101B-9397-08002B2CF9AE}" pid="6" name="ZOTERO_PREF_1">
    <vt:lpwstr>&lt;data data-version="3" zotero-version="5.0.85m3"&gt;&lt;session id="EURkwcX0"/&gt;&lt;style id="http://juris-m.github.io/jm-styles/jm-oscola" hasBibliography="1" bibliographyStyleHasBeenSet="0"/&gt;&lt;prefs&gt;&lt;pref name="citationTransliteration" value=""/&gt;&lt;pref name="citati</vt:lpwstr>
  </property>
</Properties>
</file>