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3B0B2F" w14:paraId="37BFB788" w14:textId="77777777" w:rsidTr="00C62006">
        <w:trPr>
          <w:trHeight w:val="709"/>
        </w:trPr>
        <w:tc>
          <w:tcPr>
            <w:tcW w:w="976" w:type="dxa"/>
            <w:tcBorders>
              <w:bottom w:val="single" w:sz="12" w:space="0" w:color="auto"/>
            </w:tcBorders>
          </w:tcPr>
          <w:p w14:paraId="6D96DC8F" w14:textId="028215A3" w:rsidR="00207A6E" w:rsidRPr="003B0B2F" w:rsidRDefault="00207A6E"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szCs w:val="22"/>
                <w:lang w:val="en-GB"/>
              </w:rPr>
            </w:pPr>
            <w:r w:rsidRPr="00CB74DE">
              <w:rPr>
                <w:noProof/>
                <w:snapToGrid w:val="0"/>
                <w:kern w:val="22"/>
                <w:sz w:val="22"/>
                <w:szCs w:val="22"/>
                <w:lang w:val="en-GB" w:eastAsia="es-ES"/>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6AB3167C" w:rsidR="00207A6E" w:rsidRPr="003B0B2F" w:rsidRDefault="00207A6E"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szCs w:val="22"/>
                <w:lang w:val="en-GB"/>
              </w:rPr>
            </w:pPr>
          </w:p>
        </w:tc>
        <w:tc>
          <w:tcPr>
            <w:tcW w:w="4090" w:type="dxa"/>
            <w:tcBorders>
              <w:bottom w:val="single" w:sz="12" w:space="0" w:color="auto"/>
            </w:tcBorders>
          </w:tcPr>
          <w:p w14:paraId="21D306FC" w14:textId="77777777" w:rsidR="00207A6E" w:rsidRPr="00392B8C" w:rsidRDefault="00207A6E" w:rsidP="007C26FA">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lang w:val="en-GB"/>
              </w:rPr>
            </w:pPr>
            <w:r w:rsidRPr="003B0B2F">
              <w:rPr>
                <w:rFonts w:ascii="Arial" w:hAnsi="Arial" w:cs="Arial"/>
                <w:b/>
                <w:snapToGrid w:val="0"/>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3B0B2F" w14:paraId="4AC53D21" w14:textId="77777777" w:rsidTr="009554D5">
        <w:trPr>
          <w:trHeight w:val="1693"/>
        </w:trPr>
        <w:tc>
          <w:tcPr>
            <w:tcW w:w="6227" w:type="dxa"/>
            <w:tcBorders>
              <w:top w:val="nil"/>
              <w:bottom w:val="single" w:sz="36" w:space="0" w:color="000000"/>
            </w:tcBorders>
          </w:tcPr>
          <w:p w14:paraId="50F0A8E8" w14:textId="77777777" w:rsidR="00F16F02" w:rsidRPr="003B0B2F" w:rsidRDefault="00F16F02" w:rsidP="007C26FA">
            <w:pPr>
              <w:suppressLineNumbers/>
              <w:suppressAutoHyphens/>
              <w:kinsoku w:val="0"/>
              <w:overflowPunct w:val="0"/>
              <w:autoSpaceDE w:val="0"/>
              <w:autoSpaceDN w:val="0"/>
              <w:adjustRightInd w:val="0"/>
              <w:snapToGrid w:val="0"/>
              <w:rPr>
                <w:snapToGrid w:val="0"/>
                <w:kern w:val="22"/>
                <w:sz w:val="22"/>
                <w:szCs w:val="22"/>
                <w:lang w:val="en-GB"/>
              </w:rPr>
            </w:pPr>
          </w:p>
          <w:p w14:paraId="206B86CE" w14:textId="2547FD0E" w:rsidR="00F16F02" w:rsidRPr="003B0B2F" w:rsidRDefault="00F16F02" w:rsidP="007C26FA">
            <w:pPr>
              <w:suppressLineNumbers/>
              <w:suppressAutoHyphens/>
              <w:kinsoku w:val="0"/>
              <w:overflowPunct w:val="0"/>
              <w:autoSpaceDE w:val="0"/>
              <w:autoSpaceDN w:val="0"/>
              <w:adjustRightInd w:val="0"/>
              <w:snapToGrid w:val="0"/>
              <w:rPr>
                <w:snapToGrid w:val="0"/>
                <w:kern w:val="22"/>
                <w:sz w:val="22"/>
                <w:szCs w:val="22"/>
                <w:lang w:val="en-GB"/>
              </w:rPr>
            </w:pPr>
            <w:r w:rsidRPr="00CB74DE">
              <w:rPr>
                <w:noProof/>
                <w:snapToGrid w:val="0"/>
                <w:kern w:val="22"/>
                <w:sz w:val="22"/>
                <w:szCs w:val="22"/>
                <w:lang w:val="en-GB" w:eastAsia="es-ES"/>
              </w:rPr>
              <w:drawing>
                <wp:inline distT="0" distB="0" distL="0" distR="0" wp14:anchorId="5FB40480" wp14:editId="181D870E">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1F3EBD" w14:textId="77777777" w:rsidR="00F16F02" w:rsidRPr="003B0B2F" w:rsidRDefault="00F16F02" w:rsidP="007C26FA">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44638A" w:rsidRDefault="00F16F02" w:rsidP="007C26FA">
            <w:pPr>
              <w:suppressLineNumbers/>
              <w:suppressAutoHyphens/>
              <w:kinsoku w:val="0"/>
              <w:overflowPunct w:val="0"/>
              <w:autoSpaceDE w:val="0"/>
              <w:autoSpaceDN w:val="0"/>
              <w:adjustRightInd w:val="0"/>
              <w:snapToGrid w:val="0"/>
              <w:ind w:left="63"/>
              <w:rPr>
                <w:snapToGrid w:val="0"/>
                <w:kern w:val="22"/>
                <w:sz w:val="22"/>
                <w:szCs w:val="22"/>
                <w:lang w:val="en-GB"/>
              </w:rPr>
            </w:pPr>
            <w:r w:rsidRPr="0044638A">
              <w:rPr>
                <w:snapToGrid w:val="0"/>
                <w:kern w:val="22"/>
                <w:sz w:val="22"/>
                <w:szCs w:val="22"/>
                <w:lang w:val="en-GB"/>
              </w:rPr>
              <w:t>Distr.</w:t>
            </w:r>
          </w:p>
          <w:p w14:paraId="55E4CF71" w14:textId="4A456477" w:rsidR="009F0F85" w:rsidRPr="007C26FA" w:rsidRDefault="00A15675" w:rsidP="007C26FA">
            <w:pPr>
              <w:suppressLineNumbers/>
              <w:suppressAutoHyphens/>
              <w:kinsoku w:val="0"/>
              <w:overflowPunct w:val="0"/>
              <w:autoSpaceDE w:val="0"/>
              <w:autoSpaceDN w:val="0"/>
              <w:adjustRightInd w:val="0"/>
              <w:snapToGrid w:val="0"/>
              <w:ind w:left="62"/>
              <w:rPr>
                <w:caps/>
                <w:snapToGrid w:val="0"/>
                <w:kern w:val="22"/>
                <w:sz w:val="22"/>
                <w:szCs w:val="22"/>
                <w:lang w:val="en-GB"/>
              </w:rPr>
            </w:pPr>
            <w:sdt>
              <w:sdtPr>
                <w:rPr>
                  <w:caps/>
                  <w:snapToGrid w:val="0"/>
                  <w:kern w:val="22"/>
                  <w:sz w:val="22"/>
                  <w:szCs w:val="22"/>
                  <w:lang w:val="en-GB"/>
                </w:rPr>
                <w:alias w:val="Status"/>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7C26FA">
                  <w:rPr>
                    <w:caps/>
                    <w:snapToGrid w:val="0"/>
                    <w:kern w:val="22"/>
                    <w:sz w:val="22"/>
                    <w:szCs w:val="22"/>
                    <w:lang w:val="en-GB"/>
                  </w:rPr>
                  <w:t>General</w:t>
                </w:r>
              </w:sdtContent>
            </w:sdt>
          </w:p>
          <w:p w14:paraId="75B568E7" w14:textId="77777777" w:rsidR="00F16F02" w:rsidRPr="0044638A" w:rsidRDefault="00F16F02" w:rsidP="007C26FA">
            <w:pPr>
              <w:suppressLineNumbers/>
              <w:suppressAutoHyphens/>
              <w:kinsoku w:val="0"/>
              <w:overflowPunct w:val="0"/>
              <w:autoSpaceDE w:val="0"/>
              <w:autoSpaceDN w:val="0"/>
              <w:adjustRightInd w:val="0"/>
              <w:snapToGrid w:val="0"/>
              <w:rPr>
                <w:snapToGrid w:val="0"/>
                <w:kern w:val="22"/>
                <w:sz w:val="22"/>
                <w:szCs w:val="22"/>
                <w:lang w:val="en-GB"/>
              </w:rPr>
            </w:pPr>
          </w:p>
          <w:sdt>
            <w:sdtPr>
              <w:rPr>
                <w:snapToGrid w:val="0"/>
                <w:kern w:val="22"/>
                <w:sz w:val="22"/>
                <w:szCs w:val="22"/>
                <w:lang w:val="en-GB"/>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7550F88A" w:rsidR="00F16F02" w:rsidRPr="0044638A" w:rsidRDefault="00B17FA9" w:rsidP="007C26FA">
                <w:pPr>
                  <w:suppressLineNumbers/>
                  <w:suppressAutoHyphens/>
                  <w:kinsoku w:val="0"/>
                  <w:overflowPunct w:val="0"/>
                  <w:autoSpaceDE w:val="0"/>
                  <w:autoSpaceDN w:val="0"/>
                  <w:adjustRightInd w:val="0"/>
                  <w:snapToGrid w:val="0"/>
                  <w:ind w:left="63"/>
                  <w:rPr>
                    <w:snapToGrid w:val="0"/>
                    <w:kern w:val="22"/>
                    <w:sz w:val="22"/>
                    <w:szCs w:val="22"/>
                    <w:lang w:val="en-GB"/>
                  </w:rPr>
                </w:pPr>
                <w:r w:rsidRPr="0044638A">
                  <w:rPr>
                    <w:snapToGrid w:val="0"/>
                    <w:kern w:val="22"/>
                    <w:sz w:val="22"/>
                    <w:szCs w:val="22"/>
                    <w:lang w:val="en-GB"/>
                  </w:rPr>
                  <w:t>CBD/SBSTTA/24/</w:t>
                </w:r>
                <w:r w:rsidR="00423231" w:rsidRPr="0044638A">
                  <w:rPr>
                    <w:snapToGrid w:val="0"/>
                    <w:kern w:val="22"/>
                    <w:sz w:val="22"/>
                    <w:szCs w:val="22"/>
                    <w:lang w:val="en-GB"/>
                  </w:rPr>
                  <w:t>8</w:t>
                </w:r>
              </w:p>
            </w:sdtContent>
          </w:sdt>
          <w:p w14:paraId="7D66F18A" w14:textId="4F4ABE74" w:rsidR="00C82823" w:rsidRPr="007C26FA" w:rsidRDefault="00727964" w:rsidP="007C26FA">
            <w:pPr>
              <w:suppressLineNumbers/>
              <w:suppressAutoHyphens/>
              <w:kinsoku w:val="0"/>
              <w:overflowPunct w:val="0"/>
              <w:autoSpaceDE w:val="0"/>
              <w:autoSpaceDN w:val="0"/>
              <w:adjustRightInd w:val="0"/>
              <w:snapToGrid w:val="0"/>
              <w:ind w:left="62"/>
              <w:rPr>
                <w:snapToGrid w:val="0"/>
                <w:kern w:val="22"/>
                <w:sz w:val="22"/>
                <w:szCs w:val="22"/>
                <w:lang w:val="en-GB"/>
              </w:rPr>
            </w:pPr>
            <w:r w:rsidRPr="0044638A">
              <w:rPr>
                <w:snapToGrid w:val="0"/>
                <w:kern w:val="22"/>
                <w:sz w:val="22"/>
                <w:szCs w:val="22"/>
                <w:lang w:val="en-GB"/>
              </w:rPr>
              <w:t>10</w:t>
            </w:r>
            <w:r w:rsidR="00A56666" w:rsidRPr="0044638A">
              <w:rPr>
                <w:snapToGrid w:val="0"/>
                <w:kern w:val="22"/>
                <w:sz w:val="22"/>
                <w:szCs w:val="22"/>
                <w:lang w:val="en-GB"/>
              </w:rPr>
              <w:t xml:space="preserve"> December 2020</w:t>
            </w:r>
          </w:p>
          <w:p w14:paraId="3C034C8E" w14:textId="77777777" w:rsidR="00F16F02" w:rsidRPr="0044638A" w:rsidRDefault="00F16F02" w:rsidP="007C26FA">
            <w:pPr>
              <w:suppressLineNumbers/>
              <w:suppressAutoHyphens/>
              <w:kinsoku w:val="0"/>
              <w:overflowPunct w:val="0"/>
              <w:autoSpaceDE w:val="0"/>
              <w:autoSpaceDN w:val="0"/>
              <w:adjustRightInd w:val="0"/>
              <w:snapToGrid w:val="0"/>
              <w:ind w:left="63"/>
              <w:rPr>
                <w:snapToGrid w:val="0"/>
                <w:kern w:val="22"/>
                <w:sz w:val="22"/>
                <w:szCs w:val="22"/>
                <w:lang w:val="en-GB"/>
              </w:rPr>
            </w:pPr>
          </w:p>
          <w:p w14:paraId="659CC883" w14:textId="2DB22D1C" w:rsidR="00F16F02" w:rsidRPr="0044638A" w:rsidRDefault="00F16F02" w:rsidP="007C26FA">
            <w:pPr>
              <w:suppressLineNumbers/>
              <w:suppressAutoHyphens/>
              <w:kinsoku w:val="0"/>
              <w:overflowPunct w:val="0"/>
              <w:autoSpaceDE w:val="0"/>
              <w:autoSpaceDN w:val="0"/>
              <w:adjustRightInd w:val="0"/>
              <w:snapToGrid w:val="0"/>
              <w:ind w:left="63"/>
              <w:rPr>
                <w:snapToGrid w:val="0"/>
                <w:kern w:val="22"/>
                <w:sz w:val="22"/>
                <w:szCs w:val="22"/>
                <w:u w:val="single"/>
                <w:lang w:val="en-GB"/>
              </w:rPr>
            </w:pPr>
            <w:r w:rsidRPr="0044638A">
              <w:rPr>
                <w:snapToGrid w:val="0"/>
                <w:kern w:val="22"/>
                <w:sz w:val="22"/>
                <w:szCs w:val="22"/>
                <w:lang w:val="en-GB"/>
              </w:rPr>
              <w:t>ORIGINAL: ENGLISH</w:t>
            </w:r>
          </w:p>
        </w:tc>
      </w:tr>
    </w:tbl>
    <w:p w14:paraId="0BC6F847" w14:textId="5384AD62" w:rsidR="00CA6B87" w:rsidRPr="0044638A" w:rsidRDefault="000C1E91" w:rsidP="007C26FA">
      <w:pPr>
        <w:pStyle w:val="meetingname"/>
        <w:suppressLineNumbers/>
        <w:suppressAutoHyphens/>
        <w:kinsoku w:val="0"/>
        <w:overflowPunct w:val="0"/>
        <w:autoSpaceDE w:val="0"/>
        <w:autoSpaceDN w:val="0"/>
        <w:adjustRightInd w:val="0"/>
        <w:snapToGrid w:val="0"/>
        <w:ind w:right="4540"/>
        <w:rPr>
          <w:kern w:val="22"/>
          <w:sz w:val="22"/>
          <w:szCs w:val="22"/>
          <w:lang w:val="en-GB"/>
        </w:rPr>
      </w:pPr>
      <w:bookmarkStart w:id="0" w:name="Meeting"/>
      <w:r w:rsidRPr="00CB74DE">
        <w:rPr>
          <w:noProof/>
          <w:kern w:val="22"/>
          <w:sz w:val="22"/>
          <w:szCs w:val="22"/>
          <w:lang w:val="en-GB"/>
        </w:rPr>
        <w:drawing>
          <wp:anchor distT="0" distB="0" distL="114300" distR="114300" simplePos="0" relativeHeight="251658752" behindDoc="0" locked="0" layoutInCell="1" allowOverlap="1" wp14:anchorId="19E6DF39" wp14:editId="3A8AEF58">
            <wp:simplePos x="0" y="0"/>
            <wp:positionH relativeFrom="column">
              <wp:posOffset>351790</wp:posOffset>
            </wp:positionH>
            <wp:positionV relativeFrom="page">
              <wp:posOffset>258445</wp:posOffset>
            </wp:positionV>
            <wp:extent cx="866775" cy="5461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sdt>
        <w:sdtPr>
          <w:rPr>
            <w:kern w:val="22"/>
            <w:sz w:val="22"/>
            <w:szCs w:val="22"/>
            <w:lang w:val="en-GB"/>
          </w:rPr>
          <w:alias w:val="Meeting"/>
          <w:tag w:val="Meeting"/>
          <w:id w:val="1412045910"/>
          <w:placeholder>
            <w:docPart w:val="DefaultPlaceholder_1082065158"/>
          </w:placeholder>
          <w:text/>
        </w:sdtPr>
        <w:sdtEndPr/>
        <w:sdtContent>
          <w:r w:rsidR="00D51069" w:rsidRPr="0044638A" w:rsidDel="008C3735">
            <w:rPr>
              <w:kern w:val="22"/>
              <w:sz w:val="22"/>
              <w:szCs w:val="22"/>
              <w:lang w:val="en-GB"/>
            </w:rPr>
            <w:t>SUBSIDIARY BODY ON SCIENTIFIC, TECHNICAL AND TECHNOLOGICAL ADVICE</w:t>
          </w:r>
        </w:sdtContent>
      </w:sdt>
      <w:bookmarkEnd w:id="0"/>
    </w:p>
    <w:p w14:paraId="6B2F74BC" w14:textId="1868656F" w:rsidR="00D51069" w:rsidRPr="0044638A" w:rsidRDefault="00D51069" w:rsidP="007C26FA">
      <w:pPr>
        <w:suppressLineNumbers/>
        <w:suppressAutoHyphens/>
        <w:kinsoku w:val="0"/>
        <w:overflowPunct w:val="0"/>
        <w:autoSpaceDE w:val="0"/>
        <w:autoSpaceDN w:val="0"/>
        <w:adjustRightInd w:val="0"/>
        <w:snapToGrid w:val="0"/>
        <w:rPr>
          <w:snapToGrid w:val="0"/>
          <w:kern w:val="22"/>
          <w:sz w:val="22"/>
          <w:szCs w:val="22"/>
          <w:lang w:val="en-GB" w:eastAsia="nb-NO"/>
        </w:rPr>
      </w:pPr>
      <w:r w:rsidRPr="0044638A">
        <w:rPr>
          <w:snapToGrid w:val="0"/>
          <w:kern w:val="22"/>
          <w:sz w:val="22"/>
          <w:szCs w:val="22"/>
          <w:lang w:val="en-GB" w:eastAsia="nb-NO"/>
        </w:rPr>
        <w:t>Twenty-</w:t>
      </w:r>
      <w:r w:rsidR="00425ED9" w:rsidRPr="0044638A">
        <w:rPr>
          <w:snapToGrid w:val="0"/>
          <w:kern w:val="22"/>
          <w:sz w:val="22"/>
          <w:szCs w:val="22"/>
          <w:lang w:val="en-GB" w:eastAsia="nb-NO"/>
        </w:rPr>
        <w:t>fourth</w:t>
      </w:r>
      <w:r w:rsidRPr="0044638A">
        <w:rPr>
          <w:snapToGrid w:val="0"/>
          <w:kern w:val="22"/>
          <w:sz w:val="22"/>
          <w:szCs w:val="22"/>
          <w:lang w:val="en-GB" w:eastAsia="nb-NO"/>
        </w:rPr>
        <w:t xml:space="preserve"> meeting</w:t>
      </w:r>
    </w:p>
    <w:p w14:paraId="169E524D" w14:textId="689D7825" w:rsidR="00CA6B87" w:rsidRPr="0044638A" w:rsidRDefault="0031578F" w:rsidP="007C26FA">
      <w:pPr>
        <w:suppressLineNumbers/>
        <w:suppressAutoHyphens/>
        <w:kinsoku w:val="0"/>
        <w:overflowPunct w:val="0"/>
        <w:autoSpaceDE w:val="0"/>
        <w:autoSpaceDN w:val="0"/>
        <w:adjustRightInd w:val="0"/>
        <w:snapToGrid w:val="0"/>
        <w:rPr>
          <w:snapToGrid w:val="0"/>
          <w:kern w:val="22"/>
          <w:sz w:val="22"/>
          <w:szCs w:val="22"/>
          <w:lang w:val="en-GB" w:eastAsia="nb-NO"/>
        </w:rPr>
      </w:pPr>
      <w:r w:rsidRPr="0044638A">
        <w:rPr>
          <w:snapToGrid w:val="0"/>
          <w:kern w:val="22"/>
          <w:sz w:val="22"/>
          <w:szCs w:val="22"/>
          <w:lang w:val="en-GB" w:eastAsia="nb-NO"/>
        </w:rPr>
        <w:t>Venue and dates to be determined</w:t>
      </w:r>
    </w:p>
    <w:p w14:paraId="52C80D24" w14:textId="7C6F0806" w:rsidR="00CA6B87" w:rsidRPr="0044638A" w:rsidRDefault="00D51069" w:rsidP="007C26FA">
      <w:pPr>
        <w:suppressLineNumbers/>
        <w:suppressAutoHyphens/>
        <w:kinsoku w:val="0"/>
        <w:overflowPunct w:val="0"/>
        <w:autoSpaceDE w:val="0"/>
        <w:autoSpaceDN w:val="0"/>
        <w:adjustRightInd w:val="0"/>
        <w:snapToGrid w:val="0"/>
        <w:rPr>
          <w:snapToGrid w:val="0"/>
          <w:kern w:val="22"/>
          <w:sz w:val="22"/>
          <w:szCs w:val="22"/>
          <w:lang w:val="en-GB" w:eastAsia="nb-NO"/>
        </w:rPr>
      </w:pPr>
      <w:r w:rsidRPr="0044638A">
        <w:rPr>
          <w:snapToGrid w:val="0"/>
          <w:kern w:val="22"/>
          <w:sz w:val="22"/>
          <w:szCs w:val="22"/>
          <w:lang w:val="en-GB" w:eastAsia="nb-NO"/>
        </w:rPr>
        <w:t>I</w:t>
      </w:r>
      <w:r w:rsidR="00CA6B87" w:rsidRPr="0044638A">
        <w:rPr>
          <w:snapToGrid w:val="0"/>
          <w:kern w:val="22"/>
          <w:sz w:val="22"/>
          <w:szCs w:val="22"/>
          <w:lang w:val="en-GB" w:eastAsia="nb-NO"/>
        </w:rPr>
        <w:t xml:space="preserve">tem </w:t>
      </w:r>
      <w:r w:rsidR="00423231" w:rsidRPr="0044638A">
        <w:rPr>
          <w:snapToGrid w:val="0"/>
          <w:kern w:val="22"/>
          <w:sz w:val="22"/>
          <w:szCs w:val="22"/>
          <w:lang w:val="en-GB" w:eastAsia="nb-NO"/>
        </w:rPr>
        <w:t>8</w:t>
      </w:r>
      <w:r w:rsidR="002501DE" w:rsidRPr="0044638A">
        <w:rPr>
          <w:snapToGrid w:val="0"/>
          <w:kern w:val="22"/>
          <w:sz w:val="22"/>
          <w:szCs w:val="22"/>
          <w:lang w:val="en-GB" w:eastAsia="nb-NO"/>
        </w:rPr>
        <w:t xml:space="preserve"> </w:t>
      </w:r>
      <w:r w:rsidRPr="0044638A">
        <w:rPr>
          <w:snapToGrid w:val="0"/>
          <w:kern w:val="22"/>
          <w:sz w:val="22"/>
          <w:szCs w:val="22"/>
          <w:lang w:val="en-GB" w:eastAsia="nb-NO"/>
        </w:rPr>
        <w:t>of the provisional agenda</w:t>
      </w:r>
      <w:r w:rsidRPr="0044638A">
        <w:rPr>
          <w:rStyle w:val="FootnoteReference"/>
          <w:snapToGrid w:val="0"/>
          <w:kern w:val="22"/>
          <w:szCs w:val="22"/>
          <w:vertAlign w:val="baseline"/>
          <w:lang w:val="en-GB" w:eastAsia="nb-NO"/>
        </w:rPr>
        <w:footnoteReference w:customMarkFollows="1" w:id="2"/>
        <w:t>*</w:t>
      </w:r>
    </w:p>
    <w:p w14:paraId="5FAD0E9E" w14:textId="07A8A463" w:rsidR="00406BC6" w:rsidRPr="007C26FA" w:rsidRDefault="00A15675" w:rsidP="007C26FA">
      <w:pPr>
        <w:pStyle w:val="Heading1"/>
        <w:suppressLineNumbers/>
        <w:tabs>
          <w:tab w:val="clear" w:pos="720"/>
        </w:tabs>
        <w:suppressAutoHyphens/>
        <w:kinsoku w:val="0"/>
        <w:overflowPunct w:val="0"/>
        <w:autoSpaceDE w:val="0"/>
        <w:autoSpaceDN w:val="0"/>
        <w:adjustRightInd w:val="0"/>
        <w:snapToGrid w:val="0"/>
        <w:rPr>
          <w:bCs/>
          <w:snapToGrid w:val="0"/>
          <w:kern w:val="22"/>
          <w:sz w:val="22"/>
          <w:szCs w:val="22"/>
          <w:lang w:val="en-GB"/>
        </w:rPr>
      </w:pPr>
      <w:sdt>
        <w:sdtPr>
          <w:rPr>
            <w:bCs/>
            <w:snapToGrid w:val="0"/>
            <w:kern w:val="22"/>
            <w:sz w:val="22"/>
            <w:szCs w:val="22"/>
            <w:lang w:val="en-GB"/>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B73033" w:rsidRPr="007C26FA">
            <w:rPr>
              <w:bCs/>
              <w:snapToGrid w:val="0"/>
              <w:kern w:val="22"/>
              <w:sz w:val="22"/>
              <w:szCs w:val="22"/>
              <w:lang w:val="en-GB"/>
            </w:rPr>
            <w:t>Programme of work of the Intergovernmental Science-Policy Platform on Biodiversity and Ecosystem Services</w:t>
          </w:r>
        </w:sdtContent>
      </w:sdt>
    </w:p>
    <w:p w14:paraId="0D16BCDC" w14:textId="77777777" w:rsidR="005B7071" w:rsidRPr="007C26FA" w:rsidRDefault="00C85EA4" w:rsidP="007C26FA">
      <w:pPr>
        <w:suppressLineNumbers/>
        <w:suppressAutoHyphens/>
        <w:kinsoku w:val="0"/>
        <w:overflowPunct w:val="0"/>
        <w:autoSpaceDE w:val="0"/>
        <w:autoSpaceDN w:val="0"/>
        <w:adjustRightInd w:val="0"/>
        <w:snapToGrid w:val="0"/>
        <w:spacing w:before="120" w:after="120"/>
        <w:jc w:val="center"/>
        <w:rPr>
          <w:b/>
          <w:i/>
          <w:snapToGrid w:val="0"/>
          <w:kern w:val="22"/>
          <w:sz w:val="22"/>
          <w:szCs w:val="22"/>
          <w:lang w:val="en-GB"/>
        </w:rPr>
      </w:pPr>
      <w:r w:rsidRPr="007C26FA">
        <w:rPr>
          <w:i/>
          <w:iCs/>
          <w:snapToGrid w:val="0"/>
          <w:kern w:val="22"/>
          <w:sz w:val="22"/>
          <w:szCs w:val="22"/>
          <w:lang w:val="en-GB"/>
        </w:rPr>
        <w:t>Note by the Executive Secretary</w:t>
      </w:r>
    </w:p>
    <w:p w14:paraId="3C580842" w14:textId="09561B24" w:rsidR="00FC562D" w:rsidRPr="0044638A" w:rsidRDefault="00FC562D" w:rsidP="007C26FA">
      <w:pPr>
        <w:pStyle w:val="ListParagraph"/>
        <w:keepNext/>
        <w:numPr>
          <w:ilvl w:val="0"/>
          <w:numId w:val="14"/>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outlineLvl w:val="0"/>
        <w:rPr>
          <w:b/>
          <w:caps/>
          <w:snapToGrid w:val="0"/>
          <w:kern w:val="22"/>
          <w:sz w:val="22"/>
          <w:szCs w:val="22"/>
          <w:lang w:val="en-GB"/>
        </w:rPr>
      </w:pPr>
      <w:r w:rsidRPr="0044638A">
        <w:rPr>
          <w:b/>
          <w:caps/>
          <w:snapToGrid w:val="0"/>
          <w:kern w:val="22"/>
          <w:sz w:val="22"/>
          <w:szCs w:val="22"/>
          <w:lang w:val="en-GB"/>
        </w:rPr>
        <w:t>Background</w:t>
      </w:r>
    </w:p>
    <w:p w14:paraId="21C876BD" w14:textId="20384BBC" w:rsidR="004D2E49" w:rsidRPr="0044638A" w:rsidRDefault="00901817"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T</w:t>
      </w:r>
      <w:r w:rsidR="005D5A77" w:rsidRPr="0044638A">
        <w:rPr>
          <w:bCs/>
          <w:iCs/>
          <w:snapToGrid w:val="0"/>
          <w:kern w:val="22"/>
          <w:sz w:val="22"/>
          <w:szCs w:val="22"/>
          <w:lang w:val="en-GB"/>
        </w:rPr>
        <w:t>he Conference of the Parties</w:t>
      </w:r>
      <w:r w:rsidRPr="0044638A">
        <w:rPr>
          <w:bCs/>
          <w:iCs/>
          <w:snapToGrid w:val="0"/>
          <w:kern w:val="22"/>
          <w:sz w:val="22"/>
          <w:szCs w:val="22"/>
          <w:lang w:val="en-GB"/>
        </w:rPr>
        <w:t xml:space="preserve">, in its decision </w:t>
      </w:r>
      <w:hyperlink r:id="rId15" w:history="1">
        <w:r w:rsidRPr="0044638A">
          <w:rPr>
            <w:rStyle w:val="Hyperlink"/>
            <w:bCs/>
            <w:iCs/>
            <w:snapToGrid w:val="0"/>
            <w:kern w:val="22"/>
            <w:sz w:val="22"/>
            <w:szCs w:val="22"/>
            <w:lang w:val="en-GB"/>
          </w:rPr>
          <w:t>14/36</w:t>
        </w:r>
      </w:hyperlink>
      <w:r w:rsidRPr="0044638A">
        <w:rPr>
          <w:bCs/>
          <w:iCs/>
          <w:snapToGrid w:val="0"/>
          <w:kern w:val="22"/>
          <w:sz w:val="22"/>
          <w:szCs w:val="22"/>
          <w:lang w:val="en-GB"/>
        </w:rPr>
        <w:t>,</w:t>
      </w:r>
      <w:r w:rsidR="005D5A77" w:rsidRPr="0044638A">
        <w:rPr>
          <w:bCs/>
          <w:iCs/>
          <w:snapToGrid w:val="0"/>
          <w:kern w:val="22"/>
          <w:sz w:val="22"/>
          <w:szCs w:val="22"/>
          <w:lang w:val="en-GB"/>
        </w:rPr>
        <w:t xml:space="preserve"> </w:t>
      </w:r>
      <w:r w:rsidRPr="0044638A">
        <w:rPr>
          <w:bCs/>
          <w:snapToGrid w:val="0"/>
          <w:kern w:val="22"/>
          <w:sz w:val="22"/>
          <w:szCs w:val="22"/>
          <w:lang w:val="en-GB"/>
        </w:rPr>
        <w:t>welcomed with appreciation the</w:t>
      </w:r>
      <w:r w:rsidRPr="0044638A">
        <w:rPr>
          <w:bCs/>
          <w:iCs/>
          <w:snapToGrid w:val="0"/>
          <w:kern w:val="22"/>
          <w:sz w:val="22"/>
          <w:szCs w:val="22"/>
          <w:lang w:val="en-GB"/>
        </w:rPr>
        <w:t xml:space="preserve"> progress in implementing the first work programme of the Intergovernmental Science-Policy Platform on Biodiversity and Ecosystem Services </w:t>
      </w:r>
      <w:r w:rsidR="00DB148C" w:rsidRPr="0044638A">
        <w:rPr>
          <w:bCs/>
          <w:iCs/>
          <w:snapToGrid w:val="0"/>
          <w:kern w:val="22"/>
          <w:sz w:val="22"/>
          <w:szCs w:val="22"/>
          <w:lang w:val="en-GB"/>
        </w:rPr>
        <w:t xml:space="preserve">(IPBES) </w:t>
      </w:r>
      <w:r w:rsidRPr="0044638A">
        <w:rPr>
          <w:bCs/>
          <w:iCs/>
          <w:snapToGrid w:val="0"/>
          <w:kern w:val="22"/>
          <w:sz w:val="22"/>
          <w:szCs w:val="22"/>
          <w:lang w:val="en-GB"/>
        </w:rPr>
        <w:t xml:space="preserve">and invited the Platform to consider a request as part of its work programme </w:t>
      </w:r>
      <w:r w:rsidR="00FA57F2" w:rsidRPr="0044638A">
        <w:rPr>
          <w:bCs/>
          <w:iCs/>
          <w:snapToGrid w:val="0"/>
          <w:kern w:val="22"/>
          <w:sz w:val="22"/>
          <w:szCs w:val="22"/>
          <w:lang w:val="en-GB"/>
        </w:rPr>
        <w:t>towards</w:t>
      </w:r>
      <w:r w:rsidRPr="0044638A">
        <w:rPr>
          <w:bCs/>
          <w:iCs/>
          <w:snapToGrid w:val="0"/>
          <w:kern w:val="22"/>
          <w:sz w:val="22"/>
          <w:szCs w:val="22"/>
          <w:lang w:val="en-GB"/>
        </w:rPr>
        <w:t xml:space="preserve"> 2030.</w:t>
      </w:r>
    </w:p>
    <w:p w14:paraId="53626BBB" w14:textId="7518813C" w:rsidR="006B2E99" w:rsidRPr="0044638A" w:rsidRDefault="006B2E99"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T</w:t>
      </w:r>
      <w:r w:rsidR="00423231" w:rsidRPr="0044638A">
        <w:rPr>
          <w:bCs/>
          <w:iCs/>
          <w:snapToGrid w:val="0"/>
          <w:kern w:val="22"/>
          <w:sz w:val="22"/>
          <w:szCs w:val="22"/>
          <w:lang w:val="en-GB"/>
        </w:rPr>
        <w:t>he Conference of the Parties</w:t>
      </w:r>
      <w:r w:rsidR="00901817" w:rsidRPr="0044638A">
        <w:rPr>
          <w:bCs/>
          <w:iCs/>
          <w:snapToGrid w:val="0"/>
          <w:kern w:val="22"/>
          <w:sz w:val="22"/>
          <w:szCs w:val="22"/>
          <w:lang w:val="en-GB"/>
        </w:rPr>
        <w:t>, in the s</w:t>
      </w:r>
      <w:r w:rsidR="00727964" w:rsidRPr="0044638A">
        <w:rPr>
          <w:bCs/>
          <w:iCs/>
          <w:snapToGrid w:val="0"/>
          <w:kern w:val="22"/>
          <w:sz w:val="22"/>
          <w:szCs w:val="22"/>
          <w:lang w:val="en-GB"/>
        </w:rPr>
        <w:t>a</w:t>
      </w:r>
      <w:r w:rsidR="00901817" w:rsidRPr="0044638A">
        <w:rPr>
          <w:bCs/>
          <w:iCs/>
          <w:snapToGrid w:val="0"/>
          <w:kern w:val="22"/>
          <w:sz w:val="22"/>
          <w:szCs w:val="22"/>
          <w:lang w:val="en-GB"/>
        </w:rPr>
        <w:t>me decision,</w:t>
      </w:r>
      <w:r w:rsidR="00423231" w:rsidRPr="0044638A">
        <w:rPr>
          <w:bCs/>
          <w:iCs/>
          <w:snapToGrid w:val="0"/>
          <w:kern w:val="22"/>
          <w:sz w:val="22"/>
          <w:szCs w:val="22"/>
          <w:lang w:val="en-GB"/>
        </w:rPr>
        <w:t xml:space="preserve"> requested the Executive Secretary</w:t>
      </w:r>
      <w:r w:rsidRPr="0044638A">
        <w:rPr>
          <w:bCs/>
          <w:iCs/>
          <w:snapToGrid w:val="0"/>
          <w:kern w:val="22"/>
          <w:sz w:val="22"/>
          <w:szCs w:val="22"/>
          <w:lang w:val="en-GB"/>
        </w:rPr>
        <w:t>:</w:t>
      </w:r>
    </w:p>
    <w:p w14:paraId="0AC29ED7" w14:textId="39C8BFDA" w:rsidR="006B2E99" w:rsidRPr="0044638A" w:rsidRDefault="005B1F38"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F</w:t>
      </w:r>
      <w:r w:rsidR="006B2E99" w:rsidRPr="0044638A">
        <w:rPr>
          <w:bCs/>
          <w:iCs/>
          <w:snapToGrid w:val="0"/>
          <w:kern w:val="22"/>
          <w:sz w:val="22"/>
          <w:szCs w:val="22"/>
          <w:lang w:val="en-GB"/>
        </w:rPr>
        <w:t xml:space="preserve">urther to decision </w:t>
      </w:r>
      <w:hyperlink r:id="rId16" w:history="1">
        <w:r w:rsidR="006B2E99" w:rsidRPr="0044638A">
          <w:rPr>
            <w:rStyle w:val="Hyperlink"/>
            <w:bCs/>
            <w:iCs/>
            <w:snapToGrid w:val="0"/>
            <w:kern w:val="22"/>
            <w:sz w:val="22"/>
            <w:szCs w:val="22"/>
            <w:lang w:val="en-GB"/>
          </w:rPr>
          <w:t>XII/25</w:t>
        </w:r>
      </w:hyperlink>
      <w:r w:rsidR="006B2E99" w:rsidRPr="0044638A">
        <w:rPr>
          <w:bCs/>
          <w:iCs/>
          <w:snapToGrid w:val="0"/>
          <w:kern w:val="22"/>
          <w:sz w:val="22"/>
          <w:szCs w:val="22"/>
          <w:lang w:val="en-GB"/>
        </w:rPr>
        <w:t>, to develop modalities for the systematic consideration of all deliverables of the Platform, taking into consideration the findings of the review of the Platform, with a view to optimizing their use in support of the implementation of the Convention</w:t>
      </w:r>
      <w:r w:rsidR="005E0F97" w:rsidRPr="0044638A">
        <w:rPr>
          <w:bCs/>
          <w:iCs/>
          <w:snapToGrid w:val="0"/>
          <w:kern w:val="22"/>
          <w:sz w:val="22"/>
          <w:szCs w:val="22"/>
          <w:lang w:val="en-GB"/>
        </w:rPr>
        <w:t>;</w:t>
      </w:r>
    </w:p>
    <w:p w14:paraId="184198A2" w14:textId="2ABE2EFF" w:rsidR="005D5A77" w:rsidRPr="0044638A" w:rsidRDefault="005E0F97"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T</w:t>
      </w:r>
      <w:r w:rsidR="006B2E99" w:rsidRPr="0044638A">
        <w:rPr>
          <w:bCs/>
          <w:iCs/>
          <w:snapToGrid w:val="0"/>
          <w:kern w:val="22"/>
          <w:sz w:val="22"/>
          <w:szCs w:val="22"/>
          <w:lang w:val="en-GB"/>
        </w:rPr>
        <w:t xml:space="preserve">o </w:t>
      </w:r>
      <w:r w:rsidR="00423231" w:rsidRPr="0044638A">
        <w:rPr>
          <w:bCs/>
          <w:iCs/>
          <w:snapToGrid w:val="0"/>
          <w:kern w:val="22"/>
          <w:sz w:val="22"/>
          <w:szCs w:val="22"/>
          <w:lang w:val="en-GB"/>
        </w:rPr>
        <w:t>prepare, for consideration by the Subsidiary Body</w:t>
      </w:r>
      <w:r w:rsidR="003B0632" w:rsidRPr="0044638A">
        <w:rPr>
          <w:bCs/>
          <w:iCs/>
          <w:snapToGrid w:val="0"/>
          <w:kern w:val="22"/>
          <w:sz w:val="22"/>
          <w:szCs w:val="22"/>
          <w:lang w:val="en-GB"/>
        </w:rPr>
        <w:t xml:space="preserve"> on Scientific, Technical and Technological Advice</w:t>
      </w:r>
      <w:r w:rsidR="00423231" w:rsidRPr="0044638A">
        <w:rPr>
          <w:bCs/>
          <w:iCs/>
          <w:snapToGrid w:val="0"/>
          <w:kern w:val="22"/>
          <w:sz w:val="22"/>
          <w:szCs w:val="22"/>
          <w:lang w:val="en-GB"/>
        </w:rPr>
        <w:t xml:space="preserve">, and for subsequent consideration by the Conference of the Parties at its fifteenth meeting, proposals for a further request to be considered for inclusion in the </w:t>
      </w:r>
      <w:r w:rsidR="00DB148C" w:rsidRPr="0044638A">
        <w:rPr>
          <w:bCs/>
          <w:iCs/>
          <w:snapToGrid w:val="0"/>
          <w:kern w:val="22"/>
          <w:sz w:val="22"/>
          <w:szCs w:val="22"/>
          <w:lang w:val="en-GB"/>
        </w:rPr>
        <w:t xml:space="preserve">IPBES </w:t>
      </w:r>
      <w:r w:rsidR="00423231" w:rsidRPr="0044638A">
        <w:rPr>
          <w:bCs/>
          <w:iCs/>
          <w:snapToGrid w:val="0"/>
          <w:kern w:val="22"/>
          <w:sz w:val="22"/>
          <w:szCs w:val="22"/>
          <w:lang w:val="en-GB"/>
        </w:rPr>
        <w:t>programme of work towards 2030 with a view to supporting the implementation of the post-2020 global biodiversity framework.</w:t>
      </w:r>
    </w:p>
    <w:p w14:paraId="09C663FF" w14:textId="5D1DB79A" w:rsidR="00ED2BFE" w:rsidRPr="007C26FA" w:rsidRDefault="007B1CCB"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spacing w:val="-2"/>
          <w:kern w:val="22"/>
          <w:sz w:val="22"/>
          <w:szCs w:val="22"/>
          <w:lang w:val="en-GB"/>
        </w:rPr>
      </w:pPr>
      <w:r w:rsidRPr="007C26FA">
        <w:rPr>
          <w:bCs/>
          <w:iCs/>
          <w:snapToGrid w:val="0"/>
          <w:spacing w:val="-2"/>
          <w:kern w:val="22"/>
          <w:sz w:val="22"/>
          <w:szCs w:val="22"/>
          <w:lang w:val="en-GB"/>
        </w:rPr>
        <w:t xml:space="preserve">Section II </w:t>
      </w:r>
      <w:r w:rsidR="000078B5" w:rsidRPr="007C26FA">
        <w:rPr>
          <w:bCs/>
          <w:iCs/>
          <w:snapToGrid w:val="0"/>
          <w:spacing w:val="-2"/>
          <w:kern w:val="22"/>
          <w:sz w:val="22"/>
          <w:szCs w:val="22"/>
          <w:lang w:val="en-GB"/>
        </w:rPr>
        <w:t>below</w:t>
      </w:r>
      <w:r w:rsidRPr="007C26FA">
        <w:rPr>
          <w:bCs/>
          <w:iCs/>
          <w:snapToGrid w:val="0"/>
          <w:spacing w:val="-2"/>
          <w:kern w:val="22"/>
          <w:sz w:val="22"/>
          <w:szCs w:val="22"/>
          <w:lang w:val="en-GB"/>
        </w:rPr>
        <w:t xml:space="preserve"> </w:t>
      </w:r>
      <w:r w:rsidR="006B2E99" w:rsidRPr="007C26FA">
        <w:rPr>
          <w:bCs/>
          <w:iCs/>
          <w:snapToGrid w:val="0"/>
          <w:spacing w:val="-2"/>
          <w:kern w:val="22"/>
          <w:sz w:val="22"/>
          <w:szCs w:val="22"/>
          <w:lang w:val="en-GB"/>
        </w:rPr>
        <w:t xml:space="preserve">reviews </w:t>
      </w:r>
      <w:r w:rsidR="00901817" w:rsidRPr="007C26FA">
        <w:rPr>
          <w:bCs/>
          <w:iCs/>
          <w:snapToGrid w:val="0"/>
          <w:spacing w:val="-2"/>
          <w:kern w:val="22"/>
          <w:sz w:val="22"/>
          <w:szCs w:val="22"/>
          <w:lang w:val="en-GB"/>
        </w:rPr>
        <w:t xml:space="preserve">how the IPBES deliverables to date have been considered </w:t>
      </w:r>
      <w:r w:rsidR="006B2E99" w:rsidRPr="007C26FA">
        <w:rPr>
          <w:bCs/>
          <w:iCs/>
          <w:snapToGrid w:val="0"/>
          <w:spacing w:val="-2"/>
          <w:kern w:val="22"/>
          <w:sz w:val="22"/>
          <w:szCs w:val="22"/>
          <w:lang w:val="en-GB"/>
        </w:rPr>
        <w:t>under the Convention and</w:t>
      </w:r>
      <w:r w:rsidR="00901817" w:rsidRPr="007C26FA">
        <w:rPr>
          <w:bCs/>
          <w:iCs/>
          <w:snapToGrid w:val="0"/>
          <w:spacing w:val="-2"/>
          <w:kern w:val="22"/>
          <w:sz w:val="22"/>
          <w:szCs w:val="22"/>
          <w:lang w:val="en-GB"/>
        </w:rPr>
        <w:t xml:space="preserve">, in this light, addresses the request, noted above, to develop </w:t>
      </w:r>
      <w:r w:rsidR="00F10015" w:rsidRPr="007C26FA">
        <w:rPr>
          <w:bCs/>
          <w:iCs/>
          <w:snapToGrid w:val="0"/>
          <w:spacing w:val="-2"/>
          <w:kern w:val="22"/>
          <w:sz w:val="22"/>
          <w:szCs w:val="22"/>
          <w:lang w:val="en-GB"/>
        </w:rPr>
        <w:t>modalities for the systematic consideration of all deliverables</w:t>
      </w:r>
      <w:r w:rsidR="00901817" w:rsidRPr="007C26FA">
        <w:rPr>
          <w:bCs/>
          <w:iCs/>
          <w:snapToGrid w:val="0"/>
          <w:spacing w:val="-2"/>
          <w:kern w:val="22"/>
          <w:sz w:val="22"/>
          <w:szCs w:val="22"/>
          <w:lang w:val="en-GB"/>
        </w:rPr>
        <w:t>.</w:t>
      </w:r>
      <w:r w:rsidR="00F10015" w:rsidRPr="007C26FA">
        <w:rPr>
          <w:bCs/>
          <w:iCs/>
          <w:snapToGrid w:val="0"/>
          <w:spacing w:val="-2"/>
          <w:kern w:val="22"/>
          <w:sz w:val="22"/>
          <w:szCs w:val="22"/>
          <w:lang w:val="en-GB"/>
        </w:rPr>
        <w:t xml:space="preserve"> Section III </w:t>
      </w:r>
      <w:r w:rsidRPr="007C26FA">
        <w:rPr>
          <w:bCs/>
          <w:iCs/>
          <w:snapToGrid w:val="0"/>
          <w:spacing w:val="-2"/>
          <w:kern w:val="22"/>
          <w:sz w:val="22"/>
          <w:szCs w:val="22"/>
          <w:lang w:val="en-GB"/>
        </w:rPr>
        <w:t xml:space="preserve">provides an </w:t>
      </w:r>
      <w:r w:rsidR="002F11EC" w:rsidRPr="007C26FA">
        <w:rPr>
          <w:bCs/>
          <w:iCs/>
          <w:snapToGrid w:val="0"/>
          <w:spacing w:val="-2"/>
          <w:kern w:val="22"/>
          <w:sz w:val="22"/>
          <w:szCs w:val="22"/>
          <w:lang w:val="en-GB"/>
        </w:rPr>
        <w:t xml:space="preserve">update on the work </w:t>
      </w:r>
      <w:r w:rsidR="00F10015" w:rsidRPr="007C26FA">
        <w:rPr>
          <w:bCs/>
          <w:iCs/>
          <w:snapToGrid w:val="0"/>
          <w:spacing w:val="-2"/>
          <w:kern w:val="22"/>
          <w:sz w:val="22"/>
          <w:szCs w:val="22"/>
          <w:lang w:val="en-GB"/>
        </w:rPr>
        <w:t xml:space="preserve">programme </w:t>
      </w:r>
      <w:r w:rsidR="002F11EC" w:rsidRPr="007C26FA">
        <w:rPr>
          <w:bCs/>
          <w:iCs/>
          <w:snapToGrid w:val="0"/>
          <w:spacing w:val="-2"/>
          <w:kern w:val="22"/>
          <w:sz w:val="22"/>
          <w:szCs w:val="22"/>
          <w:lang w:val="en-GB"/>
        </w:rPr>
        <w:t>of the Platform</w:t>
      </w:r>
      <w:r w:rsidR="00901817" w:rsidRPr="007C26FA">
        <w:rPr>
          <w:bCs/>
          <w:iCs/>
          <w:snapToGrid w:val="0"/>
          <w:spacing w:val="-2"/>
          <w:kern w:val="22"/>
          <w:sz w:val="22"/>
          <w:szCs w:val="22"/>
          <w:lang w:val="en-GB"/>
        </w:rPr>
        <w:t xml:space="preserve">, including the new elements of work programme towards 2030, agreed by the </w:t>
      </w:r>
      <w:r w:rsidR="00FA57F2" w:rsidRPr="007C26FA">
        <w:rPr>
          <w:bCs/>
          <w:iCs/>
          <w:snapToGrid w:val="0"/>
          <w:spacing w:val="-2"/>
          <w:kern w:val="22"/>
          <w:sz w:val="22"/>
          <w:szCs w:val="22"/>
          <w:lang w:val="en-GB"/>
        </w:rPr>
        <w:t>Plenary</w:t>
      </w:r>
      <w:r w:rsidR="00901817" w:rsidRPr="007C26FA">
        <w:rPr>
          <w:bCs/>
          <w:iCs/>
          <w:snapToGrid w:val="0"/>
          <w:spacing w:val="-2"/>
          <w:kern w:val="22"/>
          <w:sz w:val="22"/>
          <w:szCs w:val="22"/>
          <w:lang w:val="en-GB"/>
        </w:rPr>
        <w:t xml:space="preserve"> of the Platform at its seventh meeting, and</w:t>
      </w:r>
      <w:r w:rsidR="00F10015" w:rsidRPr="007C26FA">
        <w:rPr>
          <w:bCs/>
          <w:iCs/>
          <w:snapToGrid w:val="0"/>
          <w:spacing w:val="-2"/>
          <w:kern w:val="22"/>
          <w:sz w:val="22"/>
          <w:szCs w:val="22"/>
          <w:lang w:val="en-GB"/>
        </w:rPr>
        <w:t xml:space="preserve"> </w:t>
      </w:r>
      <w:r w:rsidR="00901817" w:rsidRPr="007C26FA">
        <w:rPr>
          <w:bCs/>
          <w:iCs/>
          <w:snapToGrid w:val="0"/>
          <w:spacing w:val="-2"/>
          <w:kern w:val="22"/>
          <w:sz w:val="22"/>
          <w:szCs w:val="22"/>
          <w:lang w:val="en-GB"/>
        </w:rPr>
        <w:t>its</w:t>
      </w:r>
      <w:r w:rsidR="00F10015" w:rsidRPr="007C26FA">
        <w:rPr>
          <w:bCs/>
          <w:iCs/>
          <w:snapToGrid w:val="0"/>
          <w:spacing w:val="-2"/>
          <w:kern w:val="22"/>
          <w:sz w:val="22"/>
          <w:szCs w:val="22"/>
          <w:lang w:val="en-GB"/>
        </w:rPr>
        <w:t xml:space="preserve"> implement</w:t>
      </w:r>
      <w:r w:rsidR="00901817" w:rsidRPr="007C26FA">
        <w:rPr>
          <w:bCs/>
          <w:iCs/>
          <w:snapToGrid w:val="0"/>
          <w:spacing w:val="-2"/>
          <w:kern w:val="22"/>
          <w:sz w:val="22"/>
          <w:szCs w:val="22"/>
          <w:lang w:val="en-GB"/>
        </w:rPr>
        <w:t>a</w:t>
      </w:r>
      <w:r w:rsidR="00F10015" w:rsidRPr="007C26FA">
        <w:rPr>
          <w:bCs/>
          <w:iCs/>
          <w:snapToGrid w:val="0"/>
          <w:spacing w:val="-2"/>
          <w:kern w:val="22"/>
          <w:sz w:val="22"/>
          <w:szCs w:val="22"/>
          <w:lang w:val="en-GB"/>
        </w:rPr>
        <w:t>tion</w:t>
      </w:r>
      <w:r w:rsidR="001D5465" w:rsidRPr="007C26FA">
        <w:rPr>
          <w:bCs/>
          <w:iCs/>
          <w:snapToGrid w:val="0"/>
          <w:spacing w:val="-2"/>
          <w:kern w:val="22"/>
          <w:sz w:val="22"/>
          <w:szCs w:val="22"/>
          <w:lang w:val="en-GB"/>
        </w:rPr>
        <w:t>,</w:t>
      </w:r>
      <w:r w:rsidR="00E80E34" w:rsidRPr="007C26FA">
        <w:rPr>
          <w:bCs/>
          <w:iCs/>
          <w:snapToGrid w:val="0"/>
          <w:spacing w:val="-2"/>
          <w:kern w:val="22"/>
          <w:sz w:val="22"/>
          <w:szCs w:val="22"/>
          <w:lang w:val="en-GB"/>
        </w:rPr>
        <w:t xml:space="preserve"> while</w:t>
      </w:r>
      <w:r w:rsidRPr="007C26FA">
        <w:rPr>
          <w:bCs/>
          <w:iCs/>
          <w:snapToGrid w:val="0"/>
          <w:spacing w:val="-2"/>
          <w:kern w:val="22"/>
          <w:sz w:val="22"/>
          <w:szCs w:val="22"/>
          <w:lang w:val="en-GB"/>
        </w:rPr>
        <w:t xml:space="preserve"> </w:t>
      </w:r>
      <w:r w:rsidR="001478D3" w:rsidRPr="007C26FA">
        <w:rPr>
          <w:bCs/>
          <w:iCs/>
          <w:snapToGrid w:val="0"/>
          <w:spacing w:val="-2"/>
          <w:kern w:val="22"/>
          <w:sz w:val="22"/>
          <w:szCs w:val="22"/>
          <w:lang w:val="en-GB"/>
        </w:rPr>
        <w:t>s</w:t>
      </w:r>
      <w:r w:rsidRPr="007C26FA">
        <w:rPr>
          <w:bCs/>
          <w:iCs/>
          <w:snapToGrid w:val="0"/>
          <w:spacing w:val="-2"/>
          <w:kern w:val="22"/>
          <w:sz w:val="22"/>
          <w:szCs w:val="22"/>
          <w:lang w:val="en-GB"/>
        </w:rPr>
        <w:t>ection</w:t>
      </w:r>
      <w:r w:rsidR="00EB0F5D" w:rsidRPr="007C26FA">
        <w:rPr>
          <w:bCs/>
          <w:iCs/>
          <w:snapToGrid w:val="0"/>
          <w:spacing w:val="-2"/>
          <w:kern w:val="22"/>
          <w:sz w:val="22"/>
          <w:szCs w:val="22"/>
          <w:lang w:val="en-GB"/>
        </w:rPr>
        <w:t> </w:t>
      </w:r>
      <w:r w:rsidR="00F10015" w:rsidRPr="007C26FA">
        <w:rPr>
          <w:bCs/>
          <w:iCs/>
          <w:snapToGrid w:val="0"/>
          <w:spacing w:val="-2"/>
          <w:kern w:val="22"/>
          <w:sz w:val="22"/>
          <w:szCs w:val="22"/>
          <w:lang w:val="en-GB"/>
        </w:rPr>
        <w:t>IV</w:t>
      </w:r>
      <w:r w:rsidRPr="007C26FA">
        <w:rPr>
          <w:bCs/>
          <w:iCs/>
          <w:snapToGrid w:val="0"/>
          <w:spacing w:val="-2"/>
          <w:kern w:val="22"/>
          <w:sz w:val="22"/>
          <w:szCs w:val="22"/>
          <w:lang w:val="en-GB"/>
        </w:rPr>
        <w:t xml:space="preserve"> </w:t>
      </w:r>
      <w:r w:rsidR="00DB148C" w:rsidRPr="007C26FA">
        <w:rPr>
          <w:bCs/>
          <w:iCs/>
          <w:snapToGrid w:val="0"/>
          <w:spacing w:val="-2"/>
          <w:kern w:val="22"/>
          <w:sz w:val="22"/>
          <w:szCs w:val="22"/>
          <w:lang w:val="en-GB"/>
        </w:rPr>
        <w:t>suggests</w:t>
      </w:r>
      <w:r w:rsidR="0000339A" w:rsidRPr="007C26FA">
        <w:rPr>
          <w:bCs/>
          <w:iCs/>
          <w:snapToGrid w:val="0"/>
          <w:spacing w:val="-2"/>
          <w:kern w:val="22"/>
          <w:sz w:val="22"/>
          <w:szCs w:val="22"/>
          <w:lang w:val="en-GB"/>
        </w:rPr>
        <w:t xml:space="preserve"> </w:t>
      </w:r>
      <w:r w:rsidR="00F10015" w:rsidRPr="007C26FA">
        <w:rPr>
          <w:bCs/>
          <w:iCs/>
          <w:snapToGrid w:val="0"/>
          <w:spacing w:val="-2"/>
          <w:kern w:val="22"/>
          <w:sz w:val="22"/>
          <w:szCs w:val="22"/>
          <w:lang w:val="en-GB"/>
        </w:rPr>
        <w:t xml:space="preserve">elements of a </w:t>
      </w:r>
      <w:r w:rsidR="0000339A" w:rsidRPr="007C26FA">
        <w:rPr>
          <w:bCs/>
          <w:iCs/>
          <w:snapToGrid w:val="0"/>
          <w:spacing w:val="-2"/>
          <w:kern w:val="22"/>
          <w:sz w:val="22"/>
          <w:szCs w:val="22"/>
          <w:lang w:val="en-GB"/>
        </w:rPr>
        <w:t xml:space="preserve">proposal for a further request </w:t>
      </w:r>
      <w:r w:rsidR="00F10015" w:rsidRPr="007C26FA">
        <w:rPr>
          <w:bCs/>
          <w:iCs/>
          <w:snapToGrid w:val="0"/>
          <w:spacing w:val="-2"/>
          <w:kern w:val="22"/>
          <w:sz w:val="22"/>
          <w:szCs w:val="22"/>
          <w:lang w:val="en-GB"/>
        </w:rPr>
        <w:t xml:space="preserve">by the Convention </w:t>
      </w:r>
      <w:r w:rsidR="0000339A" w:rsidRPr="007C26FA">
        <w:rPr>
          <w:bCs/>
          <w:iCs/>
          <w:snapToGrid w:val="0"/>
          <w:spacing w:val="-2"/>
          <w:kern w:val="22"/>
          <w:sz w:val="22"/>
          <w:szCs w:val="22"/>
          <w:lang w:val="en-GB"/>
        </w:rPr>
        <w:t xml:space="preserve">to be considered for inclusion in the </w:t>
      </w:r>
      <w:r w:rsidR="00F10015" w:rsidRPr="007C26FA">
        <w:rPr>
          <w:bCs/>
          <w:iCs/>
          <w:snapToGrid w:val="0"/>
          <w:spacing w:val="-2"/>
          <w:kern w:val="22"/>
          <w:sz w:val="22"/>
          <w:szCs w:val="22"/>
          <w:lang w:val="en-GB"/>
        </w:rPr>
        <w:t xml:space="preserve">work </w:t>
      </w:r>
      <w:r w:rsidR="0000339A" w:rsidRPr="007C26FA">
        <w:rPr>
          <w:bCs/>
          <w:iCs/>
          <w:snapToGrid w:val="0"/>
          <w:spacing w:val="-2"/>
          <w:kern w:val="22"/>
          <w:sz w:val="22"/>
          <w:szCs w:val="22"/>
          <w:lang w:val="en-GB"/>
        </w:rPr>
        <w:t xml:space="preserve">programme. </w:t>
      </w:r>
      <w:r w:rsidR="00F10015" w:rsidRPr="007C26FA">
        <w:rPr>
          <w:bCs/>
          <w:iCs/>
          <w:snapToGrid w:val="0"/>
          <w:spacing w:val="-2"/>
          <w:kern w:val="22"/>
          <w:sz w:val="22"/>
          <w:szCs w:val="22"/>
          <w:lang w:val="en-GB"/>
        </w:rPr>
        <w:t>S</w:t>
      </w:r>
      <w:r w:rsidR="00DD1AA0" w:rsidRPr="007C26FA">
        <w:rPr>
          <w:bCs/>
          <w:iCs/>
          <w:snapToGrid w:val="0"/>
          <w:spacing w:val="-2"/>
          <w:kern w:val="22"/>
          <w:sz w:val="22"/>
          <w:szCs w:val="22"/>
          <w:lang w:val="en-GB"/>
        </w:rPr>
        <w:t>ection</w:t>
      </w:r>
      <w:r w:rsidR="00EB0F5D" w:rsidRPr="007C26FA">
        <w:rPr>
          <w:bCs/>
          <w:iCs/>
          <w:snapToGrid w:val="0"/>
          <w:spacing w:val="-2"/>
          <w:kern w:val="22"/>
          <w:sz w:val="22"/>
          <w:szCs w:val="22"/>
          <w:lang w:val="en-GB"/>
        </w:rPr>
        <w:t> </w:t>
      </w:r>
      <w:r w:rsidR="00DD1AA0" w:rsidRPr="007C26FA">
        <w:rPr>
          <w:bCs/>
          <w:iCs/>
          <w:snapToGrid w:val="0"/>
          <w:spacing w:val="-2"/>
          <w:kern w:val="22"/>
          <w:sz w:val="22"/>
          <w:szCs w:val="22"/>
          <w:lang w:val="en-GB"/>
        </w:rPr>
        <w:t xml:space="preserve">V provides </w:t>
      </w:r>
      <w:r w:rsidR="0018199C" w:rsidRPr="007C26FA">
        <w:rPr>
          <w:bCs/>
          <w:iCs/>
          <w:snapToGrid w:val="0"/>
          <w:spacing w:val="-2"/>
          <w:kern w:val="22"/>
          <w:sz w:val="22"/>
          <w:szCs w:val="22"/>
          <w:lang w:val="en-GB"/>
        </w:rPr>
        <w:t xml:space="preserve">a </w:t>
      </w:r>
      <w:r w:rsidR="00D941B0" w:rsidRPr="007C26FA">
        <w:rPr>
          <w:bCs/>
          <w:iCs/>
          <w:snapToGrid w:val="0"/>
          <w:spacing w:val="-2"/>
          <w:kern w:val="22"/>
          <w:sz w:val="22"/>
          <w:szCs w:val="22"/>
          <w:lang w:val="en-GB"/>
        </w:rPr>
        <w:t>draft recommendation</w:t>
      </w:r>
      <w:r w:rsidR="00DD1AA0" w:rsidRPr="007C26FA">
        <w:rPr>
          <w:bCs/>
          <w:iCs/>
          <w:snapToGrid w:val="0"/>
          <w:spacing w:val="-2"/>
          <w:kern w:val="22"/>
          <w:sz w:val="22"/>
          <w:szCs w:val="22"/>
          <w:lang w:val="en-GB"/>
        </w:rPr>
        <w:t xml:space="preserve"> </w:t>
      </w:r>
      <w:r w:rsidR="00770DB1" w:rsidRPr="007C26FA">
        <w:rPr>
          <w:bCs/>
          <w:iCs/>
          <w:snapToGrid w:val="0"/>
          <w:spacing w:val="-2"/>
          <w:kern w:val="22"/>
          <w:sz w:val="22"/>
          <w:szCs w:val="22"/>
          <w:lang w:val="en-GB"/>
        </w:rPr>
        <w:t>for consideration by the Subsidiary Body on Scientific, Technical and Technological Advice</w:t>
      </w:r>
      <w:r w:rsidR="00DD1AA0" w:rsidRPr="007C26FA">
        <w:rPr>
          <w:bCs/>
          <w:iCs/>
          <w:snapToGrid w:val="0"/>
          <w:spacing w:val="-2"/>
          <w:kern w:val="22"/>
          <w:sz w:val="22"/>
          <w:szCs w:val="22"/>
          <w:lang w:val="en-GB"/>
        </w:rPr>
        <w:t>.</w:t>
      </w:r>
    </w:p>
    <w:p w14:paraId="637B2495" w14:textId="632A5954" w:rsidR="00AF7872" w:rsidRPr="0044638A" w:rsidRDefault="00AF7872"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Th</w:t>
      </w:r>
      <w:r w:rsidR="004423B8" w:rsidRPr="0044638A">
        <w:rPr>
          <w:bCs/>
          <w:iCs/>
          <w:snapToGrid w:val="0"/>
          <w:kern w:val="22"/>
          <w:sz w:val="22"/>
          <w:szCs w:val="22"/>
          <w:lang w:val="en-GB"/>
        </w:rPr>
        <w:t>e present</w:t>
      </w:r>
      <w:r w:rsidRPr="0044638A">
        <w:rPr>
          <w:bCs/>
          <w:iCs/>
          <w:snapToGrid w:val="0"/>
          <w:kern w:val="22"/>
          <w:sz w:val="22"/>
          <w:szCs w:val="22"/>
          <w:lang w:val="en-GB"/>
        </w:rPr>
        <w:t xml:space="preserve"> document is supported by an information document prepared by the IPBES Secretariat providing detailed information on progress in the </w:t>
      </w:r>
      <w:r w:rsidR="00FA57F2" w:rsidRPr="0044638A">
        <w:rPr>
          <w:bCs/>
          <w:iCs/>
          <w:snapToGrid w:val="0"/>
          <w:kern w:val="22"/>
          <w:sz w:val="22"/>
          <w:szCs w:val="22"/>
          <w:lang w:val="en-GB"/>
        </w:rPr>
        <w:t>implementation</w:t>
      </w:r>
      <w:r w:rsidRPr="0044638A">
        <w:rPr>
          <w:bCs/>
          <w:iCs/>
          <w:snapToGrid w:val="0"/>
          <w:kern w:val="22"/>
          <w:sz w:val="22"/>
          <w:szCs w:val="22"/>
          <w:lang w:val="en-GB"/>
        </w:rPr>
        <w:t xml:space="preserve"> of the IPBES work</w:t>
      </w:r>
      <w:r w:rsidR="00FA57F2" w:rsidRPr="0044638A">
        <w:rPr>
          <w:bCs/>
          <w:iCs/>
          <w:snapToGrid w:val="0"/>
          <w:kern w:val="22"/>
          <w:sz w:val="22"/>
          <w:szCs w:val="22"/>
          <w:lang w:val="en-GB"/>
        </w:rPr>
        <w:t xml:space="preserve"> </w:t>
      </w:r>
      <w:r w:rsidRPr="0044638A">
        <w:rPr>
          <w:bCs/>
          <w:iCs/>
          <w:snapToGrid w:val="0"/>
          <w:kern w:val="22"/>
          <w:sz w:val="22"/>
          <w:szCs w:val="22"/>
          <w:lang w:val="en-GB"/>
        </w:rPr>
        <w:t>pr</w:t>
      </w:r>
      <w:r w:rsidR="00FA57F2" w:rsidRPr="0044638A">
        <w:rPr>
          <w:bCs/>
          <w:iCs/>
          <w:snapToGrid w:val="0"/>
          <w:kern w:val="22"/>
          <w:sz w:val="22"/>
          <w:szCs w:val="22"/>
          <w:lang w:val="en-GB"/>
        </w:rPr>
        <w:t>o</w:t>
      </w:r>
      <w:r w:rsidRPr="0044638A">
        <w:rPr>
          <w:bCs/>
          <w:iCs/>
          <w:snapToGrid w:val="0"/>
          <w:kern w:val="22"/>
          <w:sz w:val="22"/>
          <w:szCs w:val="22"/>
          <w:lang w:val="en-GB"/>
        </w:rPr>
        <w:t>g</w:t>
      </w:r>
      <w:r w:rsidR="00FA57F2" w:rsidRPr="0044638A">
        <w:rPr>
          <w:bCs/>
          <w:iCs/>
          <w:snapToGrid w:val="0"/>
          <w:kern w:val="22"/>
          <w:sz w:val="22"/>
          <w:szCs w:val="22"/>
          <w:lang w:val="en-GB"/>
        </w:rPr>
        <w:t>r</w:t>
      </w:r>
      <w:r w:rsidRPr="0044638A">
        <w:rPr>
          <w:bCs/>
          <w:iCs/>
          <w:snapToGrid w:val="0"/>
          <w:kern w:val="22"/>
          <w:sz w:val="22"/>
          <w:szCs w:val="22"/>
          <w:lang w:val="en-GB"/>
        </w:rPr>
        <w:t>amme (CBD/SBSTTA/24/INF</w:t>
      </w:r>
      <w:r w:rsidR="00573D5D" w:rsidRPr="0044638A">
        <w:rPr>
          <w:bCs/>
          <w:iCs/>
          <w:snapToGrid w:val="0"/>
          <w:kern w:val="22"/>
          <w:sz w:val="22"/>
          <w:szCs w:val="22"/>
          <w:lang w:val="en-GB"/>
        </w:rPr>
        <w:t xml:space="preserve">/17). </w:t>
      </w:r>
      <w:r w:rsidR="005C2E3E" w:rsidRPr="0044638A">
        <w:rPr>
          <w:bCs/>
          <w:iCs/>
          <w:snapToGrid w:val="0"/>
          <w:kern w:val="22"/>
          <w:sz w:val="22"/>
          <w:szCs w:val="22"/>
          <w:lang w:val="en-GB"/>
        </w:rPr>
        <w:t>An information document prepared for the twenty</w:t>
      </w:r>
      <w:r w:rsidR="008157A2" w:rsidRPr="0044638A">
        <w:rPr>
          <w:bCs/>
          <w:iCs/>
          <w:snapToGrid w:val="0"/>
          <w:kern w:val="22"/>
          <w:sz w:val="22"/>
          <w:szCs w:val="22"/>
          <w:lang w:val="en-GB"/>
        </w:rPr>
        <w:t>-</w:t>
      </w:r>
      <w:r w:rsidR="005C2E3E" w:rsidRPr="0044638A">
        <w:rPr>
          <w:bCs/>
          <w:iCs/>
          <w:snapToGrid w:val="0"/>
          <w:kern w:val="22"/>
          <w:sz w:val="22"/>
          <w:szCs w:val="22"/>
          <w:lang w:val="en-GB"/>
        </w:rPr>
        <w:t>third meeting of the Subsidiary Body on Scientific, Technical and Technological Advice (CBD/SBSTTA/23/INF/16) is also relevant in this regard.</w:t>
      </w:r>
    </w:p>
    <w:p w14:paraId="78C71DCD" w14:textId="6BA942EB" w:rsidR="00AF7872" w:rsidRPr="007C26FA" w:rsidRDefault="007B5AA5" w:rsidP="00766960">
      <w:pPr>
        <w:pStyle w:val="ListParagraph"/>
        <w:keepNext/>
        <w:numPr>
          <w:ilvl w:val="0"/>
          <w:numId w:val="14"/>
        </w:numPr>
        <w:suppressLineNumbers/>
        <w:suppressAutoHyphens/>
        <w:kinsoku w:val="0"/>
        <w:overflowPunct w:val="0"/>
        <w:autoSpaceDE w:val="0"/>
        <w:autoSpaceDN w:val="0"/>
        <w:adjustRightInd w:val="0"/>
        <w:snapToGrid w:val="0"/>
        <w:spacing w:before="120" w:after="120" w:line="235" w:lineRule="auto"/>
        <w:ind w:left="1276" w:hanging="567"/>
        <w:contextualSpacing w:val="0"/>
        <w:outlineLvl w:val="0"/>
        <w:rPr>
          <w:b/>
          <w:bCs/>
          <w:caps/>
          <w:snapToGrid w:val="0"/>
          <w:kern w:val="22"/>
          <w:sz w:val="22"/>
          <w:szCs w:val="22"/>
          <w:lang w:val="en-GB"/>
        </w:rPr>
      </w:pPr>
      <w:r w:rsidRPr="007C26FA">
        <w:rPr>
          <w:b/>
          <w:bCs/>
          <w:caps/>
          <w:snapToGrid w:val="0"/>
          <w:kern w:val="22"/>
          <w:sz w:val="22"/>
          <w:szCs w:val="22"/>
          <w:lang w:val="en-GB"/>
        </w:rPr>
        <w:t>S</w:t>
      </w:r>
      <w:r w:rsidR="00AF7872" w:rsidRPr="007C26FA">
        <w:rPr>
          <w:b/>
          <w:bCs/>
          <w:caps/>
          <w:snapToGrid w:val="0"/>
          <w:kern w:val="22"/>
          <w:sz w:val="22"/>
          <w:szCs w:val="22"/>
          <w:lang w:val="en-GB"/>
        </w:rPr>
        <w:t xml:space="preserve">ystematic consideration of deliverables of the Platform by the </w:t>
      </w:r>
      <w:r w:rsidRPr="007C26FA">
        <w:rPr>
          <w:b/>
          <w:bCs/>
          <w:caps/>
          <w:snapToGrid w:val="0"/>
          <w:kern w:val="22"/>
          <w:sz w:val="22"/>
          <w:szCs w:val="22"/>
          <w:lang w:val="en-GB"/>
        </w:rPr>
        <w:t>S</w:t>
      </w:r>
      <w:r w:rsidR="00AF7872" w:rsidRPr="007C26FA">
        <w:rPr>
          <w:b/>
          <w:bCs/>
          <w:caps/>
          <w:snapToGrid w:val="0"/>
          <w:kern w:val="22"/>
          <w:sz w:val="22"/>
          <w:szCs w:val="22"/>
          <w:lang w:val="en-GB"/>
        </w:rPr>
        <w:t xml:space="preserve">ubsidiary </w:t>
      </w:r>
      <w:r w:rsidRPr="007C26FA">
        <w:rPr>
          <w:b/>
          <w:bCs/>
          <w:caps/>
          <w:snapToGrid w:val="0"/>
          <w:kern w:val="22"/>
          <w:sz w:val="22"/>
          <w:szCs w:val="22"/>
          <w:lang w:val="en-GB"/>
        </w:rPr>
        <w:t>B</w:t>
      </w:r>
      <w:r w:rsidR="00AF7872" w:rsidRPr="007C26FA">
        <w:rPr>
          <w:b/>
          <w:bCs/>
          <w:caps/>
          <w:snapToGrid w:val="0"/>
          <w:kern w:val="22"/>
          <w:sz w:val="22"/>
          <w:szCs w:val="22"/>
          <w:lang w:val="en-GB"/>
        </w:rPr>
        <w:t>ody</w:t>
      </w:r>
    </w:p>
    <w:p w14:paraId="09CF2881" w14:textId="4218B7F2" w:rsidR="00AF7872" w:rsidRPr="007C26FA" w:rsidRDefault="00901817"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spacing w:val="-2"/>
          <w:kern w:val="22"/>
          <w:sz w:val="22"/>
          <w:szCs w:val="22"/>
          <w:lang w:val="en-GB"/>
        </w:rPr>
      </w:pPr>
      <w:r w:rsidRPr="007C26FA">
        <w:rPr>
          <w:bCs/>
          <w:iCs/>
          <w:snapToGrid w:val="0"/>
          <w:spacing w:val="-2"/>
          <w:kern w:val="22"/>
          <w:sz w:val="22"/>
          <w:szCs w:val="22"/>
          <w:lang w:val="en-GB"/>
        </w:rPr>
        <w:t>Decision XII/25 of</w:t>
      </w:r>
      <w:r w:rsidR="00AF7872" w:rsidRPr="007C26FA">
        <w:rPr>
          <w:bCs/>
          <w:iCs/>
          <w:snapToGrid w:val="0"/>
          <w:spacing w:val="-2"/>
          <w:kern w:val="22"/>
          <w:sz w:val="22"/>
          <w:szCs w:val="22"/>
          <w:lang w:val="en-GB"/>
        </w:rPr>
        <w:t xml:space="preserve"> the Conference of the Parties </w:t>
      </w:r>
      <w:r w:rsidRPr="007C26FA">
        <w:rPr>
          <w:bCs/>
          <w:iCs/>
          <w:snapToGrid w:val="0"/>
          <w:spacing w:val="-2"/>
          <w:kern w:val="22"/>
          <w:sz w:val="22"/>
          <w:szCs w:val="22"/>
          <w:lang w:val="en-GB"/>
        </w:rPr>
        <w:t>alre</w:t>
      </w:r>
      <w:r w:rsidR="00727964" w:rsidRPr="007C26FA">
        <w:rPr>
          <w:bCs/>
          <w:iCs/>
          <w:snapToGrid w:val="0"/>
          <w:spacing w:val="-2"/>
          <w:kern w:val="22"/>
          <w:sz w:val="22"/>
          <w:szCs w:val="22"/>
          <w:lang w:val="en-GB"/>
        </w:rPr>
        <w:t>a</w:t>
      </w:r>
      <w:r w:rsidRPr="007C26FA">
        <w:rPr>
          <w:bCs/>
          <w:iCs/>
          <w:snapToGrid w:val="0"/>
          <w:spacing w:val="-2"/>
          <w:kern w:val="22"/>
          <w:sz w:val="22"/>
          <w:szCs w:val="22"/>
          <w:lang w:val="en-GB"/>
        </w:rPr>
        <w:t xml:space="preserve">dy sets out modalities for the work of the Executive </w:t>
      </w:r>
      <w:r w:rsidR="00FA57F2" w:rsidRPr="007C26FA">
        <w:rPr>
          <w:bCs/>
          <w:iCs/>
          <w:snapToGrid w:val="0"/>
          <w:spacing w:val="-2"/>
          <w:kern w:val="22"/>
          <w:sz w:val="22"/>
          <w:szCs w:val="22"/>
          <w:lang w:val="en-GB"/>
        </w:rPr>
        <w:t>Secretary</w:t>
      </w:r>
      <w:r w:rsidRPr="007C26FA">
        <w:rPr>
          <w:bCs/>
          <w:iCs/>
          <w:snapToGrid w:val="0"/>
          <w:spacing w:val="-2"/>
          <w:kern w:val="22"/>
          <w:sz w:val="22"/>
          <w:szCs w:val="22"/>
          <w:lang w:val="en-GB"/>
        </w:rPr>
        <w:t>, the Subsidi</w:t>
      </w:r>
      <w:r w:rsidR="00FA57F2" w:rsidRPr="007C26FA">
        <w:rPr>
          <w:bCs/>
          <w:iCs/>
          <w:snapToGrid w:val="0"/>
          <w:spacing w:val="-2"/>
          <w:kern w:val="22"/>
          <w:sz w:val="22"/>
          <w:szCs w:val="22"/>
          <w:lang w:val="en-GB"/>
        </w:rPr>
        <w:t>a</w:t>
      </w:r>
      <w:r w:rsidRPr="007C26FA">
        <w:rPr>
          <w:bCs/>
          <w:iCs/>
          <w:snapToGrid w:val="0"/>
          <w:spacing w:val="-2"/>
          <w:kern w:val="22"/>
          <w:sz w:val="22"/>
          <w:szCs w:val="22"/>
          <w:lang w:val="en-GB"/>
        </w:rPr>
        <w:t xml:space="preserve">ry Body and its Chair, and the Conference of the Parties </w:t>
      </w:r>
      <w:r w:rsidR="002E46E7" w:rsidRPr="007C26FA">
        <w:rPr>
          <w:bCs/>
          <w:iCs/>
          <w:snapToGrid w:val="0"/>
          <w:spacing w:val="-2"/>
          <w:kern w:val="22"/>
          <w:sz w:val="22"/>
          <w:szCs w:val="22"/>
          <w:lang w:val="en-GB"/>
        </w:rPr>
        <w:t xml:space="preserve">itself, providing for </w:t>
      </w:r>
      <w:r w:rsidR="002E46E7" w:rsidRPr="007C26FA">
        <w:rPr>
          <w:bCs/>
          <w:iCs/>
          <w:snapToGrid w:val="0"/>
          <w:spacing w:val="-2"/>
          <w:kern w:val="22"/>
          <w:sz w:val="22"/>
          <w:szCs w:val="22"/>
          <w:lang w:val="en-GB"/>
        </w:rPr>
        <w:lastRenderedPageBreak/>
        <w:t>the Subsidi</w:t>
      </w:r>
      <w:r w:rsidR="00FA57F2" w:rsidRPr="007C26FA">
        <w:rPr>
          <w:bCs/>
          <w:iCs/>
          <w:snapToGrid w:val="0"/>
          <w:spacing w:val="-2"/>
          <w:kern w:val="22"/>
          <w:sz w:val="22"/>
          <w:szCs w:val="22"/>
          <w:lang w:val="en-GB"/>
        </w:rPr>
        <w:t>a</w:t>
      </w:r>
      <w:r w:rsidR="002E46E7" w:rsidRPr="007C26FA">
        <w:rPr>
          <w:bCs/>
          <w:iCs/>
          <w:snapToGrid w:val="0"/>
          <w:spacing w:val="-2"/>
          <w:kern w:val="22"/>
          <w:sz w:val="22"/>
          <w:szCs w:val="22"/>
          <w:lang w:val="en-GB"/>
        </w:rPr>
        <w:t>ry Body to submit to the Conference of the Parties proposals for the IPBES work programme and recommendations (para</w:t>
      </w:r>
      <w:r w:rsidR="005B4189" w:rsidRPr="007C26FA">
        <w:rPr>
          <w:bCs/>
          <w:iCs/>
          <w:snapToGrid w:val="0"/>
          <w:spacing w:val="-2"/>
          <w:kern w:val="22"/>
          <w:sz w:val="22"/>
          <w:szCs w:val="22"/>
          <w:lang w:val="en-GB"/>
        </w:rPr>
        <w:t>.</w:t>
      </w:r>
      <w:r w:rsidR="00696A6E" w:rsidRPr="007C26FA">
        <w:rPr>
          <w:bCs/>
          <w:iCs/>
          <w:snapToGrid w:val="0"/>
          <w:spacing w:val="-2"/>
          <w:kern w:val="22"/>
          <w:sz w:val="22"/>
          <w:szCs w:val="22"/>
          <w:lang w:val="en-GB"/>
        </w:rPr>
        <w:t> </w:t>
      </w:r>
      <w:r w:rsidR="002E46E7" w:rsidRPr="007C26FA">
        <w:rPr>
          <w:bCs/>
          <w:iCs/>
          <w:snapToGrid w:val="0"/>
          <w:spacing w:val="-2"/>
          <w:kern w:val="22"/>
          <w:sz w:val="22"/>
          <w:szCs w:val="22"/>
          <w:lang w:val="en-GB"/>
        </w:rPr>
        <w:t>1)</w:t>
      </w:r>
      <w:r w:rsidR="00DB148C" w:rsidRPr="007C26FA">
        <w:rPr>
          <w:bCs/>
          <w:iCs/>
          <w:snapToGrid w:val="0"/>
          <w:spacing w:val="-2"/>
          <w:kern w:val="22"/>
          <w:sz w:val="22"/>
          <w:szCs w:val="22"/>
          <w:lang w:val="en-GB"/>
        </w:rPr>
        <w:t>,</w:t>
      </w:r>
      <w:r w:rsidR="002E46E7" w:rsidRPr="007C26FA">
        <w:rPr>
          <w:bCs/>
          <w:iCs/>
          <w:snapToGrid w:val="0"/>
          <w:spacing w:val="-2"/>
          <w:kern w:val="22"/>
          <w:sz w:val="22"/>
          <w:szCs w:val="22"/>
          <w:lang w:val="en-GB"/>
        </w:rPr>
        <w:t xml:space="preserve"> and to exchange scientific and technical information with the Platform (para</w:t>
      </w:r>
      <w:r w:rsidR="00573D5D" w:rsidRPr="007C26FA">
        <w:rPr>
          <w:bCs/>
          <w:iCs/>
          <w:snapToGrid w:val="0"/>
          <w:spacing w:val="-2"/>
          <w:kern w:val="22"/>
          <w:sz w:val="22"/>
          <w:szCs w:val="22"/>
          <w:lang w:val="en-GB"/>
        </w:rPr>
        <w:t>.</w:t>
      </w:r>
      <w:r w:rsidR="00696A6E" w:rsidRPr="007C26FA">
        <w:rPr>
          <w:bCs/>
          <w:iCs/>
          <w:snapToGrid w:val="0"/>
          <w:spacing w:val="-2"/>
          <w:kern w:val="22"/>
          <w:sz w:val="22"/>
          <w:szCs w:val="22"/>
          <w:lang w:val="en-GB"/>
        </w:rPr>
        <w:t> </w:t>
      </w:r>
      <w:r w:rsidR="002E46E7" w:rsidRPr="007C26FA">
        <w:rPr>
          <w:bCs/>
          <w:iCs/>
          <w:snapToGrid w:val="0"/>
          <w:spacing w:val="-2"/>
          <w:kern w:val="22"/>
          <w:sz w:val="22"/>
          <w:szCs w:val="22"/>
          <w:lang w:val="en-GB"/>
        </w:rPr>
        <w:t>2).</w:t>
      </w:r>
    </w:p>
    <w:p w14:paraId="16C3CD4A" w14:textId="2259B0E7" w:rsidR="00A71B8D" w:rsidRPr="000F3468" w:rsidRDefault="00C7654B"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0F3468">
        <w:rPr>
          <w:bCs/>
          <w:iCs/>
          <w:snapToGrid w:val="0"/>
          <w:kern w:val="22"/>
          <w:sz w:val="22"/>
          <w:szCs w:val="22"/>
          <w:lang w:val="en-GB"/>
        </w:rPr>
        <w:t>In line with</w:t>
      </w:r>
      <w:r w:rsidR="00AF7872" w:rsidRPr="000F3468">
        <w:rPr>
          <w:bCs/>
          <w:iCs/>
          <w:snapToGrid w:val="0"/>
          <w:kern w:val="22"/>
          <w:sz w:val="22"/>
          <w:szCs w:val="22"/>
          <w:lang w:val="en-GB"/>
        </w:rPr>
        <w:t xml:space="preserve"> </w:t>
      </w:r>
      <w:r w:rsidR="00901817" w:rsidRPr="000F3468">
        <w:rPr>
          <w:bCs/>
          <w:iCs/>
          <w:snapToGrid w:val="0"/>
          <w:kern w:val="22"/>
          <w:sz w:val="22"/>
          <w:szCs w:val="22"/>
          <w:lang w:val="en-GB"/>
        </w:rPr>
        <w:t xml:space="preserve">the modalities set out in paragraph </w:t>
      </w:r>
      <w:r w:rsidR="0093740F">
        <w:rPr>
          <w:bCs/>
          <w:iCs/>
          <w:snapToGrid w:val="0"/>
          <w:kern w:val="22"/>
          <w:sz w:val="22"/>
          <w:szCs w:val="22"/>
          <w:lang w:val="en-GB"/>
        </w:rPr>
        <w:t>5</w:t>
      </w:r>
      <w:r w:rsidR="00901817" w:rsidRPr="000F3468">
        <w:rPr>
          <w:bCs/>
          <w:iCs/>
          <w:snapToGrid w:val="0"/>
          <w:kern w:val="22"/>
          <w:sz w:val="22"/>
          <w:szCs w:val="22"/>
          <w:lang w:val="en-GB"/>
        </w:rPr>
        <w:t>(</w:t>
      </w:r>
      <w:r w:rsidR="00D12846">
        <w:rPr>
          <w:bCs/>
          <w:iCs/>
          <w:snapToGrid w:val="0"/>
          <w:kern w:val="22"/>
          <w:sz w:val="22"/>
          <w:szCs w:val="22"/>
          <w:lang w:val="en-GB"/>
        </w:rPr>
        <w:t>e</w:t>
      </w:r>
      <w:r w:rsidR="00901817" w:rsidRPr="000F3468">
        <w:rPr>
          <w:bCs/>
          <w:iCs/>
          <w:snapToGrid w:val="0"/>
          <w:kern w:val="22"/>
          <w:sz w:val="22"/>
          <w:szCs w:val="22"/>
          <w:lang w:val="en-GB"/>
        </w:rPr>
        <w:t xml:space="preserve">) of </w:t>
      </w:r>
      <w:r w:rsidR="00AF7872" w:rsidRPr="000F3468">
        <w:rPr>
          <w:bCs/>
          <w:iCs/>
          <w:snapToGrid w:val="0"/>
          <w:kern w:val="22"/>
          <w:sz w:val="22"/>
          <w:szCs w:val="22"/>
          <w:lang w:val="en-GB"/>
        </w:rPr>
        <w:t xml:space="preserve">decision </w:t>
      </w:r>
      <w:r w:rsidR="00FA57F2" w:rsidRPr="000F3468">
        <w:rPr>
          <w:bCs/>
          <w:iCs/>
          <w:snapToGrid w:val="0"/>
          <w:kern w:val="22"/>
          <w:sz w:val="22"/>
          <w:szCs w:val="22"/>
          <w:lang w:val="en-GB"/>
        </w:rPr>
        <w:t>XII</w:t>
      </w:r>
      <w:r w:rsidR="00AF7872" w:rsidRPr="000F3468">
        <w:rPr>
          <w:bCs/>
          <w:iCs/>
          <w:snapToGrid w:val="0"/>
          <w:kern w:val="22"/>
          <w:sz w:val="22"/>
          <w:szCs w:val="22"/>
          <w:lang w:val="en-GB"/>
        </w:rPr>
        <w:t xml:space="preserve">/25, the Executive Secretary </w:t>
      </w:r>
      <w:r w:rsidRPr="000F3468">
        <w:rPr>
          <w:bCs/>
          <w:iCs/>
          <w:snapToGrid w:val="0"/>
          <w:kern w:val="22"/>
          <w:sz w:val="22"/>
          <w:szCs w:val="22"/>
          <w:lang w:val="en-GB"/>
        </w:rPr>
        <w:t>has</w:t>
      </w:r>
      <w:r w:rsidR="00AF7872" w:rsidRPr="000F3468">
        <w:rPr>
          <w:bCs/>
          <w:iCs/>
          <w:snapToGrid w:val="0"/>
          <w:kern w:val="22"/>
          <w:sz w:val="22"/>
          <w:szCs w:val="22"/>
          <w:lang w:val="en-GB"/>
        </w:rPr>
        <w:t xml:space="preserve"> </w:t>
      </w:r>
      <w:r w:rsidRPr="000F3468">
        <w:rPr>
          <w:bCs/>
          <w:iCs/>
          <w:snapToGrid w:val="0"/>
          <w:kern w:val="22"/>
          <w:sz w:val="22"/>
          <w:szCs w:val="22"/>
          <w:lang w:val="en-GB"/>
        </w:rPr>
        <w:t>brought</w:t>
      </w:r>
      <w:r w:rsidR="00AF7872" w:rsidRPr="000F3468">
        <w:rPr>
          <w:bCs/>
          <w:iCs/>
          <w:snapToGrid w:val="0"/>
          <w:kern w:val="22"/>
          <w:sz w:val="22"/>
          <w:szCs w:val="22"/>
          <w:lang w:val="en-GB"/>
        </w:rPr>
        <w:t xml:space="preserve"> the </w:t>
      </w:r>
      <w:r w:rsidRPr="000F3468">
        <w:rPr>
          <w:bCs/>
          <w:iCs/>
          <w:snapToGrid w:val="0"/>
          <w:kern w:val="22"/>
          <w:sz w:val="22"/>
          <w:szCs w:val="22"/>
          <w:lang w:val="en-GB"/>
        </w:rPr>
        <w:t xml:space="preserve">completed </w:t>
      </w:r>
      <w:r w:rsidR="00AE26E4" w:rsidRPr="000F3468">
        <w:rPr>
          <w:bCs/>
          <w:iCs/>
          <w:snapToGrid w:val="0"/>
          <w:kern w:val="22"/>
          <w:sz w:val="22"/>
          <w:szCs w:val="22"/>
          <w:lang w:val="en-GB"/>
        </w:rPr>
        <w:t>a</w:t>
      </w:r>
      <w:r w:rsidRPr="000F3468">
        <w:rPr>
          <w:bCs/>
          <w:iCs/>
          <w:snapToGrid w:val="0"/>
          <w:kern w:val="22"/>
          <w:sz w:val="22"/>
          <w:szCs w:val="22"/>
          <w:lang w:val="en-GB"/>
        </w:rPr>
        <w:t xml:space="preserve">ssessment </w:t>
      </w:r>
      <w:r w:rsidR="00AE26E4" w:rsidRPr="000F3468">
        <w:rPr>
          <w:bCs/>
          <w:iCs/>
          <w:snapToGrid w:val="0"/>
          <w:kern w:val="22"/>
          <w:sz w:val="22"/>
          <w:szCs w:val="22"/>
          <w:lang w:val="en-GB"/>
        </w:rPr>
        <w:t>r</w:t>
      </w:r>
      <w:r w:rsidRPr="000F3468">
        <w:rPr>
          <w:bCs/>
          <w:iCs/>
          <w:snapToGrid w:val="0"/>
          <w:kern w:val="22"/>
          <w:sz w:val="22"/>
          <w:szCs w:val="22"/>
          <w:lang w:val="en-GB"/>
        </w:rPr>
        <w:t>eports</w:t>
      </w:r>
      <w:r w:rsidR="00AF7872" w:rsidRPr="000F3468">
        <w:rPr>
          <w:bCs/>
          <w:iCs/>
          <w:snapToGrid w:val="0"/>
          <w:kern w:val="22"/>
          <w:sz w:val="22"/>
          <w:szCs w:val="22"/>
          <w:lang w:val="en-GB"/>
        </w:rPr>
        <w:t xml:space="preserve"> of the Platform to the attention of the Subsidiary Body for its consideration with regard to the relevance of the findings for the work of the Convention, and for the development, as appropriate, of recommendations to the Conference of the Parties. </w:t>
      </w:r>
      <w:r w:rsidRPr="000F3468">
        <w:rPr>
          <w:bCs/>
          <w:iCs/>
          <w:snapToGrid w:val="0"/>
          <w:kern w:val="22"/>
          <w:sz w:val="22"/>
          <w:szCs w:val="22"/>
          <w:lang w:val="en-GB"/>
        </w:rPr>
        <w:t>On the advice of the Subsidiary Body, the Confer</w:t>
      </w:r>
      <w:r w:rsidR="00901817" w:rsidRPr="000F3468">
        <w:rPr>
          <w:bCs/>
          <w:iCs/>
          <w:snapToGrid w:val="0"/>
          <w:kern w:val="22"/>
          <w:sz w:val="22"/>
          <w:szCs w:val="22"/>
          <w:lang w:val="en-GB"/>
        </w:rPr>
        <w:t>e</w:t>
      </w:r>
      <w:r w:rsidRPr="000F3468">
        <w:rPr>
          <w:bCs/>
          <w:iCs/>
          <w:snapToGrid w:val="0"/>
          <w:kern w:val="22"/>
          <w:sz w:val="22"/>
          <w:szCs w:val="22"/>
          <w:lang w:val="en-GB"/>
        </w:rPr>
        <w:t xml:space="preserve">nce of the Parties has welcomed each of the </w:t>
      </w:r>
      <w:r w:rsidR="00AE26E4" w:rsidRPr="000F3468">
        <w:rPr>
          <w:bCs/>
          <w:iCs/>
          <w:snapToGrid w:val="0"/>
          <w:kern w:val="22"/>
          <w:sz w:val="22"/>
          <w:szCs w:val="22"/>
          <w:lang w:val="en-GB"/>
        </w:rPr>
        <w:t>a</w:t>
      </w:r>
      <w:r w:rsidRPr="000F3468">
        <w:rPr>
          <w:bCs/>
          <w:iCs/>
          <w:snapToGrid w:val="0"/>
          <w:kern w:val="22"/>
          <w:sz w:val="22"/>
          <w:szCs w:val="22"/>
          <w:lang w:val="en-GB"/>
        </w:rPr>
        <w:t xml:space="preserve">ssessment </w:t>
      </w:r>
      <w:r w:rsidR="00AE26E4" w:rsidRPr="000F3468">
        <w:rPr>
          <w:bCs/>
          <w:iCs/>
          <w:snapToGrid w:val="0"/>
          <w:kern w:val="22"/>
          <w:sz w:val="22"/>
          <w:szCs w:val="22"/>
          <w:lang w:val="en-GB"/>
        </w:rPr>
        <w:t>r</w:t>
      </w:r>
      <w:r w:rsidRPr="000F3468">
        <w:rPr>
          <w:bCs/>
          <w:iCs/>
          <w:snapToGrid w:val="0"/>
          <w:kern w:val="22"/>
          <w:sz w:val="22"/>
          <w:szCs w:val="22"/>
          <w:lang w:val="en-GB"/>
        </w:rPr>
        <w:t xml:space="preserve">eports and </w:t>
      </w:r>
      <w:r w:rsidR="005C2E3E" w:rsidRPr="000F3468">
        <w:rPr>
          <w:bCs/>
          <w:iCs/>
          <w:snapToGrid w:val="0"/>
          <w:kern w:val="22"/>
          <w:sz w:val="22"/>
          <w:szCs w:val="22"/>
          <w:lang w:val="en-GB"/>
        </w:rPr>
        <w:t xml:space="preserve">endorsed or </w:t>
      </w:r>
      <w:r w:rsidRPr="000F3468">
        <w:rPr>
          <w:bCs/>
          <w:iCs/>
          <w:snapToGrid w:val="0"/>
          <w:kern w:val="22"/>
          <w:sz w:val="22"/>
          <w:szCs w:val="22"/>
          <w:lang w:val="en-GB"/>
        </w:rPr>
        <w:t xml:space="preserve">taken note of their findings. This process has also resulted in </w:t>
      </w:r>
      <w:proofErr w:type="gramStart"/>
      <w:r w:rsidRPr="000F3468">
        <w:rPr>
          <w:bCs/>
          <w:iCs/>
          <w:snapToGrid w:val="0"/>
          <w:kern w:val="22"/>
          <w:sz w:val="22"/>
          <w:szCs w:val="22"/>
          <w:lang w:val="en-GB"/>
        </w:rPr>
        <w:t>a number of</w:t>
      </w:r>
      <w:proofErr w:type="gramEnd"/>
      <w:r w:rsidRPr="000F3468">
        <w:rPr>
          <w:bCs/>
          <w:iCs/>
          <w:snapToGrid w:val="0"/>
          <w:kern w:val="22"/>
          <w:sz w:val="22"/>
          <w:szCs w:val="22"/>
          <w:lang w:val="en-GB"/>
        </w:rPr>
        <w:t xml:space="preserve"> concrete results (see </w:t>
      </w:r>
      <w:r w:rsidR="008D51F4" w:rsidRPr="000F3468">
        <w:rPr>
          <w:bCs/>
          <w:iCs/>
          <w:snapToGrid w:val="0"/>
          <w:kern w:val="22"/>
          <w:sz w:val="22"/>
          <w:szCs w:val="22"/>
          <w:lang w:val="en-GB"/>
        </w:rPr>
        <w:t>t</w:t>
      </w:r>
      <w:r w:rsidRPr="000F3468">
        <w:rPr>
          <w:bCs/>
          <w:iCs/>
          <w:snapToGrid w:val="0"/>
          <w:kern w:val="22"/>
          <w:sz w:val="22"/>
          <w:szCs w:val="22"/>
          <w:lang w:val="en-GB"/>
        </w:rPr>
        <w:t xml:space="preserve">able </w:t>
      </w:r>
      <w:r w:rsidR="000F3468" w:rsidRPr="007C26FA">
        <w:rPr>
          <w:bCs/>
          <w:iCs/>
          <w:snapToGrid w:val="0"/>
          <w:kern w:val="22"/>
          <w:sz w:val="22"/>
          <w:szCs w:val="22"/>
          <w:lang w:val="en-GB"/>
        </w:rPr>
        <w:t>below</w:t>
      </w:r>
      <w:r w:rsidRPr="000F3468">
        <w:rPr>
          <w:bCs/>
          <w:iCs/>
          <w:snapToGrid w:val="0"/>
          <w:kern w:val="22"/>
          <w:sz w:val="22"/>
          <w:szCs w:val="22"/>
          <w:lang w:val="en-GB"/>
        </w:rPr>
        <w:t>). For example</w:t>
      </w:r>
      <w:r w:rsidR="00AF7872" w:rsidRPr="000F3468">
        <w:rPr>
          <w:bCs/>
          <w:iCs/>
          <w:snapToGrid w:val="0"/>
          <w:kern w:val="22"/>
          <w:sz w:val="22"/>
          <w:szCs w:val="22"/>
          <w:lang w:val="en-GB"/>
        </w:rPr>
        <w:t>:</w:t>
      </w:r>
    </w:p>
    <w:p w14:paraId="5B1656CA" w14:textId="30DFBCD8" w:rsidR="00A71B8D" w:rsidRPr="0044638A" w:rsidRDefault="00A71B8D"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The Conference of the Parties developed comprehensive policy guidance on the conservation and sustainable use of pollinators (</w:t>
      </w:r>
      <w:r w:rsidR="00E43DEE" w:rsidRPr="0044638A">
        <w:rPr>
          <w:bCs/>
          <w:iCs/>
          <w:snapToGrid w:val="0"/>
          <w:kern w:val="22"/>
          <w:sz w:val="22"/>
          <w:szCs w:val="22"/>
          <w:lang w:val="en-GB"/>
        </w:rPr>
        <w:t xml:space="preserve">see </w:t>
      </w:r>
      <w:r w:rsidRPr="0044638A">
        <w:rPr>
          <w:bCs/>
          <w:iCs/>
          <w:snapToGrid w:val="0"/>
          <w:kern w:val="22"/>
          <w:sz w:val="22"/>
          <w:szCs w:val="22"/>
          <w:lang w:val="en-GB"/>
        </w:rPr>
        <w:t xml:space="preserve">decision </w:t>
      </w:r>
      <w:hyperlink r:id="rId17" w:history="1">
        <w:r w:rsidRPr="0044638A">
          <w:rPr>
            <w:rStyle w:val="Hyperlink"/>
            <w:bCs/>
            <w:iCs/>
            <w:snapToGrid w:val="0"/>
            <w:kern w:val="22"/>
            <w:sz w:val="22"/>
            <w:szCs w:val="22"/>
            <w:lang w:val="en-GB"/>
          </w:rPr>
          <w:t>13/</w:t>
        </w:r>
        <w:r w:rsidR="00AE26E4" w:rsidRPr="0044638A">
          <w:rPr>
            <w:rStyle w:val="Hyperlink"/>
            <w:bCs/>
            <w:iCs/>
            <w:snapToGrid w:val="0"/>
            <w:kern w:val="22"/>
            <w:sz w:val="22"/>
            <w:szCs w:val="22"/>
            <w:lang w:val="en-GB"/>
          </w:rPr>
          <w:t>1</w:t>
        </w:r>
        <w:r w:rsidRPr="0044638A">
          <w:rPr>
            <w:rStyle w:val="Hyperlink"/>
            <w:bCs/>
            <w:iCs/>
            <w:snapToGrid w:val="0"/>
            <w:kern w:val="22"/>
            <w:sz w:val="22"/>
            <w:szCs w:val="22"/>
            <w:lang w:val="en-GB"/>
          </w:rPr>
          <w:t>5</w:t>
        </w:r>
      </w:hyperlink>
      <w:r w:rsidRPr="0044638A">
        <w:rPr>
          <w:bCs/>
          <w:iCs/>
          <w:snapToGrid w:val="0"/>
          <w:kern w:val="22"/>
          <w:sz w:val="22"/>
          <w:szCs w:val="22"/>
          <w:lang w:val="en-GB"/>
        </w:rPr>
        <w:t xml:space="preserve">), and updated the </w:t>
      </w:r>
      <w:r w:rsidR="00AE26E4" w:rsidRPr="0044638A">
        <w:rPr>
          <w:bCs/>
          <w:iCs/>
          <w:snapToGrid w:val="0"/>
          <w:kern w:val="22"/>
          <w:sz w:val="22"/>
          <w:szCs w:val="22"/>
          <w:lang w:val="en-GB"/>
        </w:rPr>
        <w:t>p</w:t>
      </w:r>
      <w:r w:rsidRPr="0044638A">
        <w:rPr>
          <w:bCs/>
          <w:iCs/>
          <w:snapToGrid w:val="0"/>
          <w:kern w:val="22"/>
          <w:sz w:val="22"/>
          <w:szCs w:val="22"/>
          <w:lang w:val="en-GB"/>
        </w:rPr>
        <w:t xml:space="preserve">lan of </w:t>
      </w:r>
      <w:r w:rsidR="00AE26E4" w:rsidRPr="0044638A">
        <w:rPr>
          <w:bCs/>
          <w:iCs/>
          <w:snapToGrid w:val="0"/>
          <w:kern w:val="22"/>
          <w:sz w:val="22"/>
          <w:szCs w:val="22"/>
          <w:lang w:val="en-GB"/>
        </w:rPr>
        <w:t>a</w:t>
      </w:r>
      <w:r w:rsidRPr="0044638A">
        <w:rPr>
          <w:bCs/>
          <w:iCs/>
          <w:snapToGrid w:val="0"/>
          <w:kern w:val="22"/>
          <w:sz w:val="22"/>
          <w:szCs w:val="22"/>
          <w:lang w:val="en-GB"/>
        </w:rPr>
        <w:t xml:space="preserve">ction (2018-2030) for the International Initiative for the Conservation and Sustainable use of Pollinators (decision </w:t>
      </w:r>
      <w:hyperlink r:id="rId18" w:history="1">
        <w:r w:rsidRPr="0044638A">
          <w:rPr>
            <w:rStyle w:val="Hyperlink"/>
            <w:bCs/>
            <w:iCs/>
            <w:snapToGrid w:val="0"/>
            <w:kern w:val="22"/>
            <w:sz w:val="22"/>
            <w:szCs w:val="22"/>
            <w:lang w:val="en-GB"/>
          </w:rPr>
          <w:t>14/6</w:t>
        </w:r>
      </w:hyperlink>
      <w:r w:rsidRPr="0044638A">
        <w:rPr>
          <w:bCs/>
          <w:iCs/>
          <w:snapToGrid w:val="0"/>
          <w:kern w:val="22"/>
          <w:sz w:val="22"/>
          <w:szCs w:val="22"/>
          <w:lang w:val="en-GB"/>
        </w:rPr>
        <w:t xml:space="preserve">) on the basis of the </w:t>
      </w:r>
      <w:r w:rsidR="00AE26E4" w:rsidRPr="0044638A">
        <w:rPr>
          <w:bCs/>
          <w:iCs/>
          <w:snapToGrid w:val="0"/>
          <w:kern w:val="22"/>
          <w:sz w:val="22"/>
          <w:szCs w:val="22"/>
          <w:lang w:val="en-GB"/>
        </w:rPr>
        <w:t>thematic a</w:t>
      </w:r>
      <w:r w:rsidRPr="0044638A">
        <w:rPr>
          <w:bCs/>
          <w:iCs/>
          <w:snapToGrid w:val="0"/>
          <w:kern w:val="22"/>
          <w:sz w:val="22"/>
          <w:szCs w:val="22"/>
          <w:lang w:val="en-GB"/>
        </w:rPr>
        <w:t>ssessment o</w:t>
      </w:r>
      <w:r w:rsidR="00AE26E4" w:rsidRPr="0044638A">
        <w:rPr>
          <w:bCs/>
          <w:iCs/>
          <w:snapToGrid w:val="0"/>
          <w:kern w:val="22"/>
          <w:sz w:val="22"/>
          <w:szCs w:val="22"/>
          <w:lang w:val="en-GB"/>
        </w:rPr>
        <w:t>n</w:t>
      </w:r>
      <w:r w:rsidRPr="0044638A">
        <w:rPr>
          <w:bCs/>
          <w:iCs/>
          <w:snapToGrid w:val="0"/>
          <w:kern w:val="22"/>
          <w:sz w:val="22"/>
          <w:szCs w:val="22"/>
          <w:lang w:val="en-GB"/>
        </w:rPr>
        <w:t xml:space="preserve"> </w:t>
      </w:r>
      <w:r w:rsidR="00AE26E4" w:rsidRPr="0044638A">
        <w:rPr>
          <w:bCs/>
          <w:iCs/>
          <w:snapToGrid w:val="0"/>
          <w:kern w:val="22"/>
          <w:sz w:val="22"/>
          <w:szCs w:val="22"/>
          <w:lang w:val="en-GB"/>
        </w:rPr>
        <w:t>p</w:t>
      </w:r>
      <w:r w:rsidRPr="0044638A">
        <w:rPr>
          <w:bCs/>
          <w:iCs/>
          <w:snapToGrid w:val="0"/>
          <w:kern w:val="22"/>
          <w:sz w:val="22"/>
          <w:szCs w:val="22"/>
          <w:lang w:val="en-GB"/>
        </w:rPr>
        <w:t>ollinat</w:t>
      </w:r>
      <w:r w:rsidR="00AE26E4" w:rsidRPr="0044638A">
        <w:rPr>
          <w:bCs/>
          <w:iCs/>
          <w:snapToGrid w:val="0"/>
          <w:kern w:val="22"/>
          <w:sz w:val="22"/>
          <w:szCs w:val="22"/>
          <w:lang w:val="en-GB"/>
        </w:rPr>
        <w:t>ors</w:t>
      </w:r>
      <w:r w:rsidRPr="0044638A">
        <w:rPr>
          <w:bCs/>
          <w:iCs/>
          <w:snapToGrid w:val="0"/>
          <w:kern w:val="22"/>
          <w:sz w:val="22"/>
          <w:szCs w:val="22"/>
          <w:lang w:val="en-GB"/>
        </w:rPr>
        <w:t xml:space="preserve">, </w:t>
      </w:r>
      <w:r w:rsidR="00AE26E4" w:rsidRPr="0044638A">
        <w:rPr>
          <w:bCs/>
          <w:iCs/>
          <w:snapToGrid w:val="0"/>
          <w:kern w:val="22"/>
          <w:sz w:val="22"/>
          <w:szCs w:val="22"/>
          <w:lang w:val="en-GB"/>
        </w:rPr>
        <w:t>p</w:t>
      </w:r>
      <w:r w:rsidRPr="0044638A">
        <w:rPr>
          <w:bCs/>
          <w:iCs/>
          <w:snapToGrid w:val="0"/>
          <w:kern w:val="22"/>
          <w:sz w:val="22"/>
          <w:szCs w:val="22"/>
          <w:lang w:val="en-GB"/>
        </w:rPr>
        <w:t>ollinat</w:t>
      </w:r>
      <w:r w:rsidR="00AE26E4" w:rsidRPr="0044638A">
        <w:rPr>
          <w:bCs/>
          <w:iCs/>
          <w:snapToGrid w:val="0"/>
          <w:kern w:val="22"/>
          <w:sz w:val="22"/>
          <w:szCs w:val="22"/>
          <w:lang w:val="en-GB"/>
        </w:rPr>
        <w:t>ion</w:t>
      </w:r>
      <w:r w:rsidRPr="0044638A">
        <w:rPr>
          <w:bCs/>
          <w:iCs/>
          <w:snapToGrid w:val="0"/>
          <w:kern w:val="22"/>
          <w:sz w:val="22"/>
          <w:szCs w:val="22"/>
          <w:lang w:val="en-GB"/>
        </w:rPr>
        <w:t xml:space="preserve"> and </w:t>
      </w:r>
      <w:r w:rsidR="00AE26E4" w:rsidRPr="0044638A">
        <w:rPr>
          <w:bCs/>
          <w:iCs/>
          <w:snapToGrid w:val="0"/>
          <w:kern w:val="22"/>
          <w:sz w:val="22"/>
          <w:szCs w:val="22"/>
          <w:lang w:val="en-GB"/>
        </w:rPr>
        <w:t>f</w:t>
      </w:r>
      <w:r w:rsidRPr="0044638A">
        <w:rPr>
          <w:bCs/>
          <w:iCs/>
          <w:snapToGrid w:val="0"/>
          <w:kern w:val="22"/>
          <w:sz w:val="22"/>
          <w:szCs w:val="22"/>
          <w:lang w:val="en-GB"/>
        </w:rPr>
        <w:t xml:space="preserve">ood </w:t>
      </w:r>
      <w:r w:rsidR="00AE26E4" w:rsidRPr="0044638A">
        <w:rPr>
          <w:bCs/>
          <w:iCs/>
          <w:snapToGrid w:val="0"/>
          <w:kern w:val="22"/>
          <w:sz w:val="22"/>
          <w:szCs w:val="22"/>
          <w:lang w:val="en-GB"/>
        </w:rPr>
        <w:t>p</w:t>
      </w:r>
      <w:r w:rsidRPr="0044638A">
        <w:rPr>
          <w:bCs/>
          <w:iCs/>
          <w:snapToGrid w:val="0"/>
          <w:kern w:val="22"/>
          <w:sz w:val="22"/>
          <w:szCs w:val="22"/>
          <w:lang w:val="en-GB"/>
        </w:rPr>
        <w:t>roduction;</w:t>
      </w:r>
    </w:p>
    <w:p w14:paraId="7CEA08DB" w14:textId="64768C01" w:rsidR="00A71B8D" w:rsidRPr="0044638A" w:rsidRDefault="00A71B8D"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 xml:space="preserve">The Subsidiary Body adopted conclusions on </w:t>
      </w:r>
      <w:r w:rsidR="00737D14">
        <w:rPr>
          <w:bCs/>
          <w:iCs/>
          <w:snapToGrid w:val="0"/>
          <w:kern w:val="22"/>
          <w:sz w:val="22"/>
          <w:szCs w:val="22"/>
          <w:lang w:val="en-GB"/>
        </w:rPr>
        <w:t>s</w:t>
      </w:r>
      <w:r w:rsidRPr="0044638A">
        <w:rPr>
          <w:bCs/>
          <w:iCs/>
          <w:snapToGrid w:val="0"/>
          <w:kern w:val="22"/>
          <w:sz w:val="22"/>
          <w:szCs w:val="22"/>
          <w:lang w:val="en-GB"/>
        </w:rPr>
        <w:t>cenarios towards the 2050 Vision</w:t>
      </w:r>
      <w:r w:rsidR="00AE26E4" w:rsidRPr="0044638A">
        <w:rPr>
          <w:bCs/>
          <w:iCs/>
          <w:snapToGrid w:val="0"/>
          <w:kern w:val="22"/>
          <w:sz w:val="22"/>
          <w:szCs w:val="22"/>
          <w:lang w:val="en-GB"/>
        </w:rPr>
        <w:t xml:space="preserve"> </w:t>
      </w:r>
      <w:r w:rsidRPr="0044638A">
        <w:rPr>
          <w:bCs/>
          <w:iCs/>
          <w:snapToGrid w:val="0"/>
          <w:kern w:val="22"/>
          <w:sz w:val="22"/>
          <w:szCs w:val="22"/>
          <w:lang w:val="en-GB"/>
        </w:rPr>
        <w:t xml:space="preserve">for Biodiversity making use of the methodological </w:t>
      </w:r>
      <w:r w:rsidR="00AE26E4" w:rsidRPr="0044638A">
        <w:rPr>
          <w:bCs/>
          <w:iCs/>
          <w:snapToGrid w:val="0"/>
          <w:kern w:val="22"/>
          <w:sz w:val="22"/>
          <w:szCs w:val="22"/>
          <w:lang w:val="en-GB"/>
        </w:rPr>
        <w:t>a</w:t>
      </w:r>
      <w:r w:rsidRPr="0044638A">
        <w:rPr>
          <w:bCs/>
          <w:iCs/>
          <w:snapToGrid w:val="0"/>
          <w:kern w:val="22"/>
          <w:sz w:val="22"/>
          <w:szCs w:val="22"/>
          <w:lang w:val="en-GB"/>
        </w:rPr>
        <w:t>ssessment o</w:t>
      </w:r>
      <w:r w:rsidR="00864DD3" w:rsidRPr="0044638A">
        <w:rPr>
          <w:bCs/>
          <w:iCs/>
          <w:snapToGrid w:val="0"/>
          <w:kern w:val="22"/>
          <w:sz w:val="22"/>
          <w:szCs w:val="22"/>
          <w:lang w:val="en-GB"/>
        </w:rPr>
        <w:t>n</w:t>
      </w:r>
      <w:r w:rsidRPr="0044638A">
        <w:rPr>
          <w:bCs/>
          <w:iCs/>
          <w:snapToGrid w:val="0"/>
          <w:kern w:val="22"/>
          <w:sz w:val="22"/>
          <w:szCs w:val="22"/>
          <w:lang w:val="en-GB"/>
        </w:rPr>
        <w:t xml:space="preserve"> </w:t>
      </w:r>
      <w:r w:rsidR="00AE26E4" w:rsidRPr="0044638A">
        <w:rPr>
          <w:bCs/>
          <w:iCs/>
          <w:snapToGrid w:val="0"/>
          <w:kern w:val="22"/>
          <w:sz w:val="22"/>
          <w:szCs w:val="22"/>
          <w:lang w:val="en-GB"/>
        </w:rPr>
        <w:t>s</w:t>
      </w:r>
      <w:r w:rsidRPr="0044638A">
        <w:rPr>
          <w:bCs/>
          <w:iCs/>
          <w:snapToGrid w:val="0"/>
          <w:kern w:val="22"/>
          <w:sz w:val="22"/>
          <w:szCs w:val="22"/>
          <w:lang w:val="en-GB"/>
        </w:rPr>
        <w:t xml:space="preserve">cenarios and </w:t>
      </w:r>
      <w:r w:rsidR="00AE26E4" w:rsidRPr="0044638A">
        <w:rPr>
          <w:bCs/>
          <w:iCs/>
          <w:snapToGrid w:val="0"/>
          <w:kern w:val="22"/>
          <w:sz w:val="22"/>
          <w:szCs w:val="22"/>
          <w:lang w:val="en-GB"/>
        </w:rPr>
        <w:t>m</w:t>
      </w:r>
      <w:r w:rsidRPr="0044638A">
        <w:rPr>
          <w:bCs/>
          <w:iCs/>
          <w:snapToGrid w:val="0"/>
          <w:kern w:val="22"/>
          <w:sz w:val="22"/>
          <w:szCs w:val="22"/>
          <w:lang w:val="en-GB"/>
        </w:rPr>
        <w:t>odels</w:t>
      </w:r>
      <w:r w:rsidR="00AE26E4" w:rsidRPr="0044638A">
        <w:rPr>
          <w:bCs/>
          <w:iCs/>
          <w:snapToGrid w:val="0"/>
          <w:kern w:val="22"/>
          <w:sz w:val="22"/>
          <w:szCs w:val="22"/>
          <w:lang w:val="en-GB"/>
        </w:rPr>
        <w:t xml:space="preserve"> of biodiversity and ecosystem services</w:t>
      </w:r>
      <w:r w:rsidRPr="0044638A">
        <w:rPr>
          <w:bCs/>
          <w:iCs/>
          <w:snapToGrid w:val="0"/>
          <w:kern w:val="22"/>
          <w:sz w:val="22"/>
          <w:szCs w:val="22"/>
          <w:lang w:val="en-GB"/>
        </w:rPr>
        <w:t>;</w:t>
      </w:r>
    </w:p>
    <w:p w14:paraId="1F9E13DE" w14:textId="2541BA96" w:rsidR="00A71B8D" w:rsidRPr="0044638A" w:rsidRDefault="00A71B8D"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 xml:space="preserve">The </w:t>
      </w:r>
      <w:r w:rsidR="002E46E7" w:rsidRPr="0044638A">
        <w:rPr>
          <w:bCs/>
          <w:iCs/>
          <w:snapToGrid w:val="0"/>
          <w:kern w:val="22"/>
          <w:sz w:val="22"/>
          <w:szCs w:val="22"/>
          <w:lang w:val="en-GB"/>
        </w:rPr>
        <w:t xml:space="preserve">Conference of the Parties endorsed the key messages of the </w:t>
      </w:r>
      <w:r w:rsidR="00A72795" w:rsidRPr="0044638A">
        <w:rPr>
          <w:bCs/>
          <w:iCs/>
          <w:snapToGrid w:val="0"/>
          <w:kern w:val="22"/>
          <w:sz w:val="22"/>
          <w:szCs w:val="22"/>
          <w:lang w:val="en-GB"/>
        </w:rPr>
        <w:t xml:space="preserve">thematic </w:t>
      </w:r>
      <w:r w:rsidR="00AE26E4" w:rsidRPr="0044638A">
        <w:rPr>
          <w:bCs/>
          <w:iCs/>
          <w:snapToGrid w:val="0"/>
          <w:kern w:val="22"/>
          <w:sz w:val="22"/>
          <w:szCs w:val="22"/>
          <w:lang w:val="en-GB"/>
        </w:rPr>
        <w:t>a</w:t>
      </w:r>
      <w:r w:rsidRPr="0044638A">
        <w:rPr>
          <w:bCs/>
          <w:iCs/>
          <w:snapToGrid w:val="0"/>
          <w:kern w:val="22"/>
          <w:sz w:val="22"/>
          <w:szCs w:val="22"/>
          <w:lang w:val="en-GB"/>
        </w:rPr>
        <w:t>ssessment o</w:t>
      </w:r>
      <w:r w:rsidR="00A72795" w:rsidRPr="0044638A">
        <w:rPr>
          <w:bCs/>
          <w:iCs/>
          <w:snapToGrid w:val="0"/>
          <w:kern w:val="22"/>
          <w:sz w:val="22"/>
          <w:szCs w:val="22"/>
          <w:lang w:val="en-GB"/>
        </w:rPr>
        <w:t>n</w:t>
      </w:r>
      <w:r w:rsidRPr="0044638A">
        <w:rPr>
          <w:bCs/>
          <w:iCs/>
          <w:snapToGrid w:val="0"/>
          <w:kern w:val="22"/>
          <w:sz w:val="22"/>
          <w:szCs w:val="22"/>
          <w:lang w:val="en-GB"/>
        </w:rPr>
        <w:t xml:space="preserve"> </w:t>
      </w:r>
      <w:r w:rsidR="00A72795" w:rsidRPr="0044638A">
        <w:rPr>
          <w:bCs/>
          <w:iCs/>
          <w:snapToGrid w:val="0"/>
          <w:kern w:val="22"/>
          <w:sz w:val="22"/>
          <w:szCs w:val="22"/>
          <w:lang w:val="en-GB"/>
        </w:rPr>
        <w:t>l</w:t>
      </w:r>
      <w:r w:rsidRPr="0044638A">
        <w:rPr>
          <w:bCs/>
          <w:iCs/>
          <w:snapToGrid w:val="0"/>
          <w:kern w:val="22"/>
          <w:sz w:val="22"/>
          <w:szCs w:val="22"/>
          <w:lang w:val="en-GB"/>
        </w:rPr>
        <w:t xml:space="preserve">and </w:t>
      </w:r>
      <w:r w:rsidR="00A72795" w:rsidRPr="0044638A">
        <w:rPr>
          <w:bCs/>
          <w:iCs/>
          <w:snapToGrid w:val="0"/>
          <w:kern w:val="22"/>
          <w:sz w:val="22"/>
          <w:szCs w:val="22"/>
          <w:lang w:val="en-GB"/>
        </w:rPr>
        <w:t>d</w:t>
      </w:r>
      <w:r w:rsidRPr="0044638A">
        <w:rPr>
          <w:bCs/>
          <w:iCs/>
          <w:snapToGrid w:val="0"/>
          <w:kern w:val="22"/>
          <w:sz w:val="22"/>
          <w:szCs w:val="22"/>
          <w:lang w:val="en-GB"/>
        </w:rPr>
        <w:t xml:space="preserve">egradation and </w:t>
      </w:r>
      <w:r w:rsidR="00A72795" w:rsidRPr="0044638A">
        <w:rPr>
          <w:bCs/>
          <w:iCs/>
          <w:snapToGrid w:val="0"/>
          <w:kern w:val="22"/>
          <w:sz w:val="22"/>
          <w:szCs w:val="22"/>
          <w:lang w:val="en-GB"/>
        </w:rPr>
        <w:t>r</w:t>
      </w:r>
      <w:r w:rsidRPr="0044638A">
        <w:rPr>
          <w:bCs/>
          <w:iCs/>
          <w:snapToGrid w:val="0"/>
          <w:kern w:val="22"/>
          <w:sz w:val="22"/>
          <w:szCs w:val="22"/>
          <w:lang w:val="en-GB"/>
        </w:rPr>
        <w:t xml:space="preserve">estoration </w:t>
      </w:r>
      <w:r w:rsidR="002E46E7" w:rsidRPr="0044638A">
        <w:rPr>
          <w:bCs/>
          <w:iCs/>
          <w:snapToGrid w:val="0"/>
          <w:kern w:val="22"/>
          <w:sz w:val="22"/>
          <w:szCs w:val="22"/>
          <w:lang w:val="en-GB"/>
        </w:rPr>
        <w:t xml:space="preserve">that support achieving the Sustainable Development Goals </w:t>
      </w:r>
      <w:proofErr w:type="gramStart"/>
      <w:r w:rsidR="002E46E7" w:rsidRPr="0044638A">
        <w:rPr>
          <w:bCs/>
          <w:iCs/>
          <w:snapToGrid w:val="0"/>
          <w:kern w:val="22"/>
          <w:sz w:val="22"/>
          <w:szCs w:val="22"/>
          <w:lang w:val="en-GB"/>
        </w:rPr>
        <w:t>through the use of</w:t>
      </w:r>
      <w:proofErr w:type="gramEnd"/>
      <w:r w:rsidR="002E46E7" w:rsidRPr="0044638A">
        <w:rPr>
          <w:bCs/>
          <w:iCs/>
          <w:snapToGrid w:val="0"/>
          <w:kern w:val="22"/>
          <w:sz w:val="22"/>
          <w:szCs w:val="22"/>
          <w:lang w:val="en-GB"/>
        </w:rPr>
        <w:t xml:space="preserve"> ecosystem-based approaches to climate change adaptation and mitigation, disaster risk reduction and combating land degradation</w:t>
      </w:r>
      <w:r w:rsidR="00A72795" w:rsidRPr="0044638A">
        <w:rPr>
          <w:bCs/>
          <w:iCs/>
          <w:snapToGrid w:val="0"/>
          <w:kern w:val="22"/>
          <w:sz w:val="22"/>
          <w:szCs w:val="22"/>
          <w:lang w:val="en-GB"/>
        </w:rPr>
        <w:t>.</w:t>
      </w:r>
    </w:p>
    <w:p w14:paraId="610671C8" w14:textId="461D787F" w:rsidR="00A71B8D" w:rsidRPr="0044638A" w:rsidRDefault="00A72795"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Moreover</w:t>
      </w:r>
      <w:r w:rsidR="00A71B8D" w:rsidRPr="0044638A">
        <w:rPr>
          <w:bCs/>
          <w:iCs/>
          <w:snapToGrid w:val="0"/>
          <w:kern w:val="22"/>
          <w:sz w:val="22"/>
          <w:szCs w:val="22"/>
          <w:lang w:val="en-GB"/>
        </w:rPr>
        <w:t xml:space="preserve">, as called for in decisions </w:t>
      </w:r>
      <w:hyperlink r:id="rId19" w:history="1">
        <w:r w:rsidR="00A71B8D" w:rsidRPr="0044638A">
          <w:rPr>
            <w:rStyle w:val="Hyperlink"/>
            <w:bCs/>
            <w:iCs/>
            <w:snapToGrid w:val="0"/>
            <w:kern w:val="22"/>
            <w:sz w:val="22"/>
            <w:szCs w:val="22"/>
            <w:lang w:val="en-GB"/>
          </w:rPr>
          <w:t>14/1</w:t>
        </w:r>
      </w:hyperlink>
      <w:r w:rsidR="00A71B8D" w:rsidRPr="0044638A">
        <w:rPr>
          <w:bCs/>
          <w:iCs/>
          <w:snapToGrid w:val="0"/>
          <w:kern w:val="22"/>
          <w:sz w:val="22"/>
          <w:szCs w:val="22"/>
          <w:lang w:val="en-GB"/>
        </w:rPr>
        <w:t xml:space="preserve"> and </w:t>
      </w:r>
      <w:hyperlink r:id="rId20" w:history="1">
        <w:r w:rsidR="00A71B8D" w:rsidRPr="0044638A">
          <w:rPr>
            <w:rStyle w:val="Hyperlink"/>
            <w:bCs/>
            <w:iCs/>
            <w:snapToGrid w:val="0"/>
            <w:kern w:val="22"/>
            <w:sz w:val="22"/>
            <w:szCs w:val="22"/>
            <w:lang w:val="en-GB"/>
          </w:rPr>
          <w:t>14/34</w:t>
        </w:r>
      </w:hyperlink>
      <w:r w:rsidR="00A71B8D" w:rsidRPr="0044638A">
        <w:rPr>
          <w:bCs/>
          <w:iCs/>
          <w:snapToGrid w:val="0"/>
          <w:kern w:val="22"/>
          <w:sz w:val="22"/>
          <w:szCs w:val="22"/>
          <w:lang w:val="en-GB"/>
        </w:rPr>
        <w:t xml:space="preserve">, the IPBES </w:t>
      </w:r>
      <w:r w:rsidRPr="0044638A">
        <w:rPr>
          <w:bCs/>
          <w:iCs/>
          <w:snapToGrid w:val="0"/>
          <w:kern w:val="22"/>
          <w:sz w:val="22"/>
          <w:szCs w:val="22"/>
          <w:lang w:val="en-GB"/>
        </w:rPr>
        <w:t>a</w:t>
      </w:r>
      <w:r w:rsidR="00A71B8D" w:rsidRPr="0044638A">
        <w:rPr>
          <w:bCs/>
          <w:iCs/>
          <w:snapToGrid w:val="0"/>
          <w:kern w:val="22"/>
          <w:sz w:val="22"/>
          <w:szCs w:val="22"/>
          <w:lang w:val="en-GB"/>
        </w:rPr>
        <w:t>ssessments have been widely used in the process for developing the post</w:t>
      </w:r>
      <w:r w:rsidRPr="0044638A">
        <w:rPr>
          <w:bCs/>
          <w:iCs/>
          <w:snapToGrid w:val="0"/>
          <w:kern w:val="22"/>
          <w:sz w:val="22"/>
          <w:szCs w:val="22"/>
          <w:lang w:val="en-GB"/>
        </w:rPr>
        <w:t>-</w:t>
      </w:r>
      <w:r w:rsidR="00A71B8D" w:rsidRPr="0044638A">
        <w:rPr>
          <w:bCs/>
          <w:iCs/>
          <w:snapToGrid w:val="0"/>
          <w:kern w:val="22"/>
          <w:sz w:val="22"/>
          <w:szCs w:val="22"/>
          <w:lang w:val="en-GB"/>
        </w:rPr>
        <w:t>2020 glob</w:t>
      </w:r>
      <w:r w:rsidRPr="0044638A">
        <w:rPr>
          <w:bCs/>
          <w:iCs/>
          <w:snapToGrid w:val="0"/>
          <w:kern w:val="22"/>
          <w:sz w:val="22"/>
          <w:szCs w:val="22"/>
          <w:lang w:val="en-GB"/>
        </w:rPr>
        <w:t>a</w:t>
      </w:r>
      <w:r w:rsidR="00A71B8D" w:rsidRPr="0044638A">
        <w:rPr>
          <w:bCs/>
          <w:iCs/>
          <w:snapToGrid w:val="0"/>
          <w:kern w:val="22"/>
          <w:sz w:val="22"/>
          <w:szCs w:val="22"/>
          <w:lang w:val="en-GB"/>
        </w:rPr>
        <w:t xml:space="preserve">l </w:t>
      </w:r>
      <w:r w:rsidRPr="0044638A">
        <w:rPr>
          <w:bCs/>
          <w:iCs/>
          <w:snapToGrid w:val="0"/>
          <w:kern w:val="22"/>
          <w:sz w:val="22"/>
          <w:szCs w:val="22"/>
          <w:lang w:val="en-GB"/>
        </w:rPr>
        <w:t>biodiversity</w:t>
      </w:r>
      <w:r w:rsidR="00A71B8D" w:rsidRPr="0044638A">
        <w:rPr>
          <w:bCs/>
          <w:iCs/>
          <w:snapToGrid w:val="0"/>
          <w:kern w:val="22"/>
          <w:sz w:val="22"/>
          <w:szCs w:val="22"/>
          <w:lang w:val="en-GB"/>
        </w:rPr>
        <w:t xml:space="preserve"> framework, for example:</w:t>
      </w:r>
    </w:p>
    <w:p w14:paraId="202D6A16" w14:textId="32E5F0E2" w:rsidR="00A71B8D" w:rsidRPr="0044638A" w:rsidRDefault="00A71B8D"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7C26FA">
        <w:rPr>
          <w:bCs/>
          <w:iCs/>
          <w:snapToGrid w:val="0"/>
          <w:spacing w:val="-1"/>
          <w:kern w:val="22"/>
          <w:sz w:val="22"/>
          <w:szCs w:val="22"/>
          <w:lang w:val="en-GB"/>
        </w:rPr>
        <w:t xml:space="preserve">The </w:t>
      </w:r>
      <w:r w:rsidR="00C54A6A" w:rsidRPr="007C26FA">
        <w:rPr>
          <w:bCs/>
          <w:iCs/>
          <w:snapToGrid w:val="0"/>
          <w:spacing w:val="-1"/>
          <w:kern w:val="22"/>
          <w:sz w:val="22"/>
          <w:szCs w:val="22"/>
          <w:lang w:val="en-GB"/>
        </w:rPr>
        <w:t>initial regional co</w:t>
      </w:r>
      <w:r w:rsidR="005116D2" w:rsidRPr="007C26FA">
        <w:rPr>
          <w:bCs/>
          <w:iCs/>
          <w:snapToGrid w:val="0"/>
          <w:spacing w:val="-1"/>
          <w:kern w:val="22"/>
          <w:sz w:val="22"/>
          <w:szCs w:val="22"/>
          <w:lang w:val="en-GB"/>
        </w:rPr>
        <w:t>nsul</w:t>
      </w:r>
      <w:r w:rsidR="00C54A6A" w:rsidRPr="007C26FA">
        <w:rPr>
          <w:bCs/>
          <w:iCs/>
          <w:snapToGrid w:val="0"/>
          <w:spacing w:val="-1"/>
          <w:kern w:val="22"/>
          <w:sz w:val="22"/>
          <w:szCs w:val="22"/>
          <w:lang w:val="en-GB"/>
        </w:rPr>
        <w:t>t</w:t>
      </w:r>
      <w:r w:rsidR="005116D2" w:rsidRPr="007C26FA">
        <w:rPr>
          <w:bCs/>
          <w:iCs/>
          <w:snapToGrid w:val="0"/>
          <w:spacing w:val="-1"/>
          <w:kern w:val="22"/>
          <w:sz w:val="22"/>
          <w:szCs w:val="22"/>
          <w:lang w:val="en-GB"/>
        </w:rPr>
        <w:t>a</w:t>
      </w:r>
      <w:r w:rsidR="00C54A6A" w:rsidRPr="007C26FA">
        <w:rPr>
          <w:bCs/>
          <w:iCs/>
          <w:snapToGrid w:val="0"/>
          <w:spacing w:val="-1"/>
          <w:kern w:val="22"/>
          <w:sz w:val="22"/>
          <w:szCs w:val="22"/>
          <w:lang w:val="en-GB"/>
        </w:rPr>
        <w:t>t</w:t>
      </w:r>
      <w:r w:rsidR="005116D2" w:rsidRPr="007C26FA">
        <w:rPr>
          <w:bCs/>
          <w:iCs/>
          <w:snapToGrid w:val="0"/>
          <w:spacing w:val="-1"/>
          <w:kern w:val="22"/>
          <w:sz w:val="22"/>
          <w:szCs w:val="22"/>
          <w:lang w:val="en-GB"/>
        </w:rPr>
        <w:t>i</w:t>
      </w:r>
      <w:r w:rsidR="00C54A6A" w:rsidRPr="007C26FA">
        <w:rPr>
          <w:bCs/>
          <w:iCs/>
          <w:snapToGrid w:val="0"/>
          <w:spacing w:val="-1"/>
          <w:kern w:val="22"/>
          <w:sz w:val="22"/>
          <w:szCs w:val="22"/>
          <w:lang w:val="en-GB"/>
        </w:rPr>
        <w:t xml:space="preserve">ons </w:t>
      </w:r>
      <w:r w:rsidRPr="007C26FA">
        <w:rPr>
          <w:bCs/>
          <w:iCs/>
          <w:snapToGrid w:val="0"/>
          <w:spacing w:val="-1"/>
          <w:kern w:val="22"/>
          <w:sz w:val="22"/>
          <w:szCs w:val="22"/>
          <w:lang w:val="en-GB"/>
        </w:rPr>
        <w:t>were informed by</w:t>
      </w:r>
      <w:r w:rsidR="00C54A6A" w:rsidRPr="007C26FA">
        <w:rPr>
          <w:bCs/>
          <w:iCs/>
          <w:snapToGrid w:val="0"/>
          <w:spacing w:val="-1"/>
          <w:kern w:val="22"/>
          <w:sz w:val="22"/>
          <w:szCs w:val="22"/>
          <w:lang w:val="en-GB"/>
        </w:rPr>
        <w:t xml:space="preserve"> </w:t>
      </w:r>
      <w:r w:rsidRPr="007C26FA">
        <w:rPr>
          <w:bCs/>
          <w:iCs/>
          <w:snapToGrid w:val="0"/>
          <w:spacing w:val="-1"/>
          <w:kern w:val="22"/>
          <w:sz w:val="22"/>
          <w:szCs w:val="22"/>
          <w:lang w:val="en-GB"/>
        </w:rPr>
        <w:t>the</w:t>
      </w:r>
      <w:r w:rsidR="00AF7872" w:rsidRPr="007C26FA">
        <w:rPr>
          <w:bCs/>
          <w:iCs/>
          <w:snapToGrid w:val="0"/>
          <w:spacing w:val="-1"/>
          <w:kern w:val="22"/>
          <w:sz w:val="22"/>
          <w:szCs w:val="22"/>
          <w:lang w:val="en-GB"/>
        </w:rPr>
        <w:t xml:space="preserve"> </w:t>
      </w:r>
      <w:r w:rsidR="00A72795" w:rsidRPr="007C26FA">
        <w:rPr>
          <w:bCs/>
          <w:iCs/>
          <w:snapToGrid w:val="0"/>
          <w:spacing w:val="-1"/>
          <w:kern w:val="22"/>
          <w:sz w:val="22"/>
          <w:szCs w:val="22"/>
          <w:lang w:val="en-GB"/>
        </w:rPr>
        <w:t>r</w:t>
      </w:r>
      <w:r w:rsidR="00AF7872" w:rsidRPr="007C26FA">
        <w:rPr>
          <w:bCs/>
          <w:iCs/>
          <w:snapToGrid w:val="0"/>
          <w:spacing w:val="-1"/>
          <w:kern w:val="22"/>
          <w:sz w:val="22"/>
          <w:szCs w:val="22"/>
          <w:lang w:val="en-GB"/>
        </w:rPr>
        <w:t xml:space="preserve">egional </w:t>
      </w:r>
      <w:r w:rsidR="00A72795" w:rsidRPr="007C26FA">
        <w:rPr>
          <w:bCs/>
          <w:iCs/>
          <w:snapToGrid w:val="0"/>
          <w:spacing w:val="-1"/>
          <w:kern w:val="22"/>
          <w:sz w:val="22"/>
          <w:szCs w:val="22"/>
          <w:lang w:val="en-GB"/>
        </w:rPr>
        <w:t>a</w:t>
      </w:r>
      <w:r w:rsidR="00AF7872" w:rsidRPr="007C26FA">
        <w:rPr>
          <w:bCs/>
          <w:iCs/>
          <w:snapToGrid w:val="0"/>
          <w:spacing w:val="-1"/>
          <w:kern w:val="22"/>
          <w:sz w:val="22"/>
          <w:szCs w:val="22"/>
          <w:lang w:val="en-GB"/>
        </w:rPr>
        <w:t xml:space="preserve">ssessments </w:t>
      </w:r>
      <w:r w:rsidR="00A72795" w:rsidRPr="007C26FA">
        <w:rPr>
          <w:bCs/>
          <w:iCs/>
          <w:snapToGrid w:val="0"/>
          <w:spacing w:val="-1"/>
          <w:kern w:val="22"/>
          <w:sz w:val="22"/>
          <w:szCs w:val="22"/>
          <w:lang w:val="en-GB"/>
        </w:rPr>
        <w:t>of biodiversity and ecosystem services f</w:t>
      </w:r>
      <w:r w:rsidRPr="007C26FA">
        <w:rPr>
          <w:bCs/>
          <w:iCs/>
          <w:snapToGrid w:val="0"/>
          <w:spacing w:val="-1"/>
          <w:kern w:val="22"/>
          <w:sz w:val="22"/>
          <w:szCs w:val="22"/>
          <w:lang w:val="en-GB"/>
        </w:rPr>
        <w:t>or</w:t>
      </w:r>
      <w:r w:rsidR="00AF7872" w:rsidRPr="007C26FA">
        <w:rPr>
          <w:bCs/>
          <w:iCs/>
          <w:snapToGrid w:val="0"/>
          <w:spacing w:val="-1"/>
          <w:kern w:val="22"/>
          <w:sz w:val="22"/>
          <w:szCs w:val="22"/>
          <w:lang w:val="en-GB"/>
        </w:rPr>
        <w:t xml:space="preserve"> Africa, Asia</w:t>
      </w:r>
      <w:r w:rsidR="00A72795" w:rsidRPr="007C26FA">
        <w:rPr>
          <w:bCs/>
          <w:iCs/>
          <w:snapToGrid w:val="0"/>
          <w:spacing w:val="-1"/>
          <w:kern w:val="22"/>
          <w:sz w:val="22"/>
          <w:szCs w:val="22"/>
          <w:lang w:val="en-GB"/>
        </w:rPr>
        <w:t xml:space="preserve"> and the </w:t>
      </w:r>
      <w:r w:rsidR="00AF7872" w:rsidRPr="007C26FA">
        <w:rPr>
          <w:bCs/>
          <w:iCs/>
          <w:snapToGrid w:val="0"/>
          <w:spacing w:val="-1"/>
          <w:kern w:val="22"/>
          <w:sz w:val="22"/>
          <w:szCs w:val="22"/>
          <w:lang w:val="en-GB"/>
        </w:rPr>
        <w:t xml:space="preserve">Pacific, </w:t>
      </w:r>
      <w:r w:rsidR="00A72795" w:rsidRPr="007C26FA">
        <w:rPr>
          <w:bCs/>
          <w:iCs/>
          <w:snapToGrid w:val="0"/>
          <w:spacing w:val="-1"/>
          <w:kern w:val="22"/>
          <w:sz w:val="22"/>
          <w:szCs w:val="22"/>
          <w:lang w:val="en-GB"/>
        </w:rPr>
        <w:t>t</w:t>
      </w:r>
      <w:r w:rsidR="00AF7872" w:rsidRPr="007C26FA">
        <w:rPr>
          <w:bCs/>
          <w:iCs/>
          <w:snapToGrid w:val="0"/>
          <w:spacing w:val="-1"/>
          <w:kern w:val="22"/>
          <w:sz w:val="22"/>
          <w:szCs w:val="22"/>
          <w:lang w:val="en-GB"/>
        </w:rPr>
        <w:t>he Americas, and Europe and Central Asia</w:t>
      </w:r>
      <w:r w:rsidR="002E46E7" w:rsidRPr="007C26FA">
        <w:rPr>
          <w:bCs/>
          <w:iCs/>
          <w:snapToGrid w:val="0"/>
          <w:spacing w:val="-1"/>
          <w:kern w:val="22"/>
          <w:sz w:val="22"/>
          <w:szCs w:val="22"/>
          <w:lang w:val="en-GB"/>
        </w:rPr>
        <w:t>;</w:t>
      </w:r>
    </w:p>
    <w:p w14:paraId="3F74BDBB" w14:textId="50A5B873" w:rsidR="00727964" w:rsidRPr="0044638A" w:rsidRDefault="00727964"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 xml:space="preserve">The Subsidiary Body at its </w:t>
      </w:r>
      <w:r w:rsidR="006C2EFB" w:rsidRPr="0044638A">
        <w:rPr>
          <w:bCs/>
          <w:iCs/>
          <w:snapToGrid w:val="0"/>
          <w:kern w:val="22"/>
          <w:sz w:val="22"/>
          <w:szCs w:val="22"/>
          <w:lang w:val="en-GB"/>
        </w:rPr>
        <w:t xml:space="preserve">twenty-third </w:t>
      </w:r>
      <w:r w:rsidRPr="0044638A">
        <w:rPr>
          <w:bCs/>
          <w:iCs/>
          <w:snapToGrid w:val="0"/>
          <w:kern w:val="22"/>
          <w:sz w:val="22"/>
          <w:szCs w:val="22"/>
          <w:lang w:val="en-GB"/>
        </w:rPr>
        <w:t xml:space="preserve">meeting considered an overview of the findings of the </w:t>
      </w:r>
      <w:r w:rsidR="008A1151" w:rsidRPr="007C26FA">
        <w:rPr>
          <w:bCs/>
          <w:i/>
          <w:iCs/>
          <w:snapToGrid w:val="0"/>
          <w:kern w:val="22"/>
          <w:sz w:val="22"/>
          <w:szCs w:val="22"/>
          <w:lang w:val="en-GB"/>
        </w:rPr>
        <w:t>Global Assessment Report on Biodiversity and Ecosystem Services</w:t>
      </w:r>
      <w:r w:rsidRPr="0044638A">
        <w:rPr>
          <w:bCs/>
          <w:iCs/>
          <w:snapToGrid w:val="0"/>
          <w:kern w:val="22"/>
          <w:sz w:val="22"/>
          <w:szCs w:val="22"/>
          <w:lang w:val="en-GB"/>
        </w:rPr>
        <w:t>, other IPBES assessments and other relevant assessments, and implications for the work of the Convention and the post-2020 global biodiversity framework, prepared by the Secretariat</w:t>
      </w:r>
      <w:r w:rsidR="005116D2" w:rsidRPr="0044638A">
        <w:rPr>
          <w:bCs/>
          <w:iCs/>
          <w:snapToGrid w:val="0"/>
          <w:kern w:val="22"/>
          <w:sz w:val="22"/>
          <w:szCs w:val="22"/>
          <w:lang w:val="en-GB"/>
        </w:rPr>
        <w:t>, stressed</w:t>
      </w:r>
      <w:r w:rsidR="005116D2" w:rsidRPr="0044638A">
        <w:rPr>
          <w:bCs/>
          <w:i/>
          <w:iCs/>
          <w:snapToGrid w:val="0"/>
          <w:kern w:val="22"/>
          <w:sz w:val="22"/>
          <w:szCs w:val="22"/>
          <w:lang w:val="en-GB"/>
        </w:rPr>
        <w:t xml:space="preserve"> </w:t>
      </w:r>
      <w:r w:rsidR="005116D2" w:rsidRPr="0044638A">
        <w:rPr>
          <w:bCs/>
          <w:iCs/>
          <w:snapToGrid w:val="0"/>
          <w:kern w:val="22"/>
          <w:sz w:val="22"/>
          <w:szCs w:val="22"/>
          <w:lang w:val="en-GB"/>
        </w:rPr>
        <w:t xml:space="preserve">the need for urgent action to address the drivers of biodiversity loss, in line with the findings of the </w:t>
      </w:r>
      <w:r w:rsidR="00A72795" w:rsidRPr="0044638A">
        <w:rPr>
          <w:bCs/>
          <w:snapToGrid w:val="0"/>
          <w:kern w:val="22"/>
          <w:sz w:val="22"/>
          <w:szCs w:val="22"/>
          <w:lang w:val="en-GB"/>
        </w:rPr>
        <w:t>a</w:t>
      </w:r>
      <w:r w:rsidR="005116D2" w:rsidRPr="0044638A">
        <w:rPr>
          <w:bCs/>
          <w:snapToGrid w:val="0"/>
          <w:kern w:val="22"/>
          <w:sz w:val="22"/>
          <w:szCs w:val="22"/>
          <w:lang w:val="en-GB"/>
        </w:rPr>
        <w:t>ssessment</w:t>
      </w:r>
      <w:r w:rsidR="005116D2" w:rsidRPr="0044638A">
        <w:rPr>
          <w:bCs/>
          <w:iCs/>
          <w:snapToGrid w:val="0"/>
          <w:kern w:val="22"/>
          <w:sz w:val="22"/>
          <w:szCs w:val="22"/>
          <w:lang w:val="en-GB"/>
        </w:rPr>
        <w:t>, called on</w:t>
      </w:r>
      <w:r w:rsidR="005116D2" w:rsidRPr="0044638A">
        <w:rPr>
          <w:bCs/>
          <w:i/>
          <w:iCs/>
          <w:snapToGrid w:val="0"/>
          <w:kern w:val="22"/>
          <w:sz w:val="22"/>
          <w:szCs w:val="22"/>
          <w:lang w:val="en-GB"/>
        </w:rPr>
        <w:t xml:space="preserve"> </w:t>
      </w:r>
      <w:r w:rsidR="005116D2" w:rsidRPr="0044638A">
        <w:rPr>
          <w:bCs/>
          <w:iCs/>
          <w:snapToGrid w:val="0"/>
          <w:kern w:val="22"/>
          <w:sz w:val="22"/>
          <w:szCs w:val="22"/>
          <w:lang w:val="en-GB"/>
        </w:rPr>
        <w:t>Governments to make the development of the post-2020 global biodiversity framework a matter of high priority for all their ministries, agencies and offices, and recognized</w:t>
      </w:r>
      <w:r w:rsidR="005116D2" w:rsidRPr="0044638A">
        <w:rPr>
          <w:bCs/>
          <w:i/>
          <w:iCs/>
          <w:snapToGrid w:val="0"/>
          <w:kern w:val="22"/>
          <w:sz w:val="22"/>
          <w:szCs w:val="22"/>
          <w:lang w:val="en-GB"/>
        </w:rPr>
        <w:t xml:space="preserve"> </w:t>
      </w:r>
      <w:r w:rsidR="005116D2" w:rsidRPr="0044638A">
        <w:rPr>
          <w:bCs/>
          <w:iCs/>
          <w:snapToGrid w:val="0"/>
          <w:kern w:val="22"/>
          <w:sz w:val="22"/>
          <w:szCs w:val="22"/>
          <w:lang w:val="en-GB"/>
        </w:rPr>
        <w:t>that a key element in the development of pathways for living in harmony with nature, includes making changes in global financial and economic systems</w:t>
      </w:r>
      <w:r w:rsidRPr="0044638A">
        <w:rPr>
          <w:bCs/>
          <w:iCs/>
          <w:snapToGrid w:val="0"/>
          <w:kern w:val="22"/>
          <w:sz w:val="22"/>
          <w:szCs w:val="22"/>
          <w:lang w:val="en-GB"/>
        </w:rPr>
        <w:t>;</w:t>
      </w:r>
    </w:p>
    <w:p w14:paraId="5A8AAE68" w14:textId="5D4E2D47" w:rsidR="00A71B8D" w:rsidRPr="0044638A" w:rsidRDefault="00A71B8D"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 xml:space="preserve">The </w:t>
      </w:r>
      <w:r w:rsidR="00A72795" w:rsidRPr="0044638A">
        <w:rPr>
          <w:bCs/>
          <w:iCs/>
          <w:snapToGrid w:val="0"/>
          <w:kern w:val="22"/>
          <w:sz w:val="22"/>
          <w:szCs w:val="22"/>
          <w:lang w:val="en-GB"/>
        </w:rPr>
        <w:t>g</w:t>
      </w:r>
      <w:r w:rsidRPr="0044638A">
        <w:rPr>
          <w:bCs/>
          <w:iCs/>
          <w:snapToGrid w:val="0"/>
          <w:kern w:val="22"/>
          <w:sz w:val="22"/>
          <w:szCs w:val="22"/>
          <w:lang w:val="en-GB"/>
        </w:rPr>
        <w:t xml:space="preserve">lobal </w:t>
      </w:r>
      <w:r w:rsidR="00A72795" w:rsidRPr="0044638A">
        <w:rPr>
          <w:bCs/>
          <w:iCs/>
          <w:snapToGrid w:val="0"/>
          <w:kern w:val="22"/>
          <w:sz w:val="22"/>
          <w:szCs w:val="22"/>
          <w:lang w:val="en-GB"/>
        </w:rPr>
        <w:t>a</w:t>
      </w:r>
      <w:r w:rsidRPr="0044638A">
        <w:rPr>
          <w:bCs/>
          <w:iCs/>
          <w:snapToGrid w:val="0"/>
          <w:kern w:val="22"/>
          <w:sz w:val="22"/>
          <w:szCs w:val="22"/>
          <w:lang w:val="en-GB"/>
        </w:rPr>
        <w:t xml:space="preserve">ssessment informed the development of the </w:t>
      </w:r>
      <w:r w:rsidR="00F03AFC">
        <w:rPr>
          <w:bCs/>
          <w:iCs/>
          <w:snapToGrid w:val="0"/>
          <w:kern w:val="22"/>
          <w:sz w:val="22"/>
          <w:szCs w:val="22"/>
          <w:lang w:val="en-GB"/>
        </w:rPr>
        <w:t>z</w:t>
      </w:r>
      <w:r w:rsidRPr="0044638A">
        <w:rPr>
          <w:bCs/>
          <w:iCs/>
          <w:snapToGrid w:val="0"/>
          <w:kern w:val="22"/>
          <w:sz w:val="22"/>
          <w:szCs w:val="22"/>
          <w:lang w:val="en-GB"/>
        </w:rPr>
        <w:t xml:space="preserve">ero </w:t>
      </w:r>
      <w:r w:rsidR="00F03AFC">
        <w:rPr>
          <w:bCs/>
          <w:iCs/>
          <w:snapToGrid w:val="0"/>
          <w:kern w:val="22"/>
          <w:sz w:val="22"/>
          <w:szCs w:val="22"/>
          <w:lang w:val="en-GB"/>
        </w:rPr>
        <w:t>d</w:t>
      </w:r>
      <w:r w:rsidRPr="0044638A">
        <w:rPr>
          <w:bCs/>
          <w:iCs/>
          <w:snapToGrid w:val="0"/>
          <w:kern w:val="22"/>
          <w:sz w:val="22"/>
          <w:szCs w:val="22"/>
          <w:lang w:val="en-GB"/>
        </w:rPr>
        <w:t>raft of the post</w:t>
      </w:r>
      <w:r w:rsidR="00A72795" w:rsidRPr="0044638A">
        <w:rPr>
          <w:bCs/>
          <w:iCs/>
          <w:snapToGrid w:val="0"/>
          <w:kern w:val="22"/>
          <w:sz w:val="22"/>
          <w:szCs w:val="22"/>
          <w:lang w:val="en-GB"/>
        </w:rPr>
        <w:t>-</w:t>
      </w:r>
      <w:r w:rsidRPr="0044638A">
        <w:rPr>
          <w:bCs/>
          <w:iCs/>
          <w:snapToGrid w:val="0"/>
          <w:kern w:val="22"/>
          <w:sz w:val="22"/>
          <w:szCs w:val="22"/>
          <w:lang w:val="en-GB"/>
        </w:rPr>
        <w:t>2020 global biodiv</w:t>
      </w:r>
      <w:r w:rsidR="009544D2" w:rsidRPr="0044638A">
        <w:rPr>
          <w:bCs/>
          <w:iCs/>
          <w:snapToGrid w:val="0"/>
          <w:kern w:val="22"/>
          <w:sz w:val="22"/>
          <w:szCs w:val="22"/>
          <w:lang w:val="en-GB"/>
        </w:rPr>
        <w:t>e</w:t>
      </w:r>
      <w:r w:rsidRPr="0044638A">
        <w:rPr>
          <w:bCs/>
          <w:iCs/>
          <w:snapToGrid w:val="0"/>
          <w:kern w:val="22"/>
          <w:sz w:val="22"/>
          <w:szCs w:val="22"/>
          <w:lang w:val="en-GB"/>
        </w:rPr>
        <w:t>rsity framework</w:t>
      </w:r>
      <w:r w:rsidR="009544D2" w:rsidRPr="0044638A">
        <w:rPr>
          <w:bCs/>
          <w:iCs/>
          <w:snapToGrid w:val="0"/>
          <w:kern w:val="22"/>
          <w:sz w:val="22"/>
          <w:szCs w:val="22"/>
          <w:lang w:val="en-GB"/>
        </w:rPr>
        <w:t xml:space="preserve"> and the work of the Open</w:t>
      </w:r>
      <w:r w:rsidR="00A72795" w:rsidRPr="0044638A">
        <w:rPr>
          <w:bCs/>
          <w:iCs/>
          <w:snapToGrid w:val="0"/>
          <w:kern w:val="22"/>
          <w:sz w:val="22"/>
          <w:szCs w:val="22"/>
          <w:lang w:val="en-GB"/>
        </w:rPr>
        <w:t>-e</w:t>
      </w:r>
      <w:r w:rsidR="009544D2" w:rsidRPr="0044638A">
        <w:rPr>
          <w:bCs/>
          <w:iCs/>
          <w:snapToGrid w:val="0"/>
          <w:kern w:val="22"/>
          <w:sz w:val="22"/>
          <w:szCs w:val="22"/>
          <w:lang w:val="en-GB"/>
        </w:rPr>
        <w:t xml:space="preserve">nded </w:t>
      </w:r>
      <w:r w:rsidR="00A72795" w:rsidRPr="0044638A">
        <w:rPr>
          <w:bCs/>
          <w:iCs/>
          <w:snapToGrid w:val="0"/>
          <w:kern w:val="22"/>
          <w:sz w:val="22"/>
          <w:szCs w:val="22"/>
          <w:lang w:val="en-GB"/>
        </w:rPr>
        <w:t>Working</w:t>
      </w:r>
      <w:r w:rsidR="009544D2" w:rsidRPr="0044638A">
        <w:rPr>
          <w:bCs/>
          <w:iCs/>
          <w:snapToGrid w:val="0"/>
          <w:kern w:val="22"/>
          <w:sz w:val="22"/>
          <w:szCs w:val="22"/>
          <w:lang w:val="en-GB"/>
        </w:rPr>
        <w:t xml:space="preserve"> Group on the </w:t>
      </w:r>
      <w:r w:rsidR="00024FA3" w:rsidRPr="0044638A">
        <w:rPr>
          <w:bCs/>
          <w:iCs/>
          <w:snapToGrid w:val="0"/>
          <w:kern w:val="22"/>
          <w:sz w:val="22"/>
          <w:szCs w:val="22"/>
          <w:lang w:val="en-GB"/>
        </w:rPr>
        <w:t>P</w:t>
      </w:r>
      <w:r w:rsidR="009544D2" w:rsidRPr="0044638A">
        <w:rPr>
          <w:bCs/>
          <w:iCs/>
          <w:snapToGrid w:val="0"/>
          <w:kern w:val="22"/>
          <w:sz w:val="22"/>
          <w:szCs w:val="22"/>
          <w:lang w:val="en-GB"/>
        </w:rPr>
        <w:t>ost</w:t>
      </w:r>
      <w:r w:rsidR="00A72795" w:rsidRPr="0044638A">
        <w:rPr>
          <w:bCs/>
          <w:iCs/>
          <w:snapToGrid w:val="0"/>
          <w:kern w:val="22"/>
          <w:sz w:val="22"/>
          <w:szCs w:val="22"/>
          <w:lang w:val="en-GB"/>
        </w:rPr>
        <w:t>-</w:t>
      </w:r>
      <w:r w:rsidR="009544D2" w:rsidRPr="0044638A">
        <w:rPr>
          <w:bCs/>
          <w:iCs/>
          <w:snapToGrid w:val="0"/>
          <w:kern w:val="22"/>
          <w:sz w:val="22"/>
          <w:szCs w:val="22"/>
          <w:lang w:val="en-GB"/>
        </w:rPr>
        <w:t xml:space="preserve">2020 </w:t>
      </w:r>
      <w:r w:rsidR="00024FA3" w:rsidRPr="0044638A">
        <w:rPr>
          <w:bCs/>
          <w:iCs/>
          <w:snapToGrid w:val="0"/>
          <w:kern w:val="22"/>
          <w:sz w:val="22"/>
          <w:szCs w:val="22"/>
          <w:lang w:val="en-GB"/>
        </w:rPr>
        <w:t>G</w:t>
      </w:r>
      <w:r w:rsidR="009544D2" w:rsidRPr="0044638A">
        <w:rPr>
          <w:bCs/>
          <w:iCs/>
          <w:snapToGrid w:val="0"/>
          <w:kern w:val="22"/>
          <w:sz w:val="22"/>
          <w:szCs w:val="22"/>
          <w:lang w:val="en-GB"/>
        </w:rPr>
        <w:t xml:space="preserve">lobal </w:t>
      </w:r>
      <w:r w:rsidR="00024FA3" w:rsidRPr="0044638A">
        <w:rPr>
          <w:bCs/>
          <w:iCs/>
          <w:snapToGrid w:val="0"/>
          <w:kern w:val="22"/>
          <w:sz w:val="22"/>
          <w:szCs w:val="22"/>
          <w:lang w:val="en-GB"/>
        </w:rPr>
        <w:t>B</w:t>
      </w:r>
      <w:r w:rsidR="009544D2" w:rsidRPr="0044638A">
        <w:rPr>
          <w:bCs/>
          <w:iCs/>
          <w:snapToGrid w:val="0"/>
          <w:kern w:val="22"/>
          <w:sz w:val="22"/>
          <w:szCs w:val="22"/>
          <w:lang w:val="en-GB"/>
        </w:rPr>
        <w:t xml:space="preserve">iodiversity </w:t>
      </w:r>
      <w:r w:rsidR="00024FA3" w:rsidRPr="0044638A">
        <w:rPr>
          <w:bCs/>
          <w:iCs/>
          <w:snapToGrid w:val="0"/>
          <w:kern w:val="22"/>
          <w:sz w:val="22"/>
          <w:szCs w:val="22"/>
          <w:lang w:val="en-GB"/>
        </w:rPr>
        <w:t>F</w:t>
      </w:r>
      <w:r w:rsidR="009544D2" w:rsidRPr="0044638A">
        <w:rPr>
          <w:bCs/>
          <w:iCs/>
          <w:snapToGrid w:val="0"/>
          <w:kern w:val="22"/>
          <w:sz w:val="22"/>
          <w:szCs w:val="22"/>
          <w:lang w:val="en-GB"/>
        </w:rPr>
        <w:t>ramework</w:t>
      </w:r>
      <w:r w:rsidR="00024FA3" w:rsidRPr="0044638A">
        <w:rPr>
          <w:bCs/>
          <w:iCs/>
          <w:snapToGrid w:val="0"/>
          <w:kern w:val="22"/>
          <w:sz w:val="22"/>
          <w:szCs w:val="22"/>
          <w:lang w:val="en-GB"/>
        </w:rPr>
        <w:t>;</w:t>
      </w:r>
    </w:p>
    <w:p w14:paraId="292FB633" w14:textId="7F50F9E5" w:rsidR="00A71B8D" w:rsidRDefault="00A71B8D"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 xml:space="preserve">The </w:t>
      </w:r>
      <w:r w:rsidR="00A72795" w:rsidRPr="0044638A">
        <w:rPr>
          <w:bCs/>
          <w:iCs/>
          <w:snapToGrid w:val="0"/>
          <w:kern w:val="22"/>
          <w:sz w:val="22"/>
          <w:szCs w:val="22"/>
          <w:lang w:val="en-GB"/>
        </w:rPr>
        <w:t>g</w:t>
      </w:r>
      <w:r w:rsidRPr="0044638A">
        <w:rPr>
          <w:bCs/>
          <w:iCs/>
          <w:snapToGrid w:val="0"/>
          <w:kern w:val="22"/>
          <w:sz w:val="22"/>
          <w:szCs w:val="22"/>
          <w:lang w:val="en-GB"/>
        </w:rPr>
        <w:t xml:space="preserve">lobal </w:t>
      </w:r>
      <w:r w:rsidR="00A72795" w:rsidRPr="0044638A">
        <w:rPr>
          <w:bCs/>
          <w:iCs/>
          <w:snapToGrid w:val="0"/>
          <w:kern w:val="22"/>
          <w:sz w:val="22"/>
          <w:szCs w:val="22"/>
          <w:lang w:val="en-GB"/>
        </w:rPr>
        <w:t>a</w:t>
      </w:r>
      <w:r w:rsidRPr="0044638A">
        <w:rPr>
          <w:bCs/>
          <w:iCs/>
          <w:snapToGrid w:val="0"/>
          <w:kern w:val="22"/>
          <w:sz w:val="22"/>
          <w:szCs w:val="22"/>
          <w:lang w:val="en-GB"/>
        </w:rPr>
        <w:t xml:space="preserve">ssessment was an important source of evidence for the fifth edition of the </w:t>
      </w:r>
      <w:r w:rsidRPr="0044638A">
        <w:rPr>
          <w:bCs/>
          <w:i/>
          <w:snapToGrid w:val="0"/>
          <w:kern w:val="22"/>
          <w:sz w:val="22"/>
          <w:szCs w:val="22"/>
          <w:lang w:val="en-GB"/>
        </w:rPr>
        <w:t>Global Biodiversity Outlook</w:t>
      </w:r>
      <w:r w:rsidRPr="0044638A">
        <w:rPr>
          <w:bCs/>
          <w:iCs/>
          <w:snapToGrid w:val="0"/>
          <w:kern w:val="22"/>
          <w:sz w:val="22"/>
          <w:szCs w:val="22"/>
          <w:lang w:val="en-GB"/>
        </w:rPr>
        <w:t>, informing</w:t>
      </w:r>
      <w:r w:rsidR="00812F59">
        <w:rPr>
          <w:bCs/>
          <w:iCs/>
          <w:snapToGrid w:val="0"/>
          <w:kern w:val="22"/>
          <w:sz w:val="22"/>
          <w:szCs w:val="22"/>
          <w:lang w:val="en-GB"/>
        </w:rPr>
        <w:t>,</w:t>
      </w:r>
      <w:r w:rsidRPr="0044638A">
        <w:rPr>
          <w:bCs/>
          <w:iCs/>
          <w:snapToGrid w:val="0"/>
          <w:kern w:val="22"/>
          <w:sz w:val="22"/>
          <w:szCs w:val="22"/>
          <w:lang w:val="en-GB"/>
        </w:rPr>
        <w:t xml:space="preserve"> </w:t>
      </w:r>
      <w:r w:rsidR="002E46E7" w:rsidRPr="0044638A">
        <w:rPr>
          <w:bCs/>
          <w:iCs/>
          <w:snapToGrid w:val="0"/>
          <w:kern w:val="22"/>
          <w:sz w:val="22"/>
          <w:szCs w:val="22"/>
          <w:lang w:val="en-GB"/>
        </w:rPr>
        <w:t>a</w:t>
      </w:r>
      <w:r w:rsidRPr="0044638A">
        <w:rPr>
          <w:bCs/>
          <w:iCs/>
          <w:snapToGrid w:val="0"/>
          <w:kern w:val="22"/>
          <w:sz w:val="22"/>
          <w:szCs w:val="22"/>
          <w:lang w:val="en-GB"/>
        </w:rPr>
        <w:t>mong other things</w:t>
      </w:r>
      <w:r w:rsidR="00812F59">
        <w:rPr>
          <w:bCs/>
          <w:iCs/>
          <w:snapToGrid w:val="0"/>
          <w:kern w:val="22"/>
          <w:sz w:val="22"/>
          <w:szCs w:val="22"/>
          <w:lang w:val="en-GB"/>
        </w:rPr>
        <w:t>,</w:t>
      </w:r>
      <w:r w:rsidRPr="0044638A">
        <w:rPr>
          <w:bCs/>
          <w:iCs/>
          <w:snapToGrid w:val="0"/>
          <w:kern w:val="22"/>
          <w:sz w:val="22"/>
          <w:szCs w:val="22"/>
          <w:lang w:val="en-GB"/>
        </w:rPr>
        <w:t xml:space="preserve"> the </w:t>
      </w:r>
      <w:r w:rsidR="00A72795" w:rsidRPr="0044638A">
        <w:rPr>
          <w:bCs/>
          <w:iCs/>
          <w:snapToGrid w:val="0"/>
          <w:kern w:val="22"/>
          <w:sz w:val="22"/>
          <w:szCs w:val="22"/>
          <w:lang w:val="en-GB"/>
        </w:rPr>
        <w:t>analysis</w:t>
      </w:r>
      <w:r w:rsidRPr="0044638A">
        <w:rPr>
          <w:bCs/>
          <w:iCs/>
          <w:snapToGrid w:val="0"/>
          <w:kern w:val="22"/>
          <w:sz w:val="22"/>
          <w:szCs w:val="22"/>
          <w:lang w:val="en-GB"/>
        </w:rPr>
        <w:t xml:space="preserve"> on links between </w:t>
      </w:r>
      <w:r w:rsidR="000E7E4C" w:rsidRPr="0044638A">
        <w:rPr>
          <w:bCs/>
          <w:iCs/>
          <w:snapToGrid w:val="0"/>
          <w:kern w:val="22"/>
          <w:sz w:val="22"/>
          <w:szCs w:val="22"/>
          <w:lang w:val="en-GB"/>
        </w:rPr>
        <w:t>biodiversity</w:t>
      </w:r>
      <w:r w:rsidRPr="0044638A">
        <w:rPr>
          <w:bCs/>
          <w:iCs/>
          <w:snapToGrid w:val="0"/>
          <w:kern w:val="22"/>
          <w:sz w:val="22"/>
          <w:szCs w:val="22"/>
          <w:lang w:val="en-GB"/>
        </w:rPr>
        <w:t xml:space="preserve"> </w:t>
      </w:r>
      <w:r w:rsidR="002E46E7" w:rsidRPr="0044638A">
        <w:rPr>
          <w:bCs/>
          <w:iCs/>
          <w:snapToGrid w:val="0"/>
          <w:kern w:val="22"/>
          <w:sz w:val="22"/>
          <w:szCs w:val="22"/>
          <w:lang w:val="en-GB"/>
        </w:rPr>
        <w:t>a</w:t>
      </w:r>
      <w:r w:rsidRPr="0044638A">
        <w:rPr>
          <w:bCs/>
          <w:iCs/>
          <w:snapToGrid w:val="0"/>
          <w:kern w:val="22"/>
          <w:sz w:val="22"/>
          <w:szCs w:val="22"/>
          <w:lang w:val="en-GB"/>
        </w:rPr>
        <w:t xml:space="preserve">nd the </w:t>
      </w:r>
      <w:r w:rsidR="002E46E7" w:rsidRPr="0044638A">
        <w:rPr>
          <w:bCs/>
          <w:iCs/>
          <w:snapToGrid w:val="0"/>
          <w:kern w:val="22"/>
          <w:sz w:val="22"/>
          <w:szCs w:val="22"/>
          <w:lang w:val="en-GB"/>
        </w:rPr>
        <w:t>Sustainable Development Goals</w:t>
      </w:r>
      <w:r w:rsidRPr="0044638A">
        <w:rPr>
          <w:bCs/>
          <w:iCs/>
          <w:snapToGrid w:val="0"/>
          <w:kern w:val="22"/>
          <w:sz w:val="22"/>
          <w:szCs w:val="22"/>
          <w:lang w:val="en-GB"/>
        </w:rPr>
        <w:t>, the assessment of pr</w:t>
      </w:r>
      <w:r w:rsidR="002E46E7" w:rsidRPr="0044638A">
        <w:rPr>
          <w:bCs/>
          <w:iCs/>
          <w:snapToGrid w:val="0"/>
          <w:kern w:val="22"/>
          <w:sz w:val="22"/>
          <w:szCs w:val="22"/>
          <w:lang w:val="en-GB"/>
        </w:rPr>
        <w:t>o</w:t>
      </w:r>
      <w:r w:rsidRPr="0044638A">
        <w:rPr>
          <w:bCs/>
          <w:iCs/>
          <w:snapToGrid w:val="0"/>
          <w:kern w:val="22"/>
          <w:sz w:val="22"/>
          <w:szCs w:val="22"/>
          <w:lang w:val="en-GB"/>
        </w:rPr>
        <w:t>gress tow</w:t>
      </w:r>
      <w:r w:rsidR="002E46E7" w:rsidRPr="0044638A">
        <w:rPr>
          <w:bCs/>
          <w:iCs/>
          <w:snapToGrid w:val="0"/>
          <w:kern w:val="22"/>
          <w:sz w:val="22"/>
          <w:szCs w:val="22"/>
          <w:lang w:val="en-GB"/>
        </w:rPr>
        <w:t>a</w:t>
      </w:r>
      <w:r w:rsidRPr="0044638A">
        <w:rPr>
          <w:bCs/>
          <w:iCs/>
          <w:snapToGrid w:val="0"/>
          <w:kern w:val="22"/>
          <w:sz w:val="22"/>
          <w:szCs w:val="22"/>
          <w:lang w:val="en-GB"/>
        </w:rPr>
        <w:t>rds the Aichi Biodiver</w:t>
      </w:r>
      <w:r w:rsidR="002E46E7" w:rsidRPr="0044638A">
        <w:rPr>
          <w:bCs/>
          <w:iCs/>
          <w:snapToGrid w:val="0"/>
          <w:kern w:val="22"/>
          <w:sz w:val="22"/>
          <w:szCs w:val="22"/>
          <w:lang w:val="en-GB"/>
        </w:rPr>
        <w:t>s</w:t>
      </w:r>
      <w:r w:rsidRPr="0044638A">
        <w:rPr>
          <w:bCs/>
          <w:iCs/>
          <w:snapToGrid w:val="0"/>
          <w:kern w:val="22"/>
          <w:sz w:val="22"/>
          <w:szCs w:val="22"/>
          <w:lang w:val="en-GB"/>
        </w:rPr>
        <w:t xml:space="preserve">ity Targets, </w:t>
      </w:r>
      <w:r w:rsidR="002E46E7" w:rsidRPr="0044638A">
        <w:rPr>
          <w:bCs/>
          <w:iCs/>
          <w:snapToGrid w:val="0"/>
          <w:kern w:val="22"/>
          <w:sz w:val="22"/>
          <w:szCs w:val="22"/>
          <w:lang w:val="en-GB"/>
        </w:rPr>
        <w:t>a</w:t>
      </w:r>
      <w:r w:rsidRPr="0044638A">
        <w:rPr>
          <w:bCs/>
          <w:iCs/>
          <w:snapToGrid w:val="0"/>
          <w:kern w:val="22"/>
          <w:sz w:val="22"/>
          <w:szCs w:val="22"/>
          <w:lang w:val="en-GB"/>
        </w:rPr>
        <w:t xml:space="preserve">nd the identification of seven of the eight areas of transition featured in the </w:t>
      </w:r>
      <w:r w:rsidR="000E7E4C" w:rsidRPr="007C26FA">
        <w:rPr>
          <w:bCs/>
          <w:i/>
          <w:snapToGrid w:val="0"/>
          <w:kern w:val="22"/>
          <w:sz w:val="22"/>
          <w:szCs w:val="22"/>
          <w:lang w:val="en-GB"/>
        </w:rPr>
        <w:t>Outlook</w:t>
      </w:r>
      <w:r w:rsidRPr="0044638A">
        <w:rPr>
          <w:bCs/>
          <w:iCs/>
          <w:snapToGrid w:val="0"/>
          <w:kern w:val="22"/>
          <w:sz w:val="22"/>
          <w:szCs w:val="22"/>
          <w:lang w:val="en-GB"/>
        </w:rPr>
        <w:t xml:space="preserve">. </w:t>
      </w:r>
      <w:r w:rsidR="002E46E7" w:rsidRPr="0044638A">
        <w:rPr>
          <w:bCs/>
          <w:iCs/>
          <w:snapToGrid w:val="0"/>
          <w:kern w:val="22"/>
          <w:sz w:val="22"/>
          <w:szCs w:val="22"/>
          <w:lang w:val="en-GB"/>
        </w:rPr>
        <w:t xml:space="preserve">The </w:t>
      </w:r>
      <w:r w:rsidR="00024FA3" w:rsidRPr="0044638A">
        <w:rPr>
          <w:bCs/>
          <w:iCs/>
          <w:snapToGrid w:val="0"/>
          <w:kern w:val="22"/>
          <w:sz w:val="22"/>
          <w:szCs w:val="22"/>
          <w:lang w:val="en-GB"/>
        </w:rPr>
        <w:t xml:space="preserve">Secretariats of </w:t>
      </w:r>
      <w:r w:rsidR="002E46E7" w:rsidRPr="0044638A">
        <w:rPr>
          <w:bCs/>
          <w:iCs/>
          <w:snapToGrid w:val="0"/>
          <w:kern w:val="22"/>
          <w:sz w:val="22"/>
          <w:szCs w:val="22"/>
          <w:lang w:val="en-GB"/>
        </w:rPr>
        <w:t xml:space="preserve">IPBES and </w:t>
      </w:r>
      <w:r w:rsidR="00E06F0E" w:rsidRPr="0044638A">
        <w:rPr>
          <w:bCs/>
          <w:iCs/>
          <w:snapToGrid w:val="0"/>
          <w:kern w:val="22"/>
          <w:sz w:val="22"/>
          <w:szCs w:val="22"/>
          <w:lang w:val="en-GB"/>
        </w:rPr>
        <w:t xml:space="preserve">the Convention </w:t>
      </w:r>
      <w:r w:rsidR="002E46E7" w:rsidRPr="0044638A">
        <w:rPr>
          <w:bCs/>
          <w:iCs/>
          <w:snapToGrid w:val="0"/>
          <w:kern w:val="22"/>
          <w:sz w:val="22"/>
          <w:szCs w:val="22"/>
          <w:lang w:val="en-GB"/>
        </w:rPr>
        <w:t xml:space="preserve">have also collaborated </w:t>
      </w:r>
      <w:r w:rsidR="000E7E4C" w:rsidRPr="0044638A">
        <w:rPr>
          <w:bCs/>
          <w:iCs/>
          <w:snapToGrid w:val="0"/>
          <w:kern w:val="22"/>
          <w:sz w:val="22"/>
          <w:szCs w:val="22"/>
          <w:lang w:val="en-GB"/>
        </w:rPr>
        <w:t>through</w:t>
      </w:r>
      <w:r w:rsidR="002E46E7" w:rsidRPr="0044638A">
        <w:rPr>
          <w:bCs/>
          <w:iCs/>
          <w:snapToGrid w:val="0"/>
          <w:kern w:val="22"/>
          <w:sz w:val="22"/>
          <w:szCs w:val="22"/>
          <w:lang w:val="en-GB"/>
        </w:rPr>
        <w:t xml:space="preserve"> a joint </w:t>
      </w:r>
      <w:r w:rsidR="000E7E4C" w:rsidRPr="0044638A">
        <w:rPr>
          <w:bCs/>
          <w:iCs/>
          <w:snapToGrid w:val="0"/>
          <w:kern w:val="22"/>
          <w:sz w:val="22"/>
          <w:szCs w:val="22"/>
          <w:lang w:val="en-GB"/>
        </w:rPr>
        <w:t>communication</w:t>
      </w:r>
      <w:r w:rsidR="002E46E7" w:rsidRPr="0044638A">
        <w:rPr>
          <w:bCs/>
          <w:iCs/>
          <w:snapToGrid w:val="0"/>
          <w:kern w:val="22"/>
          <w:sz w:val="22"/>
          <w:szCs w:val="22"/>
          <w:lang w:val="en-GB"/>
        </w:rPr>
        <w:t xml:space="preserve"> strategy to promote the findings of both the IPBES </w:t>
      </w:r>
      <w:r w:rsidR="000E7E4C" w:rsidRPr="0044638A">
        <w:rPr>
          <w:bCs/>
          <w:iCs/>
          <w:snapToGrid w:val="0"/>
          <w:kern w:val="22"/>
          <w:sz w:val="22"/>
          <w:szCs w:val="22"/>
          <w:lang w:val="en-GB"/>
        </w:rPr>
        <w:t>g</w:t>
      </w:r>
      <w:r w:rsidR="002E46E7" w:rsidRPr="0044638A">
        <w:rPr>
          <w:bCs/>
          <w:iCs/>
          <w:snapToGrid w:val="0"/>
          <w:kern w:val="22"/>
          <w:sz w:val="22"/>
          <w:szCs w:val="22"/>
          <w:lang w:val="en-GB"/>
        </w:rPr>
        <w:t xml:space="preserve">lobal </w:t>
      </w:r>
      <w:r w:rsidR="000E7E4C" w:rsidRPr="0044638A">
        <w:rPr>
          <w:bCs/>
          <w:iCs/>
          <w:snapToGrid w:val="0"/>
          <w:kern w:val="22"/>
          <w:sz w:val="22"/>
          <w:szCs w:val="22"/>
          <w:lang w:val="en-GB"/>
        </w:rPr>
        <w:t>a</w:t>
      </w:r>
      <w:r w:rsidR="002E46E7" w:rsidRPr="0044638A">
        <w:rPr>
          <w:bCs/>
          <w:iCs/>
          <w:snapToGrid w:val="0"/>
          <w:kern w:val="22"/>
          <w:sz w:val="22"/>
          <w:szCs w:val="22"/>
          <w:lang w:val="en-GB"/>
        </w:rPr>
        <w:t xml:space="preserve">ssessment and </w:t>
      </w:r>
      <w:r w:rsidR="00E06F0E" w:rsidRPr="0044638A">
        <w:rPr>
          <w:bCs/>
          <w:iCs/>
          <w:snapToGrid w:val="0"/>
          <w:kern w:val="22"/>
          <w:sz w:val="22"/>
          <w:szCs w:val="22"/>
          <w:lang w:val="en-GB"/>
        </w:rPr>
        <w:t xml:space="preserve">the fifth edition of the </w:t>
      </w:r>
      <w:r w:rsidR="00E06F0E" w:rsidRPr="0044638A">
        <w:rPr>
          <w:bCs/>
          <w:i/>
          <w:snapToGrid w:val="0"/>
          <w:kern w:val="22"/>
          <w:sz w:val="22"/>
          <w:szCs w:val="22"/>
          <w:lang w:val="en-GB"/>
        </w:rPr>
        <w:t>Global Biodiversity Outlook</w:t>
      </w:r>
      <w:r w:rsidR="000E7E4C" w:rsidRPr="0044638A">
        <w:rPr>
          <w:bCs/>
          <w:iCs/>
          <w:snapToGrid w:val="0"/>
          <w:kern w:val="22"/>
          <w:sz w:val="22"/>
          <w:szCs w:val="22"/>
          <w:lang w:val="en-GB"/>
        </w:rPr>
        <w:t>.</w:t>
      </w:r>
    </w:p>
    <w:p w14:paraId="6FA22AAE" w14:textId="77777777" w:rsidR="00E1124B" w:rsidRPr="007C26FA" w:rsidRDefault="00E1124B" w:rsidP="00766960">
      <w:pPr>
        <w:keepNext/>
        <w:keepLines/>
        <w:suppressLineNumbers/>
        <w:suppressAutoHyphens/>
        <w:kinsoku w:val="0"/>
        <w:overflowPunct w:val="0"/>
        <w:autoSpaceDE w:val="0"/>
        <w:autoSpaceDN w:val="0"/>
        <w:adjustRightInd w:val="0"/>
        <w:snapToGrid w:val="0"/>
        <w:spacing w:after="120" w:line="235" w:lineRule="auto"/>
        <w:rPr>
          <w:b/>
          <w:bCs/>
          <w:snapToGrid w:val="0"/>
          <w:kern w:val="22"/>
          <w:sz w:val="22"/>
          <w:szCs w:val="22"/>
          <w:lang w:val="en-GB"/>
        </w:rPr>
      </w:pPr>
      <w:r w:rsidRPr="007C26FA">
        <w:rPr>
          <w:b/>
          <w:bCs/>
          <w:snapToGrid w:val="0"/>
          <w:kern w:val="22"/>
          <w:sz w:val="22"/>
          <w:szCs w:val="22"/>
          <w:lang w:val="en-GB"/>
        </w:rPr>
        <w:t>Table</w:t>
      </w:r>
      <w:r w:rsidRPr="007C26FA">
        <w:rPr>
          <w:b/>
          <w:bCs/>
          <w:snapToGrid w:val="0"/>
          <w:kern w:val="22"/>
          <w:sz w:val="22"/>
          <w:szCs w:val="22"/>
          <w:lang w:val="en-GB"/>
        </w:rPr>
        <w:br/>
        <w:t>Overview of deliverables from IPBES, their consideration by SBSTTA and COP, and outcome of this consideration</w:t>
      </w:r>
    </w:p>
    <w:tbl>
      <w:tblPr>
        <w:tblStyle w:val="TableGrid"/>
        <w:tblW w:w="0" w:type="auto"/>
        <w:jc w:val="center"/>
        <w:tblLook w:val="04A0" w:firstRow="1" w:lastRow="0" w:firstColumn="1" w:lastColumn="0" w:noHBand="0" w:noVBand="1"/>
      </w:tblPr>
      <w:tblGrid>
        <w:gridCol w:w="2850"/>
        <w:gridCol w:w="1976"/>
        <w:gridCol w:w="4524"/>
      </w:tblGrid>
      <w:tr w:rsidR="00E1124B" w:rsidRPr="00C60CCF" w14:paraId="2D7B1A6A" w14:textId="77777777" w:rsidTr="00C60CCF">
        <w:trPr>
          <w:tblHeader/>
          <w:jc w:val="center"/>
        </w:trPr>
        <w:tc>
          <w:tcPr>
            <w:tcW w:w="2850" w:type="dxa"/>
            <w:shd w:val="clear" w:color="auto" w:fill="D9D9D9" w:themeFill="background1" w:themeFillShade="D9"/>
          </w:tcPr>
          <w:p w14:paraId="3B4C4501"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jc w:val="center"/>
              <w:rPr>
                <w:rFonts w:ascii="Times New Roman" w:hAnsi="Times New Roman" w:cs="Times New Roman"/>
                <w:i/>
                <w:iCs/>
                <w:snapToGrid w:val="0"/>
                <w:kern w:val="22"/>
                <w:sz w:val="22"/>
                <w:szCs w:val="22"/>
                <w:lang w:val="en-GB"/>
              </w:rPr>
            </w:pPr>
            <w:r w:rsidRPr="00C60CCF">
              <w:rPr>
                <w:rFonts w:ascii="Times New Roman" w:hAnsi="Times New Roman" w:cs="Times New Roman"/>
                <w:i/>
                <w:iCs/>
                <w:snapToGrid w:val="0"/>
                <w:kern w:val="22"/>
                <w:sz w:val="22"/>
                <w:szCs w:val="22"/>
                <w:lang w:val="en-GB"/>
              </w:rPr>
              <w:t>Deliverable from IPBES</w:t>
            </w:r>
          </w:p>
        </w:tc>
        <w:tc>
          <w:tcPr>
            <w:tcW w:w="1976" w:type="dxa"/>
            <w:shd w:val="clear" w:color="auto" w:fill="D9D9D9" w:themeFill="background1" w:themeFillShade="D9"/>
          </w:tcPr>
          <w:p w14:paraId="78001180"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jc w:val="center"/>
              <w:rPr>
                <w:rFonts w:ascii="Times New Roman" w:hAnsi="Times New Roman" w:cs="Times New Roman"/>
                <w:i/>
                <w:iCs/>
                <w:snapToGrid w:val="0"/>
                <w:kern w:val="22"/>
                <w:sz w:val="22"/>
                <w:szCs w:val="22"/>
                <w:lang w:val="en-GB"/>
              </w:rPr>
            </w:pPr>
            <w:r w:rsidRPr="00C60CCF">
              <w:rPr>
                <w:rFonts w:ascii="Times New Roman" w:hAnsi="Times New Roman" w:cs="Times New Roman"/>
                <w:i/>
                <w:iCs/>
                <w:snapToGrid w:val="0"/>
                <w:kern w:val="22"/>
                <w:sz w:val="22"/>
                <w:szCs w:val="22"/>
                <w:lang w:val="en-GB"/>
              </w:rPr>
              <w:t>Consideration by SBSTTA and COP</w:t>
            </w:r>
          </w:p>
        </w:tc>
        <w:tc>
          <w:tcPr>
            <w:tcW w:w="4524" w:type="dxa"/>
            <w:shd w:val="clear" w:color="auto" w:fill="D9D9D9" w:themeFill="background1" w:themeFillShade="D9"/>
          </w:tcPr>
          <w:p w14:paraId="35AC490C"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jc w:val="center"/>
              <w:rPr>
                <w:rFonts w:ascii="Times New Roman" w:hAnsi="Times New Roman" w:cs="Times New Roman"/>
                <w:i/>
                <w:iCs/>
                <w:snapToGrid w:val="0"/>
                <w:kern w:val="22"/>
                <w:sz w:val="22"/>
                <w:szCs w:val="22"/>
                <w:lang w:val="en-GB"/>
              </w:rPr>
            </w:pPr>
            <w:r w:rsidRPr="00C60CCF">
              <w:rPr>
                <w:rFonts w:ascii="Times New Roman" w:hAnsi="Times New Roman" w:cs="Times New Roman"/>
                <w:i/>
                <w:iCs/>
                <w:snapToGrid w:val="0"/>
                <w:kern w:val="22"/>
                <w:sz w:val="22"/>
                <w:szCs w:val="22"/>
                <w:lang w:val="en-GB"/>
              </w:rPr>
              <w:t>Resulting guidance from SBSTTA and COP</w:t>
            </w:r>
          </w:p>
        </w:tc>
      </w:tr>
      <w:tr w:rsidR="00E1124B" w:rsidRPr="00C60CCF" w14:paraId="5565E4C9" w14:textId="77777777" w:rsidTr="00C60CCF">
        <w:trPr>
          <w:jc w:val="center"/>
        </w:trPr>
        <w:tc>
          <w:tcPr>
            <w:tcW w:w="2850" w:type="dxa"/>
            <w:vMerge w:val="restart"/>
          </w:tcPr>
          <w:p w14:paraId="66B1322B"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 w:val="22"/>
                <w:szCs w:val="22"/>
                <w:lang w:val="en-GB"/>
              </w:rPr>
            </w:pPr>
            <w:r w:rsidRPr="00C60CCF">
              <w:rPr>
                <w:rFonts w:ascii="Times New Roman" w:hAnsi="Times New Roman" w:cs="Times New Roman"/>
                <w:b/>
                <w:bCs/>
                <w:snapToGrid w:val="0"/>
                <w:kern w:val="22"/>
                <w:sz w:val="22"/>
                <w:szCs w:val="22"/>
                <w:lang w:val="en-GB"/>
              </w:rPr>
              <w:t>Assessment report on pollinators, pollination and food production</w:t>
            </w:r>
          </w:p>
          <w:p w14:paraId="36DE7769"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Approved at IPBES-4 (2016)</w:t>
            </w:r>
          </w:p>
          <w:p w14:paraId="0F97BE2E" w14:textId="77777777" w:rsidR="00E1124B" w:rsidRPr="00C60CCF" w:rsidRDefault="008F685A"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color w:val="0000FF"/>
                <w:kern w:val="22"/>
                <w:sz w:val="22"/>
                <w:szCs w:val="22"/>
                <w:u w:val="single"/>
                <w:lang w:val="en-GB"/>
              </w:rPr>
            </w:pPr>
            <w:hyperlink r:id="rId21" w:history="1">
              <w:r w:rsidR="00E1124B" w:rsidRPr="00C60CCF">
                <w:rPr>
                  <w:rStyle w:val="Hyperlink"/>
                  <w:rFonts w:ascii="Times New Roman" w:hAnsi="Times New Roman" w:cs="Times New Roman"/>
                  <w:snapToGrid w:val="0"/>
                  <w:kern w:val="22"/>
                  <w:sz w:val="22"/>
                  <w:szCs w:val="22"/>
                  <w:lang w:val="en-GB"/>
                </w:rPr>
                <w:t>https://ipbes.net/assessment-reports/pollinators</w:t>
              </w:r>
            </w:hyperlink>
          </w:p>
        </w:tc>
        <w:tc>
          <w:tcPr>
            <w:tcW w:w="1976" w:type="dxa"/>
          </w:tcPr>
          <w:p w14:paraId="4B67A5AE"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 rec. XX/9</w:t>
            </w:r>
          </w:p>
          <w:p w14:paraId="624BDC2D"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lastRenderedPageBreak/>
              <w:t>COP decision XIII/15</w:t>
            </w:r>
          </w:p>
        </w:tc>
        <w:tc>
          <w:tcPr>
            <w:tcW w:w="4524" w:type="dxa"/>
          </w:tcPr>
          <w:p w14:paraId="134A8DA1"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lastRenderedPageBreak/>
              <w:t xml:space="preserve">COP welcomed the summary for policymakers (SPM) and the full report of the assessment, </w:t>
            </w:r>
            <w:r w:rsidRPr="00C60CCF">
              <w:rPr>
                <w:rFonts w:ascii="Times New Roman" w:hAnsi="Times New Roman" w:cs="Times New Roman"/>
                <w:snapToGrid w:val="0"/>
                <w:kern w:val="22"/>
                <w:sz w:val="22"/>
                <w:szCs w:val="22"/>
                <w:lang w:val="en-GB"/>
              </w:rPr>
              <w:lastRenderedPageBreak/>
              <w:t>endorsed its key messages, and encouraged Parties and others to use the assessment;</w:t>
            </w:r>
          </w:p>
          <w:p w14:paraId="2E2826D1"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 adopted policy advice to Governments, businesses and others to improve conservation and management of pollinators, address drivers of pollinator declines, and work towards sustainable food production systems and agriculture</w:t>
            </w:r>
          </w:p>
        </w:tc>
      </w:tr>
      <w:tr w:rsidR="00E1124B" w:rsidRPr="00C60CCF" w14:paraId="1AA78466" w14:textId="77777777" w:rsidTr="00C60CCF">
        <w:trPr>
          <w:jc w:val="center"/>
        </w:trPr>
        <w:tc>
          <w:tcPr>
            <w:tcW w:w="2850" w:type="dxa"/>
            <w:vMerge/>
          </w:tcPr>
          <w:p w14:paraId="4106CA16"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 w:val="22"/>
                <w:szCs w:val="22"/>
                <w:lang w:val="en-GB"/>
              </w:rPr>
            </w:pPr>
          </w:p>
        </w:tc>
        <w:tc>
          <w:tcPr>
            <w:tcW w:w="1976" w:type="dxa"/>
          </w:tcPr>
          <w:p w14:paraId="3C838A61"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Further considered at SBSTTA and COP-14 (further to decision XIII/15)</w:t>
            </w:r>
          </w:p>
        </w:tc>
        <w:tc>
          <w:tcPr>
            <w:tcW w:w="4524" w:type="dxa"/>
          </w:tcPr>
          <w:p w14:paraId="1D6083A8"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Updated the Plan of Action for the International Initiative on the Conservation and Sustainable Use of Pollinators and prepare a draft updated and streamlined plan of action, including capacity-building</w:t>
            </w:r>
          </w:p>
        </w:tc>
      </w:tr>
      <w:tr w:rsidR="00E1124B" w:rsidRPr="00C60CCF" w14:paraId="37C27CE0" w14:textId="77777777" w:rsidTr="00C60CCF">
        <w:trPr>
          <w:jc w:val="center"/>
        </w:trPr>
        <w:tc>
          <w:tcPr>
            <w:tcW w:w="2850" w:type="dxa"/>
            <w:vMerge w:val="restart"/>
          </w:tcPr>
          <w:p w14:paraId="278EF1A8"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b/>
                <w:bCs/>
                <w:snapToGrid w:val="0"/>
                <w:kern w:val="22"/>
                <w:sz w:val="22"/>
                <w:szCs w:val="22"/>
                <w:lang w:val="en-GB"/>
              </w:rPr>
              <w:t>Methodological assessment report on scenarios and models of biodiversity and ecosystem services</w:t>
            </w:r>
          </w:p>
          <w:p w14:paraId="31D98124"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Style w:val="Hyperlink"/>
                <w:rFonts w:ascii="Times New Roman" w:hAnsi="Times New Roman" w:cs="Times New Roman"/>
                <w:snapToGrid w:val="0"/>
                <w:color w:val="auto"/>
                <w:kern w:val="22"/>
                <w:sz w:val="22"/>
                <w:szCs w:val="22"/>
                <w:u w:val="none"/>
                <w:lang w:val="en-GB"/>
              </w:rPr>
            </w:pPr>
            <w:r w:rsidRPr="00C60CCF">
              <w:rPr>
                <w:rFonts w:ascii="Times New Roman" w:hAnsi="Times New Roman" w:cs="Times New Roman"/>
                <w:snapToGrid w:val="0"/>
                <w:kern w:val="22"/>
                <w:sz w:val="22"/>
                <w:szCs w:val="22"/>
                <w:lang w:val="en-GB"/>
              </w:rPr>
              <w:t>Approved at IPBES-4 (2016)</w:t>
            </w:r>
          </w:p>
          <w:p w14:paraId="003C0405" w14:textId="77777777" w:rsidR="00E1124B" w:rsidRPr="00C60CCF" w:rsidRDefault="008F685A"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hyperlink r:id="rId22" w:history="1">
              <w:r w:rsidR="00E1124B" w:rsidRPr="00C60CCF">
                <w:rPr>
                  <w:rStyle w:val="Hyperlink"/>
                  <w:rFonts w:ascii="Times New Roman" w:hAnsi="Times New Roman" w:cs="Times New Roman"/>
                  <w:snapToGrid w:val="0"/>
                  <w:kern w:val="22"/>
                  <w:sz w:val="22"/>
                  <w:szCs w:val="22"/>
                  <w:lang w:val="en-GB"/>
                </w:rPr>
                <w:t>https://ipbes.net/assessment-reports/scenarios</w:t>
              </w:r>
            </w:hyperlink>
          </w:p>
        </w:tc>
        <w:tc>
          <w:tcPr>
            <w:tcW w:w="1976" w:type="dxa"/>
          </w:tcPr>
          <w:p w14:paraId="1972E14D"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Considered at SBSTTA-20 (rec.</w:t>
            </w:r>
            <w:r>
              <w:rPr>
                <w:rFonts w:ascii="Times New Roman" w:hAnsi="Times New Roman" w:cs="Times New Roman"/>
                <w:snapToGrid w:val="0"/>
                <w:kern w:val="22"/>
                <w:sz w:val="22"/>
                <w:szCs w:val="22"/>
                <w:lang w:val="en-GB"/>
              </w:rPr>
              <w:t> </w:t>
            </w:r>
            <w:r w:rsidRPr="00C60CCF">
              <w:rPr>
                <w:rFonts w:ascii="Times New Roman" w:hAnsi="Times New Roman" w:cs="Times New Roman"/>
                <w:snapToGrid w:val="0"/>
                <w:kern w:val="22"/>
                <w:sz w:val="22"/>
                <w:szCs w:val="22"/>
                <w:lang w:val="en-GB"/>
              </w:rPr>
              <w:t>XX/13) and COP</w:t>
            </w:r>
            <w:r>
              <w:rPr>
                <w:rFonts w:ascii="Times New Roman" w:hAnsi="Times New Roman" w:cs="Times New Roman"/>
                <w:snapToGrid w:val="0"/>
                <w:kern w:val="22"/>
                <w:sz w:val="22"/>
                <w:szCs w:val="22"/>
                <w:lang w:val="en-GB"/>
              </w:rPr>
              <w:t>-</w:t>
            </w:r>
            <w:r w:rsidRPr="00C60CCF">
              <w:rPr>
                <w:rFonts w:ascii="Times New Roman" w:hAnsi="Times New Roman" w:cs="Times New Roman"/>
                <w:snapToGrid w:val="0"/>
                <w:kern w:val="22"/>
                <w:sz w:val="22"/>
                <w:szCs w:val="22"/>
                <w:lang w:val="en-GB"/>
              </w:rPr>
              <w:t>13 (decision</w:t>
            </w:r>
            <w:r>
              <w:rPr>
                <w:rFonts w:ascii="Times New Roman" w:hAnsi="Times New Roman" w:cs="Times New Roman"/>
                <w:snapToGrid w:val="0"/>
                <w:kern w:val="22"/>
                <w:sz w:val="22"/>
                <w:szCs w:val="22"/>
                <w:lang w:val="en-GB"/>
              </w:rPr>
              <w:t> </w:t>
            </w:r>
            <w:r w:rsidRPr="00C60CCF">
              <w:rPr>
                <w:rFonts w:ascii="Times New Roman" w:hAnsi="Times New Roman" w:cs="Times New Roman"/>
                <w:snapToGrid w:val="0"/>
                <w:kern w:val="22"/>
                <w:sz w:val="22"/>
                <w:szCs w:val="22"/>
                <w:lang w:val="en-GB"/>
              </w:rPr>
              <w:t>XIII/29)</w:t>
            </w:r>
          </w:p>
        </w:tc>
        <w:tc>
          <w:tcPr>
            <w:tcW w:w="4524" w:type="dxa"/>
          </w:tcPr>
          <w:p w14:paraId="673A0443"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 welcomed the assessment, recognized its high relevance for work under the Convention, and in particular, fifth edition of the Global Biodiversity Outlook; encouraged Parties and others to further develop and use scenarios and models to support decision-making and the evaluation of policies, and invited the scientific community to address key gaps in methods for modelling the impacts of drivers and policy interventions on biodiversity and ecosystem services</w:t>
            </w:r>
          </w:p>
        </w:tc>
      </w:tr>
      <w:tr w:rsidR="00E1124B" w:rsidRPr="00C60CCF" w14:paraId="4665311C" w14:textId="77777777" w:rsidTr="00C60CCF">
        <w:trPr>
          <w:jc w:val="center"/>
        </w:trPr>
        <w:tc>
          <w:tcPr>
            <w:tcW w:w="2850" w:type="dxa"/>
            <w:vMerge/>
          </w:tcPr>
          <w:p w14:paraId="3B3D7711"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 w:val="22"/>
                <w:szCs w:val="22"/>
                <w:lang w:val="en-GB"/>
              </w:rPr>
            </w:pPr>
          </w:p>
        </w:tc>
        <w:tc>
          <w:tcPr>
            <w:tcW w:w="1976" w:type="dxa"/>
          </w:tcPr>
          <w:p w14:paraId="400D8AE9"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SBSTTA-21 (rec.</w:t>
            </w:r>
            <w:r>
              <w:rPr>
                <w:rFonts w:ascii="Times New Roman" w:hAnsi="Times New Roman" w:cs="Times New Roman"/>
                <w:snapToGrid w:val="0"/>
                <w:kern w:val="22"/>
                <w:sz w:val="22"/>
                <w:szCs w:val="22"/>
                <w:lang w:val="en-GB"/>
              </w:rPr>
              <w:t> </w:t>
            </w:r>
            <w:r w:rsidRPr="00C60CCF">
              <w:rPr>
                <w:rFonts w:ascii="Times New Roman" w:hAnsi="Times New Roman" w:cs="Times New Roman"/>
                <w:snapToGrid w:val="0"/>
                <w:kern w:val="22"/>
                <w:sz w:val="22"/>
                <w:szCs w:val="22"/>
                <w:lang w:val="en-GB"/>
              </w:rPr>
              <w:t>XXI/1)</w:t>
            </w:r>
          </w:p>
          <w:p w14:paraId="6296EE46"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COP-14 (decision</w:t>
            </w:r>
            <w:r>
              <w:rPr>
                <w:rFonts w:ascii="Times New Roman" w:hAnsi="Times New Roman" w:cs="Times New Roman"/>
                <w:snapToGrid w:val="0"/>
                <w:kern w:val="22"/>
                <w:sz w:val="22"/>
                <w:szCs w:val="22"/>
                <w:lang w:val="en-GB"/>
              </w:rPr>
              <w:t> </w:t>
            </w:r>
            <w:r w:rsidRPr="00C60CCF">
              <w:rPr>
                <w:rFonts w:ascii="Times New Roman" w:hAnsi="Times New Roman" w:cs="Times New Roman"/>
                <w:snapToGrid w:val="0"/>
                <w:kern w:val="22"/>
                <w:sz w:val="22"/>
                <w:szCs w:val="22"/>
                <w:lang w:val="en-GB"/>
              </w:rPr>
              <w:t>14/1)</w:t>
            </w:r>
          </w:p>
        </w:tc>
        <w:tc>
          <w:tcPr>
            <w:tcW w:w="4524" w:type="dxa"/>
          </w:tcPr>
          <w:p w14:paraId="533FE745"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Cs/>
                <w:iCs/>
                <w:snapToGrid w:val="0"/>
                <w:kern w:val="22"/>
                <w:sz w:val="22"/>
                <w:szCs w:val="22"/>
                <w:lang w:val="en-GB"/>
              </w:rPr>
            </w:pPr>
            <w:r w:rsidRPr="00C60CCF">
              <w:rPr>
                <w:rFonts w:ascii="Times New Roman" w:hAnsi="Times New Roman" w:cs="Times New Roman"/>
                <w:bCs/>
                <w:iCs/>
                <w:snapToGrid w:val="0"/>
                <w:kern w:val="22"/>
                <w:sz w:val="22"/>
                <w:szCs w:val="22"/>
                <w:lang w:val="en-GB"/>
              </w:rPr>
              <w:t>SBSTTA developed conclusions on scenarios for the 2050 Vision on Biodiversity</w:t>
            </w:r>
          </w:p>
          <w:p w14:paraId="559814DC"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bCs/>
                <w:iCs/>
                <w:snapToGrid w:val="0"/>
                <w:kern w:val="22"/>
                <w:sz w:val="22"/>
                <w:szCs w:val="22"/>
                <w:lang w:val="en-GB"/>
              </w:rPr>
              <w:t>COP noted the relevance of the assessment to the discussions on the long-term strategic directions to the 2050 Vision for Biodiversity and the process of developing a post-2020 global biodiversity framework</w:t>
            </w:r>
          </w:p>
        </w:tc>
      </w:tr>
      <w:tr w:rsidR="00E1124B" w:rsidRPr="00C60CCF" w14:paraId="5FBAE8D5" w14:textId="77777777" w:rsidTr="00C60CCF">
        <w:trPr>
          <w:jc w:val="center"/>
        </w:trPr>
        <w:tc>
          <w:tcPr>
            <w:tcW w:w="2850" w:type="dxa"/>
            <w:vMerge w:val="restart"/>
          </w:tcPr>
          <w:p w14:paraId="3319DC4F"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Style w:val="Hyperlink"/>
                <w:rFonts w:ascii="Times New Roman" w:hAnsi="Times New Roman" w:cs="Times New Roman"/>
                <w:b/>
                <w:bCs/>
                <w:snapToGrid w:val="0"/>
                <w:color w:val="auto"/>
                <w:kern w:val="22"/>
                <w:sz w:val="22"/>
                <w:szCs w:val="22"/>
                <w:lang w:val="en-GB"/>
              </w:rPr>
            </w:pPr>
            <w:r w:rsidRPr="00C60CCF">
              <w:rPr>
                <w:rFonts w:ascii="Times New Roman" w:hAnsi="Times New Roman" w:cs="Times New Roman"/>
                <w:b/>
                <w:bCs/>
                <w:snapToGrid w:val="0"/>
                <w:kern w:val="22"/>
                <w:sz w:val="22"/>
                <w:szCs w:val="22"/>
                <w:lang w:val="en-GB"/>
              </w:rPr>
              <w:t>Assessment report on land degradation and restoration</w:t>
            </w:r>
          </w:p>
          <w:p w14:paraId="02259413"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Style w:val="Hyperlink"/>
                <w:rFonts w:ascii="Times New Roman" w:hAnsi="Times New Roman" w:cs="Times New Roman"/>
                <w:snapToGrid w:val="0"/>
                <w:color w:val="auto"/>
                <w:kern w:val="22"/>
                <w:sz w:val="22"/>
                <w:szCs w:val="22"/>
                <w:u w:val="none"/>
                <w:lang w:val="en-GB"/>
              </w:rPr>
            </w:pPr>
            <w:r w:rsidRPr="00C60CCF">
              <w:rPr>
                <w:rFonts w:ascii="Times New Roman" w:hAnsi="Times New Roman" w:cs="Times New Roman"/>
                <w:snapToGrid w:val="0"/>
                <w:kern w:val="22"/>
                <w:sz w:val="22"/>
                <w:szCs w:val="22"/>
                <w:lang w:val="en-GB"/>
              </w:rPr>
              <w:t>Approved at IPBES-6 (2018)</w:t>
            </w:r>
          </w:p>
          <w:p w14:paraId="76AE5A6A" w14:textId="2E864EB1" w:rsidR="00E1124B" w:rsidRPr="00C60CCF" w:rsidRDefault="008F685A"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hyperlink r:id="rId23" w:history="1">
              <w:r w:rsidR="00E1124B" w:rsidRPr="00C60CCF">
                <w:rPr>
                  <w:rStyle w:val="Hyperlink"/>
                  <w:rFonts w:ascii="Times New Roman" w:hAnsi="Times New Roman" w:cs="Times New Roman"/>
                  <w:snapToGrid w:val="0"/>
                  <w:kern w:val="22"/>
                  <w:sz w:val="22"/>
                  <w:szCs w:val="22"/>
                  <w:lang w:val="en-GB"/>
                </w:rPr>
                <w:t>https://ipbes.net/assessment-reports/ldr</w:t>
              </w:r>
            </w:hyperlink>
          </w:p>
        </w:tc>
        <w:tc>
          <w:tcPr>
            <w:tcW w:w="1976" w:type="dxa"/>
          </w:tcPr>
          <w:p w14:paraId="19CF9996"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 rec. 22/4 and 23/1</w:t>
            </w:r>
          </w:p>
        </w:tc>
        <w:tc>
          <w:tcPr>
            <w:tcW w:w="4524" w:type="dxa"/>
          </w:tcPr>
          <w:p w14:paraId="4C43CA76"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 welcomed the assessment</w:t>
            </w:r>
          </w:p>
        </w:tc>
      </w:tr>
      <w:tr w:rsidR="00E1124B" w:rsidRPr="00C60CCF" w14:paraId="7FC7B73D" w14:textId="77777777" w:rsidTr="00C60CCF">
        <w:trPr>
          <w:jc w:val="center"/>
        </w:trPr>
        <w:tc>
          <w:tcPr>
            <w:tcW w:w="2850" w:type="dxa"/>
            <w:vMerge/>
          </w:tcPr>
          <w:p w14:paraId="208316A9"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 w:val="22"/>
                <w:szCs w:val="22"/>
                <w:lang w:val="en-GB"/>
              </w:rPr>
            </w:pPr>
          </w:p>
        </w:tc>
        <w:tc>
          <w:tcPr>
            <w:tcW w:w="1976" w:type="dxa"/>
          </w:tcPr>
          <w:p w14:paraId="60091EB8"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 decision 14/5</w:t>
            </w:r>
          </w:p>
        </w:tc>
        <w:tc>
          <w:tcPr>
            <w:tcW w:w="4524" w:type="dxa"/>
          </w:tcPr>
          <w:p w14:paraId="58EC6411"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iCs/>
                <w:snapToGrid w:val="0"/>
                <w:kern w:val="22"/>
                <w:sz w:val="22"/>
                <w:szCs w:val="22"/>
                <w:lang w:val="en-GB"/>
              </w:rPr>
            </w:pPr>
            <w:r w:rsidRPr="00C60CCF">
              <w:rPr>
                <w:rFonts w:ascii="Times New Roman" w:hAnsi="Times New Roman" w:cs="Times New Roman"/>
                <w:iCs/>
                <w:snapToGrid w:val="0"/>
                <w:kern w:val="22"/>
                <w:sz w:val="22"/>
                <w:szCs w:val="22"/>
                <w:lang w:val="en-GB"/>
              </w:rPr>
              <w:t xml:space="preserve">COP welcomed the assessment, endorsed the key messages that support achieving the Sustainable Development Goals </w:t>
            </w:r>
            <w:proofErr w:type="gramStart"/>
            <w:r w:rsidRPr="00C60CCF">
              <w:rPr>
                <w:rFonts w:ascii="Times New Roman" w:hAnsi="Times New Roman" w:cs="Times New Roman"/>
                <w:iCs/>
                <w:snapToGrid w:val="0"/>
                <w:kern w:val="22"/>
                <w:sz w:val="22"/>
                <w:szCs w:val="22"/>
                <w:lang w:val="en-GB"/>
              </w:rPr>
              <w:t>through the use of</w:t>
            </w:r>
            <w:proofErr w:type="gramEnd"/>
            <w:r w:rsidRPr="00C60CCF">
              <w:rPr>
                <w:rFonts w:ascii="Times New Roman" w:hAnsi="Times New Roman" w:cs="Times New Roman"/>
                <w:iCs/>
                <w:snapToGrid w:val="0"/>
                <w:kern w:val="22"/>
                <w:sz w:val="22"/>
                <w:szCs w:val="22"/>
                <w:lang w:val="en-GB"/>
              </w:rPr>
              <w:t xml:space="preserve"> ecosystem-based approaches to climate change adaptation and mitigation, disaster risk reduction, and combating land degradation</w:t>
            </w:r>
          </w:p>
        </w:tc>
      </w:tr>
      <w:tr w:rsidR="00E1124B" w:rsidRPr="00C60CCF" w14:paraId="6CA5AA93" w14:textId="77777777" w:rsidTr="00C60CCF">
        <w:trPr>
          <w:jc w:val="center"/>
        </w:trPr>
        <w:tc>
          <w:tcPr>
            <w:tcW w:w="2850" w:type="dxa"/>
          </w:tcPr>
          <w:p w14:paraId="2BCDA1E9"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 w:val="22"/>
                <w:szCs w:val="22"/>
                <w:lang w:val="en-GB"/>
              </w:rPr>
            </w:pPr>
            <w:r w:rsidRPr="00C60CCF">
              <w:rPr>
                <w:rFonts w:ascii="Times New Roman" w:hAnsi="Times New Roman" w:cs="Times New Roman"/>
                <w:b/>
                <w:bCs/>
                <w:snapToGrid w:val="0"/>
                <w:kern w:val="22"/>
                <w:sz w:val="22"/>
                <w:szCs w:val="22"/>
                <w:lang w:val="en-GB"/>
              </w:rPr>
              <w:t>Regional assessment reports on biodiversity and ecosystem services for the Americas, Africa, Asia and the Pacific and Europe and Central Asia</w:t>
            </w:r>
          </w:p>
          <w:p w14:paraId="0AC94023"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Approved at IPBES-6 (2018)</w:t>
            </w:r>
          </w:p>
          <w:p w14:paraId="65AE460B" w14:textId="77777777" w:rsidR="00E1124B" w:rsidRPr="00C60CCF" w:rsidRDefault="008F685A"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hyperlink r:id="rId24" w:history="1">
              <w:r w:rsidR="00E1124B" w:rsidRPr="00C60CCF">
                <w:rPr>
                  <w:rStyle w:val="Hyperlink"/>
                  <w:rFonts w:ascii="Times New Roman" w:hAnsi="Times New Roman" w:cs="Times New Roman"/>
                  <w:snapToGrid w:val="0"/>
                  <w:kern w:val="22"/>
                  <w:sz w:val="22"/>
                  <w:szCs w:val="22"/>
                  <w:lang w:val="en-GB"/>
                </w:rPr>
                <w:t>https://ipbes.net/regional-assessments</w:t>
              </w:r>
            </w:hyperlink>
          </w:p>
        </w:tc>
        <w:tc>
          <w:tcPr>
            <w:tcW w:w="1976" w:type="dxa"/>
          </w:tcPr>
          <w:p w14:paraId="69C21133"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 rec. 22/4</w:t>
            </w:r>
          </w:p>
          <w:p w14:paraId="551ABF5F"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 decisions 14/1 and 14/34</w:t>
            </w:r>
          </w:p>
          <w:p w14:paraId="7E2C8449"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 rec. 23/1</w:t>
            </w:r>
          </w:p>
        </w:tc>
        <w:tc>
          <w:tcPr>
            <w:tcW w:w="4524" w:type="dxa"/>
          </w:tcPr>
          <w:p w14:paraId="0CDBF07D"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COP welcomed the assessments and called for their use in preparing the post-2020 global biodiversity framework</w:t>
            </w:r>
          </w:p>
        </w:tc>
      </w:tr>
      <w:tr w:rsidR="00E1124B" w:rsidRPr="00C60CCF" w14:paraId="56F0A331" w14:textId="77777777" w:rsidTr="00C60CCF">
        <w:trPr>
          <w:jc w:val="center"/>
        </w:trPr>
        <w:tc>
          <w:tcPr>
            <w:tcW w:w="2850" w:type="dxa"/>
          </w:tcPr>
          <w:p w14:paraId="2A8DA7F7"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b/>
                <w:bCs/>
                <w:snapToGrid w:val="0"/>
                <w:kern w:val="22"/>
                <w:sz w:val="22"/>
                <w:szCs w:val="22"/>
                <w:lang w:val="en-GB"/>
              </w:rPr>
            </w:pPr>
            <w:r w:rsidRPr="00C60CCF">
              <w:rPr>
                <w:rFonts w:ascii="Times New Roman" w:hAnsi="Times New Roman" w:cs="Times New Roman"/>
                <w:b/>
                <w:bCs/>
                <w:snapToGrid w:val="0"/>
                <w:kern w:val="22"/>
                <w:sz w:val="22"/>
                <w:szCs w:val="22"/>
                <w:lang w:val="en-GB"/>
              </w:rPr>
              <w:lastRenderedPageBreak/>
              <w:t>Global assessment report on biodiversity and ecosystem services</w:t>
            </w:r>
          </w:p>
          <w:p w14:paraId="17716B33"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Style w:val="Hyperlink"/>
                <w:rFonts w:ascii="Times New Roman" w:hAnsi="Times New Roman" w:cs="Times New Roman"/>
                <w:snapToGrid w:val="0"/>
                <w:color w:val="auto"/>
                <w:kern w:val="22"/>
                <w:sz w:val="22"/>
                <w:szCs w:val="22"/>
                <w:u w:val="none"/>
                <w:lang w:val="en-GB"/>
              </w:rPr>
            </w:pPr>
            <w:r w:rsidRPr="00C60CCF">
              <w:rPr>
                <w:rFonts w:ascii="Times New Roman" w:hAnsi="Times New Roman" w:cs="Times New Roman"/>
                <w:snapToGrid w:val="0"/>
                <w:kern w:val="22"/>
                <w:sz w:val="22"/>
                <w:szCs w:val="22"/>
                <w:lang w:val="en-GB"/>
              </w:rPr>
              <w:t>Approved at IPBES-7 (2019)</w:t>
            </w:r>
          </w:p>
          <w:p w14:paraId="752A4D67" w14:textId="77777777" w:rsidR="00E1124B" w:rsidRPr="00C60CCF" w:rsidRDefault="008F685A"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hyperlink r:id="rId25" w:history="1">
              <w:r w:rsidR="00E1124B" w:rsidRPr="00C60CCF">
                <w:rPr>
                  <w:rStyle w:val="Hyperlink"/>
                  <w:rFonts w:ascii="Times New Roman" w:hAnsi="Times New Roman" w:cs="Times New Roman"/>
                  <w:snapToGrid w:val="0"/>
                  <w:kern w:val="22"/>
                  <w:sz w:val="22"/>
                  <w:szCs w:val="22"/>
                  <w:lang w:val="en-GB"/>
                </w:rPr>
                <w:t>https://ipbes.net/global-assessment</w:t>
              </w:r>
            </w:hyperlink>
          </w:p>
        </w:tc>
        <w:tc>
          <w:tcPr>
            <w:tcW w:w="1976" w:type="dxa"/>
          </w:tcPr>
          <w:p w14:paraId="72E86C5D"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 rec. 23/1</w:t>
            </w:r>
          </w:p>
        </w:tc>
        <w:tc>
          <w:tcPr>
            <w:tcW w:w="4524" w:type="dxa"/>
          </w:tcPr>
          <w:p w14:paraId="5992270A" w14:textId="77777777" w:rsidR="00E1124B" w:rsidRPr="00C60CCF" w:rsidRDefault="00E1124B" w:rsidP="00766960">
            <w:pPr>
              <w:suppressLineNumbers/>
              <w:suppressAutoHyphens/>
              <w:kinsoku w:val="0"/>
              <w:overflowPunct w:val="0"/>
              <w:autoSpaceDE w:val="0"/>
              <w:autoSpaceDN w:val="0"/>
              <w:adjustRightInd w:val="0"/>
              <w:snapToGrid w:val="0"/>
              <w:spacing w:before="40" w:after="40" w:line="235" w:lineRule="auto"/>
              <w:rPr>
                <w:rFonts w:ascii="Times New Roman" w:hAnsi="Times New Roman" w:cs="Times New Roman"/>
                <w:snapToGrid w:val="0"/>
                <w:kern w:val="22"/>
                <w:sz w:val="22"/>
                <w:szCs w:val="22"/>
                <w:lang w:val="en-GB"/>
              </w:rPr>
            </w:pPr>
            <w:r w:rsidRPr="00C60CCF">
              <w:rPr>
                <w:rFonts w:ascii="Times New Roman" w:hAnsi="Times New Roman" w:cs="Times New Roman"/>
                <w:snapToGrid w:val="0"/>
                <w:kern w:val="22"/>
                <w:sz w:val="22"/>
                <w:szCs w:val="22"/>
                <w:lang w:val="en-GB"/>
              </w:rPr>
              <w:t>SBSTTA welcomed the global assessment report and took note of the information presented in the note by the Executive Secretary which included an overview of the findings of the global assessment and implications for the work of the Convention prepared by the Executive Secretary; requested the Co-Chairs of the Open-ended Working Group on the Post-2020 Global Biodiversity Framework to consider the findings of the global assessment when preparing documentation for the second meeting of the Working Group; and invited the Open-ended Working Group on the Post-2020 Global Biodiversity Framework to consider the findings of the global assessment in its deliberations</w:t>
            </w:r>
          </w:p>
        </w:tc>
      </w:tr>
    </w:tbl>
    <w:p w14:paraId="460A7901" w14:textId="77777777" w:rsidR="00E1124B" w:rsidRPr="0044638A" w:rsidRDefault="00E1124B" w:rsidP="00766960">
      <w:pPr>
        <w:suppressLineNumbers/>
        <w:suppressAutoHyphens/>
        <w:kinsoku w:val="0"/>
        <w:overflowPunct w:val="0"/>
        <w:autoSpaceDE w:val="0"/>
        <w:autoSpaceDN w:val="0"/>
        <w:adjustRightInd w:val="0"/>
        <w:snapToGrid w:val="0"/>
        <w:spacing w:line="235" w:lineRule="auto"/>
        <w:jc w:val="both"/>
        <w:rPr>
          <w:bCs/>
          <w:iCs/>
          <w:snapToGrid w:val="0"/>
          <w:kern w:val="22"/>
          <w:sz w:val="22"/>
          <w:szCs w:val="22"/>
          <w:lang w:val="en-GB"/>
        </w:rPr>
      </w:pPr>
    </w:p>
    <w:p w14:paraId="74147D6D" w14:textId="471A725E" w:rsidR="002E46E7" w:rsidRPr="0044638A" w:rsidRDefault="002E46E7"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 xml:space="preserve">The Conference of the Parties has also </w:t>
      </w:r>
      <w:r w:rsidR="000E7E4C" w:rsidRPr="0044638A">
        <w:rPr>
          <w:bCs/>
          <w:iCs/>
          <w:snapToGrid w:val="0"/>
          <w:kern w:val="22"/>
          <w:sz w:val="22"/>
          <w:szCs w:val="22"/>
          <w:lang w:val="en-GB"/>
        </w:rPr>
        <w:t>encouraged</w:t>
      </w:r>
      <w:r w:rsidRPr="0044638A">
        <w:rPr>
          <w:bCs/>
          <w:iCs/>
          <w:snapToGrid w:val="0"/>
          <w:kern w:val="22"/>
          <w:sz w:val="22"/>
          <w:szCs w:val="22"/>
          <w:lang w:val="en-GB"/>
        </w:rPr>
        <w:t xml:space="preserve"> the use of the </w:t>
      </w:r>
      <w:r w:rsidR="000E7E4C" w:rsidRPr="0044638A">
        <w:rPr>
          <w:bCs/>
          <w:iCs/>
          <w:snapToGrid w:val="0"/>
          <w:kern w:val="22"/>
          <w:sz w:val="22"/>
          <w:szCs w:val="22"/>
          <w:lang w:val="en-GB"/>
        </w:rPr>
        <w:t>assessment</w:t>
      </w:r>
      <w:r w:rsidRPr="0044638A">
        <w:rPr>
          <w:bCs/>
          <w:iCs/>
          <w:snapToGrid w:val="0"/>
          <w:kern w:val="22"/>
          <w:sz w:val="22"/>
          <w:szCs w:val="22"/>
          <w:lang w:val="en-GB"/>
        </w:rPr>
        <w:t xml:space="preserve"> </w:t>
      </w:r>
      <w:r w:rsidR="00250913" w:rsidRPr="0044638A">
        <w:rPr>
          <w:bCs/>
          <w:iCs/>
          <w:snapToGrid w:val="0"/>
          <w:kern w:val="22"/>
          <w:sz w:val="22"/>
          <w:szCs w:val="22"/>
          <w:lang w:val="en-GB"/>
        </w:rPr>
        <w:t>reports</w:t>
      </w:r>
      <w:r w:rsidRPr="0044638A">
        <w:rPr>
          <w:bCs/>
          <w:iCs/>
          <w:snapToGrid w:val="0"/>
          <w:kern w:val="22"/>
          <w:sz w:val="22"/>
          <w:szCs w:val="22"/>
          <w:lang w:val="en-GB"/>
        </w:rPr>
        <w:t xml:space="preserve"> at the </w:t>
      </w:r>
      <w:r w:rsidR="000E7E4C" w:rsidRPr="0044638A">
        <w:rPr>
          <w:bCs/>
          <w:iCs/>
          <w:snapToGrid w:val="0"/>
          <w:kern w:val="22"/>
          <w:sz w:val="22"/>
          <w:szCs w:val="22"/>
          <w:lang w:val="en-GB"/>
        </w:rPr>
        <w:t>n</w:t>
      </w:r>
      <w:r w:rsidRPr="0044638A">
        <w:rPr>
          <w:bCs/>
          <w:iCs/>
          <w:snapToGrid w:val="0"/>
          <w:kern w:val="22"/>
          <w:sz w:val="22"/>
          <w:szCs w:val="22"/>
          <w:lang w:val="en-GB"/>
        </w:rPr>
        <w:t xml:space="preserve">ational level </w:t>
      </w:r>
      <w:r w:rsidR="00250913" w:rsidRPr="0044638A">
        <w:rPr>
          <w:bCs/>
          <w:iCs/>
          <w:snapToGrid w:val="0"/>
          <w:kern w:val="22"/>
          <w:sz w:val="22"/>
          <w:szCs w:val="22"/>
          <w:lang w:val="en-GB"/>
        </w:rPr>
        <w:t xml:space="preserve">and invited </w:t>
      </w:r>
      <w:r w:rsidR="000E7E4C" w:rsidRPr="0044638A">
        <w:rPr>
          <w:bCs/>
          <w:iCs/>
          <w:snapToGrid w:val="0"/>
          <w:kern w:val="22"/>
          <w:sz w:val="22"/>
          <w:szCs w:val="22"/>
          <w:lang w:val="en-GB"/>
        </w:rPr>
        <w:t>G</w:t>
      </w:r>
      <w:r w:rsidR="00250913" w:rsidRPr="0044638A">
        <w:rPr>
          <w:bCs/>
          <w:iCs/>
          <w:snapToGrid w:val="0"/>
          <w:kern w:val="22"/>
          <w:sz w:val="22"/>
          <w:szCs w:val="22"/>
          <w:lang w:val="en-GB"/>
        </w:rPr>
        <w:t xml:space="preserve">overnments and relevant organizations to strengthen the capacities of national focal points for the </w:t>
      </w:r>
      <w:r w:rsidR="000E7E4C" w:rsidRPr="0044638A">
        <w:rPr>
          <w:bCs/>
          <w:iCs/>
          <w:snapToGrid w:val="0"/>
          <w:kern w:val="22"/>
          <w:sz w:val="22"/>
          <w:szCs w:val="22"/>
          <w:lang w:val="en-GB"/>
        </w:rPr>
        <w:t>C</w:t>
      </w:r>
      <w:r w:rsidR="00250913" w:rsidRPr="0044638A">
        <w:rPr>
          <w:bCs/>
          <w:iCs/>
          <w:snapToGrid w:val="0"/>
          <w:kern w:val="22"/>
          <w:sz w:val="22"/>
          <w:szCs w:val="22"/>
          <w:lang w:val="en-GB"/>
        </w:rPr>
        <w:t xml:space="preserve">onvention and decision makers to make effective use of the </w:t>
      </w:r>
      <w:r w:rsidR="000E7E4C" w:rsidRPr="0044638A">
        <w:rPr>
          <w:bCs/>
          <w:iCs/>
          <w:snapToGrid w:val="0"/>
          <w:kern w:val="22"/>
          <w:sz w:val="22"/>
          <w:szCs w:val="22"/>
          <w:lang w:val="en-GB"/>
        </w:rPr>
        <w:t xml:space="preserve">key </w:t>
      </w:r>
      <w:r w:rsidR="00250913" w:rsidRPr="0044638A">
        <w:rPr>
          <w:bCs/>
          <w:iCs/>
          <w:snapToGrid w:val="0"/>
          <w:kern w:val="22"/>
          <w:sz w:val="22"/>
          <w:szCs w:val="22"/>
          <w:lang w:val="en-GB"/>
        </w:rPr>
        <w:t>findings of the assessments.</w:t>
      </w:r>
      <w:r w:rsidR="009544D2" w:rsidRPr="0044638A">
        <w:rPr>
          <w:bCs/>
          <w:iCs/>
          <w:snapToGrid w:val="0"/>
          <w:kern w:val="22"/>
          <w:sz w:val="22"/>
          <w:szCs w:val="22"/>
          <w:lang w:val="en-GB"/>
        </w:rPr>
        <w:t xml:space="preserve"> In this context, </w:t>
      </w:r>
      <w:r w:rsidR="00FC3F30" w:rsidRPr="0044638A">
        <w:rPr>
          <w:bCs/>
          <w:iCs/>
          <w:snapToGrid w:val="0"/>
          <w:kern w:val="22"/>
          <w:sz w:val="22"/>
          <w:szCs w:val="22"/>
          <w:lang w:val="en-GB"/>
        </w:rPr>
        <w:t xml:space="preserve">the United Nations Environment </w:t>
      </w:r>
      <w:r w:rsidR="00F525EC">
        <w:rPr>
          <w:bCs/>
          <w:iCs/>
          <w:snapToGrid w:val="0"/>
          <w:kern w:val="22"/>
          <w:sz w:val="22"/>
          <w:szCs w:val="22"/>
          <w:lang w:val="en-GB"/>
        </w:rPr>
        <w:t>P</w:t>
      </w:r>
      <w:r w:rsidR="00FC3F30" w:rsidRPr="0044638A">
        <w:rPr>
          <w:bCs/>
          <w:iCs/>
          <w:snapToGrid w:val="0"/>
          <w:kern w:val="22"/>
          <w:sz w:val="22"/>
          <w:szCs w:val="22"/>
          <w:lang w:val="en-GB"/>
        </w:rPr>
        <w:t>rogramme</w:t>
      </w:r>
      <w:r w:rsidR="00BD435F" w:rsidRPr="0044638A">
        <w:rPr>
          <w:bCs/>
          <w:iCs/>
          <w:snapToGrid w:val="0"/>
          <w:kern w:val="22"/>
          <w:sz w:val="22"/>
          <w:szCs w:val="22"/>
          <w:lang w:val="en-GB"/>
        </w:rPr>
        <w:t>’s World Conservation Monitoring Centre (</w:t>
      </w:r>
      <w:r w:rsidR="009544D2" w:rsidRPr="0044638A">
        <w:rPr>
          <w:bCs/>
          <w:iCs/>
          <w:snapToGrid w:val="0"/>
          <w:kern w:val="22"/>
          <w:sz w:val="22"/>
          <w:szCs w:val="22"/>
          <w:lang w:val="en-GB"/>
        </w:rPr>
        <w:t>UNEP-WCMC</w:t>
      </w:r>
      <w:r w:rsidR="00BD435F" w:rsidRPr="0044638A">
        <w:rPr>
          <w:bCs/>
          <w:iCs/>
          <w:snapToGrid w:val="0"/>
          <w:kern w:val="22"/>
          <w:sz w:val="22"/>
          <w:szCs w:val="22"/>
          <w:lang w:val="en-GB"/>
        </w:rPr>
        <w:t>)</w:t>
      </w:r>
      <w:r w:rsidR="009544D2" w:rsidRPr="0044638A">
        <w:rPr>
          <w:bCs/>
          <w:iCs/>
          <w:snapToGrid w:val="0"/>
          <w:kern w:val="22"/>
          <w:sz w:val="22"/>
          <w:szCs w:val="22"/>
          <w:lang w:val="en-GB"/>
        </w:rPr>
        <w:t xml:space="preserve"> is currently supporting 12 countries to undertake national ecosystem assessments and develop national science-policy platforms (see </w:t>
      </w:r>
      <w:r w:rsidR="00573D5D" w:rsidRPr="0044638A">
        <w:rPr>
          <w:bCs/>
          <w:iCs/>
          <w:snapToGrid w:val="0"/>
          <w:kern w:val="22"/>
          <w:sz w:val="22"/>
          <w:szCs w:val="22"/>
          <w:lang w:val="en-GB"/>
        </w:rPr>
        <w:t>a</w:t>
      </w:r>
      <w:r w:rsidR="009544D2" w:rsidRPr="0044638A">
        <w:rPr>
          <w:bCs/>
          <w:iCs/>
          <w:snapToGrid w:val="0"/>
          <w:kern w:val="22"/>
          <w:sz w:val="22"/>
          <w:szCs w:val="22"/>
          <w:lang w:val="en-GB"/>
        </w:rPr>
        <w:t>nnex).</w:t>
      </w:r>
    </w:p>
    <w:p w14:paraId="04191F90" w14:textId="431515EC" w:rsidR="00727964" w:rsidRPr="0044638A" w:rsidRDefault="00727964"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 xml:space="preserve">The </w:t>
      </w:r>
      <w:r w:rsidR="00A91DB4" w:rsidRPr="0044638A">
        <w:rPr>
          <w:bCs/>
          <w:iCs/>
          <w:snapToGrid w:val="0"/>
          <w:kern w:val="22"/>
          <w:sz w:val="22"/>
          <w:szCs w:val="22"/>
          <w:lang w:val="en-GB"/>
        </w:rPr>
        <w:t xml:space="preserve">Secretariats of </w:t>
      </w:r>
      <w:r w:rsidRPr="0044638A">
        <w:rPr>
          <w:bCs/>
          <w:iCs/>
          <w:snapToGrid w:val="0"/>
          <w:kern w:val="22"/>
          <w:sz w:val="22"/>
          <w:szCs w:val="22"/>
          <w:lang w:val="en-GB"/>
        </w:rPr>
        <w:t xml:space="preserve">IPBES and </w:t>
      </w:r>
      <w:r w:rsidR="00A91DB4" w:rsidRPr="0044638A">
        <w:rPr>
          <w:bCs/>
          <w:iCs/>
          <w:snapToGrid w:val="0"/>
          <w:kern w:val="22"/>
          <w:sz w:val="22"/>
          <w:szCs w:val="22"/>
          <w:lang w:val="en-GB"/>
        </w:rPr>
        <w:t xml:space="preserve">the Convention </w:t>
      </w:r>
      <w:r w:rsidRPr="0044638A">
        <w:rPr>
          <w:bCs/>
          <w:iCs/>
          <w:snapToGrid w:val="0"/>
          <w:kern w:val="22"/>
          <w:sz w:val="22"/>
          <w:szCs w:val="22"/>
          <w:lang w:val="en-GB"/>
        </w:rPr>
        <w:t xml:space="preserve">have </w:t>
      </w:r>
      <w:r w:rsidR="009544D2" w:rsidRPr="0044638A">
        <w:rPr>
          <w:bCs/>
          <w:iCs/>
          <w:snapToGrid w:val="0"/>
          <w:kern w:val="22"/>
          <w:sz w:val="22"/>
          <w:szCs w:val="22"/>
          <w:lang w:val="en-GB"/>
        </w:rPr>
        <w:t xml:space="preserve">also </w:t>
      </w:r>
      <w:r w:rsidRPr="0044638A">
        <w:rPr>
          <w:bCs/>
          <w:iCs/>
          <w:snapToGrid w:val="0"/>
          <w:kern w:val="22"/>
          <w:sz w:val="22"/>
          <w:szCs w:val="22"/>
          <w:lang w:val="en-GB"/>
        </w:rPr>
        <w:t xml:space="preserve">collaborated </w:t>
      </w:r>
      <w:r w:rsidR="00695AAA">
        <w:rPr>
          <w:bCs/>
          <w:iCs/>
          <w:snapToGrid w:val="0"/>
          <w:kern w:val="22"/>
          <w:sz w:val="22"/>
          <w:szCs w:val="22"/>
          <w:lang w:val="en-GB"/>
        </w:rPr>
        <w:t>in</w:t>
      </w:r>
      <w:r w:rsidR="000E7E4C" w:rsidRPr="0044638A">
        <w:rPr>
          <w:bCs/>
          <w:iCs/>
          <w:snapToGrid w:val="0"/>
          <w:kern w:val="22"/>
          <w:sz w:val="22"/>
          <w:szCs w:val="22"/>
          <w:lang w:val="en-GB"/>
        </w:rPr>
        <w:t xml:space="preserve"> </w:t>
      </w:r>
      <w:r w:rsidRPr="0044638A">
        <w:rPr>
          <w:bCs/>
          <w:iCs/>
          <w:snapToGrid w:val="0"/>
          <w:kern w:val="22"/>
          <w:sz w:val="22"/>
          <w:szCs w:val="22"/>
          <w:lang w:val="en-GB"/>
        </w:rPr>
        <w:t xml:space="preserve">functions of the Platform other than </w:t>
      </w:r>
      <w:r w:rsidR="00D72853" w:rsidRPr="0044638A">
        <w:rPr>
          <w:bCs/>
          <w:iCs/>
          <w:snapToGrid w:val="0"/>
          <w:kern w:val="22"/>
          <w:sz w:val="22"/>
          <w:szCs w:val="22"/>
          <w:lang w:val="en-GB"/>
        </w:rPr>
        <w:t xml:space="preserve">producing </w:t>
      </w:r>
      <w:r w:rsidRPr="0044638A">
        <w:rPr>
          <w:bCs/>
          <w:iCs/>
          <w:snapToGrid w:val="0"/>
          <w:kern w:val="22"/>
          <w:sz w:val="22"/>
          <w:szCs w:val="22"/>
          <w:lang w:val="en-GB"/>
        </w:rPr>
        <w:t>assessments. For examp</w:t>
      </w:r>
      <w:r w:rsidR="000E7E4C" w:rsidRPr="0044638A">
        <w:rPr>
          <w:bCs/>
          <w:iCs/>
          <w:snapToGrid w:val="0"/>
          <w:kern w:val="22"/>
          <w:sz w:val="22"/>
          <w:szCs w:val="22"/>
          <w:lang w:val="en-GB"/>
        </w:rPr>
        <w:t>l</w:t>
      </w:r>
      <w:r w:rsidRPr="0044638A">
        <w:rPr>
          <w:bCs/>
          <w:iCs/>
          <w:snapToGrid w:val="0"/>
          <w:kern w:val="22"/>
          <w:sz w:val="22"/>
          <w:szCs w:val="22"/>
          <w:lang w:val="en-GB"/>
        </w:rPr>
        <w:t>e</w:t>
      </w:r>
      <w:r w:rsidR="000E7E4C" w:rsidRPr="0044638A">
        <w:rPr>
          <w:bCs/>
          <w:iCs/>
          <w:snapToGrid w:val="0"/>
          <w:kern w:val="22"/>
          <w:sz w:val="22"/>
          <w:szCs w:val="22"/>
          <w:lang w:val="en-GB"/>
        </w:rPr>
        <w:t>,</w:t>
      </w:r>
      <w:r w:rsidRPr="0044638A">
        <w:rPr>
          <w:bCs/>
          <w:iCs/>
          <w:snapToGrid w:val="0"/>
          <w:kern w:val="22"/>
          <w:sz w:val="22"/>
          <w:szCs w:val="22"/>
          <w:lang w:val="en-GB"/>
        </w:rPr>
        <w:t xml:space="preserve"> the </w:t>
      </w:r>
      <w:r w:rsidR="009544D2" w:rsidRPr="0044638A">
        <w:rPr>
          <w:bCs/>
          <w:iCs/>
          <w:snapToGrid w:val="0"/>
          <w:kern w:val="22"/>
          <w:sz w:val="22"/>
          <w:szCs w:val="22"/>
          <w:lang w:val="en-GB"/>
        </w:rPr>
        <w:t xml:space="preserve">two </w:t>
      </w:r>
      <w:r w:rsidR="00D72CBD">
        <w:rPr>
          <w:bCs/>
          <w:iCs/>
          <w:snapToGrid w:val="0"/>
          <w:kern w:val="22"/>
          <w:sz w:val="22"/>
          <w:szCs w:val="22"/>
          <w:lang w:val="en-GB"/>
        </w:rPr>
        <w:t>s</w:t>
      </w:r>
      <w:r w:rsidR="009544D2" w:rsidRPr="0044638A">
        <w:rPr>
          <w:bCs/>
          <w:iCs/>
          <w:snapToGrid w:val="0"/>
          <w:kern w:val="22"/>
          <w:sz w:val="22"/>
          <w:szCs w:val="22"/>
          <w:lang w:val="en-GB"/>
        </w:rPr>
        <w:t xml:space="preserve">ecretariats have collaborated to support the organization of dialogues with representatives of indigenous peoples and local communities to provide inputs </w:t>
      </w:r>
      <w:r w:rsidR="00D72CBD">
        <w:rPr>
          <w:bCs/>
          <w:iCs/>
          <w:snapToGrid w:val="0"/>
          <w:kern w:val="22"/>
          <w:sz w:val="22"/>
          <w:szCs w:val="22"/>
          <w:lang w:val="en-GB"/>
        </w:rPr>
        <w:t>for</w:t>
      </w:r>
      <w:r w:rsidR="00D72CBD" w:rsidRPr="0044638A">
        <w:rPr>
          <w:bCs/>
          <w:iCs/>
          <w:snapToGrid w:val="0"/>
          <w:kern w:val="22"/>
          <w:sz w:val="22"/>
          <w:szCs w:val="22"/>
          <w:lang w:val="en-GB"/>
        </w:rPr>
        <w:t xml:space="preserve"> </w:t>
      </w:r>
      <w:r w:rsidR="009544D2" w:rsidRPr="0044638A">
        <w:rPr>
          <w:bCs/>
          <w:iCs/>
          <w:snapToGrid w:val="0"/>
          <w:kern w:val="22"/>
          <w:sz w:val="22"/>
          <w:szCs w:val="22"/>
          <w:lang w:val="en-GB"/>
        </w:rPr>
        <w:t xml:space="preserve">the </w:t>
      </w:r>
      <w:r w:rsidR="00D72853" w:rsidRPr="0044638A">
        <w:rPr>
          <w:bCs/>
          <w:iCs/>
          <w:snapToGrid w:val="0"/>
          <w:kern w:val="22"/>
          <w:sz w:val="22"/>
          <w:szCs w:val="22"/>
          <w:lang w:val="en-GB"/>
        </w:rPr>
        <w:t>g</w:t>
      </w:r>
      <w:r w:rsidR="009544D2" w:rsidRPr="0044638A">
        <w:rPr>
          <w:bCs/>
          <w:iCs/>
          <w:snapToGrid w:val="0"/>
          <w:kern w:val="22"/>
          <w:sz w:val="22"/>
          <w:szCs w:val="22"/>
          <w:lang w:val="en-GB"/>
        </w:rPr>
        <w:t xml:space="preserve">lobal </w:t>
      </w:r>
      <w:r w:rsidR="00D72853" w:rsidRPr="0044638A">
        <w:rPr>
          <w:bCs/>
          <w:iCs/>
          <w:snapToGrid w:val="0"/>
          <w:kern w:val="22"/>
          <w:sz w:val="22"/>
          <w:szCs w:val="22"/>
          <w:lang w:val="en-GB"/>
        </w:rPr>
        <w:t>a</w:t>
      </w:r>
      <w:r w:rsidR="009544D2" w:rsidRPr="0044638A">
        <w:rPr>
          <w:bCs/>
          <w:iCs/>
          <w:snapToGrid w:val="0"/>
          <w:kern w:val="22"/>
          <w:sz w:val="22"/>
          <w:szCs w:val="22"/>
          <w:lang w:val="en-GB"/>
        </w:rPr>
        <w:t xml:space="preserve">ssessment and the </w:t>
      </w:r>
      <w:r w:rsidR="00D72853" w:rsidRPr="0044638A">
        <w:rPr>
          <w:bCs/>
          <w:iCs/>
          <w:snapToGrid w:val="0"/>
          <w:kern w:val="22"/>
          <w:sz w:val="22"/>
          <w:szCs w:val="22"/>
          <w:lang w:val="en-GB"/>
        </w:rPr>
        <w:t>a</w:t>
      </w:r>
      <w:r w:rsidR="009544D2" w:rsidRPr="0044638A">
        <w:rPr>
          <w:bCs/>
          <w:iCs/>
          <w:snapToGrid w:val="0"/>
          <w:kern w:val="22"/>
          <w:sz w:val="22"/>
          <w:szCs w:val="22"/>
          <w:lang w:val="en-GB"/>
        </w:rPr>
        <w:t xml:space="preserve">ssessment on invasive alien species, and to </w:t>
      </w:r>
      <w:r w:rsidR="00D72853" w:rsidRPr="0044638A">
        <w:rPr>
          <w:bCs/>
          <w:iCs/>
          <w:snapToGrid w:val="0"/>
          <w:kern w:val="22"/>
          <w:sz w:val="22"/>
          <w:szCs w:val="22"/>
          <w:lang w:val="en-GB"/>
        </w:rPr>
        <w:t>facilitate</w:t>
      </w:r>
      <w:r w:rsidR="009544D2" w:rsidRPr="0044638A">
        <w:rPr>
          <w:bCs/>
          <w:iCs/>
          <w:snapToGrid w:val="0"/>
          <w:kern w:val="22"/>
          <w:sz w:val="22"/>
          <w:szCs w:val="22"/>
          <w:lang w:val="en-GB"/>
        </w:rPr>
        <w:t xml:space="preserve"> participation from the </w:t>
      </w:r>
      <w:r w:rsidRPr="0044638A">
        <w:rPr>
          <w:bCs/>
          <w:iCs/>
          <w:snapToGrid w:val="0"/>
          <w:kern w:val="22"/>
          <w:sz w:val="22"/>
          <w:szCs w:val="22"/>
          <w:lang w:val="en-GB"/>
        </w:rPr>
        <w:t xml:space="preserve">IPBES task force on </w:t>
      </w:r>
      <w:r w:rsidR="00D72853" w:rsidRPr="0044638A">
        <w:rPr>
          <w:bCs/>
          <w:iCs/>
          <w:snapToGrid w:val="0"/>
          <w:kern w:val="22"/>
          <w:sz w:val="22"/>
          <w:szCs w:val="22"/>
          <w:lang w:val="en-GB"/>
        </w:rPr>
        <w:t xml:space="preserve">knowledge and </w:t>
      </w:r>
      <w:r w:rsidRPr="0044638A">
        <w:rPr>
          <w:bCs/>
          <w:iCs/>
          <w:snapToGrid w:val="0"/>
          <w:kern w:val="22"/>
          <w:sz w:val="22"/>
          <w:szCs w:val="22"/>
          <w:lang w:val="en-GB"/>
        </w:rPr>
        <w:t xml:space="preserve">data in the Biodiversity Indicators Partnership. </w:t>
      </w:r>
      <w:r w:rsidR="00DB148C" w:rsidRPr="0044638A">
        <w:rPr>
          <w:bCs/>
          <w:iCs/>
          <w:snapToGrid w:val="0"/>
          <w:kern w:val="22"/>
          <w:sz w:val="22"/>
          <w:szCs w:val="22"/>
          <w:lang w:val="en-GB"/>
        </w:rPr>
        <w:t>Further</w:t>
      </w:r>
      <w:r w:rsidR="00920018" w:rsidRPr="0044638A">
        <w:rPr>
          <w:bCs/>
          <w:iCs/>
          <w:snapToGrid w:val="0"/>
          <w:kern w:val="22"/>
          <w:sz w:val="22"/>
          <w:szCs w:val="22"/>
          <w:lang w:val="en-GB"/>
        </w:rPr>
        <w:t>,</w:t>
      </w:r>
      <w:r w:rsidR="00DB148C" w:rsidRPr="0044638A">
        <w:rPr>
          <w:bCs/>
          <w:iCs/>
          <w:snapToGrid w:val="0"/>
          <w:kern w:val="22"/>
          <w:sz w:val="22"/>
          <w:szCs w:val="22"/>
          <w:lang w:val="en-GB"/>
        </w:rPr>
        <w:t xml:space="preserve"> the two </w:t>
      </w:r>
      <w:r w:rsidR="00E32AF8">
        <w:rPr>
          <w:bCs/>
          <w:iCs/>
          <w:snapToGrid w:val="0"/>
          <w:kern w:val="22"/>
          <w:sz w:val="22"/>
          <w:szCs w:val="22"/>
          <w:lang w:val="en-GB"/>
        </w:rPr>
        <w:t>s</w:t>
      </w:r>
      <w:r w:rsidR="00DB148C" w:rsidRPr="0044638A">
        <w:rPr>
          <w:bCs/>
          <w:iCs/>
          <w:snapToGrid w:val="0"/>
          <w:kern w:val="22"/>
          <w:sz w:val="22"/>
          <w:szCs w:val="22"/>
          <w:lang w:val="en-GB"/>
        </w:rPr>
        <w:t>ecretariats have collaborated to promote the participation of authors of the Platforms</w:t>
      </w:r>
      <w:r w:rsidR="00CC134F" w:rsidRPr="0044638A">
        <w:rPr>
          <w:bCs/>
          <w:iCs/>
          <w:snapToGrid w:val="0"/>
          <w:kern w:val="22"/>
          <w:sz w:val="22"/>
          <w:szCs w:val="22"/>
          <w:lang w:val="en-GB"/>
        </w:rPr>
        <w:t>’</w:t>
      </w:r>
      <w:r w:rsidR="00DB148C" w:rsidRPr="0044638A">
        <w:rPr>
          <w:bCs/>
          <w:iCs/>
          <w:snapToGrid w:val="0"/>
          <w:kern w:val="22"/>
          <w:sz w:val="22"/>
          <w:szCs w:val="22"/>
          <w:lang w:val="en-GB"/>
        </w:rPr>
        <w:t xml:space="preserve"> reports and its other expert</w:t>
      </w:r>
      <w:r w:rsidR="00B55C54" w:rsidRPr="0044638A">
        <w:rPr>
          <w:bCs/>
          <w:iCs/>
          <w:snapToGrid w:val="0"/>
          <w:kern w:val="22"/>
          <w:sz w:val="22"/>
          <w:szCs w:val="22"/>
          <w:lang w:val="en-GB"/>
        </w:rPr>
        <w:t>s</w:t>
      </w:r>
      <w:r w:rsidR="00DB148C" w:rsidRPr="0044638A">
        <w:rPr>
          <w:bCs/>
          <w:iCs/>
          <w:snapToGrid w:val="0"/>
          <w:kern w:val="22"/>
          <w:sz w:val="22"/>
          <w:szCs w:val="22"/>
          <w:lang w:val="en-GB"/>
        </w:rPr>
        <w:t xml:space="preserve"> in relevant meetings organi</w:t>
      </w:r>
      <w:r w:rsidR="00312FE6" w:rsidRPr="0044638A">
        <w:rPr>
          <w:bCs/>
          <w:iCs/>
          <w:snapToGrid w:val="0"/>
          <w:kern w:val="22"/>
          <w:sz w:val="22"/>
          <w:szCs w:val="22"/>
          <w:lang w:val="en-GB"/>
        </w:rPr>
        <w:t>z</w:t>
      </w:r>
      <w:r w:rsidR="00DB148C" w:rsidRPr="0044638A">
        <w:rPr>
          <w:bCs/>
          <w:iCs/>
          <w:snapToGrid w:val="0"/>
          <w:kern w:val="22"/>
          <w:sz w:val="22"/>
          <w:szCs w:val="22"/>
          <w:lang w:val="en-GB"/>
        </w:rPr>
        <w:t>ed under the Convention, including in the regional and thematic consultations organi</w:t>
      </w:r>
      <w:r w:rsidR="00312FE6" w:rsidRPr="0044638A">
        <w:rPr>
          <w:bCs/>
          <w:iCs/>
          <w:snapToGrid w:val="0"/>
          <w:kern w:val="22"/>
          <w:sz w:val="22"/>
          <w:szCs w:val="22"/>
          <w:lang w:val="en-GB"/>
        </w:rPr>
        <w:t>z</w:t>
      </w:r>
      <w:r w:rsidR="00DB148C" w:rsidRPr="0044638A">
        <w:rPr>
          <w:bCs/>
          <w:iCs/>
          <w:snapToGrid w:val="0"/>
          <w:kern w:val="22"/>
          <w:sz w:val="22"/>
          <w:szCs w:val="22"/>
          <w:lang w:val="en-GB"/>
        </w:rPr>
        <w:t>ed in support of the development of the post-2020 global biodiversity framework.</w:t>
      </w:r>
    </w:p>
    <w:p w14:paraId="0228F9C4" w14:textId="0D57B4A0" w:rsidR="00615702" w:rsidRPr="0044638A" w:rsidRDefault="00B10D02"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 xml:space="preserve">An independent review of the Platform at the conclusion of its first work programme </w:t>
      </w:r>
      <w:r w:rsidR="00D72853" w:rsidRPr="0044638A">
        <w:rPr>
          <w:bCs/>
          <w:iCs/>
          <w:snapToGrid w:val="0"/>
          <w:kern w:val="22"/>
          <w:sz w:val="22"/>
          <w:szCs w:val="22"/>
          <w:lang w:val="en-GB"/>
        </w:rPr>
        <w:t>was</w:t>
      </w:r>
      <w:r w:rsidRPr="0044638A">
        <w:rPr>
          <w:bCs/>
          <w:iCs/>
          <w:snapToGrid w:val="0"/>
          <w:kern w:val="22"/>
          <w:sz w:val="22"/>
          <w:szCs w:val="22"/>
          <w:lang w:val="en-GB"/>
        </w:rPr>
        <w:t xml:space="preserve"> recently undertaken. The report of the review panel was highly positive </w:t>
      </w:r>
      <w:proofErr w:type="gramStart"/>
      <w:r w:rsidRPr="0044638A">
        <w:rPr>
          <w:bCs/>
          <w:iCs/>
          <w:snapToGrid w:val="0"/>
          <w:kern w:val="22"/>
          <w:sz w:val="22"/>
          <w:szCs w:val="22"/>
          <w:lang w:val="en-GB"/>
        </w:rPr>
        <w:t>with regard to</w:t>
      </w:r>
      <w:proofErr w:type="gramEnd"/>
      <w:r w:rsidRPr="0044638A">
        <w:rPr>
          <w:bCs/>
          <w:iCs/>
          <w:snapToGrid w:val="0"/>
          <w:kern w:val="22"/>
          <w:sz w:val="22"/>
          <w:szCs w:val="22"/>
          <w:lang w:val="en-GB"/>
        </w:rPr>
        <w:t xml:space="preserve"> the implementation of the work </w:t>
      </w:r>
      <w:r w:rsidR="00D72853" w:rsidRPr="0044638A">
        <w:rPr>
          <w:bCs/>
          <w:iCs/>
          <w:snapToGrid w:val="0"/>
          <w:kern w:val="22"/>
          <w:sz w:val="22"/>
          <w:szCs w:val="22"/>
          <w:lang w:val="en-GB"/>
        </w:rPr>
        <w:t>programme</w:t>
      </w:r>
      <w:r w:rsidRPr="0044638A">
        <w:rPr>
          <w:bCs/>
          <w:iCs/>
          <w:snapToGrid w:val="0"/>
          <w:kern w:val="22"/>
          <w:sz w:val="22"/>
          <w:szCs w:val="22"/>
          <w:lang w:val="en-GB"/>
        </w:rPr>
        <w:t xml:space="preserve"> of the Platform. However, the review panel identified six overarching areas that require the attention of the Platform</w:t>
      </w:r>
      <w:r w:rsidR="008F7C91" w:rsidRPr="0044638A">
        <w:rPr>
          <w:bCs/>
          <w:iCs/>
          <w:snapToGrid w:val="0"/>
          <w:kern w:val="22"/>
          <w:sz w:val="22"/>
          <w:szCs w:val="22"/>
          <w:lang w:val="en-GB"/>
        </w:rPr>
        <w:t>’</w:t>
      </w:r>
      <w:r w:rsidRPr="0044638A">
        <w:rPr>
          <w:bCs/>
          <w:iCs/>
          <w:snapToGrid w:val="0"/>
          <w:kern w:val="22"/>
          <w:sz w:val="22"/>
          <w:szCs w:val="22"/>
          <w:lang w:val="en-GB"/>
        </w:rPr>
        <w:t>s membership, leadership, partners and other stakeholders. T</w:t>
      </w:r>
      <w:r w:rsidR="00AF7872" w:rsidRPr="0044638A">
        <w:rPr>
          <w:bCs/>
          <w:iCs/>
          <w:snapToGrid w:val="0"/>
          <w:kern w:val="22"/>
          <w:sz w:val="22"/>
          <w:szCs w:val="22"/>
          <w:lang w:val="en-GB"/>
        </w:rPr>
        <w:t xml:space="preserve">he IPBES Plenary </w:t>
      </w:r>
      <w:r w:rsidRPr="0044638A">
        <w:rPr>
          <w:bCs/>
          <w:iCs/>
          <w:snapToGrid w:val="0"/>
          <w:kern w:val="22"/>
          <w:sz w:val="22"/>
          <w:szCs w:val="22"/>
          <w:lang w:val="en-GB"/>
        </w:rPr>
        <w:t>at its seventh meeting</w:t>
      </w:r>
      <w:r w:rsidR="00966F25">
        <w:rPr>
          <w:bCs/>
          <w:iCs/>
          <w:snapToGrid w:val="0"/>
          <w:kern w:val="22"/>
          <w:sz w:val="22"/>
          <w:szCs w:val="22"/>
          <w:lang w:val="en-GB"/>
        </w:rPr>
        <w:t>,</w:t>
      </w:r>
      <w:r w:rsidRPr="0044638A">
        <w:rPr>
          <w:bCs/>
          <w:iCs/>
          <w:snapToGrid w:val="0"/>
          <w:kern w:val="22"/>
          <w:sz w:val="22"/>
          <w:szCs w:val="22"/>
          <w:lang w:val="en-GB"/>
        </w:rPr>
        <w:t xml:space="preserve"> in 2019, </w:t>
      </w:r>
      <w:r w:rsidR="00AF7872" w:rsidRPr="0044638A">
        <w:rPr>
          <w:bCs/>
          <w:snapToGrid w:val="0"/>
          <w:kern w:val="22"/>
          <w:sz w:val="22"/>
          <w:szCs w:val="22"/>
          <w:lang w:val="en-GB"/>
        </w:rPr>
        <w:t>welcomed</w:t>
      </w:r>
      <w:r w:rsidR="00AF7872" w:rsidRPr="0044638A">
        <w:rPr>
          <w:bCs/>
          <w:iCs/>
          <w:snapToGrid w:val="0"/>
          <w:kern w:val="22"/>
          <w:sz w:val="22"/>
          <w:szCs w:val="22"/>
          <w:lang w:val="en-GB"/>
        </w:rPr>
        <w:t xml:space="preserve"> the report on the review of the Platform</w:t>
      </w:r>
      <w:r w:rsidR="008F7C91" w:rsidRPr="0044638A">
        <w:rPr>
          <w:bCs/>
          <w:iCs/>
          <w:snapToGrid w:val="0"/>
          <w:kern w:val="22"/>
          <w:sz w:val="22"/>
          <w:szCs w:val="22"/>
          <w:lang w:val="en-GB"/>
        </w:rPr>
        <w:t>.</w:t>
      </w:r>
      <w:r w:rsidR="00AF7872" w:rsidRPr="0044638A">
        <w:rPr>
          <w:bCs/>
          <w:iCs/>
          <w:snapToGrid w:val="0"/>
          <w:kern w:val="22"/>
          <w:sz w:val="22"/>
          <w:szCs w:val="22"/>
          <w:vertAlign w:val="superscript"/>
          <w:lang w:val="en-GB"/>
        </w:rPr>
        <w:footnoteReference w:id="3"/>
      </w:r>
      <w:r w:rsidRPr="0044638A">
        <w:rPr>
          <w:bCs/>
          <w:iCs/>
          <w:snapToGrid w:val="0"/>
          <w:kern w:val="22"/>
          <w:sz w:val="22"/>
          <w:szCs w:val="22"/>
          <w:lang w:val="en-GB"/>
        </w:rPr>
        <w:t xml:space="preserve"> </w:t>
      </w:r>
      <w:r w:rsidR="00AF7872" w:rsidRPr="0044638A">
        <w:rPr>
          <w:bCs/>
          <w:iCs/>
          <w:snapToGrid w:val="0"/>
          <w:kern w:val="22"/>
          <w:sz w:val="22"/>
          <w:szCs w:val="22"/>
          <w:lang w:val="en-GB"/>
        </w:rPr>
        <w:t>The full report</w:t>
      </w:r>
      <w:r w:rsidR="00250913" w:rsidRPr="0044638A">
        <w:rPr>
          <w:bCs/>
          <w:iCs/>
          <w:snapToGrid w:val="0"/>
          <w:kern w:val="22"/>
          <w:sz w:val="22"/>
          <w:szCs w:val="22"/>
          <w:lang w:val="en-GB"/>
        </w:rPr>
        <w:t xml:space="preserve">, in </w:t>
      </w:r>
      <w:r w:rsidR="00AF7872" w:rsidRPr="0044638A">
        <w:rPr>
          <w:bCs/>
          <w:iCs/>
          <w:snapToGrid w:val="0"/>
          <w:kern w:val="22"/>
          <w:sz w:val="22"/>
          <w:szCs w:val="22"/>
          <w:lang w:val="en-GB"/>
        </w:rPr>
        <w:t>review</w:t>
      </w:r>
      <w:r w:rsidR="00250913" w:rsidRPr="0044638A">
        <w:rPr>
          <w:bCs/>
          <w:iCs/>
          <w:snapToGrid w:val="0"/>
          <w:kern w:val="22"/>
          <w:sz w:val="22"/>
          <w:szCs w:val="22"/>
          <w:lang w:val="en-GB"/>
        </w:rPr>
        <w:t xml:space="preserve">ing </w:t>
      </w:r>
      <w:r w:rsidR="00966F25">
        <w:rPr>
          <w:bCs/>
          <w:iCs/>
          <w:snapToGrid w:val="0"/>
          <w:kern w:val="22"/>
          <w:sz w:val="22"/>
          <w:szCs w:val="22"/>
          <w:lang w:val="en-GB"/>
        </w:rPr>
        <w:t xml:space="preserve">the </w:t>
      </w:r>
      <w:r w:rsidR="00AF7872" w:rsidRPr="0044638A">
        <w:rPr>
          <w:bCs/>
          <w:iCs/>
          <w:snapToGrid w:val="0"/>
          <w:kern w:val="22"/>
          <w:sz w:val="22"/>
          <w:szCs w:val="22"/>
          <w:lang w:val="en-GB"/>
        </w:rPr>
        <w:t>engagement of IPBES with the biodiversity</w:t>
      </w:r>
      <w:r w:rsidR="00D72853" w:rsidRPr="0044638A">
        <w:rPr>
          <w:bCs/>
          <w:iCs/>
          <w:snapToGrid w:val="0"/>
          <w:kern w:val="22"/>
          <w:sz w:val="22"/>
          <w:szCs w:val="22"/>
          <w:lang w:val="en-GB"/>
        </w:rPr>
        <w:t>-</w:t>
      </w:r>
      <w:r w:rsidR="00AF7872" w:rsidRPr="0044638A">
        <w:rPr>
          <w:bCs/>
          <w:iCs/>
          <w:snapToGrid w:val="0"/>
          <w:kern w:val="22"/>
          <w:sz w:val="22"/>
          <w:szCs w:val="22"/>
          <w:lang w:val="en-GB"/>
        </w:rPr>
        <w:t xml:space="preserve">related </w:t>
      </w:r>
      <w:r w:rsidR="00D72853" w:rsidRPr="0044638A">
        <w:rPr>
          <w:bCs/>
          <w:iCs/>
          <w:snapToGrid w:val="0"/>
          <w:kern w:val="22"/>
          <w:sz w:val="22"/>
          <w:szCs w:val="22"/>
          <w:lang w:val="en-GB"/>
        </w:rPr>
        <w:t>c</w:t>
      </w:r>
      <w:r w:rsidR="00AF7872" w:rsidRPr="0044638A">
        <w:rPr>
          <w:bCs/>
          <w:iCs/>
          <w:snapToGrid w:val="0"/>
          <w:kern w:val="22"/>
          <w:sz w:val="22"/>
          <w:szCs w:val="22"/>
          <w:lang w:val="en-GB"/>
        </w:rPr>
        <w:t>onventions</w:t>
      </w:r>
      <w:r w:rsidR="00250913" w:rsidRPr="0044638A">
        <w:rPr>
          <w:bCs/>
          <w:iCs/>
          <w:snapToGrid w:val="0"/>
          <w:kern w:val="22"/>
          <w:sz w:val="22"/>
          <w:szCs w:val="22"/>
          <w:lang w:val="en-GB"/>
        </w:rPr>
        <w:t xml:space="preserve">, </w:t>
      </w:r>
      <w:r w:rsidR="00AF7872" w:rsidRPr="0044638A">
        <w:rPr>
          <w:bCs/>
          <w:iCs/>
          <w:snapToGrid w:val="0"/>
          <w:kern w:val="22"/>
          <w:sz w:val="22"/>
          <w:szCs w:val="22"/>
          <w:lang w:val="en-GB"/>
        </w:rPr>
        <w:t>notes</w:t>
      </w:r>
      <w:r w:rsidR="00250913" w:rsidRPr="0044638A">
        <w:rPr>
          <w:bCs/>
          <w:iCs/>
          <w:snapToGrid w:val="0"/>
          <w:kern w:val="22"/>
          <w:sz w:val="22"/>
          <w:szCs w:val="22"/>
          <w:lang w:val="en-GB"/>
        </w:rPr>
        <w:t xml:space="preserve"> the following:</w:t>
      </w:r>
    </w:p>
    <w:p w14:paraId="727E9ED5" w14:textId="78B91F3C" w:rsidR="00AF7872" w:rsidRPr="0044638A" w:rsidRDefault="00AF7872" w:rsidP="00766960">
      <w:pPr>
        <w:suppressLineNumbers/>
        <w:suppressAutoHyphens/>
        <w:kinsoku w:val="0"/>
        <w:overflowPunct w:val="0"/>
        <w:autoSpaceDE w:val="0"/>
        <w:autoSpaceDN w:val="0"/>
        <w:adjustRightInd w:val="0"/>
        <w:snapToGrid w:val="0"/>
        <w:spacing w:before="120" w:after="120" w:line="235" w:lineRule="auto"/>
        <w:ind w:left="567"/>
        <w:jc w:val="both"/>
        <w:rPr>
          <w:bCs/>
          <w:iCs/>
          <w:snapToGrid w:val="0"/>
          <w:kern w:val="22"/>
          <w:sz w:val="22"/>
          <w:szCs w:val="22"/>
          <w:lang w:val="en-GB"/>
        </w:rPr>
      </w:pPr>
      <w:r w:rsidRPr="0044638A">
        <w:rPr>
          <w:bCs/>
          <w:iCs/>
          <w:snapToGrid w:val="0"/>
          <w:kern w:val="22"/>
          <w:sz w:val="22"/>
          <w:szCs w:val="22"/>
          <w:lang w:val="en-GB"/>
        </w:rPr>
        <w:lastRenderedPageBreak/>
        <w:t>“Cooperation with the CBD is well</w:t>
      </w:r>
      <w:r w:rsidR="00D72853" w:rsidRPr="0044638A">
        <w:rPr>
          <w:bCs/>
          <w:iCs/>
          <w:snapToGrid w:val="0"/>
          <w:kern w:val="22"/>
          <w:sz w:val="22"/>
          <w:szCs w:val="22"/>
          <w:lang w:val="en-GB"/>
        </w:rPr>
        <w:t xml:space="preserve"> </w:t>
      </w:r>
      <w:proofErr w:type="gramStart"/>
      <w:r w:rsidRPr="0044638A">
        <w:rPr>
          <w:bCs/>
          <w:iCs/>
          <w:snapToGrid w:val="0"/>
          <w:kern w:val="22"/>
          <w:sz w:val="22"/>
          <w:szCs w:val="22"/>
          <w:lang w:val="en-GB"/>
        </w:rPr>
        <w:t>established</w:t>
      </w:r>
      <w:proofErr w:type="gramEnd"/>
      <w:r w:rsidRPr="0044638A">
        <w:rPr>
          <w:bCs/>
          <w:iCs/>
          <w:snapToGrid w:val="0"/>
          <w:kern w:val="22"/>
          <w:sz w:val="22"/>
          <w:szCs w:val="22"/>
          <w:lang w:val="en-GB"/>
        </w:rPr>
        <w:t xml:space="preserve"> and value is seen on both sides. A large majority of respondents to the online survey consider the complementarity between IPBES and the CBD to be good to excellent. The bibliometric analysis confirms that CBD stands out among MEAs in its uptake of IPBES as IPBES is mentioned in all COP reports since 2012 and there is a high and steady rate in CBD working documents citing IPBES. The Platform has overall been responsive to requests made by CBD (e.g. pollination was identified as a priority by the Convention</w:t>
      </w:r>
      <w:r w:rsidR="00D72853" w:rsidRPr="0044638A">
        <w:rPr>
          <w:bCs/>
          <w:iCs/>
          <w:snapToGrid w:val="0"/>
          <w:kern w:val="22"/>
          <w:sz w:val="22"/>
          <w:szCs w:val="22"/>
          <w:lang w:val="en-GB"/>
        </w:rPr>
        <w:t>),</w:t>
      </w:r>
      <w:r w:rsidRPr="0044638A">
        <w:rPr>
          <w:bCs/>
          <w:iCs/>
          <w:snapToGrid w:val="0"/>
          <w:kern w:val="22"/>
          <w:sz w:val="22"/>
          <w:szCs w:val="22"/>
          <w:lang w:val="en-GB"/>
        </w:rPr>
        <w:t xml:space="preserve"> and the Convention has supported the uptake of IPBES assessments e.g. policy recommendations on pollination and pollinators adopted at </w:t>
      </w:r>
      <w:r w:rsidR="00864DD3" w:rsidRPr="0044638A">
        <w:rPr>
          <w:bCs/>
          <w:iCs/>
          <w:snapToGrid w:val="0"/>
          <w:kern w:val="22"/>
          <w:sz w:val="22"/>
          <w:szCs w:val="22"/>
          <w:lang w:val="en-GB"/>
        </w:rPr>
        <w:t>thirteenth meeting of the Conference of the Parties (COP 13)</w:t>
      </w:r>
      <w:r w:rsidRPr="0044638A">
        <w:rPr>
          <w:bCs/>
          <w:iCs/>
          <w:snapToGrid w:val="0"/>
          <w:kern w:val="22"/>
          <w:sz w:val="22"/>
          <w:szCs w:val="22"/>
          <w:lang w:val="en-GB"/>
        </w:rPr>
        <w:t xml:space="preserve">). Other evidence of </w:t>
      </w:r>
      <w:r w:rsidR="00864DD3" w:rsidRPr="0044638A">
        <w:rPr>
          <w:bCs/>
          <w:iCs/>
          <w:snapToGrid w:val="0"/>
          <w:kern w:val="22"/>
          <w:sz w:val="22"/>
          <w:szCs w:val="22"/>
          <w:lang w:val="en-GB"/>
        </w:rPr>
        <w:t xml:space="preserve">a </w:t>
      </w:r>
      <w:r w:rsidRPr="0044638A">
        <w:rPr>
          <w:bCs/>
          <w:iCs/>
          <w:snapToGrid w:val="0"/>
          <w:kern w:val="22"/>
          <w:sz w:val="22"/>
          <w:szCs w:val="22"/>
          <w:lang w:val="en-GB"/>
        </w:rPr>
        <w:t>direct linkage includes the use of the IPBES scenario and models’ assessments by SBSTTA or procedures in place for CBD to provide inputs into the IPBES proposed new work programme.”</w:t>
      </w:r>
    </w:p>
    <w:p w14:paraId="22D5A27B" w14:textId="4B1758E3" w:rsidR="00AF7872" w:rsidRPr="0044638A" w:rsidRDefault="00AF7872"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 xml:space="preserve">In </w:t>
      </w:r>
      <w:r w:rsidR="00A76765" w:rsidRPr="0044638A">
        <w:rPr>
          <w:bCs/>
          <w:iCs/>
          <w:snapToGrid w:val="0"/>
          <w:kern w:val="22"/>
          <w:sz w:val="22"/>
          <w:szCs w:val="22"/>
          <w:lang w:val="en-GB"/>
        </w:rPr>
        <w:t xml:space="preserve">the </w:t>
      </w:r>
      <w:r w:rsidRPr="0044638A">
        <w:rPr>
          <w:bCs/>
          <w:iCs/>
          <w:snapToGrid w:val="0"/>
          <w:kern w:val="22"/>
          <w:sz w:val="22"/>
          <w:szCs w:val="22"/>
          <w:lang w:val="en-GB"/>
        </w:rPr>
        <w:t xml:space="preserve">light of the foregoing review of the </w:t>
      </w:r>
      <w:r w:rsidR="007D4BE4" w:rsidRPr="0044638A">
        <w:rPr>
          <w:bCs/>
          <w:iCs/>
          <w:snapToGrid w:val="0"/>
          <w:kern w:val="22"/>
          <w:sz w:val="22"/>
          <w:szCs w:val="22"/>
          <w:lang w:val="en-GB"/>
        </w:rPr>
        <w:t>consideration</w:t>
      </w:r>
      <w:r w:rsidRPr="0044638A">
        <w:rPr>
          <w:bCs/>
          <w:iCs/>
          <w:snapToGrid w:val="0"/>
          <w:kern w:val="22"/>
          <w:sz w:val="22"/>
          <w:szCs w:val="22"/>
          <w:lang w:val="en-GB"/>
        </w:rPr>
        <w:t xml:space="preserve"> of IPBES deliverables by </w:t>
      </w:r>
      <w:r w:rsidR="00615702" w:rsidRPr="0044638A">
        <w:rPr>
          <w:bCs/>
          <w:iCs/>
          <w:snapToGrid w:val="0"/>
          <w:kern w:val="22"/>
          <w:sz w:val="22"/>
          <w:szCs w:val="22"/>
          <w:lang w:val="en-GB"/>
        </w:rPr>
        <w:t>the Subsidiary Body on Scientific, Technical and Technological Advice</w:t>
      </w:r>
      <w:r w:rsidRPr="0044638A">
        <w:rPr>
          <w:bCs/>
          <w:iCs/>
          <w:snapToGrid w:val="0"/>
          <w:kern w:val="22"/>
          <w:sz w:val="22"/>
          <w:szCs w:val="22"/>
          <w:lang w:val="en-GB"/>
        </w:rPr>
        <w:t>, it would appear that</w:t>
      </w:r>
      <w:r w:rsidRPr="0044638A">
        <w:rPr>
          <w:snapToGrid w:val="0"/>
          <w:kern w:val="22"/>
          <w:sz w:val="22"/>
          <w:szCs w:val="22"/>
          <w:lang w:val="en-GB"/>
        </w:rPr>
        <w:t xml:space="preserve"> the procedure set out in decision </w:t>
      </w:r>
      <w:r w:rsidR="00AB35CB" w:rsidRPr="0044638A">
        <w:rPr>
          <w:snapToGrid w:val="0"/>
          <w:kern w:val="22"/>
          <w:sz w:val="22"/>
          <w:szCs w:val="22"/>
          <w:lang w:val="en-GB"/>
        </w:rPr>
        <w:t>XII</w:t>
      </w:r>
      <w:r w:rsidRPr="0044638A">
        <w:rPr>
          <w:snapToGrid w:val="0"/>
          <w:kern w:val="22"/>
          <w:sz w:val="22"/>
          <w:szCs w:val="22"/>
          <w:lang w:val="en-GB"/>
        </w:rPr>
        <w:t xml:space="preserve">/25 already allows the Subsidiary Body and the Conference of the Parties to consider </w:t>
      </w:r>
      <w:r w:rsidRPr="0044638A">
        <w:rPr>
          <w:bCs/>
          <w:iCs/>
          <w:snapToGrid w:val="0"/>
          <w:kern w:val="22"/>
          <w:sz w:val="22"/>
          <w:szCs w:val="22"/>
          <w:lang w:val="en-GB"/>
        </w:rPr>
        <w:t xml:space="preserve">systematically all deliverables of the Platform available in a timely manner and in a format relevant to the Convention. This would also appear to be borne out by the independent review of the </w:t>
      </w:r>
      <w:r w:rsidR="00A76765" w:rsidRPr="0044638A">
        <w:rPr>
          <w:bCs/>
          <w:iCs/>
          <w:snapToGrid w:val="0"/>
          <w:kern w:val="22"/>
          <w:sz w:val="22"/>
          <w:szCs w:val="22"/>
          <w:lang w:val="en-GB"/>
        </w:rPr>
        <w:t>P</w:t>
      </w:r>
      <w:r w:rsidRPr="0044638A">
        <w:rPr>
          <w:bCs/>
          <w:iCs/>
          <w:snapToGrid w:val="0"/>
          <w:kern w:val="22"/>
          <w:sz w:val="22"/>
          <w:szCs w:val="22"/>
          <w:lang w:val="en-GB"/>
        </w:rPr>
        <w:t xml:space="preserve">latform. </w:t>
      </w:r>
      <w:r w:rsidR="00250913" w:rsidRPr="0044638A">
        <w:rPr>
          <w:bCs/>
          <w:iCs/>
          <w:snapToGrid w:val="0"/>
          <w:kern w:val="22"/>
          <w:sz w:val="22"/>
          <w:szCs w:val="22"/>
          <w:lang w:val="en-GB"/>
        </w:rPr>
        <w:t xml:space="preserve">It is not evident, therefore, what additional </w:t>
      </w:r>
      <w:r w:rsidR="007D4BE4" w:rsidRPr="0044638A">
        <w:rPr>
          <w:bCs/>
          <w:iCs/>
          <w:snapToGrid w:val="0"/>
          <w:kern w:val="22"/>
          <w:sz w:val="22"/>
          <w:szCs w:val="22"/>
          <w:lang w:val="en-GB"/>
        </w:rPr>
        <w:t>modalities</w:t>
      </w:r>
      <w:r w:rsidR="00250913" w:rsidRPr="0044638A">
        <w:rPr>
          <w:bCs/>
          <w:iCs/>
          <w:snapToGrid w:val="0"/>
          <w:kern w:val="22"/>
          <w:sz w:val="22"/>
          <w:szCs w:val="22"/>
          <w:lang w:val="en-GB"/>
        </w:rPr>
        <w:t xml:space="preserve"> might be necessary</w:t>
      </w:r>
      <w:r w:rsidR="009544D2" w:rsidRPr="0044638A">
        <w:rPr>
          <w:bCs/>
          <w:iCs/>
          <w:snapToGrid w:val="0"/>
          <w:kern w:val="22"/>
          <w:sz w:val="22"/>
          <w:szCs w:val="22"/>
          <w:lang w:val="en-GB"/>
        </w:rPr>
        <w:t xml:space="preserve"> to ensure the systematic </w:t>
      </w:r>
      <w:r w:rsidR="007D4BE4" w:rsidRPr="0044638A">
        <w:rPr>
          <w:bCs/>
          <w:iCs/>
          <w:snapToGrid w:val="0"/>
          <w:kern w:val="22"/>
          <w:sz w:val="22"/>
          <w:szCs w:val="22"/>
          <w:lang w:val="en-GB"/>
        </w:rPr>
        <w:t>consideration</w:t>
      </w:r>
      <w:r w:rsidR="009544D2" w:rsidRPr="0044638A">
        <w:rPr>
          <w:bCs/>
          <w:iCs/>
          <w:snapToGrid w:val="0"/>
          <w:kern w:val="22"/>
          <w:sz w:val="22"/>
          <w:szCs w:val="22"/>
          <w:lang w:val="en-GB"/>
        </w:rPr>
        <w:t xml:space="preserve"> of IPBES </w:t>
      </w:r>
      <w:r w:rsidR="007D4BE4" w:rsidRPr="0044638A">
        <w:rPr>
          <w:bCs/>
          <w:iCs/>
          <w:snapToGrid w:val="0"/>
          <w:kern w:val="22"/>
          <w:sz w:val="22"/>
          <w:szCs w:val="22"/>
          <w:lang w:val="en-GB"/>
        </w:rPr>
        <w:t>deliverables</w:t>
      </w:r>
      <w:r w:rsidR="009544D2" w:rsidRPr="0044638A">
        <w:rPr>
          <w:bCs/>
          <w:iCs/>
          <w:snapToGrid w:val="0"/>
          <w:kern w:val="22"/>
          <w:sz w:val="22"/>
          <w:szCs w:val="22"/>
          <w:lang w:val="en-GB"/>
        </w:rPr>
        <w:t>. However, opportunities to further strengthen cooperation with respect to the other functions of IPBES could be further explored.</w:t>
      </w:r>
    </w:p>
    <w:p w14:paraId="60376415" w14:textId="6DFA4358" w:rsidR="00FC562D" w:rsidRPr="007C26FA" w:rsidRDefault="007B241B" w:rsidP="00766960">
      <w:pPr>
        <w:pStyle w:val="ListParagraph"/>
        <w:keepNext/>
        <w:numPr>
          <w:ilvl w:val="0"/>
          <w:numId w:val="14"/>
        </w:numPr>
        <w:suppressLineNumbers/>
        <w:suppressAutoHyphens/>
        <w:kinsoku w:val="0"/>
        <w:overflowPunct w:val="0"/>
        <w:autoSpaceDE w:val="0"/>
        <w:autoSpaceDN w:val="0"/>
        <w:adjustRightInd w:val="0"/>
        <w:snapToGrid w:val="0"/>
        <w:spacing w:before="120" w:after="120" w:line="235" w:lineRule="auto"/>
        <w:ind w:left="1134" w:hanging="567"/>
        <w:contextualSpacing w:val="0"/>
        <w:outlineLvl w:val="0"/>
        <w:rPr>
          <w:b/>
          <w:bCs/>
          <w:caps/>
          <w:snapToGrid w:val="0"/>
          <w:kern w:val="22"/>
          <w:sz w:val="22"/>
          <w:szCs w:val="22"/>
          <w:lang w:val="en-GB"/>
        </w:rPr>
      </w:pPr>
      <w:r w:rsidRPr="007C26FA">
        <w:rPr>
          <w:b/>
          <w:bCs/>
          <w:caps/>
          <w:snapToGrid w:val="0"/>
          <w:kern w:val="22"/>
          <w:sz w:val="22"/>
          <w:szCs w:val="22"/>
          <w:lang w:val="en-GB"/>
        </w:rPr>
        <w:t xml:space="preserve">Update on the work of the </w:t>
      </w:r>
      <w:r w:rsidR="00365251" w:rsidRPr="007C26FA">
        <w:rPr>
          <w:b/>
          <w:bCs/>
          <w:caps/>
          <w:snapToGrid w:val="0"/>
          <w:kern w:val="22"/>
          <w:sz w:val="22"/>
          <w:szCs w:val="22"/>
          <w:lang w:val="en-GB"/>
        </w:rPr>
        <w:t>Intergovernmental Science-Policy Platform on Biodiversity and Ecosystem Services</w:t>
      </w:r>
    </w:p>
    <w:p w14:paraId="53219824" w14:textId="78ED8C88" w:rsidR="00DD1AA0" w:rsidRPr="007C26FA" w:rsidRDefault="000A73AC" w:rsidP="00766960">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en-GB"/>
        </w:rPr>
      </w:pPr>
      <w:r w:rsidRPr="007C26FA">
        <w:rPr>
          <w:bCs/>
          <w:iCs/>
          <w:snapToGrid w:val="0"/>
          <w:kern w:val="22"/>
          <w:sz w:val="22"/>
          <w:szCs w:val="22"/>
          <w:lang w:val="en-GB"/>
        </w:rPr>
        <w:t xml:space="preserve">The IPBES Plenary, at its seventh session, adopted in decision IPBES-7/1 </w:t>
      </w:r>
      <w:r w:rsidR="00DD4A59" w:rsidRPr="0044638A">
        <w:rPr>
          <w:bCs/>
          <w:iCs/>
          <w:snapToGrid w:val="0"/>
          <w:kern w:val="22"/>
          <w:sz w:val="22"/>
          <w:szCs w:val="22"/>
          <w:lang w:val="en-GB"/>
        </w:rPr>
        <w:t xml:space="preserve">on </w:t>
      </w:r>
      <w:r w:rsidRPr="007C26FA">
        <w:rPr>
          <w:bCs/>
          <w:iCs/>
          <w:snapToGrid w:val="0"/>
          <w:kern w:val="22"/>
          <w:sz w:val="22"/>
          <w:szCs w:val="22"/>
          <w:lang w:val="en-GB"/>
        </w:rPr>
        <w:t xml:space="preserve">the rolling work programme of the Platform up to 2030. The work programme includes six objectives: assessing knowledge, building capacity, strengthening knowledge foundations, supporting policy, communicating and engaging and improving the effectiveness of the Platform. </w:t>
      </w:r>
      <w:r w:rsidR="00FF0662" w:rsidRPr="007C26FA">
        <w:rPr>
          <w:bCs/>
          <w:iCs/>
          <w:snapToGrid w:val="0"/>
          <w:kern w:val="22"/>
          <w:sz w:val="22"/>
          <w:szCs w:val="22"/>
          <w:lang w:val="en-GB"/>
        </w:rPr>
        <w:t xml:space="preserve">This section provides an overview of the work </w:t>
      </w:r>
      <w:r w:rsidR="007D4BE4" w:rsidRPr="007C26FA">
        <w:rPr>
          <w:bCs/>
          <w:iCs/>
          <w:snapToGrid w:val="0"/>
          <w:kern w:val="22"/>
          <w:sz w:val="22"/>
          <w:szCs w:val="22"/>
          <w:lang w:val="en-GB"/>
        </w:rPr>
        <w:t>programme</w:t>
      </w:r>
      <w:r w:rsidR="00FF0662" w:rsidRPr="007C26FA">
        <w:rPr>
          <w:bCs/>
          <w:iCs/>
          <w:snapToGrid w:val="0"/>
          <w:kern w:val="22"/>
          <w:sz w:val="22"/>
          <w:szCs w:val="22"/>
          <w:lang w:val="en-GB"/>
        </w:rPr>
        <w:t xml:space="preserve">; further details are provided in </w:t>
      </w:r>
      <w:r w:rsidR="00FF0662" w:rsidRPr="0044638A">
        <w:rPr>
          <w:bCs/>
          <w:iCs/>
          <w:snapToGrid w:val="0"/>
          <w:kern w:val="22"/>
          <w:sz w:val="22"/>
          <w:szCs w:val="22"/>
          <w:lang w:val="en-GB"/>
        </w:rPr>
        <w:t>CBD/SBSTTA/24/INF</w:t>
      </w:r>
      <w:r w:rsidR="00D51F62" w:rsidRPr="0044638A">
        <w:rPr>
          <w:bCs/>
          <w:iCs/>
          <w:snapToGrid w:val="0"/>
          <w:kern w:val="22"/>
          <w:sz w:val="22"/>
          <w:szCs w:val="22"/>
          <w:lang w:val="en-GB"/>
        </w:rPr>
        <w:t>/17.</w:t>
      </w:r>
    </w:p>
    <w:p w14:paraId="526BBDA1" w14:textId="550638B8" w:rsidR="00A309C0" w:rsidRPr="007C26FA" w:rsidRDefault="00A309C0" w:rsidP="00766960">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en-GB"/>
        </w:rPr>
      </w:pPr>
      <w:r w:rsidRPr="007C26FA">
        <w:rPr>
          <w:bCs/>
          <w:iCs/>
          <w:snapToGrid w:val="0"/>
          <w:kern w:val="22"/>
          <w:sz w:val="22"/>
          <w:szCs w:val="22"/>
          <w:lang w:val="en-GB"/>
        </w:rPr>
        <w:t>The rolling work programme of the Platform up to 2030 includes the following three ongoing assessments</w:t>
      </w:r>
      <w:r w:rsidR="00377A1F">
        <w:rPr>
          <w:bCs/>
          <w:iCs/>
          <w:snapToGrid w:val="0"/>
          <w:kern w:val="22"/>
          <w:sz w:val="22"/>
          <w:szCs w:val="22"/>
          <w:lang w:val="en-GB"/>
        </w:rPr>
        <w:t>,</w:t>
      </w:r>
      <w:r w:rsidR="007D4BE4" w:rsidRPr="007C26FA">
        <w:rPr>
          <w:bCs/>
          <w:iCs/>
          <w:snapToGrid w:val="0"/>
          <w:kern w:val="22"/>
          <w:sz w:val="22"/>
          <w:szCs w:val="22"/>
          <w:lang w:val="en-GB"/>
        </w:rPr>
        <w:t xml:space="preserve"> which started within the first work programme</w:t>
      </w:r>
      <w:r w:rsidRPr="007C26FA">
        <w:rPr>
          <w:bCs/>
          <w:iCs/>
          <w:snapToGrid w:val="0"/>
          <w:kern w:val="22"/>
          <w:sz w:val="22"/>
          <w:szCs w:val="22"/>
          <w:lang w:val="en-GB"/>
        </w:rPr>
        <w:t xml:space="preserve"> (for the timetable for the review of the various drafts please refer to </w:t>
      </w:r>
      <w:r w:rsidRPr="0044638A">
        <w:rPr>
          <w:bCs/>
          <w:iCs/>
          <w:snapToGrid w:val="0"/>
          <w:kern w:val="22"/>
          <w:sz w:val="22"/>
          <w:szCs w:val="22"/>
          <w:lang w:val="en-GB"/>
        </w:rPr>
        <w:t>CBD/SBSTTA/24/INF</w:t>
      </w:r>
      <w:r w:rsidR="009D2150" w:rsidRPr="0044638A">
        <w:rPr>
          <w:bCs/>
          <w:iCs/>
          <w:snapToGrid w:val="0"/>
          <w:kern w:val="22"/>
          <w:sz w:val="22"/>
          <w:szCs w:val="22"/>
          <w:lang w:val="en-GB"/>
        </w:rPr>
        <w:t>/17)</w:t>
      </w:r>
      <w:r w:rsidR="009D2150" w:rsidRPr="007C26FA">
        <w:rPr>
          <w:bCs/>
          <w:iCs/>
          <w:snapToGrid w:val="0"/>
          <w:kern w:val="22"/>
          <w:sz w:val="22"/>
          <w:szCs w:val="22"/>
          <w:lang w:val="en-GB"/>
        </w:rPr>
        <w:t>:</w:t>
      </w:r>
    </w:p>
    <w:p w14:paraId="0A815949" w14:textId="5E204900" w:rsidR="00A309C0" w:rsidRPr="0044638A" w:rsidRDefault="009D2150"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bookmarkStart w:id="1" w:name="_Hlk6403152"/>
      <w:r w:rsidRPr="0044638A">
        <w:rPr>
          <w:bCs/>
          <w:iCs/>
          <w:snapToGrid w:val="0"/>
          <w:kern w:val="22"/>
          <w:sz w:val="22"/>
          <w:szCs w:val="22"/>
          <w:lang w:val="en-GB"/>
        </w:rPr>
        <w:t>A</w:t>
      </w:r>
      <w:r w:rsidR="009D7F06" w:rsidRPr="0044638A">
        <w:rPr>
          <w:bCs/>
          <w:iCs/>
          <w:snapToGrid w:val="0"/>
          <w:kern w:val="22"/>
          <w:sz w:val="22"/>
          <w:szCs w:val="22"/>
          <w:lang w:val="en-GB"/>
        </w:rPr>
        <w:t xml:space="preserve"> methodological assessment regarding the diverse conceptualization of multiple values of nature and its benefits, including biodiversity and ecosystem functions and services (values assessment)</w:t>
      </w:r>
      <w:r w:rsidR="00A309C0" w:rsidRPr="0044638A">
        <w:rPr>
          <w:bCs/>
          <w:iCs/>
          <w:snapToGrid w:val="0"/>
          <w:kern w:val="22"/>
          <w:sz w:val="22"/>
          <w:szCs w:val="22"/>
          <w:lang w:val="en-GB"/>
        </w:rPr>
        <w:t>, to be completed for consideration by the Plenary at its ninth session in the first half of 2022;</w:t>
      </w:r>
    </w:p>
    <w:p w14:paraId="342B38D8" w14:textId="179D802F" w:rsidR="00A309C0" w:rsidRPr="0044638A" w:rsidRDefault="009D2150"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A</w:t>
      </w:r>
      <w:r w:rsidR="009D7F06" w:rsidRPr="0044638A">
        <w:rPr>
          <w:bCs/>
          <w:iCs/>
          <w:snapToGrid w:val="0"/>
          <w:kern w:val="22"/>
          <w:sz w:val="22"/>
          <w:szCs w:val="22"/>
          <w:lang w:val="en-GB"/>
        </w:rPr>
        <w:t xml:space="preserve"> thematic assessment of the sustainable use of wild species </w:t>
      </w:r>
      <w:r w:rsidR="000C7FB1" w:rsidRPr="0044638A">
        <w:rPr>
          <w:bCs/>
          <w:iCs/>
          <w:snapToGrid w:val="0"/>
          <w:kern w:val="22"/>
          <w:sz w:val="22"/>
          <w:szCs w:val="22"/>
          <w:lang w:val="en-GB"/>
        </w:rPr>
        <w:t>(sustainable use assessment</w:t>
      </w:r>
      <w:r w:rsidR="00A309C0" w:rsidRPr="0044638A">
        <w:rPr>
          <w:bCs/>
          <w:iCs/>
          <w:snapToGrid w:val="0"/>
          <w:kern w:val="22"/>
          <w:sz w:val="22"/>
          <w:szCs w:val="22"/>
          <w:lang w:val="en-GB"/>
        </w:rPr>
        <w:t>), to be completed for consideration by the Plenary at its ninth session in the first half of 2022;</w:t>
      </w:r>
    </w:p>
    <w:p w14:paraId="5A71D2C1" w14:textId="104B563B" w:rsidR="00FC562D" w:rsidRPr="0044638A" w:rsidRDefault="009D2150"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lang w:val="en-GB"/>
        </w:rPr>
      </w:pPr>
      <w:r w:rsidRPr="0044638A">
        <w:rPr>
          <w:bCs/>
          <w:iCs/>
          <w:snapToGrid w:val="0"/>
          <w:kern w:val="22"/>
          <w:sz w:val="22"/>
          <w:szCs w:val="22"/>
          <w:lang w:val="en-GB"/>
        </w:rPr>
        <w:t>A</w:t>
      </w:r>
      <w:r w:rsidR="009D7F06" w:rsidRPr="0044638A">
        <w:rPr>
          <w:bCs/>
          <w:iCs/>
          <w:snapToGrid w:val="0"/>
          <w:kern w:val="22"/>
          <w:sz w:val="22"/>
          <w:szCs w:val="22"/>
          <w:lang w:val="en-GB"/>
        </w:rPr>
        <w:t xml:space="preserve"> thematic assessment of invasive alien species</w:t>
      </w:r>
      <w:r w:rsidR="00A309C0" w:rsidRPr="0044638A">
        <w:rPr>
          <w:bCs/>
          <w:iCs/>
          <w:snapToGrid w:val="0"/>
          <w:kern w:val="22"/>
          <w:sz w:val="22"/>
          <w:szCs w:val="22"/>
          <w:lang w:val="en-GB"/>
        </w:rPr>
        <w:t>, to be completed for consideration by the Plenary at its tenth session in the first half of 2023;</w:t>
      </w:r>
      <w:bookmarkEnd w:id="1"/>
    </w:p>
    <w:p w14:paraId="46F7FC39" w14:textId="49D1066F" w:rsidR="009D7F06" w:rsidRPr="0044638A" w:rsidRDefault="00A309C0"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 xml:space="preserve">In </w:t>
      </w:r>
      <w:r w:rsidR="009D7F06" w:rsidRPr="0044638A">
        <w:rPr>
          <w:bCs/>
          <w:iCs/>
          <w:snapToGrid w:val="0"/>
          <w:kern w:val="22"/>
          <w:sz w:val="22"/>
          <w:szCs w:val="22"/>
          <w:lang w:val="en-GB"/>
        </w:rPr>
        <w:t xml:space="preserve">the rolling work programme of </w:t>
      </w:r>
      <w:r w:rsidR="00A62C81" w:rsidRPr="0044638A">
        <w:rPr>
          <w:bCs/>
          <w:iCs/>
          <w:snapToGrid w:val="0"/>
          <w:kern w:val="22"/>
          <w:sz w:val="22"/>
          <w:szCs w:val="22"/>
          <w:lang w:val="en-GB"/>
        </w:rPr>
        <w:t>the Platform</w:t>
      </w:r>
      <w:r w:rsidR="009D7F06" w:rsidRPr="0044638A">
        <w:rPr>
          <w:bCs/>
          <w:iCs/>
          <w:snapToGrid w:val="0"/>
          <w:kern w:val="22"/>
          <w:sz w:val="22"/>
          <w:szCs w:val="22"/>
          <w:lang w:val="en-GB"/>
        </w:rPr>
        <w:t xml:space="preserve"> up to 2030</w:t>
      </w:r>
      <w:r w:rsidRPr="0044638A">
        <w:rPr>
          <w:bCs/>
          <w:iCs/>
          <w:snapToGrid w:val="0"/>
          <w:kern w:val="22"/>
          <w:sz w:val="22"/>
          <w:szCs w:val="22"/>
          <w:lang w:val="en-GB"/>
        </w:rPr>
        <w:t xml:space="preserve">, adopted by decision IPBES-7/1, the following </w:t>
      </w:r>
      <w:r w:rsidR="009D7F06" w:rsidRPr="0044638A">
        <w:rPr>
          <w:bCs/>
          <w:iCs/>
          <w:snapToGrid w:val="0"/>
          <w:kern w:val="22"/>
          <w:sz w:val="22"/>
          <w:szCs w:val="22"/>
          <w:lang w:val="en-GB"/>
        </w:rPr>
        <w:t>four deliverables</w:t>
      </w:r>
      <w:r w:rsidRPr="0044638A">
        <w:rPr>
          <w:bCs/>
          <w:iCs/>
          <w:snapToGrid w:val="0"/>
          <w:kern w:val="22"/>
          <w:sz w:val="22"/>
          <w:szCs w:val="22"/>
          <w:lang w:val="en-GB"/>
        </w:rPr>
        <w:t xml:space="preserve"> were included</w:t>
      </w:r>
      <w:r w:rsidR="009D7F06" w:rsidRPr="0044638A">
        <w:rPr>
          <w:bCs/>
          <w:iCs/>
          <w:snapToGrid w:val="0"/>
          <w:kern w:val="22"/>
          <w:sz w:val="22"/>
          <w:szCs w:val="22"/>
          <w:lang w:val="en-GB"/>
        </w:rPr>
        <w:t>:</w:t>
      </w:r>
    </w:p>
    <w:p w14:paraId="3293EE26" w14:textId="72F0B686" w:rsidR="009D7F06" w:rsidRPr="0044638A" w:rsidRDefault="009D7F06" w:rsidP="00766960">
      <w:pPr>
        <w:pStyle w:val="ListParagraph"/>
        <w:numPr>
          <w:ilvl w:val="0"/>
          <w:numId w:val="35"/>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bCs/>
          <w:iCs/>
          <w:snapToGrid w:val="0"/>
          <w:kern w:val="22"/>
          <w:sz w:val="22"/>
          <w:szCs w:val="22"/>
          <w:lang w:val="en-GB"/>
        </w:rPr>
      </w:pPr>
      <w:r w:rsidRPr="0044638A">
        <w:rPr>
          <w:bCs/>
          <w:iCs/>
          <w:snapToGrid w:val="0"/>
          <w:kern w:val="22"/>
          <w:sz w:val="22"/>
          <w:szCs w:val="22"/>
          <w:lang w:val="en-GB"/>
        </w:rPr>
        <w:t>A thematic assessment of the interlinkages among biodiversity, water, food and health (nexus assessment)</w:t>
      </w:r>
      <w:r w:rsidR="00FC7C3B" w:rsidRPr="0044638A">
        <w:rPr>
          <w:bCs/>
          <w:iCs/>
          <w:snapToGrid w:val="0"/>
          <w:kern w:val="22"/>
          <w:sz w:val="22"/>
          <w:szCs w:val="22"/>
          <w:lang w:val="en-GB"/>
        </w:rPr>
        <w:t>;</w:t>
      </w:r>
    </w:p>
    <w:p w14:paraId="702400AB" w14:textId="17972998" w:rsidR="009D7F06" w:rsidRPr="0044638A" w:rsidRDefault="009D7F06" w:rsidP="00766960">
      <w:pPr>
        <w:pStyle w:val="ListParagraph"/>
        <w:numPr>
          <w:ilvl w:val="0"/>
          <w:numId w:val="35"/>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bCs/>
          <w:iCs/>
          <w:snapToGrid w:val="0"/>
          <w:kern w:val="22"/>
          <w:sz w:val="22"/>
          <w:szCs w:val="22"/>
          <w:lang w:val="en-GB"/>
        </w:rPr>
      </w:pPr>
      <w:r w:rsidRPr="0044638A">
        <w:rPr>
          <w:bCs/>
          <w:iCs/>
          <w:snapToGrid w:val="0"/>
          <w:kern w:val="22"/>
          <w:sz w:val="22"/>
          <w:szCs w:val="22"/>
          <w:lang w:val="en-GB"/>
        </w:rPr>
        <w:lastRenderedPageBreak/>
        <w:t>A technical paper on the interlinkage</w:t>
      </w:r>
      <w:r w:rsidR="007D4BE4" w:rsidRPr="0044638A">
        <w:rPr>
          <w:bCs/>
          <w:iCs/>
          <w:snapToGrid w:val="0"/>
          <w:kern w:val="22"/>
          <w:sz w:val="22"/>
          <w:szCs w:val="22"/>
          <w:lang w:val="en-GB"/>
        </w:rPr>
        <w:t>s</w:t>
      </w:r>
      <w:r w:rsidRPr="0044638A">
        <w:rPr>
          <w:bCs/>
          <w:iCs/>
          <w:snapToGrid w:val="0"/>
          <w:kern w:val="22"/>
          <w:sz w:val="22"/>
          <w:szCs w:val="22"/>
          <w:lang w:val="en-GB"/>
        </w:rPr>
        <w:t xml:space="preserve"> between biodiversity and climate change;</w:t>
      </w:r>
    </w:p>
    <w:p w14:paraId="303A8A4C" w14:textId="1D2369E3" w:rsidR="009D7F06" w:rsidRPr="0044638A" w:rsidRDefault="009D7F06" w:rsidP="00766960">
      <w:pPr>
        <w:pStyle w:val="ListParagraph"/>
        <w:numPr>
          <w:ilvl w:val="0"/>
          <w:numId w:val="35"/>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bCs/>
          <w:iCs/>
          <w:snapToGrid w:val="0"/>
          <w:kern w:val="22"/>
          <w:sz w:val="22"/>
          <w:szCs w:val="22"/>
          <w:lang w:val="en-GB"/>
        </w:rPr>
      </w:pPr>
      <w:r w:rsidRPr="0044638A">
        <w:rPr>
          <w:bCs/>
          <w:iCs/>
          <w:snapToGrid w:val="0"/>
          <w:kern w:val="22"/>
          <w:sz w:val="22"/>
          <w:szCs w:val="22"/>
          <w:lang w:val="en-GB"/>
        </w:rPr>
        <w:t xml:space="preserve">A thematic assessment of the underlying causes of biodiversity loss and the determinants of transformative change and options for achieving the 2050 </w:t>
      </w:r>
      <w:r w:rsidR="00275DA7" w:rsidRPr="0044638A">
        <w:rPr>
          <w:bCs/>
          <w:iCs/>
          <w:snapToGrid w:val="0"/>
          <w:kern w:val="22"/>
          <w:sz w:val="22"/>
          <w:szCs w:val="22"/>
          <w:lang w:val="en-GB"/>
        </w:rPr>
        <w:t>V</w:t>
      </w:r>
      <w:r w:rsidRPr="0044638A">
        <w:rPr>
          <w:bCs/>
          <w:iCs/>
          <w:snapToGrid w:val="0"/>
          <w:kern w:val="22"/>
          <w:sz w:val="22"/>
          <w:szCs w:val="22"/>
          <w:lang w:val="en-GB"/>
        </w:rPr>
        <w:t xml:space="preserve">ision </w:t>
      </w:r>
      <w:r w:rsidR="001371BE" w:rsidRPr="0044638A">
        <w:rPr>
          <w:bCs/>
          <w:iCs/>
          <w:snapToGrid w:val="0"/>
          <w:kern w:val="22"/>
          <w:sz w:val="22"/>
          <w:szCs w:val="22"/>
          <w:lang w:val="en-GB"/>
        </w:rPr>
        <w:t>f</w:t>
      </w:r>
      <w:r w:rsidRPr="0044638A">
        <w:rPr>
          <w:bCs/>
          <w:iCs/>
          <w:snapToGrid w:val="0"/>
          <w:kern w:val="22"/>
          <w:sz w:val="22"/>
          <w:szCs w:val="22"/>
          <w:lang w:val="en-GB"/>
        </w:rPr>
        <w:t>or biodiversity (transformative change assessment);</w:t>
      </w:r>
    </w:p>
    <w:p w14:paraId="50D847EC" w14:textId="72A1EFBF" w:rsidR="009D7F06" w:rsidRPr="0044638A" w:rsidRDefault="009D7F06" w:rsidP="00766960">
      <w:pPr>
        <w:pStyle w:val="ListParagraph"/>
        <w:numPr>
          <w:ilvl w:val="0"/>
          <w:numId w:val="35"/>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bCs/>
          <w:iCs/>
          <w:snapToGrid w:val="0"/>
          <w:kern w:val="22"/>
          <w:sz w:val="22"/>
          <w:szCs w:val="22"/>
          <w:lang w:val="en-GB"/>
        </w:rPr>
      </w:pPr>
      <w:r w:rsidRPr="0044638A">
        <w:rPr>
          <w:bCs/>
          <w:iCs/>
          <w:snapToGrid w:val="0"/>
          <w:kern w:val="22"/>
          <w:sz w:val="22"/>
          <w:szCs w:val="22"/>
          <w:lang w:val="en-GB"/>
        </w:rPr>
        <w:t xml:space="preserve">A methodological assessment of the impact and dependence of business on biodiversity and nature’s contributions to people (business </w:t>
      </w:r>
      <w:r w:rsidR="005C410E" w:rsidRPr="0044638A">
        <w:rPr>
          <w:bCs/>
          <w:iCs/>
          <w:snapToGrid w:val="0"/>
          <w:kern w:val="22"/>
          <w:sz w:val="22"/>
          <w:szCs w:val="22"/>
          <w:lang w:val="en-GB"/>
        </w:rPr>
        <w:t xml:space="preserve">and biodiversity </w:t>
      </w:r>
      <w:r w:rsidRPr="0044638A">
        <w:rPr>
          <w:bCs/>
          <w:iCs/>
          <w:snapToGrid w:val="0"/>
          <w:kern w:val="22"/>
          <w:sz w:val="22"/>
          <w:szCs w:val="22"/>
          <w:lang w:val="en-GB"/>
        </w:rPr>
        <w:t>assessment).</w:t>
      </w:r>
    </w:p>
    <w:p w14:paraId="144BF90F" w14:textId="49775AC3" w:rsidR="009D7F06" w:rsidRPr="0044638A" w:rsidRDefault="009D7F06"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lang w:val="en-GB"/>
        </w:rPr>
      </w:pPr>
      <w:r w:rsidRPr="0044638A">
        <w:rPr>
          <w:bCs/>
          <w:iCs/>
          <w:snapToGrid w:val="0"/>
          <w:kern w:val="22"/>
          <w:sz w:val="22"/>
          <w:szCs w:val="22"/>
          <w:lang w:val="en-GB"/>
        </w:rPr>
        <w:t>In the same decision, the Plenary approved scoping processes for the nexus and transformative change assessments, based on the initial scoping reports for the assessments set out in appendix II to document IPBES/7/6</w:t>
      </w:r>
      <w:r w:rsidR="00A309C0" w:rsidRPr="0044638A">
        <w:rPr>
          <w:bCs/>
          <w:iCs/>
          <w:snapToGrid w:val="0"/>
          <w:kern w:val="22"/>
          <w:sz w:val="22"/>
          <w:szCs w:val="22"/>
          <w:lang w:val="en-GB"/>
        </w:rPr>
        <w:t>,</w:t>
      </w:r>
      <w:r w:rsidRPr="0044638A">
        <w:rPr>
          <w:bCs/>
          <w:iCs/>
          <w:snapToGrid w:val="0"/>
          <w:kern w:val="22"/>
          <w:sz w:val="22"/>
          <w:szCs w:val="22"/>
          <w:lang w:val="en-GB"/>
        </w:rPr>
        <w:t xml:space="preserve"> for consideration by the Plenary at its eighth session. The </w:t>
      </w:r>
      <w:r w:rsidR="00404F65" w:rsidRPr="0044638A">
        <w:rPr>
          <w:bCs/>
          <w:iCs/>
          <w:snapToGrid w:val="0"/>
          <w:kern w:val="22"/>
          <w:sz w:val="22"/>
          <w:szCs w:val="22"/>
          <w:lang w:val="en-GB"/>
        </w:rPr>
        <w:t xml:space="preserve">Plenary approved a </w:t>
      </w:r>
      <w:r w:rsidRPr="0044638A">
        <w:rPr>
          <w:bCs/>
          <w:iCs/>
          <w:snapToGrid w:val="0"/>
          <w:kern w:val="22"/>
          <w:sz w:val="22"/>
          <w:szCs w:val="22"/>
          <w:lang w:val="en-GB"/>
        </w:rPr>
        <w:t xml:space="preserve">scoping process </w:t>
      </w:r>
      <w:r w:rsidR="00404F65" w:rsidRPr="0044638A">
        <w:rPr>
          <w:bCs/>
          <w:iCs/>
          <w:snapToGrid w:val="0"/>
          <w:kern w:val="22"/>
          <w:sz w:val="22"/>
          <w:szCs w:val="22"/>
          <w:lang w:val="en-GB"/>
        </w:rPr>
        <w:t xml:space="preserve">of </w:t>
      </w:r>
      <w:r w:rsidRPr="0044638A">
        <w:rPr>
          <w:bCs/>
          <w:iCs/>
          <w:snapToGrid w:val="0"/>
          <w:kern w:val="22"/>
          <w:sz w:val="22"/>
          <w:szCs w:val="22"/>
          <w:lang w:val="en-GB"/>
        </w:rPr>
        <w:t xml:space="preserve">the business and biodiversity assessment </w:t>
      </w:r>
      <w:r w:rsidR="00404F65" w:rsidRPr="0044638A">
        <w:rPr>
          <w:bCs/>
          <w:iCs/>
          <w:snapToGrid w:val="0"/>
          <w:kern w:val="22"/>
          <w:sz w:val="22"/>
          <w:szCs w:val="22"/>
          <w:lang w:val="en-GB"/>
        </w:rPr>
        <w:t>to be presented for</w:t>
      </w:r>
      <w:r w:rsidRPr="0044638A">
        <w:rPr>
          <w:bCs/>
          <w:iCs/>
          <w:snapToGrid w:val="0"/>
          <w:kern w:val="22"/>
          <w:sz w:val="22"/>
          <w:szCs w:val="22"/>
          <w:lang w:val="en-GB"/>
        </w:rPr>
        <w:t xml:space="preserve"> consideration by Plenary at </w:t>
      </w:r>
      <w:r w:rsidR="00467222" w:rsidRPr="0044638A">
        <w:rPr>
          <w:bCs/>
          <w:iCs/>
          <w:snapToGrid w:val="0"/>
          <w:kern w:val="22"/>
          <w:sz w:val="22"/>
          <w:szCs w:val="22"/>
          <w:lang w:val="en-GB"/>
        </w:rPr>
        <w:t>its ninth session</w:t>
      </w:r>
      <w:r w:rsidRPr="0044638A">
        <w:rPr>
          <w:bCs/>
          <w:iCs/>
          <w:snapToGrid w:val="0"/>
          <w:kern w:val="22"/>
          <w:sz w:val="22"/>
          <w:szCs w:val="22"/>
          <w:lang w:val="en-GB"/>
        </w:rPr>
        <w:t>.</w:t>
      </w:r>
    </w:p>
    <w:p w14:paraId="781865CD" w14:textId="02E1C5BB" w:rsidR="00DC641C" w:rsidRPr="0044638A" w:rsidRDefault="00E67A45"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44638A">
        <w:rPr>
          <w:snapToGrid w:val="0"/>
          <w:kern w:val="22"/>
          <w:sz w:val="22"/>
          <w:szCs w:val="22"/>
          <w:lang w:val="en-GB"/>
        </w:rPr>
        <w:t xml:space="preserve">Building on two online </w:t>
      </w:r>
      <w:r w:rsidR="00404F65" w:rsidRPr="0044638A">
        <w:rPr>
          <w:snapToGrid w:val="0"/>
          <w:kern w:val="22"/>
          <w:sz w:val="22"/>
          <w:szCs w:val="22"/>
          <w:lang w:val="en-GB"/>
        </w:rPr>
        <w:t>conferences held in 2019</w:t>
      </w:r>
      <w:r w:rsidRPr="0044638A">
        <w:rPr>
          <w:snapToGrid w:val="0"/>
          <w:kern w:val="22"/>
          <w:sz w:val="22"/>
          <w:szCs w:val="22"/>
          <w:lang w:val="en-GB"/>
        </w:rPr>
        <w:t>, t</w:t>
      </w:r>
      <w:r w:rsidR="00DC641C" w:rsidRPr="0044638A">
        <w:rPr>
          <w:snapToGrid w:val="0"/>
          <w:kern w:val="22"/>
          <w:sz w:val="22"/>
          <w:szCs w:val="22"/>
          <w:lang w:val="en-GB"/>
        </w:rPr>
        <w:t>he scoping meeting</w:t>
      </w:r>
      <w:r w:rsidRPr="0044638A">
        <w:rPr>
          <w:snapToGrid w:val="0"/>
          <w:kern w:val="22"/>
          <w:sz w:val="22"/>
          <w:szCs w:val="22"/>
          <w:lang w:val="en-GB"/>
        </w:rPr>
        <w:t>s</w:t>
      </w:r>
      <w:r w:rsidR="00DC641C" w:rsidRPr="0044638A">
        <w:rPr>
          <w:snapToGrid w:val="0"/>
          <w:kern w:val="22"/>
          <w:sz w:val="22"/>
          <w:szCs w:val="22"/>
          <w:lang w:val="en-GB"/>
        </w:rPr>
        <w:t xml:space="preserve"> for the nexus </w:t>
      </w:r>
      <w:r w:rsidRPr="0044638A">
        <w:rPr>
          <w:snapToGrid w:val="0"/>
          <w:kern w:val="22"/>
          <w:sz w:val="22"/>
          <w:szCs w:val="22"/>
          <w:lang w:val="en-GB"/>
        </w:rPr>
        <w:t xml:space="preserve">and transformative change </w:t>
      </w:r>
      <w:r w:rsidR="00DC641C" w:rsidRPr="0044638A">
        <w:rPr>
          <w:snapToGrid w:val="0"/>
          <w:kern w:val="22"/>
          <w:sz w:val="22"/>
          <w:szCs w:val="22"/>
          <w:lang w:val="en-GB"/>
        </w:rPr>
        <w:t>assessment</w:t>
      </w:r>
      <w:r w:rsidRPr="0044638A">
        <w:rPr>
          <w:snapToGrid w:val="0"/>
          <w:kern w:val="22"/>
          <w:sz w:val="22"/>
          <w:szCs w:val="22"/>
          <w:lang w:val="en-GB"/>
        </w:rPr>
        <w:t>s</w:t>
      </w:r>
      <w:r w:rsidR="00DC641C" w:rsidRPr="0044638A">
        <w:rPr>
          <w:snapToGrid w:val="0"/>
          <w:kern w:val="22"/>
          <w:sz w:val="22"/>
          <w:szCs w:val="22"/>
          <w:lang w:val="en-GB"/>
        </w:rPr>
        <w:t xml:space="preserve"> </w:t>
      </w:r>
      <w:r w:rsidRPr="0044638A">
        <w:rPr>
          <w:snapToGrid w:val="0"/>
          <w:kern w:val="22"/>
          <w:sz w:val="22"/>
          <w:szCs w:val="22"/>
          <w:lang w:val="en-GB"/>
        </w:rPr>
        <w:t>were</w:t>
      </w:r>
      <w:r w:rsidR="00DC641C" w:rsidRPr="0044638A">
        <w:rPr>
          <w:snapToGrid w:val="0"/>
          <w:kern w:val="22"/>
          <w:sz w:val="22"/>
          <w:szCs w:val="22"/>
          <w:lang w:val="en-GB"/>
        </w:rPr>
        <w:t xml:space="preserve"> held </w:t>
      </w:r>
      <w:r w:rsidRPr="0044638A">
        <w:rPr>
          <w:snapToGrid w:val="0"/>
          <w:kern w:val="22"/>
          <w:sz w:val="22"/>
          <w:szCs w:val="22"/>
          <w:lang w:val="en-GB"/>
        </w:rPr>
        <w:t>virtually in</w:t>
      </w:r>
      <w:r w:rsidR="00FB276B" w:rsidRPr="0044638A">
        <w:rPr>
          <w:snapToGrid w:val="0"/>
          <w:kern w:val="22"/>
          <w:sz w:val="22"/>
          <w:szCs w:val="22"/>
          <w:lang w:val="en-GB"/>
        </w:rPr>
        <w:t xml:space="preserve"> </w:t>
      </w:r>
      <w:r w:rsidR="00404F65" w:rsidRPr="0044638A">
        <w:rPr>
          <w:snapToGrid w:val="0"/>
          <w:kern w:val="22"/>
          <w:sz w:val="22"/>
          <w:szCs w:val="22"/>
          <w:lang w:val="en-GB"/>
        </w:rPr>
        <w:t xml:space="preserve">March </w:t>
      </w:r>
      <w:r w:rsidRPr="0044638A">
        <w:rPr>
          <w:snapToGrid w:val="0"/>
          <w:kern w:val="22"/>
          <w:sz w:val="22"/>
          <w:szCs w:val="22"/>
          <w:lang w:val="en-GB"/>
        </w:rPr>
        <w:t xml:space="preserve">and </w:t>
      </w:r>
      <w:r w:rsidR="00404F65" w:rsidRPr="0044638A">
        <w:rPr>
          <w:snapToGrid w:val="0"/>
          <w:kern w:val="22"/>
          <w:sz w:val="22"/>
          <w:szCs w:val="22"/>
          <w:lang w:val="en-GB"/>
        </w:rPr>
        <w:t xml:space="preserve">April </w:t>
      </w:r>
      <w:r w:rsidR="00DC641C" w:rsidRPr="0044638A">
        <w:rPr>
          <w:snapToGrid w:val="0"/>
          <w:kern w:val="22"/>
          <w:sz w:val="22"/>
          <w:szCs w:val="22"/>
          <w:lang w:val="en-GB"/>
        </w:rPr>
        <w:t>2020</w:t>
      </w:r>
      <w:r w:rsidR="004508C6">
        <w:rPr>
          <w:snapToGrid w:val="0"/>
          <w:kern w:val="22"/>
          <w:sz w:val="22"/>
          <w:szCs w:val="22"/>
          <w:lang w:val="en-GB"/>
        </w:rPr>
        <w:t>,</w:t>
      </w:r>
      <w:r w:rsidRPr="0044638A">
        <w:rPr>
          <w:snapToGrid w:val="0"/>
          <w:kern w:val="22"/>
          <w:sz w:val="22"/>
          <w:szCs w:val="22"/>
          <w:lang w:val="en-GB"/>
        </w:rPr>
        <w:t xml:space="preserve"> respectively, </w:t>
      </w:r>
      <w:r w:rsidR="00DC641C" w:rsidRPr="0044638A">
        <w:rPr>
          <w:snapToGrid w:val="0"/>
          <w:kern w:val="22"/>
          <w:sz w:val="22"/>
          <w:szCs w:val="22"/>
          <w:lang w:val="en-GB"/>
        </w:rPr>
        <w:t>followed by external review</w:t>
      </w:r>
      <w:r w:rsidRPr="0044638A">
        <w:rPr>
          <w:snapToGrid w:val="0"/>
          <w:kern w:val="22"/>
          <w:sz w:val="22"/>
          <w:szCs w:val="22"/>
          <w:lang w:val="en-GB"/>
        </w:rPr>
        <w:t>s</w:t>
      </w:r>
      <w:r w:rsidR="00DC641C" w:rsidRPr="0044638A">
        <w:rPr>
          <w:snapToGrid w:val="0"/>
          <w:kern w:val="22"/>
          <w:sz w:val="22"/>
          <w:szCs w:val="22"/>
          <w:lang w:val="en-GB"/>
        </w:rPr>
        <w:t xml:space="preserve"> of the draft scoping report.</w:t>
      </w:r>
      <w:r w:rsidRPr="0044638A">
        <w:rPr>
          <w:snapToGrid w:val="0"/>
          <w:kern w:val="22"/>
          <w:sz w:val="22"/>
          <w:szCs w:val="22"/>
          <w:lang w:val="en-GB"/>
        </w:rPr>
        <w:t xml:space="preserve"> The </w:t>
      </w:r>
      <w:r w:rsidR="00567519" w:rsidRPr="0044638A">
        <w:rPr>
          <w:snapToGrid w:val="0"/>
          <w:kern w:val="22"/>
          <w:sz w:val="22"/>
          <w:szCs w:val="22"/>
          <w:lang w:val="en-GB"/>
        </w:rPr>
        <w:t>draft scoping report</w:t>
      </w:r>
      <w:r w:rsidR="00DB148C" w:rsidRPr="0044638A">
        <w:rPr>
          <w:snapToGrid w:val="0"/>
          <w:kern w:val="22"/>
          <w:sz w:val="22"/>
          <w:szCs w:val="22"/>
          <w:lang w:val="en-GB"/>
        </w:rPr>
        <w:t>s</w:t>
      </w:r>
      <w:r w:rsidR="00567519" w:rsidRPr="0044638A">
        <w:rPr>
          <w:snapToGrid w:val="0"/>
          <w:kern w:val="22"/>
          <w:sz w:val="22"/>
          <w:szCs w:val="22"/>
          <w:lang w:val="en-GB"/>
        </w:rPr>
        <w:t xml:space="preserve"> </w:t>
      </w:r>
      <w:r w:rsidR="00404F65" w:rsidRPr="0044638A">
        <w:rPr>
          <w:snapToGrid w:val="0"/>
          <w:kern w:val="22"/>
          <w:sz w:val="22"/>
          <w:szCs w:val="22"/>
          <w:lang w:val="en-GB"/>
        </w:rPr>
        <w:t>will</w:t>
      </w:r>
      <w:r w:rsidR="00567519" w:rsidRPr="0044638A">
        <w:rPr>
          <w:snapToGrid w:val="0"/>
          <w:kern w:val="22"/>
          <w:sz w:val="22"/>
          <w:szCs w:val="22"/>
          <w:lang w:val="en-GB"/>
        </w:rPr>
        <w:t xml:space="preserve"> be reviewed </w:t>
      </w:r>
      <w:r w:rsidR="00404F65" w:rsidRPr="0044638A">
        <w:rPr>
          <w:snapToGrid w:val="0"/>
          <w:kern w:val="22"/>
          <w:sz w:val="22"/>
          <w:szCs w:val="22"/>
          <w:lang w:val="en-GB"/>
        </w:rPr>
        <w:t xml:space="preserve">again </w:t>
      </w:r>
      <w:r w:rsidR="00567519" w:rsidRPr="0044638A">
        <w:rPr>
          <w:snapToGrid w:val="0"/>
          <w:kern w:val="22"/>
          <w:sz w:val="22"/>
          <w:szCs w:val="22"/>
          <w:lang w:val="en-GB"/>
        </w:rPr>
        <w:t xml:space="preserve">and finalized </w:t>
      </w:r>
      <w:r w:rsidR="00404F65" w:rsidRPr="0044638A">
        <w:rPr>
          <w:snapToGrid w:val="0"/>
          <w:kern w:val="22"/>
          <w:sz w:val="22"/>
          <w:szCs w:val="22"/>
          <w:lang w:val="en-GB"/>
        </w:rPr>
        <w:t>for</w:t>
      </w:r>
      <w:r w:rsidR="00567519" w:rsidRPr="0044638A">
        <w:rPr>
          <w:snapToGrid w:val="0"/>
          <w:kern w:val="22"/>
          <w:sz w:val="22"/>
          <w:szCs w:val="22"/>
          <w:lang w:val="en-GB"/>
        </w:rPr>
        <w:t xml:space="preserve"> </w:t>
      </w:r>
      <w:r w:rsidR="00CF0D3D" w:rsidRPr="0044638A">
        <w:rPr>
          <w:snapToGrid w:val="0"/>
          <w:kern w:val="22"/>
          <w:sz w:val="22"/>
          <w:szCs w:val="22"/>
          <w:lang w:val="en-GB"/>
        </w:rPr>
        <w:t xml:space="preserve">the eighth session of </w:t>
      </w:r>
      <w:r w:rsidR="00567519" w:rsidRPr="0044638A">
        <w:rPr>
          <w:snapToGrid w:val="0"/>
          <w:kern w:val="22"/>
          <w:sz w:val="22"/>
          <w:szCs w:val="22"/>
          <w:lang w:val="en-GB"/>
        </w:rPr>
        <w:t>IPBES.</w:t>
      </w:r>
    </w:p>
    <w:p w14:paraId="76E877E5" w14:textId="2A6B5713" w:rsidR="004C7894" w:rsidRPr="0044638A" w:rsidRDefault="00E67A45"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44638A">
        <w:rPr>
          <w:snapToGrid w:val="0"/>
          <w:kern w:val="22"/>
          <w:sz w:val="22"/>
          <w:szCs w:val="22"/>
          <w:lang w:val="en-GB"/>
        </w:rPr>
        <w:t>C</w:t>
      </w:r>
      <w:r w:rsidR="004C7894" w:rsidRPr="0044638A">
        <w:rPr>
          <w:snapToGrid w:val="0"/>
          <w:kern w:val="22"/>
          <w:sz w:val="22"/>
          <w:szCs w:val="22"/>
          <w:lang w:val="en-GB"/>
        </w:rPr>
        <w:t>onsidering the extraordinary situation caused by COVID-19 and given the role that the Platform can play in strengthening the knowledge base on biodiversity</w:t>
      </w:r>
      <w:r w:rsidR="00020305" w:rsidRPr="0044638A">
        <w:rPr>
          <w:snapToGrid w:val="0"/>
          <w:kern w:val="22"/>
          <w:sz w:val="22"/>
          <w:szCs w:val="22"/>
          <w:lang w:val="en-GB"/>
        </w:rPr>
        <w:t xml:space="preserve">, IPBES organized a virtual Platform workshop on biodiversity and pandemics </w:t>
      </w:r>
      <w:r w:rsidR="00BA20AD">
        <w:rPr>
          <w:snapToGrid w:val="0"/>
          <w:kern w:val="22"/>
          <w:sz w:val="22"/>
          <w:szCs w:val="22"/>
          <w:lang w:val="en-GB"/>
        </w:rPr>
        <w:t xml:space="preserve">which was </w:t>
      </w:r>
      <w:r w:rsidR="00020305" w:rsidRPr="0044638A">
        <w:rPr>
          <w:snapToGrid w:val="0"/>
          <w:kern w:val="22"/>
          <w:sz w:val="22"/>
          <w:szCs w:val="22"/>
          <w:lang w:val="en-GB"/>
        </w:rPr>
        <w:t xml:space="preserve">held </w:t>
      </w:r>
      <w:r w:rsidR="00BA20AD">
        <w:rPr>
          <w:snapToGrid w:val="0"/>
          <w:kern w:val="22"/>
          <w:sz w:val="22"/>
          <w:szCs w:val="22"/>
          <w:lang w:val="en-GB"/>
        </w:rPr>
        <w:t xml:space="preserve">in </w:t>
      </w:r>
      <w:r w:rsidR="002A1181" w:rsidRPr="0044638A">
        <w:rPr>
          <w:snapToGrid w:val="0"/>
          <w:kern w:val="22"/>
          <w:sz w:val="22"/>
          <w:szCs w:val="22"/>
          <w:lang w:val="en-GB"/>
        </w:rPr>
        <w:t>July 2020</w:t>
      </w:r>
      <w:r w:rsidR="00020305" w:rsidRPr="0044638A">
        <w:rPr>
          <w:snapToGrid w:val="0"/>
          <w:kern w:val="22"/>
          <w:sz w:val="22"/>
          <w:szCs w:val="22"/>
          <w:lang w:val="en-GB"/>
        </w:rPr>
        <w:t>. The workshop report aimed at supporting the preparation of ongoing or future IPBES deliverables</w:t>
      </w:r>
      <w:r w:rsidR="00BA20AD">
        <w:rPr>
          <w:snapToGrid w:val="0"/>
          <w:kern w:val="22"/>
          <w:sz w:val="22"/>
          <w:szCs w:val="22"/>
          <w:lang w:val="en-GB"/>
        </w:rPr>
        <w:t>,</w:t>
      </w:r>
      <w:r w:rsidR="00020305" w:rsidRPr="0044638A">
        <w:rPr>
          <w:snapToGrid w:val="0"/>
          <w:kern w:val="22"/>
          <w:sz w:val="22"/>
          <w:szCs w:val="22"/>
          <w:lang w:val="en-GB"/>
        </w:rPr>
        <w:t xml:space="preserve"> such as </w:t>
      </w:r>
      <w:r w:rsidRPr="0044638A">
        <w:rPr>
          <w:snapToGrid w:val="0"/>
          <w:kern w:val="22"/>
          <w:sz w:val="22"/>
          <w:szCs w:val="22"/>
          <w:lang w:val="en-GB"/>
        </w:rPr>
        <w:t xml:space="preserve">the scoping of the nexus assessment and to inform the other </w:t>
      </w:r>
      <w:r w:rsidR="00020305" w:rsidRPr="0044638A">
        <w:rPr>
          <w:snapToGrid w:val="0"/>
          <w:kern w:val="22"/>
          <w:sz w:val="22"/>
          <w:szCs w:val="22"/>
          <w:lang w:val="en-GB"/>
        </w:rPr>
        <w:t xml:space="preserve">ongoing and </w:t>
      </w:r>
      <w:r w:rsidRPr="0044638A">
        <w:rPr>
          <w:snapToGrid w:val="0"/>
          <w:kern w:val="22"/>
          <w:sz w:val="22"/>
          <w:szCs w:val="22"/>
          <w:lang w:val="en-GB"/>
        </w:rPr>
        <w:t xml:space="preserve">planned assessments. </w:t>
      </w:r>
      <w:r w:rsidR="004C7894" w:rsidRPr="0044638A">
        <w:rPr>
          <w:snapToGrid w:val="0"/>
          <w:kern w:val="22"/>
          <w:sz w:val="22"/>
          <w:szCs w:val="22"/>
          <w:lang w:val="en-GB"/>
        </w:rPr>
        <w:t xml:space="preserve">The workshop brought together </w:t>
      </w:r>
      <w:r w:rsidR="00FC1052" w:rsidRPr="0044638A">
        <w:rPr>
          <w:snapToGrid w:val="0"/>
          <w:kern w:val="22"/>
          <w:sz w:val="22"/>
          <w:szCs w:val="22"/>
          <w:lang w:val="en-GB"/>
        </w:rPr>
        <w:t>17</w:t>
      </w:r>
      <w:r w:rsidR="004C7894" w:rsidRPr="0044638A">
        <w:rPr>
          <w:snapToGrid w:val="0"/>
          <w:kern w:val="22"/>
          <w:sz w:val="22"/>
          <w:szCs w:val="22"/>
          <w:lang w:val="en-GB"/>
        </w:rPr>
        <w:t xml:space="preserve"> experts selected by the Multidisciplinary Expert Panel </w:t>
      </w:r>
      <w:r w:rsidRPr="0044638A">
        <w:rPr>
          <w:snapToGrid w:val="0"/>
          <w:kern w:val="22"/>
          <w:sz w:val="22"/>
          <w:szCs w:val="22"/>
          <w:lang w:val="en-GB"/>
        </w:rPr>
        <w:t>as well as</w:t>
      </w:r>
      <w:r w:rsidR="00FC1052" w:rsidRPr="0044638A">
        <w:rPr>
          <w:snapToGrid w:val="0"/>
          <w:kern w:val="22"/>
          <w:sz w:val="22"/>
          <w:szCs w:val="22"/>
          <w:lang w:val="en-GB"/>
        </w:rPr>
        <w:t xml:space="preserve"> </w:t>
      </w:r>
      <w:r w:rsidR="00C570B5" w:rsidRPr="007C26FA">
        <w:rPr>
          <w:rStyle w:val="A1"/>
          <w:rFonts w:cs="Times New Roman"/>
          <w:snapToGrid w:val="0"/>
          <w:color w:val="auto"/>
          <w:kern w:val="22"/>
          <w:sz w:val="22"/>
          <w:szCs w:val="22"/>
          <w:lang w:val="en-GB"/>
        </w:rPr>
        <w:t>5 experts from the ongoing IPBES assessments.</w:t>
      </w:r>
      <w:r w:rsidR="00FC1052" w:rsidRPr="0044638A">
        <w:rPr>
          <w:snapToGrid w:val="0"/>
          <w:kern w:val="22"/>
          <w:sz w:val="22"/>
          <w:szCs w:val="22"/>
          <w:lang w:val="en-GB"/>
        </w:rPr>
        <w:t xml:space="preserve"> </w:t>
      </w:r>
      <w:r w:rsidR="00C570B5" w:rsidRPr="0044638A">
        <w:rPr>
          <w:snapToGrid w:val="0"/>
          <w:kern w:val="22"/>
          <w:sz w:val="22"/>
          <w:szCs w:val="22"/>
          <w:lang w:val="en-GB"/>
        </w:rPr>
        <w:t>In addition</w:t>
      </w:r>
      <w:r w:rsidR="00B903B2" w:rsidRPr="0044638A">
        <w:rPr>
          <w:snapToGrid w:val="0"/>
          <w:kern w:val="22"/>
          <w:sz w:val="22"/>
          <w:szCs w:val="22"/>
          <w:lang w:val="en-GB"/>
        </w:rPr>
        <w:t>,</w:t>
      </w:r>
      <w:r w:rsidRPr="0044638A">
        <w:rPr>
          <w:snapToGrid w:val="0"/>
          <w:kern w:val="22"/>
          <w:sz w:val="22"/>
          <w:szCs w:val="22"/>
          <w:lang w:val="en-GB"/>
        </w:rPr>
        <w:t xml:space="preserve"> r</w:t>
      </w:r>
      <w:r w:rsidR="00FC1052" w:rsidRPr="0044638A">
        <w:rPr>
          <w:snapToGrid w:val="0"/>
          <w:kern w:val="22"/>
          <w:sz w:val="22"/>
          <w:szCs w:val="22"/>
          <w:lang w:val="en-GB"/>
        </w:rPr>
        <w:t xml:space="preserve">esource persons </w:t>
      </w:r>
      <w:r w:rsidRPr="0044638A">
        <w:rPr>
          <w:snapToGrid w:val="0"/>
          <w:kern w:val="22"/>
          <w:sz w:val="22"/>
          <w:szCs w:val="22"/>
          <w:lang w:val="en-GB"/>
        </w:rPr>
        <w:t>from relevant organizations</w:t>
      </w:r>
      <w:r w:rsidR="00C570B5" w:rsidRPr="0044638A">
        <w:rPr>
          <w:snapToGrid w:val="0"/>
          <w:kern w:val="22"/>
          <w:sz w:val="22"/>
          <w:szCs w:val="22"/>
          <w:lang w:val="en-GB"/>
        </w:rPr>
        <w:t>,</w:t>
      </w:r>
      <w:r w:rsidRPr="0044638A">
        <w:rPr>
          <w:snapToGrid w:val="0"/>
          <w:kern w:val="22"/>
          <w:sz w:val="22"/>
          <w:szCs w:val="22"/>
          <w:lang w:val="en-GB"/>
        </w:rPr>
        <w:t xml:space="preserve"> including the </w:t>
      </w:r>
      <w:r w:rsidR="00FC1052" w:rsidRPr="0044638A">
        <w:rPr>
          <w:snapToGrid w:val="0"/>
          <w:kern w:val="22"/>
          <w:sz w:val="22"/>
          <w:szCs w:val="22"/>
          <w:lang w:val="en-GB"/>
        </w:rPr>
        <w:t>Convention on Biological Diversity</w:t>
      </w:r>
      <w:r w:rsidR="00C570B5" w:rsidRPr="0044638A">
        <w:rPr>
          <w:snapToGrid w:val="0"/>
          <w:kern w:val="22"/>
          <w:sz w:val="22"/>
          <w:szCs w:val="22"/>
          <w:lang w:val="en-GB"/>
        </w:rPr>
        <w:t>, attended the workshop</w:t>
      </w:r>
      <w:r w:rsidR="00FC1052" w:rsidRPr="0044638A">
        <w:rPr>
          <w:snapToGrid w:val="0"/>
          <w:kern w:val="22"/>
          <w:sz w:val="22"/>
          <w:szCs w:val="22"/>
          <w:lang w:val="en-GB"/>
        </w:rPr>
        <w:t xml:space="preserve">. The workshop report was launched on 29 October 2020; the final version is available at: </w:t>
      </w:r>
      <w:hyperlink r:id="rId26" w:history="1">
        <w:r w:rsidR="00FC1052" w:rsidRPr="0044638A">
          <w:rPr>
            <w:rStyle w:val="Hyperlink"/>
            <w:snapToGrid w:val="0"/>
            <w:kern w:val="22"/>
            <w:sz w:val="22"/>
            <w:szCs w:val="22"/>
            <w:lang w:val="en-GB"/>
          </w:rPr>
          <w:t>https://ipbes.net/pandemics</w:t>
        </w:r>
      </w:hyperlink>
      <w:r w:rsidR="00FC1052" w:rsidRPr="0044638A">
        <w:rPr>
          <w:snapToGrid w:val="0"/>
          <w:kern w:val="22"/>
          <w:sz w:val="22"/>
          <w:szCs w:val="22"/>
          <w:lang w:val="en-GB"/>
        </w:rPr>
        <w:t>.</w:t>
      </w:r>
    </w:p>
    <w:p w14:paraId="1DBC47F8" w14:textId="37D47CD7" w:rsidR="00E67A45" w:rsidRPr="0044638A" w:rsidRDefault="00C62B38"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44638A">
        <w:rPr>
          <w:snapToGrid w:val="0"/>
          <w:kern w:val="22"/>
          <w:sz w:val="22"/>
          <w:szCs w:val="22"/>
          <w:lang w:val="en-GB"/>
        </w:rPr>
        <w:t xml:space="preserve">Following </w:t>
      </w:r>
      <w:r w:rsidR="00E67A45" w:rsidRPr="0044638A">
        <w:rPr>
          <w:snapToGrid w:val="0"/>
          <w:kern w:val="22"/>
          <w:sz w:val="22"/>
          <w:szCs w:val="22"/>
          <w:lang w:val="en-GB"/>
        </w:rPr>
        <w:t>consultations with</w:t>
      </w:r>
      <w:r w:rsidRPr="0044638A">
        <w:rPr>
          <w:snapToGrid w:val="0"/>
          <w:kern w:val="22"/>
          <w:sz w:val="22"/>
          <w:szCs w:val="22"/>
          <w:lang w:val="en-GB"/>
        </w:rPr>
        <w:t xml:space="preserve"> the Intergovernmental Panel on Climate Change</w:t>
      </w:r>
      <w:r w:rsidR="00E67A45" w:rsidRPr="0044638A">
        <w:rPr>
          <w:snapToGrid w:val="0"/>
          <w:kern w:val="22"/>
          <w:sz w:val="22"/>
          <w:szCs w:val="22"/>
          <w:lang w:val="en-GB"/>
        </w:rPr>
        <w:t xml:space="preserve">, the two bodies </w:t>
      </w:r>
      <w:r w:rsidRPr="0044638A">
        <w:rPr>
          <w:snapToGrid w:val="0"/>
          <w:kern w:val="22"/>
          <w:sz w:val="22"/>
          <w:szCs w:val="22"/>
          <w:lang w:val="en-GB"/>
        </w:rPr>
        <w:t xml:space="preserve">decided to </w:t>
      </w:r>
      <w:r w:rsidR="00E67A45" w:rsidRPr="0044638A">
        <w:rPr>
          <w:snapToGrid w:val="0"/>
          <w:kern w:val="22"/>
          <w:sz w:val="22"/>
          <w:szCs w:val="22"/>
          <w:lang w:val="en-GB"/>
        </w:rPr>
        <w:t>convene</w:t>
      </w:r>
      <w:r w:rsidRPr="0044638A">
        <w:rPr>
          <w:snapToGrid w:val="0"/>
          <w:kern w:val="22"/>
          <w:sz w:val="22"/>
          <w:szCs w:val="22"/>
          <w:lang w:val="en-GB"/>
        </w:rPr>
        <w:t xml:space="preserve"> a co-sponsored workshop </w:t>
      </w:r>
      <w:r w:rsidR="00E67A45" w:rsidRPr="0044638A">
        <w:rPr>
          <w:snapToGrid w:val="0"/>
          <w:kern w:val="22"/>
          <w:sz w:val="22"/>
          <w:szCs w:val="22"/>
          <w:lang w:val="en-GB"/>
        </w:rPr>
        <w:t xml:space="preserve">on biodiversity and climate change to be held </w:t>
      </w:r>
      <w:r w:rsidR="00992CE3" w:rsidRPr="0044638A">
        <w:rPr>
          <w:snapToGrid w:val="0"/>
          <w:kern w:val="22"/>
          <w:sz w:val="22"/>
          <w:szCs w:val="22"/>
          <w:lang w:val="en-GB"/>
        </w:rPr>
        <w:t xml:space="preserve">online from 14 to 17 December 2020. </w:t>
      </w:r>
      <w:r w:rsidR="002436C7" w:rsidRPr="0044638A">
        <w:rPr>
          <w:snapToGrid w:val="0"/>
          <w:kern w:val="22"/>
          <w:sz w:val="22"/>
          <w:szCs w:val="22"/>
          <w:lang w:val="en-GB"/>
        </w:rPr>
        <w:t xml:space="preserve">The </w:t>
      </w:r>
      <w:r w:rsidR="00A279B8" w:rsidRPr="009D30BC">
        <w:rPr>
          <w:snapToGrid w:val="0"/>
          <w:kern w:val="22"/>
          <w:sz w:val="22"/>
          <w:szCs w:val="22"/>
          <w:lang w:val="en-GB"/>
        </w:rPr>
        <w:t xml:space="preserve">report </w:t>
      </w:r>
      <w:r w:rsidR="00A279B8">
        <w:rPr>
          <w:snapToGrid w:val="0"/>
          <w:kern w:val="22"/>
          <w:sz w:val="22"/>
          <w:szCs w:val="22"/>
          <w:lang w:val="en-GB"/>
        </w:rPr>
        <w:t xml:space="preserve">of that </w:t>
      </w:r>
      <w:r w:rsidR="002436C7" w:rsidRPr="0044638A">
        <w:rPr>
          <w:snapToGrid w:val="0"/>
          <w:kern w:val="22"/>
          <w:sz w:val="22"/>
          <w:szCs w:val="22"/>
          <w:lang w:val="en-GB"/>
        </w:rPr>
        <w:t xml:space="preserve">workshop will </w:t>
      </w:r>
      <w:r w:rsidR="00C570B5" w:rsidRPr="0044638A">
        <w:rPr>
          <w:snapToGrid w:val="0"/>
          <w:kern w:val="22"/>
          <w:sz w:val="22"/>
          <w:szCs w:val="22"/>
          <w:lang w:val="en-GB"/>
        </w:rPr>
        <w:t xml:space="preserve">support the preparation of </w:t>
      </w:r>
      <w:r w:rsidR="002436C7" w:rsidRPr="0044638A">
        <w:rPr>
          <w:snapToGrid w:val="0"/>
          <w:kern w:val="22"/>
          <w:sz w:val="22"/>
          <w:szCs w:val="22"/>
          <w:lang w:val="en-GB"/>
        </w:rPr>
        <w:t>the scoping of</w:t>
      </w:r>
      <w:r w:rsidR="00C570B5" w:rsidRPr="0044638A">
        <w:rPr>
          <w:snapToGrid w:val="0"/>
          <w:kern w:val="22"/>
          <w:sz w:val="22"/>
          <w:szCs w:val="22"/>
          <w:lang w:val="en-GB"/>
        </w:rPr>
        <w:t xml:space="preserve"> the nexus assessment in addition to contributing to the</w:t>
      </w:r>
      <w:r w:rsidR="002436C7" w:rsidRPr="0044638A">
        <w:rPr>
          <w:snapToGrid w:val="0"/>
          <w:kern w:val="22"/>
          <w:sz w:val="22"/>
          <w:szCs w:val="22"/>
          <w:lang w:val="en-GB"/>
        </w:rPr>
        <w:t xml:space="preserve"> Platform</w:t>
      </w:r>
      <w:r w:rsidR="00C570B5" w:rsidRPr="0044638A">
        <w:rPr>
          <w:snapToGrid w:val="0"/>
          <w:kern w:val="22"/>
          <w:sz w:val="22"/>
          <w:szCs w:val="22"/>
          <w:lang w:val="en-GB"/>
        </w:rPr>
        <w:t>’s</w:t>
      </w:r>
      <w:r w:rsidR="002436C7" w:rsidRPr="0044638A">
        <w:rPr>
          <w:snapToGrid w:val="0"/>
          <w:kern w:val="22"/>
          <w:sz w:val="22"/>
          <w:szCs w:val="22"/>
          <w:lang w:val="en-GB"/>
        </w:rPr>
        <w:t xml:space="preserve"> </w:t>
      </w:r>
      <w:r w:rsidR="00C570B5" w:rsidRPr="0044638A">
        <w:rPr>
          <w:snapToGrid w:val="0"/>
          <w:kern w:val="22"/>
          <w:sz w:val="22"/>
          <w:szCs w:val="22"/>
          <w:lang w:val="en-GB"/>
        </w:rPr>
        <w:t>nexus assessment as well as to</w:t>
      </w:r>
      <w:r w:rsidR="002436C7" w:rsidRPr="0044638A">
        <w:rPr>
          <w:snapToGrid w:val="0"/>
          <w:kern w:val="22"/>
          <w:sz w:val="22"/>
          <w:szCs w:val="22"/>
          <w:lang w:val="en-GB"/>
        </w:rPr>
        <w:t xml:space="preserve"> the </w:t>
      </w:r>
      <w:r w:rsidR="00C570B5" w:rsidRPr="0044638A">
        <w:rPr>
          <w:snapToGrid w:val="0"/>
          <w:kern w:val="22"/>
          <w:sz w:val="22"/>
          <w:szCs w:val="22"/>
          <w:lang w:val="en-GB"/>
        </w:rPr>
        <w:t>S</w:t>
      </w:r>
      <w:r w:rsidR="002436C7" w:rsidRPr="0044638A">
        <w:rPr>
          <w:snapToGrid w:val="0"/>
          <w:kern w:val="22"/>
          <w:sz w:val="22"/>
          <w:szCs w:val="22"/>
          <w:lang w:val="en-GB"/>
        </w:rPr>
        <w:t xml:space="preserve">ixth </w:t>
      </w:r>
      <w:r w:rsidR="00C570B5" w:rsidRPr="0044638A">
        <w:rPr>
          <w:snapToGrid w:val="0"/>
          <w:kern w:val="22"/>
          <w:sz w:val="22"/>
          <w:szCs w:val="22"/>
          <w:lang w:val="en-GB"/>
        </w:rPr>
        <w:t>A</w:t>
      </w:r>
      <w:r w:rsidR="002436C7" w:rsidRPr="0044638A">
        <w:rPr>
          <w:snapToGrid w:val="0"/>
          <w:kern w:val="22"/>
          <w:sz w:val="22"/>
          <w:szCs w:val="22"/>
          <w:lang w:val="en-GB"/>
        </w:rPr>
        <w:t xml:space="preserve">ssessment </w:t>
      </w:r>
      <w:r w:rsidR="00C570B5" w:rsidRPr="0044638A">
        <w:rPr>
          <w:snapToGrid w:val="0"/>
          <w:kern w:val="22"/>
          <w:sz w:val="22"/>
          <w:szCs w:val="22"/>
          <w:lang w:val="en-GB"/>
        </w:rPr>
        <w:t>R</w:t>
      </w:r>
      <w:r w:rsidR="002436C7" w:rsidRPr="0044638A">
        <w:rPr>
          <w:snapToGrid w:val="0"/>
          <w:kern w:val="22"/>
          <w:sz w:val="22"/>
          <w:szCs w:val="22"/>
          <w:lang w:val="en-GB"/>
        </w:rPr>
        <w:t xml:space="preserve">eport </w:t>
      </w:r>
      <w:r w:rsidR="00C570B5" w:rsidRPr="0044638A">
        <w:rPr>
          <w:snapToGrid w:val="0"/>
          <w:kern w:val="22"/>
          <w:sz w:val="22"/>
          <w:szCs w:val="22"/>
          <w:lang w:val="en-GB"/>
        </w:rPr>
        <w:t xml:space="preserve">(AR6) </w:t>
      </w:r>
      <w:r w:rsidR="002436C7" w:rsidRPr="0044638A">
        <w:rPr>
          <w:snapToGrid w:val="0"/>
          <w:kern w:val="22"/>
          <w:sz w:val="22"/>
          <w:szCs w:val="22"/>
          <w:lang w:val="en-GB"/>
        </w:rPr>
        <w:t>of the Panel and its Synthesis Report.</w:t>
      </w:r>
    </w:p>
    <w:p w14:paraId="3CB55031" w14:textId="651E5715" w:rsidR="00567519" w:rsidRPr="0044638A" w:rsidRDefault="00FB276B"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44638A">
        <w:rPr>
          <w:snapToGrid w:val="0"/>
          <w:kern w:val="22"/>
          <w:sz w:val="22"/>
          <w:szCs w:val="22"/>
          <w:lang w:val="en-GB"/>
        </w:rPr>
        <w:t xml:space="preserve">A call for the nomination of experts to assist with the scoping of the business and biodiversity assessment </w:t>
      </w:r>
      <w:r w:rsidR="002436C7" w:rsidRPr="0044638A">
        <w:rPr>
          <w:snapToGrid w:val="0"/>
          <w:kern w:val="22"/>
          <w:sz w:val="22"/>
          <w:szCs w:val="22"/>
          <w:lang w:val="en-GB"/>
        </w:rPr>
        <w:t>was</w:t>
      </w:r>
      <w:r w:rsidRPr="0044638A">
        <w:rPr>
          <w:snapToGrid w:val="0"/>
          <w:kern w:val="22"/>
          <w:sz w:val="22"/>
          <w:szCs w:val="22"/>
          <w:lang w:val="en-GB"/>
        </w:rPr>
        <w:t xml:space="preserve"> launched </w:t>
      </w:r>
      <w:r w:rsidR="002436C7" w:rsidRPr="0044638A">
        <w:rPr>
          <w:snapToGrid w:val="0"/>
          <w:kern w:val="22"/>
          <w:sz w:val="22"/>
          <w:szCs w:val="22"/>
          <w:lang w:val="en-GB"/>
        </w:rPr>
        <w:t>on 12</w:t>
      </w:r>
      <w:r w:rsidRPr="0044638A">
        <w:rPr>
          <w:snapToGrid w:val="0"/>
          <w:kern w:val="22"/>
          <w:sz w:val="22"/>
          <w:szCs w:val="22"/>
          <w:lang w:val="en-GB"/>
        </w:rPr>
        <w:t xml:space="preserve"> November 2020</w:t>
      </w:r>
      <w:r w:rsidR="002436C7" w:rsidRPr="0044638A">
        <w:rPr>
          <w:snapToGrid w:val="0"/>
          <w:kern w:val="22"/>
          <w:sz w:val="22"/>
          <w:szCs w:val="22"/>
          <w:lang w:val="en-GB"/>
        </w:rPr>
        <w:t xml:space="preserve"> with a deadline of 1 February 2021.</w:t>
      </w:r>
      <w:r w:rsidR="00B903B2" w:rsidRPr="0044638A">
        <w:rPr>
          <w:rStyle w:val="FootnoteReference"/>
          <w:snapToGrid w:val="0"/>
          <w:kern w:val="22"/>
          <w:szCs w:val="22"/>
          <w:lang w:val="en-GB"/>
        </w:rPr>
        <w:footnoteReference w:id="4"/>
      </w:r>
      <w:r w:rsidRPr="0044638A">
        <w:rPr>
          <w:snapToGrid w:val="0"/>
          <w:kern w:val="22"/>
          <w:sz w:val="22"/>
          <w:szCs w:val="22"/>
          <w:lang w:val="en-GB"/>
        </w:rPr>
        <w:t xml:space="preserve"> </w:t>
      </w:r>
      <w:r w:rsidR="002436C7" w:rsidRPr="0044638A">
        <w:rPr>
          <w:snapToGrid w:val="0"/>
          <w:kern w:val="22"/>
          <w:sz w:val="22"/>
          <w:szCs w:val="22"/>
          <w:lang w:val="en-GB"/>
        </w:rPr>
        <w:t>A</w:t>
      </w:r>
      <w:r w:rsidRPr="0044638A">
        <w:rPr>
          <w:snapToGrid w:val="0"/>
          <w:kern w:val="22"/>
          <w:sz w:val="22"/>
          <w:szCs w:val="22"/>
          <w:lang w:val="en-GB"/>
        </w:rPr>
        <w:t>n online conference to collect early input into the scoping process</w:t>
      </w:r>
      <w:r w:rsidR="00C570B5" w:rsidRPr="0044638A">
        <w:rPr>
          <w:snapToGrid w:val="0"/>
          <w:kern w:val="22"/>
          <w:sz w:val="22"/>
          <w:szCs w:val="22"/>
          <w:lang w:val="en-GB"/>
        </w:rPr>
        <w:t xml:space="preserve"> is</w:t>
      </w:r>
      <w:r w:rsidRPr="0044638A">
        <w:rPr>
          <w:snapToGrid w:val="0"/>
          <w:kern w:val="22"/>
          <w:sz w:val="22"/>
          <w:szCs w:val="22"/>
          <w:lang w:val="en-GB"/>
        </w:rPr>
        <w:t xml:space="preserve"> tentatively scheduled for January 2021</w:t>
      </w:r>
      <w:r w:rsidR="00270AD2">
        <w:rPr>
          <w:snapToGrid w:val="0"/>
          <w:kern w:val="22"/>
          <w:sz w:val="22"/>
          <w:szCs w:val="22"/>
          <w:lang w:val="en-GB"/>
        </w:rPr>
        <w:t xml:space="preserve"> and</w:t>
      </w:r>
      <w:r w:rsidR="006A4AD9" w:rsidRPr="0044638A">
        <w:rPr>
          <w:snapToGrid w:val="0"/>
          <w:kern w:val="22"/>
          <w:sz w:val="22"/>
          <w:szCs w:val="22"/>
          <w:lang w:val="en-GB"/>
        </w:rPr>
        <w:t xml:space="preserve"> the online scoping meeting for April 2021</w:t>
      </w:r>
      <w:r w:rsidRPr="0044638A">
        <w:rPr>
          <w:snapToGrid w:val="0"/>
          <w:kern w:val="22"/>
          <w:sz w:val="22"/>
          <w:szCs w:val="22"/>
          <w:lang w:val="en-GB"/>
        </w:rPr>
        <w:t>.</w:t>
      </w:r>
    </w:p>
    <w:p w14:paraId="1E274284" w14:textId="08310D17" w:rsidR="00567519" w:rsidRPr="007C26FA" w:rsidRDefault="00F013D4" w:rsidP="00766960">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en-GB"/>
        </w:rPr>
      </w:pPr>
      <w:r w:rsidRPr="0044638A">
        <w:rPr>
          <w:snapToGrid w:val="0"/>
          <w:kern w:val="22"/>
          <w:sz w:val="22"/>
          <w:szCs w:val="22"/>
          <w:lang w:val="en-GB"/>
        </w:rPr>
        <w:t xml:space="preserve">In decision IPBES-7/1, the Plenary </w:t>
      </w:r>
      <w:r w:rsidR="00567519" w:rsidRPr="0044638A">
        <w:rPr>
          <w:snapToGrid w:val="0"/>
          <w:kern w:val="22"/>
          <w:sz w:val="22"/>
          <w:szCs w:val="22"/>
          <w:lang w:val="en-GB"/>
        </w:rPr>
        <w:t>also extended the mandates</w:t>
      </w:r>
      <w:r w:rsidRPr="0044638A">
        <w:rPr>
          <w:snapToGrid w:val="0"/>
          <w:kern w:val="22"/>
          <w:sz w:val="22"/>
          <w:szCs w:val="22"/>
          <w:lang w:val="en-GB"/>
        </w:rPr>
        <w:t xml:space="preserve"> of the task forces on capacity</w:t>
      </w:r>
      <w:r w:rsidR="00232C34" w:rsidRPr="0044638A">
        <w:rPr>
          <w:snapToGrid w:val="0"/>
          <w:kern w:val="22"/>
          <w:sz w:val="22"/>
          <w:szCs w:val="22"/>
          <w:lang w:val="en-GB"/>
        </w:rPr>
        <w:noBreakHyphen/>
      </w:r>
      <w:r w:rsidRPr="0044638A">
        <w:rPr>
          <w:snapToGrid w:val="0"/>
          <w:kern w:val="22"/>
          <w:sz w:val="22"/>
          <w:szCs w:val="22"/>
          <w:lang w:val="en-GB"/>
        </w:rPr>
        <w:t xml:space="preserve">building, knowledge and data and indigenous and local knowledge for the implementation of the respective objectives of the rolling work programme of IPBES up to 2030. It also established task forces on policy </w:t>
      </w:r>
      <w:r w:rsidR="00C570B5" w:rsidRPr="0044638A">
        <w:rPr>
          <w:snapToGrid w:val="0"/>
          <w:kern w:val="22"/>
          <w:sz w:val="22"/>
          <w:szCs w:val="22"/>
          <w:lang w:val="en-GB"/>
        </w:rPr>
        <w:t xml:space="preserve">support </w:t>
      </w:r>
      <w:r w:rsidRPr="0044638A">
        <w:rPr>
          <w:snapToGrid w:val="0"/>
          <w:kern w:val="22"/>
          <w:sz w:val="22"/>
          <w:szCs w:val="22"/>
          <w:lang w:val="en-GB"/>
        </w:rPr>
        <w:t xml:space="preserve">tools and methodologies and scenarios and models. </w:t>
      </w:r>
      <w:r w:rsidR="00567519" w:rsidRPr="0044638A">
        <w:rPr>
          <w:snapToGrid w:val="0"/>
          <w:kern w:val="22"/>
          <w:sz w:val="22"/>
          <w:szCs w:val="22"/>
          <w:lang w:val="en-GB"/>
        </w:rPr>
        <w:t xml:space="preserve">Further details on the work of the task forces are provided in </w:t>
      </w:r>
      <w:r w:rsidR="00C570B5" w:rsidRPr="0044638A">
        <w:rPr>
          <w:snapToGrid w:val="0"/>
          <w:kern w:val="22"/>
          <w:sz w:val="22"/>
          <w:szCs w:val="22"/>
          <w:lang w:val="en-GB"/>
        </w:rPr>
        <w:t>decision IPBES-7/1</w:t>
      </w:r>
      <w:r w:rsidR="00861CCA">
        <w:rPr>
          <w:snapToGrid w:val="0"/>
          <w:kern w:val="22"/>
          <w:sz w:val="22"/>
          <w:szCs w:val="22"/>
          <w:lang w:val="en-GB"/>
        </w:rPr>
        <w:t>,</w:t>
      </w:r>
      <w:r w:rsidR="00861CCA" w:rsidRPr="00861CCA">
        <w:rPr>
          <w:snapToGrid w:val="0"/>
          <w:kern w:val="22"/>
          <w:sz w:val="22"/>
          <w:szCs w:val="22"/>
          <w:lang w:val="en-GB"/>
        </w:rPr>
        <w:t xml:space="preserve"> </w:t>
      </w:r>
      <w:r w:rsidR="00861CCA" w:rsidRPr="005E76A4">
        <w:rPr>
          <w:snapToGrid w:val="0"/>
          <w:kern w:val="22"/>
          <w:sz w:val="22"/>
          <w:szCs w:val="22"/>
          <w:lang w:val="en-GB"/>
        </w:rPr>
        <w:t>annex II</w:t>
      </w:r>
      <w:r w:rsidR="00C570B5" w:rsidRPr="0044638A">
        <w:rPr>
          <w:snapToGrid w:val="0"/>
          <w:kern w:val="22"/>
          <w:sz w:val="22"/>
          <w:szCs w:val="22"/>
          <w:lang w:val="en-GB"/>
        </w:rPr>
        <w:t>.</w:t>
      </w:r>
    </w:p>
    <w:p w14:paraId="4EFE836D" w14:textId="5CCFEAAB" w:rsidR="00F013D4" w:rsidRPr="007C26FA" w:rsidRDefault="00567519" w:rsidP="00766960">
      <w:pPr>
        <w:keepNext/>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snapToGrid w:val="0"/>
          <w:kern w:val="22"/>
          <w:sz w:val="22"/>
          <w:szCs w:val="22"/>
          <w:lang w:val="en-GB"/>
        </w:rPr>
      </w:pPr>
      <w:r w:rsidRPr="007C26FA">
        <w:rPr>
          <w:bCs/>
          <w:iCs/>
          <w:snapToGrid w:val="0"/>
          <w:kern w:val="22"/>
          <w:sz w:val="22"/>
          <w:szCs w:val="22"/>
          <w:lang w:val="en-GB"/>
        </w:rPr>
        <w:t>The eighth session of the Plenary of the Platform is scheduled for 14 to 24 June 2021 as an online meeting.</w:t>
      </w:r>
    </w:p>
    <w:p w14:paraId="605D6CD0" w14:textId="2F6A8E9E" w:rsidR="002F11EC" w:rsidRPr="007C26FA" w:rsidRDefault="000358FD" w:rsidP="00766960">
      <w:pPr>
        <w:pStyle w:val="ListParagraph"/>
        <w:keepNext/>
        <w:numPr>
          <w:ilvl w:val="0"/>
          <w:numId w:val="14"/>
        </w:numPr>
        <w:suppressLineNumbers/>
        <w:suppressAutoHyphens/>
        <w:kinsoku w:val="0"/>
        <w:overflowPunct w:val="0"/>
        <w:autoSpaceDE w:val="0"/>
        <w:autoSpaceDN w:val="0"/>
        <w:adjustRightInd w:val="0"/>
        <w:snapToGrid w:val="0"/>
        <w:spacing w:before="120" w:after="120" w:line="235" w:lineRule="auto"/>
        <w:ind w:left="1276" w:hanging="567"/>
        <w:contextualSpacing w:val="0"/>
        <w:outlineLvl w:val="0"/>
        <w:rPr>
          <w:bCs/>
          <w:caps/>
          <w:snapToGrid w:val="0"/>
          <w:spacing w:val="-4"/>
          <w:kern w:val="22"/>
          <w:sz w:val="22"/>
          <w:szCs w:val="22"/>
          <w:lang w:val="en-GB"/>
        </w:rPr>
      </w:pPr>
      <w:r w:rsidRPr="007C26FA">
        <w:rPr>
          <w:b/>
          <w:bCs/>
          <w:caps/>
          <w:snapToGrid w:val="0"/>
          <w:spacing w:val="-4"/>
          <w:kern w:val="22"/>
          <w:sz w:val="22"/>
          <w:szCs w:val="22"/>
          <w:lang w:val="en-GB"/>
        </w:rPr>
        <w:t>P</w:t>
      </w:r>
      <w:r w:rsidR="002F11EC" w:rsidRPr="007C26FA">
        <w:rPr>
          <w:b/>
          <w:bCs/>
          <w:caps/>
          <w:snapToGrid w:val="0"/>
          <w:spacing w:val="-4"/>
          <w:kern w:val="22"/>
          <w:sz w:val="22"/>
          <w:szCs w:val="22"/>
          <w:lang w:val="en-GB"/>
        </w:rPr>
        <w:t xml:space="preserve">roposals for a further request to be considered for inclusion in the programme of work towards 2030 of the </w:t>
      </w:r>
      <w:proofErr w:type="gramStart"/>
      <w:r w:rsidR="002F11EC" w:rsidRPr="007C26FA">
        <w:rPr>
          <w:b/>
          <w:bCs/>
          <w:caps/>
          <w:snapToGrid w:val="0"/>
          <w:spacing w:val="-4"/>
          <w:kern w:val="22"/>
          <w:sz w:val="22"/>
          <w:szCs w:val="22"/>
          <w:lang w:val="en-GB"/>
        </w:rPr>
        <w:t>Platform</w:t>
      </w:r>
      <w:proofErr w:type="gramEnd"/>
    </w:p>
    <w:p w14:paraId="361822EC" w14:textId="07B9237F" w:rsidR="000627F0" w:rsidRPr="007C26FA" w:rsidRDefault="00567519"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44638A">
        <w:rPr>
          <w:bCs/>
          <w:iCs/>
          <w:snapToGrid w:val="0"/>
          <w:kern w:val="22"/>
          <w:sz w:val="22"/>
          <w:szCs w:val="22"/>
          <w:lang w:val="en-GB"/>
        </w:rPr>
        <w:t>As noted above, i</w:t>
      </w:r>
      <w:r w:rsidR="000627F0" w:rsidRPr="0044638A">
        <w:rPr>
          <w:bCs/>
          <w:iCs/>
          <w:snapToGrid w:val="0"/>
          <w:kern w:val="22"/>
          <w:sz w:val="22"/>
          <w:szCs w:val="22"/>
          <w:lang w:val="en-GB"/>
        </w:rPr>
        <w:t xml:space="preserve">n decision 14/36, the Conference of the Parties </w:t>
      </w:r>
      <w:r w:rsidRPr="0044638A">
        <w:rPr>
          <w:bCs/>
          <w:iCs/>
          <w:snapToGrid w:val="0"/>
          <w:kern w:val="22"/>
          <w:sz w:val="22"/>
          <w:szCs w:val="22"/>
          <w:lang w:val="en-GB"/>
        </w:rPr>
        <w:t xml:space="preserve">invited the Platform to consider a request (that </w:t>
      </w:r>
      <w:r w:rsidR="00EA2581" w:rsidRPr="0044638A">
        <w:rPr>
          <w:bCs/>
          <w:iCs/>
          <w:snapToGrid w:val="0"/>
          <w:kern w:val="22"/>
          <w:sz w:val="22"/>
          <w:szCs w:val="22"/>
          <w:lang w:val="en-GB"/>
        </w:rPr>
        <w:t>was</w:t>
      </w:r>
      <w:r w:rsidRPr="0044638A">
        <w:rPr>
          <w:bCs/>
          <w:iCs/>
          <w:snapToGrid w:val="0"/>
          <w:kern w:val="22"/>
          <w:sz w:val="22"/>
          <w:szCs w:val="22"/>
          <w:lang w:val="en-GB"/>
        </w:rPr>
        <w:t xml:space="preserve"> annexed to the decision) as part of its work programme </w:t>
      </w:r>
      <w:r w:rsidR="00EA2581" w:rsidRPr="0044638A">
        <w:rPr>
          <w:bCs/>
          <w:iCs/>
          <w:snapToGrid w:val="0"/>
          <w:kern w:val="22"/>
          <w:sz w:val="22"/>
          <w:szCs w:val="22"/>
          <w:lang w:val="en-GB"/>
        </w:rPr>
        <w:t>towards</w:t>
      </w:r>
      <w:r w:rsidRPr="0044638A">
        <w:rPr>
          <w:bCs/>
          <w:iCs/>
          <w:snapToGrid w:val="0"/>
          <w:kern w:val="22"/>
          <w:sz w:val="22"/>
          <w:szCs w:val="22"/>
          <w:lang w:val="en-GB"/>
        </w:rPr>
        <w:t xml:space="preserve"> 2030 and also </w:t>
      </w:r>
      <w:r w:rsidR="000627F0" w:rsidRPr="0044638A">
        <w:rPr>
          <w:bCs/>
          <w:iCs/>
          <w:snapToGrid w:val="0"/>
          <w:kern w:val="22"/>
          <w:sz w:val="22"/>
          <w:szCs w:val="22"/>
          <w:lang w:val="en-GB"/>
        </w:rPr>
        <w:t xml:space="preserve">requested the Executive Secretary to prepare, for consideration by the Subsidiary Body, and for subsequent consideration by the Conference of the Parties at its fifteenth meeting, proposals for a further request to be </w:t>
      </w:r>
      <w:r w:rsidR="000627F0" w:rsidRPr="0044638A">
        <w:rPr>
          <w:bCs/>
          <w:iCs/>
          <w:snapToGrid w:val="0"/>
          <w:kern w:val="22"/>
          <w:sz w:val="22"/>
          <w:szCs w:val="22"/>
          <w:lang w:val="en-GB"/>
        </w:rPr>
        <w:lastRenderedPageBreak/>
        <w:t>considered for inclusion in the programme of work towards 2030 of the Platform with a view to supporting the implementation of the post-2020 global biodiversity framework.</w:t>
      </w:r>
    </w:p>
    <w:p w14:paraId="5BAC6675" w14:textId="25EE1DD7" w:rsidR="00C600B1" w:rsidRPr="007C26FA" w:rsidRDefault="00567519"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44638A">
        <w:rPr>
          <w:bCs/>
          <w:iCs/>
          <w:snapToGrid w:val="0"/>
          <w:kern w:val="22"/>
          <w:sz w:val="22"/>
          <w:szCs w:val="22"/>
          <w:lang w:val="en-GB"/>
        </w:rPr>
        <w:t xml:space="preserve">The rolling work plan of the </w:t>
      </w:r>
      <w:r w:rsidRPr="007C26FA">
        <w:rPr>
          <w:bCs/>
          <w:iCs/>
          <w:snapToGrid w:val="0"/>
          <w:kern w:val="22"/>
          <w:sz w:val="22"/>
          <w:szCs w:val="22"/>
          <w:lang w:val="en-GB"/>
        </w:rPr>
        <w:t xml:space="preserve">Platform up to 2030, </w:t>
      </w:r>
      <w:r w:rsidRPr="0044638A">
        <w:rPr>
          <w:bCs/>
          <w:iCs/>
          <w:snapToGrid w:val="0"/>
          <w:kern w:val="22"/>
          <w:sz w:val="22"/>
          <w:szCs w:val="22"/>
          <w:lang w:val="en-GB"/>
        </w:rPr>
        <w:t xml:space="preserve">adopted by decision IPBES-7/1 responds fully to the </w:t>
      </w:r>
      <w:r w:rsidR="00C600B1" w:rsidRPr="007C26FA">
        <w:rPr>
          <w:bCs/>
          <w:iCs/>
          <w:snapToGrid w:val="0"/>
          <w:kern w:val="22"/>
          <w:sz w:val="22"/>
          <w:szCs w:val="22"/>
          <w:lang w:val="en-GB"/>
        </w:rPr>
        <w:t xml:space="preserve">requests </w:t>
      </w:r>
      <w:r w:rsidRPr="007C26FA">
        <w:rPr>
          <w:bCs/>
          <w:iCs/>
          <w:snapToGrid w:val="0"/>
          <w:kern w:val="22"/>
          <w:sz w:val="22"/>
          <w:szCs w:val="22"/>
          <w:lang w:val="en-GB"/>
        </w:rPr>
        <w:t xml:space="preserve">of the Convention </w:t>
      </w:r>
      <w:r w:rsidR="00C600B1" w:rsidRPr="007C26FA">
        <w:rPr>
          <w:bCs/>
          <w:iCs/>
          <w:snapToGrid w:val="0"/>
          <w:kern w:val="22"/>
          <w:sz w:val="22"/>
          <w:szCs w:val="22"/>
          <w:lang w:val="en-GB"/>
        </w:rPr>
        <w:t>set out in paragraph 2 of the annex to decision 14/36</w:t>
      </w:r>
      <w:r w:rsidRPr="007C26FA">
        <w:rPr>
          <w:bCs/>
          <w:iCs/>
          <w:snapToGrid w:val="0"/>
          <w:kern w:val="22"/>
          <w:sz w:val="22"/>
          <w:szCs w:val="22"/>
          <w:lang w:val="en-GB"/>
        </w:rPr>
        <w:t xml:space="preserve">. In particular, the </w:t>
      </w:r>
      <w:r w:rsidR="006E6058" w:rsidRPr="007C26FA">
        <w:rPr>
          <w:bCs/>
          <w:iCs/>
          <w:snapToGrid w:val="0"/>
          <w:kern w:val="22"/>
          <w:sz w:val="22"/>
          <w:szCs w:val="22"/>
          <w:lang w:val="en-GB"/>
        </w:rPr>
        <w:t xml:space="preserve">four new deliverables, </w:t>
      </w:r>
      <w:r w:rsidR="001F75EE" w:rsidRPr="007C26FA">
        <w:rPr>
          <w:bCs/>
          <w:iCs/>
          <w:snapToGrid w:val="0"/>
          <w:kern w:val="22"/>
          <w:sz w:val="22"/>
          <w:szCs w:val="22"/>
          <w:lang w:val="en-GB"/>
        </w:rPr>
        <w:t>namely</w:t>
      </w:r>
      <w:r w:rsidR="006E6058" w:rsidRPr="007C26FA">
        <w:rPr>
          <w:bCs/>
          <w:iCs/>
          <w:snapToGrid w:val="0"/>
          <w:kern w:val="22"/>
          <w:sz w:val="22"/>
          <w:szCs w:val="22"/>
          <w:lang w:val="en-GB"/>
        </w:rPr>
        <w:t xml:space="preserve"> </w:t>
      </w:r>
      <w:r w:rsidR="00C600B1" w:rsidRPr="007C26FA">
        <w:rPr>
          <w:bCs/>
          <w:iCs/>
          <w:snapToGrid w:val="0"/>
          <w:kern w:val="22"/>
          <w:sz w:val="22"/>
          <w:szCs w:val="22"/>
          <w:lang w:val="en-GB"/>
        </w:rPr>
        <w:t>the nexus, transformative change and business and biodiversity assessments</w:t>
      </w:r>
      <w:r w:rsidR="006E6058" w:rsidRPr="007C26FA">
        <w:rPr>
          <w:bCs/>
          <w:iCs/>
          <w:snapToGrid w:val="0"/>
          <w:kern w:val="22"/>
          <w:sz w:val="22"/>
          <w:szCs w:val="22"/>
          <w:lang w:val="en-GB"/>
        </w:rPr>
        <w:t xml:space="preserve">, and the </w:t>
      </w:r>
      <w:r w:rsidR="001F75EE" w:rsidRPr="007C26FA">
        <w:rPr>
          <w:bCs/>
          <w:iCs/>
          <w:snapToGrid w:val="0"/>
          <w:kern w:val="22"/>
          <w:sz w:val="22"/>
          <w:szCs w:val="22"/>
          <w:lang w:val="en-GB"/>
        </w:rPr>
        <w:t>technical</w:t>
      </w:r>
      <w:r w:rsidR="006E6058" w:rsidRPr="007C26FA">
        <w:rPr>
          <w:bCs/>
          <w:iCs/>
          <w:snapToGrid w:val="0"/>
          <w:kern w:val="22"/>
          <w:sz w:val="22"/>
          <w:szCs w:val="22"/>
          <w:lang w:val="en-GB"/>
        </w:rPr>
        <w:t xml:space="preserve"> paper on biodiversity climate change align very closely with the specific requests. </w:t>
      </w:r>
      <w:r w:rsidR="001F75EE" w:rsidRPr="007C26FA">
        <w:rPr>
          <w:bCs/>
          <w:iCs/>
          <w:snapToGrid w:val="0"/>
          <w:kern w:val="22"/>
          <w:sz w:val="22"/>
          <w:szCs w:val="22"/>
          <w:lang w:val="en-GB"/>
        </w:rPr>
        <w:t>Moreover</w:t>
      </w:r>
      <w:r w:rsidR="006E6058" w:rsidRPr="007C26FA">
        <w:rPr>
          <w:bCs/>
          <w:iCs/>
          <w:snapToGrid w:val="0"/>
          <w:kern w:val="22"/>
          <w:sz w:val="22"/>
          <w:szCs w:val="22"/>
          <w:lang w:val="en-GB"/>
        </w:rPr>
        <w:t>, even though the post</w:t>
      </w:r>
      <w:r w:rsidR="001F75EE" w:rsidRPr="007C26FA">
        <w:rPr>
          <w:bCs/>
          <w:iCs/>
          <w:snapToGrid w:val="0"/>
          <w:kern w:val="22"/>
          <w:sz w:val="22"/>
          <w:szCs w:val="22"/>
          <w:lang w:val="en-GB"/>
        </w:rPr>
        <w:t>-</w:t>
      </w:r>
      <w:r w:rsidR="006E6058" w:rsidRPr="007C26FA">
        <w:rPr>
          <w:bCs/>
          <w:iCs/>
          <w:snapToGrid w:val="0"/>
          <w:kern w:val="22"/>
          <w:sz w:val="22"/>
          <w:szCs w:val="22"/>
          <w:lang w:val="en-GB"/>
        </w:rPr>
        <w:t xml:space="preserve">2020 global biodiversity framework is still under development, </w:t>
      </w:r>
      <w:proofErr w:type="gramStart"/>
      <w:r w:rsidR="006E6058" w:rsidRPr="007C26FA">
        <w:rPr>
          <w:bCs/>
          <w:iCs/>
          <w:snapToGrid w:val="0"/>
          <w:kern w:val="22"/>
          <w:sz w:val="22"/>
          <w:szCs w:val="22"/>
          <w:lang w:val="en-GB"/>
        </w:rPr>
        <w:t xml:space="preserve">it is clear that </w:t>
      </w:r>
      <w:r w:rsidR="001F75EE" w:rsidRPr="007C26FA">
        <w:rPr>
          <w:bCs/>
          <w:iCs/>
          <w:snapToGrid w:val="0"/>
          <w:kern w:val="22"/>
          <w:sz w:val="22"/>
          <w:szCs w:val="22"/>
          <w:lang w:val="en-GB"/>
        </w:rPr>
        <w:t>each</w:t>
      </w:r>
      <w:proofErr w:type="gramEnd"/>
      <w:r w:rsidR="001F75EE" w:rsidRPr="007C26FA">
        <w:rPr>
          <w:bCs/>
          <w:iCs/>
          <w:snapToGrid w:val="0"/>
          <w:kern w:val="22"/>
          <w:sz w:val="22"/>
          <w:szCs w:val="22"/>
          <w:lang w:val="en-GB"/>
        </w:rPr>
        <w:t xml:space="preserve"> of the </w:t>
      </w:r>
      <w:r w:rsidR="006E6058" w:rsidRPr="007C26FA">
        <w:rPr>
          <w:bCs/>
          <w:iCs/>
          <w:snapToGrid w:val="0"/>
          <w:kern w:val="22"/>
          <w:sz w:val="22"/>
          <w:szCs w:val="22"/>
          <w:lang w:val="en-GB"/>
        </w:rPr>
        <w:t>topics of these planned assessments</w:t>
      </w:r>
      <w:r w:rsidR="001F75EE" w:rsidRPr="007C26FA">
        <w:rPr>
          <w:bCs/>
          <w:iCs/>
          <w:snapToGrid w:val="0"/>
          <w:kern w:val="22"/>
          <w:sz w:val="22"/>
          <w:szCs w:val="22"/>
          <w:lang w:val="en-GB"/>
        </w:rPr>
        <w:t xml:space="preserve"> </w:t>
      </w:r>
      <w:r w:rsidR="006E6058" w:rsidRPr="007C26FA">
        <w:rPr>
          <w:bCs/>
          <w:iCs/>
          <w:snapToGrid w:val="0"/>
          <w:kern w:val="22"/>
          <w:sz w:val="22"/>
          <w:szCs w:val="22"/>
          <w:lang w:val="en-GB"/>
        </w:rPr>
        <w:t>will be highly relevant, and</w:t>
      </w:r>
      <w:r w:rsidR="00877A14">
        <w:rPr>
          <w:bCs/>
          <w:iCs/>
          <w:snapToGrid w:val="0"/>
          <w:kern w:val="22"/>
          <w:sz w:val="22"/>
          <w:szCs w:val="22"/>
          <w:lang w:val="en-GB"/>
        </w:rPr>
        <w:t>,</w:t>
      </w:r>
      <w:r w:rsidR="006E6058" w:rsidRPr="007C26FA">
        <w:rPr>
          <w:bCs/>
          <w:iCs/>
          <w:snapToGrid w:val="0"/>
          <w:kern w:val="22"/>
          <w:sz w:val="22"/>
          <w:szCs w:val="22"/>
          <w:lang w:val="en-GB"/>
        </w:rPr>
        <w:t xml:space="preserve"> therefore</w:t>
      </w:r>
      <w:r w:rsidR="00877A14">
        <w:rPr>
          <w:bCs/>
          <w:iCs/>
          <w:snapToGrid w:val="0"/>
          <w:kern w:val="22"/>
          <w:sz w:val="22"/>
          <w:szCs w:val="22"/>
          <w:lang w:val="en-GB"/>
        </w:rPr>
        <w:t>,</w:t>
      </w:r>
      <w:r w:rsidR="006E6058" w:rsidRPr="007C26FA">
        <w:rPr>
          <w:bCs/>
          <w:iCs/>
          <w:snapToGrid w:val="0"/>
          <w:kern w:val="22"/>
          <w:sz w:val="22"/>
          <w:szCs w:val="22"/>
          <w:lang w:val="en-GB"/>
        </w:rPr>
        <w:t xml:space="preserve"> it is envisaged that they will support the </w:t>
      </w:r>
      <w:r w:rsidR="001F75EE" w:rsidRPr="007C26FA">
        <w:rPr>
          <w:bCs/>
          <w:iCs/>
          <w:snapToGrid w:val="0"/>
          <w:kern w:val="22"/>
          <w:sz w:val="22"/>
          <w:szCs w:val="22"/>
          <w:lang w:val="en-GB"/>
        </w:rPr>
        <w:t>implementation</w:t>
      </w:r>
      <w:r w:rsidR="006E6058" w:rsidRPr="007C26FA">
        <w:rPr>
          <w:bCs/>
          <w:iCs/>
          <w:snapToGrid w:val="0"/>
          <w:kern w:val="22"/>
          <w:sz w:val="22"/>
          <w:szCs w:val="22"/>
          <w:lang w:val="en-GB"/>
        </w:rPr>
        <w:t xml:space="preserve"> of the framework.</w:t>
      </w:r>
    </w:p>
    <w:p w14:paraId="4C6D9B36" w14:textId="5D15D9E4" w:rsidR="00E05C6E" w:rsidRPr="007C26FA" w:rsidRDefault="005C2E3E"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spacing w:val="-2"/>
          <w:kern w:val="22"/>
          <w:sz w:val="22"/>
          <w:szCs w:val="22"/>
          <w:lang w:val="en-GB"/>
        </w:rPr>
      </w:pPr>
      <w:r w:rsidRPr="007C26FA">
        <w:rPr>
          <w:bCs/>
          <w:iCs/>
          <w:snapToGrid w:val="0"/>
          <w:spacing w:val="-2"/>
          <w:kern w:val="22"/>
          <w:sz w:val="22"/>
          <w:szCs w:val="22"/>
          <w:lang w:val="en-GB"/>
        </w:rPr>
        <w:t xml:space="preserve">IPBES decision 7/1 also includes an invitation to consider the scope and timing of a future global assessment. This invitation is scheduled to be addressed at the ninth session of the Plenary (expected to be held in the first half of 2022), where the Plenary will reconsider the requests, inputs and suggestions received in time for consideration at that session, including for </w:t>
      </w:r>
      <w:r w:rsidR="008913CF" w:rsidRPr="007C26FA">
        <w:rPr>
          <w:bCs/>
          <w:iCs/>
          <w:snapToGrid w:val="0"/>
          <w:spacing w:val="-2"/>
          <w:kern w:val="22"/>
          <w:sz w:val="22"/>
          <w:szCs w:val="22"/>
          <w:lang w:val="en-GB"/>
        </w:rPr>
        <w:t xml:space="preserve">the </w:t>
      </w:r>
      <w:r w:rsidR="00E05C6E" w:rsidRPr="007C26FA">
        <w:rPr>
          <w:bCs/>
          <w:iCs/>
          <w:snapToGrid w:val="0"/>
          <w:spacing w:val="-2"/>
          <w:kern w:val="22"/>
          <w:sz w:val="22"/>
          <w:szCs w:val="22"/>
          <w:lang w:val="en-GB"/>
        </w:rPr>
        <w:t>second global assessment of biodiversity and ecosystem services and for an assessment on ecological connectivity (decision IPBES-7/1, para</w:t>
      </w:r>
      <w:r w:rsidR="00ED1916" w:rsidRPr="007C26FA">
        <w:rPr>
          <w:bCs/>
          <w:iCs/>
          <w:snapToGrid w:val="0"/>
          <w:spacing w:val="-2"/>
          <w:kern w:val="22"/>
          <w:sz w:val="22"/>
          <w:szCs w:val="22"/>
          <w:lang w:val="en-GB"/>
        </w:rPr>
        <w:t>.</w:t>
      </w:r>
      <w:r w:rsidR="00E33827" w:rsidRPr="007C26FA">
        <w:rPr>
          <w:bCs/>
          <w:iCs/>
          <w:snapToGrid w:val="0"/>
          <w:spacing w:val="-2"/>
          <w:kern w:val="22"/>
          <w:sz w:val="22"/>
          <w:szCs w:val="22"/>
          <w:lang w:val="en-GB"/>
        </w:rPr>
        <w:t> </w:t>
      </w:r>
      <w:r w:rsidR="00E05C6E" w:rsidRPr="007C26FA">
        <w:rPr>
          <w:bCs/>
          <w:iCs/>
          <w:snapToGrid w:val="0"/>
          <w:spacing w:val="-2"/>
          <w:kern w:val="22"/>
          <w:sz w:val="22"/>
          <w:szCs w:val="22"/>
          <w:lang w:val="en-GB"/>
        </w:rPr>
        <w:t>8).</w:t>
      </w:r>
      <w:r w:rsidR="006E6058" w:rsidRPr="007C26FA">
        <w:rPr>
          <w:bCs/>
          <w:iCs/>
          <w:snapToGrid w:val="0"/>
          <w:spacing w:val="-2"/>
          <w:kern w:val="22"/>
          <w:sz w:val="22"/>
          <w:szCs w:val="22"/>
          <w:lang w:val="en-GB"/>
        </w:rPr>
        <w:t xml:space="preserve"> The Plenary also</w:t>
      </w:r>
      <w:r w:rsidR="00E05C6E" w:rsidRPr="007C26FA">
        <w:rPr>
          <w:bCs/>
          <w:iCs/>
          <w:snapToGrid w:val="0"/>
          <w:spacing w:val="-2"/>
          <w:kern w:val="22"/>
          <w:sz w:val="22"/>
          <w:szCs w:val="22"/>
          <w:lang w:val="en-GB"/>
        </w:rPr>
        <w:t xml:space="preserve"> decided to launch a call for further requests, inputs and suggestions regarding the work programme in time for consideration by the Plenary at its tenth session (expected to be held in the first half of 2023) and to consider at the same session the need for and timing of further calls </w:t>
      </w:r>
      <w:r w:rsidR="006E6058" w:rsidRPr="007C26FA">
        <w:rPr>
          <w:bCs/>
          <w:iCs/>
          <w:snapToGrid w:val="0"/>
          <w:spacing w:val="-2"/>
          <w:kern w:val="22"/>
          <w:sz w:val="22"/>
          <w:szCs w:val="22"/>
          <w:lang w:val="en-GB"/>
        </w:rPr>
        <w:t>(decision IPBES-7/1, para</w:t>
      </w:r>
      <w:r w:rsidR="00ED1916" w:rsidRPr="007C26FA">
        <w:rPr>
          <w:bCs/>
          <w:iCs/>
          <w:snapToGrid w:val="0"/>
          <w:spacing w:val="-2"/>
          <w:kern w:val="22"/>
          <w:sz w:val="22"/>
          <w:szCs w:val="22"/>
          <w:lang w:val="en-GB"/>
        </w:rPr>
        <w:t>.</w:t>
      </w:r>
      <w:r w:rsidR="00877A14" w:rsidRPr="007C26FA">
        <w:rPr>
          <w:bCs/>
          <w:iCs/>
          <w:snapToGrid w:val="0"/>
          <w:spacing w:val="-2"/>
          <w:kern w:val="22"/>
          <w:sz w:val="22"/>
          <w:szCs w:val="22"/>
          <w:lang w:val="en-GB"/>
        </w:rPr>
        <w:t> </w:t>
      </w:r>
      <w:r w:rsidR="006E6058" w:rsidRPr="007C26FA">
        <w:rPr>
          <w:bCs/>
          <w:iCs/>
          <w:snapToGrid w:val="0"/>
          <w:spacing w:val="-2"/>
          <w:kern w:val="22"/>
          <w:sz w:val="22"/>
          <w:szCs w:val="22"/>
          <w:lang w:val="en-GB"/>
        </w:rPr>
        <w:t>2)</w:t>
      </w:r>
      <w:r w:rsidR="005E17E8" w:rsidRPr="007C26FA">
        <w:rPr>
          <w:bCs/>
          <w:iCs/>
          <w:snapToGrid w:val="0"/>
          <w:spacing w:val="-2"/>
          <w:kern w:val="22"/>
          <w:sz w:val="22"/>
          <w:szCs w:val="22"/>
          <w:lang w:val="en-GB"/>
        </w:rPr>
        <w:t>.</w:t>
      </w:r>
    </w:p>
    <w:p w14:paraId="7B1EE5D9" w14:textId="2A54F76A" w:rsidR="00AA69FF" w:rsidRPr="007C26FA" w:rsidRDefault="00E05C6E"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spacing w:val="-2"/>
          <w:kern w:val="22"/>
          <w:sz w:val="22"/>
          <w:szCs w:val="22"/>
          <w:lang w:val="en-GB"/>
        </w:rPr>
      </w:pPr>
      <w:r w:rsidRPr="007C26FA">
        <w:rPr>
          <w:bCs/>
          <w:iCs/>
          <w:snapToGrid w:val="0"/>
          <w:spacing w:val="-2"/>
          <w:kern w:val="22"/>
          <w:sz w:val="22"/>
          <w:szCs w:val="22"/>
          <w:lang w:val="en-GB"/>
        </w:rPr>
        <w:t xml:space="preserve">The Subsidiary Body </w:t>
      </w:r>
      <w:r w:rsidR="00AA69FF" w:rsidRPr="007C26FA">
        <w:rPr>
          <w:bCs/>
          <w:iCs/>
          <w:snapToGrid w:val="0"/>
          <w:spacing w:val="-2"/>
          <w:kern w:val="22"/>
          <w:sz w:val="22"/>
          <w:szCs w:val="22"/>
          <w:lang w:val="en-GB"/>
        </w:rPr>
        <w:t xml:space="preserve">may therefore wish to recommend to the Conference of the Parties </w:t>
      </w:r>
      <w:r w:rsidR="00DA07CC" w:rsidRPr="007C26FA">
        <w:rPr>
          <w:bCs/>
          <w:iCs/>
          <w:snapToGrid w:val="0"/>
          <w:spacing w:val="-2"/>
          <w:kern w:val="22"/>
          <w:sz w:val="22"/>
          <w:szCs w:val="22"/>
          <w:lang w:val="en-GB"/>
        </w:rPr>
        <w:t xml:space="preserve">that it </w:t>
      </w:r>
      <w:r w:rsidR="00AA69FF" w:rsidRPr="007C26FA">
        <w:rPr>
          <w:bCs/>
          <w:iCs/>
          <w:snapToGrid w:val="0"/>
          <w:spacing w:val="-2"/>
          <w:kern w:val="22"/>
          <w:sz w:val="22"/>
          <w:szCs w:val="22"/>
          <w:lang w:val="en-GB"/>
        </w:rPr>
        <w:t>specify its</w:t>
      </w:r>
      <w:r w:rsidR="00AA69FF" w:rsidRPr="007C26FA">
        <w:rPr>
          <w:snapToGrid w:val="0"/>
          <w:spacing w:val="-2"/>
          <w:kern w:val="22"/>
          <w:sz w:val="22"/>
          <w:szCs w:val="22"/>
          <w:lang w:val="en-GB"/>
        </w:rPr>
        <w:t xml:space="preserve"> request for a second global assessment</w:t>
      </w:r>
      <w:r w:rsidR="005E17E8" w:rsidRPr="007C26FA">
        <w:rPr>
          <w:snapToGrid w:val="0"/>
          <w:spacing w:val="-2"/>
          <w:kern w:val="22"/>
          <w:sz w:val="22"/>
          <w:szCs w:val="22"/>
          <w:lang w:val="en-GB"/>
        </w:rPr>
        <w:t xml:space="preserve"> of biodiversity and ecosystem services</w:t>
      </w:r>
      <w:r w:rsidR="00AA69FF" w:rsidRPr="007C26FA">
        <w:rPr>
          <w:snapToGrid w:val="0"/>
          <w:spacing w:val="-2"/>
          <w:kern w:val="22"/>
          <w:sz w:val="22"/>
          <w:szCs w:val="22"/>
          <w:lang w:val="en-GB"/>
        </w:rPr>
        <w:t xml:space="preserve"> with regard to the scope and timing of the assessment to ensure that it addresses the needs of the post-2020 global biodiversity framework.</w:t>
      </w:r>
    </w:p>
    <w:p w14:paraId="160FD3C8" w14:textId="18A47374" w:rsidR="00B3367E" w:rsidRPr="007C26FA" w:rsidRDefault="00AA69FF"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7C26FA">
        <w:rPr>
          <w:bCs/>
          <w:iCs/>
          <w:snapToGrid w:val="0"/>
          <w:kern w:val="22"/>
          <w:sz w:val="22"/>
          <w:szCs w:val="22"/>
          <w:lang w:val="en-GB"/>
        </w:rPr>
        <w:t xml:space="preserve">The Subsidiary Body may also wish to consider whether there is a need for the </w:t>
      </w:r>
      <w:r w:rsidR="00E05C6E" w:rsidRPr="007C26FA">
        <w:rPr>
          <w:bCs/>
          <w:iCs/>
          <w:snapToGrid w:val="0"/>
          <w:kern w:val="22"/>
          <w:sz w:val="22"/>
          <w:szCs w:val="22"/>
          <w:lang w:val="en-GB"/>
        </w:rPr>
        <w:t xml:space="preserve">Conference of the Parties </w:t>
      </w:r>
      <w:r w:rsidRPr="007C26FA">
        <w:rPr>
          <w:bCs/>
          <w:iCs/>
          <w:snapToGrid w:val="0"/>
          <w:kern w:val="22"/>
          <w:sz w:val="22"/>
          <w:szCs w:val="22"/>
          <w:lang w:val="en-GB"/>
        </w:rPr>
        <w:t>to submit to</w:t>
      </w:r>
      <w:r w:rsidR="00E05C6E" w:rsidRPr="007C26FA">
        <w:rPr>
          <w:bCs/>
          <w:iCs/>
          <w:snapToGrid w:val="0"/>
          <w:kern w:val="22"/>
          <w:sz w:val="22"/>
          <w:szCs w:val="22"/>
          <w:lang w:val="en-GB"/>
        </w:rPr>
        <w:t xml:space="preserve"> the Platform</w:t>
      </w:r>
      <w:r w:rsidRPr="007C26FA">
        <w:rPr>
          <w:bCs/>
          <w:iCs/>
          <w:snapToGrid w:val="0"/>
          <w:kern w:val="22"/>
          <w:sz w:val="22"/>
          <w:szCs w:val="22"/>
          <w:lang w:val="en-GB"/>
        </w:rPr>
        <w:t xml:space="preserve"> further requests</w:t>
      </w:r>
      <w:r w:rsidR="00E05C6E" w:rsidRPr="007C26FA">
        <w:rPr>
          <w:bCs/>
          <w:iCs/>
          <w:snapToGrid w:val="0"/>
          <w:kern w:val="22"/>
          <w:sz w:val="22"/>
          <w:szCs w:val="22"/>
          <w:lang w:val="en-GB"/>
        </w:rPr>
        <w:t xml:space="preserve"> </w:t>
      </w:r>
      <w:r w:rsidRPr="007C26FA">
        <w:rPr>
          <w:bCs/>
          <w:iCs/>
          <w:snapToGrid w:val="0"/>
          <w:kern w:val="22"/>
          <w:sz w:val="22"/>
          <w:szCs w:val="22"/>
          <w:lang w:val="en-GB"/>
        </w:rPr>
        <w:t>in</w:t>
      </w:r>
      <w:r w:rsidR="00BA74B4" w:rsidRPr="007C26FA">
        <w:rPr>
          <w:bCs/>
          <w:iCs/>
          <w:snapToGrid w:val="0"/>
          <w:kern w:val="22"/>
          <w:sz w:val="22"/>
          <w:szCs w:val="22"/>
          <w:lang w:val="en-GB"/>
        </w:rPr>
        <w:t xml:space="preserve"> support</w:t>
      </w:r>
      <w:r w:rsidRPr="007C26FA">
        <w:rPr>
          <w:bCs/>
          <w:iCs/>
          <w:snapToGrid w:val="0"/>
          <w:kern w:val="22"/>
          <w:sz w:val="22"/>
          <w:szCs w:val="22"/>
          <w:lang w:val="en-GB"/>
        </w:rPr>
        <w:t xml:space="preserve"> of</w:t>
      </w:r>
      <w:r w:rsidR="00BA74B4" w:rsidRPr="007C26FA">
        <w:rPr>
          <w:bCs/>
          <w:iCs/>
          <w:snapToGrid w:val="0"/>
          <w:kern w:val="22"/>
          <w:sz w:val="22"/>
          <w:szCs w:val="22"/>
          <w:lang w:val="en-GB"/>
        </w:rPr>
        <w:t xml:space="preserve"> the implementation of the post-2020 </w:t>
      </w:r>
      <w:r w:rsidR="005E17E8" w:rsidRPr="007C26FA">
        <w:rPr>
          <w:bCs/>
          <w:iCs/>
          <w:snapToGrid w:val="0"/>
          <w:kern w:val="22"/>
          <w:sz w:val="22"/>
          <w:szCs w:val="22"/>
          <w:lang w:val="en-GB"/>
        </w:rPr>
        <w:t>g</w:t>
      </w:r>
      <w:r w:rsidR="00BA74B4" w:rsidRPr="007C26FA">
        <w:rPr>
          <w:bCs/>
          <w:iCs/>
          <w:snapToGrid w:val="0"/>
          <w:kern w:val="22"/>
          <w:sz w:val="22"/>
          <w:szCs w:val="22"/>
          <w:lang w:val="en-GB"/>
        </w:rPr>
        <w:t xml:space="preserve">lobal </w:t>
      </w:r>
      <w:r w:rsidR="005E17E8" w:rsidRPr="007C26FA">
        <w:rPr>
          <w:bCs/>
          <w:iCs/>
          <w:snapToGrid w:val="0"/>
          <w:kern w:val="22"/>
          <w:sz w:val="22"/>
          <w:szCs w:val="22"/>
          <w:lang w:val="en-GB"/>
        </w:rPr>
        <w:t>b</w:t>
      </w:r>
      <w:r w:rsidR="00BA74B4" w:rsidRPr="007C26FA">
        <w:rPr>
          <w:bCs/>
          <w:iCs/>
          <w:snapToGrid w:val="0"/>
          <w:kern w:val="22"/>
          <w:sz w:val="22"/>
          <w:szCs w:val="22"/>
          <w:lang w:val="en-GB"/>
        </w:rPr>
        <w:t xml:space="preserve">iodiversity </w:t>
      </w:r>
      <w:r w:rsidR="005E17E8" w:rsidRPr="007C26FA">
        <w:rPr>
          <w:bCs/>
          <w:iCs/>
          <w:snapToGrid w:val="0"/>
          <w:kern w:val="22"/>
          <w:sz w:val="22"/>
          <w:szCs w:val="22"/>
          <w:lang w:val="en-GB"/>
        </w:rPr>
        <w:t>f</w:t>
      </w:r>
      <w:r w:rsidR="00BA74B4" w:rsidRPr="007C26FA">
        <w:rPr>
          <w:bCs/>
          <w:iCs/>
          <w:snapToGrid w:val="0"/>
          <w:kern w:val="22"/>
          <w:sz w:val="22"/>
          <w:szCs w:val="22"/>
          <w:lang w:val="en-GB"/>
        </w:rPr>
        <w:t>ramework</w:t>
      </w:r>
      <w:r w:rsidR="006E6058" w:rsidRPr="007C26FA">
        <w:rPr>
          <w:bCs/>
          <w:iCs/>
          <w:snapToGrid w:val="0"/>
          <w:kern w:val="22"/>
          <w:sz w:val="22"/>
          <w:szCs w:val="22"/>
          <w:lang w:val="en-GB"/>
        </w:rPr>
        <w:t>.</w:t>
      </w:r>
      <w:r w:rsidR="006E6058" w:rsidRPr="007C26FA">
        <w:rPr>
          <w:snapToGrid w:val="0"/>
          <w:kern w:val="22"/>
          <w:sz w:val="22"/>
          <w:szCs w:val="22"/>
          <w:lang w:val="en-GB"/>
        </w:rPr>
        <w:t xml:space="preserve"> Given the need to strengthen the monitoring and review processes unde</w:t>
      </w:r>
      <w:r w:rsidR="005E17E8" w:rsidRPr="007C26FA">
        <w:rPr>
          <w:snapToGrid w:val="0"/>
          <w:kern w:val="22"/>
          <w:sz w:val="22"/>
          <w:szCs w:val="22"/>
          <w:lang w:val="en-GB"/>
        </w:rPr>
        <w:t>r</w:t>
      </w:r>
      <w:r w:rsidR="006E6058" w:rsidRPr="007C26FA">
        <w:rPr>
          <w:snapToGrid w:val="0"/>
          <w:kern w:val="22"/>
          <w:sz w:val="22"/>
          <w:szCs w:val="22"/>
          <w:lang w:val="en-GB"/>
        </w:rPr>
        <w:t xml:space="preserve"> the</w:t>
      </w:r>
      <w:r w:rsidR="005E17E8" w:rsidRPr="007C26FA">
        <w:rPr>
          <w:snapToGrid w:val="0"/>
          <w:kern w:val="22"/>
          <w:sz w:val="22"/>
          <w:szCs w:val="22"/>
          <w:lang w:val="en-GB"/>
        </w:rPr>
        <w:t xml:space="preserve"> </w:t>
      </w:r>
      <w:r w:rsidR="006E6058" w:rsidRPr="007C26FA">
        <w:rPr>
          <w:snapToGrid w:val="0"/>
          <w:kern w:val="22"/>
          <w:sz w:val="22"/>
          <w:szCs w:val="22"/>
          <w:lang w:val="en-GB"/>
        </w:rPr>
        <w:t>Convention, a p</w:t>
      </w:r>
      <w:r w:rsidR="00BA74B4" w:rsidRPr="007C26FA">
        <w:rPr>
          <w:snapToGrid w:val="0"/>
          <w:kern w:val="22"/>
          <w:sz w:val="22"/>
          <w:szCs w:val="22"/>
          <w:lang w:val="en-GB"/>
        </w:rPr>
        <w:t xml:space="preserve">otentially relevant area of work not yet considered could </w:t>
      </w:r>
      <w:r w:rsidR="005E17E8" w:rsidRPr="007C26FA">
        <w:rPr>
          <w:snapToGrid w:val="0"/>
          <w:kern w:val="22"/>
          <w:sz w:val="22"/>
          <w:szCs w:val="22"/>
          <w:lang w:val="en-GB"/>
        </w:rPr>
        <w:t xml:space="preserve">involve </w:t>
      </w:r>
      <w:r w:rsidR="006E6058" w:rsidRPr="007C26FA">
        <w:rPr>
          <w:snapToGrid w:val="0"/>
          <w:kern w:val="22"/>
          <w:sz w:val="22"/>
          <w:szCs w:val="22"/>
          <w:lang w:val="en-GB"/>
        </w:rPr>
        <w:t xml:space="preserve">methodological </w:t>
      </w:r>
      <w:r w:rsidR="00AF0E9A" w:rsidRPr="007C26FA">
        <w:rPr>
          <w:snapToGrid w:val="0"/>
          <w:kern w:val="22"/>
          <w:sz w:val="22"/>
          <w:szCs w:val="22"/>
          <w:lang w:val="en-GB"/>
        </w:rPr>
        <w:t>support</w:t>
      </w:r>
      <w:r w:rsidR="005E17E8" w:rsidRPr="007C26FA">
        <w:rPr>
          <w:snapToGrid w:val="0"/>
          <w:kern w:val="22"/>
          <w:sz w:val="22"/>
          <w:szCs w:val="22"/>
          <w:lang w:val="en-GB"/>
        </w:rPr>
        <w:t xml:space="preserve"> </w:t>
      </w:r>
      <w:r w:rsidR="006E6058" w:rsidRPr="007C26FA">
        <w:rPr>
          <w:snapToGrid w:val="0"/>
          <w:kern w:val="22"/>
          <w:sz w:val="22"/>
          <w:szCs w:val="22"/>
          <w:lang w:val="en-GB"/>
        </w:rPr>
        <w:t xml:space="preserve">to </w:t>
      </w:r>
      <w:r w:rsidR="00AF0E9A" w:rsidRPr="007C26FA">
        <w:rPr>
          <w:snapToGrid w:val="0"/>
          <w:kern w:val="22"/>
          <w:sz w:val="22"/>
          <w:szCs w:val="22"/>
          <w:lang w:val="en-GB"/>
        </w:rPr>
        <w:t>help and assist</w:t>
      </w:r>
      <w:r w:rsidR="006E6058" w:rsidRPr="007C26FA">
        <w:rPr>
          <w:snapToGrid w:val="0"/>
          <w:kern w:val="22"/>
          <w:sz w:val="22"/>
          <w:szCs w:val="22"/>
          <w:lang w:val="en-GB"/>
        </w:rPr>
        <w:t xml:space="preserve"> monitoring and reporting, at the national level, of status and trends in biodiversity and ecosystem services and of the drivers of their change</w:t>
      </w:r>
      <w:r w:rsidR="00BA74B4" w:rsidRPr="007C26FA">
        <w:rPr>
          <w:snapToGrid w:val="0"/>
          <w:kern w:val="22"/>
          <w:sz w:val="22"/>
          <w:szCs w:val="22"/>
          <w:lang w:val="en-GB"/>
        </w:rPr>
        <w:t>.</w:t>
      </w:r>
    </w:p>
    <w:p w14:paraId="2A316C8D" w14:textId="0195AE1F" w:rsidR="006E6058" w:rsidRPr="007C26FA" w:rsidRDefault="006E6058"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lang w:val="en-GB"/>
        </w:rPr>
      </w:pPr>
      <w:r w:rsidRPr="007C26FA">
        <w:rPr>
          <w:snapToGrid w:val="0"/>
          <w:kern w:val="22"/>
          <w:sz w:val="22"/>
          <w:szCs w:val="22"/>
          <w:lang w:val="en-GB"/>
        </w:rPr>
        <w:t xml:space="preserve">These </w:t>
      </w:r>
      <w:r w:rsidR="005E17E8" w:rsidRPr="007C26FA">
        <w:rPr>
          <w:snapToGrid w:val="0"/>
          <w:kern w:val="22"/>
          <w:sz w:val="22"/>
          <w:szCs w:val="22"/>
          <w:lang w:val="en-GB"/>
        </w:rPr>
        <w:t>suggestions</w:t>
      </w:r>
      <w:r w:rsidRPr="007C26FA">
        <w:rPr>
          <w:snapToGrid w:val="0"/>
          <w:kern w:val="22"/>
          <w:sz w:val="22"/>
          <w:szCs w:val="22"/>
          <w:lang w:val="en-GB"/>
        </w:rPr>
        <w:t xml:space="preserve"> </w:t>
      </w:r>
      <w:r w:rsidR="001371BE" w:rsidRPr="007C26FA">
        <w:rPr>
          <w:snapToGrid w:val="0"/>
          <w:kern w:val="22"/>
          <w:sz w:val="22"/>
          <w:szCs w:val="22"/>
          <w:lang w:val="en-GB"/>
        </w:rPr>
        <w:t xml:space="preserve">are </w:t>
      </w:r>
      <w:r w:rsidRPr="007C26FA">
        <w:rPr>
          <w:snapToGrid w:val="0"/>
          <w:kern w:val="22"/>
          <w:sz w:val="22"/>
          <w:szCs w:val="22"/>
          <w:lang w:val="en-GB"/>
        </w:rPr>
        <w:t>reflected in the suggested recommendation</w:t>
      </w:r>
      <w:r w:rsidR="001371BE" w:rsidRPr="007C26FA">
        <w:rPr>
          <w:snapToGrid w:val="0"/>
          <w:kern w:val="22"/>
          <w:sz w:val="22"/>
          <w:szCs w:val="22"/>
          <w:lang w:val="en-GB"/>
        </w:rPr>
        <w:t xml:space="preserve">s </w:t>
      </w:r>
      <w:r w:rsidR="00B71EEB">
        <w:rPr>
          <w:snapToGrid w:val="0"/>
          <w:kern w:val="22"/>
          <w:sz w:val="22"/>
          <w:szCs w:val="22"/>
          <w:lang w:val="en-GB"/>
        </w:rPr>
        <w:t xml:space="preserve">in </w:t>
      </w:r>
      <w:r w:rsidR="001371BE" w:rsidRPr="007C26FA">
        <w:rPr>
          <w:snapToGrid w:val="0"/>
          <w:kern w:val="22"/>
          <w:sz w:val="22"/>
          <w:szCs w:val="22"/>
          <w:lang w:val="en-GB"/>
        </w:rPr>
        <w:t>section</w:t>
      </w:r>
      <w:r w:rsidR="00704B7A" w:rsidRPr="0044638A">
        <w:rPr>
          <w:snapToGrid w:val="0"/>
          <w:kern w:val="22"/>
          <w:sz w:val="22"/>
          <w:szCs w:val="22"/>
          <w:lang w:val="en-GB"/>
        </w:rPr>
        <w:t> </w:t>
      </w:r>
      <w:r w:rsidR="001371BE" w:rsidRPr="007C26FA">
        <w:rPr>
          <w:snapToGrid w:val="0"/>
          <w:kern w:val="22"/>
          <w:sz w:val="22"/>
          <w:szCs w:val="22"/>
          <w:lang w:val="en-GB"/>
        </w:rPr>
        <w:t>V</w:t>
      </w:r>
      <w:r w:rsidR="00B71EEB" w:rsidRPr="00B71EEB">
        <w:rPr>
          <w:snapToGrid w:val="0"/>
          <w:kern w:val="22"/>
          <w:sz w:val="22"/>
          <w:szCs w:val="22"/>
          <w:lang w:val="en-GB"/>
        </w:rPr>
        <w:t xml:space="preserve"> </w:t>
      </w:r>
      <w:r w:rsidR="00B71EEB" w:rsidRPr="00707287">
        <w:rPr>
          <w:snapToGrid w:val="0"/>
          <w:kern w:val="22"/>
          <w:sz w:val="22"/>
          <w:szCs w:val="22"/>
          <w:lang w:val="en-GB"/>
        </w:rPr>
        <w:t>below</w:t>
      </w:r>
      <w:r w:rsidRPr="007C26FA">
        <w:rPr>
          <w:snapToGrid w:val="0"/>
          <w:kern w:val="22"/>
          <w:sz w:val="22"/>
          <w:szCs w:val="22"/>
          <w:lang w:val="en-GB"/>
        </w:rPr>
        <w:t>.</w:t>
      </w:r>
    </w:p>
    <w:p w14:paraId="4B9E3D8B" w14:textId="7E6D902A" w:rsidR="00A76CC9" w:rsidRPr="007C26FA" w:rsidRDefault="00330DE5" w:rsidP="00766960">
      <w:pPr>
        <w:pStyle w:val="ListParagraph"/>
        <w:keepNext/>
        <w:numPr>
          <w:ilvl w:val="0"/>
          <w:numId w:val="14"/>
        </w:numPr>
        <w:suppressLineNumbers/>
        <w:tabs>
          <w:tab w:val="left" w:pos="426"/>
        </w:tabs>
        <w:suppressAutoHyphens/>
        <w:kinsoku w:val="0"/>
        <w:overflowPunct w:val="0"/>
        <w:autoSpaceDE w:val="0"/>
        <w:autoSpaceDN w:val="0"/>
        <w:adjustRightInd w:val="0"/>
        <w:snapToGrid w:val="0"/>
        <w:spacing w:before="120" w:after="120" w:line="235" w:lineRule="auto"/>
        <w:ind w:left="0" w:firstLine="0"/>
        <w:contextualSpacing w:val="0"/>
        <w:jc w:val="center"/>
        <w:outlineLvl w:val="0"/>
        <w:rPr>
          <w:b/>
          <w:caps/>
          <w:snapToGrid w:val="0"/>
          <w:kern w:val="22"/>
          <w:sz w:val="22"/>
          <w:szCs w:val="22"/>
          <w:lang w:val="en-GB"/>
        </w:rPr>
      </w:pPr>
      <w:r w:rsidRPr="007C26FA">
        <w:rPr>
          <w:b/>
          <w:caps/>
          <w:snapToGrid w:val="0"/>
          <w:kern w:val="22"/>
          <w:sz w:val="22"/>
          <w:szCs w:val="22"/>
          <w:lang w:val="en-GB"/>
        </w:rPr>
        <w:t>Suggested recommendation</w:t>
      </w:r>
    </w:p>
    <w:p w14:paraId="3DC79A2A" w14:textId="0BC6EF29" w:rsidR="00A76CC9" w:rsidRPr="007C26FA" w:rsidRDefault="00A76CC9" w:rsidP="00766960">
      <w:pPr>
        <w:pStyle w:val="ListParagraph"/>
        <w:numPr>
          <w:ilvl w:val="0"/>
          <w:numId w:val="6"/>
        </w:numPr>
        <w:suppressLineNumbers/>
        <w:suppressAutoHyphens/>
        <w:kinsoku w:val="0"/>
        <w:overflowPunct w:val="0"/>
        <w:autoSpaceDE w:val="0"/>
        <w:autoSpaceDN w:val="0"/>
        <w:adjustRightInd w:val="0"/>
        <w:snapToGrid w:val="0"/>
        <w:spacing w:before="120" w:after="120" w:line="235" w:lineRule="auto"/>
        <w:ind w:left="0" w:firstLine="0"/>
        <w:contextualSpacing w:val="0"/>
        <w:jc w:val="both"/>
        <w:rPr>
          <w:snapToGrid w:val="0"/>
          <w:kern w:val="22"/>
          <w:sz w:val="22"/>
          <w:szCs w:val="22"/>
          <w:lang w:val="en-GB"/>
        </w:rPr>
      </w:pPr>
      <w:r w:rsidRPr="007C26FA">
        <w:rPr>
          <w:snapToGrid w:val="0"/>
          <w:kern w:val="22"/>
          <w:sz w:val="22"/>
          <w:szCs w:val="22"/>
          <w:lang w:val="en-GB"/>
        </w:rPr>
        <w:t>The Subsidiary Body on Scientific, Technical and Technological Advice may wish to recommend that the Conference of the Parties at its fifteenth meeting adopt a decision along the following lines</w:t>
      </w:r>
      <w:r w:rsidR="000905E5" w:rsidRPr="007C26FA">
        <w:rPr>
          <w:snapToGrid w:val="0"/>
          <w:kern w:val="22"/>
          <w:sz w:val="22"/>
          <w:szCs w:val="22"/>
          <w:lang w:val="en-GB"/>
        </w:rPr>
        <w:t>, complementing the draft decision contained in recommendation 23/1</w:t>
      </w:r>
      <w:r w:rsidRPr="007C26FA">
        <w:rPr>
          <w:snapToGrid w:val="0"/>
          <w:kern w:val="22"/>
          <w:sz w:val="22"/>
          <w:szCs w:val="22"/>
          <w:lang w:val="en-GB"/>
        </w:rPr>
        <w:t>:</w:t>
      </w:r>
    </w:p>
    <w:p w14:paraId="3471186A" w14:textId="289D391A" w:rsidR="00A76CC9" w:rsidRPr="007C26FA" w:rsidRDefault="00A76CC9" w:rsidP="00766960">
      <w:pPr>
        <w:suppressLineNumbers/>
        <w:suppressAutoHyphens/>
        <w:kinsoku w:val="0"/>
        <w:overflowPunct w:val="0"/>
        <w:autoSpaceDE w:val="0"/>
        <w:autoSpaceDN w:val="0"/>
        <w:adjustRightInd w:val="0"/>
        <w:snapToGrid w:val="0"/>
        <w:spacing w:before="120" w:after="120" w:line="235" w:lineRule="auto"/>
        <w:ind w:left="720"/>
        <w:jc w:val="both"/>
        <w:rPr>
          <w:i/>
          <w:iCs/>
          <w:snapToGrid w:val="0"/>
          <w:kern w:val="22"/>
          <w:sz w:val="22"/>
          <w:szCs w:val="22"/>
          <w:lang w:val="en-GB"/>
        </w:rPr>
      </w:pPr>
      <w:r w:rsidRPr="007C26FA">
        <w:rPr>
          <w:i/>
          <w:iCs/>
          <w:snapToGrid w:val="0"/>
          <w:kern w:val="22"/>
          <w:sz w:val="22"/>
          <w:szCs w:val="22"/>
          <w:lang w:val="en-GB"/>
        </w:rPr>
        <w:t>The Conference of the Parties,</w:t>
      </w:r>
    </w:p>
    <w:p w14:paraId="32A47496" w14:textId="24042D19" w:rsidR="004D2E49" w:rsidRPr="007C26FA" w:rsidRDefault="0054631B"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i/>
          <w:iCs/>
          <w:snapToGrid w:val="0"/>
          <w:kern w:val="22"/>
          <w:sz w:val="22"/>
          <w:szCs w:val="22"/>
          <w:lang w:val="en-GB"/>
        </w:rPr>
        <w:t xml:space="preserve">Recalling </w:t>
      </w:r>
      <w:r w:rsidRPr="007C26FA">
        <w:rPr>
          <w:snapToGrid w:val="0"/>
          <w:kern w:val="22"/>
          <w:sz w:val="22"/>
          <w:szCs w:val="22"/>
          <w:lang w:val="en-GB"/>
        </w:rPr>
        <w:t xml:space="preserve">decisions </w:t>
      </w:r>
      <w:r w:rsidR="007020A9" w:rsidRPr="007C26FA">
        <w:rPr>
          <w:snapToGrid w:val="0"/>
          <w:kern w:val="22"/>
          <w:sz w:val="22"/>
          <w:szCs w:val="22"/>
          <w:lang w:val="en-GB"/>
        </w:rPr>
        <w:t>12/25 and 14/36</w:t>
      </w:r>
      <w:r w:rsidR="003A522C" w:rsidRPr="007C26FA">
        <w:rPr>
          <w:snapToGrid w:val="0"/>
          <w:kern w:val="22"/>
          <w:sz w:val="22"/>
          <w:szCs w:val="22"/>
          <w:lang w:val="en-GB"/>
        </w:rPr>
        <w:t>,</w:t>
      </w:r>
    </w:p>
    <w:p w14:paraId="149F077C" w14:textId="34C736BF" w:rsidR="00FF0662" w:rsidRPr="007C26FA" w:rsidRDefault="000E3A51"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Pr>
          <w:i/>
          <w:iCs/>
          <w:snapToGrid w:val="0"/>
          <w:kern w:val="22"/>
          <w:sz w:val="22"/>
          <w:szCs w:val="22"/>
          <w:lang w:val="en-GB"/>
        </w:rPr>
        <w:t>Also recalling</w:t>
      </w:r>
      <w:r w:rsidRPr="007C26FA">
        <w:rPr>
          <w:snapToGrid w:val="0"/>
          <w:kern w:val="22"/>
          <w:sz w:val="22"/>
          <w:szCs w:val="22"/>
          <w:lang w:val="en-GB"/>
        </w:rPr>
        <w:t xml:space="preserve"> </w:t>
      </w:r>
      <w:r w:rsidR="0054631B" w:rsidRPr="007C26FA">
        <w:rPr>
          <w:snapToGrid w:val="0"/>
          <w:kern w:val="22"/>
          <w:sz w:val="22"/>
          <w:szCs w:val="22"/>
          <w:lang w:val="en-GB"/>
        </w:rPr>
        <w:t xml:space="preserve">that </w:t>
      </w:r>
      <w:r w:rsidR="003A522C" w:rsidRPr="007C26FA">
        <w:rPr>
          <w:snapToGrid w:val="0"/>
          <w:kern w:val="22"/>
          <w:sz w:val="22"/>
          <w:szCs w:val="22"/>
          <w:lang w:val="en-GB"/>
        </w:rPr>
        <w:t xml:space="preserve">the Subsidiary Body on Scientific, </w:t>
      </w:r>
      <w:r w:rsidR="00871CE2">
        <w:rPr>
          <w:snapToGrid w:val="0"/>
          <w:kern w:val="22"/>
          <w:sz w:val="22"/>
          <w:szCs w:val="22"/>
          <w:lang w:val="en-GB"/>
        </w:rPr>
        <w:t>T</w:t>
      </w:r>
      <w:r w:rsidR="003A522C" w:rsidRPr="007C26FA">
        <w:rPr>
          <w:snapToGrid w:val="0"/>
          <w:kern w:val="22"/>
          <w:sz w:val="22"/>
          <w:szCs w:val="22"/>
          <w:lang w:val="en-GB"/>
        </w:rPr>
        <w:t xml:space="preserve">echnical and Technological Advice </w:t>
      </w:r>
      <w:r w:rsidR="0054631B" w:rsidRPr="007C26FA">
        <w:rPr>
          <w:snapToGrid w:val="0"/>
          <w:kern w:val="22"/>
          <w:sz w:val="22"/>
          <w:szCs w:val="22"/>
          <w:lang w:val="en-GB"/>
        </w:rPr>
        <w:t xml:space="preserve">has systematically considered each of the </w:t>
      </w:r>
      <w:r w:rsidR="00AE26E4" w:rsidRPr="007C26FA">
        <w:rPr>
          <w:snapToGrid w:val="0"/>
          <w:kern w:val="22"/>
          <w:sz w:val="22"/>
          <w:szCs w:val="22"/>
          <w:lang w:val="en-GB"/>
        </w:rPr>
        <w:t>a</w:t>
      </w:r>
      <w:r w:rsidR="0054631B" w:rsidRPr="007C26FA">
        <w:rPr>
          <w:snapToGrid w:val="0"/>
          <w:kern w:val="22"/>
          <w:sz w:val="22"/>
          <w:szCs w:val="22"/>
          <w:lang w:val="en-GB"/>
        </w:rPr>
        <w:t xml:space="preserve">ssessment </w:t>
      </w:r>
      <w:r w:rsidR="00AE26E4" w:rsidRPr="007C26FA">
        <w:rPr>
          <w:snapToGrid w:val="0"/>
          <w:kern w:val="22"/>
          <w:sz w:val="22"/>
          <w:szCs w:val="22"/>
          <w:lang w:val="en-GB"/>
        </w:rPr>
        <w:t>r</w:t>
      </w:r>
      <w:r w:rsidR="0054631B" w:rsidRPr="007C26FA">
        <w:rPr>
          <w:snapToGrid w:val="0"/>
          <w:kern w:val="22"/>
          <w:sz w:val="22"/>
          <w:szCs w:val="22"/>
          <w:lang w:val="en-GB"/>
        </w:rPr>
        <w:t xml:space="preserve">eports prepared by </w:t>
      </w:r>
      <w:r w:rsidR="00A14395" w:rsidRPr="007C26FA">
        <w:rPr>
          <w:snapToGrid w:val="0"/>
          <w:kern w:val="22"/>
          <w:sz w:val="22"/>
          <w:szCs w:val="22"/>
          <w:lang w:val="en-GB"/>
        </w:rPr>
        <w:t xml:space="preserve">the Intergovernmental Science-Policy Platform on Biodiversity and Ecosystem Services </w:t>
      </w:r>
      <w:r w:rsidR="0054631B" w:rsidRPr="007C26FA">
        <w:rPr>
          <w:snapToGrid w:val="0"/>
          <w:kern w:val="22"/>
          <w:sz w:val="22"/>
          <w:szCs w:val="22"/>
          <w:lang w:val="en-GB"/>
        </w:rPr>
        <w:t>and has prepared</w:t>
      </w:r>
      <w:r w:rsidR="001371BE" w:rsidRPr="007C26FA">
        <w:rPr>
          <w:snapToGrid w:val="0"/>
          <w:kern w:val="22"/>
          <w:sz w:val="22"/>
          <w:szCs w:val="22"/>
          <w:lang w:val="en-GB"/>
        </w:rPr>
        <w:t>,</w:t>
      </w:r>
      <w:r w:rsidR="0054631B" w:rsidRPr="007C26FA">
        <w:rPr>
          <w:snapToGrid w:val="0"/>
          <w:kern w:val="22"/>
          <w:sz w:val="22"/>
          <w:szCs w:val="22"/>
          <w:lang w:val="en-GB"/>
        </w:rPr>
        <w:t xml:space="preserve"> in each case</w:t>
      </w:r>
      <w:r w:rsidR="001371BE" w:rsidRPr="007C26FA">
        <w:rPr>
          <w:snapToGrid w:val="0"/>
          <w:kern w:val="22"/>
          <w:sz w:val="22"/>
          <w:szCs w:val="22"/>
          <w:lang w:val="en-GB"/>
        </w:rPr>
        <w:t>,</w:t>
      </w:r>
      <w:r w:rsidR="0054631B" w:rsidRPr="007C26FA">
        <w:rPr>
          <w:snapToGrid w:val="0"/>
          <w:kern w:val="22"/>
          <w:sz w:val="22"/>
          <w:szCs w:val="22"/>
          <w:lang w:val="en-GB"/>
        </w:rPr>
        <w:t xml:space="preserve"> </w:t>
      </w:r>
      <w:r w:rsidR="005C2E3E" w:rsidRPr="007C26FA">
        <w:rPr>
          <w:snapToGrid w:val="0"/>
          <w:kern w:val="22"/>
          <w:sz w:val="22"/>
          <w:szCs w:val="22"/>
          <w:lang w:val="en-GB"/>
        </w:rPr>
        <w:t xml:space="preserve">pertinent recommendations for the consideration of the </w:t>
      </w:r>
      <w:r w:rsidR="0054631B" w:rsidRPr="007C26FA">
        <w:rPr>
          <w:snapToGrid w:val="0"/>
          <w:kern w:val="22"/>
          <w:sz w:val="22"/>
          <w:szCs w:val="22"/>
          <w:lang w:val="en-GB"/>
        </w:rPr>
        <w:t xml:space="preserve">Conference of the </w:t>
      </w:r>
      <w:r w:rsidR="00871CE2">
        <w:rPr>
          <w:snapToGrid w:val="0"/>
          <w:kern w:val="22"/>
          <w:sz w:val="22"/>
          <w:szCs w:val="22"/>
          <w:lang w:val="en-GB"/>
        </w:rPr>
        <w:t>P</w:t>
      </w:r>
      <w:r w:rsidR="0054631B" w:rsidRPr="007C26FA">
        <w:rPr>
          <w:snapToGrid w:val="0"/>
          <w:kern w:val="22"/>
          <w:sz w:val="22"/>
          <w:szCs w:val="22"/>
          <w:lang w:val="en-GB"/>
        </w:rPr>
        <w:t xml:space="preserve">arties, in line with the procedures </w:t>
      </w:r>
      <w:r w:rsidR="001371BE" w:rsidRPr="007C26FA">
        <w:rPr>
          <w:snapToGrid w:val="0"/>
          <w:kern w:val="22"/>
          <w:sz w:val="22"/>
          <w:szCs w:val="22"/>
          <w:lang w:val="en-GB"/>
        </w:rPr>
        <w:t>established</w:t>
      </w:r>
      <w:r w:rsidR="0054631B" w:rsidRPr="007C26FA">
        <w:rPr>
          <w:snapToGrid w:val="0"/>
          <w:kern w:val="22"/>
          <w:sz w:val="22"/>
          <w:szCs w:val="22"/>
          <w:lang w:val="en-GB"/>
        </w:rPr>
        <w:t xml:space="preserve"> in decision </w:t>
      </w:r>
      <w:r w:rsidR="00506426" w:rsidRPr="007C26FA">
        <w:rPr>
          <w:snapToGrid w:val="0"/>
          <w:kern w:val="22"/>
          <w:sz w:val="22"/>
          <w:szCs w:val="22"/>
          <w:lang w:val="en-GB"/>
        </w:rPr>
        <w:t>XII</w:t>
      </w:r>
      <w:r w:rsidR="0054631B" w:rsidRPr="007C26FA">
        <w:rPr>
          <w:snapToGrid w:val="0"/>
          <w:kern w:val="22"/>
          <w:sz w:val="22"/>
          <w:szCs w:val="22"/>
          <w:lang w:val="en-GB"/>
        </w:rPr>
        <w:t>/25;</w:t>
      </w:r>
    </w:p>
    <w:p w14:paraId="668D0C55" w14:textId="69F92D02"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snapToGrid w:val="0"/>
          <w:kern w:val="22"/>
          <w:sz w:val="22"/>
          <w:szCs w:val="22"/>
          <w:lang w:val="en-GB"/>
        </w:rPr>
        <w:t>1.</w:t>
      </w:r>
      <w:r w:rsidRPr="007C26FA">
        <w:rPr>
          <w:snapToGrid w:val="0"/>
          <w:kern w:val="22"/>
          <w:sz w:val="22"/>
          <w:szCs w:val="22"/>
          <w:lang w:val="en-GB"/>
        </w:rPr>
        <w:tab/>
      </w:r>
      <w:r w:rsidR="0054631B" w:rsidRPr="007C26FA">
        <w:rPr>
          <w:i/>
          <w:iCs/>
          <w:snapToGrid w:val="0"/>
          <w:kern w:val="22"/>
          <w:sz w:val="22"/>
          <w:szCs w:val="22"/>
          <w:lang w:val="en-GB"/>
        </w:rPr>
        <w:t>Welcomes</w:t>
      </w:r>
      <w:r w:rsidR="0054631B" w:rsidRPr="007C26FA">
        <w:rPr>
          <w:snapToGrid w:val="0"/>
          <w:kern w:val="22"/>
          <w:sz w:val="22"/>
          <w:szCs w:val="22"/>
          <w:lang w:val="en-GB"/>
        </w:rPr>
        <w:t xml:space="preserve"> the rolling work programme of </w:t>
      </w:r>
      <w:r w:rsidR="001371BE" w:rsidRPr="007C26FA">
        <w:rPr>
          <w:snapToGrid w:val="0"/>
          <w:kern w:val="22"/>
          <w:sz w:val="22"/>
          <w:szCs w:val="22"/>
          <w:lang w:val="en-GB"/>
        </w:rPr>
        <w:t>the Platform up to 2030</w:t>
      </w:r>
      <w:r w:rsidR="0054631B" w:rsidRPr="007C26FA">
        <w:rPr>
          <w:snapToGrid w:val="0"/>
          <w:kern w:val="22"/>
          <w:sz w:val="22"/>
          <w:szCs w:val="22"/>
          <w:lang w:val="en-GB"/>
        </w:rPr>
        <w:t xml:space="preserve">, approved by the </w:t>
      </w:r>
      <w:r w:rsidR="0003775F">
        <w:rPr>
          <w:snapToGrid w:val="0"/>
          <w:kern w:val="22"/>
          <w:sz w:val="22"/>
          <w:szCs w:val="22"/>
          <w:lang w:val="en-GB"/>
        </w:rPr>
        <w:t>P</w:t>
      </w:r>
      <w:r w:rsidR="0054631B" w:rsidRPr="007C26FA">
        <w:rPr>
          <w:snapToGrid w:val="0"/>
          <w:kern w:val="22"/>
          <w:sz w:val="22"/>
          <w:szCs w:val="22"/>
          <w:lang w:val="en-GB"/>
        </w:rPr>
        <w:t>lenary</w:t>
      </w:r>
      <w:r w:rsidR="00235355" w:rsidRPr="007C26FA">
        <w:rPr>
          <w:snapToGrid w:val="0"/>
          <w:kern w:val="22"/>
          <w:sz w:val="22"/>
          <w:szCs w:val="22"/>
          <w:lang w:val="en-GB"/>
        </w:rPr>
        <w:t xml:space="preserve"> of the Intergovernmental Science-Policy Platform on Biodiversity and Ecosystem Services</w:t>
      </w:r>
      <w:r w:rsidR="0054631B" w:rsidRPr="007C26FA">
        <w:rPr>
          <w:snapToGrid w:val="0"/>
          <w:kern w:val="22"/>
          <w:sz w:val="22"/>
          <w:szCs w:val="22"/>
          <w:lang w:val="en-GB"/>
        </w:rPr>
        <w:t xml:space="preserve"> in its decision 7/1, noting with appreciation that the request of the </w:t>
      </w:r>
      <w:r w:rsidR="00235355" w:rsidRPr="007C26FA">
        <w:rPr>
          <w:snapToGrid w:val="0"/>
          <w:kern w:val="22"/>
          <w:sz w:val="22"/>
          <w:szCs w:val="22"/>
          <w:lang w:val="en-GB"/>
        </w:rPr>
        <w:t xml:space="preserve">Conference of the Parties </w:t>
      </w:r>
      <w:r w:rsidR="0054631B" w:rsidRPr="007C26FA">
        <w:rPr>
          <w:snapToGrid w:val="0"/>
          <w:kern w:val="22"/>
          <w:sz w:val="22"/>
          <w:szCs w:val="22"/>
          <w:lang w:val="en-GB"/>
        </w:rPr>
        <w:t xml:space="preserve">set out in decision 14/36 </w:t>
      </w:r>
      <w:r w:rsidR="005B13A7" w:rsidRPr="007C26FA">
        <w:rPr>
          <w:snapToGrid w:val="0"/>
          <w:kern w:val="22"/>
          <w:sz w:val="22"/>
          <w:szCs w:val="22"/>
          <w:lang w:val="en-GB"/>
        </w:rPr>
        <w:t>has</w:t>
      </w:r>
      <w:r w:rsidR="0054631B" w:rsidRPr="007C26FA">
        <w:rPr>
          <w:snapToGrid w:val="0"/>
          <w:kern w:val="22"/>
          <w:sz w:val="22"/>
          <w:szCs w:val="22"/>
          <w:lang w:val="en-GB"/>
        </w:rPr>
        <w:t xml:space="preserve"> been met, and that, </w:t>
      </w:r>
      <w:r w:rsidR="0067489A" w:rsidRPr="00F96432">
        <w:rPr>
          <w:snapToGrid w:val="0"/>
          <w:kern w:val="22"/>
          <w:sz w:val="22"/>
          <w:szCs w:val="22"/>
          <w:lang w:val="en-GB"/>
        </w:rPr>
        <w:t xml:space="preserve">among other things, </w:t>
      </w:r>
      <w:r w:rsidR="00DC21CB" w:rsidRPr="00F96432">
        <w:rPr>
          <w:snapToGrid w:val="0"/>
          <w:kern w:val="22"/>
          <w:sz w:val="22"/>
          <w:szCs w:val="22"/>
          <w:lang w:val="en-GB"/>
        </w:rPr>
        <w:t>(a) </w:t>
      </w:r>
      <w:r w:rsidR="0054631B" w:rsidRPr="007C26FA">
        <w:rPr>
          <w:snapToGrid w:val="0"/>
          <w:kern w:val="22"/>
          <w:sz w:val="22"/>
          <w:szCs w:val="22"/>
          <w:lang w:val="en-GB"/>
        </w:rPr>
        <w:t xml:space="preserve">the </w:t>
      </w:r>
      <w:r w:rsidR="00FF0662" w:rsidRPr="007C26FA">
        <w:rPr>
          <w:bCs/>
          <w:snapToGrid w:val="0"/>
          <w:kern w:val="22"/>
          <w:sz w:val="22"/>
          <w:szCs w:val="22"/>
          <w:lang w:val="en-GB"/>
        </w:rPr>
        <w:t xml:space="preserve">planned thematic assessment of the interlinkages among biodiversity, water, food and health (nexus assessment), </w:t>
      </w:r>
      <w:r w:rsidR="00A8327A" w:rsidRPr="00F96432">
        <w:rPr>
          <w:snapToGrid w:val="0"/>
          <w:kern w:val="22"/>
          <w:sz w:val="22"/>
          <w:szCs w:val="22"/>
          <w:lang w:val="en-GB"/>
        </w:rPr>
        <w:t>(b) </w:t>
      </w:r>
      <w:r w:rsidR="00FF0662" w:rsidRPr="007C26FA">
        <w:rPr>
          <w:bCs/>
          <w:snapToGrid w:val="0"/>
          <w:kern w:val="22"/>
          <w:sz w:val="22"/>
          <w:szCs w:val="22"/>
          <w:lang w:val="en-GB"/>
        </w:rPr>
        <w:t xml:space="preserve">the planned thematic assessment of the underlying causes of biodiversity loss and the determinants of transformative change and options for achieving the 2050 </w:t>
      </w:r>
      <w:r w:rsidR="001371BE" w:rsidRPr="007C26FA">
        <w:rPr>
          <w:bCs/>
          <w:snapToGrid w:val="0"/>
          <w:kern w:val="22"/>
          <w:sz w:val="22"/>
          <w:szCs w:val="22"/>
          <w:lang w:val="en-GB"/>
        </w:rPr>
        <w:t>V</w:t>
      </w:r>
      <w:r w:rsidR="00FF0662" w:rsidRPr="007C26FA">
        <w:rPr>
          <w:bCs/>
          <w:snapToGrid w:val="0"/>
          <w:kern w:val="22"/>
          <w:sz w:val="22"/>
          <w:szCs w:val="22"/>
          <w:lang w:val="en-GB"/>
        </w:rPr>
        <w:t xml:space="preserve">ision for </w:t>
      </w:r>
      <w:r w:rsidR="001371BE" w:rsidRPr="007C26FA">
        <w:rPr>
          <w:bCs/>
          <w:snapToGrid w:val="0"/>
          <w:kern w:val="22"/>
          <w:sz w:val="22"/>
          <w:szCs w:val="22"/>
          <w:lang w:val="en-GB"/>
        </w:rPr>
        <w:t>B</w:t>
      </w:r>
      <w:r w:rsidR="00FF0662" w:rsidRPr="007C26FA">
        <w:rPr>
          <w:bCs/>
          <w:snapToGrid w:val="0"/>
          <w:kern w:val="22"/>
          <w:sz w:val="22"/>
          <w:szCs w:val="22"/>
          <w:lang w:val="en-GB"/>
        </w:rPr>
        <w:t>iodiversity (transformative change assessment)</w:t>
      </w:r>
      <w:r w:rsidR="00A0151C" w:rsidRPr="007C26FA">
        <w:rPr>
          <w:bCs/>
          <w:snapToGrid w:val="0"/>
          <w:kern w:val="22"/>
          <w:sz w:val="22"/>
          <w:szCs w:val="22"/>
          <w:lang w:val="en-GB"/>
        </w:rPr>
        <w:t>,</w:t>
      </w:r>
      <w:r w:rsidR="00FF0662" w:rsidRPr="007C26FA">
        <w:rPr>
          <w:bCs/>
          <w:snapToGrid w:val="0"/>
          <w:kern w:val="22"/>
          <w:sz w:val="22"/>
          <w:szCs w:val="22"/>
          <w:lang w:val="en-GB"/>
        </w:rPr>
        <w:t xml:space="preserve"> </w:t>
      </w:r>
      <w:r w:rsidR="0008539A" w:rsidRPr="00F96432">
        <w:rPr>
          <w:snapToGrid w:val="0"/>
          <w:kern w:val="22"/>
          <w:sz w:val="22"/>
          <w:szCs w:val="22"/>
          <w:lang w:val="en-GB"/>
        </w:rPr>
        <w:t>and</w:t>
      </w:r>
      <w:r w:rsidR="00FF0662" w:rsidRPr="007C26FA">
        <w:rPr>
          <w:snapToGrid w:val="0"/>
          <w:kern w:val="22"/>
          <w:sz w:val="22"/>
          <w:szCs w:val="22"/>
          <w:lang w:val="en-GB"/>
        </w:rPr>
        <w:t xml:space="preserve"> </w:t>
      </w:r>
      <w:r w:rsidR="0008539A" w:rsidRPr="00F96432">
        <w:rPr>
          <w:snapToGrid w:val="0"/>
          <w:kern w:val="22"/>
          <w:sz w:val="22"/>
          <w:szCs w:val="22"/>
          <w:lang w:val="en-GB"/>
        </w:rPr>
        <w:t>(c) </w:t>
      </w:r>
      <w:r w:rsidR="00FF0662" w:rsidRPr="007C26FA">
        <w:rPr>
          <w:snapToGrid w:val="0"/>
          <w:kern w:val="22"/>
          <w:sz w:val="22"/>
          <w:szCs w:val="22"/>
          <w:lang w:val="en-GB"/>
        </w:rPr>
        <w:t xml:space="preserve">the planned </w:t>
      </w:r>
      <w:r w:rsidR="00FF0662" w:rsidRPr="007C26FA">
        <w:rPr>
          <w:bCs/>
          <w:snapToGrid w:val="0"/>
          <w:kern w:val="22"/>
          <w:sz w:val="22"/>
          <w:szCs w:val="22"/>
          <w:lang w:val="en-GB"/>
        </w:rPr>
        <w:t xml:space="preserve">methodological assessment of the impact and dependence of business on biodiversity and nature’s contributions to people (business and biodiversity assessment) are </w:t>
      </w:r>
      <w:r w:rsidR="0054631B" w:rsidRPr="007C26FA">
        <w:rPr>
          <w:snapToGrid w:val="0"/>
          <w:kern w:val="22"/>
          <w:sz w:val="22"/>
          <w:szCs w:val="22"/>
          <w:lang w:val="en-GB"/>
        </w:rPr>
        <w:t xml:space="preserve">expected to </w:t>
      </w:r>
      <w:r w:rsidR="001371BE" w:rsidRPr="007C26FA">
        <w:rPr>
          <w:snapToGrid w:val="0"/>
          <w:kern w:val="22"/>
          <w:sz w:val="22"/>
          <w:szCs w:val="22"/>
          <w:lang w:val="en-GB"/>
        </w:rPr>
        <w:t>contribute</w:t>
      </w:r>
      <w:r w:rsidR="0054631B" w:rsidRPr="007C26FA">
        <w:rPr>
          <w:snapToGrid w:val="0"/>
          <w:kern w:val="22"/>
          <w:sz w:val="22"/>
          <w:szCs w:val="22"/>
          <w:lang w:val="en-GB"/>
        </w:rPr>
        <w:t xml:space="preserve"> to the implementation of the post</w:t>
      </w:r>
      <w:r w:rsidR="001371BE" w:rsidRPr="007C26FA">
        <w:rPr>
          <w:snapToGrid w:val="0"/>
          <w:kern w:val="22"/>
          <w:sz w:val="22"/>
          <w:szCs w:val="22"/>
          <w:lang w:val="en-GB"/>
        </w:rPr>
        <w:t>-</w:t>
      </w:r>
      <w:r w:rsidR="0054631B" w:rsidRPr="007C26FA">
        <w:rPr>
          <w:snapToGrid w:val="0"/>
          <w:kern w:val="22"/>
          <w:sz w:val="22"/>
          <w:szCs w:val="22"/>
          <w:lang w:val="en-GB"/>
        </w:rPr>
        <w:t xml:space="preserve">2020 </w:t>
      </w:r>
      <w:r w:rsidR="001371BE" w:rsidRPr="007C26FA">
        <w:rPr>
          <w:snapToGrid w:val="0"/>
          <w:kern w:val="22"/>
          <w:sz w:val="22"/>
          <w:szCs w:val="22"/>
          <w:lang w:val="en-GB"/>
        </w:rPr>
        <w:t>global</w:t>
      </w:r>
      <w:r w:rsidR="0054631B" w:rsidRPr="007C26FA">
        <w:rPr>
          <w:snapToGrid w:val="0"/>
          <w:kern w:val="22"/>
          <w:sz w:val="22"/>
          <w:szCs w:val="22"/>
          <w:lang w:val="en-GB"/>
        </w:rPr>
        <w:t xml:space="preserve"> </w:t>
      </w:r>
      <w:r w:rsidR="001371BE" w:rsidRPr="007C26FA">
        <w:rPr>
          <w:snapToGrid w:val="0"/>
          <w:kern w:val="22"/>
          <w:sz w:val="22"/>
          <w:szCs w:val="22"/>
          <w:lang w:val="en-GB"/>
        </w:rPr>
        <w:t>biodiversity</w:t>
      </w:r>
      <w:r w:rsidR="0054631B" w:rsidRPr="007C26FA">
        <w:rPr>
          <w:snapToGrid w:val="0"/>
          <w:kern w:val="22"/>
          <w:sz w:val="22"/>
          <w:szCs w:val="22"/>
          <w:lang w:val="en-GB"/>
        </w:rPr>
        <w:t xml:space="preserve"> framework</w:t>
      </w:r>
      <w:r w:rsidR="00980DA9" w:rsidRPr="007C26FA">
        <w:rPr>
          <w:snapToGrid w:val="0"/>
          <w:kern w:val="22"/>
          <w:sz w:val="22"/>
          <w:szCs w:val="22"/>
          <w:lang w:val="en-GB"/>
        </w:rPr>
        <w:t>;</w:t>
      </w:r>
    </w:p>
    <w:p w14:paraId="767C15C0" w14:textId="1740A7F4"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snapToGrid w:val="0"/>
          <w:kern w:val="22"/>
          <w:sz w:val="22"/>
          <w:szCs w:val="22"/>
          <w:lang w:val="en-GB"/>
        </w:rPr>
        <w:lastRenderedPageBreak/>
        <w:t>2.</w:t>
      </w:r>
      <w:r w:rsidRPr="007C26FA">
        <w:rPr>
          <w:snapToGrid w:val="0"/>
          <w:kern w:val="22"/>
          <w:sz w:val="22"/>
          <w:szCs w:val="22"/>
          <w:lang w:val="en-GB"/>
        </w:rPr>
        <w:tab/>
      </w:r>
      <w:r w:rsidRPr="005D4309">
        <w:rPr>
          <w:i/>
          <w:iCs/>
          <w:snapToGrid w:val="0"/>
          <w:kern w:val="22"/>
          <w:sz w:val="22"/>
          <w:szCs w:val="22"/>
          <w:lang w:val="en-GB"/>
        </w:rPr>
        <w:t xml:space="preserve">Also </w:t>
      </w:r>
      <w:r w:rsidR="005D4309" w:rsidRPr="007C26FA">
        <w:rPr>
          <w:i/>
          <w:iCs/>
          <w:snapToGrid w:val="0"/>
          <w:kern w:val="22"/>
          <w:sz w:val="22"/>
          <w:szCs w:val="22"/>
          <w:lang w:val="en-GB"/>
        </w:rPr>
        <w:t>w</w:t>
      </w:r>
      <w:r w:rsidR="00FF2C4D" w:rsidRPr="007C26FA">
        <w:rPr>
          <w:i/>
          <w:iCs/>
          <w:snapToGrid w:val="0"/>
          <w:kern w:val="22"/>
          <w:sz w:val="22"/>
          <w:szCs w:val="22"/>
          <w:lang w:val="en-GB"/>
        </w:rPr>
        <w:t>elcomes</w:t>
      </w:r>
      <w:r w:rsidR="00FF2C4D" w:rsidRPr="007C26FA">
        <w:rPr>
          <w:snapToGrid w:val="0"/>
          <w:kern w:val="22"/>
          <w:sz w:val="22"/>
          <w:szCs w:val="22"/>
          <w:lang w:val="en-GB"/>
        </w:rPr>
        <w:t xml:space="preserve"> the progress in the scoping of the nexus assessment and the transformative change assessment and looks forward to their consideration for approval and initiation at </w:t>
      </w:r>
      <w:r w:rsidR="003979C5" w:rsidRPr="007C26FA">
        <w:rPr>
          <w:snapToGrid w:val="0"/>
          <w:kern w:val="22"/>
          <w:sz w:val="22"/>
          <w:szCs w:val="22"/>
          <w:lang w:val="en-GB"/>
        </w:rPr>
        <w:t>the eighth session of the Plenary of the Intergovernmental Science</w:t>
      </w:r>
      <w:r w:rsidR="00630499" w:rsidRPr="007C26FA">
        <w:rPr>
          <w:snapToGrid w:val="0"/>
          <w:kern w:val="22"/>
          <w:sz w:val="22"/>
          <w:szCs w:val="22"/>
          <w:lang w:val="en-GB"/>
        </w:rPr>
        <w:t>-</w:t>
      </w:r>
      <w:r w:rsidR="003979C5" w:rsidRPr="007C26FA">
        <w:rPr>
          <w:snapToGrid w:val="0"/>
          <w:kern w:val="22"/>
          <w:sz w:val="22"/>
          <w:szCs w:val="22"/>
          <w:lang w:val="en-GB"/>
        </w:rPr>
        <w:t>Policy Platform on Biodiversity and Ecosystem Services</w:t>
      </w:r>
      <w:r w:rsidR="00630499" w:rsidRPr="007C26FA">
        <w:rPr>
          <w:snapToGrid w:val="0"/>
          <w:kern w:val="22"/>
          <w:sz w:val="22"/>
          <w:szCs w:val="22"/>
          <w:lang w:val="en-GB"/>
        </w:rPr>
        <w:t>;</w:t>
      </w:r>
      <w:r w:rsidR="00FF2C4D" w:rsidRPr="007C26FA">
        <w:rPr>
          <w:rStyle w:val="FootnoteReference"/>
          <w:snapToGrid w:val="0"/>
          <w:kern w:val="22"/>
          <w:szCs w:val="22"/>
          <w:lang w:val="en-GB"/>
        </w:rPr>
        <w:footnoteReference w:id="5"/>
      </w:r>
    </w:p>
    <w:p w14:paraId="6DFA98EE" w14:textId="1048DEBA"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snapToGrid w:val="0"/>
          <w:kern w:val="22"/>
          <w:sz w:val="22"/>
          <w:szCs w:val="22"/>
          <w:lang w:val="en-GB"/>
        </w:rPr>
        <w:t>3.</w:t>
      </w:r>
      <w:r w:rsidRPr="007C26FA">
        <w:rPr>
          <w:snapToGrid w:val="0"/>
          <w:kern w:val="22"/>
          <w:sz w:val="22"/>
          <w:szCs w:val="22"/>
          <w:lang w:val="en-GB"/>
        </w:rPr>
        <w:tab/>
      </w:r>
      <w:r w:rsidRPr="00D85408">
        <w:rPr>
          <w:i/>
          <w:iCs/>
          <w:snapToGrid w:val="0"/>
          <w:kern w:val="22"/>
          <w:sz w:val="22"/>
          <w:szCs w:val="22"/>
          <w:lang w:val="en-GB"/>
        </w:rPr>
        <w:t xml:space="preserve">Further </w:t>
      </w:r>
      <w:r w:rsidR="00D85408" w:rsidRPr="007C26FA">
        <w:rPr>
          <w:i/>
          <w:iCs/>
          <w:snapToGrid w:val="0"/>
          <w:kern w:val="22"/>
          <w:sz w:val="22"/>
          <w:szCs w:val="22"/>
          <w:lang w:val="en-GB"/>
        </w:rPr>
        <w:t>w</w:t>
      </w:r>
      <w:r w:rsidR="00AF7872" w:rsidRPr="007C26FA">
        <w:rPr>
          <w:i/>
          <w:iCs/>
          <w:snapToGrid w:val="0"/>
          <w:kern w:val="22"/>
          <w:sz w:val="22"/>
          <w:szCs w:val="22"/>
          <w:lang w:val="en-GB"/>
        </w:rPr>
        <w:t>elcomes</w:t>
      </w:r>
      <w:r w:rsidR="00AF7872" w:rsidRPr="007C26FA">
        <w:rPr>
          <w:snapToGrid w:val="0"/>
          <w:kern w:val="22"/>
          <w:sz w:val="22"/>
          <w:szCs w:val="22"/>
          <w:lang w:val="en-GB"/>
        </w:rPr>
        <w:t xml:space="preserve"> the report of the </w:t>
      </w:r>
      <w:r w:rsidR="00D85408">
        <w:rPr>
          <w:snapToGrid w:val="0"/>
          <w:kern w:val="22"/>
          <w:sz w:val="22"/>
          <w:szCs w:val="22"/>
          <w:lang w:val="en-GB"/>
        </w:rPr>
        <w:t>w</w:t>
      </w:r>
      <w:r w:rsidR="00AF7872" w:rsidRPr="007C26FA">
        <w:rPr>
          <w:snapToGrid w:val="0"/>
          <w:kern w:val="22"/>
          <w:sz w:val="22"/>
          <w:szCs w:val="22"/>
          <w:lang w:val="en-GB"/>
        </w:rPr>
        <w:t xml:space="preserve">orkshop convened by </w:t>
      </w:r>
      <w:r w:rsidR="00DE3589" w:rsidRPr="007C26FA">
        <w:rPr>
          <w:snapToGrid w:val="0"/>
          <w:kern w:val="22"/>
          <w:sz w:val="22"/>
          <w:szCs w:val="22"/>
          <w:lang w:val="en-GB"/>
        </w:rPr>
        <w:t>the Intergovernmental Science-Policy Platform on Biodiversity and Ecosystem Services</w:t>
      </w:r>
      <w:r w:rsidR="00DE3589" w:rsidRPr="007C26FA" w:rsidDel="00DE3589">
        <w:rPr>
          <w:snapToGrid w:val="0"/>
          <w:kern w:val="22"/>
          <w:sz w:val="22"/>
          <w:szCs w:val="22"/>
          <w:lang w:val="en-GB"/>
        </w:rPr>
        <w:t xml:space="preserve"> </w:t>
      </w:r>
      <w:r w:rsidR="00AF7872" w:rsidRPr="007C26FA">
        <w:rPr>
          <w:snapToGrid w:val="0"/>
          <w:kern w:val="22"/>
          <w:sz w:val="22"/>
          <w:szCs w:val="22"/>
          <w:lang w:val="en-GB"/>
        </w:rPr>
        <w:t xml:space="preserve">on </w:t>
      </w:r>
      <w:r w:rsidR="001371BE" w:rsidRPr="007C26FA">
        <w:rPr>
          <w:snapToGrid w:val="0"/>
          <w:kern w:val="22"/>
          <w:sz w:val="22"/>
          <w:szCs w:val="22"/>
          <w:lang w:val="en-GB"/>
        </w:rPr>
        <w:t>b</w:t>
      </w:r>
      <w:r w:rsidR="00AF7872" w:rsidRPr="007C26FA">
        <w:rPr>
          <w:snapToGrid w:val="0"/>
          <w:kern w:val="22"/>
          <w:sz w:val="22"/>
          <w:szCs w:val="22"/>
          <w:lang w:val="en-GB"/>
        </w:rPr>
        <w:t xml:space="preserve">iodiversity and </w:t>
      </w:r>
      <w:r w:rsidR="001371BE" w:rsidRPr="007C26FA">
        <w:rPr>
          <w:snapToGrid w:val="0"/>
          <w:kern w:val="22"/>
          <w:sz w:val="22"/>
          <w:szCs w:val="22"/>
          <w:lang w:val="en-GB"/>
        </w:rPr>
        <w:t>p</w:t>
      </w:r>
      <w:r w:rsidR="00AF7872" w:rsidRPr="007C26FA">
        <w:rPr>
          <w:snapToGrid w:val="0"/>
          <w:kern w:val="22"/>
          <w:sz w:val="22"/>
          <w:szCs w:val="22"/>
          <w:lang w:val="en-GB"/>
        </w:rPr>
        <w:t>andemics</w:t>
      </w:r>
      <w:r w:rsidR="005B13A7" w:rsidRPr="007C26FA">
        <w:rPr>
          <w:snapToGrid w:val="0"/>
          <w:kern w:val="22"/>
          <w:sz w:val="22"/>
          <w:szCs w:val="22"/>
          <w:lang w:val="en-GB"/>
        </w:rPr>
        <w:t>, and notes its relevance for the work of the Convention, including the post</w:t>
      </w:r>
      <w:r w:rsidR="001371BE" w:rsidRPr="007C26FA">
        <w:rPr>
          <w:snapToGrid w:val="0"/>
          <w:kern w:val="22"/>
          <w:sz w:val="22"/>
          <w:szCs w:val="22"/>
          <w:lang w:val="en-GB"/>
        </w:rPr>
        <w:t>-</w:t>
      </w:r>
      <w:r w:rsidR="005B13A7" w:rsidRPr="007C26FA">
        <w:rPr>
          <w:snapToGrid w:val="0"/>
          <w:kern w:val="22"/>
          <w:sz w:val="22"/>
          <w:szCs w:val="22"/>
          <w:lang w:val="en-GB"/>
        </w:rPr>
        <w:t xml:space="preserve">2020 global biodiversity framework, as well as the work </w:t>
      </w:r>
      <w:r w:rsidR="00B1579E">
        <w:rPr>
          <w:snapToGrid w:val="0"/>
          <w:kern w:val="22"/>
          <w:sz w:val="22"/>
          <w:szCs w:val="22"/>
          <w:lang w:val="en-GB"/>
        </w:rPr>
        <w:t>carried out un</w:t>
      </w:r>
      <w:r w:rsidR="00426A99">
        <w:rPr>
          <w:snapToGrid w:val="0"/>
          <w:kern w:val="22"/>
          <w:sz w:val="22"/>
          <w:szCs w:val="22"/>
          <w:lang w:val="en-GB"/>
        </w:rPr>
        <w:t xml:space="preserve">der the </w:t>
      </w:r>
      <w:r w:rsidR="00B1579E" w:rsidRPr="00230FAA">
        <w:rPr>
          <w:snapToGrid w:val="0"/>
          <w:kern w:val="22"/>
          <w:sz w:val="22"/>
          <w:szCs w:val="22"/>
          <w:lang w:val="en-GB"/>
        </w:rPr>
        <w:t xml:space="preserve">Convention </w:t>
      </w:r>
      <w:r w:rsidR="005B13A7" w:rsidRPr="007C26FA">
        <w:rPr>
          <w:snapToGrid w:val="0"/>
          <w:kern w:val="22"/>
          <w:sz w:val="22"/>
          <w:szCs w:val="22"/>
          <w:lang w:val="en-GB"/>
        </w:rPr>
        <w:t>on the interlinkages between biodiversity and health</w:t>
      </w:r>
      <w:r w:rsidR="00980DA9" w:rsidRPr="007C26FA">
        <w:rPr>
          <w:snapToGrid w:val="0"/>
          <w:kern w:val="22"/>
          <w:sz w:val="22"/>
          <w:szCs w:val="22"/>
          <w:lang w:val="en-GB"/>
        </w:rPr>
        <w:t>;</w:t>
      </w:r>
    </w:p>
    <w:p w14:paraId="5AF226D2" w14:textId="369D68D1"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snapToGrid w:val="0"/>
          <w:kern w:val="22"/>
          <w:sz w:val="22"/>
          <w:szCs w:val="22"/>
          <w:lang w:val="en-GB"/>
        </w:rPr>
        <w:t>4.</w:t>
      </w:r>
      <w:r w:rsidRPr="007C26FA">
        <w:rPr>
          <w:snapToGrid w:val="0"/>
          <w:kern w:val="22"/>
          <w:sz w:val="22"/>
          <w:szCs w:val="22"/>
          <w:lang w:val="en-GB"/>
        </w:rPr>
        <w:tab/>
      </w:r>
      <w:r w:rsidR="00AF7872" w:rsidRPr="007C26FA">
        <w:rPr>
          <w:i/>
          <w:iCs/>
          <w:snapToGrid w:val="0"/>
          <w:kern w:val="22"/>
          <w:sz w:val="22"/>
          <w:szCs w:val="22"/>
          <w:lang w:val="en-GB"/>
        </w:rPr>
        <w:t>Welcomes</w:t>
      </w:r>
      <w:r w:rsidR="00AF7872" w:rsidRPr="007C26FA">
        <w:rPr>
          <w:snapToGrid w:val="0"/>
          <w:kern w:val="22"/>
          <w:sz w:val="22"/>
          <w:szCs w:val="22"/>
          <w:lang w:val="en-GB"/>
        </w:rPr>
        <w:t xml:space="preserve"> the cooper</w:t>
      </w:r>
      <w:r w:rsidR="005B13A7" w:rsidRPr="007C26FA">
        <w:rPr>
          <w:snapToGrid w:val="0"/>
          <w:kern w:val="22"/>
          <w:sz w:val="22"/>
          <w:szCs w:val="22"/>
          <w:lang w:val="en-GB"/>
        </w:rPr>
        <w:t>a</w:t>
      </w:r>
      <w:r w:rsidR="00AF7872" w:rsidRPr="007C26FA">
        <w:rPr>
          <w:snapToGrid w:val="0"/>
          <w:kern w:val="22"/>
          <w:sz w:val="22"/>
          <w:szCs w:val="22"/>
          <w:lang w:val="en-GB"/>
        </w:rPr>
        <w:t xml:space="preserve">tion between </w:t>
      </w:r>
      <w:r w:rsidR="00DE3589" w:rsidRPr="007C26FA">
        <w:rPr>
          <w:snapToGrid w:val="0"/>
          <w:kern w:val="22"/>
          <w:sz w:val="22"/>
          <w:szCs w:val="22"/>
          <w:lang w:val="en-GB"/>
        </w:rPr>
        <w:t>the Intergovernmental Science-Policy Platform on Biodiversity and Ecosystem Services</w:t>
      </w:r>
      <w:r w:rsidR="00DE3589" w:rsidRPr="007C26FA" w:rsidDel="00DE3589">
        <w:rPr>
          <w:snapToGrid w:val="0"/>
          <w:kern w:val="22"/>
          <w:sz w:val="22"/>
          <w:szCs w:val="22"/>
          <w:lang w:val="en-GB"/>
        </w:rPr>
        <w:t xml:space="preserve"> </w:t>
      </w:r>
      <w:r w:rsidR="00AF7872" w:rsidRPr="007C26FA">
        <w:rPr>
          <w:snapToGrid w:val="0"/>
          <w:kern w:val="22"/>
          <w:sz w:val="22"/>
          <w:szCs w:val="22"/>
          <w:lang w:val="en-GB"/>
        </w:rPr>
        <w:t xml:space="preserve">and </w:t>
      </w:r>
      <w:r w:rsidR="00190212" w:rsidRPr="007C26FA">
        <w:rPr>
          <w:snapToGrid w:val="0"/>
          <w:kern w:val="22"/>
          <w:sz w:val="22"/>
          <w:szCs w:val="22"/>
          <w:lang w:val="en-GB"/>
        </w:rPr>
        <w:t>the Intergovernmental Panel on Climate Change</w:t>
      </w:r>
      <w:r w:rsidR="008435C1" w:rsidRPr="002C683E">
        <w:rPr>
          <w:snapToGrid w:val="0"/>
          <w:kern w:val="22"/>
          <w:sz w:val="22"/>
          <w:szCs w:val="22"/>
          <w:lang w:val="en-GB"/>
        </w:rPr>
        <w:t>,</w:t>
      </w:r>
      <w:r w:rsidR="00190212" w:rsidRPr="007C26FA">
        <w:rPr>
          <w:snapToGrid w:val="0"/>
          <w:kern w:val="22"/>
          <w:sz w:val="22"/>
          <w:szCs w:val="22"/>
          <w:lang w:val="en-GB"/>
        </w:rPr>
        <w:t xml:space="preserve"> </w:t>
      </w:r>
      <w:r w:rsidR="001371BE" w:rsidRPr="007C26FA">
        <w:rPr>
          <w:snapToGrid w:val="0"/>
          <w:kern w:val="22"/>
          <w:sz w:val="22"/>
          <w:szCs w:val="22"/>
          <w:lang w:val="en-GB"/>
        </w:rPr>
        <w:t>including</w:t>
      </w:r>
      <w:r w:rsidR="00AF7872" w:rsidRPr="007C26FA">
        <w:rPr>
          <w:snapToGrid w:val="0"/>
          <w:kern w:val="22"/>
          <w:sz w:val="22"/>
          <w:szCs w:val="22"/>
          <w:lang w:val="en-GB"/>
        </w:rPr>
        <w:t xml:space="preserve"> the report of the </w:t>
      </w:r>
      <w:r w:rsidR="001371BE" w:rsidRPr="007C26FA">
        <w:rPr>
          <w:snapToGrid w:val="0"/>
          <w:kern w:val="22"/>
          <w:sz w:val="22"/>
          <w:szCs w:val="22"/>
          <w:lang w:val="en-GB"/>
        </w:rPr>
        <w:t xml:space="preserve">joint co-sponsored </w:t>
      </w:r>
      <w:r w:rsidR="00190212" w:rsidRPr="007C26FA">
        <w:rPr>
          <w:snapToGrid w:val="0"/>
          <w:kern w:val="22"/>
          <w:sz w:val="22"/>
          <w:szCs w:val="22"/>
          <w:lang w:val="en-GB"/>
        </w:rPr>
        <w:t>w</w:t>
      </w:r>
      <w:r w:rsidR="00AF7872" w:rsidRPr="007C26FA">
        <w:rPr>
          <w:snapToGrid w:val="0"/>
          <w:kern w:val="22"/>
          <w:sz w:val="22"/>
          <w:szCs w:val="22"/>
          <w:lang w:val="en-GB"/>
        </w:rPr>
        <w:t xml:space="preserve">orkshop on </w:t>
      </w:r>
      <w:r w:rsidR="001371BE" w:rsidRPr="007C26FA">
        <w:rPr>
          <w:snapToGrid w:val="0"/>
          <w:kern w:val="22"/>
          <w:sz w:val="22"/>
          <w:szCs w:val="22"/>
          <w:lang w:val="en-GB"/>
        </w:rPr>
        <w:t>b</w:t>
      </w:r>
      <w:r w:rsidR="00AF7872" w:rsidRPr="007C26FA">
        <w:rPr>
          <w:snapToGrid w:val="0"/>
          <w:kern w:val="22"/>
          <w:sz w:val="22"/>
          <w:szCs w:val="22"/>
          <w:lang w:val="en-GB"/>
        </w:rPr>
        <w:t xml:space="preserve">iodiversity and </w:t>
      </w:r>
      <w:r w:rsidR="001371BE" w:rsidRPr="007C26FA">
        <w:rPr>
          <w:snapToGrid w:val="0"/>
          <w:kern w:val="22"/>
          <w:sz w:val="22"/>
          <w:szCs w:val="22"/>
          <w:lang w:val="en-GB"/>
        </w:rPr>
        <w:t>c</w:t>
      </w:r>
      <w:r w:rsidR="00AF7872" w:rsidRPr="007C26FA">
        <w:rPr>
          <w:snapToGrid w:val="0"/>
          <w:kern w:val="22"/>
          <w:sz w:val="22"/>
          <w:szCs w:val="22"/>
          <w:lang w:val="en-GB"/>
        </w:rPr>
        <w:t xml:space="preserve">limate </w:t>
      </w:r>
      <w:r w:rsidR="001371BE" w:rsidRPr="007C26FA">
        <w:rPr>
          <w:snapToGrid w:val="0"/>
          <w:kern w:val="22"/>
          <w:sz w:val="22"/>
          <w:szCs w:val="22"/>
          <w:lang w:val="en-GB"/>
        </w:rPr>
        <w:t>c</w:t>
      </w:r>
      <w:r w:rsidR="00AF7872" w:rsidRPr="007C26FA">
        <w:rPr>
          <w:snapToGrid w:val="0"/>
          <w:kern w:val="22"/>
          <w:sz w:val="22"/>
          <w:szCs w:val="22"/>
          <w:lang w:val="en-GB"/>
        </w:rPr>
        <w:t>hange</w:t>
      </w:r>
      <w:r w:rsidR="005B13A7" w:rsidRPr="007C26FA">
        <w:rPr>
          <w:snapToGrid w:val="0"/>
          <w:kern w:val="22"/>
          <w:sz w:val="22"/>
          <w:szCs w:val="22"/>
          <w:lang w:val="en-GB"/>
        </w:rPr>
        <w:t>, and encourages the t</w:t>
      </w:r>
      <w:r w:rsidR="001371BE" w:rsidRPr="007C26FA">
        <w:rPr>
          <w:snapToGrid w:val="0"/>
          <w:kern w:val="22"/>
          <w:sz w:val="22"/>
          <w:szCs w:val="22"/>
          <w:lang w:val="en-GB"/>
        </w:rPr>
        <w:t>w</w:t>
      </w:r>
      <w:r w:rsidR="005B13A7" w:rsidRPr="007C26FA">
        <w:rPr>
          <w:snapToGrid w:val="0"/>
          <w:kern w:val="22"/>
          <w:sz w:val="22"/>
          <w:szCs w:val="22"/>
          <w:lang w:val="en-GB"/>
        </w:rPr>
        <w:t xml:space="preserve">o bodies to further </w:t>
      </w:r>
      <w:r w:rsidR="001371BE" w:rsidRPr="007C26FA">
        <w:rPr>
          <w:snapToGrid w:val="0"/>
          <w:kern w:val="22"/>
          <w:sz w:val="22"/>
          <w:szCs w:val="22"/>
          <w:lang w:val="en-GB"/>
        </w:rPr>
        <w:t>strengthen</w:t>
      </w:r>
      <w:r w:rsidR="005B13A7" w:rsidRPr="007C26FA">
        <w:rPr>
          <w:snapToGrid w:val="0"/>
          <w:kern w:val="22"/>
          <w:sz w:val="22"/>
          <w:szCs w:val="22"/>
          <w:lang w:val="en-GB"/>
        </w:rPr>
        <w:t xml:space="preserve"> the</w:t>
      </w:r>
      <w:r w:rsidR="00980DA9" w:rsidRPr="007C26FA">
        <w:rPr>
          <w:snapToGrid w:val="0"/>
          <w:kern w:val="22"/>
          <w:sz w:val="22"/>
          <w:szCs w:val="22"/>
          <w:lang w:val="en-GB"/>
        </w:rPr>
        <w:t>i</w:t>
      </w:r>
      <w:r w:rsidR="005B13A7" w:rsidRPr="007C26FA">
        <w:rPr>
          <w:snapToGrid w:val="0"/>
          <w:kern w:val="22"/>
          <w:sz w:val="22"/>
          <w:szCs w:val="22"/>
          <w:lang w:val="en-GB"/>
        </w:rPr>
        <w:t>r collaboration</w:t>
      </w:r>
      <w:r w:rsidR="00980DA9" w:rsidRPr="007C26FA">
        <w:rPr>
          <w:snapToGrid w:val="0"/>
          <w:kern w:val="22"/>
          <w:sz w:val="22"/>
          <w:szCs w:val="22"/>
          <w:lang w:val="en-GB"/>
        </w:rPr>
        <w:t xml:space="preserve">, as </w:t>
      </w:r>
      <w:r w:rsidR="001371BE" w:rsidRPr="007C26FA">
        <w:rPr>
          <w:snapToGrid w:val="0"/>
          <w:kern w:val="22"/>
          <w:sz w:val="22"/>
          <w:szCs w:val="22"/>
          <w:lang w:val="en-GB"/>
        </w:rPr>
        <w:t>appropriate</w:t>
      </w:r>
      <w:r w:rsidR="00980DA9" w:rsidRPr="007C26FA">
        <w:rPr>
          <w:snapToGrid w:val="0"/>
          <w:kern w:val="22"/>
          <w:sz w:val="22"/>
          <w:szCs w:val="22"/>
          <w:lang w:val="en-GB"/>
        </w:rPr>
        <w:t>,</w:t>
      </w:r>
      <w:r w:rsidR="005B13A7" w:rsidRPr="007C26FA">
        <w:rPr>
          <w:snapToGrid w:val="0"/>
          <w:kern w:val="22"/>
          <w:sz w:val="22"/>
          <w:szCs w:val="22"/>
          <w:lang w:val="en-GB"/>
        </w:rPr>
        <w:t xml:space="preserve"> with a view </w:t>
      </w:r>
      <w:r w:rsidR="00442898" w:rsidRPr="002C683E">
        <w:rPr>
          <w:snapToGrid w:val="0"/>
          <w:kern w:val="22"/>
          <w:sz w:val="22"/>
          <w:szCs w:val="22"/>
          <w:lang w:val="en-GB"/>
        </w:rPr>
        <w:t>to</w:t>
      </w:r>
      <w:r w:rsidR="00442898" w:rsidRPr="007C26FA">
        <w:rPr>
          <w:snapToGrid w:val="0"/>
          <w:kern w:val="22"/>
          <w:sz w:val="22"/>
          <w:szCs w:val="22"/>
          <w:lang w:val="en-GB"/>
        </w:rPr>
        <w:t xml:space="preserve"> </w:t>
      </w:r>
      <w:r w:rsidR="005B13A7" w:rsidRPr="007C26FA">
        <w:rPr>
          <w:snapToGrid w:val="0"/>
          <w:kern w:val="22"/>
          <w:sz w:val="22"/>
          <w:szCs w:val="22"/>
          <w:lang w:val="en-GB"/>
        </w:rPr>
        <w:t xml:space="preserve">supporting </w:t>
      </w:r>
      <w:r w:rsidR="00980DA9" w:rsidRPr="007C26FA">
        <w:rPr>
          <w:snapToGrid w:val="0"/>
          <w:kern w:val="22"/>
          <w:sz w:val="22"/>
          <w:szCs w:val="22"/>
          <w:lang w:val="en-GB"/>
        </w:rPr>
        <w:t>an integrated approach;</w:t>
      </w:r>
    </w:p>
    <w:p w14:paraId="606DD40B" w14:textId="65E4583F"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2C683E">
        <w:rPr>
          <w:snapToGrid w:val="0"/>
          <w:kern w:val="22"/>
          <w:sz w:val="22"/>
          <w:szCs w:val="22"/>
          <w:lang w:val="en-GB"/>
        </w:rPr>
        <w:t>5.</w:t>
      </w:r>
      <w:r w:rsidRPr="002C683E">
        <w:rPr>
          <w:snapToGrid w:val="0"/>
          <w:kern w:val="22"/>
          <w:sz w:val="22"/>
          <w:szCs w:val="22"/>
          <w:lang w:val="en-GB"/>
        </w:rPr>
        <w:tab/>
      </w:r>
      <w:r w:rsidRPr="00FC2DA6">
        <w:rPr>
          <w:i/>
          <w:iCs/>
          <w:snapToGrid w:val="0"/>
          <w:kern w:val="22"/>
          <w:sz w:val="22"/>
          <w:szCs w:val="22"/>
          <w:lang w:val="en-GB"/>
        </w:rPr>
        <w:t>Notes</w:t>
      </w:r>
      <w:r w:rsidRPr="007C26FA">
        <w:rPr>
          <w:snapToGrid w:val="0"/>
          <w:kern w:val="22"/>
          <w:sz w:val="22"/>
          <w:szCs w:val="22"/>
          <w:lang w:val="en-GB"/>
        </w:rPr>
        <w:t xml:space="preserve"> </w:t>
      </w:r>
      <w:r w:rsidR="00FF2C4D" w:rsidRPr="007C26FA">
        <w:rPr>
          <w:snapToGrid w:val="0"/>
          <w:kern w:val="22"/>
          <w:sz w:val="22"/>
          <w:szCs w:val="22"/>
          <w:lang w:val="en-GB"/>
        </w:rPr>
        <w:t xml:space="preserve">that the </w:t>
      </w:r>
      <w:r w:rsidR="0030397C" w:rsidRPr="007C26FA">
        <w:rPr>
          <w:snapToGrid w:val="0"/>
          <w:kern w:val="22"/>
          <w:sz w:val="22"/>
          <w:szCs w:val="22"/>
          <w:lang w:val="en-GB"/>
        </w:rPr>
        <w:t xml:space="preserve">ninth session of the Intergovernmental Science-Policy Platform on Biodiversity and Ecosystem Services </w:t>
      </w:r>
      <w:r w:rsidR="00FF2C4D" w:rsidRPr="007C26FA">
        <w:rPr>
          <w:bCs/>
          <w:snapToGrid w:val="0"/>
          <w:kern w:val="22"/>
          <w:sz w:val="22"/>
          <w:szCs w:val="22"/>
          <w:lang w:val="en-GB"/>
        </w:rPr>
        <w:t>will reconsider the requests, inputs and suggestions received in time for consideration at that session, including for a second global assessment of biodiversity and ecosystem services and for an assessment on ecological connectivity</w:t>
      </w:r>
      <w:r w:rsidR="002E0BBF">
        <w:rPr>
          <w:bCs/>
          <w:snapToGrid w:val="0"/>
          <w:kern w:val="22"/>
          <w:sz w:val="22"/>
          <w:szCs w:val="22"/>
          <w:lang w:val="en-GB"/>
        </w:rPr>
        <w:t xml:space="preserve"> and</w:t>
      </w:r>
      <w:r w:rsidR="00FF2C4D" w:rsidRPr="007C26FA">
        <w:rPr>
          <w:bCs/>
          <w:snapToGrid w:val="0"/>
          <w:kern w:val="22"/>
          <w:sz w:val="22"/>
          <w:szCs w:val="22"/>
          <w:lang w:val="en-GB"/>
        </w:rPr>
        <w:t xml:space="preserve"> invites the Platform to prepare a second </w:t>
      </w:r>
      <w:r w:rsidR="001371BE" w:rsidRPr="007C26FA">
        <w:rPr>
          <w:bCs/>
          <w:snapToGrid w:val="0"/>
          <w:kern w:val="22"/>
          <w:sz w:val="22"/>
          <w:szCs w:val="22"/>
          <w:lang w:val="en-GB"/>
        </w:rPr>
        <w:t>g</w:t>
      </w:r>
      <w:r w:rsidR="00FF2C4D" w:rsidRPr="007C26FA">
        <w:rPr>
          <w:bCs/>
          <w:snapToGrid w:val="0"/>
          <w:kern w:val="22"/>
          <w:sz w:val="22"/>
          <w:szCs w:val="22"/>
          <w:lang w:val="en-GB"/>
        </w:rPr>
        <w:t xml:space="preserve">lobal </w:t>
      </w:r>
      <w:r w:rsidR="001371BE" w:rsidRPr="007C26FA">
        <w:rPr>
          <w:bCs/>
          <w:snapToGrid w:val="0"/>
          <w:kern w:val="22"/>
          <w:sz w:val="22"/>
          <w:szCs w:val="22"/>
          <w:lang w:val="en-GB"/>
        </w:rPr>
        <w:t>a</w:t>
      </w:r>
      <w:r w:rsidR="00FF2C4D" w:rsidRPr="007C26FA">
        <w:rPr>
          <w:bCs/>
          <w:snapToGrid w:val="0"/>
          <w:kern w:val="22"/>
          <w:sz w:val="22"/>
          <w:szCs w:val="22"/>
          <w:lang w:val="en-GB"/>
        </w:rPr>
        <w:t>ssessment, to be delivered in early 20</w:t>
      </w:r>
      <w:r w:rsidR="001371BE" w:rsidRPr="007C26FA">
        <w:rPr>
          <w:bCs/>
          <w:snapToGrid w:val="0"/>
          <w:kern w:val="22"/>
          <w:sz w:val="22"/>
          <w:szCs w:val="22"/>
          <w:lang w:val="en-GB"/>
        </w:rPr>
        <w:t>2</w:t>
      </w:r>
      <w:r w:rsidR="00FF2C4D" w:rsidRPr="007C26FA">
        <w:rPr>
          <w:bCs/>
          <w:snapToGrid w:val="0"/>
          <w:kern w:val="22"/>
          <w:sz w:val="22"/>
          <w:szCs w:val="22"/>
          <w:lang w:val="en-GB"/>
        </w:rPr>
        <w:t xml:space="preserve">9, </w:t>
      </w:r>
      <w:r w:rsidR="00444AFC" w:rsidRPr="007C26FA">
        <w:rPr>
          <w:bCs/>
          <w:snapToGrid w:val="0"/>
          <w:kern w:val="22"/>
          <w:sz w:val="22"/>
          <w:szCs w:val="22"/>
          <w:lang w:val="en-GB"/>
        </w:rPr>
        <w:t xml:space="preserve">that would, </w:t>
      </w:r>
      <w:r w:rsidR="00E61EFA">
        <w:rPr>
          <w:bCs/>
          <w:snapToGrid w:val="0"/>
          <w:kern w:val="22"/>
          <w:sz w:val="22"/>
          <w:szCs w:val="22"/>
          <w:lang w:val="en-GB"/>
        </w:rPr>
        <w:t>among other things</w:t>
      </w:r>
      <w:r w:rsidR="002B2BA0" w:rsidRPr="007C26FA">
        <w:rPr>
          <w:bCs/>
          <w:snapToGrid w:val="0"/>
          <w:kern w:val="22"/>
          <w:sz w:val="22"/>
          <w:szCs w:val="22"/>
          <w:lang w:val="en-GB"/>
        </w:rPr>
        <w:t>:</w:t>
      </w:r>
    </w:p>
    <w:p w14:paraId="3F2CDB5D" w14:textId="0D62A69F" w:rsidR="00FF0662" w:rsidRPr="007C26FA" w:rsidRDefault="0030397C" w:rsidP="00766960">
      <w:pPr>
        <w:pStyle w:val="ListParagraph"/>
        <w:numPr>
          <w:ilvl w:val="0"/>
          <w:numId w:val="46"/>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snapToGrid w:val="0"/>
          <w:kern w:val="22"/>
          <w:sz w:val="22"/>
          <w:szCs w:val="22"/>
          <w:lang w:val="en-GB"/>
        </w:rPr>
      </w:pPr>
      <w:r w:rsidRPr="007C26FA">
        <w:rPr>
          <w:snapToGrid w:val="0"/>
          <w:kern w:val="22"/>
          <w:sz w:val="22"/>
          <w:szCs w:val="22"/>
          <w:lang w:val="en-GB"/>
        </w:rPr>
        <w:t>I</w:t>
      </w:r>
      <w:r w:rsidR="00FF0662" w:rsidRPr="007C26FA">
        <w:rPr>
          <w:snapToGrid w:val="0"/>
          <w:kern w:val="22"/>
          <w:sz w:val="22"/>
          <w:szCs w:val="22"/>
          <w:lang w:val="en-GB"/>
        </w:rPr>
        <w:t>nclude a review of progress towards the goals and targets at the global</w:t>
      </w:r>
      <w:r w:rsidR="00B1522D">
        <w:rPr>
          <w:snapToGrid w:val="0"/>
          <w:kern w:val="22"/>
          <w:sz w:val="22"/>
          <w:szCs w:val="22"/>
          <w:lang w:val="en-GB"/>
        </w:rPr>
        <w:t>,</w:t>
      </w:r>
      <w:r w:rsidR="00FF0662" w:rsidRPr="007C26FA">
        <w:rPr>
          <w:snapToGrid w:val="0"/>
          <w:kern w:val="22"/>
          <w:sz w:val="22"/>
          <w:szCs w:val="22"/>
          <w:lang w:val="en-GB"/>
        </w:rPr>
        <w:t xml:space="preserve"> regional and</w:t>
      </w:r>
      <w:r w:rsidR="00B1522D">
        <w:rPr>
          <w:snapToGrid w:val="0"/>
          <w:kern w:val="22"/>
          <w:sz w:val="22"/>
          <w:szCs w:val="22"/>
          <w:lang w:val="en-GB"/>
        </w:rPr>
        <w:t>,</w:t>
      </w:r>
      <w:r w:rsidR="00FF0662" w:rsidRPr="007C26FA">
        <w:rPr>
          <w:snapToGrid w:val="0"/>
          <w:kern w:val="22"/>
          <w:sz w:val="22"/>
          <w:szCs w:val="22"/>
          <w:lang w:val="en-GB"/>
        </w:rPr>
        <w:t xml:space="preserve"> as appropriate</w:t>
      </w:r>
      <w:r w:rsidR="00B1522D">
        <w:rPr>
          <w:snapToGrid w:val="0"/>
          <w:kern w:val="22"/>
          <w:sz w:val="22"/>
          <w:szCs w:val="22"/>
          <w:lang w:val="en-GB"/>
        </w:rPr>
        <w:t>,</w:t>
      </w:r>
      <w:r w:rsidR="00FF0662" w:rsidRPr="007C26FA">
        <w:rPr>
          <w:snapToGrid w:val="0"/>
          <w:kern w:val="22"/>
          <w:sz w:val="22"/>
          <w:szCs w:val="22"/>
          <w:lang w:val="en-GB"/>
        </w:rPr>
        <w:t xml:space="preserve"> </w:t>
      </w:r>
      <w:proofErr w:type="spellStart"/>
      <w:r w:rsidR="00FF0662" w:rsidRPr="007C26FA">
        <w:rPr>
          <w:snapToGrid w:val="0"/>
          <w:kern w:val="22"/>
          <w:sz w:val="22"/>
          <w:szCs w:val="22"/>
          <w:lang w:val="en-GB"/>
        </w:rPr>
        <w:t>subregional</w:t>
      </w:r>
      <w:proofErr w:type="spellEnd"/>
      <w:r w:rsidR="00FF0662" w:rsidRPr="007C26FA">
        <w:rPr>
          <w:snapToGrid w:val="0"/>
          <w:kern w:val="22"/>
          <w:sz w:val="22"/>
          <w:szCs w:val="22"/>
          <w:lang w:val="en-GB"/>
        </w:rPr>
        <w:t>, levels</w:t>
      </w:r>
      <w:r w:rsidRPr="007C26FA">
        <w:rPr>
          <w:snapToGrid w:val="0"/>
          <w:kern w:val="22"/>
          <w:sz w:val="22"/>
          <w:szCs w:val="22"/>
          <w:lang w:val="en-GB"/>
        </w:rPr>
        <w:t>;</w:t>
      </w:r>
    </w:p>
    <w:p w14:paraId="36E862BE" w14:textId="1C9EEC51" w:rsidR="00FF0662" w:rsidRPr="007C26FA" w:rsidRDefault="0030397C" w:rsidP="00766960">
      <w:pPr>
        <w:pStyle w:val="ListParagraph"/>
        <w:numPr>
          <w:ilvl w:val="0"/>
          <w:numId w:val="46"/>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snapToGrid w:val="0"/>
          <w:kern w:val="22"/>
          <w:sz w:val="22"/>
          <w:szCs w:val="22"/>
          <w:lang w:val="en-GB"/>
        </w:rPr>
      </w:pPr>
      <w:r w:rsidRPr="007C26FA">
        <w:rPr>
          <w:snapToGrid w:val="0"/>
          <w:kern w:val="22"/>
          <w:sz w:val="22"/>
          <w:szCs w:val="22"/>
          <w:lang w:val="en-GB"/>
        </w:rPr>
        <w:t>I</w:t>
      </w:r>
      <w:r w:rsidR="00FF0662" w:rsidRPr="007C26FA">
        <w:rPr>
          <w:snapToGrid w:val="0"/>
          <w:kern w:val="22"/>
          <w:sz w:val="22"/>
          <w:szCs w:val="22"/>
          <w:lang w:val="en-GB"/>
        </w:rPr>
        <w:t xml:space="preserve">ncorporate </w:t>
      </w:r>
      <w:r w:rsidR="00DB148C" w:rsidRPr="007C26FA">
        <w:rPr>
          <w:snapToGrid w:val="0"/>
          <w:kern w:val="22"/>
          <w:sz w:val="22"/>
          <w:szCs w:val="22"/>
          <w:lang w:val="en-GB"/>
        </w:rPr>
        <w:t xml:space="preserve">global, </w:t>
      </w:r>
      <w:r w:rsidR="00FF0662" w:rsidRPr="007C26FA">
        <w:rPr>
          <w:snapToGrid w:val="0"/>
          <w:kern w:val="22"/>
          <w:sz w:val="22"/>
          <w:szCs w:val="22"/>
          <w:lang w:val="en-GB"/>
        </w:rPr>
        <w:t>regional and</w:t>
      </w:r>
      <w:r w:rsidR="006266DD">
        <w:rPr>
          <w:snapToGrid w:val="0"/>
          <w:kern w:val="22"/>
          <w:sz w:val="22"/>
          <w:szCs w:val="22"/>
          <w:lang w:val="en-GB"/>
        </w:rPr>
        <w:t>,</w:t>
      </w:r>
      <w:r w:rsidR="00FF0662" w:rsidRPr="007C26FA">
        <w:rPr>
          <w:snapToGrid w:val="0"/>
          <w:kern w:val="22"/>
          <w:sz w:val="22"/>
          <w:szCs w:val="22"/>
          <w:lang w:val="en-GB"/>
        </w:rPr>
        <w:t xml:space="preserve"> as appropriate, </w:t>
      </w:r>
      <w:proofErr w:type="spellStart"/>
      <w:r w:rsidR="00FF0662" w:rsidRPr="007C26FA">
        <w:rPr>
          <w:snapToGrid w:val="0"/>
          <w:kern w:val="22"/>
          <w:sz w:val="22"/>
          <w:szCs w:val="22"/>
          <w:lang w:val="en-GB"/>
        </w:rPr>
        <w:t>subregional</w:t>
      </w:r>
      <w:proofErr w:type="spellEnd"/>
      <w:r w:rsidR="00FF0662" w:rsidRPr="007C26FA">
        <w:rPr>
          <w:snapToGrid w:val="0"/>
          <w:kern w:val="22"/>
          <w:sz w:val="22"/>
          <w:szCs w:val="22"/>
          <w:lang w:val="en-GB"/>
        </w:rPr>
        <w:t xml:space="preserve"> </w:t>
      </w:r>
      <w:r w:rsidR="00DB148C" w:rsidRPr="007C26FA">
        <w:rPr>
          <w:snapToGrid w:val="0"/>
          <w:kern w:val="22"/>
          <w:sz w:val="22"/>
          <w:szCs w:val="22"/>
          <w:lang w:val="en-GB"/>
        </w:rPr>
        <w:t>components</w:t>
      </w:r>
      <w:r w:rsidR="00DA262D" w:rsidRPr="007C26FA">
        <w:rPr>
          <w:snapToGrid w:val="0"/>
          <w:kern w:val="22"/>
          <w:sz w:val="22"/>
          <w:szCs w:val="22"/>
          <w:lang w:val="en-GB"/>
        </w:rPr>
        <w:t>;</w:t>
      </w:r>
    </w:p>
    <w:p w14:paraId="17C08318" w14:textId="17DCAF01" w:rsidR="00FF0662" w:rsidRPr="007C26FA" w:rsidRDefault="00DA262D" w:rsidP="00766960">
      <w:pPr>
        <w:pStyle w:val="ListParagraph"/>
        <w:numPr>
          <w:ilvl w:val="0"/>
          <w:numId w:val="46"/>
        </w:numPr>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snapToGrid w:val="0"/>
          <w:kern w:val="22"/>
          <w:sz w:val="22"/>
          <w:szCs w:val="22"/>
          <w:lang w:val="en-GB"/>
        </w:rPr>
      </w:pPr>
      <w:r w:rsidRPr="007C26FA">
        <w:rPr>
          <w:snapToGrid w:val="0"/>
          <w:kern w:val="22"/>
          <w:sz w:val="22"/>
          <w:szCs w:val="22"/>
          <w:lang w:val="en-GB"/>
        </w:rPr>
        <w:t>B</w:t>
      </w:r>
      <w:r w:rsidR="00FF0662" w:rsidRPr="007C26FA">
        <w:rPr>
          <w:snapToGrid w:val="0"/>
          <w:kern w:val="22"/>
          <w:sz w:val="22"/>
          <w:szCs w:val="22"/>
          <w:lang w:val="en-GB"/>
        </w:rPr>
        <w:t>uild upon previous assessments</w:t>
      </w:r>
      <w:r w:rsidRPr="007C26FA">
        <w:rPr>
          <w:snapToGrid w:val="0"/>
          <w:kern w:val="22"/>
          <w:sz w:val="22"/>
          <w:szCs w:val="22"/>
          <w:lang w:val="en-GB"/>
        </w:rPr>
        <w:t xml:space="preserve"> of the Intergovernmental Science-Policy Platform on Biodiversity and Ecosystem Services</w:t>
      </w:r>
      <w:r w:rsidR="00FF0662" w:rsidRPr="007C26FA">
        <w:rPr>
          <w:snapToGrid w:val="0"/>
          <w:kern w:val="22"/>
          <w:sz w:val="22"/>
          <w:szCs w:val="22"/>
          <w:lang w:val="en-GB"/>
        </w:rPr>
        <w:t xml:space="preserve">, including the nexus </w:t>
      </w:r>
      <w:r w:rsidR="001371BE" w:rsidRPr="007C26FA">
        <w:rPr>
          <w:snapToGrid w:val="0"/>
          <w:kern w:val="22"/>
          <w:sz w:val="22"/>
          <w:szCs w:val="22"/>
          <w:lang w:val="en-GB"/>
        </w:rPr>
        <w:t>assessment</w:t>
      </w:r>
      <w:r w:rsidR="00FF0662" w:rsidRPr="007C26FA">
        <w:rPr>
          <w:snapToGrid w:val="0"/>
          <w:kern w:val="22"/>
          <w:sz w:val="22"/>
          <w:szCs w:val="22"/>
          <w:lang w:val="en-GB"/>
        </w:rPr>
        <w:t xml:space="preserve"> and transformative change assessment</w:t>
      </w:r>
      <w:r w:rsidR="00442898" w:rsidRPr="0044638A">
        <w:rPr>
          <w:snapToGrid w:val="0"/>
          <w:kern w:val="22"/>
          <w:sz w:val="22"/>
          <w:szCs w:val="22"/>
          <w:lang w:val="en-GB"/>
        </w:rPr>
        <w:t>;</w:t>
      </w:r>
    </w:p>
    <w:p w14:paraId="654A85FD" w14:textId="10F68C3F"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snapToGrid w:val="0"/>
          <w:kern w:val="22"/>
          <w:sz w:val="22"/>
          <w:szCs w:val="22"/>
          <w:lang w:val="en-GB"/>
        </w:rPr>
        <w:t>6.</w:t>
      </w:r>
      <w:r w:rsidRPr="007C26FA">
        <w:rPr>
          <w:snapToGrid w:val="0"/>
          <w:kern w:val="22"/>
          <w:sz w:val="22"/>
          <w:szCs w:val="22"/>
          <w:lang w:val="en-GB"/>
        </w:rPr>
        <w:tab/>
      </w:r>
      <w:r w:rsidRPr="00794CFE">
        <w:rPr>
          <w:i/>
          <w:iCs/>
          <w:snapToGrid w:val="0"/>
          <w:kern w:val="22"/>
          <w:sz w:val="22"/>
          <w:szCs w:val="22"/>
          <w:lang w:val="en-GB"/>
        </w:rPr>
        <w:t>I</w:t>
      </w:r>
      <w:r w:rsidR="007020A9" w:rsidRPr="007C26FA">
        <w:rPr>
          <w:i/>
          <w:iCs/>
          <w:snapToGrid w:val="0"/>
          <w:kern w:val="22"/>
          <w:sz w:val="22"/>
          <w:szCs w:val="22"/>
          <w:lang w:val="en-GB"/>
        </w:rPr>
        <w:t>nvites</w:t>
      </w:r>
      <w:r w:rsidR="007020A9" w:rsidRPr="007C26FA">
        <w:rPr>
          <w:snapToGrid w:val="0"/>
          <w:kern w:val="22"/>
          <w:sz w:val="22"/>
          <w:szCs w:val="22"/>
          <w:lang w:val="en-GB"/>
        </w:rPr>
        <w:t xml:space="preserve"> the Platform to consider </w:t>
      </w:r>
      <w:r w:rsidR="005B13A7" w:rsidRPr="007C26FA">
        <w:rPr>
          <w:snapToGrid w:val="0"/>
          <w:kern w:val="22"/>
          <w:sz w:val="22"/>
          <w:szCs w:val="22"/>
          <w:lang w:val="en-GB"/>
        </w:rPr>
        <w:t xml:space="preserve">providing </w:t>
      </w:r>
      <w:r w:rsidR="007020A9" w:rsidRPr="007C26FA">
        <w:rPr>
          <w:snapToGrid w:val="0"/>
          <w:kern w:val="22"/>
          <w:sz w:val="22"/>
          <w:szCs w:val="22"/>
          <w:lang w:val="en-GB"/>
        </w:rPr>
        <w:t xml:space="preserve">methodological </w:t>
      </w:r>
      <w:r w:rsidR="00AF0E9A" w:rsidRPr="007C26FA">
        <w:rPr>
          <w:snapToGrid w:val="0"/>
          <w:kern w:val="22"/>
          <w:sz w:val="22"/>
          <w:szCs w:val="22"/>
          <w:lang w:val="en-GB"/>
        </w:rPr>
        <w:t>support</w:t>
      </w:r>
      <w:r w:rsidR="001371BE" w:rsidRPr="007C26FA">
        <w:rPr>
          <w:snapToGrid w:val="0"/>
          <w:kern w:val="22"/>
          <w:sz w:val="22"/>
          <w:szCs w:val="22"/>
          <w:lang w:val="en-GB"/>
        </w:rPr>
        <w:t xml:space="preserve"> </w:t>
      </w:r>
      <w:r w:rsidR="007020A9" w:rsidRPr="007C26FA">
        <w:rPr>
          <w:snapToGrid w:val="0"/>
          <w:kern w:val="22"/>
          <w:sz w:val="22"/>
          <w:szCs w:val="22"/>
          <w:lang w:val="en-GB"/>
        </w:rPr>
        <w:t xml:space="preserve">to </w:t>
      </w:r>
      <w:r w:rsidR="00AF0E9A" w:rsidRPr="007C26FA">
        <w:rPr>
          <w:snapToGrid w:val="0"/>
          <w:kern w:val="22"/>
          <w:sz w:val="22"/>
          <w:szCs w:val="22"/>
          <w:lang w:val="en-GB"/>
        </w:rPr>
        <w:t xml:space="preserve">help and assist </w:t>
      </w:r>
      <w:r w:rsidR="007020A9" w:rsidRPr="007C26FA">
        <w:rPr>
          <w:snapToGrid w:val="0"/>
          <w:kern w:val="22"/>
          <w:sz w:val="22"/>
          <w:szCs w:val="22"/>
          <w:lang w:val="en-GB"/>
        </w:rPr>
        <w:t>monitoring</w:t>
      </w:r>
      <w:r w:rsidR="005B13A7" w:rsidRPr="007C26FA">
        <w:rPr>
          <w:snapToGrid w:val="0"/>
          <w:kern w:val="22"/>
          <w:sz w:val="22"/>
          <w:szCs w:val="22"/>
          <w:lang w:val="en-GB"/>
        </w:rPr>
        <w:t xml:space="preserve"> and reporting,</w:t>
      </w:r>
      <w:r w:rsidR="007020A9" w:rsidRPr="007C26FA">
        <w:rPr>
          <w:snapToGrid w:val="0"/>
          <w:kern w:val="22"/>
          <w:sz w:val="22"/>
          <w:szCs w:val="22"/>
          <w:lang w:val="en-GB"/>
        </w:rPr>
        <w:t xml:space="preserve"> </w:t>
      </w:r>
      <w:r w:rsidR="005B13A7" w:rsidRPr="007C26FA">
        <w:rPr>
          <w:snapToGrid w:val="0"/>
          <w:kern w:val="22"/>
          <w:sz w:val="22"/>
          <w:szCs w:val="22"/>
          <w:lang w:val="en-GB"/>
        </w:rPr>
        <w:t xml:space="preserve">at the national level, of </w:t>
      </w:r>
      <w:r w:rsidR="007020A9" w:rsidRPr="007C26FA">
        <w:rPr>
          <w:snapToGrid w:val="0"/>
          <w:kern w:val="22"/>
          <w:sz w:val="22"/>
          <w:szCs w:val="22"/>
          <w:lang w:val="en-GB"/>
        </w:rPr>
        <w:t xml:space="preserve">status and trends in biodiversity and ecosystem services and </w:t>
      </w:r>
      <w:r w:rsidR="005B13A7" w:rsidRPr="007C26FA">
        <w:rPr>
          <w:snapToGrid w:val="0"/>
          <w:kern w:val="22"/>
          <w:sz w:val="22"/>
          <w:szCs w:val="22"/>
          <w:lang w:val="en-GB"/>
        </w:rPr>
        <w:t xml:space="preserve">of </w:t>
      </w:r>
      <w:r w:rsidR="007020A9" w:rsidRPr="007C26FA">
        <w:rPr>
          <w:snapToGrid w:val="0"/>
          <w:kern w:val="22"/>
          <w:sz w:val="22"/>
          <w:szCs w:val="22"/>
          <w:lang w:val="en-GB"/>
        </w:rPr>
        <w:t>the drivers of their change</w:t>
      </w:r>
      <w:r w:rsidR="002B2BA0" w:rsidRPr="007C26FA">
        <w:rPr>
          <w:snapToGrid w:val="0"/>
          <w:kern w:val="22"/>
          <w:sz w:val="22"/>
          <w:szCs w:val="22"/>
          <w:lang w:val="en-GB"/>
        </w:rPr>
        <w:t>;</w:t>
      </w:r>
    </w:p>
    <w:p w14:paraId="568BD98E" w14:textId="087EA9AA" w:rsidR="00FF0662" w:rsidRPr="007C26FA" w:rsidRDefault="002352CC" w:rsidP="00766960">
      <w:pPr>
        <w:suppressLineNumbers/>
        <w:suppressAutoHyphens/>
        <w:kinsoku w:val="0"/>
        <w:overflowPunct w:val="0"/>
        <w:autoSpaceDE w:val="0"/>
        <w:autoSpaceDN w:val="0"/>
        <w:adjustRightInd w:val="0"/>
        <w:snapToGrid w:val="0"/>
        <w:spacing w:before="120" w:after="120" w:line="235" w:lineRule="auto"/>
        <w:ind w:firstLine="720"/>
        <w:jc w:val="both"/>
        <w:rPr>
          <w:snapToGrid w:val="0"/>
          <w:kern w:val="22"/>
          <w:sz w:val="22"/>
          <w:szCs w:val="22"/>
          <w:lang w:val="en-GB"/>
        </w:rPr>
      </w:pPr>
      <w:r w:rsidRPr="007C26FA">
        <w:rPr>
          <w:snapToGrid w:val="0"/>
          <w:kern w:val="22"/>
          <w:sz w:val="22"/>
          <w:szCs w:val="22"/>
          <w:lang w:val="en-GB"/>
        </w:rPr>
        <w:t>7.</w:t>
      </w:r>
      <w:r w:rsidRPr="007C26FA">
        <w:rPr>
          <w:snapToGrid w:val="0"/>
          <w:kern w:val="22"/>
          <w:sz w:val="22"/>
          <w:szCs w:val="22"/>
          <w:lang w:val="en-GB"/>
        </w:rPr>
        <w:tab/>
      </w:r>
      <w:r w:rsidR="00444AFC" w:rsidRPr="007C26FA">
        <w:rPr>
          <w:i/>
          <w:iCs/>
          <w:snapToGrid w:val="0"/>
          <w:kern w:val="22"/>
          <w:sz w:val="22"/>
          <w:szCs w:val="22"/>
          <w:lang w:val="en-GB"/>
        </w:rPr>
        <w:t>Requests</w:t>
      </w:r>
      <w:r w:rsidR="00444AFC" w:rsidRPr="007C26FA">
        <w:rPr>
          <w:snapToGrid w:val="0"/>
          <w:kern w:val="22"/>
          <w:sz w:val="22"/>
          <w:szCs w:val="22"/>
          <w:lang w:val="en-GB"/>
        </w:rPr>
        <w:t xml:space="preserve"> the Executive Secretary and invites the Executive Secretary </w:t>
      </w:r>
      <w:r w:rsidR="002B2BA0" w:rsidRPr="007C26FA">
        <w:rPr>
          <w:snapToGrid w:val="0"/>
          <w:kern w:val="22"/>
          <w:sz w:val="22"/>
          <w:szCs w:val="22"/>
          <w:lang w:val="en-GB"/>
        </w:rPr>
        <w:t xml:space="preserve">of the Intergovernmental Science-Policy Platform on Biodiversity and Ecosystem Services </w:t>
      </w:r>
      <w:r w:rsidR="00444AFC" w:rsidRPr="007C26FA">
        <w:rPr>
          <w:snapToGrid w:val="0"/>
          <w:kern w:val="22"/>
          <w:sz w:val="22"/>
          <w:szCs w:val="22"/>
          <w:lang w:val="en-GB"/>
        </w:rPr>
        <w:t xml:space="preserve">to explore options </w:t>
      </w:r>
      <w:r w:rsidR="004220D3">
        <w:rPr>
          <w:snapToGrid w:val="0"/>
          <w:kern w:val="22"/>
          <w:sz w:val="22"/>
          <w:szCs w:val="22"/>
          <w:lang w:val="en-GB"/>
        </w:rPr>
        <w:t>for</w:t>
      </w:r>
      <w:r w:rsidR="004220D3" w:rsidRPr="007C26FA">
        <w:rPr>
          <w:snapToGrid w:val="0"/>
          <w:kern w:val="22"/>
          <w:sz w:val="22"/>
          <w:szCs w:val="22"/>
          <w:lang w:val="en-GB"/>
        </w:rPr>
        <w:t xml:space="preserve"> </w:t>
      </w:r>
      <w:r w:rsidR="00444AFC" w:rsidRPr="007C26FA">
        <w:rPr>
          <w:snapToGrid w:val="0"/>
          <w:kern w:val="22"/>
          <w:sz w:val="22"/>
          <w:szCs w:val="22"/>
          <w:lang w:val="en-GB"/>
        </w:rPr>
        <w:t>further strengthen</w:t>
      </w:r>
      <w:r w:rsidR="004220D3">
        <w:rPr>
          <w:snapToGrid w:val="0"/>
          <w:kern w:val="22"/>
          <w:sz w:val="22"/>
          <w:szCs w:val="22"/>
          <w:lang w:val="en-GB"/>
        </w:rPr>
        <w:t>ing</w:t>
      </w:r>
      <w:r w:rsidR="00444AFC" w:rsidRPr="007C26FA">
        <w:rPr>
          <w:snapToGrid w:val="0"/>
          <w:kern w:val="22"/>
          <w:sz w:val="22"/>
          <w:szCs w:val="22"/>
          <w:lang w:val="en-GB"/>
        </w:rPr>
        <w:t xml:space="preserve"> cooperation </w:t>
      </w:r>
      <w:proofErr w:type="gramStart"/>
      <w:r w:rsidR="00444AFC" w:rsidRPr="007C26FA">
        <w:rPr>
          <w:snapToGrid w:val="0"/>
          <w:kern w:val="22"/>
          <w:sz w:val="22"/>
          <w:szCs w:val="22"/>
          <w:lang w:val="en-GB"/>
        </w:rPr>
        <w:t>with regard to</w:t>
      </w:r>
      <w:proofErr w:type="gramEnd"/>
      <w:r w:rsidR="00444AFC" w:rsidRPr="007C26FA">
        <w:rPr>
          <w:snapToGrid w:val="0"/>
          <w:kern w:val="22"/>
          <w:sz w:val="22"/>
          <w:szCs w:val="22"/>
          <w:lang w:val="en-GB"/>
        </w:rPr>
        <w:t xml:space="preserve"> data and</w:t>
      </w:r>
      <w:r w:rsidR="00AF0E9A" w:rsidRPr="007C26FA">
        <w:rPr>
          <w:snapToGrid w:val="0"/>
          <w:kern w:val="22"/>
          <w:sz w:val="22"/>
          <w:szCs w:val="22"/>
          <w:lang w:val="en-GB"/>
        </w:rPr>
        <w:t xml:space="preserve"> knowledge,</w:t>
      </w:r>
      <w:r w:rsidR="00444AFC" w:rsidRPr="007C26FA">
        <w:rPr>
          <w:snapToGrid w:val="0"/>
          <w:kern w:val="22"/>
          <w:sz w:val="22"/>
          <w:szCs w:val="22"/>
          <w:lang w:val="en-GB"/>
        </w:rPr>
        <w:t xml:space="preserve"> </w:t>
      </w:r>
      <w:r w:rsidR="00727964" w:rsidRPr="007C26FA">
        <w:rPr>
          <w:snapToGrid w:val="0"/>
          <w:kern w:val="22"/>
          <w:sz w:val="22"/>
          <w:szCs w:val="22"/>
          <w:lang w:val="en-GB"/>
        </w:rPr>
        <w:t>capa</w:t>
      </w:r>
      <w:r w:rsidR="00444AFC" w:rsidRPr="007C26FA">
        <w:rPr>
          <w:snapToGrid w:val="0"/>
          <w:kern w:val="22"/>
          <w:sz w:val="22"/>
          <w:szCs w:val="22"/>
          <w:lang w:val="en-GB"/>
        </w:rPr>
        <w:t>city</w:t>
      </w:r>
      <w:r w:rsidR="00BE02DE" w:rsidRPr="007C26FA">
        <w:rPr>
          <w:snapToGrid w:val="0"/>
          <w:kern w:val="22"/>
          <w:sz w:val="22"/>
          <w:szCs w:val="22"/>
          <w:lang w:val="en-GB"/>
        </w:rPr>
        <w:noBreakHyphen/>
      </w:r>
      <w:r w:rsidR="00444AFC" w:rsidRPr="007C26FA">
        <w:rPr>
          <w:snapToGrid w:val="0"/>
          <w:kern w:val="22"/>
          <w:sz w:val="22"/>
          <w:szCs w:val="22"/>
          <w:lang w:val="en-GB"/>
        </w:rPr>
        <w:t>building, and indigenous and local knowledge</w:t>
      </w:r>
      <w:r w:rsidR="00DB148C" w:rsidRPr="007C26FA">
        <w:rPr>
          <w:snapToGrid w:val="0"/>
          <w:kern w:val="22"/>
          <w:sz w:val="22"/>
          <w:szCs w:val="22"/>
          <w:lang w:val="en-GB"/>
        </w:rPr>
        <w:t>;</w:t>
      </w:r>
    </w:p>
    <w:p w14:paraId="0E4B9768" w14:textId="46D3D185" w:rsidR="00250913" w:rsidRPr="007C26FA" w:rsidRDefault="00794CFE" w:rsidP="00766960">
      <w:pPr>
        <w:pStyle w:val="ListParagraph"/>
        <w:suppressLineNumbers/>
        <w:suppressAutoHyphens/>
        <w:kinsoku w:val="0"/>
        <w:overflowPunct w:val="0"/>
        <w:autoSpaceDE w:val="0"/>
        <w:autoSpaceDN w:val="0"/>
        <w:adjustRightInd w:val="0"/>
        <w:snapToGrid w:val="0"/>
        <w:spacing w:before="120" w:after="120" w:line="235" w:lineRule="auto"/>
        <w:ind w:left="0" w:firstLine="720"/>
        <w:contextualSpacing w:val="0"/>
        <w:jc w:val="both"/>
        <w:rPr>
          <w:snapToGrid w:val="0"/>
          <w:lang w:val="en-GB"/>
        </w:rPr>
      </w:pPr>
      <w:r w:rsidRPr="00794CFE">
        <w:rPr>
          <w:snapToGrid w:val="0"/>
          <w:kern w:val="22"/>
          <w:sz w:val="22"/>
          <w:szCs w:val="22"/>
          <w:lang w:val="en-GB"/>
        </w:rPr>
        <w:t>8.</w:t>
      </w:r>
      <w:r w:rsidRPr="00794CFE">
        <w:rPr>
          <w:snapToGrid w:val="0"/>
          <w:kern w:val="22"/>
          <w:sz w:val="22"/>
          <w:szCs w:val="22"/>
          <w:lang w:val="en-GB"/>
        </w:rPr>
        <w:tab/>
      </w:r>
      <w:r w:rsidRPr="00FC2DA6">
        <w:rPr>
          <w:i/>
          <w:iCs/>
          <w:snapToGrid w:val="0"/>
          <w:kern w:val="22"/>
          <w:sz w:val="22"/>
          <w:szCs w:val="22"/>
          <w:lang w:val="en-GB"/>
        </w:rPr>
        <w:t>Notes</w:t>
      </w:r>
      <w:bookmarkStart w:id="2" w:name="_GoBack"/>
      <w:bookmarkEnd w:id="2"/>
      <w:r w:rsidRPr="007C26FA">
        <w:rPr>
          <w:snapToGrid w:val="0"/>
          <w:kern w:val="22"/>
          <w:sz w:val="22"/>
          <w:szCs w:val="22"/>
          <w:lang w:val="en-GB"/>
        </w:rPr>
        <w:t xml:space="preserve"> </w:t>
      </w:r>
      <w:r w:rsidR="005B13A7" w:rsidRPr="007C26FA">
        <w:rPr>
          <w:snapToGrid w:val="0"/>
          <w:kern w:val="22"/>
          <w:sz w:val="22"/>
          <w:szCs w:val="22"/>
          <w:lang w:val="en-GB"/>
        </w:rPr>
        <w:t xml:space="preserve">the progress in a number of countries in elaborating national assessments of biodiversity and ecosystem </w:t>
      </w:r>
      <w:r w:rsidR="00AF0E9A" w:rsidRPr="007C26FA">
        <w:rPr>
          <w:snapToGrid w:val="0"/>
          <w:kern w:val="22"/>
          <w:sz w:val="22"/>
          <w:szCs w:val="22"/>
          <w:lang w:val="en-GB"/>
        </w:rPr>
        <w:t>services</w:t>
      </w:r>
      <w:r w:rsidR="005B13A7" w:rsidRPr="007C26FA">
        <w:rPr>
          <w:snapToGrid w:val="0"/>
          <w:kern w:val="22"/>
          <w:sz w:val="22"/>
          <w:szCs w:val="22"/>
          <w:lang w:val="en-GB"/>
        </w:rPr>
        <w:t>, e</w:t>
      </w:r>
      <w:r w:rsidR="007020A9" w:rsidRPr="007C26FA">
        <w:rPr>
          <w:snapToGrid w:val="0"/>
          <w:kern w:val="22"/>
          <w:sz w:val="22"/>
          <w:szCs w:val="22"/>
          <w:lang w:val="en-GB"/>
        </w:rPr>
        <w:t>ncour</w:t>
      </w:r>
      <w:r w:rsidR="005B13A7" w:rsidRPr="007C26FA">
        <w:rPr>
          <w:snapToGrid w:val="0"/>
          <w:kern w:val="22"/>
          <w:sz w:val="22"/>
          <w:szCs w:val="22"/>
          <w:lang w:val="en-GB"/>
        </w:rPr>
        <w:t>a</w:t>
      </w:r>
      <w:r w:rsidR="007020A9" w:rsidRPr="007C26FA">
        <w:rPr>
          <w:snapToGrid w:val="0"/>
          <w:kern w:val="22"/>
          <w:sz w:val="22"/>
          <w:szCs w:val="22"/>
          <w:lang w:val="en-GB"/>
        </w:rPr>
        <w:t xml:space="preserve">ges </w:t>
      </w:r>
      <w:r w:rsidR="005B13A7" w:rsidRPr="007C26FA">
        <w:rPr>
          <w:snapToGrid w:val="0"/>
          <w:kern w:val="22"/>
          <w:sz w:val="22"/>
          <w:szCs w:val="22"/>
          <w:lang w:val="en-GB"/>
        </w:rPr>
        <w:t xml:space="preserve">all </w:t>
      </w:r>
      <w:r w:rsidR="007020A9" w:rsidRPr="007C26FA">
        <w:rPr>
          <w:snapToGrid w:val="0"/>
          <w:kern w:val="22"/>
          <w:sz w:val="22"/>
          <w:szCs w:val="22"/>
          <w:lang w:val="en-GB"/>
        </w:rPr>
        <w:t xml:space="preserve">Parties and other Governments to consider carrying out </w:t>
      </w:r>
      <w:r w:rsidR="005B13A7" w:rsidRPr="007C26FA">
        <w:rPr>
          <w:snapToGrid w:val="0"/>
          <w:kern w:val="22"/>
          <w:sz w:val="22"/>
          <w:szCs w:val="22"/>
          <w:lang w:val="en-GB"/>
        </w:rPr>
        <w:t xml:space="preserve">such </w:t>
      </w:r>
      <w:r w:rsidR="007020A9" w:rsidRPr="007C26FA">
        <w:rPr>
          <w:snapToGrid w:val="0"/>
          <w:kern w:val="22"/>
          <w:sz w:val="22"/>
          <w:szCs w:val="22"/>
          <w:lang w:val="en-GB"/>
        </w:rPr>
        <w:t xml:space="preserve">national assessments, with the full </w:t>
      </w:r>
      <w:r w:rsidR="00AF0E9A" w:rsidRPr="007C26FA">
        <w:rPr>
          <w:snapToGrid w:val="0"/>
          <w:kern w:val="22"/>
          <w:sz w:val="22"/>
          <w:szCs w:val="22"/>
          <w:lang w:val="en-GB"/>
        </w:rPr>
        <w:t>engagement</w:t>
      </w:r>
      <w:r w:rsidR="007020A9" w:rsidRPr="007C26FA">
        <w:rPr>
          <w:snapToGrid w:val="0"/>
          <w:kern w:val="22"/>
          <w:sz w:val="22"/>
          <w:szCs w:val="22"/>
          <w:lang w:val="en-GB"/>
        </w:rPr>
        <w:t xml:space="preserve"> of</w:t>
      </w:r>
      <w:r w:rsidR="00AF0E9A" w:rsidRPr="007C26FA">
        <w:rPr>
          <w:snapToGrid w:val="0"/>
          <w:kern w:val="22"/>
          <w:sz w:val="22"/>
          <w:szCs w:val="22"/>
          <w:lang w:val="en-GB"/>
        </w:rPr>
        <w:t xml:space="preserve"> indigenous peoples and local communities and business</w:t>
      </w:r>
      <w:r w:rsidR="007020A9" w:rsidRPr="007C26FA">
        <w:rPr>
          <w:snapToGrid w:val="0"/>
          <w:kern w:val="22"/>
          <w:sz w:val="22"/>
          <w:szCs w:val="22"/>
          <w:lang w:val="en-GB"/>
        </w:rPr>
        <w:t xml:space="preserve"> and civil society</w:t>
      </w:r>
      <w:r w:rsidR="005B13A7" w:rsidRPr="007C26FA">
        <w:rPr>
          <w:snapToGrid w:val="0"/>
          <w:kern w:val="22"/>
          <w:sz w:val="22"/>
          <w:szCs w:val="22"/>
          <w:lang w:val="en-GB"/>
        </w:rPr>
        <w:t>,</w:t>
      </w:r>
      <w:r w:rsidR="007020A9" w:rsidRPr="007C26FA">
        <w:rPr>
          <w:snapToGrid w:val="0"/>
          <w:kern w:val="22"/>
          <w:sz w:val="22"/>
          <w:szCs w:val="22"/>
          <w:lang w:val="en-GB"/>
        </w:rPr>
        <w:t xml:space="preserve"> to contribute to the </w:t>
      </w:r>
      <w:r w:rsidR="00AF0E9A" w:rsidRPr="007C26FA">
        <w:rPr>
          <w:snapToGrid w:val="0"/>
          <w:kern w:val="22"/>
          <w:sz w:val="22"/>
          <w:szCs w:val="22"/>
          <w:lang w:val="en-GB"/>
        </w:rPr>
        <w:t>implementation</w:t>
      </w:r>
      <w:r w:rsidR="007020A9" w:rsidRPr="007C26FA">
        <w:rPr>
          <w:snapToGrid w:val="0"/>
          <w:kern w:val="22"/>
          <w:sz w:val="22"/>
          <w:szCs w:val="22"/>
          <w:lang w:val="en-GB"/>
        </w:rPr>
        <w:t xml:space="preserve"> of the post</w:t>
      </w:r>
      <w:r w:rsidR="00AF0E9A" w:rsidRPr="007C26FA">
        <w:rPr>
          <w:snapToGrid w:val="0"/>
          <w:kern w:val="22"/>
          <w:sz w:val="22"/>
          <w:szCs w:val="22"/>
          <w:lang w:val="en-GB"/>
        </w:rPr>
        <w:t>-</w:t>
      </w:r>
      <w:r w:rsidR="007020A9" w:rsidRPr="007C26FA">
        <w:rPr>
          <w:snapToGrid w:val="0"/>
          <w:kern w:val="22"/>
          <w:sz w:val="22"/>
          <w:szCs w:val="22"/>
          <w:lang w:val="en-GB"/>
        </w:rPr>
        <w:t xml:space="preserve">2020 global </w:t>
      </w:r>
      <w:r w:rsidR="00AF0E9A" w:rsidRPr="007C26FA">
        <w:rPr>
          <w:snapToGrid w:val="0"/>
          <w:kern w:val="22"/>
          <w:sz w:val="22"/>
          <w:szCs w:val="22"/>
          <w:lang w:val="en-GB"/>
        </w:rPr>
        <w:t>biodiversity</w:t>
      </w:r>
      <w:r w:rsidR="007020A9" w:rsidRPr="007C26FA">
        <w:rPr>
          <w:snapToGrid w:val="0"/>
          <w:kern w:val="22"/>
          <w:sz w:val="22"/>
          <w:szCs w:val="22"/>
          <w:lang w:val="en-GB"/>
        </w:rPr>
        <w:t xml:space="preserve"> framework</w:t>
      </w:r>
      <w:r w:rsidR="005B13A7" w:rsidRPr="007C26FA">
        <w:rPr>
          <w:snapToGrid w:val="0"/>
          <w:kern w:val="22"/>
          <w:sz w:val="22"/>
          <w:szCs w:val="22"/>
          <w:lang w:val="en-GB"/>
        </w:rPr>
        <w:t xml:space="preserve">, and encourages </w:t>
      </w:r>
      <w:r w:rsidR="00AF0E9A" w:rsidRPr="007C26FA">
        <w:rPr>
          <w:snapToGrid w:val="0"/>
          <w:kern w:val="22"/>
          <w:sz w:val="22"/>
          <w:szCs w:val="22"/>
          <w:lang w:val="en-GB"/>
        </w:rPr>
        <w:t>relevant</w:t>
      </w:r>
      <w:r w:rsidR="005B13A7" w:rsidRPr="007C26FA">
        <w:rPr>
          <w:snapToGrid w:val="0"/>
          <w:kern w:val="22"/>
          <w:sz w:val="22"/>
          <w:szCs w:val="22"/>
          <w:lang w:val="en-GB"/>
        </w:rPr>
        <w:t xml:space="preserve"> organizations to provide technical support</w:t>
      </w:r>
      <w:r w:rsidR="008C1866">
        <w:rPr>
          <w:snapToGrid w:val="0"/>
          <w:kern w:val="22"/>
          <w:sz w:val="22"/>
          <w:szCs w:val="22"/>
          <w:lang w:val="en-GB"/>
        </w:rPr>
        <w:t>,</w:t>
      </w:r>
      <w:r w:rsidR="005B13A7" w:rsidRPr="007C26FA">
        <w:rPr>
          <w:snapToGrid w:val="0"/>
          <w:kern w:val="22"/>
          <w:sz w:val="22"/>
          <w:szCs w:val="22"/>
          <w:lang w:val="en-GB"/>
        </w:rPr>
        <w:t xml:space="preserve"> as appropriate.</w:t>
      </w:r>
    </w:p>
    <w:p w14:paraId="579FC97B" w14:textId="4E2EDF7B" w:rsidR="001B06FB" w:rsidRPr="007C26FA" w:rsidRDefault="001B06FB" w:rsidP="007C26FA">
      <w:pPr>
        <w:suppressLineNumbers/>
        <w:tabs>
          <w:tab w:val="left" w:pos="528"/>
        </w:tabs>
        <w:suppressAutoHyphens/>
        <w:kinsoku w:val="0"/>
        <w:overflowPunct w:val="0"/>
        <w:autoSpaceDE w:val="0"/>
        <w:autoSpaceDN w:val="0"/>
        <w:adjustRightInd w:val="0"/>
        <w:snapToGrid w:val="0"/>
        <w:rPr>
          <w:snapToGrid w:val="0"/>
          <w:kern w:val="22"/>
          <w:sz w:val="22"/>
          <w:szCs w:val="22"/>
          <w:lang w:val="en-GB"/>
        </w:rPr>
      </w:pPr>
    </w:p>
    <w:p w14:paraId="381483D6" w14:textId="77777777" w:rsidR="001B06FB" w:rsidRPr="007C26FA" w:rsidRDefault="001B06FB" w:rsidP="007C26FA">
      <w:pPr>
        <w:suppressLineNumbers/>
        <w:suppressAutoHyphens/>
        <w:kinsoku w:val="0"/>
        <w:overflowPunct w:val="0"/>
        <w:autoSpaceDE w:val="0"/>
        <w:autoSpaceDN w:val="0"/>
        <w:adjustRightInd w:val="0"/>
        <w:snapToGrid w:val="0"/>
        <w:rPr>
          <w:b/>
          <w:bCs/>
          <w:snapToGrid w:val="0"/>
          <w:kern w:val="22"/>
          <w:sz w:val="22"/>
          <w:szCs w:val="22"/>
          <w:lang w:val="en-GB"/>
        </w:rPr>
      </w:pPr>
      <w:r w:rsidRPr="007C26FA">
        <w:rPr>
          <w:b/>
          <w:bCs/>
          <w:snapToGrid w:val="0"/>
          <w:kern w:val="22"/>
          <w:sz w:val="22"/>
          <w:szCs w:val="22"/>
          <w:lang w:val="en-GB"/>
        </w:rPr>
        <w:br w:type="page"/>
      </w:r>
    </w:p>
    <w:p w14:paraId="3F8D992F" w14:textId="621443E4" w:rsidR="00E02C39" w:rsidRPr="007C26FA" w:rsidRDefault="00250913" w:rsidP="007C26FA">
      <w:pPr>
        <w:suppressLineNumbers/>
        <w:suppressAutoHyphens/>
        <w:kinsoku w:val="0"/>
        <w:overflowPunct w:val="0"/>
        <w:autoSpaceDE w:val="0"/>
        <w:autoSpaceDN w:val="0"/>
        <w:adjustRightInd w:val="0"/>
        <w:snapToGrid w:val="0"/>
        <w:spacing w:before="120" w:after="120"/>
        <w:jc w:val="center"/>
        <w:rPr>
          <w:i/>
          <w:iCs/>
          <w:snapToGrid w:val="0"/>
          <w:kern w:val="22"/>
          <w:sz w:val="22"/>
          <w:szCs w:val="22"/>
          <w:lang w:val="en-GB"/>
        </w:rPr>
      </w:pPr>
      <w:r w:rsidRPr="007C26FA">
        <w:rPr>
          <w:i/>
          <w:iCs/>
          <w:snapToGrid w:val="0"/>
          <w:kern w:val="22"/>
          <w:sz w:val="22"/>
          <w:szCs w:val="22"/>
          <w:lang w:val="en-GB"/>
        </w:rPr>
        <w:lastRenderedPageBreak/>
        <w:t>Annex</w:t>
      </w:r>
    </w:p>
    <w:p w14:paraId="16360EF4" w14:textId="445BFE38" w:rsidR="00250913" w:rsidRPr="007C26FA" w:rsidRDefault="00250913" w:rsidP="007C26FA">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 w:val="22"/>
          <w:szCs w:val="22"/>
          <w:lang w:val="en-GB"/>
        </w:rPr>
      </w:pPr>
      <w:r w:rsidRPr="007C26FA">
        <w:rPr>
          <w:rFonts w:ascii="Times New Roman Bold" w:hAnsi="Times New Roman Bold" w:cs="Times New Roman Bold"/>
          <w:bCs/>
          <w:snapToGrid w:val="0"/>
          <w:kern w:val="22"/>
          <w:sz w:val="22"/>
          <w:szCs w:val="22"/>
          <w:lang w:val="en-GB"/>
        </w:rPr>
        <w:t>Utili</w:t>
      </w:r>
      <w:r w:rsidR="00E02C39" w:rsidRPr="007C26FA">
        <w:rPr>
          <w:rFonts w:ascii="Times New Roman Bold" w:hAnsi="Times New Roman Bold" w:cs="Times New Roman Bold"/>
          <w:bCs/>
          <w:snapToGrid w:val="0"/>
          <w:kern w:val="22"/>
          <w:sz w:val="22"/>
          <w:szCs w:val="22"/>
          <w:lang w:val="en-GB"/>
        </w:rPr>
        <w:t>z</w:t>
      </w:r>
      <w:r w:rsidRPr="007C26FA">
        <w:rPr>
          <w:rFonts w:ascii="Times New Roman Bold" w:hAnsi="Times New Roman Bold" w:cs="Times New Roman Bold"/>
          <w:bCs/>
          <w:snapToGrid w:val="0"/>
          <w:kern w:val="22"/>
          <w:sz w:val="22"/>
          <w:szCs w:val="22"/>
          <w:lang w:val="en-GB"/>
        </w:rPr>
        <w:t xml:space="preserve">ing </w:t>
      </w:r>
      <w:r w:rsidR="00135451" w:rsidRPr="007C26FA">
        <w:rPr>
          <w:rFonts w:ascii="Times New Roman Bold" w:hAnsi="Times New Roman Bold" w:cs="Times New Roman Bold"/>
          <w:bCs/>
          <w:snapToGrid w:val="0"/>
          <w:kern w:val="22"/>
          <w:sz w:val="22"/>
          <w:szCs w:val="22"/>
          <w:lang w:val="en-GB"/>
        </w:rPr>
        <w:t>n</w:t>
      </w:r>
      <w:r w:rsidRPr="007C26FA">
        <w:rPr>
          <w:rFonts w:ascii="Times New Roman Bold" w:hAnsi="Times New Roman Bold" w:cs="Times New Roman Bold"/>
          <w:bCs/>
          <w:snapToGrid w:val="0"/>
          <w:kern w:val="22"/>
          <w:sz w:val="22"/>
          <w:szCs w:val="22"/>
          <w:lang w:val="en-GB"/>
        </w:rPr>
        <w:t xml:space="preserve">ational </w:t>
      </w:r>
      <w:r w:rsidR="00135451" w:rsidRPr="007C26FA">
        <w:rPr>
          <w:rFonts w:ascii="Times New Roman Bold" w:hAnsi="Times New Roman Bold" w:cs="Times New Roman Bold"/>
          <w:bCs/>
          <w:snapToGrid w:val="0"/>
          <w:kern w:val="22"/>
          <w:sz w:val="22"/>
          <w:szCs w:val="22"/>
          <w:lang w:val="en-GB"/>
        </w:rPr>
        <w:t>e</w:t>
      </w:r>
      <w:r w:rsidRPr="007C26FA">
        <w:rPr>
          <w:rFonts w:ascii="Times New Roman Bold" w:hAnsi="Times New Roman Bold" w:cs="Times New Roman Bold"/>
          <w:bCs/>
          <w:snapToGrid w:val="0"/>
          <w:kern w:val="22"/>
          <w:sz w:val="22"/>
          <w:szCs w:val="22"/>
          <w:lang w:val="en-GB"/>
        </w:rPr>
        <w:t xml:space="preserve">cosystem </w:t>
      </w:r>
      <w:r w:rsidR="00135451" w:rsidRPr="007C26FA">
        <w:rPr>
          <w:rFonts w:ascii="Times New Roman Bold" w:hAnsi="Times New Roman Bold" w:cs="Times New Roman Bold"/>
          <w:bCs/>
          <w:snapToGrid w:val="0"/>
          <w:kern w:val="22"/>
          <w:sz w:val="22"/>
          <w:szCs w:val="22"/>
          <w:lang w:val="en-GB"/>
        </w:rPr>
        <w:t>a</w:t>
      </w:r>
      <w:r w:rsidRPr="007C26FA">
        <w:rPr>
          <w:rFonts w:ascii="Times New Roman Bold" w:hAnsi="Times New Roman Bold" w:cs="Times New Roman Bold"/>
          <w:bCs/>
          <w:snapToGrid w:val="0"/>
          <w:kern w:val="22"/>
          <w:sz w:val="22"/>
          <w:szCs w:val="22"/>
          <w:lang w:val="en-GB"/>
        </w:rPr>
        <w:t xml:space="preserve">ssessments to support </w:t>
      </w:r>
      <w:r w:rsidR="00E02C39" w:rsidRPr="007C26FA">
        <w:rPr>
          <w:rFonts w:ascii="Times New Roman Bold" w:hAnsi="Times New Roman Bold" w:cs="Times New Roman Bold"/>
          <w:bCs/>
          <w:snapToGrid w:val="0"/>
          <w:kern w:val="22"/>
          <w:sz w:val="22"/>
          <w:szCs w:val="22"/>
          <w:lang w:val="en-GB"/>
        </w:rPr>
        <w:t>the Intergovernmental Science-Policy Platform on Biodiversity and Ecosystem Services</w:t>
      </w:r>
      <w:r w:rsidR="00E02C39" w:rsidRPr="007C26FA" w:rsidDel="00E02C39">
        <w:rPr>
          <w:rFonts w:ascii="Times New Roman Bold" w:hAnsi="Times New Roman Bold" w:cs="Times New Roman Bold"/>
          <w:bCs/>
          <w:snapToGrid w:val="0"/>
          <w:kern w:val="22"/>
          <w:sz w:val="22"/>
          <w:szCs w:val="22"/>
          <w:lang w:val="en-GB"/>
        </w:rPr>
        <w:t xml:space="preserve"> </w:t>
      </w:r>
      <w:r w:rsidRPr="007C26FA">
        <w:rPr>
          <w:rFonts w:ascii="Times New Roman Bold" w:hAnsi="Times New Roman Bold" w:cs="Times New Roman Bold"/>
          <w:bCs/>
          <w:snapToGrid w:val="0"/>
          <w:kern w:val="22"/>
          <w:sz w:val="22"/>
          <w:szCs w:val="22"/>
          <w:lang w:val="en-GB"/>
        </w:rPr>
        <w:t xml:space="preserve">and </w:t>
      </w:r>
      <w:r w:rsidR="00E02C39" w:rsidRPr="007C26FA">
        <w:rPr>
          <w:rFonts w:ascii="Times New Roman Bold" w:hAnsi="Times New Roman Bold" w:cs="Times New Roman Bold"/>
          <w:bCs/>
          <w:snapToGrid w:val="0"/>
          <w:kern w:val="22"/>
          <w:sz w:val="22"/>
          <w:szCs w:val="22"/>
          <w:lang w:val="en-GB"/>
        </w:rPr>
        <w:t xml:space="preserve">the </w:t>
      </w:r>
      <w:r w:rsidR="00135451" w:rsidRPr="007C26FA">
        <w:rPr>
          <w:rFonts w:ascii="Times New Roman Bold" w:hAnsi="Times New Roman Bold" w:cs="Times New Roman Bold"/>
          <w:bCs/>
          <w:snapToGrid w:val="0"/>
          <w:kern w:val="22"/>
          <w:sz w:val="22"/>
          <w:szCs w:val="22"/>
          <w:lang w:val="en-GB"/>
        </w:rPr>
        <w:t>C</w:t>
      </w:r>
      <w:r w:rsidR="00E02C39" w:rsidRPr="007C26FA">
        <w:rPr>
          <w:rFonts w:ascii="Times New Roman Bold" w:hAnsi="Times New Roman Bold" w:cs="Times New Roman Bold"/>
          <w:bCs/>
          <w:snapToGrid w:val="0"/>
          <w:kern w:val="22"/>
          <w:sz w:val="22"/>
          <w:szCs w:val="22"/>
          <w:lang w:val="en-GB"/>
        </w:rPr>
        <w:t xml:space="preserve">onvention on </w:t>
      </w:r>
      <w:r w:rsidR="00135451" w:rsidRPr="007C26FA">
        <w:rPr>
          <w:rFonts w:ascii="Times New Roman Bold" w:hAnsi="Times New Roman Bold" w:cs="Times New Roman Bold"/>
          <w:bCs/>
          <w:snapToGrid w:val="0"/>
          <w:kern w:val="22"/>
          <w:sz w:val="22"/>
          <w:szCs w:val="22"/>
          <w:lang w:val="en-GB"/>
        </w:rPr>
        <w:t>B</w:t>
      </w:r>
      <w:r w:rsidR="00E02C39" w:rsidRPr="007C26FA">
        <w:rPr>
          <w:rFonts w:ascii="Times New Roman Bold" w:hAnsi="Times New Roman Bold" w:cs="Times New Roman Bold"/>
          <w:bCs/>
          <w:snapToGrid w:val="0"/>
          <w:kern w:val="22"/>
          <w:sz w:val="22"/>
          <w:szCs w:val="22"/>
          <w:lang w:val="en-GB"/>
        </w:rPr>
        <w:t xml:space="preserve">iological </w:t>
      </w:r>
      <w:r w:rsidR="00135451" w:rsidRPr="007C26FA">
        <w:rPr>
          <w:rFonts w:ascii="Times New Roman Bold" w:hAnsi="Times New Roman Bold" w:cs="Times New Roman Bold"/>
          <w:bCs/>
          <w:snapToGrid w:val="0"/>
          <w:kern w:val="22"/>
          <w:sz w:val="22"/>
          <w:szCs w:val="22"/>
          <w:lang w:val="en-GB"/>
        </w:rPr>
        <w:t>D</w:t>
      </w:r>
      <w:r w:rsidR="00E02C39" w:rsidRPr="007C26FA">
        <w:rPr>
          <w:rFonts w:ascii="Times New Roman Bold" w:hAnsi="Times New Roman Bold" w:cs="Times New Roman Bold"/>
          <w:bCs/>
          <w:snapToGrid w:val="0"/>
          <w:kern w:val="22"/>
          <w:sz w:val="22"/>
          <w:szCs w:val="22"/>
          <w:lang w:val="en-GB"/>
        </w:rPr>
        <w:t>iversity</w:t>
      </w:r>
    </w:p>
    <w:p w14:paraId="54BA7D63" w14:textId="183484A3" w:rsidR="00FF0662" w:rsidRPr="007C26FA" w:rsidRDefault="00250913"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n-GB"/>
        </w:rPr>
      </w:pPr>
      <w:r w:rsidRPr="007C26FA">
        <w:rPr>
          <w:snapToGrid w:val="0"/>
          <w:kern w:val="22"/>
          <w:sz w:val="22"/>
          <w:szCs w:val="22"/>
          <w:lang w:val="en-GB"/>
        </w:rPr>
        <w:t>National ecosystem assessments not only deliver an evidence base that meets the needs of different sectors and encourages integration of knowledge, but also the process of carrying out an effective national ecosystem assessment actively engages various stakeholders and facilitates understanding of alternative priorities with regard to specific policy-relevant questions. This collaborative approach contributes towards better uptake of the outputs. The carrying out of national ecosystem assessments also provides an opportunity to build capacity at the national scale around strengthening the science-policy interface, which can support national policies and measures</w:t>
      </w:r>
      <w:r w:rsidR="003F188B">
        <w:rPr>
          <w:snapToGrid w:val="0"/>
          <w:kern w:val="22"/>
          <w:sz w:val="22"/>
          <w:szCs w:val="22"/>
          <w:lang w:val="en-GB"/>
        </w:rPr>
        <w:t>,</w:t>
      </w:r>
      <w:r w:rsidRPr="007C26FA">
        <w:rPr>
          <w:snapToGrid w:val="0"/>
          <w:kern w:val="22"/>
          <w:sz w:val="22"/>
          <w:szCs w:val="22"/>
          <w:lang w:val="en-GB"/>
        </w:rPr>
        <w:t xml:space="preserve"> including those necessary for </w:t>
      </w:r>
      <w:r w:rsidR="003F188B">
        <w:rPr>
          <w:snapToGrid w:val="0"/>
          <w:kern w:val="22"/>
          <w:sz w:val="22"/>
          <w:szCs w:val="22"/>
          <w:lang w:val="en-GB"/>
        </w:rPr>
        <w:t xml:space="preserve">the </w:t>
      </w:r>
      <w:r w:rsidRPr="007C26FA">
        <w:rPr>
          <w:snapToGrid w:val="0"/>
          <w:kern w:val="22"/>
          <w:sz w:val="22"/>
          <w:szCs w:val="22"/>
          <w:lang w:val="en-GB"/>
        </w:rPr>
        <w:t>implementation of the biodiversity-related conventions and related processes</w:t>
      </w:r>
      <w:r w:rsidR="00FF0662" w:rsidRPr="007C26FA">
        <w:rPr>
          <w:snapToGrid w:val="0"/>
          <w:kern w:val="22"/>
          <w:sz w:val="22"/>
          <w:szCs w:val="22"/>
          <w:lang w:val="en-GB"/>
        </w:rPr>
        <w:t>.</w:t>
      </w:r>
    </w:p>
    <w:p w14:paraId="25CAB845" w14:textId="31D10FF9" w:rsidR="00FF0662" w:rsidRPr="007C26FA" w:rsidRDefault="00250913"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n-GB"/>
        </w:rPr>
      </w:pPr>
      <w:r w:rsidRPr="007C26FA">
        <w:rPr>
          <w:snapToGrid w:val="0"/>
          <w:kern w:val="22"/>
          <w:sz w:val="22"/>
          <w:szCs w:val="22"/>
          <w:lang w:val="en-GB"/>
        </w:rPr>
        <w:t>Capacity-building has been a key element of the work programme of the Intergovernmental Science-Policy Platform on Biodiversity and Ecosystem Services (IPBES) since its establishment. Capacity</w:t>
      </w:r>
      <w:r w:rsidR="008C35C0" w:rsidRPr="007C26FA">
        <w:rPr>
          <w:snapToGrid w:val="0"/>
          <w:kern w:val="22"/>
          <w:sz w:val="22"/>
          <w:szCs w:val="22"/>
          <w:lang w:val="en-GB"/>
        </w:rPr>
        <w:noBreakHyphen/>
      </w:r>
      <w:r w:rsidRPr="007C26FA">
        <w:rPr>
          <w:snapToGrid w:val="0"/>
          <w:kern w:val="22"/>
          <w:sz w:val="22"/>
          <w:szCs w:val="22"/>
          <w:lang w:val="en-GB"/>
        </w:rPr>
        <w:t>building activities within IPBES focus both on developing the capacities required by IPBES (</w:t>
      </w:r>
      <w:r w:rsidR="00C40FF5">
        <w:rPr>
          <w:snapToGrid w:val="0"/>
          <w:kern w:val="22"/>
          <w:sz w:val="22"/>
          <w:szCs w:val="22"/>
          <w:lang w:val="en-GB"/>
        </w:rPr>
        <w:t>for example,</w:t>
      </w:r>
      <w:r w:rsidRPr="007C26FA">
        <w:rPr>
          <w:snapToGrid w:val="0"/>
          <w:kern w:val="22"/>
          <w:sz w:val="22"/>
          <w:szCs w:val="22"/>
          <w:lang w:val="en-GB"/>
        </w:rPr>
        <w:t xml:space="preserve"> engaging early career experts in the IPBES assessment process, strengthening the engagement of national focal points), and on catalysing activities at the national level. Activities identified as a priority by the IPBES Plenary and articulated in the work of the IPBES Capacity-building Rolling Plan</w:t>
      </w:r>
      <w:r w:rsidRPr="007C26FA">
        <w:rPr>
          <w:snapToGrid w:val="0"/>
          <w:kern w:val="22"/>
          <w:sz w:val="22"/>
          <w:szCs w:val="22"/>
          <w:vertAlign w:val="superscript"/>
          <w:lang w:val="en-GB"/>
        </w:rPr>
        <w:footnoteReference w:id="6"/>
      </w:r>
      <w:r w:rsidRPr="007C26FA">
        <w:rPr>
          <w:snapToGrid w:val="0"/>
          <w:kern w:val="22"/>
          <w:sz w:val="22"/>
          <w:szCs w:val="22"/>
          <w:lang w:val="en-GB"/>
        </w:rPr>
        <w:t xml:space="preserve"> include enhancing the capacity to undertake, use and improve national assessments of biodiversity and ecosystem services, which includes the promoting and facilitating national science-policy platforms and networks. This is consistent with </w:t>
      </w:r>
      <w:r w:rsidR="00E02C39" w:rsidRPr="007C26FA">
        <w:rPr>
          <w:snapToGrid w:val="0"/>
          <w:kern w:val="22"/>
          <w:sz w:val="22"/>
          <w:szCs w:val="22"/>
          <w:lang w:val="en-GB"/>
        </w:rPr>
        <w:t>d</w:t>
      </w:r>
      <w:r w:rsidRPr="007C26FA">
        <w:rPr>
          <w:snapToGrid w:val="0"/>
          <w:kern w:val="22"/>
          <w:sz w:val="22"/>
          <w:szCs w:val="22"/>
          <w:lang w:val="en-GB"/>
        </w:rPr>
        <w:t>ecision 14/1 (paras</w:t>
      </w:r>
      <w:r w:rsidR="002F2653" w:rsidRPr="007C26FA">
        <w:rPr>
          <w:snapToGrid w:val="0"/>
          <w:kern w:val="22"/>
          <w:sz w:val="22"/>
          <w:szCs w:val="22"/>
          <w:lang w:val="en-GB"/>
        </w:rPr>
        <w:t>.</w:t>
      </w:r>
      <w:r w:rsidRPr="007C26FA">
        <w:rPr>
          <w:snapToGrid w:val="0"/>
          <w:kern w:val="22"/>
          <w:sz w:val="22"/>
          <w:szCs w:val="22"/>
          <w:lang w:val="en-GB"/>
        </w:rPr>
        <w:t xml:space="preserve"> 12-13) of the Conference of the Parties to the Convention.</w:t>
      </w:r>
    </w:p>
    <w:p w14:paraId="66B62A32" w14:textId="10FF69BD" w:rsidR="00FF0662" w:rsidRPr="007C26FA" w:rsidRDefault="00250913"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n-GB"/>
        </w:rPr>
      </w:pPr>
      <w:r w:rsidRPr="007C26FA">
        <w:rPr>
          <w:snapToGrid w:val="0"/>
          <w:kern w:val="22"/>
          <w:sz w:val="22"/>
          <w:szCs w:val="22"/>
          <w:lang w:val="en-GB"/>
        </w:rPr>
        <w:t xml:space="preserve">To support the work of IPBES, </w:t>
      </w:r>
      <w:r w:rsidR="002F2653" w:rsidRPr="007C26FA">
        <w:rPr>
          <w:snapToGrid w:val="0"/>
          <w:kern w:val="22"/>
          <w:sz w:val="22"/>
          <w:szCs w:val="22"/>
          <w:lang w:val="en-GB"/>
        </w:rPr>
        <w:t>the United Nations Environment Programme’s World Conservation Monitoring Centre (</w:t>
      </w:r>
      <w:r w:rsidRPr="007C26FA">
        <w:rPr>
          <w:snapToGrid w:val="0"/>
          <w:kern w:val="22"/>
          <w:sz w:val="22"/>
          <w:szCs w:val="22"/>
          <w:lang w:val="en-GB"/>
        </w:rPr>
        <w:t>UNEP-WCMC</w:t>
      </w:r>
      <w:r w:rsidR="002F2653" w:rsidRPr="007C26FA">
        <w:rPr>
          <w:snapToGrid w:val="0"/>
          <w:kern w:val="22"/>
          <w:sz w:val="22"/>
          <w:szCs w:val="22"/>
          <w:lang w:val="en-GB"/>
        </w:rPr>
        <w:t>)</w:t>
      </w:r>
      <w:r w:rsidRPr="007C26FA">
        <w:rPr>
          <w:snapToGrid w:val="0"/>
          <w:kern w:val="22"/>
          <w:sz w:val="22"/>
          <w:szCs w:val="22"/>
          <w:lang w:val="en-GB"/>
        </w:rPr>
        <w:t xml:space="preserve"> has developed an initiative that builds capacities for national ecosystem assessments that respond to nationally</w:t>
      </w:r>
      <w:r w:rsidR="009554FD">
        <w:rPr>
          <w:snapToGrid w:val="0"/>
          <w:kern w:val="22"/>
          <w:sz w:val="22"/>
          <w:szCs w:val="22"/>
          <w:lang w:val="en-GB"/>
        </w:rPr>
        <w:t xml:space="preserve"> </w:t>
      </w:r>
      <w:r w:rsidRPr="007C26FA">
        <w:rPr>
          <w:snapToGrid w:val="0"/>
          <w:kern w:val="22"/>
          <w:sz w:val="22"/>
          <w:szCs w:val="22"/>
          <w:lang w:val="en-GB"/>
        </w:rPr>
        <w:t>identified needs, thereby linking science and policy. This initiative is currently supporting 12 countries</w:t>
      </w:r>
      <w:r w:rsidRPr="007C26FA">
        <w:rPr>
          <w:snapToGrid w:val="0"/>
          <w:kern w:val="22"/>
          <w:sz w:val="22"/>
          <w:szCs w:val="22"/>
          <w:vertAlign w:val="superscript"/>
          <w:lang w:val="en-GB"/>
        </w:rPr>
        <w:footnoteReference w:id="7"/>
      </w:r>
      <w:r w:rsidRPr="007C26FA">
        <w:rPr>
          <w:snapToGrid w:val="0"/>
          <w:kern w:val="22"/>
          <w:sz w:val="22"/>
          <w:szCs w:val="22"/>
          <w:lang w:val="en-GB"/>
        </w:rPr>
        <w:t xml:space="preserve"> to undertake national ecosystem assessments and develop national science-policy platforms, utili</w:t>
      </w:r>
      <w:r w:rsidR="001845A8" w:rsidRPr="007C26FA">
        <w:rPr>
          <w:snapToGrid w:val="0"/>
          <w:kern w:val="22"/>
          <w:sz w:val="22"/>
          <w:szCs w:val="22"/>
          <w:lang w:val="en-GB"/>
        </w:rPr>
        <w:t>z</w:t>
      </w:r>
      <w:r w:rsidRPr="007C26FA">
        <w:rPr>
          <w:snapToGrid w:val="0"/>
          <w:kern w:val="22"/>
          <w:sz w:val="22"/>
          <w:szCs w:val="22"/>
          <w:lang w:val="en-GB"/>
        </w:rPr>
        <w:t>ing</w:t>
      </w:r>
      <w:r w:rsidR="00E63170">
        <w:rPr>
          <w:snapToGrid w:val="0"/>
          <w:kern w:val="22"/>
          <w:sz w:val="22"/>
          <w:szCs w:val="22"/>
          <w:lang w:val="en-GB"/>
        </w:rPr>
        <w:t>,</w:t>
      </w:r>
      <w:r w:rsidRPr="007C26FA">
        <w:rPr>
          <w:snapToGrid w:val="0"/>
          <w:kern w:val="22"/>
          <w:sz w:val="22"/>
          <w:szCs w:val="22"/>
          <w:lang w:val="en-GB"/>
        </w:rPr>
        <w:t xml:space="preserve"> as appropriate</w:t>
      </w:r>
      <w:r w:rsidR="00E63170">
        <w:rPr>
          <w:snapToGrid w:val="0"/>
          <w:kern w:val="22"/>
          <w:sz w:val="22"/>
          <w:szCs w:val="22"/>
          <w:lang w:val="en-GB"/>
        </w:rPr>
        <w:t>,</w:t>
      </w:r>
      <w:r w:rsidRPr="007C26FA">
        <w:rPr>
          <w:snapToGrid w:val="0"/>
          <w:kern w:val="22"/>
          <w:sz w:val="22"/>
          <w:szCs w:val="22"/>
          <w:lang w:val="en-GB"/>
        </w:rPr>
        <w:t xml:space="preserve"> the IPBES </w:t>
      </w:r>
      <w:r w:rsidRPr="007C26FA">
        <w:rPr>
          <w:i/>
          <w:iCs/>
          <w:snapToGrid w:val="0"/>
          <w:kern w:val="22"/>
          <w:sz w:val="22"/>
          <w:szCs w:val="22"/>
          <w:lang w:val="en-GB"/>
        </w:rPr>
        <w:t>Guide on the Production of Assessments</w:t>
      </w:r>
      <w:r w:rsidRPr="007C26FA">
        <w:rPr>
          <w:snapToGrid w:val="0"/>
          <w:kern w:val="22"/>
          <w:sz w:val="22"/>
          <w:szCs w:val="22"/>
          <w:vertAlign w:val="superscript"/>
          <w:lang w:val="en-GB"/>
        </w:rPr>
        <w:footnoteReference w:id="8"/>
      </w:r>
      <w:r w:rsidRPr="007C26FA">
        <w:rPr>
          <w:snapToGrid w:val="0"/>
          <w:kern w:val="22"/>
          <w:sz w:val="22"/>
          <w:szCs w:val="22"/>
          <w:lang w:val="en-GB"/>
        </w:rPr>
        <w:t xml:space="preserve"> and the IPBES Conceptual Framework.</w:t>
      </w:r>
      <w:r w:rsidRPr="007C26FA">
        <w:rPr>
          <w:snapToGrid w:val="0"/>
          <w:kern w:val="22"/>
          <w:sz w:val="22"/>
          <w:szCs w:val="22"/>
          <w:vertAlign w:val="superscript"/>
          <w:lang w:val="en-GB"/>
        </w:rPr>
        <w:footnoteReference w:id="9"/>
      </w:r>
    </w:p>
    <w:p w14:paraId="66D68875" w14:textId="31882E49" w:rsidR="00FF0662" w:rsidRPr="007C26FA" w:rsidRDefault="00250913"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n-GB"/>
        </w:rPr>
      </w:pPr>
      <w:r w:rsidRPr="007C26FA">
        <w:rPr>
          <w:snapToGrid w:val="0"/>
          <w:kern w:val="22"/>
          <w:sz w:val="22"/>
          <w:szCs w:val="22"/>
          <w:lang w:val="en-GB"/>
        </w:rPr>
        <w:t>An integral part of these assessment process</w:t>
      </w:r>
      <w:r w:rsidR="00CF2970">
        <w:rPr>
          <w:snapToGrid w:val="0"/>
          <w:kern w:val="22"/>
          <w:sz w:val="22"/>
          <w:szCs w:val="22"/>
          <w:lang w:val="en-GB"/>
        </w:rPr>
        <w:t>es</w:t>
      </w:r>
      <w:r w:rsidRPr="007C26FA">
        <w:rPr>
          <w:snapToGrid w:val="0"/>
          <w:kern w:val="22"/>
          <w:sz w:val="22"/>
          <w:szCs w:val="22"/>
          <w:lang w:val="en-GB"/>
        </w:rPr>
        <w:t xml:space="preserve"> is to identify policy relevant questions, linkages and entry points, thus supporting the development of national policies and plans</w:t>
      </w:r>
      <w:r w:rsidR="008F44CE">
        <w:rPr>
          <w:snapToGrid w:val="0"/>
          <w:kern w:val="22"/>
          <w:sz w:val="22"/>
          <w:szCs w:val="22"/>
          <w:lang w:val="en-GB"/>
        </w:rPr>
        <w:t>,</w:t>
      </w:r>
      <w:r w:rsidRPr="007C26FA">
        <w:rPr>
          <w:snapToGrid w:val="0"/>
          <w:kern w:val="22"/>
          <w:sz w:val="22"/>
          <w:szCs w:val="22"/>
          <w:lang w:val="en-GB"/>
        </w:rPr>
        <w:t xml:space="preserve"> such as national biodiversity strategies and action plans. They also provide information that supports the development of national reports. Not only are national ecosystem assessments relevant in the development of biodiversity-specific policies, plans and strategies, but they can also provide an evidence base for mainstreaming biodiversity into other sectors (</w:t>
      </w:r>
      <w:r w:rsidR="00012856">
        <w:rPr>
          <w:snapToGrid w:val="0"/>
          <w:kern w:val="22"/>
          <w:sz w:val="22"/>
          <w:szCs w:val="22"/>
          <w:lang w:val="en-GB"/>
        </w:rPr>
        <w:t>for example,</w:t>
      </w:r>
      <w:r w:rsidRPr="007C26FA">
        <w:rPr>
          <w:snapToGrid w:val="0"/>
          <w:kern w:val="22"/>
          <w:sz w:val="22"/>
          <w:szCs w:val="22"/>
          <w:lang w:val="en-GB"/>
        </w:rPr>
        <w:t xml:space="preserve"> agriculture, water and forestry). In addition, the assessment process itself can contribute towards mainstreaming biodiversity into cross-sectoral decision-making as a result of increased stakeholder engagement and data collation associated with the assessment process.</w:t>
      </w:r>
    </w:p>
    <w:p w14:paraId="0E11EBB5" w14:textId="0B73EF22" w:rsidR="00250913" w:rsidRPr="007C26FA" w:rsidRDefault="00250913" w:rsidP="007C26FA">
      <w:pPr>
        <w:pStyle w:val="ListParagraph"/>
        <w:numPr>
          <w:ilvl w:val="0"/>
          <w:numId w:val="44"/>
        </w:numPr>
        <w:suppressLineNumbers/>
        <w:suppressAutoHyphens/>
        <w:kinsoku w:val="0"/>
        <w:overflowPunct w:val="0"/>
        <w:autoSpaceDE w:val="0"/>
        <w:autoSpaceDN w:val="0"/>
        <w:adjustRightInd w:val="0"/>
        <w:snapToGrid w:val="0"/>
        <w:spacing w:before="120" w:after="120"/>
        <w:ind w:left="0" w:firstLine="0"/>
        <w:contextualSpacing w:val="0"/>
        <w:jc w:val="both"/>
        <w:rPr>
          <w:snapToGrid w:val="0"/>
          <w:kern w:val="22"/>
          <w:sz w:val="22"/>
          <w:szCs w:val="22"/>
          <w:lang w:val="en-GB"/>
        </w:rPr>
      </w:pPr>
      <w:r w:rsidRPr="007C26FA">
        <w:rPr>
          <w:snapToGrid w:val="0"/>
          <w:kern w:val="22"/>
          <w:sz w:val="22"/>
          <w:szCs w:val="22"/>
          <w:lang w:val="en-GB"/>
        </w:rPr>
        <w:t>Financial support for the initiative is received from the International Climate Initiative (IKI) of the German Federal Ministry for the Environment, Nature Conservation and Nuclear Safety (BMU), and it is carried out in collaboration with partners</w:t>
      </w:r>
      <w:r w:rsidR="00C90B92">
        <w:rPr>
          <w:snapToGrid w:val="0"/>
          <w:kern w:val="22"/>
          <w:sz w:val="22"/>
          <w:szCs w:val="22"/>
          <w:lang w:val="en-GB"/>
        </w:rPr>
        <w:t>,</w:t>
      </w:r>
      <w:r w:rsidRPr="007C26FA">
        <w:rPr>
          <w:snapToGrid w:val="0"/>
          <w:kern w:val="22"/>
          <w:sz w:val="22"/>
          <w:szCs w:val="22"/>
          <w:lang w:val="en-GB"/>
        </w:rPr>
        <w:t xml:space="preserve"> including the United Nations Development Programme and its BES-Net initiative, and the United Nations Educational, Scientific and Cultural Organization. Further information on the initiative and its impacts can be found in CBD/SBSTTA/24/INF</w:t>
      </w:r>
      <w:r w:rsidR="00322A02" w:rsidRPr="007C26FA">
        <w:rPr>
          <w:snapToGrid w:val="0"/>
          <w:kern w:val="22"/>
          <w:sz w:val="22"/>
          <w:szCs w:val="22"/>
          <w:lang w:val="en-GB"/>
        </w:rPr>
        <w:t>/18.</w:t>
      </w:r>
    </w:p>
    <w:p w14:paraId="59B9B023" w14:textId="32981B0F" w:rsidR="00250913" w:rsidRPr="007C26FA" w:rsidRDefault="00E02C39" w:rsidP="007C26FA">
      <w:pPr>
        <w:suppressLineNumbers/>
        <w:suppressAutoHyphens/>
        <w:kinsoku w:val="0"/>
        <w:overflowPunct w:val="0"/>
        <w:autoSpaceDE w:val="0"/>
        <w:autoSpaceDN w:val="0"/>
        <w:adjustRightInd w:val="0"/>
        <w:snapToGrid w:val="0"/>
        <w:spacing w:before="120" w:after="120"/>
        <w:jc w:val="center"/>
        <w:rPr>
          <w:snapToGrid w:val="0"/>
          <w:kern w:val="22"/>
          <w:sz w:val="22"/>
          <w:szCs w:val="22"/>
          <w:lang w:val="en-GB"/>
        </w:rPr>
      </w:pPr>
      <w:r w:rsidRPr="007C26FA">
        <w:rPr>
          <w:snapToGrid w:val="0"/>
          <w:kern w:val="22"/>
          <w:sz w:val="22"/>
          <w:szCs w:val="22"/>
          <w:lang w:val="en-GB"/>
        </w:rPr>
        <w:t>__________</w:t>
      </w:r>
    </w:p>
    <w:sectPr w:rsidR="00250913" w:rsidRPr="007C26FA" w:rsidSect="0092106F">
      <w:headerReference w:type="even" r:id="rId27"/>
      <w:headerReference w:type="default" r:id="rId28"/>
      <w:footerReference w:type="even" r:id="rId29"/>
      <w:footerReference w:type="default" r:id="rId30"/>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0246D" w14:textId="77777777" w:rsidR="008F685A" w:rsidRDefault="008F685A">
      <w:r>
        <w:separator/>
      </w:r>
    </w:p>
  </w:endnote>
  <w:endnote w:type="continuationSeparator" w:id="0">
    <w:p w14:paraId="098671E1" w14:textId="77777777" w:rsidR="008F685A" w:rsidRDefault="008F685A">
      <w:r>
        <w:continuationSeparator/>
      </w:r>
    </w:p>
  </w:endnote>
  <w:endnote w:type="continuationNotice" w:id="1">
    <w:p w14:paraId="6C36CBF9" w14:textId="77777777" w:rsidR="008F685A" w:rsidRDefault="008F6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Calibri"/>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5E17E8" w:rsidRPr="00213E93" w:rsidRDefault="005E17E8" w:rsidP="005111CB">
    <w:pPr>
      <w:pStyle w:val="Footer"/>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5E17E8" w:rsidRPr="00213E93" w:rsidRDefault="005E17E8" w:rsidP="00F54CEE">
    <w:pPr>
      <w:pStyle w:val="Footer"/>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38CA" w14:textId="77777777" w:rsidR="008F685A" w:rsidRDefault="008F685A">
      <w:r>
        <w:separator/>
      </w:r>
    </w:p>
  </w:footnote>
  <w:footnote w:type="continuationSeparator" w:id="0">
    <w:p w14:paraId="193D6ECE" w14:textId="77777777" w:rsidR="008F685A" w:rsidRDefault="008F685A">
      <w:r>
        <w:continuationSeparator/>
      </w:r>
    </w:p>
  </w:footnote>
  <w:footnote w:type="continuationNotice" w:id="1">
    <w:p w14:paraId="328B0E63" w14:textId="77777777" w:rsidR="008F685A" w:rsidRDefault="008F685A"/>
  </w:footnote>
  <w:footnote w:id="2">
    <w:p w14:paraId="2516652E" w14:textId="5F405FB3" w:rsidR="005E17E8" w:rsidRPr="007B2372" w:rsidRDefault="005E17E8" w:rsidP="00392B8C">
      <w:pPr>
        <w:pStyle w:val="FootnoteText"/>
        <w:suppressLineNumbers/>
        <w:suppressAutoHyphens/>
        <w:kinsoku w:val="0"/>
        <w:overflowPunct w:val="0"/>
        <w:autoSpaceDE w:val="0"/>
        <w:autoSpaceDN w:val="0"/>
        <w:ind w:firstLine="0"/>
        <w:rPr>
          <w:snapToGrid w:val="0"/>
          <w:kern w:val="18"/>
          <w:szCs w:val="18"/>
          <w:lang w:val="en-GB"/>
        </w:rPr>
      </w:pPr>
      <w:r w:rsidRPr="00392B8C">
        <w:rPr>
          <w:rStyle w:val="FootnoteReference"/>
          <w:snapToGrid w:val="0"/>
          <w:kern w:val="18"/>
          <w:sz w:val="18"/>
          <w:szCs w:val="18"/>
          <w:vertAlign w:val="baseline"/>
          <w:lang w:val="en-GB"/>
        </w:rPr>
        <w:t>*</w:t>
      </w:r>
      <w:r w:rsidRPr="007B2372">
        <w:rPr>
          <w:snapToGrid w:val="0"/>
          <w:kern w:val="18"/>
          <w:szCs w:val="18"/>
          <w:lang w:val="en-GB"/>
        </w:rPr>
        <w:t xml:space="preserve"> CBD/SBSTTA/24/1.</w:t>
      </w:r>
    </w:p>
  </w:footnote>
  <w:footnote w:id="3">
    <w:p w14:paraId="51A0B29D" w14:textId="4DAA928D" w:rsidR="005E17E8" w:rsidRPr="007C26FA" w:rsidRDefault="005E17E8" w:rsidP="007C26FA">
      <w:pPr>
        <w:pStyle w:val="FootnoteText"/>
        <w:keepLines w:val="0"/>
        <w:suppressLineNumbers/>
        <w:suppressAutoHyphens/>
        <w:kinsoku w:val="0"/>
        <w:overflowPunct w:val="0"/>
        <w:autoSpaceDE w:val="0"/>
        <w:autoSpaceDN w:val="0"/>
        <w:ind w:firstLine="0"/>
        <w:rPr>
          <w:bCs/>
          <w:iCs/>
          <w:snapToGrid w:val="0"/>
          <w:kern w:val="18"/>
          <w:szCs w:val="18"/>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w:t>
      </w:r>
      <w:r w:rsidRPr="007C26FA">
        <w:rPr>
          <w:bCs/>
          <w:snapToGrid w:val="0"/>
          <w:kern w:val="18"/>
          <w:szCs w:val="18"/>
          <w:lang w:val="en-GB"/>
        </w:rPr>
        <w:t xml:space="preserve">IPBES-7 also welcomed the response by the Multidisciplinary Expert Panel and the Bureau and the response by the Executive Secretary to the review and requested </w:t>
      </w:r>
      <w:r w:rsidRPr="007C26FA">
        <w:rPr>
          <w:snapToGrid w:val="0"/>
          <w:kern w:val="18"/>
          <w:szCs w:val="18"/>
          <w:lang w:val="en-GB"/>
        </w:rPr>
        <w:t>IPBES/7/5</w:t>
      </w:r>
      <w:r w:rsidR="008F7C91" w:rsidRPr="007C26FA">
        <w:rPr>
          <w:snapToGrid w:val="0"/>
          <w:kern w:val="18"/>
          <w:szCs w:val="18"/>
          <w:lang w:val="en-GB"/>
        </w:rPr>
        <w:t xml:space="preserve"> </w:t>
      </w:r>
      <w:r w:rsidRPr="007C26FA">
        <w:rPr>
          <w:bCs/>
          <w:snapToGrid w:val="0"/>
          <w:kern w:val="18"/>
          <w:szCs w:val="18"/>
          <w:lang w:val="en-GB"/>
        </w:rPr>
        <w:t xml:space="preserve">to take the recommendations made by the review panel into account in the implementation of the rolling work programme of the Platform up to 2030 and to identify solutions and/or issues for the Plenary to consider at its eighth session. </w:t>
      </w:r>
      <w:r w:rsidRPr="007C26FA">
        <w:rPr>
          <w:snapToGrid w:val="0"/>
          <w:kern w:val="18"/>
          <w:szCs w:val="18"/>
          <w:lang w:val="en-GB"/>
        </w:rPr>
        <w:t>The full report of the review panel is available as IPBES/7/INF/18, and the 45</w:t>
      </w:r>
      <w:r w:rsidR="00552BD3">
        <w:rPr>
          <w:snapToGrid w:val="0"/>
          <w:kern w:val="18"/>
          <w:szCs w:val="18"/>
          <w:lang w:val="en-GB"/>
        </w:rPr>
        <w:t> </w:t>
      </w:r>
      <w:r w:rsidRPr="007C26FA">
        <w:rPr>
          <w:snapToGrid w:val="0"/>
          <w:kern w:val="18"/>
          <w:szCs w:val="18"/>
          <w:lang w:val="en-GB"/>
        </w:rPr>
        <w:t>findings and 36</w:t>
      </w:r>
      <w:r w:rsidR="00552BD3">
        <w:rPr>
          <w:snapToGrid w:val="0"/>
          <w:kern w:val="18"/>
          <w:szCs w:val="18"/>
          <w:lang w:val="en-GB"/>
        </w:rPr>
        <w:t> </w:t>
      </w:r>
      <w:r w:rsidRPr="007C26FA">
        <w:rPr>
          <w:snapToGrid w:val="0"/>
          <w:kern w:val="18"/>
          <w:szCs w:val="18"/>
          <w:lang w:val="en-GB"/>
        </w:rPr>
        <w:t>re</w:t>
      </w:r>
      <w:r w:rsidR="00413BA9">
        <w:rPr>
          <w:snapToGrid w:val="0"/>
          <w:kern w:val="18"/>
          <w:szCs w:val="18"/>
          <w:lang w:val="en-GB"/>
        </w:rPr>
        <w:t>c</w:t>
      </w:r>
      <w:r w:rsidRPr="007C26FA">
        <w:rPr>
          <w:snapToGrid w:val="0"/>
          <w:kern w:val="18"/>
          <w:szCs w:val="18"/>
          <w:lang w:val="en-GB"/>
        </w:rPr>
        <w:t xml:space="preserve">ommendations are also provided in IPBES/7/5. The responses of </w:t>
      </w:r>
      <w:r w:rsidRPr="007C26FA">
        <w:rPr>
          <w:bCs/>
          <w:snapToGrid w:val="0"/>
          <w:kern w:val="18"/>
          <w:szCs w:val="18"/>
          <w:lang w:val="en-GB"/>
        </w:rPr>
        <w:t>the Multidisciplinary Expert Panel and the Bureau</w:t>
      </w:r>
      <w:r w:rsidRPr="007C26FA">
        <w:rPr>
          <w:bCs/>
          <w:snapToGrid w:val="0"/>
          <w:kern w:val="18"/>
          <w:szCs w:val="18"/>
          <w:vertAlign w:val="superscript"/>
          <w:lang w:val="en-GB"/>
        </w:rPr>
        <w:t>,</w:t>
      </w:r>
      <w:r w:rsidRPr="007C26FA">
        <w:rPr>
          <w:bCs/>
          <w:snapToGrid w:val="0"/>
          <w:kern w:val="18"/>
          <w:szCs w:val="18"/>
          <w:lang w:val="en-GB"/>
        </w:rPr>
        <w:t xml:space="preserve"> and the Executive </w:t>
      </w:r>
      <w:r w:rsidR="001371BE" w:rsidRPr="007C26FA">
        <w:rPr>
          <w:bCs/>
          <w:snapToGrid w:val="0"/>
          <w:kern w:val="18"/>
          <w:szCs w:val="18"/>
          <w:lang w:val="en-GB"/>
        </w:rPr>
        <w:t>Secretary</w:t>
      </w:r>
      <w:r w:rsidRPr="007C26FA">
        <w:rPr>
          <w:bCs/>
          <w:snapToGrid w:val="0"/>
          <w:kern w:val="18"/>
          <w:szCs w:val="18"/>
          <w:lang w:val="en-GB"/>
        </w:rPr>
        <w:t xml:space="preserve"> are </w:t>
      </w:r>
      <w:r w:rsidR="001371BE" w:rsidRPr="007C26FA">
        <w:rPr>
          <w:bCs/>
          <w:snapToGrid w:val="0"/>
          <w:kern w:val="18"/>
          <w:szCs w:val="18"/>
          <w:lang w:val="en-GB"/>
        </w:rPr>
        <w:t>provided</w:t>
      </w:r>
      <w:r w:rsidRPr="007C26FA">
        <w:rPr>
          <w:bCs/>
          <w:snapToGrid w:val="0"/>
          <w:kern w:val="18"/>
          <w:szCs w:val="18"/>
          <w:lang w:val="en-GB"/>
        </w:rPr>
        <w:t xml:space="preserve"> in </w:t>
      </w:r>
      <w:r w:rsidRPr="007C26FA">
        <w:rPr>
          <w:snapToGrid w:val="0"/>
          <w:kern w:val="18"/>
          <w:szCs w:val="18"/>
          <w:lang w:val="en-GB"/>
        </w:rPr>
        <w:t>IPBES/7/INF/19 and IPBES/7/INF/20</w:t>
      </w:r>
      <w:r w:rsidR="009F207A">
        <w:rPr>
          <w:snapToGrid w:val="0"/>
          <w:kern w:val="18"/>
          <w:szCs w:val="18"/>
          <w:lang w:val="en-GB"/>
        </w:rPr>
        <w:t>,</w:t>
      </w:r>
      <w:r w:rsidR="00041C8C" w:rsidRPr="007C26FA">
        <w:rPr>
          <w:snapToGrid w:val="0"/>
          <w:kern w:val="18"/>
          <w:szCs w:val="18"/>
          <w:lang w:val="en-GB"/>
        </w:rPr>
        <w:t xml:space="preserve"> </w:t>
      </w:r>
      <w:r w:rsidRPr="007C26FA">
        <w:rPr>
          <w:bCs/>
          <w:snapToGrid w:val="0"/>
          <w:kern w:val="18"/>
          <w:szCs w:val="18"/>
          <w:lang w:val="en-GB"/>
        </w:rPr>
        <w:t xml:space="preserve">respectively. </w:t>
      </w:r>
      <w:r w:rsidRPr="007C26FA">
        <w:rPr>
          <w:bCs/>
          <w:iCs/>
          <w:snapToGrid w:val="0"/>
          <w:kern w:val="18"/>
          <w:szCs w:val="18"/>
          <w:lang w:val="en-GB"/>
        </w:rPr>
        <w:t>These six overarching areas that require the attention are:</w:t>
      </w:r>
    </w:p>
    <w:p w14:paraId="1CF1040F" w14:textId="23C51506" w:rsidR="005E17E8" w:rsidRPr="007C26FA" w:rsidRDefault="005E17E8" w:rsidP="007C26FA">
      <w:pPr>
        <w:pStyle w:val="FootnoteText"/>
        <w:keepLines w:val="0"/>
        <w:numPr>
          <w:ilvl w:val="0"/>
          <w:numId w:val="45"/>
        </w:numPr>
        <w:suppressLineNumbers/>
        <w:tabs>
          <w:tab w:val="left" w:pos="1134"/>
        </w:tabs>
        <w:suppressAutoHyphens/>
        <w:kinsoku w:val="0"/>
        <w:overflowPunct w:val="0"/>
        <w:autoSpaceDE w:val="0"/>
        <w:autoSpaceDN w:val="0"/>
        <w:ind w:left="0" w:firstLine="720"/>
        <w:rPr>
          <w:bCs/>
          <w:iCs/>
          <w:snapToGrid w:val="0"/>
          <w:kern w:val="18"/>
          <w:szCs w:val="18"/>
          <w:lang w:val="en-GB"/>
        </w:rPr>
      </w:pPr>
      <w:r w:rsidRPr="007C26FA">
        <w:rPr>
          <w:bCs/>
          <w:iCs/>
          <w:snapToGrid w:val="0"/>
          <w:kern w:val="18"/>
          <w:szCs w:val="18"/>
          <w:lang w:val="en-GB"/>
        </w:rPr>
        <w:t>In order to ensure its strategic importance and sustainability in the long term, IPBES has to be more intentional about its ultimate impact on the status of biodiversity and ecosystem services and maintain and strengthen its niche, value proposition and comparative advantage in a complex landscape with many competing priorities</w:t>
      </w:r>
      <w:r w:rsidR="009F207A">
        <w:rPr>
          <w:bCs/>
          <w:iCs/>
          <w:snapToGrid w:val="0"/>
          <w:kern w:val="18"/>
          <w:szCs w:val="18"/>
          <w:lang w:val="en-GB"/>
        </w:rPr>
        <w:t>;</w:t>
      </w:r>
    </w:p>
    <w:p w14:paraId="653570D0" w14:textId="37C87126" w:rsidR="005E17E8" w:rsidRPr="007C26FA" w:rsidRDefault="005E17E8" w:rsidP="007C26FA">
      <w:pPr>
        <w:pStyle w:val="FootnoteText"/>
        <w:keepLines w:val="0"/>
        <w:numPr>
          <w:ilvl w:val="0"/>
          <w:numId w:val="45"/>
        </w:numPr>
        <w:suppressLineNumbers/>
        <w:tabs>
          <w:tab w:val="left" w:pos="1134"/>
        </w:tabs>
        <w:suppressAutoHyphens/>
        <w:kinsoku w:val="0"/>
        <w:overflowPunct w:val="0"/>
        <w:autoSpaceDE w:val="0"/>
        <w:autoSpaceDN w:val="0"/>
        <w:ind w:left="0" w:firstLine="720"/>
        <w:rPr>
          <w:bCs/>
          <w:iCs/>
          <w:snapToGrid w:val="0"/>
          <w:kern w:val="18"/>
          <w:szCs w:val="18"/>
          <w:lang w:val="en-GB"/>
        </w:rPr>
      </w:pPr>
      <w:r w:rsidRPr="007C26FA">
        <w:rPr>
          <w:snapToGrid w:val="0"/>
          <w:kern w:val="18"/>
          <w:szCs w:val="18"/>
          <w:lang w:val="en-GB"/>
        </w:rPr>
        <w:t xml:space="preserve">IPBES </w:t>
      </w:r>
      <w:proofErr w:type="gramStart"/>
      <w:r w:rsidRPr="007C26FA">
        <w:rPr>
          <w:snapToGrid w:val="0"/>
          <w:kern w:val="18"/>
          <w:szCs w:val="18"/>
          <w:lang w:val="en-GB"/>
        </w:rPr>
        <w:t>has to</w:t>
      </w:r>
      <w:proofErr w:type="gramEnd"/>
      <w:r w:rsidRPr="007C26FA">
        <w:rPr>
          <w:snapToGrid w:val="0"/>
          <w:kern w:val="18"/>
          <w:szCs w:val="18"/>
          <w:lang w:val="en-GB"/>
        </w:rPr>
        <w:t xml:space="preserve"> strengthen significantly the policy dimensions of its work. Building the evidence base is necessary but not </w:t>
      </w:r>
      <w:proofErr w:type="gramStart"/>
      <w:r w:rsidRPr="007C26FA">
        <w:rPr>
          <w:snapToGrid w:val="0"/>
          <w:kern w:val="18"/>
          <w:szCs w:val="18"/>
          <w:lang w:val="en-GB"/>
        </w:rPr>
        <w:t>sufficient</w:t>
      </w:r>
      <w:proofErr w:type="gramEnd"/>
      <w:r w:rsidR="009F207A">
        <w:rPr>
          <w:snapToGrid w:val="0"/>
          <w:kern w:val="18"/>
          <w:szCs w:val="18"/>
          <w:lang w:val="en-GB"/>
        </w:rPr>
        <w:t>;</w:t>
      </w:r>
    </w:p>
    <w:p w14:paraId="4E35D2B3" w14:textId="470A125B" w:rsidR="005E17E8" w:rsidRPr="007C26FA" w:rsidRDefault="005E17E8" w:rsidP="007C26FA">
      <w:pPr>
        <w:pStyle w:val="FootnoteText"/>
        <w:keepLines w:val="0"/>
        <w:numPr>
          <w:ilvl w:val="0"/>
          <w:numId w:val="45"/>
        </w:numPr>
        <w:suppressLineNumbers/>
        <w:tabs>
          <w:tab w:val="left" w:pos="1134"/>
        </w:tabs>
        <w:suppressAutoHyphens/>
        <w:kinsoku w:val="0"/>
        <w:overflowPunct w:val="0"/>
        <w:autoSpaceDE w:val="0"/>
        <w:autoSpaceDN w:val="0"/>
        <w:ind w:left="0" w:firstLine="720"/>
        <w:rPr>
          <w:bCs/>
          <w:iCs/>
          <w:snapToGrid w:val="0"/>
          <w:kern w:val="18"/>
          <w:szCs w:val="18"/>
          <w:lang w:val="en-GB"/>
        </w:rPr>
      </w:pPr>
      <w:r w:rsidRPr="007C26FA">
        <w:rPr>
          <w:snapToGrid w:val="0"/>
          <w:kern w:val="18"/>
          <w:szCs w:val="18"/>
          <w:lang w:val="en-GB"/>
        </w:rPr>
        <w:t xml:space="preserve">IPBES </w:t>
      </w:r>
      <w:proofErr w:type="gramStart"/>
      <w:r w:rsidRPr="007C26FA">
        <w:rPr>
          <w:snapToGrid w:val="0"/>
          <w:kern w:val="18"/>
          <w:szCs w:val="18"/>
          <w:lang w:val="en-GB"/>
        </w:rPr>
        <w:t>has to</w:t>
      </w:r>
      <w:proofErr w:type="gramEnd"/>
      <w:r w:rsidRPr="007C26FA">
        <w:rPr>
          <w:snapToGrid w:val="0"/>
          <w:kern w:val="18"/>
          <w:szCs w:val="18"/>
          <w:lang w:val="en-GB"/>
        </w:rPr>
        <w:t xml:space="preserve"> do more to address the tension between the global and regional scope of its work and recognize the essentially national and local nature of implementation</w:t>
      </w:r>
      <w:r w:rsidR="009F207A">
        <w:rPr>
          <w:snapToGrid w:val="0"/>
          <w:kern w:val="18"/>
          <w:szCs w:val="18"/>
          <w:lang w:val="en-GB"/>
        </w:rPr>
        <w:t>;</w:t>
      </w:r>
    </w:p>
    <w:p w14:paraId="6CB96E60" w14:textId="77777777" w:rsidR="008941F2" w:rsidRPr="008941F2" w:rsidRDefault="005E17E8" w:rsidP="007C26FA">
      <w:pPr>
        <w:pStyle w:val="FootnoteText"/>
        <w:keepLines w:val="0"/>
        <w:numPr>
          <w:ilvl w:val="0"/>
          <w:numId w:val="45"/>
        </w:numPr>
        <w:suppressLineNumbers/>
        <w:tabs>
          <w:tab w:val="left" w:pos="1134"/>
        </w:tabs>
        <w:suppressAutoHyphens/>
        <w:kinsoku w:val="0"/>
        <w:overflowPunct w:val="0"/>
        <w:autoSpaceDE w:val="0"/>
        <w:autoSpaceDN w:val="0"/>
        <w:ind w:left="0" w:firstLine="720"/>
        <w:rPr>
          <w:bCs/>
          <w:iCs/>
          <w:snapToGrid w:val="0"/>
          <w:kern w:val="18"/>
          <w:szCs w:val="18"/>
          <w:lang w:val="en-GB"/>
        </w:rPr>
      </w:pPr>
      <w:r w:rsidRPr="007C26FA">
        <w:rPr>
          <w:snapToGrid w:val="0"/>
          <w:kern w:val="18"/>
          <w:szCs w:val="18"/>
          <w:lang w:val="en-GB"/>
        </w:rPr>
        <w:t xml:space="preserve">IPBES </w:t>
      </w:r>
      <w:proofErr w:type="gramStart"/>
      <w:r w:rsidRPr="007C26FA">
        <w:rPr>
          <w:snapToGrid w:val="0"/>
          <w:kern w:val="18"/>
          <w:szCs w:val="18"/>
          <w:lang w:val="en-GB"/>
        </w:rPr>
        <w:t>has to</w:t>
      </w:r>
      <w:proofErr w:type="gramEnd"/>
      <w:r w:rsidRPr="007C26FA">
        <w:rPr>
          <w:snapToGrid w:val="0"/>
          <w:kern w:val="18"/>
          <w:szCs w:val="18"/>
          <w:lang w:val="en-GB"/>
        </w:rPr>
        <w:t xml:space="preserve"> develop a clearer and more strategic approach to its stakeholders, including by clarifying its partnerships strategy and allowing for more strategic engagement by a key set of partners. </w:t>
      </w:r>
    </w:p>
    <w:p w14:paraId="2D51C0FF" w14:textId="62BDECC6" w:rsidR="005E17E8" w:rsidRPr="00A15675" w:rsidRDefault="005E17E8" w:rsidP="00FC2DA6">
      <w:pPr>
        <w:pStyle w:val="FootnoteText"/>
        <w:keepLines w:val="0"/>
        <w:numPr>
          <w:ilvl w:val="0"/>
          <w:numId w:val="45"/>
        </w:numPr>
        <w:suppressLineNumbers/>
        <w:tabs>
          <w:tab w:val="left" w:pos="1134"/>
        </w:tabs>
        <w:suppressAutoHyphens/>
        <w:kinsoku w:val="0"/>
        <w:overflowPunct w:val="0"/>
        <w:autoSpaceDE w:val="0"/>
        <w:autoSpaceDN w:val="0"/>
        <w:ind w:left="0" w:firstLine="720"/>
        <w:rPr>
          <w:bCs/>
          <w:iCs/>
          <w:snapToGrid w:val="0"/>
          <w:kern w:val="18"/>
          <w:szCs w:val="18"/>
          <w:lang w:val="en-GB"/>
        </w:rPr>
      </w:pPr>
      <w:r w:rsidRPr="007C26FA">
        <w:rPr>
          <w:snapToGrid w:val="0"/>
          <w:kern w:val="18"/>
          <w:szCs w:val="18"/>
          <w:lang w:val="en-GB"/>
        </w:rPr>
        <w:t>While assessments have – for good reason -- featured prominently among the early deliverables</w:t>
      </w:r>
      <w:r w:rsidR="002A3B58">
        <w:rPr>
          <w:snapToGrid w:val="0"/>
          <w:kern w:val="18"/>
          <w:szCs w:val="18"/>
          <w:lang w:val="en-GB"/>
        </w:rPr>
        <w:t xml:space="preserve"> of </w:t>
      </w:r>
      <w:r w:rsidRPr="00FC2DA6">
        <w:rPr>
          <w:snapToGrid w:val="0"/>
          <w:kern w:val="18"/>
          <w:szCs w:val="18"/>
          <w:lang w:val="en-GB"/>
        </w:rPr>
        <w:t>IPBES, and will remain at its core, care must be taken to streamline and strengthen relevant processes while not neglecting other important deliverables and priorities</w:t>
      </w:r>
      <w:r w:rsidR="009F207A" w:rsidRPr="00962701">
        <w:rPr>
          <w:snapToGrid w:val="0"/>
          <w:kern w:val="18"/>
          <w:szCs w:val="18"/>
          <w:lang w:val="en-GB"/>
        </w:rPr>
        <w:t>;</w:t>
      </w:r>
    </w:p>
    <w:p w14:paraId="31CB54AF" w14:textId="721822D6" w:rsidR="005E17E8" w:rsidRPr="007C26FA" w:rsidRDefault="005E17E8" w:rsidP="007C26FA">
      <w:pPr>
        <w:pStyle w:val="FootnoteText"/>
        <w:keepLines w:val="0"/>
        <w:numPr>
          <w:ilvl w:val="0"/>
          <w:numId w:val="45"/>
        </w:numPr>
        <w:suppressLineNumbers/>
        <w:tabs>
          <w:tab w:val="left" w:pos="1134"/>
        </w:tabs>
        <w:suppressAutoHyphens/>
        <w:kinsoku w:val="0"/>
        <w:overflowPunct w:val="0"/>
        <w:autoSpaceDE w:val="0"/>
        <w:autoSpaceDN w:val="0"/>
        <w:ind w:left="0" w:firstLine="720"/>
        <w:rPr>
          <w:snapToGrid w:val="0"/>
          <w:kern w:val="18"/>
          <w:szCs w:val="18"/>
          <w:lang w:val="en-GB"/>
        </w:rPr>
      </w:pPr>
      <w:r w:rsidRPr="007C26FA">
        <w:rPr>
          <w:snapToGrid w:val="0"/>
          <w:kern w:val="18"/>
          <w:szCs w:val="18"/>
          <w:lang w:val="en-GB"/>
        </w:rPr>
        <w:t xml:space="preserve">IPBES members, its partners and other committed stakeholders </w:t>
      </w:r>
      <w:proofErr w:type="gramStart"/>
      <w:r w:rsidRPr="007C26FA">
        <w:rPr>
          <w:snapToGrid w:val="0"/>
          <w:kern w:val="18"/>
          <w:szCs w:val="18"/>
          <w:lang w:val="en-GB"/>
        </w:rPr>
        <w:t>have to</w:t>
      </w:r>
      <w:proofErr w:type="gramEnd"/>
      <w:r w:rsidRPr="007C26FA">
        <w:rPr>
          <w:snapToGrid w:val="0"/>
          <w:kern w:val="18"/>
          <w:szCs w:val="18"/>
          <w:lang w:val="en-GB"/>
        </w:rPr>
        <w:t xml:space="preserve"> do more to help to ensure its financial sustainability in the long term.</w:t>
      </w:r>
    </w:p>
  </w:footnote>
  <w:footnote w:id="4">
    <w:p w14:paraId="45EAC0F7" w14:textId="468F790B" w:rsidR="00D27790" w:rsidRPr="007C26FA" w:rsidRDefault="00B903B2" w:rsidP="007C26FA">
      <w:pPr>
        <w:pStyle w:val="FootnoteText"/>
        <w:suppressLineNumbers/>
        <w:suppressAutoHyphens/>
        <w:kinsoku w:val="0"/>
        <w:overflowPunct w:val="0"/>
        <w:autoSpaceDE w:val="0"/>
        <w:autoSpaceDN w:val="0"/>
        <w:ind w:firstLine="0"/>
        <w:rPr>
          <w:snapToGrid w:val="0"/>
          <w:color w:val="0000FF"/>
          <w:kern w:val="18"/>
          <w:szCs w:val="18"/>
          <w:u w:val="single"/>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Available at: </w:t>
      </w:r>
      <w:hyperlink r:id="rId1" w:history="1">
        <w:r w:rsidRPr="007C26FA">
          <w:rPr>
            <w:rStyle w:val="Hyperlink"/>
            <w:snapToGrid w:val="0"/>
            <w:kern w:val="18"/>
            <w:szCs w:val="18"/>
            <w:lang w:val="en-GB"/>
          </w:rPr>
          <w:t>https://ipbes.net/notification/nomination/scoping-of-the-assessment-of-business-and-biodiversity</w:t>
        </w:r>
      </w:hyperlink>
    </w:p>
  </w:footnote>
  <w:footnote w:id="5">
    <w:p w14:paraId="3DBDAEDB" w14:textId="24601760" w:rsidR="005E17E8" w:rsidRPr="007C26FA" w:rsidRDefault="005E17E8" w:rsidP="007C26FA">
      <w:pPr>
        <w:pStyle w:val="FootnoteText"/>
        <w:suppressLineNumbers/>
        <w:suppressAutoHyphens/>
        <w:kinsoku w:val="0"/>
        <w:overflowPunct w:val="0"/>
        <w:autoSpaceDE w:val="0"/>
        <w:autoSpaceDN w:val="0"/>
        <w:ind w:firstLine="0"/>
        <w:rPr>
          <w:snapToGrid w:val="0"/>
          <w:kern w:val="18"/>
          <w:szCs w:val="18"/>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Depending on the timing of </w:t>
      </w:r>
      <w:r w:rsidR="00BE02DE" w:rsidRPr="007C26FA">
        <w:rPr>
          <w:snapToGrid w:val="0"/>
          <w:kern w:val="18"/>
          <w:szCs w:val="18"/>
          <w:lang w:val="en-GB"/>
        </w:rPr>
        <w:t>the fifteenth meeting of the Conference of the Parties</w:t>
      </w:r>
      <w:r w:rsidRPr="007C26FA">
        <w:rPr>
          <w:snapToGrid w:val="0"/>
          <w:kern w:val="18"/>
          <w:szCs w:val="18"/>
          <w:lang w:val="en-GB"/>
        </w:rPr>
        <w:t xml:space="preserve">, this </w:t>
      </w:r>
      <w:r w:rsidR="001371BE" w:rsidRPr="007C26FA">
        <w:rPr>
          <w:snapToGrid w:val="0"/>
          <w:kern w:val="18"/>
          <w:szCs w:val="18"/>
          <w:lang w:val="en-GB"/>
        </w:rPr>
        <w:t>paragraph</w:t>
      </w:r>
      <w:r w:rsidRPr="007C26FA">
        <w:rPr>
          <w:snapToGrid w:val="0"/>
          <w:kern w:val="18"/>
          <w:szCs w:val="18"/>
          <w:lang w:val="en-GB"/>
        </w:rPr>
        <w:t xml:space="preserve"> may be updated in </w:t>
      </w:r>
      <w:r w:rsidR="00D66046" w:rsidRPr="007C26FA">
        <w:rPr>
          <w:snapToGrid w:val="0"/>
          <w:kern w:val="18"/>
          <w:szCs w:val="18"/>
          <w:lang w:val="en-GB"/>
        </w:rPr>
        <w:t xml:space="preserve">the </w:t>
      </w:r>
      <w:r w:rsidRPr="007C26FA">
        <w:rPr>
          <w:snapToGrid w:val="0"/>
          <w:kern w:val="18"/>
          <w:szCs w:val="18"/>
          <w:lang w:val="en-GB"/>
        </w:rPr>
        <w:t xml:space="preserve">light of </w:t>
      </w:r>
      <w:r w:rsidR="008435C1">
        <w:rPr>
          <w:snapToGrid w:val="0"/>
          <w:kern w:val="18"/>
          <w:szCs w:val="18"/>
          <w:lang w:val="en-GB"/>
        </w:rPr>
        <w:t xml:space="preserve">the outcome of </w:t>
      </w:r>
      <w:r w:rsidR="00D66046" w:rsidRPr="007C26FA">
        <w:rPr>
          <w:snapToGrid w:val="0"/>
          <w:kern w:val="18"/>
          <w:szCs w:val="18"/>
          <w:lang w:val="en-GB"/>
        </w:rPr>
        <w:t>the eighth session of the Intergovernmental Science-Policy Platform on Biodiversity and Ecosystem Services</w:t>
      </w:r>
      <w:r w:rsidRPr="007C26FA">
        <w:rPr>
          <w:snapToGrid w:val="0"/>
          <w:kern w:val="18"/>
          <w:szCs w:val="18"/>
          <w:lang w:val="en-GB"/>
        </w:rPr>
        <w:t>.</w:t>
      </w:r>
    </w:p>
  </w:footnote>
  <w:footnote w:id="6">
    <w:p w14:paraId="009D4E83" w14:textId="22FD5A30" w:rsidR="005E17E8" w:rsidRPr="007C26FA" w:rsidRDefault="005E17E8" w:rsidP="007C26FA">
      <w:pPr>
        <w:pStyle w:val="FootnoteText"/>
        <w:suppressLineNumbers/>
        <w:suppressAutoHyphens/>
        <w:kinsoku w:val="0"/>
        <w:overflowPunct w:val="0"/>
        <w:autoSpaceDE w:val="0"/>
        <w:autoSpaceDN w:val="0"/>
        <w:ind w:firstLine="0"/>
        <w:rPr>
          <w:snapToGrid w:val="0"/>
          <w:kern w:val="18"/>
          <w:szCs w:val="18"/>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See </w:t>
      </w:r>
      <w:r w:rsidR="00D35615">
        <w:rPr>
          <w:snapToGrid w:val="0"/>
          <w:kern w:val="18"/>
          <w:szCs w:val="18"/>
          <w:lang w:val="en-GB"/>
        </w:rPr>
        <w:t>a</w:t>
      </w:r>
      <w:r w:rsidRPr="007C26FA">
        <w:rPr>
          <w:snapToGrid w:val="0"/>
          <w:kern w:val="18"/>
          <w:szCs w:val="18"/>
          <w:lang w:val="en-GB"/>
        </w:rPr>
        <w:t>nnex 1 to IPBES/5/INF/3 (</w:t>
      </w:r>
      <w:hyperlink r:id="rId2" w:history="1">
        <w:r w:rsidRPr="007C26FA">
          <w:rPr>
            <w:rStyle w:val="Hyperlink"/>
            <w:snapToGrid w:val="0"/>
            <w:kern w:val="18"/>
            <w:szCs w:val="18"/>
            <w:lang w:val="en-GB"/>
          </w:rPr>
          <w:t>https://ipbes.net/sites/default/files/downloads/pdf/ipbes-5-inf-3.pdf</w:t>
        </w:r>
      </w:hyperlink>
      <w:r w:rsidRPr="007C26FA">
        <w:rPr>
          <w:snapToGrid w:val="0"/>
          <w:kern w:val="18"/>
          <w:szCs w:val="18"/>
          <w:lang w:val="en-GB"/>
        </w:rPr>
        <w:t>)</w:t>
      </w:r>
    </w:p>
  </w:footnote>
  <w:footnote w:id="7">
    <w:p w14:paraId="2DD99B42" w14:textId="329ECAF7" w:rsidR="005E17E8" w:rsidRPr="007C26FA" w:rsidRDefault="005E17E8" w:rsidP="007C26FA">
      <w:pPr>
        <w:pStyle w:val="FootnoteText"/>
        <w:suppressLineNumbers/>
        <w:suppressAutoHyphens/>
        <w:kinsoku w:val="0"/>
        <w:overflowPunct w:val="0"/>
        <w:autoSpaceDE w:val="0"/>
        <w:autoSpaceDN w:val="0"/>
        <w:ind w:firstLine="0"/>
        <w:rPr>
          <w:snapToGrid w:val="0"/>
          <w:kern w:val="18"/>
          <w:szCs w:val="18"/>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Tranche 1: Cameroon, Colombia, Ethiopia </w:t>
      </w:r>
      <w:r w:rsidR="00D35615">
        <w:rPr>
          <w:snapToGrid w:val="0"/>
          <w:kern w:val="18"/>
          <w:szCs w:val="18"/>
          <w:lang w:val="en-GB"/>
        </w:rPr>
        <w:t>and</w:t>
      </w:r>
      <w:r w:rsidRPr="007C26FA">
        <w:rPr>
          <w:snapToGrid w:val="0"/>
          <w:kern w:val="18"/>
          <w:szCs w:val="18"/>
          <w:lang w:val="en-GB"/>
        </w:rPr>
        <w:t xml:space="preserve"> Viet Nam; Tranche 2: Azerbaijan, Cambodia, Bosnia and Herzegovina, </w:t>
      </w:r>
      <w:r w:rsidR="00D35615">
        <w:rPr>
          <w:snapToGrid w:val="0"/>
          <w:kern w:val="18"/>
          <w:szCs w:val="18"/>
          <w:lang w:val="en-GB"/>
        </w:rPr>
        <w:t>and</w:t>
      </w:r>
      <w:r w:rsidRPr="007C26FA">
        <w:rPr>
          <w:snapToGrid w:val="0"/>
          <w:kern w:val="18"/>
          <w:szCs w:val="18"/>
          <w:lang w:val="en-GB"/>
        </w:rPr>
        <w:t xml:space="preserve"> Grenada; Tranche 3: Argentina, Dominican Republic, Malawi </w:t>
      </w:r>
      <w:r w:rsidR="00D35615">
        <w:rPr>
          <w:snapToGrid w:val="0"/>
          <w:kern w:val="18"/>
          <w:szCs w:val="18"/>
          <w:lang w:val="en-GB"/>
        </w:rPr>
        <w:t>and</w:t>
      </w:r>
      <w:r w:rsidRPr="007C26FA">
        <w:rPr>
          <w:snapToGrid w:val="0"/>
          <w:kern w:val="18"/>
          <w:szCs w:val="18"/>
          <w:lang w:val="en-GB"/>
        </w:rPr>
        <w:t xml:space="preserve"> Thailand.</w:t>
      </w:r>
    </w:p>
  </w:footnote>
  <w:footnote w:id="8">
    <w:p w14:paraId="1025F824" w14:textId="10DD2DBD" w:rsidR="005E17E8" w:rsidRPr="007C26FA" w:rsidRDefault="005E17E8" w:rsidP="007C26FA">
      <w:pPr>
        <w:pStyle w:val="FootnoteText"/>
        <w:suppressLineNumbers/>
        <w:suppressAutoHyphens/>
        <w:kinsoku w:val="0"/>
        <w:overflowPunct w:val="0"/>
        <w:autoSpaceDE w:val="0"/>
        <w:autoSpaceDN w:val="0"/>
        <w:ind w:firstLine="0"/>
        <w:rPr>
          <w:snapToGrid w:val="0"/>
          <w:kern w:val="18"/>
          <w:szCs w:val="18"/>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See </w:t>
      </w:r>
      <w:hyperlink r:id="rId3" w:history="1">
        <w:r w:rsidRPr="007C26FA">
          <w:rPr>
            <w:rStyle w:val="Hyperlink"/>
            <w:snapToGrid w:val="0"/>
            <w:kern w:val="18"/>
            <w:szCs w:val="18"/>
            <w:lang w:val="en-GB"/>
          </w:rPr>
          <w:t>https://ipbes.net/guide-production-assessments</w:t>
        </w:r>
      </w:hyperlink>
    </w:p>
  </w:footnote>
  <w:footnote w:id="9">
    <w:p w14:paraId="1BAD2ECC" w14:textId="1030747E" w:rsidR="005E17E8" w:rsidRPr="007C26FA" w:rsidRDefault="005E17E8" w:rsidP="007C26FA">
      <w:pPr>
        <w:pStyle w:val="FootnoteText"/>
        <w:suppressLineNumbers/>
        <w:suppressAutoHyphens/>
        <w:kinsoku w:val="0"/>
        <w:overflowPunct w:val="0"/>
        <w:autoSpaceDE w:val="0"/>
        <w:autoSpaceDN w:val="0"/>
        <w:ind w:firstLine="0"/>
        <w:rPr>
          <w:snapToGrid w:val="0"/>
          <w:kern w:val="18"/>
          <w:szCs w:val="18"/>
          <w:lang w:val="en-GB"/>
        </w:rPr>
      </w:pPr>
      <w:r w:rsidRPr="007C26FA">
        <w:rPr>
          <w:rStyle w:val="FootnoteReference"/>
          <w:snapToGrid w:val="0"/>
          <w:kern w:val="18"/>
          <w:sz w:val="18"/>
          <w:szCs w:val="18"/>
          <w:lang w:val="en-GB"/>
        </w:rPr>
        <w:footnoteRef/>
      </w:r>
      <w:r w:rsidRPr="007C26FA">
        <w:rPr>
          <w:snapToGrid w:val="0"/>
          <w:kern w:val="18"/>
          <w:szCs w:val="18"/>
          <w:lang w:val="en-GB"/>
        </w:rPr>
        <w:t xml:space="preserve"> See </w:t>
      </w:r>
      <w:hyperlink r:id="rId4" w:history="1">
        <w:r w:rsidRPr="007C26FA">
          <w:rPr>
            <w:rStyle w:val="Hyperlink"/>
            <w:snapToGrid w:val="0"/>
            <w:kern w:val="18"/>
            <w:szCs w:val="18"/>
            <w:lang w:val="en-GB"/>
          </w:rPr>
          <w:t>https://ipbes.net/conceptual-framework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5F454079" w:rsidR="005E17E8" w:rsidRPr="00213E93" w:rsidRDefault="005E17E8" w:rsidP="00213E93">
        <w:pPr>
          <w:pStyle w:val="Header"/>
          <w:keepLines/>
          <w:suppressLineNumbers/>
          <w:tabs>
            <w:tab w:val="clear" w:pos="4320"/>
            <w:tab w:val="clear" w:pos="8640"/>
          </w:tabs>
          <w:suppressAutoHyphens/>
          <w:rPr>
            <w:noProof/>
            <w:kern w:val="22"/>
            <w:sz w:val="22"/>
            <w:szCs w:val="22"/>
            <w:lang w:val="en-GB"/>
          </w:rPr>
        </w:pPr>
        <w:r>
          <w:rPr>
            <w:noProof/>
            <w:kern w:val="22"/>
            <w:sz w:val="22"/>
            <w:szCs w:val="22"/>
            <w:lang w:val="en-GB"/>
          </w:rPr>
          <w:t>CBD/SBSTTA/24/8</w:t>
        </w:r>
      </w:p>
    </w:sdtContent>
  </w:sdt>
  <w:p w14:paraId="725AA59D" w14:textId="4448EB6E" w:rsidR="005E17E8" w:rsidRPr="00213E93" w:rsidRDefault="005E17E8" w:rsidP="00213E93">
    <w:pPr>
      <w:pStyle w:val="Header"/>
      <w:keepLines/>
      <w:suppressLineNumbers/>
      <w:tabs>
        <w:tab w:val="clear" w:pos="4320"/>
        <w:tab w:val="clear" w:pos="8640"/>
      </w:tabs>
      <w:suppressAutoHyphens/>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2</w:t>
    </w:r>
    <w:r w:rsidRPr="00213E93">
      <w:rPr>
        <w:noProof/>
        <w:kern w:val="22"/>
        <w:sz w:val="22"/>
        <w:szCs w:val="22"/>
        <w:lang w:val="en-GB"/>
      </w:rPr>
      <w:fldChar w:fldCharType="end"/>
    </w:r>
  </w:p>
  <w:p w14:paraId="1A906D60" w14:textId="77777777" w:rsidR="005E17E8" w:rsidRPr="00213E93" w:rsidRDefault="005E17E8" w:rsidP="00213E93">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01C46F1" w:rsidR="005E17E8" w:rsidRPr="00213E93" w:rsidRDefault="005E17E8" w:rsidP="005111CB">
        <w:pPr>
          <w:pStyle w:val="Header"/>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CBD/SBSTTA/24/8</w:t>
        </w:r>
      </w:p>
    </w:sdtContent>
  </w:sdt>
  <w:p w14:paraId="2D89A32C" w14:textId="30A5BE33" w:rsidR="005E17E8" w:rsidRPr="00213E93" w:rsidRDefault="005E17E8" w:rsidP="005111CB">
    <w:pPr>
      <w:pStyle w:val="Header"/>
      <w:tabs>
        <w:tab w:val="clear" w:pos="4320"/>
        <w:tab w:val="clear" w:pos="8640"/>
      </w:tabs>
      <w:kinsoku w:val="0"/>
      <w:overflowPunct w:val="0"/>
      <w:autoSpaceDE w:val="0"/>
      <w:autoSpaceDN w:val="0"/>
      <w:jc w:val="right"/>
      <w:rPr>
        <w:noProof/>
        <w:kern w:val="22"/>
        <w:sz w:val="22"/>
        <w:szCs w:val="22"/>
        <w:lang w:val="en-GB"/>
      </w:rPr>
    </w:pPr>
    <w:r w:rsidRPr="00213E93">
      <w:rPr>
        <w:noProof/>
        <w:kern w:val="22"/>
        <w:sz w:val="22"/>
        <w:szCs w:val="22"/>
        <w:lang w:val="en-GB"/>
      </w:rPr>
      <w:t xml:space="preserve">Page </w:t>
    </w:r>
    <w:r w:rsidRPr="00213E93">
      <w:rPr>
        <w:noProof/>
        <w:kern w:val="22"/>
        <w:sz w:val="22"/>
        <w:szCs w:val="22"/>
        <w:lang w:val="en-GB"/>
      </w:rPr>
      <w:fldChar w:fldCharType="begin"/>
    </w:r>
    <w:r w:rsidRPr="00213E93">
      <w:rPr>
        <w:noProof/>
        <w:kern w:val="22"/>
        <w:sz w:val="22"/>
        <w:szCs w:val="22"/>
        <w:lang w:val="en-GB"/>
      </w:rPr>
      <w:instrText xml:space="preserve"> PAGE   \* MERGEFORMAT </w:instrText>
    </w:r>
    <w:r w:rsidRPr="00213E93">
      <w:rPr>
        <w:noProof/>
        <w:kern w:val="22"/>
        <w:sz w:val="22"/>
        <w:szCs w:val="22"/>
        <w:lang w:val="en-GB"/>
      </w:rPr>
      <w:fldChar w:fldCharType="separate"/>
    </w:r>
    <w:r w:rsidRPr="00213E93">
      <w:rPr>
        <w:noProof/>
        <w:kern w:val="22"/>
        <w:sz w:val="22"/>
        <w:szCs w:val="22"/>
        <w:lang w:val="en-GB"/>
      </w:rPr>
      <w:t>5</w:t>
    </w:r>
    <w:r w:rsidRPr="00213E93">
      <w:rPr>
        <w:noProof/>
        <w:kern w:val="22"/>
        <w:sz w:val="22"/>
        <w:szCs w:val="22"/>
        <w:lang w:val="en-GB"/>
      </w:rPr>
      <w:fldChar w:fldCharType="end"/>
    </w:r>
  </w:p>
  <w:p w14:paraId="1445A767" w14:textId="77777777" w:rsidR="005E17E8" w:rsidRPr="00213E93" w:rsidRDefault="005E17E8" w:rsidP="005111CB">
    <w:pPr>
      <w:pStyle w:val="Header"/>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D0999"/>
    <w:multiLevelType w:val="hybridMultilevel"/>
    <w:tmpl w:val="D81672EE"/>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8F52D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4EEC"/>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1D70DE"/>
    <w:multiLevelType w:val="hybridMultilevel"/>
    <w:tmpl w:val="11D8FE88"/>
    <w:lvl w:ilvl="0" w:tplc="E560548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BE0C71"/>
    <w:multiLevelType w:val="hybridMultilevel"/>
    <w:tmpl w:val="AB22BD4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E4763AFA">
      <w:start w:val="1"/>
      <w:numFmt w:val="decimal"/>
      <w:lvlText w:val="%4."/>
      <w:lvlJc w:val="left"/>
      <w:pPr>
        <w:ind w:left="2880" w:hanging="360"/>
      </w:pPr>
      <w:rPr>
        <w:rFonts w:hint="default"/>
        <w:i w:val="0"/>
        <w:iCs/>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15:restartNumberingAfterBreak="0">
    <w:nsid w:val="3ED106A5"/>
    <w:multiLevelType w:val="hybridMultilevel"/>
    <w:tmpl w:val="3F7835EE"/>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75B2AEE"/>
    <w:multiLevelType w:val="hybridMultilevel"/>
    <w:tmpl w:val="E9085C6E"/>
    <w:lvl w:ilvl="0" w:tplc="812ABBC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C1654A"/>
    <w:multiLevelType w:val="hybridMultilevel"/>
    <w:tmpl w:val="2196B9C0"/>
    <w:lvl w:ilvl="0" w:tplc="C72A3F32">
      <w:start w:val="1"/>
      <w:numFmt w:val="lowerLetter"/>
      <w:lvlText w:val="(%1)"/>
      <w:lvlJc w:val="left"/>
      <w:pPr>
        <w:ind w:left="1080" w:hanging="720"/>
      </w:pPr>
      <w:rPr>
        <w:rFonts w:hint="default"/>
      </w:rPr>
    </w:lvl>
    <w:lvl w:ilvl="1" w:tplc="10090017">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997D43"/>
    <w:multiLevelType w:val="hybridMultilevel"/>
    <w:tmpl w:val="1F94DE30"/>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380AB1"/>
    <w:multiLevelType w:val="hybridMultilevel"/>
    <w:tmpl w:val="6A28DF42"/>
    <w:lvl w:ilvl="0" w:tplc="C72A3F32">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9F749EB2">
      <w:start w:val="1"/>
      <w:numFmt w:val="decimal"/>
      <w:lvlText w:val="%4."/>
      <w:lvlJc w:val="left"/>
      <w:pPr>
        <w:ind w:left="2880" w:hanging="360"/>
      </w:pPr>
      <w:rPr>
        <w:rFonts w:hint="default"/>
        <w: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A0550E"/>
    <w:multiLevelType w:val="hybridMultilevel"/>
    <w:tmpl w:val="9E86F5EE"/>
    <w:lvl w:ilvl="0" w:tplc="E7121A0A">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616D39"/>
    <w:multiLevelType w:val="hybridMultilevel"/>
    <w:tmpl w:val="F7AC302A"/>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218C4C34">
      <w:start w:val="1"/>
      <w:numFmt w:val="upperLetter"/>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8FD5CE2"/>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44"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5"/>
  </w:num>
  <w:num w:numId="2">
    <w:abstractNumId w:val="26"/>
  </w:num>
  <w:num w:numId="3">
    <w:abstractNumId w:val="21"/>
  </w:num>
  <w:num w:numId="4">
    <w:abstractNumId w:val="26"/>
  </w:num>
  <w:num w:numId="5">
    <w:abstractNumId w:val="24"/>
  </w:num>
  <w:num w:numId="6">
    <w:abstractNumId w:val="44"/>
  </w:num>
  <w:num w:numId="7">
    <w:abstractNumId w:val="7"/>
  </w:num>
  <w:num w:numId="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13"/>
  </w:num>
  <w:num w:numId="12">
    <w:abstractNumId w:val="3"/>
  </w:num>
  <w:num w:numId="13">
    <w:abstractNumId w:val="33"/>
  </w:num>
  <w:num w:numId="14">
    <w:abstractNumId w:val="22"/>
  </w:num>
  <w:num w:numId="15">
    <w:abstractNumId w:val="43"/>
  </w:num>
  <w:num w:numId="16">
    <w:abstractNumId w:val="3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4"/>
  </w:num>
  <w:num w:numId="22">
    <w:abstractNumId w:val="9"/>
  </w:num>
  <w:num w:numId="23">
    <w:abstractNumId w:val="35"/>
  </w:num>
  <w:num w:numId="24">
    <w:abstractNumId w:val="0"/>
  </w:num>
  <w:num w:numId="25">
    <w:abstractNumId w:val="16"/>
  </w:num>
  <w:num w:numId="26">
    <w:abstractNumId w:val="37"/>
  </w:num>
  <w:num w:numId="27">
    <w:abstractNumId w:val="31"/>
  </w:num>
  <w:num w:numId="28">
    <w:abstractNumId w:val="34"/>
  </w:num>
  <w:num w:numId="29">
    <w:abstractNumId w:val="5"/>
  </w:num>
  <w:num w:numId="30">
    <w:abstractNumId w:val="18"/>
  </w:num>
  <w:num w:numId="31">
    <w:abstractNumId w:val="1"/>
  </w:num>
  <w:num w:numId="32">
    <w:abstractNumId w:val="28"/>
  </w:num>
  <w:num w:numId="33">
    <w:abstractNumId w:val="32"/>
  </w:num>
  <w:num w:numId="34">
    <w:abstractNumId w:val="20"/>
  </w:num>
  <w:num w:numId="35">
    <w:abstractNumId w:val="42"/>
  </w:num>
  <w:num w:numId="36">
    <w:abstractNumId w:val="6"/>
  </w:num>
  <w:num w:numId="37">
    <w:abstractNumId w:val="17"/>
  </w:num>
  <w:num w:numId="38">
    <w:abstractNumId w:val="25"/>
  </w:num>
  <w:num w:numId="39">
    <w:abstractNumId w:val="11"/>
  </w:num>
  <w:num w:numId="40">
    <w:abstractNumId w:val="19"/>
  </w:num>
  <w:num w:numId="41">
    <w:abstractNumId w:val="38"/>
  </w:num>
  <w:num w:numId="42">
    <w:abstractNumId w:val="23"/>
  </w:num>
  <w:num w:numId="43">
    <w:abstractNumId w:val="27"/>
  </w:num>
  <w:num w:numId="44">
    <w:abstractNumId w:val="10"/>
  </w:num>
  <w:num w:numId="45">
    <w:abstractNumId w:val="40"/>
  </w:num>
  <w:num w:numId="46">
    <w:abstractNumId w:val="2"/>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C9C"/>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C8C"/>
    <w:rsid w:val="00042748"/>
    <w:rsid w:val="0004283F"/>
    <w:rsid w:val="000501F6"/>
    <w:rsid w:val="00050FA4"/>
    <w:rsid w:val="00051894"/>
    <w:rsid w:val="0005258A"/>
    <w:rsid w:val="00052B3D"/>
    <w:rsid w:val="00054381"/>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3708"/>
    <w:rsid w:val="00074322"/>
    <w:rsid w:val="000744DB"/>
    <w:rsid w:val="000775CC"/>
    <w:rsid w:val="000775EC"/>
    <w:rsid w:val="00082752"/>
    <w:rsid w:val="00083A0B"/>
    <w:rsid w:val="000843F6"/>
    <w:rsid w:val="00084903"/>
    <w:rsid w:val="00084DEC"/>
    <w:rsid w:val="0008539A"/>
    <w:rsid w:val="00086473"/>
    <w:rsid w:val="000905E5"/>
    <w:rsid w:val="00091AEC"/>
    <w:rsid w:val="00091B47"/>
    <w:rsid w:val="00091D2E"/>
    <w:rsid w:val="00093441"/>
    <w:rsid w:val="000946BE"/>
    <w:rsid w:val="00094AAC"/>
    <w:rsid w:val="00096577"/>
    <w:rsid w:val="0009744C"/>
    <w:rsid w:val="00097F37"/>
    <w:rsid w:val="000A022A"/>
    <w:rsid w:val="000A2AE3"/>
    <w:rsid w:val="000A563E"/>
    <w:rsid w:val="000A5C50"/>
    <w:rsid w:val="000A6D80"/>
    <w:rsid w:val="000A6D81"/>
    <w:rsid w:val="000A6F03"/>
    <w:rsid w:val="000A73AC"/>
    <w:rsid w:val="000B55BE"/>
    <w:rsid w:val="000B5F2C"/>
    <w:rsid w:val="000C0868"/>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3A51"/>
    <w:rsid w:val="000E637D"/>
    <w:rsid w:val="000E725B"/>
    <w:rsid w:val="000E7E4C"/>
    <w:rsid w:val="000E7E6A"/>
    <w:rsid w:val="000F11A9"/>
    <w:rsid w:val="000F3033"/>
    <w:rsid w:val="000F3468"/>
    <w:rsid w:val="000F5BBB"/>
    <w:rsid w:val="000F63AB"/>
    <w:rsid w:val="00100C50"/>
    <w:rsid w:val="00102BF2"/>
    <w:rsid w:val="00106DF4"/>
    <w:rsid w:val="001071DF"/>
    <w:rsid w:val="001076E8"/>
    <w:rsid w:val="0011199A"/>
    <w:rsid w:val="00112643"/>
    <w:rsid w:val="00114792"/>
    <w:rsid w:val="00117FAB"/>
    <w:rsid w:val="00120804"/>
    <w:rsid w:val="001213A2"/>
    <w:rsid w:val="00121A10"/>
    <w:rsid w:val="0012214B"/>
    <w:rsid w:val="00122D9C"/>
    <w:rsid w:val="00127512"/>
    <w:rsid w:val="00127F9D"/>
    <w:rsid w:val="0013036D"/>
    <w:rsid w:val="00131343"/>
    <w:rsid w:val="00132193"/>
    <w:rsid w:val="00132FD8"/>
    <w:rsid w:val="00133310"/>
    <w:rsid w:val="00135451"/>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2D66"/>
    <w:rsid w:val="00173DC2"/>
    <w:rsid w:val="001743A1"/>
    <w:rsid w:val="001807A2"/>
    <w:rsid w:val="00180CA7"/>
    <w:rsid w:val="0018199C"/>
    <w:rsid w:val="0018289C"/>
    <w:rsid w:val="001845A8"/>
    <w:rsid w:val="00186D32"/>
    <w:rsid w:val="00186F7F"/>
    <w:rsid w:val="00187EF7"/>
    <w:rsid w:val="00190212"/>
    <w:rsid w:val="00191BCC"/>
    <w:rsid w:val="00192B55"/>
    <w:rsid w:val="00192E06"/>
    <w:rsid w:val="00193969"/>
    <w:rsid w:val="0019493E"/>
    <w:rsid w:val="00197B86"/>
    <w:rsid w:val="001A2FAB"/>
    <w:rsid w:val="001A3A9E"/>
    <w:rsid w:val="001A4748"/>
    <w:rsid w:val="001A5072"/>
    <w:rsid w:val="001A786D"/>
    <w:rsid w:val="001A7B83"/>
    <w:rsid w:val="001B06FB"/>
    <w:rsid w:val="001B2C16"/>
    <w:rsid w:val="001B3F4B"/>
    <w:rsid w:val="001B73F4"/>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2118"/>
    <w:rsid w:val="001F349D"/>
    <w:rsid w:val="001F3732"/>
    <w:rsid w:val="001F557C"/>
    <w:rsid w:val="001F6263"/>
    <w:rsid w:val="001F6379"/>
    <w:rsid w:val="001F75EE"/>
    <w:rsid w:val="00200B87"/>
    <w:rsid w:val="0020306C"/>
    <w:rsid w:val="002030C9"/>
    <w:rsid w:val="0020369B"/>
    <w:rsid w:val="00204415"/>
    <w:rsid w:val="00206975"/>
    <w:rsid w:val="00207231"/>
    <w:rsid w:val="00207A6E"/>
    <w:rsid w:val="00211AD6"/>
    <w:rsid w:val="002124F3"/>
    <w:rsid w:val="00212692"/>
    <w:rsid w:val="0021360A"/>
    <w:rsid w:val="00213E93"/>
    <w:rsid w:val="002146DD"/>
    <w:rsid w:val="002159E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1493"/>
    <w:rsid w:val="00232C34"/>
    <w:rsid w:val="00232EE8"/>
    <w:rsid w:val="00234FD5"/>
    <w:rsid w:val="002352CC"/>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501DE"/>
    <w:rsid w:val="00250913"/>
    <w:rsid w:val="002510FD"/>
    <w:rsid w:val="00251FAF"/>
    <w:rsid w:val="0025231F"/>
    <w:rsid w:val="0025247E"/>
    <w:rsid w:val="00252897"/>
    <w:rsid w:val="00254248"/>
    <w:rsid w:val="00254480"/>
    <w:rsid w:val="002547AE"/>
    <w:rsid w:val="00255B36"/>
    <w:rsid w:val="0026537F"/>
    <w:rsid w:val="002703E7"/>
    <w:rsid w:val="00270AD2"/>
    <w:rsid w:val="00272C1E"/>
    <w:rsid w:val="002732E0"/>
    <w:rsid w:val="00273BC3"/>
    <w:rsid w:val="00275DA7"/>
    <w:rsid w:val="00276529"/>
    <w:rsid w:val="00277B44"/>
    <w:rsid w:val="00280D16"/>
    <w:rsid w:val="00280F5B"/>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F6B"/>
    <w:rsid w:val="00292F88"/>
    <w:rsid w:val="00293A53"/>
    <w:rsid w:val="0029512B"/>
    <w:rsid w:val="0029677E"/>
    <w:rsid w:val="00297FAB"/>
    <w:rsid w:val="002A0832"/>
    <w:rsid w:val="002A0AE5"/>
    <w:rsid w:val="002A0DA9"/>
    <w:rsid w:val="002A1181"/>
    <w:rsid w:val="002A19CC"/>
    <w:rsid w:val="002A264F"/>
    <w:rsid w:val="002A3B58"/>
    <w:rsid w:val="002A4A5F"/>
    <w:rsid w:val="002A6ADA"/>
    <w:rsid w:val="002B0942"/>
    <w:rsid w:val="002B1724"/>
    <w:rsid w:val="002B2268"/>
    <w:rsid w:val="002B2BA0"/>
    <w:rsid w:val="002B4C21"/>
    <w:rsid w:val="002B7591"/>
    <w:rsid w:val="002C683E"/>
    <w:rsid w:val="002C7907"/>
    <w:rsid w:val="002C7FB5"/>
    <w:rsid w:val="002D1575"/>
    <w:rsid w:val="002D2D1D"/>
    <w:rsid w:val="002D3EBD"/>
    <w:rsid w:val="002D457B"/>
    <w:rsid w:val="002D5872"/>
    <w:rsid w:val="002D5A8F"/>
    <w:rsid w:val="002D6C7D"/>
    <w:rsid w:val="002D7767"/>
    <w:rsid w:val="002E0BBF"/>
    <w:rsid w:val="002E46E7"/>
    <w:rsid w:val="002E4823"/>
    <w:rsid w:val="002E4F2F"/>
    <w:rsid w:val="002E5C58"/>
    <w:rsid w:val="002F084F"/>
    <w:rsid w:val="002F11EC"/>
    <w:rsid w:val="002F16E0"/>
    <w:rsid w:val="002F2653"/>
    <w:rsid w:val="002F3216"/>
    <w:rsid w:val="002F35F6"/>
    <w:rsid w:val="002F52D6"/>
    <w:rsid w:val="002F628A"/>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627"/>
    <w:rsid w:val="00370CDC"/>
    <w:rsid w:val="00372500"/>
    <w:rsid w:val="00372639"/>
    <w:rsid w:val="00377A1F"/>
    <w:rsid w:val="00377E67"/>
    <w:rsid w:val="00381BA2"/>
    <w:rsid w:val="00381E94"/>
    <w:rsid w:val="0038442E"/>
    <w:rsid w:val="00385850"/>
    <w:rsid w:val="00390137"/>
    <w:rsid w:val="003904B6"/>
    <w:rsid w:val="00391647"/>
    <w:rsid w:val="00392B8C"/>
    <w:rsid w:val="00394F47"/>
    <w:rsid w:val="003963BA"/>
    <w:rsid w:val="003966EC"/>
    <w:rsid w:val="00396820"/>
    <w:rsid w:val="00396E25"/>
    <w:rsid w:val="003979C5"/>
    <w:rsid w:val="003A1D78"/>
    <w:rsid w:val="003A33FD"/>
    <w:rsid w:val="003A3DD4"/>
    <w:rsid w:val="003A4FAE"/>
    <w:rsid w:val="003A522C"/>
    <w:rsid w:val="003A5B50"/>
    <w:rsid w:val="003A5F01"/>
    <w:rsid w:val="003A648E"/>
    <w:rsid w:val="003A6951"/>
    <w:rsid w:val="003A73EB"/>
    <w:rsid w:val="003A76F7"/>
    <w:rsid w:val="003A772F"/>
    <w:rsid w:val="003B041D"/>
    <w:rsid w:val="003B0632"/>
    <w:rsid w:val="003B0B2F"/>
    <w:rsid w:val="003B0D4F"/>
    <w:rsid w:val="003B10B9"/>
    <w:rsid w:val="003B1460"/>
    <w:rsid w:val="003B3116"/>
    <w:rsid w:val="003B3A96"/>
    <w:rsid w:val="003B43D7"/>
    <w:rsid w:val="003B5605"/>
    <w:rsid w:val="003B5E7B"/>
    <w:rsid w:val="003B6201"/>
    <w:rsid w:val="003C0B69"/>
    <w:rsid w:val="003C113F"/>
    <w:rsid w:val="003C2DD4"/>
    <w:rsid w:val="003C3CFD"/>
    <w:rsid w:val="003C4AB8"/>
    <w:rsid w:val="003C51EE"/>
    <w:rsid w:val="003C5CFE"/>
    <w:rsid w:val="003C634B"/>
    <w:rsid w:val="003C7551"/>
    <w:rsid w:val="003D1C07"/>
    <w:rsid w:val="003D2DAC"/>
    <w:rsid w:val="003D589C"/>
    <w:rsid w:val="003D6E7D"/>
    <w:rsid w:val="003D73E9"/>
    <w:rsid w:val="003E15DD"/>
    <w:rsid w:val="003E2009"/>
    <w:rsid w:val="003E2979"/>
    <w:rsid w:val="003E2DAE"/>
    <w:rsid w:val="003E422F"/>
    <w:rsid w:val="003E48FA"/>
    <w:rsid w:val="003E4CD7"/>
    <w:rsid w:val="003E56CB"/>
    <w:rsid w:val="003E6030"/>
    <w:rsid w:val="003E767E"/>
    <w:rsid w:val="003F10D0"/>
    <w:rsid w:val="003F1889"/>
    <w:rsid w:val="003F188B"/>
    <w:rsid w:val="003F49A1"/>
    <w:rsid w:val="003F509D"/>
    <w:rsid w:val="003F6E44"/>
    <w:rsid w:val="003F7FBE"/>
    <w:rsid w:val="004000B2"/>
    <w:rsid w:val="004000F7"/>
    <w:rsid w:val="00400D8C"/>
    <w:rsid w:val="00401563"/>
    <w:rsid w:val="00402EEE"/>
    <w:rsid w:val="00403B41"/>
    <w:rsid w:val="00404F65"/>
    <w:rsid w:val="00405812"/>
    <w:rsid w:val="00405F5F"/>
    <w:rsid w:val="00406213"/>
    <w:rsid w:val="00406A26"/>
    <w:rsid w:val="00406BC6"/>
    <w:rsid w:val="0041007E"/>
    <w:rsid w:val="004119FD"/>
    <w:rsid w:val="00412ECB"/>
    <w:rsid w:val="00413BA9"/>
    <w:rsid w:val="004163C6"/>
    <w:rsid w:val="00416FD9"/>
    <w:rsid w:val="00417AA7"/>
    <w:rsid w:val="00417C82"/>
    <w:rsid w:val="00420341"/>
    <w:rsid w:val="00420711"/>
    <w:rsid w:val="00420834"/>
    <w:rsid w:val="00421EAD"/>
    <w:rsid w:val="0042203B"/>
    <w:rsid w:val="004220D3"/>
    <w:rsid w:val="0042279F"/>
    <w:rsid w:val="00423231"/>
    <w:rsid w:val="00425ED9"/>
    <w:rsid w:val="00426A99"/>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70686"/>
    <w:rsid w:val="004706F0"/>
    <w:rsid w:val="00470765"/>
    <w:rsid w:val="00475598"/>
    <w:rsid w:val="00480B71"/>
    <w:rsid w:val="0048194F"/>
    <w:rsid w:val="00482534"/>
    <w:rsid w:val="00484F0A"/>
    <w:rsid w:val="00487A43"/>
    <w:rsid w:val="0049029F"/>
    <w:rsid w:val="00490AE5"/>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73D3"/>
    <w:rsid w:val="004A7A37"/>
    <w:rsid w:val="004B369E"/>
    <w:rsid w:val="004B380D"/>
    <w:rsid w:val="004B597A"/>
    <w:rsid w:val="004C0C40"/>
    <w:rsid w:val="004C2215"/>
    <w:rsid w:val="004C2398"/>
    <w:rsid w:val="004C3DD9"/>
    <w:rsid w:val="004C497D"/>
    <w:rsid w:val="004C507A"/>
    <w:rsid w:val="004C7894"/>
    <w:rsid w:val="004D02E4"/>
    <w:rsid w:val="004D0C65"/>
    <w:rsid w:val="004D2E49"/>
    <w:rsid w:val="004D53E6"/>
    <w:rsid w:val="004D5F39"/>
    <w:rsid w:val="004E2205"/>
    <w:rsid w:val="004E2DFD"/>
    <w:rsid w:val="004E2F11"/>
    <w:rsid w:val="004E2FD7"/>
    <w:rsid w:val="004E44EA"/>
    <w:rsid w:val="004E5A34"/>
    <w:rsid w:val="004E7198"/>
    <w:rsid w:val="004E7F75"/>
    <w:rsid w:val="004F3A7B"/>
    <w:rsid w:val="004F4944"/>
    <w:rsid w:val="004F5EAD"/>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4D2A"/>
    <w:rsid w:val="0054631B"/>
    <w:rsid w:val="0054648B"/>
    <w:rsid w:val="00546901"/>
    <w:rsid w:val="00547A73"/>
    <w:rsid w:val="0055166C"/>
    <w:rsid w:val="0055172B"/>
    <w:rsid w:val="00551E57"/>
    <w:rsid w:val="0055237C"/>
    <w:rsid w:val="00552BD3"/>
    <w:rsid w:val="00553238"/>
    <w:rsid w:val="00553F33"/>
    <w:rsid w:val="00554315"/>
    <w:rsid w:val="00554FAA"/>
    <w:rsid w:val="005560C5"/>
    <w:rsid w:val="00557D9F"/>
    <w:rsid w:val="00557F26"/>
    <w:rsid w:val="00562F45"/>
    <w:rsid w:val="00567519"/>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4B8F"/>
    <w:rsid w:val="005955D2"/>
    <w:rsid w:val="00596C69"/>
    <w:rsid w:val="005A32AF"/>
    <w:rsid w:val="005A3ADB"/>
    <w:rsid w:val="005A4284"/>
    <w:rsid w:val="005A5A6F"/>
    <w:rsid w:val="005B076F"/>
    <w:rsid w:val="005B0B87"/>
    <w:rsid w:val="005B13A7"/>
    <w:rsid w:val="005B1587"/>
    <w:rsid w:val="005B1F38"/>
    <w:rsid w:val="005B4189"/>
    <w:rsid w:val="005B527A"/>
    <w:rsid w:val="005B7071"/>
    <w:rsid w:val="005B7357"/>
    <w:rsid w:val="005B7D91"/>
    <w:rsid w:val="005C02FB"/>
    <w:rsid w:val="005C0D66"/>
    <w:rsid w:val="005C0DAD"/>
    <w:rsid w:val="005C2E3E"/>
    <w:rsid w:val="005C410E"/>
    <w:rsid w:val="005C5CB3"/>
    <w:rsid w:val="005C6121"/>
    <w:rsid w:val="005C6FCF"/>
    <w:rsid w:val="005C7324"/>
    <w:rsid w:val="005D0205"/>
    <w:rsid w:val="005D139C"/>
    <w:rsid w:val="005D251E"/>
    <w:rsid w:val="005D2724"/>
    <w:rsid w:val="005D4309"/>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266DD"/>
    <w:rsid w:val="00630132"/>
    <w:rsid w:val="00630499"/>
    <w:rsid w:val="00631692"/>
    <w:rsid w:val="00631BD3"/>
    <w:rsid w:val="00632F5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4856"/>
    <w:rsid w:val="006650CD"/>
    <w:rsid w:val="006671C9"/>
    <w:rsid w:val="006671E8"/>
    <w:rsid w:val="006679CE"/>
    <w:rsid w:val="00674469"/>
    <w:rsid w:val="0067489A"/>
    <w:rsid w:val="006759CB"/>
    <w:rsid w:val="00675F11"/>
    <w:rsid w:val="00676A40"/>
    <w:rsid w:val="006773EC"/>
    <w:rsid w:val="00677CAE"/>
    <w:rsid w:val="00680BF4"/>
    <w:rsid w:val="006819C4"/>
    <w:rsid w:val="00682E5B"/>
    <w:rsid w:val="006831BE"/>
    <w:rsid w:val="00687651"/>
    <w:rsid w:val="00690847"/>
    <w:rsid w:val="0069238C"/>
    <w:rsid w:val="0069290C"/>
    <w:rsid w:val="00693922"/>
    <w:rsid w:val="006948B3"/>
    <w:rsid w:val="0069520E"/>
    <w:rsid w:val="00695538"/>
    <w:rsid w:val="00695AAA"/>
    <w:rsid w:val="00695F72"/>
    <w:rsid w:val="00696A6E"/>
    <w:rsid w:val="006A0814"/>
    <w:rsid w:val="006A189E"/>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5CCE"/>
    <w:rsid w:val="006D5FCB"/>
    <w:rsid w:val="006D6F78"/>
    <w:rsid w:val="006E0BBB"/>
    <w:rsid w:val="006E18BB"/>
    <w:rsid w:val="006E1F1C"/>
    <w:rsid w:val="006E2151"/>
    <w:rsid w:val="006E6058"/>
    <w:rsid w:val="006F0498"/>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2854"/>
    <w:rsid w:val="007145DB"/>
    <w:rsid w:val="00714945"/>
    <w:rsid w:val="007153D8"/>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37D14"/>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5E81"/>
    <w:rsid w:val="007572AD"/>
    <w:rsid w:val="00760309"/>
    <w:rsid w:val="007607B5"/>
    <w:rsid w:val="00760AE2"/>
    <w:rsid w:val="00761F0B"/>
    <w:rsid w:val="007651BF"/>
    <w:rsid w:val="007661C7"/>
    <w:rsid w:val="00766960"/>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4CFE"/>
    <w:rsid w:val="0079546B"/>
    <w:rsid w:val="0079621D"/>
    <w:rsid w:val="007967A8"/>
    <w:rsid w:val="007974A1"/>
    <w:rsid w:val="007A012D"/>
    <w:rsid w:val="007A0430"/>
    <w:rsid w:val="007A090D"/>
    <w:rsid w:val="007A1E74"/>
    <w:rsid w:val="007A5607"/>
    <w:rsid w:val="007A57F8"/>
    <w:rsid w:val="007A5E82"/>
    <w:rsid w:val="007B0D1B"/>
    <w:rsid w:val="007B1587"/>
    <w:rsid w:val="007B1A0A"/>
    <w:rsid w:val="007B1CCB"/>
    <w:rsid w:val="007B2372"/>
    <w:rsid w:val="007B241B"/>
    <w:rsid w:val="007B349C"/>
    <w:rsid w:val="007B421A"/>
    <w:rsid w:val="007B53F5"/>
    <w:rsid w:val="007B5AA5"/>
    <w:rsid w:val="007B6BA9"/>
    <w:rsid w:val="007B7830"/>
    <w:rsid w:val="007C093C"/>
    <w:rsid w:val="007C1309"/>
    <w:rsid w:val="007C26FA"/>
    <w:rsid w:val="007C47D8"/>
    <w:rsid w:val="007C5285"/>
    <w:rsid w:val="007C5F35"/>
    <w:rsid w:val="007C633B"/>
    <w:rsid w:val="007D1235"/>
    <w:rsid w:val="007D3182"/>
    <w:rsid w:val="007D330A"/>
    <w:rsid w:val="007D3A05"/>
    <w:rsid w:val="007D3DA5"/>
    <w:rsid w:val="007D4BE4"/>
    <w:rsid w:val="007D766C"/>
    <w:rsid w:val="007D79DA"/>
    <w:rsid w:val="007E1804"/>
    <w:rsid w:val="007E3C99"/>
    <w:rsid w:val="007E78ED"/>
    <w:rsid w:val="007E7C89"/>
    <w:rsid w:val="007F02BD"/>
    <w:rsid w:val="007F1824"/>
    <w:rsid w:val="007F1AD1"/>
    <w:rsid w:val="007F2742"/>
    <w:rsid w:val="007F472E"/>
    <w:rsid w:val="007F486A"/>
    <w:rsid w:val="007F54D0"/>
    <w:rsid w:val="007F6B1D"/>
    <w:rsid w:val="007F6CD7"/>
    <w:rsid w:val="00800EA2"/>
    <w:rsid w:val="00801178"/>
    <w:rsid w:val="00805202"/>
    <w:rsid w:val="008067DE"/>
    <w:rsid w:val="00807057"/>
    <w:rsid w:val="00812F59"/>
    <w:rsid w:val="00813305"/>
    <w:rsid w:val="00813407"/>
    <w:rsid w:val="008157A2"/>
    <w:rsid w:val="00816E3C"/>
    <w:rsid w:val="0081767C"/>
    <w:rsid w:val="00820237"/>
    <w:rsid w:val="00822043"/>
    <w:rsid w:val="00824FD0"/>
    <w:rsid w:val="00825181"/>
    <w:rsid w:val="00825524"/>
    <w:rsid w:val="008269A4"/>
    <w:rsid w:val="00827988"/>
    <w:rsid w:val="00827C11"/>
    <w:rsid w:val="0083211E"/>
    <w:rsid w:val="00832D71"/>
    <w:rsid w:val="00833761"/>
    <w:rsid w:val="00836429"/>
    <w:rsid w:val="00836921"/>
    <w:rsid w:val="00837332"/>
    <w:rsid w:val="00841526"/>
    <w:rsid w:val="00841E9F"/>
    <w:rsid w:val="008420D5"/>
    <w:rsid w:val="008435C1"/>
    <w:rsid w:val="00843C02"/>
    <w:rsid w:val="00843D36"/>
    <w:rsid w:val="008454B7"/>
    <w:rsid w:val="00846AAF"/>
    <w:rsid w:val="00846B57"/>
    <w:rsid w:val="00850D38"/>
    <w:rsid w:val="00851F8D"/>
    <w:rsid w:val="00853327"/>
    <w:rsid w:val="008533A8"/>
    <w:rsid w:val="0086065C"/>
    <w:rsid w:val="00861CCA"/>
    <w:rsid w:val="00862269"/>
    <w:rsid w:val="008625A4"/>
    <w:rsid w:val="008630DC"/>
    <w:rsid w:val="00863209"/>
    <w:rsid w:val="00863863"/>
    <w:rsid w:val="00864770"/>
    <w:rsid w:val="0086486F"/>
    <w:rsid w:val="00864CE2"/>
    <w:rsid w:val="00864DD3"/>
    <w:rsid w:val="00867506"/>
    <w:rsid w:val="00867D26"/>
    <w:rsid w:val="00870D40"/>
    <w:rsid w:val="00871CE2"/>
    <w:rsid w:val="00871F54"/>
    <w:rsid w:val="0087409B"/>
    <w:rsid w:val="00875285"/>
    <w:rsid w:val="008754D7"/>
    <w:rsid w:val="00876F21"/>
    <w:rsid w:val="0087762F"/>
    <w:rsid w:val="00877A14"/>
    <w:rsid w:val="008831CE"/>
    <w:rsid w:val="008856CF"/>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866"/>
    <w:rsid w:val="008C1E35"/>
    <w:rsid w:val="008C2DF4"/>
    <w:rsid w:val="008C3047"/>
    <w:rsid w:val="008C35C0"/>
    <w:rsid w:val="008C3727"/>
    <w:rsid w:val="008C3735"/>
    <w:rsid w:val="008C5A63"/>
    <w:rsid w:val="008C6B04"/>
    <w:rsid w:val="008C7C3E"/>
    <w:rsid w:val="008D2175"/>
    <w:rsid w:val="008D271D"/>
    <w:rsid w:val="008D2D21"/>
    <w:rsid w:val="008D3133"/>
    <w:rsid w:val="008D3214"/>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6A7"/>
    <w:rsid w:val="008E7500"/>
    <w:rsid w:val="008F3455"/>
    <w:rsid w:val="008F44CE"/>
    <w:rsid w:val="008F4722"/>
    <w:rsid w:val="008F4B2A"/>
    <w:rsid w:val="008F685A"/>
    <w:rsid w:val="008F6D3D"/>
    <w:rsid w:val="008F7C91"/>
    <w:rsid w:val="00901817"/>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E5"/>
    <w:rsid w:val="009345E7"/>
    <w:rsid w:val="00935C2F"/>
    <w:rsid w:val="0093740F"/>
    <w:rsid w:val="00940831"/>
    <w:rsid w:val="009418C9"/>
    <w:rsid w:val="00942C63"/>
    <w:rsid w:val="009466B3"/>
    <w:rsid w:val="00947A1E"/>
    <w:rsid w:val="00947B63"/>
    <w:rsid w:val="009515F7"/>
    <w:rsid w:val="009526B0"/>
    <w:rsid w:val="00953856"/>
    <w:rsid w:val="009544D2"/>
    <w:rsid w:val="009554D5"/>
    <w:rsid w:val="009554FD"/>
    <w:rsid w:val="00956C12"/>
    <w:rsid w:val="009616C7"/>
    <w:rsid w:val="00962701"/>
    <w:rsid w:val="009627CC"/>
    <w:rsid w:val="009634BC"/>
    <w:rsid w:val="00963DB4"/>
    <w:rsid w:val="009648C0"/>
    <w:rsid w:val="00964BF4"/>
    <w:rsid w:val="00964DE4"/>
    <w:rsid w:val="00966871"/>
    <w:rsid w:val="00966F25"/>
    <w:rsid w:val="00971B9B"/>
    <w:rsid w:val="00971EB2"/>
    <w:rsid w:val="009733B9"/>
    <w:rsid w:val="009752C9"/>
    <w:rsid w:val="00975DF9"/>
    <w:rsid w:val="0097604C"/>
    <w:rsid w:val="009773B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72E0"/>
    <w:rsid w:val="009A0E58"/>
    <w:rsid w:val="009A216D"/>
    <w:rsid w:val="009A2CD2"/>
    <w:rsid w:val="009A354F"/>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19F9"/>
    <w:rsid w:val="009D2150"/>
    <w:rsid w:val="009D263F"/>
    <w:rsid w:val="009D2F92"/>
    <w:rsid w:val="009D44CD"/>
    <w:rsid w:val="009D7164"/>
    <w:rsid w:val="009D723F"/>
    <w:rsid w:val="009D7F06"/>
    <w:rsid w:val="009E21A1"/>
    <w:rsid w:val="009E2B79"/>
    <w:rsid w:val="009E46A4"/>
    <w:rsid w:val="009E54D8"/>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5456"/>
    <w:rsid w:val="00A05B79"/>
    <w:rsid w:val="00A064CF"/>
    <w:rsid w:val="00A10051"/>
    <w:rsid w:val="00A1097E"/>
    <w:rsid w:val="00A12E47"/>
    <w:rsid w:val="00A14395"/>
    <w:rsid w:val="00A15675"/>
    <w:rsid w:val="00A16FE6"/>
    <w:rsid w:val="00A1708B"/>
    <w:rsid w:val="00A17EDC"/>
    <w:rsid w:val="00A20F36"/>
    <w:rsid w:val="00A222D8"/>
    <w:rsid w:val="00A239CA"/>
    <w:rsid w:val="00A24BAB"/>
    <w:rsid w:val="00A269BF"/>
    <w:rsid w:val="00A26E66"/>
    <w:rsid w:val="00A272B5"/>
    <w:rsid w:val="00A27381"/>
    <w:rsid w:val="00A279B8"/>
    <w:rsid w:val="00A309C0"/>
    <w:rsid w:val="00A30DAD"/>
    <w:rsid w:val="00A30FCD"/>
    <w:rsid w:val="00A31209"/>
    <w:rsid w:val="00A339DD"/>
    <w:rsid w:val="00A35328"/>
    <w:rsid w:val="00A355B1"/>
    <w:rsid w:val="00A4105B"/>
    <w:rsid w:val="00A4131A"/>
    <w:rsid w:val="00A42E6B"/>
    <w:rsid w:val="00A43AD7"/>
    <w:rsid w:val="00A464B6"/>
    <w:rsid w:val="00A50596"/>
    <w:rsid w:val="00A53265"/>
    <w:rsid w:val="00A5445B"/>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84"/>
    <w:rsid w:val="00A73408"/>
    <w:rsid w:val="00A76765"/>
    <w:rsid w:val="00A76CC9"/>
    <w:rsid w:val="00A77577"/>
    <w:rsid w:val="00A801FB"/>
    <w:rsid w:val="00A80E10"/>
    <w:rsid w:val="00A815B0"/>
    <w:rsid w:val="00A8327A"/>
    <w:rsid w:val="00A84FC2"/>
    <w:rsid w:val="00A854C0"/>
    <w:rsid w:val="00A860A7"/>
    <w:rsid w:val="00A864ED"/>
    <w:rsid w:val="00A86769"/>
    <w:rsid w:val="00A87CA9"/>
    <w:rsid w:val="00A90584"/>
    <w:rsid w:val="00A91DB4"/>
    <w:rsid w:val="00A920D0"/>
    <w:rsid w:val="00A946C9"/>
    <w:rsid w:val="00A94C2D"/>
    <w:rsid w:val="00A9689F"/>
    <w:rsid w:val="00A97084"/>
    <w:rsid w:val="00A97947"/>
    <w:rsid w:val="00A97D01"/>
    <w:rsid w:val="00A97FC7"/>
    <w:rsid w:val="00AA014E"/>
    <w:rsid w:val="00AA0C6D"/>
    <w:rsid w:val="00AA3CF7"/>
    <w:rsid w:val="00AA5A60"/>
    <w:rsid w:val="00AA69FF"/>
    <w:rsid w:val="00AB1500"/>
    <w:rsid w:val="00AB195B"/>
    <w:rsid w:val="00AB35CB"/>
    <w:rsid w:val="00AB59FA"/>
    <w:rsid w:val="00AB62C3"/>
    <w:rsid w:val="00AB7C94"/>
    <w:rsid w:val="00AC0907"/>
    <w:rsid w:val="00AC0BEC"/>
    <w:rsid w:val="00AC190D"/>
    <w:rsid w:val="00AC1E69"/>
    <w:rsid w:val="00AC2284"/>
    <w:rsid w:val="00AC3048"/>
    <w:rsid w:val="00AC4E4F"/>
    <w:rsid w:val="00AC6564"/>
    <w:rsid w:val="00AD033B"/>
    <w:rsid w:val="00AD489D"/>
    <w:rsid w:val="00AD738E"/>
    <w:rsid w:val="00AE1540"/>
    <w:rsid w:val="00AE26E4"/>
    <w:rsid w:val="00AE2825"/>
    <w:rsid w:val="00AE3D09"/>
    <w:rsid w:val="00AE4339"/>
    <w:rsid w:val="00AE4A28"/>
    <w:rsid w:val="00AE4EA9"/>
    <w:rsid w:val="00AE600F"/>
    <w:rsid w:val="00AE70D5"/>
    <w:rsid w:val="00AE7AE1"/>
    <w:rsid w:val="00AF0E9A"/>
    <w:rsid w:val="00AF1575"/>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7B5"/>
    <w:rsid w:val="00B1522D"/>
    <w:rsid w:val="00B1579E"/>
    <w:rsid w:val="00B1604E"/>
    <w:rsid w:val="00B1623F"/>
    <w:rsid w:val="00B17FA9"/>
    <w:rsid w:val="00B2024E"/>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7812"/>
    <w:rsid w:val="00B40B90"/>
    <w:rsid w:val="00B41E40"/>
    <w:rsid w:val="00B435A2"/>
    <w:rsid w:val="00B45A75"/>
    <w:rsid w:val="00B4711F"/>
    <w:rsid w:val="00B47E45"/>
    <w:rsid w:val="00B5132C"/>
    <w:rsid w:val="00B519D0"/>
    <w:rsid w:val="00B55C54"/>
    <w:rsid w:val="00B55E47"/>
    <w:rsid w:val="00B56383"/>
    <w:rsid w:val="00B5653F"/>
    <w:rsid w:val="00B56B11"/>
    <w:rsid w:val="00B570B5"/>
    <w:rsid w:val="00B57E66"/>
    <w:rsid w:val="00B63EC8"/>
    <w:rsid w:val="00B645F5"/>
    <w:rsid w:val="00B64F1B"/>
    <w:rsid w:val="00B677E6"/>
    <w:rsid w:val="00B71EEB"/>
    <w:rsid w:val="00B73033"/>
    <w:rsid w:val="00B73485"/>
    <w:rsid w:val="00B74FA8"/>
    <w:rsid w:val="00B75F71"/>
    <w:rsid w:val="00B76BAF"/>
    <w:rsid w:val="00B77923"/>
    <w:rsid w:val="00B80792"/>
    <w:rsid w:val="00B825ED"/>
    <w:rsid w:val="00B82E08"/>
    <w:rsid w:val="00B83B0C"/>
    <w:rsid w:val="00B84139"/>
    <w:rsid w:val="00B85F9B"/>
    <w:rsid w:val="00B85FFE"/>
    <w:rsid w:val="00B86544"/>
    <w:rsid w:val="00B86805"/>
    <w:rsid w:val="00B86D32"/>
    <w:rsid w:val="00B86F5D"/>
    <w:rsid w:val="00B87B85"/>
    <w:rsid w:val="00B903B2"/>
    <w:rsid w:val="00B9067C"/>
    <w:rsid w:val="00B90C30"/>
    <w:rsid w:val="00B924F9"/>
    <w:rsid w:val="00B92F74"/>
    <w:rsid w:val="00B9438C"/>
    <w:rsid w:val="00B94855"/>
    <w:rsid w:val="00B94CBB"/>
    <w:rsid w:val="00B95A27"/>
    <w:rsid w:val="00BA009D"/>
    <w:rsid w:val="00BA1166"/>
    <w:rsid w:val="00BA1498"/>
    <w:rsid w:val="00BA16B2"/>
    <w:rsid w:val="00BA1D0D"/>
    <w:rsid w:val="00BA20AD"/>
    <w:rsid w:val="00BA3233"/>
    <w:rsid w:val="00BA4634"/>
    <w:rsid w:val="00BA4E81"/>
    <w:rsid w:val="00BA69F6"/>
    <w:rsid w:val="00BA74B4"/>
    <w:rsid w:val="00BA7BED"/>
    <w:rsid w:val="00BA7DF6"/>
    <w:rsid w:val="00BB0899"/>
    <w:rsid w:val="00BB0B37"/>
    <w:rsid w:val="00BB0D41"/>
    <w:rsid w:val="00BB1060"/>
    <w:rsid w:val="00BB19E9"/>
    <w:rsid w:val="00BB1C70"/>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3F1C"/>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70D80"/>
    <w:rsid w:val="00C74AFF"/>
    <w:rsid w:val="00C7654B"/>
    <w:rsid w:val="00C76856"/>
    <w:rsid w:val="00C76951"/>
    <w:rsid w:val="00C76D59"/>
    <w:rsid w:val="00C82823"/>
    <w:rsid w:val="00C832C4"/>
    <w:rsid w:val="00C853D1"/>
    <w:rsid w:val="00C85EA4"/>
    <w:rsid w:val="00C90B92"/>
    <w:rsid w:val="00C91093"/>
    <w:rsid w:val="00C912FE"/>
    <w:rsid w:val="00C91932"/>
    <w:rsid w:val="00C925DC"/>
    <w:rsid w:val="00C930AA"/>
    <w:rsid w:val="00C949D8"/>
    <w:rsid w:val="00C94BC7"/>
    <w:rsid w:val="00C95E21"/>
    <w:rsid w:val="00CA0632"/>
    <w:rsid w:val="00CA07CF"/>
    <w:rsid w:val="00CA0DA3"/>
    <w:rsid w:val="00CA1572"/>
    <w:rsid w:val="00CA2D98"/>
    <w:rsid w:val="00CA45A2"/>
    <w:rsid w:val="00CA48A4"/>
    <w:rsid w:val="00CA6B87"/>
    <w:rsid w:val="00CA7006"/>
    <w:rsid w:val="00CB01C6"/>
    <w:rsid w:val="00CB0987"/>
    <w:rsid w:val="00CB1925"/>
    <w:rsid w:val="00CB1F5B"/>
    <w:rsid w:val="00CB3320"/>
    <w:rsid w:val="00CB3444"/>
    <w:rsid w:val="00CB3510"/>
    <w:rsid w:val="00CB42D4"/>
    <w:rsid w:val="00CB44AC"/>
    <w:rsid w:val="00CB74DE"/>
    <w:rsid w:val="00CC0AD5"/>
    <w:rsid w:val="00CC134F"/>
    <w:rsid w:val="00CC1E0E"/>
    <w:rsid w:val="00CC2031"/>
    <w:rsid w:val="00CC2483"/>
    <w:rsid w:val="00CC3282"/>
    <w:rsid w:val="00CC5508"/>
    <w:rsid w:val="00CC5C65"/>
    <w:rsid w:val="00CD1F84"/>
    <w:rsid w:val="00CD43C8"/>
    <w:rsid w:val="00CD7517"/>
    <w:rsid w:val="00CE1BC4"/>
    <w:rsid w:val="00CE1C72"/>
    <w:rsid w:val="00CE1FEC"/>
    <w:rsid w:val="00CE2D28"/>
    <w:rsid w:val="00CE3BD7"/>
    <w:rsid w:val="00CE4572"/>
    <w:rsid w:val="00CE51C3"/>
    <w:rsid w:val="00CE75EF"/>
    <w:rsid w:val="00CE7A9B"/>
    <w:rsid w:val="00CE7C42"/>
    <w:rsid w:val="00CF0D3D"/>
    <w:rsid w:val="00CF2970"/>
    <w:rsid w:val="00CF475D"/>
    <w:rsid w:val="00CF49A8"/>
    <w:rsid w:val="00CF4AE4"/>
    <w:rsid w:val="00CF4F69"/>
    <w:rsid w:val="00D003EF"/>
    <w:rsid w:val="00D021D4"/>
    <w:rsid w:val="00D04266"/>
    <w:rsid w:val="00D0671F"/>
    <w:rsid w:val="00D06A14"/>
    <w:rsid w:val="00D072EB"/>
    <w:rsid w:val="00D10595"/>
    <w:rsid w:val="00D11D6F"/>
    <w:rsid w:val="00D11FA7"/>
    <w:rsid w:val="00D12846"/>
    <w:rsid w:val="00D136B4"/>
    <w:rsid w:val="00D13C29"/>
    <w:rsid w:val="00D14602"/>
    <w:rsid w:val="00D1519E"/>
    <w:rsid w:val="00D15589"/>
    <w:rsid w:val="00D155F2"/>
    <w:rsid w:val="00D15898"/>
    <w:rsid w:val="00D1591A"/>
    <w:rsid w:val="00D15C2D"/>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5615"/>
    <w:rsid w:val="00D370AC"/>
    <w:rsid w:val="00D416E8"/>
    <w:rsid w:val="00D432AD"/>
    <w:rsid w:val="00D43BB3"/>
    <w:rsid w:val="00D44C4A"/>
    <w:rsid w:val="00D4569B"/>
    <w:rsid w:val="00D464D7"/>
    <w:rsid w:val="00D50B9E"/>
    <w:rsid w:val="00D51069"/>
    <w:rsid w:val="00D51F62"/>
    <w:rsid w:val="00D528A2"/>
    <w:rsid w:val="00D53030"/>
    <w:rsid w:val="00D54972"/>
    <w:rsid w:val="00D619CB"/>
    <w:rsid w:val="00D61C87"/>
    <w:rsid w:val="00D61D5B"/>
    <w:rsid w:val="00D61DA2"/>
    <w:rsid w:val="00D62D2E"/>
    <w:rsid w:val="00D649B0"/>
    <w:rsid w:val="00D66046"/>
    <w:rsid w:val="00D6729A"/>
    <w:rsid w:val="00D675DE"/>
    <w:rsid w:val="00D7114A"/>
    <w:rsid w:val="00D72853"/>
    <w:rsid w:val="00D72CBD"/>
    <w:rsid w:val="00D741EC"/>
    <w:rsid w:val="00D766C8"/>
    <w:rsid w:val="00D80167"/>
    <w:rsid w:val="00D81975"/>
    <w:rsid w:val="00D82ECE"/>
    <w:rsid w:val="00D82F79"/>
    <w:rsid w:val="00D83D02"/>
    <w:rsid w:val="00D84C94"/>
    <w:rsid w:val="00D85408"/>
    <w:rsid w:val="00D87175"/>
    <w:rsid w:val="00D910BC"/>
    <w:rsid w:val="00D920D2"/>
    <w:rsid w:val="00D93C8B"/>
    <w:rsid w:val="00D941B0"/>
    <w:rsid w:val="00D9537D"/>
    <w:rsid w:val="00D95F75"/>
    <w:rsid w:val="00D97254"/>
    <w:rsid w:val="00DA07CC"/>
    <w:rsid w:val="00DA20B0"/>
    <w:rsid w:val="00DA262D"/>
    <w:rsid w:val="00DA280D"/>
    <w:rsid w:val="00DA348C"/>
    <w:rsid w:val="00DA61F2"/>
    <w:rsid w:val="00DB1286"/>
    <w:rsid w:val="00DB148C"/>
    <w:rsid w:val="00DB1601"/>
    <w:rsid w:val="00DB1FD3"/>
    <w:rsid w:val="00DB2E7B"/>
    <w:rsid w:val="00DB36A4"/>
    <w:rsid w:val="00DB38FB"/>
    <w:rsid w:val="00DB594B"/>
    <w:rsid w:val="00DB68E8"/>
    <w:rsid w:val="00DB7282"/>
    <w:rsid w:val="00DC1081"/>
    <w:rsid w:val="00DC12C3"/>
    <w:rsid w:val="00DC13DE"/>
    <w:rsid w:val="00DC17EF"/>
    <w:rsid w:val="00DC21CB"/>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A59"/>
    <w:rsid w:val="00DD4E5E"/>
    <w:rsid w:val="00DD505B"/>
    <w:rsid w:val="00DD52CC"/>
    <w:rsid w:val="00DE081D"/>
    <w:rsid w:val="00DE308B"/>
    <w:rsid w:val="00DE3589"/>
    <w:rsid w:val="00DE4559"/>
    <w:rsid w:val="00DE463C"/>
    <w:rsid w:val="00DE5C78"/>
    <w:rsid w:val="00DF0222"/>
    <w:rsid w:val="00DF1DF2"/>
    <w:rsid w:val="00DF4E63"/>
    <w:rsid w:val="00DF731F"/>
    <w:rsid w:val="00E00006"/>
    <w:rsid w:val="00E02C39"/>
    <w:rsid w:val="00E0379F"/>
    <w:rsid w:val="00E03BEC"/>
    <w:rsid w:val="00E051AC"/>
    <w:rsid w:val="00E05C6E"/>
    <w:rsid w:val="00E06416"/>
    <w:rsid w:val="00E06E4C"/>
    <w:rsid w:val="00E06F0E"/>
    <w:rsid w:val="00E0741E"/>
    <w:rsid w:val="00E10AE2"/>
    <w:rsid w:val="00E1124B"/>
    <w:rsid w:val="00E12DA5"/>
    <w:rsid w:val="00E13BA5"/>
    <w:rsid w:val="00E14D61"/>
    <w:rsid w:val="00E14E44"/>
    <w:rsid w:val="00E174AE"/>
    <w:rsid w:val="00E21B8C"/>
    <w:rsid w:val="00E236CB"/>
    <w:rsid w:val="00E246BB"/>
    <w:rsid w:val="00E25D5A"/>
    <w:rsid w:val="00E263AB"/>
    <w:rsid w:val="00E27E1C"/>
    <w:rsid w:val="00E32AF8"/>
    <w:rsid w:val="00E33827"/>
    <w:rsid w:val="00E35F09"/>
    <w:rsid w:val="00E36DA7"/>
    <w:rsid w:val="00E37939"/>
    <w:rsid w:val="00E37A7A"/>
    <w:rsid w:val="00E37FB3"/>
    <w:rsid w:val="00E4156D"/>
    <w:rsid w:val="00E419CB"/>
    <w:rsid w:val="00E4295D"/>
    <w:rsid w:val="00E432EB"/>
    <w:rsid w:val="00E43DEE"/>
    <w:rsid w:val="00E4410D"/>
    <w:rsid w:val="00E455C6"/>
    <w:rsid w:val="00E460FD"/>
    <w:rsid w:val="00E47630"/>
    <w:rsid w:val="00E5087B"/>
    <w:rsid w:val="00E514FE"/>
    <w:rsid w:val="00E51FD8"/>
    <w:rsid w:val="00E53BC1"/>
    <w:rsid w:val="00E5569D"/>
    <w:rsid w:val="00E55AD5"/>
    <w:rsid w:val="00E55B3B"/>
    <w:rsid w:val="00E55E91"/>
    <w:rsid w:val="00E56768"/>
    <w:rsid w:val="00E5758D"/>
    <w:rsid w:val="00E61EFA"/>
    <w:rsid w:val="00E63170"/>
    <w:rsid w:val="00E63704"/>
    <w:rsid w:val="00E63891"/>
    <w:rsid w:val="00E64ACD"/>
    <w:rsid w:val="00E6547F"/>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43FF"/>
    <w:rsid w:val="00E84B3F"/>
    <w:rsid w:val="00E86297"/>
    <w:rsid w:val="00E910EC"/>
    <w:rsid w:val="00E92A6C"/>
    <w:rsid w:val="00E92B80"/>
    <w:rsid w:val="00E94FB6"/>
    <w:rsid w:val="00E9632D"/>
    <w:rsid w:val="00EA17D9"/>
    <w:rsid w:val="00EA1CCF"/>
    <w:rsid w:val="00EA2326"/>
    <w:rsid w:val="00EA2581"/>
    <w:rsid w:val="00EA6628"/>
    <w:rsid w:val="00EA69D7"/>
    <w:rsid w:val="00EA7525"/>
    <w:rsid w:val="00EA79FD"/>
    <w:rsid w:val="00EB0F5D"/>
    <w:rsid w:val="00EB1039"/>
    <w:rsid w:val="00EB27C0"/>
    <w:rsid w:val="00EB2E81"/>
    <w:rsid w:val="00EB3C53"/>
    <w:rsid w:val="00EB3F97"/>
    <w:rsid w:val="00EB5304"/>
    <w:rsid w:val="00EB7834"/>
    <w:rsid w:val="00EC0891"/>
    <w:rsid w:val="00EC3412"/>
    <w:rsid w:val="00EC3777"/>
    <w:rsid w:val="00EC420E"/>
    <w:rsid w:val="00EC5C74"/>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3AFC"/>
    <w:rsid w:val="00F0460F"/>
    <w:rsid w:val="00F04C3A"/>
    <w:rsid w:val="00F04CF2"/>
    <w:rsid w:val="00F04E13"/>
    <w:rsid w:val="00F056AF"/>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2817"/>
    <w:rsid w:val="00F368D3"/>
    <w:rsid w:val="00F36E23"/>
    <w:rsid w:val="00F37BC7"/>
    <w:rsid w:val="00F40EB7"/>
    <w:rsid w:val="00F417FE"/>
    <w:rsid w:val="00F423CC"/>
    <w:rsid w:val="00F433DC"/>
    <w:rsid w:val="00F445DD"/>
    <w:rsid w:val="00F45EF8"/>
    <w:rsid w:val="00F4616C"/>
    <w:rsid w:val="00F465B6"/>
    <w:rsid w:val="00F477E1"/>
    <w:rsid w:val="00F47BAD"/>
    <w:rsid w:val="00F5035D"/>
    <w:rsid w:val="00F525EC"/>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6457"/>
    <w:rsid w:val="00F87835"/>
    <w:rsid w:val="00F87854"/>
    <w:rsid w:val="00F9008A"/>
    <w:rsid w:val="00F94485"/>
    <w:rsid w:val="00F96432"/>
    <w:rsid w:val="00F9643A"/>
    <w:rsid w:val="00F971E5"/>
    <w:rsid w:val="00FA1B74"/>
    <w:rsid w:val="00FA3CF6"/>
    <w:rsid w:val="00FA3E24"/>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2DA6"/>
    <w:rsid w:val="00FC3EDB"/>
    <w:rsid w:val="00FC3F30"/>
    <w:rsid w:val="00FC562D"/>
    <w:rsid w:val="00FC6159"/>
    <w:rsid w:val="00FC79FB"/>
    <w:rsid w:val="00FC7C3B"/>
    <w:rsid w:val="00FC7F23"/>
    <w:rsid w:val="00FD0467"/>
    <w:rsid w:val="00FD061C"/>
    <w:rsid w:val="00FD258B"/>
    <w:rsid w:val="00FD4ACD"/>
    <w:rsid w:val="00FD5232"/>
    <w:rsid w:val="00FD6404"/>
    <w:rsid w:val="00FE02F5"/>
    <w:rsid w:val="00FE41F3"/>
    <w:rsid w:val="00FE59EA"/>
    <w:rsid w:val="00FE7E45"/>
    <w:rsid w:val="00FF066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676A40"/>
    <w:rPr>
      <w:sz w:val="22"/>
      <w:u w:val="none"/>
      <w:vertAlign w:val="superscript"/>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BodyTextChar">
    <w:name w:val="Body Text Char"/>
    <w:basedOn w:val="DefaultParagraphFont"/>
    <w:link w:val="BodyText"/>
    <w:rsid w:val="002146DD"/>
    <w:rPr>
      <w:iCs/>
      <w:sz w:val="22"/>
      <w:szCs w:val="24"/>
      <w:lang w:val="en-GB"/>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88A"/>
    <w:rPr>
      <w:color w:val="605E5C"/>
      <w:shd w:val="clear" w:color="auto" w:fill="E1DFDD"/>
    </w:rPr>
  </w:style>
  <w:style w:type="character" w:customStyle="1" w:styleId="FooterChar">
    <w:name w:val="Footer Char"/>
    <w:basedOn w:val="DefaultParagraphFont"/>
    <w:link w:val="Footer"/>
    <w:rsid w:val="002501DE"/>
    <w:rPr>
      <w:sz w:val="22"/>
      <w:szCs w:val="24"/>
      <w:lang w:val="en-GB"/>
    </w:rPr>
  </w:style>
  <w:style w:type="character" w:customStyle="1" w:styleId="HeaderChar">
    <w:name w:val="Header Char"/>
    <w:basedOn w:val="DefaultParagraphFont"/>
    <w:link w:val="Header"/>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4/cop-14-dec-06-en.pdf" TargetMode="External"/><Relationship Id="rId26" Type="http://schemas.openxmlformats.org/officeDocument/2006/relationships/hyperlink" Target="https://ipbes.net/pandemics" TargetMode="External"/><Relationship Id="rId3" Type="http://schemas.openxmlformats.org/officeDocument/2006/relationships/customXml" Target="../customXml/item3.xml"/><Relationship Id="rId21" Type="http://schemas.openxmlformats.org/officeDocument/2006/relationships/hyperlink" Target="https://ipbes.net/assessment-reports/pollinator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15-en.pdf" TargetMode="External"/><Relationship Id="rId25" Type="http://schemas.openxmlformats.org/officeDocument/2006/relationships/hyperlink" Target="https://ipbes.net/global-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2/cop-12-dec-25-en.pdf" TargetMode="External"/><Relationship Id="rId20" Type="http://schemas.openxmlformats.org/officeDocument/2006/relationships/hyperlink" Target="https://www.cbd.int/doc/decisions/cop-14/cop-14-dec-34-en.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pbes.net/regional-assessment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4/cop-14-dec-36-en.pdf" TargetMode="External"/><Relationship Id="rId23" Type="http://schemas.openxmlformats.org/officeDocument/2006/relationships/hyperlink" Target="https://ipbes.net/assessment-reports/ld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cbd.int/doc/decisions/cop-14/cop-14-dec-01-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ipbes.net/assessment-reports/scenarios"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guide-production-assessments" TargetMode="External"/><Relationship Id="rId2" Type="http://schemas.openxmlformats.org/officeDocument/2006/relationships/hyperlink" Target="https://ipbes.net/sites/default/files/downloads/pdf/ipbes-5-inf-3.pdf" TargetMode="External"/><Relationship Id="rId1" Type="http://schemas.openxmlformats.org/officeDocument/2006/relationships/hyperlink" Target="https://ipbes.net/notification/nomination/scoping-of-the-assessment-of-business-and-biodiversity" TargetMode="External"/><Relationship Id="rId4" Type="http://schemas.openxmlformats.org/officeDocument/2006/relationships/hyperlink" Target="https://ipbes.net/conceptual-frame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Calibri"/>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E711F"/>
    <w:rsid w:val="001F1225"/>
    <w:rsid w:val="002105D3"/>
    <w:rsid w:val="002B5BA7"/>
    <w:rsid w:val="002D589A"/>
    <w:rsid w:val="002E77A1"/>
    <w:rsid w:val="002F0DB9"/>
    <w:rsid w:val="00300DA6"/>
    <w:rsid w:val="003020B6"/>
    <w:rsid w:val="00310614"/>
    <w:rsid w:val="00322ED0"/>
    <w:rsid w:val="003370EB"/>
    <w:rsid w:val="00340DC6"/>
    <w:rsid w:val="0037757D"/>
    <w:rsid w:val="003B52A7"/>
    <w:rsid w:val="003D2289"/>
    <w:rsid w:val="0041449F"/>
    <w:rsid w:val="004468F7"/>
    <w:rsid w:val="0045286F"/>
    <w:rsid w:val="004A69EC"/>
    <w:rsid w:val="004D41EF"/>
    <w:rsid w:val="004F41B4"/>
    <w:rsid w:val="00535F34"/>
    <w:rsid w:val="00564A53"/>
    <w:rsid w:val="00566B0B"/>
    <w:rsid w:val="005777A5"/>
    <w:rsid w:val="005F5D17"/>
    <w:rsid w:val="00637633"/>
    <w:rsid w:val="0065310D"/>
    <w:rsid w:val="00686653"/>
    <w:rsid w:val="006F68D4"/>
    <w:rsid w:val="0070613C"/>
    <w:rsid w:val="007305B5"/>
    <w:rsid w:val="00757414"/>
    <w:rsid w:val="007C6A58"/>
    <w:rsid w:val="007D1F37"/>
    <w:rsid w:val="007D54D0"/>
    <w:rsid w:val="007E501A"/>
    <w:rsid w:val="008152B2"/>
    <w:rsid w:val="0083264A"/>
    <w:rsid w:val="008353A8"/>
    <w:rsid w:val="008465A4"/>
    <w:rsid w:val="00887523"/>
    <w:rsid w:val="00896FE8"/>
    <w:rsid w:val="008E0444"/>
    <w:rsid w:val="009367D8"/>
    <w:rsid w:val="00962601"/>
    <w:rsid w:val="0096489A"/>
    <w:rsid w:val="009A2846"/>
    <w:rsid w:val="009B334A"/>
    <w:rsid w:val="009D46D8"/>
    <w:rsid w:val="009D496C"/>
    <w:rsid w:val="009E0B5A"/>
    <w:rsid w:val="00A27574"/>
    <w:rsid w:val="00A640BD"/>
    <w:rsid w:val="00AA0641"/>
    <w:rsid w:val="00B0225B"/>
    <w:rsid w:val="00B076DE"/>
    <w:rsid w:val="00B36C7B"/>
    <w:rsid w:val="00B77C6C"/>
    <w:rsid w:val="00B978E6"/>
    <w:rsid w:val="00BB2CFE"/>
    <w:rsid w:val="00BF2248"/>
    <w:rsid w:val="00C11A87"/>
    <w:rsid w:val="00C26D5B"/>
    <w:rsid w:val="00C37618"/>
    <w:rsid w:val="00CB754D"/>
    <w:rsid w:val="00CB7911"/>
    <w:rsid w:val="00D360AA"/>
    <w:rsid w:val="00D37618"/>
    <w:rsid w:val="00D5481D"/>
    <w:rsid w:val="00D948E4"/>
    <w:rsid w:val="00E45ED6"/>
    <w:rsid w:val="00E9283C"/>
    <w:rsid w:val="00EA003A"/>
    <w:rsid w:val="00EC17B5"/>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57414"/>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 w:type="paragraph" w:customStyle="1" w:styleId="D135910B1CB148008D96DCE0D7320E48">
    <w:name w:val="D135910B1CB148008D96DCE0D7320E48"/>
    <w:rsid w:val="0075741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A5DC9-85E0-4948-AF5C-8BD249BFDB23}">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42A086C-B3FC-435C-8D2C-C4188B05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4745</Words>
  <Characters>27050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31732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of work of the Intergovernmental Science-Policy Platform on Biodiversity and Ecosystem Services</dc:title>
  <dc:subject>CBD/SBSTTA/24/8</dc:subject>
  <dc:creator>SCBD</dc:creator>
  <cp:keywords>Subsidiary Body on Scientific, Technical and Technological Advice, twenty-fourth meeting, Convention on Biological Diversity</cp:keywords>
  <dc:description/>
  <cp:lastModifiedBy>Veronique Lefebvre</cp:lastModifiedBy>
  <cp:revision>3</cp:revision>
  <cp:lastPrinted>2018-04-12T14:38:00Z</cp:lastPrinted>
  <dcterms:created xsi:type="dcterms:W3CDTF">2021-01-04T15:34:00Z</dcterms:created>
  <dcterms:modified xsi:type="dcterms:W3CDTF">2021-01-04T15:34:00Z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