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4246C" w:rsidRPr="00853A7F" w:rsidTr="00497555">
        <w:trPr>
          <w:trHeight w:val="851"/>
        </w:trPr>
        <w:tc>
          <w:tcPr>
            <w:tcW w:w="993" w:type="dxa"/>
            <w:tcBorders>
              <w:top w:val="nil"/>
              <w:bottom w:val="single" w:sz="12" w:space="0" w:color="000000"/>
              <w:right w:val="nil"/>
            </w:tcBorders>
          </w:tcPr>
          <w:p w:rsidR="0014246C" w:rsidRPr="00853A7F" w:rsidRDefault="00B001A6" w:rsidP="00FC435E">
            <w:pPr>
              <w:pStyle w:val="BodyText2"/>
              <w:rPr>
                <w:b/>
                <w:snapToGrid w:val="0"/>
                <w:kern w:val="22"/>
              </w:rPr>
            </w:pPr>
            <w:r>
              <w:rPr>
                <w:b/>
                <w:noProof/>
                <w:lang w:val="en-US"/>
              </w:rPr>
              <w:drawing>
                <wp:inline distT="0" distB="0" distL="0" distR="0">
                  <wp:extent cx="425450" cy="3619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3619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14246C" w:rsidRPr="00853A7F" w:rsidRDefault="00B001A6" w:rsidP="008E52F4">
            <w:pPr>
              <w:rPr>
                <w:snapToGrid w:val="0"/>
                <w:kern w:val="22"/>
                <w:lang w:bidi="th-TH"/>
              </w:rPr>
            </w:pPr>
            <w:r>
              <w:rPr>
                <w:noProof/>
                <w:lang w:val="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87630</wp:posOffset>
                  </wp:positionV>
                  <wp:extent cx="676275" cy="38608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6741" w:type="dxa"/>
            <w:gridSpan w:val="3"/>
            <w:tcBorders>
              <w:top w:val="nil"/>
              <w:left w:val="nil"/>
              <w:bottom w:val="single" w:sz="12" w:space="0" w:color="000000"/>
            </w:tcBorders>
          </w:tcPr>
          <w:p w:rsidR="0014246C" w:rsidRPr="001738F3" w:rsidRDefault="0014246C" w:rsidP="008E52F4">
            <w:pPr>
              <w:jc w:val="right"/>
              <w:rPr>
                <w:rFonts w:ascii="Univers" w:hAnsi="Univers"/>
                <w:b/>
                <w:snapToGrid w:val="0"/>
                <w:kern w:val="22"/>
                <w:sz w:val="32"/>
                <w:lang w:bidi="th-TH"/>
              </w:rPr>
            </w:pPr>
            <w:r>
              <w:rPr>
                <w:rFonts w:ascii="Univers" w:hAnsi="Univers"/>
                <w:b/>
                <w:snapToGrid w:val="0"/>
                <w:sz w:val="32"/>
                <w:lang w:bidi="th-TH"/>
              </w:rPr>
              <w:t>CBD</w:t>
            </w:r>
          </w:p>
        </w:tc>
      </w:tr>
      <w:tr w:rsidR="0014246C" w:rsidRPr="00853A7F" w:rsidTr="00B2360E">
        <w:trPr>
          <w:trHeight w:val="1693"/>
        </w:trPr>
        <w:tc>
          <w:tcPr>
            <w:tcW w:w="6227" w:type="dxa"/>
            <w:gridSpan w:val="3"/>
            <w:tcBorders>
              <w:top w:val="nil"/>
              <w:bottom w:val="single" w:sz="36" w:space="0" w:color="000000"/>
            </w:tcBorders>
          </w:tcPr>
          <w:p w:rsidR="0014246C" w:rsidRPr="001738F3" w:rsidRDefault="0014246C" w:rsidP="00B2360E">
            <w:pPr>
              <w:rPr>
                <w:snapToGrid w:val="0"/>
                <w:kern w:val="22"/>
                <w:lang w:bidi="th-TH"/>
              </w:rPr>
            </w:pPr>
          </w:p>
          <w:p w:rsidR="0014246C" w:rsidRPr="001738F3" w:rsidRDefault="00B001A6" w:rsidP="00B2360E">
            <w:pPr>
              <w:rPr>
                <w:snapToGrid w:val="0"/>
                <w:kern w:val="22"/>
                <w:lang w:bidi="th-TH"/>
              </w:rPr>
            </w:pPr>
            <w:r>
              <w:rPr>
                <w:noProof/>
                <w:lang w:val="en-US"/>
              </w:rPr>
              <w:drawing>
                <wp:inline distT="0" distB="0" distL="0" distR="0">
                  <wp:extent cx="2908300" cy="10795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rsidR="0014246C" w:rsidRPr="001738F3" w:rsidRDefault="0014246C" w:rsidP="00B2360E">
            <w:pPr>
              <w:rPr>
                <w:rFonts w:ascii="Univers" w:hAnsi="Univers"/>
                <w:snapToGrid w:val="0"/>
                <w:kern w:val="22"/>
                <w:sz w:val="32"/>
                <w:lang w:bidi="th-TH"/>
              </w:rPr>
            </w:pPr>
          </w:p>
        </w:tc>
        <w:tc>
          <w:tcPr>
            <w:tcW w:w="1144" w:type="dxa"/>
            <w:tcBorders>
              <w:top w:val="nil"/>
              <w:bottom w:val="single" w:sz="36" w:space="0" w:color="000000"/>
            </w:tcBorders>
          </w:tcPr>
          <w:p w:rsidR="0014246C" w:rsidRPr="00853A7F" w:rsidRDefault="0014246C" w:rsidP="00B2360E">
            <w:pPr>
              <w:pStyle w:val="Header"/>
              <w:tabs>
                <w:tab w:val="clear" w:pos="4320"/>
                <w:tab w:val="clear" w:pos="8640"/>
              </w:tabs>
              <w:rPr>
                <w:bCs/>
                <w:snapToGrid w:val="0"/>
                <w:kern w:val="22"/>
                <w:sz w:val="32"/>
                <w:szCs w:val="32"/>
                <w:lang w:bidi="th-TH"/>
              </w:rPr>
            </w:pPr>
          </w:p>
        </w:tc>
        <w:tc>
          <w:tcPr>
            <w:tcW w:w="2977" w:type="dxa"/>
            <w:tcBorders>
              <w:top w:val="nil"/>
              <w:bottom w:val="single" w:sz="36" w:space="0" w:color="000000"/>
            </w:tcBorders>
          </w:tcPr>
          <w:p w:rsidR="0014246C" w:rsidRPr="00853A7F" w:rsidRDefault="0014246C" w:rsidP="00853A7F">
            <w:pPr>
              <w:ind w:left="459"/>
              <w:jc w:val="left"/>
              <w:rPr>
                <w:snapToGrid w:val="0"/>
                <w:kern w:val="22"/>
                <w:lang w:bidi="th-TH"/>
              </w:rPr>
            </w:pPr>
            <w:proofErr w:type="spellStart"/>
            <w:r>
              <w:rPr>
                <w:snapToGrid w:val="0"/>
                <w:szCs w:val="22"/>
                <w:lang w:bidi="th-TH"/>
              </w:rPr>
              <w:t>Distr</w:t>
            </w:r>
            <w:proofErr w:type="spellEnd"/>
            <w:r>
              <w:rPr>
                <w:snapToGrid w:val="0"/>
                <w:szCs w:val="22"/>
                <w:lang w:bidi="th-TH"/>
              </w:rPr>
              <w:t>.</w:t>
            </w:r>
          </w:p>
          <w:p w:rsidR="0014246C" w:rsidRPr="00853A7F" w:rsidRDefault="0014246C" w:rsidP="00853A7F">
            <w:pPr>
              <w:ind w:left="459"/>
              <w:jc w:val="left"/>
              <w:rPr>
                <w:snapToGrid w:val="0"/>
                <w:kern w:val="22"/>
                <w:lang w:bidi="th-TH"/>
              </w:rPr>
            </w:pPr>
            <w:r>
              <w:rPr>
                <w:snapToGrid w:val="0"/>
                <w:szCs w:val="22"/>
                <w:lang w:bidi="th-TH"/>
              </w:rPr>
              <w:t>GENERAL</w:t>
            </w:r>
          </w:p>
          <w:p w:rsidR="0014246C" w:rsidRPr="00853A7F" w:rsidRDefault="0014246C" w:rsidP="00853A7F">
            <w:pPr>
              <w:ind w:left="459"/>
              <w:jc w:val="left"/>
              <w:rPr>
                <w:snapToGrid w:val="0"/>
                <w:kern w:val="22"/>
                <w:lang w:bidi="th-TH"/>
              </w:rPr>
            </w:pPr>
          </w:p>
          <w:p w:rsidR="0014246C" w:rsidRPr="00853A7F" w:rsidRDefault="0014246C" w:rsidP="00853A7F">
            <w:pPr>
              <w:ind w:left="459"/>
              <w:jc w:val="left"/>
              <w:rPr>
                <w:snapToGrid w:val="0"/>
                <w:kern w:val="22"/>
                <w:lang w:bidi="th-TH"/>
              </w:rPr>
            </w:pPr>
            <w:r>
              <w:rPr>
                <w:snapToGrid w:val="0"/>
                <w:szCs w:val="22"/>
                <w:lang w:bidi="th-TH"/>
              </w:rPr>
              <w:t>CBD/SBI/3/</w:t>
            </w:r>
            <w:r w:rsidR="006E2992">
              <w:rPr>
                <w:snapToGrid w:val="0"/>
                <w:szCs w:val="22"/>
                <w:lang w:bidi="th-TH"/>
              </w:rPr>
              <w:t>14</w:t>
            </w:r>
          </w:p>
          <w:p w:rsidR="0014246C" w:rsidRPr="001738F3" w:rsidRDefault="006E2992" w:rsidP="00853A7F">
            <w:pPr>
              <w:ind w:left="459"/>
              <w:jc w:val="left"/>
              <w:rPr>
                <w:snapToGrid w:val="0"/>
                <w:kern w:val="22"/>
                <w:lang w:bidi="th-TH"/>
              </w:rPr>
            </w:pPr>
            <w:r>
              <w:rPr>
                <w:snapToGrid w:val="0"/>
                <w:szCs w:val="22"/>
                <w:lang w:bidi="th-TH"/>
              </w:rPr>
              <w:t>13</w:t>
            </w:r>
            <w:r w:rsidR="0014246C">
              <w:rPr>
                <w:snapToGrid w:val="0"/>
                <w:szCs w:val="22"/>
                <w:lang w:bidi="th-TH"/>
              </w:rPr>
              <w:t xml:space="preserve"> de </w:t>
            </w:r>
            <w:r>
              <w:rPr>
                <w:snapToGrid w:val="0"/>
                <w:szCs w:val="22"/>
                <w:lang w:bidi="th-TH"/>
              </w:rPr>
              <w:t>julio de 2020</w:t>
            </w:r>
          </w:p>
          <w:p w:rsidR="0014246C" w:rsidRPr="001738F3" w:rsidRDefault="0014246C" w:rsidP="00853A7F">
            <w:pPr>
              <w:ind w:left="459"/>
              <w:jc w:val="left"/>
              <w:rPr>
                <w:snapToGrid w:val="0"/>
                <w:kern w:val="22"/>
                <w:lang w:bidi="th-TH"/>
              </w:rPr>
            </w:pPr>
          </w:p>
          <w:p w:rsidR="0014246C" w:rsidRDefault="0014246C" w:rsidP="00853A7F">
            <w:pPr>
              <w:ind w:left="459"/>
              <w:jc w:val="left"/>
              <w:rPr>
                <w:snapToGrid w:val="0"/>
                <w:lang w:bidi="th-TH"/>
              </w:rPr>
            </w:pPr>
            <w:r>
              <w:rPr>
                <w:snapToGrid w:val="0"/>
                <w:szCs w:val="22"/>
                <w:lang w:bidi="th-TH"/>
              </w:rPr>
              <w:t xml:space="preserve">ESPAÑOL </w:t>
            </w:r>
          </w:p>
          <w:p w:rsidR="0014246C" w:rsidRPr="00853A7F" w:rsidRDefault="0014246C" w:rsidP="00853A7F">
            <w:pPr>
              <w:ind w:left="459"/>
              <w:jc w:val="left"/>
              <w:rPr>
                <w:snapToGrid w:val="0"/>
                <w:kern w:val="22"/>
                <w:u w:val="single"/>
                <w:lang w:bidi="th-TH"/>
              </w:rPr>
            </w:pPr>
            <w:r>
              <w:rPr>
                <w:snapToGrid w:val="0"/>
                <w:szCs w:val="22"/>
                <w:lang w:bidi="th-TH"/>
              </w:rPr>
              <w:t>ORIGINAL: INGLÉS</w:t>
            </w:r>
          </w:p>
        </w:tc>
      </w:tr>
    </w:tbl>
    <w:p w:rsidR="0014246C" w:rsidRPr="00853A7F" w:rsidRDefault="00747359" w:rsidP="00BB5509">
      <w:pPr>
        <w:pStyle w:val="meetingname"/>
        <w:ind w:left="284" w:right="4398" w:hanging="284"/>
        <w:rPr>
          <w:kern w:val="22"/>
          <w:szCs w:val="22"/>
        </w:rPr>
      </w:pPr>
      <w:bookmarkStart w:id="0" w:name="Meeting"/>
      <w:r>
        <w:t>ÓRGANO SUBSIDIARIO</w:t>
      </w:r>
      <w:r w:rsidR="0014246C">
        <w:t xml:space="preserve"> SOBRE LA APLICACIÓN</w:t>
      </w:r>
      <w:bookmarkEnd w:id="0"/>
    </w:p>
    <w:p w:rsidR="00E91B29" w:rsidRPr="00E91B29" w:rsidRDefault="00E91B29" w:rsidP="00E91B29">
      <w:pPr>
        <w:suppressLineNumbers/>
        <w:suppressAutoHyphens/>
        <w:rPr>
          <w:snapToGrid w:val="0"/>
          <w:kern w:val="22"/>
          <w:lang w:val="es-AR" w:eastAsia="nb-NO"/>
        </w:rPr>
      </w:pPr>
      <w:r>
        <w:rPr>
          <w:snapToGrid w:val="0"/>
          <w:kern w:val="22"/>
          <w:lang w:eastAsia="nb-NO"/>
        </w:rPr>
        <w:t xml:space="preserve">Tercera </w:t>
      </w:r>
      <w:proofErr w:type="spellStart"/>
      <w:r>
        <w:rPr>
          <w:snapToGrid w:val="0"/>
          <w:kern w:val="22"/>
          <w:lang w:eastAsia="nb-NO"/>
        </w:rPr>
        <w:t>reuni</w:t>
      </w:r>
      <w:r>
        <w:rPr>
          <w:snapToGrid w:val="0"/>
          <w:kern w:val="22"/>
          <w:lang w:val="es-AR" w:eastAsia="nb-NO"/>
        </w:rPr>
        <w:t>ón</w:t>
      </w:r>
      <w:proofErr w:type="spellEnd"/>
    </w:p>
    <w:p w:rsidR="00E91B29" w:rsidRPr="00E91B29" w:rsidRDefault="00E91B29" w:rsidP="00E91B29">
      <w:pPr>
        <w:suppressLineNumbers/>
        <w:suppressAutoHyphens/>
        <w:rPr>
          <w:snapToGrid w:val="0"/>
          <w:kern w:val="22"/>
          <w:lang w:val="es-MX" w:eastAsia="nb-NO"/>
        </w:rPr>
      </w:pPr>
      <w:r w:rsidRPr="00E91B29">
        <w:rPr>
          <w:snapToGrid w:val="0"/>
          <w:kern w:val="22"/>
          <w:lang w:val="es-MX" w:eastAsia="nb-NO"/>
        </w:rPr>
        <w:t xml:space="preserve">Ciudad de Quebec (por confirmar), </w:t>
      </w:r>
      <w:r>
        <w:rPr>
          <w:snapToGrid w:val="0"/>
          <w:kern w:val="22"/>
          <w:lang w:val="es-MX" w:eastAsia="nb-NO"/>
        </w:rPr>
        <w:t>Canadá</w:t>
      </w:r>
      <w:r w:rsidRPr="00E91B29">
        <w:rPr>
          <w:snapToGrid w:val="0"/>
          <w:kern w:val="22"/>
          <w:lang w:val="es-MX" w:eastAsia="nb-NO"/>
        </w:rPr>
        <w:t xml:space="preserve">, 9-14 </w:t>
      </w:r>
      <w:r>
        <w:rPr>
          <w:snapToGrid w:val="0"/>
          <w:kern w:val="22"/>
          <w:lang w:val="es-MX" w:eastAsia="nb-NO"/>
        </w:rPr>
        <w:t xml:space="preserve">de noviembre de </w:t>
      </w:r>
      <w:r w:rsidRPr="00E91B29">
        <w:rPr>
          <w:snapToGrid w:val="0"/>
          <w:kern w:val="22"/>
          <w:lang w:val="es-MX" w:eastAsia="nb-NO"/>
        </w:rPr>
        <w:t>2020</w:t>
      </w:r>
    </w:p>
    <w:p w:rsidR="00E91B29" w:rsidRDefault="00E91B29" w:rsidP="00E91B29">
      <w:pPr>
        <w:suppressLineNumbers/>
        <w:suppressAutoHyphens/>
        <w:rPr>
          <w:snapToGrid w:val="0"/>
          <w:kern w:val="22"/>
          <w:vertAlign w:val="superscript"/>
          <w:lang w:val="es-MX"/>
        </w:rPr>
      </w:pPr>
      <w:r w:rsidRPr="00E91B29">
        <w:rPr>
          <w:snapToGrid w:val="0"/>
          <w:kern w:val="22"/>
          <w:lang w:val="es-MX"/>
        </w:rPr>
        <w:t>Tema 12 del programa provisional</w:t>
      </w:r>
      <w:r w:rsidRPr="00E91B29">
        <w:rPr>
          <w:snapToGrid w:val="0"/>
          <w:kern w:val="22"/>
          <w:vertAlign w:val="superscript"/>
          <w:lang w:val="es-MX"/>
        </w:rPr>
        <w:footnoteReference w:customMarkFollows="1" w:id="1"/>
        <w:t>*</w:t>
      </w:r>
    </w:p>
    <w:p w:rsidR="00E91B29" w:rsidRPr="00E91B29" w:rsidRDefault="00E91B29" w:rsidP="00E91B29">
      <w:pPr>
        <w:suppressLineNumbers/>
        <w:suppressAutoHyphens/>
        <w:rPr>
          <w:snapToGrid w:val="0"/>
          <w:kern w:val="22"/>
          <w:lang w:val="es-MX"/>
        </w:rPr>
      </w:pPr>
    </w:p>
    <w:sdt>
      <w:sdtPr>
        <w:rPr>
          <w:iCs/>
          <w:snapToGrid w:val="0"/>
          <w:szCs w:val="22"/>
          <w:lang w:bidi="th-TH"/>
        </w:rPr>
        <w:alias w:val="Title"/>
        <w:tag w:val=""/>
        <w:id w:val="1201202219"/>
        <w:placeholder>
          <w:docPart w:val="D8329F61DC9644A4B25252BC8CDB48A0"/>
        </w:placeholder>
        <w:dataBinding w:prefixMappings="xmlns:ns0='http://purl.org/dc/elements/1.1/' xmlns:ns1='http://schemas.openxmlformats.org/package/2006/metadata/core-properties' " w:xpath="/ns1:coreProperties[1]/ns0:title[1]" w:storeItemID="{6C3C8BC8-F283-45AE-878A-BAB7291924A1}"/>
        <w:text/>
      </w:sdtPr>
      <w:sdtEndPr/>
      <w:sdtContent>
        <w:p w:rsidR="00E91B29" w:rsidRPr="00E91B29" w:rsidRDefault="008253A9" w:rsidP="00E91B29">
          <w:pPr>
            <w:pStyle w:val="HEADINGNOTFORTOC"/>
            <w:rPr>
              <w:rStyle w:val="Heading2Char"/>
              <w:rFonts w:eastAsiaTheme="minorHAnsi"/>
              <w:lang w:val="es-MX"/>
            </w:rPr>
          </w:pPr>
          <w:r>
            <w:rPr>
              <w:iCs/>
              <w:snapToGrid w:val="0"/>
              <w:szCs w:val="22"/>
              <w:lang w:bidi="th-TH"/>
            </w:rPr>
            <w:t>Instrumentos internacionales especializados de acceso y participación en los beneficios en el contexto del Artículo 4, párrafo 4, del Protocolo de Nagoya</w:t>
          </w:r>
        </w:p>
      </w:sdtContent>
    </w:sdt>
    <w:p w:rsidR="00E91B29" w:rsidRPr="00E91B29" w:rsidRDefault="00E91B29" w:rsidP="00E91B29">
      <w:pPr>
        <w:jc w:val="center"/>
        <w:rPr>
          <w:i/>
          <w:lang w:val="es-MX"/>
        </w:rPr>
      </w:pPr>
      <w:r w:rsidRPr="00E91B29">
        <w:rPr>
          <w:i/>
          <w:lang w:val="es-MX"/>
        </w:rPr>
        <w:t xml:space="preserve">Nota de la Secretaria Ejecutiva </w:t>
      </w:r>
    </w:p>
    <w:p w:rsidR="00E91B29" w:rsidRPr="006E2992" w:rsidRDefault="006E2992" w:rsidP="00E91B29">
      <w:pPr>
        <w:pStyle w:val="Heading1"/>
        <w:keepLines w:val="0"/>
        <w:numPr>
          <w:ilvl w:val="0"/>
          <w:numId w:val="7"/>
        </w:numPr>
        <w:tabs>
          <w:tab w:val="left" w:pos="720"/>
        </w:tabs>
        <w:spacing w:before="240" w:after="120"/>
        <w:ind w:left="0" w:firstLine="0"/>
        <w:jc w:val="center"/>
        <w:rPr>
          <w:rFonts w:ascii="Times New Roman" w:hAnsi="Times New Roman"/>
          <w:b w:val="0"/>
          <w:caps/>
          <w:color w:val="auto"/>
          <w:sz w:val="22"/>
          <w:szCs w:val="22"/>
        </w:rPr>
      </w:pPr>
      <w:r w:rsidRPr="006E2992">
        <w:rPr>
          <w:rFonts w:ascii="Times New Roman" w:hAnsi="Times New Roman"/>
          <w:color w:val="auto"/>
          <w:sz w:val="22"/>
          <w:szCs w:val="22"/>
        </w:rPr>
        <w:t>INTRODUCCIÓN</w:t>
      </w:r>
    </w:p>
    <w:p w:rsidR="00E91B29" w:rsidRPr="00B519D2" w:rsidRDefault="00E91B29" w:rsidP="00E91B29">
      <w:pPr>
        <w:pStyle w:val="Para1"/>
        <w:numPr>
          <w:ilvl w:val="0"/>
          <w:numId w:val="4"/>
        </w:numPr>
        <w:tabs>
          <w:tab w:val="num" w:pos="709"/>
        </w:tabs>
        <w:spacing w:before="120"/>
        <w:ind w:left="0" w:firstLine="0"/>
        <w:rPr>
          <w:lang w:val="es-MX"/>
        </w:rPr>
      </w:pPr>
      <w:r w:rsidRPr="00B519D2">
        <w:rPr>
          <w:lang w:val="es-MX"/>
        </w:rPr>
        <w:t xml:space="preserve">En su segunda reunión, </w:t>
      </w:r>
      <w:r w:rsidR="00EA5BBA">
        <w:rPr>
          <w:lang w:val="es-MX"/>
        </w:rPr>
        <w:t>la Conferencia de las Partes que Actúa como Reunión de las Partes en el Protocolo de Nagoya</w:t>
      </w:r>
      <w:r w:rsidRPr="00B519D2">
        <w:rPr>
          <w:lang w:val="es-MX"/>
        </w:rPr>
        <w:t xml:space="preserve"> solicitó </w:t>
      </w:r>
      <w:r w:rsidR="00EA5BBA">
        <w:rPr>
          <w:lang w:val="es-MX"/>
        </w:rPr>
        <w:t>a la Secretaria Ejecutiva</w:t>
      </w:r>
      <w:r w:rsidRPr="00B519D2">
        <w:rPr>
          <w:lang w:val="es-MX"/>
        </w:rPr>
        <w:t xml:space="preserve">, en el contexto del </w:t>
      </w:r>
      <w:r w:rsidR="00EA5BBA">
        <w:rPr>
          <w:lang w:val="es-MX"/>
        </w:rPr>
        <w:t>Artículo</w:t>
      </w:r>
      <w:r w:rsidRPr="00B519D2">
        <w:rPr>
          <w:lang w:val="es-MX"/>
        </w:rPr>
        <w:t> </w:t>
      </w:r>
      <w:r w:rsidR="00EA5BBA">
        <w:rPr>
          <w:lang w:val="es-MX"/>
        </w:rPr>
        <w:t>4, párrafo 4</w:t>
      </w:r>
      <w:r w:rsidRPr="00B519D2">
        <w:rPr>
          <w:lang w:val="es-MX"/>
        </w:rPr>
        <w:t xml:space="preserve">, del </w:t>
      </w:r>
      <w:r w:rsidR="00EA5BBA">
        <w:rPr>
          <w:lang w:val="es-MX"/>
        </w:rPr>
        <w:t>Protocolo</w:t>
      </w:r>
      <w:r w:rsidRPr="00B519D2">
        <w:rPr>
          <w:lang w:val="es-MX"/>
        </w:rPr>
        <w:t xml:space="preserve">, </w:t>
      </w:r>
      <w:r w:rsidR="00EA5BBA">
        <w:rPr>
          <w:lang w:val="es-MX"/>
        </w:rPr>
        <w:t xml:space="preserve">realizar </w:t>
      </w:r>
      <w:r w:rsidRPr="00B519D2">
        <w:rPr>
          <w:lang w:val="es-MX"/>
        </w:rPr>
        <w:t xml:space="preserve">un estudio </w:t>
      </w:r>
      <w:r w:rsidR="00EA5BBA">
        <w:rPr>
          <w:lang w:val="es-MX"/>
        </w:rPr>
        <w:t xml:space="preserve">sobre </w:t>
      </w:r>
      <w:r w:rsidRPr="00B519D2">
        <w:rPr>
          <w:lang w:val="es-MX"/>
        </w:rPr>
        <w:t xml:space="preserve">los criterios que se podrían utilizar para identificar </w:t>
      </w:r>
      <w:r w:rsidR="00EA5BBA">
        <w:rPr>
          <w:lang w:val="es-MX"/>
        </w:rPr>
        <w:t xml:space="preserve">lo </w:t>
      </w:r>
      <w:r w:rsidRPr="00B519D2">
        <w:rPr>
          <w:lang w:val="es-MX"/>
        </w:rPr>
        <w:t>qu</w:t>
      </w:r>
      <w:r w:rsidR="00EA5BBA">
        <w:rPr>
          <w:lang w:val="es-MX"/>
        </w:rPr>
        <w:t>e</w:t>
      </w:r>
      <w:r w:rsidRPr="00B519D2">
        <w:rPr>
          <w:lang w:val="es-MX"/>
        </w:rPr>
        <w:t xml:space="preserve"> constituye un </w:t>
      </w:r>
      <w:r w:rsidR="00EA5BBA">
        <w:rPr>
          <w:lang w:val="es-MX"/>
        </w:rPr>
        <w:t>instrumento internacional especializado de acceso y participación en los beneficios</w:t>
      </w:r>
      <w:r w:rsidRPr="00B519D2">
        <w:rPr>
          <w:lang w:val="es-MX"/>
        </w:rPr>
        <w:t xml:space="preserve">, y </w:t>
      </w:r>
      <w:r w:rsidR="00EA5BBA">
        <w:rPr>
          <w:lang w:val="es-MX"/>
        </w:rPr>
        <w:t xml:space="preserve">cuál </w:t>
      </w:r>
      <w:r w:rsidRPr="00B519D2">
        <w:rPr>
          <w:lang w:val="es-MX"/>
        </w:rPr>
        <w:t xml:space="preserve">podría ser un </w:t>
      </w:r>
      <w:r w:rsidR="00215614">
        <w:rPr>
          <w:lang w:val="es-MX"/>
        </w:rPr>
        <w:t>posible proceso</w:t>
      </w:r>
      <w:r w:rsidRPr="00B519D2">
        <w:rPr>
          <w:lang w:val="es-MX"/>
        </w:rPr>
        <w:t xml:space="preserve"> para reconocer tal instrumento (decisión NP-2/5, párrafo 3).</w:t>
      </w:r>
    </w:p>
    <w:p w:rsidR="00E91B29" w:rsidRPr="00B519D2" w:rsidRDefault="00E91B29" w:rsidP="00E91B29">
      <w:pPr>
        <w:pStyle w:val="Para1"/>
        <w:numPr>
          <w:ilvl w:val="0"/>
          <w:numId w:val="4"/>
        </w:numPr>
        <w:tabs>
          <w:tab w:val="num" w:pos="709"/>
        </w:tabs>
        <w:spacing w:before="120"/>
        <w:ind w:left="0" w:firstLine="0"/>
        <w:rPr>
          <w:lang w:val="es-MX"/>
        </w:rPr>
      </w:pPr>
      <w:r w:rsidRPr="00F26DAC">
        <w:rPr>
          <w:rStyle w:val="Hyperlink"/>
          <w:color w:val="auto"/>
          <w:sz w:val="22"/>
          <w:szCs w:val="22"/>
          <w:u w:val="none"/>
          <w:lang w:val="es-MX"/>
        </w:rPr>
        <w:t>En su tercera reunión, en la decisión</w:t>
      </w:r>
      <w:r w:rsidRPr="00BB3DF4">
        <w:rPr>
          <w:rStyle w:val="Hyperlink"/>
          <w:lang w:val="es-MX"/>
        </w:rPr>
        <w:t xml:space="preserve"> </w:t>
      </w:r>
      <w:hyperlink r:id="rId10" w:history="1">
        <w:r w:rsidR="006E2992" w:rsidRPr="00BB3DF4">
          <w:rPr>
            <w:rStyle w:val="Hyperlink"/>
            <w:sz w:val="22"/>
            <w:szCs w:val="22"/>
          </w:rPr>
          <w:t>NP-3/14</w:t>
        </w:r>
      </w:hyperlink>
      <w:r w:rsidR="00EA5BBA" w:rsidRPr="00EA5BBA">
        <w:rPr>
          <w:rStyle w:val="Hyperlink"/>
          <w:color w:val="auto"/>
          <w:sz w:val="22"/>
          <w:u w:val="none"/>
        </w:rPr>
        <w:t>,</w:t>
      </w:r>
      <w:r w:rsidRPr="00B519D2">
        <w:rPr>
          <w:lang w:val="es-MX"/>
        </w:rPr>
        <w:t xml:space="preserve"> párrafo 1, la reunión de las Partes en el Protocolo tomó nota del estudio</w:t>
      </w:r>
      <w:r>
        <w:rPr>
          <w:vertAlign w:val="superscript"/>
        </w:rPr>
        <w:footnoteReference w:id="2"/>
      </w:r>
      <w:r w:rsidRPr="00B519D2">
        <w:rPr>
          <w:lang w:val="es-MX"/>
        </w:rPr>
        <w:t xml:space="preserve"> y de los </w:t>
      </w:r>
      <w:r w:rsidR="00EA5BBA">
        <w:rPr>
          <w:lang w:val="es-MX"/>
        </w:rPr>
        <w:t>posibles criterios</w:t>
      </w:r>
      <w:r w:rsidRPr="00B519D2">
        <w:rPr>
          <w:lang w:val="es-MX"/>
        </w:rPr>
        <w:t xml:space="preserve"> para los instrumentos </w:t>
      </w:r>
      <w:r w:rsidR="004D2DBF">
        <w:rPr>
          <w:lang w:val="es-MX"/>
        </w:rPr>
        <w:t>internacionales especializados de acceso y participación en los beneficios</w:t>
      </w:r>
      <w:r w:rsidRPr="00B519D2">
        <w:rPr>
          <w:lang w:val="es-MX"/>
        </w:rPr>
        <w:t xml:space="preserve"> en el contexto del </w:t>
      </w:r>
      <w:r w:rsidR="00EA5BBA">
        <w:rPr>
          <w:lang w:val="es-MX"/>
        </w:rPr>
        <w:t>Artículo</w:t>
      </w:r>
      <w:r w:rsidRPr="00B519D2">
        <w:rPr>
          <w:lang w:val="es-MX"/>
        </w:rPr>
        <w:t xml:space="preserve"> 4, párrafo 4, y acordó </w:t>
      </w:r>
      <w:r w:rsidR="004D2DBF">
        <w:rPr>
          <w:lang w:val="es-MX"/>
        </w:rPr>
        <w:t xml:space="preserve">volver a estudiar </w:t>
      </w:r>
      <w:r w:rsidRPr="00B519D2">
        <w:rPr>
          <w:lang w:val="es-MX"/>
        </w:rPr>
        <w:t xml:space="preserve">estos </w:t>
      </w:r>
      <w:r w:rsidR="00EA5BBA">
        <w:rPr>
          <w:lang w:val="es-MX"/>
        </w:rPr>
        <w:t>posibles criterios</w:t>
      </w:r>
      <w:r w:rsidRPr="00B519D2">
        <w:rPr>
          <w:lang w:val="es-MX"/>
        </w:rPr>
        <w:t xml:space="preserve"> en su cuarta reunión. </w:t>
      </w:r>
      <w:r w:rsidR="00BB3DF4">
        <w:rPr>
          <w:lang w:val="es-MX"/>
        </w:rPr>
        <w:t>C</w:t>
      </w:r>
      <w:r w:rsidR="004D2DBF">
        <w:rPr>
          <w:lang w:val="es-MX"/>
        </w:rPr>
        <w:t>onforme al párrafo</w:t>
      </w:r>
      <w:r w:rsidRPr="00B519D2">
        <w:rPr>
          <w:lang w:val="es-MX"/>
        </w:rPr>
        <w:t xml:space="preserve"> 2 de la decisión, </w:t>
      </w:r>
      <w:r w:rsidR="00BB3DF4">
        <w:rPr>
          <w:lang w:val="es-MX"/>
        </w:rPr>
        <w:t>s</w:t>
      </w:r>
      <w:r w:rsidR="00BB3DF4" w:rsidRPr="00B519D2">
        <w:rPr>
          <w:lang w:val="es-MX"/>
        </w:rPr>
        <w:t xml:space="preserve">e invitó a las Partes y otros gobiernos </w:t>
      </w:r>
      <w:r w:rsidRPr="00B519D2">
        <w:rPr>
          <w:lang w:val="es-MX"/>
        </w:rPr>
        <w:t xml:space="preserve">que </w:t>
      </w:r>
      <w:r w:rsidR="004D2DBF">
        <w:rPr>
          <w:lang w:val="es-MX"/>
        </w:rPr>
        <w:t>presentasen</w:t>
      </w:r>
      <w:r w:rsidRPr="00B519D2">
        <w:rPr>
          <w:lang w:val="es-MX"/>
        </w:rPr>
        <w:t xml:space="preserve">: (a) información sobre </w:t>
      </w:r>
      <w:r w:rsidR="00BB3DF4">
        <w:rPr>
          <w:lang w:val="es-MX"/>
        </w:rPr>
        <w:t xml:space="preserve">la manera en que </w:t>
      </w:r>
      <w:r w:rsidR="004D2DBF">
        <w:rPr>
          <w:lang w:val="es-MX"/>
        </w:rPr>
        <w:t xml:space="preserve">se tratan </w:t>
      </w:r>
      <w:r w:rsidRPr="00B519D2">
        <w:rPr>
          <w:lang w:val="es-MX"/>
        </w:rPr>
        <w:t xml:space="preserve">los instrumentos </w:t>
      </w:r>
      <w:r w:rsidR="004D2DBF">
        <w:rPr>
          <w:lang w:val="es-MX"/>
        </w:rPr>
        <w:t>internacionales especializados de acceso y participación en los beneficios</w:t>
      </w:r>
      <w:r w:rsidRPr="00B519D2">
        <w:rPr>
          <w:lang w:val="es-MX"/>
        </w:rPr>
        <w:t xml:space="preserve"> en sus medidas nacionales; y (b) </w:t>
      </w:r>
      <w:r w:rsidR="008B57C8">
        <w:rPr>
          <w:lang w:val="es-MX"/>
        </w:rPr>
        <w:t>perspectivas sobre</w:t>
      </w:r>
      <w:r w:rsidRPr="00B519D2">
        <w:rPr>
          <w:lang w:val="es-MX"/>
        </w:rPr>
        <w:t xml:space="preserve"> los </w:t>
      </w:r>
      <w:r w:rsidR="00EA5BBA">
        <w:rPr>
          <w:lang w:val="es-MX"/>
        </w:rPr>
        <w:t>posibles criterios</w:t>
      </w:r>
      <w:r w:rsidRPr="00B519D2">
        <w:rPr>
          <w:lang w:val="es-MX"/>
        </w:rPr>
        <w:t xml:space="preserve"> incluidos en el estudio, teniendo en cuenta el </w:t>
      </w:r>
      <w:r w:rsidR="00EA5BBA">
        <w:rPr>
          <w:lang w:val="es-MX"/>
        </w:rPr>
        <w:t>Artículo</w:t>
      </w:r>
      <w:r w:rsidRPr="00B519D2">
        <w:rPr>
          <w:lang w:val="es-MX"/>
        </w:rPr>
        <w:t xml:space="preserve"> 4, párrafos 1 a 3, del </w:t>
      </w:r>
      <w:r w:rsidR="00EA5BBA">
        <w:rPr>
          <w:lang w:val="es-MX"/>
        </w:rPr>
        <w:t>Protocolo</w:t>
      </w:r>
      <w:r w:rsidRPr="00B519D2">
        <w:rPr>
          <w:lang w:val="es-MX"/>
        </w:rPr>
        <w:t xml:space="preserve">. </w:t>
      </w:r>
    </w:p>
    <w:p w:rsidR="00E91B29" w:rsidRPr="00B519D2" w:rsidRDefault="008B57C8" w:rsidP="00E91B29">
      <w:pPr>
        <w:pStyle w:val="Para1"/>
        <w:numPr>
          <w:ilvl w:val="0"/>
          <w:numId w:val="4"/>
        </w:numPr>
        <w:tabs>
          <w:tab w:val="num" w:pos="709"/>
        </w:tabs>
        <w:spacing w:before="120"/>
        <w:ind w:left="0" w:firstLine="0"/>
        <w:rPr>
          <w:lang w:val="es-MX"/>
        </w:rPr>
      </w:pPr>
      <w:r>
        <w:rPr>
          <w:lang w:val="es-MX"/>
        </w:rPr>
        <w:t>Se pidió a la Secretaria Ejecutiva</w:t>
      </w:r>
      <w:r w:rsidR="00E91B29" w:rsidRPr="00B519D2">
        <w:rPr>
          <w:lang w:val="es-MX"/>
        </w:rPr>
        <w:t xml:space="preserve"> </w:t>
      </w:r>
      <w:r>
        <w:rPr>
          <w:lang w:val="es-MX"/>
        </w:rPr>
        <w:t xml:space="preserve">que continuase el </w:t>
      </w:r>
      <w:r w:rsidR="00E91B29" w:rsidRPr="00B519D2">
        <w:rPr>
          <w:lang w:val="es-MX"/>
        </w:rPr>
        <w:t xml:space="preserve">seguimiento </w:t>
      </w:r>
      <w:r>
        <w:rPr>
          <w:lang w:val="es-MX"/>
        </w:rPr>
        <w:t xml:space="preserve">del desarrollo que tiene lugar </w:t>
      </w:r>
      <w:r w:rsidR="00E91B29" w:rsidRPr="00B519D2">
        <w:rPr>
          <w:lang w:val="es-MX"/>
        </w:rPr>
        <w:t xml:space="preserve">en los </w:t>
      </w:r>
      <w:r>
        <w:rPr>
          <w:lang w:val="es-MX"/>
        </w:rPr>
        <w:t xml:space="preserve">foros internacionales pertinentes </w:t>
      </w:r>
      <w:r w:rsidR="00E91B29" w:rsidRPr="00B519D2">
        <w:rPr>
          <w:lang w:val="es-MX"/>
        </w:rPr>
        <w:t>(párrafo 3 de la decisión) y sinteti</w:t>
      </w:r>
      <w:r>
        <w:rPr>
          <w:lang w:val="es-MX"/>
        </w:rPr>
        <w:t>ce</w:t>
      </w:r>
      <w:r w:rsidR="00E91B29" w:rsidRPr="00B519D2">
        <w:rPr>
          <w:lang w:val="es-MX"/>
        </w:rPr>
        <w:t xml:space="preserve"> la información y </w:t>
      </w:r>
      <w:r>
        <w:rPr>
          <w:lang w:val="es-MX"/>
        </w:rPr>
        <w:t>los puntos de vista</w:t>
      </w:r>
      <w:r w:rsidR="00E91B29" w:rsidRPr="00B519D2">
        <w:rPr>
          <w:lang w:val="es-MX"/>
        </w:rPr>
        <w:t xml:space="preserve"> </w:t>
      </w:r>
      <w:r>
        <w:rPr>
          <w:lang w:val="es-MX"/>
        </w:rPr>
        <w:t>presentados</w:t>
      </w:r>
      <w:r w:rsidR="00E91B29" w:rsidRPr="00B519D2">
        <w:rPr>
          <w:lang w:val="es-MX"/>
        </w:rPr>
        <w:t xml:space="preserve">, incluyendo la </w:t>
      </w:r>
      <w:r>
        <w:rPr>
          <w:lang w:val="es-MX"/>
        </w:rPr>
        <w:t xml:space="preserve">información proveniente del desarrollo que tiene lugar </w:t>
      </w:r>
      <w:r w:rsidR="00E91B29" w:rsidRPr="00B519D2">
        <w:rPr>
          <w:lang w:val="es-MX"/>
        </w:rPr>
        <w:t xml:space="preserve">en </w:t>
      </w:r>
      <w:r w:rsidR="00BB3DF4">
        <w:rPr>
          <w:lang w:val="es-MX"/>
        </w:rPr>
        <w:t xml:space="preserve">dichos </w:t>
      </w:r>
      <w:r>
        <w:rPr>
          <w:lang w:val="es-MX"/>
        </w:rPr>
        <w:t>foros</w:t>
      </w:r>
      <w:r w:rsidR="00E91B29" w:rsidRPr="00B519D2">
        <w:rPr>
          <w:lang w:val="es-MX"/>
        </w:rPr>
        <w:t xml:space="preserve">, y </w:t>
      </w:r>
      <w:r>
        <w:rPr>
          <w:lang w:val="es-MX"/>
        </w:rPr>
        <w:t xml:space="preserve">los ponga a disposición del </w:t>
      </w:r>
      <w:r w:rsidR="00747359">
        <w:rPr>
          <w:lang w:val="es-MX"/>
        </w:rPr>
        <w:t>Órgano Subsidiario</w:t>
      </w:r>
      <w:r w:rsidR="00E91B29" w:rsidRPr="00B519D2">
        <w:rPr>
          <w:lang w:val="es-MX"/>
        </w:rPr>
        <w:t xml:space="preserve"> sobre la Aplicación</w:t>
      </w:r>
      <w:r>
        <w:rPr>
          <w:lang w:val="es-MX"/>
        </w:rPr>
        <w:t xml:space="preserve"> para que los considere</w:t>
      </w:r>
      <w:r w:rsidR="00E91B29" w:rsidRPr="00B519D2">
        <w:rPr>
          <w:lang w:val="es-MX"/>
        </w:rPr>
        <w:t xml:space="preserve"> en su tercera reunión, </w:t>
      </w:r>
      <w:r>
        <w:rPr>
          <w:lang w:val="es-MX"/>
        </w:rPr>
        <w:t xml:space="preserve">a fin de </w:t>
      </w:r>
      <w:r w:rsidR="00E91B29" w:rsidRPr="00B519D2">
        <w:rPr>
          <w:lang w:val="es-MX"/>
        </w:rPr>
        <w:t>hacer una recomendación a la</w:t>
      </w:r>
      <w:r>
        <w:rPr>
          <w:lang w:val="es-MX"/>
        </w:rPr>
        <w:t xml:space="preserve"> cuarta</w:t>
      </w:r>
      <w:r w:rsidR="00E91B29" w:rsidRPr="00B519D2">
        <w:rPr>
          <w:lang w:val="es-MX"/>
        </w:rPr>
        <w:t xml:space="preserve"> reunión de las Partes en el Protocolo (párrafo 4). </w:t>
      </w:r>
    </w:p>
    <w:p w:rsidR="00E91B29" w:rsidRPr="00B519D2" w:rsidRDefault="008B57C8" w:rsidP="00E91B29">
      <w:pPr>
        <w:pStyle w:val="Para1"/>
        <w:numPr>
          <w:ilvl w:val="0"/>
          <w:numId w:val="4"/>
        </w:numPr>
        <w:tabs>
          <w:tab w:val="num" w:pos="709"/>
        </w:tabs>
        <w:spacing w:before="120"/>
        <w:ind w:left="0" w:firstLine="0"/>
        <w:rPr>
          <w:lang w:val="es-MX"/>
        </w:rPr>
      </w:pPr>
      <w:r>
        <w:rPr>
          <w:lang w:val="es-MX"/>
        </w:rPr>
        <w:t xml:space="preserve">A través de </w:t>
      </w:r>
      <w:r w:rsidR="00E91B29" w:rsidRPr="00B519D2">
        <w:rPr>
          <w:lang w:val="es-MX"/>
        </w:rPr>
        <w:t>la notificación 2019-25 del 25 de febrero de 2019,</w:t>
      </w:r>
      <w:r w:rsidR="00E91B29">
        <w:rPr>
          <w:vertAlign w:val="superscript"/>
        </w:rPr>
        <w:footnoteReference w:id="3"/>
      </w:r>
      <w:r w:rsidR="00E91B29" w:rsidRPr="00B519D2">
        <w:rPr>
          <w:lang w:val="es-MX"/>
        </w:rPr>
        <w:t xml:space="preserve"> </w:t>
      </w:r>
      <w:r>
        <w:rPr>
          <w:lang w:val="es-MX"/>
        </w:rPr>
        <w:t>la Secretaria Ejecutiva</w:t>
      </w:r>
      <w:r w:rsidR="00E91B29" w:rsidRPr="00B519D2">
        <w:rPr>
          <w:lang w:val="es-MX"/>
        </w:rPr>
        <w:t xml:space="preserve"> invitó a </w:t>
      </w:r>
      <w:r>
        <w:rPr>
          <w:lang w:val="es-MX"/>
        </w:rPr>
        <w:t xml:space="preserve">presentar </w:t>
      </w:r>
      <w:r w:rsidR="00E91B29" w:rsidRPr="00B519D2">
        <w:rPr>
          <w:lang w:val="es-MX"/>
        </w:rPr>
        <w:t xml:space="preserve">información y </w:t>
      </w:r>
      <w:r>
        <w:rPr>
          <w:lang w:val="es-MX"/>
        </w:rPr>
        <w:t>puntos de vista</w:t>
      </w:r>
      <w:r w:rsidR="00E91B29" w:rsidRPr="00B519D2">
        <w:rPr>
          <w:lang w:val="es-MX"/>
        </w:rPr>
        <w:t xml:space="preserve"> conforme al párrafo 2 de la decisión NP-3/14. </w:t>
      </w:r>
      <w:r>
        <w:rPr>
          <w:lang w:val="es-MX"/>
        </w:rPr>
        <w:t xml:space="preserve">Se recibieron </w:t>
      </w:r>
      <w:r w:rsidR="00E91B29" w:rsidRPr="00B519D2">
        <w:rPr>
          <w:lang w:val="es-MX"/>
        </w:rPr>
        <w:t xml:space="preserve">presentaciones de cuatro Partes en el Protocolo: la </w:t>
      </w:r>
      <w:r>
        <w:rPr>
          <w:lang w:val="es-MX"/>
        </w:rPr>
        <w:t>Unión Europea</w:t>
      </w:r>
      <w:r w:rsidR="00E91B29" w:rsidRPr="00B519D2">
        <w:rPr>
          <w:lang w:val="es-MX"/>
        </w:rPr>
        <w:t xml:space="preserve"> y sus Estados miembros; Japón; Noruega; y Suiza. </w:t>
      </w:r>
      <w:proofErr w:type="gramStart"/>
      <w:r>
        <w:rPr>
          <w:lang w:val="es-MX"/>
        </w:rPr>
        <w:t>Asimismo</w:t>
      </w:r>
      <w:proofErr w:type="gramEnd"/>
      <w:r>
        <w:rPr>
          <w:lang w:val="es-MX"/>
        </w:rPr>
        <w:t xml:space="preserve"> se recibieron </w:t>
      </w:r>
      <w:r w:rsidR="00E91B29" w:rsidRPr="00B519D2">
        <w:rPr>
          <w:lang w:val="es-MX"/>
        </w:rPr>
        <w:t>presentaciones de dos estado</w:t>
      </w:r>
      <w:r>
        <w:rPr>
          <w:lang w:val="es-MX"/>
        </w:rPr>
        <w:t xml:space="preserve">s que no son </w:t>
      </w:r>
      <w:r w:rsidR="00E91B29" w:rsidRPr="00B519D2">
        <w:rPr>
          <w:lang w:val="es-MX"/>
        </w:rPr>
        <w:t xml:space="preserve">Parte: Canadá y Nueva Zelandia. </w:t>
      </w:r>
      <w:r w:rsidR="00E91B29" w:rsidRPr="00B519D2">
        <w:rPr>
          <w:lang w:val="es-MX"/>
        </w:rPr>
        <w:lastRenderedPageBreak/>
        <w:t xml:space="preserve">Además, </w:t>
      </w:r>
      <w:r w:rsidR="00AD12C3">
        <w:rPr>
          <w:lang w:val="es-MX"/>
        </w:rPr>
        <w:t xml:space="preserve">se recibió </w:t>
      </w:r>
      <w:r w:rsidR="00BB3DF4">
        <w:rPr>
          <w:lang w:val="es-MX"/>
        </w:rPr>
        <w:t xml:space="preserve">la </w:t>
      </w:r>
      <w:r w:rsidR="00E91B29" w:rsidRPr="00B519D2">
        <w:rPr>
          <w:lang w:val="es-MX"/>
        </w:rPr>
        <w:t xml:space="preserve">presentación de un organismo internacional: la </w:t>
      </w:r>
      <w:r w:rsidR="00AD12C3">
        <w:rPr>
          <w:lang w:val="es-MX"/>
        </w:rPr>
        <w:t>Unión Africana</w:t>
      </w:r>
      <w:r w:rsidR="00E91B29" w:rsidRPr="00B519D2">
        <w:rPr>
          <w:lang w:val="es-MX"/>
        </w:rPr>
        <w:t xml:space="preserve">. El texto completo de las presentaciones </w:t>
      </w:r>
      <w:r w:rsidR="00AD12C3">
        <w:rPr>
          <w:lang w:val="es-MX"/>
        </w:rPr>
        <w:t xml:space="preserve">puede obtenerse </w:t>
      </w:r>
      <w:r w:rsidR="00E91B29" w:rsidRPr="00B519D2">
        <w:rPr>
          <w:lang w:val="es-MX"/>
        </w:rPr>
        <w:t>en línea.</w:t>
      </w:r>
      <w:r w:rsidR="00E91B29" w:rsidRPr="006442C4">
        <w:rPr>
          <w:vertAlign w:val="superscript"/>
        </w:rPr>
        <w:footnoteReference w:id="4"/>
      </w:r>
    </w:p>
    <w:p w:rsidR="00E91B29" w:rsidRPr="00B519D2" w:rsidRDefault="00E91B29" w:rsidP="00E91B29">
      <w:pPr>
        <w:pStyle w:val="Para1"/>
        <w:numPr>
          <w:ilvl w:val="0"/>
          <w:numId w:val="4"/>
        </w:numPr>
        <w:tabs>
          <w:tab w:val="num" w:pos="709"/>
        </w:tabs>
        <w:spacing w:before="120"/>
        <w:ind w:left="0" w:firstLine="0"/>
        <w:rPr>
          <w:lang w:val="es-MX"/>
        </w:rPr>
      </w:pPr>
      <w:r w:rsidRPr="00B519D2">
        <w:rPr>
          <w:lang w:val="es-MX"/>
        </w:rPr>
        <w:t xml:space="preserve">La sección II </w:t>
      </w:r>
      <w:r w:rsidR="00176F5F">
        <w:rPr>
          <w:lang w:val="es-MX"/>
        </w:rPr>
        <w:t xml:space="preserve">siguiente </w:t>
      </w:r>
      <w:r w:rsidRPr="00B519D2">
        <w:rPr>
          <w:lang w:val="es-MX"/>
        </w:rPr>
        <w:t xml:space="preserve">recuerda brevemente los criterios identificados y los </w:t>
      </w:r>
      <w:r w:rsidR="00AD12C3">
        <w:rPr>
          <w:lang w:val="es-MX"/>
        </w:rPr>
        <w:t>escenarios</w:t>
      </w:r>
      <w:r w:rsidRPr="00B519D2">
        <w:rPr>
          <w:lang w:val="es-MX"/>
        </w:rPr>
        <w:t xml:space="preserve"> </w:t>
      </w:r>
      <w:r w:rsidR="00AD12C3">
        <w:rPr>
          <w:lang w:val="es-MX"/>
        </w:rPr>
        <w:t xml:space="preserve">elaborados </w:t>
      </w:r>
      <w:r w:rsidRPr="00B519D2">
        <w:rPr>
          <w:lang w:val="es-MX"/>
        </w:rPr>
        <w:t>en el estudio</w:t>
      </w:r>
      <w:r w:rsidR="00AD12C3">
        <w:rPr>
          <w:lang w:val="es-MX"/>
        </w:rPr>
        <w:t xml:space="preserve">, </w:t>
      </w:r>
      <w:r w:rsidR="00BB3DF4">
        <w:rPr>
          <w:lang w:val="es-MX"/>
        </w:rPr>
        <w:t xml:space="preserve">tal como figura en </w:t>
      </w:r>
      <w:r w:rsidRPr="00B519D2">
        <w:rPr>
          <w:lang w:val="es-MX"/>
        </w:rPr>
        <w:t xml:space="preserve">la nota a pie de página 1. La sección III resume la información presentada </w:t>
      </w:r>
      <w:r w:rsidR="00AD12C3">
        <w:rPr>
          <w:lang w:val="es-MX"/>
        </w:rPr>
        <w:t xml:space="preserve">sobre </w:t>
      </w:r>
      <w:r w:rsidRPr="00B519D2">
        <w:rPr>
          <w:lang w:val="es-MX"/>
        </w:rPr>
        <w:t xml:space="preserve">experiencias </w:t>
      </w:r>
      <w:r w:rsidR="00AD12C3">
        <w:rPr>
          <w:lang w:val="es-MX"/>
        </w:rPr>
        <w:t xml:space="preserve">relativas al modo en que se tratan </w:t>
      </w:r>
      <w:r w:rsidRPr="00B519D2">
        <w:rPr>
          <w:lang w:val="es-MX"/>
        </w:rPr>
        <w:t xml:space="preserve">los instrumentos </w:t>
      </w:r>
      <w:r w:rsidR="004D2DBF">
        <w:rPr>
          <w:lang w:val="es-MX"/>
        </w:rPr>
        <w:t>internacionales especializados de acceso y participación en los beneficios</w:t>
      </w:r>
      <w:r w:rsidRPr="00B519D2">
        <w:rPr>
          <w:lang w:val="es-MX"/>
        </w:rPr>
        <w:t xml:space="preserve"> en las medidas nacionales </w:t>
      </w:r>
      <w:r w:rsidR="00176F5F">
        <w:rPr>
          <w:lang w:val="es-MX"/>
        </w:rPr>
        <w:t xml:space="preserve">tomadas por </w:t>
      </w:r>
      <w:r w:rsidRPr="00B519D2">
        <w:rPr>
          <w:lang w:val="es-MX"/>
        </w:rPr>
        <w:t xml:space="preserve">las Partes y otros gobiernos. La sección IV sintetiza </w:t>
      </w:r>
      <w:r w:rsidR="00AD12C3">
        <w:rPr>
          <w:lang w:val="es-MX"/>
        </w:rPr>
        <w:t>los puntos de vista</w:t>
      </w:r>
      <w:r w:rsidRPr="00B519D2">
        <w:rPr>
          <w:lang w:val="es-MX"/>
        </w:rPr>
        <w:t xml:space="preserve"> </w:t>
      </w:r>
      <w:r w:rsidR="00AD12C3">
        <w:rPr>
          <w:lang w:val="es-MX"/>
        </w:rPr>
        <w:t xml:space="preserve">presentados sobre </w:t>
      </w:r>
      <w:r w:rsidRPr="00B519D2">
        <w:rPr>
          <w:lang w:val="es-MX"/>
        </w:rPr>
        <w:t xml:space="preserve">los </w:t>
      </w:r>
      <w:r w:rsidR="00EA5BBA">
        <w:rPr>
          <w:lang w:val="es-MX"/>
        </w:rPr>
        <w:t>posibles criterios</w:t>
      </w:r>
      <w:r w:rsidRPr="00B519D2">
        <w:rPr>
          <w:lang w:val="es-MX"/>
        </w:rPr>
        <w:t xml:space="preserve"> incluidos en el estudio, teniendo en cuenta el </w:t>
      </w:r>
      <w:r w:rsidR="00EA5BBA">
        <w:rPr>
          <w:lang w:val="es-MX"/>
        </w:rPr>
        <w:t>Artículo</w:t>
      </w:r>
      <w:r w:rsidRPr="00B519D2">
        <w:rPr>
          <w:lang w:val="es-MX"/>
        </w:rPr>
        <w:t xml:space="preserve"> 4, </w:t>
      </w:r>
      <w:r w:rsidR="00AD12C3">
        <w:rPr>
          <w:lang w:val="es-MX"/>
        </w:rPr>
        <w:t>párrafos 1 a 3</w:t>
      </w:r>
      <w:r w:rsidRPr="00B519D2">
        <w:rPr>
          <w:lang w:val="es-MX"/>
        </w:rPr>
        <w:t xml:space="preserve">, del </w:t>
      </w:r>
      <w:r w:rsidR="00EA5BBA">
        <w:rPr>
          <w:lang w:val="es-MX"/>
        </w:rPr>
        <w:t>Protocolo</w:t>
      </w:r>
      <w:r w:rsidRPr="00B519D2">
        <w:rPr>
          <w:lang w:val="es-MX"/>
        </w:rPr>
        <w:t xml:space="preserve">. La sección V incluye información </w:t>
      </w:r>
      <w:r w:rsidR="00AD12C3">
        <w:rPr>
          <w:lang w:val="es-MX"/>
        </w:rPr>
        <w:t xml:space="preserve">relativa al desarrollo que tiene lugar </w:t>
      </w:r>
      <w:r w:rsidRPr="00B519D2">
        <w:rPr>
          <w:lang w:val="es-MX"/>
        </w:rPr>
        <w:t xml:space="preserve">en </w:t>
      </w:r>
      <w:r w:rsidR="008B57C8">
        <w:rPr>
          <w:lang w:val="es-MX"/>
        </w:rPr>
        <w:t>foros internacionales pertinentes</w:t>
      </w:r>
      <w:r w:rsidRPr="00B519D2">
        <w:rPr>
          <w:lang w:val="es-MX"/>
        </w:rPr>
        <w:t xml:space="preserve">. Finalmente, la sección VI </w:t>
      </w:r>
      <w:r w:rsidR="00E647A5">
        <w:rPr>
          <w:lang w:val="es-MX"/>
        </w:rPr>
        <w:t xml:space="preserve">presenta los </w:t>
      </w:r>
      <w:r w:rsidRPr="00B519D2">
        <w:rPr>
          <w:lang w:val="es-MX"/>
        </w:rPr>
        <w:t xml:space="preserve">elementos </w:t>
      </w:r>
      <w:r w:rsidR="00E647A5">
        <w:rPr>
          <w:lang w:val="es-MX"/>
        </w:rPr>
        <w:t xml:space="preserve">sugeridos </w:t>
      </w:r>
      <w:r w:rsidRPr="00B519D2">
        <w:rPr>
          <w:lang w:val="es-MX"/>
        </w:rPr>
        <w:t xml:space="preserve">de un </w:t>
      </w:r>
      <w:r w:rsidR="00E647A5">
        <w:rPr>
          <w:lang w:val="es-MX"/>
        </w:rPr>
        <w:t>proyecto de recomendación</w:t>
      </w:r>
      <w:r w:rsidRPr="00B519D2">
        <w:rPr>
          <w:lang w:val="es-MX"/>
        </w:rPr>
        <w:t xml:space="preserve"> para consideración del </w:t>
      </w:r>
      <w:r w:rsidR="00747359">
        <w:rPr>
          <w:lang w:val="es-MX"/>
        </w:rPr>
        <w:t>Órgano Subsidiario</w:t>
      </w:r>
      <w:r w:rsidRPr="00B519D2">
        <w:rPr>
          <w:lang w:val="es-MX"/>
        </w:rPr>
        <w:t xml:space="preserve"> sobre la Aplicación.</w:t>
      </w:r>
    </w:p>
    <w:p w:rsidR="00E91B29" w:rsidRPr="00F26DAC" w:rsidRDefault="00E91B29" w:rsidP="00E91B29">
      <w:pPr>
        <w:pStyle w:val="Heading1"/>
        <w:keepLines w:val="0"/>
        <w:numPr>
          <w:ilvl w:val="0"/>
          <w:numId w:val="7"/>
        </w:numPr>
        <w:tabs>
          <w:tab w:val="left" w:pos="720"/>
        </w:tabs>
        <w:spacing w:before="240" w:after="120"/>
        <w:ind w:left="0" w:firstLine="0"/>
        <w:jc w:val="center"/>
        <w:rPr>
          <w:rFonts w:ascii="Times New Roman" w:hAnsi="Times New Roman"/>
          <w:b w:val="0"/>
          <w:caps/>
          <w:color w:val="auto"/>
          <w:sz w:val="22"/>
          <w:szCs w:val="22"/>
          <w:lang w:val="es-MX"/>
        </w:rPr>
      </w:pPr>
      <w:r w:rsidRPr="00F26DAC">
        <w:rPr>
          <w:rFonts w:ascii="Times New Roman" w:hAnsi="Times New Roman"/>
          <w:color w:val="auto"/>
          <w:sz w:val="22"/>
          <w:szCs w:val="22"/>
          <w:lang w:val="es-MX"/>
        </w:rPr>
        <w:t>CRITERIOS IDENTIFICA</w:t>
      </w:r>
      <w:r w:rsidR="00E647A5">
        <w:rPr>
          <w:rFonts w:ascii="Times New Roman" w:hAnsi="Times New Roman"/>
          <w:color w:val="auto"/>
          <w:sz w:val="22"/>
          <w:szCs w:val="22"/>
          <w:lang w:val="es-MX"/>
        </w:rPr>
        <w:t xml:space="preserve">DOS </w:t>
      </w:r>
      <w:r w:rsidRPr="00F26DAC">
        <w:rPr>
          <w:rFonts w:ascii="Times New Roman" w:hAnsi="Times New Roman"/>
          <w:color w:val="auto"/>
          <w:sz w:val="22"/>
          <w:szCs w:val="22"/>
          <w:lang w:val="es-MX"/>
        </w:rPr>
        <w:t xml:space="preserve">Y </w:t>
      </w:r>
      <w:r w:rsidR="00E647A5">
        <w:rPr>
          <w:rFonts w:ascii="Times New Roman" w:hAnsi="Times New Roman"/>
          <w:color w:val="auto"/>
          <w:sz w:val="22"/>
          <w:szCs w:val="22"/>
          <w:lang w:val="es-MX"/>
        </w:rPr>
        <w:t xml:space="preserve">ESCENARIOS DESARROLLADOS </w:t>
      </w:r>
      <w:r w:rsidRPr="00F26DAC">
        <w:rPr>
          <w:rFonts w:ascii="Times New Roman" w:hAnsi="Times New Roman"/>
          <w:color w:val="auto"/>
          <w:sz w:val="22"/>
          <w:szCs w:val="22"/>
          <w:lang w:val="es-MX"/>
        </w:rPr>
        <w:t>EN EL ESTUDIO</w:t>
      </w:r>
    </w:p>
    <w:p w:rsidR="00E91B29" w:rsidRPr="00B519D2" w:rsidRDefault="00E647A5" w:rsidP="00E91B29">
      <w:pPr>
        <w:pStyle w:val="Para1"/>
        <w:numPr>
          <w:ilvl w:val="0"/>
          <w:numId w:val="4"/>
        </w:numPr>
        <w:tabs>
          <w:tab w:val="num" w:pos="709"/>
        </w:tabs>
        <w:spacing w:before="120"/>
        <w:ind w:left="0" w:firstLine="0"/>
        <w:rPr>
          <w:lang w:val="es-MX"/>
        </w:rPr>
      </w:pPr>
      <w:r>
        <w:rPr>
          <w:lang w:val="es-MX"/>
        </w:rPr>
        <w:t>Tal c</w:t>
      </w:r>
      <w:r w:rsidR="00E91B29" w:rsidRPr="00B519D2">
        <w:rPr>
          <w:lang w:val="es-MX"/>
        </w:rPr>
        <w:t>omo se refleja en el</w:t>
      </w:r>
      <w:r w:rsidR="00E25181">
        <w:rPr>
          <w:lang w:val="es-MX"/>
        </w:rPr>
        <w:t xml:space="preserve"> Anexo </w:t>
      </w:r>
      <w:r>
        <w:rPr>
          <w:lang w:val="es-MX"/>
        </w:rPr>
        <w:t>de la decisión</w:t>
      </w:r>
      <w:r w:rsidR="00E91B29" w:rsidRPr="00B519D2">
        <w:rPr>
          <w:lang w:val="es-MX"/>
        </w:rPr>
        <w:t xml:space="preserve"> NP-3/14, los </w:t>
      </w:r>
      <w:r w:rsidR="00EA5BBA">
        <w:rPr>
          <w:lang w:val="es-MX"/>
        </w:rPr>
        <w:t>posibles criterios</w:t>
      </w:r>
      <w:r w:rsidR="00E91B29" w:rsidRPr="00B519D2">
        <w:rPr>
          <w:lang w:val="es-MX"/>
        </w:rPr>
        <w:t xml:space="preserve"> para los instrumentos </w:t>
      </w:r>
      <w:r w:rsidR="004D2DBF">
        <w:rPr>
          <w:lang w:val="es-MX"/>
        </w:rPr>
        <w:t>internacionales especializados de acceso y participación en los beneficios</w:t>
      </w:r>
      <w:r w:rsidR="00E91B29" w:rsidRPr="00B519D2">
        <w:rPr>
          <w:lang w:val="es-MX"/>
        </w:rPr>
        <w:t xml:space="preserve"> en el contexto del </w:t>
      </w:r>
      <w:r w:rsidR="00EA5BBA">
        <w:rPr>
          <w:lang w:val="es-MX"/>
        </w:rPr>
        <w:t>Artículo</w:t>
      </w:r>
      <w:r w:rsidR="00E91B29" w:rsidRPr="00B519D2">
        <w:rPr>
          <w:lang w:val="es-MX"/>
        </w:rPr>
        <w:t xml:space="preserve"> 4, párrafo 4, del </w:t>
      </w:r>
      <w:r w:rsidR="00EA5BBA">
        <w:rPr>
          <w:lang w:val="es-MX"/>
        </w:rPr>
        <w:t>Protocolo</w:t>
      </w:r>
      <w:r w:rsidR="00E91B29" w:rsidRPr="00B519D2">
        <w:rPr>
          <w:lang w:val="es-MX"/>
        </w:rPr>
        <w:t xml:space="preserve"> son: </w:t>
      </w:r>
    </w:p>
    <w:p w:rsidR="00E91B29" w:rsidRDefault="00E91B29" w:rsidP="00F143E8">
      <w:pPr>
        <w:spacing w:after="120"/>
        <w:ind w:left="284" w:firstLine="436"/>
        <w:rPr>
          <w:lang w:eastAsia="en-GB"/>
        </w:rPr>
      </w:pPr>
      <w:r w:rsidRPr="00E710B7">
        <w:rPr>
          <w:rFonts w:eastAsia="Times New Roman" w:cs="Times New Roman"/>
          <w:iCs/>
          <w:kern w:val="22"/>
          <w:szCs w:val="22"/>
          <w:lang w:val="en-GB" w:eastAsia="en-GB"/>
        </w:rPr>
        <w:t>1.</w:t>
      </w:r>
      <w:r w:rsidRPr="00B519D2">
        <w:rPr>
          <w:lang w:val="es-MX"/>
        </w:rPr>
        <w:tab/>
      </w:r>
      <w:r w:rsidR="00696569" w:rsidRPr="00696569">
        <w:rPr>
          <w:i/>
          <w:lang w:val="es-MX"/>
        </w:rPr>
        <w:t>Acordado</w:t>
      </w:r>
      <w:r w:rsidR="00696569">
        <w:rPr>
          <w:lang w:val="es-MX"/>
        </w:rPr>
        <w:t xml:space="preserve"> </w:t>
      </w:r>
      <w:r>
        <w:rPr>
          <w:i/>
        </w:rPr>
        <w:t>intergubernamental</w:t>
      </w:r>
      <w:r w:rsidR="00696569">
        <w:rPr>
          <w:i/>
        </w:rPr>
        <w:t>mente</w:t>
      </w:r>
      <w:r>
        <w:rPr>
          <w:i/>
        </w:rPr>
        <w:t xml:space="preserve"> </w:t>
      </w:r>
      <w:r>
        <w:t>-</w:t>
      </w:r>
      <w:r w:rsidRPr="00B519D2">
        <w:rPr>
          <w:lang w:val="es-MX"/>
        </w:rPr>
        <w:t xml:space="preserve"> </w:t>
      </w:r>
      <w:r>
        <w:t>El instrumento se</w:t>
      </w:r>
      <w:r w:rsidR="008253A9">
        <w:t xml:space="preserve">ría creado </w:t>
      </w:r>
      <w:r w:rsidR="00696569">
        <w:t xml:space="preserve">y </w:t>
      </w:r>
      <w:r w:rsidR="008253A9">
        <w:t xml:space="preserve">acordado mediante </w:t>
      </w:r>
      <w:r>
        <w:t>un proceso intergubernamental.</w:t>
      </w:r>
      <w:r w:rsidRPr="00B519D2">
        <w:rPr>
          <w:lang w:val="es-MX"/>
        </w:rPr>
        <w:t xml:space="preserve"> </w:t>
      </w:r>
      <w:r>
        <w:t>El instrumento p</w:t>
      </w:r>
      <w:r w:rsidR="008253A9">
        <w:t xml:space="preserve">odría </w:t>
      </w:r>
      <w:r>
        <w:t xml:space="preserve">ser </w:t>
      </w:r>
      <w:r w:rsidR="0068211C">
        <w:t xml:space="preserve">o no ser </w:t>
      </w:r>
      <w:r w:rsidR="00696569">
        <w:t>vinculante</w:t>
      </w:r>
      <w:r>
        <w:t>.</w:t>
      </w:r>
    </w:p>
    <w:p w:rsidR="00E91B29" w:rsidRDefault="00E91B29" w:rsidP="00F143E8">
      <w:pPr>
        <w:ind w:left="284" w:firstLine="436"/>
        <w:rPr>
          <w:lang w:eastAsia="en-GB"/>
        </w:rPr>
      </w:pPr>
      <w:r w:rsidRPr="00E710B7">
        <w:rPr>
          <w:rFonts w:eastAsia="Times New Roman" w:cs="Times New Roman"/>
          <w:iCs/>
          <w:kern w:val="22"/>
          <w:szCs w:val="22"/>
          <w:lang w:val="en-GB" w:eastAsia="en-GB"/>
        </w:rPr>
        <w:t>2.</w:t>
      </w:r>
      <w:r>
        <w:tab/>
      </w:r>
      <w:r>
        <w:rPr>
          <w:i/>
        </w:rPr>
        <w:t xml:space="preserve">Especializado </w:t>
      </w:r>
      <w:r>
        <w:t>- El instrumento:</w:t>
      </w:r>
    </w:p>
    <w:p w:rsidR="00E91B29" w:rsidRDefault="00E91B29" w:rsidP="00E91B29">
      <w:pPr>
        <w:spacing w:before="120" w:after="120"/>
        <w:ind w:left="284" w:firstLine="436"/>
        <w:rPr>
          <w:lang w:eastAsia="en-GB"/>
        </w:rPr>
      </w:pPr>
      <w:r>
        <w:t xml:space="preserve">(a) </w:t>
      </w:r>
      <w:r>
        <w:tab/>
      </w:r>
      <w:r w:rsidR="00696569">
        <w:t>Se aplicaría</w:t>
      </w:r>
      <w:r>
        <w:t xml:space="preserve"> a un </w:t>
      </w:r>
      <w:r w:rsidR="008253A9">
        <w:t>conjunto específico de recursos genéticos</w:t>
      </w:r>
      <w:r>
        <w:t xml:space="preserve"> y/o conocimientos tradicionales asociados a los recursos genéticos que </w:t>
      </w:r>
      <w:r w:rsidR="00696569">
        <w:t xml:space="preserve">de </w:t>
      </w:r>
      <w:r w:rsidR="008253A9">
        <w:t xml:space="preserve">otra manera quedarían comprendidos en el ámbito </w:t>
      </w:r>
      <w:r>
        <w:t xml:space="preserve">del </w:t>
      </w:r>
      <w:r w:rsidR="00EA5BBA">
        <w:t>Protocolo</w:t>
      </w:r>
      <w:r>
        <w:t xml:space="preserve"> de Nagoya;</w:t>
      </w:r>
    </w:p>
    <w:p w:rsidR="00E91B29" w:rsidRDefault="00E91B29" w:rsidP="00E91B29">
      <w:pPr>
        <w:spacing w:before="120" w:after="120"/>
        <w:ind w:left="288" w:firstLine="432"/>
      </w:pPr>
      <w:r>
        <w:t xml:space="preserve">(b) </w:t>
      </w:r>
      <w:r>
        <w:tab/>
      </w:r>
      <w:r w:rsidR="00696569">
        <w:t>Se aplicaría</w:t>
      </w:r>
      <w:r>
        <w:t xml:space="preserve"> a </w:t>
      </w:r>
      <w:r w:rsidR="00696569">
        <w:t>los usos específicos</w:t>
      </w:r>
      <w:r>
        <w:t xml:space="preserve"> de los recursos genéticos </w:t>
      </w:r>
      <w:r w:rsidR="00696569">
        <w:t>y/o los conocimientos tradicionales</w:t>
      </w:r>
      <w:r>
        <w:t xml:space="preserve"> asociados a recursos genéticos que requieren un enfoque </w:t>
      </w:r>
      <w:r w:rsidR="008253A9">
        <w:t>diferente</w:t>
      </w:r>
      <w:r w:rsidR="00696569">
        <w:t xml:space="preserve"> </w:t>
      </w:r>
      <w:r>
        <w:t>y</w:t>
      </w:r>
      <w:r w:rsidR="00696569">
        <w:t>,</w:t>
      </w:r>
      <w:r>
        <w:t xml:space="preserve"> por lo tanto</w:t>
      </w:r>
      <w:r w:rsidR="00696569">
        <w:t>,</w:t>
      </w:r>
      <w:r>
        <w:t xml:space="preserve"> especializado.</w:t>
      </w:r>
    </w:p>
    <w:p w:rsidR="00E91B29" w:rsidRDefault="00E91B29" w:rsidP="00F143E8">
      <w:pPr>
        <w:spacing w:before="120" w:after="120"/>
        <w:ind w:left="284" w:firstLine="436"/>
      </w:pPr>
      <w:bookmarkStart w:id="1" w:name="_GoBack"/>
      <w:r w:rsidRPr="00E710B7">
        <w:rPr>
          <w:rFonts w:eastAsia="Times New Roman" w:cs="Times New Roman"/>
          <w:iCs/>
          <w:kern w:val="22"/>
          <w:szCs w:val="22"/>
          <w:lang w:val="en-GB" w:eastAsia="en-GB"/>
        </w:rPr>
        <w:t>3.</w:t>
      </w:r>
      <w:bookmarkEnd w:id="1"/>
      <w:r>
        <w:tab/>
      </w:r>
      <w:r w:rsidR="008253A9">
        <w:rPr>
          <w:i/>
        </w:rPr>
        <w:t>Apoyo mutuo</w:t>
      </w:r>
      <w:r w:rsidR="00696569">
        <w:rPr>
          <w:i/>
        </w:rPr>
        <w:t xml:space="preserve"> </w:t>
      </w:r>
      <w:r>
        <w:t xml:space="preserve">- El instrumento </w:t>
      </w:r>
      <w:r w:rsidR="008253A9">
        <w:t xml:space="preserve">estaría en consonancia con </w:t>
      </w:r>
      <w:r w:rsidR="00696569">
        <w:t>los objetivos del Convenio sobre la Diversidad Biológica y el Protocolo de Nagoya</w:t>
      </w:r>
      <w:r>
        <w:t xml:space="preserve">, </w:t>
      </w:r>
      <w:r w:rsidR="00696569">
        <w:t xml:space="preserve">los respaldaría y no se opondría a los mismo, </w:t>
      </w:r>
      <w:r w:rsidR="008253A9">
        <w:t>en lo que tiene que ver con</w:t>
      </w:r>
      <w:r>
        <w:t>:</w:t>
      </w:r>
    </w:p>
    <w:p w:rsidR="00E91B29" w:rsidRDefault="00E91B29" w:rsidP="00E91B29">
      <w:pPr>
        <w:spacing w:before="120" w:after="120"/>
        <w:ind w:left="284" w:firstLine="437"/>
      </w:pPr>
      <w:r>
        <w:t xml:space="preserve">(a) </w:t>
      </w:r>
      <w:r>
        <w:tab/>
      </w:r>
      <w:r w:rsidR="008253A9">
        <w:t>La c</w:t>
      </w:r>
      <w:r w:rsidR="00696569">
        <w:t xml:space="preserve">oherencia </w:t>
      </w:r>
      <w:r>
        <w:t xml:space="preserve">con </w:t>
      </w:r>
      <w:r w:rsidR="008253A9">
        <w:t xml:space="preserve">los </w:t>
      </w:r>
      <w:r>
        <w:t xml:space="preserve">objetivos </w:t>
      </w:r>
      <w:r w:rsidR="00696569">
        <w:t>de conservación y utilización sostenible</w:t>
      </w:r>
      <w:r>
        <w:t xml:space="preserve"> </w:t>
      </w:r>
      <w:r w:rsidR="00696569">
        <w:t>de la diversidad biológica</w:t>
      </w:r>
      <w:r>
        <w:t>;</w:t>
      </w:r>
    </w:p>
    <w:p w:rsidR="00E91B29" w:rsidRDefault="00E91B29" w:rsidP="00E91B29">
      <w:pPr>
        <w:spacing w:before="120" w:after="120"/>
        <w:ind w:left="284" w:firstLine="437"/>
      </w:pPr>
      <w:r>
        <w:t xml:space="preserve">(b) </w:t>
      </w:r>
      <w:r>
        <w:tab/>
      </w:r>
      <w:r w:rsidR="008253A9">
        <w:t xml:space="preserve">La justicia </w:t>
      </w:r>
      <w:r>
        <w:t>y equidad en la participación en los beneficios;</w:t>
      </w:r>
    </w:p>
    <w:p w:rsidR="00E91B29" w:rsidRDefault="00E91B29" w:rsidP="00E91B29">
      <w:pPr>
        <w:spacing w:before="120" w:after="120"/>
        <w:ind w:left="284" w:firstLine="437"/>
      </w:pPr>
      <w:r>
        <w:t xml:space="preserve">(c) </w:t>
      </w:r>
      <w:r>
        <w:tab/>
      </w:r>
      <w:r w:rsidR="008253A9">
        <w:t>La s</w:t>
      </w:r>
      <w:r>
        <w:t xml:space="preserve">eguridad jurídica </w:t>
      </w:r>
      <w:r w:rsidR="008253A9">
        <w:t xml:space="preserve">con respecto </w:t>
      </w:r>
      <w:r>
        <w:t>al acceso a los recursos genéticos o los conocimientos tradicionales y a la participación en los beneficios;</w:t>
      </w:r>
    </w:p>
    <w:p w:rsidR="00E91B29" w:rsidRDefault="00E91B29" w:rsidP="00E91B29">
      <w:pPr>
        <w:spacing w:before="120" w:after="120"/>
        <w:ind w:left="284" w:firstLine="437"/>
      </w:pPr>
      <w:r>
        <w:t xml:space="preserve">(d) </w:t>
      </w:r>
      <w:r>
        <w:tab/>
      </w:r>
      <w:r w:rsidR="008253A9">
        <w:t>La c</w:t>
      </w:r>
      <w:r>
        <w:t xml:space="preserve">ontribución al desarrollo sostenible, </w:t>
      </w:r>
      <w:r w:rsidR="008253A9">
        <w:t xml:space="preserve">tal </w:t>
      </w:r>
      <w:r>
        <w:t xml:space="preserve">como se refleja en </w:t>
      </w:r>
      <w:r w:rsidR="00696569">
        <w:t xml:space="preserve">los </w:t>
      </w:r>
      <w:r>
        <w:t xml:space="preserve">objetivos </w:t>
      </w:r>
      <w:r w:rsidR="008253A9">
        <w:t xml:space="preserve">acordados </w:t>
      </w:r>
      <w:r w:rsidR="00696569">
        <w:t>internacionalmente</w:t>
      </w:r>
      <w:r>
        <w:t>;</w:t>
      </w:r>
    </w:p>
    <w:p w:rsidR="00E91B29" w:rsidRDefault="00E91B29" w:rsidP="00E91B29">
      <w:pPr>
        <w:spacing w:before="120" w:after="120"/>
        <w:ind w:left="284" w:firstLine="437"/>
      </w:pPr>
      <w:r>
        <w:t xml:space="preserve">(e) </w:t>
      </w:r>
      <w:r>
        <w:tab/>
        <w:t>Otros principios generales</w:t>
      </w:r>
      <w:r w:rsidR="00696569">
        <w:t xml:space="preserve"> de</w:t>
      </w:r>
      <w:r w:rsidR="008253A9">
        <w:t>l</w:t>
      </w:r>
      <w:r w:rsidR="00696569">
        <w:t xml:space="preserve"> derecho</w:t>
      </w:r>
      <w:r>
        <w:t xml:space="preserve">, incluyendo la buena fe, la eficacia y </w:t>
      </w:r>
      <w:r w:rsidR="008253A9">
        <w:t xml:space="preserve">confianza </w:t>
      </w:r>
      <w:r>
        <w:t xml:space="preserve">legítima. </w:t>
      </w:r>
    </w:p>
    <w:p w:rsidR="00E91B29" w:rsidRDefault="008253A9" w:rsidP="00E91B29">
      <w:pPr>
        <w:pStyle w:val="Para1"/>
        <w:numPr>
          <w:ilvl w:val="0"/>
          <w:numId w:val="4"/>
        </w:numPr>
        <w:tabs>
          <w:tab w:val="num" w:pos="709"/>
        </w:tabs>
        <w:spacing w:before="120"/>
        <w:ind w:left="0" w:firstLine="0"/>
      </w:pPr>
      <w:r>
        <w:t>E</w:t>
      </w:r>
      <w:r w:rsidR="00E91B29">
        <w:t xml:space="preserve">l estudio completo </w:t>
      </w:r>
      <w:r>
        <w:t xml:space="preserve">contiene </w:t>
      </w:r>
      <w:r w:rsidR="00E91B29">
        <w:t xml:space="preserve">información </w:t>
      </w:r>
      <w:r>
        <w:t xml:space="preserve">adicional </w:t>
      </w:r>
      <w:r w:rsidR="00696569">
        <w:t xml:space="preserve">sobre la manera en que </w:t>
      </w:r>
      <w:r w:rsidR="00E91B29">
        <w:t xml:space="preserve">estos criterios pueden </w:t>
      </w:r>
      <w:r w:rsidR="00696569">
        <w:t>entenderse y aplicarse</w:t>
      </w:r>
      <w:r w:rsidR="00E91B29">
        <w:t xml:space="preserve">. </w:t>
      </w:r>
      <w:proofErr w:type="gramStart"/>
      <w:r w:rsidR="00696569">
        <w:t>Asimismo</w:t>
      </w:r>
      <w:proofErr w:type="gramEnd"/>
      <w:r w:rsidR="00696569">
        <w:t xml:space="preserve"> </w:t>
      </w:r>
      <w:r w:rsidR="00E91B29">
        <w:t xml:space="preserve">identifica los siguientes </w:t>
      </w:r>
      <w:r w:rsidR="00696569">
        <w:t xml:space="preserve">escenario </w:t>
      </w:r>
      <w:r w:rsidR="00E91B29">
        <w:t xml:space="preserve">para el reconocimiento de los instrumentos </w:t>
      </w:r>
      <w:r w:rsidR="00696569">
        <w:t>especializados de acceso y participación</w:t>
      </w:r>
      <w:r w:rsidR="00E91B29">
        <w:t xml:space="preserve"> en los beneficios: (a) reconocimiento por </w:t>
      </w:r>
      <w:r w:rsidR="00EA5BBA">
        <w:t>la Conferencia de las Partes que Actúa como Reunión de las Partes en el Protocolo de Nagoya</w:t>
      </w:r>
      <w:r w:rsidR="00E91B29">
        <w:t xml:space="preserve">; (b) reconocimiento por otro foro internacional; o (c) iniciativa de una Parte o de un grupo de </w:t>
      </w:r>
      <w:r w:rsidR="00D43E1D">
        <w:t>Partes en el Protocolo</w:t>
      </w:r>
      <w:r w:rsidR="00E91B29">
        <w:t xml:space="preserve"> de Nagoya. </w:t>
      </w:r>
    </w:p>
    <w:p w:rsidR="00E91B29" w:rsidRPr="00E91B29" w:rsidRDefault="00E91B29" w:rsidP="00E91B29">
      <w:pPr>
        <w:pStyle w:val="Heading1longmultiline"/>
        <w:numPr>
          <w:ilvl w:val="0"/>
          <w:numId w:val="7"/>
        </w:numPr>
        <w:ind w:left="1843" w:right="146"/>
        <w:rPr>
          <w:lang w:val="es-MX"/>
        </w:rPr>
      </w:pPr>
      <w:r w:rsidRPr="00E91B29">
        <w:rPr>
          <w:lang w:val="es-MX"/>
        </w:rPr>
        <w:lastRenderedPageBreak/>
        <w:t xml:space="preserve">INFORMACIÓN SOBRE </w:t>
      </w:r>
      <w:r w:rsidR="000D5CB5">
        <w:rPr>
          <w:lang w:val="es-MX"/>
        </w:rPr>
        <w:t xml:space="preserve">LA MANERA EN QUE SE TRATAN </w:t>
      </w:r>
      <w:r w:rsidRPr="00E91B29">
        <w:rPr>
          <w:lang w:val="es-MX"/>
        </w:rPr>
        <w:t xml:space="preserve">LOS INSTRUMENTOS INTERNACIONALES ESPECIALIZADOS DE ACCESO Y PARTICIPACIÓN EN LOS BENEFICIOS EN </w:t>
      </w:r>
      <w:r w:rsidR="008253A9">
        <w:rPr>
          <w:lang w:val="es-MX"/>
        </w:rPr>
        <w:t xml:space="preserve">LAS MEDIDAS NACIONALES DE LAS </w:t>
      </w:r>
      <w:r w:rsidRPr="00E91B29">
        <w:rPr>
          <w:lang w:val="es-MX"/>
        </w:rPr>
        <w:t>PARTES Y OTR</w:t>
      </w:r>
      <w:r w:rsidR="008253A9">
        <w:rPr>
          <w:lang w:val="es-MX"/>
        </w:rPr>
        <w:t>OS GOBIERNOS</w:t>
      </w:r>
      <w:r w:rsidRPr="00E91B29">
        <w:rPr>
          <w:lang w:val="es-MX"/>
        </w:rPr>
        <w:t xml:space="preserve"> </w:t>
      </w:r>
    </w:p>
    <w:p w:rsidR="00E91B29" w:rsidRDefault="00E91B29" w:rsidP="00E91B29">
      <w:pPr>
        <w:pStyle w:val="Para1"/>
        <w:numPr>
          <w:ilvl w:val="0"/>
          <w:numId w:val="4"/>
        </w:numPr>
        <w:tabs>
          <w:tab w:val="num" w:pos="709"/>
        </w:tabs>
        <w:spacing w:before="120"/>
        <w:ind w:left="0" w:firstLine="0"/>
      </w:pPr>
      <w:r>
        <w:t xml:space="preserve">Esta sección resume la información proporcionada por las Partes y otros gobiernos y organismos en respuesta a la invitación </w:t>
      </w:r>
      <w:r w:rsidR="000D5CB5">
        <w:t xml:space="preserve">hecha </w:t>
      </w:r>
      <w:r>
        <w:t xml:space="preserve">en la decisión NP-3/14, párrafo 2 (a). </w:t>
      </w:r>
    </w:p>
    <w:p w:rsidR="00E91B29" w:rsidRDefault="00E91B29" w:rsidP="00CE77E0">
      <w:pPr>
        <w:pStyle w:val="Para1"/>
        <w:numPr>
          <w:ilvl w:val="0"/>
          <w:numId w:val="4"/>
        </w:numPr>
        <w:spacing w:before="120"/>
        <w:ind w:left="0" w:firstLine="0"/>
      </w:pPr>
      <w:r>
        <w:rPr>
          <w:i/>
          <w:iCs/>
        </w:rPr>
        <w:t xml:space="preserve">La </w:t>
      </w:r>
      <w:r w:rsidR="008B57C8">
        <w:rPr>
          <w:i/>
          <w:iCs/>
        </w:rPr>
        <w:t>Unión Europea</w:t>
      </w:r>
      <w:r>
        <w:rPr>
          <w:i/>
          <w:iCs/>
        </w:rPr>
        <w:t xml:space="preserve"> y sus Estados miembros </w:t>
      </w:r>
      <w:r w:rsidR="000D5CB5">
        <w:rPr>
          <w:iCs/>
        </w:rPr>
        <w:t xml:space="preserve">hicieron referencia </w:t>
      </w:r>
      <w:r w:rsidR="00E25181">
        <w:t>al Reglamento</w:t>
      </w:r>
      <w:r>
        <w:t xml:space="preserve"> (UE) </w:t>
      </w:r>
      <w:r w:rsidR="000D5CB5">
        <w:t>N</w:t>
      </w:r>
      <w:r w:rsidR="000D5CB5" w:rsidRPr="000D5CB5">
        <w:rPr>
          <w:vertAlign w:val="superscript"/>
        </w:rPr>
        <w:t>o</w:t>
      </w:r>
      <w:r w:rsidR="000D5CB5">
        <w:t xml:space="preserve"> </w:t>
      </w:r>
      <w:r>
        <w:t xml:space="preserve">511/2014 </w:t>
      </w:r>
      <w:r w:rsidR="000D5CB5">
        <w:t xml:space="preserve">sobre </w:t>
      </w:r>
      <w:r>
        <w:t xml:space="preserve">las </w:t>
      </w:r>
      <w:r w:rsidR="000D5CB5">
        <w:t>medidas de cumplimiento</w:t>
      </w:r>
      <w:r>
        <w:t xml:space="preserve"> para los usuarios</w:t>
      </w:r>
      <w:r w:rsidR="000D5CB5">
        <w:t xml:space="preserve"> </w:t>
      </w:r>
      <w:r w:rsidR="00176F5F">
        <w:t xml:space="preserve">del </w:t>
      </w:r>
      <w:r w:rsidR="00EA5BBA">
        <w:t>Protocolo</w:t>
      </w:r>
      <w:r>
        <w:t xml:space="preserve"> de Nagoya </w:t>
      </w:r>
      <w:r w:rsidR="000D5CB5">
        <w:t>sobre A</w:t>
      </w:r>
      <w:r>
        <w:t xml:space="preserve">cceso a los </w:t>
      </w:r>
      <w:r w:rsidR="000D5CB5">
        <w:t>R</w:t>
      </w:r>
      <w:r>
        <w:t xml:space="preserve">ecursos </w:t>
      </w:r>
      <w:r w:rsidR="000D5CB5">
        <w:t>G</w:t>
      </w:r>
      <w:r>
        <w:t xml:space="preserve">enéticos y </w:t>
      </w:r>
      <w:r w:rsidR="000D5CB5">
        <w:t>P</w:t>
      </w:r>
      <w:r>
        <w:t xml:space="preserve">articipación </w:t>
      </w:r>
      <w:r w:rsidR="000D5CB5">
        <w:t xml:space="preserve">Justa y Equitativa que se Deriven de su Utilización </w:t>
      </w:r>
      <w:r>
        <w:t xml:space="preserve">en la </w:t>
      </w:r>
      <w:r w:rsidR="000D5CB5">
        <w:t>U</w:t>
      </w:r>
      <w:r>
        <w:t xml:space="preserve">nión. Esta </w:t>
      </w:r>
      <w:r w:rsidR="006246E8">
        <w:t>Reglamento</w:t>
      </w:r>
      <w:r>
        <w:t xml:space="preserve"> reconoce dos instrumentos internacionales </w:t>
      </w:r>
      <w:r w:rsidR="000D5CB5">
        <w:t xml:space="preserve">especializados </w:t>
      </w:r>
      <w:r>
        <w:t>de acceso y participación en los beneficios: (a) el Tratado Internacional sobre los Recursos Fitogenéticos para la Alimentación y la Agricultura (</w:t>
      </w:r>
      <w:r w:rsidR="000D5CB5">
        <w:t>T</w:t>
      </w:r>
      <w:r>
        <w:t xml:space="preserve">ratado </w:t>
      </w:r>
      <w:r w:rsidR="000D5CB5">
        <w:t>I</w:t>
      </w:r>
      <w:r>
        <w:t>nternacional) (</w:t>
      </w:r>
      <w:r w:rsidR="000D5CB5">
        <w:t>P</w:t>
      </w:r>
      <w:r>
        <w:t xml:space="preserve">reámbulo 12); y (b) </w:t>
      </w:r>
      <w:r w:rsidR="00CE77E0" w:rsidRPr="00CE77E0">
        <w:t xml:space="preserve">Marco para el intercambio de virus gripales y el acceso a las vacunas y otros beneficios como parte de la </w:t>
      </w:r>
      <w:r w:rsidR="008253A9">
        <w:t>p</w:t>
      </w:r>
      <w:r w:rsidR="00CE77E0" w:rsidRPr="00CE77E0">
        <w:t xml:space="preserve">reparación para una </w:t>
      </w:r>
      <w:r w:rsidR="008253A9">
        <w:t>g</w:t>
      </w:r>
      <w:r w:rsidR="00CE77E0" w:rsidRPr="00CE77E0">
        <w:t xml:space="preserve">ripe </w:t>
      </w:r>
      <w:r w:rsidR="008253A9">
        <w:t>p</w:t>
      </w:r>
      <w:r w:rsidR="00CE77E0" w:rsidRPr="00CE77E0">
        <w:t xml:space="preserve">andémica </w:t>
      </w:r>
      <w:r>
        <w:t>(</w:t>
      </w:r>
      <w:r w:rsidR="00CE77E0">
        <w:t>M</w:t>
      </w:r>
      <w:r>
        <w:t>arco</w:t>
      </w:r>
      <w:r w:rsidR="00CE77E0">
        <w:t xml:space="preserve"> de PIP</w:t>
      </w:r>
      <w:r>
        <w:t>) (</w:t>
      </w:r>
      <w:r w:rsidR="00CE77E0">
        <w:t>P</w:t>
      </w:r>
      <w:r>
        <w:t xml:space="preserve">reámbulo 16). </w:t>
      </w:r>
    </w:p>
    <w:p w:rsidR="00E91B29" w:rsidRDefault="00E91B29" w:rsidP="00E91B29">
      <w:pPr>
        <w:pStyle w:val="Para1"/>
        <w:numPr>
          <w:ilvl w:val="0"/>
          <w:numId w:val="4"/>
        </w:numPr>
        <w:tabs>
          <w:tab w:val="num" w:pos="709"/>
        </w:tabs>
        <w:spacing w:before="120"/>
        <w:ind w:left="0" w:firstLine="0"/>
      </w:pPr>
      <w:r>
        <w:t xml:space="preserve">El </w:t>
      </w:r>
      <w:r w:rsidR="00EA5BBA">
        <w:t>Artículo</w:t>
      </w:r>
      <w:r>
        <w:t xml:space="preserve"> 2</w:t>
      </w:r>
      <w:r w:rsidR="00CE77E0">
        <w:t xml:space="preserve"> </w:t>
      </w:r>
      <w:r>
        <w:t xml:space="preserve">(2) del </w:t>
      </w:r>
      <w:r w:rsidR="006246E8">
        <w:t>Reglamento</w:t>
      </w:r>
      <w:r>
        <w:t xml:space="preserve"> </w:t>
      </w:r>
      <w:r w:rsidR="00CE77E0">
        <w:t xml:space="preserve">establece </w:t>
      </w:r>
      <w:r>
        <w:t xml:space="preserve">que </w:t>
      </w:r>
      <w:r w:rsidR="008253A9">
        <w:t>el</w:t>
      </w:r>
      <w:r>
        <w:t xml:space="preserve"> </w:t>
      </w:r>
      <w:r w:rsidR="006246E8">
        <w:t>Reglamento</w:t>
      </w:r>
      <w:r>
        <w:t xml:space="preserve"> no se aplica a los recursos genéticos cubiertos por los instrumentos </w:t>
      </w:r>
      <w:r w:rsidR="004D2DBF">
        <w:t>internacionales especializados de acceso y participación en los beneficios</w:t>
      </w:r>
      <w:r>
        <w:t xml:space="preserve"> que </w:t>
      </w:r>
      <w:r w:rsidR="00CE77E0">
        <w:t xml:space="preserve">están </w:t>
      </w:r>
      <w:r w:rsidR="000D1027">
        <w:t xml:space="preserve">en consonancia </w:t>
      </w:r>
      <w:r>
        <w:t>con</w:t>
      </w:r>
      <w:r w:rsidR="00CE77E0">
        <w:t xml:space="preserve"> los objetivos del Convenio y del Protocolo de Nagoya</w:t>
      </w:r>
      <w:r>
        <w:t xml:space="preserve">, y no </w:t>
      </w:r>
      <w:r w:rsidR="00CE77E0">
        <w:t>se oponen a los mismos</w:t>
      </w:r>
      <w:r>
        <w:t xml:space="preserve">. Por lo tanto, </w:t>
      </w:r>
      <w:r w:rsidR="000D1027">
        <w:t>el</w:t>
      </w:r>
      <w:r>
        <w:t xml:space="preserve"> </w:t>
      </w:r>
      <w:r w:rsidR="006246E8">
        <w:t>Reglamento</w:t>
      </w:r>
      <w:r>
        <w:t xml:space="preserve"> no se aplica a los recursos genéticos que caen bajo el </w:t>
      </w:r>
      <w:r w:rsidR="00CE77E0">
        <w:t>Tratado Internacional</w:t>
      </w:r>
      <w:r>
        <w:t xml:space="preserve"> y </w:t>
      </w:r>
      <w:r w:rsidR="000D1027">
        <w:t xml:space="preserve">el </w:t>
      </w:r>
      <w:r w:rsidR="00CE77E0">
        <w:t>Marco de PIP</w:t>
      </w:r>
      <w:r>
        <w:t xml:space="preserve">, excepto cuando </w:t>
      </w:r>
      <w:r w:rsidR="006246E8">
        <w:t xml:space="preserve">se accede a </w:t>
      </w:r>
      <w:r>
        <w:t xml:space="preserve">tales recursos en un país que no </w:t>
      </w:r>
      <w:r w:rsidR="006246E8">
        <w:t>es</w:t>
      </w:r>
      <w:r>
        <w:t xml:space="preserve"> Parte </w:t>
      </w:r>
      <w:r w:rsidR="006246E8">
        <w:t>en</w:t>
      </w:r>
      <w:r>
        <w:t xml:space="preserve"> esos instrumentos</w:t>
      </w:r>
      <w:r w:rsidR="000D1027">
        <w:t>,</w:t>
      </w:r>
      <w:r>
        <w:t xml:space="preserve"> pero </w:t>
      </w:r>
      <w:r w:rsidR="006246E8">
        <w:t xml:space="preserve">que es </w:t>
      </w:r>
      <w:r>
        <w:t xml:space="preserve">Parte </w:t>
      </w:r>
      <w:r w:rsidR="006246E8">
        <w:t>en e</w:t>
      </w:r>
      <w:r>
        <w:t xml:space="preserve">l </w:t>
      </w:r>
      <w:r w:rsidR="00EA5BBA">
        <w:t>Protocolo</w:t>
      </w:r>
      <w:r>
        <w:t xml:space="preserve"> de Nagoya</w:t>
      </w:r>
      <w:r w:rsidR="000D1027">
        <w:t>,</w:t>
      </w:r>
      <w:r>
        <w:t xml:space="preserve"> con legislación </w:t>
      </w:r>
      <w:r w:rsidR="006246E8">
        <w:t xml:space="preserve">promulgada de acceso aplicable </w:t>
      </w:r>
      <w:r>
        <w:t xml:space="preserve">a esos recursos genéticos. </w:t>
      </w:r>
      <w:r w:rsidR="006246E8">
        <w:t>El</w:t>
      </w:r>
      <w:r>
        <w:t xml:space="preserve"> </w:t>
      </w:r>
      <w:r w:rsidR="006246E8">
        <w:t>Reglamento</w:t>
      </w:r>
      <w:r>
        <w:t xml:space="preserve"> también se aplica donde los recursos genéticos cu</w:t>
      </w:r>
      <w:r w:rsidR="006246E8">
        <w:t xml:space="preserve">biertos </w:t>
      </w:r>
      <w:r>
        <w:t xml:space="preserve">bajo esos instrumentos se utilizan para </w:t>
      </w:r>
      <w:r w:rsidR="00F972F6">
        <w:t xml:space="preserve">otros fines que no sean </w:t>
      </w:r>
      <w:r>
        <w:t xml:space="preserve">los del instrumento especializado en </w:t>
      </w:r>
      <w:r w:rsidR="00F972F6">
        <w:t>cuestión</w:t>
      </w:r>
      <w:r>
        <w:t xml:space="preserve"> (es decir</w:t>
      </w:r>
      <w:r w:rsidR="004036B1">
        <w:t>,</w:t>
      </w:r>
      <w:r>
        <w:t xml:space="preserve"> </w:t>
      </w:r>
      <w:r w:rsidR="004036B1">
        <w:t xml:space="preserve">cuando </w:t>
      </w:r>
      <w:r>
        <w:t xml:space="preserve">un recurso agrícola cubierto por el </w:t>
      </w:r>
      <w:r w:rsidR="00CE77E0">
        <w:t>Tratado Internacional</w:t>
      </w:r>
      <w:r>
        <w:t xml:space="preserve"> se utiliza para </w:t>
      </w:r>
      <w:r w:rsidR="00F972F6">
        <w:t xml:space="preserve">fines </w:t>
      </w:r>
      <w:r>
        <w:t xml:space="preserve">farmacéuticos). </w:t>
      </w:r>
    </w:p>
    <w:p w:rsidR="00E91B29" w:rsidRDefault="00E91B29" w:rsidP="00E91B29">
      <w:pPr>
        <w:pStyle w:val="Para1"/>
        <w:numPr>
          <w:ilvl w:val="0"/>
          <w:numId w:val="4"/>
        </w:numPr>
        <w:tabs>
          <w:tab w:val="num" w:pos="709"/>
        </w:tabs>
        <w:spacing w:before="120"/>
        <w:ind w:left="0" w:firstLine="0"/>
      </w:pPr>
      <w:r>
        <w:rPr>
          <w:i/>
          <w:iCs/>
        </w:rPr>
        <w:t xml:space="preserve">España </w:t>
      </w:r>
      <w:r>
        <w:t xml:space="preserve">describió </w:t>
      </w:r>
      <w:r w:rsidR="00176F5F">
        <w:t xml:space="preserve">su </w:t>
      </w:r>
      <w:r>
        <w:t xml:space="preserve">legislación nacional </w:t>
      </w:r>
      <w:r w:rsidR="00F972F6">
        <w:t xml:space="preserve">relativa </w:t>
      </w:r>
      <w:r>
        <w:t xml:space="preserve">al </w:t>
      </w:r>
      <w:r w:rsidR="00CE77E0">
        <w:t>Tratado Internacional</w:t>
      </w:r>
      <w:r>
        <w:t xml:space="preserve">. España indicó que el acceso a los recursos genéticos de taxones salvajes, </w:t>
      </w:r>
      <w:r>
        <w:rPr>
          <w:i/>
          <w:iCs/>
        </w:rPr>
        <w:t xml:space="preserve">in situ </w:t>
      </w:r>
      <w:r>
        <w:t xml:space="preserve">y </w:t>
      </w:r>
      <w:r>
        <w:rPr>
          <w:i/>
          <w:iCs/>
        </w:rPr>
        <w:t>ex situ</w:t>
      </w:r>
      <w:r>
        <w:t>, para su utilización es</w:t>
      </w:r>
      <w:r w:rsidR="00F972F6">
        <w:t>tá</w:t>
      </w:r>
      <w:r>
        <w:t xml:space="preserve"> regulado por su </w:t>
      </w:r>
      <w:r w:rsidR="00F972F6">
        <w:t xml:space="preserve">reglamento </w:t>
      </w:r>
      <w:r>
        <w:t xml:space="preserve">124/2017, que entró en vigor el 15 de marzo de 2017. El acceso para plantar recursos genéticos para </w:t>
      </w:r>
      <w:r w:rsidR="00837EB2">
        <w:t>la alimentación</w:t>
      </w:r>
      <w:r>
        <w:t xml:space="preserve"> y la agricultura es</w:t>
      </w:r>
      <w:r w:rsidR="00F972F6">
        <w:t>tá</w:t>
      </w:r>
      <w:r>
        <w:t xml:space="preserve"> regulado por su ley 30/2006 sobre las semillas y las plantas </w:t>
      </w:r>
      <w:r w:rsidR="00F972F6">
        <w:t xml:space="preserve">provenientes </w:t>
      </w:r>
      <w:r>
        <w:t xml:space="preserve">de centros de </w:t>
      </w:r>
      <w:r w:rsidR="00F972F6">
        <w:t xml:space="preserve">jardinería </w:t>
      </w:r>
      <w:r>
        <w:t xml:space="preserve">y recursos </w:t>
      </w:r>
      <w:r w:rsidR="00F972F6">
        <w:t>fito</w:t>
      </w:r>
      <w:r>
        <w:t>genéticos. España indicó que est</w:t>
      </w:r>
      <w:r w:rsidR="00C80EEB">
        <w:t>aba</w:t>
      </w:r>
      <w:r>
        <w:t xml:space="preserve"> en las </w:t>
      </w:r>
      <w:r w:rsidR="00F972F6">
        <w:t xml:space="preserve">últimas </w:t>
      </w:r>
      <w:r>
        <w:t xml:space="preserve">etapas del desarrollo de una nueva legislación para regular el acceso a los recursos </w:t>
      </w:r>
      <w:r w:rsidR="00F972F6">
        <w:t>fitogenéticos</w:t>
      </w:r>
      <w:r>
        <w:t xml:space="preserve"> para </w:t>
      </w:r>
      <w:r w:rsidR="00837EB2">
        <w:t>la alimentación</w:t>
      </w:r>
      <w:r>
        <w:t xml:space="preserve"> y la agricultura, teniendo en cuenta las disposiciones del </w:t>
      </w:r>
      <w:r w:rsidR="00CE77E0">
        <w:t>Tratado Internacional</w:t>
      </w:r>
      <w:r>
        <w:t xml:space="preserve"> y del </w:t>
      </w:r>
      <w:r w:rsidR="00EA5BBA">
        <w:t>Protocolo</w:t>
      </w:r>
      <w:r>
        <w:t xml:space="preserve"> de Nagoya. Esta nueva legislación distingue entre los recursos accesibles a través del </w:t>
      </w:r>
      <w:r w:rsidR="004036B1">
        <w:t>Sistema Multilateral</w:t>
      </w:r>
      <w:r>
        <w:t xml:space="preserve"> del </w:t>
      </w:r>
      <w:r w:rsidR="00CE77E0">
        <w:t>Tratado Internacional</w:t>
      </w:r>
      <w:r>
        <w:t xml:space="preserve"> (incluido en el</w:t>
      </w:r>
      <w:r w:rsidR="00E25181">
        <w:t xml:space="preserve"> Anexo </w:t>
      </w:r>
      <w:r>
        <w:t xml:space="preserve">I de la legislación) y los recursos no incluidos en el </w:t>
      </w:r>
      <w:r w:rsidR="004036B1">
        <w:t>Sistema Multilateral</w:t>
      </w:r>
      <w:r>
        <w:t xml:space="preserve"> o cuyo acceso se realiza para </w:t>
      </w:r>
      <w:r w:rsidR="00F972F6">
        <w:t>un fin</w:t>
      </w:r>
      <w:r>
        <w:t xml:space="preserve"> diferente de </w:t>
      </w:r>
      <w:r w:rsidR="00F972F6">
        <w:t xml:space="preserve">los </w:t>
      </w:r>
      <w:r>
        <w:t xml:space="preserve">establecidos por el </w:t>
      </w:r>
      <w:r w:rsidR="004036B1">
        <w:t>Sistema Multilateral</w:t>
      </w:r>
      <w:r>
        <w:t xml:space="preserve">, que caería dentro del ámbito del </w:t>
      </w:r>
      <w:r w:rsidR="00EA5BBA">
        <w:t>Protocolo</w:t>
      </w:r>
      <w:r>
        <w:t xml:space="preserve"> de Nagoya</w:t>
      </w:r>
      <w:r w:rsidR="004036B1">
        <w:t>,</w:t>
      </w:r>
      <w:r>
        <w:t xml:space="preserve"> </w:t>
      </w:r>
      <w:r w:rsidR="00F972F6">
        <w:t xml:space="preserve">siempre y cuando </w:t>
      </w:r>
      <w:r>
        <w:t>el acceso se realice para su "utilización"</w:t>
      </w:r>
      <w:r w:rsidR="00F972F6">
        <w:t>, tal como se</w:t>
      </w:r>
      <w:r>
        <w:t xml:space="preserve"> defin</w:t>
      </w:r>
      <w:r w:rsidR="00F972F6">
        <w:t>e</w:t>
      </w:r>
      <w:r>
        <w:t xml:space="preserve"> </w:t>
      </w:r>
      <w:r w:rsidR="00F972F6">
        <w:t xml:space="preserve">en </w:t>
      </w:r>
      <w:r>
        <w:t xml:space="preserve">el </w:t>
      </w:r>
      <w:r w:rsidR="00EA5BBA">
        <w:t>Protocolo</w:t>
      </w:r>
      <w:r>
        <w:t>. Finalmente, los recursos no cub</w:t>
      </w:r>
      <w:r w:rsidR="00F972F6">
        <w:t xml:space="preserve">iertos </w:t>
      </w:r>
      <w:r>
        <w:t xml:space="preserve">por el </w:t>
      </w:r>
      <w:r w:rsidR="00CE77E0">
        <w:t>Tratado Internacional</w:t>
      </w:r>
      <w:r>
        <w:t xml:space="preserve"> ni por el </w:t>
      </w:r>
      <w:r w:rsidR="00EA5BBA">
        <w:t>Protocolo</w:t>
      </w:r>
      <w:r>
        <w:t xml:space="preserve"> de Nagoya</w:t>
      </w:r>
      <w:r w:rsidR="00F972F6">
        <w:t xml:space="preserve"> seguirían quedando </w:t>
      </w:r>
      <w:r w:rsidR="004036B1">
        <w:t xml:space="preserve">en el ámbito </w:t>
      </w:r>
      <w:r>
        <w:t xml:space="preserve">de la ley 30/2006. </w:t>
      </w:r>
    </w:p>
    <w:p w:rsidR="00E91B29" w:rsidRDefault="00E91B29" w:rsidP="00E91B29">
      <w:pPr>
        <w:pStyle w:val="Para1"/>
        <w:numPr>
          <w:ilvl w:val="0"/>
          <w:numId w:val="4"/>
        </w:numPr>
        <w:tabs>
          <w:tab w:val="num" w:pos="709"/>
        </w:tabs>
        <w:spacing w:before="120"/>
        <w:ind w:left="0" w:firstLine="0"/>
      </w:pPr>
      <w:r>
        <w:rPr>
          <w:i/>
          <w:iCs/>
        </w:rPr>
        <w:t xml:space="preserve">Suecia </w:t>
      </w:r>
      <w:r>
        <w:t xml:space="preserve">indicó que, conforme </w:t>
      </w:r>
      <w:r w:rsidR="00E25181">
        <w:t>al Reglamento</w:t>
      </w:r>
      <w:r>
        <w:t xml:space="preserve"> suec</w:t>
      </w:r>
      <w:r w:rsidR="00E25181">
        <w:t>o</w:t>
      </w:r>
      <w:r>
        <w:t xml:space="preserve"> (2011:474) </w:t>
      </w:r>
      <w:r w:rsidR="00E25181">
        <w:t xml:space="preserve">sobre </w:t>
      </w:r>
      <w:r>
        <w:t xml:space="preserve">el acceso simplificado a los recursos </w:t>
      </w:r>
      <w:r w:rsidR="00F972F6">
        <w:t>fitogenéticos</w:t>
      </w:r>
      <w:r>
        <w:t xml:space="preserve">, una autoridad gubernamental que </w:t>
      </w:r>
      <w:r w:rsidR="00E25181">
        <w:t xml:space="preserve">retiene </w:t>
      </w:r>
      <w:r w:rsidR="004036B1">
        <w:t xml:space="preserve">dichos </w:t>
      </w:r>
      <w:r>
        <w:t>recursos</w:t>
      </w:r>
      <w:r w:rsidR="00C80EEB">
        <w:t xml:space="preserve"> como los</w:t>
      </w:r>
      <w:r>
        <w:t xml:space="preserve"> mencionado</w:t>
      </w:r>
      <w:r w:rsidR="00E25181">
        <w:t>s</w:t>
      </w:r>
      <w:r>
        <w:t xml:space="preserve"> en el</w:t>
      </w:r>
      <w:r w:rsidR="00E25181">
        <w:t xml:space="preserve"> Anexo </w:t>
      </w:r>
      <w:r>
        <w:t xml:space="preserve">I del </w:t>
      </w:r>
      <w:r w:rsidR="00CE77E0">
        <w:t>Tratado Internacional</w:t>
      </w:r>
      <w:r>
        <w:t xml:space="preserve"> puede concluir</w:t>
      </w:r>
      <w:r w:rsidR="00E25181">
        <w:t xml:space="preserve"> un</w:t>
      </w:r>
      <w:r>
        <w:t xml:space="preserve"> acuerdo con una persona </w:t>
      </w:r>
      <w:r w:rsidR="00E25181">
        <w:t xml:space="preserve">física </w:t>
      </w:r>
      <w:r>
        <w:t xml:space="preserve">o </w:t>
      </w:r>
      <w:r w:rsidR="00E25181">
        <w:t xml:space="preserve">jurídica sobre </w:t>
      </w:r>
      <w:r>
        <w:t xml:space="preserve">acceso simplificado a los recursos </w:t>
      </w:r>
      <w:r w:rsidR="00E25181">
        <w:t xml:space="preserve">conforme al </w:t>
      </w:r>
      <w:r w:rsidR="00EA5BBA">
        <w:t>Artículo</w:t>
      </w:r>
      <w:r>
        <w:t xml:space="preserve"> 12 (4) del </w:t>
      </w:r>
      <w:r w:rsidR="00E25181">
        <w:t>T</w:t>
      </w:r>
      <w:r>
        <w:t xml:space="preserve">ratado. </w:t>
      </w:r>
    </w:p>
    <w:p w:rsidR="00E91B29" w:rsidRDefault="00E91B29" w:rsidP="004B2574">
      <w:pPr>
        <w:pStyle w:val="Para1"/>
        <w:numPr>
          <w:ilvl w:val="0"/>
          <w:numId w:val="4"/>
        </w:numPr>
        <w:tabs>
          <w:tab w:val="num" w:pos="709"/>
        </w:tabs>
        <w:spacing w:before="120"/>
        <w:ind w:left="0" w:firstLine="0"/>
      </w:pPr>
      <w:r w:rsidRPr="00105310">
        <w:rPr>
          <w:i/>
          <w:iCs/>
        </w:rPr>
        <w:t xml:space="preserve">Japón </w:t>
      </w:r>
      <w:r>
        <w:t xml:space="preserve">observó que el </w:t>
      </w:r>
      <w:r w:rsidR="00CE77E0">
        <w:t>Tratado Internacional</w:t>
      </w:r>
      <w:r>
        <w:t xml:space="preserve"> y el </w:t>
      </w:r>
      <w:r w:rsidR="00CE77E0">
        <w:t>Marco de PIP</w:t>
      </w:r>
      <w:r>
        <w:t xml:space="preserve"> </w:t>
      </w:r>
      <w:r w:rsidR="00E25181">
        <w:t xml:space="preserve">se consideran </w:t>
      </w:r>
      <w:r>
        <w:t xml:space="preserve">instrumentos </w:t>
      </w:r>
      <w:r w:rsidR="004D2DBF">
        <w:t>internacionales especializados de acceso y participación en los beneficios</w:t>
      </w:r>
      <w:r>
        <w:t xml:space="preserve">. Por lo tanto, el </w:t>
      </w:r>
      <w:r w:rsidR="00EA5BBA">
        <w:t>Protocolo</w:t>
      </w:r>
      <w:r>
        <w:t xml:space="preserve"> de Nagoya no </w:t>
      </w:r>
      <w:r w:rsidRPr="00A31BDC">
        <w:t xml:space="preserve">se </w:t>
      </w:r>
      <w:r w:rsidR="00E25181" w:rsidRPr="00A31BDC">
        <w:t>aplica</w:t>
      </w:r>
      <w:r w:rsidRPr="00A31BDC">
        <w:t xml:space="preserve"> </w:t>
      </w:r>
      <w:r w:rsidR="00E25181">
        <w:t xml:space="preserve">para la </w:t>
      </w:r>
      <w:r w:rsidR="00A31BDC">
        <w:t xml:space="preserve">puesta en práctica </w:t>
      </w:r>
      <w:r>
        <w:t xml:space="preserve">del </w:t>
      </w:r>
      <w:r w:rsidR="00E25181">
        <w:t>M</w:t>
      </w:r>
      <w:r>
        <w:t xml:space="preserve">arco o la utilización de los recursos </w:t>
      </w:r>
      <w:r w:rsidR="00F972F6">
        <w:t>fitogenéticos</w:t>
      </w:r>
      <w:r>
        <w:t xml:space="preserve"> de las especies de cultivo </w:t>
      </w:r>
      <w:r w:rsidR="00E25181">
        <w:t>enumerad</w:t>
      </w:r>
      <w:r w:rsidR="00A31BDC">
        <w:t>a</w:t>
      </w:r>
      <w:r w:rsidR="00E25181">
        <w:t xml:space="preserve">s </w:t>
      </w:r>
      <w:r>
        <w:t>en el</w:t>
      </w:r>
      <w:r w:rsidR="00E25181">
        <w:t xml:space="preserve"> Anexo </w:t>
      </w:r>
      <w:r>
        <w:t xml:space="preserve">I del </w:t>
      </w:r>
      <w:r w:rsidR="00CE77E0">
        <w:t>Tratado Internacional</w:t>
      </w:r>
      <w:r>
        <w:t xml:space="preserve"> y </w:t>
      </w:r>
      <w:r w:rsidR="00E25181">
        <w:t>e</w:t>
      </w:r>
      <w:r>
        <w:t xml:space="preserve">species similares, </w:t>
      </w:r>
      <w:r w:rsidR="00E25181">
        <w:t xml:space="preserve">siempre y cuando </w:t>
      </w:r>
      <w:r>
        <w:t xml:space="preserve">esta utilización </w:t>
      </w:r>
      <w:r w:rsidR="00A31BDC">
        <w:t xml:space="preserve">esté en consonancia </w:t>
      </w:r>
      <w:r>
        <w:t>con</w:t>
      </w:r>
      <w:r w:rsidR="00E25181">
        <w:t xml:space="preserve"> los objetivos del Convenio sobre la Diversidad Biológica y del Protocolo de Nagoya</w:t>
      </w:r>
      <w:r>
        <w:t xml:space="preserve"> y no </w:t>
      </w:r>
      <w:r w:rsidR="00001A60">
        <w:t>se oponga a los mismos</w:t>
      </w:r>
      <w:r>
        <w:t xml:space="preserve">. </w:t>
      </w:r>
      <w:r w:rsidR="00E25181">
        <w:t xml:space="preserve">Además, </w:t>
      </w:r>
      <w:r>
        <w:t>Japón observó que la 72</w:t>
      </w:r>
      <w:r w:rsidR="00E25181">
        <w:t>ª Asamblea Mundial de la Salud</w:t>
      </w:r>
      <w:r w:rsidR="00001A60">
        <w:t>,</w:t>
      </w:r>
      <w:r>
        <w:t xml:space="preserve"> celebrada en mayo de 2019</w:t>
      </w:r>
      <w:r w:rsidR="00001A60">
        <w:t>,</w:t>
      </w:r>
      <w:r>
        <w:t xml:space="preserve"> adoptó la resolución </w:t>
      </w:r>
      <w:r w:rsidR="00E25181">
        <w:t xml:space="preserve">WHA </w:t>
      </w:r>
      <w:r>
        <w:t>72</w:t>
      </w:r>
      <w:r w:rsidR="00E25181">
        <w:t xml:space="preserve"> </w:t>
      </w:r>
      <w:r>
        <w:t xml:space="preserve">(13) </w:t>
      </w:r>
      <w:r w:rsidR="00001A60">
        <w:t xml:space="preserve">sobre </w:t>
      </w:r>
      <w:r>
        <w:t xml:space="preserve">"la implicación de la salud pública </w:t>
      </w:r>
      <w:r w:rsidR="00EA017B">
        <w:t>en</w:t>
      </w:r>
      <w:r>
        <w:t xml:space="preserve"> la aplicación del </w:t>
      </w:r>
      <w:r w:rsidR="00EA5BBA">
        <w:t>Protocolo</w:t>
      </w:r>
      <w:r w:rsidR="00EA017B">
        <w:t xml:space="preserve"> de Nagoya", que debería tenerse </w:t>
      </w:r>
      <w:r>
        <w:t>en cuenta</w:t>
      </w:r>
      <w:r w:rsidR="00EA017B">
        <w:t xml:space="preserve">, dado que </w:t>
      </w:r>
      <w:r>
        <w:t xml:space="preserve">el impacto del </w:t>
      </w:r>
      <w:r w:rsidR="00EA5BBA">
        <w:t>Protocolo</w:t>
      </w:r>
      <w:r>
        <w:t xml:space="preserve"> en </w:t>
      </w:r>
      <w:r w:rsidR="00EA017B">
        <w:t xml:space="preserve">la </w:t>
      </w:r>
      <w:r>
        <w:t xml:space="preserve">salud pública es </w:t>
      </w:r>
      <w:r w:rsidR="00EA017B">
        <w:t>importante</w:t>
      </w:r>
      <w:r>
        <w:t xml:space="preserve">. </w:t>
      </w:r>
    </w:p>
    <w:p w:rsidR="00E91B29" w:rsidRDefault="00E91B29" w:rsidP="00E91B29">
      <w:pPr>
        <w:pStyle w:val="Para1"/>
        <w:numPr>
          <w:ilvl w:val="0"/>
          <w:numId w:val="4"/>
        </w:numPr>
        <w:tabs>
          <w:tab w:val="num" w:pos="709"/>
        </w:tabs>
        <w:spacing w:before="120"/>
        <w:ind w:left="0" w:firstLine="0"/>
      </w:pPr>
      <w:r>
        <w:rPr>
          <w:i/>
          <w:iCs/>
        </w:rPr>
        <w:lastRenderedPageBreak/>
        <w:t xml:space="preserve">Noruega </w:t>
      </w:r>
      <w:r w:rsidR="00EA017B" w:rsidRPr="00EA017B">
        <w:rPr>
          <w:iCs/>
        </w:rPr>
        <w:t>hizo referencia</w:t>
      </w:r>
      <w:r w:rsidR="00EA017B">
        <w:rPr>
          <w:i/>
          <w:iCs/>
        </w:rPr>
        <w:t xml:space="preserve"> </w:t>
      </w:r>
      <w:r>
        <w:t>a</w:t>
      </w:r>
      <w:r w:rsidR="00EA017B">
        <w:t xml:space="preserve"> la Ley sobre</w:t>
      </w:r>
      <w:r w:rsidR="00001A60">
        <w:t xml:space="preserve"> la</w:t>
      </w:r>
      <w:r w:rsidR="00EA017B">
        <w:t xml:space="preserve"> Diversidad de la Naturaleza</w:t>
      </w:r>
      <w:r>
        <w:t xml:space="preserve">, </w:t>
      </w:r>
      <w:r w:rsidR="00EA017B">
        <w:t xml:space="preserve">artículo </w:t>
      </w:r>
      <w:r>
        <w:t xml:space="preserve">58, bajo </w:t>
      </w:r>
      <w:r w:rsidR="00EA017B">
        <w:t xml:space="preserve">el </w:t>
      </w:r>
      <w:r>
        <w:t xml:space="preserve">cual el </w:t>
      </w:r>
      <w:r w:rsidR="00EA017B">
        <w:t>R</w:t>
      </w:r>
      <w:r>
        <w:t xml:space="preserve">ey tiene autoridad para determinar que la </w:t>
      </w:r>
      <w:r w:rsidR="00EA017B">
        <w:t>re</w:t>
      </w:r>
      <w:r>
        <w:t xml:space="preserve">colección de material genético </w:t>
      </w:r>
      <w:r w:rsidR="00EA017B">
        <w:t xml:space="preserve">obtenido </w:t>
      </w:r>
      <w:r>
        <w:t xml:space="preserve">del medio ambiente natural requiere un permiso del </w:t>
      </w:r>
      <w:r w:rsidR="00EA017B">
        <w:t>M</w:t>
      </w:r>
      <w:r>
        <w:t xml:space="preserve">inisterio. </w:t>
      </w:r>
      <w:r w:rsidR="00001A60">
        <w:t xml:space="preserve">La remoción </w:t>
      </w:r>
      <w:r>
        <w:t>de</w:t>
      </w:r>
      <w:r w:rsidR="00EA017B">
        <w:t xml:space="preserve"> las</w:t>
      </w:r>
      <w:r>
        <w:t xml:space="preserve"> </w:t>
      </w:r>
      <w:r w:rsidR="00EA017B">
        <w:t>re</w:t>
      </w:r>
      <w:r>
        <w:t xml:space="preserve">colecciones y </w:t>
      </w:r>
      <w:r w:rsidR="00EA017B">
        <w:t xml:space="preserve">la </w:t>
      </w:r>
      <w:r w:rsidR="00A97EDF">
        <w:t>re</w:t>
      </w:r>
      <w:r>
        <w:t>colección pública para uso y</w:t>
      </w:r>
      <w:r w:rsidR="00A97EDF">
        <w:t xml:space="preserve"> posterior</w:t>
      </w:r>
      <w:r>
        <w:t xml:space="preserve"> cría y cultivo en agricultura y silvicultura </w:t>
      </w:r>
      <w:r w:rsidR="00DF3983">
        <w:t xml:space="preserve">quedan exceptuados de este </w:t>
      </w:r>
      <w:r>
        <w:t xml:space="preserve">requisito de </w:t>
      </w:r>
      <w:r w:rsidR="00DF3983">
        <w:t xml:space="preserve">tener </w:t>
      </w:r>
      <w:r>
        <w:t xml:space="preserve">un permiso. Noruega indicó que </w:t>
      </w:r>
      <w:r w:rsidR="00D43E1D">
        <w:t>la aplicación</w:t>
      </w:r>
      <w:r>
        <w:t xml:space="preserve"> del </w:t>
      </w:r>
      <w:r w:rsidR="00CE77E0">
        <w:t>Tratado Internacional</w:t>
      </w:r>
      <w:r>
        <w:t xml:space="preserve"> </w:t>
      </w:r>
      <w:r w:rsidR="00D43E1D">
        <w:t xml:space="preserve">está respaldada </w:t>
      </w:r>
      <w:r>
        <w:t xml:space="preserve">por varias reglamentaciones y políticas específicas, incluyendo </w:t>
      </w:r>
      <w:r w:rsidR="00D43E1D">
        <w:t xml:space="preserve">los artículos </w:t>
      </w:r>
      <w:r>
        <w:t xml:space="preserve">60 y 61 </w:t>
      </w:r>
      <w:r w:rsidR="00D43E1D">
        <w:t>de la Ley sobre Diversidad de la Naturaleza</w:t>
      </w:r>
      <w:r>
        <w:t>. Noruega indic</w:t>
      </w:r>
      <w:r w:rsidR="00001A60">
        <w:t>ó</w:t>
      </w:r>
      <w:r>
        <w:t xml:space="preserve"> </w:t>
      </w:r>
      <w:r w:rsidR="00D43E1D">
        <w:t xml:space="preserve">la </w:t>
      </w:r>
      <w:r w:rsidR="00001A60">
        <w:t xml:space="preserve">estrecha </w:t>
      </w:r>
      <w:r w:rsidR="00D43E1D">
        <w:t xml:space="preserve">colaboración </w:t>
      </w:r>
      <w:r>
        <w:t>entre los países nórdicos con respecto a la gestión de recursos genéticos</w:t>
      </w:r>
      <w:r w:rsidR="00D43E1D">
        <w:t>,</w:t>
      </w:r>
      <w:r>
        <w:t xml:space="preserve"> incluyendo un </w:t>
      </w:r>
      <w:r w:rsidR="00D43E1D">
        <w:t>banco</w:t>
      </w:r>
      <w:r w:rsidR="00001A60">
        <w:t xml:space="preserve"> compartido</w:t>
      </w:r>
      <w:r w:rsidR="00D43E1D">
        <w:t xml:space="preserve"> de genes</w:t>
      </w:r>
      <w:r>
        <w:t xml:space="preserve"> nórdico (</w:t>
      </w:r>
      <w:proofErr w:type="spellStart"/>
      <w:r>
        <w:t>NordGen</w:t>
      </w:r>
      <w:proofErr w:type="spellEnd"/>
      <w:r>
        <w:t xml:space="preserve">). Los principios </w:t>
      </w:r>
      <w:r w:rsidR="00D43E1D">
        <w:t xml:space="preserve">básicos </w:t>
      </w:r>
      <w:r>
        <w:t xml:space="preserve">para el enfoque nórdico al acceso y participación en los beneficios se reflejan en la declaración de Kalmar de 2003 y el banco genético </w:t>
      </w:r>
      <w:proofErr w:type="spellStart"/>
      <w:r>
        <w:t>NordGen</w:t>
      </w:r>
      <w:proofErr w:type="spellEnd"/>
      <w:r>
        <w:t xml:space="preserve"> utiliza el </w:t>
      </w:r>
      <w:r w:rsidR="00D43E1D">
        <w:t xml:space="preserve">Acuerdo normalizado </w:t>
      </w:r>
      <w:r>
        <w:t xml:space="preserve">de transferencia de materiales establecido </w:t>
      </w:r>
      <w:r w:rsidR="00D43E1D">
        <w:t xml:space="preserve">conforme al </w:t>
      </w:r>
      <w:r w:rsidR="00CE77E0">
        <w:t>Tratado Internacional</w:t>
      </w:r>
      <w:r>
        <w:t xml:space="preserve"> para todo el material cubierto por este </w:t>
      </w:r>
      <w:r w:rsidR="00D43E1D">
        <w:t>T</w:t>
      </w:r>
      <w:r>
        <w:t xml:space="preserve">ratado y </w:t>
      </w:r>
      <w:r w:rsidR="00F47856">
        <w:t xml:space="preserve">para </w:t>
      </w:r>
      <w:r>
        <w:t>facilitar el acceso a otro</w:t>
      </w:r>
      <w:r w:rsidR="00D43E1D">
        <w:t>s</w:t>
      </w:r>
      <w:r>
        <w:t xml:space="preserve"> material</w:t>
      </w:r>
      <w:r w:rsidR="00D43E1D">
        <w:t>es</w:t>
      </w:r>
      <w:r>
        <w:t xml:space="preserve"> y para otros fines </w:t>
      </w:r>
      <w:r w:rsidR="00D43E1D">
        <w:t xml:space="preserve">en </w:t>
      </w:r>
      <w:r>
        <w:t xml:space="preserve">condiciones similares. </w:t>
      </w:r>
    </w:p>
    <w:p w:rsidR="00E91B29" w:rsidRDefault="00E91B29" w:rsidP="00E91B29">
      <w:pPr>
        <w:pStyle w:val="Para1"/>
        <w:numPr>
          <w:ilvl w:val="0"/>
          <w:numId w:val="4"/>
        </w:numPr>
        <w:tabs>
          <w:tab w:val="num" w:pos="709"/>
        </w:tabs>
        <w:spacing w:before="120"/>
        <w:ind w:left="0" w:firstLine="0"/>
        <w:rPr>
          <w:bCs/>
        </w:rPr>
      </w:pPr>
      <w:r>
        <w:rPr>
          <w:i/>
          <w:iCs/>
        </w:rPr>
        <w:t xml:space="preserve">Suiza </w:t>
      </w:r>
      <w:r>
        <w:t>indicó que las medidas nacionales obligan a</w:t>
      </w:r>
      <w:r w:rsidR="00F47856">
        <w:t xml:space="preserve"> los</w:t>
      </w:r>
      <w:r>
        <w:t xml:space="preserve"> usuarios a ejercitar diligencia debida </w:t>
      </w:r>
      <w:r w:rsidR="00D43E1D">
        <w:t xml:space="preserve">cuando </w:t>
      </w:r>
      <w:r>
        <w:t xml:space="preserve">usa los recursos genéticos de otras </w:t>
      </w:r>
      <w:r w:rsidR="00D43E1D">
        <w:t>Partes en el Protocolo</w:t>
      </w:r>
      <w:r>
        <w:t xml:space="preserve"> de Nagoya, a condición de que</w:t>
      </w:r>
      <w:r w:rsidR="00D43E1D">
        <w:t xml:space="preserve"> se hubiera tenido acceso a</w:t>
      </w:r>
      <w:r>
        <w:t xml:space="preserve"> estos recursos después de la entrada en vigor del </w:t>
      </w:r>
      <w:r w:rsidR="00EA5BBA">
        <w:t>Protocolo</w:t>
      </w:r>
      <w:r>
        <w:t xml:space="preserve"> de Nagoya y que estas Partes t</w:t>
      </w:r>
      <w:r w:rsidR="00D43E1D">
        <w:t xml:space="preserve">engan </w:t>
      </w:r>
      <w:r>
        <w:t xml:space="preserve">reglamentaciones </w:t>
      </w:r>
      <w:r w:rsidR="00D43E1D">
        <w:t xml:space="preserve">sobre </w:t>
      </w:r>
      <w:r>
        <w:t xml:space="preserve">el acceso. </w:t>
      </w:r>
      <w:r w:rsidR="00F47856">
        <w:t>No obstante</w:t>
      </w:r>
      <w:r>
        <w:t xml:space="preserve">, conforme al </w:t>
      </w:r>
      <w:r w:rsidR="00EA5BBA">
        <w:t>Artículo</w:t>
      </w:r>
      <w:r>
        <w:t xml:space="preserve"> </w:t>
      </w:r>
      <w:r w:rsidR="00EA5BBA">
        <w:t>4, párrafo 4</w:t>
      </w:r>
      <w:r>
        <w:t xml:space="preserve"> del </w:t>
      </w:r>
      <w:r w:rsidR="00D43E1D">
        <w:t>Protocolo,</w:t>
      </w:r>
      <w:r w:rsidR="00D43E1D" w:rsidRPr="00C80EEB">
        <w:t xml:space="preserve"> Artículo 23</w:t>
      </w:r>
      <w:r w:rsidR="00C80EEB" w:rsidRPr="00C80EEB">
        <w:t>n</w:t>
      </w:r>
      <w:r w:rsidR="00D43E1D" w:rsidRPr="00C80EEB">
        <w:t xml:space="preserve"> </w:t>
      </w:r>
      <w:r w:rsidRPr="00C80EEB">
        <w:t>párrafo 2</w:t>
      </w:r>
      <w:r w:rsidR="00D43E1D" w:rsidRPr="00C80EEB">
        <w:t xml:space="preserve"> </w:t>
      </w:r>
      <w:r w:rsidRPr="00C80EEB">
        <w:t>d</w:t>
      </w:r>
      <w:r w:rsidR="00D43E1D" w:rsidRPr="00C80EEB">
        <w:t xml:space="preserve"> </w:t>
      </w:r>
      <w:r>
        <w:t>de</w:t>
      </w:r>
      <w:r w:rsidR="00D43E1D">
        <w:t xml:space="preserve"> </w:t>
      </w:r>
      <w:r>
        <w:t>l</w:t>
      </w:r>
      <w:r w:rsidR="00D43E1D">
        <w:t>a</w:t>
      </w:r>
      <w:r>
        <w:t xml:space="preserve"> </w:t>
      </w:r>
      <w:r w:rsidR="00D43E1D">
        <w:t>Ley F</w:t>
      </w:r>
      <w:r>
        <w:t xml:space="preserve">ederal </w:t>
      </w:r>
      <w:r w:rsidR="00D43E1D">
        <w:t xml:space="preserve">sobre </w:t>
      </w:r>
      <w:r>
        <w:t xml:space="preserve">la </w:t>
      </w:r>
      <w:r w:rsidR="00D43E1D">
        <w:t>P</w:t>
      </w:r>
      <w:r>
        <w:t xml:space="preserve">rotección de la </w:t>
      </w:r>
      <w:r w:rsidR="00D43E1D">
        <w:t>N</w:t>
      </w:r>
      <w:r>
        <w:t xml:space="preserve">aturaleza y el </w:t>
      </w:r>
      <w:r w:rsidR="00D43E1D">
        <w:t>P</w:t>
      </w:r>
      <w:r>
        <w:t xml:space="preserve">atrimonio </w:t>
      </w:r>
      <w:r w:rsidR="00D43E1D">
        <w:t>C</w:t>
      </w:r>
      <w:r>
        <w:t>ultural (NCHA</w:t>
      </w:r>
      <w:r w:rsidR="00D43E1D">
        <w:t>, por su sigla en inglés</w:t>
      </w:r>
      <w:r>
        <w:t xml:space="preserve">) </w:t>
      </w:r>
      <w:r w:rsidR="00D43E1D">
        <w:t xml:space="preserve">establece </w:t>
      </w:r>
      <w:r>
        <w:t xml:space="preserve">que los recursos genéticos no </w:t>
      </w:r>
      <w:r w:rsidR="00790A77">
        <w:t xml:space="preserve">están sujetos </w:t>
      </w:r>
      <w:r>
        <w:t>al requisito de diligencia debida</w:t>
      </w:r>
      <w:r w:rsidR="00F47856">
        <w:t>,</w:t>
      </w:r>
      <w:r>
        <w:t xml:space="preserve"> si </w:t>
      </w:r>
      <w:r w:rsidR="00790A77">
        <w:t>está</w:t>
      </w:r>
      <w:r w:rsidR="00F47856">
        <w:t>n</w:t>
      </w:r>
      <w:r w:rsidR="00790A77">
        <w:t xml:space="preserve"> </w:t>
      </w:r>
      <w:r>
        <w:t xml:space="preserve">cubiertos para un uso específico por un </w:t>
      </w:r>
      <w:r w:rsidR="00EA5BBA">
        <w:t>instrumento internacional especializado de acceso y participación en los beneficios</w:t>
      </w:r>
      <w:r w:rsidR="00790A77">
        <w:t>,</w:t>
      </w:r>
      <w:r>
        <w:t xml:space="preserve"> bajo</w:t>
      </w:r>
      <w:r w:rsidR="00790A77">
        <w:t xml:space="preserve"> el</w:t>
      </w:r>
      <w:r>
        <w:t xml:space="preserve"> </w:t>
      </w:r>
      <w:r w:rsidR="00EA5BBA">
        <w:t>Artículo</w:t>
      </w:r>
      <w:r>
        <w:t xml:space="preserve"> 4 del </w:t>
      </w:r>
      <w:r w:rsidR="00EA5BBA">
        <w:t>Protocolo</w:t>
      </w:r>
      <w:r>
        <w:t xml:space="preserve"> de Nagoya. Suiza reconoce el </w:t>
      </w:r>
      <w:r w:rsidR="004036B1">
        <w:t>Sistema Multilateral</w:t>
      </w:r>
      <w:r>
        <w:t xml:space="preserve"> (MLS</w:t>
      </w:r>
      <w:r w:rsidR="00790A77">
        <w:t>, por su sigla en inglés</w:t>
      </w:r>
      <w:r>
        <w:t xml:space="preserve">) del </w:t>
      </w:r>
      <w:r w:rsidR="00CE77E0">
        <w:t>Tratado Internacional</w:t>
      </w:r>
      <w:r>
        <w:t xml:space="preserve"> y del </w:t>
      </w:r>
      <w:r w:rsidR="00CE77E0">
        <w:t>Marco de PIP</w:t>
      </w:r>
      <w:r>
        <w:t xml:space="preserve"> como instrumentos </w:t>
      </w:r>
      <w:r w:rsidR="004D2DBF">
        <w:t>internacionales especializados de acceso y participación en los beneficios</w:t>
      </w:r>
      <w:r>
        <w:t xml:space="preserve">. Suiza </w:t>
      </w:r>
      <w:r w:rsidR="00790A77">
        <w:t xml:space="preserve">considera </w:t>
      </w:r>
      <w:r>
        <w:t xml:space="preserve">que el uso de tales instrumentos especializados puede asegurar </w:t>
      </w:r>
      <w:r w:rsidR="00790A77">
        <w:t xml:space="preserve">un enfoque más </w:t>
      </w:r>
      <w:r>
        <w:t xml:space="preserve">especializado, eficiente y </w:t>
      </w:r>
      <w:r w:rsidR="00790A77">
        <w:t xml:space="preserve">sin duplicación </w:t>
      </w:r>
      <w:r>
        <w:t>a</w:t>
      </w:r>
      <w:r w:rsidR="00790A77">
        <w:t xml:space="preserve"> la regulación de</w:t>
      </w:r>
      <w:r>
        <w:t xml:space="preserve">l acceso a los recursos genéticos y a la participación en los beneficios que </w:t>
      </w:r>
      <w:r w:rsidR="00790A77">
        <w:t xml:space="preserve">derivan </w:t>
      </w:r>
      <w:r>
        <w:t xml:space="preserve">de su utilización. Suiza </w:t>
      </w:r>
      <w:r w:rsidR="00790A77">
        <w:t xml:space="preserve">aplicó </w:t>
      </w:r>
      <w:r>
        <w:t xml:space="preserve">las disposiciones del </w:t>
      </w:r>
      <w:r w:rsidR="00EA5BBA">
        <w:t>Protocolo</w:t>
      </w:r>
      <w:r>
        <w:t xml:space="preserve"> de Nagoya como "mecanismo </w:t>
      </w:r>
      <w:r w:rsidR="00790A77">
        <w:t xml:space="preserve">por </w:t>
      </w:r>
      <w:r>
        <w:t xml:space="preserve">defecto", aplicándose a los recursos genéticos y a los conocimientos tradicionales </w:t>
      </w:r>
      <w:r w:rsidR="00790A77">
        <w:t>conexos</w:t>
      </w:r>
      <w:r>
        <w:t xml:space="preserve">, </w:t>
      </w:r>
      <w:r w:rsidR="00790A77">
        <w:t xml:space="preserve">siempre y cuando </w:t>
      </w:r>
      <w:r>
        <w:t>no</w:t>
      </w:r>
      <w:r w:rsidR="00790A77">
        <w:t xml:space="preserve"> se apliquen</w:t>
      </w:r>
      <w:r>
        <w:t xml:space="preserve"> otros instrumentos </w:t>
      </w:r>
      <w:r w:rsidR="004D2DBF">
        <w:t>internacionales especializados de acceso y participación en los beneficios</w:t>
      </w:r>
      <w:r>
        <w:t xml:space="preserve">. Las reglamentaciones nacionales referentes al </w:t>
      </w:r>
      <w:r w:rsidR="00CE77E0">
        <w:t>Tratado Internacional</w:t>
      </w:r>
      <w:r>
        <w:t xml:space="preserve"> se </w:t>
      </w:r>
      <w:r w:rsidR="00790A77">
        <w:t xml:space="preserve">dan </w:t>
      </w:r>
      <w:r>
        <w:t xml:space="preserve">en una </w:t>
      </w:r>
      <w:r w:rsidR="00790A77">
        <w:t xml:space="preserve">disposición </w:t>
      </w:r>
      <w:r w:rsidR="00150A14">
        <w:t>le</w:t>
      </w:r>
      <w:r w:rsidR="00790A77">
        <w:t xml:space="preserve">gislativa </w:t>
      </w:r>
      <w:r>
        <w:t xml:space="preserve">específica (ORPGAA, SR 916,181) mientras que las reglamentaciones referentes al </w:t>
      </w:r>
      <w:r w:rsidR="00CE77E0">
        <w:t>Marco de PIP</w:t>
      </w:r>
      <w:r>
        <w:t xml:space="preserve"> </w:t>
      </w:r>
      <w:r w:rsidR="00790A77">
        <w:t xml:space="preserve">caen dentro de </w:t>
      </w:r>
      <w:r>
        <w:t>la disposición general del</w:t>
      </w:r>
      <w:r w:rsidR="00150A14">
        <w:t xml:space="preserve"> Ar</w:t>
      </w:r>
      <w:r w:rsidR="00C80EEB">
        <w:t>tículo</w:t>
      </w:r>
      <w:r>
        <w:t xml:space="preserve"> 23</w:t>
      </w:r>
      <w:r w:rsidR="00C80EEB">
        <w:t>n</w:t>
      </w:r>
      <w:r w:rsidR="00150A14">
        <w:t xml:space="preserve">, </w:t>
      </w:r>
      <w:r>
        <w:t>párrafo 2</w:t>
      </w:r>
      <w:r w:rsidR="00C80EEB">
        <w:t xml:space="preserve"> </w:t>
      </w:r>
      <w:r>
        <w:t>d de</w:t>
      </w:r>
      <w:r w:rsidR="00150A14">
        <w:t xml:space="preserve"> la</w:t>
      </w:r>
      <w:r>
        <w:t xml:space="preserve"> </w:t>
      </w:r>
      <w:r>
        <w:rPr>
          <w:bCs/>
        </w:rPr>
        <w:t>NCHA.</w:t>
      </w:r>
      <w:r>
        <w:t xml:space="preserve"> </w:t>
      </w:r>
    </w:p>
    <w:p w:rsidR="00E91B29" w:rsidRDefault="00E91B29" w:rsidP="00E91B29">
      <w:pPr>
        <w:pStyle w:val="Para1"/>
        <w:numPr>
          <w:ilvl w:val="0"/>
          <w:numId w:val="4"/>
        </w:numPr>
        <w:tabs>
          <w:tab w:val="num" w:pos="709"/>
        </w:tabs>
        <w:spacing w:before="120"/>
        <w:ind w:left="0" w:firstLine="0"/>
      </w:pPr>
      <w:r>
        <w:rPr>
          <w:bCs/>
          <w:i/>
          <w:iCs/>
        </w:rPr>
        <w:t xml:space="preserve">Canadá </w:t>
      </w:r>
      <w:r>
        <w:rPr>
          <w:bCs/>
        </w:rPr>
        <w:t xml:space="preserve">explicó que es Parte </w:t>
      </w:r>
      <w:r w:rsidR="00150A14">
        <w:rPr>
          <w:bCs/>
        </w:rPr>
        <w:t>en</w:t>
      </w:r>
      <w:r>
        <w:rPr>
          <w:bCs/>
        </w:rPr>
        <w:t xml:space="preserve"> diversos instrumentos </w:t>
      </w:r>
      <w:r w:rsidR="004D2DBF">
        <w:rPr>
          <w:bCs/>
        </w:rPr>
        <w:t>internacionales especializados de acceso y participación en los beneficios</w:t>
      </w:r>
      <w:r>
        <w:rPr>
          <w:bCs/>
        </w:rPr>
        <w:t xml:space="preserve"> y </w:t>
      </w:r>
      <w:r w:rsidR="00150A14">
        <w:rPr>
          <w:bCs/>
        </w:rPr>
        <w:t xml:space="preserve">participa en </w:t>
      </w:r>
      <w:r>
        <w:rPr>
          <w:bCs/>
        </w:rPr>
        <w:t>coordinación con respecto a</w:t>
      </w:r>
      <w:r w:rsidR="00150A14">
        <w:rPr>
          <w:bCs/>
        </w:rPr>
        <w:t xml:space="preserve"> las</w:t>
      </w:r>
      <w:r>
        <w:rPr>
          <w:bCs/>
        </w:rPr>
        <w:t xml:space="preserve"> cuestiones de acceso y participación en los beneficios </w:t>
      </w:r>
      <w:r w:rsidR="00150A14">
        <w:rPr>
          <w:bCs/>
        </w:rPr>
        <w:t xml:space="preserve">tratadas </w:t>
      </w:r>
      <w:r>
        <w:rPr>
          <w:bCs/>
        </w:rPr>
        <w:t>en diversos foros internacionales.</w:t>
      </w:r>
      <w:r>
        <w:t xml:space="preserve"> </w:t>
      </w:r>
      <w:r>
        <w:rPr>
          <w:bCs/>
        </w:rPr>
        <w:t xml:space="preserve">Canadá </w:t>
      </w:r>
      <w:r w:rsidR="00150A14">
        <w:rPr>
          <w:bCs/>
        </w:rPr>
        <w:t xml:space="preserve">aplica </w:t>
      </w:r>
      <w:r>
        <w:rPr>
          <w:bCs/>
        </w:rPr>
        <w:t xml:space="preserve">las medidas del acceso y participación en los beneficios del </w:t>
      </w:r>
      <w:r w:rsidR="00CE77E0">
        <w:t>Tratado Internacional</w:t>
      </w:r>
      <w:r>
        <w:t xml:space="preserve"> principalmente </w:t>
      </w:r>
      <w:r w:rsidR="004B2574">
        <w:t xml:space="preserve">mediante </w:t>
      </w:r>
      <w:r>
        <w:t xml:space="preserve">las actividades </w:t>
      </w:r>
      <w:r w:rsidR="004B2574">
        <w:t xml:space="preserve">del Ministerio de Agricultura </w:t>
      </w:r>
      <w:r>
        <w:t xml:space="preserve">y </w:t>
      </w:r>
      <w:r w:rsidR="004B2574">
        <w:t xml:space="preserve">Agroalimentación </w:t>
      </w:r>
      <w:r>
        <w:t>de Canadá (AAFC</w:t>
      </w:r>
      <w:r w:rsidR="004B2574">
        <w:t>, por su sigla en inglés</w:t>
      </w:r>
      <w:r>
        <w:t xml:space="preserve">). </w:t>
      </w:r>
      <w:r w:rsidR="004B2574">
        <w:t xml:space="preserve">El </w:t>
      </w:r>
      <w:r>
        <w:t xml:space="preserve">AAFC </w:t>
      </w:r>
      <w:r w:rsidR="004B2574">
        <w:t xml:space="preserve">opera los Recursos fitogenéticos </w:t>
      </w:r>
      <w:r>
        <w:t>de Canadá (PGRC</w:t>
      </w:r>
      <w:r w:rsidR="004B2574">
        <w:t>, por su sigla en inglés</w:t>
      </w:r>
      <w:r>
        <w:t xml:space="preserve">) y participa en el sistema de información </w:t>
      </w:r>
      <w:r w:rsidR="004B2574">
        <w:t xml:space="preserve">mundial </w:t>
      </w:r>
      <w:r>
        <w:t xml:space="preserve">del </w:t>
      </w:r>
      <w:r w:rsidR="00CE77E0">
        <w:t>Tratado Internacional</w:t>
      </w:r>
      <w:r>
        <w:t xml:space="preserve">. </w:t>
      </w:r>
      <w:r w:rsidR="004B2574">
        <w:t xml:space="preserve">Al reconocer que </w:t>
      </w:r>
      <w:r>
        <w:t xml:space="preserve">las prácticas existentes de acceso y participación en los beneficios para </w:t>
      </w:r>
      <w:r w:rsidR="00837EB2">
        <w:t>la alimentación</w:t>
      </w:r>
      <w:r>
        <w:t xml:space="preserve"> y la agricultura </w:t>
      </w:r>
      <w:r w:rsidR="004B2574">
        <w:t xml:space="preserve">varían </w:t>
      </w:r>
      <w:r>
        <w:t>perceptiblemente entre los subsectores,</w:t>
      </w:r>
      <w:r w:rsidR="004B2574">
        <w:t xml:space="preserve"> el</w:t>
      </w:r>
      <w:r>
        <w:t xml:space="preserve"> AAFC también participa en el desarrollo de otras actividades internacionales de acceso y participación en los beneficios, tales como los "</w:t>
      </w:r>
      <w:r w:rsidR="004B2574">
        <w:t xml:space="preserve">Elementos para </w:t>
      </w:r>
      <w:r>
        <w:t xml:space="preserve">facilitar </w:t>
      </w:r>
      <w:r w:rsidR="00D43E1D">
        <w:t>la aplicación</w:t>
      </w:r>
      <w:r>
        <w:t xml:space="preserve"> nacional de acceso y participación en los beneficios para diversos subsectores de los </w:t>
      </w:r>
      <w:r w:rsidR="004B2574">
        <w:t>r</w:t>
      </w:r>
      <w:r>
        <w:t xml:space="preserve">ecursos </w:t>
      </w:r>
      <w:r w:rsidR="004B2574">
        <w:t>f</w:t>
      </w:r>
      <w:r>
        <w:t xml:space="preserve">itogenéticos para la Alimentación y la Agricultura," de la </w:t>
      </w:r>
      <w:r w:rsidR="004B2574">
        <w:t>C</w:t>
      </w:r>
      <w:r>
        <w:t xml:space="preserve">omisión </w:t>
      </w:r>
      <w:r w:rsidR="004B2574">
        <w:t xml:space="preserve">sobre recursos genéticos </w:t>
      </w:r>
      <w:r>
        <w:t xml:space="preserve">de la Organización de las Naciones Unidas para la Agricultura y la Alimentación (FAO) </w:t>
      </w:r>
      <w:r w:rsidR="004B2574">
        <w:t xml:space="preserve">y trata de </w:t>
      </w:r>
      <w:r>
        <w:t>incorporar</w:t>
      </w:r>
      <w:r w:rsidR="004B2574">
        <w:t>los nacionalmente</w:t>
      </w:r>
      <w:r>
        <w:t xml:space="preserve">, según corresponda. </w:t>
      </w:r>
      <w:r w:rsidR="00513A25">
        <w:t>Asimismo, e</w:t>
      </w:r>
      <w:r w:rsidR="004B2574">
        <w:t xml:space="preserve">l </w:t>
      </w:r>
      <w:r>
        <w:t>AAFC ha estado implicado en el desarrollo de prácticas</w:t>
      </w:r>
      <w:r w:rsidR="004B2574">
        <w:t xml:space="preserve"> idóneas</w:t>
      </w:r>
      <w:r>
        <w:t xml:space="preserve"> para </w:t>
      </w:r>
      <w:r w:rsidR="00D43E1D">
        <w:t>la aplicación</w:t>
      </w:r>
      <w:r>
        <w:t xml:space="preserve"> del control biológico. </w:t>
      </w:r>
      <w:r w:rsidR="004B2574">
        <w:t>Además</w:t>
      </w:r>
      <w:r w:rsidR="00513A25">
        <w:t>,</w:t>
      </w:r>
      <w:r w:rsidR="004B2574">
        <w:t xml:space="preserve"> </w:t>
      </w:r>
      <w:r>
        <w:t xml:space="preserve">contribuyó </w:t>
      </w:r>
      <w:r w:rsidR="00BF2245">
        <w:t xml:space="preserve">en </w:t>
      </w:r>
      <w:r>
        <w:t>"</w:t>
      </w:r>
      <w:r w:rsidR="00BF2245">
        <w:t xml:space="preserve">La aplicación </w:t>
      </w:r>
      <w:r>
        <w:t>del control biológico clásico para la gestión de las especies exóticas invasoras establecidas que causan impactos ambientales"</w:t>
      </w:r>
      <w:r w:rsidR="00C80EEB">
        <w:t>;</w:t>
      </w:r>
      <w:r w:rsidR="00C80EEB" w:rsidRPr="00C80EEB">
        <w:rPr>
          <w:rStyle w:val="FootnoteReference"/>
          <w:iCs/>
          <w:kern w:val="22"/>
        </w:rPr>
        <w:footnoteReference w:id="5"/>
      </w:r>
      <w:r>
        <w:t xml:space="preserve"> </w:t>
      </w:r>
      <w:r w:rsidR="00C80EEB">
        <w:t xml:space="preserve">y en </w:t>
      </w:r>
      <w:r w:rsidR="00BF2245">
        <w:t xml:space="preserve">"Prácticas idóneas para el uso y el </w:t>
      </w:r>
      <w:r w:rsidR="00BF2245">
        <w:lastRenderedPageBreak/>
        <w:t xml:space="preserve">intercambio de recursos genéticos </w:t>
      </w:r>
      <w:r w:rsidR="00B64DB6">
        <w:t xml:space="preserve">de control </w:t>
      </w:r>
      <w:r w:rsidR="00BF2245">
        <w:t xml:space="preserve">biológico de invertebrados </w:t>
      </w:r>
      <w:r w:rsidR="00513A25">
        <w:t xml:space="preserve">relevantes </w:t>
      </w:r>
      <w:r w:rsidR="00BF2245">
        <w:t xml:space="preserve">para </w:t>
      </w:r>
      <w:r w:rsidR="00837EB2">
        <w:t>la alimentación</w:t>
      </w:r>
      <w:r w:rsidR="00BF2245">
        <w:t xml:space="preserve"> y la agricultura"</w:t>
      </w:r>
      <w:r w:rsidR="00B64DB6">
        <w:t xml:space="preserve"> </w:t>
      </w:r>
      <w:r w:rsidR="00B64DB6">
        <w:rPr>
          <w:rStyle w:val="FootnoteReference"/>
          <w:kern w:val="22"/>
        </w:rPr>
        <w:footnoteReference w:id="6"/>
      </w:r>
      <w:r w:rsidR="00BF2245">
        <w:t xml:space="preserve"> del </w:t>
      </w:r>
      <w:r>
        <w:t>Organi</w:t>
      </w:r>
      <w:r w:rsidR="00513A25">
        <w:t xml:space="preserve">zación </w:t>
      </w:r>
      <w:r w:rsidR="00BF2245">
        <w:t>I</w:t>
      </w:r>
      <w:r>
        <w:t xml:space="preserve">nternacional </w:t>
      </w:r>
      <w:r w:rsidR="00513A25">
        <w:t>de Lucha Biológica</w:t>
      </w:r>
      <w:r>
        <w:t xml:space="preserve">. </w:t>
      </w:r>
      <w:r w:rsidR="00BF2245">
        <w:t xml:space="preserve">El </w:t>
      </w:r>
      <w:r>
        <w:t xml:space="preserve">AAFC </w:t>
      </w:r>
      <w:r w:rsidR="00BF2245">
        <w:t xml:space="preserve">usa </w:t>
      </w:r>
      <w:r>
        <w:t>estas prácticas</w:t>
      </w:r>
      <w:r w:rsidR="00BF2245">
        <w:t xml:space="preserve"> idóneas</w:t>
      </w:r>
      <w:r>
        <w:t xml:space="preserve"> en su propia investigación </w:t>
      </w:r>
      <w:r w:rsidR="00BF2245">
        <w:t>para</w:t>
      </w:r>
      <w:r>
        <w:t xml:space="preserve"> combatir las especies exóticas invasoras en Canadá. Finalmente, Canadá también </w:t>
      </w:r>
      <w:r w:rsidR="00BF2245">
        <w:t xml:space="preserve">aplica las </w:t>
      </w:r>
      <w:r>
        <w:rPr>
          <w:bCs/>
        </w:rPr>
        <w:t xml:space="preserve">medidas de acceso y participación en los beneficios del </w:t>
      </w:r>
      <w:r w:rsidR="00CE77E0">
        <w:t>Marco de PIP</w:t>
      </w:r>
      <w:r>
        <w:t xml:space="preserve">. </w:t>
      </w:r>
      <w:r w:rsidR="009052C0">
        <w:t xml:space="preserve">  </w:t>
      </w:r>
    </w:p>
    <w:p w:rsidR="00E91B29" w:rsidRPr="00E91B29" w:rsidRDefault="00E91B29" w:rsidP="00E91B29">
      <w:pPr>
        <w:pStyle w:val="Heading1longmultiline"/>
        <w:numPr>
          <w:ilvl w:val="0"/>
          <w:numId w:val="7"/>
        </w:numPr>
        <w:ind w:left="1418"/>
        <w:rPr>
          <w:lang w:val="es-MX"/>
        </w:rPr>
      </w:pPr>
      <w:r w:rsidRPr="00E91B29">
        <w:rPr>
          <w:lang w:val="es-MX"/>
        </w:rPr>
        <w:t xml:space="preserve">SÍNTESIS DE </w:t>
      </w:r>
      <w:r w:rsidR="009052C0">
        <w:rPr>
          <w:lang w:val="es-MX"/>
        </w:rPr>
        <w:t xml:space="preserve">PUNTOS DE VISTA SOBRE </w:t>
      </w:r>
      <w:r w:rsidRPr="00E91B29">
        <w:rPr>
          <w:lang w:val="es-MX"/>
        </w:rPr>
        <w:t xml:space="preserve">LOS </w:t>
      </w:r>
      <w:r w:rsidR="009052C0">
        <w:rPr>
          <w:lang w:val="es-MX"/>
        </w:rPr>
        <w:t xml:space="preserve">POSIBLES </w:t>
      </w:r>
      <w:r w:rsidRPr="00E91B29">
        <w:rPr>
          <w:lang w:val="es-MX"/>
        </w:rPr>
        <w:t>CRITERIOS INCLUIDOS EN EL ESTUDIO, T</w:t>
      </w:r>
      <w:r w:rsidR="009052C0">
        <w:rPr>
          <w:lang w:val="es-MX"/>
        </w:rPr>
        <w:t xml:space="preserve">OMANDO EN </w:t>
      </w:r>
      <w:r w:rsidRPr="00E91B29">
        <w:rPr>
          <w:lang w:val="es-MX"/>
        </w:rPr>
        <w:t xml:space="preserve">CUENTA EL ARTÍCULO 4, PÁRRAFOS 1 A 3, DEL PROTOCOLO </w:t>
      </w:r>
    </w:p>
    <w:p w:rsidR="00E91B29" w:rsidRDefault="00E91B29" w:rsidP="00E91B29">
      <w:pPr>
        <w:pStyle w:val="Para1"/>
        <w:numPr>
          <w:ilvl w:val="0"/>
          <w:numId w:val="4"/>
        </w:numPr>
        <w:tabs>
          <w:tab w:val="num" w:pos="709"/>
        </w:tabs>
        <w:spacing w:before="120"/>
        <w:ind w:left="0" w:firstLine="0"/>
        <w:rPr>
          <w:bCs/>
        </w:rPr>
      </w:pPr>
      <w:r>
        <w:rPr>
          <w:bCs/>
        </w:rPr>
        <w:t xml:space="preserve">Esta sección sintetiza </w:t>
      </w:r>
      <w:r w:rsidR="00AD12C3">
        <w:rPr>
          <w:bCs/>
        </w:rPr>
        <w:t>los puntos de vista</w:t>
      </w:r>
      <w:r>
        <w:rPr>
          <w:bCs/>
        </w:rPr>
        <w:t xml:space="preserve"> que </w:t>
      </w:r>
      <w:r w:rsidR="0026259A">
        <w:rPr>
          <w:bCs/>
        </w:rPr>
        <w:t xml:space="preserve">se presentaron sobre </w:t>
      </w:r>
      <w:r>
        <w:rPr>
          <w:bCs/>
        </w:rPr>
        <w:t xml:space="preserve">los </w:t>
      </w:r>
      <w:r w:rsidR="00EA5BBA">
        <w:rPr>
          <w:bCs/>
        </w:rPr>
        <w:t>posibles criterios</w:t>
      </w:r>
      <w:r>
        <w:rPr>
          <w:bCs/>
        </w:rPr>
        <w:t xml:space="preserve"> incluidos en el estudio (</w:t>
      </w:r>
      <w:r w:rsidRPr="00513A25">
        <w:rPr>
          <w:rStyle w:val="Hyperlink"/>
          <w:bCs/>
          <w:sz w:val="22"/>
          <w:szCs w:val="22"/>
        </w:rPr>
        <w:t>CBD/SBI/2/INF/17</w:t>
      </w:r>
      <w:r>
        <w:rPr>
          <w:bCs/>
        </w:rPr>
        <w:t xml:space="preserve">), teniendo en cuenta el </w:t>
      </w:r>
      <w:r w:rsidR="00EA5BBA">
        <w:rPr>
          <w:bCs/>
        </w:rPr>
        <w:t>Artículo</w:t>
      </w:r>
      <w:r>
        <w:rPr>
          <w:bCs/>
        </w:rPr>
        <w:t xml:space="preserve"> 4, </w:t>
      </w:r>
      <w:r w:rsidR="00AD12C3">
        <w:rPr>
          <w:bCs/>
        </w:rPr>
        <w:t>párrafos 1 a 3</w:t>
      </w:r>
      <w:r>
        <w:rPr>
          <w:bCs/>
        </w:rPr>
        <w:t xml:space="preserve">, del </w:t>
      </w:r>
      <w:r w:rsidR="00EA5BBA">
        <w:rPr>
          <w:bCs/>
        </w:rPr>
        <w:t>Protocolo</w:t>
      </w:r>
      <w:r>
        <w:rPr>
          <w:bCs/>
        </w:rPr>
        <w:t xml:space="preserve">, conforme a </w:t>
      </w:r>
      <w:r>
        <w:t xml:space="preserve">la </w:t>
      </w:r>
      <w:r>
        <w:rPr>
          <w:bCs/>
        </w:rPr>
        <w:t>decisión 3/14.</w:t>
      </w:r>
      <w:r>
        <w:t xml:space="preserve"> </w:t>
      </w:r>
      <w:r w:rsidR="0026259A">
        <w:t>Sobre esta cuestión se recibió u</w:t>
      </w:r>
      <w:r>
        <w:rPr>
          <w:bCs/>
        </w:rPr>
        <w:t>n total de seis presentaciones de las Partes, de estado</w:t>
      </w:r>
      <w:r w:rsidR="0026259A">
        <w:rPr>
          <w:bCs/>
        </w:rPr>
        <w:t xml:space="preserve">s que no son </w:t>
      </w:r>
      <w:r>
        <w:rPr>
          <w:bCs/>
        </w:rPr>
        <w:t>Parte</w:t>
      </w:r>
      <w:r w:rsidR="0026259A">
        <w:rPr>
          <w:bCs/>
        </w:rPr>
        <w:t>s</w:t>
      </w:r>
      <w:r>
        <w:rPr>
          <w:bCs/>
        </w:rPr>
        <w:t xml:space="preserve"> y de organismos.</w:t>
      </w:r>
      <w:r w:rsidRPr="006442C4">
        <w:rPr>
          <w:rStyle w:val="FootnoteReference"/>
          <w:bCs/>
        </w:rPr>
        <w:footnoteReference w:id="7"/>
      </w:r>
      <w:r>
        <w:t xml:space="preserve"> </w:t>
      </w:r>
      <w:r>
        <w:rPr>
          <w:bCs/>
        </w:rPr>
        <w:t xml:space="preserve">Aunque </w:t>
      </w:r>
      <w:r w:rsidR="00513A25">
        <w:rPr>
          <w:bCs/>
        </w:rPr>
        <w:t xml:space="preserve">existen </w:t>
      </w:r>
      <w:r>
        <w:rPr>
          <w:bCs/>
        </w:rPr>
        <w:t xml:space="preserve">algunas diferencias </w:t>
      </w:r>
      <w:r w:rsidR="0026259A">
        <w:rPr>
          <w:bCs/>
        </w:rPr>
        <w:t>de</w:t>
      </w:r>
      <w:r>
        <w:rPr>
          <w:bCs/>
        </w:rPr>
        <w:t xml:space="preserve"> contenido </w:t>
      </w:r>
      <w:r w:rsidR="0026259A">
        <w:rPr>
          <w:bCs/>
        </w:rPr>
        <w:t xml:space="preserve">entre </w:t>
      </w:r>
      <w:r>
        <w:rPr>
          <w:bCs/>
        </w:rPr>
        <w:t xml:space="preserve">las diversas presentaciones, también </w:t>
      </w:r>
      <w:r w:rsidR="0026259A">
        <w:rPr>
          <w:bCs/>
        </w:rPr>
        <w:t xml:space="preserve">hay </w:t>
      </w:r>
      <w:r>
        <w:rPr>
          <w:bCs/>
        </w:rPr>
        <w:t xml:space="preserve">una cierta convergencia en varios temas planteados </w:t>
      </w:r>
      <w:r w:rsidR="00B1790B">
        <w:rPr>
          <w:bCs/>
        </w:rPr>
        <w:t xml:space="preserve">por </w:t>
      </w:r>
      <w:r w:rsidR="0026259A">
        <w:rPr>
          <w:bCs/>
        </w:rPr>
        <w:t xml:space="preserve">la </w:t>
      </w:r>
      <w:r>
        <w:rPr>
          <w:bCs/>
        </w:rPr>
        <w:t>decisión NP-3/14.</w:t>
      </w:r>
      <w:r>
        <w:t xml:space="preserve"> </w:t>
      </w:r>
      <w:r>
        <w:rPr>
          <w:bCs/>
        </w:rPr>
        <w:t xml:space="preserve">En las subdivisiones que siguen, se ha </w:t>
      </w:r>
      <w:r w:rsidR="0026259A">
        <w:rPr>
          <w:bCs/>
        </w:rPr>
        <w:t xml:space="preserve">intentado </w:t>
      </w:r>
      <w:r>
        <w:rPr>
          <w:bCs/>
        </w:rPr>
        <w:t>identificar tales puntos.</w:t>
      </w:r>
      <w:r>
        <w:t xml:space="preserve"> </w:t>
      </w:r>
      <w:r>
        <w:rPr>
          <w:bCs/>
        </w:rPr>
        <w:t xml:space="preserve">Éstos se indican en </w:t>
      </w:r>
      <w:r w:rsidR="0026259A">
        <w:rPr>
          <w:bCs/>
        </w:rPr>
        <w:t>bastardilla</w:t>
      </w:r>
      <w:r>
        <w:rPr>
          <w:bCs/>
        </w:rPr>
        <w:t>.</w:t>
      </w:r>
      <w:r>
        <w:t xml:space="preserve"> </w:t>
      </w:r>
      <w:r w:rsidR="0026259A">
        <w:t xml:space="preserve">A </w:t>
      </w:r>
      <w:proofErr w:type="gramStart"/>
      <w:r w:rsidR="0026259A">
        <w:t>continuación</w:t>
      </w:r>
      <w:proofErr w:type="gramEnd"/>
      <w:r w:rsidR="0026259A">
        <w:t xml:space="preserve"> se resumen l</w:t>
      </w:r>
      <w:r>
        <w:rPr>
          <w:bCs/>
        </w:rPr>
        <w:t xml:space="preserve">as explicaciones o las </w:t>
      </w:r>
      <w:r w:rsidR="0026259A">
        <w:rPr>
          <w:bCs/>
        </w:rPr>
        <w:t xml:space="preserve">descripciones detalladas </w:t>
      </w:r>
      <w:r>
        <w:rPr>
          <w:bCs/>
        </w:rPr>
        <w:t>que apoyan las ideas.</w:t>
      </w:r>
      <w:r>
        <w:t xml:space="preserve"> </w:t>
      </w:r>
      <w:r w:rsidR="0026259A">
        <w:t xml:space="preserve">A fin de </w:t>
      </w:r>
      <w:r w:rsidR="0026259A">
        <w:rPr>
          <w:bCs/>
        </w:rPr>
        <w:t>facilitar una referencia para la presentación original para más información</w:t>
      </w:r>
      <w:r w:rsidR="00B1790B">
        <w:rPr>
          <w:bCs/>
        </w:rPr>
        <w:t>,</w:t>
      </w:r>
      <w:r w:rsidR="0026259A">
        <w:rPr>
          <w:bCs/>
        </w:rPr>
        <w:t xml:space="preserve"> se </w:t>
      </w:r>
      <w:r w:rsidR="00B1790B">
        <w:rPr>
          <w:bCs/>
        </w:rPr>
        <w:t xml:space="preserve">incluyen </w:t>
      </w:r>
      <w:r w:rsidR="0026259A">
        <w:rPr>
          <w:bCs/>
        </w:rPr>
        <w:t>l</w:t>
      </w:r>
      <w:r>
        <w:rPr>
          <w:bCs/>
        </w:rPr>
        <w:t xml:space="preserve">as notas a pie de página que indican las fuentes de </w:t>
      </w:r>
      <w:r w:rsidR="008B57C8">
        <w:rPr>
          <w:bCs/>
        </w:rPr>
        <w:t>los puntos de vista</w:t>
      </w:r>
      <w:r>
        <w:rPr>
          <w:bCs/>
        </w:rPr>
        <w:t>.</w:t>
      </w:r>
      <w:r>
        <w:t xml:space="preserve"> </w:t>
      </w:r>
    </w:p>
    <w:p w:rsidR="00E91B29" w:rsidRPr="00F26DAC" w:rsidRDefault="0026259A" w:rsidP="00E91B29">
      <w:pPr>
        <w:pStyle w:val="Heading2"/>
        <w:numPr>
          <w:ilvl w:val="0"/>
          <w:numId w:val="9"/>
        </w:numPr>
        <w:tabs>
          <w:tab w:val="clear" w:pos="720"/>
        </w:tabs>
        <w:ind w:left="0" w:firstLine="0"/>
        <w:rPr>
          <w:i w:val="0"/>
          <w:kern w:val="22"/>
        </w:rPr>
      </w:pPr>
      <w:r>
        <w:rPr>
          <w:i w:val="0"/>
          <w:kern w:val="22"/>
        </w:rPr>
        <w:t xml:space="preserve">Puntos de vista </w:t>
      </w:r>
      <w:r w:rsidR="00E91B29" w:rsidRPr="00F26DAC">
        <w:rPr>
          <w:i w:val="0"/>
          <w:kern w:val="22"/>
        </w:rPr>
        <w:t xml:space="preserve">generales </w:t>
      </w:r>
      <w:r>
        <w:rPr>
          <w:i w:val="0"/>
          <w:kern w:val="22"/>
        </w:rPr>
        <w:t xml:space="preserve">sobre </w:t>
      </w:r>
      <w:r w:rsidR="00E91B29" w:rsidRPr="00F26DAC">
        <w:rPr>
          <w:i w:val="0"/>
          <w:kern w:val="22"/>
        </w:rPr>
        <w:t>los criterios y su uso</w:t>
      </w:r>
    </w:p>
    <w:p w:rsidR="00E91B29" w:rsidRDefault="0026259A" w:rsidP="00E91B29">
      <w:pPr>
        <w:pStyle w:val="Para1"/>
        <w:numPr>
          <w:ilvl w:val="0"/>
          <w:numId w:val="4"/>
        </w:numPr>
        <w:tabs>
          <w:tab w:val="num" w:pos="709"/>
        </w:tabs>
        <w:spacing w:before="120"/>
        <w:ind w:left="0" w:firstLine="0"/>
        <w:rPr>
          <w:bCs/>
        </w:rPr>
      </w:pPr>
      <w:r>
        <w:rPr>
          <w:bCs/>
        </w:rPr>
        <w:t xml:space="preserve">Si bien </w:t>
      </w:r>
      <w:r w:rsidR="00E91B29">
        <w:rPr>
          <w:bCs/>
        </w:rPr>
        <w:t xml:space="preserve">algunas presentaciones </w:t>
      </w:r>
      <w:r>
        <w:rPr>
          <w:bCs/>
        </w:rPr>
        <w:t xml:space="preserve">cuestionaron </w:t>
      </w:r>
      <w:r w:rsidR="00E91B29">
        <w:rPr>
          <w:bCs/>
        </w:rPr>
        <w:t xml:space="preserve">la necesidad y la utilidad de </w:t>
      </w:r>
      <w:r w:rsidR="00E91B29">
        <w:t xml:space="preserve">los </w:t>
      </w:r>
      <w:r w:rsidR="00E91B29">
        <w:rPr>
          <w:bCs/>
        </w:rPr>
        <w:t>criterios,</w:t>
      </w:r>
      <w:r w:rsidR="00E91B29">
        <w:rPr>
          <w:rStyle w:val="FootnoteReference"/>
          <w:bCs/>
        </w:rPr>
        <w:footnoteReference w:id="8"/>
      </w:r>
      <w:r w:rsidR="00E91B29">
        <w:rPr>
          <w:bCs/>
        </w:rPr>
        <w:t xml:space="preserve"> una presentación, en nombre de varias Partes, reconoció que los criterios constituyen buenos puntos de referencia de elementos para tomar en consideración al </w:t>
      </w:r>
      <w:r w:rsidR="00DB798D">
        <w:rPr>
          <w:bCs/>
        </w:rPr>
        <w:t xml:space="preserve">elaborar </w:t>
      </w:r>
      <w:r w:rsidR="00E91B29">
        <w:rPr>
          <w:bCs/>
        </w:rPr>
        <w:t>o reconoc</w:t>
      </w:r>
      <w:r w:rsidR="00DB798D">
        <w:rPr>
          <w:bCs/>
        </w:rPr>
        <w:t>er</w:t>
      </w:r>
      <w:r w:rsidR="00E91B29">
        <w:rPr>
          <w:bCs/>
        </w:rPr>
        <w:t xml:space="preserve"> instrumentos </w:t>
      </w:r>
      <w:r w:rsidR="004D2DBF">
        <w:rPr>
          <w:bCs/>
        </w:rPr>
        <w:t>internacionales especializados de acceso y participación en los beneficios</w:t>
      </w:r>
      <w:r w:rsidR="00E91B29">
        <w:rPr>
          <w:bCs/>
        </w:rPr>
        <w:t>.</w:t>
      </w:r>
      <w:r w:rsidR="00E91B29" w:rsidRPr="006442C4">
        <w:rPr>
          <w:rStyle w:val="FootnoteReference"/>
          <w:bCs/>
        </w:rPr>
        <w:footnoteReference w:id="9"/>
      </w:r>
      <w:r w:rsidR="00E91B29">
        <w:t xml:space="preserve"> </w:t>
      </w:r>
    </w:p>
    <w:p w:rsidR="00E91B29" w:rsidRDefault="00E91B29" w:rsidP="00E91B29">
      <w:pPr>
        <w:pStyle w:val="Para1"/>
        <w:numPr>
          <w:ilvl w:val="0"/>
          <w:numId w:val="4"/>
        </w:numPr>
        <w:tabs>
          <w:tab w:val="num" w:pos="709"/>
        </w:tabs>
        <w:spacing w:before="120"/>
        <w:ind w:left="0" w:firstLine="0"/>
        <w:rPr>
          <w:bCs/>
        </w:rPr>
      </w:pPr>
      <w:r>
        <w:rPr>
          <w:bCs/>
        </w:rPr>
        <w:t xml:space="preserve">Las presentaciones reiteraron que </w:t>
      </w:r>
      <w:r w:rsidR="00B1790B">
        <w:rPr>
          <w:bCs/>
        </w:rPr>
        <w:t>todo c</w:t>
      </w:r>
      <w:r>
        <w:rPr>
          <w:bCs/>
        </w:rPr>
        <w:t xml:space="preserve">riterio </w:t>
      </w:r>
      <w:r w:rsidR="00B1790B">
        <w:rPr>
          <w:bCs/>
        </w:rPr>
        <w:t xml:space="preserve">que se desarrollase </w:t>
      </w:r>
      <w:r>
        <w:rPr>
          <w:bCs/>
        </w:rPr>
        <w:t>debe</w:t>
      </w:r>
      <w:r w:rsidR="00DB798D">
        <w:rPr>
          <w:bCs/>
        </w:rPr>
        <w:t>ría</w:t>
      </w:r>
      <w:r>
        <w:rPr>
          <w:bCs/>
        </w:rPr>
        <w:t xml:space="preserve"> tener en cuenta l</w:t>
      </w:r>
      <w:r w:rsidR="00DB798D">
        <w:rPr>
          <w:bCs/>
        </w:rPr>
        <w:t>o</w:t>
      </w:r>
      <w:r>
        <w:rPr>
          <w:bCs/>
        </w:rPr>
        <w:t xml:space="preserve"> siguiente:</w:t>
      </w:r>
      <w:r>
        <w:t xml:space="preserve"> </w:t>
      </w:r>
    </w:p>
    <w:p w:rsidR="00E91B29" w:rsidRDefault="00E91B29" w:rsidP="00E91B29">
      <w:pPr>
        <w:pStyle w:val="Para1"/>
        <w:numPr>
          <w:ilvl w:val="0"/>
          <w:numId w:val="3"/>
        </w:numPr>
        <w:spacing w:before="60"/>
        <w:ind w:left="0" w:firstLine="811"/>
        <w:rPr>
          <w:kern w:val="22"/>
          <w:szCs w:val="22"/>
        </w:rPr>
      </w:pPr>
      <w:r>
        <w:rPr>
          <w:i/>
          <w:iCs/>
          <w:kern w:val="22"/>
          <w:szCs w:val="22"/>
        </w:rPr>
        <w:t xml:space="preserve">No ser más estricto que el </w:t>
      </w:r>
      <w:r w:rsidR="00EA5BBA">
        <w:rPr>
          <w:i/>
          <w:iCs/>
          <w:kern w:val="22"/>
          <w:szCs w:val="22"/>
        </w:rPr>
        <w:t>Artículo</w:t>
      </w:r>
      <w:r>
        <w:rPr>
          <w:i/>
          <w:iCs/>
          <w:kern w:val="22"/>
          <w:szCs w:val="22"/>
        </w:rPr>
        <w:t xml:space="preserve"> 4, párrafo 4</w:t>
      </w:r>
      <w:r>
        <w:rPr>
          <w:kern w:val="22"/>
          <w:szCs w:val="22"/>
        </w:rPr>
        <w:t>:</w:t>
      </w:r>
      <w:r>
        <w:t xml:space="preserve"> </w:t>
      </w:r>
      <w:r>
        <w:rPr>
          <w:kern w:val="22"/>
          <w:szCs w:val="22"/>
        </w:rPr>
        <w:t>Varias presentaciones parecen estar de acuerdo que ning</w:t>
      </w:r>
      <w:r w:rsidR="00DB798D">
        <w:rPr>
          <w:kern w:val="22"/>
          <w:szCs w:val="22"/>
        </w:rPr>
        <w:t>ún</w:t>
      </w:r>
      <w:r>
        <w:rPr>
          <w:kern w:val="22"/>
          <w:szCs w:val="22"/>
        </w:rPr>
        <w:t xml:space="preserve"> criterio desarrollad</w:t>
      </w:r>
      <w:r w:rsidR="00DB798D">
        <w:rPr>
          <w:kern w:val="22"/>
          <w:szCs w:val="22"/>
        </w:rPr>
        <w:t>o</w:t>
      </w:r>
      <w:r>
        <w:rPr>
          <w:kern w:val="22"/>
          <w:szCs w:val="22"/>
        </w:rPr>
        <w:t xml:space="preserve"> debe</w:t>
      </w:r>
      <w:r w:rsidR="00DB798D">
        <w:rPr>
          <w:kern w:val="22"/>
          <w:szCs w:val="22"/>
        </w:rPr>
        <w:t>ría</w:t>
      </w:r>
      <w:r>
        <w:rPr>
          <w:kern w:val="22"/>
          <w:szCs w:val="22"/>
        </w:rPr>
        <w:t xml:space="preserve"> </w:t>
      </w:r>
      <w:r w:rsidR="00DB798D">
        <w:rPr>
          <w:kern w:val="22"/>
          <w:szCs w:val="22"/>
        </w:rPr>
        <w:t xml:space="preserve">limitar </w:t>
      </w:r>
      <w:r>
        <w:rPr>
          <w:kern w:val="22"/>
          <w:szCs w:val="22"/>
        </w:rPr>
        <w:t xml:space="preserve">el alcance del </w:t>
      </w:r>
      <w:r w:rsidR="00EA5BBA">
        <w:rPr>
          <w:kern w:val="22"/>
          <w:szCs w:val="22"/>
        </w:rPr>
        <w:t>Artículo</w:t>
      </w:r>
      <w:r>
        <w:rPr>
          <w:kern w:val="22"/>
          <w:szCs w:val="22"/>
        </w:rPr>
        <w:t xml:space="preserve"> 4, párrafo 4, o ser más riguros</w:t>
      </w:r>
      <w:r w:rsidR="00DB798D">
        <w:rPr>
          <w:kern w:val="22"/>
          <w:szCs w:val="22"/>
        </w:rPr>
        <w:t>o</w:t>
      </w:r>
      <w:r>
        <w:rPr>
          <w:kern w:val="22"/>
          <w:szCs w:val="22"/>
        </w:rPr>
        <w:t xml:space="preserve"> que los elementos </w:t>
      </w:r>
      <w:r w:rsidR="00B64DB6">
        <w:rPr>
          <w:kern w:val="22"/>
          <w:szCs w:val="22"/>
        </w:rPr>
        <w:t>de</w:t>
      </w:r>
      <w:r>
        <w:rPr>
          <w:kern w:val="22"/>
          <w:szCs w:val="22"/>
        </w:rPr>
        <w:t xml:space="preserve"> esta disposición.</w:t>
      </w:r>
      <w:r w:rsidRPr="001F5025">
        <w:rPr>
          <w:rStyle w:val="FootnoteReference"/>
          <w:kern w:val="22"/>
          <w:szCs w:val="22"/>
        </w:rPr>
        <w:footnoteReference w:id="10"/>
      </w:r>
      <w:r>
        <w:t xml:space="preserve"> </w:t>
      </w:r>
      <w:r>
        <w:rPr>
          <w:kern w:val="22"/>
          <w:szCs w:val="22"/>
        </w:rPr>
        <w:t xml:space="preserve">Todas las presentaciones </w:t>
      </w:r>
      <w:r w:rsidR="00DB798D">
        <w:rPr>
          <w:kern w:val="22"/>
          <w:szCs w:val="22"/>
        </w:rPr>
        <w:t xml:space="preserve">consideran </w:t>
      </w:r>
      <w:r>
        <w:rPr>
          <w:kern w:val="22"/>
          <w:szCs w:val="22"/>
        </w:rPr>
        <w:t xml:space="preserve">que el </w:t>
      </w:r>
      <w:r w:rsidR="00DB798D">
        <w:rPr>
          <w:kern w:val="22"/>
          <w:szCs w:val="22"/>
        </w:rPr>
        <w:t>criterio básico</w:t>
      </w:r>
      <w:r>
        <w:rPr>
          <w:kern w:val="22"/>
          <w:szCs w:val="22"/>
        </w:rPr>
        <w:t xml:space="preserve"> </w:t>
      </w:r>
      <w:r w:rsidR="00DB798D">
        <w:rPr>
          <w:kern w:val="22"/>
          <w:szCs w:val="22"/>
        </w:rPr>
        <w:t xml:space="preserve">establecido </w:t>
      </w:r>
      <w:r>
        <w:rPr>
          <w:kern w:val="22"/>
          <w:szCs w:val="22"/>
        </w:rPr>
        <w:t xml:space="preserve">en el </w:t>
      </w:r>
      <w:r w:rsidR="00EA5BBA">
        <w:rPr>
          <w:kern w:val="22"/>
          <w:szCs w:val="22"/>
        </w:rPr>
        <w:t>Artículo</w:t>
      </w:r>
      <w:r>
        <w:rPr>
          <w:kern w:val="22"/>
          <w:szCs w:val="22"/>
        </w:rPr>
        <w:t> </w:t>
      </w:r>
      <w:r w:rsidR="00EA5BBA">
        <w:rPr>
          <w:kern w:val="22"/>
          <w:szCs w:val="22"/>
        </w:rPr>
        <w:t>4, párrafo 4</w:t>
      </w:r>
      <w:r>
        <w:rPr>
          <w:kern w:val="22"/>
          <w:szCs w:val="22"/>
        </w:rPr>
        <w:t xml:space="preserve">, </w:t>
      </w:r>
      <w:r w:rsidR="00DB798D">
        <w:rPr>
          <w:kern w:val="22"/>
          <w:szCs w:val="22"/>
        </w:rPr>
        <w:t>es</w:t>
      </w:r>
      <w:r>
        <w:rPr>
          <w:kern w:val="22"/>
          <w:szCs w:val="22"/>
        </w:rPr>
        <w:t xml:space="preserve"> que</w:t>
      </w:r>
      <w:r>
        <w:t xml:space="preserve"> un </w:t>
      </w:r>
      <w:r w:rsidR="00EA5BBA">
        <w:t>instrumento internacional especializado de acceso y participación en los beneficios</w:t>
      </w:r>
      <w:r>
        <w:t xml:space="preserve"> </w:t>
      </w:r>
      <w:r w:rsidR="00DB798D">
        <w:t>deberá ser conforme con los objetivos del Convenio y el Protocolo</w:t>
      </w:r>
      <w:r>
        <w:t xml:space="preserve">, y no </w:t>
      </w:r>
      <w:r w:rsidR="00DB798D">
        <w:t>oponerse a los mismos</w:t>
      </w:r>
      <w:r>
        <w:t xml:space="preserve">, </w:t>
      </w:r>
      <w:r w:rsidR="00DB798D">
        <w:t xml:space="preserve">en especial a </w:t>
      </w:r>
      <w:r>
        <w:t xml:space="preserve">la distribución justa y equitativa de </w:t>
      </w:r>
      <w:r w:rsidR="00DB798D">
        <w:t>los beneficios</w:t>
      </w:r>
      <w:r>
        <w:t xml:space="preserve"> que se </w:t>
      </w:r>
      <w:r w:rsidR="00DB798D">
        <w:t xml:space="preserve">derivan </w:t>
      </w:r>
      <w:r>
        <w:t xml:space="preserve">de la utilización de recursos genéticos. </w:t>
      </w:r>
      <w:r>
        <w:rPr>
          <w:kern w:val="22"/>
          <w:szCs w:val="22"/>
        </w:rPr>
        <w:t xml:space="preserve">El requisito que el </w:t>
      </w:r>
      <w:r w:rsidR="00EA5BBA">
        <w:rPr>
          <w:kern w:val="22"/>
          <w:szCs w:val="22"/>
        </w:rPr>
        <w:t>Protocolo</w:t>
      </w:r>
      <w:r>
        <w:rPr>
          <w:kern w:val="22"/>
          <w:szCs w:val="22"/>
        </w:rPr>
        <w:t xml:space="preserve"> y cualquier </w:t>
      </w:r>
      <w:r w:rsidR="00EA5BBA">
        <w:rPr>
          <w:kern w:val="22"/>
          <w:szCs w:val="22"/>
        </w:rPr>
        <w:t>instrumento internacional especializado de acceso y participación en los beneficios</w:t>
      </w:r>
      <w:r>
        <w:rPr>
          <w:kern w:val="22"/>
          <w:szCs w:val="22"/>
        </w:rPr>
        <w:t xml:space="preserve"> debe</w:t>
      </w:r>
      <w:r w:rsidR="000454A5">
        <w:rPr>
          <w:kern w:val="22"/>
          <w:szCs w:val="22"/>
        </w:rPr>
        <w:t xml:space="preserve">rían apoyarse </w:t>
      </w:r>
      <w:r>
        <w:rPr>
          <w:kern w:val="22"/>
          <w:szCs w:val="22"/>
        </w:rPr>
        <w:t xml:space="preserve">mutuamente </w:t>
      </w:r>
      <w:r w:rsidR="00DB798D">
        <w:rPr>
          <w:kern w:val="22"/>
          <w:szCs w:val="22"/>
        </w:rPr>
        <w:t xml:space="preserve">se desarrolla </w:t>
      </w:r>
      <w:r>
        <w:rPr>
          <w:kern w:val="22"/>
          <w:szCs w:val="22"/>
        </w:rPr>
        <w:t>específicamente en tres presentaciones;</w:t>
      </w:r>
      <w:r w:rsidRPr="006442C4">
        <w:rPr>
          <w:kern w:val="22"/>
          <w:vertAlign w:val="superscript"/>
        </w:rPr>
        <w:footnoteReference w:id="11"/>
      </w:r>
      <w:r>
        <w:t xml:space="preserve"> </w:t>
      </w:r>
    </w:p>
    <w:p w:rsidR="00E91B29" w:rsidRDefault="00E91B29" w:rsidP="00E91B29">
      <w:pPr>
        <w:pStyle w:val="Para1"/>
        <w:numPr>
          <w:ilvl w:val="0"/>
          <w:numId w:val="3"/>
        </w:numPr>
        <w:spacing w:before="60"/>
        <w:ind w:left="0" w:firstLine="811"/>
        <w:rPr>
          <w:kern w:val="22"/>
          <w:szCs w:val="22"/>
        </w:rPr>
      </w:pPr>
      <w:r>
        <w:rPr>
          <w:i/>
          <w:iCs/>
          <w:kern w:val="22"/>
          <w:szCs w:val="22"/>
        </w:rPr>
        <w:t xml:space="preserve">No crear </w:t>
      </w:r>
      <w:r w:rsidR="000454A5">
        <w:rPr>
          <w:i/>
          <w:iCs/>
          <w:kern w:val="22"/>
          <w:szCs w:val="22"/>
        </w:rPr>
        <w:t xml:space="preserve">ningún tipo de </w:t>
      </w:r>
      <w:r>
        <w:rPr>
          <w:i/>
          <w:iCs/>
          <w:kern w:val="22"/>
          <w:szCs w:val="22"/>
        </w:rPr>
        <w:t xml:space="preserve">jerarquía entre el </w:t>
      </w:r>
      <w:r w:rsidR="00EA5BBA">
        <w:rPr>
          <w:i/>
          <w:iCs/>
          <w:kern w:val="22"/>
          <w:szCs w:val="22"/>
        </w:rPr>
        <w:t>Protocolo</w:t>
      </w:r>
      <w:r>
        <w:rPr>
          <w:i/>
          <w:iCs/>
          <w:kern w:val="22"/>
          <w:szCs w:val="22"/>
        </w:rPr>
        <w:t xml:space="preserve"> y otros instrumentos </w:t>
      </w:r>
      <w:r w:rsidR="004D2DBF">
        <w:rPr>
          <w:i/>
          <w:iCs/>
          <w:kern w:val="22"/>
          <w:szCs w:val="22"/>
        </w:rPr>
        <w:t>internacionales especializados de acceso y participación en los beneficios</w:t>
      </w:r>
      <w:r>
        <w:rPr>
          <w:kern w:val="22"/>
          <w:szCs w:val="22"/>
        </w:rPr>
        <w:t>:</w:t>
      </w:r>
      <w:r>
        <w:t xml:space="preserve"> </w:t>
      </w:r>
      <w:r>
        <w:rPr>
          <w:kern w:val="22"/>
          <w:szCs w:val="22"/>
        </w:rPr>
        <w:t>Tres presentaciones pone</w:t>
      </w:r>
      <w:r w:rsidR="00DB798D">
        <w:rPr>
          <w:kern w:val="22"/>
          <w:szCs w:val="22"/>
        </w:rPr>
        <w:t>n</w:t>
      </w:r>
      <w:r>
        <w:rPr>
          <w:kern w:val="22"/>
          <w:szCs w:val="22"/>
        </w:rPr>
        <w:t xml:space="preserve"> de relieve </w:t>
      </w:r>
      <w:r w:rsidR="00B64DB6">
        <w:rPr>
          <w:kern w:val="22"/>
          <w:szCs w:val="22"/>
        </w:rPr>
        <w:t xml:space="preserve">la necesidad de </w:t>
      </w:r>
      <w:r>
        <w:rPr>
          <w:kern w:val="22"/>
          <w:szCs w:val="22"/>
        </w:rPr>
        <w:t>asegurar que n</w:t>
      </w:r>
      <w:r w:rsidR="00DB798D">
        <w:rPr>
          <w:kern w:val="22"/>
          <w:szCs w:val="22"/>
        </w:rPr>
        <w:t xml:space="preserve">o existe una </w:t>
      </w:r>
      <w:r>
        <w:rPr>
          <w:kern w:val="22"/>
          <w:szCs w:val="22"/>
        </w:rPr>
        <w:t xml:space="preserve">jerarquía entre el </w:t>
      </w:r>
      <w:r w:rsidR="00EA5BBA">
        <w:rPr>
          <w:kern w:val="22"/>
          <w:szCs w:val="22"/>
        </w:rPr>
        <w:t>Protocolo</w:t>
      </w:r>
      <w:r>
        <w:rPr>
          <w:kern w:val="22"/>
          <w:szCs w:val="22"/>
        </w:rPr>
        <w:t xml:space="preserve"> y cualquier otro </w:t>
      </w:r>
      <w:r w:rsidR="00EA5BBA">
        <w:rPr>
          <w:kern w:val="22"/>
          <w:szCs w:val="22"/>
        </w:rPr>
        <w:t>instrumento internacional especializado de acceso y participación en los beneficios</w:t>
      </w:r>
      <w:r>
        <w:rPr>
          <w:kern w:val="22"/>
          <w:szCs w:val="22"/>
        </w:rPr>
        <w:t xml:space="preserve">, </w:t>
      </w:r>
      <w:r w:rsidR="00DB798D">
        <w:rPr>
          <w:kern w:val="22"/>
          <w:szCs w:val="22"/>
        </w:rPr>
        <w:t xml:space="preserve">independientemente de la manera como se identifiquen </w:t>
      </w:r>
      <w:r>
        <w:rPr>
          <w:kern w:val="22"/>
          <w:szCs w:val="22"/>
        </w:rPr>
        <w:t>otros instrumentos;</w:t>
      </w:r>
      <w:r w:rsidRPr="006442C4">
        <w:rPr>
          <w:kern w:val="22"/>
          <w:vertAlign w:val="superscript"/>
        </w:rPr>
        <w:footnoteReference w:id="12"/>
      </w:r>
    </w:p>
    <w:p w:rsidR="00E91B29" w:rsidRDefault="00E91B29" w:rsidP="00E91B29">
      <w:pPr>
        <w:pStyle w:val="Para1"/>
        <w:numPr>
          <w:ilvl w:val="0"/>
          <w:numId w:val="3"/>
        </w:numPr>
        <w:spacing w:before="60"/>
        <w:ind w:left="0" w:firstLine="811"/>
        <w:rPr>
          <w:kern w:val="22"/>
          <w:szCs w:val="22"/>
        </w:rPr>
      </w:pPr>
      <w:r>
        <w:rPr>
          <w:i/>
          <w:iCs/>
        </w:rPr>
        <w:lastRenderedPageBreak/>
        <w:t>Permit</w:t>
      </w:r>
      <w:r w:rsidR="00DB798D">
        <w:rPr>
          <w:i/>
          <w:iCs/>
        </w:rPr>
        <w:t>ir</w:t>
      </w:r>
      <w:r>
        <w:rPr>
          <w:i/>
          <w:iCs/>
        </w:rPr>
        <w:t xml:space="preserve"> la flexibilidad:</w:t>
      </w:r>
      <w:r>
        <w:t xml:space="preserve"> Cinco presentaciones</w:t>
      </w:r>
      <w:r>
        <w:rPr>
          <w:rStyle w:val="FootnoteReference"/>
        </w:rPr>
        <w:footnoteReference w:id="13"/>
      </w:r>
      <w:r>
        <w:t xml:space="preserve"> expresaron la opinión </w:t>
      </w:r>
      <w:r w:rsidR="00954CD6">
        <w:t xml:space="preserve">de </w:t>
      </w:r>
      <w:r>
        <w:t xml:space="preserve">que </w:t>
      </w:r>
      <w:r w:rsidR="000454A5">
        <w:t xml:space="preserve">todo </w:t>
      </w:r>
      <w:r>
        <w:t xml:space="preserve">criterio </w:t>
      </w:r>
      <w:r w:rsidR="000454A5">
        <w:t xml:space="preserve">que se desarrolle </w:t>
      </w:r>
      <w:r w:rsidR="00954CD6">
        <w:t>debería</w:t>
      </w:r>
      <w:r>
        <w:t xml:space="preserve">: (i) </w:t>
      </w:r>
      <w:r w:rsidR="00954CD6">
        <w:t xml:space="preserve">alentar la </w:t>
      </w:r>
      <w:r>
        <w:t xml:space="preserve">flexibilidad y la especialización; (ii) no </w:t>
      </w:r>
      <w:r w:rsidR="00954CD6">
        <w:t xml:space="preserve">impedir </w:t>
      </w:r>
      <w:r>
        <w:t xml:space="preserve">iniciativas valiosas de las Partes; y (iii) no </w:t>
      </w:r>
      <w:r w:rsidR="00954CD6">
        <w:t>socavar los derechos</w:t>
      </w:r>
      <w:r>
        <w:t xml:space="preserve"> de</w:t>
      </w:r>
      <w:r w:rsidR="00954CD6">
        <w:t xml:space="preserve"> las</w:t>
      </w:r>
      <w:r>
        <w:t xml:space="preserve"> Partes de desarrollar r</w:t>
      </w:r>
      <w:r w:rsidR="00954CD6">
        <w:t>e</w:t>
      </w:r>
      <w:r>
        <w:t>g</w:t>
      </w:r>
      <w:r w:rsidR="00954CD6">
        <w:t xml:space="preserve">ímenes </w:t>
      </w:r>
      <w:r w:rsidR="000454A5">
        <w:t xml:space="preserve">adecuadamente </w:t>
      </w:r>
      <w:r w:rsidR="00954CD6">
        <w:t>especializados</w:t>
      </w:r>
      <w:r>
        <w:t xml:space="preserve">. </w:t>
      </w:r>
      <w:r w:rsidR="00954CD6">
        <w:t>P</w:t>
      </w:r>
      <w:r>
        <w:t xml:space="preserve">or otra parte, </w:t>
      </w:r>
      <w:r w:rsidR="00954CD6">
        <w:t xml:space="preserve">se </w:t>
      </w:r>
      <w:r>
        <w:t>observó que tales criterios no debe</w:t>
      </w:r>
      <w:r w:rsidR="00954CD6">
        <w:t>rían</w:t>
      </w:r>
      <w:r>
        <w:t xml:space="preserve"> debilitar las disposiciones jurídicamente vinculantes del </w:t>
      </w:r>
      <w:r w:rsidR="00EA5BBA">
        <w:t>Protocolo</w:t>
      </w:r>
      <w:r>
        <w:t xml:space="preserve"> de Nagoya.</w:t>
      </w:r>
      <w:r w:rsidRPr="006442C4">
        <w:rPr>
          <w:rStyle w:val="FootnoteReference"/>
        </w:rPr>
        <w:footnoteReference w:id="14"/>
      </w:r>
      <w:r>
        <w:t xml:space="preserve"> Una Parte expresó </w:t>
      </w:r>
      <w:r w:rsidR="00954CD6">
        <w:t xml:space="preserve">el punto de vista </w:t>
      </w:r>
      <w:r>
        <w:t>que los criterios se debe</w:t>
      </w:r>
      <w:r w:rsidR="00215614">
        <w:t>rían</w:t>
      </w:r>
      <w:r>
        <w:t xml:space="preserve"> adaptar de manera </w:t>
      </w:r>
      <w:r w:rsidR="00215614">
        <w:t xml:space="preserve">de asegurar </w:t>
      </w:r>
      <w:r>
        <w:t xml:space="preserve">que el </w:t>
      </w:r>
      <w:r w:rsidR="00CE77E0">
        <w:t>Marco de PIP</w:t>
      </w:r>
      <w:r>
        <w:t xml:space="preserve"> de la Organización Mundial de la Salud </w:t>
      </w:r>
      <w:r w:rsidR="00215614">
        <w:t xml:space="preserve">entra </w:t>
      </w:r>
      <w:r>
        <w:t>dentro de los criterios;</w:t>
      </w:r>
      <w:r w:rsidRPr="006442C4">
        <w:rPr>
          <w:rStyle w:val="FootnoteReference"/>
        </w:rPr>
        <w:footnoteReference w:id="15"/>
      </w:r>
      <w:r>
        <w:t xml:space="preserve"> </w:t>
      </w:r>
    </w:p>
    <w:p w:rsidR="00E91B29" w:rsidRDefault="00E91B29" w:rsidP="00E91B29">
      <w:pPr>
        <w:pStyle w:val="Para1"/>
        <w:numPr>
          <w:ilvl w:val="0"/>
          <w:numId w:val="3"/>
        </w:numPr>
        <w:spacing w:before="60"/>
        <w:ind w:left="0" w:firstLine="811"/>
        <w:rPr>
          <w:kern w:val="22"/>
          <w:szCs w:val="22"/>
        </w:rPr>
      </w:pPr>
      <w:r>
        <w:rPr>
          <w:i/>
          <w:iCs/>
        </w:rPr>
        <w:t>Te</w:t>
      </w:r>
      <w:r w:rsidR="00215614">
        <w:rPr>
          <w:i/>
          <w:iCs/>
        </w:rPr>
        <w:t>ner</w:t>
      </w:r>
      <w:r>
        <w:rPr>
          <w:i/>
          <w:iCs/>
        </w:rPr>
        <w:t xml:space="preserve"> en cuenta los principios generales</w:t>
      </w:r>
      <w:r w:rsidR="00215614">
        <w:rPr>
          <w:i/>
          <w:iCs/>
        </w:rPr>
        <w:t xml:space="preserve"> del derecho</w:t>
      </w:r>
      <w:r>
        <w:rPr>
          <w:i/>
          <w:iCs/>
        </w:rPr>
        <w:t xml:space="preserve"> y el concepto de</w:t>
      </w:r>
      <w:r w:rsidR="00215614">
        <w:rPr>
          <w:i/>
          <w:iCs/>
        </w:rPr>
        <w:t xml:space="preserve"> lex</w:t>
      </w:r>
      <w:r>
        <w:rPr>
          <w:i/>
          <w:iCs/>
        </w:rPr>
        <w:t xml:space="preserve"> </w:t>
      </w:r>
      <w:proofErr w:type="spellStart"/>
      <w:r>
        <w:rPr>
          <w:i/>
          <w:iCs/>
        </w:rPr>
        <w:t>specialis</w:t>
      </w:r>
      <w:proofErr w:type="spellEnd"/>
      <w:r>
        <w:rPr>
          <w:i/>
          <w:iCs/>
        </w:rPr>
        <w:t>:</w:t>
      </w:r>
      <w:r w:rsidRPr="006442C4">
        <w:rPr>
          <w:rStyle w:val="FootnoteReference"/>
        </w:rPr>
        <w:footnoteReference w:id="16"/>
      </w:r>
      <w:r>
        <w:t xml:space="preserve"> </w:t>
      </w:r>
      <w:r w:rsidR="00215614">
        <w:t>por otra parte, u</w:t>
      </w:r>
      <w:r>
        <w:t>na presentación</w:t>
      </w:r>
      <w:r>
        <w:rPr>
          <w:rStyle w:val="FootnoteReference"/>
        </w:rPr>
        <w:footnoteReference w:id="17"/>
      </w:r>
      <w:r>
        <w:t xml:space="preserve"> advierte contra la </w:t>
      </w:r>
      <w:r w:rsidR="00215614">
        <w:t>posible fragmentación</w:t>
      </w:r>
      <w:r>
        <w:t xml:space="preserve"> de los </w:t>
      </w:r>
      <w:r w:rsidR="00215614">
        <w:t>instrumentos internacionales de acceso</w:t>
      </w:r>
      <w:r>
        <w:t xml:space="preserve"> y participación en los beneficios y que la proliferación de </w:t>
      </w:r>
      <w:r w:rsidR="00127D65">
        <w:t>estos</w:t>
      </w:r>
      <w:r>
        <w:t xml:space="preserve"> </w:t>
      </w:r>
      <w:r w:rsidR="00215614">
        <w:t xml:space="preserve">instrumentos internacionales  </w:t>
      </w:r>
      <w:r>
        <w:t xml:space="preserve">puede tener efectos perjudiciales </w:t>
      </w:r>
      <w:r w:rsidR="00215614">
        <w:t xml:space="preserve">en </w:t>
      </w:r>
      <w:r w:rsidR="00D43E1D">
        <w:t>la aplicación</w:t>
      </w:r>
      <w:r>
        <w:t xml:space="preserve">, la coordinación y la </w:t>
      </w:r>
      <w:r w:rsidR="00215614">
        <w:t xml:space="preserve">rendición de cuentas </w:t>
      </w:r>
      <w:r>
        <w:t>nacionales.</w:t>
      </w:r>
    </w:p>
    <w:p w:rsidR="00E91B29" w:rsidRPr="00F26DAC" w:rsidRDefault="0026259A" w:rsidP="00E91B29">
      <w:pPr>
        <w:pStyle w:val="Heading2"/>
        <w:numPr>
          <w:ilvl w:val="0"/>
          <w:numId w:val="9"/>
        </w:numPr>
        <w:tabs>
          <w:tab w:val="clear" w:pos="720"/>
        </w:tabs>
        <w:ind w:left="1418" w:hanging="567"/>
        <w:jc w:val="left"/>
        <w:rPr>
          <w:i w:val="0"/>
          <w:kern w:val="22"/>
        </w:rPr>
      </w:pPr>
      <w:r>
        <w:rPr>
          <w:i w:val="0"/>
          <w:kern w:val="22"/>
        </w:rPr>
        <w:t>Puntos de vista</w:t>
      </w:r>
      <w:r w:rsidR="00215614">
        <w:rPr>
          <w:i w:val="0"/>
          <w:kern w:val="22"/>
        </w:rPr>
        <w:t xml:space="preserve"> sobre</w:t>
      </w:r>
      <w:r>
        <w:rPr>
          <w:i w:val="0"/>
          <w:kern w:val="22"/>
        </w:rPr>
        <w:t xml:space="preserve"> </w:t>
      </w:r>
      <w:r w:rsidR="00E91B29" w:rsidRPr="00F26DAC">
        <w:rPr>
          <w:i w:val="0"/>
          <w:kern w:val="22"/>
        </w:rPr>
        <w:t xml:space="preserve">el </w:t>
      </w:r>
      <w:r w:rsidR="00215614">
        <w:rPr>
          <w:i w:val="0"/>
          <w:kern w:val="22"/>
        </w:rPr>
        <w:t>posible proceso</w:t>
      </w:r>
      <w:r w:rsidR="00E91B29" w:rsidRPr="00F26DAC">
        <w:rPr>
          <w:i w:val="0"/>
          <w:kern w:val="22"/>
        </w:rPr>
        <w:t xml:space="preserve"> para reconocer </w:t>
      </w:r>
      <w:r w:rsidR="00E91B29" w:rsidRPr="00F26DAC">
        <w:rPr>
          <w:i w:val="0"/>
          <w:iCs w:val="0"/>
          <w:kern w:val="22"/>
        </w:rPr>
        <w:t xml:space="preserve">instrumentos </w:t>
      </w:r>
      <w:r w:rsidR="004D2DBF">
        <w:rPr>
          <w:i w:val="0"/>
          <w:iCs w:val="0"/>
          <w:kern w:val="22"/>
        </w:rPr>
        <w:t>internacionales especializados de acceso y participación en los beneficios</w:t>
      </w:r>
    </w:p>
    <w:p w:rsidR="00E91B29" w:rsidRDefault="00E91B29" w:rsidP="00E91B29">
      <w:pPr>
        <w:pStyle w:val="Para1"/>
        <w:numPr>
          <w:ilvl w:val="0"/>
          <w:numId w:val="4"/>
        </w:numPr>
        <w:tabs>
          <w:tab w:val="num" w:pos="709"/>
        </w:tabs>
        <w:spacing w:before="120"/>
        <w:ind w:left="0" w:firstLine="0"/>
        <w:rPr>
          <w:bCs/>
        </w:rPr>
      </w:pPr>
      <w:r>
        <w:rPr>
          <w:bCs/>
        </w:rPr>
        <w:t xml:space="preserve">Varias presentaciones parecen converger </w:t>
      </w:r>
      <w:r w:rsidR="00127D65">
        <w:rPr>
          <w:bCs/>
        </w:rPr>
        <w:t xml:space="preserve">en </w:t>
      </w:r>
      <w:r>
        <w:rPr>
          <w:bCs/>
        </w:rPr>
        <w:t xml:space="preserve">que no hay necesidad de </w:t>
      </w:r>
      <w:r w:rsidR="00215614">
        <w:rPr>
          <w:bCs/>
        </w:rPr>
        <w:t xml:space="preserve">contar con </w:t>
      </w:r>
      <w:r>
        <w:rPr>
          <w:bCs/>
        </w:rPr>
        <w:t xml:space="preserve">un proceso </w:t>
      </w:r>
      <w:r w:rsidR="00215614">
        <w:rPr>
          <w:bCs/>
        </w:rPr>
        <w:t xml:space="preserve">formal </w:t>
      </w:r>
      <w:r>
        <w:rPr>
          <w:bCs/>
        </w:rPr>
        <w:t xml:space="preserve">establecido </w:t>
      </w:r>
      <w:r w:rsidR="00215614">
        <w:rPr>
          <w:bCs/>
        </w:rPr>
        <w:t>para</w:t>
      </w:r>
      <w:r>
        <w:rPr>
          <w:bCs/>
        </w:rPr>
        <w:t xml:space="preserve"> reconocer los instrumentos </w:t>
      </w:r>
      <w:r w:rsidR="004D2DBF">
        <w:rPr>
          <w:bCs/>
        </w:rPr>
        <w:t>internacionales especializados de acceso y participación en los beneficios</w:t>
      </w:r>
      <w:r>
        <w:rPr>
          <w:bCs/>
        </w:rPr>
        <w:t>.</w:t>
      </w:r>
      <w:r>
        <w:t xml:space="preserve"> </w:t>
      </w:r>
      <w:r w:rsidR="00215614">
        <w:t>Al respecto se alegó lo siguiente</w:t>
      </w:r>
      <w:r>
        <w:rPr>
          <w:bCs/>
        </w:rPr>
        <w:t>:</w:t>
      </w:r>
      <w:r w:rsidR="00215614">
        <w:rPr>
          <w:bCs/>
        </w:rPr>
        <w:t xml:space="preserve"> </w:t>
      </w:r>
    </w:p>
    <w:p w:rsidR="00E91B29" w:rsidRDefault="00E91B29" w:rsidP="00E91B29">
      <w:pPr>
        <w:pStyle w:val="Para1"/>
        <w:numPr>
          <w:ilvl w:val="0"/>
          <w:numId w:val="8"/>
        </w:numPr>
        <w:spacing w:before="120"/>
        <w:ind w:left="0" w:firstLine="840"/>
        <w:rPr>
          <w:bCs/>
        </w:rPr>
      </w:pPr>
      <w:r>
        <w:rPr>
          <w:bCs/>
        </w:rPr>
        <w:t xml:space="preserve">El reconocimiento de un </w:t>
      </w:r>
      <w:r w:rsidR="00EA5BBA">
        <w:rPr>
          <w:bCs/>
        </w:rPr>
        <w:t>instrumento internacional especializado de acceso y participación en los beneficios</w:t>
      </w:r>
      <w:r>
        <w:rPr>
          <w:bCs/>
        </w:rPr>
        <w:t xml:space="preserve"> se </w:t>
      </w:r>
      <w:r w:rsidR="00217A4B">
        <w:rPr>
          <w:bCs/>
        </w:rPr>
        <w:t xml:space="preserve">considera una </w:t>
      </w:r>
      <w:r>
        <w:rPr>
          <w:bCs/>
        </w:rPr>
        <w:t>decisión soberana de un estado;</w:t>
      </w:r>
      <w:r w:rsidRPr="006442C4">
        <w:rPr>
          <w:rStyle w:val="FootnoteReference"/>
          <w:rFonts w:eastAsiaTheme="minorHAnsi"/>
          <w:szCs w:val="22"/>
        </w:rPr>
        <w:footnoteReference w:id="18"/>
      </w:r>
    </w:p>
    <w:p w:rsidR="00E91B29" w:rsidRDefault="00E91B29" w:rsidP="00E91B29">
      <w:pPr>
        <w:pStyle w:val="Para1"/>
        <w:numPr>
          <w:ilvl w:val="0"/>
          <w:numId w:val="8"/>
        </w:numPr>
        <w:spacing w:before="120"/>
        <w:ind w:left="0" w:firstLine="840"/>
        <w:rPr>
          <w:bCs/>
        </w:rPr>
      </w:pPr>
      <w:r>
        <w:rPr>
          <w:bCs/>
        </w:rPr>
        <w:t xml:space="preserve">El </w:t>
      </w:r>
      <w:r w:rsidR="00EA5BBA">
        <w:rPr>
          <w:bCs/>
        </w:rPr>
        <w:t>Artículo</w:t>
      </w:r>
      <w:r>
        <w:rPr>
          <w:bCs/>
        </w:rPr>
        <w:t xml:space="preserve"> 4, párrafo 4, no requiere un proceso formal de reconocimiento</w:t>
      </w:r>
      <w:r>
        <w:rPr>
          <w:rStyle w:val="FootnoteReference"/>
          <w:rFonts w:eastAsiaTheme="minorHAnsi"/>
          <w:szCs w:val="22"/>
        </w:rPr>
        <w:footnoteReference w:id="19"/>
      </w:r>
      <w:r>
        <w:rPr>
          <w:bCs/>
        </w:rPr>
        <w:t xml:space="preserve"> y no </w:t>
      </w:r>
      <w:r w:rsidR="00217A4B">
        <w:rPr>
          <w:bCs/>
        </w:rPr>
        <w:t xml:space="preserve">existe un </w:t>
      </w:r>
      <w:r>
        <w:rPr>
          <w:bCs/>
        </w:rPr>
        <w:t xml:space="preserve">consenso entre las Partes </w:t>
      </w:r>
      <w:r w:rsidR="00217A4B">
        <w:rPr>
          <w:bCs/>
        </w:rPr>
        <w:t xml:space="preserve">de </w:t>
      </w:r>
      <w:r>
        <w:rPr>
          <w:bCs/>
        </w:rPr>
        <w:t xml:space="preserve">que </w:t>
      </w:r>
      <w:r w:rsidR="00040323">
        <w:rPr>
          <w:bCs/>
        </w:rPr>
        <w:t>un</w:t>
      </w:r>
      <w:r>
        <w:rPr>
          <w:bCs/>
        </w:rPr>
        <w:t xml:space="preserve"> proceso es necesario;</w:t>
      </w:r>
      <w:r w:rsidRPr="006442C4">
        <w:rPr>
          <w:rStyle w:val="FootnoteReference"/>
          <w:bCs/>
        </w:rPr>
        <w:footnoteReference w:id="20"/>
      </w:r>
      <w:r>
        <w:t xml:space="preserve"> </w:t>
      </w:r>
    </w:p>
    <w:p w:rsidR="00E91B29" w:rsidRDefault="00E91B29" w:rsidP="00E91B29">
      <w:pPr>
        <w:pStyle w:val="Para1"/>
        <w:numPr>
          <w:ilvl w:val="0"/>
          <w:numId w:val="8"/>
        </w:numPr>
        <w:spacing w:before="120"/>
        <w:ind w:left="0" w:firstLine="840"/>
        <w:rPr>
          <w:bCs/>
        </w:rPr>
      </w:pPr>
      <w:r>
        <w:rPr>
          <w:bCs/>
        </w:rPr>
        <w:t xml:space="preserve">El </w:t>
      </w:r>
      <w:r w:rsidR="00CE77E0">
        <w:rPr>
          <w:bCs/>
        </w:rPr>
        <w:t>Convenio</w:t>
      </w:r>
      <w:r>
        <w:rPr>
          <w:bCs/>
        </w:rPr>
        <w:t xml:space="preserve"> y el </w:t>
      </w:r>
      <w:r w:rsidR="00EA5BBA">
        <w:rPr>
          <w:bCs/>
        </w:rPr>
        <w:t>Protocolo</w:t>
      </w:r>
      <w:r>
        <w:rPr>
          <w:bCs/>
        </w:rPr>
        <w:t xml:space="preserve"> de Nagoya no </w:t>
      </w:r>
      <w:r w:rsidR="00217A4B">
        <w:rPr>
          <w:bCs/>
        </w:rPr>
        <w:t xml:space="preserve">son competentes </w:t>
      </w:r>
      <w:r>
        <w:rPr>
          <w:bCs/>
        </w:rPr>
        <w:t>para tomar decisiones referente a otros instrumentos internacionales;</w:t>
      </w:r>
      <w:r w:rsidRPr="006442C4">
        <w:rPr>
          <w:rStyle w:val="FootnoteReference"/>
          <w:bCs/>
        </w:rPr>
        <w:footnoteReference w:id="21"/>
      </w:r>
    </w:p>
    <w:p w:rsidR="00E91B29" w:rsidRDefault="00E91B29" w:rsidP="00E91B29">
      <w:pPr>
        <w:pStyle w:val="Para1"/>
        <w:numPr>
          <w:ilvl w:val="0"/>
          <w:numId w:val="8"/>
        </w:numPr>
        <w:spacing w:before="120"/>
        <w:ind w:left="0" w:firstLine="840"/>
        <w:rPr>
          <w:bCs/>
        </w:rPr>
      </w:pPr>
      <w:r>
        <w:rPr>
          <w:bCs/>
        </w:rPr>
        <w:t xml:space="preserve">El desarrollo de criterios, </w:t>
      </w:r>
      <w:r w:rsidR="00217A4B">
        <w:rPr>
          <w:bCs/>
        </w:rPr>
        <w:t xml:space="preserve">como </w:t>
      </w:r>
      <w:r>
        <w:rPr>
          <w:bCs/>
        </w:rPr>
        <w:t xml:space="preserve">las características de </w:t>
      </w:r>
      <w:r>
        <w:t xml:space="preserve">un </w:t>
      </w:r>
      <w:r w:rsidR="00EA5BBA">
        <w:rPr>
          <w:bCs/>
        </w:rPr>
        <w:t>instrumento internacional especializado de acceso y participación en los beneficios</w:t>
      </w:r>
      <w:r>
        <w:rPr>
          <w:bCs/>
        </w:rPr>
        <w:t xml:space="preserve">, dependerá del recurso genético </w:t>
      </w:r>
      <w:r w:rsidR="00217A4B">
        <w:rPr>
          <w:bCs/>
        </w:rPr>
        <w:t>en cuestión</w:t>
      </w:r>
      <w:r>
        <w:rPr>
          <w:bCs/>
        </w:rPr>
        <w:t xml:space="preserve"> y el propósito del instrumento</w:t>
      </w:r>
      <w:r>
        <w:rPr>
          <w:rStyle w:val="FootnoteReference"/>
          <w:rFonts w:eastAsiaTheme="minorHAnsi"/>
          <w:szCs w:val="22"/>
        </w:rPr>
        <w:t>.</w:t>
      </w:r>
      <w:r w:rsidRPr="006442C4">
        <w:rPr>
          <w:rStyle w:val="FootnoteReference"/>
          <w:rFonts w:eastAsiaTheme="minorHAnsi"/>
          <w:szCs w:val="22"/>
        </w:rPr>
        <w:footnoteReference w:id="22"/>
      </w:r>
      <w:r>
        <w:t xml:space="preserve"> </w:t>
      </w:r>
    </w:p>
    <w:p w:rsidR="00E91B29" w:rsidRDefault="00217A4B" w:rsidP="00E91B29">
      <w:pPr>
        <w:pStyle w:val="Para1"/>
        <w:numPr>
          <w:ilvl w:val="0"/>
          <w:numId w:val="4"/>
        </w:numPr>
        <w:tabs>
          <w:tab w:val="num" w:pos="709"/>
        </w:tabs>
        <w:spacing w:before="120"/>
        <w:ind w:left="0" w:firstLine="0"/>
      </w:pPr>
      <w:r>
        <w:rPr>
          <w:bCs/>
        </w:rPr>
        <w:t>En suma</w:t>
      </w:r>
      <w:r w:rsidR="00E91B29">
        <w:rPr>
          <w:bCs/>
        </w:rPr>
        <w:t xml:space="preserve">, parece que </w:t>
      </w:r>
      <w:r>
        <w:rPr>
          <w:bCs/>
        </w:rPr>
        <w:t xml:space="preserve">se </w:t>
      </w:r>
      <w:r w:rsidR="00E91B29">
        <w:rPr>
          <w:bCs/>
        </w:rPr>
        <w:t xml:space="preserve">podría </w:t>
      </w:r>
      <w:r>
        <w:rPr>
          <w:bCs/>
        </w:rPr>
        <w:t xml:space="preserve">considerar útil </w:t>
      </w:r>
      <w:r w:rsidR="00E91B29">
        <w:rPr>
          <w:bCs/>
        </w:rPr>
        <w:t xml:space="preserve">tener criterios como puntos o elementos de referencia </w:t>
      </w:r>
      <w:r>
        <w:rPr>
          <w:bCs/>
        </w:rPr>
        <w:t xml:space="preserve">para </w:t>
      </w:r>
      <w:r w:rsidR="00127D65">
        <w:rPr>
          <w:bCs/>
        </w:rPr>
        <w:t>que sirvieran para orientar e</w:t>
      </w:r>
      <w:r w:rsidR="00E91B29">
        <w:rPr>
          <w:bCs/>
        </w:rPr>
        <w:t>l desarroll</w:t>
      </w:r>
      <w:r w:rsidR="00127D65">
        <w:rPr>
          <w:bCs/>
        </w:rPr>
        <w:t>o</w:t>
      </w:r>
      <w:r w:rsidR="00E91B29">
        <w:rPr>
          <w:bCs/>
        </w:rPr>
        <w:t xml:space="preserve"> o reconoc</w:t>
      </w:r>
      <w:r w:rsidR="00127D65">
        <w:rPr>
          <w:bCs/>
        </w:rPr>
        <w:t>imiento de</w:t>
      </w:r>
      <w:r w:rsidR="00E91B29">
        <w:rPr>
          <w:bCs/>
        </w:rPr>
        <w:t xml:space="preserve"> los instrumentos </w:t>
      </w:r>
      <w:r w:rsidR="004D2DBF">
        <w:rPr>
          <w:bCs/>
        </w:rPr>
        <w:t>internacionales especializados de acceso y participación en los beneficios</w:t>
      </w:r>
      <w:r w:rsidR="00E91B29">
        <w:rPr>
          <w:bCs/>
        </w:rPr>
        <w:t xml:space="preserve">, pero que no </w:t>
      </w:r>
      <w:r>
        <w:rPr>
          <w:bCs/>
        </w:rPr>
        <w:t xml:space="preserve">existe una </w:t>
      </w:r>
      <w:r w:rsidR="00E91B29">
        <w:rPr>
          <w:bCs/>
        </w:rPr>
        <w:t>necesidad de crear un sistema de reglas formal</w:t>
      </w:r>
      <w:r>
        <w:rPr>
          <w:bCs/>
        </w:rPr>
        <w:t>es</w:t>
      </w:r>
      <w:r w:rsidR="00E91B29">
        <w:rPr>
          <w:bCs/>
        </w:rPr>
        <w:t xml:space="preserve"> para el reconocimiento de </w:t>
      </w:r>
      <w:r>
        <w:rPr>
          <w:bCs/>
        </w:rPr>
        <w:t xml:space="preserve">dichos </w:t>
      </w:r>
      <w:r w:rsidR="00E91B29">
        <w:rPr>
          <w:bCs/>
        </w:rPr>
        <w:t>instrumentos.</w:t>
      </w:r>
      <w:r w:rsidR="00E91B29">
        <w:t xml:space="preserve"> </w:t>
      </w:r>
    </w:p>
    <w:p w:rsidR="00E91B29" w:rsidRPr="00F26DAC" w:rsidRDefault="0026259A" w:rsidP="00E91B29">
      <w:pPr>
        <w:pStyle w:val="Heading2"/>
        <w:numPr>
          <w:ilvl w:val="0"/>
          <w:numId w:val="9"/>
        </w:numPr>
        <w:rPr>
          <w:i w:val="0"/>
        </w:rPr>
      </w:pPr>
      <w:r>
        <w:rPr>
          <w:i w:val="0"/>
        </w:rPr>
        <w:t>Puntos de vista</w:t>
      </w:r>
      <w:r w:rsidR="00217A4B">
        <w:rPr>
          <w:i w:val="0"/>
        </w:rPr>
        <w:t xml:space="preserve"> sobre</w:t>
      </w:r>
      <w:r w:rsidR="00E91B29" w:rsidRPr="00F26DAC">
        <w:rPr>
          <w:i w:val="0"/>
        </w:rPr>
        <w:t xml:space="preserve"> los criterios mismos</w:t>
      </w:r>
    </w:p>
    <w:p w:rsidR="00E91B29" w:rsidRDefault="00E91B29" w:rsidP="004501C0">
      <w:pPr>
        <w:pStyle w:val="ListParagraph"/>
        <w:numPr>
          <w:ilvl w:val="0"/>
          <w:numId w:val="5"/>
        </w:numPr>
        <w:ind w:left="720" w:firstLine="0"/>
        <w:jc w:val="center"/>
        <w:rPr>
          <w:i/>
        </w:rPr>
      </w:pPr>
      <w:r>
        <w:rPr>
          <w:i/>
        </w:rPr>
        <w:t>Criterio 1:</w:t>
      </w:r>
      <w:r>
        <w:t xml:space="preserve"> </w:t>
      </w:r>
      <w:r w:rsidR="00B6179C">
        <w:rPr>
          <w:i/>
        </w:rPr>
        <w:t>L</w:t>
      </w:r>
      <w:r w:rsidR="00127D65">
        <w:rPr>
          <w:i/>
        </w:rPr>
        <w:t xml:space="preserve">os instrumentos internacionales especializados de acceso y participación en los beneficios </w:t>
      </w:r>
      <w:r w:rsidR="00217A4B">
        <w:rPr>
          <w:i/>
        </w:rPr>
        <w:t>deberían convenir</w:t>
      </w:r>
      <w:r w:rsidR="00B6179C">
        <w:rPr>
          <w:i/>
        </w:rPr>
        <w:t>se</w:t>
      </w:r>
      <w:r w:rsidR="00217A4B">
        <w:rPr>
          <w:i/>
        </w:rPr>
        <w:t xml:space="preserve"> intergubernamentalmente </w:t>
      </w:r>
    </w:p>
    <w:p w:rsidR="00E91B29" w:rsidRDefault="00E91B29" w:rsidP="00E91B29">
      <w:pPr>
        <w:pStyle w:val="Para1"/>
        <w:numPr>
          <w:ilvl w:val="0"/>
          <w:numId w:val="4"/>
        </w:numPr>
        <w:tabs>
          <w:tab w:val="num" w:pos="709"/>
        </w:tabs>
        <w:spacing w:before="120"/>
        <w:ind w:left="0" w:firstLine="0"/>
        <w:rPr>
          <w:bCs/>
        </w:rPr>
      </w:pPr>
      <w:r>
        <w:rPr>
          <w:bCs/>
        </w:rPr>
        <w:t>Dos presentaciones</w:t>
      </w:r>
      <w:r>
        <w:rPr>
          <w:bCs/>
          <w:vertAlign w:val="superscript"/>
        </w:rPr>
        <w:footnoteReference w:id="23"/>
      </w:r>
      <w:r>
        <w:rPr>
          <w:bCs/>
        </w:rPr>
        <w:t xml:space="preserve"> sugirieron que</w:t>
      </w:r>
      <w:r w:rsidR="00217A4B">
        <w:rPr>
          <w:bCs/>
        </w:rPr>
        <w:t xml:space="preserve"> </w:t>
      </w:r>
      <w:r>
        <w:rPr>
          <w:bCs/>
        </w:rPr>
        <w:t xml:space="preserve">un </w:t>
      </w:r>
      <w:r w:rsidR="00EA5BBA">
        <w:rPr>
          <w:bCs/>
        </w:rPr>
        <w:t>instrumento internacional especializado de acceso y participación en los beneficios</w:t>
      </w:r>
      <w:r>
        <w:rPr>
          <w:bCs/>
        </w:rPr>
        <w:t xml:space="preserve"> </w:t>
      </w:r>
      <w:r w:rsidR="00217A4B">
        <w:rPr>
          <w:bCs/>
        </w:rPr>
        <w:t xml:space="preserve">debería convenirse </w:t>
      </w:r>
      <w:r>
        <w:rPr>
          <w:bCs/>
        </w:rPr>
        <w:t>intergubernamental o internacionalmente.</w:t>
      </w:r>
      <w:r>
        <w:t xml:space="preserve"> </w:t>
      </w:r>
    </w:p>
    <w:p w:rsidR="00E91B29" w:rsidRDefault="00E91B29" w:rsidP="00E91B29">
      <w:pPr>
        <w:pStyle w:val="Para1"/>
        <w:numPr>
          <w:ilvl w:val="0"/>
          <w:numId w:val="4"/>
        </w:numPr>
        <w:tabs>
          <w:tab w:val="num" w:pos="709"/>
        </w:tabs>
        <w:spacing w:before="120"/>
        <w:ind w:left="0" w:firstLine="0"/>
        <w:rPr>
          <w:bCs/>
        </w:rPr>
      </w:pPr>
      <w:r>
        <w:rPr>
          <w:bCs/>
        </w:rPr>
        <w:lastRenderedPageBreak/>
        <w:t>Una presentación</w:t>
      </w:r>
      <w:r>
        <w:rPr>
          <w:rStyle w:val="FootnoteReference"/>
          <w:bCs/>
        </w:rPr>
        <w:footnoteReference w:id="24"/>
      </w:r>
      <w:r>
        <w:rPr>
          <w:bCs/>
        </w:rPr>
        <w:t xml:space="preserve"> indicó que</w:t>
      </w:r>
      <w:r w:rsidR="00837EB2">
        <w:rPr>
          <w:bCs/>
        </w:rPr>
        <w:t xml:space="preserve"> </w:t>
      </w:r>
      <w:r>
        <w:rPr>
          <w:bCs/>
        </w:rPr>
        <w:t xml:space="preserve">también </w:t>
      </w:r>
      <w:r w:rsidR="00217A4B">
        <w:rPr>
          <w:bCs/>
        </w:rPr>
        <w:t xml:space="preserve">se debería desarrollar mediante </w:t>
      </w:r>
      <w:r>
        <w:rPr>
          <w:bCs/>
        </w:rPr>
        <w:t>un proceso intergubernamental, mientras que otras presentaciones</w:t>
      </w:r>
      <w:r>
        <w:rPr>
          <w:rStyle w:val="FootnoteReference"/>
          <w:bCs/>
        </w:rPr>
        <w:footnoteReference w:id="25"/>
      </w:r>
      <w:r>
        <w:rPr>
          <w:bCs/>
        </w:rPr>
        <w:t xml:space="preserve"> </w:t>
      </w:r>
      <w:r w:rsidR="00217A4B">
        <w:rPr>
          <w:bCs/>
        </w:rPr>
        <w:t xml:space="preserve">opinaron que el modo de desarrollo de un instrumento no puede ser </w:t>
      </w:r>
      <w:r w:rsidR="008B57C8">
        <w:rPr>
          <w:bCs/>
        </w:rPr>
        <w:t>pertinente</w:t>
      </w:r>
      <w:r>
        <w:rPr>
          <w:bCs/>
        </w:rPr>
        <w:t>.</w:t>
      </w:r>
      <w:r>
        <w:t xml:space="preserve"> </w:t>
      </w:r>
      <w:r>
        <w:rPr>
          <w:bCs/>
        </w:rPr>
        <w:t>Una presentación</w:t>
      </w:r>
      <w:r>
        <w:rPr>
          <w:bCs/>
          <w:vertAlign w:val="superscript"/>
        </w:rPr>
        <w:footnoteReference w:id="26"/>
      </w:r>
      <w:r>
        <w:rPr>
          <w:bCs/>
        </w:rPr>
        <w:t xml:space="preserve"> observó que no siempre </w:t>
      </w:r>
      <w:r w:rsidR="00217A4B">
        <w:rPr>
          <w:bCs/>
        </w:rPr>
        <w:t xml:space="preserve">era </w:t>
      </w:r>
      <w:r w:rsidR="008B57C8">
        <w:rPr>
          <w:bCs/>
        </w:rPr>
        <w:t xml:space="preserve">pertinente </w:t>
      </w:r>
      <w:r>
        <w:rPr>
          <w:bCs/>
        </w:rPr>
        <w:t xml:space="preserve">que el instrumento </w:t>
      </w:r>
      <w:r w:rsidR="00217A4B">
        <w:rPr>
          <w:bCs/>
        </w:rPr>
        <w:t xml:space="preserve">se desarrollarse mediante </w:t>
      </w:r>
      <w:r>
        <w:rPr>
          <w:bCs/>
        </w:rPr>
        <w:t xml:space="preserve">un proceso intergubernamental, pero de hecho </w:t>
      </w:r>
      <w:r w:rsidR="00077EC6">
        <w:rPr>
          <w:bCs/>
        </w:rPr>
        <w:t xml:space="preserve">era </w:t>
      </w:r>
      <w:r>
        <w:rPr>
          <w:bCs/>
        </w:rPr>
        <w:t>importante y apropiado que los estados o gobiernos respalda</w:t>
      </w:r>
      <w:r w:rsidR="00077EC6">
        <w:rPr>
          <w:bCs/>
        </w:rPr>
        <w:t>se</w:t>
      </w:r>
      <w:r>
        <w:rPr>
          <w:bCs/>
        </w:rPr>
        <w:t>n tales instrumentos.</w:t>
      </w:r>
      <w:r>
        <w:t xml:space="preserve"> </w:t>
      </w:r>
      <w:r>
        <w:rPr>
          <w:bCs/>
        </w:rPr>
        <w:t xml:space="preserve">Por ejemplo, según esta presentación, un instrumento internacional podía </w:t>
      </w:r>
      <w:r w:rsidR="00077EC6">
        <w:rPr>
          <w:bCs/>
        </w:rPr>
        <w:t xml:space="preserve">ser el resultado </w:t>
      </w:r>
      <w:r>
        <w:rPr>
          <w:bCs/>
        </w:rPr>
        <w:t xml:space="preserve">de un proceso formal dentro de un organismo internacional específico y después </w:t>
      </w:r>
      <w:r w:rsidR="00077EC6">
        <w:rPr>
          <w:bCs/>
        </w:rPr>
        <w:t xml:space="preserve">ser adoptado </w:t>
      </w:r>
      <w:r>
        <w:rPr>
          <w:bCs/>
        </w:rPr>
        <w:t xml:space="preserve">de acuerdo con sus </w:t>
      </w:r>
      <w:r w:rsidR="00077EC6">
        <w:rPr>
          <w:bCs/>
        </w:rPr>
        <w:t>normas y procedimientos</w:t>
      </w:r>
      <w:r>
        <w:rPr>
          <w:bCs/>
        </w:rPr>
        <w:t>.</w:t>
      </w:r>
      <w:r>
        <w:t xml:space="preserve"> </w:t>
      </w:r>
      <w:r w:rsidR="00077EC6">
        <w:t>Asimismo pod</w:t>
      </w:r>
      <w:r w:rsidR="00B6179C">
        <w:t>r</w:t>
      </w:r>
      <w:r w:rsidR="00077EC6">
        <w:t xml:space="preserve">ía </w:t>
      </w:r>
      <w:r>
        <w:rPr>
          <w:bCs/>
        </w:rPr>
        <w:t>ser posible que el instrumento internacional especializado</w:t>
      </w:r>
      <w:r w:rsidR="00077EC6">
        <w:rPr>
          <w:bCs/>
        </w:rPr>
        <w:t xml:space="preserve"> se</w:t>
      </w:r>
      <w:r>
        <w:rPr>
          <w:bCs/>
        </w:rPr>
        <w:t xml:space="preserve"> </w:t>
      </w:r>
      <w:r w:rsidR="00077EC6">
        <w:rPr>
          <w:bCs/>
        </w:rPr>
        <w:t xml:space="preserve">desarrollase </w:t>
      </w:r>
      <w:r>
        <w:rPr>
          <w:bCs/>
        </w:rPr>
        <w:t xml:space="preserve">como resultado de </w:t>
      </w:r>
      <w:r w:rsidR="00077EC6">
        <w:rPr>
          <w:bCs/>
        </w:rPr>
        <w:t xml:space="preserve">una </w:t>
      </w:r>
      <w:r>
        <w:rPr>
          <w:bCs/>
        </w:rPr>
        <w:t xml:space="preserve">práctica existente, y después </w:t>
      </w:r>
      <w:r w:rsidR="00077EC6">
        <w:rPr>
          <w:bCs/>
        </w:rPr>
        <w:t xml:space="preserve">fuese </w:t>
      </w:r>
      <w:r>
        <w:rPr>
          <w:bCs/>
        </w:rPr>
        <w:t>respaldado por un organismo internacional, o como resultado de una cooperación informal, como una iniciativa de cooperación regional.</w:t>
      </w:r>
      <w:r w:rsidRPr="006442C4">
        <w:rPr>
          <w:bCs/>
          <w:vertAlign w:val="superscript"/>
        </w:rPr>
        <w:footnoteReference w:id="27"/>
      </w:r>
    </w:p>
    <w:p w:rsidR="00E91B29" w:rsidRDefault="00E91B29" w:rsidP="00E91B29">
      <w:pPr>
        <w:pStyle w:val="Para1"/>
        <w:numPr>
          <w:ilvl w:val="0"/>
          <w:numId w:val="4"/>
        </w:numPr>
        <w:tabs>
          <w:tab w:val="num" w:pos="709"/>
        </w:tabs>
        <w:spacing w:before="120"/>
        <w:ind w:left="0" w:firstLine="0"/>
        <w:rPr>
          <w:bCs/>
        </w:rPr>
      </w:pPr>
      <w:r>
        <w:rPr>
          <w:bCs/>
        </w:rPr>
        <w:t xml:space="preserve">Dos presentaciones </w:t>
      </w:r>
      <w:r w:rsidR="00077EC6">
        <w:rPr>
          <w:bCs/>
        </w:rPr>
        <w:t xml:space="preserve">concordaron en </w:t>
      </w:r>
      <w:r>
        <w:rPr>
          <w:bCs/>
        </w:rPr>
        <w:t xml:space="preserve">que el instrumento </w:t>
      </w:r>
      <w:r w:rsidR="008129BB">
        <w:rPr>
          <w:bCs/>
        </w:rPr>
        <w:t xml:space="preserve">no necesitan </w:t>
      </w:r>
      <w:r>
        <w:rPr>
          <w:bCs/>
        </w:rPr>
        <w:t>ser jurídicamente vinculante.</w:t>
      </w:r>
      <w:r w:rsidRPr="006442C4">
        <w:rPr>
          <w:rStyle w:val="FootnoteReference"/>
          <w:bCs/>
        </w:rPr>
        <w:footnoteReference w:id="28"/>
      </w:r>
    </w:p>
    <w:p w:rsidR="00E91B29" w:rsidRDefault="00E91B29" w:rsidP="004501C0">
      <w:pPr>
        <w:pStyle w:val="ListParagraph"/>
        <w:keepNext/>
        <w:numPr>
          <w:ilvl w:val="0"/>
          <w:numId w:val="5"/>
        </w:numPr>
        <w:ind w:left="720" w:firstLine="0"/>
        <w:jc w:val="center"/>
        <w:rPr>
          <w:i/>
        </w:rPr>
      </w:pPr>
      <w:r>
        <w:rPr>
          <w:i/>
        </w:rPr>
        <w:t>Criterio 2:</w:t>
      </w:r>
      <w:r>
        <w:t xml:space="preserve"> </w:t>
      </w:r>
      <w:r>
        <w:rPr>
          <w:i/>
        </w:rPr>
        <w:t xml:space="preserve">Los instrumentos </w:t>
      </w:r>
      <w:r w:rsidR="004D2DBF">
        <w:rPr>
          <w:i/>
        </w:rPr>
        <w:t>internacionales especializados de acceso y participación en los beneficios</w:t>
      </w:r>
      <w:r>
        <w:rPr>
          <w:i/>
        </w:rPr>
        <w:t xml:space="preserve"> debe</w:t>
      </w:r>
      <w:r w:rsidR="00077EC6">
        <w:rPr>
          <w:i/>
        </w:rPr>
        <w:t>ría</w:t>
      </w:r>
      <w:r>
        <w:rPr>
          <w:i/>
        </w:rPr>
        <w:t xml:space="preserve">n ser </w:t>
      </w:r>
      <w:r w:rsidR="00B6179C">
        <w:rPr>
          <w:i/>
        </w:rPr>
        <w:t>específicos</w:t>
      </w:r>
      <w:r>
        <w:t xml:space="preserve"> </w:t>
      </w:r>
    </w:p>
    <w:p w:rsidR="00E91B29" w:rsidRDefault="00E91B29" w:rsidP="00E91B29">
      <w:pPr>
        <w:pStyle w:val="Para1"/>
        <w:numPr>
          <w:ilvl w:val="0"/>
          <w:numId w:val="4"/>
        </w:numPr>
        <w:tabs>
          <w:tab w:val="num" w:pos="709"/>
        </w:tabs>
        <w:spacing w:before="120"/>
        <w:ind w:left="0" w:firstLine="0"/>
        <w:rPr>
          <w:bCs/>
        </w:rPr>
      </w:pPr>
      <w:r>
        <w:rPr>
          <w:bCs/>
        </w:rPr>
        <w:t xml:space="preserve">Una presentación observó que el "requisito" para un enfoque </w:t>
      </w:r>
      <w:r w:rsidR="008253A9">
        <w:rPr>
          <w:bCs/>
        </w:rPr>
        <w:t>diferente</w:t>
      </w:r>
      <w:r w:rsidR="00077EC6">
        <w:rPr>
          <w:bCs/>
        </w:rPr>
        <w:t xml:space="preserve"> </w:t>
      </w:r>
      <w:r>
        <w:rPr>
          <w:bCs/>
        </w:rPr>
        <w:t xml:space="preserve">en </w:t>
      </w:r>
      <w:r w:rsidR="00B6179C">
        <w:rPr>
          <w:bCs/>
        </w:rPr>
        <w:t xml:space="preserve">el </w:t>
      </w:r>
      <w:r>
        <w:rPr>
          <w:bCs/>
        </w:rPr>
        <w:t>subcriterio (b) - es decir</w:t>
      </w:r>
      <w:r w:rsidR="00B6179C">
        <w:rPr>
          <w:bCs/>
        </w:rPr>
        <w:t>,</w:t>
      </w:r>
      <w:r>
        <w:rPr>
          <w:bCs/>
        </w:rPr>
        <w:t xml:space="preserve"> </w:t>
      </w:r>
      <w:r w:rsidR="008129BB">
        <w:rPr>
          <w:bCs/>
        </w:rPr>
        <w:t xml:space="preserve">que </w:t>
      </w:r>
      <w:r>
        <w:rPr>
          <w:bCs/>
        </w:rPr>
        <w:t xml:space="preserve">el instrumento se aplicaría a </w:t>
      </w:r>
      <w:r w:rsidR="00696569">
        <w:rPr>
          <w:bCs/>
        </w:rPr>
        <w:t>los usos específicos</w:t>
      </w:r>
      <w:r>
        <w:rPr>
          <w:bCs/>
        </w:rPr>
        <w:t xml:space="preserve"> de los recursos genéticos </w:t>
      </w:r>
      <w:r w:rsidR="00696569">
        <w:rPr>
          <w:bCs/>
        </w:rPr>
        <w:t>y/o los conocimientos tradicionales</w:t>
      </w:r>
      <w:r>
        <w:rPr>
          <w:bCs/>
        </w:rPr>
        <w:t xml:space="preserve"> asociados a los recursos genéticos que requieren un enfoque </w:t>
      </w:r>
      <w:r w:rsidR="008253A9">
        <w:rPr>
          <w:bCs/>
        </w:rPr>
        <w:t>diferente</w:t>
      </w:r>
      <w:r w:rsidR="00077EC6">
        <w:rPr>
          <w:bCs/>
        </w:rPr>
        <w:t xml:space="preserve"> </w:t>
      </w:r>
      <w:r>
        <w:rPr>
          <w:bCs/>
        </w:rPr>
        <w:t>y</w:t>
      </w:r>
      <w:r w:rsidR="00077EC6">
        <w:rPr>
          <w:bCs/>
        </w:rPr>
        <w:t>,</w:t>
      </w:r>
      <w:r>
        <w:rPr>
          <w:bCs/>
        </w:rPr>
        <w:t xml:space="preserve"> por lo tanto</w:t>
      </w:r>
      <w:r w:rsidR="00077EC6">
        <w:rPr>
          <w:bCs/>
        </w:rPr>
        <w:t>,</w:t>
      </w:r>
      <w:r>
        <w:rPr>
          <w:bCs/>
        </w:rPr>
        <w:t xml:space="preserve"> especializado </w:t>
      </w:r>
      <w:r w:rsidR="00077EC6">
        <w:rPr>
          <w:bCs/>
        </w:rPr>
        <w:t>–</w:t>
      </w:r>
      <w:r>
        <w:rPr>
          <w:bCs/>
        </w:rPr>
        <w:t xml:space="preserve"> p</w:t>
      </w:r>
      <w:r w:rsidR="00077EC6">
        <w:rPr>
          <w:bCs/>
        </w:rPr>
        <w:t xml:space="preserve">odría ser </w:t>
      </w:r>
      <w:r>
        <w:rPr>
          <w:bCs/>
        </w:rPr>
        <w:t xml:space="preserve">difícil de analizar en la práctica y que puede haber </w:t>
      </w:r>
      <w:r w:rsidR="00B6179C">
        <w:rPr>
          <w:bCs/>
        </w:rPr>
        <w:t xml:space="preserve">conjuntos </w:t>
      </w:r>
      <w:r w:rsidR="00077EC6">
        <w:rPr>
          <w:bCs/>
        </w:rPr>
        <w:t xml:space="preserve">o usos </w:t>
      </w:r>
      <w:r>
        <w:rPr>
          <w:bCs/>
        </w:rPr>
        <w:t>específico</w:t>
      </w:r>
      <w:r w:rsidR="00077EC6">
        <w:rPr>
          <w:bCs/>
        </w:rPr>
        <w:t>s</w:t>
      </w:r>
      <w:r>
        <w:rPr>
          <w:bCs/>
        </w:rPr>
        <w:t xml:space="preserve"> de los recursos genéticos, para los cuales un enfoque especializado puede ser más práctico</w:t>
      </w:r>
      <w:r w:rsidR="00077EC6">
        <w:rPr>
          <w:bCs/>
        </w:rPr>
        <w:t>,</w:t>
      </w:r>
      <w:r>
        <w:rPr>
          <w:bCs/>
        </w:rPr>
        <w:t xml:space="preserve"> pero no </w:t>
      </w:r>
      <w:r w:rsidR="00077EC6">
        <w:rPr>
          <w:bCs/>
        </w:rPr>
        <w:t>necesariamente necesario</w:t>
      </w:r>
      <w:r>
        <w:rPr>
          <w:bCs/>
        </w:rPr>
        <w:t>.</w:t>
      </w:r>
      <w:r w:rsidRPr="006442C4">
        <w:rPr>
          <w:bCs/>
          <w:vertAlign w:val="superscript"/>
        </w:rPr>
        <w:footnoteReference w:id="29"/>
      </w:r>
    </w:p>
    <w:p w:rsidR="00E91B29" w:rsidRDefault="00E91B29" w:rsidP="00E91B29">
      <w:pPr>
        <w:pStyle w:val="Para1"/>
        <w:numPr>
          <w:ilvl w:val="0"/>
          <w:numId w:val="4"/>
        </w:numPr>
        <w:tabs>
          <w:tab w:val="num" w:pos="709"/>
        </w:tabs>
        <w:spacing w:before="120"/>
        <w:ind w:left="0" w:firstLine="0"/>
        <w:rPr>
          <w:bCs/>
        </w:rPr>
      </w:pPr>
      <w:r>
        <w:rPr>
          <w:bCs/>
        </w:rPr>
        <w:t xml:space="preserve">Otras presentaciones que comentaron este criterio sugirieron que </w:t>
      </w:r>
      <w:r w:rsidR="00B6179C">
        <w:rPr>
          <w:bCs/>
        </w:rPr>
        <w:t xml:space="preserve">el </w:t>
      </w:r>
      <w:r>
        <w:rPr>
          <w:bCs/>
        </w:rPr>
        <w:t>subcriterio (a) - es decir</w:t>
      </w:r>
      <w:r w:rsidR="00B6179C">
        <w:rPr>
          <w:bCs/>
        </w:rPr>
        <w:t>,</w:t>
      </w:r>
      <w:r>
        <w:rPr>
          <w:bCs/>
        </w:rPr>
        <w:t xml:space="preserve"> el instrumento se aplicaría a un </w:t>
      </w:r>
      <w:r w:rsidR="008253A9">
        <w:rPr>
          <w:bCs/>
        </w:rPr>
        <w:t>conjunto específico de recursos genéticos</w:t>
      </w:r>
      <w:r>
        <w:rPr>
          <w:bCs/>
        </w:rPr>
        <w:t xml:space="preserve"> y/o conocimientos tradicionales asociados a los recursos genéticos que </w:t>
      </w:r>
      <w:r w:rsidR="004501C0">
        <w:rPr>
          <w:bCs/>
        </w:rPr>
        <w:t xml:space="preserve">de otro modo estarían </w:t>
      </w:r>
      <w:r w:rsidR="00B6179C">
        <w:rPr>
          <w:bCs/>
        </w:rPr>
        <w:t xml:space="preserve">comprendidos en el ámbito del </w:t>
      </w:r>
      <w:r w:rsidR="00EA5BBA">
        <w:rPr>
          <w:bCs/>
        </w:rPr>
        <w:t>Protocolo</w:t>
      </w:r>
      <w:r>
        <w:rPr>
          <w:bCs/>
        </w:rPr>
        <w:t xml:space="preserve"> de Nagoya, y (b) no debe</w:t>
      </w:r>
      <w:r w:rsidR="004501C0">
        <w:rPr>
          <w:bCs/>
        </w:rPr>
        <w:t>ría</w:t>
      </w:r>
      <w:r>
        <w:rPr>
          <w:bCs/>
        </w:rPr>
        <w:t xml:space="preserve"> ser acumulativo.</w:t>
      </w:r>
      <w:r>
        <w:t xml:space="preserve"> </w:t>
      </w:r>
      <w:r w:rsidRPr="006442C4">
        <w:rPr>
          <w:bCs/>
          <w:vertAlign w:val="superscript"/>
        </w:rPr>
        <w:footnoteReference w:id="30"/>
      </w:r>
    </w:p>
    <w:p w:rsidR="00E91B29" w:rsidRDefault="00E91B29" w:rsidP="004501C0">
      <w:pPr>
        <w:pStyle w:val="ListParagraph"/>
        <w:numPr>
          <w:ilvl w:val="0"/>
          <w:numId w:val="5"/>
        </w:numPr>
        <w:ind w:left="720" w:firstLine="0"/>
        <w:jc w:val="center"/>
        <w:rPr>
          <w:i/>
        </w:rPr>
      </w:pPr>
      <w:r>
        <w:rPr>
          <w:i/>
        </w:rPr>
        <w:t>Criterio 3:</w:t>
      </w:r>
      <w:r>
        <w:t xml:space="preserve"> </w:t>
      </w:r>
      <w:r>
        <w:rPr>
          <w:i/>
        </w:rPr>
        <w:t xml:space="preserve">Los instrumentos </w:t>
      </w:r>
      <w:r w:rsidR="004D2DBF">
        <w:rPr>
          <w:i/>
        </w:rPr>
        <w:t>internacionales especializados de acceso y participación en los beneficios</w:t>
      </w:r>
      <w:r>
        <w:rPr>
          <w:i/>
        </w:rPr>
        <w:t xml:space="preserve"> debe</w:t>
      </w:r>
      <w:r w:rsidR="004501C0">
        <w:rPr>
          <w:i/>
        </w:rPr>
        <w:t>rían</w:t>
      </w:r>
      <w:r>
        <w:rPr>
          <w:i/>
        </w:rPr>
        <w:t xml:space="preserve"> </w:t>
      </w:r>
      <w:r w:rsidR="00B6179C">
        <w:rPr>
          <w:i/>
        </w:rPr>
        <w:t xml:space="preserve">apoyarse </w:t>
      </w:r>
      <w:r>
        <w:rPr>
          <w:i/>
        </w:rPr>
        <w:t xml:space="preserve">mutuamente </w:t>
      </w:r>
    </w:p>
    <w:p w:rsidR="00E91B29" w:rsidRDefault="00E91B29" w:rsidP="00E91B29">
      <w:pPr>
        <w:pStyle w:val="Para1"/>
        <w:numPr>
          <w:ilvl w:val="0"/>
          <w:numId w:val="4"/>
        </w:numPr>
        <w:tabs>
          <w:tab w:val="num" w:pos="709"/>
        </w:tabs>
        <w:spacing w:before="120"/>
        <w:ind w:left="0" w:firstLine="0"/>
        <w:rPr>
          <w:bCs/>
        </w:rPr>
      </w:pPr>
      <w:r>
        <w:rPr>
          <w:bCs/>
        </w:rPr>
        <w:t xml:space="preserve">Ninguna presentación </w:t>
      </w:r>
      <w:r w:rsidR="004501C0">
        <w:rPr>
          <w:bCs/>
        </w:rPr>
        <w:t xml:space="preserve">cuestionó </w:t>
      </w:r>
      <w:r>
        <w:rPr>
          <w:bCs/>
        </w:rPr>
        <w:t xml:space="preserve">el criterio que el </w:t>
      </w:r>
      <w:r w:rsidR="00EA5BBA">
        <w:rPr>
          <w:bCs/>
        </w:rPr>
        <w:t>Protocolo</w:t>
      </w:r>
      <w:r>
        <w:rPr>
          <w:bCs/>
        </w:rPr>
        <w:t xml:space="preserve"> y </w:t>
      </w:r>
      <w:r w:rsidR="004501C0">
        <w:rPr>
          <w:bCs/>
        </w:rPr>
        <w:t xml:space="preserve">todo </w:t>
      </w:r>
      <w:r w:rsidR="00EA5BBA">
        <w:rPr>
          <w:bCs/>
        </w:rPr>
        <w:t>instrumento internacional especializado de acceso y participación en los beneficios</w:t>
      </w:r>
      <w:r>
        <w:rPr>
          <w:bCs/>
        </w:rPr>
        <w:t xml:space="preserve"> </w:t>
      </w:r>
      <w:r w:rsidR="004501C0">
        <w:rPr>
          <w:bCs/>
        </w:rPr>
        <w:t xml:space="preserve">deberían </w:t>
      </w:r>
      <w:r w:rsidR="00B6179C">
        <w:rPr>
          <w:bCs/>
        </w:rPr>
        <w:t xml:space="preserve">apoyarse </w:t>
      </w:r>
      <w:r w:rsidR="004501C0">
        <w:rPr>
          <w:bCs/>
        </w:rPr>
        <w:t>mutuamente</w:t>
      </w:r>
      <w:r>
        <w:rPr>
          <w:bCs/>
        </w:rPr>
        <w:t>.</w:t>
      </w:r>
      <w:r>
        <w:t xml:space="preserve"> </w:t>
      </w:r>
    </w:p>
    <w:p w:rsidR="00E91B29" w:rsidRDefault="000B00E0" w:rsidP="00E91B29">
      <w:pPr>
        <w:pStyle w:val="Para1"/>
        <w:numPr>
          <w:ilvl w:val="0"/>
          <w:numId w:val="4"/>
        </w:numPr>
        <w:tabs>
          <w:tab w:val="num" w:pos="709"/>
        </w:tabs>
        <w:spacing w:before="120"/>
        <w:ind w:left="0" w:firstLine="0"/>
        <w:rPr>
          <w:bCs/>
        </w:rPr>
      </w:pPr>
      <w:r>
        <w:rPr>
          <w:bCs/>
        </w:rPr>
        <w:t xml:space="preserve">Si bien para </w:t>
      </w:r>
      <w:r w:rsidR="00E91B29">
        <w:rPr>
          <w:bCs/>
        </w:rPr>
        <w:t>una Parte los subcriterios propu</w:t>
      </w:r>
      <w:r>
        <w:rPr>
          <w:bCs/>
        </w:rPr>
        <w:t>estos en el C</w:t>
      </w:r>
      <w:r w:rsidR="00E91B29">
        <w:rPr>
          <w:bCs/>
        </w:rPr>
        <w:t>riterio 3 debe</w:t>
      </w:r>
      <w:r>
        <w:rPr>
          <w:bCs/>
        </w:rPr>
        <w:t>rían cumplirse</w:t>
      </w:r>
      <w:r w:rsidR="00E91B29">
        <w:rPr>
          <w:bCs/>
        </w:rPr>
        <w:t>,</w:t>
      </w:r>
      <w:r w:rsidR="00E91B29">
        <w:rPr>
          <w:bCs/>
          <w:vertAlign w:val="superscript"/>
        </w:rPr>
        <w:footnoteReference w:id="31"/>
      </w:r>
      <w:r w:rsidR="00E91B29">
        <w:rPr>
          <w:bCs/>
        </w:rPr>
        <w:t xml:space="preserve"> otras presentaciones encontraron que estos subcriterios</w:t>
      </w:r>
      <w:r w:rsidR="00E91B29">
        <w:rPr>
          <w:rStyle w:val="FootnoteReference"/>
          <w:bCs/>
        </w:rPr>
        <w:footnoteReference w:id="32"/>
      </w:r>
      <w:r w:rsidR="00E91B29">
        <w:rPr>
          <w:bCs/>
        </w:rPr>
        <w:t xml:space="preserve"> </w:t>
      </w:r>
      <w:r>
        <w:rPr>
          <w:bCs/>
        </w:rPr>
        <w:t xml:space="preserve">eran </w:t>
      </w:r>
      <w:r w:rsidR="00E91B29">
        <w:rPr>
          <w:bCs/>
        </w:rPr>
        <w:t xml:space="preserve">bastante generales o </w:t>
      </w:r>
      <w:r w:rsidR="00B6179C">
        <w:rPr>
          <w:bCs/>
        </w:rPr>
        <w:t xml:space="preserve">inclusive </w:t>
      </w:r>
      <w:r w:rsidR="00E91B29">
        <w:rPr>
          <w:bCs/>
        </w:rPr>
        <w:t>escas</w:t>
      </w:r>
      <w:r>
        <w:rPr>
          <w:bCs/>
        </w:rPr>
        <w:t>amente</w:t>
      </w:r>
      <w:r w:rsidR="00E91B29">
        <w:rPr>
          <w:bCs/>
        </w:rPr>
        <w:t xml:space="preserve"> claro</w:t>
      </w:r>
      <w:r>
        <w:rPr>
          <w:bCs/>
        </w:rPr>
        <w:t>s</w:t>
      </w:r>
      <w:r w:rsidR="00E91B29">
        <w:rPr>
          <w:bCs/>
        </w:rPr>
        <w:t xml:space="preserve"> y</w:t>
      </w:r>
      <w:r>
        <w:rPr>
          <w:bCs/>
        </w:rPr>
        <w:t>,</w:t>
      </w:r>
      <w:r w:rsidR="00E91B29">
        <w:rPr>
          <w:bCs/>
        </w:rPr>
        <w:t xml:space="preserve"> por lo tanto</w:t>
      </w:r>
      <w:r>
        <w:rPr>
          <w:bCs/>
        </w:rPr>
        <w:t xml:space="preserve">, muy difíciles de cumplir completamente y, además, de </w:t>
      </w:r>
      <w:r w:rsidR="00E91B29">
        <w:rPr>
          <w:bCs/>
        </w:rPr>
        <w:t>aplicar y evaluar.</w:t>
      </w:r>
      <w:r w:rsidR="00E91B29" w:rsidRPr="006442C4">
        <w:rPr>
          <w:bCs/>
          <w:vertAlign w:val="superscript"/>
        </w:rPr>
        <w:footnoteReference w:id="33"/>
      </w:r>
      <w:r w:rsidR="00E91B29">
        <w:t xml:space="preserve"> </w:t>
      </w:r>
      <w:r>
        <w:t xml:space="preserve">Asimismo se indicó </w:t>
      </w:r>
      <w:r w:rsidR="00E91B29">
        <w:rPr>
          <w:bCs/>
        </w:rPr>
        <w:t>que no está claro si estos subcriterios son acumulativos.</w:t>
      </w:r>
      <w:r w:rsidR="00E91B29" w:rsidRPr="006442C4">
        <w:rPr>
          <w:bCs/>
          <w:vertAlign w:val="superscript"/>
        </w:rPr>
        <w:footnoteReference w:id="34"/>
      </w:r>
      <w:r w:rsidR="00E91B29">
        <w:t xml:space="preserve"> </w:t>
      </w:r>
      <w:r w:rsidR="00E91B29">
        <w:rPr>
          <w:bCs/>
        </w:rPr>
        <w:t xml:space="preserve">Una Parte observó que </w:t>
      </w:r>
      <w:r>
        <w:rPr>
          <w:bCs/>
        </w:rPr>
        <w:t>el</w:t>
      </w:r>
      <w:r w:rsidR="00E91B29">
        <w:rPr>
          <w:bCs/>
        </w:rPr>
        <w:t xml:space="preserve"> subcriterio (a) </w:t>
      </w:r>
      <w:r>
        <w:rPr>
          <w:bCs/>
        </w:rPr>
        <w:t xml:space="preserve">sobre </w:t>
      </w:r>
      <w:r w:rsidR="008129BB">
        <w:rPr>
          <w:bCs/>
        </w:rPr>
        <w:t>“c</w:t>
      </w:r>
      <w:r>
        <w:rPr>
          <w:bCs/>
        </w:rPr>
        <w:t xml:space="preserve">oherencia </w:t>
      </w:r>
      <w:r w:rsidR="00E91B29">
        <w:rPr>
          <w:bCs/>
        </w:rPr>
        <w:t xml:space="preserve">con </w:t>
      </w:r>
      <w:r>
        <w:rPr>
          <w:bCs/>
        </w:rPr>
        <w:t xml:space="preserve">los </w:t>
      </w:r>
      <w:r w:rsidR="00E91B29">
        <w:rPr>
          <w:bCs/>
        </w:rPr>
        <w:t xml:space="preserve">objetivos </w:t>
      </w:r>
      <w:r w:rsidR="00696569">
        <w:rPr>
          <w:bCs/>
        </w:rPr>
        <w:t>de conservación y utilización sostenible</w:t>
      </w:r>
      <w:r w:rsidR="00E91B29">
        <w:rPr>
          <w:bCs/>
        </w:rPr>
        <w:t xml:space="preserve"> </w:t>
      </w:r>
      <w:r w:rsidR="00696569">
        <w:rPr>
          <w:bCs/>
        </w:rPr>
        <w:t>de la diversidad biológica</w:t>
      </w:r>
      <w:r w:rsidR="008129BB">
        <w:rPr>
          <w:bCs/>
        </w:rPr>
        <w:t>”</w:t>
      </w:r>
      <w:r w:rsidR="00E91B29">
        <w:rPr>
          <w:bCs/>
        </w:rPr>
        <w:t xml:space="preserve"> no </w:t>
      </w:r>
      <w:r w:rsidR="002F7A44">
        <w:rPr>
          <w:bCs/>
        </w:rPr>
        <w:t xml:space="preserve">puede aplicarse </w:t>
      </w:r>
      <w:r w:rsidR="00E91B29">
        <w:rPr>
          <w:bCs/>
        </w:rPr>
        <w:t xml:space="preserve">a los agentes patógenos, </w:t>
      </w:r>
      <w:r>
        <w:rPr>
          <w:bCs/>
        </w:rPr>
        <w:t xml:space="preserve">que se </w:t>
      </w:r>
      <w:r w:rsidR="00E91B29">
        <w:rPr>
          <w:bCs/>
        </w:rPr>
        <w:t xml:space="preserve">están </w:t>
      </w:r>
      <w:r>
        <w:rPr>
          <w:bCs/>
        </w:rPr>
        <w:t>erradicando</w:t>
      </w:r>
      <w:r w:rsidR="00E91B29">
        <w:rPr>
          <w:bCs/>
        </w:rPr>
        <w:t>.</w:t>
      </w:r>
      <w:r w:rsidR="00E91B29">
        <w:t xml:space="preserve"> </w:t>
      </w:r>
    </w:p>
    <w:p w:rsidR="00E91B29" w:rsidRDefault="00E91B29" w:rsidP="00E91B29">
      <w:pPr>
        <w:pStyle w:val="Para1"/>
        <w:numPr>
          <w:ilvl w:val="0"/>
          <w:numId w:val="4"/>
        </w:numPr>
        <w:tabs>
          <w:tab w:val="num" w:pos="709"/>
        </w:tabs>
        <w:spacing w:before="120"/>
        <w:ind w:left="0" w:firstLine="0"/>
        <w:rPr>
          <w:kern w:val="22"/>
          <w:szCs w:val="22"/>
        </w:rPr>
      </w:pPr>
      <w:r>
        <w:rPr>
          <w:kern w:val="22"/>
          <w:szCs w:val="22"/>
        </w:rPr>
        <w:lastRenderedPageBreak/>
        <w:t xml:space="preserve">Una presentación sugirió que este criterio </w:t>
      </w:r>
      <w:r w:rsidR="000B00E0">
        <w:rPr>
          <w:kern w:val="22"/>
          <w:szCs w:val="22"/>
        </w:rPr>
        <w:t xml:space="preserve">debería decir </w:t>
      </w:r>
      <w:r>
        <w:rPr>
          <w:kern w:val="22"/>
          <w:szCs w:val="22"/>
        </w:rPr>
        <w:t>"</w:t>
      </w:r>
      <w:r w:rsidRPr="008129BB">
        <w:rPr>
          <w:iCs/>
          <w:kern w:val="22"/>
          <w:szCs w:val="22"/>
        </w:rPr>
        <w:t>el instrumento es</w:t>
      </w:r>
      <w:r w:rsidR="002F7A44" w:rsidRPr="008129BB">
        <w:rPr>
          <w:iCs/>
          <w:kern w:val="22"/>
          <w:szCs w:val="22"/>
        </w:rPr>
        <w:t>tá en consonancia</w:t>
      </w:r>
      <w:r w:rsidR="000B00E0" w:rsidRPr="008129BB">
        <w:rPr>
          <w:iCs/>
          <w:kern w:val="22"/>
          <w:szCs w:val="22"/>
        </w:rPr>
        <w:t xml:space="preserve"> </w:t>
      </w:r>
      <w:r w:rsidRPr="008129BB">
        <w:rPr>
          <w:iCs/>
          <w:kern w:val="22"/>
          <w:szCs w:val="22"/>
        </w:rPr>
        <w:t>con</w:t>
      </w:r>
      <w:r>
        <w:rPr>
          <w:kern w:val="22"/>
          <w:szCs w:val="22"/>
        </w:rPr>
        <w:t xml:space="preserve">", como </w:t>
      </w:r>
      <w:r w:rsidR="000B00E0">
        <w:rPr>
          <w:kern w:val="22"/>
          <w:szCs w:val="22"/>
        </w:rPr>
        <w:t xml:space="preserve">se expresa </w:t>
      </w:r>
      <w:r>
        <w:rPr>
          <w:kern w:val="22"/>
          <w:szCs w:val="22"/>
        </w:rPr>
        <w:t xml:space="preserve">en </w:t>
      </w:r>
      <w:r>
        <w:rPr>
          <w:bCs/>
        </w:rPr>
        <w:t xml:space="preserve">el </w:t>
      </w:r>
      <w:r w:rsidR="00EA5BBA">
        <w:rPr>
          <w:bCs/>
        </w:rPr>
        <w:t>Artículo</w:t>
      </w:r>
      <w:r>
        <w:rPr>
          <w:bCs/>
        </w:rPr>
        <w:t xml:space="preserve"> 4</w:t>
      </w:r>
      <w:r>
        <w:rPr>
          <w:kern w:val="22"/>
          <w:szCs w:val="22"/>
        </w:rPr>
        <w:t>, párrafo4, y</w:t>
      </w:r>
      <w:r w:rsidR="000B00E0">
        <w:rPr>
          <w:kern w:val="22"/>
          <w:szCs w:val="22"/>
        </w:rPr>
        <w:t xml:space="preserve"> </w:t>
      </w:r>
      <w:r>
        <w:rPr>
          <w:kern w:val="22"/>
          <w:szCs w:val="22"/>
        </w:rPr>
        <w:t>no</w:t>
      </w:r>
      <w:r w:rsidR="000B00E0">
        <w:rPr>
          <w:kern w:val="22"/>
          <w:szCs w:val="22"/>
        </w:rPr>
        <w:t xml:space="preserve"> </w:t>
      </w:r>
      <w:r>
        <w:rPr>
          <w:kern w:val="22"/>
          <w:szCs w:val="22"/>
        </w:rPr>
        <w:t>"</w:t>
      </w:r>
      <w:r w:rsidRPr="008129BB">
        <w:rPr>
          <w:iCs/>
          <w:kern w:val="22"/>
          <w:szCs w:val="22"/>
        </w:rPr>
        <w:t xml:space="preserve">este instrumento </w:t>
      </w:r>
      <w:r w:rsidR="002F7A44" w:rsidRPr="008129BB">
        <w:rPr>
          <w:iCs/>
          <w:kern w:val="22"/>
          <w:szCs w:val="22"/>
        </w:rPr>
        <w:t xml:space="preserve">estaría en consonancia </w:t>
      </w:r>
      <w:r w:rsidRPr="008129BB">
        <w:rPr>
          <w:iCs/>
          <w:kern w:val="22"/>
          <w:szCs w:val="22"/>
        </w:rPr>
        <w:t>con</w:t>
      </w:r>
      <w:r>
        <w:rPr>
          <w:kern w:val="22"/>
          <w:szCs w:val="22"/>
        </w:rPr>
        <w:t>", como en el</w:t>
      </w:r>
      <w:r w:rsidR="00E25181">
        <w:rPr>
          <w:kern w:val="22"/>
          <w:szCs w:val="22"/>
        </w:rPr>
        <w:t xml:space="preserve"> Anexo </w:t>
      </w:r>
      <w:r w:rsidR="00E647A5">
        <w:rPr>
          <w:kern w:val="22"/>
          <w:szCs w:val="22"/>
        </w:rPr>
        <w:t>de la decisión</w:t>
      </w:r>
      <w:r>
        <w:rPr>
          <w:kern w:val="22"/>
          <w:szCs w:val="22"/>
        </w:rPr>
        <w:t xml:space="preserve"> NP-3/14.</w:t>
      </w:r>
      <w:r w:rsidRPr="006442C4">
        <w:rPr>
          <w:kern w:val="22"/>
          <w:vertAlign w:val="superscript"/>
        </w:rPr>
        <w:footnoteReference w:id="35"/>
      </w:r>
      <w:r>
        <w:t xml:space="preserve"> </w:t>
      </w:r>
    </w:p>
    <w:p w:rsidR="00E91B29" w:rsidRDefault="00E91B29" w:rsidP="00E91B29">
      <w:pPr>
        <w:pStyle w:val="Para1"/>
        <w:numPr>
          <w:ilvl w:val="0"/>
          <w:numId w:val="4"/>
        </w:numPr>
        <w:tabs>
          <w:tab w:val="num" w:pos="709"/>
        </w:tabs>
        <w:spacing w:before="120"/>
        <w:ind w:left="0" w:firstLine="0"/>
        <w:rPr>
          <w:bCs/>
        </w:rPr>
      </w:pPr>
      <w:r>
        <w:rPr>
          <w:bCs/>
        </w:rPr>
        <w:t xml:space="preserve">Parece haber convergencia en los criterios 1 y 2, observando </w:t>
      </w:r>
      <w:r w:rsidR="0018512B">
        <w:rPr>
          <w:bCs/>
        </w:rPr>
        <w:t xml:space="preserve">que </w:t>
      </w:r>
      <w:r>
        <w:rPr>
          <w:bCs/>
        </w:rPr>
        <w:t>alguno</w:t>
      </w:r>
      <w:r w:rsidR="0018512B">
        <w:rPr>
          <w:bCs/>
        </w:rPr>
        <w:t>s</w:t>
      </w:r>
      <w:r>
        <w:rPr>
          <w:bCs/>
        </w:rPr>
        <w:t xml:space="preserve"> </w:t>
      </w:r>
      <w:r w:rsidR="002F7A44">
        <w:rPr>
          <w:bCs/>
        </w:rPr>
        <w:t xml:space="preserve">opinan </w:t>
      </w:r>
      <w:r>
        <w:rPr>
          <w:bCs/>
        </w:rPr>
        <w:t>que los subcriterios del criterio 2 no deben ser acumulativos.</w:t>
      </w:r>
      <w:r>
        <w:t xml:space="preserve"> </w:t>
      </w:r>
      <w:r w:rsidR="0018512B">
        <w:t xml:space="preserve">Si bien </w:t>
      </w:r>
      <w:r w:rsidR="008B57C8">
        <w:rPr>
          <w:bCs/>
        </w:rPr>
        <w:t>los puntos de vista</w:t>
      </w:r>
      <w:r>
        <w:rPr>
          <w:bCs/>
        </w:rPr>
        <w:t xml:space="preserve"> </w:t>
      </w:r>
      <w:r w:rsidR="002F7A44">
        <w:rPr>
          <w:bCs/>
        </w:rPr>
        <w:t xml:space="preserve">parecen converger </w:t>
      </w:r>
      <w:r w:rsidR="0018512B">
        <w:rPr>
          <w:bCs/>
        </w:rPr>
        <w:t xml:space="preserve">en </w:t>
      </w:r>
      <w:r>
        <w:rPr>
          <w:bCs/>
        </w:rPr>
        <w:t xml:space="preserve">que el </w:t>
      </w:r>
      <w:r w:rsidR="00EA5BBA">
        <w:rPr>
          <w:bCs/>
        </w:rPr>
        <w:t>Protocolo</w:t>
      </w:r>
      <w:r>
        <w:rPr>
          <w:bCs/>
        </w:rPr>
        <w:t xml:space="preserve"> de Nagoya y </w:t>
      </w:r>
      <w:r w:rsidR="002F7A44">
        <w:rPr>
          <w:bCs/>
        </w:rPr>
        <w:t xml:space="preserve">todo </w:t>
      </w:r>
      <w:r w:rsidR="00EA5BBA">
        <w:rPr>
          <w:bCs/>
        </w:rPr>
        <w:t>instrumento internacional especializado de acceso y participación en los beneficios</w:t>
      </w:r>
      <w:r>
        <w:rPr>
          <w:bCs/>
        </w:rPr>
        <w:t xml:space="preserve"> </w:t>
      </w:r>
      <w:r w:rsidR="004501C0">
        <w:rPr>
          <w:bCs/>
        </w:rPr>
        <w:t xml:space="preserve">deberían </w:t>
      </w:r>
      <w:r w:rsidR="002F7A44">
        <w:rPr>
          <w:bCs/>
        </w:rPr>
        <w:t xml:space="preserve">apoyarse </w:t>
      </w:r>
      <w:r w:rsidR="004501C0">
        <w:rPr>
          <w:bCs/>
        </w:rPr>
        <w:t>mutuamente</w:t>
      </w:r>
      <w:r>
        <w:rPr>
          <w:bCs/>
        </w:rPr>
        <w:t xml:space="preserve">, hay </w:t>
      </w:r>
      <w:r w:rsidR="0018512B">
        <w:rPr>
          <w:bCs/>
        </w:rPr>
        <w:t xml:space="preserve">ligeras </w:t>
      </w:r>
      <w:r>
        <w:rPr>
          <w:bCs/>
        </w:rPr>
        <w:t xml:space="preserve">diferencias </w:t>
      </w:r>
      <w:r w:rsidR="002F7A44">
        <w:rPr>
          <w:bCs/>
        </w:rPr>
        <w:t xml:space="preserve">sobre </w:t>
      </w:r>
      <w:r>
        <w:rPr>
          <w:bCs/>
        </w:rPr>
        <w:t xml:space="preserve">el </w:t>
      </w:r>
      <w:r w:rsidR="0018512B">
        <w:rPr>
          <w:bCs/>
        </w:rPr>
        <w:t xml:space="preserve">alcance </w:t>
      </w:r>
      <w:r>
        <w:rPr>
          <w:bCs/>
        </w:rPr>
        <w:t>de</w:t>
      </w:r>
      <w:r w:rsidR="0018512B">
        <w:rPr>
          <w:bCs/>
        </w:rPr>
        <w:t xml:space="preserve"> la</w:t>
      </w:r>
      <w:r>
        <w:rPr>
          <w:bCs/>
        </w:rPr>
        <w:t xml:space="preserve"> claridad y la aplicabilidad de uno o más de los subcriterios.</w:t>
      </w:r>
      <w:r>
        <w:t xml:space="preserve"> </w:t>
      </w:r>
    </w:p>
    <w:p w:rsidR="00E91B29" w:rsidRPr="00F26DAC" w:rsidRDefault="00837EB2" w:rsidP="00E91B29">
      <w:pPr>
        <w:pStyle w:val="Heading1"/>
        <w:keepLines w:val="0"/>
        <w:numPr>
          <w:ilvl w:val="0"/>
          <w:numId w:val="7"/>
        </w:numPr>
        <w:tabs>
          <w:tab w:val="left" w:pos="720"/>
        </w:tabs>
        <w:spacing w:before="240" w:after="120"/>
        <w:ind w:left="0" w:firstLine="0"/>
        <w:jc w:val="center"/>
        <w:rPr>
          <w:rFonts w:ascii="Times New Roman" w:hAnsi="Times New Roman"/>
          <w:b w:val="0"/>
          <w:caps/>
          <w:color w:val="auto"/>
          <w:sz w:val="22"/>
          <w:szCs w:val="22"/>
        </w:rPr>
      </w:pPr>
      <w:r>
        <w:rPr>
          <w:rFonts w:ascii="Times New Roman" w:hAnsi="Times New Roman"/>
          <w:color w:val="auto"/>
          <w:sz w:val="22"/>
          <w:szCs w:val="22"/>
        </w:rPr>
        <w:t>DESARROLLOS</w:t>
      </w:r>
      <w:r w:rsidR="00747359" w:rsidRPr="00F26DAC">
        <w:rPr>
          <w:rFonts w:ascii="Times New Roman" w:hAnsi="Times New Roman"/>
          <w:color w:val="auto"/>
          <w:sz w:val="22"/>
          <w:szCs w:val="22"/>
        </w:rPr>
        <w:t xml:space="preserve"> </w:t>
      </w:r>
      <w:r w:rsidR="00747359">
        <w:rPr>
          <w:rFonts w:ascii="Times New Roman" w:hAnsi="Times New Roman"/>
          <w:color w:val="auto"/>
          <w:sz w:val="22"/>
          <w:szCs w:val="22"/>
        </w:rPr>
        <w:t xml:space="preserve">CLAVE </w:t>
      </w:r>
      <w:r w:rsidR="00747359" w:rsidRPr="00F26DAC">
        <w:rPr>
          <w:rFonts w:ascii="Times New Roman" w:hAnsi="Times New Roman"/>
          <w:color w:val="auto"/>
          <w:sz w:val="22"/>
          <w:szCs w:val="22"/>
        </w:rPr>
        <w:t xml:space="preserve">EN </w:t>
      </w:r>
      <w:r w:rsidR="00747359">
        <w:rPr>
          <w:rFonts w:ascii="Times New Roman" w:hAnsi="Times New Roman"/>
          <w:color w:val="auto"/>
          <w:sz w:val="22"/>
          <w:szCs w:val="22"/>
        </w:rPr>
        <w:t xml:space="preserve">FOROS INTERNACIONALES PERTINENTES </w:t>
      </w:r>
    </w:p>
    <w:p w:rsidR="00E91B29" w:rsidRDefault="00E91B29" w:rsidP="00E91B29">
      <w:pPr>
        <w:pStyle w:val="Para1"/>
        <w:numPr>
          <w:ilvl w:val="0"/>
          <w:numId w:val="4"/>
        </w:numPr>
        <w:spacing w:before="120"/>
        <w:ind w:left="0" w:firstLine="0"/>
        <w:rPr>
          <w:bCs/>
        </w:rPr>
      </w:pPr>
      <w:r>
        <w:rPr>
          <w:bCs/>
        </w:rPr>
        <w:t xml:space="preserve">Las cuestiones relacionadas con el acceso y participación en los beneficios y el </w:t>
      </w:r>
      <w:r w:rsidR="00EA5BBA">
        <w:rPr>
          <w:bCs/>
        </w:rPr>
        <w:t>Protocolo</w:t>
      </w:r>
      <w:r>
        <w:rPr>
          <w:bCs/>
        </w:rPr>
        <w:t xml:space="preserve"> de Nagoya se </w:t>
      </w:r>
      <w:r w:rsidR="00747359">
        <w:rPr>
          <w:bCs/>
        </w:rPr>
        <w:t xml:space="preserve">tratan </w:t>
      </w:r>
      <w:r>
        <w:rPr>
          <w:bCs/>
        </w:rPr>
        <w:t xml:space="preserve">en </w:t>
      </w:r>
      <w:r w:rsidR="00747359">
        <w:rPr>
          <w:bCs/>
        </w:rPr>
        <w:t xml:space="preserve">diversos </w:t>
      </w:r>
      <w:r>
        <w:rPr>
          <w:bCs/>
        </w:rPr>
        <w:t xml:space="preserve">foros internacionales además del Convenio sobre la Diversidad Biológica y el </w:t>
      </w:r>
      <w:r w:rsidR="00EA5BBA">
        <w:rPr>
          <w:bCs/>
        </w:rPr>
        <w:t>Protocolo</w:t>
      </w:r>
      <w:r>
        <w:rPr>
          <w:bCs/>
        </w:rPr>
        <w:t xml:space="preserve"> de Nagoya.</w:t>
      </w:r>
      <w:r>
        <w:t xml:space="preserve"> </w:t>
      </w:r>
      <w:r>
        <w:rPr>
          <w:bCs/>
        </w:rPr>
        <w:t xml:space="preserve">La </w:t>
      </w:r>
      <w:r w:rsidR="00747359">
        <w:rPr>
          <w:bCs/>
        </w:rPr>
        <w:t>Secretaría</w:t>
      </w:r>
      <w:r>
        <w:rPr>
          <w:bCs/>
        </w:rPr>
        <w:t xml:space="preserve"> del </w:t>
      </w:r>
      <w:r w:rsidR="00CE77E0">
        <w:rPr>
          <w:bCs/>
        </w:rPr>
        <w:t>Convenio</w:t>
      </w:r>
      <w:r>
        <w:rPr>
          <w:bCs/>
        </w:rPr>
        <w:t xml:space="preserve"> colabora con los organismos intergubernamentales que trabajan en esta área con </w:t>
      </w:r>
      <w:r w:rsidR="00747359">
        <w:rPr>
          <w:bCs/>
        </w:rPr>
        <w:t xml:space="preserve">el fin </w:t>
      </w:r>
      <w:r>
        <w:rPr>
          <w:bCs/>
        </w:rPr>
        <w:t xml:space="preserve">de mantenerse al corriente de </w:t>
      </w:r>
      <w:r w:rsidR="00747359">
        <w:rPr>
          <w:bCs/>
        </w:rPr>
        <w:t xml:space="preserve">los desarrollos alcanzados en </w:t>
      </w:r>
      <w:r>
        <w:rPr>
          <w:bCs/>
        </w:rPr>
        <w:t xml:space="preserve">estos procesos y </w:t>
      </w:r>
      <w:r w:rsidR="002F7A44">
        <w:rPr>
          <w:bCs/>
        </w:rPr>
        <w:t xml:space="preserve">de informar sobre </w:t>
      </w:r>
      <w:r w:rsidR="00747359">
        <w:rPr>
          <w:bCs/>
        </w:rPr>
        <w:t xml:space="preserve">los mismos </w:t>
      </w:r>
      <w:r>
        <w:rPr>
          <w:bCs/>
        </w:rPr>
        <w:t xml:space="preserve">relacionados con el </w:t>
      </w:r>
      <w:r w:rsidR="00EA5BBA">
        <w:rPr>
          <w:bCs/>
        </w:rPr>
        <w:t>Protocolo</w:t>
      </w:r>
      <w:r>
        <w:rPr>
          <w:bCs/>
        </w:rPr>
        <w:t xml:space="preserve"> de Nagoya, </w:t>
      </w:r>
      <w:r w:rsidR="00747359">
        <w:rPr>
          <w:bCs/>
        </w:rPr>
        <w:t>fundamentalmente</w:t>
      </w:r>
      <w:r>
        <w:rPr>
          <w:bCs/>
        </w:rPr>
        <w:t xml:space="preserve">, </w:t>
      </w:r>
      <w:r w:rsidR="00747359">
        <w:rPr>
          <w:bCs/>
        </w:rPr>
        <w:t xml:space="preserve">tal </w:t>
      </w:r>
      <w:r>
        <w:rPr>
          <w:bCs/>
        </w:rPr>
        <w:t xml:space="preserve">como se especifica en las decisiones de </w:t>
      </w:r>
      <w:r>
        <w:t xml:space="preserve">las </w:t>
      </w:r>
      <w:r>
        <w:rPr>
          <w:bCs/>
        </w:rPr>
        <w:t xml:space="preserve">Partes en el Protocolo o </w:t>
      </w:r>
      <w:r w:rsidR="00747359">
        <w:rPr>
          <w:bCs/>
        </w:rPr>
        <w:t xml:space="preserve">como informe </w:t>
      </w:r>
      <w:r>
        <w:rPr>
          <w:bCs/>
        </w:rPr>
        <w:t>cada Parte</w:t>
      </w:r>
      <w:r w:rsidRPr="008129BB">
        <w:rPr>
          <w:bCs/>
        </w:rPr>
        <w:t xml:space="preserve"> </w:t>
      </w:r>
      <w:r w:rsidR="00747359" w:rsidRPr="008129BB">
        <w:rPr>
          <w:bCs/>
        </w:rPr>
        <w:t xml:space="preserve">en el </w:t>
      </w:r>
      <w:r w:rsidR="00EA5BBA">
        <w:rPr>
          <w:bCs/>
        </w:rPr>
        <w:t>Protocolo</w:t>
      </w:r>
      <w:r>
        <w:rPr>
          <w:bCs/>
        </w:rPr>
        <w:t>.</w:t>
      </w:r>
      <w:r>
        <w:t xml:space="preserve"> </w:t>
      </w:r>
      <w:r>
        <w:rPr>
          <w:bCs/>
        </w:rPr>
        <w:t xml:space="preserve">Muchos de estos organismos también participan en procesos </w:t>
      </w:r>
      <w:r w:rsidR="002F7A44">
        <w:rPr>
          <w:bCs/>
        </w:rPr>
        <w:t xml:space="preserve">dentro del ámbito del </w:t>
      </w:r>
      <w:r w:rsidR="00EA5BBA">
        <w:rPr>
          <w:bCs/>
        </w:rPr>
        <w:t>Protocolo</w:t>
      </w:r>
      <w:r>
        <w:rPr>
          <w:bCs/>
        </w:rPr>
        <w:t xml:space="preserve"> de Nagoya.</w:t>
      </w:r>
      <w:r>
        <w:t xml:space="preserve"> </w:t>
      </w:r>
      <w:r>
        <w:rPr>
          <w:bCs/>
        </w:rPr>
        <w:t xml:space="preserve">Como se solicita en la decisión </w:t>
      </w:r>
      <w:r w:rsidRPr="00747359">
        <w:rPr>
          <w:rStyle w:val="Hyperlink"/>
          <w:bCs/>
          <w:sz w:val="22"/>
          <w:szCs w:val="22"/>
        </w:rPr>
        <w:t>NP-3/7</w:t>
      </w:r>
      <w:r>
        <w:rPr>
          <w:bCs/>
        </w:rPr>
        <w:t xml:space="preserve">, </w:t>
      </w:r>
      <w:r w:rsidR="008B57C8">
        <w:rPr>
          <w:bCs/>
        </w:rPr>
        <w:t>la Secretaria Ejecutiva</w:t>
      </w:r>
      <w:r>
        <w:rPr>
          <w:bCs/>
        </w:rPr>
        <w:t xml:space="preserve"> preparará un informe sobre las actividades </w:t>
      </w:r>
      <w:r w:rsidR="002F7A44">
        <w:rPr>
          <w:bCs/>
        </w:rPr>
        <w:t xml:space="preserve">emprendidas </w:t>
      </w:r>
      <w:r>
        <w:rPr>
          <w:bCs/>
        </w:rPr>
        <w:t xml:space="preserve">en cooperación, incluyendo los </w:t>
      </w:r>
      <w:r w:rsidR="00747359">
        <w:rPr>
          <w:bCs/>
        </w:rPr>
        <w:t xml:space="preserve">desarrollos clave alcanzados </w:t>
      </w:r>
      <w:r>
        <w:rPr>
          <w:bCs/>
        </w:rPr>
        <w:t>bajo acuerdos internacionales e</w:t>
      </w:r>
      <w:r w:rsidR="002F7A44">
        <w:rPr>
          <w:bCs/>
        </w:rPr>
        <w:t xml:space="preserve"> </w:t>
      </w:r>
      <w:r>
        <w:rPr>
          <w:bCs/>
        </w:rPr>
        <w:t xml:space="preserve">instrumentos de importancia </w:t>
      </w:r>
      <w:r w:rsidR="00747359">
        <w:rPr>
          <w:bCs/>
        </w:rPr>
        <w:t>par</w:t>
      </w:r>
      <w:r>
        <w:rPr>
          <w:bCs/>
        </w:rPr>
        <w:t xml:space="preserve">a </w:t>
      </w:r>
      <w:r>
        <w:t xml:space="preserve">la </w:t>
      </w:r>
      <w:r>
        <w:rPr>
          <w:bCs/>
        </w:rPr>
        <w:t xml:space="preserve">aplicación del </w:t>
      </w:r>
      <w:r w:rsidR="00EA5BBA">
        <w:rPr>
          <w:bCs/>
        </w:rPr>
        <w:t>Protocolo</w:t>
      </w:r>
      <w:r>
        <w:rPr>
          <w:bCs/>
        </w:rPr>
        <w:t xml:space="preserve"> de Nagoya para </w:t>
      </w:r>
      <w:r w:rsidR="00747359">
        <w:rPr>
          <w:bCs/>
        </w:rPr>
        <w:t>que, en su cuarta reunión,</w:t>
      </w:r>
      <w:r w:rsidR="00747359">
        <w:t xml:space="preserve"> </w:t>
      </w:r>
      <w:r w:rsidR="00EA5BBA">
        <w:t>la Conferencia de las Partes que Actúa como Reunión de las Partes en el Protocolo de Nagoya</w:t>
      </w:r>
      <w:r w:rsidR="002F7A44">
        <w:t xml:space="preserve"> lo considere</w:t>
      </w:r>
      <w:r>
        <w:rPr>
          <w:bCs/>
        </w:rPr>
        <w:t>.</w:t>
      </w:r>
      <w:r>
        <w:t xml:space="preserve"> </w:t>
      </w:r>
      <w:r>
        <w:rPr>
          <w:bCs/>
        </w:rPr>
        <w:t xml:space="preserve">Una versión </w:t>
      </w:r>
      <w:r w:rsidR="00747359">
        <w:rPr>
          <w:bCs/>
        </w:rPr>
        <w:t xml:space="preserve">adelantada </w:t>
      </w:r>
      <w:r>
        <w:rPr>
          <w:bCs/>
        </w:rPr>
        <w:t xml:space="preserve">de este informe </w:t>
      </w:r>
      <w:r w:rsidR="008129BB">
        <w:rPr>
          <w:bCs/>
        </w:rPr>
        <w:t xml:space="preserve">se </w:t>
      </w:r>
      <w:r w:rsidR="00C30C7F">
        <w:rPr>
          <w:bCs/>
        </w:rPr>
        <w:t xml:space="preserve">emitirá </w:t>
      </w:r>
      <w:r w:rsidR="006D3696">
        <w:rPr>
          <w:bCs/>
        </w:rPr>
        <w:t xml:space="preserve">para </w:t>
      </w:r>
      <w:r>
        <w:rPr>
          <w:bCs/>
        </w:rPr>
        <w:t xml:space="preserve">el </w:t>
      </w:r>
      <w:r w:rsidR="00747359">
        <w:rPr>
          <w:bCs/>
        </w:rPr>
        <w:t>Órgano Subsidiario</w:t>
      </w:r>
      <w:r>
        <w:rPr>
          <w:bCs/>
        </w:rPr>
        <w:t xml:space="preserve"> como documento de información.</w:t>
      </w:r>
    </w:p>
    <w:p w:rsidR="00E91B29" w:rsidRPr="00837EB2" w:rsidRDefault="00E91B29" w:rsidP="00E91B29">
      <w:pPr>
        <w:pStyle w:val="Para1"/>
        <w:numPr>
          <w:ilvl w:val="0"/>
          <w:numId w:val="4"/>
        </w:numPr>
        <w:spacing w:before="120"/>
        <w:ind w:left="0" w:firstLine="0"/>
        <w:rPr>
          <w:bCs/>
        </w:rPr>
      </w:pPr>
      <w:r>
        <w:rPr>
          <w:bCs/>
        </w:rPr>
        <w:t xml:space="preserve">Esta sección resume la información sobre foros internacionales y procesos </w:t>
      </w:r>
      <w:r w:rsidR="00837EB2">
        <w:rPr>
          <w:bCs/>
        </w:rPr>
        <w:t>relevantes par</w:t>
      </w:r>
      <w:r>
        <w:rPr>
          <w:bCs/>
        </w:rPr>
        <w:t xml:space="preserve">a la </w:t>
      </w:r>
      <w:r w:rsidR="00837EB2">
        <w:rPr>
          <w:bCs/>
        </w:rPr>
        <w:t xml:space="preserve">cuestión del </w:t>
      </w:r>
      <w:r>
        <w:rPr>
          <w:bCs/>
        </w:rPr>
        <w:t xml:space="preserve">acceso y participación en los beneficios y presenta la situación de los </w:t>
      </w:r>
      <w:r w:rsidR="00837EB2">
        <w:rPr>
          <w:bCs/>
        </w:rPr>
        <w:t>desarrollos clave</w:t>
      </w:r>
      <w:r>
        <w:rPr>
          <w:bCs/>
        </w:rPr>
        <w:t xml:space="preserve"> relacionados con el acceso y participación en los beneficios en esos foros y </w:t>
      </w:r>
      <w:r w:rsidRPr="00837EB2">
        <w:rPr>
          <w:bCs/>
        </w:rPr>
        <w:t>procesos.</w:t>
      </w:r>
      <w:r w:rsidRPr="00837EB2">
        <w:t xml:space="preserve"> </w:t>
      </w:r>
    </w:p>
    <w:p w:rsidR="00E91B29" w:rsidRPr="00837EB2" w:rsidRDefault="00E91B29" w:rsidP="00E91B29">
      <w:pPr>
        <w:keepNext/>
        <w:numPr>
          <w:ilvl w:val="0"/>
          <w:numId w:val="6"/>
        </w:numPr>
        <w:suppressLineNumbers/>
        <w:suppressAutoHyphens/>
        <w:spacing w:before="120" w:after="120"/>
        <w:ind w:left="0" w:firstLine="0"/>
        <w:jc w:val="center"/>
        <w:outlineLvl w:val="1"/>
        <w:rPr>
          <w:b/>
          <w:bCs/>
          <w:iCs/>
          <w:snapToGrid w:val="0"/>
          <w:kern w:val="22"/>
        </w:rPr>
      </w:pPr>
      <w:r w:rsidRPr="00837EB2">
        <w:rPr>
          <w:b/>
          <w:bCs/>
          <w:iCs/>
          <w:snapToGrid w:val="0"/>
          <w:kern w:val="22"/>
        </w:rPr>
        <w:t>Comisión</w:t>
      </w:r>
      <w:r w:rsidR="00837EB2" w:rsidRPr="00837EB2">
        <w:rPr>
          <w:b/>
          <w:bCs/>
          <w:iCs/>
          <w:snapToGrid w:val="0"/>
          <w:kern w:val="22"/>
        </w:rPr>
        <w:t xml:space="preserve"> de Recursos Genéticos para la Alimentación y la Agricultura</w:t>
      </w:r>
    </w:p>
    <w:p w:rsidR="00E91B29" w:rsidRDefault="00E91B29" w:rsidP="00E91B29">
      <w:pPr>
        <w:pStyle w:val="Para1"/>
        <w:numPr>
          <w:ilvl w:val="0"/>
          <w:numId w:val="4"/>
        </w:numPr>
        <w:tabs>
          <w:tab w:val="num" w:pos="709"/>
        </w:tabs>
        <w:spacing w:before="120"/>
        <w:ind w:left="0" w:firstLine="0"/>
        <w:rPr>
          <w:bCs/>
        </w:rPr>
      </w:pPr>
      <w:r>
        <w:rPr>
          <w:bCs/>
        </w:rPr>
        <w:t xml:space="preserve">La </w:t>
      </w:r>
      <w:r w:rsidR="00837EB2">
        <w:rPr>
          <w:bCs/>
        </w:rPr>
        <w:t>C</w:t>
      </w:r>
      <w:r>
        <w:rPr>
          <w:bCs/>
        </w:rPr>
        <w:t>omisión de</w:t>
      </w:r>
      <w:r w:rsidR="00837EB2">
        <w:rPr>
          <w:bCs/>
        </w:rPr>
        <w:t xml:space="preserve"> Recursos Genéticos para la Alimentación y la Agricultura de </w:t>
      </w:r>
      <w:r>
        <w:rPr>
          <w:bCs/>
        </w:rPr>
        <w:t xml:space="preserve">la Organización de las Naciones Unidas para la Agricultura y la Alimentación </w:t>
      </w:r>
      <w:r w:rsidR="00837EB2">
        <w:rPr>
          <w:bCs/>
        </w:rPr>
        <w:t xml:space="preserve">se estableció </w:t>
      </w:r>
      <w:r>
        <w:rPr>
          <w:bCs/>
        </w:rPr>
        <w:t>en 1983</w:t>
      </w:r>
      <w:r w:rsidR="00837EB2">
        <w:rPr>
          <w:bCs/>
        </w:rPr>
        <w:t>.  En 1995 e</w:t>
      </w:r>
      <w:r>
        <w:rPr>
          <w:bCs/>
        </w:rPr>
        <w:t>l mandato original de la Comisión</w:t>
      </w:r>
      <w:r w:rsidR="00837EB2">
        <w:rPr>
          <w:bCs/>
        </w:rPr>
        <w:t xml:space="preserve">, </w:t>
      </w:r>
      <w:r w:rsidR="002F7A44">
        <w:rPr>
          <w:bCs/>
        </w:rPr>
        <w:t xml:space="preserve">i. e. </w:t>
      </w:r>
      <w:r w:rsidR="00837EB2">
        <w:rPr>
          <w:bCs/>
        </w:rPr>
        <w:t xml:space="preserve">ocuparse de los </w:t>
      </w:r>
      <w:r>
        <w:rPr>
          <w:bCs/>
        </w:rPr>
        <w:t xml:space="preserve">recursos </w:t>
      </w:r>
      <w:r w:rsidR="00F972F6">
        <w:rPr>
          <w:bCs/>
        </w:rPr>
        <w:t>fitogenéticos</w:t>
      </w:r>
      <w:r>
        <w:rPr>
          <w:bCs/>
        </w:rPr>
        <w:t xml:space="preserve">, </w:t>
      </w:r>
      <w:r w:rsidR="00837EB2">
        <w:rPr>
          <w:bCs/>
        </w:rPr>
        <w:t xml:space="preserve">se amplió </w:t>
      </w:r>
      <w:r>
        <w:rPr>
          <w:bCs/>
        </w:rPr>
        <w:t xml:space="preserve">para cubrir todos los componentes </w:t>
      </w:r>
      <w:r w:rsidR="00696569">
        <w:rPr>
          <w:bCs/>
        </w:rPr>
        <w:t>de la diversidad biológica</w:t>
      </w:r>
      <w:r>
        <w:rPr>
          <w:bCs/>
        </w:rPr>
        <w:t xml:space="preserve"> </w:t>
      </w:r>
      <w:r w:rsidR="008B57C8">
        <w:rPr>
          <w:bCs/>
        </w:rPr>
        <w:t>pertinente</w:t>
      </w:r>
      <w:r w:rsidR="002F7A44">
        <w:rPr>
          <w:bCs/>
        </w:rPr>
        <w:t>s</w:t>
      </w:r>
      <w:r w:rsidR="008B57C8">
        <w:rPr>
          <w:bCs/>
        </w:rPr>
        <w:t xml:space="preserve"> </w:t>
      </w:r>
      <w:r>
        <w:rPr>
          <w:bCs/>
        </w:rPr>
        <w:t>a</w:t>
      </w:r>
      <w:r w:rsidR="00837EB2">
        <w:rPr>
          <w:bCs/>
        </w:rPr>
        <w:t xml:space="preserve"> </w:t>
      </w:r>
      <w:r>
        <w:rPr>
          <w:bCs/>
        </w:rPr>
        <w:t>l</w:t>
      </w:r>
      <w:r w:rsidR="00837EB2">
        <w:rPr>
          <w:bCs/>
        </w:rPr>
        <w:t>a</w:t>
      </w:r>
      <w:r>
        <w:rPr>
          <w:bCs/>
        </w:rPr>
        <w:t xml:space="preserve"> </w:t>
      </w:r>
      <w:r w:rsidR="00837EB2">
        <w:rPr>
          <w:bCs/>
        </w:rPr>
        <w:t xml:space="preserve">alimentación </w:t>
      </w:r>
      <w:r>
        <w:rPr>
          <w:bCs/>
        </w:rPr>
        <w:t>y la agricultura.</w:t>
      </w:r>
    </w:p>
    <w:p w:rsidR="00E91B29" w:rsidRDefault="00E91B29" w:rsidP="00E91B29">
      <w:pPr>
        <w:pStyle w:val="Para1"/>
        <w:numPr>
          <w:ilvl w:val="0"/>
          <w:numId w:val="4"/>
        </w:numPr>
        <w:tabs>
          <w:tab w:val="num" w:pos="709"/>
        </w:tabs>
        <w:spacing w:before="120"/>
        <w:ind w:left="0" w:firstLine="0"/>
        <w:rPr>
          <w:bCs/>
        </w:rPr>
      </w:pPr>
      <w:r>
        <w:rPr>
          <w:bCs/>
        </w:rPr>
        <w:t>Entre 1994 y 2001, la Comisión negoció el Tratado Internacional sobre los Recursos Fitogenéticos para la Alimentación y la Agricultura.</w:t>
      </w:r>
      <w:r>
        <w:t xml:space="preserve"> </w:t>
      </w:r>
      <w:r>
        <w:rPr>
          <w:bCs/>
        </w:rPr>
        <w:t xml:space="preserve">En 2007, la Comisión estuvo de acuerdo </w:t>
      </w:r>
      <w:r w:rsidR="00837EB2">
        <w:rPr>
          <w:bCs/>
        </w:rPr>
        <w:t xml:space="preserve">sobre </w:t>
      </w:r>
      <w:r>
        <w:rPr>
          <w:bCs/>
        </w:rPr>
        <w:t>la importancia de considerar</w:t>
      </w:r>
      <w:r w:rsidR="00837EB2">
        <w:rPr>
          <w:bCs/>
        </w:rPr>
        <w:t xml:space="preserve"> el</w:t>
      </w:r>
      <w:r>
        <w:rPr>
          <w:bCs/>
        </w:rPr>
        <w:t xml:space="preserve"> acceso y </w:t>
      </w:r>
      <w:r w:rsidR="00837EB2">
        <w:rPr>
          <w:bCs/>
        </w:rPr>
        <w:t xml:space="preserve">la </w:t>
      </w:r>
      <w:r>
        <w:rPr>
          <w:bCs/>
        </w:rPr>
        <w:t xml:space="preserve">participación en los beneficios en relación con todos los componentes </w:t>
      </w:r>
      <w:r w:rsidR="00696569">
        <w:rPr>
          <w:bCs/>
        </w:rPr>
        <w:t>de la diversidad biológica</w:t>
      </w:r>
      <w:r>
        <w:rPr>
          <w:bCs/>
        </w:rPr>
        <w:t xml:space="preserve"> para </w:t>
      </w:r>
      <w:r w:rsidR="00837EB2">
        <w:rPr>
          <w:bCs/>
        </w:rPr>
        <w:t>la alimentación</w:t>
      </w:r>
      <w:r>
        <w:rPr>
          <w:bCs/>
        </w:rPr>
        <w:t xml:space="preserve"> y la agricultura y decid</w:t>
      </w:r>
      <w:r w:rsidR="00837EB2">
        <w:rPr>
          <w:bCs/>
        </w:rPr>
        <w:t>ió</w:t>
      </w:r>
      <w:r>
        <w:rPr>
          <w:bCs/>
        </w:rPr>
        <w:t xml:space="preserve"> que </w:t>
      </w:r>
      <w:r w:rsidR="002F7A44">
        <w:rPr>
          <w:bCs/>
        </w:rPr>
        <w:t xml:space="preserve">la labor </w:t>
      </w:r>
      <w:r>
        <w:rPr>
          <w:bCs/>
        </w:rPr>
        <w:t>en este campo se</w:t>
      </w:r>
      <w:r w:rsidR="00837EB2">
        <w:rPr>
          <w:bCs/>
        </w:rPr>
        <w:t xml:space="preserve"> debería </w:t>
      </w:r>
      <w:r>
        <w:rPr>
          <w:bCs/>
        </w:rPr>
        <w:t>efec</w:t>
      </w:r>
      <w:r w:rsidR="00837EB2">
        <w:rPr>
          <w:bCs/>
        </w:rPr>
        <w:t>t</w:t>
      </w:r>
      <w:r>
        <w:rPr>
          <w:bCs/>
        </w:rPr>
        <w:t>uar dentro de su programa plurianual de trabajo.</w:t>
      </w:r>
      <w:r>
        <w:t xml:space="preserve"> </w:t>
      </w:r>
      <w:r>
        <w:rPr>
          <w:bCs/>
        </w:rPr>
        <w:t xml:space="preserve">Desde entonces, la Comisión volvió a estudiar la </w:t>
      </w:r>
      <w:r w:rsidR="00837EB2">
        <w:rPr>
          <w:bCs/>
        </w:rPr>
        <w:t xml:space="preserve">cuestión del </w:t>
      </w:r>
      <w:r>
        <w:rPr>
          <w:bCs/>
        </w:rPr>
        <w:t xml:space="preserve">acceso y participación en los beneficios para los recursos genéticos para </w:t>
      </w:r>
      <w:r w:rsidR="00837EB2">
        <w:rPr>
          <w:bCs/>
        </w:rPr>
        <w:t>la alimentación</w:t>
      </w:r>
      <w:r>
        <w:rPr>
          <w:bCs/>
        </w:rPr>
        <w:t xml:space="preserve"> y la agricultura en cada uno de sus períodos ordinarios de sesiones.</w:t>
      </w:r>
      <w:r>
        <w:t xml:space="preserve"> </w:t>
      </w:r>
      <w:r>
        <w:rPr>
          <w:bCs/>
        </w:rPr>
        <w:t xml:space="preserve">En 2013, un </w:t>
      </w:r>
      <w:r w:rsidR="00837EB2">
        <w:rPr>
          <w:bCs/>
        </w:rPr>
        <w:t>E</w:t>
      </w:r>
      <w:r>
        <w:rPr>
          <w:bCs/>
        </w:rPr>
        <w:t xml:space="preserve">quipo de </w:t>
      </w:r>
      <w:r w:rsidR="00837EB2">
        <w:rPr>
          <w:bCs/>
        </w:rPr>
        <w:t xml:space="preserve">expertos </w:t>
      </w:r>
      <w:r>
        <w:rPr>
          <w:bCs/>
        </w:rPr>
        <w:t>técnico</w:t>
      </w:r>
      <w:r w:rsidR="00837EB2">
        <w:rPr>
          <w:bCs/>
        </w:rPr>
        <w:t>s</w:t>
      </w:r>
      <w:r>
        <w:rPr>
          <w:bCs/>
        </w:rPr>
        <w:t xml:space="preserve"> y jurídicos </w:t>
      </w:r>
      <w:r w:rsidR="00455282">
        <w:rPr>
          <w:bCs/>
        </w:rPr>
        <w:t xml:space="preserve">sobre </w:t>
      </w:r>
      <w:r>
        <w:rPr>
          <w:bCs/>
        </w:rPr>
        <w:t>acceso y participación en los beneficios</w:t>
      </w:r>
      <w:r w:rsidR="00455282">
        <w:rPr>
          <w:bCs/>
        </w:rPr>
        <w:t>,</w:t>
      </w:r>
      <w:r>
        <w:rPr>
          <w:bCs/>
        </w:rPr>
        <w:t xml:space="preserve"> establecido por la Comisión, </w:t>
      </w:r>
      <w:r w:rsidR="00455282">
        <w:rPr>
          <w:bCs/>
        </w:rPr>
        <w:t xml:space="preserve">preparó </w:t>
      </w:r>
      <w:r>
        <w:rPr>
          <w:bCs/>
        </w:rPr>
        <w:t xml:space="preserve">los </w:t>
      </w:r>
      <w:r w:rsidR="00455282">
        <w:rPr>
          <w:bCs/>
        </w:rPr>
        <w:t>E</w:t>
      </w:r>
      <w:r>
        <w:rPr>
          <w:bCs/>
        </w:rPr>
        <w:t xml:space="preserve">lementos para facilitar </w:t>
      </w:r>
      <w:r w:rsidR="00D43E1D">
        <w:rPr>
          <w:bCs/>
        </w:rPr>
        <w:t>la aplicación</w:t>
      </w:r>
      <w:r>
        <w:rPr>
          <w:bCs/>
        </w:rPr>
        <w:t xml:space="preserve"> nacional de acceso y participación en los beneficios para diversos subsectores de los </w:t>
      </w:r>
      <w:r w:rsidR="00455282">
        <w:rPr>
          <w:bCs/>
        </w:rPr>
        <w:t>r</w:t>
      </w:r>
      <w:r>
        <w:rPr>
          <w:bCs/>
        </w:rPr>
        <w:t xml:space="preserve">ecursos </w:t>
      </w:r>
      <w:r w:rsidR="00455282">
        <w:rPr>
          <w:bCs/>
        </w:rPr>
        <w:t>f</w:t>
      </w:r>
      <w:r>
        <w:rPr>
          <w:bCs/>
        </w:rPr>
        <w:t xml:space="preserve">itogenéticos para la </w:t>
      </w:r>
      <w:r w:rsidR="00455282">
        <w:rPr>
          <w:bCs/>
        </w:rPr>
        <w:t>a</w:t>
      </w:r>
      <w:r>
        <w:rPr>
          <w:bCs/>
        </w:rPr>
        <w:t xml:space="preserve">limentación y la </w:t>
      </w:r>
      <w:r w:rsidR="00455282">
        <w:rPr>
          <w:bCs/>
        </w:rPr>
        <w:t>a</w:t>
      </w:r>
      <w:r>
        <w:rPr>
          <w:bCs/>
        </w:rPr>
        <w:t>gricultura (elementos de acceso y participación en los beneficios).</w:t>
      </w:r>
      <w:r w:rsidRPr="006442C4">
        <w:rPr>
          <w:rStyle w:val="FootnoteReference"/>
          <w:bCs/>
        </w:rPr>
        <w:footnoteReference w:id="36"/>
      </w:r>
      <w:r>
        <w:t xml:space="preserve"> </w:t>
      </w:r>
      <w:r w:rsidR="00455282">
        <w:t>E</w:t>
      </w:r>
      <w:r w:rsidR="00455282">
        <w:rPr>
          <w:bCs/>
        </w:rPr>
        <w:t>n 2015 la Comisión acogió con beneplácito l</w:t>
      </w:r>
      <w:r>
        <w:rPr>
          <w:bCs/>
        </w:rPr>
        <w:t xml:space="preserve">os </w:t>
      </w:r>
      <w:r w:rsidR="00455282">
        <w:rPr>
          <w:bCs/>
        </w:rPr>
        <w:t>elementos de acceso y participación</w:t>
      </w:r>
      <w:r>
        <w:rPr>
          <w:bCs/>
        </w:rPr>
        <w:t xml:space="preserve"> en los beneficios.</w:t>
      </w:r>
      <w:r>
        <w:t xml:space="preserve"> </w:t>
      </w:r>
      <w:r w:rsidR="00455282">
        <w:t>E</w:t>
      </w:r>
      <w:r w:rsidR="00455282">
        <w:rPr>
          <w:bCs/>
        </w:rPr>
        <w:t>n 2016, l</w:t>
      </w:r>
      <w:r>
        <w:rPr>
          <w:bCs/>
        </w:rPr>
        <w:t xml:space="preserve">a Conferencia de las </w:t>
      </w:r>
      <w:r w:rsidR="00455282">
        <w:rPr>
          <w:bCs/>
        </w:rPr>
        <w:t>Partes en el Convenio</w:t>
      </w:r>
      <w:r>
        <w:rPr>
          <w:bCs/>
        </w:rPr>
        <w:t xml:space="preserve"> invitó a sus Partes y a otros gobiernos que tomaran nota y </w:t>
      </w:r>
      <w:r w:rsidR="00455282">
        <w:rPr>
          <w:bCs/>
        </w:rPr>
        <w:t>aplicaran</w:t>
      </w:r>
      <w:r>
        <w:rPr>
          <w:bCs/>
        </w:rPr>
        <w:t xml:space="preserve">, según proceda, los </w:t>
      </w:r>
      <w:r w:rsidR="00455282">
        <w:rPr>
          <w:bCs/>
        </w:rPr>
        <w:t>elementos de acceso y participación</w:t>
      </w:r>
      <w:r>
        <w:rPr>
          <w:bCs/>
        </w:rPr>
        <w:t xml:space="preserve"> en los beneficios (</w:t>
      </w:r>
      <w:r w:rsidR="00C30C7F">
        <w:rPr>
          <w:bCs/>
        </w:rPr>
        <w:t xml:space="preserve">véase la </w:t>
      </w:r>
      <w:hyperlink r:id="rId11" w:history="1">
        <w:r w:rsidR="00F26DAC" w:rsidRPr="00F26DAC">
          <w:rPr>
            <w:rStyle w:val="Hyperlink"/>
            <w:bCs/>
            <w:sz w:val="22"/>
            <w:szCs w:val="22"/>
          </w:rPr>
          <w:t>decisi</w:t>
        </w:r>
        <w:r w:rsidR="00455282">
          <w:rPr>
            <w:rStyle w:val="Hyperlink"/>
            <w:bCs/>
            <w:sz w:val="22"/>
            <w:szCs w:val="22"/>
          </w:rPr>
          <w:t>ó</w:t>
        </w:r>
        <w:r w:rsidR="00F26DAC" w:rsidRPr="00F26DAC">
          <w:rPr>
            <w:rStyle w:val="Hyperlink"/>
            <w:bCs/>
            <w:sz w:val="22"/>
            <w:szCs w:val="22"/>
          </w:rPr>
          <w:t>n XIII/1</w:t>
        </w:r>
      </w:hyperlink>
      <w:r>
        <w:rPr>
          <w:bCs/>
        </w:rPr>
        <w:t>, párrafo 28).</w:t>
      </w:r>
      <w:r>
        <w:t xml:space="preserve"> </w:t>
      </w:r>
    </w:p>
    <w:p w:rsidR="00E91B29" w:rsidRDefault="00E91B29" w:rsidP="00E91B29">
      <w:pPr>
        <w:pStyle w:val="Para1"/>
        <w:numPr>
          <w:ilvl w:val="0"/>
          <w:numId w:val="4"/>
        </w:numPr>
        <w:tabs>
          <w:tab w:val="num" w:pos="709"/>
        </w:tabs>
        <w:spacing w:before="120"/>
        <w:ind w:left="0" w:firstLine="0"/>
        <w:rPr>
          <w:bCs/>
        </w:rPr>
      </w:pPr>
      <w:r>
        <w:rPr>
          <w:bCs/>
        </w:rPr>
        <w:t xml:space="preserve">En 2019, la Comisión, en su decimoséptimo período ordinario de sesiones, acogió </w:t>
      </w:r>
      <w:r w:rsidR="00455282">
        <w:rPr>
          <w:bCs/>
        </w:rPr>
        <w:t>con beneplácito</w:t>
      </w:r>
      <w:r>
        <w:rPr>
          <w:bCs/>
        </w:rPr>
        <w:t xml:space="preserve"> las notas explicativas que complementaban los </w:t>
      </w:r>
      <w:r w:rsidR="00455282">
        <w:rPr>
          <w:bCs/>
        </w:rPr>
        <w:t>Elementos de acceso y participación</w:t>
      </w:r>
      <w:r>
        <w:rPr>
          <w:bCs/>
        </w:rPr>
        <w:t xml:space="preserve"> en los beneficios</w:t>
      </w:r>
      <w:r w:rsidR="00455282">
        <w:rPr>
          <w:bCs/>
        </w:rPr>
        <w:t xml:space="preserve">, </w:t>
      </w:r>
      <w:r w:rsidR="00455282">
        <w:rPr>
          <w:bCs/>
        </w:rPr>
        <w:lastRenderedPageBreak/>
        <w:t xml:space="preserve">preparadas </w:t>
      </w:r>
      <w:r>
        <w:rPr>
          <w:bCs/>
        </w:rPr>
        <w:t xml:space="preserve">por el </w:t>
      </w:r>
      <w:r w:rsidR="00455282">
        <w:rPr>
          <w:bCs/>
        </w:rPr>
        <w:t>E</w:t>
      </w:r>
      <w:r>
        <w:rPr>
          <w:bCs/>
        </w:rPr>
        <w:t xml:space="preserve">quipo de expertos en colaboración con los </w:t>
      </w:r>
      <w:r w:rsidR="00455282">
        <w:rPr>
          <w:bCs/>
        </w:rPr>
        <w:t>G</w:t>
      </w:r>
      <w:r>
        <w:rPr>
          <w:bCs/>
        </w:rPr>
        <w:t>rupos de trabajo de la Comisión.</w:t>
      </w:r>
      <w:r>
        <w:t xml:space="preserve"> </w:t>
      </w:r>
      <w:r>
        <w:rPr>
          <w:bCs/>
        </w:rPr>
        <w:t xml:space="preserve">Las notas explicativas describen, en el contexto de los </w:t>
      </w:r>
      <w:r w:rsidR="00455282">
        <w:rPr>
          <w:bCs/>
        </w:rPr>
        <w:t>Elementos de acceso y participación</w:t>
      </w:r>
      <w:r>
        <w:rPr>
          <w:bCs/>
        </w:rPr>
        <w:t xml:space="preserve"> en los beneficios, las características distintivas y las prácticas específicas de diversos subsectores de los recursos genéticos para </w:t>
      </w:r>
      <w:r w:rsidR="00837EB2">
        <w:rPr>
          <w:bCs/>
        </w:rPr>
        <w:t>la alimentación</w:t>
      </w:r>
      <w:r>
        <w:rPr>
          <w:bCs/>
        </w:rPr>
        <w:t xml:space="preserve"> y la agricultura.</w:t>
      </w:r>
      <w:r w:rsidRPr="006442C4">
        <w:rPr>
          <w:bCs/>
          <w:vertAlign w:val="superscript"/>
        </w:rPr>
        <w:footnoteReference w:id="37"/>
      </w:r>
      <w:r>
        <w:t xml:space="preserve"> </w:t>
      </w:r>
      <w:r>
        <w:rPr>
          <w:bCs/>
        </w:rPr>
        <w:t xml:space="preserve">Además, la Comisión inició una encuesta </w:t>
      </w:r>
      <w:r w:rsidR="00455282">
        <w:rPr>
          <w:bCs/>
        </w:rPr>
        <w:t xml:space="preserve">sobre los enfoques </w:t>
      </w:r>
      <w:r>
        <w:rPr>
          <w:bCs/>
        </w:rPr>
        <w:t>legislativo</w:t>
      </w:r>
      <w:r w:rsidR="00455282">
        <w:rPr>
          <w:bCs/>
        </w:rPr>
        <w:t>s</w:t>
      </w:r>
      <w:r>
        <w:rPr>
          <w:bCs/>
        </w:rPr>
        <w:t xml:space="preserve"> administrativ</w:t>
      </w:r>
      <w:r w:rsidR="00455282">
        <w:rPr>
          <w:bCs/>
        </w:rPr>
        <w:t>os</w:t>
      </w:r>
      <w:r>
        <w:rPr>
          <w:bCs/>
        </w:rPr>
        <w:t xml:space="preserve"> y de políticas,</w:t>
      </w:r>
      <w:r w:rsidR="00455282">
        <w:rPr>
          <w:bCs/>
        </w:rPr>
        <w:t xml:space="preserve"> ya existentes,</w:t>
      </w:r>
      <w:r>
        <w:rPr>
          <w:bCs/>
        </w:rPr>
        <w:t xml:space="preserve"> incluyendo </w:t>
      </w:r>
      <w:r w:rsidR="00455282">
        <w:rPr>
          <w:bCs/>
        </w:rPr>
        <w:t>prácticas idóneas</w:t>
      </w:r>
      <w:r>
        <w:rPr>
          <w:bCs/>
        </w:rPr>
        <w:t xml:space="preserve">, para el acceso y participación en los beneficios para los diversos subsectores de los recursos genéticos para </w:t>
      </w:r>
      <w:r w:rsidR="00837EB2">
        <w:rPr>
          <w:bCs/>
        </w:rPr>
        <w:t>la alimentación</w:t>
      </w:r>
      <w:r>
        <w:rPr>
          <w:bCs/>
        </w:rPr>
        <w:t xml:space="preserve"> y la agricultura y los conocimientos tradicionales asociados a los recursos genéticos para </w:t>
      </w:r>
      <w:r w:rsidR="00837EB2">
        <w:rPr>
          <w:bCs/>
        </w:rPr>
        <w:t>la alimentación</w:t>
      </w:r>
      <w:r>
        <w:rPr>
          <w:bCs/>
        </w:rPr>
        <w:t xml:space="preserve"> y la agricultura llevados a cabo por </w:t>
      </w:r>
      <w:r w:rsidR="00455282">
        <w:rPr>
          <w:bCs/>
        </w:rPr>
        <w:t>los pueblos indígenas</w:t>
      </w:r>
      <w:r>
        <w:rPr>
          <w:bCs/>
        </w:rPr>
        <w:t xml:space="preserve"> y las comunidades locales, con el objetivo de identificar los enfoques </w:t>
      </w:r>
      <w:r w:rsidR="0073039E">
        <w:rPr>
          <w:bCs/>
        </w:rPr>
        <w:t xml:space="preserve">típicos </w:t>
      </w:r>
      <w:r>
        <w:rPr>
          <w:bCs/>
        </w:rPr>
        <w:t>y las lecciones aprendi</w:t>
      </w:r>
      <w:r w:rsidR="00455282">
        <w:rPr>
          <w:bCs/>
        </w:rPr>
        <w:t>das</w:t>
      </w:r>
      <w:r>
        <w:rPr>
          <w:bCs/>
        </w:rPr>
        <w:t>.</w:t>
      </w:r>
      <w:r w:rsidRPr="006442C4">
        <w:rPr>
          <w:rStyle w:val="FootnoteReference"/>
          <w:bCs/>
        </w:rPr>
        <w:footnoteReference w:id="38"/>
      </w:r>
    </w:p>
    <w:p w:rsidR="00E91B29" w:rsidRDefault="00E91B29" w:rsidP="00E91B29">
      <w:pPr>
        <w:keepNext/>
        <w:numPr>
          <w:ilvl w:val="0"/>
          <w:numId w:val="6"/>
        </w:numPr>
        <w:suppressLineNumbers/>
        <w:suppressAutoHyphens/>
        <w:spacing w:before="120" w:after="120"/>
        <w:ind w:left="0" w:firstLine="0"/>
        <w:jc w:val="center"/>
        <w:outlineLvl w:val="1"/>
        <w:rPr>
          <w:b/>
          <w:bCs/>
          <w:iCs/>
          <w:snapToGrid w:val="0"/>
          <w:kern w:val="22"/>
        </w:rPr>
      </w:pPr>
      <w:r>
        <w:rPr>
          <w:b/>
          <w:bCs/>
          <w:iCs/>
          <w:snapToGrid w:val="0"/>
          <w:kern w:val="22"/>
        </w:rPr>
        <w:t>El Tratado Internacional sobre los Recursos Fitogenéticos para la Alimentación y la Agricultura</w:t>
      </w:r>
    </w:p>
    <w:p w:rsidR="00E91B29" w:rsidRPr="00B51FDF" w:rsidRDefault="00E91B29" w:rsidP="00E91B29">
      <w:pPr>
        <w:pStyle w:val="Para1"/>
        <w:numPr>
          <w:ilvl w:val="0"/>
          <w:numId w:val="4"/>
        </w:numPr>
        <w:tabs>
          <w:tab w:val="num" w:pos="709"/>
        </w:tabs>
        <w:spacing w:before="120"/>
        <w:ind w:left="0" w:firstLine="0"/>
        <w:rPr>
          <w:bCs/>
        </w:rPr>
      </w:pPr>
      <w:r>
        <w:rPr>
          <w:bCs/>
        </w:rPr>
        <w:t xml:space="preserve">El Tratado Internacional sobre los Recursos Fitogenéticos para la Alimentación y la Agricultura </w:t>
      </w:r>
      <w:r w:rsidR="00455282">
        <w:rPr>
          <w:bCs/>
        </w:rPr>
        <w:t xml:space="preserve">se adoptó </w:t>
      </w:r>
      <w:r>
        <w:rPr>
          <w:bCs/>
        </w:rPr>
        <w:t>en 2001 y entr</w:t>
      </w:r>
      <w:r w:rsidR="00455282">
        <w:rPr>
          <w:bCs/>
        </w:rPr>
        <w:t>ó</w:t>
      </w:r>
      <w:r>
        <w:rPr>
          <w:bCs/>
        </w:rPr>
        <w:t xml:space="preserve"> en vigor en 2004.</w:t>
      </w:r>
      <w:r>
        <w:t xml:space="preserve"> </w:t>
      </w:r>
      <w:r>
        <w:rPr>
          <w:bCs/>
        </w:rPr>
        <w:t xml:space="preserve">Conforme al </w:t>
      </w:r>
      <w:r w:rsidR="00EA5BBA">
        <w:rPr>
          <w:bCs/>
        </w:rPr>
        <w:t>Artículo</w:t>
      </w:r>
      <w:r>
        <w:rPr>
          <w:bCs/>
        </w:rPr>
        <w:t xml:space="preserve"> 1 del </w:t>
      </w:r>
      <w:r w:rsidR="00CE77E0">
        <w:rPr>
          <w:bCs/>
        </w:rPr>
        <w:t>Tratado Internacional</w:t>
      </w:r>
      <w:r>
        <w:rPr>
          <w:bCs/>
        </w:rPr>
        <w:t>, sus objetivos son "</w:t>
      </w:r>
      <w:r w:rsidRPr="00B51FDF">
        <w:rPr>
          <w:bCs/>
        </w:rPr>
        <w:t xml:space="preserve">la conservación y la utilización sostenible de los recursos </w:t>
      </w:r>
      <w:r w:rsidR="00F972F6" w:rsidRPr="00B51FDF">
        <w:rPr>
          <w:bCs/>
        </w:rPr>
        <w:t>fitogenéticos</w:t>
      </w:r>
      <w:r w:rsidRPr="00B51FDF">
        <w:rPr>
          <w:bCs/>
        </w:rPr>
        <w:t xml:space="preserve"> para </w:t>
      </w:r>
      <w:r w:rsidR="00837EB2" w:rsidRPr="00B51FDF">
        <w:rPr>
          <w:bCs/>
        </w:rPr>
        <w:t>la alimentación</w:t>
      </w:r>
      <w:r w:rsidRPr="00B51FDF">
        <w:rPr>
          <w:bCs/>
        </w:rPr>
        <w:t xml:space="preserve"> y la agricultura y la distribución justa y equitativa de </w:t>
      </w:r>
      <w:r w:rsidR="00DB798D" w:rsidRPr="00B51FDF">
        <w:rPr>
          <w:bCs/>
        </w:rPr>
        <w:t>los beneficios</w:t>
      </w:r>
      <w:r w:rsidRPr="00B51FDF">
        <w:rPr>
          <w:bCs/>
        </w:rPr>
        <w:t xml:space="preserve"> </w:t>
      </w:r>
      <w:r w:rsidR="00B51FDF" w:rsidRPr="00B51FDF">
        <w:rPr>
          <w:bCs/>
        </w:rPr>
        <w:t xml:space="preserve">derivados </w:t>
      </w:r>
      <w:r w:rsidRPr="00B51FDF">
        <w:rPr>
          <w:bCs/>
        </w:rPr>
        <w:t xml:space="preserve">de su </w:t>
      </w:r>
      <w:r w:rsidR="00B51FDF" w:rsidRPr="00B51FDF">
        <w:rPr>
          <w:bCs/>
        </w:rPr>
        <w:t>utilización</w:t>
      </w:r>
      <w:r w:rsidRPr="00B51FDF">
        <w:rPr>
          <w:bCs/>
        </w:rPr>
        <w:t>, en armonía con el Convenio sobre la Diversidad Biológica, para la agricultura sostenible y la seguridad alimentaria."</w:t>
      </w:r>
      <w:r w:rsidRPr="00B51FDF">
        <w:rPr>
          <w:rStyle w:val="FootnoteReference"/>
          <w:bCs/>
        </w:rPr>
        <w:footnoteReference w:id="39"/>
      </w:r>
    </w:p>
    <w:p w:rsidR="00314474" w:rsidRDefault="009939A2" w:rsidP="00314474">
      <w:pPr>
        <w:pStyle w:val="Para1"/>
        <w:numPr>
          <w:ilvl w:val="0"/>
          <w:numId w:val="4"/>
        </w:numPr>
        <w:spacing w:before="120"/>
        <w:ind w:left="0" w:firstLine="0"/>
        <w:rPr>
          <w:bCs/>
        </w:rPr>
      </w:pPr>
      <w:r>
        <w:rPr>
          <w:bCs/>
        </w:rPr>
        <w:t xml:space="preserve">En </w:t>
      </w:r>
      <w:r w:rsidR="00E91B29">
        <w:rPr>
          <w:bCs/>
        </w:rPr>
        <w:t xml:space="preserve">su </w:t>
      </w:r>
      <w:r w:rsidR="00EA5BBA">
        <w:rPr>
          <w:bCs/>
        </w:rPr>
        <w:t>Artículo</w:t>
      </w:r>
      <w:r w:rsidR="00E91B29">
        <w:rPr>
          <w:bCs/>
        </w:rPr>
        <w:t xml:space="preserve"> 10</w:t>
      </w:r>
      <w:r>
        <w:rPr>
          <w:bCs/>
        </w:rPr>
        <w:t>.</w:t>
      </w:r>
      <w:r w:rsidR="00E91B29">
        <w:rPr>
          <w:bCs/>
        </w:rPr>
        <w:t xml:space="preserve">2, el </w:t>
      </w:r>
      <w:r w:rsidR="00CE77E0">
        <w:rPr>
          <w:bCs/>
        </w:rPr>
        <w:t>Tratado Internacional</w:t>
      </w:r>
      <w:r w:rsidR="00E91B29">
        <w:rPr>
          <w:bCs/>
        </w:rPr>
        <w:t xml:space="preserve"> establece un </w:t>
      </w:r>
      <w:r w:rsidR="0073039E">
        <w:rPr>
          <w:bCs/>
        </w:rPr>
        <w:t>Sistema Multilateral de Acceso y Participación en los Beneficios</w:t>
      </w:r>
      <w:r w:rsidR="00E91B29">
        <w:rPr>
          <w:bCs/>
        </w:rPr>
        <w:t>, "</w:t>
      </w:r>
      <w:r w:rsidR="00314474" w:rsidRPr="00314474">
        <w:rPr>
          <w:bCs/>
        </w:rPr>
        <w:t>que sea eficaz, efectivo y transparente para facilitar el acceso a</w:t>
      </w:r>
      <w:r w:rsidR="00314474">
        <w:rPr>
          <w:bCs/>
        </w:rPr>
        <w:t xml:space="preserve"> </w:t>
      </w:r>
      <w:r w:rsidR="00314474" w:rsidRPr="00314474">
        <w:rPr>
          <w:bCs/>
        </w:rPr>
        <w:t>los recursos fitogenéticos para la alimentación y la agricultura y compartir</w:t>
      </w:r>
      <w:r w:rsidR="00E91B29" w:rsidRPr="00314474">
        <w:rPr>
          <w:bCs/>
        </w:rPr>
        <w:t xml:space="preserve">, </w:t>
      </w:r>
      <w:r w:rsidR="00314474" w:rsidRPr="00314474">
        <w:rPr>
          <w:bCs/>
        </w:rPr>
        <w:t>de manera</w:t>
      </w:r>
      <w:r w:rsidR="00314474">
        <w:rPr>
          <w:bCs/>
        </w:rPr>
        <w:t xml:space="preserve"> </w:t>
      </w:r>
      <w:r w:rsidR="00314474" w:rsidRPr="00314474">
        <w:rPr>
          <w:bCs/>
        </w:rPr>
        <w:t>justa y equitativa, los beneficios que se deriven de la utilización de tales recursos, sobre</w:t>
      </w:r>
      <w:r w:rsidR="00314474">
        <w:rPr>
          <w:bCs/>
        </w:rPr>
        <w:t xml:space="preserve"> </w:t>
      </w:r>
      <w:r w:rsidR="00314474" w:rsidRPr="00314474">
        <w:rPr>
          <w:bCs/>
        </w:rPr>
        <w:t>una base complementaria y de fortalecimiento mutuo</w:t>
      </w:r>
      <w:r w:rsidR="00E91B29">
        <w:rPr>
          <w:bCs/>
        </w:rPr>
        <w:t>."</w:t>
      </w:r>
      <w:r w:rsidR="00E91B29" w:rsidRPr="006442C4">
        <w:rPr>
          <w:rStyle w:val="FootnoteReference"/>
          <w:bCs/>
        </w:rPr>
        <w:footnoteReference w:id="40"/>
      </w:r>
      <w:r w:rsidR="00314474" w:rsidRPr="00314474">
        <w:rPr>
          <w:bCs/>
        </w:rPr>
        <w:t xml:space="preserve"> </w:t>
      </w:r>
    </w:p>
    <w:p w:rsidR="00E91B29" w:rsidRDefault="00E91B29" w:rsidP="00314474">
      <w:pPr>
        <w:pStyle w:val="Para1"/>
        <w:numPr>
          <w:ilvl w:val="0"/>
          <w:numId w:val="4"/>
        </w:numPr>
        <w:spacing w:before="120"/>
        <w:ind w:left="0" w:firstLine="0"/>
        <w:rPr>
          <w:bCs/>
        </w:rPr>
      </w:pPr>
      <w:r>
        <w:rPr>
          <w:bCs/>
        </w:rPr>
        <w:t xml:space="preserve">En 2013, el </w:t>
      </w:r>
      <w:r w:rsidR="002431AF">
        <w:rPr>
          <w:bCs/>
        </w:rPr>
        <w:t xml:space="preserve">Órgano rector </w:t>
      </w:r>
      <w:r>
        <w:rPr>
          <w:bCs/>
        </w:rPr>
        <w:t xml:space="preserve">del </w:t>
      </w:r>
      <w:r w:rsidR="00CE77E0">
        <w:rPr>
          <w:bCs/>
        </w:rPr>
        <w:t>Tratado Internacional</w:t>
      </w:r>
      <w:r>
        <w:rPr>
          <w:bCs/>
        </w:rPr>
        <w:t xml:space="preserve"> puso en marcha un proceso para </w:t>
      </w:r>
      <w:r w:rsidR="002431AF">
        <w:rPr>
          <w:bCs/>
        </w:rPr>
        <w:t xml:space="preserve">mejorar </w:t>
      </w:r>
      <w:r>
        <w:rPr>
          <w:bCs/>
        </w:rPr>
        <w:t xml:space="preserve">el </w:t>
      </w:r>
      <w:r w:rsidR="0073039E">
        <w:rPr>
          <w:bCs/>
        </w:rPr>
        <w:t>Sistema Multilateral de Acceso y Participación en los Beneficios</w:t>
      </w:r>
      <w:r>
        <w:rPr>
          <w:bCs/>
        </w:rPr>
        <w:t xml:space="preserve"> </w:t>
      </w:r>
      <w:r>
        <w:t xml:space="preserve">estableciendo un </w:t>
      </w:r>
      <w:r w:rsidR="002431AF">
        <w:t>Grupo de trabajo</w:t>
      </w:r>
      <w:r>
        <w:t xml:space="preserve"> </w:t>
      </w:r>
      <w:r w:rsidR="002431AF">
        <w:t>especial de composición abierta</w:t>
      </w:r>
      <w:r>
        <w:t xml:space="preserve">, que fue encargado, entre otras cosas, </w:t>
      </w:r>
      <w:r w:rsidR="002431AF">
        <w:t xml:space="preserve">de desarrollar </w:t>
      </w:r>
      <w:r>
        <w:t xml:space="preserve">las medidas para el aumento </w:t>
      </w:r>
      <w:r w:rsidR="002431AF">
        <w:t xml:space="preserve">de pagos de usuarios y contribuciones al Fondo de Participación </w:t>
      </w:r>
      <w:r>
        <w:t xml:space="preserve">en los </w:t>
      </w:r>
      <w:r w:rsidR="002431AF">
        <w:t>B</w:t>
      </w:r>
      <w:r>
        <w:t xml:space="preserve">eneficios </w:t>
      </w:r>
      <w:r w:rsidR="002431AF">
        <w:t>de</w:t>
      </w:r>
      <w:r>
        <w:t xml:space="preserve"> manera </w:t>
      </w:r>
      <w:r w:rsidR="002431AF">
        <w:t xml:space="preserve">sostenible, </w:t>
      </w:r>
      <w:r w:rsidR="0073039E">
        <w:t xml:space="preserve">previsible </w:t>
      </w:r>
      <w:r w:rsidR="002431AF">
        <w:t xml:space="preserve">y </w:t>
      </w:r>
      <w:r>
        <w:t xml:space="preserve">a largo plazo. El </w:t>
      </w:r>
      <w:r w:rsidR="002431AF">
        <w:t>Grupo de trabajo</w:t>
      </w:r>
      <w:r>
        <w:t xml:space="preserve"> </w:t>
      </w:r>
      <w:r w:rsidR="002431AF">
        <w:t>tomó en consideración</w:t>
      </w:r>
      <w:r>
        <w:t>, entre otr</w:t>
      </w:r>
      <w:r w:rsidR="002431AF">
        <w:t>os temas</w:t>
      </w:r>
      <w:r>
        <w:t xml:space="preserve">, </w:t>
      </w:r>
      <w:r w:rsidR="0073039E">
        <w:t xml:space="preserve">las </w:t>
      </w:r>
      <w:r>
        <w:t xml:space="preserve">revisiones al </w:t>
      </w:r>
      <w:r w:rsidR="002431AF">
        <w:t>Acuerdo Normalizado de T</w:t>
      </w:r>
      <w:r>
        <w:t xml:space="preserve">ransferencia de </w:t>
      </w:r>
      <w:r w:rsidR="002431AF">
        <w:t>M</w:t>
      </w:r>
      <w:r>
        <w:t xml:space="preserve">ateriales </w:t>
      </w:r>
      <w:r w:rsidR="002431AF">
        <w:t xml:space="preserve">y </w:t>
      </w:r>
      <w:r w:rsidR="0073039E">
        <w:t xml:space="preserve">los </w:t>
      </w:r>
      <w:r w:rsidR="002431AF">
        <w:t xml:space="preserve">posibles cambios </w:t>
      </w:r>
      <w:r>
        <w:t xml:space="preserve">a la cobertura del </w:t>
      </w:r>
      <w:r w:rsidR="004036B1">
        <w:t>Sistema Multilateral</w:t>
      </w:r>
      <w:r>
        <w:t xml:space="preserve">. </w:t>
      </w:r>
      <w:r w:rsidR="002431AF">
        <w:t xml:space="preserve">Dado que </w:t>
      </w:r>
      <w:r>
        <w:t xml:space="preserve">la interdependencia de los países en recursos </w:t>
      </w:r>
      <w:r w:rsidR="00F972F6">
        <w:t>fitogenéticos</w:t>
      </w:r>
      <w:r>
        <w:t xml:space="preserve"> representa un</w:t>
      </w:r>
      <w:r w:rsidR="0073039E">
        <w:t>o</w:t>
      </w:r>
      <w:r>
        <w:t xml:space="preserve"> de l</w:t>
      </w:r>
      <w:r w:rsidR="002431AF">
        <w:t xml:space="preserve">os alegatos clave </w:t>
      </w:r>
      <w:r>
        <w:t xml:space="preserve">para el </w:t>
      </w:r>
      <w:r w:rsidR="004036B1">
        <w:t>Sistema Multilateral</w:t>
      </w:r>
      <w:r>
        <w:t xml:space="preserve"> del </w:t>
      </w:r>
      <w:r w:rsidR="00D45D9E">
        <w:t>T</w:t>
      </w:r>
      <w:r>
        <w:t xml:space="preserve">ratado </w:t>
      </w:r>
      <w:r w:rsidR="00D45D9E">
        <w:t>sobre los Recursos Fitogenéticos</w:t>
      </w:r>
      <w:r>
        <w:t xml:space="preserve">, la base para considerar su </w:t>
      </w:r>
      <w:r w:rsidR="00D45D9E">
        <w:t xml:space="preserve">mejoramiento </w:t>
      </w:r>
      <w:r>
        <w:t xml:space="preserve">incluyó una valoración </w:t>
      </w:r>
      <w:r w:rsidR="00D45D9E">
        <w:t xml:space="preserve">totalmente </w:t>
      </w:r>
      <w:r>
        <w:t xml:space="preserve">actualizada de </w:t>
      </w:r>
      <w:r w:rsidR="00D45D9E">
        <w:t xml:space="preserve">dicha </w:t>
      </w:r>
      <w:r>
        <w:t xml:space="preserve">interdependencia, como </w:t>
      </w:r>
      <w:r w:rsidR="0073039E">
        <w:t xml:space="preserve">aporta </w:t>
      </w:r>
      <w:r>
        <w:t>un estudio reciente.</w:t>
      </w:r>
      <w:r w:rsidRPr="006442C4">
        <w:rPr>
          <w:rStyle w:val="FootnoteReference"/>
        </w:rPr>
        <w:footnoteReference w:id="41"/>
      </w:r>
    </w:p>
    <w:p w:rsidR="00E91B29" w:rsidRDefault="00E91B29" w:rsidP="00E91B29">
      <w:pPr>
        <w:pStyle w:val="Para1"/>
        <w:numPr>
          <w:ilvl w:val="0"/>
          <w:numId w:val="4"/>
        </w:numPr>
        <w:spacing w:before="120"/>
        <w:ind w:left="0" w:firstLine="0"/>
        <w:rPr>
          <w:bCs/>
        </w:rPr>
      </w:pPr>
      <w:r>
        <w:t xml:space="preserve">En el </w:t>
      </w:r>
      <w:r w:rsidR="0073039E">
        <w:t>trans</w:t>
      </w:r>
      <w:r>
        <w:t xml:space="preserve">curso del bienio 2018-2019, el </w:t>
      </w:r>
      <w:r w:rsidR="002431AF">
        <w:t>Grupo de trabajo</w:t>
      </w:r>
      <w:r>
        <w:t xml:space="preserve"> </w:t>
      </w:r>
      <w:r w:rsidR="00F9608F">
        <w:t>to</w:t>
      </w:r>
      <w:r w:rsidR="0073039E">
        <w:t>m</w:t>
      </w:r>
      <w:r w:rsidR="00F9608F">
        <w:t>ó en consideración</w:t>
      </w:r>
      <w:r>
        <w:t xml:space="preserve">, entre otras cosas, </w:t>
      </w:r>
      <w:r w:rsidR="00F9608F">
        <w:t xml:space="preserve">los </w:t>
      </w:r>
      <w:r>
        <w:t xml:space="preserve">criterios y las opciones para la </w:t>
      </w:r>
      <w:r w:rsidR="00F9608F">
        <w:t xml:space="preserve">posible adaptación </w:t>
      </w:r>
      <w:r>
        <w:t xml:space="preserve">de la cobertura del </w:t>
      </w:r>
      <w:r w:rsidR="004036B1">
        <w:t>Sistema Multilateral</w:t>
      </w:r>
      <w:r>
        <w:t xml:space="preserve"> y las medidas de apoyo </w:t>
      </w:r>
      <w:r w:rsidR="00F9608F">
        <w:t xml:space="preserve">para </w:t>
      </w:r>
      <w:r>
        <w:t xml:space="preserve">facilitar </w:t>
      </w:r>
      <w:r w:rsidR="00D43E1D">
        <w:t>la aplicación</w:t>
      </w:r>
      <w:r>
        <w:t xml:space="preserve"> de la posible </w:t>
      </w:r>
      <w:r w:rsidR="00F9608F">
        <w:t xml:space="preserve">ampliación </w:t>
      </w:r>
      <w:r>
        <w:t>de la cobertura de</w:t>
      </w:r>
      <w:r w:rsidR="00F9608F">
        <w:t xml:space="preserve"> dicho sistema</w:t>
      </w:r>
      <w:r>
        <w:t xml:space="preserve">. El </w:t>
      </w:r>
      <w:r w:rsidR="002431AF">
        <w:t>Grupo de trabajo</w:t>
      </w:r>
      <w:r>
        <w:t xml:space="preserve"> </w:t>
      </w:r>
      <w:r w:rsidR="00F9608F">
        <w:t xml:space="preserve">consideró </w:t>
      </w:r>
      <w:r>
        <w:t xml:space="preserve">un </w:t>
      </w:r>
      <w:r w:rsidR="00215614">
        <w:t>posible proceso</w:t>
      </w:r>
      <w:r>
        <w:t xml:space="preserve"> para examinar la situación de:</w:t>
      </w:r>
      <w:r w:rsidR="00F9608F">
        <w:t xml:space="preserve"> las</w:t>
      </w:r>
      <w:r>
        <w:t xml:space="preserve"> ratificaciones al</w:t>
      </w:r>
      <w:r w:rsidR="00E25181">
        <w:t xml:space="preserve"> Anexo </w:t>
      </w:r>
      <w:r w:rsidR="00F9608F">
        <w:t xml:space="preserve">I </w:t>
      </w:r>
      <w:r>
        <w:t xml:space="preserve">enmendado del </w:t>
      </w:r>
      <w:r w:rsidR="00CE77E0">
        <w:t>Tratado Internacional</w:t>
      </w:r>
      <w:r>
        <w:t xml:space="preserve"> (es decir cultivos y forrajes cubiertos por el </w:t>
      </w:r>
      <w:r w:rsidR="004036B1">
        <w:t>Sistema Multilateral</w:t>
      </w:r>
      <w:r>
        <w:t xml:space="preserve">); el nivel de </w:t>
      </w:r>
      <w:r w:rsidR="00F9608F">
        <w:t xml:space="preserve">ingresos de usuarios </w:t>
      </w:r>
      <w:r>
        <w:t xml:space="preserve">que acrecienta </w:t>
      </w:r>
      <w:r w:rsidR="00F9608F">
        <w:t>e</w:t>
      </w:r>
      <w:r>
        <w:t xml:space="preserve">l </w:t>
      </w:r>
      <w:r w:rsidR="00F9608F">
        <w:t>Fondo de Participación en los Beneficios</w:t>
      </w:r>
      <w:r>
        <w:t xml:space="preserve">; </w:t>
      </w:r>
      <w:r w:rsidR="0073039E">
        <w:t xml:space="preserve">la </w:t>
      </w:r>
      <w:r>
        <w:t>disponibilidad y acceso proporcionado a</w:t>
      </w:r>
      <w:r w:rsidR="00F9608F">
        <w:t xml:space="preserve"> los</w:t>
      </w:r>
      <w:r>
        <w:t xml:space="preserve"> material</w:t>
      </w:r>
      <w:r w:rsidR="00F9608F">
        <w:t>es</w:t>
      </w:r>
      <w:r>
        <w:t xml:space="preserve"> dentro del </w:t>
      </w:r>
      <w:r w:rsidR="004036B1">
        <w:t>Sistema Multilateral</w:t>
      </w:r>
      <w:r>
        <w:t>.</w:t>
      </w:r>
    </w:p>
    <w:p w:rsidR="00E91B29" w:rsidRDefault="00E91B29" w:rsidP="00E91B29">
      <w:pPr>
        <w:pStyle w:val="Para1"/>
        <w:numPr>
          <w:ilvl w:val="0"/>
          <w:numId w:val="4"/>
        </w:numPr>
        <w:tabs>
          <w:tab w:val="num" w:pos="709"/>
        </w:tabs>
        <w:spacing w:before="120"/>
        <w:ind w:left="0" w:firstLine="0"/>
        <w:rPr>
          <w:bCs/>
        </w:rPr>
      </w:pPr>
      <w:r>
        <w:rPr>
          <w:bCs/>
        </w:rPr>
        <w:t xml:space="preserve">En 2019, </w:t>
      </w:r>
      <w:r w:rsidR="00F9608F">
        <w:rPr>
          <w:bCs/>
        </w:rPr>
        <w:t xml:space="preserve">en </w:t>
      </w:r>
      <w:r>
        <w:rPr>
          <w:bCs/>
        </w:rPr>
        <w:t xml:space="preserve">su octavo período de sesiones, el </w:t>
      </w:r>
      <w:r w:rsidR="00F9608F">
        <w:rPr>
          <w:bCs/>
        </w:rPr>
        <w:t>Órgano Rector</w:t>
      </w:r>
      <w:r>
        <w:rPr>
          <w:bCs/>
        </w:rPr>
        <w:t xml:space="preserve"> del </w:t>
      </w:r>
      <w:r w:rsidR="00CE77E0">
        <w:rPr>
          <w:bCs/>
        </w:rPr>
        <w:t>Tratado Internacional</w:t>
      </w:r>
      <w:r>
        <w:rPr>
          <w:bCs/>
        </w:rPr>
        <w:t xml:space="preserve"> </w:t>
      </w:r>
      <w:r w:rsidR="00F9608F">
        <w:rPr>
          <w:bCs/>
        </w:rPr>
        <w:t xml:space="preserve">aspiraba a </w:t>
      </w:r>
      <w:r>
        <w:rPr>
          <w:bCs/>
        </w:rPr>
        <w:t xml:space="preserve">alcanzar </w:t>
      </w:r>
      <w:r w:rsidR="00F9608F">
        <w:rPr>
          <w:bCs/>
        </w:rPr>
        <w:t xml:space="preserve">un </w:t>
      </w:r>
      <w:r>
        <w:rPr>
          <w:bCs/>
        </w:rPr>
        <w:t xml:space="preserve">consenso </w:t>
      </w:r>
      <w:r w:rsidR="00F9608F">
        <w:rPr>
          <w:bCs/>
        </w:rPr>
        <w:t xml:space="preserve">sobre las </w:t>
      </w:r>
      <w:r>
        <w:rPr>
          <w:bCs/>
        </w:rPr>
        <w:t xml:space="preserve">medidas para </w:t>
      </w:r>
      <w:r w:rsidR="00F9608F">
        <w:rPr>
          <w:bCs/>
        </w:rPr>
        <w:t xml:space="preserve">mejorar </w:t>
      </w:r>
      <w:r>
        <w:rPr>
          <w:bCs/>
        </w:rPr>
        <w:t xml:space="preserve">el funcionamiento del </w:t>
      </w:r>
      <w:r w:rsidR="0073039E">
        <w:rPr>
          <w:bCs/>
        </w:rPr>
        <w:t>Sistema Multilateral de Acceso y Participación en los Beneficios</w:t>
      </w:r>
      <w:r>
        <w:rPr>
          <w:bCs/>
        </w:rPr>
        <w:t>, un</w:t>
      </w:r>
      <w:r w:rsidR="00F9608F">
        <w:rPr>
          <w:bCs/>
        </w:rPr>
        <w:t>a cuestión</w:t>
      </w:r>
      <w:r>
        <w:rPr>
          <w:bCs/>
        </w:rPr>
        <w:t xml:space="preserve"> que </w:t>
      </w:r>
      <w:r w:rsidR="00C5220E">
        <w:rPr>
          <w:bCs/>
        </w:rPr>
        <w:t xml:space="preserve">se </w:t>
      </w:r>
      <w:r>
        <w:rPr>
          <w:bCs/>
        </w:rPr>
        <w:t xml:space="preserve">ha estado </w:t>
      </w:r>
      <w:r w:rsidR="00F9608F">
        <w:rPr>
          <w:bCs/>
        </w:rPr>
        <w:t>negoci</w:t>
      </w:r>
      <w:r w:rsidR="00C5220E">
        <w:rPr>
          <w:bCs/>
        </w:rPr>
        <w:t>a</w:t>
      </w:r>
      <w:r w:rsidR="00F9608F">
        <w:rPr>
          <w:bCs/>
        </w:rPr>
        <w:t xml:space="preserve">ndo durante </w:t>
      </w:r>
      <w:r>
        <w:rPr>
          <w:bCs/>
        </w:rPr>
        <w:t>seis años.</w:t>
      </w:r>
      <w:r>
        <w:t xml:space="preserve"> </w:t>
      </w:r>
      <w:r>
        <w:rPr>
          <w:bCs/>
        </w:rPr>
        <w:t xml:space="preserve">A pesar de </w:t>
      </w:r>
      <w:r w:rsidR="00F9608F">
        <w:rPr>
          <w:bCs/>
        </w:rPr>
        <w:t xml:space="preserve">las intensas </w:t>
      </w:r>
      <w:r>
        <w:rPr>
          <w:bCs/>
        </w:rPr>
        <w:t xml:space="preserve">negociaciones, el </w:t>
      </w:r>
      <w:r w:rsidR="00F9608F">
        <w:rPr>
          <w:bCs/>
        </w:rPr>
        <w:t>Órgano Rector</w:t>
      </w:r>
      <w:r>
        <w:rPr>
          <w:bCs/>
        </w:rPr>
        <w:t xml:space="preserve"> no p</w:t>
      </w:r>
      <w:r w:rsidR="00C5220E">
        <w:rPr>
          <w:bCs/>
        </w:rPr>
        <w:t xml:space="preserve">udo </w:t>
      </w:r>
      <w:r w:rsidR="00F9608F">
        <w:rPr>
          <w:bCs/>
        </w:rPr>
        <w:t xml:space="preserve">lograr un </w:t>
      </w:r>
      <w:r>
        <w:rPr>
          <w:bCs/>
        </w:rPr>
        <w:t xml:space="preserve">consenso </w:t>
      </w:r>
      <w:r w:rsidR="00F9608F">
        <w:rPr>
          <w:bCs/>
        </w:rPr>
        <w:t xml:space="preserve">sobre el mejoramiento </w:t>
      </w:r>
      <w:r>
        <w:rPr>
          <w:bCs/>
        </w:rPr>
        <w:t xml:space="preserve">del </w:t>
      </w:r>
      <w:r w:rsidR="004036B1">
        <w:rPr>
          <w:bCs/>
        </w:rPr>
        <w:t>Sistema Multilateral</w:t>
      </w:r>
      <w:r>
        <w:rPr>
          <w:bCs/>
        </w:rPr>
        <w:t xml:space="preserve"> y la resolución adoptada 2/2019.</w:t>
      </w:r>
      <w:r w:rsidRPr="006442C4">
        <w:rPr>
          <w:bCs/>
          <w:vertAlign w:val="superscript"/>
        </w:rPr>
        <w:footnoteReference w:id="42"/>
      </w:r>
      <w:r>
        <w:t xml:space="preserve"> </w:t>
      </w:r>
      <w:r w:rsidR="00F9608F">
        <w:t xml:space="preserve">Fomentó la realización de </w:t>
      </w:r>
      <w:r>
        <w:rPr>
          <w:bCs/>
        </w:rPr>
        <w:t xml:space="preserve">consultas </w:t>
      </w:r>
      <w:r w:rsidR="00F9608F">
        <w:rPr>
          <w:bCs/>
        </w:rPr>
        <w:t>oficiosas</w:t>
      </w:r>
      <w:r>
        <w:rPr>
          <w:bCs/>
        </w:rPr>
        <w:t xml:space="preserve"> entre las </w:t>
      </w:r>
      <w:r w:rsidR="00F9608F">
        <w:rPr>
          <w:bCs/>
        </w:rPr>
        <w:t>P</w:t>
      </w:r>
      <w:r>
        <w:rPr>
          <w:bCs/>
        </w:rPr>
        <w:t xml:space="preserve">artes </w:t>
      </w:r>
      <w:r w:rsidR="00F9608F">
        <w:rPr>
          <w:bCs/>
        </w:rPr>
        <w:t>C</w:t>
      </w:r>
      <w:r>
        <w:rPr>
          <w:bCs/>
        </w:rPr>
        <w:t xml:space="preserve">ontratantes y especialmente consultas nacionales entre sectores </w:t>
      </w:r>
      <w:r w:rsidR="00F9608F">
        <w:rPr>
          <w:bCs/>
        </w:rPr>
        <w:t>e</w:t>
      </w:r>
      <w:r>
        <w:rPr>
          <w:bCs/>
        </w:rPr>
        <w:t xml:space="preserve"> interesados directos </w:t>
      </w:r>
      <w:r w:rsidR="008B57C8">
        <w:rPr>
          <w:bCs/>
        </w:rPr>
        <w:t>pertinente</w:t>
      </w:r>
      <w:r w:rsidR="00F9608F">
        <w:rPr>
          <w:bCs/>
        </w:rPr>
        <w:t>s</w:t>
      </w:r>
      <w:r>
        <w:rPr>
          <w:bCs/>
        </w:rPr>
        <w:t>.</w:t>
      </w:r>
      <w:r>
        <w:t xml:space="preserve"> </w:t>
      </w:r>
      <w:r>
        <w:rPr>
          <w:bCs/>
        </w:rPr>
        <w:t xml:space="preserve">Algunas </w:t>
      </w:r>
      <w:r w:rsidR="00F9608F">
        <w:rPr>
          <w:bCs/>
        </w:rPr>
        <w:lastRenderedPageBreak/>
        <w:t>Partes Contratantes</w:t>
      </w:r>
      <w:r>
        <w:rPr>
          <w:bCs/>
        </w:rPr>
        <w:t xml:space="preserve"> quisieron </w:t>
      </w:r>
      <w:r w:rsidR="00F9608F">
        <w:rPr>
          <w:bCs/>
        </w:rPr>
        <w:t>que e</w:t>
      </w:r>
      <w:r>
        <w:rPr>
          <w:bCs/>
        </w:rPr>
        <w:t xml:space="preserve">l </w:t>
      </w:r>
      <w:r w:rsidR="00F9608F">
        <w:rPr>
          <w:bCs/>
        </w:rPr>
        <w:t>Órgano Rector</w:t>
      </w:r>
      <w:r>
        <w:rPr>
          <w:bCs/>
        </w:rPr>
        <w:t xml:space="preserve">, en su </w:t>
      </w:r>
      <w:r w:rsidR="00F9608F">
        <w:rPr>
          <w:bCs/>
        </w:rPr>
        <w:t xml:space="preserve">futuro noveno </w:t>
      </w:r>
      <w:r>
        <w:rPr>
          <w:bCs/>
        </w:rPr>
        <w:t xml:space="preserve">período de sesiones, previsto para diciembre de 2021, </w:t>
      </w:r>
      <w:r w:rsidR="006416EF">
        <w:rPr>
          <w:bCs/>
        </w:rPr>
        <w:t xml:space="preserve">considerase el modo de </w:t>
      </w:r>
      <w:r>
        <w:rPr>
          <w:bCs/>
        </w:rPr>
        <w:t xml:space="preserve">realizar trabajo adicional sobre </w:t>
      </w:r>
      <w:r w:rsidR="006416EF">
        <w:rPr>
          <w:bCs/>
        </w:rPr>
        <w:t xml:space="preserve">el mejoramiento del </w:t>
      </w:r>
      <w:r w:rsidR="004036B1">
        <w:rPr>
          <w:bCs/>
        </w:rPr>
        <w:t>Sistema Multilateral</w:t>
      </w:r>
      <w:r>
        <w:rPr>
          <w:bCs/>
        </w:rPr>
        <w:t xml:space="preserve">, observando la necesidad de </w:t>
      </w:r>
      <w:r w:rsidR="006416EF">
        <w:rPr>
          <w:bCs/>
        </w:rPr>
        <w:t xml:space="preserve">tomar en cuenta los </w:t>
      </w:r>
      <w:r>
        <w:rPr>
          <w:bCs/>
        </w:rPr>
        <w:t>resultados de</w:t>
      </w:r>
      <w:r w:rsidR="006416EF">
        <w:rPr>
          <w:bCs/>
        </w:rPr>
        <w:t xml:space="preserve"> los debates </w:t>
      </w:r>
      <w:r w:rsidR="008B57C8">
        <w:rPr>
          <w:bCs/>
        </w:rPr>
        <w:t>pertinente</w:t>
      </w:r>
      <w:r w:rsidR="006416EF">
        <w:rPr>
          <w:bCs/>
        </w:rPr>
        <w:t>s</w:t>
      </w:r>
      <w:r>
        <w:rPr>
          <w:bCs/>
        </w:rPr>
        <w:t xml:space="preserve"> conforme al Convenio sobre la Diversidad Biológica.</w:t>
      </w:r>
    </w:p>
    <w:p w:rsidR="00E91B29" w:rsidRDefault="00E91B29" w:rsidP="00E91B29">
      <w:pPr>
        <w:keepNext/>
        <w:numPr>
          <w:ilvl w:val="0"/>
          <w:numId w:val="6"/>
        </w:numPr>
        <w:suppressLineNumbers/>
        <w:tabs>
          <w:tab w:val="left" w:pos="284"/>
        </w:tabs>
        <w:suppressAutoHyphens/>
        <w:spacing w:before="120" w:after="120"/>
        <w:ind w:left="0" w:firstLine="0"/>
        <w:jc w:val="center"/>
        <w:outlineLvl w:val="1"/>
        <w:rPr>
          <w:b/>
          <w:bCs/>
          <w:iCs/>
          <w:snapToGrid w:val="0"/>
          <w:kern w:val="22"/>
        </w:rPr>
      </w:pPr>
      <w:r>
        <w:rPr>
          <w:b/>
          <w:bCs/>
          <w:iCs/>
          <w:snapToGrid w:val="0"/>
          <w:kern w:val="22"/>
        </w:rPr>
        <w:t>Convención de las Naciones Unidas sobre el Derecho del Mar</w:t>
      </w:r>
    </w:p>
    <w:p w:rsidR="00E91B29" w:rsidRDefault="006416EF" w:rsidP="00E91B29">
      <w:pPr>
        <w:pStyle w:val="Para1"/>
        <w:numPr>
          <w:ilvl w:val="0"/>
          <w:numId w:val="4"/>
        </w:numPr>
        <w:spacing w:before="120"/>
        <w:ind w:left="0" w:firstLine="0"/>
        <w:rPr>
          <w:bCs/>
        </w:rPr>
      </w:pPr>
      <w:r>
        <w:rPr>
          <w:bCs/>
        </w:rPr>
        <w:t>L</w:t>
      </w:r>
      <w:r w:rsidR="00E91B29">
        <w:rPr>
          <w:bCs/>
        </w:rPr>
        <w:t xml:space="preserve">a Convención de las Naciones Unidas sobre el Derecho del Mar </w:t>
      </w:r>
      <w:r>
        <w:rPr>
          <w:bCs/>
        </w:rPr>
        <w:t xml:space="preserve">se adoptó </w:t>
      </w:r>
      <w:r w:rsidR="00E91B29">
        <w:rPr>
          <w:bCs/>
        </w:rPr>
        <w:t>en diciembre de 1982 y entr</w:t>
      </w:r>
      <w:r>
        <w:rPr>
          <w:bCs/>
        </w:rPr>
        <w:t>ó</w:t>
      </w:r>
      <w:r w:rsidR="00E91B29">
        <w:rPr>
          <w:bCs/>
        </w:rPr>
        <w:t xml:space="preserve"> en vigor en noviembre de 1994, </w:t>
      </w:r>
      <w:r>
        <w:rPr>
          <w:bCs/>
        </w:rPr>
        <w:t>a fin de facilitar</w:t>
      </w:r>
      <w:r w:rsidR="00E91B29">
        <w:rPr>
          <w:bCs/>
        </w:rPr>
        <w:t xml:space="preserve">, entre otras cosas, la utilización equitativa y eficiente de </w:t>
      </w:r>
      <w:r w:rsidR="00E91B29">
        <w:t xml:space="preserve">los </w:t>
      </w:r>
      <w:r w:rsidR="007B1FAB">
        <w:rPr>
          <w:bCs/>
        </w:rPr>
        <w:t>recursos oceánicos</w:t>
      </w:r>
      <w:r w:rsidR="00E91B29">
        <w:rPr>
          <w:bCs/>
        </w:rPr>
        <w:t xml:space="preserve"> y proteger y preservar el medio ambiente marino.</w:t>
      </w:r>
      <w:r w:rsidR="00E91B29">
        <w:t xml:space="preserve"> </w:t>
      </w:r>
    </w:p>
    <w:p w:rsidR="00E91B29" w:rsidRDefault="007B1FAB" w:rsidP="00E91B29">
      <w:pPr>
        <w:pStyle w:val="Para1"/>
        <w:numPr>
          <w:ilvl w:val="0"/>
          <w:numId w:val="4"/>
        </w:numPr>
        <w:tabs>
          <w:tab w:val="num" w:pos="709"/>
        </w:tabs>
        <w:spacing w:before="120"/>
        <w:ind w:left="0" w:firstLine="0"/>
        <w:rPr>
          <w:bCs/>
        </w:rPr>
      </w:pPr>
      <w:r>
        <w:rPr>
          <w:bCs/>
        </w:rPr>
        <w:t>E</w:t>
      </w:r>
      <w:r w:rsidR="00E91B29">
        <w:rPr>
          <w:bCs/>
        </w:rPr>
        <w:t xml:space="preserve">n su resolución 72/249 del 24 de diciembre de 2017, </w:t>
      </w:r>
      <w:r>
        <w:rPr>
          <w:bCs/>
        </w:rPr>
        <w:t xml:space="preserve">la Asamblea General de los Naciones Unidas </w:t>
      </w:r>
      <w:r w:rsidR="00E91B29">
        <w:rPr>
          <w:bCs/>
        </w:rPr>
        <w:t>decid</w:t>
      </w:r>
      <w:r>
        <w:rPr>
          <w:bCs/>
        </w:rPr>
        <w:t>ió</w:t>
      </w:r>
      <w:r w:rsidR="00E91B29">
        <w:rPr>
          <w:bCs/>
        </w:rPr>
        <w:t xml:space="preserve"> convocar una </w:t>
      </w:r>
      <w:r w:rsidR="002B31A8" w:rsidRPr="004764FF">
        <w:rPr>
          <w:bCs/>
        </w:rPr>
        <w:t xml:space="preserve">Conferencia </w:t>
      </w:r>
      <w:r w:rsidR="004764FF" w:rsidRPr="004764FF">
        <w:rPr>
          <w:bCs/>
        </w:rPr>
        <w:t>i</w:t>
      </w:r>
      <w:r w:rsidR="002B31A8" w:rsidRPr="004764FF">
        <w:rPr>
          <w:bCs/>
        </w:rPr>
        <w:t>ntergubernamental</w:t>
      </w:r>
      <w:r w:rsidR="00E91B29" w:rsidRPr="004764FF">
        <w:rPr>
          <w:bCs/>
        </w:rPr>
        <w:t xml:space="preserve"> sobre la conservación y la utilización sostenible </w:t>
      </w:r>
      <w:r w:rsidR="00696569" w:rsidRPr="004764FF">
        <w:rPr>
          <w:bCs/>
        </w:rPr>
        <w:t>de la diversidad biológica</w:t>
      </w:r>
      <w:r w:rsidR="00E91B29" w:rsidRPr="004764FF">
        <w:rPr>
          <w:bCs/>
        </w:rPr>
        <w:t xml:space="preserve"> marin</w:t>
      </w:r>
      <w:r w:rsidR="004764FF" w:rsidRPr="004764FF">
        <w:rPr>
          <w:bCs/>
        </w:rPr>
        <w:t>a</w:t>
      </w:r>
      <w:r w:rsidR="00E91B29" w:rsidRPr="004764FF">
        <w:rPr>
          <w:bCs/>
        </w:rPr>
        <w:t xml:space="preserve"> de </w:t>
      </w:r>
      <w:r w:rsidR="004764FF" w:rsidRPr="004764FF">
        <w:rPr>
          <w:bCs/>
        </w:rPr>
        <w:t xml:space="preserve">zonas situadas fuera de </w:t>
      </w:r>
      <w:r w:rsidR="00E91B29" w:rsidRPr="004764FF">
        <w:rPr>
          <w:bCs/>
        </w:rPr>
        <w:t>la jurisdicción nacional (BBNJ</w:t>
      </w:r>
      <w:r w:rsidR="004764FF">
        <w:rPr>
          <w:bCs/>
        </w:rPr>
        <w:t>, por su sigla en inglés</w:t>
      </w:r>
      <w:r w:rsidR="00E91B29" w:rsidRPr="004764FF">
        <w:rPr>
          <w:bCs/>
        </w:rPr>
        <w:t xml:space="preserve">), </w:t>
      </w:r>
      <w:r w:rsidR="00E91B29">
        <w:rPr>
          <w:bCs/>
        </w:rPr>
        <w:t xml:space="preserve">bajo los auspicios de los Naciones Unidas, </w:t>
      </w:r>
      <w:r w:rsidR="002B31A8">
        <w:rPr>
          <w:bCs/>
        </w:rPr>
        <w:t xml:space="preserve">para considerar </w:t>
      </w:r>
      <w:r w:rsidR="00E91B29">
        <w:rPr>
          <w:bCs/>
        </w:rPr>
        <w:t xml:space="preserve">las recomendaciones del </w:t>
      </w:r>
      <w:r w:rsidR="002B31A8">
        <w:rPr>
          <w:bCs/>
        </w:rPr>
        <w:t>Comité Preparatorio</w:t>
      </w:r>
      <w:r w:rsidR="00E91B29">
        <w:rPr>
          <w:bCs/>
        </w:rPr>
        <w:t xml:space="preserve"> establecido por la resolución 69/292 del 19 de junio de 2015 sobre los elementos y</w:t>
      </w:r>
      <w:r w:rsidR="00A24BD3">
        <w:rPr>
          <w:bCs/>
        </w:rPr>
        <w:t xml:space="preserve"> para</w:t>
      </w:r>
      <w:r w:rsidR="00E91B29">
        <w:rPr>
          <w:bCs/>
        </w:rPr>
        <w:t xml:space="preserve"> elaborar el texto de un instrumento </w:t>
      </w:r>
      <w:r w:rsidR="002B31A8">
        <w:rPr>
          <w:bCs/>
        </w:rPr>
        <w:t xml:space="preserve">internacional </w:t>
      </w:r>
      <w:r w:rsidR="00E91B29">
        <w:rPr>
          <w:bCs/>
        </w:rPr>
        <w:t xml:space="preserve">jurídicamente vinculante bajo la </w:t>
      </w:r>
      <w:r w:rsidR="00C30C7F">
        <w:rPr>
          <w:bCs/>
        </w:rPr>
        <w:t>Convención de las Naciones Unidas sobre el Derecho del Mar</w:t>
      </w:r>
      <w:r w:rsidR="00E91B29">
        <w:rPr>
          <w:bCs/>
        </w:rPr>
        <w:t>, con</w:t>
      </w:r>
      <w:r w:rsidR="002B31A8">
        <w:rPr>
          <w:bCs/>
        </w:rPr>
        <w:t xml:space="preserve"> el</w:t>
      </w:r>
      <w:r w:rsidR="00E91B29">
        <w:rPr>
          <w:bCs/>
        </w:rPr>
        <w:t xml:space="preserve"> objeto de desarrollar el instrumento </w:t>
      </w:r>
      <w:r w:rsidR="00A24BD3">
        <w:rPr>
          <w:bCs/>
        </w:rPr>
        <w:t>a la mayor brevedad</w:t>
      </w:r>
      <w:r w:rsidR="00E91B29">
        <w:rPr>
          <w:bCs/>
        </w:rPr>
        <w:t>.</w:t>
      </w:r>
    </w:p>
    <w:p w:rsidR="00E91B29" w:rsidRDefault="00E91B29" w:rsidP="00E91B29">
      <w:pPr>
        <w:pStyle w:val="Para1"/>
        <w:numPr>
          <w:ilvl w:val="0"/>
          <w:numId w:val="4"/>
        </w:numPr>
        <w:tabs>
          <w:tab w:val="num" w:pos="709"/>
        </w:tabs>
        <w:spacing w:before="120"/>
        <w:ind w:left="0" w:firstLine="0"/>
        <w:rPr>
          <w:bCs/>
        </w:rPr>
      </w:pPr>
      <w:r>
        <w:rPr>
          <w:bCs/>
        </w:rPr>
        <w:t xml:space="preserve">De acuerdo con la resolución 72/249, la </w:t>
      </w:r>
      <w:r w:rsidR="002B31A8">
        <w:rPr>
          <w:bCs/>
        </w:rPr>
        <w:t>Conferencia Intergubernamental</w:t>
      </w:r>
      <w:r>
        <w:rPr>
          <w:bCs/>
        </w:rPr>
        <w:t xml:space="preserve"> </w:t>
      </w:r>
      <w:r w:rsidR="002B31A8">
        <w:rPr>
          <w:bCs/>
        </w:rPr>
        <w:t>trató los siguientes temas</w:t>
      </w:r>
      <w:r>
        <w:rPr>
          <w:bCs/>
        </w:rPr>
        <w:t>:</w:t>
      </w:r>
      <w:r>
        <w:t xml:space="preserve"> </w:t>
      </w:r>
      <w:r>
        <w:rPr>
          <w:bCs/>
        </w:rPr>
        <w:t xml:space="preserve">la conservación y la utilización sostenible de la diversidad biológica marina de </w:t>
      </w:r>
      <w:r w:rsidR="00A24BD3">
        <w:rPr>
          <w:bCs/>
        </w:rPr>
        <w:t xml:space="preserve">zonas situadas </w:t>
      </w:r>
      <w:r w:rsidR="002B31A8">
        <w:rPr>
          <w:bCs/>
        </w:rPr>
        <w:t xml:space="preserve">fuera </w:t>
      </w:r>
      <w:r>
        <w:rPr>
          <w:bCs/>
        </w:rPr>
        <w:t xml:space="preserve">de la jurisdicción nacional, particularmente, </w:t>
      </w:r>
      <w:r w:rsidR="00A24BD3">
        <w:rPr>
          <w:bCs/>
        </w:rPr>
        <w:t>de manera conjunta e integrada</w:t>
      </w:r>
      <w:r>
        <w:rPr>
          <w:bCs/>
        </w:rPr>
        <w:t xml:space="preserve">, </w:t>
      </w:r>
      <w:r w:rsidR="002B31A8">
        <w:rPr>
          <w:bCs/>
        </w:rPr>
        <w:t xml:space="preserve">los </w:t>
      </w:r>
      <w:r>
        <w:rPr>
          <w:bCs/>
        </w:rPr>
        <w:t xml:space="preserve">recursos genéticos marinos, incluyendo </w:t>
      </w:r>
      <w:r w:rsidR="002B31A8">
        <w:rPr>
          <w:bCs/>
        </w:rPr>
        <w:t>las cuestiones</w:t>
      </w:r>
      <w:r>
        <w:rPr>
          <w:bCs/>
        </w:rPr>
        <w:t xml:space="preserve"> sobre la participación en los beneficios, medidas tales como herramientas de gestión </w:t>
      </w:r>
      <w:r w:rsidR="002B31A8">
        <w:rPr>
          <w:bCs/>
        </w:rPr>
        <w:t>basadas en áreas</w:t>
      </w:r>
      <w:r>
        <w:rPr>
          <w:bCs/>
        </w:rPr>
        <w:t>, incluyendo</w:t>
      </w:r>
      <w:r w:rsidR="00A24BD3">
        <w:rPr>
          <w:bCs/>
        </w:rPr>
        <w:t xml:space="preserve"> las</w:t>
      </w:r>
      <w:r>
        <w:rPr>
          <w:bCs/>
        </w:rPr>
        <w:t xml:space="preserve"> </w:t>
      </w:r>
      <w:r w:rsidR="00A24BD3">
        <w:rPr>
          <w:bCs/>
        </w:rPr>
        <w:t>áreas marinas protegidas</w:t>
      </w:r>
      <w:r>
        <w:rPr>
          <w:bCs/>
        </w:rPr>
        <w:t>, evaluaciones del impacto ambiental y creación de capacidad y la transferencia de tecnología marina.</w:t>
      </w:r>
    </w:p>
    <w:p w:rsidR="00E91B29" w:rsidRDefault="002B31A8" w:rsidP="00E91B29">
      <w:pPr>
        <w:pStyle w:val="Para1"/>
        <w:numPr>
          <w:ilvl w:val="0"/>
          <w:numId w:val="4"/>
        </w:numPr>
        <w:tabs>
          <w:tab w:val="num" w:pos="709"/>
        </w:tabs>
        <w:spacing w:before="120"/>
        <w:ind w:left="0" w:firstLine="0"/>
        <w:rPr>
          <w:bCs/>
        </w:rPr>
      </w:pPr>
      <w:r>
        <w:rPr>
          <w:bCs/>
        </w:rPr>
        <w:t xml:space="preserve">Entre septiembre de 2018 y agosto de 2019 se convocó </w:t>
      </w:r>
      <w:r w:rsidR="00E91B29">
        <w:rPr>
          <w:bCs/>
        </w:rPr>
        <w:t xml:space="preserve">tres períodos de sesiones de la </w:t>
      </w:r>
      <w:r>
        <w:rPr>
          <w:bCs/>
        </w:rPr>
        <w:t>Conferencia Intergubernamental</w:t>
      </w:r>
      <w:r w:rsidR="00E91B29">
        <w:rPr>
          <w:bCs/>
        </w:rPr>
        <w:t xml:space="preserve"> sobre un </w:t>
      </w:r>
      <w:r>
        <w:rPr>
          <w:bCs/>
        </w:rPr>
        <w:t>instrumento internacional jurídicamente vinculante</w:t>
      </w:r>
      <w:r w:rsidR="00E91B29">
        <w:rPr>
          <w:bCs/>
        </w:rPr>
        <w:t>.</w:t>
      </w:r>
      <w:r w:rsidR="00E91B29">
        <w:t xml:space="preserve"> </w:t>
      </w:r>
      <w:r>
        <w:t>E</w:t>
      </w:r>
      <w:r w:rsidR="00E91B29">
        <w:rPr>
          <w:bCs/>
        </w:rPr>
        <w:t xml:space="preserve">n el tercer período de sesiones de la conferencia </w:t>
      </w:r>
      <w:r>
        <w:rPr>
          <w:bCs/>
        </w:rPr>
        <w:t xml:space="preserve">los delegados </w:t>
      </w:r>
      <w:r w:rsidR="00E91B29">
        <w:rPr>
          <w:bCs/>
        </w:rPr>
        <w:t xml:space="preserve">se embarcaron, por primera vez, en negociaciones </w:t>
      </w:r>
      <w:r w:rsidR="005A1151">
        <w:rPr>
          <w:bCs/>
        </w:rPr>
        <w:t xml:space="preserve">sobre el texto basado en </w:t>
      </w:r>
      <w:r w:rsidR="00E91B29">
        <w:rPr>
          <w:bCs/>
        </w:rPr>
        <w:t>un "</w:t>
      </w:r>
      <w:r>
        <w:rPr>
          <w:bCs/>
        </w:rPr>
        <w:t xml:space="preserve">borrador </w:t>
      </w:r>
      <w:r w:rsidR="00E91B29">
        <w:rPr>
          <w:bCs/>
        </w:rPr>
        <w:t xml:space="preserve">cero" que incluía el texto del tratado desarrollado por </w:t>
      </w:r>
      <w:r w:rsidR="005A1151">
        <w:rPr>
          <w:bCs/>
        </w:rPr>
        <w:t xml:space="preserve">la Presidencia </w:t>
      </w:r>
      <w:r w:rsidR="00E91B29">
        <w:rPr>
          <w:bCs/>
        </w:rPr>
        <w:t xml:space="preserve">de la </w:t>
      </w:r>
      <w:r>
        <w:rPr>
          <w:bCs/>
        </w:rPr>
        <w:t>C</w:t>
      </w:r>
      <w:r w:rsidR="00E91B29">
        <w:rPr>
          <w:bCs/>
        </w:rPr>
        <w:t>onferencia.</w:t>
      </w:r>
      <w:r w:rsidR="00E91B29">
        <w:t xml:space="preserve"> </w:t>
      </w:r>
    </w:p>
    <w:p w:rsidR="00E91B29" w:rsidRDefault="005A1151" w:rsidP="00E91B29">
      <w:pPr>
        <w:pStyle w:val="Para1"/>
        <w:numPr>
          <w:ilvl w:val="0"/>
          <w:numId w:val="4"/>
        </w:numPr>
        <w:tabs>
          <w:tab w:val="num" w:pos="709"/>
        </w:tabs>
        <w:spacing w:before="120"/>
        <w:ind w:left="0" w:firstLine="0"/>
        <w:rPr>
          <w:bCs/>
        </w:rPr>
      </w:pPr>
      <w:r>
        <w:rPr>
          <w:bCs/>
        </w:rPr>
        <w:t>La Presidencia elaboró u</w:t>
      </w:r>
      <w:r w:rsidR="00E91B29">
        <w:rPr>
          <w:bCs/>
        </w:rPr>
        <w:t xml:space="preserve">n </w:t>
      </w:r>
      <w:r w:rsidR="002B31A8">
        <w:rPr>
          <w:bCs/>
        </w:rPr>
        <w:t>proyecto de texto</w:t>
      </w:r>
      <w:r w:rsidR="00E91B29">
        <w:rPr>
          <w:bCs/>
        </w:rPr>
        <w:t xml:space="preserve"> revisado</w:t>
      </w:r>
      <w:r w:rsidR="00E91B29">
        <w:rPr>
          <w:bCs/>
          <w:vertAlign w:val="superscript"/>
        </w:rPr>
        <w:footnoteReference w:id="43"/>
      </w:r>
      <w:r w:rsidR="00E91B29">
        <w:rPr>
          <w:bCs/>
        </w:rPr>
        <w:t xml:space="preserve"> de </w:t>
      </w:r>
      <w:r w:rsidR="00E91B29">
        <w:t xml:space="preserve">un </w:t>
      </w:r>
      <w:r w:rsidR="00E91B29">
        <w:rPr>
          <w:bCs/>
        </w:rPr>
        <w:t xml:space="preserve">acuerdo </w:t>
      </w:r>
      <w:r w:rsidR="002B31A8">
        <w:rPr>
          <w:bCs/>
        </w:rPr>
        <w:t xml:space="preserve">bajo la </w:t>
      </w:r>
      <w:r w:rsidR="00C30C7F">
        <w:rPr>
          <w:bCs/>
        </w:rPr>
        <w:t>Convención de las Naciones Unidas sobre el Derecho del Mar</w:t>
      </w:r>
      <w:r w:rsidR="00E91B29">
        <w:rPr>
          <w:bCs/>
        </w:rPr>
        <w:t xml:space="preserve">, para </w:t>
      </w:r>
      <w:r w:rsidR="002B31A8">
        <w:rPr>
          <w:bCs/>
        </w:rPr>
        <w:t xml:space="preserve">que se estudiase </w:t>
      </w:r>
      <w:r w:rsidR="00E91B29">
        <w:rPr>
          <w:bCs/>
        </w:rPr>
        <w:t>en el cuarto período de sesiones.</w:t>
      </w:r>
      <w:r w:rsidR="00E91B29">
        <w:t xml:space="preserve"> </w:t>
      </w:r>
      <w:r w:rsidR="00E91B29">
        <w:rPr>
          <w:bCs/>
        </w:rPr>
        <w:t xml:space="preserve">El </w:t>
      </w:r>
      <w:r w:rsidR="003A76C8">
        <w:rPr>
          <w:bCs/>
        </w:rPr>
        <w:t xml:space="preserve">proyecto de </w:t>
      </w:r>
      <w:r w:rsidR="00E91B29">
        <w:rPr>
          <w:bCs/>
        </w:rPr>
        <w:t xml:space="preserve">texto revisado incluye una sección </w:t>
      </w:r>
      <w:r w:rsidR="003A76C8">
        <w:rPr>
          <w:bCs/>
        </w:rPr>
        <w:t xml:space="preserve">sobre </w:t>
      </w:r>
      <w:r w:rsidR="00E91B29">
        <w:rPr>
          <w:bCs/>
        </w:rPr>
        <w:t xml:space="preserve">el acceso y participación en los beneficios para los recursos genéticos marinos y trata </w:t>
      </w:r>
      <w:r>
        <w:rPr>
          <w:bCs/>
        </w:rPr>
        <w:t xml:space="preserve">sobre </w:t>
      </w:r>
      <w:r w:rsidR="003A76C8">
        <w:rPr>
          <w:bCs/>
        </w:rPr>
        <w:t xml:space="preserve">los </w:t>
      </w:r>
      <w:r w:rsidR="00E91B29">
        <w:rPr>
          <w:bCs/>
        </w:rPr>
        <w:t xml:space="preserve">conocimientos tradicionales de </w:t>
      </w:r>
      <w:r w:rsidR="00455282">
        <w:rPr>
          <w:bCs/>
        </w:rPr>
        <w:t>los pueblos indígenas</w:t>
      </w:r>
      <w:r w:rsidR="00E91B29">
        <w:rPr>
          <w:bCs/>
        </w:rPr>
        <w:t xml:space="preserve"> y las comunidades locales asociadas a los recursos genéticos marinos (</w:t>
      </w:r>
      <w:r>
        <w:rPr>
          <w:bCs/>
        </w:rPr>
        <w:t>S</w:t>
      </w:r>
      <w:r w:rsidR="00E91B29">
        <w:rPr>
          <w:bCs/>
        </w:rPr>
        <w:t xml:space="preserve">ección II del </w:t>
      </w:r>
      <w:r w:rsidR="003A76C8">
        <w:rPr>
          <w:bCs/>
        </w:rPr>
        <w:t>proyecto de texto</w:t>
      </w:r>
      <w:r w:rsidR="00E91B29">
        <w:rPr>
          <w:bCs/>
        </w:rPr>
        <w:t xml:space="preserve"> revisado).</w:t>
      </w:r>
      <w:r w:rsidR="00E91B29">
        <w:t xml:space="preserve"> </w:t>
      </w:r>
    </w:p>
    <w:p w:rsidR="00E91B29" w:rsidRDefault="00E91B29" w:rsidP="00E91B29">
      <w:pPr>
        <w:keepNext/>
        <w:numPr>
          <w:ilvl w:val="0"/>
          <w:numId w:val="6"/>
        </w:numPr>
        <w:suppressLineNumbers/>
        <w:tabs>
          <w:tab w:val="left" w:pos="284"/>
        </w:tabs>
        <w:suppressAutoHyphens/>
        <w:spacing w:before="120" w:after="120"/>
        <w:ind w:left="0" w:firstLine="0"/>
        <w:jc w:val="center"/>
        <w:outlineLvl w:val="1"/>
        <w:rPr>
          <w:b/>
          <w:bCs/>
          <w:iCs/>
          <w:snapToGrid w:val="0"/>
          <w:kern w:val="22"/>
        </w:rPr>
      </w:pPr>
      <w:r>
        <w:rPr>
          <w:b/>
          <w:bCs/>
          <w:iCs/>
          <w:snapToGrid w:val="0"/>
          <w:kern w:val="22"/>
        </w:rPr>
        <w:t>Organización Mundial de la Salud</w:t>
      </w:r>
    </w:p>
    <w:p w:rsidR="00E91B29" w:rsidRDefault="00E91B29" w:rsidP="00E91B29">
      <w:pPr>
        <w:pStyle w:val="Para1"/>
        <w:numPr>
          <w:ilvl w:val="0"/>
          <w:numId w:val="4"/>
        </w:numPr>
        <w:spacing w:before="120"/>
        <w:ind w:left="0" w:firstLine="0"/>
        <w:rPr>
          <w:bCs/>
        </w:rPr>
      </w:pPr>
      <w:r>
        <w:rPr>
          <w:bCs/>
        </w:rPr>
        <w:t xml:space="preserve">En 2011, el </w:t>
      </w:r>
      <w:r w:rsidR="00F9608F">
        <w:rPr>
          <w:bCs/>
        </w:rPr>
        <w:t>Órgano Rector</w:t>
      </w:r>
      <w:r>
        <w:rPr>
          <w:bCs/>
        </w:rPr>
        <w:t xml:space="preserve"> de la Organización Mundial de la Salud (</w:t>
      </w:r>
      <w:r w:rsidR="007C1EBB">
        <w:rPr>
          <w:bCs/>
        </w:rPr>
        <w:t>OMS</w:t>
      </w:r>
      <w:r>
        <w:rPr>
          <w:bCs/>
        </w:rPr>
        <w:t xml:space="preserve">), la </w:t>
      </w:r>
      <w:r w:rsidR="00E25181">
        <w:rPr>
          <w:bCs/>
        </w:rPr>
        <w:t>Asamblea Mundial de la Salud</w:t>
      </w:r>
      <w:r>
        <w:rPr>
          <w:bCs/>
        </w:rPr>
        <w:t xml:space="preserve">, adoptó el marco </w:t>
      </w:r>
      <w:r w:rsidR="00CE77E0" w:rsidRPr="00403212">
        <w:rPr>
          <w:bCs/>
        </w:rPr>
        <w:t xml:space="preserve">de Preparación para una </w:t>
      </w:r>
      <w:r w:rsidR="00403212">
        <w:rPr>
          <w:bCs/>
        </w:rPr>
        <w:t>g</w:t>
      </w:r>
      <w:r w:rsidR="00CE77E0" w:rsidRPr="00403212">
        <w:rPr>
          <w:bCs/>
        </w:rPr>
        <w:t xml:space="preserve">ripe </w:t>
      </w:r>
      <w:r w:rsidR="00403212">
        <w:rPr>
          <w:bCs/>
        </w:rPr>
        <w:t>p</w:t>
      </w:r>
      <w:r w:rsidR="00CE77E0" w:rsidRPr="00403212">
        <w:rPr>
          <w:bCs/>
        </w:rPr>
        <w:t>andémica</w:t>
      </w:r>
      <w:r w:rsidRPr="00403212">
        <w:rPr>
          <w:bCs/>
        </w:rPr>
        <w:t xml:space="preserve"> </w:t>
      </w:r>
      <w:r>
        <w:rPr>
          <w:bCs/>
        </w:rPr>
        <w:t xml:space="preserve">para </w:t>
      </w:r>
      <w:r w:rsidR="00403212">
        <w:rPr>
          <w:bCs/>
        </w:rPr>
        <w:t xml:space="preserve">el intercambio de virus gripales y el acceso a </w:t>
      </w:r>
      <w:r>
        <w:rPr>
          <w:bCs/>
        </w:rPr>
        <w:t>las vacunas y a otr</w:t>
      </w:r>
      <w:r w:rsidR="00403212">
        <w:rPr>
          <w:bCs/>
        </w:rPr>
        <w:t xml:space="preserve">os beneficios </w:t>
      </w:r>
      <w:r>
        <w:rPr>
          <w:bCs/>
        </w:rPr>
        <w:t>(</w:t>
      </w:r>
      <w:r w:rsidR="00CE77E0">
        <w:rPr>
          <w:bCs/>
        </w:rPr>
        <w:t>Marco de PIP</w:t>
      </w:r>
      <w:r>
        <w:rPr>
          <w:bCs/>
        </w:rPr>
        <w:t>).</w:t>
      </w:r>
      <w:r>
        <w:t xml:space="preserve"> </w:t>
      </w:r>
      <w:r>
        <w:rPr>
          <w:bCs/>
        </w:rPr>
        <w:t xml:space="preserve">El </w:t>
      </w:r>
      <w:r w:rsidR="00CE77E0">
        <w:rPr>
          <w:bCs/>
        </w:rPr>
        <w:t>Marco de PIP</w:t>
      </w:r>
      <w:r>
        <w:rPr>
          <w:bCs/>
        </w:rPr>
        <w:t xml:space="preserve"> es un instrumento de salud pública que intenta preparar mejor </w:t>
      </w:r>
      <w:r w:rsidR="005A1151">
        <w:rPr>
          <w:bCs/>
        </w:rPr>
        <w:t>a</w:t>
      </w:r>
      <w:r>
        <w:rPr>
          <w:bCs/>
        </w:rPr>
        <w:t>l mundo para responder a la gripe pandémica.</w:t>
      </w:r>
      <w:r>
        <w:t xml:space="preserve"> </w:t>
      </w:r>
      <w:r>
        <w:rPr>
          <w:bCs/>
        </w:rPr>
        <w:t xml:space="preserve">Sus objetivos </w:t>
      </w:r>
      <w:r w:rsidR="007C1EBB">
        <w:rPr>
          <w:bCs/>
        </w:rPr>
        <w:t>clave son</w:t>
      </w:r>
      <w:r>
        <w:rPr>
          <w:bCs/>
        </w:rPr>
        <w:t>:</w:t>
      </w:r>
      <w:r>
        <w:t xml:space="preserve"> </w:t>
      </w:r>
      <w:r>
        <w:rPr>
          <w:bCs/>
        </w:rPr>
        <w:t xml:space="preserve">mejorar y </w:t>
      </w:r>
      <w:r w:rsidR="005A1151">
        <w:rPr>
          <w:bCs/>
        </w:rPr>
        <w:t xml:space="preserve">fortalecer </w:t>
      </w:r>
      <w:r>
        <w:rPr>
          <w:bCs/>
        </w:rPr>
        <w:t xml:space="preserve">la </w:t>
      </w:r>
      <w:r w:rsidR="007C1EBB">
        <w:rPr>
          <w:bCs/>
        </w:rPr>
        <w:t xml:space="preserve">participación </w:t>
      </w:r>
      <w:r>
        <w:rPr>
          <w:bCs/>
        </w:rPr>
        <w:t xml:space="preserve">de los virus </w:t>
      </w:r>
      <w:r w:rsidR="005A1151">
        <w:rPr>
          <w:bCs/>
        </w:rPr>
        <w:t xml:space="preserve">gripales </w:t>
      </w:r>
      <w:r>
        <w:rPr>
          <w:bCs/>
        </w:rPr>
        <w:t>con potencial pandémico humano;</w:t>
      </w:r>
      <w:r>
        <w:t xml:space="preserve"> </w:t>
      </w:r>
      <w:r>
        <w:rPr>
          <w:bCs/>
        </w:rPr>
        <w:t>y aumentar el acceso de países en vías de desarrollo a las vacunas y a otras fuentes relacionadas</w:t>
      </w:r>
      <w:r w:rsidR="007C1EBB">
        <w:rPr>
          <w:bCs/>
        </w:rPr>
        <w:t xml:space="preserve"> con pandemias</w:t>
      </w:r>
      <w:r>
        <w:rPr>
          <w:bCs/>
        </w:rPr>
        <w:t>.</w:t>
      </w:r>
      <w:r>
        <w:t xml:space="preserve"> </w:t>
      </w:r>
    </w:p>
    <w:p w:rsidR="00E91B29" w:rsidRDefault="005A1151" w:rsidP="00E91B29">
      <w:pPr>
        <w:pStyle w:val="Para1"/>
        <w:numPr>
          <w:ilvl w:val="0"/>
          <w:numId w:val="4"/>
        </w:numPr>
        <w:spacing w:before="120"/>
        <w:ind w:left="0" w:firstLine="0"/>
        <w:rPr>
          <w:bCs/>
        </w:rPr>
      </w:pPr>
      <w:r>
        <w:t>La</w:t>
      </w:r>
      <w:r w:rsidR="00E91B29">
        <w:t xml:space="preserve"> </w:t>
      </w:r>
      <w:r w:rsidR="007C1EBB">
        <w:t>OMS</w:t>
      </w:r>
      <w:r w:rsidR="00E91B29">
        <w:t xml:space="preserve"> coordina </w:t>
      </w:r>
      <w:r>
        <w:t xml:space="preserve">el intercambio </w:t>
      </w:r>
      <w:r w:rsidR="00E91B29">
        <w:t xml:space="preserve">de los </w:t>
      </w:r>
      <w:r>
        <w:t>virus gripales</w:t>
      </w:r>
      <w:r w:rsidR="00E91B29">
        <w:t xml:space="preserve"> a través de una red internacional de laboratorios de salud pública llam</w:t>
      </w:r>
      <w:r w:rsidR="007C4591">
        <w:t>ado</w:t>
      </w:r>
      <w:r w:rsidR="00E91B29">
        <w:t xml:space="preserve"> </w:t>
      </w:r>
      <w:r w:rsidR="00C30C7F">
        <w:t>“</w:t>
      </w:r>
      <w:r w:rsidR="007C4591">
        <w:t>S</w:t>
      </w:r>
      <w:r w:rsidR="00E91B29">
        <w:t xml:space="preserve">istema </w:t>
      </w:r>
      <w:r w:rsidR="007C4591">
        <w:t xml:space="preserve">Mundial </w:t>
      </w:r>
      <w:r w:rsidR="00E91B29">
        <w:t xml:space="preserve">de </w:t>
      </w:r>
      <w:r w:rsidR="007C4591">
        <w:t>V</w:t>
      </w:r>
      <w:r w:rsidR="00E91B29">
        <w:t xml:space="preserve">igilancia y </w:t>
      </w:r>
      <w:r w:rsidR="007C4591">
        <w:t>R</w:t>
      </w:r>
      <w:r w:rsidR="00E91B29">
        <w:t xml:space="preserve">espuesta </w:t>
      </w:r>
      <w:r w:rsidR="007C4591">
        <w:t>a</w:t>
      </w:r>
      <w:r w:rsidR="00E91B29">
        <w:t xml:space="preserve"> la </w:t>
      </w:r>
      <w:r w:rsidR="007C4591">
        <w:t>G</w:t>
      </w:r>
      <w:r w:rsidR="00E91B29">
        <w:t>ripe</w:t>
      </w:r>
      <w:r w:rsidR="00C30C7F">
        <w:t>”</w:t>
      </w:r>
      <w:r w:rsidR="00E91B29">
        <w:t xml:space="preserve"> (</w:t>
      </w:r>
      <w:r w:rsidR="007C4591">
        <w:t>SMVRG</w:t>
      </w:r>
      <w:r w:rsidR="00E91B29">
        <w:t xml:space="preserve">). El </w:t>
      </w:r>
      <w:r w:rsidR="00CE77E0">
        <w:t>Marco de PIP</w:t>
      </w:r>
      <w:r w:rsidR="00E91B29">
        <w:t xml:space="preserve"> estableció </w:t>
      </w:r>
      <w:r w:rsidR="007C4591">
        <w:t xml:space="preserve">el mandato </w:t>
      </w:r>
      <w:r w:rsidR="00E91B29">
        <w:t>para los laboratorios de</w:t>
      </w:r>
      <w:r w:rsidR="007C4591">
        <w:t>l</w:t>
      </w:r>
      <w:r w:rsidR="00E91B29">
        <w:t xml:space="preserve"> </w:t>
      </w:r>
      <w:r w:rsidR="007C4591">
        <w:t>SMVRG</w:t>
      </w:r>
      <w:r w:rsidR="00E91B29">
        <w:t xml:space="preserve"> relacionados con su </w:t>
      </w:r>
      <w:r>
        <w:t xml:space="preserve">labor </w:t>
      </w:r>
      <w:r w:rsidR="00E91B29">
        <w:t xml:space="preserve">con los </w:t>
      </w:r>
      <w:r>
        <w:t>virus gripales</w:t>
      </w:r>
      <w:r w:rsidR="00E91B29">
        <w:t xml:space="preserve"> con potencial pandémico humano. Los laboratorios </w:t>
      </w:r>
      <w:r w:rsidR="007C4591">
        <w:t xml:space="preserve">del SMVRG intercambian </w:t>
      </w:r>
      <w:r w:rsidR="00E91B29">
        <w:t>virus usando los acuerdos</w:t>
      </w:r>
      <w:r w:rsidR="007C4591">
        <w:t xml:space="preserve"> normalizados</w:t>
      </w:r>
      <w:r w:rsidR="00E91B29">
        <w:t xml:space="preserve"> de transferencia de materiales, </w:t>
      </w:r>
      <w:r>
        <w:t xml:space="preserve">los </w:t>
      </w:r>
      <w:r w:rsidR="00E91B29">
        <w:t xml:space="preserve">contratos </w:t>
      </w:r>
      <w:r w:rsidR="007C4591">
        <w:t xml:space="preserve">vinculantes </w:t>
      </w:r>
      <w:r w:rsidR="00E91B29">
        <w:t>que establecieron las condiciones y las obligaciones para la participación en los beneficios.</w:t>
      </w:r>
    </w:p>
    <w:p w:rsidR="00E91B29" w:rsidRDefault="00E91B29" w:rsidP="00E91B29">
      <w:pPr>
        <w:pStyle w:val="Para1"/>
        <w:numPr>
          <w:ilvl w:val="0"/>
          <w:numId w:val="4"/>
        </w:numPr>
        <w:tabs>
          <w:tab w:val="num" w:pos="709"/>
        </w:tabs>
        <w:spacing w:before="120"/>
        <w:ind w:left="0" w:firstLine="0"/>
        <w:rPr>
          <w:bCs/>
        </w:rPr>
      </w:pPr>
      <w:r>
        <w:rPr>
          <w:bCs/>
        </w:rPr>
        <w:lastRenderedPageBreak/>
        <w:t>En su 72</w:t>
      </w:r>
      <w:r w:rsidR="007C4591">
        <w:rPr>
          <w:bCs/>
        </w:rPr>
        <w:t xml:space="preserve">ª </w:t>
      </w:r>
      <w:r>
        <w:rPr>
          <w:bCs/>
        </w:rPr>
        <w:t>reunión</w:t>
      </w:r>
      <w:r w:rsidR="007C4591">
        <w:rPr>
          <w:bCs/>
        </w:rPr>
        <w:t>,</w:t>
      </w:r>
      <w:r>
        <w:rPr>
          <w:bCs/>
        </w:rPr>
        <w:t xml:space="preserve"> mayo de 2019, la </w:t>
      </w:r>
      <w:r w:rsidR="00E25181">
        <w:rPr>
          <w:bCs/>
        </w:rPr>
        <w:t>Asamblea Mundial de la Salud</w:t>
      </w:r>
      <w:r>
        <w:rPr>
          <w:bCs/>
        </w:rPr>
        <w:t xml:space="preserve"> </w:t>
      </w:r>
      <w:r w:rsidR="007C4591">
        <w:rPr>
          <w:bCs/>
        </w:rPr>
        <w:t xml:space="preserve">trató </w:t>
      </w:r>
      <w:r>
        <w:rPr>
          <w:bCs/>
        </w:rPr>
        <w:t>dos temas relacionados directamente con el acceso y participación en los beneficios:</w:t>
      </w:r>
      <w:r>
        <w:t xml:space="preserve"> </w:t>
      </w:r>
      <w:r>
        <w:rPr>
          <w:bCs/>
        </w:rPr>
        <w:t xml:space="preserve">las implicaciones del </w:t>
      </w:r>
      <w:r w:rsidR="00CE77E0">
        <w:rPr>
          <w:bCs/>
        </w:rPr>
        <w:t>Marco de PIP</w:t>
      </w:r>
      <w:r>
        <w:rPr>
          <w:bCs/>
        </w:rPr>
        <w:t xml:space="preserve"> y la salud pública de la aplicación del </w:t>
      </w:r>
      <w:r w:rsidR="00EA5BBA">
        <w:rPr>
          <w:bCs/>
        </w:rPr>
        <w:t>Protocolo</w:t>
      </w:r>
      <w:r>
        <w:rPr>
          <w:bCs/>
        </w:rPr>
        <w:t xml:space="preserve"> de Nagoya.</w:t>
      </w:r>
      <w:r>
        <w:t xml:space="preserve"> </w:t>
      </w:r>
    </w:p>
    <w:p w:rsidR="00E91B29" w:rsidRDefault="00E91B29" w:rsidP="00E91B29">
      <w:pPr>
        <w:pStyle w:val="Para1"/>
        <w:numPr>
          <w:ilvl w:val="0"/>
          <w:numId w:val="4"/>
        </w:numPr>
        <w:tabs>
          <w:tab w:val="num" w:pos="709"/>
        </w:tabs>
        <w:spacing w:before="120"/>
        <w:ind w:left="0" w:firstLine="0"/>
        <w:rPr>
          <w:bCs/>
        </w:rPr>
      </w:pPr>
      <w:r>
        <w:rPr>
          <w:bCs/>
        </w:rPr>
        <w:t xml:space="preserve">Con respecto al </w:t>
      </w:r>
      <w:r w:rsidR="00CE77E0">
        <w:rPr>
          <w:bCs/>
        </w:rPr>
        <w:t>Marco de PIP</w:t>
      </w:r>
      <w:r>
        <w:rPr>
          <w:bCs/>
        </w:rPr>
        <w:t xml:space="preserve">, </w:t>
      </w:r>
      <w:r>
        <w:t xml:space="preserve">la </w:t>
      </w:r>
      <w:r>
        <w:rPr>
          <w:bCs/>
        </w:rPr>
        <w:t xml:space="preserve">decisión </w:t>
      </w:r>
      <w:r w:rsidR="007C4591">
        <w:rPr>
          <w:bCs/>
        </w:rPr>
        <w:t>WHA</w:t>
      </w:r>
      <w:r>
        <w:rPr>
          <w:bCs/>
        </w:rPr>
        <w:t>72(12)</w:t>
      </w:r>
      <w:r>
        <w:rPr>
          <w:bCs/>
          <w:vertAlign w:val="superscript"/>
        </w:rPr>
        <w:footnoteReference w:id="44"/>
      </w:r>
      <w:r>
        <w:rPr>
          <w:bCs/>
        </w:rPr>
        <w:t xml:space="preserve"> incluye los párrafos que </w:t>
      </w:r>
      <w:r w:rsidR="007C4591">
        <w:rPr>
          <w:bCs/>
        </w:rPr>
        <w:t xml:space="preserve">piden </w:t>
      </w:r>
      <w:r>
        <w:rPr>
          <w:bCs/>
        </w:rPr>
        <w:t xml:space="preserve">al </w:t>
      </w:r>
      <w:r w:rsidR="007C4591">
        <w:rPr>
          <w:bCs/>
        </w:rPr>
        <w:t>Director General</w:t>
      </w:r>
      <w:r>
        <w:rPr>
          <w:bCs/>
        </w:rPr>
        <w:t xml:space="preserve"> (a) </w:t>
      </w:r>
      <w:r w:rsidR="007C4591">
        <w:rPr>
          <w:bCs/>
        </w:rPr>
        <w:t xml:space="preserve">que trabaje en forma urgente </w:t>
      </w:r>
      <w:r w:rsidR="005A1151">
        <w:rPr>
          <w:bCs/>
        </w:rPr>
        <w:t xml:space="preserve">con </w:t>
      </w:r>
      <w:r>
        <w:rPr>
          <w:bCs/>
        </w:rPr>
        <w:t xml:space="preserve">el </w:t>
      </w:r>
      <w:r w:rsidR="007C4591">
        <w:rPr>
          <w:bCs/>
        </w:rPr>
        <w:t>SMVRG</w:t>
      </w:r>
      <w:r>
        <w:rPr>
          <w:bCs/>
        </w:rPr>
        <w:t xml:space="preserve"> y otros </w:t>
      </w:r>
      <w:r w:rsidR="005A1151">
        <w:rPr>
          <w:bCs/>
        </w:rPr>
        <w:t xml:space="preserve">asociados </w:t>
      </w:r>
      <w:r>
        <w:rPr>
          <w:bCs/>
        </w:rPr>
        <w:t xml:space="preserve">para identificar y </w:t>
      </w:r>
      <w:r w:rsidR="005A1151">
        <w:rPr>
          <w:bCs/>
        </w:rPr>
        <w:t xml:space="preserve">abordar </w:t>
      </w:r>
      <w:r w:rsidR="007C4591">
        <w:rPr>
          <w:bCs/>
        </w:rPr>
        <w:t>las dificultades</w:t>
      </w:r>
      <w:r>
        <w:rPr>
          <w:bCs/>
        </w:rPr>
        <w:t xml:space="preserve"> y las incertidumbres relacionad</w:t>
      </w:r>
      <w:r w:rsidR="007C4591">
        <w:rPr>
          <w:bCs/>
        </w:rPr>
        <w:t>a</w:t>
      </w:r>
      <w:r>
        <w:rPr>
          <w:bCs/>
        </w:rPr>
        <w:t xml:space="preserve">s con </w:t>
      </w:r>
      <w:r w:rsidR="005A1151">
        <w:rPr>
          <w:bCs/>
        </w:rPr>
        <w:t xml:space="preserve">el intercambio </w:t>
      </w:r>
      <w:r>
        <w:rPr>
          <w:bCs/>
        </w:rPr>
        <w:t xml:space="preserve">de </w:t>
      </w:r>
      <w:r>
        <w:t xml:space="preserve">los </w:t>
      </w:r>
      <w:r w:rsidR="005A1151">
        <w:rPr>
          <w:bCs/>
        </w:rPr>
        <w:t>virus gripales</w:t>
      </w:r>
      <w:r>
        <w:rPr>
          <w:bCs/>
        </w:rPr>
        <w:t xml:space="preserve"> estacional que </w:t>
      </w:r>
      <w:r w:rsidR="00D65371">
        <w:rPr>
          <w:bCs/>
        </w:rPr>
        <w:t xml:space="preserve">surgieron cuando </w:t>
      </w:r>
      <w:r>
        <w:rPr>
          <w:bCs/>
        </w:rPr>
        <w:t xml:space="preserve">los países aplican el </w:t>
      </w:r>
      <w:r w:rsidR="00EA5BBA">
        <w:rPr>
          <w:bCs/>
        </w:rPr>
        <w:t>Protocolo</w:t>
      </w:r>
      <w:r>
        <w:rPr>
          <w:bCs/>
        </w:rPr>
        <w:t xml:space="preserve"> de Nagoya;</w:t>
      </w:r>
      <w:r>
        <w:t xml:space="preserve"> </w:t>
      </w:r>
      <w:r>
        <w:rPr>
          <w:bCs/>
        </w:rPr>
        <w:t>y (b) preparar un informe sobre el tratamiento de</w:t>
      </w:r>
      <w:r w:rsidR="00D65371">
        <w:rPr>
          <w:bCs/>
        </w:rPr>
        <w:t xml:space="preserve">l intercambio </w:t>
      </w:r>
      <w:r>
        <w:rPr>
          <w:bCs/>
        </w:rPr>
        <w:t xml:space="preserve">de </w:t>
      </w:r>
      <w:r w:rsidR="005A1151">
        <w:rPr>
          <w:bCs/>
        </w:rPr>
        <w:t>virus gripales</w:t>
      </w:r>
      <w:r>
        <w:rPr>
          <w:bCs/>
        </w:rPr>
        <w:t xml:space="preserve"> y las consideraciones de la salud pública </w:t>
      </w:r>
      <w:r w:rsidR="00E407A6">
        <w:rPr>
          <w:bCs/>
        </w:rPr>
        <w:t xml:space="preserve">relacionadas con esto </w:t>
      </w:r>
      <w:r>
        <w:rPr>
          <w:bCs/>
        </w:rPr>
        <w:t xml:space="preserve">por la legislación </w:t>
      </w:r>
      <w:r w:rsidR="00E407A6">
        <w:rPr>
          <w:bCs/>
        </w:rPr>
        <w:t xml:space="preserve">existente </w:t>
      </w:r>
      <w:r>
        <w:rPr>
          <w:bCs/>
        </w:rPr>
        <w:t>y medidas reglamentarias</w:t>
      </w:r>
      <w:r w:rsidR="00D65371">
        <w:rPr>
          <w:bCs/>
        </w:rPr>
        <w:t xml:space="preserve"> pertinentes</w:t>
      </w:r>
      <w:r>
        <w:rPr>
          <w:bCs/>
        </w:rPr>
        <w:t xml:space="preserve">, incluyendo </w:t>
      </w:r>
      <w:r w:rsidR="00E407A6">
        <w:rPr>
          <w:bCs/>
        </w:rPr>
        <w:t xml:space="preserve">las </w:t>
      </w:r>
      <w:r>
        <w:rPr>
          <w:bCs/>
        </w:rPr>
        <w:t xml:space="preserve">que aplican el </w:t>
      </w:r>
      <w:r w:rsidR="00EA5BBA">
        <w:rPr>
          <w:bCs/>
        </w:rPr>
        <w:t>Protocolo</w:t>
      </w:r>
      <w:r>
        <w:rPr>
          <w:bCs/>
        </w:rPr>
        <w:t xml:space="preserve"> de Nagoya, en consulta con la </w:t>
      </w:r>
      <w:r w:rsidR="00747359">
        <w:rPr>
          <w:bCs/>
        </w:rPr>
        <w:t>Secretaría</w:t>
      </w:r>
      <w:r>
        <w:rPr>
          <w:bCs/>
        </w:rPr>
        <w:t xml:space="preserve"> del </w:t>
      </w:r>
      <w:r w:rsidR="00CE77E0">
        <w:rPr>
          <w:bCs/>
        </w:rPr>
        <w:t>Convenio</w:t>
      </w:r>
      <w:r>
        <w:rPr>
          <w:bCs/>
        </w:rPr>
        <w:t>;</w:t>
      </w:r>
      <w:r>
        <w:t xml:space="preserve"> </w:t>
      </w:r>
      <w:r>
        <w:rPr>
          <w:bCs/>
        </w:rPr>
        <w:t xml:space="preserve">y </w:t>
      </w:r>
      <w:r w:rsidR="00C30C7F">
        <w:rPr>
          <w:bCs/>
        </w:rPr>
        <w:t xml:space="preserve">(c) </w:t>
      </w:r>
      <w:r>
        <w:rPr>
          <w:bCs/>
        </w:rPr>
        <w:t xml:space="preserve">para trabajar en colaboración a través </w:t>
      </w:r>
      <w:r w:rsidR="003050F3">
        <w:rPr>
          <w:bCs/>
        </w:rPr>
        <w:t>de la OMS</w:t>
      </w:r>
      <w:r>
        <w:rPr>
          <w:bCs/>
        </w:rPr>
        <w:t xml:space="preserve"> </w:t>
      </w:r>
      <w:r w:rsidR="00D65371">
        <w:rPr>
          <w:bCs/>
        </w:rPr>
        <w:t xml:space="preserve">con el fin de sensibilizar más a </w:t>
      </w:r>
      <w:r>
        <w:rPr>
          <w:bCs/>
        </w:rPr>
        <w:t xml:space="preserve">los Estados miembros </w:t>
      </w:r>
      <w:r w:rsidR="00EB45B3">
        <w:rPr>
          <w:bCs/>
        </w:rPr>
        <w:t xml:space="preserve">sobre </w:t>
      </w:r>
      <w:r>
        <w:rPr>
          <w:bCs/>
        </w:rPr>
        <w:t xml:space="preserve">las </w:t>
      </w:r>
      <w:r w:rsidR="00D65371">
        <w:rPr>
          <w:bCs/>
        </w:rPr>
        <w:t xml:space="preserve">repercusiones que la aplicación del Protocolo de Nagoya tiene </w:t>
      </w:r>
      <w:r>
        <w:rPr>
          <w:bCs/>
        </w:rPr>
        <w:t xml:space="preserve">para la salud pública, </w:t>
      </w:r>
      <w:r w:rsidR="00EB45B3">
        <w:rPr>
          <w:bCs/>
        </w:rPr>
        <w:t xml:space="preserve">en particular, dado </w:t>
      </w:r>
      <w:r>
        <w:rPr>
          <w:bCs/>
        </w:rPr>
        <w:t xml:space="preserve">la naturaleza interdisciplinaria de </w:t>
      </w:r>
      <w:r w:rsidR="00D65371">
        <w:rPr>
          <w:bCs/>
        </w:rPr>
        <w:t xml:space="preserve">las </w:t>
      </w:r>
      <w:r>
        <w:rPr>
          <w:bCs/>
        </w:rPr>
        <w:t xml:space="preserve">cuestiones </w:t>
      </w:r>
      <w:r w:rsidR="008B57C8">
        <w:rPr>
          <w:bCs/>
        </w:rPr>
        <w:t>pertinente</w:t>
      </w:r>
      <w:r w:rsidR="00EB45B3">
        <w:rPr>
          <w:bCs/>
        </w:rPr>
        <w:t>s</w:t>
      </w:r>
      <w:r>
        <w:rPr>
          <w:bCs/>
        </w:rPr>
        <w:t>.</w:t>
      </w:r>
      <w:r>
        <w:t xml:space="preserve"> </w:t>
      </w:r>
    </w:p>
    <w:p w:rsidR="00E91B29" w:rsidRDefault="00B336EE" w:rsidP="00E91B29">
      <w:pPr>
        <w:pStyle w:val="Para1"/>
        <w:numPr>
          <w:ilvl w:val="0"/>
          <w:numId w:val="4"/>
        </w:numPr>
        <w:tabs>
          <w:tab w:val="num" w:pos="709"/>
        </w:tabs>
        <w:spacing w:before="120"/>
        <w:ind w:left="0" w:firstLine="0"/>
        <w:rPr>
          <w:bCs/>
        </w:rPr>
      </w:pPr>
      <w:r>
        <w:rPr>
          <w:bCs/>
        </w:rPr>
        <w:t>La AMS</w:t>
      </w:r>
      <w:r w:rsidR="00E91B29">
        <w:rPr>
          <w:bCs/>
        </w:rPr>
        <w:t xml:space="preserve"> adoptó </w:t>
      </w:r>
      <w:r w:rsidR="00E91B29">
        <w:t xml:space="preserve">la </w:t>
      </w:r>
      <w:r w:rsidR="00E91B29">
        <w:rPr>
          <w:bCs/>
        </w:rPr>
        <w:t xml:space="preserve">decisión </w:t>
      </w:r>
      <w:r w:rsidR="001247DD">
        <w:rPr>
          <w:bCs/>
        </w:rPr>
        <w:t xml:space="preserve">WHA </w:t>
      </w:r>
      <w:r w:rsidR="00E91B29">
        <w:rPr>
          <w:bCs/>
        </w:rPr>
        <w:t xml:space="preserve">72(13) </w:t>
      </w:r>
      <w:r w:rsidR="001247DD">
        <w:rPr>
          <w:bCs/>
        </w:rPr>
        <w:t xml:space="preserve">sobre las </w:t>
      </w:r>
      <w:r w:rsidR="00D65371">
        <w:rPr>
          <w:bCs/>
        </w:rPr>
        <w:t>repercusiones</w:t>
      </w:r>
      <w:r w:rsidR="00E91B29">
        <w:rPr>
          <w:bCs/>
        </w:rPr>
        <w:t xml:space="preserve"> </w:t>
      </w:r>
      <w:r w:rsidR="00D65371">
        <w:rPr>
          <w:bCs/>
        </w:rPr>
        <w:t>de la aplicación del Protocolo de Nagoya</w:t>
      </w:r>
      <w:r w:rsidR="00D65371">
        <w:rPr>
          <w:bCs/>
          <w:vertAlign w:val="superscript"/>
        </w:rPr>
        <w:footnoteReference w:id="45"/>
      </w:r>
      <w:r w:rsidR="00D65371">
        <w:rPr>
          <w:bCs/>
        </w:rPr>
        <w:t xml:space="preserve"> en</w:t>
      </w:r>
      <w:r w:rsidR="00E91B29">
        <w:rPr>
          <w:bCs/>
        </w:rPr>
        <w:t xml:space="preserve"> </w:t>
      </w:r>
      <w:r w:rsidR="00E91B29">
        <w:t xml:space="preserve">la </w:t>
      </w:r>
      <w:r w:rsidR="00E91B29">
        <w:rPr>
          <w:bCs/>
        </w:rPr>
        <w:t xml:space="preserve">salud pública que </w:t>
      </w:r>
      <w:r w:rsidR="001247DD">
        <w:rPr>
          <w:bCs/>
        </w:rPr>
        <w:t xml:space="preserve">pide </w:t>
      </w:r>
      <w:r w:rsidR="00E91B29">
        <w:rPr>
          <w:bCs/>
        </w:rPr>
        <w:t xml:space="preserve">al </w:t>
      </w:r>
      <w:r w:rsidR="007C4591">
        <w:rPr>
          <w:bCs/>
        </w:rPr>
        <w:t>Director General</w:t>
      </w:r>
      <w:r w:rsidR="00E91B29">
        <w:rPr>
          <w:bCs/>
        </w:rPr>
        <w:t xml:space="preserve"> </w:t>
      </w:r>
      <w:r w:rsidR="001247DD">
        <w:rPr>
          <w:bCs/>
        </w:rPr>
        <w:t xml:space="preserve">ampliar </w:t>
      </w:r>
      <w:r w:rsidR="00E91B29">
        <w:rPr>
          <w:bCs/>
        </w:rPr>
        <w:t xml:space="preserve">la colaboración con los Estados miembros, la </w:t>
      </w:r>
      <w:r w:rsidR="00747359">
        <w:rPr>
          <w:bCs/>
        </w:rPr>
        <w:t>Secretaría</w:t>
      </w:r>
      <w:r w:rsidR="00E91B29">
        <w:rPr>
          <w:bCs/>
        </w:rPr>
        <w:t xml:space="preserve"> del Convenio sobre la Diversidad Biológica, los organismos internacionales </w:t>
      </w:r>
      <w:r w:rsidR="008B57C8">
        <w:rPr>
          <w:bCs/>
        </w:rPr>
        <w:t>pertinente</w:t>
      </w:r>
      <w:r w:rsidR="001247DD">
        <w:rPr>
          <w:bCs/>
        </w:rPr>
        <w:t>s</w:t>
      </w:r>
      <w:r w:rsidR="008B57C8">
        <w:rPr>
          <w:bCs/>
        </w:rPr>
        <w:t xml:space="preserve"> </w:t>
      </w:r>
      <w:r w:rsidR="00E91B29">
        <w:rPr>
          <w:bCs/>
        </w:rPr>
        <w:t xml:space="preserve">y los interesados directos </w:t>
      </w:r>
      <w:r w:rsidR="008B57C8">
        <w:rPr>
          <w:bCs/>
        </w:rPr>
        <w:t>pertinente</w:t>
      </w:r>
      <w:r w:rsidR="001247DD">
        <w:rPr>
          <w:bCs/>
        </w:rPr>
        <w:t>s</w:t>
      </w:r>
      <w:r w:rsidR="00E91B29">
        <w:rPr>
          <w:bCs/>
        </w:rPr>
        <w:t>:</w:t>
      </w:r>
      <w:r w:rsidR="00E91B29">
        <w:t xml:space="preserve"> </w:t>
      </w:r>
      <w:r w:rsidR="00E91B29">
        <w:rPr>
          <w:bCs/>
        </w:rPr>
        <w:t>(</w:t>
      </w:r>
      <w:r w:rsidR="00731B28">
        <w:rPr>
          <w:bCs/>
        </w:rPr>
        <w:t>a</w:t>
      </w:r>
      <w:r w:rsidR="00E91B29">
        <w:rPr>
          <w:bCs/>
        </w:rPr>
        <w:t xml:space="preserve">) proporcionar información </w:t>
      </w:r>
      <w:r w:rsidR="001247DD">
        <w:rPr>
          <w:bCs/>
        </w:rPr>
        <w:t xml:space="preserve">sobre </w:t>
      </w:r>
      <w:r w:rsidR="00E91B29">
        <w:rPr>
          <w:bCs/>
        </w:rPr>
        <w:t>prácticas y modalidades</w:t>
      </w:r>
      <w:r w:rsidR="001247DD">
        <w:rPr>
          <w:bCs/>
        </w:rPr>
        <w:t xml:space="preserve"> actuales</w:t>
      </w:r>
      <w:r w:rsidR="00E91B29">
        <w:rPr>
          <w:bCs/>
        </w:rPr>
        <w:t xml:space="preserve"> </w:t>
      </w:r>
      <w:r w:rsidR="001247DD">
        <w:rPr>
          <w:bCs/>
        </w:rPr>
        <w:t xml:space="preserve">de </w:t>
      </w:r>
      <w:r w:rsidR="00DF5B79">
        <w:rPr>
          <w:bCs/>
        </w:rPr>
        <w:t xml:space="preserve">intercambiar </w:t>
      </w:r>
      <w:r w:rsidR="00E91B29">
        <w:rPr>
          <w:bCs/>
        </w:rPr>
        <w:t>agente</w:t>
      </w:r>
      <w:r w:rsidR="001247DD">
        <w:rPr>
          <w:bCs/>
        </w:rPr>
        <w:t>s</w:t>
      </w:r>
      <w:r w:rsidR="00E91B29">
        <w:rPr>
          <w:bCs/>
        </w:rPr>
        <w:t xml:space="preserve"> patógeno</w:t>
      </w:r>
      <w:r w:rsidR="001247DD">
        <w:rPr>
          <w:bCs/>
        </w:rPr>
        <w:t>s</w:t>
      </w:r>
      <w:r w:rsidR="00E91B29">
        <w:rPr>
          <w:bCs/>
        </w:rPr>
        <w:t xml:space="preserve">, </w:t>
      </w:r>
      <w:r w:rsidR="001247DD">
        <w:rPr>
          <w:bCs/>
        </w:rPr>
        <w:t xml:space="preserve">la aplicación de medidas de acceso y </w:t>
      </w:r>
      <w:r w:rsidR="00E91B29">
        <w:rPr>
          <w:bCs/>
        </w:rPr>
        <w:t>participación</w:t>
      </w:r>
      <w:r w:rsidR="001247DD">
        <w:rPr>
          <w:bCs/>
        </w:rPr>
        <w:t xml:space="preserve"> en los beneficios, </w:t>
      </w:r>
      <w:r w:rsidR="00E91B29">
        <w:rPr>
          <w:bCs/>
        </w:rPr>
        <w:t xml:space="preserve">así como los </w:t>
      </w:r>
      <w:r w:rsidR="00DF5B79">
        <w:rPr>
          <w:bCs/>
        </w:rPr>
        <w:t xml:space="preserve">posibles </w:t>
      </w:r>
      <w:r w:rsidR="00E91B29">
        <w:rPr>
          <w:bCs/>
        </w:rPr>
        <w:t xml:space="preserve">resultados de la salud pública y otras </w:t>
      </w:r>
      <w:r w:rsidR="00D65371">
        <w:rPr>
          <w:bCs/>
        </w:rPr>
        <w:t>repercusiones</w:t>
      </w:r>
      <w:r w:rsidR="00E91B29">
        <w:rPr>
          <w:bCs/>
        </w:rPr>
        <w:t>;</w:t>
      </w:r>
      <w:r w:rsidR="00E91B29">
        <w:t xml:space="preserve"> </w:t>
      </w:r>
      <w:r w:rsidR="00E91B29">
        <w:rPr>
          <w:bCs/>
        </w:rPr>
        <w:t>y (</w:t>
      </w:r>
      <w:r w:rsidR="00731B28">
        <w:rPr>
          <w:bCs/>
        </w:rPr>
        <w:t>b</w:t>
      </w:r>
      <w:r w:rsidR="00E91B29">
        <w:rPr>
          <w:bCs/>
        </w:rPr>
        <w:t>) proporcionar un informe a la 74</w:t>
      </w:r>
      <w:r w:rsidR="001247DD">
        <w:rPr>
          <w:bCs/>
        </w:rPr>
        <w:t xml:space="preserve">ª </w:t>
      </w:r>
      <w:r w:rsidR="00E25181">
        <w:rPr>
          <w:bCs/>
        </w:rPr>
        <w:t>Asamblea Mundial de la Salud</w:t>
      </w:r>
      <w:r w:rsidR="00E91B29">
        <w:rPr>
          <w:bCs/>
        </w:rPr>
        <w:t xml:space="preserve">, a través del </w:t>
      </w:r>
      <w:r w:rsidR="001247DD">
        <w:rPr>
          <w:bCs/>
        </w:rPr>
        <w:t>Consejo Ejecutivo</w:t>
      </w:r>
      <w:r w:rsidR="00E91B29">
        <w:rPr>
          <w:bCs/>
        </w:rPr>
        <w:t xml:space="preserve"> en su 148</w:t>
      </w:r>
      <w:r w:rsidR="001247DD">
        <w:rPr>
          <w:bCs/>
        </w:rPr>
        <w:t xml:space="preserve">º </w:t>
      </w:r>
      <w:r w:rsidR="00E91B29">
        <w:rPr>
          <w:bCs/>
        </w:rPr>
        <w:t xml:space="preserve">período de sesiones, así como un informe provisional al </w:t>
      </w:r>
      <w:r w:rsidR="001247DD">
        <w:rPr>
          <w:bCs/>
        </w:rPr>
        <w:t>Consejo Ejecutivo</w:t>
      </w:r>
      <w:r w:rsidR="00E91B29">
        <w:rPr>
          <w:bCs/>
        </w:rPr>
        <w:t xml:space="preserve"> en su 146</w:t>
      </w:r>
      <w:r w:rsidR="001247DD">
        <w:rPr>
          <w:bCs/>
        </w:rPr>
        <w:t xml:space="preserve">º </w:t>
      </w:r>
      <w:r w:rsidR="00E91B29">
        <w:rPr>
          <w:bCs/>
        </w:rPr>
        <w:t>período de sesiones.</w:t>
      </w:r>
    </w:p>
    <w:p w:rsidR="00E91B29" w:rsidRDefault="00E91B29" w:rsidP="00E91B29">
      <w:pPr>
        <w:pStyle w:val="Para1"/>
        <w:numPr>
          <w:ilvl w:val="0"/>
          <w:numId w:val="4"/>
        </w:numPr>
        <w:tabs>
          <w:tab w:val="num" w:pos="709"/>
        </w:tabs>
        <w:spacing w:before="120"/>
        <w:ind w:left="0" w:firstLine="0"/>
        <w:rPr>
          <w:bCs/>
        </w:rPr>
      </w:pPr>
      <w:r>
        <w:rPr>
          <w:bCs/>
        </w:rPr>
        <w:t>En el contexto</w:t>
      </w:r>
      <w:r w:rsidR="001247DD">
        <w:rPr>
          <w:bCs/>
        </w:rPr>
        <w:t xml:space="preserve"> de la </w:t>
      </w:r>
      <w:r w:rsidR="00D43E1D">
        <w:rPr>
          <w:bCs/>
        </w:rPr>
        <w:t>aplicación</w:t>
      </w:r>
      <w:r>
        <w:rPr>
          <w:bCs/>
        </w:rPr>
        <w:t xml:space="preserve"> de la decisión </w:t>
      </w:r>
      <w:r w:rsidR="001247DD">
        <w:rPr>
          <w:bCs/>
        </w:rPr>
        <w:t xml:space="preserve">WHA </w:t>
      </w:r>
      <w:r>
        <w:rPr>
          <w:bCs/>
        </w:rPr>
        <w:t xml:space="preserve">72(13), </w:t>
      </w:r>
      <w:r w:rsidR="001247DD">
        <w:rPr>
          <w:bCs/>
        </w:rPr>
        <w:t xml:space="preserve">la </w:t>
      </w:r>
      <w:r w:rsidR="007C1EBB">
        <w:rPr>
          <w:bCs/>
        </w:rPr>
        <w:t>OMS</w:t>
      </w:r>
      <w:r w:rsidR="001247DD">
        <w:rPr>
          <w:bCs/>
        </w:rPr>
        <w:t>,</w:t>
      </w:r>
      <w:r>
        <w:rPr>
          <w:bCs/>
        </w:rPr>
        <w:t xml:space="preserve"> en consulta con la </w:t>
      </w:r>
      <w:r w:rsidR="00747359">
        <w:rPr>
          <w:bCs/>
        </w:rPr>
        <w:t>Secretaría</w:t>
      </w:r>
      <w:r>
        <w:rPr>
          <w:bCs/>
        </w:rPr>
        <w:t xml:space="preserve"> del </w:t>
      </w:r>
      <w:r w:rsidR="00CE77E0">
        <w:rPr>
          <w:bCs/>
        </w:rPr>
        <w:t>Convenio</w:t>
      </w:r>
      <w:r w:rsidR="001247DD">
        <w:rPr>
          <w:bCs/>
        </w:rPr>
        <w:t>, elaboró</w:t>
      </w:r>
      <w:r>
        <w:rPr>
          <w:bCs/>
        </w:rPr>
        <w:t xml:space="preserve"> una encuesta para recopilar información </w:t>
      </w:r>
      <w:r w:rsidR="001247DD">
        <w:rPr>
          <w:bCs/>
        </w:rPr>
        <w:t>sobre</w:t>
      </w:r>
      <w:r>
        <w:rPr>
          <w:bCs/>
        </w:rPr>
        <w:t>:</w:t>
      </w:r>
      <w:r>
        <w:t xml:space="preserve"> </w:t>
      </w:r>
      <w:r>
        <w:rPr>
          <w:bCs/>
        </w:rPr>
        <w:t xml:space="preserve">(a) </w:t>
      </w:r>
      <w:r w:rsidR="003050F3">
        <w:rPr>
          <w:bCs/>
        </w:rPr>
        <w:t xml:space="preserve">las actuales </w:t>
      </w:r>
      <w:r>
        <w:rPr>
          <w:bCs/>
        </w:rPr>
        <w:t>prácticas y modalidades</w:t>
      </w:r>
      <w:r w:rsidR="003050F3">
        <w:rPr>
          <w:bCs/>
        </w:rPr>
        <w:t xml:space="preserve"> de </w:t>
      </w:r>
      <w:r w:rsidR="00DF5B79">
        <w:rPr>
          <w:bCs/>
        </w:rPr>
        <w:t xml:space="preserve">intercambio </w:t>
      </w:r>
      <w:r w:rsidR="003050F3">
        <w:rPr>
          <w:bCs/>
        </w:rPr>
        <w:t>de</w:t>
      </w:r>
      <w:r>
        <w:rPr>
          <w:bCs/>
        </w:rPr>
        <w:t xml:space="preserve"> agente</w:t>
      </w:r>
      <w:r w:rsidR="003050F3">
        <w:rPr>
          <w:bCs/>
        </w:rPr>
        <w:t>s</w:t>
      </w:r>
      <w:r>
        <w:rPr>
          <w:bCs/>
        </w:rPr>
        <w:t xml:space="preserve"> patógeno</w:t>
      </w:r>
      <w:r w:rsidR="003050F3">
        <w:rPr>
          <w:bCs/>
        </w:rPr>
        <w:t>s</w:t>
      </w:r>
      <w:r>
        <w:rPr>
          <w:bCs/>
        </w:rPr>
        <w:t>;</w:t>
      </w:r>
      <w:r>
        <w:t xml:space="preserve"> </w:t>
      </w:r>
      <w:r>
        <w:rPr>
          <w:bCs/>
        </w:rPr>
        <w:t xml:space="preserve">y (b) </w:t>
      </w:r>
      <w:r w:rsidR="00DF5B79">
        <w:rPr>
          <w:bCs/>
        </w:rPr>
        <w:t xml:space="preserve">la </w:t>
      </w:r>
      <w:r>
        <w:rPr>
          <w:bCs/>
        </w:rPr>
        <w:t>aplicación de las medidas de acceso y participación en los beneficios.</w:t>
      </w:r>
      <w:r>
        <w:t xml:space="preserve"> </w:t>
      </w:r>
      <w:r>
        <w:rPr>
          <w:bCs/>
        </w:rPr>
        <w:t>La encuesta también fue pensada para reco</w:t>
      </w:r>
      <w:r w:rsidR="00DF5B79">
        <w:rPr>
          <w:bCs/>
        </w:rPr>
        <w:t xml:space="preserve">pilar </w:t>
      </w:r>
      <w:r>
        <w:rPr>
          <w:bCs/>
        </w:rPr>
        <w:t xml:space="preserve">perspectivas </w:t>
      </w:r>
      <w:r w:rsidR="003050F3">
        <w:rPr>
          <w:bCs/>
        </w:rPr>
        <w:t xml:space="preserve">sobre posibles </w:t>
      </w:r>
      <w:r>
        <w:rPr>
          <w:bCs/>
        </w:rPr>
        <w:t xml:space="preserve">resultados de la salud pública y otras </w:t>
      </w:r>
      <w:r w:rsidR="00D65371">
        <w:rPr>
          <w:bCs/>
        </w:rPr>
        <w:t>repercusiones</w:t>
      </w:r>
      <w:r>
        <w:rPr>
          <w:bCs/>
        </w:rPr>
        <w:t xml:space="preserve">, </w:t>
      </w:r>
      <w:r w:rsidR="003050F3">
        <w:rPr>
          <w:bCs/>
        </w:rPr>
        <w:t xml:space="preserve">tal como </w:t>
      </w:r>
      <w:r w:rsidR="00731B28">
        <w:rPr>
          <w:bCs/>
        </w:rPr>
        <w:t>se</w:t>
      </w:r>
      <w:r w:rsidR="003050F3">
        <w:rPr>
          <w:bCs/>
        </w:rPr>
        <w:t xml:space="preserve"> pedía</w:t>
      </w:r>
      <w:r w:rsidR="00731B28">
        <w:rPr>
          <w:bCs/>
        </w:rPr>
        <w:t xml:space="preserve"> en</w:t>
      </w:r>
      <w:r w:rsidR="003050F3">
        <w:rPr>
          <w:bCs/>
        </w:rPr>
        <w:t xml:space="preserve"> la </w:t>
      </w:r>
      <w:r>
        <w:rPr>
          <w:bCs/>
        </w:rPr>
        <w:t>decisión.</w:t>
      </w:r>
      <w:r>
        <w:t xml:space="preserve"> </w:t>
      </w:r>
      <w:r w:rsidR="003050F3">
        <w:t xml:space="preserve">Mediante </w:t>
      </w:r>
      <w:r>
        <w:rPr>
          <w:bCs/>
        </w:rPr>
        <w:t>una notificación,</w:t>
      </w:r>
      <w:r>
        <w:rPr>
          <w:bCs/>
          <w:vertAlign w:val="superscript"/>
        </w:rPr>
        <w:footnoteReference w:id="46"/>
      </w:r>
      <w:r>
        <w:rPr>
          <w:bCs/>
        </w:rPr>
        <w:t xml:space="preserve"> se invitó a </w:t>
      </w:r>
      <w:r>
        <w:t xml:space="preserve">los </w:t>
      </w:r>
      <w:r>
        <w:rPr>
          <w:bCs/>
        </w:rPr>
        <w:t>centros de coordinación nacionales de</w:t>
      </w:r>
      <w:r w:rsidR="003050F3">
        <w:rPr>
          <w:bCs/>
        </w:rPr>
        <w:t xml:space="preserve">l Convenio sobre la Diversidad Biológica </w:t>
      </w:r>
      <w:r>
        <w:rPr>
          <w:bCs/>
        </w:rPr>
        <w:t>y de acceso y participación en los beneficios</w:t>
      </w:r>
      <w:r w:rsidR="003050F3">
        <w:rPr>
          <w:bCs/>
        </w:rPr>
        <w:t xml:space="preserve"> </w:t>
      </w:r>
      <w:r w:rsidR="00DF5B79">
        <w:rPr>
          <w:bCs/>
        </w:rPr>
        <w:t xml:space="preserve">a que </w:t>
      </w:r>
      <w:r>
        <w:rPr>
          <w:bCs/>
        </w:rPr>
        <w:t xml:space="preserve">participaran en la encuesta, además de </w:t>
      </w:r>
      <w:r w:rsidR="003050F3">
        <w:rPr>
          <w:bCs/>
        </w:rPr>
        <w:t xml:space="preserve">los </w:t>
      </w:r>
      <w:r>
        <w:rPr>
          <w:bCs/>
        </w:rPr>
        <w:t xml:space="preserve">Estados miembros </w:t>
      </w:r>
      <w:r w:rsidR="003050F3">
        <w:rPr>
          <w:bCs/>
        </w:rPr>
        <w:t>de la OMS</w:t>
      </w:r>
      <w:r>
        <w:rPr>
          <w:bCs/>
        </w:rPr>
        <w:t>, las agencias nacionales</w:t>
      </w:r>
      <w:r w:rsidR="009A2C9F">
        <w:rPr>
          <w:bCs/>
        </w:rPr>
        <w:t xml:space="preserve"> e internacionales</w:t>
      </w:r>
      <w:r>
        <w:rPr>
          <w:bCs/>
        </w:rPr>
        <w:t xml:space="preserve">, los centros de colaboración </w:t>
      </w:r>
      <w:r w:rsidR="003050F3">
        <w:rPr>
          <w:bCs/>
        </w:rPr>
        <w:t>de la OMS</w:t>
      </w:r>
      <w:r>
        <w:rPr>
          <w:bCs/>
        </w:rPr>
        <w:t>, los actores no estatales en relaciones oficiales con</w:t>
      </w:r>
      <w:r w:rsidR="003050F3">
        <w:rPr>
          <w:bCs/>
        </w:rPr>
        <w:t xml:space="preserve"> la OMS</w:t>
      </w:r>
      <w:r>
        <w:rPr>
          <w:bCs/>
        </w:rPr>
        <w:t xml:space="preserve">, </w:t>
      </w:r>
      <w:r w:rsidR="003050F3">
        <w:rPr>
          <w:bCs/>
        </w:rPr>
        <w:t xml:space="preserve">el </w:t>
      </w:r>
      <w:r>
        <w:rPr>
          <w:bCs/>
        </w:rPr>
        <w:t xml:space="preserve">sector privado y otros interesados directos </w:t>
      </w:r>
      <w:r w:rsidR="008B57C8">
        <w:rPr>
          <w:bCs/>
        </w:rPr>
        <w:t>pertinente</w:t>
      </w:r>
      <w:r w:rsidR="003050F3">
        <w:rPr>
          <w:bCs/>
        </w:rPr>
        <w:t>s</w:t>
      </w:r>
      <w:r>
        <w:rPr>
          <w:bCs/>
        </w:rPr>
        <w:t>.</w:t>
      </w:r>
    </w:p>
    <w:p w:rsidR="00E91B29" w:rsidRDefault="00B336EE" w:rsidP="00E91B29">
      <w:pPr>
        <w:pStyle w:val="Para1"/>
        <w:numPr>
          <w:ilvl w:val="0"/>
          <w:numId w:val="4"/>
        </w:numPr>
        <w:tabs>
          <w:tab w:val="num" w:pos="709"/>
        </w:tabs>
        <w:spacing w:before="120"/>
        <w:ind w:left="0" w:firstLine="0"/>
        <w:rPr>
          <w:bCs/>
        </w:rPr>
      </w:pPr>
      <w:r>
        <w:rPr>
          <w:bCs/>
        </w:rPr>
        <w:t>El 18 y 19 de mayo de 2020 la AMS</w:t>
      </w:r>
      <w:r w:rsidR="00E91B29">
        <w:rPr>
          <w:bCs/>
        </w:rPr>
        <w:t xml:space="preserve"> llevó a cabo </w:t>
      </w:r>
      <w:r w:rsidR="009A2C9F">
        <w:rPr>
          <w:bCs/>
        </w:rPr>
        <w:t xml:space="preserve">en forma virtual </w:t>
      </w:r>
      <w:r w:rsidR="00E91B29">
        <w:t xml:space="preserve">la </w:t>
      </w:r>
      <w:r w:rsidR="00E91B29">
        <w:rPr>
          <w:bCs/>
        </w:rPr>
        <w:t>primera parte de su 73</w:t>
      </w:r>
      <w:r>
        <w:rPr>
          <w:bCs/>
        </w:rPr>
        <w:t xml:space="preserve">º </w:t>
      </w:r>
      <w:r w:rsidR="00E91B29">
        <w:rPr>
          <w:bCs/>
        </w:rPr>
        <w:t>período de sesiones.</w:t>
      </w:r>
      <w:r w:rsidR="00E91B29">
        <w:t xml:space="preserve"> </w:t>
      </w:r>
      <w:r w:rsidR="00E91B29">
        <w:rPr>
          <w:bCs/>
        </w:rPr>
        <w:t xml:space="preserve">Bajo el tema </w:t>
      </w:r>
      <w:r>
        <w:rPr>
          <w:bCs/>
        </w:rPr>
        <w:t xml:space="preserve">3 </w:t>
      </w:r>
      <w:r w:rsidR="00E91B29">
        <w:rPr>
          <w:bCs/>
        </w:rPr>
        <w:t>del programa </w:t>
      </w:r>
      <w:r>
        <w:rPr>
          <w:bCs/>
        </w:rPr>
        <w:t xml:space="preserve">sobre </w:t>
      </w:r>
      <w:r w:rsidR="00E91B29">
        <w:rPr>
          <w:bCs/>
        </w:rPr>
        <w:t xml:space="preserve">la respuesta </w:t>
      </w:r>
      <w:r w:rsidR="009A2C9F">
        <w:rPr>
          <w:bCs/>
        </w:rPr>
        <w:t xml:space="preserve">al </w:t>
      </w:r>
      <w:r w:rsidR="00E91B29">
        <w:rPr>
          <w:bCs/>
        </w:rPr>
        <w:t>COVID-19,</w:t>
      </w:r>
      <w:r>
        <w:rPr>
          <w:bCs/>
        </w:rPr>
        <w:t xml:space="preserve"> la AMS </w:t>
      </w:r>
      <w:r w:rsidR="00E91B29">
        <w:rPr>
          <w:bCs/>
        </w:rPr>
        <w:t xml:space="preserve">reconoció, entre otras cosas, la necesidad de todos los países de tener el acceso sin </w:t>
      </w:r>
      <w:r>
        <w:rPr>
          <w:bCs/>
        </w:rPr>
        <w:t>trabas y</w:t>
      </w:r>
      <w:r w:rsidR="00E91B29">
        <w:rPr>
          <w:bCs/>
        </w:rPr>
        <w:t xml:space="preserve"> en su debido momento a </w:t>
      </w:r>
      <w:r>
        <w:rPr>
          <w:bCs/>
        </w:rPr>
        <w:t xml:space="preserve">diagnósticos de </w:t>
      </w:r>
      <w:r w:rsidR="00E91B29">
        <w:rPr>
          <w:bCs/>
        </w:rPr>
        <w:t>calidad, seguros, eficaces y asequibles,</w:t>
      </w:r>
      <w:r>
        <w:rPr>
          <w:bCs/>
        </w:rPr>
        <w:t xml:space="preserve"> así como</w:t>
      </w:r>
      <w:r w:rsidR="00E91B29">
        <w:rPr>
          <w:bCs/>
        </w:rPr>
        <w:t xml:space="preserve"> terapéutica</w:t>
      </w:r>
      <w:r>
        <w:rPr>
          <w:bCs/>
        </w:rPr>
        <w:t>s</w:t>
      </w:r>
      <w:r w:rsidR="00E91B29">
        <w:rPr>
          <w:bCs/>
        </w:rPr>
        <w:t xml:space="preserve">, medicinas y vacunas, y tecnologías esenciales </w:t>
      </w:r>
      <w:r>
        <w:rPr>
          <w:bCs/>
        </w:rPr>
        <w:t xml:space="preserve">en </w:t>
      </w:r>
      <w:r w:rsidR="00E91B29">
        <w:rPr>
          <w:bCs/>
        </w:rPr>
        <w:t xml:space="preserve">salud, y sus </w:t>
      </w:r>
      <w:proofErr w:type="gramStart"/>
      <w:r w:rsidR="00E91B29">
        <w:rPr>
          <w:bCs/>
        </w:rPr>
        <w:t>componentes</w:t>
      </w:r>
      <w:proofErr w:type="gramEnd"/>
      <w:r w:rsidR="00E91B29">
        <w:rPr>
          <w:bCs/>
        </w:rPr>
        <w:t xml:space="preserve"> así como equipo</w:t>
      </w:r>
      <w:r>
        <w:rPr>
          <w:bCs/>
        </w:rPr>
        <w:t>s</w:t>
      </w:r>
      <w:r w:rsidR="00E91B29">
        <w:rPr>
          <w:bCs/>
        </w:rPr>
        <w:t xml:space="preserve"> </w:t>
      </w:r>
      <w:r w:rsidR="009A2C9F">
        <w:rPr>
          <w:bCs/>
        </w:rPr>
        <w:t xml:space="preserve">de respuesta </w:t>
      </w:r>
      <w:r>
        <w:rPr>
          <w:bCs/>
        </w:rPr>
        <w:t xml:space="preserve">al </w:t>
      </w:r>
      <w:r w:rsidR="00E91B29">
        <w:rPr>
          <w:bCs/>
        </w:rPr>
        <w:t>COVID-19 (PP 13).</w:t>
      </w:r>
      <w:r w:rsidR="00E91B29">
        <w:t xml:space="preserve"> </w:t>
      </w:r>
      <w:r>
        <w:t xml:space="preserve">Asimismo </w:t>
      </w:r>
      <w:r w:rsidR="00E91B29">
        <w:rPr>
          <w:bCs/>
        </w:rPr>
        <w:t xml:space="preserve">reconoció </w:t>
      </w:r>
      <w:r>
        <w:rPr>
          <w:bCs/>
        </w:rPr>
        <w:t xml:space="preserve">la función </w:t>
      </w:r>
      <w:r w:rsidR="00E91B29">
        <w:rPr>
          <w:bCs/>
        </w:rPr>
        <w:t xml:space="preserve">de </w:t>
      </w:r>
      <w:r>
        <w:rPr>
          <w:bCs/>
        </w:rPr>
        <w:t xml:space="preserve">una vasta </w:t>
      </w:r>
      <w:r w:rsidR="00E91B29">
        <w:rPr>
          <w:bCs/>
        </w:rPr>
        <w:t xml:space="preserve">inmunización contra </w:t>
      </w:r>
      <w:r>
        <w:rPr>
          <w:bCs/>
        </w:rPr>
        <w:t xml:space="preserve">el </w:t>
      </w:r>
      <w:r w:rsidR="00E91B29">
        <w:rPr>
          <w:bCs/>
        </w:rPr>
        <w:t xml:space="preserve">COVID-19 como </w:t>
      </w:r>
      <w:r w:rsidR="005F12C4">
        <w:rPr>
          <w:bCs/>
        </w:rPr>
        <w:t xml:space="preserve">un bien </w:t>
      </w:r>
      <w:r w:rsidR="00E91B29">
        <w:rPr>
          <w:bCs/>
        </w:rPr>
        <w:t xml:space="preserve">público </w:t>
      </w:r>
      <w:r w:rsidR="005F12C4">
        <w:rPr>
          <w:bCs/>
        </w:rPr>
        <w:t xml:space="preserve">mundial </w:t>
      </w:r>
      <w:r w:rsidR="00E91B29">
        <w:rPr>
          <w:bCs/>
        </w:rPr>
        <w:t xml:space="preserve">para la salud </w:t>
      </w:r>
      <w:r w:rsidR="009A2C9F">
        <w:rPr>
          <w:bCs/>
        </w:rPr>
        <w:t xml:space="preserve">para </w:t>
      </w:r>
      <w:r w:rsidR="005F12C4">
        <w:rPr>
          <w:bCs/>
        </w:rPr>
        <w:t xml:space="preserve">prevenir, contener y </w:t>
      </w:r>
      <w:r w:rsidR="009A2C9F">
        <w:rPr>
          <w:bCs/>
        </w:rPr>
        <w:t xml:space="preserve">detener </w:t>
      </w:r>
      <w:r w:rsidR="005F12C4">
        <w:rPr>
          <w:bCs/>
        </w:rPr>
        <w:t xml:space="preserve">la transmisión con el fin de terminar con la pandemia, una vez que se disponga de vacunas </w:t>
      </w:r>
      <w:r w:rsidR="00E91B29">
        <w:rPr>
          <w:bCs/>
        </w:rPr>
        <w:t>segur</w:t>
      </w:r>
      <w:r w:rsidR="005F12C4">
        <w:rPr>
          <w:bCs/>
        </w:rPr>
        <w:t>as</w:t>
      </w:r>
      <w:r w:rsidR="00E91B29">
        <w:rPr>
          <w:bCs/>
        </w:rPr>
        <w:t xml:space="preserve">, </w:t>
      </w:r>
      <w:r w:rsidR="005F12C4">
        <w:rPr>
          <w:bCs/>
        </w:rPr>
        <w:t xml:space="preserve">de </w:t>
      </w:r>
      <w:r w:rsidR="00E91B29">
        <w:rPr>
          <w:bCs/>
        </w:rPr>
        <w:t>calidad, efica</w:t>
      </w:r>
      <w:r w:rsidR="005F12C4">
        <w:rPr>
          <w:bCs/>
        </w:rPr>
        <w:t>ces</w:t>
      </w:r>
      <w:r w:rsidR="00E91B29">
        <w:rPr>
          <w:bCs/>
        </w:rPr>
        <w:t>,</w:t>
      </w:r>
      <w:r w:rsidR="005F12C4">
        <w:rPr>
          <w:bCs/>
        </w:rPr>
        <w:t xml:space="preserve"> efectivas</w:t>
      </w:r>
      <w:r w:rsidR="00E91B29">
        <w:rPr>
          <w:bCs/>
        </w:rPr>
        <w:t xml:space="preserve">, accesible y </w:t>
      </w:r>
      <w:r w:rsidR="005F12C4">
        <w:rPr>
          <w:bCs/>
        </w:rPr>
        <w:t xml:space="preserve">económicas </w:t>
      </w:r>
      <w:r w:rsidR="00E91B29">
        <w:rPr>
          <w:bCs/>
        </w:rPr>
        <w:t>(</w:t>
      </w:r>
      <w:r w:rsidR="005F12C4">
        <w:rPr>
          <w:bCs/>
        </w:rPr>
        <w:t xml:space="preserve">OP </w:t>
      </w:r>
      <w:r w:rsidR="00E91B29">
        <w:rPr>
          <w:bCs/>
        </w:rPr>
        <w:t>6).</w:t>
      </w:r>
      <w:r w:rsidR="00E91B29" w:rsidRPr="006442C4">
        <w:rPr>
          <w:rStyle w:val="FootnoteReference"/>
          <w:bCs/>
        </w:rPr>
        <w:footnoteReference w:id="47"/>
      </w:r>
      <w:r w:rsidR="00E91B29">
        <w:t xml:space="preserve"> </w:t>
      </w:r>
    </w:p>
    <w:p w:rsidR="00E91B29" w:rsidRDefault="00E91B29" w:rsidP="00E91B29">
      <w:pPr>
        <w:keepNext/>
        <w:numPr>
          <w:ilvl w:val="0"/>
          <w:numId w:val="6"/>
        </w:numPr>
        <w:suppressLineNumbers/>
        <w:tabs>
          <w:tab w:val="left" w:pos="284"/>
        </w:tabs>
        <w:suppressAutoHyphens/>
        <w:spacing w:before="120" w:after="120"/>
        <w:ind w:left="0" w:firstLine="0"/>
        <w:jc w:val="center"/>
        <w:outlineLvl w:val="1"/>
        <w:rPr>
          <w:b/>
          <w:bCs/>
          <w:iCs/>
          <w:snapToGrid w:val="0"/>
          <w:kern w:val="22"/>
        </w:rPr>
      </w:pPr>
      <w:r>
        <w:rPr>
          <w:b/>
          <w:bCs/>
          <w:iCs/>
          <w:snapToGrid w:val="0"/>
          <w:kern w:val="22"/>
        </w:rPr>
        <w:t>Organización Mundial de la Propiedad Intelectual</w:t>
      </w:r>
    </w:p>
    <w:p w:rsidR="00E91B29" w:rsidRDefault="005F12C4" w:rsidP="00E91B29">
      <w:pPr>
        <w:pStyle w:val="Para1"/>
        <w:numPr>
          <w:ilvl w:val="0"/>
          <w:numId w:val="4"/>
        </w:numPr>
        <w:tabs>
          <w:tab w:val="num" w:pos="709"/>
        </w:tabs>
        <w:spacing w:before="120"/>
        <w:ind w:left="0" w:firstLine="0"/>
        <w:rPr>
          <w:bCs/>
        </w:rPr>
      </w:pPr>
      <w:r>
        <w:rPr>
          <w:bCs/>
        </w:rPr>
        <w:t>E</w:t>
      </w:r>
      <w:r w:rsidR="009A2C9F">
        <w:rPr>
          <w:bCs/>
        </w:rPr>
        <w:t xml:space="preserve">n el año 2000 la Asamblea General de la Organización Mundial de la Propiedad Intelectual (OMPI) estableció el </w:t>
      </w:r>
      <w:r w:rsidR="00C1644C">
        <w:rPr>
          <w:bCs/>
        </w:rPr>
        <w:t>Comité intergubernamental</w:t>
      </w:r>
      <w:r>
        <w:rPr>
          <w:bCs/>
        </w:rPr>
        <w:t xml:space="preserve"> sobre la propiedad intelectual y los recursos genéticos</w:t>
      </w:r>
      <w:r w:rsidR="009A2C9F">
        <w:rPr>
          <w:bCs/>
        </w:rPr>
        <w:t xml:space="preserve"> y</w:t>
      </w:r>
      <w:r>
        <w:rPr>
          <w:bCs/>
        </w:rPr>
        <w:t xml:space="preserve"> conocimientos tradicionales</w:t>
      </w:r>
      <w:r w:rsidR="00E91B29">
        <w:rPr>
          <w:bCs/>
        </w:rPr>
        <w:t xml:space="preserve">, como foro </w:t>
      </w:r>
      <w:r>
        <w:rPr>
          <w:bCs/>
        </w:rPr>
        <w:t xml:space="preserve">de deliberaciones </w:t>
      </w:r>
      <w:r w:rsidR="00E91B29">
        <w:rPr>
          <w:bCs/>
        </w:rPr>
        <w:t xml:space="preserve">entre </w:t>
      </w:r>
      <w:r w:rsidR="00C1644C">
        <w:rPr>
          <w:bCs/>
        </w:rPr>
        <w:t xml:space="preserve">los </w:t>
      </w:r>
      <w:r w:rsidR="00E91B29">
        <w:rPr>
          <w:bCs/>
        </w:rPr>
        <w:t xml:space="preserve">Estados miembros y </w:t>
      </w:r>
      <w:r>
        <w:rPr>
          <w:bCs/>
        </w:rPr>
        <w:t xml:space="preserve">las negociaciones basadas en </w:t>
      </w:r>
      <w:r w:rsidR="00E91B29">
        <w:rPr>
          <w:bCs/>
        </w:rPr>
        <w:t>texto</w:t>
      </w:r>
      <w:r>
        <w:rPr>
          <w:bCs/>
        </w:rPr>
        <w:t>s</w:t>
      </w:r>
      <w:r w:rsidR="00E91B29">
        <w:rPr>
          <w:bCs/>
        </w:rPr>
        <w:t xml:space="preserve"> con el </w:t>
      </w:r>
      <w:r>
        <w:rPr>
          <w:bCs/>
        </w:rPr>
        <w:t xml:space="preserve">fin </w:t>
      </w:r>
      <w:r w:rsidR="00E91B29">
        <w:rPr>
          <w:bCs/>
        </w:rPr>
        <w:t xml:space="preserve">de </w:t>
      </w:r>
      <w:r w:rsidR="009A2C9F">
        <w:rPr>
          <w:bCs/>
        </w:rPr>
        <w:t xml:space="preserve">llegar a </w:t>
      </w:r>
      <w:r w:rsidR="00E91B29">
        <w:rPr>
          <w:bCs/>
        </w:rPr>
        <w:t xml:space="preserve">un acuerdo </w:t>
      </w:r>
      <w:r>
        <w:rPr>
          <w:bCs/>
        </w:rPr>
        <w:t xml:space="preserve">sobre </w:t>
      </w:r>
      <w:r w:rsidR="00E91B29">
        <w:rPr>
          <w:bCs/>
        </w:rPr>
        <w:t>un instrumento jurídico internacional que asegurar</w:t>
      </w:r>
      <w:r w:rsidR="009A2C9F">
        <w:rPr>
          <w:bCs/>
        </w:rPr>
        <w:t>e</w:t>
      </w:r>
      <w:r w:rsidR="00E91B29">
        <w:rPr>
          <w:bCs/>
        </w:rPr>
        <w:t xml:space="preserve"> </w:t>
      </w:r>
      <w:r w:rsidR="00E91B29">
        <w:rPr>
          <w:bCs/>
        </w:rPr>
        <w:lastRenderedPageBreak/>
        <w:t xml:space="preserve">la protección eficaz de los conocimientos tradicionales, </w:t>
      </w:r>
      <w:r>
        <w:rPr>
          <w:bCs/>
        </w:rPr>
        <w:t xml:space="preserve">las </w:t>
      </w:r>
      <w:r w:rsidR="00E91B29">
        <w:rPr>
          <w:bCs/>
        </w:rPr>
        <w:t xml:space="preserve">manifestaciones culturales tradicionales/folclore y </w:t>
      </w:r>
      <w:r w:rsidR="00D63AE1">
        <w:rPr>
          <w:bCs/>
        </w:rPr>
        <w:t xml:space="preserve">los </w:t>
      </w:r>
      <w:r w:rsidR="00E91B29">
        <w:rPr>
          <w:bCs/>
        </w:rPr>
        <w:t>recursos genéticos.</w:t>
      </w:r>
      <w:r w:rsidR="00E91B29">
        <w:t xml:space="preserve"> </w:t>
      </w:r>
    </w:p>
    <w:p w:rsidR="00E91B29" w:rsidRDefault="00E91B29" w:rsidP="00E91B29">
      <w:pPr>
        <w:pStyle w:val="Para1"/>
        <w:numPr>
          <w:ilvl w:val="0"/>
          <w:numId w:val="4"/>
        </w:numPr>
        <w:tabs>
          <w:tab w:val="num" w:pos="709"/>
        </w:tabs>
        <w:spacing w:before="120"/>
        <w:ind w:left="0" w:firstLine="0"/>
        <w:rPr>
          <w:bCs/>
        </w:rPr>
      </w:pPr>
      <w:r>
        <w:rPr>
          <w:bCs/>
        </w:rPr>
        <w:t xml:space="preserve">En el sexto y </w:t>
      </w:r>
      <w:r w:rsidR="00D63AE1">
        <w:rPr>
          <w:bCs/>
        </w:rPr>
        <w:t>último</w:t>
      </w:r>
      <w:r>
        <w:rPr>
          <w:bCs/>
        </w:rPr>
        <w:t xml:space="preserve"> período de sesiones bajo </w:t>
      </w:r>
      <w:r w:rsidR="00D63AE1">
        <w:rPr>
          <w:bCs/>
        </w:rPr>
        <w:t xml:space="preserve">presente </w:t>
      </w:r>
      <w:r>
        <w:rPr>
          <w:bCs/>
        </w:rPr>
        <w:t xml:space="preserve">mandato </w:t>
      </w:r>
      <w:r w:rsidR="009A2C9F">
        <w:rPr>
          <w:bCs/>
        </w:rPr>
        <w:t>de</w:t>
      </w:r>
      <w:r>
        <w:rPr>
          <w:bCs/>
        </w:rPr>
        <w:t xml:space="preserve"> 2018-2019, el </w:t>
      </w:r>
      <w:r w:rsidR="00C1644C">
        <w:rPr>
          <w:bCs/>
        </w:rPr>
        <w:t>Comité intergubernamental</w:t>
      </w:r>
      <w:r>
        <w:rPr>
          <w:bCs/>
        </w:rPr>
        <w:t xml:space="preserve"> </w:t>
      </w:r>
      <w:r w:rsidR="00D63AE1">
        <w:rPr>
          <w:bCs/>
        </w:rPr>
        <w:t xml:space="preserve">trató los </w:t>
      </w:r>
      <w:r>
        <w:rPr>
          <w:bCs/>
        </w:rPr>
        <w:t xml:space="preserve">conocimientos tradicionales y </w:t>
      </w:r>
      <w:r w:rsidR="00D63AE1">
        <w:rPr>
          <w:bCs/>
        </w:rPr>
        <w:t xml:space="preserve">las </w:t>
      </w:r>
      <w:r>
        <w:rPr>
          <w:bCs/>
        </w:rPr>
        <w:t xml:space="preserve">manifestaciones culturales tradicionales, y examinó el </w:t>
      </w:r>
      <w:r w:rsidR="00D63AE1">
        <w:rPr>
          <w:bCs/>
        </w:rPr>
        <w:t xml:space="preserve">progreso realizado en </w:t>
      </w:r>
      <w:r>
        <w:rPr>
          <w:bCs/>
        </w:rPr>
        <w:t xml:space="preserve">el bienio 2018-2019 </w:t>
      </w:r>
      <w:r w:rsidR="00D63AE1">
        <w:rPr>
          <w:bCs/>
        </w:rPr>
        <w:t xml:space="preserve">e hizo recomendaciones </w:t>
      </w:r>
      <w:r>
        <w:rPr>
          <w:bCs/>
        </w:rPr>
        <w:t>a la Asamblea General</w:t>
      </w:r>
      <w:r w:rsidR="00D63AE1">
        <w:rPr>
          <w:bCs/>
        </w:rPr>
        <w:t xml:space="preserve"> de la </w:t>
      </w:r>
      <w:r>
        <w:rPr>
          <w:bCs/>
        </w:rPr>
        <w:t>OMPI.</w:t>
      </w:r>
      <w:r>
        <w:t xml:space="preserve"> </w:t>
      </w:r>
      <w:r>
        <w:rPr>
          <w:bCs/>
        </w:rPr>
        <w:t xml:space="preserve">Entre otras cosas, el </w:t>
      </w:r>
      <w:r w:rsidR="00D63AE1">
        <w:rPr>
          <w:bCs/>
        </w:rPr>
        <w:t>Comité</w:t>
      </w:r>
      <w:r>
        <w:rPr>
          <w:bCs/>
        </w:rPr>
        <w:t xml:space="preserve"> estuvo de acuerdo que los </w:t>
      </w:r>
      <w:r w:rsidR="00D63AE1">
        <w:rPr>
          <w:bCs/>
        </w:rPr>
        <w:t>proyectos de a</w:t>
      </w:r>
      <w:r w:rsidR="00EA5BBA">
        <w:rPr>
          <w:bCs/>
        </w:rPr>
        <w:t>rtículo</w:t>
      </w:r>
      <w:r>
        <w:rPr>
          <w:bCs/>
        </w:rPr>
        <w:t>s sobre recursos genéticos, conocimientos tradicionales y manifestaciones culturales tradicionales,</w:t>
      </w:r>
      <w:r>
        <w:rPr>
          <w:rStyle w:val="FootnoteReference"/>
          <w:bCs/>
        </w:rPr>
        <w:footnoteReference w:id="48"/>
      </w:r>
      <w:r>
        <w:rPr>
          <w:bCs/>
        </w:rPr>
        <w:t xml:space="preserve"> así como el texto de </w:t>
      </w:r>
      <w:r>
        <w:t xml:space="preserve">la </w:t>
      </w:r>
      <w:r w:rsidR="00D63AE1">
        <w:t xml:space="preserve">Presidencia </w:t>
      </w:r>
      <w:r>
        <w:rPr>
          <w:bCs/>
        </w:rPr>
        <w:t xml:space="preserve">de </w:t>
      </w:r>
      <w:r>
        <w:t xml:space="preserve">un </w:t>
      </w:r>
      <w:r w:rsidR="00D63AE1">
        <w:t xml:space="preserve">proyecto de </w:t>
      </w:r>
      <w:r>
        <w:rPr>
          <w:bCs/>
        </w:rPr>
        <w:t xml:space="preserve">instrumento jurídico internacional referente </w:t>
      </w:r>
      <w:r w:rsidR="00D63AE1">
        <w:rPr>
          <w:bCs/>
        </w:rPr>
        <w:t xml:space="preserve">a </w:t>
      </w:r>
      <w:r>
        <w:rPr>
          <w:bCs/>
        </w:rPr>
        <w:t xml:space="preserve">la propiedad intelectual, </w:t>
      </w:r>
      <w:r w:rsidR="00D63AE1">
        <w:rPr>
          <w:bCs/>
        </w:rPr>
        <w:t xml:space="preserve">los </w:t>
      </w:r>
      <w:r>
        <w:rPr>
          <w:bCs/>
        </w:rPr>
        <w:t xml:space="preserve">recursos genéticos y </w:t>
      </w:r>
      <w:r w:rsidR="00D63AE1">
        <w:rPr>
          <w:bCs/>
        </w:rPr>
        <w:t>los</w:t>
      </w:r>
      <w:r>
        <w:rPr>
          <w:bCs/>
        </w:rPr>
        <w:t xml:space="preserve"> conocimientos tradicionales asociados a </w:t>
      </w:r>
      <w:r>
        <w:t xml:space="preserve">los </w:t>
      </w:r>
      <w:r>
        <w:rPr>
          <w:bCs/>
        </w:rPr>
        <w:t>recursos genéticos</w:t>
      </w:r>
      <w:r>
        <w:rPr>
          <w:rStyle w:val="FootnoteReference"/>
          <w:bCs/>
        </w:rPr>
        <w:footnoteReference w:id="49"/>
      </w:r>
      <w:r>
        <w:rPr>
          <w:bCs/>
        </w:rPr>
        <w:t xml:space="preserve"> </w:t>
      </w:r>
      <w:r w:rsidR="00D63AE1">
        <w:rPr>
          <w:bCs/>
        </w:rPr>
        <w:t xml:space="preserve">se trasmitiesen </w:t>
      </w:r>
      <w:r>
        <w:rPr>
          <w:bCs/>
        </w:rPr>
        <w:t xml:space="preserve">a </w:t>
      </w:r>
      <w:r>
        <w:t xml:space="preserve">la </w:t>
      </w:r>
      <w:r>
        <w:rPr>
          <w:bCs/>
        </w:rPr>
        <w:t xml:space="preserve">Asamblea General </w:t>
      </w:r>
      <w:r w:rsidR="00D63AE1">
        <w:rPr>
          <w:bCs/>
        </w:rPr>
        <w:t xml:space="preserve">de </w:t>
      </w:r>
      <w:r>
        <w:rPr>
          <w:bCs/>
        </w:rPr>
        <w:t>2019</w:t>
      </w:r>
      <w:r w:rsidR="00D63AE1">
        <w:rPr>
          <w:bCs/>
        </w:rPr>
        <w:t xml:space="preserve"> de la OMPI</w:t>
      </w:r>
      <w:r w:rsidR="00731B28">
        <w:rPr>
          <w:bCs/>
        </w:rPr>
        <w:t>.</w:t>
      </w:r>
      <w:r>
        <w:t xml:space="preserve"> </w:t>
      </w:r>
      <w:r w:rsidR="00731B28">
        <w:t xml:space="preserve">Asimismo decidió recomendar </w:t>
      </w:r>
      <w:r>
        <w:rPr>
          <w:bCs/>
        </w:rPr>
        <w:t>a la Asamblea General</w:t>
      </w:r>
      <w:r w:rsidR="00D63AE1">
        <w:rPr>
          <w:bCs/>
        </w:rPr>
        <w:t xml:space="preserve"> de</w:t>
      </w:r>
      <w:r>
        <w:rPr>
          <w:bCs/>
        </w:rPr>
        <w:t xml:space="preserve"> 2019</w:t>
      </w:r>
      <w:r w:rsidR="00D63AE1">
        <w:rPr>
          <w:bCs/>
        </w:rPr>
        <w:t xml:space="preserve"> de la </w:t>
      </w:r>
      <w:proofErr w:type="gramStart"/>
      <w:r w:rsidR="00D63AE1">
        <w:rPr>
          <w:bCs/>
        </w:rPr>
        <w:t xml:space="preserve">OMPI </w:t>
      </w:r>
      <w:r>
        <w:rPr>
          <w:bCs/>
        </w:rPr>
        <w:t xml:space="preserve"> </w:t>
      </w:r>
      <w:r w:rsidR="009A2C9F">
        <w:rPr>
          <w:bCs/>
        </w:rPr>
        <w:t>la</w:t>
      </w:r>
      <w:proofErr w:type="gramEnd"/>
      <w:r w:rsidR="009A2C9F">
        <w:rPr>
          <w:bCs/>
        </w:rPr>
        <w:t xml:space="preserve"> renovación d</w:t>
      </w:r>
      <w:r>
        <w:rPr>
          <w:bCs/>
        </w:rPr>
        <w:t xml:space="preserve">el mandato del </w:t>
      </w:r>
      <w:r w:rsidR="00D63AE1">
        <w:rPr>
          <w:bCs/>
        </w:rPr>
        <w:t>Comité</w:t>
      </w:r>
      <w:r>
        <w:rPr>
          <w:bCs/>
        </w:rPr>
        <w:t xml:space="preserve"> para el bienio 2020-2021.</w:t>
      </w:r>
    </w:p>
    <w:p w:rsidR="00E91B29" w:rsidRDefault="00E91B29" w:rsidP="00E91B29">
      <w:pPr>
        <w:pStyle w:val="Para1"/>
        <w:numPr>
          <w:ilvl w:val="0"/>
          <w:numId w:val="4"/>
        </w:numPr>
        <w:tabs>
          <w:tab w:val="num" w:pos="709"/>
        </w:tabs>
        <w:spacing w:before="120"/>
        <w:ind w:left="0" w:firstLine="0"/>
        <w:rPr>
          <w:bCs/>
        </w:rPr>
      </w:pPr>
      <w:r>
        <w:rPr>
          <w:bCs/>
        </w:rPr>
        <w:t>La Asamblea General</w:t>
      </w:r>
      <w:r w:rsidR="00D63AE1">
        <w:rPr>
          <w:bCs/>
        </w:rPr>
        <w:t xml:space="preserve"> de la OMPI</w:t>
      </w:r>
      <w:r>
        <w:rPr>
          <w:bCs/>
        </w:rPr>
        <w:t>, en su 51</w:t>
      </w:r>
      <w:r w:rsidR="00D63AE1">
        <w:rPr>
          <w:bCs/>
        </w:rPr>
        <w:t xml:space="preserve">º </w:t>
      </w:r>
      <w:r>
        <w:rPr>
          <w:bCs/>
        </w:rPr>
        <w:t>período de sesiones</w:t>
      </w:r>
      <w:r w:rsidR="00D63AE1">
        <w:rPr>
          <w:bCs/>
        </w:rPr>
        <w:t>,</w:t>
      </w:r>
      <w:r>
        <w:rPr>
          <w:bCs/>
        </w:rPr>
        <w:t xml:space="preserve"> en 2019, </w:t>
      </w:r>
      <w:r w:rsidR="00C1644C">
        <w:rPr>
          <w:bCs/>
        </w:rPr>
        <w:t xml:space="preserve">acordó renovar </w:t>
      </w:r>
      <w:r>
        <w:rPr>
          <w:bCs/>
        </w:rPr>
        <w:t xml:space="preserve">el mandato del </w:t>
      </w:r>
      <w:r w:rsidR="00C1644C">
        <w:rPr>
          <w:bCs/>
        </w:rPr>
        <w:t>Comité intergubernamental</w:t>
      </w:r>
      <w:r>
        <w:rPr>
          <w:bCs/>
        </w:rPr>
        <w:t xml:space="preserve"> sobre propiedad intelectual y recursos genéticos, conocimientos tradicionales y </w:t>
      </w:r>
      <w:r w:rsidR="00362A5D">
        <w:rPr>
          <w:bCs/>
        </w:rPr>
        <w:t xml:space="preserve">el </w:t>
      </w:r>
      <w:r>
        <w:rPr>
          <w:bCs/>
        </w:rPr>
        <w:t xml:space="preserve">folclore para el bienio 2020-2021, así como el plan de trabajo para </w:t>
      </w:r>
      <w:r w:rsidR="00362A5D">
        <w:rPr>
          <w:bCs/>
        </w:rPr>
        <w:t>dicho</w:t>
      </w:r>
      <w:r>
        <w:rPr>
          <w:bCs/>
        </w:rPr>
        <w:t xml:space="preserve"> bienio.</w:t>
      </w:r>
      <w:r>
        <w:t xml:space="preserve"> </w:t>
      </w:r>
      <w:r>
        <w:rPr>
          <w:bCs/>
        </w:rPr>
        <w:t>Según el mandato</w:t>
      </w:r>
      <w:r w:rsidR="00362A5D">
        <w:rPr>
          <w:bCs/>
        </w:rPr>
        <w:t xml:space="preserve"> convenido</w:t>
      </w:r>
      <w:r>
        <w:rPr>
          <w:bCs/>
        </w:rPr>
        <w:t xml:space="preserve">, el </w:t>
      </w:r>
      <w:r w:rsidR="00C1644C">
        <w:rPr>
          <w:bCs/>
        </w:rPr>
        <w:t>Comité intergubernamental</w:t>
      </w:r>
      <w:r>
        <w:rPr>
          <w:bCs/>
        </w:rPr>
        <w:t xml:space="preserve"> </w:t>
      </w:r>
      <w:r w:rsidR="00362A5D">
        <w:rPr>
          <w:bCs/>
        </w:rPr>
        <w:t xml:space="preserve">seguirá </w:t>
      </w:r>
      <w:r>
        <w:rPr>
          <w:bCs/>
        </w:rPr>
        <w:t xml:space="preserve">acelerando su </w:t>
      </w:r>
      <w:r w:rsidR="00362A5D">
        <w:rPr>
          <w:bCs/>
        </w:rPr>
        <w:t xml:space="preserve">labor a fin de ultimar </w:t>
      </w:r>
      <w:r>
        <w:rPr>
          <w:bCs/>
        </w:rPr>
        <w:t xml:space="preserve">un acuerdo </w:t>
      </w:r>
      <w:r w:rsidR="00362A5D">
        <w:rPr>
          <w:bCs/>
        </w:rPr>
        <w:t xml:space="preserve">sobre </w:t>
      </w:r>
      <w:r>
        <w:rPr>
          <w:bCs/>
        </w:rPr>
        <w:t>un</w:t>
      </w:r>
      <w:r w:rsidR="00362A5D">
        <w:rPr>
          <w:bCs/>
        </w:rPr>
        <w:t>(os)</w:t>
      </w:r>
      <w:r>
        <w:rPr>
          <w:bCs/>
        </w:rPr>
        <w:t xml:space="preserve"> instrumento</w:t>
      </w:r>
      <w:r w:rsidR="00362A5D">
        <w:rPr>
          <w:bCs/>
        </w:rPr>
        <w:t>(s)</w:t>
      </w:r>
      <w:r>
        <w:rPr>
          <w:bCs/>
        </w:rPr>
        <w:t xml:space="preserve"> jurídico</w:t>
      </w:r>
      <w:r w:rsidR="00362A5D">
        <w:rPr>
          <w:bCs/>
        </w:rPr>
        <w:t>(s)</w:t>
      </w:r>
      <w:r>
        <w:rPr>
          <w:bCs/>
        </w:rPr>
        <w:t xml:space="preserve"> internacional</w:t>
      </w:r>
      <w:r w:rsidR="00362A5D">
        <w:rPr>
          <w:bCs/>
        </w:rPr>
        <w:t>(es)</w:t>
      </w:r>
      <w:r>
        <w:rPr>
          <w:bCs/>
        </w:rPr>
        <w:t xml:space="preserve">, sin </w:t>
      </w:r>
      <w:r w:rsidR="00362A5D">
        <w:rPr>
          <w:bCs/>
        </w:rPr>
        <w:t xml:space="preserve">prejuzgar </w:t>
      </w:r>
      <w:r>
        <w:rPr>
          <w:bCs/>
        </w:rPr>
        <w:t xml:space="preserve">la naturaleza </w:t>
      </w:r>
      <w:proofErr w:type="spellStart"/>
      <w:r>
        <w:rPr>
          <w:bCs/>
        </w:rPr>
        <w:t xml:space="preserve">de </w:t>
      </w:r>
      <w:r w:rsidR="00362A5D">
        <w:rPr>
          <w:bCs/>
        </w:rPr>
        <w:t>el</w:t>
      </w:r>
      <w:proofErr w:type="spellEnd"/>
      <w:r w:rsidR="00362A5D">
        <w:rPr>
          <w:bCs/>
        </w:rPr>
        <w:t xml:space="preserve">(los) </w:t>
      </w:r>
      <w:r>
        <w:rPr>
          <w:bCs/>
        </w:rPr>
        <w:t>resultado</w:t>
      </w:r>
      <w:r w:rsidR="00362A5D">
        <w:rPr>
          <w:bCs/>
        </w:rPr>
        <w:t>(</w:t>
      </w:r>
      <w:r>
        <w:rPr>
          <w:bCs/>
        </w:rPr>
        <w:t>s</w:t>
      </w:r>
      <w:r w:rsidR="00362A5D">
        <w:rPr>
          <w:bCs/>
        </w:rPr>
        <w:t>)</w:t>
      </w:r>
      <w:r>
        <w:rPr>
          <w:bCs/>
        </w:rPr>
        <w:t xml:space="preserve">, referente a la propiedad intelectual que asegurará la protección equilibrada y eficaz de </w:t>
      </w:r>
      <w:r w:rsidR="00362A5D">
        <w:rPr>
          <w:bCs/>
        </w:rPr>
        <w:t xml:space="preserve">los </w:t>
      </w:r>
      <w:r>
        <w:rPr>
          <w:bCs/>
        </w:rPr>
        <w:t xml:space="preserve">recursos genéticos, </w:t>
      </w:r>
      <w:r w:rsidR="00362A5D">
        <w:rPr>
          <w:bCs/>
        </w:rPr>
        <w:t xml:space="preserve">los </w:t>
      </w:r>
      <w:r>
        <w:rPr>
          <w:bCs/>
        </w:rPr>
        <w:t xml:space="preserve">conocimientos tradicionales y </w:t>
      </w:r>
      <w:r w:rsidR="00362A5D">
        <w:rPr>
          <w:bCs/>
        </w:rPr>
        <w:t xml:space="preserve">las </w:t>
      </w:r>
      <w:r>
        <w:rPr>
          <w:bCs/>
        </w:rPr>
        <w:t>manifestaciones culturales tradicionales.</w:t>
      </w:r>
      <w:r w:rsidRPr="006442C4">
        <w:rPr>
          <w:rStyle w:val="FootnoteReference"/>
          <w:bCs/>
        </w:rPr>
        <w:footnoteReference w:id="50"/>
      </w:r>
    </w:p>
    <w:p w:rsidR="00E91B29" w:rsidRPr="002967F3" w:rsidRDefault="00E91B29" w:rsidP="00E91B29">
      <w:pPr>
        <w:pStyle w:val="Heading1"/>
        <w:keepLines w:val="0"/>
        <w:numPr>
          <w:ilvl w:val="0"/>
          <w:numId w:val="7"/>
        </w:numPr>
        <w:tabs>
          <w:tab w:val="left" w:pos="720"/>
        </w:tabs>
        <w:spacing w:before="240" w:after="120"/>
        <w:ind w:left="0" w:firstLine="0"/>
        <w:jc w:val="center"/>
        <w:rPr>
          <w:rFonts w:ascii="Times New Roman" w:hAnsi="Times New Roman"/>
          <w:b w:val="0"/>
          <w:bCs w:val="0"/>
          <w:caps/>
          <w:color w:val="auto"/>
          <w:sz w:val="22"/>
          <w:szCs w:val="22"/>
        </w:rPr>
      </w:pPr>
      <w:r w:rsidRPr="002967F3">
        <w:rPr>
          <w:rFonts w:ascii="Times New Roman" w:hAnsi="Times New Roman"/>
          <w:color w:val="auto"/>
          <w:sz w:val="22"/>
          <w:szCs w:val="22"/>
        </w:rPr>
        <w:t>ELEMENTOS SUGERIDOS DE UN PROYECTO DE RECOMENDACI</w:t>
      </w:r>
      <w:r w:rsidR="00362A5D">
        <w:rPr>
          <w:rFonts w:ascii="Times New Roman" w:hAnsi="Times New Roman"/>
          <w:color w:val="auto"/>
          <w:sz w:val="22"/>
          <w:szCs w:val="22"/>
        </w:rPr>
        <w:t>ÓN</w:t>
      </w:r>
    </w:p>
    <w:p w:rsidR="00E91B29" w:rsidRDefault="00362A5D" w:rsidP="00E91B29">
      <w:pPr>
        <w:pStyle w:val="Para1"/>
        <w:numPr>
          <w:ilvl w:val="0"/>
          <w:numId w:val="4"/>
        </w:numPr>
        <w:tabs>
          <w:tab w:val="num" w:pos="709"/>
        </w:tabs>
        <w:spacing w:before="120"/>
        <w:ind w:left="0" w:firstLine="0"/>
        <w:rPr>
          <w:bCs/>
        </w:rPr>
      </w:pPr>
      <w:r>
        <w:rPr>
          <w:szCs w:val="22"/>
        </w:rPr>
        <w:t xml:space="preserve">A la luz de </w:t>
      </w:r>
      <w:r w:rsidR="00E91B29">
        <w:rPr>
          <w:szCs w:val="22"/>
        </w:rPr>
        <w:t>la síntesis de</w:t>
      </w:r>
      <w:r w:rsidR="00F46C8E">
        <w:rPr>
          <w:szCs w:val="22"/>
        </w:rPr>
        <w:t xml:space="preserve"> los</w:t>
      </w:r>
      <w:r w:rsidR="00E91B29">
        <w:rPr>
          <w:szCs w:val="22"/>
        </w:rPr>
        <w:t xml:space="preserve"> </w:t>
      </w:r>
      <w:r>
        <w:rPr>
          <w:szCs w:val="22"/>
        </w:rPr>
        <w:t xml:space="preserve">puntos de vista </w:t>
      </w:r>
      <w:r w:rsidR="00E91B29">
        <w:rPr>
          <w:szCs w:val="22"/>
        </w:rPr>
        <w:t xml:space="preserve">y </w:t>
      </w:r>
      <w:r w:rsidR="00E91B29">
        <w:rPr>
          <w:bCs/>
        </w:rPr>
        <w:t xml:space="preserve">los diversos puntos del consenso </w:t>
      </w:r>
      <w:r w:rsidR="00E91B29">
        <w:rPr>
          <w:szCs w:val="22"/>
        </w:rPr>
        <w:t xml:space="preserve">identificados </w:t>
      </w:r>
      <w:r>
        <w:rPr>
          <w:szCs w:val="22"/>
        </w:rPr>
        <w:t xml:space="preserve">a través del </w:t>
      </w:r>
      <w:r w:rsidR="00E91B29">
        <w:rPr>
          <w:szCs w:val="22"/>
        </w:rPr>
        <w:t>análisis a</w:t>
      </w:r>
      <w:r>
        <w:rPr>
          <w:szCs w:val="22"/>
        </w:rPr>
        <w:t>nterior</w:t>
      </w:r>
      <w:r w:rsidR="00E91B29">
        <w:rPr>
          <w:szCs w:val="22"/>
        </w:rPr>
        <w:t>, el</w:t>
      </w:r>
      <w:r>
        <w:rPr>
          <w:szCs w:val="22"/>
        </w:rPr>
        <w:t xml:space="preserve"> Órgano Subsidiario sobre la Aplicación</w:t>
      </w:r>
      <w:r w:rsidR="00E91B29">
        <w:rPr>
          <w:szCs w:val="22"/>
        </w:rPr>
        <w:t xml:space="preserve"> puede </w:t>
      </w:r>
      <w:r>
        <w:rPr>
          <w:szCs w:val="22"/>
        </w:rPr>
        <w:t xml:space="preserve">querer considerar hacer una recomendación </w:t>
      </w:r>
      <w:r w:rsidR="00E91B29">
        <w:rPr>
          <w:szCs w:val="22"/>
        </w:rPr>
        <w:t xml:space="preserve">a </w:t>
      </w:r>
      <w:r w:rsidR="00EA5BBA">
        <w:t>la Conferencia de las Partes que Actúa como Reunión de las Partes en el Protocolo de Nagoya</w:t>
      </w:r>
      <w:r w:rsidR="00E91B29">
        <w:rPr>
          <w:szCs w:val="22"/>
        </w:rPr>
        <w:t xml:space="preserve">, </w:t>
      </w:r>
      <w:r>
        <w:rPr>
          <w:szCs w:val="22"/>
        </w:rPr>
        <w:t xml:space="preserve">para que en su cuarta reunión ésta tome </w:t>
      </w:r>
      <w:r w:rsidR="00E91B29">
        <w:rPr>
          <w:szCs w:val="22"/>
        </w:rPr>
        <w:t>una decisión, de acuerdo con las consideraciones siguientes:</w:t>
      </w:r>
    </w:p>
    <w:p w:rsidR="00E91B29" w:rsidRDefault="00E91B29" w:rsidP="00E91B29">
      <w:pPr>
        <w:spacing w:before="120" w:after="120"/>
        <w:ind w:firstLine="851"/>
        <w:rPr>
          <w:bCs/>
          <w:i/>
          <w:iCs/>
        </w:rPr>
      </w:pPr>
      <w:r>
        <w:rPr>
          <w:bCs/>
          <w:i/>
          <w:iCs/>
        </w:rPr>
        <w:t>La</w:t>
      </w:r>
      <w:r w:rsidR="00EA5BBA">
        <w:rPr>
          <w:bCs/>
          <w:i/>
          <w:iCs/>
        </w:rPr>
        <w:t xml:space="preserve"> Conferencia de las Partes que Actúa como Reunión de las Partes en el Protocolo de Nagoya</w:t>
      </w:r>
      <w:r w:rsidR="00731B28">
        <w:rPr>
          <w:bCs/>
          <w:i/>
          <w:iCs/>
        </w:rPr>
        <w:t xml:space="preserve"> sobre Acceso y Participación en los Beneficios</w:t>
      </w:r>
      <w:r>
        <w:rPr>
          <w:bCs/>
          <w:i/>
          <w:iCs/>
        </w:rPr>
        <w:t>,</w:t>
      </w:r>
    </w:p>
    <w:p w:rsidR="00E91B29" w:rsidRDefault="00E91B29" w:rsidP="00E91B29">
      <w:pPr>
        <w:spacing w:before="120" w:after="120"/>
        <w:ind w:firstLine="851"/>
        <w:rPr>
          <w:bCs/>
        </w:rPr>
      </w:pPr>
      <w:r>
        <w:rPr>
          <w:bCs/>
          <w:i/>
          <w:iCs/>
        </w:rPr>
        <w:t xml:space="preserve">Tomando la nota </w:t>
      </w:r>
      <w:r>
        <w:rPr>
          <w:bCs/>
        </w:rPr>
        <w:t xml:space="preserve">de </w:t>
      </w:r>
      <w:r>
        <w:t xml:space="preserve">la </w:t>
      </w:r>
      <w:r>
        <w:rPr>
          <w:bCs/>
        </w:rPr>
        <w:t xml:space="preserve">información y </w:t>
      </w:r>
      <w:r w:rsidR="00AD12C3">
        <w:t>puntos de vista</w:t>
      </w:r>
      <w:r>
        <w:rPr>
          <w:bCs/>
        </w:rPr>
        <w:t xml:space="preserve"> </w:t>
      </w:r>
      <w:r w:rsidR="00362A5D">
        <w:rPr>
          <w:bCs/>
        </w:rPr>
        <w:t xml:space="preserve">presentados en conformidad con </w:t>
      </w:r>
      <w:r>
        <w:rPr>
          <w:bCs/>
        </w:rPr>
        <w:t>la decisión NP-3/14, párrafo 2,</w:t>
      </w:r>
      <w:r>
        <w:t xml:space="preserve"> </w:t>
      </w:r>
    </w:p>
    <w:p w:rsidR="00E91B29" w:rsidRDefault="00E91B29" w:rsidP="00E91B29">
      <w:pPr>
        <w:spacing w:before="120" w:after="120"/>
        <w:ind w:firstLine="851"/>
        <w:rPr>
          <w:bCs/>
        </w:rPr>
      </w:pPr>
      <w:r>
        <w:rPr>
          <w:bCs/>
          <w:i/>
          <w:iCs/>
        </w:rPr>
        <w:t xml:space="preserve">Recordando </w:t>
      </w:r>
      <w:r>
        <w:rPr>
          <w:bCs/>
        </w:rPr>
        <w:t xml:space="preserve">el </w:t>
      </w:r>
      <w:r w:rsidR="00EA5BBA">
        <w:rPr>
          <w:bCs/>
        </w:rPr>
        <w:t>Artículo</w:t>
      </w:r>
      <w:r>
        <w:rPr>
          <w:bCs/>
        </w:rPr>
        <w:t xml:space="preserve"> 4, párrafo 4, del </w:t>
      </w:r>
      <w:r w:rsidR="00EA5BBA">
        <w:rPr>
          <w:bCs/>
        </w:rPr>
        <w:t>Protocolo</w:t>
      </w:r>
      <w:r>
        <w:rPr>
          <w:bCs/>
        </w:rPr>
        <w:t>,</w:t>
      </w:r>
      <w:r>
        <w:t xml:space="preserve"> </w:t>
      </w:r>
    </w:p>
    <w:p w:rsidR="00E91B29" w:rsidRDefault="00E91B29" w:rsidP="00E91B29">
      <w:pPr>
        <w:spacing w:before="120" w:after="120"/>
        <w:ind w:firstLine="851"/>
        <w:rPr>
          <w:bCs/>
        </w:rPr>
      </w:pPr>
      <w:r>
        <w:t>1.</w:t>
      </w:r>
      <w:r>
        <w:tab/>
      </w:r>
      <w:r>
        <w:rPr>
          <w:i/>
          <w:iCs/>
        </w:rPr>
        <w:t xml:space="preserve">Acoge con beneplácito </w:t>
      </w:r>
      <w:r>
        <w:t xml:space="preserve">los criterios indicativos para los instrumentos </w:t>
      </w:r>
      <w:r w:rsidR="004D2DBF">
        <w:t>internacionales especializados de acceso y participación en los beneficios</w:t>
      </w:r>
      <w:r>
        <w:t xml:space="preserve"> en el contexto del </w:t>
      </w:r>
      <w:r w:rsidR="00EA5BBA">
        <w:t>Artículo</w:t>
      </w:r>
      <w:r>
        <w:t xml:space="preserve"> 4, párrafo 4, del </w:t>
      </w:r>
      <w:r w:rsidR="00EA5BBA">
        <w:t>Protocolo</w:t>
      </w:r>
      <w:r>
        <w:t xml:space="preserve"> de Nagoya </w:t>
      </w:r>
      <w:r w:rsidR="00AE0881">
        <w:t xml:space="preserve">que figuran </w:t>
      </w:r>
      <w:r>
        <w:t>en el</w:t>
      </w:r>
      <w:r w:rsidR="00E25181">
        <w:t xml:space="preserve"> Anexo </w:t>
      </w:r>
      <w:r>
        <w:t xml:space="preserve">al </w:t>
      </w:r>
      <w:r w:rsidR="00AE0881">
        <w:t xml:space="preserve">presente </w:t>
      </w:r>
      <w:r>
        <w:t>proyecto de decisión, observando que están pensados para contribuir a</w:t>
      </w:r>
      <w:r w:rsidR="00F46C8E">
        <w:t xml:space="preserve">l fortalecimiento de </w:t>
      </w:r>
      <w:r>
        <w:t xml:space="preserve">la coordinación y el </w:t>
      </w:r>
      <w:r w:rsidR="00F46C8E">
        <w:t xml:space="preserve">apoyo </w:t>
      </w:r>
      <w:r>
        <w:t xml:space="preserve">mutuo entre el </w:t>
      </w:r>
      <w:r w:rsidR="00EA5BBA">
        <w:t>Protocolo</w:t>
      </w:r>
      <w:r>
        <w:t xml:space="preserve"> de Nagoya y otros </w:t>
      </w:r>
      <w:r w:rsidR="00215614">
        <w:t>instrumentos internacionales de acceso</w:t>
      </w:r>
      <w:r>
        <w:t xml:space="preserve"> y participación en los beneficios, sin crear una jerarquía entre ellos; </w:t>
      </w:r>
    </w:p>
    <w:p w:rsidR="00E91B29" w:rsidRDefault="00E91B29" w:rsidP="00E91B29">
      <w:pPr>
        <w:spacing w:before="120" w:after="120"/>
        <w:ind w:firstLine="851"/>
      </w:pPr>
      <w:r>
        <w:t>2.</w:t>
      </w:r>
      <w:r>
        <w:tab/>
      </w:r>
      <w:r>
        <w:rPr>
          <w:i/>
          <w:iCs/>
        </w:rPr>
        <w:t xml:space="preserve">Invita </w:t>
      </w:r>
      <w:r>
        <w:t xml:space="preserve">a las Partes y otros gobiernos </w:t>
      </w:r>
      <w:r w:rsidR="00AE0881">
        <w:t xml:space="preserve">a </w:t>
      </w:r>
      <w:r>
        <w:t xml:space="preserve">que tengan en cuenta los criterios indicativos </w:t>
      </w:r>
      <w:r w:rsidR="00AE0881">
        <w:t xml:space="preserve">al </w:t>
      </w:r>
      <w:r>
        <w:t>desarrollar y/o aplica</w:t>
      </w:r>
      <w:r w:rsidR="00AE0881">
        <w:t>r</w:t>
      </w:r>
      <w:r>
        <w:t xml:space="preserve"> </w:t>
      </w:r>
      <w:r w:rsidR="00AE0881">
        <w:t xml:space="preserve">las </w:t>
      </w:r>
      <w:r>
        <w:t>medidas de acceso y participación en los beneficios;</w:t>
      </w:r>
    </w:p>
    <w:p w:rsidR="00E91B29" w:rsidRDefault="00E91B29" w:rsidP="00E91B29">
      <w:pPr>
        <w:spacing w:before="120" w:after="120"/>
        <w:ind w:firstLine="851"/>
      </w:pPr>
      <w:r>
        <w:t>3.</w:t>
      </w:r>
      <w:r>
        <w:tab/>
      </w:r>
      <w:r>
        <w:rPr>
          <w:i/>
          <w:iCs/>
        </w:rPr>
        <w:t xml:space="preserve">Invita </w:t>
      </w:r>
      <w:r>
        <w:t xml:space="preserve">a los organismos internacionales </w:t>
      </w:r>
      <w:r w:rsidR="008B57C8">
        <w:t>pertinente</w:t>
      </w:r>
      <w:r w:rsidR="00AE0881">
        <w:t>s</w:t>
      </w:r>
      <w:r>
        <w:t xml:space="preserve"> y a los procesos intergubernamentales </w:t>
      </w:r>
      <w:r w:rsidR="00AE0881">
        <w:t xml:space="preserve">a </w:t>
      </w:r>
      <w:r>
        <w:t xml:space="preserve">que tengan en cuenta los criterios indicativos en sus </w:t>
      </w:r>
      <w:r w:rsidR="00AE0881">
        <w:t xml:space="preserve">esfuerzos por </w:t>
      </w:r>
      <w:r>
        <w:t xml:space="preserve">desarrollar los instrumentos internacionales que incluyen disposiciones </w:t>
      </w:r>
      <w:r w:rsidR="00AE0881">
        <w:t xml:space="preserve">sobre el </w:t>
      </w:r>
      <w:r>
        <w:t xml:space="preserve">acceso y </w:t>
      </w:r>
      <w:r w:rsidR="00AE0881">
        <w:t xml:space="preserve">la </w:t>
      </w:r>
      <w:r>
        <w:t>participación en los beneficios;</w:t>
      </w:r>
    </w:p>
    <w:p w:rsidR="00E91B29" w:rsidRDefault="00E91B29" w:rsidP="00E91B29">
      <w:pPr>
        <w:spacing w:before="120" w:after="120"/>
        <w:ind w:firstLine="851"/>
      </w:pPr>
      <w:r>
        <w:lastRenderedPageBreak/>
        <w:t>4.</w:t>
      </w:r>
      <w:r>
        <w:tab/>
      </w:r>
      <w:r w:rsidR="00AE0881" w:rsidRPr="00AE0881">
        <w:rPr>
          <w:i/>
        </w:rPr>
        <w:t>Pide</w:t>
      </w:r>
      <w:r w:rsidR="00AE0881">
        <w:t xml:space="preserve"> a l</w:t>
      </w:r>
      <w:r>
        <w:t xml:space="preserve">as Partes </w:t>
      </w:r>
      <w:r w:rsidR="00AE0881">
        <w:t xml:space="preserve">que en sus informes nacionales incluyan </w:t>
      </w:r>
      <w:r>
        <w:t xml:space="preserve">información, e </w:t>
      </w:r>
      <w:r>
        <w:rPr>
          <w:i/>
          <w:iCs/>
        </w:rPr>
        <w:t xml:space="preserve">invita </w:t>
      </w:r>
      <w:r>
        <w:t xml:space="preserve">a otros gobiernos y organismos internacionales </w:t>
      </w:r>
      <w:r w:rsidR="008B57C8">
        <w:t>pertinente</w:t>
      </w:r>
      <w:r w:rsidR="00AE0881">
        <w:t>s a</w:t>
      </w:r>
      <w:r>
        <w:t xml:space="preserve"> que compartan información sobre cualquier medida que hayan tomado hacia el desarrollo y/o </w:t>
      </w:r>
      <w:r w:rsidR="00D43E1D">
        <w:t>la aplicación</w:t>
      </w:r>
      <w:r>
        <w:t xml:space="preserve"> del </w:t>
      </w:r>
      <w:r w:rsidR="00EA5BBA">
        <w:t>instrumento internacional especializado de acceso y participación en los beneficios</w:t>
      </w:r>
      <w:r>
        <w:t xml:space="preserve"> </w:t>
      </w:r>
      <w:r w:rsidR="00AE0881">
        <w:t>que es</w:t>
      </w:r>
      <w:r w:rsidR="00F46C8E">
        <w:t xml:space="preserve">té en consonancia </w:t>
      </w:r>
      <w:r w:rsidR="00AE0881">
        <w:t xml:space="preserve">con </w:t>
      </w:r>
      <w:r>
        <w:t xml:space="preserve">los objetivos del </w:t>
      </w:r>
      <w:r w:rsidR="00CE77E0">
        <w:t>Convenio</w:t>
      </w:r>
      <w:r>
        <w:t xml:space="preserve"> y del </w:t>
      </w:r>
      <w:r w:rsidR="00EA5BBA">
        <w:t>Protocolo</w:t>
      </w:r>
      <w:r>
        <w:t>, incluyendo la información sobre recurso</w:t>
      </w:r>
      <w:r w:rsidR="00AE0881">
        <w:t>s</w:t>
      </w:r>
      <w:r>
        <w:t xml:space="preserve"> genético</w:t>
      </w:r>
      <w:r w:rsidR="00AE0881">
        <w:t>s</w:t>
      </w:r>
      <w:r>
        <w:t xml:space="preserve"> específico</w:t>
      </w:r>
      <w:r w:rsidR="00AE0881">
        <w:t>s</w:t>
      </w:r>
      <w:r>
        <w:t xml:space="preserve"> cubierto</w:t>
      </w:r>
      <w:r w:rsidR="00AE0881">
        <w:t xml:space="preserve">s por el </w:t>
      </w:r>
      <w:r>
        <w:t>instrumento especializado</w:t>
      </w:r>
      <w:r w:rsidR="00AE0881">
        <w:t xml:space="preserve"> y </w:t>
      </w:r>
      <w:r w:rsidR="00AE0881" w:rsidRPr="00F46C8E">
        <w:t>para fin</w:t>
      </w:r>
      <w:r w:rsidR="00F46C8E">
        <w:t>alidad</w:t>
      </w:r>
      <w:r w:rsidR="00AE0881" w:rsidRPr="00F46C8E">
        <w:t xml:space="preserve"> del mismo</w:t>
      </w:r>
      <w:r>
        <w:t>;</w:t>
      </w:r>
    </w:p>
    <w:p w:rsidR="00E91B29" w:rsidRDefault="00E91B29" w:rsidP="00E91B29">
      <w:pPr>
        <w:spacing w:before="120" w:after="120"/>
        <w:ind w:firstLine="851"/>
      </w:pPr>
      <w:r>
        <w:t>5.</w:t>
      </w:r>
      <w:r>
        <w:tab/>
      </w:r>
      <w:r>
        <w:rPr>
          <w:i/>
          <w:iCs/>
        </w:rPr>
        <w:t xml:space="preserve">Decide </w:t>
      </w:r>
      <w:r>
        <w:t xml:space="preserve">examinar esta decisión en el contexto del proceso de evaluación y examen de acuerdo con el </w:t>
      </w:r>
      <w:r w:rsidR="00EA5BBA">
        <w:t>Artículo</w:t>
      </w:r>
      <w:r>
        <w:t xml:space="preserve"> 31 del </w:t>
      </w:r>
      <w:r w:rsidR="00EA5BBA">
        <w:t>Protocolo</w:t>
      </w:r>
      <w:r>
        <w:t>, teniendo en cuenta</w:t>
      </w:r>
      <w:r w:rsidR="00AE0881">
        <w:t xml:space="preserve"> los</w:t>
      </w:r>
      <w:r>
        <w:t xml:space="preserve"> </w:t>
      </w:r>
      <w:r w:rsidR="00837EB2">
        <w:t>desarrollos</w:t>
      </w:r>
      <w:r>
        <w:t xml:space="preserve"> </w:t>
      </w:r>
      <w:r w:rsidR="008B57C8">
        <w:t>pertinente</w:t>
      </w:r>
      <w:r w:rsidR="00AE0881">
        <w:t>s</w:t>
      </w:r>
      <w:r>
        <w:t xml:space="preserve"> y </w:t>
      </w:r>
      <w:r w:rsidR="00AE0881">
        <w:t xml:space="preserve">a fin </w:t>
      </w:r>
      <w:r>
        <w:t xml:space="preserve">de </w:t>
      </w:r>
      <w:r w:rsidR="00AE0881">
        <w:t xml:space="preserve">tomar toda </w:t>
      </w:r>
      <w:r>
        <w:t xml:space="preserve">medida necesaria </w:t>
      </w:r>
      <w:r w:rsidR="00AE0881">
        <w:t xml:space="preserve">para </w:t>
      </w:r>
      <w:r>
        <w:t xml:space="preserve">promover </w:t>
      </w:r>
      <w:r w:rsidR="00AE0881">
        <w:t xml:space="preserve">la </w:t>
      </w:r>
      <w:r>
        <w:t xml:space="preserve">coherencia en el régimen internacional </w:t>
      </w:r>
      <w:r w:rsidR="00AE0881">
        <w:t xml:space="preserve">sobre </w:t>
      </w:r>
      <w:r>
        <w:t xml:space="preserve">acceso y participación en los beneficios.  </w:t>
      </w:r>
    </w:p>
    <w:p w:rsidR="00E91B29" w:rsidRPr="006442C4" w:rsidRDefault="00E91B29" w:rsidP="00E91B29">
      <w:pPr>
        <w:pStyle w:val="Para1"/>
        <w:rPr>
          <w:i/>
          <w:iCs/>
          <w:szCs w:val="22"/>
        </w:rPr>
      </w:pPr>
    </w:p>
    <w:p w:rsidR="00E91B29" w:rsidRDefault="00E91B29" w:rsidP="00E91B29">
      <w:pPr>
        <w:spacing w:after="200" w:line="276" w:lineRule="auto"/>
        <w:jc w:val="left"/>
        <w:rPr>
          <w:i/>
          <w:iCs/>
          <w:snapToGrid w:val="0"/>
          <w:szCs w:val="22"/>
        </w:rPr>
      </w:pPr>
      <w:r w:rsidRPr="006442C4">
        <w:rPr>
          <w:i/>
          <w:iCs/>
          <w:szCs w:val="22"/>
        </w:rPr>
        <w:br w:type="page"/>
      </w:r>
    </w:p>
    <w:p w:rsidR="00E91B29" w:rsidRDefault="00E91B29" w:rsidP="00E91B29">
      <w:pPr>
        <w:pStyle w:val="Para1"/>
        <w:jc w:val="center"/>
        <w:rPr>
          <w:i/>
          <w:iCs/>
          <w:szCs w:val="22"/>
        </w:rPr>
      </w:pPr>
      <w:r>
        <w:rPr>
          <w:i/>
          <w:iCs/>
          <w:szCs w:val="22"/>
        </w:rPr>
        <w:lastRenderedPageBreak/>
        <w:t>Anexo</w:t>
      </w:r>
    </w:p>
    <w:p w:rsidR="00E91B29" w:rsidRPr="007815C9" w:rsidRDefault="00E91B29" w:rsidP="00B83189">
      <w:pPr>
        <w:pStyle w:val="Heading1"/>
        <w:jc w:val="center"/>
        <w:rPr>
          <w:rFonts w:ascii="Times New Roman" w:hAnsi="Times New Roman"/>
          <w:color w:val="auto"/>
          <w:sz w:val="22"/>
          <w:szCs w:val="22"/>
          <w:lang w:val="es-MX"/>
        </w:rPr>
      </w:pPr>
      <w:r w:rsidRPr="002967F3">
        <w:rPr>
          <w:rFonts w:ascii="Times New Roman" w:hAnsi="Times New Roman"/>
          <w:color w:val="auto"/>
          <w:sz w:val="22"/>
          <w:szCs w:val="22"/>
        </w:rPr>
        <w:t xml:space="preserve">CRITERIOS INDICATIVOS PARA LOS INSTRUMENTOS INTERNACIONALES ESPECIALIZADOS DE ACCESO Y PARTICIPACIÓN EN LOS BENEFICIOS EN EL CONTEXTO DEL ARTÍCULO 4, PÁRRAFO 4, DEL PROTOCOLO DE NAGOYA </w:t>
      </w:r>
      <w:r w:rsidR="00AB5DB1">
        <w:rPr>
          <w:rFonts w:ascii="Times New Roman" w:hAnsi="Times New Roman"/>
          <w:color w:val="auto"/>
          <w:sz w:val="22"/>
          <w:szCs w:val="22"/>
        </w:rPr>
        <w:t xml:space="preserve">SOBRE </w:t>
      </w:r>
      <w:r w:rsidRPr="002967F3">
        <w:rPr>
          <w:rFonts w:ascii="Times New Roman" w:hAnsi="Times New Roman"/>
          <w:color w:val="auto"/>
          <w:sz w:val="22"/>
          <w:szCs w:val="22"/>
        </w:rPr>
        <w:t xml:space="preserve">ACCESO A LOS RECURSOS GENÉTICOS Y PARTICIPACIÓN </w:t>
      </w:r>
      <w:r w:rsidR="00890C0C" w:rsidRPr="002967F3">
        <w:rPr>
          <w:rFonts w:ascii="Times New Roman" w:hAnsi="Times New Roman"/>
          <w:color w:val="auto"/>
          <w:sz w:val="22"/>
          <w:szCs w:val="22"/>
        </w:rPr>
        <w:t xml:space="preserve">JUSTA Y EQUITATIVA </w:t>
      </w:r>
      <w:r w:rsidRPr="002967F3">
        <w:rPr>
          <w:rFonts w:ascii="Times New Roman" w:hAnsi="Times New Roman"/>
          <w:color w:val="auto"/>
          <w:sz w:val="22"/>
          <w:szCs w:val="22"/>
        </w:rPr>
        <w:t xml:space="preserve">EN LOS BENEFICIOS QUE SE </w:t>
      </w:r>
      <w:r w:rsidR="00890C0C">
        <w:rPr>
          <w:rFonts w:ascii="Times New Roman" w:hAnsi="Times New Roman"/>
          <w:color w:val="auto"/>
          <w:sz w:val="22"/>
          <w:szCs w:val="22"/>
        </w:rPr>
        <w:t>DERIVEN DE SU UTILIZACIÓN</w:t>
      </w:r>
    </w:p>
    <w:p w:rsidR="00E91B29" w:rsidRDefault="00E91B29" w:rsidP="00E91B29">
      <w:pPr>
        <w:pStyle w:val="Para1"/>
        <w:numPr>
          <w:ilvl w:val="0"/>
          <w:numId w:val="10"/>
        </w:numPr>
        <w:tabs>
          <w:tab w:val="clear" w:pos="360"/>
        </w:tabs>
        <w:spacing w:before="120"/>
        <w:rPr>
          <w:b/>
          <w:bCs/>
          <w:szCs w:val="22"/>
        </w:rPr>
      </w:pPr>
      <w:r>
        <w:rPr>
          <w:szCs w:val="22"/>
        </w:rPr>
        <w:t>Estos criterios indicativos son</w:t>
      </w:r>
      <w:r w:rsidR="007815C9">
        <w:rPr>
          <w:szCs w:val="22"/>
        </w:rPr>
        <w:t xml:space="preserve"> elementos o</w:t>
      </w:r>
      <w:r>
        <w:rPr>
          <w:szCs w:val="22"/>
        </w:rPr>
        <w:t xml:space="preserve"> puntos </w:t>
      </w:r>
      <w:r w:rsidR="007815C9">
        <w:rPr>
          <w:szCs w:val="22"/>
        </w:rPr>
        <w:t xml:space="preserve">para </w:t>
      </w:r>
      <w:r w:rsidR="00B83189">
        <w:rPr>
          <w:szCs w:val="22"/>
        </w:rPr>
        <w:t xml:space="preserve">considerar </w:t>
      </w:r>
      <w:r w:rsidR="007815C9">
        <w:rPr>
          <w:szCs w:val="22"/>
        </w:rPr>
        <w:t xml:space="preserve">como orientación </w:t>
      </w:r>
      <w:r>
        <w:rPr>
          <w:szCs w:val="22"/>
        </w:rPr>
        <w:t>al desarrollar o reconoc</w:t>
      </w:r>
      <w:r w:rsidR="007815C9">
        <w:rPr>
          <w:szCs w:val="22"/>
        </w:rPr>
        <w:t>er</w:t>
      </w:r>
      <w:r>
        <w:rPr>
          <w:szCs w:val="22"/>
        </w:rPr>
        <w:t xml:space="preserve"> los instrumentos </w:t>
      </w:r>
      <w:r w:rsidR="004D2DBF">
        <w:rPr>
          <w:szCs w:val="22"/>
        </w:rPr>
        <w:t>internacionales especializados de acceso y participación en los beneficios</w:t>
      </w:r>
      <w:r>
        <w:rPr>
          <w:szCs w:val="22"/>
        </w:rPr>
        <w:t>.</w:t>
      </w:r>
      <w:r>
        <w:t xml:space="preserve"> </w:t>
      </w:r>
      <w:r w:rsidR="007815C9">
        <w:t xml:space="preserve">Están pensados </w:t>
      </w:r>
      <w:r>
        <w:t>para contribuir a</w:t>
      </w:r>
      <w:r w:rsidR="00B83189">
        <w:t xml:space="preserve">l fortalecimiento de </w:t>
      </w:r>
      <w:r>
        <w:t xml:space="preserve">la coordinación y el </w:t>
      </w:r>
      <w:r w:rsidR="00B83189">
        <w:t xml:space="preserve">apoyo </w:t>
      </w:r>
      <w:r>
        <w:t xml:space="preserve">mutuo entre el </w:t>
      </w:r>
      <w:r w:rsidR="00EA5BBA">
        <w:t>Protocolo</w:t>
      </w:r>
      <w:r>
        <w:t xml:space="preserve"> de Nagoya y otros </w:t>
      </w:r>
      <w:r w:rsidR="00215614">
        <w:t>instrumentos internacionales de acceso</w:t>
      </w:r>
      <w:r>
        <w:t xml:space="preserve"> y participación en los beneficios, sin crear una jerarquía entre ellos</w:t>
      </w:r>
      <w:r>
        <w:rPr>
          <w:szCs w:val="22"/>
        </w:rPr>
        <w:t>.</w:t>
      </w:r>
      <w:r>
        <w:t xml:space="preserve"> </w:t>
      </w:r>
    </w:p>
    <w:p w:rsidR="00E91B29" w:rsidRDefault="007815C9" w:rsidP="00E91B29">
      <w:pPr>
        <w:pStyle w:val="Para1"/>
        <w:numPr>
          <w:ilvl w:val="0"/>
          <w:numId w:val="10"/>
        </w:numPr>
        <w:tabs>
          <w:tab w:val="clear" w:pos="360"/>
        </w:tabs>
        <w:spacing w:before="120"/>
        <w:rPr>
          <w:szCs w:val="22"/>
        </w:rPr>
      </w:pPr>
      <w:r w:rsidRPr="007815C9">
        <w:rPr>
          <w:i/>
          <w:szCs w:val="22"/>
        </w:rPr>
        <w:t>Acordado en forma intergubernamental o internacional</w:t>
      </w:r>
      <w:r>
        <w:rPr>
          <w:i/>
          <w:iCs/>
          <w:szCs w:val="22"/>
        </w:rPr>
        <w:t xml:space="preserve"> –</w:t>
      </w:r>
      <w:r w:rsidR="00E91B29">
        <w:rPr>
          <w:i/>
          <w:iCs/>
          <w:szCs w:val="22"/>
        </w:rPr>
        <w:t xml:space="preserve"> </w:t>
      </w:r>
      <w:r w:rsidR="00B83189">
        <w:rPr>
          <w:iCs/>
          <w:szCs w:val="22"/>
        </w:rPr>
        <w:t xml:space="preserve">el instrumento </w:t>
      </w:r>
      <w:r w:rsidR="00E91B29">
        <w:rPr>
          <w:szCs w:val="22"/>
        </w:rPr>
        <w:t>se</w:t>
      </w:r>
      <w:r w:rsidR="00B83189">
        <w:rPr>
          <w:szCs w:val="22"/>
        </w:rPr>
        <w:t xml:space="preserve">ría creado y acordado </w:t>
      </w:r>
      <w:r w:rsidR="00C945F7">
        <w:rPr>
          <w:szCs w:val="22"/>
        </w:rPr>
        <w:t xml:space="preserve">mediante </w:t>
      </w:r>
      <w:r w:rsidR="00E91B29">
        <w:rPr>
          <w:szCs w:val="22"/>
        </w:rPr>
        <w:t xml:space="preserve">un proceso intergubernamental y/o </w:t>
      </w:r>
      <w:r w:rsidR="00C945F7">
        <w:rPr>
          <w:szCs w:val="22"/>
        </w:rPr>
        <w:t xml:space="preserve">estaría respaldado </w:t>
      </w:r>
      <w:r w:rsidR="00E91B29">
        <w:rPr>
          <w:szCs w:val="22"/>
        </w:rPr>
        <w:t>por los estados y/o los gobiernos.</w:t>
      </w:r>
      <w:r w:rsidR="00E91B29">
        <w:t xml:space="preserve"> </w:t>
      </w:r>
      <w:r w:rsidR="00E91B29">
        <w:rPr>
          <w:szCs w:val="22"/>
        </w:rPr>
        <w:t xml:space="preserve">El instrumento puede ser </w:t>
      </w:r>
      <w:r w:rsidR="00C945F7">
        <w:rPr>
          <w:szCs w:val="22"/>
        </w:rPr>
        <w:t>o no ser vinculante</w:t>
      </w:r>
      <w:r w:rsidR="00E91B29">
        <w:rPr>
          <w:szCs w:val="22"/>
        </w:rPr>
        <w:t>.</w:t>
      </w:r>
    </w:p>
    <w:p w:rsidR="00E91B29" w:rsidRDefault="0068211C" w:rsidP="00E91B29">
      <w:pPr>
        <w:pStyle w:val="Para1"/>
        <w:numPr>
          <w:ilvl w:val="0"/>
          <w:numId w:val="10"/>
        </w:numPr>
        <w:tabs>
          <w:tab w:val="clear" w:pos="360"/>
        </w:tabs>
        <w:spacing w:before="120"/>
        <w:rPr>
          <w:szCs w:val="22"/>
        </w:rPr>
      </w:pPr>
      <w:r>
        <w:rPr>
          <w:i/>
          <w:iCs/>
          <w:szCs w:val="22"/>
        </w:rPr>
        <w:t>E</w:t>
      </w:r>
      <w:r w:rsidR="00E91B29">
        <w:rPr>
          <w:i/>
          <w:iCs/>
          <w:szCs w:val="22"/>
        </w:rPr>
        <w:t>specializado-</w:t>
      </w:r>
      <w:r>
        <w:rPr>
          <w:iCs/>
          <w:szCs w:val="22"/>
        </w:rPr>
        <w:t xml:space="preserve"> el instrumento</w:t>
      </w:r>
      <w:r w:rsidR="00E91B29">
        <w:rPr>
          <w:szCs w:val="22"/>
        </w:rPr>
        <w:t>:</w:t>
      </w:r>
      <w:r w:rsidR="00E91B29">
        <w:t xml:space="preserve"> </w:t>
      </w:r>
    </w:p>
    <w:p w:rsidR="00E91B29" w:rsidRDefault="00E91B29" w:rsidP="00E91B29">
      <w:pPr>
        <w:pStyle w:val="Para1"/>
        <w:ind w:firstLine="709"/>
        <w:rPr>
          <w:szCs w:val="22"/>
        </w:rPr>
      </w:pPr>
      <w:r>
        <w:rPr>
          <w:szCs w:val="22"/>
        </w:rPr>
        <w:t>(a)</w:t>
      </w:r>
      <w:r>
        <w:t xml:space="preserve"> </w:t>
      </w:r>
      <w:r>
        <w:tab/>
      </w:r>
      <w:r w:rsidR="00696569">
        <w:rPr>
          <w:szCs w:val="22"/>
        </w:rPr>
        <w:t>Se aplicaría</w:t>
      </w:r>
      <w:r>
        <w:rPr>
          <w:szCs w:val="22"/>
        </w:rPr>
        <w:t xml:space="preserve"> a un </w:t>
      </w:r>
      <w:r w:rsidR="008253A9">
        <w:rPr>
          <w:szCs w:val="22"/>
        </w:rPr>
        <w:t>conjunto específico de recursos genéticos</w:t>
      </w:r>
      <w:r>
        <w:rPr>
          <w:szCs w:val="22"/>
        </w:rPr>
        <w:t xml:space="preserve"> y/o conocimientos tradicionales asociados a los recursos genéticos que de otr</w:t>
      </w:r>
      <w:r w:rsidR="0068211C">
        <w:rPr>
          <w:szCs w:val="22"/>
        </w:rPr>
        <w:t xml:space="preserve">o modo </w:t>
      </w:r>
      <w:r w:rsidR="00B83189">
        <w:rPr>
          <w:szCs w:val="22"/>
        </w:rPr>
        <w:t xml:space="preserve">caerían </w:t>
      </w:r>
      <w:r>
        <w:rPr>
          <w:szCs w:val="22"/>
        </w:rPr>
        <w:t xml:space="preserve">bajo </w:t>
      </w:r>
      <w:r w:rsidR="0068211C">
        <w:rPr>
          <w:szCs w:val="22"/>
        </w:rPr>
        <w:t xml:space="preserve">el </w:t>
      </w:r>
      <w:r>
        <w:rPr>
          <w:szCs w:val="22"/>
        </w:rPr>
        <w:t xml:space="preserve">alcance del </w:t>
      </w:r>
      <w:r w:rsidR="00EA5BBA">
        <w:rPr>
          <w:szCs w:val="22"/>
        </w:rPr>
        <w:t>Protocolo</w:t>
      </w:r>
      <w:r>
        <w:rPr>
          <w:szCs w:val="22"/>
        </w:rPr>
        <w:t xml:space="preserve"> de Nagoya;</w:t>
      </w:r>
      <w:r>
        <w:t xml:space="preserve"> </w:t>
      </w:r>
      <w:r>
        <w:rPr>
          <w:szCs w:val="22"/>
        </w:rPr>
        <w:t>o</w:t>
      </w:r>
    </w:p>
    <w:p w:rsidR="00E91B29" w:rsidRDefault="00E91B29" w:rsidP="00E91B29">
      <w:pPr>
        <w:pStyle w:val="Para1"/>
        <w:ind w:firstLine="709"/>
        <w:rPr>
          <w:szCs w:val="22"/>
        </w:rPr>
      </w:pPr>
      <w:r>
        <w:rPr>
          <w:szCs w:val="22"/>
        </w:rPr>
        <w:t>(b)</w:t>
      </w:r>
      <w:r>
        <w:tab/>
      </w:r>
      <w:r w:rsidR="00696569">
        <w:rPr>
          <w:szCs w:val="22"/>
        </w:rPr>
        <w:t>Se aplicaría</w:t>
      </w:r>
      <w:r>
        <w:rPr>
          <w:szCs w:val="22"/>
        </w:rPr>
        <w:t xml:space="preserve"> a </w:t>
      </w:r>
      <w:r w:rsidR="00696569">
        <w:rPr>
          <w:szCs w:val="22"/>
        </w:rPr>
        <w:t>los usos específicos</w:t>
      </w:r>
      <w:r>
        <w:rPr>
          <w:szCs w:val="22"/>
        </w:rPr>
        <w:t xml:space="preserve"> de los recursos genéticos </w:t>
      </w:r>
      <w:r w:rsidR="00696569">
        <w:rPr>
          <w:szCs w:val="22"/>
        </w:rPr>
        <w:t>y/o conocimientos tradicionales</w:t>
      </w:r>
      <w:r>
        <w:rPr>
          <w:szCs w:val="22"/>
        </w:rPr>
        <w:t xml:space="preserve"> asociados a los recursos genéticos que requieren un enfoque </w:t>
      </w:r>
      <w:r w:rsidR="008253A9">
        <w:rPr>
          <w:szCs w:val="22"/>
        </w:rPr>
        <w:t>diferente</w:t>
      </w:r>
      <w:r w:rsidR="0068211C">
        <w:rPr>
          <w:szCs w:val="22"/>
        </w:rPr>
        <w:t xml:space="preserve"> </w:t>
      </w:r>
      <w:r>
        <w:rPr>
          <w:szCs w:val="22"/>
        </w:rPr>
        <w:t>y</w:t>
      </w:r>
      <w:r w:rsidR="0068211C">
        <w:rPr>
          <w:szCs w:val="22"/>
        </w:rPr>
        <w:t>,</w:t>
      </w:r>
      <w:r>
        <w:rPr>
          <w:szCs w:val="22"/>
        </w:rPr>
        <w:t xml:space="preserve"> por lo tanto</w:t>
      </w:r>
      <w:r w:rsidR="0068211C">
        <w:rPr>
          <w:szCs w:val="22"/>
        </w:rPr>
        <w:t>,</w:t>
      </w:r>
      <w:r>
        <w:rPr>
          <w:szCs w:val="22"/>
        </w:rPr>
        <w:t xml:space="preserve"> especializado.</w:t>
      </w:r>
    </w:p>
    <w:p w:rsidR="00E91B29" w:rsidRDefault="008253A9" w:rsidP="00E91B29">
      <w:pPr>
        <w:pStyle w:val="Para1"/>
        <w:numPr>
          <w:ilvl w:val="0"/>
          <w:numId w:val="10"/>
        </w:numPr>
        <w:tabs>
          <w:tab w:val="clear" w:pos="360"/>
        </w:tabs>
        <w:spacing w:before="120"/>
        <w:rPr>
          <w:szCs w:val="22"/>
        </w:rPr>
      </w:pPr>
      <w:r>
        <w:rPr>
          <w:i/>
          <w:iCs/>
          <w:szCs w:val="22"/>
        </w:rPr>
        <w:t>Apoyo mutuo</w:t>
      </w:r>
      <w:r w:rsidR="0068211C">
        <w:rPr>
          <w:i/>
          <w:iCs/>
          <w:szCs w:val="22"/>
        </w:rPr>
        <w:t>–</w:t>
      </w:r>
      <w:r w:rsidR="0068211C">
        <w:t>El instrumento es</w:t>
      </w:r>
      <w:r w:rsidR="00B83189">
        <w:t xml:space="preserve">tá en consonancia con </w:t>
      </w:r>
      <w:r w:rsidR="0068211C">
        <w:t>los objetivos del Convenio sobre la Diversidad Biológica y del Protocolo de Nagoya, no se opone a los mismo</w:t>
      </w:r>
      <w:r w:rsidR="00B83189">
        <w:t>, sino que los respalda</w:t>
      </w:r>
      <w:r w:rsidR="00E91B29">
        <w:rPr>
          <w:szCs w:val="22"/>
        </w:rPr>
        <w:t>, en cuanto a:</w:t>
      </w:r>
    </w:p>
    <w:p w:rsidR="00E91B29" w:rsidRDefault="00E91B29" w:rsidP="00E91B29">
      <w:pPr>
        <w:pStyle w:val="Para1"/>
        <w:ind w:firstLine="709"/>
        <w:rPr>
          <w:szCs w:val="22"/>
        </w:rPr>
      </w:pPr>
      <w:r>
        <w:rPr>
          <w:szCs w:val="22"/>
        </w:rPr>
        <w:t>(a)</w:t>
      </w:r>
      <w:r>
        <w:t xml:space="preserve"> </w:t>
      </w:r>
      <w:r>
        <w:tab/>
      </w:r>
      <w:r w:rsidR="00B83189">
        <w:t>La c</w:t>
      </w:r>
      <w:r w:rsidR="008E332F">
        <w:t>oherencia con objetivos de conservación y utilización sostenible de la diversidad biológica</w:t>
      </w:r>
      <w:r>
        <w:rPr>
          <w:szCs w:val="22"/>
        </w:rPr>
        <w:t>;</w:t>
      </w:r>
    </w:p>
    <w:p w:rsidR="00E91B29" w:rsidRDefault="00E91B29" w:rsidP="00E91B29">
      <w:pPr>
        <w:pStyle w:val="Para1"/>
        <w:ind w:firstLine="709"/>
        <w:rPr>
          <w:szCs w:val="22"/>
        </w:rPr>
      </w:pPr>
      <w:r>
        <w:rPr>
          <w:szCs w:val="22"/>
        </w:rPr>
        <w:t>(b)</w:t>
      </w:r>
      <w:r>
        <w:t xml:space="preserve"> </w:t>
      </w:r>
      <w:r>
        <w:tab/>
      </w:r>
      <w:r w:rsidR="00B83189">
        <w:t xml:space="preserve">La justicia </w:t>
      </w:r>
      <w:r w:rsidR="008E332F">
        <w:t>y equidad en la participación en los beneficios</w:t>
      </w:r>
      <w:r>
        <w:rPr>
          <w:szCs w:val="22"/>
        </w:rPr>
        <w:t>;</w:t>
      </w:r>
      <w:r>
        <w:t xml:space="preserve"> </w:t>
      </w:r>
    </w:p>
    <w:p w:rsidR="00E91B29" w:rsidRDefault="00E91B29" w:rsidP="00E91B29">
      <w:pPr>
        <w:pStyle w:val="Para1"/>
        <w:ind w:firstLine="709"/>
        <w:rPr>
          <w:szCs w:val="22"/>
        </w:rPr>
      </w:pPr>
      <w:r>
        <w:rPr>
          <w:szCs w:val="22"/>
        </w:rPr>
        <w:t>(c)</w:t>
      </w:r>
      <w:r>
        <w:t xml:space="preserve"> </w:t>
      </w:r>
      <w:r>
        <w:tab/>
      </w:r>
      <w:r w:rsidR="00B83189">
        <w:t>La s</w:t>
      </w:r>
      <w:r w:rsidR="008E332F">
        <w:t xml:space="preserve">eguridad jurídica </w:t>
      </w:r>
      <w:r w:rsidR="00B83189">
        <w:t xml:space="preserve">con respecto </w:t>
      </w:r>
      <w:r w:rsidR="008E332F">
        <w:t>al acceso a los recursos genéticos o a los conocimientos tradicionales y a la participación en los beneficios</w:t>
      </w:r>
      <w:r>
        <w:rPr>
          <w:szCs w:val="22"/>
        </w:rPr>
        <w:t>;</w:t>
      </w:r>
      <w:r>
        <w:t xml:space="preserve"> </w:t>
      </w:r>
    </w:p>
    <w:p w:rsidR="00E91B29" w:rsidRDefault="00E91B29" w:rsidP="00E91B29">
      <w:pPr>
        <w:pStyle w:val="Para1"/>
        <w:ind w:firstLine="709"/>
        <w:rPr>
          <w:szCs w:val="22"/>
        </w:rPr>
      </w:pPr>
      <w:r>
        <w:rPr>
          <w:szCs w:val="22"/>
        </w:rPr>
        <w:t>(d)</w:t>
      </w:r>
      <w:r>
        <w:t xml:space="preserve"> </w:t>
      </w:r>
      <w:r>
        <w:tab/>
      </w:r>
      <w:r w:rsidR="00B83189">
        <w:t>La c</w:t>
      </w:r>
      <w:r w:rsidR="008E332F">
        <w:t xml:space="preserve">ontribución al desarrollo sostenible, </w:t>
      </w:r>
      <w:r w:rsidR="00B83189">
        <w:t xml:space="preserve">tal </w:t>
      </w:r>
      <w:r w:rsidR="008E332F">
        <w:t xml:space="preserve">como se refleja en los objetivos </w:t>
      </w:r>
      <w:r w:rsidR="00B83189">
        <w:t xml:space="preserve">acordados </w:t>
      </w:r>
      <w:r w:rsidR="008E332F">
        <w:t>internacionalmente</w:t>
      </w:r>
      <w:r>
        <w:rPr>
          <w:szCs w:val="22"/>
        </w:rPr>
        <w:t>;</w:t>
      </w:r>
      <w:r>
        <w:t xml:space="preserve"> </w:t>
      </w:r>
    </w:p>
    <w:p w:rsidR="00E91B29" w:rsidRDefault="00E91B29" w:rsidP="00E91B29">
      <w:pPr>
        <w:pStyle w:val="Para1"/>
        <w:ind w:firstLine="709"/>
        <w:rPr>
          <w:szCs w:val="22"/>
        </w:rPr>
      </w:pPr>
      <w:r>
        <w:rPr>
          <w:szCs w:val="22"/>
        </w:rPr>
        <w:t>(e)</w:t>
      </w:r>
      <w:r>
        <w:tab/>
      </w:r>
      <w:r w:rsidR="008E332F">
        <w:t>Otros principios generales de</w:t>
      </w:r>
      <w:r w:rsidR="00B83189">
        <w:t>l</w:t>
      </w:r>
      <w:r w:rsidR="008E332F">
        <w:t xml:space="preserve"> derecho, </w:t>
      </w:r>
      <w:r w:rsidR="00B83189">
        <w:t xml:space="preserve">como </w:t>
      </w:r>
      <w:r w:rsidR="008E332F">
        <w:t xml:space="preserve">la buena fe, la eficacia y </w:t>
      </w:r>
      <w:r w:rsidR="00B83189">
        <w:t xml:space="preserve">las expectativas </w:t>
      </w:r>
      <w:r w:rsidR="008E332F">
        <w:t>legítimas</w:t>
      </w:r>
      <w:r>
        <w:rPr>
          <w:szCs w:val="22"/>
        </w:rPr>
        <w:t>.</w:t>
      </w:r>
    </w:p>
    <w:p w:rsidR="00E91B29" w:rsidRDefault="00E91B29" w:rsidP="00E91B29">
      <w:pPr>
        <w:jc w:val="center"/>
      </w:pPr>
      <w:r>
        <w:t>________</w:t>
      </w:r>
    </w:p>
    <w:p w:rsidR="00E91B29" w:rsidRPr="00BE746E" w:rsidRDefault="00E91B29" w:rsidP="00E91B29"/>
    <w:sectPr w:rsidR="00E91B29" w:rsidRPr="00BE746E" w:rsidSect="00497555">
      <w:headerReference w:type="even" r:id="rId12"/>
      <w:headerReference w:type="default" r:id="rId13"/>
      <w:footerReference w:type="even" r:id="rId14"/>
      <w:footerReference w:type="default" r:id="rId15"/>
      <w:headerReference w:type="first" r:id="rId16"/>
      <w:footerReference w:type="first" r:id="rId17"/>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F9B" w:rsidRDefault="008B6F9B">
      <w:pPr>
        <w:rPr>
          <w:lang w:bidi="th-TH"/>
        </w:rPr>
      </w:pPr>
      <w:r>
        <w:rPr>
          <w:lang w:bidi="th-TH"/>
        </w:rPr>
        <w:separator/>
      </w:r>
    </w:p>
  </w:endnote>
  <w:endnote w:type="continuationSeparator" w:id="0">
    <w:p w:rsidR="008B6F9B" w:rsidRDefault="008B6F9B">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C4" w:rsidRDefault="005F1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C4" w:rsidRDefault="005F1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C4" w:rsidRDefault="005F12C4" w:rsidP="00497555">
    <w:pPr>
      <w:pStyle w:val="Footer"/>
      <w:tabs>
        <w:tab w:val="clear" w:pos="4680"/>
        <w:tab w:val="clear" w:pos="9360"/>
      </w:tabs>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F9B" w:rsidRDefault="008B6F9B">
      <w:pPr>
        <w:rPr>
          <w:lang w:bidi="th-TH"/>
        </w:rPr>
      </w:pPr>
      <w:r>
        <w:rPr>
          <w:lang w:bidi="th-TH"/>
        </w:rPr>
        <w:separator/>
      </w:r>
    </w:p>
  </w:footnote>
  <w:footnote w:type="continuationSeparator" w:id="0">
    <w:p w:rsidR="008B6F9B" w:rsidRDefault="008B6F9B">
      <w:pPr>
        <w:rPr>
          <w:lang w:bidi="th-TH"/>
        </w:rPr>
      </w:pPr>
      <w:r>
        <w:rPr>
          <w:lang w:bidi="th-TH"/>
        </w:rPr>
        <w:continuationSeparator/>
      </w:r>
    </w:p>
  </w:footnote>
  <w:footnote w:id="1">
    <w:p w:rsidR="005F12C4" w:rsidRPr="00A94F35" w:rsidRDefault="005F12C4" w:rsidP="00E91B29">
      <w:pPr>
        <w:pStyle w:val="FootnoteText"/>
        <w:rPr>
          <w:lang w:val="fr-CA"/>
        </w:rPr>
      </w:pPr>
      <w:r w:rsidRPr="00E91B29">
        <w:rPr>
          <w:rStyle w:val="FootnoteReference"/>
          <w:lang w:val="fr-FR"/>
        </w:rPr>
        <w:t>*</w:t>
      </w:r>
      <w:r w:rsidRPr="00A94F35">
        <w:rPr>
          <w:lang w:val="fr-CA"/>
        </w:rPr>
        <w:t>CBD/SBI/3/1.</w:t>
      </w:r>
    </w:p>
  </w:footnote>
  <w:footnote w:id="2">
    <w:p w:rsidR="005F12C4" w:rsidRPr="00176F5F" w:rsidRDefault="005F12C4" w:rsidP="00E91B29">
      <w:pPr>
        <w:pStyle w:val="FootnoteText"/>
        <w:rPr>
          <w:lang w:val="fr-FR"/>
        </w:rPr>
      </w:pPr>
      <w:r w:rsidRPr="00A94F35">
        <w:rPr>
          <w:rStyle w:val="FootnoteReference"/>
        </w:rPr>
        <w:footnoteRef/>
      </w:r>
      <w:r w:rsidRPr="00176F5F">
        <w:rPr>
          <w:lang w:val="fr-FR"/>
        </w:rPr>
        <w:t xml:space="preserve"> </w:t>
      </w:r>
      <w:hyperlink r:id="rId1" w:history="1">
        <w:r w:rsidRPr="00176F5F">
          <w:rPr>
            <w:rStyle w:val="Hyperlink"/>
            <w:lang w:val="fr-FR"/>
          </w:rPr>
          <w:t>CBD/SBI/2/INF/17</w:t>
        </w:r>
      </w:hyperlink>
      <w:r w:rsidRPr="00176F5F">
        <w:rPr>
          <w:lang w:val="fr-FR"/>
        </w:rPr>
        <w:t>.</w:t>
      </w:r>
    </w:p>
  </w:footnote>
  <w:footnote w:id="3">
    <w:p w:rsidR="005F12C4" w:rsidRPr="00A94F35" w:rsidRDefault="005F12C4" w:rsidP="00E91B29">
      <w:pPr>
        <w:pStyle w:val="FootnoteText"/>
        <w:rPr>
          <w:lang w:val="fr-FR"/>
        </w:rPr>
      </w:pPr>
      <w:r w:rsidRPr="00A94F35">
        <w:rPr>
          <w:rStyle w:val="FootnoteReference"/>
        </w:rPr>
        <w:footnoteRef/>
      </w:r>
      <w:r w:rsidRPr="00A94F35">
        <w:rPr>
          <w:lang w:val="fr-FR"/>
        </w:rPr>
        <w:t xml:space="preserve"> </w:t>
      </w:r>
      <w:hyperlink r:id="rId2" w:history="1">
        <w:r w:rsidR="00176F5F">
          <w:rPr>
            <w:rStyle w:val="Hyperlink"/>
            <w:kern w:val="18"/>
            <w:szCs w:val="18"/>
            <w:lang w:val="fr-FR"/>
          </w:rPr>
          <w:t>https://www.cbd.int/doc/notifications/2019/ntf-2019-025-abs-en.pdf</w:t>
        </w:r>
      </w:hyperlink>
      <w:r w:rsidR="00176F5F" w:rsidRPr="00AC60A2">
        <w:rPr>
          <w:kern w:val="18"/>
          <w:szCs w:val="18"/>
          <w:lang w:val="fr-FR"/>
        </w:rPr>
        <w:t>.</w:t>
      </w:r>
    </w:p>
  </w:footnote>
  <w:footnote w:id="4">
    <w:p w:rsidR="005F12C4" w:rsidRPr="00A94F35" w:rsidRDefault="005F12C4" w:rsidP="00E91B29">
      <w:pPr>
        <w:pStyle w:val="FootnoteText"/>
        <w:rPr>
          <w:lang w:val="fr-FR"/>
        </w:rPr>
      </w:pPr>
      <w:r w:rsidRPr="00A94F35">
        <w:rPr>
          <w:rStyle w:val="FootnoteReference"/>
        </w:rPr>
        <w:footnoteRef/>
      </w:r>
      <w:r w:rsidRPr="00A94F35">
        <w:rPr>
          <w:lang w:val="fr-FR"/>
        </w:rPr>
        <w:t xml:space="preserve"> </w:t>
      </w:r>
      <w:hyperlink r:id="rId3" w:history="1">
        <w:r w:rsidR="00176F5F" w:rsidRPr="00AC60A2">
          <w:rPr>
            <w:rStyle w:val="Hyperlink"/>
            <w:kern w:val="18"/>
            <w:szCs w:val="18"/>
            <w:lang w:val="fr-FR"/>
          </w:rPr>
          <w:t>https://www.cbd.int/abs/specialized-instruments/2019-2020/</w:t>
        </w:r>
      </w:hyperlink>
      <w:r w:rsidR="00176F5F" w:rsidRPr="00AC60A2">
        <w:rPr>
          <w:kern w:val="18"/>
          <w:szCs w:val="18"/>
          <w:lang w:val="fr-FR"/>
        </w:rPr>
        <w:t>.</w:t>
      </w:r>
    </w:p>
  </w:footnote>
  <w:footnote w:id="5">
    <w:p w:rsidR="00C80EEB" w:rsidRPr="00B64DB6" w:rsidRDefault="00C80EEB" w:rsidP="00C80EEB">
      <w:pPr>
        <w:pStyle w:val="FootnoteText"/>
        <w:suppressLineNumbers/>
        <w:suppressAutoHyphens/>
        <w:jc w:val="left"/>
        <w:rPr>
          <w:kern w:val="18"/>
          <w:lang w:val="en-US"/>
        </w:rPr>
      </w:pPr>
      <w:r w:rsidRPr="00AC60A2">
        <w:rPr>
          <w:rStyle w:val="FootnoteReference"/>
          <w:kern w:val="18"/>
          <w:lang w:val="en-GB"/>
        </w:rPr>
        <w:footnoteRef/>
      </w:r>
      <w:r w:rsidRPr="00B64DB6">
        <w:rPr>
          <w:kern w:val="18"/>
          <w:lang w:val="es-MX"/>
        </w:rPr>
        <w:t xml:space="preserve"> Sheppard AW, </w:t>
      </w:r>
      <w:proofErr w:type="spellStart"/>
      <w:r w:rsidRPr="00B64DB6">
        <w:rPr>
          <w:kern w:val="18"/>
          <w:lang w:val="es-MX"/>
        </w:rPr>
        <w:t>Paynter</w:t>
      </w:r>
      <w:proofErr w:type="spellEnd"/>
      <w:r w:rsidRPr="00B64DB6">
        <w:rPr>
          <w:kern w:val="18"/>
          <w:lang w:val="es-MX"/>
        </w:rPr>
        <w:t xml:space="preserve"> Q, Mason P, Murphy S, </w:t>
      </w:r>
      <w:proofErr w:type="spellStart"/>
      <w:r w:rsidRPr="00B64DB6">
        <w:rPr>
          <w:kern w:val="18"/>
          <w:lang w:val="es-MX"/>
        </w:rPr>
        <w:t>Stoett</w:t>
      </w:r>
      <w:proofErr w:type="spellEnd"/>
      <w:r w:rsidRPr="00B64DB6">
        <w:rPr>
          <w:kern w:val="18"/>
          <w:lang w:val="es-MX"/>
        </w:rPr>
        <w:t xml:space="preserve"> P, </w:t>
      </w:r>
      <w:proofErr w:type="spellStart"/>
      <w:r w:rsidRPr="00B64DB6">
        <w:rPr>
          <w:kern w:val="18"/>
          <w:lang w:val="es-MX"/>
        </w:rPr>
        <w:t>Cowan</w:t>
      </w:r>
      <w:proofErr w:type="spellEnd"/>
      <w:r w:rsidRPr="00B64DB6">
        <w:rPr>
          <w:kern w:val="18"/>
          <w:lang w:val="es-MX"/>
        </w:rPr>
        <w:t xml:space="preserve"> P, </w:t>
      </w:r>
      <w:proofErr w:type="spellStart"/>
      <w:r w:rsidRPr="00B64DB6">
        <w:rPr>
          <w:kern w:val="18"/>
          <w:lang w:val="es-MX"/>
        </w:rPr>
        <w:t>Brodeur</w:t>
      </w:r>
      <w:proofErr w:type="spellEnd"/>
      <w:r w:rsidRPr="00B64DB6">
        <w:rPr>
          <w:kern w:val="18"/>
          <w:lang w:val="es-MX"/>
        </w:rPr>
        <w:t xml:space="preserve"> J, Warner K, Villegas C, Shaw R, Hinz H, Hill, M y </w:t>
      </w:r>
      <w:proofErr w:type="spellStart"/>
      <w:r w:rsidRPr="00B64DB6">
        <w:rPr>
          <w:kern w:val="18"/>
          <w:lang w:val="es-MX"/>
        </w:rPr>
        <w:t>Genovesi</w:t>
      </w:r>
      <w:proofErr w:type="spellEnd"/>
      <w:r w:rsidRPr="00B64DB6">
        <w:rPr>
          <w:kern w:val="18"/>
          <w:lang w:val="es-MX"/>
        </w:rPr>
        <w:t xml:space="preserve"> P (2019), Grupo de especialistas en especies invasoras de la </w:t>
      </w:r>
      <w:r w:rsidR="00B64DB6" w:rsidRPr="00B64DB6">
        <w:rPr>
          <w:kern w:val="18"/>
          <w:lang w:val="es-MX"/>
        </w:rPr>
        <w:t>Unión Internacional para la Conservación de la Naturaleza</w:t>
      </w:r>
      <w:r w:rsidRPr="00B64DB6">
        <w:rPr>
          <w:kern w:val="18"/>
          <w:lang w:val="es-MX"/>
        </w:rPr>
        <w:t xml:space="preserve">. </w:t>
      </w:r>
      <w:r w:rsidRPr="00C80EEB">
        <w:rPr>
          <w:i/>
          <w:iCs/>
          <w:kern w:val="18"/>
          <w:lang w:val="en-US"/>
        </w:rPr>
        <w:t>The Application of Biological Control for the Management of Established Invasive Alien Species Causing Environmental Impacts</w:t>
      </w:r>
      <w:r w:rsidRPr="00C80EEB">
        <w:rPr>
          <w:kern w:val="18"/>
          <w:lang w:val="en-US"/>
        </w:rPr>
        <w:t xml:space="preserve">. </w:t>
      </w:r>
      <w:r w:rsidR="00B64DB6" w:rsidRPr="00B64DB6">
        <w:rPr>
          <w:kern w:val="18"/>
          <w:lang w:val="es-MX"/>
        </w:rPr>
        <w:t>Secretaría del Convenio sobre la Diversidad Biológica</w:t>
      </w:r>
      <w:r w:rsidRPr="00B64DB6">
        <w:rPr>
          <w:kern w:val="18"/>
          <w:lang w:val="es-MX"/>
        </w:rPr>
        <w:t xml:space="preserve">, </w:t>
      </w:r>
      <w:proofErr w:type="spellStart"/>
      <w:r w:rsidRPr="00B64DB6">
        <w:rPr>
          <w:i/>
          <w:iCs/>
          <w:kern w:val="18"/>
          <w:lang w:val="es-MX"/>
        </w:rPr>
        <w:t>Technical</w:t>
      </w:r>
      <w:proofErr w:type="spellEnd"/>
      <w:r w:rsidRPr="00B64DB6">
        <w:rPr>
          <w:i/>
          <w:iCs/>
          <w:kern w:val="18"/>
          <w:lang w:val="es-MX"/>
        </w:rPr>
        <w:t xml:space="preserve"> Series No. 91</w:t>
      </w:r>
      <w:r w:rsidRPr="00B64DB6">
        <w:rPr>
          <w:kern w:val="18"/>
          <w:lang w:val="es-MX"/>
        </w:rPr>
        <w:t xml:space="preserve">. </w:t>
      </w:r>
      <w:r w:rsidRPr="00B64DB6">
        <w:rPr>
          <w:kern w:val="18"/>
          <w:lang w:val="en-US"/>
        </w:rPr>
        <w:t xml:space="preserve">Montreal, </w:t>
      </w:r>
      <w:proofErr w:type="spellStart"/>
      <w:r w:rsidRPr="00B64DB6">
        <w:rPr>
          <w:kern w:val="18"/>
          <w:lang w:val="en-US"/>
        </w:rPr>
        <w:t>Canad</w:t>
      </w:r>
      <w:r w:rsidR="00B64DB6" w:rsidRPr="00B64DB6">
        <w:rPr>
          <w:kern w:val="18"/>
          <w:lang w:val="en-US"/>
        </w:rPr>
        <w:t>á</w:t>
      </w:r>
      <w:proofErr w:type="spellEnd"/>
      <w:r w:rsidRPr="00B64DB6">
        <w:rPr>
          <w:kern w:val="18"/>
          <w:lang w:val="en-US"/>
        </w:rPr>
        <w:t>, 74 </w:t>
      </w:r>
      <w:proofErr w:type="spellStart"/>
      <w:r w:rsidR="00B64DB6" w:rsidRPr="00B64DB6">
        <w:rPr>
          <w:kern w:val="18"/>
          <w:lang w:val="en-US"/>
        </w:rPr>
        <w:t>páginas</w:t>
      </w:r>
      <w:proofErr w:type="spellEnd"/>
      <w:r w:rsidRPr="00B64DB6">
        <w:rPr>
          <w:kern w:val="18"/>
          <w:lang w:val="en-US"/>
        </w:rPr>
        <w:t>.</w:t>
      </w:r>
    </w:p>
  </w:footnote>
  <w:footnote w:id="6">
    <w:p w:rsidR="00B64DB6" w:rsidRPr="00AC60A2" w:rsidRDefault="00B64DB6" w:rsidP="00B64DB6">
      <w:pPr>
        <w:pStyle w:val="FootnoteText"/>
        <w:suppressLineNumbers/>
        <w:suppressAutoHyphens/>
        <w:jc w:val="left"/>
        <w:rPr>
          <w:kern w:val="18"/>
        </w:rPr>
      </w:pPr>
      <w:r w:rsidRPr="00AC60A2">
        <w:rPr>
          <w:rStyle w:val="FootnoteReference"/>
          <w:kern w:val="18"/>
          <w:lang w:val="en-GB"/>
        </w:rPr>
        <w:footnoteRef/>
      </w:r>
      <w:r w:rsidRPr="00B64DB6">
        <w:rPr>
          <w:kern w:val="18"/>
          <w:lang w:val="en-US"/>
        </w:rPr>
        <w:t xml:space="preserve"> Mason, P.G., Cock, M.J.W., Barratt, B.I.P. </w:t>
      </w:r>
      <w:r w:rsidRPr="00B64DB6">
        <w:rPr>
          <w:i/>
          <w:iCs/>
          <w:kern w:val="18"/>
          <w:lang w:val="en-US"/>
        </w:rPr>
        <w:t>et al.</w:t>
      </w:r>
      <w:r w:rsidRPr="00B64DB6">
        <w:rPr>
          <w:kern w:val="18"/>
          <w:lang w:val="en-US"/>
        </w:rPr>
        <w:t xml:space="preserve"> “Best practices for the use and exchange of invertebrate biological control genetic resources relevant for food and agriculture”. </w:t>
      </w:r>
      <w:proofErr w:type="spellStart"/>
      <w:r w:rsidRPr="00AC60A2">
        <w:rPr>
          <w:i/>
          <w:iCs/>
          <w:kern w:val="18"/>
        </w:rPr>
        <w:t>BioControl</w:t>
      </w:r>
      <w:proofErr w:type="spellEnd"/>
      <w:r>
        <w:rPr>
          <w:i/>
          <w:iCs/>
          <w:kern w:val="18"/>
        </w:rPr>
        <w:t xml:space="preserve"> </w:t>
      </w:r>
      <w:r w:rsidRPr="00B64DB6">
        <w:rPr>
          <w:iCs/>
          <w:kern w:val="18"/>
        </w:rPr>
        <w:t>63</w:t>
      </w:r>
      <w:r w:rsidRPr="00AC60A2">
        <w:rPr>
          <w:kern w:val="18"/>
        </w:rPr>
        <w:t>, 149-154 (2018). https://doi.org/10.1007/s10526-017-9810-3.</w:t>
      </w:r>
    </w:p>
  </w:footnote>
  <w:footnote w:id="7">
    <w:p w:rsidR="005F12C4" w:rsidRPr="0010274C" w:rsidRDefault="005F12C4" w:rsidP="00E91B29">
      <w:pPr>
        <w:pStyle w:val="FootnoteText"/>
        <w:rPr>
          <w:lang w:val="es-MX"/>
        </w:rPr>
      </w:pPr>
      <w:r w:rsidRPr="00A94F35">
        <w:rPr>
          <w:rStyle w:val="FootnoteReference"/>
        </w:rPr>
        <w:footnoteRef/>
      </w:r>
      <w:r w:rsidRPr="0010274C">
        <w:rPr>
          <w:lang w:val="es-MX"/>
        </w:rPr>
        <w:t xml:space="preserve"> </w:t>
      </w:r>
      <w:r w:rsidR="0010274C">
        <w:rPr>
          <w:lang w:val="es-MX"/>
        </w:rPr>
        <w:t>D</w:t>
      </w:r>
      <w:r w:rsidR="0010274C" w:rsidRPr="0010274C">
        <w:rPr>
          <w:lang w:val="es-MX"/>
        </w:rPr>
        <w:t>e las seis presentaciones recibi</w:t>
      </w:r>
      <w:r w:rsidR="0010274C">
        <w:rPr>
          <w:lang w:val="es-MX"/>
        </w:rPr>
        <w:t>das</w:t>
      </w:r>
      <w:r w:rsidR="0010274C" w:rsidRPr="0010274C">
        <w:rPr>
          <w:lang w:val="es-MX"/>
        </w:rPr>
        <w:t xml:space="preserve">, una representa </w:t>
      </w:r>
      <w:r w:rsidR="0010274C">
        <w:rPr>
          <w:lang w:val="es-MX"/>
        </w:rPr>
        <w:t xml:space="preserve">los puntos de vista de la </w:t>
      </w:r>
      <w:r w:rsidRPr="0010274C">
        <w:rPr>
          <w:lang w:val="es-MX"/>
        </w:rPr>
        <w:t xml:space="preserve">Unión Europea y sus estados miembros </w:t>
      </w:r>
      <w:r w:rsidR="0010274C">
        <w:rPr>
          <w:lang w:val="es-MX"/>
        </w:rPr>
        <w:t>y otra</w:t>
      </w:r>
      <w:r w:rsidRPr="0010274C">
        <w:rPr>
          <w:lang w:val="es-MX"/>
        </w:rPr>
        <w:t xml:space="preserve">, </w:t>
      </w:r>
      <w:r w:rsidR="0010274C">
        <w:rPr>
          <w:lang w:val="es-MX"/>
        </w:rPr>
        <w:t xml:space="preserve">los puntos de vista de </w:t>
      </w:r>
      <w:r w:rsidRPr="0010274C">
        <w:rPr>
          <w:lang w:val="es-MX"/>
        </w:rPr>
        <w:t xml:space="preserve">la Unión Africana. </w:t>
      </w:r>
      <w:r w:rsidR="0010274C" w:rsidRPr="0010274C">
        <w:rPr>
          <w:lang w:val="es-MX"/>
        </w:rPr>
        <w:t xml:space="preserve">Dos de estas presentaciones </w:t>
      </w:r>
      <w:r w:rsidR="0010274C">
        <w:rPr>
          <w:lang w:val="es-MX"/>
        </w:rPr>
        <w:t>provienen de estados que no son Partes en e</w:t>
      </w:r>
      <w:r w:rsidR="0010274C" w:rsidRPr="0010274C">
        <w:rPr>
          <w:lang w:val="es-MX"/>
        </w:rPr>
        <w:t xml:space="preserve">l </w:t>
      </w:r>
      <w:r w:rsidR="0010274C">
        <w:rPr>
          <w:lang w:val="es-MX"/>
        </w:rPr>
        <w:t>P</w:t>
      </w:r>
      <w:r w:rsidR="0010274C" w:rsidRPr="0010274C">
        <w:rPr>
          <w:lang w:val="es-MX"/>
        </w:rPr>
        <w:t>rotocolo</w:t>
      </w:r>
      <w:r w:rsidRPr="0010274C">
        <w:rPr>
          <w:lang w:val="es-MX"/>
        </w:rPr>
        <w:t xml:space="preserve">. </w:t>
      </w:r>
    </w:p>
  </w:footnote>
  <w:footnote w:id="8">
    <w:p w:rsidR="005F12C4" w:rsidRPr="00954CD6" w:rsidRDefault="005F12C4" w:rsidP="00E91B29">
      <w:pPr>
        <w:pStyle w:val="FootnoteText"/>
        <w:rPr>
          <w:lang w:val="es-MX"/>
        </w:rPr>
      </w:pPr>
      <w:r w:rsidRPr="00A94F35">
        <w:rPr>
          <w:rStyle w:val="FootnoteReference"/>
        </w:rPr>
        <w:footnoteRef/>
      </w:r>
      <w:r w:rsidRPr="00954CD6">
        <w:rPr>
          <w:lang w:val="es-MX"/>
        </w:rPr>
        <w:t xml:space="preserve"> Suiza</w:t>
      </w:r>
      <w:r w:rsidR="009C3828">
        <w:rPr>
          <w:lang w:val="es-MX"/>
        </w:rPr>
        <w:t>,</w:t>
      </w:r>
      <w:r w:rsidRPr="00954CD6">
        <w:rPr>
          <w:lang w:val="es-MX"/>
        </w:rPr>
        <w:t xml:space="preserve"> Nueva Zelandia</w:t>
      </w:r>
      <w:r w:rsidR="009C3828">
        <w:rPr>
          <w:lang w:val="es-MX"/>
        </w:rPr>
        <w:t>,</w:t>
      </w:r>
      <w:r w:rsidRPr="00954CD6">
        <w:rPr>
          <w:lang w:val="es-MX"/>
        </w:rPr>
        <w:t xml:space="preserve"> Noruega. </w:t>
      </w:r>
    </w:p>
  </w:footnote>
  <w:footnote w:id="9">
    <w:p w:rsidR="005F12C4" w:rsidRPr="00954CD6" w:rsidRDefault="005F12C4" w:rsidP="00E91B29">
      <w:pPr>
        <w:pStyle w:val="FootnoteText"/>
        <w:rPr>
          <w:lang w:val="es-MX"/>
        </w:rPr>
      </w:pPr>
      <w:r w:rsidRPr="00A94F35">
        <w:rPr>
          <w:rStyle w:val="FootnoteReference"/>
        </w:rPr>
        <w:footnoteRef/>
      </w:r>
      <w:r w:rsidRPr="00954CD6">
        <w:rPr>
          <w:lang w:val="es-MX"/>
        </w:rPr>
        <w:t xml:space="preserve"> La Unión Europea y sus estados miembros. </w:t>
      </w:r>
    </w:p>
  </w:footnote>
  <w:footnote w:id="10">
    <w:p w:rsidR="005F12C4" w:rsidRPr="00954CD6" w:rsidRDefault="005F12C4" w:rsidP="00E91B29">
      <w:pPr>
        <w:pStyle w:val="FootnoteText"/>
        <w:rPr>
          <w:lang w:val="es-MX"/>
        </w:rPr>
      </w:pPr>
      <w:r w:rsidRPr="00A94F35">
        <w:rPr>
          <w:rStyle w:val="FootnoteReference"/>
        </w:rPr>
        <w:footnoteRef/>
      </w:r>
      <w:r w:rsidRPr="00954CD6">
        <w:rPr>
          <w:lang w:val="es-MX"/>
        </w:rPr>
        <w:t xml:space="preserve"> La Unión Europea y sus estados miembros</w:t>
      </w:r>
      <w:r w:rsidR="009C3828">
        <w:rPr>
          <w:lang w:val="es-MX"/>
        </w:rPr>
        <w:t>,</w:t>
      </w:r>
      <w:r w:rsidRPr="00954CD6">
        <w:rPr>
          <w:lang w:val="es-MX"/>
        </w:rPr>
        <w:t xml:space="preserve"> </w:t>
      </w:r>
      <w:r>
        <w:rPr>
          <w:lang w:val="es-MX"/>
        </w:rPr>
        <w:t>Noruega</w:t>
      </w:r>
      <w:r w:rsidR="009C3828">
        <w:rPr>
          <w:lang w:val="es-MX"/>
        </w:rPr>
        <w:t>,</w:t>
      </w:r>
      <w:r w:rsidRPr="00954CD6">
        <w:rPr>
          <w:lang w:val="es-MX"/>
        </w:rPr>
        <w:t xml:space="preserve"> </w:t>
      </w:r>
      <w:r>
        <w:rPr>
          <w:lang w:val="es-MX"/>
        </w:rPr>
        <w:t>Suiza</w:t>
      </w:r>
      <w:r w:rsidR="009C3828">
        <w:rPr>
          <w:lang w:val="es-MX"/>
        </w:rPr>
        <w:t>,</w:t>
      </w:r>
      <w:r w:rsidRPr="00954CD6">
        <w:rPr>
          <w:lang w:val="es-MX"/>
        </w:rPr>
        <w:t xml:space="preserve"> </w:t>
      </w:r>
      <w:r>
        <w:rPr>
          <w:lang w:val="es-MX"/>
        </w:rPr>
        <w:t>Canadá</w:t>
      </w:r>
      <w:r w:rsidR="009C3828">
        <w:rPr>
          <w:lang w:val="es-MX"/>
        </w:rPr>
        <w:t>,</w:t>
      </w:r>
      <w:r w:rsidRPr="00954CD6">
        <w:rPr>
          <w:lang w:val="es-MX"/>
        </w:rPr>
        <w:t xml:space="preserve"> </w:t>
      </w:r>
      <w:r>
        <w:rPr>
          <w:lang w:val="es-MX"/>
        </w:rPr>
        <w:t>Nueva Zelandia</w:t>
      </w:r>
      <w:r w:rsidRPr="00954CD6">
        <w:rPr>
          <w:lang w:val="es-MX"/>
        </w:rPr>
        <w:t xml:space="preserve">. </w:t>
      </w:r>
    </w:p>
  </w:footnote>
  <w:footnote w:id="11">
    <w:p w:rsidR="005F12C4" w:rsidRPr="00954CD6" w:rsidRDefault="005F12C4" w:rsidP="00E91B29">
      <w:pPr>
        <w:pStyle w:val="FootnoteText"/>
        <w:rPr>
          <w:szCs w:val="18"/>
          <w:lang w:val="es-MX"/>
        </w:rPr>
      </w:pPr>
      <w:r w:rsidRPr="006442C4">
        <w:rPr>
          <w:rStyle w:val="FootnoteReference"/>
          <w:szCs w:val="18"/>
        </w:rPr>
        <w:footnoteRef/>
      </w:r>
      <w:r w:rsidRPr="00954CD6">
        <w:rPr>
          <w:szCs w:val="18"/>
          <w:lang w:val="es-MX"/>
        </w:rPr>
        <w:t xml:space="preserve"> La Unión Europea y sus estados miembros</w:t>
      </w:r>
      <w:r w:rsidR="009C3828">
        <w:rPr>
          <w:szCs w:val="18"/>
          <w:lang w:val="es-MX"/>
        </w:rPr>
        <w:t>,</w:t>
      </w:r>
      <w:r w:rsidRPr="00954CD6">
        <w:rPr>
          <w:szCs w:val="18"/>
          <w:lang w:val="es-MX"/>
        </w:rPr>
        <w:t xml:space="preserve"> </w:t>
      </w:r>
      <w:r>
        <w:rPr>
          <w:szCs w:val="18"/>
          <w:lang w:val="es-MX"/>
        </w:rPr>
        <w:t>Canadá y la Unión Africana</w:t>
      </w:r>
      <w:r w:rsidRPr="00954CD6">
        <w:rPr>
          <w:szCs w:val="18"/>
          <w:lang w:val="es-MX"/>
        </w:rPr>
        <w:t xml:space="preserve">. </w:t>
      </w:r>
    </w:p>
  </w:footnote>
  <w:footnote w:id="12">
    <w:p w:rsidR="005F12C4" w:rsidRPr="00954CD6" w:rsidRDefault="005F12C4" w:rsidP="00E91B29">
      <w:pPr>
        <w:pStyle w:val="FootnoteText"/>
        <w:rPr>
          <w:szCs w:val="18"/>
          <w:lang w:val="es-MX"/>
        </w:rPr>
      </w:pPr>
      <w:r w:rsidRPr="006442C4">
        <w:rPr>
          <w:rStyle w:val="FootnoteReference"/>
          <w:szCs w:val="18"/>
        </w:rPr>
        <w:footnoteRef/>
      </w:r>
      <w:r w:rsidRPr="00954CD6">
        <w:rPr>
          <w:szCs w:val="18"/>
          <w:lang w:val="es-MX"/>
        </w:rPr>
        <w:t xml:space="preserve"> Suiza</w:t>
      </w:r>
      <w:r w:rsidR="009C3828">
        <w:rPr>
          <w:szCs w:val="18"/>
          <w:lang w:val="es-MX"/>
        </w:rPr>
        <w:t>,</w:t>
      </w:r>
      <w:r w:rsidRPr="00954CD6">
        <w:rPr>
          <w:szCs w:val="18"/>
          <w:lang w:val="es-MX"/>
        </w:rPr>
        <w:t xml:space="preserve"> Nueva Zelandia</w:t>
      </w:r>
      <w:r w:rsidR="009C3828">
        <w:rPr>
          <w:szCs w:val="18"/>
          <w:lang w:val="es-MX"/>
        </w:rPr>
        <w:t>,</w:t>
      </w:r>
      <w:r w:rsidRPr="00954CD6">
        <w:rPr>
          <w:szCs w:val="18"/>
          <w:lang w:val="es-MX"/>
        </w:rPr>
        <w:t xml:space="preserve"> </w:t>
      </w:r>
      <w:r>
        <w:rPr>
          <w:szCs w:val="18"/>
          <w:lang w:val="es-MX"/>
        </w:rPr>
        <w:t>la Unión Africana</w:t>
      </w:r>
      <w:r w:rsidRPr="00954CD6">
        <w:rPr>
          <w:szCs w:val="18"/>
          <w:lang w:val="es-MX"/>
        </w:rPr>
        <w:t xml:space="preserve">. </w:t>
      </w:r>
    </w:p>
  </w:footnote>
  <w:footnote w:id="13">
    <w:p w:rsidR="005F12C4" w:rsidRPr="00954CD6" w:rsidRDefault="005F12C4" w:rsidP="00E91B29">
      <w:pPr>
        <w:rPr>
          <w:sz w:val="18"/>
          <w:szCs w:val="18"/>
          <w:lang w:val="es-MX"/>
        </w:rPr>
      </w:pPr>
      <w:r w:rsidRPr="001F5025">
        <w:rPr>
          <w:rStyle w:val="FootnoteReference"/>
          <w:sz w:val="18"/>
          <w:szCs w:val="18"/>
        </w:rPr>
        <w:footnoteRef/>
      </w:r>
      <w:r w:rsidRPr="00954CD6">
        <w:rPr>
          <w:sz w:val="18"/>
          <w:szCs w:val="18"/>
          <w:lang w:val="es-MX"/>
        </w:rPr>
        <w:t xml:space="preserve"> La Unión Europea y sus estados miembros</w:t>
      </w:r>
      <w:r w:rsidR="009C3828">
        <w:rPr>
          <w:sz w:val="18"/>
          <w:szCs w:val="18"/>
          <w:lang w:val="es-MX"/>
        </w:rPr>
        <w:t>,</w:t>
      </w:r>
      <w:r w:rsidRPr="00954CD6">
        <w:rPr>
          <w:sz w:val="18"/>
          <w:szCs w:val="18"/>
          <w:lang w:val="es-MX"/>
        </w:rPr>
        <w:t xml:space="preserve"> </w:t>
      </w:r>
      <w:r>
        <w:rPr>
          <w:sz w:val="18"/>
          <w:szCs w:val="18"/>
          <w:lang w:val="es-MX"/>
        </w:rPr>
        <w:t>Noruega</w:t>
      </w:r>
      <w:r w:rsidR="009C3828">
        <w:rPr>
          <w:sz w:val="18"/>
          <w:szCs w:val="18"/>
          <w:lang w:val="es-MX"/>
        </w:rPr>
        <w:t>,</w:t>
      </w:r>
      <w:r w:rsidRPr="00954CD6">
        <w:rPr>
          <w:sz w:val="18"/>
          <w:szCs w:val="18"/>
          <w:lang w:val="es-MX"/>
        </w:rPr>
        <w:t xml:space="preserve"> </w:t>
      </w:r>
      <w:r>
        <w:rPr>
          <w:sz w:val="18"/>
          <w:szCs w:val="18"/>
          <w:lang w:val="es-MX"/>
        </w:rPr>
        <w:t>Suiza</w:t>
      </w:r>
      <w:r w:rsidR="009C3828">
        <w:rPr>
          <w:sz w:val="18"/>
          <w:szCs w:val="18"/>
          <w:lang w:val="es-MX"/>
        </w:rPr>
        <w:t>,</w:t>
      </w:r>
      <w:r w:rsidRPr="00954CD6">
        <w:rPr>
          <w:sz w:val="18"/>
          <w:szCs w:val="18"/>
          <w:lang w:val="es-MX"/>
        </w:rPr>
        <w:t xml:space="preserve"> </w:t>
      </w:r>
      <w:r>
        <w:rPr>
          <w:sz w:val="18"/>
          <w:szCs w:val="18"/>
          <w:lang w:val="es-MX"/>
        </w:rPr>
        <w:t>Canadá</w:t>
      </w:r>
      <w:r w:rsidR="009C3828">
        <w:rPr>
          <w:sz w:val="18"/>
          <w:szCs w:val="18"/>
          <w:lang w:val="es-MX"/>
        </w:rPr>
        <w:t>,</w:t>
      </w:r>
      <w:r w:rsidRPr="00954CD6">
        <w:rPr>
          <w:sz w:val="18"/>
          <w:szCs w:val="18"/>
          <w:lang w:val="es-MX"/>
        </w:rPr>
        <w:t xml:space="preserve"> </w:t>
      </w:r>
      <w:r>
        <w:rPr>
          <w:sz w:val="18"/>
          <w:szCs w:val="18"/>
          <w:lang w:val="es-MX"/>
        </w:rPr>
        <w:t>Nueva Zelandia</w:t>
      </w:r>
      <w:r w:rsidRPr="00954CD6">
        <w:rPr>
          <w:sz w:val="18"/>
          <w:szCs w:val="18"/>
          <w:lang w:val="es-MX"/>
        </w:rPr>
        <w:t xml:space="preserve">. </w:t>
      </w:r>
    </w:p>
  </w:footnote>
  <w:footnote w:id="14">
    <w:p w:rsidR="005F12C4" w:rsidRPr="004501C0" w:rsidRDefault="005F12C4" w:rsidP="00E91B29">
      <w:pPr>
        <w:pStyle w:val="FootnoteText"/>
        <w:rPr>
          <w:szCs w:val="18"/>
          <w:lang w:val="es-MX"/>
        </w:rPr>
      </w:pPr>
      <w:r w:rsidRPr="006442C4">
        <w:rPr>
          <w:rStyle w:val="FootnoteReference"/>
          <w:szCs w:val="18"/>
        </w:rPr>
        <w:footnoteRef/>
      </w:r>
      <w:r w:rsidRPr="004501C0">
        <w:rPr>
          <w:szCs w:val="18"/>
          <w:lang w:val="es-MX"/>
        </w:rPr>
        <w:t xml:space="preserve"> La Unión Africana. </w:t>
      </w:r>
    </w:p>
  </w:footnote>
  <w:footnote w:id="15">
    <w:p w:rsidR="005F12C4" w:rsidRPr="004501C0" w:rsidRDefault="005F12C4" w:rsidP="00E91B29">
      <w:pPr>
        <w:pStyle w:val="FootnoteText"/>
        <w:rPr>
          <w:szCs w:val="18"/>
          <w:lang w:val="es-MX"/>
        </w:rPr>
      </w:pPr>
      <w:r w:rsidRPr="006442C4">
        <w:rPr>
          <w:rStyle w:val="FootnoteReference"/>
          <w:szCs w:val="18"/>
        </w:rPr>
        <w:footnoteRef/>
      </w:r>
      <w:r w:rsidRPr="004501C0">
        <w:rPr>
          <w:szCs w:val="18"/>
          <w:lang w:val="es-MX"/>
        </w:rPr>
        <w:t xml:space="preserve"> Noruega. </w:t>
      </w:r>
    </w:p>
  </w:footnote>
  <w:footnote w:id="16">
    <w:p w:rsidR="005F12C4" w:rsidRPr="00077EC6" w:rsidRDefault="005F12C4" w:rsidP="00E91B29">
      <w:pPr>
        <w:pStyle w:val="FootnoteText"/>
        <w:rPr>
          <w:szCs w:val="18"/>
          <w:lang w:val="es-MX"/>
        </w:rPr>
      </w:pPr>
      <w:r w:rsidRPr="006442C4">
        <w:rPr>
          <w:rStyle w:val="FootnoteReference"/>
          <w:szCs w:val="18"/>
        </w:rPr>
        <w:footnoteRef/>
      </w:r>
      <w:r w:rsidRPr="00077EC6">
        <w:rPr>
          <w:szCs w:val="18"/>
          <w:lang w:val="es-MX"/>
        </w:rPr>
        <w:t xml:space="preserve"> La Unión Europea y sus estados miembros. </w:t>
      </w:r>
    </w:p>
  </w:footnote>
  <w:footnote w:id="17">
    <w:p w:rsidR="005F12C4" w:rsidRPr="00077EC6" w:rsidRDefault="005F12C4" w:rsidP="00E91B29">
      <w:pPr>
        <w:pStyle w:val="FootnoteText"/>
        <w:rPr>
          <w:szCs w:val="18"/>
          <w:lang w:val="es-MX"/>
        </w:rPr>
      </w:pPr>
      <w:r w:rsidRPr="006442C4">
        <w:rPr>
          <w:rStyle w:val="FootnoteReference"/>
          <w:szCs w:val="18"/>
        </w:rPr>
        <w:footnoteRef/>
      </w:r>
      <w:r w:rsidRPr="00077EC6">
        <w:rPr>
          <w:szCs w:val="18"/>
          <w:lang w:val="es-MX"/>
        </w:rPr>
        <w:t xml:space="preserve"> La Unión Africana</w:t>
      </w:r>
    </w:p>
  </w:footnote>
  <w:footnote w:id="18">
    <w:p w:rsidR="005F12C4" w:rsidRPr="00954CD6" w:rsidRDefault="005F12C4" w:rsidP="00E91B29">
      <w:pPr>
        <w:pStyle w:val="FootnoteText"/>
        <w:rPr>
          <w:szCs w:val="18"/>
          <w:lang w:val="es-MX"/>
        </w:rPr>
      </w:pPr>
      <w:r w:rsidRPr="006442C4">
        <w:rPr>
          <w:rStyle w:val="FootnoteReference"/>
          <w:szCs w:val="18"/>
        </w:rPr>
        <w:footnoteRef/>
      </w:r>
      <w:r w:rsidRPr="00954CD6">
        <w:rPr>
          <w:szCs w:val="18"/>
          <w:lang w:val="es-MX"/>
        </w:rPr>
        <w:t xml:space="preserve"> La Unión Europea y sus estados miembros</w:t>
      </w:r>
      <w:r w:rsidR="009C3828">
        <w:rPr>
          <w:szCs w:val="18"/>
          <w:lang w:val="es-MX"/>
        </w:rPr>
        <w:t>,</w:t>
      </w:r>
      <w:r w:rsidRPr="00954CD6">
        <w:rPr>
          <w:szCs w:val="18"/>
          <w:lang w:val="es-MX"/>
        </w:rPr>
        <w:t xml:space="preserve"> </w:t>
      </w:r>
      <w:r>
        <w:rPr>
          <w:szCs w:val="18"/>
          <w:lang w:val="es-MX"/>
        </w:rPr>
        <w:t>Suiza</w:t>
      </w:r>
      <w:r w:rsidR="009C3828">
        <w:rPr>
          <w:szCs w:val="18"/>
          <w:lang w:val="es-MX"/>
        </w:rPr>
        <w:t>,</w:t>
      </w:r>
      <w:r w:rsidRPr="00954CD6">
        <w:rPr>
          <w:szCs w:val="18"/>
          <w:lang w:val="es-MX"/>
        </w:rPr>
        <w:t xml:space="preserve"> </w:t>
      </w:r>
      <w:r>
        <w:rPr>
          <w:szCs w:val="18"/>
          <w:lang w:val="es-MX"/>
        </w:rPr>
        <w:t>Nueva Zelandia</w:t>
      </w:r>
      <w:r w:rsidR="009C3828">
        <w:rPr>
          <w:szCs w:val="18"/>
          <w:lang w:val="es-MX"/>
        </w:rPr>
        <w:t>,</w:t>
      </w:r>
      <w:r w:rsidRPr="00954CD6">
        <w:rPr>
          <w:szCs w:val="18"/>
          <w:lang w:val="es-MX"/>
        </w:rPr>
        <w:t xml:space="preserve"> </w:t>
      </w:r>
      <w:r>
        <w:rPr>
          <w:szCs w:val="18"/>
          <w:lang w:val="es-MX"/>
        </w:rPr>
        <w:t>la Unión Africana</w:t>
      </w:r>
      <w:r w:rsidRPr="00954CD6">
        <w:rPr>
          <w:szCs w:val="18"/>
          <w:lang w:val="es-MX"/>
        </w:rPr>
        <w:t xml:space="preserve">. </w:t>
      </w:r>
    </w:p>
  </w:footnote>
  <w:footnote w:id="19">
    <w:p w:rsidR="005F12C4" w:rsidRPr="00954CD6" w:rsidRDefault="005F12C4" w:rsidP="00E91B29">
      <w:pPr>
        <w:pStyle w:val="FootnoteText"/>
        <w:rPr>
          <w:szCs w:val="18"/>
          <w:lang w:val="es-MX"/>
        </w:rPr>
      </w:pPr>
      <w:r w:rsidRPr="006442C4">
        <w:rPr>
          <w:rStyle w:val="FootnoteReference"/>
          <w:szCs w:val="18"/>
        </w:rPr>
        <w:footnoteRef/>
      </w:r>
      <w:r w:rsidRPr="00954CD6">
        <w:rPr>
          <w:szCs w:val="18"/>
          <w:lang w:val="es-MX"/>
        </w:rPr>
        <w:t xml:space="preserve"> Suiza</w:t>
      </w:r>
      <w:r w:rsidR="009C3828">
        <w:rPr>
          <w:szCs w:val="18"/>
          <w:lang w:val="es-MX"/>
        </w:rPr>
        <w:t>,</w:t>
      </w:r>
      <w:r w:rsidRPr="00954CD6">
        <w:rPr>
          <w:szCs w:val="18"/>
          <w:lang w:val="es-MX"/>
        </w:rPr>
        <w:t xml:space="preserve"> Nueva Zelandia. </w:t>
      </w:r>
    </w:p>
  </w:footnote>
  <w:footnote w:id="20">
    <w:p w:rsidR="005F12C4" w:rsidRPr="00954CD6" w:rsidRDefault="005F12C4" w:rsidP="00E91B29">
      <w:pPr>
        <w:pStyle w:val="FootnoteText"/>
        <w:rPr>
          <w:szCs w:val="18"/>
          <w:lang w:val="es-MX"/>
        </w:rPr>
      </w:pPr>
      <w:r w:rsidRPr="006442C4">
        <w:rPr>
          <w:rStyle w:val="FootnoteReference"/>
          <w:szCs w:val="18"/>
        </w:rPr>
        <w:footnoteRef/>
      </w:r>
      <w:r w:rsidRPr="00954CD6">
        <w:rPr>
          <w:szCs w:val="18"/>
          <w:lang w:val="es-MX"/>
        </w:rPr>
        <w:t xml:space="preserve"> Noruega</w:t>
      </w:r>
      <w:r w:rsidR="009C3828">
        <w:rPr>
          <w:szCs w:val="18"/>
          <w:lang w:val="es-MX"/>
        </w:rPr>
        <w:t>,</w:t>
      </w:r>
      <w:r w:rsidRPr="00954CD6">
        <w:rPr>
          <w:szCs w:val="18"/>
          <w:lang w:val="es-MX"/>
        </w:rPr>
        <w:t xml:space="preserve"> Suiza</w:t>
      </w:r>
      <w:r w:rsidR="009C3828">
        <w:rPr>
          <w:szCs w:val="18"/>
          <w:lang w:val="es-MX"/>
        </w:rPr>
        <w:t>,</w:t>
      </w:r>
      <w:r w:rsidRPr="00954CD6">
        <w:rPr>
          <w:szCs w:val="18"/>
          <w:lang w:val="es-MX"/>
        </w:rPr>
        <w:t xml:space="preserve"> Nueva Zelandia. </w:t>
      </w:r>
    </w:p>
  </w:footnote>
  <w:footnote w:id="21">
    <w:p w:rsidR="005F12C4" w:rsidRPr="00954CD6" w:rsidRDefault="005F12C4" w:rsidP="00E91B29">
      <w:pPr>
        <w:pStyle w:val="FootnoteText"/>
        <w:rPr>
          <w:szCs w:val="18"/>
          <w:lang w:val="es-MX"/>
        </w:rPr>
      </w:pPr>
      <w:r w:rsidRPr="006442C4">
        <w:rPr>
          <w:rStyle w:val="FootnoteReference"/>
          <w:szCs w:val="18"/>
        </w:rPr>
        <w:footnoteRef/>
      </w:r>
      <w:r w:rsidRPr="00954CD6">
        <w:rPr>
          <w:szCs w:val="18"/>
          <w:lang w:val="es-MX"/>
        </w:rPr>
        <w:t xml:space="preserve"> Nueva Zelandia. </w:t>
      </w:r>
    </w:p>
  </w:footnote>
  <w:footnote w:id="22">
    <w:p w:rsidR="005F12C4" w:rsidRPr="00954CD6" w:rsidRDefault="005F12C4" w:rsidP="00E91B29">
      <w:pPr>
        <w:pStyle w:val="FootnoteText"/>
        <w:rPr>
          <w:lang w:val="es-MX"/>
        </w:rPr>
      </w:pPr>
      <w:r w:rsidRPr="006442C4">
        <w:rPr>
          <w:rStyle w:val="FootnoteReference"/>
          <w:szCs w:val="18"/>
        </w:rPr>
        <w:footnoteRef/>
      </w:r>
      <w:r w:rsidRPr="00954CD6">
        <w:rPr>
          <w:szCs w:val="18"/>
          <w:lang w:val="es-MX"/>
        </w:rPr>
        <w:t xml:space="preserve"> Noruega.</w:t>
      </w:r>
      <w:r w:rsidRPr="00954CD6">
        <w:rPr>
          <w:lang w:val="es-MX"/>
        </w:rPr>
        <w:t xml:space="preserve"> </w:t>
      </w:r>
    </w:p>
  </w:footnote>
  <w:footnote w:id="23">
    <w:p w:rsidR="005F12C4" w:rsidRPr="00954CD6" w:rsidRDefault="005F12C4" w:rsidP="00E91B29">
      <w:pPr>
        <w:pStyle w:val="FootnoteText"/>
        <w:rPr>
          <w:lang w:val="es-MX"/>
        </w:rPr>
      </w:pPr>
      <w:r w:rsidRPr="00A94F35">
        <w:rPr>
          <w:rStyle w:val="FootnoteReference"/>
        </w:rPr>
        <w:footnoteRef/>
      </w:r>
      <w:r w:rsidRPr="00954CD6">
        <w:rPr>
          <w:lang w:val="es-MX"/>
        </w:rPr>
        <w:t xml:space="preserve"> Noruega</w:t>
      </w:r>
      <w:r w:rsidR="009C3828">
        <w:rPr>
          <w:lang w:val="es-MX"/>
        </w:rPr>
        <w:t>,</w:t>
      </w:r>
      <w:r w:rsidRPr="00954CD6">
        <w:rPr>
          <w:lang w:val="es-MX"/>
        </w:rPr>
        <w:t xml:space="preserve"> Suiza. </w:t>
      </w:r>
    </w:p>
  </w:footnote>
  <w:footnote w:id="24">
    <w:p w:rsidR="005F12C4" w:rsidRPr="00954CD6" w:rsidRDefault="005F12C4" w:rsidP="00E91B29">
      <w:pPr>
        <w:pStyle w:val="FootnoteText"/>
        <w:rPr>
          <w:lang w:val="es-MX"/>
        </w:rPr>
      </w:pPr>
      <w:r w:rsidRPr="00A94F35">
        <w:rPr>
          <w:rStyle w:val="FootnoteReference"/>
        </w:rPr>
        <w:footnoteRef/>
      </w:r>
      <w:r w:rsidRPr="00954CD6">
        <w:rPr>
          <w:lang w:val="es-MX"/>
        </w:rPr>
        <w:t xml:space="preserve"> Nueva Zelandia. </w:t>
      </w:r>
    </w:p>
  </w:footnote>
  <w:footnote w:id="25">
    <w:p w:rsidR="005F12C4" w:rsidRPr="00954CD6" w:rsidRDefault="005F12C4" w:rsidP="00E91B29">
      <w:pPr>
        <w:pStyle w:val="FootnoteText"/>
        <w:rPr>
          <w:lang w:val="es-MX"/>
        </w:rPr>
      </w:pPr>
      <w:r w:rsidRPr="00A94F35">
        <w:rPr>
          <w:rStyle w:val="FootnoteReference"/>
        </w:rPr>
        <w:footnoteRef/>
      </w:r>
      <w:r w:rsidRPr="00954CD6">
        <w:rPr>
          <w:lang w:val="es-MX"/>
        </w:rPr>
        <w:t xml:space="preserve"> La Unión Europea y sus estados miembros</w:t>
      </w:r>
      <w:r w:rsidR="009C3828">
        <w:rPr>
          <w:lang w:val="es-MX"/>
        </w:rPr>
        <w:t>,</w:t>
      </w:r>
      <w:r w:rsidRPr="00954CD6">
        <w:rPr>
          <w:lang w:val="es-MX"/>
        </w:rPr>
        <w:t xml:space="preserve"> </w:t>
      </w:r>
      <w:r>
        <w:rPr>
          <w:lang w:val="es-MX"/>
        </w:rPr>
        <w:t>Suiza</w:t>
      </w:r>
      <w:r w:rsidRPr="00954CD6">
        <w:rPr>
          <w:lang w:val="es-MX"/>
        </w:rPr>
        <w:t xml:space="preserve">. </w:t>
      </w:r>
    </w:p>
  </w:footnote>
  <w:footnote w:id="26">
    <w:p w:rsidR="005F12C4" w:rsidRPr="00954CD6" w:rsidRDefault="005F12C4" w:rsidP="00E91B29">
      <w:pPr>
        <w:pStyle w:val="FootnoteText"/>
        <w:rPr>
          <w:lang w:val="es-MX"/>
        </w:rPr>
      </w:pPr>
      <w:r w:rsidRPr="00A94F35">
        <w:rPr>
          <w:rStyle w:val="FootnoteReference"/>
        </w:rPr>
        <w:footnoteRef/>
      </w:r>
      <w:r w:rsidRPr="00954CD6">
        <w:rPr>
          <w:lang w:val="es-MX"/>
        </w:rPr>
        <w:t xml:space="preserve"> La Unión Europea y sus estados miembros. </w:t>
      </w:r>
    </w:p>
  </w:footnote>
  <w:footnote w:id="27">
    <w:p w:rsidR="005F12C4" w:rsidRPr="00954CD6" w:rsidRDefault="005F12C4" w:rsidP="00E91B29">
      <w:pPr>
        <w:pStyle w:val="FootnoteText"/>
        <w:rPr>
          <w:lang w:val="es-MX"/>
        </w:rPr>
      </w:pPr>
      <w:r w:rsidRPr="00A94F35">
        <w:rPr>
          <w:rStyle w:val="FootnoteReference"/>
        </w:rPr>
        <w:footnoteRef/>
      </w:r>
      <w:r w:rsidRPr="00954CD6">
        <w:rPr>
          <w:lang w:val="es-MX"/>
        </w:rPr>
        <w:t xml:space="preserve"> La Unión Europea y sus estados miembros. </w:t>
      </w:r>
    </w:p>
  </w:footnote>
  <w:footnote w:id="28">
    <w:p w:rsidR="005F12C4" w:rsidRPr="00954CD6" w:rsidRDefault="005F12C4" w:rsidP="00E91B29">
      <w:pPr>
        <w:pStyle w:val="FootnoteText"/>
        <w:rPr>
          <w:lang w:val="es-MX"/>
        </w:rPr>
      </w:pPr>
      <w:r w:rsidRPr="00A94F35">
        <w:rPr>
          <w:rStyle w:val="FootnoteReference"/>
        </w:rPr>
        <w:footnoteRef/>
      </w:r>
      <w:r w:rsidRPr="00954CD6">
        <w:rPr>
          <w:lang w:val="es-MX"/>
        </w:rPr>
        <w:t xml:space="preserve"> Noruega</w:t>
      </w:r>
      <w:r w:rsidR="009C3828">
        <w:rPr>
          <w:lang w:val="es-MX"/>
        </w:rPr>
        <w:t>,</w:t>
      </w:r>
      <w:r w:rsidRPr="00954CD6">
        <w:rPr>
          <w:lang w:val="es-MX"/>
        </w:rPr>
        <w:t xml:space="preserve"> Suiza. </w:t>
      </w:r>
    </w:p>
  </w:footnote>
  <w:footnote w:id="29">
    <w:p w:rsidR="005F12C4" w:rsidRPr="00954CD6" w:rsidRDefault="005F12C4" w:rsidP="00E91B29">
      <w:pPr>
        <w:pStyle w:val="FootnoteText"/>
        <w:rPr>
          <w:lang w:val="es-MX"/>
        </w:rPr>
      </w:pPr>
      <w:r w:rsidRPr="00A94F35">
        <w:rPr>
          <w:rStyle w:val="FootnoteReference"/>
        </w:rPr>
        <w:footnoteRef/>
      </w:r>
      <w:r w:rsidRPr="00954CD6">
        <w:rPr>
          <w:lang w:val="es-MX"/>
        </w:rPr>
        <w:t xml:space="preserve"> Suiza. </w:t>
      </w:r>
    </w:p>
  </w:footnote>
  <w:footnote w:id="30">
    <w:p w:rsidR="005F12C4" w:rsidRPr="00954CD6" w:rsidRDefault="005F12C4" w:rsidP="00E91B29">
      <w:pPr>
        <w:pStyle w:val="FootnoteText"/>
        <w:rPr>
          <w:lang w:val="es-MX"/>
        </w:rPr>
      </w:pPr>
      <w:r w:rsidRPr="00A94F35">
        <w:rPr>
          <w:rStyle w:val="FootnoteReference"/>
        </w:rPr>
        <w:footnoteRef/>
      </w:r>
      <w:r w:rsidRPr="00954CD6">
        <w:rPr>
          <w:lang w:val="es-MX"/>
        </w:rPr>
        <w:t xml:space="preserve"> La Unión Europea y sus estados miembros</w:t>
      </w:r>
      <w:r w:rsidR="009C3828">
        <w:rPr>
          <w:lang w:val="es-MX"/>
        </w:rPr>
        <w:t>,</w:t>
      </w:r>
      <w:r w:rsidRPr="00954CD6">
        <w:rPr>
          <w:lang w:val="es-MX"/>
        </w:rPr>
        <w:t xml:space="preserve"> </w:t>
      </w:r>
      <w:r>
        <w:rPr>
          <w:lang w:val="es-MX"/>
        </w:rPr>
        <w:t>Nueva Zelandia</w:t>
      </w:r>
      <w:r w:rsidRPr="00954CD6">
        <w:rPr>
          <w:lang w:val="es-MX"/>
        </w:rPr>
        <w:t xml:space="preserve">. </w:t>
      </w:r>
    </w:p>
  </w:footnote>
  <w:footnote w:id="31">
    <w:p w:rsidR="005F12C4" w:rsidRPr="00954CD6" w:rsidRDefault="005F12C4" w:rsidP="00E91B29">
      <w:pPr>
        <w:pStyle w:val="FootnoteText"/>
        <w:rPr>
          <w:lang w:val="es-MX"/>
        </w:rPr>
      </w:pPr>
      <w:r w:rsidRPr="00A94F35">
        <w:rPr>
          <w:rStyle w:val="FootnoteReference"/>
        </w:rPr>
        <w:footnoteRef/>
      </w:r>
      <w:r w:rsidRPr="00954CD6">
        <w:rPr>
          <w:lang w:val="es-MX"/>
        </w:rPr>
        <w:t xml:space="preserve"> La Unión Europea y sus estados miembros.</w:t>
      </w:r>
    </w:p>
  </w:footnote>
  <w:footnote w:id="32">
    <w:p w:rsidR="005F12C4" w:rsidRPr="00AB5DB1" w:rsidRDefault="005F12C4" w:rsidP="00E91B29">
      <w:pPr>
        <w:pStyle w:val="FootnoteText"/>
        <w:rPr>
          <w:lang w:val="es-MX"/>
        </w:rPr>
      </w:pPr>
      <w:r w:rsidRPr="00CF3F1F">
        <w:rPr>
          <w:rStyle w:val="FootnoteReference"/>
        </w:rPr>
        <w:footnoteRef/>
      </w:r>
      <w:r w:rsidRPr="00AB5DB1">
        <w:rPr>
          <w:lang w:val="es-MX"/>
        </w:rPr>
        <w:t xml:space="preserve"> (a) </w:t>
      </w:r>
      <w:r w:rsidR="0010274C" w:rsidRPr="00AB5DB1">
        <w:rPr>
          <w:lang w:val="es-MX"/>
        </w:rPr>
        <w:t>Coherencia con los objetivos de conservación y utilización sostenible de la diversidad biológica</w:t>
      </w:r>
      <w:r w:rsidRPr="00AB5DB1">
        <w:rPr>
          <w:lang w:val="es-MX"/>
        </w:rPr>
        <w:t xml:space="preserve">; (b) </w:t>
      </w:r>
      <w:r w:rsidR="008129BB">
        <w:rPr>
          <w:lang w:val="es-MX"/>
        </w:rPr>
        <w:t>i</w:t>
      </w:r>
      <w:r w:rsidR="00AB5DB1" w:rsidRPr="00AB5DB1">
        <w:rPr>
          <w:lang w:val="es-MX"/>
        </w:rPr>
        <w:t xml:space="preserve">mparcialidad y equidad en </w:t>
      </w:r>
      <w:r w:rsidR="0010274C" w:rsidRPr="00AB5DB1">
        <w:rPr>
          <w:lang w:val="es-MX"/>
        </w:rPr>
        <w:t>la participación de los beneficios</w:t>
      </w:r>
      <w:r w:rsidRPr="00AB5DB1">
        <w:rPr>
          <w:lang w:val="es-MX"/>
        </w:rPr>
        <w:t xml:space="preserve">; (c) </w:t>
      </w:r>
      <w:r w:rsidR="008129BB">
        <w:rPr>
          <w:lang w:val="es-MX"/>
        </w:rPr>
        <w:t>s</w:t>
      </w:r>
      <w:r w:rsidR="00AB5DB1">
        <w:rPr>
          <w:lang w:val="es-MX"/>
        </w:rPr>
        <w:t>eguridad jurídica en cuanto al acceso a los recursos genéticos o a los conocimientos tradicionales y a la participación en los beneficios</w:t>
      </w:r>
      <w:r w:rsidRPr="00AB5DB1">
        <w:rPr>
          <w:lang w:val="es-MX"/>
        </w:rPr>
        <w:t xml:space="preserve">; (d) </w:t>
      </w:r>
      <w:r w:rsidR="008129BB">
        <w:rPr>
          <w:lang w:val="es-MX"/>
        </w:rPr>
        <w:t>c</w:t>
      </w:r>
      <w:r w:rsidRPr="00AB5DB1">
        <w:rPr>
          <w:lang w:val="es-MX"/>
        </w:rPr>
        <w:t>ontribu</w:t>
      </w:r>
      <w:r w:rsidR="00AB5DB1">
        <w:rPr>
          <w:lang w:val="es-MX"/>
        </w:rPr>
        <w:t>ción al desarrollo sostenible, como se refleja en los objetivos internacionalmente convenidos</w:t>
      </w:r>
      <w:r w:rsidRPr="00AB5DB1">
        <w:rPr>
          <w:lang w:val="es-MX"/>
        </w:rPr>
        <w:t xml:space="preserve">; (e) </w:t>
      </w:r>
      <w:r w:rsidR="008129BB">
        <w:rPr>
          <w:lang w:val="es-MX"/>
        </w:rPr>
        <w:t>o</w:t>
      </w:r>
      <w:r w:rsidR="00AB5DB1">
        <w:rPr>
          <w:lang w:val="es-MX"/>
        </w:rPr>
        <w:t>tros principios generales de derecho, incluyendo la buena fe, la eficacia y expectativas legítimas</w:t>
      </w:r>
      <w:r w:rsidRPr="00AB5DB1">
        <w:rPr>
          <w:lang w:val="es-MX"/>
        </w:rPr>
        <w:t xml:space="preserve">. </w:t>
      </w:r>
    </w:p>
  </w:footnote>
  <w:footnote w:id="33">
    <w:p w:rsidR="005F12C4" w:rsidRPr="00954CD6" w:rsidRDefault="005F12C4" w:rsidP="00E91B29">
      <w:pPr>
        <w:pStyle w:val="FootnoteText"/>
        <w:rPr>
          <w:lang w:val="es-MX"/>
        </w:rPr>
      </w:pPr>
      <w:r w:rsidRPr="00A94F35">
        <w:rPr>
          <w:rStyle w:val="FootnoteReference"/>
        </w:rPr>
        <w:footnoteRef/>
      </w:r>
      <w:r w:rsidRPr="00954CD6">
        <w:rPr>
          <w:lang w:val="es-MX"/>
        </w:rPr>
        <w:t xml:space="preserve"> Suiza</w:t>
      </w:r>
      <w:r w:rsidR="009C3828">
        <w:rPr>
          <w:lang w:val="es-MX"/>
        </w:rPr>
        <w:t>,</w:t>
      </w:r>
      <w:r w:rsidRPr="00954CD6">
        <w:rPr>
          <w:lang w:val="es-MX"/>
        </w:rPr>
        <w:t xml:space="preserve"> Canadá</w:t>
      </w:r>
      <w:r w:rsidR="009C3828">
        <w:rPr>
          <w:lang w:val="es-MX"/>
        </w:rPr>
        <w:t>,</w:t>
      </w:r>
      <w:r w:rsidRPr="00954CD6">
        <w:rPr>
          <w:lang w:val="es-MX"/>
        </w:rPr>
        <w:t xml:space="preserve"> </w:t>
      </w:r>
      <w:r>
        <w:rPr>
          <w:lang w:val="es-MX"/>
        </w:rPr>
        <w:t>Nueva Zelandia</w:t>
      </w:r>
      <w:r w:rsidRPr="00954CD6">
        <w:rPr>
          <w:lang w:val="es-MX"/>
        </w:rPr>
        <w:t xml:space="preserve">. </w:t>
      </w:r>
    </w:p>
  </w:footnote>
  <w:footnote w:id="34">
    <w:p w:rsidR="005F12C4" w:rsidRPr="00954CD6" w:rsidRDefault="005F12C4" w:rsidP="00E91B29">
      <w:pPr>
        <w:pStyle w:val="FootnoteText"/>
        <w:rPr>
          <w:lang w:val="es-MX"/>
        </w:rPr>
      </w:pPr>
      <w:r w:rsidRPr="00A94F35">
        <w:rPr>
          <w:rStyle w:val="FootnoteReference"/>
        </w:rPr>
        <w:footnoteRef/>
      </w:r>
      <w:r w:rsidRPr="00954CD6">
        <w:rPr>
          <w:lang w:val="es-MX"/>
        </w:rPr>
        <w:t xml:space="preserve"> Suiza. </w:t>
      </w:r>
    </w:p>
  </w:footnote>
  <w:footnote w:id="35">
    <w:p w:rsidR="005F12C4" w:rsidRPr="00954CD6" w:rsidRDefault="005F12C4" w:rsidP="00E91B29">
      <w:pPr>
        <w:pStyle w:val="FootnoteText"/>
        <w:rPr>
          <w:lang w:val="es-MX"/>
        </w:rPr>
      </w:pPr>
      <w:r w:rsidRPr="00A94F35">
        <w:rPr>
          <w:rStyle w:val="FootnoteReference"/>
        </w:rPr>
        <w:footnoteRef/>
      </w:r>
      <w:r w:rsidRPr="00954CD6">
        <w:rPr>
          <w:lang w:val="es-MX"/>
        </w:rPr>
        <w:t xml:space="preserve"> Noruega. </w:t>
      </w:r>
    </w:p>
  </w:footnote>
  <w:footnote w:id="36">
    <w:p w:rsidR="005F12C4" w:rsidRPr="004501C0" w:rsidRDefault="005F12C4" w:rsidP="00E91B29">
      <w:pPr>
        <w:pStyle w:val="FootnoteText"/>
        <w:rPr>
          <w:szCs w:val="18"/>
          <w:lang w:val="es-MX"/>
        </w:rPr>
      </w:pPr>
      <w:r w:rsidRPr="001E6461">
        <w:rPr>
          <w:rStyle w:val="FootnoteReference"/>
          <w:szCs w:val="18"/>
        </w:rPr>
        <w:footnoteRef/>
      </w:r>
      <w:r w:rsidRPr="004501C0">
        <w:rPr>
          <w:szCs w:val="18"/>
          <w:lang w:val="es-MX"/>
        </w:rPr>
        <w:t xml:space="preserve"> </w:t>
      </w:r>
      <w:hyperlink r:id="rId4" w:history="1">
        <w:r w:rsidR="00C30C7F" w:rsidRPr="00AC60A2">
          <w:rPr>
            <w:rStyle w:val="Hyperlink"/>
            <w:kern w:val="18"/>
            <w:szCs w:val="24"/>
          </w:rPr>
          <w:t>http://www.fao.org/3/a-i5033e.pdf</w:t>
        </w:r>
      </w:hyperlink>
      <w:r w:rsidR="00C30C7F" w:rsidRPr="00AC60A2">
        <w:rPr>
          <w:kern w:val="18"/>
          <w:szCs w:val="18"/>
        </w:rPr>
        <w:t>.</w:t>
      </w:r>
    </w:p>
  </w:footnote>
  <w:footnote w:id="37">
    <w:p w:rsidR="005F12C4" w:rsidRPr="004501C0" w:rsidRDefault="005F12C4" w:rsidP="00E91B29">
      <w:pPr>
        <w:pStyle w:val="FootnoteText"/>
        <w:rPr>
          <w:szCs w:val="18"/>
          <w:lang w:val="es-MX"/>
        </w:rPr>
      </w:pPr>
      <w:r w:rsidRPr="002A34F6">
        <w:rPr>
          <w:rStyle w:val="FootnoteReference"/>
          <w:szCs w:val="18"/>
        </w:rPr>
        <w:footnoteRef/>
      </w:r>
      <w:r w:rsidRPr="004501C0">
        <w:rPr>
          <w:szCs w:val="18"/>
          <w:lang w:val="es-MX"/>
        </w:rPr>
        <w:t xml:space="preserve"> </w:t>
      </w:r>
      <w:hyperlink r:id="rId5" w:history="1">
        <w:r w:rsidR="00C30C7F" w:rsidRPr="00AC60A2">
          <w:rPr>
            <w:rStyle w:val="Hyperlink"/>
            <w:kern w:val="18"/>
            <w:szCs w:val="24"/>
          </w:rPr>
          <w:t>http://www.fao.org/3/ca5088en/CA5088EN.pdf</w:t>
        </w:r>
      </w:hyperlink>
      <w:r w:rsidR="00C30C7F" w:rsidRPr="00AC60A2">
        <w:rPr>
          <w:kern w:val="18"/>
          <w:szCs w:val="18"/>
        </w:rPr>
        <w:t>.</w:t>
      </w:r>
    </w:p>
  </w:footnote>
  <w:footnote w:id="38">
    <w:p w:rsidR="005F12C4" w:rsidRPr="00AB5DB1" w:rsidRDefault="005F12C4" w:rsidP="00E91B29">
      <w:pPr>
        <w:pStyle w:val="FootnoteText"/>
        <w:rPr>
          <w:lang w:val="es-MX"/>
        </w:rPr>
      </w:pPr>
      <w:r>
        <w:rPr>
          <w:rStyle w:val="FootnoteReference"/>
        </w:rPr>
        <w:footnoteRef/>
      </w:r>
      <w:r w:rsidRPr="00AB5DB1">
        <w:rPr>
          <w:lang w:val="es-MX"/>
        </w:rPr>
        <w:t xml:space="preserve"> </w:t>
      </w:r>
      <w:r w:rsidR="00AB5DB1" w:rsidRPr="009C3828">
        <w:rPr>
          <w:bCs/>
          <w:szCs w:val="18"/>
          <w:lang w:val="es-MX"/>
        </w:rPr>
        <w:t xml:space="preserve">CBD/SBI/3/INF/6 </w:t>
      </w:r>
      <w:r w:rsidR="00AB5DB1" w:rsidRPr="00AB5DB1">
        <w:rPr>
          <w:bCs/>
          <w:szCs w:val="18"/>
          <w:lang w:val="es-MX"/>
        </w:rPr>
        <w:t xml:space="preserve">suministra más información sobre cooperación con la </w:t>
      </w:r>
      <w:r w:rsidRPr="00AB5DB1">
        <w:rPr>
          <w:bCs/>
          <w:szCs w:val="18"/>
          <w:lang w:val="es-MX"/>
        </w:rPr>
        <w:t xml:space="preserve">FAO y </w:t>
      </w:r>
      <w:r w:rsidR="00AB5DB1" w:rsidRPr="00AB5DB1">
        <w:rPr>
          <w:bCs/>
          <w:szCs w:val="18"/>
          <w:lang w:val="es-MX"/>
        </w:rPr>
        <w:t xml:space="preserve">su </w:t>
      </w:r>
      <w:r w:rsidRPr="00AB5DB1">
        <w:rPr>
          <w:bCs/>
          <w:szCs w:val="18"/>
          <w:lang w:val="es-MX"/>
        </w:rPr>
        <w:t>CR</w:t>
      </w:r>
      <w:r w:rsidR="00AB5DB1">
        <w:rPr>
          <w:bCs/>
          <w:szCs w:val="18"/>
          <w:lang w:val="es-MX"/>
        </w:rPr>
        <w:t>GA</w:t>
      </w:r>
      <w:r w:rsidRPr="00AB5DB1">
        <w:rPr>
          <w:bCs/>
          <w:szCs w:val="18"/>
          <w:lang w:val="es-MX"/>
        </w:rPr>
        <w:t>A.</w:t>
      </w:r>
    </w:p>
  </w:footnote>
  <w:footnote w:id="39">
    <w:p w:rsidR="005F12C4" w:rsidRPr="00BB3DF4" w:rsidRDefault="005F12C4" w:rsidP="00E91B29">
      <w:pPr>
        <w:pStyle w:val="FootnoteText"/>
        <w:rPr>
          <w:szCs w:val="18"/>
          <w:lang w:val="es-MX"/>
        </w:rPr>
      </w:pPr>
      <w:r w:rsidRPr="00877DB4">
        <w:rPr>
          <w:rStyle w:val="FootnoteReference"/>
          <w:szCs w:val="18"/>
        </w:rPr>
        <w:footnoteRef/>
      </w:r>
      <w:r w:rsidRPr="00BB3DF4">
        <w:rPr>
          <w:szCs w:val="18"/>
          <w:lang w:val="es-MX"/>
        </w:rPr>
        <w:t xml:space="preserve"> </w:t>
      </w:r>
      <w:hyperlink r:id="rId6" w:history="1">
        <w:r w:rsidR="00C30C7F" w:rsidRPr="00AC60A2">
          <w:rPr>
            <w:rStyle w:val="Hyperlink"/>
            <w:kern w:val="18"/>
            <w:szCs w:val="24"/>
          </w:rPr>
          <w:t>http://www.fao.org/3/i0510e/i0510e.pdf</w:t>
        </w:r>
      </w:hyperlink>
      <w:r w:rsidR="00C30C7F" w:rsidRPr="00AC60A2">
        <w:rPr>
          <w:kern w:val="18"/>
          <w:szCs w:val="18"/>
        </w:rPr>
        <w:t>.</w:t>
      </w:r>
    </w:p>
  </w:footnote>
  <w:footnote w:id="40">
    <w:p w:rsidR="005F12C4" w:rsidRPr="006416EF" w:rsidRDefault="005F12C4" w:rsidP="00E91B29">
      <w:pPr>
        <w:pStyle w:val="FootnoteText"/>
        <w:rPr>
          <w:szCs w:val="18"/>
          <w:lang w:val="es-MX"/>
        </w:rPr>
      </w:pPr>
      <w:r w:rsidRPr="00877DB4">
        <w:rPr>
          <w:rStyle w:val="FootnoteReference"/>
          <w:szCs w:val="18"/>
        </w:rPr>
        <w:footnoteRef/>
      </w:r>
      <w:r w:rsidRPr="006416EF">
        <w:rPr>
          <w:szCs w:val="18"/>
          <w:lang w:val="es-MX"/>
        </w:rPr>
        <w:t xml:space="preserve"> Ibid.</w:t>
      </w:r>
    </w:p>
  </w:footnote>
  <w:footnote w:id="41">
    <w:p w:rsidR="005F12C4" w:rsidRPr="006416EF" w:rsidRDefault="005F12C4" w:rsidP="00C30C7F">
      <w:pPr>
        <w:pStyle w:val="FootnoteText"/>
        <w:suppressLineNumbers/>
        <w:suppressAutoHyphens/>
        <w:jc w:val="left"/>
        <w:rPr>
          <w:szCs w:val="18"/>
          <w:lang w:val="es-MX"/>
        </w:rPr>
      </w:pPr>
      <w:r w:rsidRPr="00960501">
        <w:rPr>
          <w:rStyle w:val="FootnoteReference"/>
          <w:szCs w:val="18"/>
        </w:rPr>
        <w:footnoteRef/>
      </w:r>
      <w:r w:rsidRPr="006416EF">
        <w:rPr>
          <w:szCs w:val="18"/>
          <w:lang w:val="es-MX"/>
        </w:rPr>
        <w:t xml:space="preserve"> Este estudio </w:t>
      </w:r>
      <w:r w:rsidR="00AB5DB1">
        <w:rPr>
          <w:szCs w:val="18"/>
          <w:lang w:val="es-MX"/>
        </w:rPr>
        <w:t>puede</w:t>
      </w:r>
      <w:r w:rsidRPr="006416EF">
        <w:rPr>
          <w:szCs w:val="18"/>
          <w:lang w:val="es-MX"/>
        </w:rPr>
        <w:t xml:space="preserve"> verse en: </w:t>
      </w:r>
      <w:hyperlink r:id="rId7" w:history="1">
        <w:r w:rsidR="00C30C7F" w:rsidRPr="00AC60A2">
          <w:rPr>
            <w:rStyle w:val="Hyperlink"/>
            <w:kern w:val="18"/>
            <w:szCs w:val="24"/>
          </w:rPr>
          <w:t>http://www.fao.org/3/a-bq533e.pdf</w:t>
        </w:r>
      </w:hyperlink>
      <w:r w:rsidR="00C30C7F" w:rsidRPr="00AC60A2">
        <w:rPr>
          <w:kern w:val="18"/>
          <w:szCs w:val="18"/>
        </w:rPr>
        <w:t>.</w:t>
      </w:r>
    </w:p>
  </w:footnote>
  <w:footnote w:id="42">
    <w:p w:rsidR="005F12C4" w:rsidRPr="006416EF" w:rsidRDefault="005F12C4" w:rsidP="00E91B29">
      <w:pPr>
        <w:pStyle w:val="FootnoteText"/>
        <w:rPr>
          <w:szCs w:val="18"/>
          <w:lang w:val="es-MX"/>
        </w:rPr>
      </w:pPr>
      <w:r w:rsidRPr="004F6217">
        <w:rPr>
          <w:rStyle w:val="FootnoteReference"/>
          <w:szCs w:val="18"/>
        </w:rPr>
        <w:footnoteRef/>
      </w:r>
      <w:r w:rsidRPr="006416EF">
        <w:rPr>
          <w:szCs w:val="18"/>
          <w:lang w:val="es-MX"/>
        </w:rPr>
        <w:t xml:space="preserve"> </w:t>
      </w:r>
      <w:r w:rsidRPr="006416EF">
        <w:rPr>
          <w:snapToGrid w:val="0"/>
          <w:kern w:val="18"/>
          <w:szCs w:val="18"/>
          <w:lang w:val="es-MX"/>
        </w:rPr>
        <w:t xml:space="preserve">Resolución 2/2019 </w:t>
      </w:r>
      <w:r w:rsidR="00D63AE1">
        <w:rPr>
          <w:snapToGrid w:val="0"/>
          <w:kern w:val="18"/>
          <w:szCs w:val="18"/>
          <w:lang w:val="es-MX"/>
        </w:rPr>
        <w:t>disponible</w:t>
      </w:r>
      <w:r w:rsidRPr="006416EF">
        <w:rPr>
          <w:snapToGrid w:val="0"/>
          <w:kern w:val="18"/>
          <w:szCs w:val="18"/>
          <w:lang w:val="es-MX"/>
        </w:rPr>
        <w:t xml:space="preserve"> en: </w:t>
      </w:r>
      <w:hyperlink r:id="rId8" w:history="1">
        <w:r w:rsidR="00C30C7F" w:rsidRPr="00DE0746">
          <w:rPr>
            <w:rStyle w:val="Hyperlink"/>
            <w:snapToGrid w:val="0"/>
            <w:kern w:val="18"/>
            <w:szCs w:val="18"/>
          </w:rPr>
          <w:t>http://www.fao.org/3/nb779en/nb779en.pdf</w:t>
        </w:r>
      </w:hyperlink>
      <w:r w:rsidR="00C30C7F" w:rsidRPr="00DE0746">
        <w:rPr>
          <w:snapToGrid w:val="0"/>
          <w:kern w:val="18"/>
          <w:szCs w:val="18"/>
        </w:rPr>
        <w:t>.</w:t>
      </w:r>
    </w:p>
  </w:footnote>
  <w:footnote w:id="43">
    <w:p w:rsidR="005F12C4" w:rsidRPr="00D63AE1" w:rsidRDefault="005F12C4" w:rsidP="00E91B29">
      <w:pPr>
        <w:pStyle w:val="FootnoteText"/>
        <w:jc w:val="left"/>
        <w:rPr>
          <w:lang w:val="es-MX"/>
        </w:rPr>
      </w:pPr>
      <w:r w:rsidRPr="004F6217">
        <w:rPr>
          <w:rStyle w:val="FootnoteReference"/>
          <w:szCs w:val="18"/>
        </w:rPr>
        <w:footnoteRef/>
      </w:r>
      <w:r w:rsidRPr="00D63AE1">
        <w:rPr>
          <w:szCs w:val="18"/>
          <w:lang w:val="es-MX"/>
        </w:rPr>
        <w:t xml:space="preserve"> </w:t>
      </w:r>
      <w:r w:rsidR="00AB5DB1">
        <w:rPr>
          <w:szCs w:val="18"/>
          <w:lang w:val="es-MX"/>
        </w:rPr>
        <w:t xml:space="preserve">Versión adelantada sin editar </w:t>
      </w:r>
      <w:r w:rsidR="00D63AE1" w:rsidRPr="00D63AE1">
        <w:rPr>
          <w:szCs w:val="18"/>
          <w:lang w:val="es-MX"/>
        </w:rPr>
        <w:t>disponible</w:t>
      </w:r>
      <w:r w:rsidRPr="00D63AE1">
        <w:rPr>
          <w:szCs w:val="18"/>
          <w:lang w:val="es-MX"/>
        </w:rPr>
        <w:t xml:space="preserve"> en: </w:t>
      </w:r>
      <w:hyperlink r:id="rId9" w:history="1">
        <w:r w:rsidRPr="00D63AE1">
          <w:rPr>
            <w:rStyle w:val="Hyperlink"/>
            <w:szCs w:val="18"/>
            <w:lang w:val="es-MX"/>
          </w:rPr>
          <w:t>https://www.un.org/bbnj/sites/www.un.org.bbnj/files/revised_draft_text_a.conf_.232.2020.11_advance_unedited_version.pdf</w:t>
        </w:r>
      </w:hyperlink>
    </w:p>
  </w:footnote>
  <w:footnote w:id="44">
    <w:p w:rsidR="005F12C4" w:rsidRPr="006416EF" w:rsidRDefault="005F12C4" w:rsidP="00E91B29">
      <w:pPr>
        <w:pStyle w:val="FootnoteText"/>
        <w:jc w:val="left"/>
        <w:rPr>
          <w:szCs w:val="18"/>
          <w:lang w:val="es-MX"/>
        </w:rPr>
      </w:pPr>
      <w:r w:rsidRPr="004F6217">
        <w:rPr>
          <w:rStyle w:val="FootnoteReference"/>
          <w:szCs w:val="18"/>
        </w:rPr>
        <w:footnoteRef/>
      </w:r>
      <w:r w:rsidRPr="006416EF">
        <w:rPr>
          <w:szCs w:val="18"/>
          <w:lang w:val="es-MX"/>
        </w:rPr>
        <w:t xml:space="preserve"> Documento WHA72(12), </w:t>
      </w:r>
      <w:r w:rsidR="00D63AE1">
        <w:rPr>
          <w:szCs w:val="18"/>
          <w:lang w:val="es-MX"/>
        </w:rPr>
        <w:t>disponible</w:t>
      </w:r>
      <w:r w:rsidRPr="006416EF">
        <w:rPr>
          <w:szCs w:val="18"/>
          <w:lang w:val="es-MX"/>
        </w:rPr>
        <w:t xml:space="preserve"> en: </w:t>
      </w:r>
      <w:hyperlink r:id="rId10" w:history="1">
        <w:r w:rsidRPr="006416EF">
          <w:rPr>
            <w:rStyle w:val="Hyperlink"/>
            <w:szCs w:val="18"/>
            <w:lang w:val="es-MX"/>
          </w:rPr>
          <w:t>http://apps.who.int/gb/ebwha/pdf_files/WHA72/A72(12)-en.pdf</w:t>
        </w:r>
      </w:hyperlink>
      <w:r w:rsidRPr="006416EF">
        <w:rPr>
          <w:szCs w:val="18"/>
          <w:lang w:val="es-MX"/>
        </w:rPr>
        <w:t>.</w:t>
      </w:r>
    </w:p>
  </w:footnote>
  <w:footnote w:id="45">
    <w:p w:rsidR="00D65371" w:rsidRPr="006416EF" w:rsidRDefault="00D65371" w:rsidP="00D65371">
      <w:pPr>
        <w:pStyle w:val="FootnoteText"/>
        <w:rPr>
          <w:szCs w:val="18"/>
          <w:lang w:val="es-MX"/>
        </w:rPr>
      </w:pPr>
      <w:r w:rsidRPr="004F6217">
        <w:rPr>
          <w:rStyle w:val="FootnoteReference"/>
          <w:szCs w:val="18"/>
        </w:rPr>
        <w:footnoteRef/>
      </w:r>
      <w:r w:rsidRPr="006416EF">
        <w:rPr>
          <w:szCs w:val="18"/>
          <w:lang w:val="es-MX"/>
        </w:rPr>
        <w:t xml:space="preserve"> Documento WHA72(13), </w:t>
      </w:r>
      <w:r>
        <w:rPr>
          <w:szCs w:val="18"/>
          <w:lang w:val="es-MX"/>
        </w:rPr>
        <w:t>disponible</w:t>
      </w:r>
      <w:r w:rsidRPr="006416EF">
        <w:rPr>
          <w:szCs w:val="18"/>
          <w:lang w:val="es-MX"/>
        </w:rPr>
        <w:t xml:space="preserve"> en: </w:t>
      </w:r>
      <w:hyperlink r:id="rId11" w:history="1">
        <w:r w:rsidRPr="006416EF">
          <w:rPr>
            <w:rStyle w:val="Hyperlink"/>
            <w:szCs w:val="18"/>
            <w:lang w:val="es-MX"/>
          </w:rPr>
          <w:t>http://apps.who.int/gb/ebwha/pdf_files/WHA72/A72(13)-en.pdf</w:t>
        </w:r>
      </w:hyperlink>
      <w:r w:rsidRPr="006416EF">
        <w:rPr>
          <w:szCs w:val="18"/>
          <w:lang w:val="es-MX"/>
        </w:rPr>
        <w:t>.</w:t>
      </w:r>
    </w:p>
  </w:footnote>
  <w:footnote w:id="46">
    <w:p w:rsidR="005F12C4" w:rsidRPr="00D63AE1" w:rsidRDefault="005F12C4" w:rsidP="00E91B29">
      <w:pPr>
        <w:pStyle w:val="FootnoteText"/>
        <w:rPr>
          <w:lang w:val="es-MX"/>
        </w:rPr>
      </w:pPr>
      <w:r w:rsidRPr="004F6217">
        <w:rPr>
          <w:rStyle w:val="FootnoteReference"/>
          <w:szCs w:val="18"/>
        </w:rPr>
        <w:footnoteRef/>
      </w:r>
      <w:r w:rsidRPr="00D63AE1">
        <w:rPr>
          <w:szCs w:val="18"/>
          <w:lang w:val="es-MX"/>
        </w:rPr>
        <w:t xml:space="preserve"> </w:t>
      </w:r>
      <w:r w:rsidR="00D63AE1" w:rsidRPr="00D63AE1">
        <w:rPr>
          <w:szCs w:val="18"/>
          <w:lang w:val="es-MX"/>
        </w:rPr>
        <w:t>Notificación</w:t>
      </w:r>
      <w:r w:rsidRPr="00D63AE1">
        <w:rPr>
          <w:szCs w:val="18"/>
          <w:lang w:val="es-MX"/>
        </w:rPr>
        <w:t xml:space="preserve"> 2020-012 </w:t>
      </w:r>
      <w:r w:rsidR="00D63AE1" w:rsidRPr="00D63AE1">
        <w:rPr>
          <w:szCs w:val="18"/>
          <w:lang w:val="es-MX"/>
        </w:rPr>
        <w:t>expedida el</w:t>
      </w:r>
      <w:r w:rsidRPr="00D63AE1">
        <w:rPr>
          <w:szCs w:val="18"/>
          <w:lang w:val="es-MX"/>
        </w:rPr>
        <w:t xml:space="preserve"> 24 </w:t>
      </w:r>
      <w:r w:rsidR="00D63AE1">
        <w:rPr>
          <w:szCs w:val="18"/>
          <w:lang w:val="es-MX"/>
        </w:rPr>
        <w:t xml:space="preserve">de enero de </w:t>
      </w:r>
      <w:r w:rsidRPr="00D63AE1">
        <w:rPr>
          <w:szCs w:val="18"/>
          <w:lang w:val="es-MX"/>
        </w:rPr>
        <w:t xml:space="preserve">2020, </w:t>
      </w:r>
      <w:r w:rsidR="00D63AE1">
        <w:rPr>
          <w:szCs w:val="18"/>
          <w:lang w:val="es-MX"/>
        </w:rPr>
        <w:t>disponible</w:t>
      </w:r>
      <w:r w:rsidRPr="00D63AE1">
        <w:rPr>
          <w:szCs w:val="18"/>
          <w:lang w:val="es-MX"/>
        </w:rPr>
        <w:t xml:space="preserve"> en: </w:t>
      </w:r>
      <w:hyperlink r:id="rId12" w:history="1">
        <w:r w:rsidRPr="00D63AE1">
          <w:rPr>
            <w:rStyle w:val="Hyperlink"/>
            <w:szCs w:val="18"/>
            <w:lang w:val="es-MX"/>
          </w:rPr>
          <w:t>https://www.cbd.int/doc/notifications/2020/ntf-2020-012-abs-en.pdf</w:t>
        </w:r>
      </w:hyperlink>
      <w:r w:rsidRPr="00D63AE1">
        <w:rPr>
          <w:szCs w:val="18"/>
          <w:lang w:val="es-MX"/>
        </w:rPr>
        <w:t>.</w:t>
      </w:r>
    </w:p>
  </w:footnote>
  <w:footnote w:id="47">
    <w:p w:rsidR="005F12C4" w:rsidRPr="002967F3" w:rsidRDefault="005F12C4" w:rsidP="00E91B29">
      <w:pPr>
        <w:pStyle w:val="FootnoteText"/>
        <w:rPr>
          <w:szCs w:val="18"/>
          <w:lang w:val="es-MX"/>
        </w:rPr>
      </w:pPr>
      <w:r>
        <w:rPr>
          <w:rStyle w:val="FootnoteReference"/>
        </w:rPr>
        <w:footnoteRef/>
      </w:r>
      <w:r w:rsidRPr="002967F3">
        <w:rPr>
          <w:lang w:val="es-MX"/>
        </w:rPr>
        <w:t xml:space="preserve"> </w:t>
      </w:r>
      <w:r w:rsidRPr="002967F3">
        <w:rPr>
          <w:szCs w:val="18"/>
          <w:lang w:val="es-MX"/>
        </w:rPr>
        <w:t xml:space="preserve">Véase el texto de la resolución en: </w:t>
      </w:r>
      <w:hyperlink r:id="rId13" w:history="1">
        <w:r>
          <w:rPr>
            <w:rStyle w:val="Hyperlink"/>
            <w:szCs w:val="18"/>
            <w:lang w:val="es-MX"/>
          </w:rPr>
          <w:t>https://apps.who.int/gb/ebwha/pdf_files/WHA73/A73_R1-en.pdf</w:t>
        </w:r>
      </w:hyperlink>
    </w:p>
  </w:footnote>
  <w:footnote w:id="48">
    <w:p w:rsidR="005F12C4" w:rsidRPr="00AB5DB1" w:rsidRDefault="005F12C4" w:rsidP="00E91B29">
      <w:pPr>
        <w:pStyle w:val="FootnoteText"/>
        <w:rPr>
          <w:szCs w:val="18"/>
          <w:lang w:val="es-MX"/>
        </w:rPr>
      </w:pPr>
      <w:r w:rsidRPr="00C81712">
        <w:rPr>
          <w:rStyle w:val="FootnoteReference"/>
          <w:szCs w:val="18"/>
        </w:rPr>
        <w:footnoteRef/>
      </w:r>
      <w:r w:rsidRPr="00AB5DB1">
        <w:rPr>
          <w:szCs w:val="18"/>
          <w:lang w:val="es-MX"/>
        </w:rPr>
        <w:t xml:space="preserve"> </w:t>
      </w:r>
      <w:r w:rsidR="00AB5DB1">
        <w:rPr>
          <w:szCs w:val="18"/>
          <w:lang w:val="es-MX"/>
        </w:rPr>
        <w:t>Los p</w:t>
      </w:r>
      <w:r w:rsidR="00AB5DB1" w:rsidRPr="00AB5DB1">
        <w:rPr>
          <w:szCs w:val="18"/>
          <w:lang w:val="es-MX"/>
        </w:rPr>
        <w:t>royectos de</w:t>
      </w:r>
      <w:r w:rsidR="00AB5DB1">
        <w:rPr>
          <w:szCs w:val="18"/>
          <w:lang w:val="es-MX"/>
        </w:rPr>
        <w:t xml:space="preserve"> artículos se encuentran en los </w:t>
      </w:r>
      <w:r w:rsidRPr="00AB5DB1">
        <w:rPr>
          <w:szCs w:val="18"/>
          <w:lang w:val="es-MX"/>
        </w:rPr>
        <w:t>documentos WIPO/GRTKF/IC/40/6, WIPO/GRTKF/IC/40/18 y WIPO/GRTKF/IC/40/19 respectiv</w:t>
      </w:r>
      <w:r w:rsidR="00AB5DB1">
        <w:rPr>
          <w:szCs w:val="18"/>
          <w:lang w:val="es-MX"/>
        </w:rPr>
        <w:t>amente</w:t>
      </w:r>
      <w:r w:rsidRPr="00AB5DB1">
        <w:rPr>
          <w:szCs w:val="18"/>
          <w:lang w:val="es-MX"/>
        </w:rPr>
        <w:t xml:space="preserve">, </w:t>
      </w:r>
      <w:r w:rsidR="00D63AE1" w:rsidRPr="00AB5DB1">
        <w:rPr>
          <w:szCs w:val="18"/>
          <w:lang w:val="es-MX"/>
        </w:rPr>
        <w:t>disponible</w:t>
      </w:r>
      <w:r w:rsidRPr="00AB5DB1">
        <w:rPr>
          <w:szCs w:val="18"/>
          <w:lang w:val="es-MX"/>
        </w:rPr>
        <w:t xml:space="preserve"> en: </w:t>
      </w:r>
      <w:hyperlink r:id="rId14" w:history="1">
        <w:r w:rsidRPr="00AB5DB1">
          <w:rPr>
            <w:rStyle w:val="Hyperlink"/>
            <w:lang w:val="es-MX"/>
          </w:rPr>
          <w:t>https://www.wipo.int/meetings/en/details.jsp?meeting_id=50424</w:t>
        </w:r>
      </w:hyperlink>
      <w:r w:rsidRPr="00AB5DB1">
        <w:rPr>
          <w:lang w:val="es-MX"/>
        </w:rPr>
        <w:t>.</w:t>
      </w:r>
    </w:p>
  </w:footnote>
  <w:footnote w:id="49">
    <w:p w:rsidR="005F12C4" w:rsidRPr="00D63AE1" w:rsidRDefault="005F12C4" w:rsidP="00E91B29">
      <w:pPr>
        <w:pStyle w:val="FootnoteText"/>
        <w:jc w:val="left"/>
        <w:rPr>
          <w:szCs w:val="18"/>
          <w:lang w:val="fr-FR"/>
        </w:rPr>
      </w:pPr>
      <w:r w:rsidRPr="00D65E4A">
        <w:rPr>
          <w:rStyle w:val="FootnoteReference"/>
          <w:szCs w:val="18"/>
        </w:rPr>
        <w:footnoteRef/>
      </w:r>
      <w:r w:rsidRPr="00D63AE1">
        <w:rPr>
          <w:szCs w:val="18"/>
          <w:lang w:val="fr-FR"/>
        </w:rPr>
        <w:t xml:space="preserve"> WIPO/GRTKF/IC/40/CHAIR TEXT </w:t>
      </w:r>
      <w:r w:rsidR="00D63AE1" w:rsidRPr="00D63AE1">
        <w:rPr>
          <w:szCs w:val="18"/>
          <w:lang w:val="fr-FR"/>
        </w:rPr>
        <w:t>disponible</w:t>
      </w:r>
      <w:r w:rsidRPr="00D63AE1">
        <w:rPr>
          <w:szCs w:val="18"/>
          <w:lang w:val="fr-FR"/>
        </w:rPr>
        <w:t xml:space="preserve"> en: </w:t>
      </w:r>
      <w:hyperlink r:id="rId15" w:history="1">
        <w:r w:rsidRPr="00D63AE1">
          <w:rPr>
            <w:rStyle w:val="Hyperlink"/>
            <w:szCs w:val="18"/>
            <w:lang w:val="fr-FR"/>
          </w:rPr>
          <w:t>https://www.wipo.int/meetings/en/doc_details.jsp?doc_id=438199</w:t>
        </w:r>
      </w:hyperlink>
    </w:p>
  </w:footnote>
  <w:footnote w:id="50">
    <w:p w:rsidR="005F12C4" w:rsidRPr="00AB5DB1" w:rsidRDefault="005F12C4" w:rsidP="00E91B29">
      <w:pPr>
        <w:pStyle w:val="FootnoteText"/>
        <w:rPr>
          <w:lang w:val="es-MX"/>
        </w:rPr>
      </w:pPr>
      <w:r w:rsidRPr="00352487">
        <w:rPr>
          <w:rStyle w:val="FootnoteReference"/>
          <w:szCs w:val="18"/>
        </w:rPr>
        <w:footnoteRef/>
      </w:r>
      <w:r w:rsidRPr="00AB5DB1">
        <w:rPr>
          <w:szCs w:val="18"/>
          <w:lang w:val="es-MX"/>
        </w:rPr>
        <w:t xml:space="preserve"> </w:t>
      </w:r>
      <w:r w:rsidR="00AB5DB1" w:rsidRPr="00AB5DB1">
        <w:rPr>
          <w:szCs w:val="18"/>
          <w:lang w:val="es-MX"/>
        </w:rPr>
        <w:t>Informe sobre el Comité intergubernamental sobre propiedad intelectual, recursos genéticos, conocimientos tradicionales y folclore</w:t>
      </w:r>
      <w:r w:rsidRPr="00AB5DB1">
        <w:rPr>
          <w:szCs w:val="18"/>
          <w:lang w:val="es-MX"/>
        </w:rPr>
        <w:t xml:space="preserve"> (documento WO/GA/51/12) </w:t>
      </w:r>
      <w:r w:rsidR="00D63AE1" w:rsidRPr="00AB5DB1">
        <w:rPr>
          <w:szCs w:val="18"/>
          <w:lang w:val="es-MX"/>
        </w:rPr>
        <w:t>disponible</w:t>
      </w:r>
      <w:r w:rsidRPr="00AB5DB1">
        <w:rPr>
          <w:szCs w:val="18"/>
          <w:lang w:val="es-MX"/>
        </w:rPr>
        <w:t xml:space="preserve"> en: </w:t>
      </w:r>
      <w:hyperlink r:id="rId16" w:history="1">
        <w:r w:rsidRPr="00AB5DB1">
          <w:rPr>
            <w:rStyle w:val="Hyperlink"/>
            <w:szCs w:val="18"/>
            <w:lang w:val="es-MX"/>
          </w:rPr>
          <w:t>https://www.wipo.int/meetings/en/doc_details.jsp?doc_id=443934</w:t>
        </w:r>
      </w:hyperlink>
      <w:r w:rsidRPr="00AB5DB1">
        <w:rPr>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C4" w:rsidRPr="00497555" w:rsidRDefault="005F12C4" w:rsidP="00497555">
    <w:pPr>
      <w:pStyle w:val="Header"/>
      <w:tabs>
        <w:tab w:val="clear" w:pos="4320"/>
        <w:tab w:val="clear" w:pos="8640"/>
      </w:tabs>
      <w:jc w:val="left"/>
      <w:rPr>
        <w:noProof/>
        <w:lang w:bidi="th-TH"/>
      </w:rPr>
    </w:pPr>
    <w:r>
      <w:rPr>
        <w:lang w:bidi="th-TH"/>
      </w:rPr>
      <w:t>CBD/SBI/3/14</w:t>
    </w:r>
  </w:p>
  <w:p w:rsidR="005F12C4" w:rsidRPr="00497555" w:rsidRDefault="005F12C4" w:rsidP="00497555">
    <w:pPr>
      <w:pStyle w:val="Header"/>
      <w:tabs>
        <w:tab w:val="clear" w:pos="4320"/>
        <w:tab w:val="clear" w:pos="8640"/>
      </w:tabs>
      <w:jc w:val="left"/>
      <w:rPr>
        <w:noProof/>
        <w:lang w:bidi="th-TH"/>
      </w:rPr>
    </w:pPr>
    <w:r>
      <w:rPr>
        <w:lang w:bidi="th-TH"/>
      </w:rPr>
      <w:t xml:space="preserve">Página </w:t>
    </w:r>
    <w:r w:rsidRPr="00497555">
      <w:rPr>
        <w:lang w:bidi="th-TH"/>
      </w:rPr>
      <w:fldChar w:fldCharType="begin"/>
    </w:r>
    <w:r w:rsidRPr="00497555">
      <w:rPr>
        <w:lang w:bidi="th-TH"/>
      </w:rPr>
      <w:instrText xml:space="preserve"> PAGE   \* MERGEFORMAT </w:instrText>
    </w:r>
    <w:r w:rsidRPr="00497555">
      <w:rPr>
        <w:lang w:bidi="th-TH"/>
      </w:rPr>
      <w:fldChar w:fldCharType="separate"/>
    </w:r>
    <w:r w:rsidR="004F71A0">
      <w:rPr>
        <w:noProof/>
        <w:lang w:bidi="th-TH"/>
      </w:rPr>
      <w:t>14</w:t>
    </w:r>
    <w:r w:rsidRPr="00497555">
      <w:rPr>
        <w:lang w:bidi="th-TH"/>
      </w:rPr>
      <w:fldChar w:fldCharType="end"/>
    </w:r>
  </w:p>
  <w:p w:rsidR="005F12C4" w:rsidRPr="00497555" w:rsidRDefault="005F12C4" w:rsidP="00497555">
    <w:pPr>
      <w:pStyle w:val="Header"/>
      <w:tabs>
        <w:tab w:val="clear" w:pos="4320"/>
        <w:tab w:val="clear" w:pos="8640"/>
      </w:tabs>
      <w:jc w:val="left"/>
      <w:rPr>
        <w:noProof/>
        <w:lang w:bidi="th-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C4" w:rsidRPr="00BD0429" w:rsidRDefault="00E710B7" w:rsidP="002967F3">
    <w:pPr>
      <w:tabs>
        <w:tab w:val="left" w:pos="1809"/>
      </w:tabs>
      <w:jc w:val="right"/>
      <w:rPr>
        <w:lang w:val="fr-FR"/>
      </w:rPr>
    </w:pPr>
    <w:sdt>
      <w:sdtPr>
        <w:rPr>
          <w:lang w:val="fr-FR"/>
        </w:rPr>
        <w:alias w:val="Subject"/>
        <w:tag w:val=""/>
        <w:id w:val="-1885015078"/>
        <w:placeholder>
          <w:docPart w:val="BAFB5DC122F84E7B93768E6E7866E042"/>
        </w:placeholder>
        <w:dataBinding w:prefixMappings="xmlns:ns0='http://purl.org/dc/elements/1.1/' xmlns:ns1='http://schemas.openxmlformats.org/package/2006/metadata/core-properties' " w:xpath="/ns1:coreProperties[1]/ns0:subject[1]" w:storeItemID="{6C3C8BC8-F283-45AE-878A-BAB7291924A1}"/>
        <w:text/>
      </w:sdtPr>
      <w:sdtEndPr/>
      <w:sdtContent>
        <w:r w:rsidR="005F12C4">
          <w:rPr>
            <w:lang w:val="fr-FR"/>
          </w:rPr>
          <w:t>CBD/SBI/3/14</w:t>
        </w:r>
      </w:sdtContent>
    </w:sdt>
  </w:p>
  <w:p w:rsidR="005F12C4" w:rsidRDefault="005F12C4" w:rsidP="002967F3">
    <w:pPr>
      <w:tabs>
        <w:tab w:val="center" w:pos="4320"/>
        <w:tab w:val="right" w:pos="8640"/>
      </w:tabs>
      <w:jc w:val="right"/>
      <w:rPr>
        <w:noProof/>
      </w:rPr>
    </w:pPr>
    <w:proofErr w:type="spellStart"/>
    <w:r w:rsidRPr="00BD0429">
      <w:rPr>
        <w:lang w:val="fr-FR"/>
      </w:rPr>
      <w:t>P</w:t>
    </w:r>
    <w:r>
      <w:rPr>
        <w:lang w:val="fr-FR"/>
      </w:rPr>
      <w:t>ágina</w:t>
    </w:r>
    <w:proofErr w:type="spellEnd"/>
    <w:r w:rsidRPr="00BD0429">
      <w:rPr>
        <w:lang w:val="fr-FR"/>
      </w:rPr>
      <w:t xml:space="preserve"> </w:t>
    </w:r>
    <w:r w:rsidRPr="00BD0429">
      <w:fldChar w:fldCharType="begin"/>
    </w:r>
    <w:r w:rsidRPr="00BD0429">
      <w:rPr>
        <w:lang w:val="fr-FR"/>
      </w:rPr>
      <w:instrText xml:space="preserve"> PAGE   \* MERGEFORMAT </w:instrText>
    </w:r>
    <w:r w:rsidRPr="00BD0429">
      <w:fldChar w:fldCharType="separate"/>
    </w:r>
    <w:r w:rsidR="004F71A0" w:rsidRPr="004F71A0">
      <w:rPr>
        <w:noProof/>
        <w:lang w:val="en-GB"/>
      </w:rPr>
      <w:t>13</w:t>
    </w:r>
    <w:r w:rsidRPr="00BD0429">
      <w:rPr>
        <w:noProof/>
      </w:rPr>
      <w:fldChar w:fldCharType="end"/>
    </w:r>
  </w:p>
  <w:p w:rsidR="005F12C4" w:rsidRPr="002967F3" w:rsidRDefault="005F12C4" w:rsidP="00296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C4" w:rsidRDefault="005F1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0A29"/>
    <w:multiLevelType w:val="hybridMultilevel"/>
    <w:tmpl w:val="90C2F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15:restartNumberingAfterBreak="0">
    <w:nsid w:val="473032FA"/>
    <w:multiLevelType w:val="hybridMultilevel"/>
    <w:tmpl w:val="90C2F1FC"/>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3F327C"/>
    <w:multiLevelType w:val="hybridMultilevel"/>
    <w:tmpl w:val="E39EBFCC"/>
    <w:lvl w:ilvl="0" w:tplc="7FB85216">
      <w:start w:val="1"/>
      <w:numFmt w:val="decimal"/>
      <w:lvlText w:val="%1."/>
      <w:lvlJc w:val="left"/>
      <w:pPr>
        <w:tabs>
          <w:tab w:val="num" w:pos="720"/>
        </w:tabs>
        <w:ind w:left="720" w:hanging="360"/>
      </w:pPr>
      <w:rPr>
        <w:rFonts w:cs="Times New Roman"/>
        <w:b w:val="0"/>
      </w:rPr>
    </w:lvl>
    <w:lvl w:ilvl="1" w:tplc="929AB2E8">
      <w:numFmt w:val="none"/>
      <w:lvlText w:val=""/>
      <w:lvlJc w:val="left"/>
      <w:pPr>
        <w:tabs>
          <w:tab w:val="num" w:pos="360"/>
        </w:tabs>
      </w:pPr>
      <w:rPr>
        <w:rFonts w:cs="Times New Roman"/>
      </w:rPr>
    </w:lvl>
    <w:lvl w:ilvl="2" w:tplc="F11C8352">
      <w:numFmt w:val="none"/>
      <w:lvlText w:val=""/>
      <w:lvlJc w:val="left"/>
      <w:pPr>
        <w:tabs>
          <w:tab w:val="num" w:pos="360"/>
        </w:tabs>
      </w:pPr>
      <w:rPr>
        <w:rFonts w:cs="Times New Roman"/>
      </w:rPr>
    </w:lvl>
    <w:lvl w:ilvl="3" w:tplc="66DC63B6">
      <w:numFmt w:val="none"/>
      <w:lvlText w:val=""/>
      <w:lvlJc w:val="left"/>
      <w:pPr>
        <w:tabs>
          <w:tab w:val="num" w:pos="360"/>
        </w:tabs>
      </w:pPr>
      <w:rPr>
        <w:rFonts w:cs="Times New Roman"/>
      </w:rPr>
    </w:lvl>
    <w:lvl w:ilvl="4" w:tplc="A788A2C4">
      <w:numFmt w:val="none"/>
      <w:lvlText w:val=""/>
      <w:lvlJc w:val="left"/>
      <w:pPr>
        <w:tabs>
          <w:tab w:val="num" w:pos="360"/>
        </w:tabs>
      </w:pPr>
      <w:rPr>
        <w:rFonts w:cs="Times New Roman"/>
      </w:rPr>
    </w:lvl>
    <w:lvl w:ilvl="5" w:tplc="CA0A7470">
      <w:numFmt w:val="none"/>
      <w:lvlText w:val=""/>
      <w:lvlJc w:val="left"/>
      <w:pPr>
        <w:tabs>
          <w:tab w:val="num" w:pos="360"/>
        </w:tabs>
      </w:pPr>
      <w:rPr>
        <w:rFonts w:cs="Times New Roman"/>
      </w:rPr>
    </w:lvl>
    <w:lvl w:ilvl="6" w:tplc="4E5A2374">
      <w:numFmt w:val="none"/>
      <w:lvlText w:val=""/>
      <w:lvlJc w:val="left"/>
      <w:pPr>
        <w:tabs>
          <w:tab w:val="num" w:pos="360"/>
        </w:tabs>
      </w:pPr>
      <w:rPr>
        <w:rFonts w:cs="Times New Roman"/>
      </w:rPr>
    </w:lvl>
    <w:lvl w:ilvl="7" w:tplc="6B1C9520">
      <w:numFmt w:val="none"/>
      <w:lvlText w:val=""/>
      <w:lvlJc w:val="left"/>
      <w:pPr>
        <w:tabs>
          <w:tab w:val="num" w:pos="360"/>
        </w:tabs>
      </w:pPr>
      <w:rPr>
        <w:rFonts w:cs="Times New Roman"/>
      </w:rPr>
    </w:lvl>
    <w:lvl w:ilvl="8" w:tplc="94BC9040">
      <w:numFmt w:val="none"/>
      <w:lvlText w:val=""/>
      <w:lvlJc w:val="left"/>
      <w:pPr>
        <w:tabs>
          <w:tab w:val="num" w:pos="360"/>
        </w:tabs>
      </w:pPr>
      <w:rPr>
        <w:rFonts w:cs="Times New Roman"/>
      </w:rPr>
    </w:lvl>
  </w:abstractNum>
  <w:abstractNum w:abstractNumId="8"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744BE"/>
    <w:multiLevelType w:val="multilevel"/>
    <w:tmpl w:val="B87AC5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
  </w:num>
  <w:num w:numId="5">
    <w:abstractNumId w:val="5"/>
  </w:num>
  <w:num w:numId="6">
    <w:abstractNumId w:val="4"/>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01A60"/>
    <w:rsid w:val="0000795B"/>
    <w:rsid w:val="00010D1B"/>
    <w:rsid w:val="00020DA6"/>
    <w:rsid w:val="00034CFC"/>
    <w:rsid w:val="00040323"/>
    <w:rsid w:val="000454A5"/>
    <w:rsid w:val="00047CEA"/>
    <w:rsid w:val="00067A2C"/>
    <w:rsid w:val="0007061D"/>
    <w:rsid w:val="00072CF4"/>
    <w:rsid w:val="00077EC6"/>
    <w:rsid w:val="000B00E0"/>
    <w:rsid w:val="000D1027"/>
    <w:rsid w:val="000D5CB5"/>
    <w:rsid w:val="000E2595"/>
    <w:rsid w:val="000F468D"/>
    <w:rsid w:val="000F7FF0"/>
    <w:rsid w:val="001001C6"/>
    <w:rsid w:val="0010274C"/>
    <w:rsid w:val="00105310"/>
    <w:rsid w:val="0011412C"/>
    <w:rsid w:val="001176A6"/>
    <w:rsid w:val="00124339"/>
    <w:rsid w:val="001247DD"/>
    <w:rsid w:val="00127D65"/>
    <w:rsid w:val="00132AAD"/>
    <w:rsid w:val="0013644F"/>
    <w:rsid w:val="00140C01"/>
    <w:rsid w:val="0014246C"/>
    <w:rsid w:val="00150A14"/>
    <w:rsid w:val="00160906"/>
    <w:rsid w:val="001738F3"/>
    <w:rsid w:val="00176F5F"/>
    <w:rsid w:val="0018512B"/>
    <w:rsid w:val="00187CCD"/>
    <w:rsid w:val="0019353A"/>
    <w:rsid w:val="001A5057"/>
    <w:rsid w:val="001E0421"/>
    <w:rsid w:val="001E427B"/>
    <w:rsid w:val="001F7349"/>
    <w:rsid w:val="001F7AA9"/>
    <w:rsid w:val="00215614"/>
    <w:rsid w:val="00217A4B"/>
    <w:rsid w:val="002431AF"/>
    <w:rsid w:val="002442CE"/>
    <w:rsid w:val="0026259A"/>
    <w:rsid w:val="00264464"/>
    <w:rsid w:val="002967F3"/>
    <w:rsid w:val="002B31A8"/>
    <w:rsid w:val="002C19E5"/>
    <w:rsid w:val="002D7067"/>
    <w:rsid w:val="002F7A44"/>
    <w:rsid w:val="003050F3"/>
    <w:rsid w:val="00305A99"/>
    <w:rsid w:val="00314474"/>
    <w:rsid w:val="00316D91"/>
    <w:rsid w:val="00322655"/>
    <w:rsid w:val="00347B6F"/>
    <w:rsid w:val="00362A5D"/>
    <w:rsid w:val="00371B6E"/>
    <w:rsid w:val="00374A02"/>
    <w:rsid w:val="00374FE6"/>
    <w:rsid w:val="00384489"/>
    <w:rsid w:val="00384D09"/>
    <w:rsid w:val="00385FAA"/>
    <w:rsid w:val="00386CD0"/>
    <w:rsid w:val="003A76C8"/>
    <w:rsid w:val="003C1834"/>
    <w:rsid w:val="003C5F17"/>
    <w:rsid w:val="003D73C4"/>
    <w:rsid w:val="00400F3D"/>
    <w:rsid w:val="00403212"/>
    <w:rsid w:val="004036B1"/>
    <w:rsid w:val="00411584"/>
    <w:rsid w:val="00434AA7"/>
    <w:rsid w:val="00437F77"/>
    <w:rsid w:val="00443379"/>
    <w:rsid w:val="004501C0"/>
    <w:rsid w:val="00453B3E"/>
    <w:rsid w:val="00455282"/>
    <w:rsid w:val="004764FF"/>
    <w:rsid w:val="00497555"/>
    <w:rsid w:val="004A1246"/>
    <w:rsid w:val="004B2574"/>
    <w:rsid w:val="004B44DE"/>
    <w:rsid w:val="004C5E9B"/>
    <w:rsid w:val="004D2DBF"/>
    <w:rsid w:val="004E2293"/>
    <w:rsid w:val="004F71A0"/>
    <w:rsid w:val="00513A25"/>
    <w:rsid w:val="00532076"/>
    <w:rsid w:val="00535F90"/>
    <w:rsid w:val="005365CB"/>
    <w:rsid w:val="00536853"/>
    <w:rsid w:val="005425FB"/>
    <w:rsid w:val="00567EDB"/>
    <w:rsid w:val="005A1151"/>
    <w:rsid w:val="005D2533"/>
    <w:rsid w:val="005D4AD9"/>
    <w:rsid w:val="005E7D9D"/>
    <w:rsid w:val="005F12C4"/>
    <w:rsid w:val="005F162B"/>
    <w:rsid w:val="005F2FE8"/>
    <w:rsid w:val="005F31ED"/>
    <w:rsid w:val="00612ED6"/>
    <w:rsid w:val="006246E8"/>
    <w:rsid w:val="006416EF"/>
    <w:rsid w:val="0066496C"/>
    <w:rsid w:val="00671687"/>
    <w:rsid w:val="0068211C"/>
    <w:rsid w:val="006934EB"/>
    <w:rsid w:val="00696569"/>
    <w:rsid w:val="006A4DCE"/>
    <w:rsid w:val="006B723D"/>
    <w:rsid w:val="006C209A"/>
    <w:rsid w:val="006C5089"/>
    <w:rsid w:val="006D0155"/>
    <w:rsid w:val="006D3696"/>
    <w:rsid w:val="006E2992"/>
    <w:rsid w:val="00700A7D"/>
    <w:rsid w:val="00704D99"/>
    <w:rsid w:val="0070788C"/>
    <w:rsid w:val="0071601F"/>
    <w:rsid w:val="00725599"/>
    <w:rsid w:val="0073039E"/>
    <w:rsid w:val="00731B28"/>
    <w:rsid w:val="00747359"/>
    <w:rsid w:val="007815C9"/>
    <w:rsid w:val="00787166"/>
    <w:rsid w:val="00790A77"/>
    <w:rsid w:val="0079634D"/>
    <w:rsid w:val="007B1FAB"/>
    <w:rsid w:val="007C1EBB"/>
    <w:rsid w:val="007C4591"/>
    <w:rsid w:val="007D4DA0"/>
    <w:rsid w:val="00802780"/>
    <w:rsid w:val="008129BB"/>
    <w:rsid w:val="008253A9"/>
    <w:rsid w:val="008351AB"/>
    <w:rsid w:val="00837B40"/>
    <w:rsid w:val="00837EB2"/>
    <w:rsid w:val="008425FF"/>
    <w:rsid w:val="008459D4"/>
    <w:rsid w:val="00853A7F"/>
    <w:rsid w:val="00890C0C"/>
    <w:rsid w:val="008B57C8"/>
    <w:rsid w:val="008B6F9B"/>
    <w:rsid w:val="008C7543"/>
    <w:rsid w:val="008C7794"/>
    <w:rsid w:val="008E332F"/>
    <w:rsid w:val="008E52F4"/>
    <w:rsid w:val="009052C0"/>
    <w:rsid w:val="00906569"/>
    <w:rsid w:val="00911E55"/>
    <w:rsid w:val="00954CD6"/>
    <w:rsid w:val="009772E5"/>
    <w:rsid w:val="0098311D"/>
    <w:rsid w:val="009939A2"/>
    <w:rsid w:val="00996B1B"/>
    <w:rsid w:val="009A170B"/>
    <w:rsid w:val="009A2332"/>
    <w:rsid w:val="009A2C9F"/>
    <w:rsid w:val="009A6014"/>
    <w:rsid w:val="009C3828"/>
    <w:rsid w:val="009E11C4"/>
    <w:rsid w:val="00A13BD9"/>
    <w:rsid w:val="00A23040"/>
    <w:rsid w:val="00A24BD3"/>
    <w:rsid w:val="00A25050"/>
    <w:rsid w:val="00A31BDC"/>
    <w:rsid w:val="00A330C0"/>
    <w:rsid w:val="00A539F0"/>
    <w:rsid w:val="00A76C33"/>
    <w:rsid w:val="00A97EDF"/>
    <w:rsid w:val="00AA3F52"/>
    <w:rsid w:val="00AA497C"/>
    <w:rsid w:val="00AB5DB1"/>
    <w:rsid w:val="00AD12C3"/>
    <w:rsid w:val="00AD62D5"/>
    <w:rsid w:val="00AE0881"/>
    <w:rsid w:val="00AE2331"/>
    <w:rsid w:val="00AF5E91"/>
    <w:rsid w:val="00B001A6"/>
    <w:rsid w:val="00B1790B"/>
    <w:rsid w:val="00B2360E"/>
    <w:rsid w:val="00B23D27"/>
    <w:rsid w:val="00B300CE"/>
    <w:rsid w:val="00B336EE"/>
    <w:rsid w:val="00B47918"/>
    <w:rsid w:val="00B51FDF"/>
    <w:rsid w:val="00B6179C"/>
    <w:rsid w:val="00B64D1D"/>
    <w:rsid w:val="00B64DB6"/>
    <w:rsid w:val="00B66CFE"/>
    <w:rsid w:val="00B8222A"/>
    <w:rsid w:val="00B83189"/>
    <w:rsid w:val="00BB3DF4"/>
    <w:rsid w:val="00BB5509"/>
    <w:rsid w:val="00BF2245"/>
    <w:rsid w:val="00C0422A"/>
    <w:rsid w:val="00C1644C"/>
    <w:rsid w:val="00C21F7A"/>
    <w:rsid w:val="00C30C7F"/>
    <w:rsid w:val="00C41AEF"/>
    <w:rsid w:val="00C5220E"/>
    <w:rsid w:val="00C57FDF"/>
    <w:rsid w:val="00C80EEB"/>
    <w:rsid w:val="00C8206C"/>
    <w:rsid w:val="00C82E7D"/>
    <w:rsid w:val="00C945F7"/>
    <w:rsid w:val="00CB5393"/>
    <w:rsid w:val="00CD70AC"/>
    <w:rsid w:val="00CD7C18"/>
    <w:rsid w:val="00CE77E0"/>
    <w:rsid w:val="00D14062"/>
    <w:rsid w:val="00D14F0A"/>
    <w:rsid w:val="00D22AFC"/>
    <w:rsid w:val="00D43E1D"/>
    <w:rsid w:val="00D45D9E"/>
    <w:rsid w:val="00D53ED8"/>
    <w:rsid w:val="00D546F0"/>
    <w:rsid w:val="00D63AE1"/>
    <w:rsid w:val="00D65371"/>
    <w:rsid w:val="00D845BF"/>
    <w:rsid w:val="00DB1144"/>
    <w:rsid w:val="00DB3733"/>
    <w:rsid w:val="00DB3D6B"/>
    <w:rsid w:val="00DB798D"/>
    <w:rsid w:val="00DC764D"/>
    <w:rsid w:val="00DE4301"/>
    <w:rsid w:val="00DF3983"/>
    <w:rsid w:val="00DF5B79"/>
    <w:rsid w:val="00E04388"/>
    <w:rsid w:val="00E25181"/>
    <w:rsid w:val="00E407A6"/>
    <w:rsid w:val="00E647A5"/>
    <w:rsid w:val="00E710B7"/>
    <w:rsid w:val="00E816A5"/>
    <w:rsid w:val="00E872C7"/>
    <w:rsid w:val="00E91B29"/>
    <w:rsid w:val="00E97396"/>
    <w:rsid w:val="00EA017B"/>
    <w:rsid w:val="00EA0F6F"/>
    <w:rsid w:val="00EA5BBA"/>
    <w:rsid w:val="00EB4272"/>
    <w:rsid w:val="00EB45B3"/>
    <w:rsid w:val="00ED139B"/>
    <w:rsid w:val="00EE4142"/>
    <w:rsid w:val="00EE66A8"/>
    <w:rsid w:val="00EF133C"/>
    <w:rsid w:val="00EF2BC9"/>
    <w:rsid w:val="00F074D1"/>
    <w:rsid w:val="00F143E8"/>
    <w:rsid w:val="00F26CC6"/>
    <w:rsid w:val="00F26DAC"/>
    <w:rsid w:val="00F27A7E"/>
    <w:rsid w:val="00F42A52"/>
    <w:rsid w:val="00F44827"/>
    <w:rsid w:val="00F46C8E"/>
    <w:rsid w:val="00F47856"/>
    <w:rsid w:val="00F55D3C"/>
    <w:rsid w:val="00F909EE"/>
    <w:rsid w:val="00F93C7C"/>
    <w:rsid w:val="00F9608F"/>
    <w:rsid w:val="00F972F6"/>
    <w:rsid w:val="00FC435E"/>
    <w:rsid w:val="00FD3647"/>
    <w:rsid w:val="00FE0090"/>
    <w:rsid w:val="00FF03C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C5B99"/>
  <w14:defaultImageDpi w14:val="0"/>
  <w15:docId w15:val="{C3053856-4A42-4AF0-A0D6-35BE907A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Cs w:val="24"/>
      <w:lang w:val="es-ES" w:eastAsia="en-US"/>
    </w:rPr>
  </w:style>
  <w:style w:type="paragraph" w:styleId="Heading1">
    <w:name w:val="heading 1"/>
    <w:basedOn w:val="Normal"/>
    <w:next w:val="Normal"/>
    <w:link w:val="Heading1Char"/>
    <w:uiPriority w:val="99"/>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EA0F6F"/>
    <w:pPr>
      <w:keepNext/>
      <w:tabs>
        <w:tab w:val="left" w:pos="720"/>
      </w:tabs>
      <w:spacing w:before="120" w:after="120"/>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F6F"/>
    <w:rPr>
      <w:rFonts w:ascii="Cambria" w:hAnsi="Cambria"/>
      <w:b/>
      <w:color w:val="365F91"/>
      <w:sz w:val="28"/>
      <w:lang w:val="es-ES" w:eastAsia="x-none"/>
    </w:rPr>
  </w:style>
  <w:style w:type="character" w:customStyle="1" w:styleId="Heading2Char">
    <w:name w:val="Heading 2 Char"/>
    <w:basedOn w:val="DefaultParagraphFont"/>
    <w:link w:val="Heading2"/>
    <w:locked/>
    <w:rsid w:val="00EA0F6F"/>
    <w:rPr>
      <w:rFonts w:ascii="Times New Roman" w:eastAsia="MS Mincho" w:hAnsi="Times New Roman"/>
      <w:b/>
      <w:i/>
      <w:sz w:val="24"/>
      <w:lang w:val="es-ES" w:eastAsia="x-none"/>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671687"/>
    <w:rPr>
      <w:rFonts w:ascii="Times New Roman" w:hAnsi="Times New Roman"/>
      <w:sz w:val="24"/>
      <w:lang w:val="es-ES" w:eastAsia="x-none"/>
    </w:rPr>
  </w:style>
  <w:style w:type="paragraph" w:customStyle="1" w:styleId="meetingname">
    <w:name w:val="meeting name"/>
    <w:basedOn w:val="Normal"/>
    <w:uiPriority w:val="99"/>
    <w:rsid w:val="00671687"/>
    <w:pPr>
      <w:ind w:left="170" w:right="3119" w:hanging="170"/>
      <w:jc w:val="left"/>
    </w:pPr>
    <w:rPr>
      <w:rFonts w:eastAsia="Malgun Gothic" w:cs="Times New Roman"/>
      <w:caps/>
    </w:rPr>
  </w:style>
  <w:style w:type="paragraph" w:styleId="BalloonText">
    <w:name w:val="Balloon Text"/>
    <w:basedOn w:val="Normal"/>
    <w:link w:val="BalloonTextChar"/>
    <w:uiPriority w:val="99"/>
    <w:semiHidden/>
    <w:rsid w:val="006716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687"/>
    <w:rPr>
      <w:rFonts w:ascii="Tahoma" w:eastAsia="MS Mincho" w:hAnsi="Tahoma"/>
      <w:sz w:val="16"/>
      <w:lang w:val="es-ES" w:eastAsia="x-none"/>
    </w:rPr>
  </w:style>
  <w:style w:type="paragraph" w:styleId="BodyText2">
    <w:name w:val="Body Text 2"/>
    <w:basedOn w:val="Normal"/>
    <w:link w:val="BodyText2Char"/>
    <w:uiPriority w:val="99"/>
    <w:semiHidden/>
    <w:rsid w:val="00EB4272"/>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semiHidden/>
    <w:locked/>
    <w:rsid w:val="00EB4272"/>
    <w:rPr>
      <w:rFonts w:ascii="Times New Roman" w:hAnsi="Times New Roman"/>
      <w:sz w:val="24"/>
      <w:lang w:val="es-ES" w:eastAsia="x-none"/>
    </w:rPr>
  </w:style>
  <w:style w:type="paragraph" w:customStyle="1" w:styleId="Para1">
    <w:name w:val="Para1"/>
    <w:basedOn w:val="Normal"/>
    <w:link w:val="Para1Char"/>
    <w:uiPriority w:val="99"/>
    <w:rsid w:val="000F468D"/>
    <w:pPr>
      <w:spacing w:after="120"/>
    </w:pPr>
    <w:rPr>
      <w:szCs w:val="18"/>
    </w:rPr>
  </w:style>
  <w:style w:type="paragraph" w:styleId="Footer">
    <w:name w:val="footer"/>
    <w:basedOn w:val="Normal"/>
    <w:link w:val="FooterChar"/>
    <w:uiPriority w:val="99"/>
    <w:rsid w:val="00FC435E"/>
    <w:pPr>
      <w:tabs>
        <w:tab w:val="center" w:pos="4680"/>
        <w:tab w:val="right" w:pos="9360"/>
      </w:tabs>
    </w:pPr>
  </w:style>
  <w:style w:type="character" w:customStyle="1" w:styleId="FooterChar">
    <w:name w:val="Footer Char"/>
    <w:basedOn w:val="DefaultParagraphFont"/>
    <w:link w:val="Footer"/>
    <w:uiPriority w:val="99"/>
    <w:locked/>
    <w:rsid w:val="00FC435E"/>
    <w:rPr>
      <w:rFonts w:ascii="Times New Roman" w:eastAsia="MS Mincho" w:hAnsi="Times New Roman"/>
      <w:sz w:val="24"/>
      <w:lang w:val="es-ES"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6A4DCE"/>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locked/>
    <w:rsid w:val="006A4DCE"/>
    <w:rPr>
      <w:rFonts w:ascii="Times New Roman" w:eastAsia="MS Mincho" w:hAnsi="Times New Roman"/>
      <w:lang w:val="es-ES"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6A4DCE"/>
    <w:rPr>
      <w:rFonts w:cs="Times New Roman"/>
      <w:vertAlign w:val="superscript"/>
    </w:rPr>
  </w:style>
  <w:style w:type="character" w:styleId="CommentReference">
    <w:name w:val="annotation reference"/>
    <w:basedOn w:val="DefaultParagraphFont"/>
    <w:uiPriority w:val="99"/>
    <w:semiHidden/>
    <w:rsid w:val="004E2293"/>
    <w:rPr>
      <w:rFonts w:cs="Times New Roman"/>
      <w:sz w:val="16"/>
    </w:rPr>
  </w:style>
  <w:style w:type="paragraph" w:styleId="CommentText">
    <w:name w:val="annotation text"/>
    <w:basedOn w:val="Normal"/>
    <w:link w:val="CommentTextChar"/>
    <w:uiPriority w:val="99"/>
    <w:semiHidden/>
    <w:rsid w:val="004E2293"/>
    <w:rPr>
      <w:sz w:val="20"/>
      <w:szCs w:val="20"/>
    </w:rPr>
  </w:style>
  <w:style w:type="character" w:customStyle="1" w:styleId="CommentTextChar">
    <w:name w:val="Comment Text Char"/>
    <w:basedOn w:val="DefaultParagraphFont"/>
    <w:link w:val="CommentText"/>
    <w:uiPriority w:val="99"/>
    <w:semiHidden/>
    <w:locked/>
    <w:rsid w:val="004E2293"/>
    <w:rPr>
      <w:rFonts w:ascii="Times New Roman" w:eastAsia="MS Mincho" w:hAnsi="Times New Roman"/>
      <w:lang w:val="es-ES" w:eastAsia="x-none"/>
    </w:rPr>
  </w:style>
  <w:style w:type="paragraph" w:styleId="CommentSubject">
    <w:name w:val="annotation subject"/>
    <w:basedOn w:val="CommentText"/>
    <w:next w:val="CommentText"/>
    <w:link w:val="CommentSubjectChar"/>
    <w:uiPriority w:val="99"/>
    <w:semiHidden/>
    <w:rsid w:val="004E2293"/>
    <w:rPr>
      <w:b/>
      <w:bCs/>
    </w:rPr>
  </w:style>
  <w:style w:type="character" w:customStyle="1" w:styleId="CommentSubjectChar">
    <w:name w:val="Comment Subject Char"/>
    <w:basedOn w:val="CommentTextChar"/>
    <w:link w:val="CommentSubject"/>
    <w:uiPriority w:val="99"/>
    <w:semiHidden/>
    <w:locked/>
    <w:rsid w:val="004E2293"/>
    <w:rPr>
      <w:rFonts w:ascii="Times New Roman" w:eastAsia="MS Mincho" w:hAnsi="Times New Roman"/>
      <w:b/>
      <w:lang w:val="es-ES" w:eastAsia="x-none"/>
    </w:rPr>
  </w:style>
  <w:style w:type="paragraph" w:customStyle="1" w:styleId="bodytextnoindent">
    <w:name w:val="body text (no indent)"/>
    <w:basedOn w:val="Normal"/>
    <w:uiPriority w:val="99"/>
    <w:rsid w:val="004E2293"/>
    <w:pPr>
      <w:spacing w:before="140" w:after="140"/>
      <w:ind w:left="720" w:hanging="720"/>
    </w:pPr>
    <w:rPr>
      <w:rFonts w:eastAsia="Times New Roman" w:cs="Times New Roman"/>
    </w:rPr>
  </w:style>
  <w:style w:type="paragraph" w:customStyle="1" w:styleId="Heading1longmultiline">
    <w:name w:val="Heading 1 (long multiline)"/>
    <w:basedOn w:val="Heading1"/>
    <w:rsid w:val="00E91B29"/>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character" w:styleId="Hyperlink">
    <w:name w:val="Hyperlink"/>
    <w:rsid w:val="00E91B29"/>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91B29"/>
    <w:pPr>
      <w:spacing w:after="160" w:line="240" w:lineRule="exact"/>
      <w:jc w:val="left"/>
    </w:pPr>
    <w:rPr>
      <w:rFonts w:ascii="Calibri" w:eastAsia="Calibri" w:hAnsi="Calibri" w:cs="Times New Roman"/>
      <w:szCs w:val="22"/>
      <w:vertAlign w:val="superscript"/>
      <w:lang w:val="es-UY" w:eastAsia="es-UY"/>
    </w:rPr>
  </w:style>
  <w:style w:type="character" w:customStyle="1" w:styleId="Para1Char">
    <w:name w:val="Para1 Char"/>
    <w:link w:val="Para1"/>
    <w:uiPriority w:val="99"/>
    <w:locked/>
    <w:rsid w:val="00E91B29"/>
    <w:rPr>
      <w:rFonts w:ascii="Times New Roman" w:eastAsia="MS Mincho" w:hAnsi="Times New Roman" w:cs="Angsana New"/>
      <w:szCs w:val="18"/>
      <w:lang w:val="es-ES" w:eastAsia="en-US"/>
    </w:rPr>
  </w:style>
  <w:style w:type="character" w:styleId="FollowedHyperlink">
    <w:name w:val="FollowedHyperlink"/>
    <w:basedOn w:val="DefaultParagraphFont"/>
    <w:uiPriority w:val="99"/>
    <w:semiHidden/>
    <w:unhideWhenUsed/>
    <w:rsid w:val="006E2992"/>
    <w:rPr>
      <w:color w:val="800080" w:themeColor="followedHyperlink"/>
      <w:u w:val="single"/>
    </w:rPr>
  </w:style>
  <w:style w:type="character" w:styleId="PlaceholderText">
    <w:name w:val="Placeholder Text"/>
    <w:basedOn w:val="DefaultParagraphFont"/>
    <w:uiPriority w:val="99"/>
    <w:rsid w:val="002967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3/cop-13-dec-01-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bd.int/doc/decisions/np-mop-03/np-mop-03-dec-14-es.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nb779en/nb779en.pdf" TargetMode="External"/><Relationship Id="rId13" Type="http://schemas.openxmlformats.org/officeDocument/2006/relationships/hyperlink" Target="https://apps.who.int/gb/ebwha/pdf_files/WHA73/A73_R1-en.pdf" TargetMode="External"/><Relationship Id="rId3" Type="http://schemas.openxmlformats.org/officeDocument/2006/relationships/hyperlink" Target="https://www.cbd.int/abs/specialized-instruments/2019-2020/" TargetMode="External"/><Relationship Id="rId7" Type="http://schemas.openxmlformats.org/officeDocument/2006/relationships/hyperlink" Target="http://www.fao.org/3/a-bq533e.pdf" TargetMode="External"/><Relationship Id="rId12" Type="http://schemas.openxmlformats.org/officeDocument/2006/relationships/hyperlink" Target="https://www.cbd.int/doc/notifications/2020/ntf-2020-012-abs-en.pdf" TargetMode="External"/><Relationship Id="rId2" Type="http://schemas.openxmlformats.org/officeDocument/2006/relationships/hyperlink" Target="https://www.cbd.int/doc/notifications/2019/ntf-2019-025-abs-en.pdf" TargetMode="External"/><Relationship Id="rId16" Type="http://schemas.openxmlformats.org/officeDocument/2006/relationships/hyperlink" Target="https://www.wipo.int/meetings/en/doc_details.jsp?doc_id=443934" TargetMode="External"/><Relationship Id="rId1" Type="http://schemas.openxmlformats.org/officeDocument/2006/relationships/hyperlink" Target="https://www.google.com/url?client=internal-element-cse&amp;cx=002693159031035132009:etadhtewsy4&amp;q=https://www.cbd.int/doc/c/9376/a644/1bed20a1837af8e3d1edc5f9/sbi-02-inf-17-en.pdf&amp;sa=U&amp;ved=2ahUKEwjtgN-L14vqAhXomXIEHes1COkQFjAAegQIARAC&amp;usg=AOvVaw2x-qCIOeT46szvzoUvhRyc" TargetMode="External"/><Relationship Id="rId6" Type="http://schemas.openxmlformats.org/officeDocument/2006/relationships/hyperlink" Target="http://www.fao.org/3/i0510e/i0510e.pdf" TargetMode="External"/><Relationship Id="rId11" Type="http://schemas.openxmlformats.org/officeDocument/2006/relationships/hyperlink" Target="http://apps.who.int/gb/ebwha/pdf_files/WHA72/A72(13)-en.pdf" TargetMode="External"/><Relationship Id="rId5" Type="http://schemas.openxmlformats.org/officeDocument/2006/relationships/hyperlink" Target="http://www.fao.org/3/ca5088en/CA5088EN.pdf" TargetMode="External"/><Relationship Id="rId15" Type="http://schemas.openxmlformats.org/officeDocument/2006/relationships/hyperlink" Target="https://www.wipo.int/meetings/en/doc_details.jsp?doc_id=438199" TargetMode="External"/><Relationship Id="rId10" Type="http://schemas.openxmlformats.org/officeDocument/2006/relationships/hyperlink" Target="http://apps.who.int/gb/ebwha/pdf_files/WHA72/A72(12)-en.pdf" TargetMode="External"/><Relationship Id="rId4" Type="http://schemas.openxmlformats.org/officeDocument/2006/relationships/hyperlink" Target="http://www.fao.org/3/a-i5033e.pdf" TargetMode="External"/><Relationship Id="rId9" Type="http://schemas.openxmlformats.org/officeDocument/2006/relationships/hyperlink" Target="https://www.un.org/bbnj/sites/www.un.org.bbnj/files/revised_draft_text_a.conf_.232.2020.11_advance_unedited_version.pdf" TargetMode="External"/><Relationship Id="rId14" Type="http://schemas.openxmlformats.org/officeDocument/2006/relationships/hyperlink" Target="https://www.wipo.int/meetings/en/details.jsp?meeting_id=504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29F61DC9644A4B25252BC8CDB48A0"/>
        <w:category>
          <w:name w:val="General"/>
          <w:gallery w:val="placeholder"/>
        </w:category>
        <w:types>
          <w:type w:val="bbPlcHdr"/>
        </w:types>
        <w:behaviors>
          <w:behavior w:val="content"/>
        </w:behaviors>
        <w:guid w:val="{0A742070-F224-4C33-BAC2-9A463114D4C7}"/>
      </w:docPartPr>
      <w:docPartBody>
        <w:p w:rsidR="002034FC" w:rsidRDefault="002034FC" w:rsidP="002034FC">
          <w:pPr>
            <w:pStyle w:val="D8329F61DC9644A4B25252BC8CDB48A0"/>
          </w:pPr>
          <w:r w:rsidRPr="0042236B">
            <w:rPr>
              <w:rStyle w:val="PlaceholderText"/>
            </w:rPr>
            <w:t>[Title]</w:t>
          </w:r>
        </w:p>
      </w:docPartBody>
    </w:docPart>
    <w:docPart>
      <w:docPartPr>
        <w:name w:val="BAFB5DC122F84E7B93768E6E7866E042"/>
        <w:category>
          <w:name w:val="General"/>
          <w:gallery w:val="placeholder"/>
        </w:category>
        <w:types>
          <w:type w:val="bbPlcHdr"/>
        </w:types>
        <w:behaviors>
          <w:behavior w:val="content"/>
        </w:behaviors>
        <w:guid w:val="{2A7A46C6-2B4D-470B-886F-679CE8F7A6AE}"/>
      </w:docPartPr>
      <w:docPartBody>
        <w:p w:rsidR="00CB676B" w:rsidRDefault="002034FC" w:rsidP="002034FC">
          <w:pPr>
            <w:pStyle w:val="BAFB5DC122F84E7B93768E6E7866E042"/>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FC"/>
    <w:rsid w:val="002034FC"/>
    <w:rsid w:val="00595982"/>
    <w:rsid w:val="006D5E60"/>
    <w:rsid w:val="00846724"/>
    <w:rsid w:val="00CB676B"/>
    <w:rsid w:val="00E070EF"/>
    <w:rsid w:val="00EF6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34FC"/>
    <w:rPr>
      <w:color w:val="808080"/>
    </w:rPr>
  </w:style>
  <w:style w:type="paragraph" w:customStyle="1" w:styleId="8D604BA057254810B6BE36C5C7DB8D26">
    <w:name w:val="8D604BA057254810B6BE36C5C7DB8D26"/>
    <w:rsid w:val="002034FC"/>
  </w:style>
  <w:style w:type="paragraph" w:customStyle="1" w:styleId="D8329F61DC9644A4B25252BC8CDB48A0">
    <w:name w:val="D8329F61DC9644A4B25252BC8CDB48A0"/>
    <w:rsid w:val="002034FC"/>
  </w:style>
  <w:style w:type="paragraph" w:customStyle="1" w:styleId="BAFB5DC122F84E7B93768E6E7866E042">
    <w:name w:val="BAFB5DC122F84E7B93768E6E7866E042"/>
    <w:rsid w:val="00203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7311</Words>
  <Characters>40737</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Instrumentos internacionales especializados de acceso y participación en los beneficios en el contexto del Artículo 4, párrafo 4, del Protocolo de Nagoya</vt:lpstr>
      <vt:lpstr>&lt;Instrumentos internacionales especializados de acceso y participación en los be</vt:lpstr>
      <vt:lpstr>INTRODUCCIÓN</vt:lpstr>
      <vt:lpstr>CRITERIOS IDENTIFICADOS Y ESCENARIOS DESARROLLADOS EN EL ESTUDIO</vt:lpstr>
      <vt:lpstr>INFORMACIÓN SOBRE LA MANERA EN QUE SE TRATAN LOS INSTRUMENTOS INTERNACIONALES ES</vt:lpstr>
      <vt:lpstr>SÍNTESIS DE PUNTOS DE VISTA SOBRE LOS POSIBLES CRITERIOS INCLUIDOS EN EL ESTUDIO</vt:lpstr>
      <vt:lpstr>    Puntos de vista generales sobre los criterios y su uso</vt:lpstr>
      <vt:lpstr>    Puntos de vista sobre el posible proceso para reconocer instrumentos internacion</vt:lpstr>
      <vt:lpstr>    Puntos de vista sobre los criterios mismos</vt:lpstr>
      <vt:lpstr>DESARROLLOS CLAVE EN FOROS INTERNACIONALES PERTINENTES </vt:lpstr>
      <vt:lpstr>    Comisión de Recursos Genéticos para la Alimentación y la Agricultura</vt:lpstr>
      <vt:lpstr>    El Tratado Internacional sobre los Recursos Fitogenéticos para la Alimentación y</vt:lpstr>
      <vt:lpstr>    Convención de las Naciones Unidas sobre el Derecho del Mar</vt:lpstr>
      <vt:lpstr>    Organización Mundial de la Salud</vt:lpstr>
      <vt:lpstr>    Organización Mundial de la Propiedad Intelectual</vt:lpstr>
      <vt:lpstr>ELEMENTOS SUGERIDOS DE UN PROYECTO DE RECOMENDACIÓN</vt:lpstr>
      <vt:lpstr>CRITERIOS INDICATIVOS PARA LOS INSTRUMENTOS INTERNACIONALES ESPECIALIZADOS DE AC</vt:lpstr>
    </vt:vector>
  </TitlesOfParts>
  <Company>SCBD</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Instrumentos internacionales especializados de acceso y participación en los beneficios en el contexto del Artículo 4, párrafo 4, del Protocolo de Nagoya</dc:title>
  <dc:subject>CBD/SBI/3/14</dc:subject>
  <dc:creator>SCBD</dc:creator>
  <cp:keywords>Subsidiary Body on Implementation, third meeting, Montreal, Canada, 25-30 May 2020, Convention on Biological Diversity</cp:keywords>
  <dc:description/>
  <cp:lastModifiedBy>Xue He Yan</cp:lastModifiedBy>
  <cp:revision>4</cp:revision>
  <cp:lastPrinted>2019-03-05T19:56:00Z</cp:lastPrinted>
  <dcterms:created xsi:type="dcterms:W3CDTF">2020-08-17T19:58:00Z</dcterms:created>
  <dcterms:modified xsi:type="dcterms:W3CDTF">2020-08-17T20:40:00Z</dcterms:modified>
</cp:coreProperties>
</file>