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745"/>
        <w:gridCol w:w="4486"/>
      </w:tblGrid>
      <w:tr w:rsidR="00C9161D" w:rsidRPr="00070CA7" w14:paraId="61B2AC1A" w14:textId="77777777" w:rsidTr="004A3CE3">
        <w:trPr>
          <w:trHeight w:val="709"/>
        </w:trPr>
        <w:tc>
          <w:tcPr>
            <w:tcW w:w="976" w:type="dxa"/>
            <w:tcBorders>
              <w:bottom w:val="single" w:sz="12" w:space="0" w:color="auto"/>
            </w:tcBorders>
          </w:tcPr>
          <w:p w14:paraId="3FC2311A" w14:textId="77777777" w:rsidR="00C9161D" w:rsidRPr="00070CA7" w:rsidRDefault="00C9161D" w:rsidP="00190CAF">
            <w:pPr>
              <w:kinsoku w:val="0"/>
              <w:overflowPunct w:val="0"/>
              <w:autoSpaceDE w:val="0"/>
              <w:autoSpaceDN w:val="0"/>
              <w:rPr>
                <w:kern w:val="22"/>
              </w:rPr>
            </w:pPr>
            <w:bookmarkStart w:id="0" w:name="_Hlk505247837"/>
            <w:r w:rsidRPr="00070CA7">
              <w:rPr>
                <w:noProof/>
                <w:kern w:val="22"/>
                <w:lang w:val="en-US"/>
              </w:rPr>
              <w:drawing>
                <wp:inline distT="0" distB="0" distL="0" distR="0" wp14:anchorId="622A9E8F" wp14:editId="1811C23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745" w:type="dxa"/>
            <w:tcBorders>
              <w:bottom w:val="single" w:sz="12" w:space="0" w:color="auto"/>
            </w:tcBorders>
          </w:tcPr>
          <w:p w14:paraId="17E296A1" w14:textId="77777777" w:rsidR="00C9161D" w:rsidRPr="00070CA7" w:rsidRDefault="00C9161D" w:rsidP="00190CAF">
            <w:pPr>
              <w:kinsoku w:val="0"/>
              <w:overflowPunct w:val="0"/>
              <w:autoSpaceDE w:val="0"/>
              <w:autoSpaceDN w:val="0"/>
              <w:rPr>
                <w:kern w:val="22"/>
              </w:rPr>
            </w:pPr>
            <w:r w:rsidRPr="00070CA7">
              <w:rPr>
                <w:noProof/>
                <w:kern w:val="22"/>
                <w:lang w:val="en-US"/>
              </w:rPr>
              <w:drawing>
                <wp:inline distT="0" distB="0" distL="0" distR="0" wp14:anchorId="7C55ACBF" wp14:editId="7DD10E9F">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486" w:type="dxa"/>
            <w:tcBorders>
              <w:bottom w:val="single" w:sz="12" w:space="0" w:color="auto"/>
            </w:tcBorders>
          </w:tcPr>
          <w:p w14:paraId="6AB94C58" w14:textId="77777777" w:rsidR="00C9161D" w:rsidRPr="00070CA7" w:rsidRDefault="00C9161D" w:rsidP="00190CAF">
            <w:pPr>
              <w:kinsoku w:val="0"/>
              <w:overflowPunct w:val="0"/>
              <w:autoSpaceDE w:val="0"/>
              <w:autoSpaceDN w:val="0"/>
              <w:jc w:val="right"/>
              <w:rPr>
                <w:rFonts w:ascii="Arial" w:hAnsi="Arial" w:cs="Arial"/>
                <w:b/>
                <w:kern w:val="22"/>
                <w:sz w:val="32"/>
                <w:szCs w:val="32"/>
              </w:rPr>
            </w:pPr>
            <w:r w:rsidRPr="00070CA7">
              <w:rPr>
                <w:rFonts w:ascii="Arial" w:hAnsi="Arial" w:cs="Arial"/>
                <w:b/>
                <w:kern w:val="22"/>
                <w:sz w:val="32"/>
                <w:szCs w:val="32"/>
              </w:rPr>
              <w:t>CBD</w:t>
            </w:r>
          </w:p>
        </w:tc>
      </w:tr>
      <w:bookmarkEnd w:id="0"/>
      <w:tr w:rsidR="00C9161D" w:rsidRPr="00070CA7" w14:paraId="584FACFE" w14:textId="77777777" w:rsidTr="004A3CE3">
        <w:tc>
          <w:tcPr>
            <w:tcW w:w="5721" w:type="dxa"/>
            <w:gridSpan w:val="2"/>
            <w:tcBorders>
              <w:top w:val="single" w:sz="12" w:space="0" w:color="auto"/>
              <w:bottom w:val="single" w:sz="36" w:space="0" w:color="auto"/>
            </w:tcBorders>
            <w:vAlign w:val="center"/>
          </w:tcPr>
          <w:p w14:paraId="1E813D03" w14:textId="77777777" w:rsidR="00C9161D" w:rsidRPr="00070CA7" w:rsidRDefault="00C9161D" w:rsidP="00190CAF">
            <w:pPr>
              <w:kinsoku w:val="0"/>
              <w:overflowPunct w:val="0"/>
              <w:autoSpaceDE w:val="0"/>
              <w:autoSpaceDN w:val="0"/>
              <w:rPr>
                <w:kern w:val="22"/>
              </w:rPr>
            </w:pPr>
            <w:r w:rsidRPr="00070CA7">
              <w:rPr>
                <w:noProof/>
                <w:kern w:val="22"/>
                <w:lang w:val="en-US"/>
              </w:rPr>
              <w:drawing>
                <wp:inline distT="0" distB="0" distL="0" distR="0" wp14:anchorId="582AF80D" wp14:editId="037AE22B">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486" w:type="dxa"/>
            <w:tcBorders>
              <w:top w:val="single" w:sz="12" w:space="0" w:color="auto"/>
              <w:bottom w:val="single" w:sz="36" w:space="0" w:color="auto"/>
            </w:tcBorders>
          </w:tcPr>
          <w:p w14:paraId="5F0E4E37" w14:textId="77777777" w:rsidR="00C9161D" w:rsidRPr="00070CA7" w:rsidRDefault="00C9161D" w:rsidP="00574437">
            <w:pPr>
              <w:kinsoku w:val="0"/>
              <w:overflowPunct w:val="0"/>
              <w:autoSpaceDE w:val="0"/>
              <w:autoSpaceDN w:val="0"/>
              <w:ind w:left="1213"/>
              <w:jc w:val="left"/>
              <w:rPr>
                <w:kern w:val="22"/>
                <w:szCs w:val="22"/>
              </w:rPr>
            </w:pPr>
            <w:r w:rsidRPr="00070CA7">
              <w:rPr>
                <w:kern w:val="22"/>
                <w:szCs w:val="22"/>
              </w:rPr>
              <w:t>Distr.</w:t>
            </w:r>
          </w:p>
          <w:p w14:paraId="42DB81AD" w14:textId="77777777" w:rsidR="00C9161D" w:rsidRPr="00070CA7" w:rsidRDefault="00E5434B" w:rsidP="00574437">
            <w:pPr>
              <w:kinsoku w:val="0"/>
              <w:overflowPunct w:val="0"/>
              <w:autoSpaceDE w:val="0"/>
              <w:autoSpaceDN w:val="0"/>
              <w:ind w:left="1213"/>
              <w:jc w:val="left"/>
              <w:rPr>
                <w:kern w:val="22"/>
                <w:szCs w:val="22"/>
              </w:rPr>
            </w:pPr>
            <w:sdt>
              <w:sdtPr>
                <w:rPr>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9E5ACA" w:rsidRPr="00070CA7">
                  <w:rPr>
                    <w:kern w:val="22"/>
                    <w:szCs w:val="22"/>
                    <w:lang w:val="en-US"/>
                  </w:rPr>
                  <w:t>GENERAL</w:t>
                </w:r>
              </w:sdtContent>
            </w:sdt>
          </w:p>
          <w:p w14:paraId="7A0AA0B0" w14:textId="77777777" w:rsidR="00C9161D" w:rsidRPr="00070CA7" w:rsidRDefault="00C9161D" w:rsidP="00574437">
            <w:pPr>
              <w:kinsoku w:val="0"/>
              <w:overflowPunct w:val="0"/>
              <w:autoSpaceDE w:val="0"/>
              <w:autoSpaceDN w:val="0"/>
              <w:ind w:left="1213"/>
              <w:jc w:val="left"/>
              <w:rPr>
                <w:kern w:val="22"/>
                <w:szCs w:val="22"/>
              </w:rPr>
            </w:pPr>
          </w:p>
          <w:p w14:paraId="04C36DC9" w14:textId="63DACBD0" w:rsidR="00C9161D" w:rsidRPr="00070CA7" w:rsidRDefault="00E5434B" w:rsidP="00574437">
            <w:pPr>
              <w:kinsoku w:val="0"/>
              <w:overflowPunct w:val="0"/>
              <w:autoSpaceDE w:val="0"/>
              <w:autoSpaceDN w:val="0"/>
              <w:ind w:left="1213"/>
              <w:jc w:val="left"/>
              <w:rPr>
                <w:kern w:val="22"/>
                <w:szCs w:val="22"/>
              </w:rPr>
            </w:pPr>
            <w:sdt>
              <w:sdtPr>
                <w:rPr>
                  <w:bCs/>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9E5ACA" w:rsidRPr="00070CA7">
                  <w:rPr>
                    <w:bCs/>
                    <w:kern w:val="22"/>
                    <w:lang w:val="en-US"/>
                  </w:rPr>
                  <w:t>CBD/</w:t>
                </w:r>
                <w:r w:rsidR="00432884" w:rsidRPr="00070CA7">
                  <w:rPr>
                    <w:bCs/>
                    <w:kern w:val="22"/>
                    <w:lang w:val="en-US"/>
                  </w:rPr>
                  <w:t>CP</w:t>
                </w:r>
                <w:r w:rsidR="009E5ACA" w:rsidRPr="00070CA7">
                  <w:rPr>
                    <w:bCs/>
                    <w:kern w:val="22"/>
                    <w:lang w:val="en-US"/>
                  </w:rPr>
                  <w:t>/</w:t>
                </w:r>
                <w:r w:rsidR="00432884" w:rsidRPr="00070CA7">
                  <w:rPr>
                    <w:bCs/>
                    <w:kern w:val="22"/>
                    <w:lang w:val="en-US"/>
                  </w:rPr>
                  <w:t>LG/</w:t>
                </w:r>
                <w:r w:rsidR="009E5ACA" w:rsidRPr="00070CA7">
                  <w:rPr>
                    <w:bCs/>
                    <w:kern w:val="22"/>
                    <w:lang w:val="en-US"/>
                  </w:rPr>
                  <w:t>2019/</w:t>
                </w:r>
                <w:r w:rsidR="0057433C" w:rsidRPr="00070CA7">
                  <w:rPr>
                    <w:bCs/>
                    <w:kern w:val="22"/>
                    <w:lang w:val="en-US"/>
                  </w:rPr>
                  <w:t>1</w:t>
                </w:r>
                <w:r w:rsidR="009E5ACA" w:rsidRPr="00070CA7">
                  <w:rPr>
                    <w:bCs/>
                    <w:kern w:val="22"/>
                    <w:lang w:val="en-US"/>
                  </w:rPr>
                  <w:t>/</w:t>
                </w:r>
                <w:r w:rsidR="002B7ABC" w:rsidRPr="00070CA7">
                  <w:rPr>
                    <w:bCs/>
                    <w:kern w:val="22"/>
                    <w:lang w:val="en-US"/>
                  </w:rPr>
                  <w:t>3</w:t>
                </w:r>
              </w:sdtContent>
            </w:sdt>
          </w:p>
          <w:p w14:paraId="58577695" w14:textId="393E967E" w:rsidR="00C9161D" w:rsidRPr="00070CA7" w:rsidRDefault="00516058" w:rsidP="00574437">
            <w:pPr>
              <w:kinsoku w:val="0"/>
              <w:overflowPunct w:val="0"/>
              <w:autoSpaceDE w:val="0"/>
              <w:autoSpaceDN w:val="0"/>
              <w:ind w:left="1213"/>
              <w:jc w:val="left"/>
              <w:rPr>
                <w:kern w:val="22"/>
                <w:szCs w:val="22"/>
              </w:rPr>
            </w:pPr>
            <w:r w:rsidRPr="00070CA7">
              <w:rPr>
                <w:kern w:val="22"/>
                <w:szCs w:val="22"/>
              </w:rPr>
              <w:t>2</w:t>
            </w:r>
            <w:r w:rsidR="002B7ABC" w:rsidRPr="00070CA7">
              <w:rPr>
                <w:kern w:val="22"/>
                <w:szCs w:val="22"/>
              </w:rPr>
              <w:t>7</w:t>
            </w:r>
            <w:r w:rsidR="00B65434" w:rsidRPr="00070CA7">
              <w:rPr>
                <w:kern w:val="22"/>
                <w:szCs w:val="22"/>
                <w:lang w:val="en-US"/>
              </w:rPr>
              <w:t xml:space="preserve"> </w:t>
            </w:r>
            <w:r w:rsidR="002B7ABC" w:rsidRPr="00070CA7">
              <w:rPr>
                <w:kern w:val="22"/>
                <w:szCs w:val="22"/>
                <w:lang w:val="en-US"/>
              </w:rPr>
              <w:t>September</w:t>
            </w:r>
            <w:r w:rsidR="00B65434" w:rsidRPr="00070CA7">
              <w:rPr>
                <w:kern w:val="22"/>
                <w:szCs w:val="22"/>
                <w:lang w:val="en-US"/>
              </w:rPr>
              <w:t xml:space="preserve"> 2019</w:t>
            </w:r>
          </w:p>
          <w:p w14:paraId="2E6D25AB" w14:textId="77777777" w:rsidR="00C9161D" w:rsidRPr="00070CA7" w:rsidRDefault="00C9161D" w:rsidP="00574437">
            <w:pPr>
              <w:kinsoku w:val="0"/>
              <w:overflowPunct w:val="0"/>
              <w:autoSpaceDE w:val="0"/>
              <w:autoSpaceDN w:val="0"/>
              <w:ind w:left="1213"/>
              <w:jc w:val="left"/>
              <w:rPr>
                <w:kern w:val="22"/>
                <w:szCs w:val="22"/>
              </w:rPr>
            </w:pPr>
          </w:p>
          <w:p w14:paraId="2C4AEE69" w14:textId="5A076B98" w:rsidR="00C9161D" w:rsidRPr="00070CA7" w:rsidRDefault="00C9161D" w:rsidP="00574437">
            <w:pPr>
              <w:kinsoku w:val="0"/>
              <w:overflowPunct w:val="0"/>
              <w:autoSpaceDE w:val="0"/>
              <w:autoSpaceDN w:val="0"/>
              <w:ind w:left="1213"/>
              <w:jc w:val="left"/>
              <w:rPr>
                <w:kern w:val="22"/>
                <w:szCs w:val="22"/>
              </w:rPr>
            </w:pPr>
            <w:r w:rsidRPr="00070CA7">
              <w:rPr>
                <w:kern w:val="22"/>
                <w:szCs w:val="22"/>
              </w:rPr>
              <w:t>ENGLISH</w:t>
            </w:r>
            <w:r w:rsidR="00172AF6" w:rsidRPr="00070CA7">
              <w:rPr>
                <w:kern w:val="22"/>
                <w:szCs w:val="22"/>
              </w:rPr>
              <w:t xml:space="preserve"> ONLY</w:t>
            </w:r>
          </w:p>
          <w:p w14:paraId="51A8EB17" w14:textId="77777777" w:rsidR="00C9161D" w:rsidRPr="00070CA7" w:rsidRDefault="00C9161D" w:rsidP="00574437">
            <w:pPr>
              <w:kinsoku w:val="0"/>
              <w:overflowPunct w:val="0"/>
              <w:autoSpaceDE w:val="0"/>
              <w:autoSpaceDN w:val="0"/>
              <w:ind w:left="1213"/>
              <w:jc w:val="left"/>
              <w:rPr>
                <w:kern w:val="22"/>
              </w:rPr>
            </w:pPr>
          </w:p>
        </w:tc>
      </w:tr>
    </w:tbl>
    <w:p w14:paraId="03AC6BBC" w14:textId="5D786452" w:rsidR="00362642" w:rsidRPr="00070CA7" w:rsidRDefault="00AE3619" w:rsidP="00EA046B">
      <w:pPr>
        <w:pStyle w:val="Cornernotation"/>
        <w:kinsoku w:val="0"/>
        <w:overflowPunct w:val="0"/>
        <w:autoSpaceDE w:val="0"/>
        <w:autoSpaceDN w:val="0"/>
        <w:ind w:left="227" w:right="4784" w:hanging="227"/>
        <w:rPr>
          <w:caps/>
          <w:kern w:val="22"/>
          <w:lang w:eastAsia="ko-KR"/>
        </w:rPr>
      </w:pPr>
      <w:bookmarkStart w:id="1" w:name="_Hlk2766040"/>
      <w:r w:rsidRPr="00070CA7">
        <w:rPr>
          <w:caps/>
          <w:kern w:val="22"/>
          <w:lang w:eastAsia="ko-KR"/>
        </w:rPr>
        <w:t xml:space="preserve">liaison group </w:t>
      </w:r>
      <w:r w:rsidR="00C30FD5" w:rsidRPr="00070CA7">
        <w:rPr>
          <w:caps/>
          <w:kern w:val="22"/>
          <w:lang w:eastAsia="ko-KR"/>
        </w:rPr>
        <w:t>ON</w:t>
      </w:r>
      <w:r w:rsidRPr="00070CA7">
        <w:rPr>
          <w:caps/>
          <w:kern w:val="22"/>
          <w:lang w:eastAsia="ko-KR"/>
        </w:rPr>
        <w:t xml:space="preserve"> the cartagena protocol on biosafety </w:t>
      </w:r>
    </w:p>
    <w:p w14:paraId="4E1CC20F" w14:textId="77777777" w:rsidR="00A370CB" w:rsidRPr="00070CA7" w:rsidRDefault="003C4BCC" w:rsidP="00362642">
      <w:pPr>
        <w:pStyle w:val="Cornernotation"/>
        <w:kinsoku w:val="0"/>
        <w:overflowPunct w:val="0"/>
        <w:autoSpaceDE w:val="0"/>
        <w:autoSpaceDN w:val="0"/>
        <w:ind w:left="227" w:right="4217" w:hanging="227"/>
        <w:rPr>
          <w:kern w:val="22"/>
          <w:lang w:eastAsia="ko-KR"/>
        </w:rPr>
      </w:pPr>
      <w:bookmarkStart w:id="2" w:name="_Hlk2766324"/>
      <w:bookmarkEnd w:id="1"/>
      <w:r w:rsidRPr="00070CA7">
        <w:rPr>
          <w:kern w:val="22"/>
          <w:lang w:eastAsia="ko-KR"/>
        </w:rPr>
        <w:t>Thirteenth meeting</w:t>
      </w:r>
    </w:p>
    <w:p w14:paraId="08ADCE83" w14:textId="76672EDF" w:rsidR="00C9161D" w:rsidRPr="00070CA7" w:rsidRDefault="00AE3619" w:rsidP="00362642">
      <w:pPr>
        <w:pStyle w:val="Cornernotation"/>
        <w:kinsoku w:val="0"/>
        <w:overflowPunct w:val="0"/>
        <w:autoSpaceDE w:val="0"/>
        <w:autoSpaceDN w:val="0"/>
        <w:ind w:left="227" w:right="4217" w:hanging="227"/>
        <w:rPr>
          <w:kern w:val="22"/>
          <w:lang w:eastAsia="ko-KR"/>
        </w:rPr>
      </w:pPr>
      <w:r w:rsidRPr="00070CA7">
        <w:rPr>
          <w:kern w:val="22"/>
          <w:lang w:eastAsia="ko-KR"/>
        </w:rPr>
        <w:t>Montreal</w:t>
      </w:r>
      <w:r w:rsidR="00362642" w:rsidRPr="00070CA7">
        <w:rPr>
          <w:kern w:val="22"/>
          <w:lang w:eastAsia="ko-KR"/>
        </w:rPr>
        <w:t xml:space="preserve">, </w:t>
      </w:r>
      <w:r w:rsidR="003A24DE" w:rsidRPr="00070CA7">
        <w:rPr>
          <w:kern w:val="22"/>
          <w:lang w:eastAsia="ko-KR"/>
        </w:rPr>
        <w:t xml:space="preserve">Canada, </w:t>
      </w:r>
      <w:r w:rsidR="002A3859" w:rsidRPr="00070CA7">
        <w:rPr>
          <w:kern w:val="22"/>
          <w:lang w:eastAsia="ko-KR"/>
        </w:rPr>
        <w:t>22-25 October</w:t>
      </w:r>
      <w:r w:rsidRPr="00070CA7">
        <w:rPr>
          <w:kern w:val="22"/>
          <w:lang w:eastAsia="ko-KR"/>
        </w:rPr>
        <w:t xml:space="preserve"> </w:t>
      </w:r>
      <w:r w:rsidR="00362642" w:rsidRPr="00070CA7">
        <w:rPr>
          <w:rFonts w:eastAsia="Batang"/>
          <w:color w:val="000000"/>
          <w:kern w:val="22"/>
          <w:lang w:eastAsia="ko-KR"/>
        </w:rPr>
        <w:t>2019</w:t>
      </w:r>
    </w:p>
    <w:bookmarkEnd w:id="2" w:displacedByCustomXml="next"/>
    <w:sdt>
      <w:sdtPr>
        <w:rPr>
          <w:kern w:val="22"/>
        </w:rPr>
        <w:alias w:val="Title"/>
        <w:tag w:val=""/>
        <w:id w:val="551344873"/>
        <w:placeholder>
          <w:docPart w:val="43C856F70B894E0D84724EB67B467C95"/>
        </w:placeholder>
        <w:dataBinding w:prefixMappings="xmlns:ns0='http://purl.org/dc/elements/1.1/' xmlns:ns1='http://schemas.openxmlformats.org/package/2006/metadata/core-properties' " w:xpath="/ns1:coreProperties[1]/ns0:title[1]" w:storeItemID="{6C3C8BC8-F283-45AE-878A-BAB7291924A1}"/>
        <w:text/>
      </w:sdtPr>
      <w:sdtEndPr/>
      <w:sdtContent>
        <w:p w14:paraId="43DE539D" w14:textId="73D2B25D" w:rsidR="00432884" w:rsidRPr="00070CA7" w:rsidRDefault="00A73179" w:rsidP="00432884">
          <w:pPr>
            <w:pStyle w:val="Heading1"/>
            <w:rPr>
              <w:kern w:val="22"/>
            </w:rPr>
          </w:pPr>
          <w:r w:rsidRPr="00070CA7">
            <w:rPr>
              <w:kern w:val="22"/>
            </w:rPr>
            <w:t>Draft post-2020 implementation plan for the cartagena protocol on biosafety</w:t>
          </w:r>
        </w:p>
      </w:sdtContent>
    </w:sdt>
    <w:p w14:paraId="60E9AB34" w14:textId="5BA9163D" w:rsidR="00432884" w:rsidRPr="00070CA7" w:rsidRDefault="00735E7D" w:rsidP="00135A4F">
      <w:pPr>
        <w:pStyle w:val="ListParagraph"/>
        <w:spacing w:line="240" w:lineRule="auto"/>
        <w:ind w:left="0"/>
        <w:jc w:val="center"/>
        <w:rPr>
          <w:rFonts w:ascii="Times New Roman" w:hAnsi="Times New Roman" w:cs="Times New Roman"/>
          <w:b/>
          <w:caps/>
          <w:kern w:val="22"/>
        </w:rPr>
      </w:pPr>
      <w:bookmarkStart w:id="3" w:name="_Hlk15402193"/>
      <w:r w:rsidRPr="00070CA7">
        <w:rPr>
          <w:rFonts w:ascii="Times New Roman" w:hAnsi="Times New Roman" w:cs="Times New Roman"/>
          <w:b/>
          <w:caps/>
          <w:kern w:val="22"/>
        </w:rPr>
        <w:t>introduction</w:t>
      </w:r>
    </w:p>
    <w:bookmarkEnd w:id="3"/>
    <w:p w14:paraId="14EE347D" w14:textId="4FAD2827" w:rsidR="00A25363" w:rsidRDefault="00905645" w:rsidP="00135A4F">
      <w:pPr>
        <w:numPr>
          <w:ilvl w:val="0"/>
          <w:numId w:val="20"/>
        </w:numPr>
        <w:spacing w:after="200"/>
        <w:ind w:left="0" w:firstLine="0"/>
        <w:rPr>
          <w:rFonts w:ascii="Times" w:hAnsi="Times" w:cs="Times"/>
          <w:kern w:val="22"/>
        </w:rPr>
      </w:pPr>
      <w:r>
        <w:rPr>
          <w:color w:val="000000"/>
        </w:rPr>
        <w:t xml:space="preserve">In decision </w:t>
      </w:r>
      <w:hyperlink r:id="rId12" w:history="1">
        <w:r w:rsidRPr="00BC0F71">
          <w:rPr>
            <w:rStyle w:val="Hyperlink"/>
            <w:sz w:val="22"/>
          </w:rPr>
          <w:t>BS-V/16</w:t>
        </w:r>
      </w:hyperlink>
      <w:r>
        <w:rPr>
          <w:color w:val="000000"/>
        </w:rPr>
        <w:t>, the Conference of the Parties serving as the meeting of the Parties to the Cartagena Protocol adopted the Strategic Plan for the Cartagena Protocol on Biosafety for the period 2011</w:t>
      </w:r>
      <w:r w:rsidR="00BC0F71">
        <w:rPr>
          <w:color w:val="000000"/>
        </w:rPr>
        <w:noBreakHyphen/>
      </w:r>
      <w:r>
        <w:rPr>
          <w:color w:val="000000"/>
        </w:rPr>
        <w:t>2020 (Strategic Plan). The Strategic Plan was intended to assist in developing a long-term vision for the Protocol and in identifying priority areas needed for full implementation of the Protocol. Over the years, the Strategic Plan has been a useful tool. It has helped to identify priority areas where further work was needed; however, implementation of the Protocol remains a challenge for many Parties.</w:t>
      </w:r>
      <w:r w:rsidR="00A25363">
        <w:rPr>
          <w:kern w:val="22"/>
        </w:rPr>
        <w:t xml:space="preserve"> </w:t>
      </w:r>
    </w:p>
    <w:p w14:paraId="02B45C5E" w14:textId="6E8D4CA1" w:rsidR="00283E95" w:rsidRPr="00070CA7" w:rsidRDefault="00283E95" w:rsidP="00135A4F">
      <w:pPr>
        <w:numPr>
          <w:ilvl w:val="0"/>
          <w:numId w:val="20"/>
        </w:numPr>
        <w:spacing w:after="200"/>
        <w:ind w:left="0" w:firstLine="0"/>
        <w:rPr>
          <w:rFonts w:ascii="Times" w:hAnsi="Times" w:cs="Times"/>
          <w:kern w:val="22"/>
        </w:rPr>
      </w:pPr>
      <w:r w:rsidRPr="00070CA7">
        <w:rPr>
          <w:rFonts w:ascii="Times" w:hAnsi="Times" w:cs="Times"/>
          <w:kern w:val="22"/>
        </w:rPr>
        <w:t xml:space="preserve">In its decision </w:t>
      </w:r>
      <w:hyperlink r:id="rId13" w:history="1">
        <w:r w:rsidRPr="00070CA7">
          <w:rPr>
            <w:rStyle w:val="Hyperlink"/>
            <w:rFonts w:ascii="Times" w:hAnsi="Times" w:cs="Times"/>
            <w:kern w:val="22"/>
            <w:sz w:val="22"/>
          </w:rPr>
          <w:t>CP-9/7</w:t>
        </w:r>
      </w:hyperlink>
      <w:r w:rsidRPr="00070CA7">
        <w:rPr>
          <w:rFonts w:ascii="Times" w:hAnsi="Times" w:cs="Times"/>
          <w:kern w:val="22"/>
        </w:rPr>
        <w:t xml:space="preserve">, the Conference of the Parties serving as the meeting of the Parties to the Cartagena Protocol (COP-MOP) decided to develop a specific post-2020 Implementation Plan for the Cartagena Protocol on Biosafety (Implementation Plan) that is anchored in and complementary to the post-2020 global biodiversity framework and requested the Executive Secretary to facilitate the development of its elements. </w:t>
      </w:r>
    </w:p>
    <w:p w14:paraId="5C482FEE" w14:textId="3D19EA01" w:rsidR="00283E95" w:rsidRPr="00070CA7" w:rsidRDefault="001A4F63" w:rsidP="00135A4F">
      <w:pPr>
        <w:numPr>
          <w:ilvl w:val="0"/>
          <w:numId w:val="20"/>
        </w:numPr>
        <w:spacing w:after="200"/>
        <w:ind w:left="0" w:firstLine="0"/>
        <w:rPr>
          <w:rFonts w:ascii="Times" w:hAnsi="Times" w:cs="Times"/>
          <w:kern w:val="22"/>
        </w:rPr>
      </w:pPr>
      <w:r w:rsidRPr="00070CA7">
        <w:rPr>
          <w:rFonts w:ascii="Times" w:hAnsi="Times" w:cs="Times"/>
          <w:kern w:val="22"/>
        </w:rPr>
        <w:t xml:space="preserve">The </w:t>
      </w:r>
      <w:r w:rsidR="00240195" w:rsidRPr="00070CA7">
        <w:rPr>
          <w:rFonts w:ascii="Times" w:hAnsi="Times" w:cs="Times"/>
          <w:kern w:val="22"/>
        </w:rPr>
        <w:t>Conference of the Parties serving as the meeting of the Parties to the Cartagena Protocol</w:t>
      </w:r>
      <w:r w:rsidR="00240195" w:rsidRPr="00070CA7" w:rsidDel="00240195">
        <w:rPr>
          <w:rFonts w:ascii="Times" w:hAnsi="Times" w:cs="Times"/>
          <w:kern w:val="22"/>
        </w:rPr>
        <w:t xml:space="preserve"> </w:t>
      </w:r>
      <w:r w:rsidR="00283E95" w:rsidRPr="00070CA7">
        <w:rPr>
          <w:rFonts w:ascii="Times" w:hAnsi="Times" w:cs="Times"/>
          <w:kern w:val="22"/>
        </w:rPr>
        <w:t>decided that the Implementation Plan will: (a) be developed as an implementation tool; (b) reflect the elements of the Strategic Plan for the Cartagena Protocol for the period 2011-2020 that are still relevant; (c) include new elements reflecting lessons learned and new developments relevant to biosafety; (d) ensure sufficient flexibility to account for developments during the implementation period; and (e) comprise indicators that are simple and easily measurable to facilitate the review of progress in the implementation of the Protocol (decision CP-9/7, para</w:t>
      </w:r>
      <w:r w:rsidR="00A73179" w:rsidRPr="00070CA7">
        <w:rPr>
          <w:rFonts w:ascii="Times" w:hAnsi="Times" w:cs="Times"/>
          <w:kern w:val="22"/>
        </w:rPr>
        <w:t>.</w:t>
      </w:r>
      <w:r w:rsidR="00283E95" w:rsidRPr="00070CA7">
        <w:rPr>
          <w:rFonts w:ascii="Times" w:hAnsi="Times" w:cs="Times"/>
          <w:kern w:val="22"/>
        </w:rPr>
        <w:t xml:space="preserve"> 6).</w:t>
      </w:r>
    </w:p>
    <w:p w14:paraId="014F7CFF" w14:textId="26330AE5" w:rsidR="00283E95" w:rsidRPr="00070CA7" w:rsidRDefault="00283E95" w:rsidP="00135A4F">
      <w:pPr>
        <w:numPr>
          <w:ilvl w:val="0"/>
          <w:numId w:val="20"/>
        </w:numPr>
        <w:spacing w:after="200"/>
        <w:ind w:left="0" w:firstLine="0"/>
        <w:rPr>
          <w:rFonts w:ascii="Times" w:hAnsi="Times" w:cs="Times"/>
          <w:kern w:val="22"/>
        </w:rPr>
      </w:pPr>
      <w:r w:rsidRPr="00070CA7">
        <w:rPr>
          <w:rFonts w:ascii="Times" w:hAnsi="Times" w:cs="Times"/>
          <w:kern w:val="22"/>
        </w:rPr>
        <w:t xml:space="preserve">The </w:t>
      </w:r>
      <w:r w:rsidR="00240195" w:rsidRPr="00070CA7">
        <w:rPr>
          <w:rFonts w:ascii="Times" w:hAnsi="Times" w:cs="Times"/>
          <w:kern w:val="22"/>
        </w:rPr>
        <w:t>Conference of the Parties serving as the meeting of the Parties to the Cartagena Protocol</w:t>
      </w:r>
      <w:r w:rsidR="00240195" w:rsidRPr="00070CA7" w:rsidDel="00240195">
        <w:rPr>
          <w:rFonts w:ascii="Times" w:hAnsi="Times" w:cs="Times"/>
          <w:kern w:val="22"/>
        </w:rPr>
        <w:t xml:space="preserve"> </w:t>
      </w:r>
      <w:r w:rsidR="00E744AB" w:rsidRPr="00070CA7">
        <w:rPr>
          <w:rFonts w:ascii="Times" w:hAnsi="Times" w:cs="Times"/>
          <w:kern w:val="22"/>
        </w:rPr>
        <w:t>invited views by Parties, other Governments, indigenous peoples and local communities and relevant organizations on the structure and content of the Implementation Plan</w:t>
      </w:r>
      <w:r w:rsidRPr="00070CA7">
        <w:rPr>
          <w:rFonts w:ascii="Times" w:hAnsi="Times" w:cs="Times"/>
          <w:kern w:val="22"/>
        </w:rPr>
        <w:t xml:space="preserve">. </w:t>
      </w:r>
    </w:p>
    <w:p w14:paraId="4ED293F9" w14:textId="499684E5" w:rsidR="003600AA" w:rsidRPr="00070CA7" w:rsidRDefault="00E744AB" w:rsidP="00135A4F">
      <w:pPr>
        <w:numPr>
          <w:ilvl w:val="0"/>
          <w:numId w:val="20"/>
        </w:numPr>
        <w:spacing w:after="200"/>
        <w:ind w:left="0" w:firstLine="0"/>
        <w:rPr>
          <w:rFonts w:ascii="Times" w:hAnsi="Times" w:cs="Times"/>
          <w:kern w:val="22"/>
        </w:rPr>
      </w:pPr>
      <w:r w:rsidRPr="00070CA7">
        <w:rPr>
          <w:rFonts w:ascii="Times" w:hAnsi="Times" w:cs="Times"/>
          <w:kern w:val="22"/>
        </w:rPr>
        <w:t>Following n</w:t>
      </w:r>
      <w:r w:rsidR="00283E95" w:rsidRPr="00070CA7">
        <w:rPr>
          <w:rFonts w:ascii="Times" w:hAnsi="Times" w:cs="Times"/>
          <w:kern w:val="22"/>
        </w:rPr>
        <w:t xml:space="preserve">otification 2019-027, dated 28 February 2019, </w:t>
      </w:r>
      <w:r w:rsidRPr="00070CA7">
        <w:rPr>
          <w:rFonts w:ascii="Times" w:hAnsi="Times" w:cs="Times"/>
          <w:kern w:val="22"/>
        </w:rPr>
        <w:t xml:space="preserve">views were submitted. The views </w:t>
      </w:r>
      <w:r w:rsidR="00F3496E" w:rsidRPr="00070CA7">
        <w:rPr>
          <w:rFonts w:ascii="Times" w:hAnsi="Times" w:cs="Times"/>
          <w:kern w:val="22"/>
        </w:rPr>
        <w:t>on</w:t>
      </w:r>
      <w:r w:rsidRPr="00070CA7">
        <w:rPr>
          <w:rFonts w:ascii="Times" w:hAnsi="Times" w:cs="Times"/>
          <w:kern w:val="22"/>
        </w:rPr>
        <w:t xml:space="preserve"> the structure and content of the Implementation Plan have been synthesized in section II of document </w:t>
      </w:r>
      <w:r w:rsidR="00283E95" w:rsidRPr="00070CA7">
        <w:rPr>
          <w:rFonts w:ascii="Times" w:hAnsi="Times" w:cs="Times"/>
          <w:kern w:val="22"/>
        </w:rPr>
        <w:t xml:space="preserve">CBD/CP/LG/13/INF/1. </w:t>
      </w:r>
      <w:r w:rsidR="00622124" w:rsidRPr="00070CA7">
        <w:rPr>
          <w:rFonts w:ascii="Times" w:hAnsi="Times" w:cs="Times"/>
          <w:kern w:val="22"/>
        </w:rPr>
        <w:t xml:space="preserve">All the submissions are available online at: </w:t>
      </w:r>
      <w:hyperlink r:id="rId14" w:history="1">
        <w:r w:rsidR="00622124" w:rsidRPr="00BC0F71">
          <w:rPr>
            <w:rStyle w:val="Hyperlink"/>
            <w:kern w:val="22"/>
            <w:sz w:val="22"/>
          </w:rPr>
          <w:t>http://bch.cbd.int/protocol/post2020/submissions.shtml</w:t>
        </w:r>
      </w:hyperlink>
      <w:r w:rsidR="00622124" w:rsidRPr="00BC0F71">
        <w:rPr>
          <w:kern w:val="22"/>
        </w:rPr>
        <w:t>.</w:t>
      </w:r>
      <w:r w:rsidR="00622124" w:rsidRPr="00070CA7">
        <w:rPr>
          <w:rFonts w:ascii="Times" w:hAnsi="Times" w:cs="Times"/>
          <w:kern w:val="22"/>
        </w:rPr>
        <w:t xml:space="preserve"> </w:t>
      </w:r>
    </w:p>
    <w:p w14:paraId="617AEE2B" w14:textId="0F35C790" w:rsidR="00283E95" w:rsidRPr="00070CA7" w:rsidRDefault="00835EE4" w:rsidP="00135A4F">
      <w:pPr>
        <w:numPr>
          <w:ilvl w:val="0"/>
          <w:numId w:val="20"/>
        </w:numPr>
        <w:spacing w:after="200"/>
        <w:ind w:left="0" w:firstLine="0"/>
        <w:rPr>
          <w:rFonts w:ascii="Times" w:hAnsi="Times" w:cs="Times"/>
          <w:kern w:val="22"/>
        </w:rPr>
      </w:pPr>
      <w:r w:rsidRPr="00070CA7">
        <w:rPr>
          <w:rFonts w:ascii="Times" w:hAnsi="Times" w:cs="Times"/>
          <w:kern w:val="22"/>
        </w:rPr>
        <w:t xml:space="preserve">The </w:t>
      </w:r>
      <w:r w:rsidR="00240195" w:rsidRPr="00070CA7">
        <w:rPr>
          <w:rFonts w:ascii="Times" w:hAnsi="Times" w:cs="Times"/>
          <w:kern w:val="22"/>
        </w:rPr>
        <w:t>Conference of the Parties serving as the meeting of the Parties to the Cartagena Protocol</w:t>
      </w:r>
      <w:r w:rsidR="00240195" w:rsidRPr="00070CA7" w:rsidDel="00240195">
        <w:rPr>
          <w:rFonts w:ascii="Times" w:hAnsi="Times" w:cs="Times"/>
          <w:kern w:val="22"/>
        </w:rPr>
        <w:t xml:space="preserve"> </w:t>
      </w:r>
      <w:r w:rsidRPr="00070CA7">
        <w:rPr>
          <w:rFonts w:ascii="Times" w:hAnsi="Times" w:cs="Times"/>
          <w:kern w:val="22"/>
        </w:rPr>
        <w:t xml:space="preserve">requested the Executive Secretary to prepare a draft of the Implementation Plan </w:t>
      </w:r>
      <w:proofErr w:type="gramStart"/>
      <w:r w:rsidRPr="00070CA7">
        <w:rPr>
          <w:rFonts w:ascii="Times" w:hAnsi="Times" w:cs="Times"/>
          <w:kern w:val="22"/>
        </w:rPr>
        <w:t>on the basis of</w:t>
      </w:r>
      <w:proofErr w:type="gramEnd"/>
      <w:r w:rsidRPr="00070CA7">
        <w:rPr>
          <w:rFonts w:ascii="Times" w:hAnsi="Times" w:cs="Times"/>
          <w:kern w:val="22"/>
        </w:rPr>
        <w:t xml:space="preserve"> the submissions received and to convene open-ended online discussions of Parties and other stakeholders </w:t>
      </w:r>
      <w:r w:rsidR="0084207F" w:rsidRPr="00070CA7">
        <w:rPr>
          <w:rFonts w:ascii="Times" w:hAnsi="Times" w:cs="Times"/>
          <w:kern w:val="22"/>
        </w:rPr>
        <w:t>to consider</w:t>
      </w:r>
      <w:r w:rsidR="0044360A" w:rsidRPr="00070CA7">
        <w:rPr>
          <w:rFonts w:ascii="Times" w:hAnsi="Times" w:cs="Times"/>
          <w:kern w:val="22"/>
        </w:rPr>
        <w:t xml:space="preserve"> the</w:t>
      </w:r>
      <w:r w:rsidRPr="00070CA7">
        <w:rPr>
          <w:rFonts w:ascii="Times" w:hAnsi="Times" w:cs="Times"/>
          <w:kern w:val="22"/>
        </w:rPr>
        <w:t xml:space="preserve"> draft Implementation Plan. The open-ended online discussions were held from 8 to </w:t>
      </w:r>
      <w:r w:rsidR="00FF3590" w:rsidRPr="00070CA7">
        <w:rPr>
          <w:rFonts w:ascii="Times" w:hAnsi="Times" w:cs="Times"/>
          <w:kern w:val="22"/>
        </w:rPr>
        <w:t xml:space="preserve">22 </w:t>
      </w:r>
      <w:r w:rsidRPr="00070CA7">
        <w:rPr>
          <w:rFonts w:ascii="Times" w:hAnsi="Times" w:cs="Times"/>
          <w:kern w:val="22"/>
        </w:rPr>
        <w:t>July 2019. The report o</w:t>
      </w:r>
      <w:r w:rsidR="00216B12" w:rsidRPr="00070CA7">
        <w:rPr>
          <w:rFonts w:ascii="Times" w:hAnsi="Times" w:cs="Times"/>
          <w:kern w:val="22"/>
        </w:rPr>
        <w:t>f</w:t>
      </w:r>
      <w:r w:rsidRPr="00070CA7">
        <w:rPr>
          <w:rFonts w:ascii="Times" w:hAnsi="Times" w:cs="Times"/>
          <w:kern w:val="22"/>
        </w:rPr>
        <w:t xml:space="preserve"> the</w:t>
      </w:r>
      <w:r w:rsidR="00977B7C" w:rsidRPr="00070CA7">
        <w:rPr>
          <w:rFonts w:ascii="Times" w:hAnsi="Times" w:cs="Times"/>
          <w:kern w:val="22"/>
        </w:rPr>
        <w:t xml:space="preserve"> open-ended online discussion is available </w:t>
      </w:r>
      <w:r w:rsidRPr="00070CA7">
        <w:rPr>
          <w:rFonts w:ascii="Times" w:hAnsi="Times" w:cs="Times"/>
          <w:kern w:val="22"/>
        </w:rPr>
        <w:t>as document</w:t>
      </w:r>
      <w:r w:rsidR="00977B7C" w:rsidRPr="00070CA7">
        <w:rPr>
          <w:rFonts w:ascii="Times" w:hAnsi="Times" w:cs="Times"/>
          <w:kern w:val="22"/>
        </w:rPr>
        <w:t xml:space="preserve"> CBD/CP/LG/2019/1/INF/2.</w:t>
      </w:r>
    </w:p>
    <w:p w14:paraId="4065A968" w14:textId="2E553E23" w:rsidR="00622124" w:rsidRPr="00070CA7" w:rsidRDefault="00622124" w:rsidP="00135A4F">
      <w:pPr>
        <w:numPr>
          <w:ilvl w:val="0"/>
          <w:numId w:val="20"/>
        </w:numPr>
        <w:spacing w:after="200"/>
        <w:ind w:left="0" w:firstLine="0"/>
        <w:rPr>
          <w:rFonts w:ascii="Times" w:hAnsi="Times" w:cs="Times"/>
          <w:kern w:val="22"/>
        </w:rPr>
      </w:pPr>
      <w:r w:rsidRPr="00070CA7">
        <w:rPr>
          <w:rFonts w:ascii="Times" w:hAnsi="Times" w:cs="Times"/>
          <w:kern w:val="22"/>
        </w:rPr>
        <w:lastRenderedPageBreak/>
        <w:t xml:space="preserve">The draft Implementation Plan was revised following the online discussions. The revised draft Implementation Plan is contained in the annex to </w:t>
      </w:r>
      <w:r w:rsidR="00240195" w:rsidRPr="00070CA7">
        <w:rPr>
          <w:rFonts w:ascii="Times" w:hAnsi="Times" w:cs="Times"/>
          <w:kern w:val="22"/>
        </w:rPr>
        <w:t xml:space="preserve">the present </w:t>
      </w:r>
      <w:r w:rsidRPr="00070CA7">
        <w:rPr>
          <w:rFonts w:ascii="Times" w:hAnsi="Times" w:cs="Times"/>
          <w:kern w:val="22"/>
        </w:rPr>
        <w:t>document. Further background on the development of the revised draft Implementation Plan is provided in section I of this document</w:t>
      </w:r>
      <w:r w:rsidR="00240195" w:rsidRPr="00070CA7">
        <w:rPr>
          <w:rFonts w:ascii="Times" w:hAnsi="Times" w:cs="Times"/>
          <w:kern w:val="22"/>
        </w:rPr>
        <w:t>,</w:t>
      </w:r>
      <w:r w:rsidRPr="00070CA7">
        <w:rPr>
          <w:rFonts w:ascii="Times" w:hAnsi="Times" w:cs="Times"/>
          <w:kern w:val="22"/>
        </w:rPr>
        <w:t xml:space="preserve"> while section</w:t>
      </w:r>
      <w:r w:rsidR="00240195" w:rsidRPr="00070CA7">
        <w:rPr>
          <w:rFonts w:ascii="Times" w:hAnsi="Times" w:cs="Times"/>
          <w:kern w:val="22"/>
        </w:rPr>
        <w:t> </w:t>
      </w:r>
      <w:r w:rsidRPr="00070CA7">
        <w:rPr>
          <w:rFonts w:ascii="Times" w:hAnsi="Times" w:cs="Times"/>
          <w:kern w:val="22"/>
        </w:rPr>
        <w:t>II provides some suggestions for the consideration of the Liaison Group.</w:t>
      </w:r>
    </w:p>
    <w:p w14:paraId="686C24D1" w14:textId="1B5C3BED" w:rsidR="00622124" w:rsidRPr="00070CA7" w:rsidRDefault="00622124" w:rsidP="00EB315D">
      <w:pPr>
        <w:pStyle w:val="Heading1"/>
        <w:numPr>
          <w:ilvl w:val="0"/>
          <w:numId w:val="33"/>
        </w:numPr>
        <w:jc w:val="left"/>
        <w:rPr>
          <w:kern w:val="22"/>
        </w:rPr>
      </w:pPr>
      <w:bookmarkStart w:id="4" w:name="_Hlk15402850"/>
      <w:r w:rsidRPr="00070CA7">
        <w:rPr>
          <w:kern w:val="22"/>
        </w:rPr>
        <w:t>background to the development of the revised draft implementation plan</w:t>
      </w:r>
    </w:p>
    <w:bookmarkEnd w:id="4"/>
    <w:p w14:paraId="33A8689A" w14:textId="61BF3FF1" w:rsidR="00622124" w:rsidRPr="00070CA7" w:rsidRDefault="00622124" w:rsidP="00587C79">
      <w:pPr>
        <w:keepNext/>
        <w:numPr>
          <w:ilvl w:val="0"/>
          <w:numId w:val="20"/>
        </w:numPr>
        <w:spacing w:after="200"/>
        <w:ind w:left="0" w:firstLine="0"/>
        <w:rPr>
          <w:rFonts w:ascii="Times" w:hAnsi="Times" w:cs="Times"/>
          <w:kern w:val="22"/>
        </w:rPr>
      </w:pPr>
      <w:r w:rsidRPr="00070CA7">
        <w:rPr>
          <w:rFonts w:ascii="Times" w:hAnsi="Times" w:cs="Times"/>
          <w:kern w:val="22"/>
        </w:rPr>
        <w:t>The document on the draft Implementation Plan that was made available for the open-ended online discussions included some information on the development of the draft Implementation Plan.</w:t>
      </w:r>
      <w:r w:rsidRPr="00070CA7">
        <w:rPr>
          <w:rStyle w:val="FootnoteReference"/>
          <w:rFonts w:ascii="Times" w:hAnsi="Times" w:cs="Times"/>
          <w:kern w:val="22"/>
          <w:u w:val="none"/>
          <w:vertAlign w:val="superscript"/>
        </w:rPr>
        <w:footnoteReference w:id="1"/>
      </w:r>
      <w:r w:rsidRPr="00070CA7">
        <w:rPr>
          <w:rFonts w:ascii="Times" w:hAnsi="Times" w:cs="Times"/>
          <w:kern w:val="22"/>
        </w:rPr>
        <w:t xml:space="preserve"> </w:t>
      </w:r>
      <w:r w:rsidRPr="00723006">
        <w:rPr>
          <w:rFonts w:ascii="Times" w:hAnsi="Times" w:cs="Times"/>
          <w:kern w:val="22"/>
        </w:rPr>
        <w:t xml:space="preserve">This information is reproduced </w:t>
      </w:r>
      <w:r w:rsidR="003D3130" w:rsidRPr="00723006">
        <w:rPr>
          <w:rFonts w:ascii="Times" w:hAnsi="Times" w:cs="Times"/>
          <w:kern w:val="22"/>
        </w:rPr>
        <w:t xml:space="preserve">in </w:t>
      </w:r>
      <w:r w:rsidR="00FE63EA" w:rsidRPr="00723006">
        <w:rPr>
          <w:rFonts w:ascii="Times" w:hAnsi="Times" w:cs="Times"/>
          <w:kern w:val="22"/>
        </w:rPr>
        <w:t>subsection (a)</w:t>
      </w:r>
      <w:r w:rsidR="00135A4F" w:rsidRPr="00723006">
        <w:rPr>
          <w:rFonts w:ascii="Times" w:hAnsi="Times" w:cs="Times"/>
          <w:kern w:val="22"/>
        </w:rPr>
        <w:t xml:space="preserve"> below</w:t>
      </w:r>
      <w:r w:rsidR="003D3130" w:rsidRPr="00723006">
        <w:rPr>
          <w:rFonts w:ascii="Times" w:hAnsi="Times" w:cs="Times"/>
          <w:kern w:val="22"/>
        </w:rPr>
        <w:t>.</w:t>
      </w:r>
      <w:r w:rsidR="00FE63EA" w:rsidRPr="00070CA7">
        <w:rPr>
          <w:rFonts w:ascii="Times" w:hAnsi="Times" w:cs="Times"/>
          <w:kern w:val="22"/>
        </w:rPr>
        <w:t xml:space="preserve"> </w:t>
      </w:r>
      <w:r w:rsidR="003D3130" w:rsidRPr="00070CA7">
        <w:rPr>
          <w:rFonts w:ascii="Times" w:hAnsi="Times" w:cs="Times"/>
          <w:kern w:val="22"/>
        </w:rPr>
        <w:t>I</w:t>
      </w:r>
      <w:r w:rsidRPr="00070CA7">
        <w:rPr>
          <w:rFonts w:ascii="Times" w:hAnsi="Times" w:cs="Times"/>
          <w:kern w:val="22"/>
        </w:rPr>
        <w:t>nformation on the changes made to the draft Implementation Plan following the online discussions</w:t>
      </w:r>
      <w:r w:rsidR="00FE63EA" w:rsidRPr="00070CA7">
        <w:rPr>
          <w:rFonts w:ascii="Times" w:hAnsi="Times" w:cs="Times"/>
          <w:kern w:val="22"/>
        </w:rPr>
        <w:t xml:space="preserve"> </w:t>
      </w:r>
      <w:r w:rsidR="003D3130" w:rsidRPr="00070CA7">
        <w:rPr>
          <w:rFonts w:ascii="Times" w:hAnsi="Times" w:cs="Times"/>
          <w:kern w:val="22"/>
        </w:rPr>
        <w:t xml:space="preserve">is presented in </w:t>
      </w:r>
      <w:r w:rsidR="00FE63EA" w:rsidRPr="00070CA7">
        <w:rPr>
          <w:rFonts w:ascii="Times" w:hAnsi="Times" w:cs="Times"/>
          <w:kern w:val="22"/>
        </w:rPr>
        <w:t>subsection (b)</w:t>
      </w:r>
      <w:r w:rsidRPr="00070CA7">
        <w:rPr>
          <w:rFonts w:ascii="Times" w:hAnsi="Times" w:cs="Times"/>
          <w:kern w:val="22"/>
        </w:rPr>
        <w:t>.</w:t>
      </w:r>
    </w:p>
    <w:p w14:paraId="2C9239B1" w14:textId="39AF1F73" w:rsidR="00FF2873" w:rsidRPr="00070CA7" w:rsidRDefault="00FF2873" w:rsidP="00EB315D">
      <w:pPr>
        <w:pStyle w:val="Heading2"/>
        <w:numPr>
          <w:ilvl w:val="0"/>
          <w:numId w:val="30"/>
        </w:numPr>
        <w:rPr>
          <w:i w:val="0"/>
          <w:kern w:val="22"/>
        </w:rPr>
      </w:pPr>
      <w:r w:rsidRPr="00070CA7">
        <w:rPr>
          <w:i w:val="0"/>
          <w:kern w:val="22"/>
        </w:rPr>
        <w:t>Development of the draft Implementation Plan</w:t>
      </w:r>
    </w:p>
    <w:p w14:paraId="6DFF2177" w14:textId="09F1F719" w:rsidR="000E2166" w:rsidRPr="00070CA7" w:rsidRDefault="004C6156" w:rsidP="00F80D8F">
      <w:pPr>
        <w:numPr>
          <w:ilvl w:val="0"/>
          <w:numId w:val="20"/>
        </w:numPr>
        <w:spacing w:after="200"/>
        <w:ind w:left="0" w:firstLine="0"/>
        <w:rPr>
          <w:rFonts w:ascii="Times" w:hAnsi="Times" w:cs="Times"/>
          <w:kern w:val="22"/>
        </w:rPr>
      </w:pPr>
      <w:r w:rsidRPr="00070CA7">
        <w:rPr>
          <w:kern w:val="22"/>
        </w:rPr>
        <w:t>The submissions made in response to notification 2019-027 contained several suggestions regarding the structure and the content of the Implementation Plan</w:t>
      </w:r>
      <w:r w:rsidR="00032557" w:rsidRPr="00070CA7">
        <w:rPr>
          <w:kern w:val="22"/>
        </w:rPr>
        <w:t>, which provided the basis, together with guidance provided in decision CP-9/7, for the Secretariat to develop the draft Implementation Plan</w:t>
      </w:r>
      <w:r w:rsidRPr="00070CA7">
        <w:rPr>
          <w:kern w:val="22"/>
        </w:rPr>
        <w:t xml:space="preserve">. </w:t>
      </w:r>
    </w:p>
    <w:p w14:paraId="507F83E7" w14:textId="23A7C158" w:rsidR="004C6156" w:rsidRPr="00070CA7" w:rsidRDefault="004C6156" w:rsidP="00135A4F">
      <w:pPr>
        <w:numPr>
          <w:ilvl w:val="0"/>
          <w:numId w:val="20"/>
        </w:numPr>
        <w:spacing w:after="200"/>
        <w:ind w:left="0" w:firstLine="0"/>
        <w:rPr>
          <w:rFonts w:ascii="Times" w:hAnsi="Times" w:cs="Times"/>
          <w:kern w:val="22"/>
        </w:rPr>
      </w:pPr>
      <w:r w:rsidRPr="00070CA7">
        <w:rPr>
          <w:kern w:val="22"/>
        </w:rPr>
        <w:t xml:space="preserve">Taking into consideration the suggestions made, the </w:t>
      </w:r>
      <w:r w:rsidR="00135A4F" w:rsidRPr="00070CA7">
        <w:rPr>
          <w:kern w:val="22"/>
        </w:rPr>
        <w:t xml:space="preserve">goals, objectives, outcomes and indicators of the </w:t>
      </w:r>
      <w:r w:rsidRPr="00070CA7">
        <w:rPr>
          <w:kern w:val="22"/>
        </w:rPr>
        <w:t xml:space="preserve">draft Implementation Plan </w:t>
      </w:r>
      <w:r w:rsidR="00D85F8A" w:rsidRPr="00070CA7">
        <w:rPr>
          <w:kern w:val="22"/>
        </w:rPr>
        <w:t>w</w:t>
      </w:r>
      <w:r w:rsidR="00135A4F" w:rsidRPr="00070CA7">
        <w:rPr>
          <w:kern w:val="22"/>
        </w:rPr>
        <w:t>ere</w:t>
      </w:r>
      <w:r w:rsidR="00D85F8A" w:rsidRPr="00070CA7">
        <w:rPr>
          <w:kern w:val="22"/>
        </w:rPr>
        <w:t xml:space="preserve"> developed</w:t>
      </w:r>
      <w:r w:rsidRPr="00070CA7">
        <w:rPr>
          <w:kern w:val="22"/>
        </w:rPr>
        <w:t xml:space="preserve"> in a tabular structure. It contain</w:t>
      </w:r>
      <w:r w:rsidR="00060131" w:rsidRPr="00070CA7">
        <w:rPr>
          <w:kern w:val="22"/>
        </w:rPr>
        <w:t>ed</w:t>
      </w:r>
      <w:r w:rsidRPr="00070CA7">
        <w:rPr>
          <w:kern w:val="22"/>
        </w:rPr>
        <w:t xml:space="preserve"> those elements of the Strategic Plan for the Cartagena Protocol on Biosafety for the period 2011-2020 (Strategic Plan) that</w:t>
      </w:r>
      <w:r w:rsidR="00FE78C4" w:rsidRPr="00070CA7">
        <w:rPr>
          <w:kern w:val="22"/>
        </w:rPr>
        <w:t>,</w:t>
      </w:r>
      <w:r w:rsidR="002A712F" w:rsidRPr="00070CA7">
        <w:rPr>
          <w:kern w:val="22"/>
        </w:rPr>
        <w:t xml:space="preserve"> according to the submissions, continued </w:t>
      </w:r>
      <w:r w:rsidRPr="00070CA7">
        <w:rPr>
          <w:kern w:val="22"/>
        </w:rPr>
        <w:t>to be relevant, as well as some new elements that were proposed to be included.</w:t>
      </w:r>
    </w:p>
    <w:p w14:paraId="72A6297D" w14:textId="607B6602" w:rsidR="004C6156" w:rsidRPr="00070CA7" w:rsidRDefault="004C6156" w:rsidP="00135A4F">
      <w:pPr>
        <w:numPr>
          <w:ilvl w:val="0"/>
          <w:numId w:val="20"/>
        </w:numPr>
        <w:spacing w:after="200"/>
        <w:ind w:left="0" w:firstLine="0"/>
        <w:rPr>
          <w:rFonts w:ascii="Times" w:hAnsi="Times" w:cs="Times"/>
          <w:kern w:val="22"/>
        </w:rPr>
      </w:pPr>
      <w:r w:rsidRPr="00070CA7">
        <w:rPr>
          <w:kern w:val="22"/>
        </w:rPr>
        <w:t xml:space="preserve">The draft Implementation Plan </w:t>
      </w:r>
      <w:proofErr w:type="gramStart"/>
      <w:r w:rsidRPr="00070CA7">
        <w:rPr>
          <w:kern w:val="22"/>
        </w:rPr>
        <w:t>t</w:t>
      </w:r>
      <w:r w:rsidR="00FE78C4" w:rsidRPr="00070CA7">
        <w:rPr>
          <w:kern w:val="22"/>
        </w:rPr>
        <w:t>ook</w:t>
      </w:r>
      <w:r w:rsidRPr="00070CA7">
        <w:rPr>
          <w:kern w:val="22"/>
        </w:rPr>
        <w:t xml:space="preserve"> into account</w:t>
      </w:r>
      <w:proofErr w:type="gramEnd"/>
      <w:r w:rsidRPr="00070CA7">
        <w:rPr>
          <w:kern w:val="22"/>
        </w:rPr>
        <w:t xml:space="preserve"> suggestions to avoid redundancy and duplication and to focus on a reduced number of achievable goals. It also addresse</w:t>
      </w:r>
      <w:r w:rsidR="00E35EF6" w:rsidRPr="00070CA7">
        <w:rPr>
          <w:kern w:val="22"/>
        </w:rPr>
        <w:t>d</w:t>
      </w:r>
      <w:r w:rsidRPr="00070CA7">
        <w:rPr>
          <w:kern w:val="22"/>
        </w:rPr>
        <w:t xml:space="preserve"> proposals to group together some elements with a view to simplifying the structure and avoiding some of the redundancy in the current Strategic Plan.</w:t>
      </w:r>
    </w:p>
    <w:p w14:paraId="343CFC89" w14:textId="60DCC68F" w:rsidR="004C6156" w:rsidRPr="00070CA7" w:rsidRDefault="004C6156" w:rsidP="00135A4F">
      <w:pPr>
        <w:numPr>
          <w:ilvl w:val="0"/>
          <w:numId w:val="20"/>
        </w:numPr>
        <w:spacing w:after="200"/>
        <w:ind w:left="0" w:firstLine="0"/>
        <w:rPr>
          <w:rFonts w:ascii="Times" w:hAnsi="Times" w:cs="Times"/>
          <w:kern w:val="22"/>
        </w:rPr>
      </w:pPr>
      <w:r w:rsidRPr="00070CA7">
        <w:rPr>
          <w:kern w:val="22"/>
        </w:rPr>
        <w:t xml:space="preserve">Accordingly, the draft Implementation Plan </w:t>
      </w:r>
      <w:r w:rsidR="00E35EF6" w:rsidRPr="00070CA7">
        <w:rPr>
          <w:kern w:val="22"/>
        </w:rPr>
        <w:t>wa</w:t>
      </w:r>
      <w:r w:rsidRPr="00070CA7">
        <w:rPr>
          <w:kern w:val="22"/>
        </w:rPr>
        <w:t>s organized according to ‘areas of implementation’ and ‘enabling environment’. The ‘areas of implementation’ consist</w:t>
      </w:r>
      <w:r w:rsidR="00E35EF6" w:rsidRPr="00070CA7">
        <w:rPr>
          <w:kern w:val="22"/>
        </w:rPr>
        <w:t>ed</w:t>
      </w:r>
      <w:r w:rsidRPr="00070CA7">
        <w:rPr>
          <w:kern w:val="22"/>
        </w:rPr>
        <w:t xml:space="preserve"> of goals concerning key elements for the implementation of the Protocol while the ‘enabling environment’ addresse</w:t>
      </w:r>
      <w:r w:rsidR="002C30EE" w:rsidRPr="00070CA7">
        <w:rPr>
          <w:kern w:val="22"/>
        </w:rPr>
        <w:t>d</w:t>
      </w:r>
      <w:r w:rsidRPr="00070CA7">
        <w:rPr>
          <w:kern w:val="22"/>
        </w:rPr>
        <w:t xml:space="preserve"> goals related to supporting implementation.</w:t>
      </w:r>
      <w:r w:rsidR="002C1E17" w:rsidRPr="00070CA7">
        <w:rPr>
          <w:kern w:val="22"/>
        </w:rPr>
        <w:t xml:space="preserve"> The draft Implementation Plan was developed to cover a ten-year period.</w:t>
      </w:r>
    </w:p>
    <w:p w14:paraId="5246DCB6" w14:textId="174582FC" w:rsidR="001D0C06" w:rsidRPr="00070CA7" w:rsidRDefault="001D0C06" w:rsidP="00135A4F">
      <w:pPr>
        <w:numPr>
          <w:ilvl w:val="0"/>
          <w:numId w:val="20"/>
        </w:numPr>
        <w:spacing w:after="200"/>
        <w:ind w:left="0" w:firstLine="0"/>
        <w:rPr>
          <w:rFonts w:ascii="Times" w:hAnsi="Times" w:cs="Times"/>
          <w:kern w:val="22"/>
        </w:rPr>
      </w:pPr>
      <w:bookmarkStart w:id="5" w:name="_Hlk19628064"/>
      <w:r w:rsidRPr="00070CA7">
        <w:rPr>
          <w:kern w:val="22"/>
        </w:rPr>
        <w:t xml:space="preserve">The </w:t>
      </w:r>
      <w:r w:rsidRPr="00070CA7">
        <w:rPr>
          <w:b/>
          <w:kern w:val="22"/>
        </w:rPr>
        <w:t>goals</w:t>
      </w:r>
      <w:r w:rsidRPr="00070CA7">
        <w:rPr>
          <w:kern w:val="22"/>
        </w:rPr>
        <w:t xml:space="preserve"> in the draft Implementation Plan represent broad desirable achievements by Parties. Each goal covers a main aspect related to the implementation of the Protocol and includes corresponding </w:t>
      </w:r>
      <w:r w:rsidRPr="00070CA7">
        <w:rPr>
          <w:b/>
          <w:kern w:val="22"/>
        </w:rPr>
        <w:t>objectives</w:t>
      </w:r>
      <w:r w:rsidRPr="00070CA7">
        <w:rPr>
          <w:kern w:val="22"/>
        </w:rPr>
        <w:t xml:space="preserve">, </w:t>
      </w:r>
      <w:r w:rsidRPr="00070CA7">
        <w:rPr>
          <w:b/>
          <w:kern w:val="22"/>
        </w:rPr>
        <w:t>outcomes</w:t>
      </w:r>
      <w:r w:rsidRPr="00070CA7">
        <w:rPr>
          <w:kern w:val="22"/>
        </w:rPr>
        <w:t xml:space="preserve"> and </w:t>
      </w:r>
      <w:r w:rsidRPr="00070CA7">
        <w:rPr>
          <w:b/>
          <w:kern w:val="22"/>
        </w:rPr>
        <w:t>indicators</w:t>
      </w:r>
      <w:r w:rsidR="00513CCF" w:rsidRPr="00070CA7">
        <w:rPr>
          <w:b/>
          <w:kern w:val="22"/>
        </w:rPr>
        <w:t>.</w:t>
      </w:r>
      <w:r w:rsidRPr="00070CA7">
        <w:rPr>
          <w:rStyle w:val="FootnoteReference"/>
          <w:kern w:val="22"/>
          <w:u w:val="none"/>
          <w:vertAlign w:val="superscript"/>
        </w:rPr>
        <w:footnoteReference w:id="2"/>
      </w:r>
    </w:p>
    <w:p w14:paraId="038E066A" w14:textId="5CC9E390" w:rsidR="001D0C06" w:rsidRPr="00070CA7" w:rsidRDefault="001D0C06" w:rsidP="00EB315D">
      <w:pPr>
        <w:numPr>
          <w:ilvl w:val="1"/>
          <w:numId w:val="31"/>
        </w:numPr>
        <w:spacing w:after="200"/>
        <w:ind w:left="0" w:firstLine="709"/>
        <w:rPr>
          <w:rFonts w:ascii="Times" w:hAnsi="Times" w:cs="Times"/>
          <w:kern w:val="22"/>
        </w:rPr>
      </w:pPr>
      <w:r w:rsidRPr="00070CA7">
        <w:rPr>
          <w:kern w:val="22"/>
        </w:rPr>
        <w:t xml:space="preserve">The </w:t>
      </w:r>
      <w:r w:rsidRPr="00070CA7">
        <w:rPr>
          <w:b/>
          <w:kern w:val="22"/>
        </w:rPr>
        <w:t>objectives</w:t>
      </w:r>
      <w:r w:rsidRPr="00070CA7">
        <w:rPr>
          <w:kern w:val="22"/>
        </w:rPr>
        <w:t xml:space="preserve"> describe what must be accomplished to achieve each goal. The objectives are not intended to provide an exhaustive list of accomplishments that may be relevant for the goal. In many cases, the objectives follow the obligations in the Protocol and most goals include multiple objectives</w:t>
      </w:r>
      <w:r w:rsidR="00EB315D" w:rsidRPr="00070CA7">
        <w:rPr>
          <w:kern w:val="22"/>
        </w:rPr>
        <w:t>;</w:t>
      </w:r>
    </w:p>
    <w:p w14:paraId="7A98D13E" w14:textId="482BFDF4" w:rsidR="001D0C06" w:rsidRPr="00070CA7" w:rsidRDefault="001D0C06" w:rsidP="00EB315D">
      <w:pPr>
        <w:numPr>
          <w:ilvl w:val="1"/>
          <w:numId w:val="31"/>
        </w:numPr>
        <w:spacing w:after="200"/>
        <w:ind w:left="0" w:firstLine="709"/>
        <w:rPr>
          <w:rFonts w:ascii="Times" w:hAnsi="Times" w:cs="Times"/>
          <w:kern w:val="22"/>
        </w:rPr>
      </w:pPr>
      <w:r w:rsidRPr="00070CA7">
        <w:rPr>
          <w:kern w:val="22"/>
        </w:rPr>
        <w:t xml:space="preserve">The </w:t>
      </w:r>
      <w:r w:rsidRPr="00070CA7">
        <w:rPr>
          <w:b/>
          <w:kern w:val="22"/>
        </w:rPr>
        <w:t>outcomes</w:t>
      </w:r>
      <w:r w:rsidRPr="00070CA7">
        <w:rPr>
          <w:kern w:val="22"/>
        </w:rPr>
        <w:t xml:space="preserve"> describe what the effect will be of achieving the goal</w:t>
      </w:r>
      <w:r w:rsidR="00EB315D" w:rsidRPr="00070CA7">
        <w:rPr>
          <w:kern w:val="22"/>
        </w:rPr>
        <w:t>;</w:t>
      </w:r>
    </w:p>
    <w:p w14:paraId="53A03554" w14:textId="084C593C" w:rsidR="001D0C06" w:rsidRPr="00070CA7" w:rsidRDefault="001D0C06" w:rsidP="00EB315D">
      <w:pPr>
        <w:numPr>
          <w:ilvl w:val="1"/>
          <w:numId w:val="31"/>
        </w:numPr>
        <w:spacing w:after="200"/>
        <w:ind w:left="0" w:firstLine="709"/>
        <w:rPr>
          <w:rFonts w:ascii="Times" w:hAnsi="Times" w:cs="Times"/>
          <w:kern w:val="22"/>
        </w:rPr>
      </w:pPr>
      <w:r w:rsidRPr="00070CA7">
        <w:rPr>
          <w:kern w:val="22"/>
        </w:rPr>
        <w:t xml:space="preserve">The </w:t>
      </w:r>
      <w:r w:rsidRPr="00070CA7">
        <w:rPr>
          <w:b/>
          <w:kern w:val="22"/>
        </w:rPr>
        <w:t>indicators</w:t>
      </w:r>
      <w:r w:rsidRPr="00070CA7">
        <w:rPr>
          <w:kern w:val="22"/>
        </w:rPr>
        <w:t xml:space="preserve"> are designed to measure the</w:t>
      </w:r>
      <w:r w:rsidR="000E0380">
        <w:rPr>
          <w:kern w:val="22"/>
        </w:rPr>
        <w:t xml:space="preserve"> </w:t>
      </w:r>
      <w:r w:rsidRPr="00070CA7">
        <w:rPr>
          <w:kern w:val="22"/>
        </w:rPr>
        <w:t>outcomes. The suggested indicators are intended to be simple, measurable and relevant to the associated outcome.</w:t>
      </w:r>
    </w:p>
    <w:bookmarkEnd w:id="5"/>
    <w:p w14:paraId="54279030" w14:textId="6370CB89" w:rsidR="004C6156" w:rsidRPr="00070CA7" w:rsidRDefault="004C6156" w:rsidP="00135A4F">
      <w:pPr>
        <w:numPr>
          <w:ilvl w:val="0"/>
          <w:numId w:val="20"/>
        </w:numPr>
        <w:spacing w:after="200"/>
        <w:ind w:left="0" w:firstLine="0"/>
        <w:rPr>
          <w:kern w:val="22"/>
        </w:rPr>
      </w:pPr>
      <w:r w:rsidRPr="00070CA7">
        <w:rPr>
          <w:kern w:val="22"/>
        </w:rPr>
        <w:t xml:space="preserve">Following the guidance in decision CP-9/7, paragraph 6, the draft Implementation Plan </w:t>
      </w:r>
      <w:r w:rsidR="002C30EE" w:rsidRPr="00070CA7">
        <w:rPr>
          <w:kern w:val="22"/>
        </w:rPr>
        <w:t>was</w:t>
      </w:r>
      <w:r w:rsidRPr="00070CA7">
        <w:rPr>
          <w:kern w:val="22"/>
        </w:rPr>
        <w:t xml:space="preserve"> designed as an implementation plan for Parties. Accordingly, the goals </w:t>
      </w:r>
      <w:r w:rsidR="00133CF4" w:rsidRPr="00070CA7">
        <w:rPr>
          <w:kern w:val="22"/>
        </w:rPr>
        <w:t>were</w:t>
      </w:r>
      <w:r w:rsidRPr="00070CA7">
        <w:rPr>
          <w:kern w:val="22"/>
        </w:rPr>
        <w:t xml:space="preserve"> formulated as achievements by Parties</w:t>
      </w:r>
      <w:r w:rsidR="00241B8B" w:rsidRPr="00070CA7">
        <w:rPr>
          <w:kern w:val="22"/>
        </w:rPr>
        <w:t>.</w:t>
      </w:r>
      <w:r w:rsidRPr="00070CA7">
        <w:rPr>
          <w:kern w:val="22"/>
        </w:rPr>
        <w:t xml:space="preserve"> </w:t>
      </w:r>
      <w:r w:rsidR="00241B8B" w:rsidRPr="00070CA7">
        <w:rPr>
          <w:kern w:val="22"/>
        </w:rPr>
        <w:t>A</w:t>
      </w:r>
      <w:r w:rsidRPr="00070CA7">
        <w:rPr>
          <w:kern w:val="22"/>
        </w:rPr>
        <w:t xml:space="preserve">s a result, some elements in the current Strategic Plan that are directed at other actors </w:t>
      </w:r>
      <w:r w:rsidR="00344C6A" w:rsidRPr="00070CA7">
        <w:rPr>
          <w:kern w:val="22"/>
        </w:rPr>
        <w:t>were</w:t>
      </w:r>
      <w:r w:rsidR="00926FF8" w:rsidRPr="00070CA7">
        <w:rPr>
          <w:kern w:val="22"/>
        </w:rPr>
        <w:t xml:space="preserve"> not</w:t>
      </w:r>
      <w:r w:rsidRPr="00070CA7">
        <w:rPr>
          <w:kern w:val="22"/>
        </w:rPr>
        <w:t xml:space="preserve"> reflected in </w:t>
      </w:r>
      <w:r w:rsidRPr="00070CA7">
        <w:rPr>
          <w:kern w:val="22"/>
        </w:rPr>
        <w:lastRenderedPageBreak/>
        <w:t>the draft Implementation Plan</w:t>
      </w:r>
      <w:r w:rsidR="008A1B75" w:rsidRPr="00070CA7">
        <w:rPr>
          <w:kern w:val="22"/>
        </w:rPr>
        <w:t>,</w:t>
      </w:r>
      <w:r w:rsidR="00211450" w:rsidRPr="00070CA7">
        <w:rPr>
          <w:kern w:val="22"/>
        </w:rPr>
        <w:t xml:space="preserve"> in the understanding that </w:t>
      </w:r>
      <w:r w:rsidR="00241B8B" w:rsidRPr="00070CA7">
        <w:rPr>
          <w:kern w:val="22"/>
        </w:rPr>
        <w:t xml:space="preserve">while </w:t>
      </w:r>
      <w:r w:rsidR="006A5198" w:rsidRPr="00070CA7">
        <w:rPr>
          <w:kern w:val="22"/>
        </w:rPr>
        <w:t>actions by other actors</w:t>
      </w:r>
      <w:r w:rsidR="00241B8B" w:rsidRPr="00070CA7">
        <w:rPr>
          <w:kern w:val="22"/>
        </w:rPr>
        <w:t xml:space="preserve"> are important for moving forward, they</w:t>
      </w:r>
      <w:r w:rsidR="00211450" w:rsidRPr="00070CA7">
        <w:rPr>
          <w:kern w:val="22"/>
        </w:rPr>
        <w:t xml:space="preserve"> would not fit within the framework of an implementation plan</w:t>
      </w:r>
      <w:r w:rsidRPr="00070CA7">
        <w:rPr>
          <w:kern w:val="22"/>
        </w:rPr>
        <w:t xml:space="preserve">. </w:t>
      </w:r>
    </w:p>
    <w:p w14:paraId="213ED822" w14:textId="60D20972" w:rsidR="004C6156" w:rsidRPr="00070CA7" w:rsidRDefault="004C6156" w:rsidP="00135A4F">
      <w:pPr>
        <w:numPr>
          <w:ilvl w:val="0"/>
          <w:numId w:val="20"/>
        </w:numPr>
        <w:spacing w:after="200"/>
        <w:ind w:left="0" w:firstLine="0"/>
        <w:rPr>
          <w:kern w:val="22"/>
        </w:rPr>
      </w:pPr>
      <w:r w:rsidRPr="00070CA7">
        <w:rPr>
          <w:kern w:val="22"/>
        </w:rPr>
        <w:t xml:space="preserve">The meeting of the Parties, in its decision </w:t>
      </w:r>
      <w:hyperlink r:id="rId15" w:history="1">
        <w:r w:rsidRPr="00070CA7">
          <w:rPr>
            <w:rStyle w:val="Hyperlink"/>
            <w:kern w:val="22"/>
            <w:sz w:val="22"/>
          </w:rPr>
          <w:t>CP-9/3</w:t>
        </w:r>
      </w:hyperlink>
      <w:r w:rsidRPr="00070CA7">
        <w:rPr>
          <w:kern w:val="22"/>
        </w:rPr>
        <w:t>, acknowledged the need for a specific post-2020 action plan for capacity</w:t>
      </w:r>
      <w:r w:rsidR="00904B1B" w:rsidRPr="00070CA7">
        <w:rPr>
          <w:kern w:val="22"/>
        </w:rPr>
        <w:t>-</w:t>
      </w:r>
      <w:r w:rsidRPr="00070CA7">
        <w:rPr>
          <w:kern w:val="22"/>
        </w:rPr>
        <w:t>building for the implementation of the Cartagena Protocol and the Supplementary Protocol. It decided that the post-2020 action plan for capacity</w:t>
      </w:r>
      <w:r w:rsidR="00904B1B" w:rsidRPr="00070CA7">
        <w:rPr>
          <w:kern w:val="22"/>
        </w:rPr>
        <w:t>-</w:t>
      </w:r>
      <w:r w:rsidRPr="00070CA7">
        <w:rPr>
          <w:kern w:val="22"/>
        </w:rPr>
        <w:t xml:space="preserve">building should be aligned with the Implementation Plan. </w:t>
      </w:r>
      <w:r w:rsidR="00276264" w:rsidRPr="00070CA7">
        <w:rPr>
          <w:kern w:val="22"/>
        </w:rPr>
        <w:t>Against this background, c</w:t>
      </w:r>
      <w:r w:rsidRPr="00070CA7">
        <w:rPr>
          <w:kern w:val="22"/>
        </w:rPr>
        <w:t>apacity</w:t>
      </w:r>
      <w:r w:rsidR="00904B1B" w:rsidRPr="00070CA7">
        <w:rPr>
          <w:kern w:val="22"/>
        </w:rPr>
        <w:t>-</w:t>
      </w:r>
      <w:r w:rsidRPr="00070CA7">
        <w:rPr>
          <w:kern w:val="22"/>
        </w:rPr>
        <w:t xml:space="preserve">building </w:t>
      </w:r>
      <w:r w:rsidR="00276264" w:rsidRPr="00070CA7">
        <w:rPr>
          <w:kern w:val="22"/>
        </w:rPr>
        <w:t>wa</w:t>
      </w:r>
      <w:r w:rsidRPr="00070CA7">
        <w:rPr>
          <w:kern w:val="22"/>
        </w:rPr>
        <w:t xml:space="preserve">s presented as a goal within the ‘enabling environment’ section of the draft Implementation Plan </w:t>
      </w:r>
      <w:r w:rsidR="00FF3590" w:rsidRPr="00070CA7">
        <w:rPr>
          <w:kern w:val="22"/>
        </w:rPr>
        <w:t>with</w:t>
      </w:r>
      <w:r w:rsidRPr="00070CA7">
        <w:rPr>
          <w:kern w:val="22"/>
        </w:rPr>
        <w:t xml:space="preserve"> a reference to the post-2020 capacity</w:t>
      </w:r>
      <w:r w:rsidR="00904B1B" w:rsidRPr="00070CA7">
        <w:rPr>
          <w:kern w:val="22"/>
        </w:rPr>
        <w:noBreakHyphen/>
      </w:r>
      <w:r w:rsidRPr="00070CA7">
        <w:rPr>
          <w:kern w:val="22"/>
        </w:rPr>
        <w:t>building action plan to ensure consistency and avoid possible duplication between the two plans.</w:t>
      </w:r>
    </w:p>
    <w:p w14:paraId="0FD1FE72" w14:textId="276397AF" w:rsidR="004C6156" w:rsidRPr="00070CA7" w:rsidRDefault="004C6156" w:rsidP="00135A4F">
      <w:pPr>
        <w:numPr>
          <w:ilvl w:val="0"/>
          <w:numId w:val="20"/>
        </w:numPr>
        <w:spacing w:after="200"/>
        <w:ind w:left="0" w:firstLine="0"/>
        <w:rPr>
          <w:kern w:val="22"/>
        </w:rPr>
      </w:pPr>
      <w:r w:rsidRPr="00070CA7">
        <w:rPr>
          <w:kern w:val="22"/>
        </w:rPr>
        <w:t xml:space="preserve">It </w:t>
      </w:r>
      <w:r w:rsidR="00CB45B8" w:rsidRPr="00070CA7">
        <w:rPr>
          <w:kern w:val="22"/>
        </w:rPr>
        <w:t>was</w:t>
      </w:r>
      <w:r w:rsidRPr="00070CA7">
        <w:rPr>
          <w:kern w:val="22"/>
        </w:rPr>
        <w:t xml:space="preserve"> foreseen that the post-2020 action plan for capacity-building c</w:t>
      </w:r>
      <w:r w:rsidR="003F44F7" w:rsidRPr="00070CA7">
        <w:rPr>
          <w:kern w:val="22"/>
        </w:rPr>
        <w:t>ould</w:t>
      </w:r>
      <w:r w:rsidRPr="00070CA7">
        <w:rPr>
          <w:kern w:val="22"/>
        </w:rPr>
        <w:t xml:space="preserve"> complement the Implementation Plan by outlining the capacity-building activities needed to support Parties to achieve the goals in the Implementation Plan. As a result, the draft Implementation Plan </w:t>
      </w:r>
      <w:r w:rsidR="00C72426" w:rsidRPr="00070CA7">
        <w:rPr>
          <w:kern w:val="22"/>
        </w:rPr>
        <w:t>did</w:t>
      </w:r>
      <w:r w:rsidRPr="00070CA7">
        <w:rPr>
          <w:kern w:val="22"/>
        </w:rPr>
        <w:t xml:space="preserve"> not include specific capacity</w:t>
      </w:r>
      <w:r w:rsidR="00904B1B" w:rsidRPr="00070CA7">
        <w:rPr>
          <w:kern w:val="22"/>
        </w:rPr>
        <w:noBreakHyphen/>
      </w:r>
      <w:r w:rsidRPr="00070CA7">
        <w:rPr>
          <w:kern w:val="22"/>
        </w:rPr>
        <w:t xml:space="preserve">building activities as it </w:t>
      </w:r>
      <w:r w:rsidR="00B6546D" w:rsidRPr="00070CA7">
        <w:rPr>
          <w:kern w:val="22"/>
        </w:rPr>
        <w:t>wa</w:t>
      </w:r>
      <w:r w:rsidRPr="00070CA7">
        <w:rPr>
          <w:kern w:val="22"/>
        </w:rPr>
        <w:t>s expected that these w</w:t>
      </w:r>
      <w:r w:rsidR="001D46A2" w:rsidRPr="00070CA7">
        <w:rPr>
          <w:kern w:val="22"/>
        </w:rPr>
        <w:t>ould</w:t>
      </w:r>
      <w:r w:rsidRPr="00070CA7">
        <w:rPr>
          <w:kern w:val="22"/>
        </w:rPr>
        <w:t xml:space="preserve"> be included in the post-2020 action plan for capacity</w:t>
      </w:r>
      <w:r w:rsidR="00904B1B" w:rsidRPr="00070CA7">
        <w:rPr>
          <w:kern w:val="22"/>
        </w:rPr>
        <w:noBreakHyphen/>
      </w:r>
      <w:r w:rsidRPr="00070CA7">
        <w:rPr>
          <w:kern w:val="22"/>
        </w:rPr>
        <w:t>building for the implementation of the Cartagena Protocol and its Supplementary Protocol.</w:t>
      </w:r>
    </w:p>
    <w:p w14:paraId="41F91791" w14:textId="73CFFA44" w:rsidR="004C6156" w:rsidRPr="00070CA7" w:rsidRDefault="004C6156" w:rsidP="00135A4F">
      <w:pPr>
        <w:numPr>
          <w:ilvl w:val="0"/>
          <w:numId w:val="20"/>
        </w:numPr>
        <w:spacing w:after="200"/>
        <w:ind w:left="0" w:firstLine="0"/>
        <w:rPr>
          <w:kern w:val="22"/>
        </w:rPr>
      </w:pPr>
      <w:proofErr w:type="gramStart"/>
      <w:r w:rsidRPr="00070CA7">
        <w:rPr>
          <w:kern w:val="22"/>
        </w:rPr>
        <w:t>A number of</w:t>
      </w:r>
      <w:proofErr w:type="gramEnd"/>
      <w:r w:rsidRPr="00070CA7">
        <w:rPr>
          <w:kern w:val="22"/>
        </w:rPr>
        <w:t xml:space="preserve"> the submissions expressed the view that elements related to new technologies, particularly synthetic biology, should be included in the Implementation Plan. The draft Implementation Plan </w:t>
      </w:r>
      <w:r w:rsidR="00406A5A" w:rsidRPr="00070CA7">
        <w:rPr>
          <w:kern w:val="22"/>
        </w:rPr>
        <w:t>took</w:t>
      </w:r>
      <w:r w:rsidRPr="00070CA7">
        <w:rPr>
          <w:kern w:val="22"/>
        </w:rPr>
        <w:t xml:space="preserve"> the approach that where organisms developed through new technologies constitute ‘living modified organisms’ as defined in the Protocol, they </w:t>
      </w:r>
      <w:r w:rsidR="005940A0" w:rsidRPr="00070CA7">
        <w:rPr>
          <w:kern w:val="22"/>
        </w:rPr>
        <w:t>were</w:t>
      </w:r>
      <w:r w:rsidRPr="00070CA7">
        <w:rPr>
          <w:kern w:val="22"/>
        </w:rPr>
        <w:t xml:space="preserve"> already addressed in the Plan. It </w:t>
      </w:r>
      <w:r w:rsidR="00234F34" w:rsidRPr="00070CA7">
        <w:rPr>
          <w:kern w:val="22"/>
        </w:rPr>
        <w:t xml:space="preserve">was also </w:t>
      </w:r>
      <w:r w:rsidRPr="00070CA7">
        <w:rPr>
          <w:kern w:val="22"/>
        </w:rPr>
        <w:t>noted that there are ongoing processes considering these new technologies under both the Convention and the Cartagena Protocol.</w:t>
      </w:r>
      <w:r w:rsidRPr="00070CA7">
        <w:rPr>
          <w:rStyle w:val="FootnoteReference"/>
          <w:kern w:val="22"/>
          <w:u w:val="none"/>
          <w:vertAlign w:val="superscript"/>
        </w:rPr>
        <w:footnoteReference w:id="3"/>
      </w:r>
      <w:r w:rsidRPr="00070CA7">
        <w:rPr>
          <w:kern w:val="22"/>
        </w:rPr>
        <w:t xml:space="preserve"> The outcomes of these processes may also assist in determining work to be done on the potential impacts of these new technologies on biological diversity.</w:t>
      </w:r>
    </w:p>
    <w:p w14:paraId="38743FAA" w14:textId="185E5BCC" w:rsidR="00790C8D" w:rsidRPr="00070CA7" w:rsidRDefault="00D64216" w:rsidP="00EB315D">
      <w:pPr>
        <w:pStyle w:val="Heading2"/>
        <w:numPr>
          <w:ilvl w:val="0"/>
          <w:numId w:val="30"/>
        </w:numPr>
        <w:rPr>
          <w:i w:val="0"/>
          <w:kern w:val="22"/>
        </w:rPr>
      </w:pPr>
      <w:bookmarkStart w:id="6" w:name="_Hlk19873586"/>
      <w:r w:rsidRPr="00070CA7">
        <w:rPr>
          <w:i w:val="0"/>
          <w:kern w:val="22"/>
        </w:rPr>
        <w:t>Development of the revised draft Implementation Plan</w:t>
      </w:r>
    </w:p>
    <w:p w14:paraId="16130862" w14:textId="41DC1087" w:rsidR="004C6156" w:rsidRPr="00070CA7" w:rsidRDefault="007B01B8" w:rsidP="00135A4F">
      <w:pPr>
        <w:numPr>
          <w:ilvl w:val="0"/>
          <w:numId w:val="20"/>
        </w:numPr>
        <w:spacing w:after="200"/>
        <w:ind w:left="0" w:firstLine="0"/>
        <w:rPr>
          <w:kern w:val="22"/>
        </w:rPr>
      </w:pPr>
      <w:r w:rsidRPr="00070CA7">
        <w:rPr>
          <w:kern w:val="22"/>
        </w:rPr>
        <w:t xml:space="preserve">The draft Implementation Plan was considered during open-ended online discussions. </w:t>
      </w:r>
      <w:r w:rsidR="004C6156" w:rsidRPr="00070CA7">
        <w:rPr>
          <w:kern w:val="22"/>
        </w:rPr>
        <w:t xml:space="preserve">As can be seen in the report of the online discussions (CBD/CP/LG/2019/1/INF/2), the views expressed were generally supportive of </w:t>
      </w:r>
      <w:r w:rsidR="000A16B2" w:rsidRPr="00070CA7">
        <w:rPr>
          <w:kern w:val="22"/>
        </w:rPr>
        <w:t>the draft Implementation Pl</w:t>
      </w:r>
      <w:r w:rsidR="00750E5E" w:rsidRPr="00070CA7">
        <w:rPr>
          <w:kern w:val="22"/>
        </w:rPr>
        <w:t xml:space="preserve">an, including its structure and the division of the goals </w:t>
      </w:r>
      <w:r w:rsidR="00241B8B" w:rsidRPr="00070CA7">
        <w:rPr>
          <w:kern w:val="22"/>
        </w:rPr>
        <w:t>between</w:t>
      </w:r>
      <w:r w:rsidR="00750E5E" w:rsidRPr="00070CA7">
        <w:rPr>
          <w:kern w:val="22"/>
        </w:rPr>
        <w:t xml:space="preserve"> ‘areas for implementation, and ‘enabling environment’.</w:t>
      </w:r>
    </w:p>
    <w:p w14:paraId="16367ED8" w14:textId="7BA902A6" w:rsidR="00F23D56" w:rsidRPr="00070CA7" w:rsidRDefault="009528DC" w:rsidP="00135A4F">
      <w:pPr>
        <w:numPr>
          <w:ilvl w:val="0"/>
          <w:numId w:val="20"/>
        </w:numPr>
        <w:spacing w:after="200"/>
        <w:ind w:left="0" w:firstLine="0"/>
        <w:rPr>
          <w:kern w:val="22"/>
        </w:rPr>
      </w:pPr>
      <w:proofErr w:type="gramStart"/>
      <w:r w:rsidRPr="00070CA7">
        <w:rPr>
          <w:kern w:val="22"/>
        </w:rPr>
        <w:t>On the basis of</w:t>
      </w:r>
      <w:proofErr w:type="gramEnd"/>
      <w:r w:rsidRPr="00070CA7">
        <w:rPr>
          <w:kern w:val="22"/>
        </w:rPr>
        <w:t xml:space="preserve"> the comments made during the online discussions, the Secretariat developed a revised draft Implementation Plan, addressing in particular the following issues</w:t>
      </w:r>
      <w:r w:rsidR="00F23D56" w:rsidRPr="00070CA7">
        <w:rPr>
          <w:kern w:val="22"/>
        </w:rPr>
        <w:t xml:space="preserve">: </w:t>
      </w:r>
    </w:p>
    <w:p w14:paraId="0FA9E492" w14:textId="32BED44D" w:rsidR="00F23D56" w:rsidRPr="00070CA7" w:rsidRDefault="00904B1B" w:rsidP="00EB315D">
      <w:pPr>
        <w:numPr>
          <w:ilvl w:val="0"/>
          <w:numId w:val="32"/>
        </w:numPr>
        <w:spacing w:after="200"/>
        <w:ind w:left="0" w:firstLine="709"/>
        <w:rPr>
          <w:kern w:val="22"/>
        </w:rPr>
      </w:pPr>
      <w:r w:rsidRPr="00070CA7">
        <w:rPr>
          <w:kern w:val="22"/>
        </w:rPr>
        <w:t>T</w:t>
      </w:r>
      <w:r w:rsidR="00955DAC" w:rsidRPr="00070CA7">
        <w:rPr>
          <w:kern w:val="22"/>
        </w:rPr>
        <w:t>wo additional goals were formulated,</w:t>
      </w:r>
      <w:r w:rsidR="00241B8B" w:rsidRPr="00070CA7">
        <w:rPr>
          <w:kern w:val="22"/>
        </w:rPr>
        <w:t xml:space="preserve"> one to</w:t>
      </w:r>
      <w:r w:rsidR="00955DAC" w:rsidRPr="00070CA7">
        <w:rPr>
          <w:kern w:val="22"/>
        </w:rPr>
        <w:t xml:space="preserve"> address illegal and unintentional transboundary movements; and </w:t>
      </w:r>
      <w:r w:rsidR="00241B8B" w:rsidRPr="00070CA7">
        <w:rPr>
          <w:kern w:val="22"/>
        </w:rPr>
        <w:t>the other to address</w:t>
      </w:r>
      <w:r w:rsidR="00955DAC" w:rsidRPr="00070CA7">
        <w:rPr>
          <w:kern w:val="22"/>
        </w:rPr>
        <w:t xml:space="preserve"> handling, transport, packaging and identification</w:t>
      </w:r>
      <w:r w:rsidR="00F23D56" w:rsidRPr="00070CA7">
        <w:rPr>
          <w:kern w:val="22"/>
        </w:rPr>
        <w:t>;</w:t>
      </w:r>
    </w:p>
    <w:p w14:paraId="6462EB51" w14:textId="47D06E32" w:rsidR="00BD0CF3" w:rsidRPr="00070CA7" w:rsidRDefault="00BD0CF3" w:rsidP="00EB315D">
      <w:pPr>
        <w:numPr>
          <w:ilvl w:val="0"/>
          <w:numId w:val="32"/>
        </w:numPr>
        <w:spacing w:after="200"/>
        <w:ind w:left="0" w:firstLine="709"/>
        <w:rPr>
          <w:kern w:val="22"/>
        </w:rPr>
      </w:pPr>
      <w:r w:rsidRPr="00070CA7">
        <w:rPr>
          <w:kern w:val="22"/>
        </w:rPr>
        <w:t>One objective was added under the goal related to the Nagoya-Kuala Lumpur Supplementary Protocol on Liability and Redress</w:t>
      </w:r>
      <w:r w:rsidR="00FA036A" w:rsidRPr="00070CA7">
        <w:rPr>
          <w:kern w:val="22"/>
        </w:rPr>
        <w:t>, as well as an indicator</w:t>
      </w:r>
      <w:r w:rsidRPr="00070CA7">
        <w:rPr>
          <w:kern w:val="22"/>
        </w:rPr>
        <w:t>;</w:t>
      </w:r>
    </w:p>
    <w:p w14:paraId="550CC6B3" w14:textId="49BC5B06" w:rsidR="00955DAC" w:rsidRPr="00384DA5" w:rsidRDefault="00F23D56" w:rsidP="00384DA5">
      <w:pPr>
        <w:numPr>
          <w:ilvl w:val="0"/>
          <w:numId w:val="32"/>
        </w:numPr>
        <w:spacing w:after="200"/>
        <w:ind w:left="0" w:firstLine="709"/>
        <w:rPr>
          <w:kern w:val="22"/>
        </w:rPr>
      </w:pPr>
      <w:r w:rsidRPr="00070CA7">
        <w:rPr>
          <w:kern w:val="22"/>
        </w:rPr>
        <w:t xml:space="preserve">The sequence of the goals </w:t>
      </w:r>
      <w:r w:rsidR="00241B8B" w:rsidRPr="00070CA7">
        <w:rPr>
          <w:kern w:val="22"/>
        </w:rPr>
        <w:t>in</w:t>
      </w:r>
      <w:r w:rsidR="00A201EC" w:rsidRPr="00070CA7">
        <w:rPr>
          <w:kern w:val="22"/>
        </w:rPr>
        <w:t xml:space="preserve"> the </w:t>
      </w:r>
      <w:r w:rsidR="00241B8B" w:rsidRPr="00070CA7">
        <w:rPr>
          <w:kern w:val="22"/>
        </w:rPr>
        <w:t>‘</w:t>
      </w:r>
      <w:r w:rsidR="00A201EC" w:rsidRPr="00070CA7">
        <w:rPr>
          <w:kern w:val="22"/>
        </w:rPr>
        <w:t>areas for implementation</w:t>
      </w:r>
      <w:r w:rsidR="00241B8B" w:rsidRPr="00070CA7">
        <w:rPr>
          <w:kern w:val="22"/>
        </w:rPr>
        <w:t>’</w:t>
      </w:r>
      <w:r w:rsidR="00A201EC" w:rsidRPr="00070CA7">
        <w:rPr>
          <w:kern w:val="22"/>
        </w:rPr>
        <w:t xml:space="preserve"> (</w:t>
      </w:r>
      <w:r w:rsidR="00CF2587" w:rsidRPr="00070CA7">
        <w:rPr>
          <w:kern w:val="22"/>
        </w:rPr>
        <w:t xml:space="preserve">part </w:t>
      </w:r>
      <w:r w:rsidR="00A201EC" w:rsidRPr="00070CA7">
        <w:rPr>
          <w:kern w:val="22"/>
        </w:rPr>
        <w:t xml:space="preserve">A) </w:t>
      </w:r>
      <w:r w:rsidRPr="00070CA7">
        <w:rPr>
          <w:kern w:val="22"/>
        </w:rPr>
        <w:t>was altered</w:t>
      </w:r>
      <w:r w:rsidR="000725EA" w:rsidRPr="00070CA7">
        <w:rPr>
          <w:kern w:val="22"/>
        </w:rPr>
        <w:t xml:space="preserve">, placing </w:t>
      </w:r>
      <w:r w:rsidR="00241B8B" w:rsidRPr="00070CA7">
        <w:rPr>
          <w:kern w:val="22"/>
        </w:rPr>
        <w:t xml:space="preserve">more general </w:t>
      </w:r>
      <w:r w:rsidR="000725EA" w:rsidRPr="00070CA7">
        <w:rPr>
          <w:kern w:val="22"/>
        </w:rPr>
        <w:t>goals related to implementation first</w:t>
      </w:r>
      <w:r w:rsidR="009B7C08" w:rsidRPr="00070CA7">
        <w:rPr>
          <w:kern w:val="22"/>
        </w:rPr>
        <w:t xml:space="preserve"> and</w:t>
      </w:r>
      <w:r w:rsidR="000725EA" w:rsidRPr="00070CA7">
        <w:rPr>
          <w:kern w:val="22"/>
        </w:rPr>
        <w:t xml:space="preserve"> </w:t>
      </w:r>
      <w:r w:rsidR="00241B8B" w:rsidRPr="00070CA7">
        <w:rPr>
          <w:kern w:val="22"/>
        </w:rPr>
        <w:t xml:space="preserve">more specific </w:t>
      </w:r>
      <w:r w:rsidR="000725EA" w:rsidRPr="00070CA7">
        <w:rPr>
          <w:kern w:val="22"/>
        </w:rPr>
        <w:t xml:space="preserve">goals related to technical aspects </w:t>
      </w:r>
      <w:r w:rsidR="00241B8B" w:rsidRPr="00070CA7">
        <w:rPr>
          <w:kern w:val="22"/>
        </w:rPr>
        <w:t>second</w:t>
      </w:r>
      <w:r w:rsidR="00241B8B" w:rsidRPr="00384DA5">
        <w:rPr>
          <w:kern w:val="22"/>
        </w:rPr>
        <w:t>.</w:t>
      </w:r>
      <w:r w:rsidR="00955DAC" w:rsidRPr="00384DA5">
        <w:rPr>
          <w:kern w:val="22"/>
        </w:rPr>
        <w:t xml:space="preserve"> </w:t>
      </w:r>
    </w:p>
    <w:p w14:paraId="71013E7F" w14:textId="149B3EC8" w:rsidR="00F80D8F" w:rsidRPr="00BC0F71" w:rsidRDefault="00967994" w:rsidP="00135A4F">
      <w:pPr>
        <w:numPr>
          <w:ilvl w:val="0"/>
          <w:numId w:val="20"/>
        </w:numPr>
        <w:spacing w:after="200"/>
        <w:ind w:left="0" w:firstLine="0"/>
        <w:rPr>
          <w:kern w:val="22"/>
        </w:rPr>
      </w:pPr>
      <w:r w:rsidRPr="00BC0F71">
        <w:rPr>
          <w:kern w:val="22"/>
        </w:rPr>
        <w:t xml:space="preserve">As described in paragraph 13(c) above, the indicators in the Implementation Plan were initially intended to measure the outcomes rather than the objectives. </w:t>
      </w:r>
      <w:r w:rsidR="00384DA5" w:rsidRPr="00BC0F71">
        <w:rPr>
          <w:kern w:val="22"/>
        </w:rPr>
        <w:t>It was suggested</w:t>
      </w:r>
      <w:r w:rsidRPr="00BC0F71">
        <w:rPr>
          <w:kern w:val="22"/>
        </w:rPr>
        <w:t xml:space="preserve"> </w:t>
      </w:r>
      <w:r w:rsidR="00384DA5" w:rsidRPr="00BC0F71">
        <w:rPr>
          <w:kern w:val="22"/>
        </w:rPr>
        <w:t xml:space="preserve">during the online discussions </w:t>
      </w:r>
      <w:r w:rsidRPr="00BC0F71">
        <w:rPr>
          <w:kern w:val="22"/>
        </w:rPr>
        <w:t xml:space="preserve">however, </w:t>
      </w:r>
      <w:r w:rsidR="00384DA5" w:rsidRPr="00BC0F71">
        <w:rPr>
          <w:kern w:val="22"/>
        </w:rPr>
        <w:t xml:space="preserve">that each objective should have at least one corresponding indicator. As a result, </w:t>
      </w:r>
      <w:proofErr w:type="gramStart"/>
      <w:r w:rsidR="00384DA5" w:rsidRPr="00BC0F71">
        <w:rPr>
          <w:kern w:val="22"/>
        </w:rPr>
        <w:t>a number of</w:t>
      </w:r>
      <w:proofErr w:type="gramEnd"/>
      <w:r w:rsidR="00384DA5" w:rsidRPr="00BC0F71">
        <w:rPr>
          <w:kern w:val="22"/>
        </w:rPr>
        <w:t xml:space="preserve"> indicators </w:t>
      </w:r>
      <w:r w:rsidR="00723006" w:rsidRPr="00BC0F71">
        <w:rPr>
          <w:kern w:val="22"/>
        </w:rPr>
        <w:t>were</w:t>
      </w:r>
      <w:r w:rsidR="00384DA5" w:rsidRPr="00BC0F71">
        <w:rPr>
          <w:kern w:val="22"/>
        </w:rPr>
        <w:t xml:space="preserve"> added to the revised draft Implementation Plan. </w:t>
      </w:r>
      <w:r w:rsidR="00E40C71" w:rsidRPr="00BC0F71">
        <w:rPr>
          <w:kern w:val="22"/>
        </w:rPr>
        <w:t>For some objectives multiple indicators are presented, while in a few instances</w:t>
      </w:r>
      <w:r w:rsidR="00DB0727" w:rsidRPr="00BC0F71">
        <w:rPr>
          <w:kern w:val="22"/>
        </w:rPr>
        <w:t>,</w:t>
      </w:r>
      <w:r w:rsidR="00E40C71" w:rsidRPr="00BC0F71">
        <w:rPr>
          <w:kern w:val="22"/>
        </w:rPr>
        <w:t xml:space="preserve"> </w:t>
      </w:r>
      <w:r w:rsidR="00B85D8B" w:rsidRPr="00BC0F71">
        <w:rPr>
          <w:kern w:val="22"/>
        </w:rPr>
        <w:t>indicators are presented that would facilitate measuring progress towards more than one objective.</w:t>
      </w:r>
      <w:r w:rsidR="00552B31" w:rsidRPr="00BC0F71">
        <w:rPr>
          <w:kern w:val="22"/>
        </w:rPr>
        <w:t xml:space="preserve"> </w:t>
      </w:r>
      <w:r w:rsidR="00A55C4C" w:rsidRPr="00BC0F71">
        <w:rPr>
          <w:kern w:val="22"/>
        </w:rPr>
        <w:t xml:space="preserve">The revised list of indicators may be used to measure progress towards </w:t>
      </w:r>
      <w:r w:rsidR="00A55C4C" w:rsidRPr="00BC0F71">
        <w:rPr>
          <w:kern w:val="22"/>
        </w:rPr>
        <w:lastRenderedPageBreak/>
        <w:t xml:space="preserve">accomplishing the objectives, thereby indirectly gauging the achievement of the outcome of the associated goal. </w:t>
      </w:r>
    </w:p>
    <w:p w14:paraId="61DA9436" w14:textId="02475761" w:rsidR="00F80D8F" w:rsidRDefault="00F80D8F" w:rsidP="00F80D8F">
      <w:pPr>
        <w:numPr>
          <w:ilvl w:val="0"/>
          <w:numId w:val="20"/>
        </w:numPr>
        <w:spacing w:after="200"/>
        <w:ind w:left="0" w:firstLine="0"/>
        <w:rPr>
          <w:kern w:val="22"/>
        </w:rPr>
      </w:pPr>
      <w:r>
        <w:rPr>
          <w:kern w:val="22"/>
        </w:rPr>
        <w:t>It may also be noted that in decision CP-VIII/15</w:t>
      </w:r>
      <w:r w:rsidR="00765BB6">
        <w:rPr>
          <w:kern w:val="22"/>
        </w:rPr>
        <w:t xml:space="preserve"> on the third assessment and review of the effectiveness of the Protocol and the mid-term evaluation of the Strategic Plan</w:t>
      </w:r>
      <w:r>
        <w:rPr>
          <w:kern w:val="22"/>
        </w:rPr>
        <w:t>, the Conference of the Parties serving as the meeting of the Parties to the Protocol provided the following guidance:</w:t>
      </w:r>
    </w:p>
    <w:p w14:paraId="1974BEE6" w14:textId="5CD8079B" w:rsidR="00F80D8F" w:rsidRPr="00F80D8F" w:rsidRDefault="00F80D8F" w:rsidP="007B05ED">
      <w:pPr>
        <w:pStyle w:val="ListParagraph"/>
        <w:numPr>
          <w:ilvl w:val="0"/>
          <w:numId w:val="35"/>
        </w:numPr>
        <w:spacing w:line="240" w:lineRule="auto"/>
        <w:jc w:val="both"/>
        <w:rPr>
          <w:rFonts w:ascii="Times New Roman" w:hAnsi="Times New Roman" w:cs="Times New Roman"/>
          <w:kern w:val="22"/>
        </w:rPr>
      </w:pPr>
      <w:r w:rsidRPr="00F80D8F">
        <w:rPr>
          <w:rFonts w:ascii="Times New Roman" w:hAnsi="Times New Roman" w:cs="Times New Roman"/>
          <w:kern w:val="22"/>
        </w:rPr>
        <w:t>it noted the absence of clear linkages between some of the outcomes and indicators in the current Strategic Plan and agreed to improve such linkages in a follow-up to the Strategic Plan</w:t>
      </w:r>
      <w:r w:rsidR="00134F39">
        <w:rPr>
          <w:rFonts w:ascii="Times New Roman" w:hAnsi="Times New Roman" w:cs="Times New Roman"/>
          <w:kern w:val="22"/>
        </w:rPr>
        <w:t xml:space="preserve"> (para. 6 of the decision)</w:t>
      </w:r>
      <w:r w:rsidRPr="00F80D8F">
        <w:rPr>
          <w:rFonts w:ascii="Times New Roman" w:hAnsi="Times New Roman" w:cs="Times New Roman"/>
          <w:kern w:val="22"/>
        </w:rPr>
        <w:t>;</w:t>
      </w:r>
    </w:p>
    <w:p w14:paraId="2ECC4AE2" w14:textId="66A8B912" w:rsidR="00F80D8F" w:rsidRPr="00F80D8F" w:rsidRDefault="00F80D8F" w:rsidP="007B05ED">
      <w:pPr>
        <w:pStyle w:val="ListParagraph"/>
        <w:numPr>
          <w:ilvl w:val="0"/>
          <w:numId w:val="35"/>
        </w:numPr>
        <w:spacing w:line="240" w:lineRule="auto"/>
        <w:jc w:val="both"/>
        <w:rPr>
          <w:rFonts w:ascii="Times New Roman" w:hAnsi="Times New Roman" w:cs="Times New Roman"/>
          <w:kern w:val="22"/>
        </w:rPr>
      </w:pPr>
      <w:r w:rsidRPr="00F80D8F">
        <w:rPr>
          <w:rFonts w:ascii="Times New Roman" w:hAnsi="Times New Roman" w:cs="Times New Roman"/>
          <w:kern w:val="22"/>
        </w:rPr>
        <w:t>it noted that in the follow-up to the Strategic Plan, indicators should be simplified, streamlined and made easily measurable with a view to ensuring that progress towards achieving operational objectives can be readily tracked and quantified</w:t>
      </w:r>
      <w:r w:rsidR="00134F39">
        <w:rPr>
          <w:rFonts w:ascii="Times New Roman" w:hAnsi="Times New Roman" w:cs="Times New Roman"/>
          <w:kern w:val="22"/>
        </w:rPr>
        <w:t xml:space="preserve"> (para. 7 of the decision)</w:t>
      </w:r>
      <w:r w:rsidRPr="00F80D8F">
        <w:rPr>
          <w:rFonts w:ascii="Times New Roman" w:hAnsi="Times New Roman" w:cs="Times New Roman"/>
          <w:kern w:val="22"/>
        </w:rPr>
        <w:t>.</w:t>
      </w:r>
    </w:p>
    <w:p w14:paraId="1B5F2BF1" w14:textId="52706534" w:rsidR="00F80D8F" w:rsidRDefault="00F80D8F" w:rsidP="00135A4F">
      <w:pPr>
        <w:numPr>
          <w:ilvl w:val="0"/>
          <w:numId w:val="20"/>
        </w:numPr>
        <w:spacing w:after="200"/>
        <w:ind w:left="0" w:firstLine="0"/>
        <w:rPr>
          <w:kern w:val="22"/>
        </w:rPr>
      </w:pPr>
      <w:r>
        <w:rPr>
          <w:kern w:val="22"/>
        </w:rPr>
        <w:t>Accordingly, further consideration of the linkages between the objectives, outcomes and indicators may be needed.</w:t>
      </w:r>
    </w:p>
    <w:p w14:paraId="4DF512C1" w14:textId="77C9FA21" w:rsidR="00FE4B4A" w:rsidRPr="00070CA7" w:rsidRDefault="008F7008" w:rsidP="00135A4F">
      <w:pPr>
        <w:numPr>
          <w:ilvl w:val="0"/>
          <w:numId w:val="20"/>
        </w:numPr>
        <w:spacing w:after="200"/>
        <w:ind w:left="0" w:firstLine="0"/>
        <w:rPr>
          <w:kern w:val="22"/>
        </w:rPr>
      </w:pPr>
      <w:r w:rsidRPr="00070CA7">
        <w:rPr>
          <w:kern w:val="22"/>
        </w:rPr>
        <w:t xml:space="preserve">In </w:t>
      </w:r>
      <w:r w:rsidR="00BA5EE2" w:rsidRPr="00070CA7">
        <w:rPr>
          <w:kern w:val="22"/>
        </w:rPr>
        <w:t xml:space="preserve">making changes to the </w:t>
      </w:r>
      <w:r w:rsidR="00FE4B4A" w:rsidRPr="00070CA7">
        <w:rPr>
          <w:kern w:val="22"/>
        </w:rPr>
        <w:t xml:space="preserve">table in the </w:t>
      </w:r>
      <w:r w:rsidR="00BA5EE2" w:rsidRPr="00070CA7">
        <w:rPr>
          <w:kern w:val="22"/>
        </w:rPr>
        <w:t>draft Implementation Plan in view of the</w:t>
      </w:r>
      <w:r w:rsidRPr="00070CA7">
        <w:rPr>
          <w:kern w:val="22"/>
        </w:rPr>
        <w:t xml:space="preserve"> comments made, the Secretariat</w:t>
      </w:r>
      <w:r w:rsidR="00BA5EE2" w:rsidRPr="00070CA7">
        <w:rPr>
          <w:kern w:val="22"/>
        </w:rPr>
        <w:t xml:space="preserve"> followed, as much as possible, the</w:t>
      </w:r>
      <w:r w:rsidRPr="00070CA7">
        <w:rPr>
          <w:kern w:val="22"/>
        </w:rPr>
        <w:t xml:space="preserve"> language of the Protocol</w:t>
      </w:r>
      <w:r w:rsidR="00BA5EE2" w:rsidRPr="00070CA7">
        <w:rPr>
          <w:kern w:val="22"/>
        </w:rPr>
        <w:t xml:space="preserve"> and sought to ensure consistency throughout the Implementation Plan.</w:t>
      </w:r>
      <w:r w:rsidR="00241B8B" w:rsidRPr="00070CA7">
        <w:rPr>
          <w:kern w:val="22"/>
        </w:rPr>
        <w:t xml:space="preserve"> As a result, suggestions made during the online discussions that did not follow the wording of the Protocol were </w:t>
      </w:r>
      <w:r w:rsidR="00EC54B8" w:rsidRPr="00070CA7">
        <w:rPr>
          <w:kern w:val="22"/>
        </w:rPr>
        <w:t>incorporated</w:t>
      </w:r>
      <w:r w:rsidR="00792C33" w:rsidRPr="00070CA7">
        <w:rPr>
          <w:kern w:val="22"/>
        </w:rPr>
        <w:t xml:space="preserve"> using the language of the Protocol when possible and appropriate</w:t>
      </w:r>
      <w:r w:rsidR="00EC54B8" w:rsidRPr="00070CA7">
        <w:rPr>
          <w:kern w:val="22"/>
        </w:rPr>
        <w:t>.</w:t>
      </w:r>
      <w:r w:rsidR="00BA5EE2" w:rsidRPr="00070CA7">
        <w:rPr>
          <w:kern w:val="22"/>
        </w:rPr>
        <w:t xml:space="preserve"> </w:t>
      </w:r>
    </w:p>
    <w:p w14:paraId="5C10D3E8" w14:textId="709CF6BD" w:rsidR="00E423B9" w:rsidRDefault="00531CA8" w:rsidP="00C75BB6">
      <w:pPr>
        <w:numPr>
          <w:ilvl w:val="0"/>
          <w:numId w:val="20"/>
        </w:numPr>
        <w:spacing w:after="200"/>
        <w:ind w:left="0" w:firstLine="0"/>
        <w:rPr>
          <w:kern w:val="22"/>
        </w:rPr>
      </w:pPr>
      <w:r w:rsidRPr="00070CA7" w:rsidDel="00850147">
        <w:rPr>
          <w:kern w:val="22"/>
        </w:rPr>
        <w:t xml:space="preserve">In </w:t>
      </w:r>
      <w:r w:rsidR="004F4C23" w:rsidRPr="00070CA7" w:rsidDel="00850147">
        <w:rPr>
          <w:kern w:val="22"/>
        </w:rPr>
        <w:t>both the submissions and t</w:t>
      </w:r>
      <w:r w:rsidR="00406FEE" w:rsidRPr="00070CA7" w:rsidDel="00850147">
        <w:rPr>
          <w:kern w:val="22"/>
        </w:rPr>
        <w:t>he online discussions</w:t>
      </w:r>
      <w:r w:rsidR="004F4C23" w:rsidRPr="00070CA7" w:rsidDel="00850147">
        <w:rPr>
          <w:kern w:val="22"/>
        </w:rPr>
        <w:t>, there were differing views on whether the</w:t>
      </w:r>
      <w:r w:rsidR="00406FEE" w:rsidRPr="00070CA7" w:rsidDel="00850147">
        <w:rPr>
          <w:kern w:val="22"/>
        </w:rPr>
        <w:t xml:space="preserve"> </w:t>
      </w:r>
      <w:r w:rsidR="00944038" w:rsidRPr="00070CA7" w:rsidDel="00850147">
        <w:rPr>
          <w:kern w:val="22"/>
        </w:rPr>
        <w:t>Implementation Plan</w:t>
      </w:r>
      <w:r w:rsidR="004F4C23" w:rsidRPr="00070CA7" w:rsidDel="00850147">
        <w:rPr>
          <w:kern w:val="22"/>
        </w:rPr>
        <w:t xml:space="preserve"> should </w:t>
      </w:r>
      <w:r w:rsidR="00D07BDA" w:rsidRPr="00070CA7" w:rsidDel="00850147">
        <w:rPr>
          <w:kern w:val="22"/>
        </w:rPr>
        <w:t>inclu</w:t>
      </w:r>
      <w:r w:rsidR="004F4C23" w:rsidRPr="00070CA7" w:rsidDel="00850147">
        <w:rPr>
          <w:kern w:val="22"/>
        </w:rPr>
        <w:t>de</w:t>
      </w:r>
      <w:r w:rsidR="00D07BDA" w:rsidRPr="00070CA7" w:rsidDel="00850147">
        <w:rPr>
          <w:kern w:val="22"/>
        </w:rPr>
        <w:t xml:space="preserve"> a vision and mission;</w:t>
      </w:r>
      <w:r w:rsidR="004F4C23" w:rsidRPr="00070CA7" w:rsidDel="00850147">
        <w:rPr>
          <w:kern w:val="22"/>
        </w:rPr>
        <w:t xml:space="preserve"> and whether </w:t>
      </w:r>
      <w:r w:rsidR="00406FEE" w:rsidRPr="00070CA7" w:rsidDel="00850147">
        <w:rPr>
          <w:kern w:val="22"/>
        </w:rPr>
        <w:t xml:space="preserve">a programme of work or milestones </w:t>
      </w:r>
      <w:r w:rsidR="004F4C23" w:rsidRPr="00070CA7" w:rsidDel="00850147">
        <w:rPr>
          <w:kern w:val="22"/>
        </w:rPr>
        <w:t xml:space="preserve">should be developed </w:t>
      </w:r>
      <w:r w:rsidR="00406FEE" w:rsidRPr="00070CA7" w:rsidDel="00850147">
        <w:rPr>
          <w:kern w:val="22"/>
        </w:rPr>
        <w:t>for the Implementation Plan</w:t>
      </w:r>
      <w:r w:rsidR="00D07BDA" w:rsidRPr="00070CA7" w:rsidDel="00850147">
        <w:rPr>
          <w:kern w:val="22"/>
        </w:rPr>
        <w:t>.</w:t>
      </w:r>
      <w:r w:rsidR="00AE78A9" w:rsidRPr="00070CA7" w:rsidDel="00850147">
        <w:rPr>
          <w:kern w:val="22"/>
        </w:rPr>
        <w:t xml:space="preserve"> </w:t>
      </w:r>
      <w:r w:rsidR="00FE4B4A" w:rsidRPr="00070CA7">
        <w:rPr>
          <w:kern w:val="22"/>
        </w:rPr>
        <w:t xml:space="preserve">To address this point, the revised draft Implementation Plan includes a placeholder for a possible narrative ‘chapeau’ </w:t>
      </w:r>
      <w:r w:rsidR="00996591" w:rsidRPr="00070CA7">
        <w:rPr>
          <w:kern w:val="22"/>
        </w:rPr>
        <w:t xml:space="preserve">where </w:t>
      </w:r>
      <w:r w:rsidR="00C63894" w:rsidRPr="00070CA7">
        <w:rPr>
          <w:kern w:val="22"/>
        </w:rPr>
        <w:t xml:space="preserve">different suggestions – </w:t>
      </w:r>
      <w:r w:rsidR="00FE4B4A" w:rsidRPr="00070CA7">
        <w:rPr>
          <w:kern w:val="22"/>
        </w:rPr>
        <w:t>such as a vision and mission for the Implementation Plan, milestones, monitoring and evaluation of the Implementation Plan and flexibility to add elements and milestones</w:t>
      </w:r>
      <w:r w:rsidR="00996591" w:rsidRPr="00070CA7">
        <w:rPr>
          <w:kern w:val="22"/>
        </w:rPr>
        <w:t xml:space="preserve"> </w:t>
      </w:r>
      <w:r w:rsidR="00C63894" w:rsidRPr="00070CA7">
        <w:rPr>
          <w:kern w:val="22"/>
        </w:rPr>
        <w:t xml:space="preserve">– </w:t>
      </w:r>
      <w:r w:rsidR="00996591" w:rsidRPr="00070CA7">
        <w:rPr>
          <w:kern w:val="22"/>
        </w:rPr>
        <w:t>could be addressed</w:t>
      </w:r>
      <w:r w:rsidR="00FE4B4A" w:rsidRPr="00BC0F71">
        <w:rPr>
          <w:kern w:val="22"/>
        </w:rPr>
        <w:t xml:space="preserve">. </w:t>
      </w:r>
      <w:r w:rsidR="00863F5E" w:rsidRPr="00BC0F71">
        <w:rPr>
          <w:kern w:val="22"/>
        </w:rPr>
        <w:t xml:space="preserve">The chapeau could also address the relationship between the </w:t>
      </w:r>
      <w:r w:rsidR="00863F5E" w:rsidRPr="00BC0F71">
        <w:rPr>
          <w:rFonts w:ascii="Times" w:hAnsi="Times" w:cs="Times"/>
          <w:kern w:val="22"/>
        </w:rPr>
        <w:t>Implementation Plan and the post-2020 global biodiversity framework</w:t>
      </w:r>
      <w:r w:rsidR="00863F5E" w:rsidRPr="00BC0F71">
        <w:rPr>
          <w:kern w:val="22"/>
        </w:rPr>
        <w:t xml:space="preserve">, </w:t>
      </w:r>
      <w:proofErr w:type="gramStart"/>
      <w:r w:rsidR="00863F5E" w:rsidRPr="00BC0F71">
        <w:rPr>
          <w:kern w:val="22"/>
        </w:rPr>
        <w:t>in particular how</w:t>
      </w:r>
      <w:proofErr w:type="gramEnd"/>
      <w:r w:rsidR="00863F5E" w:rsidRPr="00BC0F71">
        <w:rPr>
          <w:kern w:val="22"/>
        </w:rPr>
        <w:t xml:space="preserve"> the I</w:t>
      </w:r>
      <w:r w:rsidR="002B5544" w:rsidRPr="00BC0F71">
        <w:rPr>
          <w:kern w:val="22"/>
        </w:rPr>
        <w:t xml:space="preserve">mplementation </w:t>
      </w:r>
      <w:r w:rsidR="00863F5E" w:rsidRPr="00BC0F71">
        <w:rPr>
          <w:kern w:val="22"/>
        </w:rPr>
        <w:t>P</w:t>
      </w:r>
      <w:r w:rsidR="002B5544" w:rsidRPr="00BC0F71">
        <w:rPr>
          <w:kern w:val="22"/>
        </w:rPr>
        <w:t>lan</w:t>
      </w:r>
      <w:r w:rsidR="00863F5E" w:rsidRPr="00BC0F71">
        <w:rPr>
          <w:kern w:val="22"/>
        </w:rPr>
        <w:t xml:space="preserve"> could support achieving the biosafety component of the framework.</w:t>
      </w:r>
      <w:r w:rsidR="00863F5E" w:rsidRPr="00863F5E">
        <w:rPr>
          <w:kern w:val="22"/>
        </w:rPr>
        <w:t xml:space="preserve"> </w:t>
      </w:r>
      <w:r w:rsidR="00FE4B4A" w:rsidRPr="00070CA7">
        <w:rPr>
          <w:kern w:val="22"/>
        </w:rPr>
        <w:t>This would be akin to the current Strategic Plan for the Protocol, which in addition to including the table of elements, also includes sections on</w:t>
      </w:r>
      <w:r w:rsidR="00862251" w:rsidRPr="00070CA7">
        <w:rPr>
          <w:kern w:val="22"/>
        </w:rPr>
        <w:t>, among other things,</w:t>
      </w:r>
      <w:r w:rsidR="00FE4B4A" w:rsidRPr="00070CA7">
        <w:rPr>
          <w:kern w:val="22"/>
        </w:rPr>
        <w:t xml:space="preserve"> the context</w:t>
      </w:r>
      <w:r w:rsidR="00862251" w:rsidRPr="00070CA7">
        <w:rPr>
          <w:kern w:val="22"/>
        </w:rPr>
        <w:t xml:space="preserve"> and</w:t>
      </w:r>
      <w:r w:rsidR="00FE4B4A" w:rsidRPr="00070CA7">
        <w:rPr>
          <w:kern w:val="22"/>
        </w:rPr>
        <w:t xml:space="preserve"> interpretation and monitoring of the Strategic Plan (see decision </w:t>
      </w:r>
      <w:r w:rsidR="00904B1B" w:rsidRPr="00070CA7">
        <w:rPr>
          <w:kern w:val="22"/>
        </w:rPr>
        <w:t>BS</w:t>
      </w:r>
      <w:r w:rsidR="00904B1B" w:rsidRPr="00070CA7">
        <w:rPr>
          <w:kern w:val="22"/>
        </w:rPr>
        <w:noBreakHyphen/>
      </w:r>
      <w:r w:rsidR="00FE4B4A" w:rsidRPr="00070CA7">
        <w:rPr>
          <w:kern w:val="22"/>
        </w:rPr>
        <w:t>V/16, annex I).</w:t>
      </w:r>
      <w:r w:rsidR="00481A85" w:rsidRPr="00C75BB6">
        <w:rPr>
          <w:kern w:val="22"/>
        </w:rPr>
        <w:t xml:space="preserve"> </w:t>
      </w:r>
    </w:p>
    <w:p w14:paraId="64666B54" w14:textId="474832BD" w:rsidR="00D07BDA" w:rsidRPr="00070CA7" w:rsidRDefault="00D07BDA" w:rsidP="00EB315D">
      <w:pPr>
        <w:pStyle w:val="Heading1"/>
        <w:numPr>
          <w:ilvl w:val="0"/>
          <w:numId w:val="33"/>
        </w:numPr>
        <w:ind w:left="0" w:hanging="11"/>
        <w:rPr>
          <w:kern w:val="22"/>
        </w:rPr>
      </w:pPr>
      <w:bookmarkStart w:id="7" w:name="_Hlk19873752"/>
      <w:bookmarkEnd w:id="6"/>
      <w:r w:rsidRPr="00070CA7">
        <w:rPr>
          <w:kern w:val="22"/>
        </w:rPr>
        <w:t>suggestions for consideration by the liaison group</w:t>
      </w:r>
    </w:p>
    <w:p w14:paraId="5B663D2C" w14:textId="2D3364EE" w:rsidR="00944038" w:rsidRPr="00070CA7" w:rsidRDefault="00D07BDA" w:rsidP="00135A4F">
      <w:pPr>
        <w:numPr>
          <w:ilvl w:val="0"/>
          <w:numId w:val="20"/>
        </w:numPr>
        <w:spacing w:after="200"/>
        <w:ind w:left="0" w:firstLine="0"/>
        <w:rPr>
          <w:kern w:val="22"/>
        </w:rPr>
      </w:pPr>
      <w:r w:rsidRPr="00070CA7">
        <w:rPr>
          <w:kern w:val="22"/>
        </w:rPr>
        <w:t xml:space="preserve">In its decision CP-9/7, the </w:t>
      </w:r>
      <w:r w:rsidR="00904B1B" w:rsidRPr="00070CA7">
        <w:rPr>
          <w:rFonts w:ascii="Times" w:hAnsi="Times" w:cs="Times"/>
          <w:kern w:val="22"/>
        </w:rPr>
        <w:t>Conference of the Parties serving as the meeting of the Parties to the Cartagena Protocol</w:t>
      </w:r>
      <w:r w:rsidR="00904B1B" w:rsidRPr="00070CA7" w:rsidDel="00240195">
        <w:rPr>
          <w:rFonts w:ascii="Times" w:hAnsi="Times" w:cs="Times"/>
          <w:kern w:val="22"/>
        </w:rPr>
        <w:t xml:space="preserve"> </w:t>
      </w:r>
      <w:r w:rsidRPr="00070CA7">
        <w:rPr>
          <w:kern w:val="22"/>
        </w:rPr>
        <w:t xml:space="preserve">requested the Liaison Group, at its thirteenth meeting, to review the revised draft Implementation Plan. Consequently, the Liaison Group is invited to consider the revised draft Implementation Plan, presented in the </w:t>
      </w:r>
      <w:r w:rsidR="00904B1B" w:rsidRPr="00070CA7">
        <w:rPr>
          <w:kern w:val="22"/>
        </w:rPr>
        <w:t>a</w:t>
      </w:r>
      <w:r w:rsidRPr="00070CA7">
        <w:rPr>
          <w:kern w:val="22"/>
        </w:rPr>
        <w:t>nnex to th</w:t>
      </w:r>
      <w:r w:rsidR="00904B1B" w:rsidRPr="00070CA7">
        <w:rPr>
          <w:kern w:val="22"/>
        </w:rPr>
        <w:t>e present</w:t>
      </w:r>
      <w:r w:rsidRPr="00070CA7">
        <w:rPr>
          <w:kern w:val="22"/>
        </w:rPr>
        <w:t xml:space="preserve"> document.</w:t>
      </w:r>
    </w:p>
    <w:bookmarkEnd w:id="7"/>
    <w:p w14:paraId="03D31BEA" w14:textId="3B43CB99" w:rsidR="00A2631D" w:rsidRPr="00070CA7" w:rsidRDefault="00FE4B4A" w:rsidP="00135A4F">
      <w:pPr>
        <w:numPr>
          <w:ilvl w:val="0"/>
          <w:numId w:val="20"/>
        </w:numPr>
        <w:spacing w:after="200"/>
        <w:ind w:left="0" w:firstLine="0"/>
        <w:rPr>
          <w:kern w:val="22"/>
        </w:rPr>
      </w:pPr>
      <w:r w:rsidRPr="00070CA7">
        <w:rPr>
          <w:kern w:val="22"/>
        </w:rPr>
        <w:t>Some specific aspects of the revised draft Implementation Plan that t</w:t>
      </w:r>
      <w:r w:rsidR="00E1782C" w:rsidRPr="00070CA7">
        <w:rPr>
          <w:kern w:val="22"/>
        </w:rPr>
        <w:t>he Liaison Group may wish to discuss further</w:t>
      </w:r>
      <w:r w:rsidRPr="00070CA7">
        <w:rPr>
          <w:kern w:val="22"/>
        </w:rPr>
        <w:t xml:space="preserve"> include:</w:t>
      </w:r>
    </w:p>
    <w:p w14:paraId="60C8A831" w14:textId="21BB7B35" w:rsidR="00FE4B4A" w:rsidRPr="00070CA7" w:rsidRDefault="008D09B0" w:rsidP="00EB315D">
      <w:pPr>
        <w:numPr>
          <w:ilvl w:val="1"/>
          <w:numId w:val="34"/>
        </w:numPr>
        <w:spacing w:after="200"/>
        <w:ind w:left="0" w:firstLine="709"/>
        <w:rPr>
          <w:kern w:val="22"/>
        </w:rPr>
      </w:pPr>
      <w:r w:rsidRPr="00070CA7">
        <w:rPr>
          <w:kern w:val="22"/>
        </w:rPr>
        <w:t>The</w:t>
      </w:r>
      <w:r w:rsidR="001D2C0B" w:rsidRPr="00070CA7">
        <w:rPr>
          <w:kern w:val="22"/>
        </w:rPr>
        <w:t xml:space="preserve"> </w:t>
      </w:r>
      <w:r w:rsidR="00FE4B4A" w:rsidRPr="00070CA7">
        <w:rPr>
          <w:kern w:val="22"/>
        </w:rPr>
        <w:t>revised</w:t>
      </w:r>
      <w:r w:rsidR="001D2C0B" w:rsidRPr="00070CA7">
        <w:rPr>
          <w:kern w:val="22"/>
        </w:rPr>
        <w:t xml:space="preserve"> table of goals, objectives, outcomes and indicators</w:t>
      </w:r>
      <w:r w:rsidR="00FE4B4A" w:rsidRPr="00070CA7">
        <w:rPr>
          <w:kern w:val="22"/>
        </w:rPr>
        <w:t>;</w:t>
      </w:r>
    </w:p>
    <w:p w14:paraId="0B216EEC" w14:textId="40B1F2D3" w:rsidR="00FE4B4A" w:rsidRPr="00070CA7" w:rsidRDefault="00FE4B4A" w:rsidP="00EB315D">
      <w:pPr>
        <w:numPr>
          <w:ilvl w:val="1"/>
          <w:numId w:val="34"/>
        </w:numPr>
        <w:spacing w:after="200"/>
        <w:ind w:left="0" w:firstLine="709"/>
        <w:rPr>
          <w:kern w:val="22"/>
        </w:rPr>
      </w:pPr>
      <w:r w:rsidRPr="00070CA7">
        <w:rPr>
          <w:kern w:val="22"/>
        </w:rPr>
        <w:t>Possible references to indigenous peoples and local communities (IPLCs) – during the online discussions,</w:t>
      </w:r>
      <w:r w:rsidR="008D09B0" w:rsidRPr="00070CA7">
        <w:rPr>
          <w:kern w:val="22"/>
        </w:rPr>
        <w:t xml:space="preserve"> </w:t>
      </w:r>
      <w:r w:rsidRPr="00070CA7">
        <w:rPr>
          <w:kern w:val="22"/>
        </w:rPr>
        <w:t xml:space="preserve">there were </w:t>
      </w:r>
      <w:proofErr w:type="gramStart"/>
      <w:r w:rsidRPr="00070CA7">
        <w:rPr>
          <w:kern w:val="22"/>
        </w:rPr>
        <w:t>a number of</w:t>
      </w:r>
      <w:proofErr w:type="gramEnd"/>
      <w:r w:rsidRPr="00070CA7">
        <w:rPr>
          <w:kern w:val="22"/>
        </w:rPr>
        <w:t xml:space="preserve"> proposals to include language on IPLCs, in particular in certain indicators. Given the limited references to IPLCs in the Protocol, it was difficult to incorporate these proposals in the revised draft Implementation Plan;</w:t>
      </w:r>
    </w:p>
    <w:p w14:paraId="3700B8EA" w14:textId="4A7B44CD" w:rsidR="00DF08E8" w:rsidRPr="00070CA7" w:rsidRDefault="002A46B6" w:rsidP="00EB315D">
      <w:pPr>
        <w:numPr>
          <w:ilvl w:val="1"/>
          <w:numId w:val="34"/>
        </w:numPr>
        <w:spacing w:after="200"/>
        <w:ind w:left="0" w:firstLine="709"/>
        <w:rPr>
          <w:kern w:val="22"/>
        </w:rPr>
      </w:pPr>
      <w:r w:rsidRPr="00070CA7">
        <w:rPr>
          <w:kern w:val="22"/>
        </w:rPr>
        <w:t>Whether to indicat</w:t>
      </w:r>
      <w:r w:rsidR="00696AB6" w:rsidRPr="00070CA7">
        <w:rPr>
          <w:kern w:val="22"/>
        </w:rPr>
        <w:t>e</w:t>
      </w:r>
      <w:r w:rsidRPr="00070CA7">
        <w:rPr>
          <w:kern w:val="22"/>
        </w:rPr>
        <w:t xml:space="preserve"> </w:t>
      </w:r>
      <w:r w:rsidR="00696AB6" w:rsidRPr="00070CA7">
        <w:rPr>
          <w:kern w:val="22"/>
        </w:rPr>
        <w:t>which</w:t>
      </w:r>
      <w:r w:rsidRPr="00070CA7">
        <w:rPr>
          <w:kern w:val="22"/>
        </w:rPr>
        <w:t xml:space="preserve"> articles </w:t>
      </w:r>
      <w:r w:rsidR="00696AB6" w:rsidRPr="00070CA7">
        <w:rPr>
          <w:kern w:val="22"/>
        </w:rPr>
        <w:t>of</w:t>
      </w:r>
      <w:r w:rsidRPr="00070CA7">
        <w:rPr>
          <w:kern w:val="22"/>
        </w:rPr>
        <w:t xml:space="preserve"> the Protocol the goals</w:t>
      </w:r>
      <w:r w:rsidR="00696AB6" w:rsidRPr="00070CA7">
        <w:rPr>
          <w:kern w:val="22"/>
        </w:rPr>
        <w:t xml:space="preserve"> are intended to respond to – this was suggested during the online discussions; however, implementing it in practice is not straightforward as </w:t>
      </w:r>
      <w:r w:rsidR="00696AB6" w:rsidRPr="00070CA7">
        <w:rPr>
          <w:kern w:val="22"/>
        </w:rPr>
        <w:lastRenderedPageBreak/>
        <w:t>some goals relate to procedural articles that have been developed further since the adoption of the Protocol (e.g. goal 3 on compliance) and there may be differing views on which articles to list against some goals (e.g. goal 4 on the Biosafety Clearing-House)</w:t>
      </w:r>
      <w:r w:rsidRPr="00070CA7">
        <w:rPr>
          <w:kern w:val="22"/>
        </w:rPr>
        <w:t xml:space="preserve">; </w:t>
      </w:r>
      <w:r w:rsidR="00DF08E8" w:rsidRPr="00070CA7">
        <w:rPr>
          <w:kern w:val="22"/>
        </w:rPr>
        <w:t xml:space="preserve"> </w:t>
      </w:r>
    </w:p>
    <w:p w14:paraId="6781E074" w14:textId="6781CB7B" w:rsidR="008D09B0" w:rsidRPr="00070CA7" w:rsidRDefault="00FE4B4A" w:rsidP="00EB315D">
      <w:pPr>
        <w:numPr>
          <w:ilvl w:val="1"/>
          <w:numId w:val="34"/>
        </w:numPr>
        <w:spacing w:after="200"/>
        <w:ind w:left="0" w:firstLine="709"/>
        <w:rPr>
          <w:kern w:val="22"/>
        </w:rPr>
      </w:pPr>
      <w:r w:rsidRPr="00070CA7">
        <w:rPr>
          <w:kern w:val="22"/>
        </w:rPr>
        <w:t>The development of a narrative chapeau.</w:t>
      </w:r>
    </w:p>
    <w:p w14:paraId="0146911F" w14:textId="0B3A072A" w:rsidR="00D258C2" w:rsidRPr="00070CA7" w:rsidRDefault="00D258C2" w:rsidP="00135A4F">
      <w:pPr>
        <w:rPr>
          <w:rFonts w:ascii="Times" w:hAnsi="Times" w:cs="Times"/>
          <w:kern w:val="22"/>
        </w:rPr>
      </w:pPr>
    </w:p>
    <w:p w14:paraId="511E7552" w14:textId="77777777" w:rsidR="00D258C2" w:rsidRPr="00070CA7" w:rsidRDefault="00D258C2" w:rsidP="00721660">
      <w:pPr>
        <w:spacing w:after="200" w:line="276" w:lineRule="auto"/>
        <w:rPr>
          <w:rFonts w:ascii="Times" w:hAnsi="Times" w:cs="Times"/>
          <w:kern w:val="22"/>
        </w:rPr>
        <w:sectPr w:rsidR="00D258C2" w:rsidRPr="00070CA7" w:rsidSect="008E5DB7">
          <w:headerReference w:type="even" r:id="rId16"/>
          <w:headerReference w:type="default" r:id="rId17"/>
          <w:pgSz w:w="12240" w:h="15840"/>
          <w:pgMar w:top="567" w:right="1389" w:bottom="1134" w:left="1389" w:header="709" w:footer="709" w:gutter="0"/>
          <w:cols w:space="708"/>
          <w:titlePg/>
          <w:docGrid w:linePitch="360"/>
        </w:sectPr>
      </w:pPr>
    </w:p>
    <w:p w14:paraId="4459D4EC" w14:textId="77777777" w:rsidR="002B7ABC" w:rsidRPr="00070CA7" w:rsidRDefault="002B7ABC" w:rsidP="002B7ABC">
      <w:pPr>
        <w:spacing w:after="200" w:line="276" w:lineRule="auto"/>
        <w:jc w:val="center"/>
        <w:rPr>
          <w:rFonts w:ascii="Times" w:hAnsi="Times" w:cs="Times"/>
          <w:i/>
          <w:kern w:val="22"/>
        </w:rPr>
      </w:pPr>
      <w:r w:rsidRPr="00070CA7">
        <w:rPr>
          <w:rFonts w:ascii="Times" w:hAnsi="Times" w:cs="Times"/>
          <w:i/>
          <w:kern w:val="22"/>
        </w:rPr>
        <w:lastRenderedPageBreak/>
        <w:t>Annex</w:t>
      </w:r>
    </w:p>
    <w:p w14:paraId="454A2FA9" w14:textId="77777777" w:rsidR="002B7ABC" w:rsidRPr="00070CA7" w:rsidRDefault="002B7ABC" w:rsidP="002B7ABC">
      <w:pPr>
        <w:spacing w:after="200" w:line="276" w:lineRule="auto"/>
        <w:jc w:val="center"/>
        <w:rPr>
          <w:rFonts w:ascii="Times" w:hAnsi="Times" w:cs="Times"/>
          <w:i/>
          <w:kern w:val="22"/>
        </w:rPr>
      </w:pPr>
      <w:r w:rsidRPr="00070CA7">
        <w:rPr>
          <w:rFonts w:ascii="Times" w:hAnsi="Times" w:cs="Times"/>
          <w:i/>
          <w:kern w:val="22"/>
        </w:rPr>
        <w:t>Revised draft Implementation Plan</w:t>
      </w:r>
    </w:p>
    <w:p w14:paraId="4A133CA3" w14:textId="77777777" w:rsidR="002B7ABC" w:rsidRPr="00070CA7" w:rsidRDefault="002B7ABC" w:rsidP="002B7ABC">
      <w:pPr>
        <w:spacing w:after="200" w:line="276" w:lineRule="auto"/>
        <w:jc w:val="center"/>
        <w:rPr>
          <w:rFonts w:ascii="Times" w:hAnsi="Times" w:cs="Times"/>
          <w:b/>
          <w:kern w:val="22"/>
        </w:rPr>
      </w:pPr>
      <w:r w:rsidRPr="00070CA7">
        <w:rPr>
          <w:rFonts w:ascii="Times" w:hAnsi="Times" w:cs="Times"/>
          <w:b/>
          <w:kern w:val="22"/>
        </w:rPr>
        <w:t>Implementation Plan for the Cartagena Protocol on Biosafety (2021-2030)</w:t>
      </w:r>
    </w:p>
    <w:p w14:paraId="5F0A15AD" w14:textId="77777777" w:rsidR="002B7ABC" w:rsidRPr="00070CA7" w:rsidRDefault="002B7ABC" w:rsidP="00033FD3">
      <w:pPr>
        <w:spacing w:after="120"/>
        <w:rPr>
          <w:rFonts w:ascii="Times" w:hAnsi="Times" w:cs="Times"/>
          <w:i/>
          <w:kern w:val="22"/>
        </w:rPr>
      </w:pPr>
      <w:r w:rsidRPr="00070CA7">
        <w:rPr>
          <w:rFonts w:ascii="Times" w:hAnsi="Times" w:cs="Times"/>
          <w:i/>
          <w:kern w:val="22"/>
        </w:rPr>
        <w:t>{Narrative chapeau to the table that could address:</w:t>
      </w:r>
    </w:p>
    <w:p w14:paraId="20EE6D3C" w14:textId="77777777" w:rsidR="002B7ABC" w:rsidRPr="00070CA7" w:rsidRDefault="002B7ABC" w:rsidP="003A24DE">
      <w:pPr>
        <w:pStyle w:val="ListParagraph"/>
        <w:numPr>
          <w:ilvl w:val="2"/>
          <w:numId w:val="26"/>
        </w:numPr>
        <w:spacing w:after="120" w:line="240" w:lineRule="auto"/>
        <w:ind w:left="1434" w:hanging="357"/>
        <w:contextualSpacing w:val="0"/>
        <w:rPr>
          <w:rFonts w:ascii="Times" w:hAnsi="Times" w:cs="Times"/>
          <w:i/>
          <w:kern w:val="22"/>
        </w:rPr>
      </w:pPr>
      <w:r w:rsidRPr="00070CA7">
        <w:rPr>
          <w:rFonts w:ascii="Times" w:hAnsi="Times" w:cs="Times"/>
          <w:i/>
          <w:kern w:val="22"/>
        </w:rPr>
        <w:t>The relationship between the Implementation Plan and the post-2020 global biodiversity framework;</w:t>
      </w:r>
    </w:p>
    <w:p w14:paraId="75E15309" w14:textId="77777777" w:rsidR="002B7ABC" w:rsidRPr="00070CA7" w:rsidRDefault="002B7ABC" w:rsidP="003A24DE">
      <w:pPr>
        <w:pStyle w:val="ListParagraph"/>
        <w:numPr>
          <w:ilvl w:val="2"/>
          <w:numId w:val="26"/>
        </w:numPr>
        <w:spacing w:after="120" w:line="240" w:lineRule="auto"/>
        <w:ind w:left="1434" w:hanging="357"/>
        <w:contextualSpacing w:val="0"/>
        <w:rPr>
          <w:rFonts w:ascii="Times" w:hAnsi="Times" w:cs="Times"/>
          <w:i/>
          <w:kern w:val="22"/>
        </w:rPr>
      </w:pPr>
      <w:r w:rsidRPr="00070CA7">
        <w:rPr>
          <w:rFonts w:ascii="Times" w:hAnsi="Times" w:cs="Times"/>
          <w:i/>
          <w:kern w:val="22"/>
        </w:rPr>
        <w:t>The relationship between the Implementation Plan and the action plan for capacity-building;</w:t>
      </w:r>
    </w:p>
    <w:p w14:paraId="603B81F8" w14:textId="77777777" w:rsidR="002B7ABC" w:rsidRPr="00070CA7" w:rsidRDefault="002B7ABC" w:rsidP="003A24DE">
      <w:pPr>
        <w:pStyle w:val="ListParagraph"/>
        <w:numPr>
          <w:ilvl w:val="2"/>
          <w:numId w:val="26"/>
        </w:numPr>
        <w:spacing w:after="120" w:line="240" w:lineRule="auto"/>
        <w:ind w:left="1434" w:hanging="357"/>
        <w:contextualSpacing w:val="0"/>
        <w:rPr>
          <w:rFonts w:ascii="Times" w:hAnsi="Times" w:cs="Times"/>
          <w:i/>
          <w:kern w:val="22"/>
        </w:rPr>
      </w:pPr>
      <w:r w:rsidRPr="00070CA7">
        <w:rPr>
          <w:rFonts w:ascii="Times" w:hAnsi="Times" w:cs="Times"/>
          <w:i/>
          <w:kern w:val="22"/>
        </w:rPr>
        <w:t>A vision and mission;</w:t>
      </w:r>
    </w:p>
    <w:p w14:paraId="65F5F11E" w14:textId="77777777" w:rsidR="002B7ABC" w:rsidRPr="00070CA7" w:rsidRDefault="002B7ABC" w:rsidP="003A24DE">
      <w:pPr>
        <w:pStyle w:val="ListParagraph"/>
        <w:numPr>
          <w:ilvl w:val="2"/>
          <w:numId w:val="26"/>
        </w:numPr>
        <w:spacing w:after="120" w:line="240" w:lineRule="auto"/>
        <w:ind w:left="1434" w:hanging="357"/>
        <w:contextualSpacing w:val="0"/>
        <w:rPr>
          <w:rFonts w:ascii="Times" w:hAnsi="Times" w:cs="Times"/>
          <w:i/>
          <w:kern w:val="22"/>
        </w:rPr>
      </w:pPr>
      <w:r w:rsidRPr="00070CA7">
        <w:rPr>
          <w:rFonts w:ascii="Times" w:hAnsi="Times" w:cs="Times"/>
          <w:i/>
          <w:kern w:val="22"/>
        </w:rPr>
        <w:t>Milestones;</w:t>
      </w:r>
    </w:p>
    <w:p w14:paraId="272FE690" w14:textId="77777777" w:rsidR="002B7ABC" w:rsidRPr="00070CA7" w:rsidRDefault="002B7ABC" w:rsidP="003A24DE">
      <w:pPr>
        <w:pStyle w:val="ListParagraph"/>
        <w:numPr>
          <w:ilvl w:val="2"/>
          <w:numId w:val="26"/>
        </w:numPr>
        <w:spacing w:after="120" w:line="240" w:lineRule="auto"/>
        <w:ind w:left="1434" w:hanging="357"/>
        <w:contextualSpacing w:val="0"/>
        <w:rPr>
          <w:rFonts w:ascii="Times" w:hAnsi="Times" w:cs="Times"/>
          <w:i/>
          <w:kern w:val="22"/>
        </w:rPr>
      </w:pPr>
      <w:r w:rsidRPr="00070CA7">
        <w:rPr>
          <w:rFonts w:ascii="Times" w:hAnsi="Times" w:cs="Times"/>
          <w:i/>
          <w:kern w:val="22"/>
        </w:rPr>
        <w:t>Monitoring and evaluation of the Implementation Plan;</w:t>
      </w:r>
    </w:p>
    <w:p w14:paraId="73ACF3E8" w14:textId="77777777" w:rsidR="002B7ABC" w:rsidRPr="00070CA7" w:rsidRDefault="002B7ABC" w:rsidP="003A24DE">
      <w:pPr>
        <w:pStyle w:val="ListParagraph"/>
        <w:numPr>
          <w:ilvl w:val="2"/>
          <w:numId w:val="26"/>
        </w:numPr>
        <w:spacing w:after="120" w:line="240" w:lineRule="auto"/>
        <w:ind w:left="1434" w:hanging="357"/>
        <w:contextualSpacing w:val="0"/>
        <w:rPr>
          <w:rFonts w:ascii="Times" w:hAnsi="Times" w:cs="Times"/>
          <w:i/>
          <w:kern w:val="22"/>
        </w:rPr>
      </w:pPr>
      <w:r w:rsidRPr="00070CA7">
        <w:rPr>
          <w:rFonts w:ascii="Times" w:hAnsi="Times" w:cs="Times"/>
          <w:i/>
          <w:kern w:val="22"/>
        </w:rPr>
        <w:t xml:space="preserve">Flexibility in the Implementation Plan to add elements and milestones.} </w:t>
      </w:r>
    </w:p>
    <w:tbl>
      <w:tblPr>
        <w:tblStyle w:val="TableGrid"/>
        <w:tblW w:w="13462" w:type="dxa"/>
        <w:tblLook w:val="04A0" w:firstRow="1" w:lastRow="0" w:firstColumn="1" w:lastColumn="0" w:noHBand="0" w:noVBand="1"/>
      </w:tblPr>
      <w:tblGrid>
        <w:gridCol w:w="1561"/>
        <w:gridCol w:w="2549"/>
        <w:gridCol w:w="2973"/>
        <w:gridCol w:w="2977"/>
        <w:gridCol w:w="3402"/>
      </w:tblGrid>
      <w:tr w:rsidR="00F13867" w:rsidRPr="00070CA7" w14:paraId="565DF966" w14:textId="77777777" w:rsidTr="00F13867">
        <w:trPr>
          <w:tblHeader/>
        </w:trPr>
        <w:tc>
          <w:tcPr>
            <w:tcW w:w="1561" w:type="dxa"/>
            <w:tcBorders>
              <w:bottom w:val="single" w:sz="12" w:space="0" w:color="auto"/>
            </w:tcBorders>
          </w:tcPr>
          <w:p w14:paraId="2CFE12D9" w14:textId="77777777" w:rsidR="00F13867" w:rsidRPr="004822D5" w:rsidRDefault="00F13867" w:rsidP="00D35C0E">
            <w:pPr>
              <w:rPr>
                <w:kern w:val="22"/>
                <w:sz w:val="20"/>
                <w:szCs w:val="20"/>
                <w:lang w:val="en-CA"/>
              </w:rPr>
            </w:pPr>
          </w:p>
        </w:tc>
        <w:tc>
          <w:tcPr>
            <w:tcW w:w="2549" w:type="dxa"/>
            <w:tcBorders>
              <w:bottom w:val="single" w:sz="12" w:space="0" w:color="auto"/>
            </w:tcBorders>
          </w:tcPr>
          <w:p w14:paraId="2A25E66D" w14:textId="77777777" w:rsidR="00F13867" w:rsidRPr="00070CA7" w:rsidRDefault="00F13867" w:rsidP="00D35C0E">
            <w:pPr>
              <w:rPr>
                <w:b/>
                <w:bCs/>
                <w:kern w:val="22"/>
                <w:sz w:val="20"/>
                <w:szCs w:val="20"/>
              </w:rPr>
            </w:pPr>
            <w:r w:rsidRPr="00070CA7">
              <w:rPr>
                <w:b/>
                <w:bCs/>
                <w:kern w:val="22"/>
                <w:sz w:val="20"/>
                <w:szCs w:val="20"/>
              </w:rPr>
              <w:t>Goals</w:t>
            </w:r>
          </w:p>
          <w:p w14:paraId="0B05A40A" w14:textId="77777777" w:rsidR="00F13867" w:rsidRPr="00070CA7" w:rsidRDefault="00F13867" w:rsidP="00D35C0E">
            <w:pPr>
              <w:rPr>
                <w:i/>
                <w:iCs/>
                <w:kern w:val="22"/>
                <w:sz w:val="20"/>
                <w:szCs w:val="20"/>
              </w:rPr>
            </w:pPr>
            <w:r w:rsidRPr="00070CA7">
              <w:rPr>
                <w:i/>
                <w:iCs/>
                <w:kern w:val="22"/>
                <w:sz w:val="20"/>
                <w:szCs w:val="20"/>
              </w:rPr>
              <w:t>(Desirable achievements)</w:t>
            </w:r>
          </w:p>
        </w:tc>
        <w:tc>
          <w:tcPr>
            <w:tcW w:w="2973" w:type="dxa"/>
            <w:tcBorders>
              <w:bottom w:val="single" w:sz="12" w:space="0" w:color="auto"/>
            </w:tcBorders>
          </w:tcPr>
          <w:p w14:paraId="7272CF33" w14:textId="77777777" w:rsidR="00F13867" w:rsidRPr="00070CA7" w:rsidRDefault="00F13867" w:rsidP="00D35C0E">
            <w:pPr>
              <w:rPr>
                <w:b/>
                <w:bCs/>
                <w:kern w:val="22"/>
                <w:sz w:val="20"/>
                <w:szCs w:val="20"/>
              </w:rPr>
            </w:pPr>
            <w:r w:rsidRPr="00070CA7">
              <w:rPr>
                <w:b/>
                <w:bCs/>
                <w:kern w:val="22"/>
                <w:sz w:val="20"/>
                <w:szCs w:val="20"/>
              </w:rPr>
              <w:t>Objectives</w:t>
            </w:r>
          </w:p>
          <w:p w14:paraId="3983C0E1" w14:textId="77777777" w:rsidR="00F13867" w:rsidRPr="00070CA7" w:rsidRDefault="00F13867" w:rsidP="00D35C0E">
            <w:pPr>
              <w:rPr>
                <w:i/>
                <w:iCs/>
                <w:kern w:val="22"/>
                <w:sz w:val="20"/>
                <w:szCs w:val="20"/>
              </w:rPr>
            </w:pPr>
            <w:r w:rsidRPr="00070CA7">
              <w:rPr>
                <w:i/>
                <w:iCs/>
                <w:kern w:val="22"/>
                <w:sz w:val="20"/>
                <w:szCs w:val="20"/>
              </w:rPr>
              <w:t>(What must be accomplished to achieve the goal)</w:t>
            </w:r>
          </w:p>
        </w:tc>
        <w:tc>
          <w:tcPr>
            <w:tcW w:w="2977" w:type="dxa"/>
            <w:tcBorders>
              <w:bottom w:val="single" w:sz="12" w:space="0" w:color="auto"/>
            </w:tcBorders>
          </w:tcPr>
          <w:p w14:paraId="0E8B3A34" w14:textId="77777777" w:rsidR="00F13867" w:rsidRPr="00070CA7" w:rsidRDefault="00F13867" w:rsidP="00D35C0E">
            <w:pPr>
              <w:rPr>
                <w:b/>
                <w:bCs/>
                <w:kern w:val="22"/>
                <w:sz w:val="20"/>
                <w:szCs w:val="20"/>
              </w:rPr>
            </w:pPr>
            <w:r w:rsidRPr="00070CA7">
              <w:rPr>
                <w:b/>
                <w:bCs/>
                <w:kern w:val="22"/>
                <w:sz w:val="20"/>
                <w:szCs w:val="20"/>
              </w:rPr>
              <w:t>Outcome</w:t>
            </w:r>
          </w:p>
          <w:p w14:paraId="0E4494CA" w14:textId="77777777" w:rsidR="00F13867" w:rsidRPr="00070CA7" w:rsidRDefault="00F13867" w:rsidP="00BC0F71">
            <w:pPr>
              <w:jc w:val="left"/>
              <w:rPr>
                <w:i/>
                <w:iCs/>
                <w:kern w:val="22"/>
                <w:sz w:val="20"/>
                <w:szCs w:val="20"/>
              </w:rPr>
            </w:pPr>
            <w:r w:rsidRPr="00070CA7">
              <w:rPr>
                <w:i/>
                <w:iCs/>
                <w:kern w:val="22"/>
                <w:sz w:val="20"/>
                <w:szCs w:val="20"/>
              </w:rPr>
              <w:t>(The effect of achieving the goal)</w:t>
            </w:r>
          </w:p>
        </w:tc>
        <w:tc>
          <w:tcPr>
            <w:tcW w:w="3402" w:type="dxa"/>
            <w:tcBorders>
              <w:bottom w:val="single" w:sz="12" w:space="0" w:color="auto"/>
            </w:tcBorders>
          </w:tcPr>
          <w:p w14:paraId="780CD030" w14:textId="76A01EC9" w:rsidR="00F13867" w:rsidRPr="00070CA7" w:rsidRDefault="00F13867" w:rsidP="00D35C0E">
            <w:pPr>
              <w:rPr>
                <w:b/>
                <w:bCs/>
                <w:kern w:val="22"/>
                <w:sz w:val="20"/>
                <w:szCs w:val="20"/>
              </w:rPr>
            </w:pPr>
            <w:r w:rsidRPr="00070CA7">
              <w:rPr>
                <w:b/>
                <w:bCs/>
                <w:kern w:val="22"/>
                <w:sz w:val="20"/>
                <w:szCs w:val="20"/>
              </w:rPr>
              <w:t>Indicator</w:t>
            </w:r>
            <w:r w:rsidR="00384DA5">
              <w:rPr>
                <w:b/>
                <w:bCs/>
                <w:kern w:val="22"/>
                <w:sz w:val="20"/>
                <w:szCs w:val="20"/>
              </w:rPr>
              <w:t>s</w:t>
            </w:r>
          </w:p>
          <w:p w14:paraId="1E9BB43B" w14:textId="6881ABB3" w:rsidR="00F13867" w:rsidRPr="00070CA7" w:rsidRDefault="00F13867" w:rsidP="00BC0F71">
            <w:pPr>
              <w:jc w:val="left"/>
              <w:rPr>
                <w:i/>
                <w:iCs/>
                <w:kern w:val="22"/>
                <w:sz w:val="20"/>
                <w:szCs w:val="20"/>
              </w:rPr>
            </w:pPr>
            <w:r w:rsidRPr="00BC0F71">
              <w:rPr>
                <w:i/>
                <w:iCs/>
                <w:kern w:val="22"/>
                <w:sz w:val="20"/>
                <w:szCs w:val="20"/>
              </w:rPr>
              <w:t xml:space="preserve">(Measuring </w:t>
            </w:r>
            <w:r w:rsidR="00F76344" w:rsidRPr="00BC0F71">
              <w:rPr>
                <w:i/>
                <w:iCs/>
                <w:kern w:val="22"/>
                <w:sz w:val="20"/>
                <w:szCs w:val="20"/>
              </w:rPr>
              <w:t>progress towards objectives and outcomes</w:t>
            </w:r>
            <w:r w:rsidRPr="00BC0F71">
              <w:rPr>
                <w:i/>
                <w:iCs/>
                <w:kern w:val="22"/>
                <w:sz w:val="20"/>
                <w:szCs w:val="20"/>
              </w:rPr>
              <w:t>)</w:t>
            </w:r>
          </w:p>
        </w:tc>
      </w:tr>
      <w:tr w:rsidR="00F13867" w:rsidRPr="00070CA7" w14:paraId="5441A0C2" w14:textId="77777777" w:rsidTr="00F13867">
        <w:tc>
          <w:tcPr>
            <w:tcW w:w="1561" w:type="dxa"/>
            <w:vMerge w:val="restart"/>
            <w:tcBorders>
              <w:top w:val="single" w:sz="12" w:space="0" w:color="auto"/>
              <w:bottom w:val="single" w:sz="4" w:space="0" w:color="auto"/>
            </w:tcBorders>
          </w:tcPr>
          <w:p w14:paraId="6E35A035" w14:textId="77777777" w:rsidR="00F13867" w:rsidRPr="00070CA7" w:rsidRDefault="00F13867" w:rsidP="00D35C0E">
            <w:pPr>
              <w:jc w:val="left"/>
              <w:rPr>
                <w:b/>
                <w:bCs/>
                <w:kern w:val="22"/>
                <w:sz w:val="20"/>
                <w:szCs w:val="20"/>
              </w:rPr>
            </w:pPr>
            <w:r w:rsidRPr="00070CA7">
              <w:rPr>
                <w:b/>
                <w:bCs/>
                <w:kern w:val="22"/>
                <w:sz w:val="20"/>
                <w:szCs w:val="20"/>
              </w:rPr>
              <w:t>A. Areas for implementation</w:t>
            </w:r>
          </w:p>
        </w:tc>
        <w:tc>
          <w:tcPr>
            <w:tcW w:w="2549" w:type="dxa"/>
            <w:tcBorders>
              <w:top w:val="single" w:sz="12" w:space="0" w:color="auto"/>
              <w:bottom w:val="single" w:sz="4" w:space="0" w:color="auto"/>
            </w:tcBorders>
          </w:tcPr>
          <w:p w14:paraId="1A500F83" w14:textId="77777777" w:rsidR="00F13867" w:rsidRPr="00070CA7" w:rsidRDefault="00F13867" w:rsidP="00D35C0E">
            <w:pPr>
              <w:jc w:val="left"/>
              <w:rPr>
                <w:kern w:val="22"/>
                <w:sz w:val="20"/>
                <w:szCs w:val="20"/>
              </w:rPr>
            </w:pPr>
            <w:r w:rsidRPr="00070CA7">
              <w:rPr>
                <w:kern w:val="22"/>
                <w:sz w:val="20"/>
                <w:szCs w:val="20"/>
              </w:rPr>
              <w:t>A.1. Parties have in place functional national biosafety frameworks</w:t>
            </w:r>
          </w:p>
          <w:p w14:paraId="0C6FCA9E" w14:textId="77777777" w:rsidR="00F13867" w:rsidRPr="00070CA7" w:rsidRDefault="00F13867" w:rsidP="00D35C0E">
            <w:pPr>
              <w:jc w:val="left"/>
              <w:rPr>
                <w:kern w:val="22"/>
                <w:sz w:val="20"/>
                <w:szCs w:val="20"/>
              </w:rPr>
            </w:pPr>
          </w:p>
        </w:tc>
        <w:tc>
          <w:tcPr>
            <w:tcW w:w="2973" w:type="dxa"/>
            <w:tcBorders>
              <w:top w:val="single" w:sz="12" w:space="0" w:color="auto"/>
              <w:bottom w:val="single" w:sz="4" w:space="0" w:color="auto"/>
            </w:tcBorders>
          </w:tcPr>
          <w:p w14:paraId="37BCC174" w14:textId="326FF27D" w:rsidR="00F13867" w:rsidRPr="00070CA7" w:rsidRDefault="00F13867" w:rsidP="00D35C0E">
            <w:pPr>
              <w:spacing w:after="60"/>
              <w:jc w:val="left"/>
              <w:rPr>
                <w:kern w:val="22"/>
                <w:sz w:val="20"/>
                <w:szCs w:val="20"/>
              </w:rPr>
            </w:pPr>
            <w:r w:rsidRPr="00070CA7">
              <w:rPr>
                <w:kern w:val="22"/>
                <w:sz w:val="20"/>
                <w:szCs w:val="20"/>
              </w:rPr>
              <w:t>A.1.1. Parties to the Cartagena Protocol have adopted and implemented legal, administrative and other measures to fulfil their obligations under the Protocol</w:t>
            </w:r>
          </w:p>
          <w:p w14:paraId="5F563F81" w14:textId="77777777" w:rsidR="00F13867" w:rsidRPr="00070CA7" w:rsidRDefault="00F13867" w:rsidP="00D35C0E">
            <w:pPr>
              <w:spacing w:before="60" w:after="60"/>
              <w:jc w:val="left"/>
              <w:rPr>
                <w:kern w:val="22"/>
                <w:sz w:val="20"/>
                <w:szCs w:val="20"/>
              </w:rPr>
            </w:pPr>
            <w:r w:rsidRPr="00070CA7">
              <w:rPr>
                <w:kern w:val="22"/>
                <w:sz w:val="20"/>
                <w:szCs w:val="20"/>
              </w:rPr>
              <w:t>A.1.2. Parties have mainstreamed biosafety in national strategies, action plans, programmes, policies or legislation</w:t>
            </w:r>
          </w:p>
          <w:p w14:paraId="0ACF12D4" w14:textId="77777777" w:rsidR="00F13867" w:rsidRPr="00070CA7" w:rsidRDefault="00F13867" w:rsidP="00D35C0E">
            <w:pPr>
              <w:spacing w:before="60" w:after="60"/>
              <w:jc w:val="left"/>
              <w:rPr>
                <w:kern w:val="22"/>
                <w:sz w:val="20"/>
                <w:szCs w:val="20"/>
              </w:rPr>
            </w:pPr>
            <w:r w:rsidRPr="00070CA7">
              <w:rPr>
                <w:kern w:val="22"/>
                <w:sz w:val="20"/>
                <w:szCs w:val="20"/>
              </w:rPr>
              <w:t>A.1.3. Parties have designated competent national authorities and national focal points for the Protocol</w:t>
            </w:r>
          </w:p>
          <w:p w14:paraId="4512161F" w14:textId="77777777" w:rsidR="00F13867" w:rsidRPr="00070CA7" w:rsidRDefault="00F13867" w:rsidP="00D35C0E">
            <w:pPr>
              <w:spacing w:before="60" w:after="60"/>
              <w:jc w:val="left"/>
              <w:rPr>
                <w:kern w:val="22"/>
                <w:sz w:val="20"/>
                <w:szCs w:val="20"/>
              </w:rPr>
            </w:pPr>
            <w:r w:rsidRPr="00070CA7">
              <w:rPr>
                <w:kern w:val="22"/>
                <w:sz w:val="20"/>
                <w:szCs w:val="20"/>
              </w:rPr>
              <w:t>A.1.4. Competent national authorities have the necessary budget and adequately trained staff to carry out their tasks</w:t>
            </w:r>
          </w:p>
        </w:tc>
        <w:tc>
          <w:tcPr>
            <w:tcW w:w="2977" w:type="dxa"/>
            <w:tcBorders>
              <w:top w:val="single" w:sz="12" w:space="0" w:color="auto"/>
              <w:bottom w:val="single" w:sz="4" w:space="0" w:color="auto"/>
            </w:tcBorders>
          </w:tcPr>
          <w:p w14:paraId="176DCD30" w14:textId="0BB6725D" w:rsidR="00F13867" w:rsidRPr="00070CA7" w:rsidRDefault="00F13867" w:rsidP="00D35C0E">
            <w:pPr>
              <w:jc w:val="left"/>
              <w:rPr>
                <w:kern w:val="22"/>
                <w:sz w:val="20"/>
                <w:szCs w:val="20"/>
              </w:rPr>
            </w:pPr>
            <w:r w:rsidRPr="00070CA7">
              <w:rPr>
                <w:kern w:val="22"/>
                <w:sz w:val="20"/>
                <w:szCs w:val="20"/>
              </w:rPr>
              <w:t>Functional national biosafety</w:t>
            </w:r>
            <w:r w:rsidR="003A24DE" w:rsidRPr="00070CA7">
              <w:rPr>
                <w:kern w:val="22"/>
                <w:sz w:val="20"/>
                <w:szCs w:val="20"/>
              </w:rPr>
              <w:t xml:space="preserve"> </w:t>
            </w:r>
            <w:r w:rsidRPr="00070CA7">
              <w:rPr>
                <w:kern w:val="22"/>
                <w:sz w:val="20"/>
                <w:szCs w:val="20"/>
              </w:rPr>
              <w:t>frameworks enable competent</w:t>
            </w:r>
            <w:r w:rsidR="003A24DE" w:rsidRPr="00070CA7">
              <w:rPr>
                <w:kern w:val="22"/>
                <w:sz w:val="20"/>
                <w:szCs w:val="20"/>
              </w:rPr>
              <w:t xml:space="preserve"> </w:t>
            </w:r>
            <w:r w:rsidRPr="00070CA7">
              <w:rPr>
                <w:kern w:val="22"/>
                <w:sz w:val="20"/>
                <w:szCs w:val="20"/>
              </w:rPr>
              <w:t>authorities of all Parties to effectively and efficiently fulfil their obligations under the Protocol</w:t>
            </w:r>
          </w:p>
        </w:tc>
        <w:tc>
          <w:tcPr>
            <w:tcW w:w="3402" w:type="dxa"/>
            <w:tcBorders>
              <w:top w:val="single" w:sz="12" w:space="0" w:color="auto"/>
              <w:bottom w:val="single" w:sz="4" w:space="0" w:color="auto"/>
            </w:tcBorders>
          </w:tcPr>
          <w:p w14:paraId="6A65743D" w14:textId="120124F0" w:rsidR="00F13867" w:rsidRPr="00070CA7" w:rsidRDefault="00F13867" w:rsidP="00D35C0E">
            <w:pPr>
              <w:spacing w:after="60"/>
              <w:jc w:val="left"/>
              <w:rPr>
                <w:kern w:val="22"/>
                <w:sz w:val="20"/>
                <w:szCs w:val="20"/>
              </w:rPr>
            </w:pPr>
            <w:r w:rsidRPr="00070CA7">
              <w:rPr>
                <w:kern w:val="22"/>
                <w:sz w:val="20"/>
                <w:szCs w:val="20"/>
              </w:rPr>
              <w:t xml:space="preserve">(a) Percentage of Parties that have </w:t>
            </w:r>
            <w:r w:rsidR="007B05ED" w:rsidRPr="00070CA7">
              <w:rPr>
                <w:kern w:val="22"/>
                <w:sz w:val="20"/>
                <w:szCs w:val="20"/>
              </w:rPr>
              <w:t xml:space="preserve">measures </w:t>
            </w:r>
            <w:r w:rsidRPr="00070CA7">
              <w:rPr>
                <w:kern w:val="22"/>
                <w:sz w:val="20"/>
                <w:szCs w:val="20"/>
              </w:rPr>
              <w:t>in place to implement the provisions of the Protocol</w:t>
            </w:r>
          </w:p>
          <w:p w14:paraId="51294524" w14:textId="0D1BBF54" w:rsidR="00F13867" w:rsidRPr="00070CA7" w:rsidRDefault="00F13867" w:rsidP="00D35C0E">
            <w:pPr>
              <w:spacing w:before="60" w:after="60"/>
              <w:jc w:val="left"/>
              <w:rPr>
                <w:kern w:val="22"/>
                <w:sz w:val="20"/>
                <w:szCs w:val="20"/>
              </w:rPr>
            </w:pPr>
            <w:r w:rsidRPr="00070CA7">
              <w:rPr>
                <w:kern w:val="22"/>
                <w:sz w:val="20"/>
                <w:szCs w:val="20"/>
              </w:rPr>
              <w:t>(b</w:t>
            </w:r>
            <w:r w:rsidRPr="007B05ED">
              <w:rPr>
                <w:kern w:val="22"/>
                <w:sz w:val="20"/>
                <w:szCs w:val="20"/>
              </w:rPr>
              <w:t xml:space="preserve">) Percentage of Parties that have </w:t>
            </w:r>
            <w:r w:rsidR="00850CCD">
              <w:rPr>
                <w:kern w:val="22"/>
                <w:sz w:val="20"/>
                <w:szCs w:val="20"/>
              </w:rPr>
              <w:t>mainstreamed</w:t>
            </w:r>
            <w:r w:rsidR="00850CCD" w:rsidRPr="007B05ED">
              <w:rPr>
                <w:kern w:val="22"/>
                <w:sz w:val="20"/>
                <w:szCs w:val="20"/>
              </w:rPr>
              <w:t xml:space="preserve"> </w:t>
            </w:r>
            <w:r w:rsidRPr="007B05ED">
              <w:rPr>
                <w:kern w:val="22"/>
                <w:sz w:val="20"/>
                <w:szCs w:val="20"/>
              </w:rPr>
              <w:t>biosafety in national sectoral and cross-sectoral strategies, action plans, programmes, policies or legislation</w:t>
            </w:r>
            <w:r w:rsidRPr="00070CA7">
              <w:rPr>
                <w:kern w:val="22"/>
                <w:sz w:val="20"/>
                <w:szCs w:val="20"/>
              </w:rPr>
              <w:t xml:space="preserve"> </w:t>
            </w:r>
          </w:p>
          <w:p w14:paraId="374E4F05" w14:textId="77777777" w:rsidR="00F13867" w:rsidRPr="00070CA7" w:rsidRDefault="00F13867" w:rsidP="00D35C0E">
            <w:pPr>
              <w:spacing w:before="60" w:after="60"/>
              <w:jc w:val="left"/>
              <w:rPr>
                <w:kern w:val="22"/>
                <w:sz w:val="20"/>
                <w:szCs w:val="20"/>
              </w:rPr>
            </w:pPr>
            <w:r w:rsidRPr="00070CA7">
              <w:rPr>
                <w:kern w:val="22"/>
                <w:sz w:val="20"/>
                <w:szCs w:val="20"/>
              </w:rPr>
              <w:t>(c) Percentage of Parties that have designated a national focal point and a competent national authority for the Protocol and have notified the Secretariat accordingly</w:t>
            </w:r>
          </w:p>
          <w:p w14:paraId="1F59D4B3" w14:textId="3C6C2337" w:rsidR="00F13867" w:rsidRPr="00070CA7" w:rsidRDefault="00F13867" w:rsidP="00253CFB">
            <w:pPr>
              <w:spacing w:before="60" w:after="60"/>
              <w:jc w:val="left"/>
              <w:rPr>
                <w:kern w:val="22"/>
                <w:sz w:val="20"/>
                <w:szCs w:val="20"/>
              </w:rPr>
            </w:pPr>
            <w:r w:rsidRPr="007B05ED">
              <w:rPr>
                <w:kern w:val="22"/>
                <w:sz w:val="20"/>
                <w:szCs w:val="20"/>
              </w:rPr>
              <w:t>(d) Percentage of Parties that have the necessary budget and trained staff to operationalize their national biosafety frameworks</w:t>
            </w:r>
          </w:p>
        </w:tc>
      </w:tr>
      <w:tr w:rsidR="002B5544" w:rsidRPr="00070CA7" w14:paraId="512592ED" w14:textId="77777777" w:rsidTr="00F13867">
        <w:tc>
          <w:tcPr>
            <w:tcW w:w="1561" w:type="dxa"/>
            <w:vMerge/>
            <w:tcBorders>
              <w:top w:val="single" w:sz="4" w:space="0" w:color="auto"/>
            </w:tcBorders>
          </w:tcPr>
          <w:p w14:paraId="48E090FE" w14:textId="77777777" w:rsidR="002B5544" w:rsidRPr="00070CA7" w:rsidRDefault="002B5544" w:rsidP="002B5544">
            <w:pPr>
              <w:rPr>
                <w:b/>
                <w:bCs/>
                <w:kern w:val="22"/>
                <w:sz w:val="20"/>
                <w:szCs w:val="20"/>
              </w:rPr>
            </w:pPr>
          </w:p>
        </w:tc>
        <w:tc>
          <w:tcPr>
            <w:tcW w:w="2549" w:type="dxa"/>
            <w:tcBorders>
              <w:top w:val="single" w:sz="4" w:space="0" w:color="auto"/>
            </w:tcBorders>
          </w:tcPr>
          <w:p w14:paraId="6A27492C" w14:textId="153D7A0E" w:rsidR="002B5544" w:rsidRPr="00070CA7" w:rsidRDefault="002B5544" w:rsidP="002B5544">
            <w:pPr>
              <w:spacing w:before="60" w:after="60"/>
              <w:jc w:val="left"/>
              <w:rPr>
                <w:kern w:val="22"/>
                <w:sz w:val="20"/>
                <w:szCs w:val="20"/>
              </w:rPr>
            </w:pPr>
            <w:r w:rsidRPr="00070CA7">
              <w:rPr>
                <w:kern w:val="22"/>
                <w:sz w:val="20"/>
                <w:szCs w:val="20"/>
              </w:rPr>
              <w:t>A.</w:t>
            </w:r>
            <w:r>
              <w:rPr>
                <w:kern w:val="22"/>
                <w:sz w:val="20"/>
                <w:szCs w:val="20"/>
              </w:rPr>
              <w:t>2</w:t>
            </w:r>
            <w:r w:rsidRPr="00070CA7">
              <w:rPr>
                <w:kern w:val="22"/>
                <w:sz w:val="20"/>
                <w:szCs w:val="20"/>
              </w:rPr>
              <w:t>. Parties improve the availability and exchange of relevant information through the BCH</w:t>
            </w:r>
          </w:p>
        </w:tc>
        <w:tc>
          <w:tcPr>
            <w:tcW w:w="2973" w:type="dxa"/>
            <w:tcBorders>
              <w:top w:val="single" w:sz="4" w:space="0" w:color="auto"/>
            </w:tcBorders>
          </w:tcPr>
          <w:p w14:paraId="544B1682" w14:textId="63E88E08" w:rsidR="002B5544" w:rsidRPr="00070CA7" w:rsidRDefault="002B5544" w:rsidP="002B5544">
            <w:pPr>
              <w:spacing w:before="60" w:after="60"/>
              <w:jc w:val="left"/>
              <w:rPr>
                <w:kern w:val="22"/>
                <w:sz w:val="20"/>
                <w:szCs w:val="20"/>
              </w:rPr>
            </w:pPr>
            <w:r w:rsidRPr="00070CA7">
              <w:rPr>
                <w:kern w:val="22"/>
                <w:sz w:val="20"/>
                <w:szCs w:val="20"/>
              </w:rPr>
              <w:t>A.</w:t>
            </w:r>
            <w:r>
              <w:rPr>
                <w:kern w:val="22"/>
                <w:sz w:val="20"/>
                <w:szCs w:val="20"/>
              </w:rPr>
              <w:t>2</w:t>
            </w:r>
            <w:r w:rsidRPr="00070CA7">
              <w:rPr>
                <w:kern w:val="22"/>
                <w:sz w:val="20"/>
                <w:szCs w:val="20"/>
              </w:rPr>
              <w:t>.1. Parties provide accurate and complete information in the BCH in accordance with their obligations under the Protocol</w:t>
            </w:r>
          </w:p>
          <w:p w14:paraId="002F0237" w14:textId="77777777" w:rsidR="002B5544" w:rsidRPr="00070CA7" w:rsidRDefault="002B5544" w:rsidP="002B5544">
            <w:pPr>
              <w:jc w:val="left"/>
              <w:rPr>
                <w:kern w:val="22"/>
                <w:sz w:val="20"/>
                <w:szCs w:val="20"/>
              </w:rPr>
            </w:pPr>
          </w:p>
        </w:tc>
        <w:tc>
          <w:tcPr>
            <w:tcW w:w="2977" w:type="dxa"/>
            <w:tcBorders>
              <w:top w:val="single" w:sz="4" w:space="0" w:color="auto"/>
            </w:tcBorders>
          </w:tcPr>
          <w:p w14:paraId="2674BAAB" w14:textId="5FAB6054" w:rsidR="002B5544" w:rsidRPr="00070CA7" w:rsidRDefault="002B5544" w:rsidP="002B5544">
            <w:pPr>
              <w:jc w:val="left"/>
              <w:rPr>
                <w:kern w:val="22"/>
                <w:sz w:val="20"/>
                <w:szCs w:val="20"/>
              </w:rPr>
            </w:pPr>
            <w:r w:rsidRPr="00070CA7">
              <w:rPr>
                <w:kern w:val="22"/>
                <w:sz w:val="20"/>
                <w:szCs w:val="20"/>
              </w:rPr>
              <w:t>BCH facilitates the availability and exchange of biosafety information and enables Parties to take informed decisions</w:t>
            </w:r>
          </w:p>
        </w:tc>
        <w:tc>
          <w:tcPr>
            <w:tcW w:w="3402" w:type="dxa"/>
            <w:tcBorders>
              <w:top w:val="single" w:sz="4" w:space="0" w:color="auto"/>
            </w:tcBorders>
          </w:tcPr>
          <w:p w14:paraId="4C9B4DF5" w14:textId="77777777" w:rsidR="002B5544" w:rsidRPr="00070CA7" w:rsidRDefault="002B5544" w:rsidP="002B5544">
            <w:pPr>
              <w:spacing w:before="60" w:after="60"/>
              <w:jc w:val="left"/>
              <w:rPr>
                <w:kern w:val="22"/>
                <w:sz w:val="20"/>
                <w:szCs w:val="20"/>
              </w:rPr>
            </w:pPr>
            <w:r w:rsidRPr="00070CA7">
              <w:rPr>
                <w:kern w:val="22"/>
                <w:sz w:val="20"/>
                <w:szCs w:val="20"/>
              </w:rPr>
              <w:t>(a) Percentage of Parties making mandatory information available to the BCH</w:t>
            </w:r>
          </w:p>
          <w:p w14:paraId="6729FEEC" w14:textId="7D0A88DE" w:rsidR="002B5544" w:rsidRPr="00070CA7" w:rsidRDefault="002B5544" w:rsidP="002B5544">
            <w:pPr>
              <w:jc w:val="left"/>
              <w:rPr>
                <w:kern w:val="22"/>
                <w:sz w:val="20"/>
                <w:szCs w:val="20"/>
              </w:rPr>
            </w:pPr>
            <w:r w:rsidRPr="00070CA7">
              <w:rPr>
                <w:kern w:val="22"/>
                <w:sz w:val="20"/>
                <w:szCs w:val="20"/>
              </w:rPr>
              <w:t>(b) Percentage of Parties that actively exchange other types of information through the BCH</w:t>
            </w:r>
          </w:p>
        </w:tc>
      </w:tr>
      <w:tr w:rsidR="002B5544" w:rsidRPr="00070CA7" w14:paraId="3972ED20" w14:textId="77777777" w:rsidTr="00F13867">
        <w:tc>
          <w:tcPr>
            <w:tcW w:w="1561" w:type="dxa"/>
            <w:vMerge/>
            <w:tcBorders>
              <w:top w:val="single" w:sz="4" w:space="0" w:color="auto"/>
            </w:tcBorders>
          </w:tcPr>
          <w:p w14:paraId="74C1021F" w14:textId="77777777" w:rsidR="002B5544" w:rsidRPr="00070CA7" w:rsidRDefault="002B5544" w:rsidP="002B5544">
            <w:pPr>
              <w:rPr>
                <w:b/>
                <w:bCs/>
                <w:kern w:val="22"/>
                <w:sz w:val="20"/>
                <w:szCs w:val="20"/>
              </w:rPr>
            </w:pPr>
          </w:p>
        </w:tc>
        <w:tc>
          <w:tcPr>
            <w:tcW w:w="2549" w:type="dxa"/>
            <w:tcBorders>
              <w:top w:val="single" w:sz="4" w:space="0" w:color="auto"/>
            </w:tcBorders>
          </w:tcPr>
          <w:p w14:paraId="2B7B62B0" w14:textId="3C431C65" w:rsidR="002B5544" w:rsidRPr="00070CA7" w:rsidRDefault="002B5544" w:rsidP="002B5544">
            <w:pPr>
              <w:spacing w:before="60" w:after="60"/>
              <w:jc w:val="left"/>
              <w:rPr>
                <w:kern w:val="22"/>
                <w:sz w:val="20"/>
                <w:szCs w:val="20"/>
              </w:rPr>
            </w:pPr>
            <w:r w:rsidRPr="00070CA7">
              <w:rPr>
                <w:kern w:val="22"/>
                <w:sz w:val="20"/>
                <w:szCs w:val="20"/>
              </w:rPr>
              <w:t>A.</w:t>
            </w:r>
            <w:r>
              <w:rPr>
                <w:kern w:val="22"/>
                <w:sz w:val="20"/>
                <w:szCs w:val="20"/>
              </w:rPr>
              <w:t>3</w:t>
            </w:r>
            <w:r w:rsidRPr="00070CA7">
              <w:rPr>
                <w:kern w:val="22"/>
                <w:sz w:val="20"/>
                <w:szCs w:val="20"/>
              </w:rPr>
              <w:t>. Full information on the implementation of the Protocol is made available by Parties</w:t>
            </w:r>
          </w:p>
        </w:tc>
        <w:tc>
          <w:tcPr>
            <w:tcW w:w="2973" w:type="dxa"/>
            <w:tcBorders>
              <w:top w:val="single" w:sz="4" w:space="0" w:color="auto"/>
            </w:tcBorders>
          </w:tcPr>
          <w:p w14:paraId="3785C47E" w14:textId="1DCED924" w:rsidR="002B5544" w:rsidRPr="00070CA7" w:rsidRDefault="002B5544" w:rsidP="002B5544">
            <w:pPr>
              <w:jc w:val="left"/>
              <w:rPr>
                <w:kern w:val="22"/>
                <w:sz w:val="20"/>
                <w:szCs w:val="20"/>
              </w:rPr>
            </w:pPr>
            <w:r w:rsidRPr="00070CA7">
              <w:rPr>
                <w:kern w:val="22"/>
                <w:sz w:val="20"/>
                <w:szCs w:val="20"/>
              </w:rPr>
              <w:t>A.</w:t>
            </w:r>
            <w:r>
              <w:rPr>
                <w:kern w:val="22"/>
                <w:sz w:val="20"/>
                <w:szCs w:val="20"/>
              </w:rPr>
              <w:t>3</w:t>
            </w:r>
            <w:r w:rsidRPr="00070CA7">
              <w:rPr>
                <w:kern w:val="22"/>
                <w:sz w:val="20"/>
                <w:szCs w:val="20"/>
              </w:rPr>
              <w:t>.1. Parties submit complete national reports within the established deadline</w:t>
            </w:r>
          </w:p>
        </w:tc>
        <w:tc>
          <w:tcPr>
            <w:tcW w:w="2977" w:type="dxa"/>
            <w:tcBorders>
              <w:top w:val="single" w:sz="4" w:space="0" w:color="auto"/>
            </w:tcBorders>
          </w:tcPr>
          <w:p w14:paraId="21CFE559" w14:textId="77777777" w:rsidR="002B5544" w:rsidRPr="00070CA7" w:rsidRDefault="002B5544" w:rsidP="002B5544">
            <w:pPr>
              <w:jc w:val="left"/>
              <w:rPr>
                <w:kern w:val="22"/>
                <w:sz w:val="20"/>
                <w:szCs w:val="20"/>
              </w:rPr>
            </w:pPr>
            <w:r w:rsidRPr="00070CA7">
              <w:rPr>
                <w:kern w:val="22"/>
                <w:sz w:val="20"/>
                <w:szCs w:val="20"/>
              </w:rPr>
              <w:t>Accurate information on the implementation of the Protocol enables the COP-MOP to set priorities and direct support</w:t>
            </w:r>
          </w:p>
        </w:tc>
        <w:tc>
          <w:tcPr>
            <w:tcW w:w="3402" w:type="dxa"/>
            <w:tcBorders>
              <w:top w:val="single" w:sz="4" w:space="0" w:color="auto"/>
            </w:tcBorders>
          </w:tcPr>
          <w:p w14:paraId="3F9E5D6D" w14:textId="77777777" w:rsidR="002B5544" w:rsidRPr="00070CA7" w:rsidRDefault="002B5544" w:rsidP="002B5544">
            <w:pPr>
              <w:jc w:val="left"/>
              <w:rPr>
                <w:kern w:val="22"/>
                <w:sz w:val="20"/>
                <w:szCs w:val="20"/>
              </w:rPr>
            </w:pPr>
            <w:r w:rsidRPr="00070CA7">
              <w:rPr>
                <w:kern w:val="22"/>
                <w:sz w:val="20"/>
                <w:szCs w:val="20"/>
              </w:rPr>
              <w:t>(a) Percentage of Parties that have submitted a complete national report within the established deadline</w:t>
            </w:r>
          </w:p>
        </w:tc>
      </w:tr>
      <w:tr w:rsidR="002B5544" w:rsidRPr="00070CA7" w14:paraId="211BF778" w14:textId="77777777" w:rsidTr="00F13867">
        <w:tc>
          <w:tcPr>
            <w:tcW w:w="1561" w:type="dxa"/>
            <w:vMerge w:val="restart"/>
          </w:tcPr>
          <w:p w14:paraId="08FFA5E4" w14:textId="77777777" w:rsidR="002B5544" w:rsidRPr="00070CA7" w:rsidRDefault="002B5544" w:rsidP="002B5544">
            <w:pPr>
              <w:rPr>
                <w:kern w:val="22"/>
                <w:sz w:val="20"/>
                <w:szCs w:val="20"/>
              </w:rPr>
            </w:pPr>
          </w:p>
        </w:tc>
        <w:tc>
          <w:tcPr>
            <w:tcW w:w="2549" w:type="dxa"/>
          </w:tcPr>
          <w:p w14:paraId="528BD752" w14:textId="58F75EC5" w:rsidR="002B5544" w:rsidRPr="00070CA7" w:rsidRDefault="002B5544" w:rsidP="002B5544">
            <w:pPr>
              <w:spacing w:before="60" w:after="60"/>
              <w:jc w:val="left"/>
              <w:rPr>
                <w:b/>
                <w:bCs/>
                <w:kern w:val="22"/>
                <w:sz w:val="20"/>
                <w:szCs w:val="20"/>
              </w:rPr>
            </w:pPr>
            <w:r w:rsidRPr="00070CA7">
              <w:rPr>
                <w:kern w:val="22"/>
                <w:sz w:val="20"/>
                <w:szCs w:val="20"/>
              </w:rPr>
              <w:t>A.</w:t>
            </w:r>
            <w:r>
              <w:rPr>
                <w:kern w:val="22"/>
                <w:sz w:val="20"/>
                <w:szCs w:val="20"/>
              </w:rPr>
              <w:t>4</w:t>
            </w:r>
            <w:r w:rsidRPr="00070CA7">
              <w:rPr>
                <w:kern w:val="22"/>
                <w:sz w:val="20"/>
                <w:szCs w:val="20"/>
              </w:rPr>
              <w:t>. Parties are in full compliance with the requirements of the Protocol</w:t>
            </w:r>
          </w:p>
        </w:tc>
        <w:tc>
          <w:tcPr>
            <w:tcW w:w="2973" w:type="dxa"/>
          </w:tcPr>
          <w:p w14:paraId="59D0472B" w14:textId="27E48F9A" w:rsidR="002B5544" w:rsidRPr="00070CA7" w:rsidRDefault="002B5544" w:rsidP="002B5544">
            <w:pPr>
              <w:spacing w:before="60" w:after="60"/>
              <w:jc w:val="left"/>
              <w:rPr>
                <w:kern w:val="22"/>
                <w:sz w:val="20"/>
                <w:szCs w:val="20"/>
              </w:rPr>
            </w:pPr>
            <w:r w:rsidRPr="00070CA7">
              <w:rPr>
                <w:kern w:val="22"/>
                <w:sz w:val="20"/>
                <w:szCs w:val="20"/>
              </w:rPr>
              <w:t>A.</w:t>
            </w:r>
            <w:r>
              <w:rPr>
                <w:kern w:val="22"/>
                <w:sz w:val="20"/>
                <w:szCs w:val="20"/>
              </w:rPr>
              <w:t>4</w:t>
            </w:r>
            <w:r w:rsidRPr="00070CA7">
              <w:rPr>
                <w:kern w:val="22"/>
                <w:sz w:val="20"/>
                <w:szCs w:val="20"/>
              </w:rPr>
              <w:t>.1. Parties comply with their obligations under the Protocol</w:t>
            </w:r>
          </w:p>
          <w:p w14:paraId="2647296B" w14:textId="08D2C5B8" w:rsidR="002B5544" w:rsidRPr="00070CA7" w:rsidRDefault="002B5544" w:rsidP="002B5544">
            <w:pPr>
              <w:spacing w:before="60" w:after="60"/>
              <w:jc w:val="left"/>
              <w:rPr>
                <w:b/>
                <w:bCs/>
                <w:kern w:val="22"/>
                <w:sz w:val="20"/>
                <w:szCs w:val="20"/>
              </w:rPr>
            </w:pPr>
            <w:r w:rsidRPr="00070CA7">
              <w:rPr>
                <w:kern w:val="22"/>
                <w:sz w:val="20"/>
                <w:szCs w:val="20"/>
              </w:rPr>
              <w:t>A.</w:t>
            </w:r>
            <w:r>
              <w:rPr>
                <w:kern w:val="22"/>
                <w:sz w:val="20"/>
                <w:szCs w:val="20"/>
              </w:rPr>
              <w:t>4</w:t>
            </w:r>
            <w:r w:rsidRPr="00070CA7">
              <w:rPr>
                <w:kern w:val="22"/>
                <w:sz w:val="20"/>
                <w:szCs w:val="20"/>
              </w:rPr>
              <w:t>.2. Parties resolve issues of non-compliance identified by the Compliance Committee</w:t>
            </w:r>
          </w:p>
        </w:tc>
        <w:tc>
          <w:tcPr>
            <w:tcW w:w="2977" w:type="dxa"/>
          </w:tcPr>
          <w:p w14:paraId="130CBDD3" w14:textId="77777777" w:rsidR="002B5544" w:rsidRPr="00070CA7" w:rsidRDefault="002B5544" w:rsidP="002B5544">
            <w:pPr>
              <w:spacing w:before="60" w:after="60"/>
              <w:jc w:val="left"/>
              <w:rPr>
                <w:b/>
                <w:bCs/>
                <w:kern w:val="22"/>
                <w:sz w:val="20"/>
                <w:szCs w:val="20"/>
              </w:rPr>
            </w:pPr>
            <w:r w:rsidRPr="00070CA7">
              <w:rPr>
                <w:kern w:val="22"/>
                <w:sz w:val="20"/>
                <w:szCs w:val="20"/>
              </w:rPr>
              <w:t>Effective compliance mechanisms facilitate implementation of the Protocol</w:t>
            </w:r>
          </w:p>
        </w:tc>
        <w:tc>
          <w:tcPr>
            <w:tcW w:w="3402" w:type="dxa"/>
          </w:tcPr>
          <w:p w14:paraId="6ADAF3DC" w14:textId="77777777" w:rsidR="002B5544" w:rsidRPr="00070CA7" w:rsidRDefault="002B5544" w:rsidP="002B5544">
            <w:pPr>
              <w:spacing w:before="60" w:after="60"/>
              <w:jc w:val="left"/>
              <w:rPr>
                <w:kern w:val="22"/>
                <w:sz w:val="20"/>
                <w:szCs w:val="20"/>
              </w:rPr>
            </w:pPr>
            <w:r w:rsidRPr="00070CA7">
              <w:rPr>
                <w:kern w:val="22"/>
                <w:sz w:val="20"/>
                <w:szCs w:val="20"/>
              </w:rPr>
              <w:t>(a) Percentage of Parties that comply with their obligations, as identified by the Compliance Committee</w:t>
            </w:r>
          </w:p>
          <w:p w14:paraId="6CCA1F34" w14:textId="77777777" w:rsidR="002B5544" w:rsidRPr="00070CA7" w:rsidRDefault="002B5544" w:rsidP="002B5544">
            <w:pPr>
              <w:spacing w:before="60" w:after="60"/>
              <w:jc w:val="left"/>
              <w:rPr>
                <w:b/>
                <w:bCs/>
                <w:kern w:val="22"/>
                <w:sz w:val="20"/>
                <w:szCs w:val="20"/>
              </w:rPr>
            </w:pPr>
            <w:r w:rsidRPr="00486777">
              <w:rPr>
                <w:kern w:val="22"/>
                <w:sz w:val="20"/>
                <w:szCs w:val="20"/>
              </w:rPr>
              <w:t>(b) Percentage of non-compliance issues identified by the Compliance Committee that have been resolved</w:t>
            </w:r>
          </w:p>
        </w:tc>
      </w:tr>
      <w:tr w:rsidR="002B5544" w:rsidRPr="00070CA7" w14:paraId="5AC32714" w14:textId="77777777" w:rsidTr="00F13867">
        <w:tc>
          <w:tcPr>
            <w:tcW w:w="1561" w:type="dxa"/>
            <w:vMerge/>
          </w:tcPr>
          <w:p w14:paraId="0E10F6F7" w14:textId="77777777" w:rsidR="002B5544" w:rsidRPr="00070CA7" w:rsidRDefault="002B5544" w:rsidP="002B5544">
            <w:pPr>
              <w:rPr>
                <w:kern w:val="22"/>
                <w:sz w:val="20"/>
                <w:szCs w:val="20"/>
              </w:rPr>
            </w:pPr>
          </w:p>
        </w:tc>
        <w:tc>
          <w:tcPr>
            <w:tcW w:w="2549" w:type="dxa"/>
          </w:tcPr>
          <w:p w14:paraId="242F72F7" w14:textId="7C165C3D" w:rsidR="002B5544" w:rsidRPr="00070CA7" w:rsidRDefault="002B5544" w:rsidP="002B5544">
            <w:pPr>
              <w:jc w:val="left"/>
              <w:rPr>
                <w:kern w:val="22"/>
                <w:sz w:val="20"/>
                <w:szCs w:val="20"/>
              </w:rPr>
            </w:pPr>
            <w:r w:rsidRPr="00070CA7">
              <w:rPr>
                <w:kern w:val="22"/>
                <w:sz w:val="20"/>
                <w:szCs w:val="20"/>
              </w:rPr>
              <w:t>A.5. Parties carry out scientifically sound risk assessments of LMOs, and manage and control identified risks</w:t>
            </w:r>
          </w:p>
        </w:tc>
        <w:tc>
          <w:tcPr>
            <w:tcW w:w="2973" w:type="dxa"/>
          </w:tcPr>
          <w:p w14:paraId="4B5A3403" w14:textId="77777777" w:rsidR="002B5544" w:rsidRPr="00070CA7" w:rsidRDefault="002B5544" w:rsidP="002B5544">
            <w:pPr>
              <w:spacing w:before="60" w:after="60"/>
              <w:jc w:val="left"/>
              <w:rPr>
                <w:kern w:val="22"/>
                <w:sz w:val="20"/>
                <w:szCs w:val="20"/>
              </w:rPr>
            </w:pPr>
            <w:r w:rsidRPr="00070CA7">
              <w:rPr>
                <w:kern w:val="22"/>
                <w:sz w:val="20"/>
                <w:szCs w:val="20"/>
              </w:rPr>
              <w:t>A.5.1. Parties apply appropriate risk assessment and risk management procedures on LMOs</w:t>
            </w:r>
          </w:p>
          <w:p w14:paraId="5E8A3F77" w14:textId="77777777" w:rsidR="002B5544" w:rsidRPr="00070CA7" w:rsidRDefault="002B5544" w:rsidP="002B5544">
            <w:pPr>
              <w:jc w:val="left"/>
              <w:rPr>
                <w:kern w:val="22"/>
                <w:sz w:val="20"/>
                <w:szCs w:val="20"/>
              </w:rPr>
            </w:pPr>
            <w:r w:rsidRPr="00070CA7">
              <w:rPr>
                <w:kern w:val="22"/>
                <w:sz w:val="20"/>
                <w:szCs w:val="20"/>
              </w:rPr>
              <w:t>A.5.2. Parties have access to and use appropriate guidance materials for carrying out risk assessment and risk management</w:t>
            </w:r>
          </w:p>
        </w:tc>
        <w:tc>
          <w:tcPr>
            <w:tcW w:w="2977" w:type="dxa"/>
          </w:tcPr>
          <w:p w14:paraId="78B1930A" w14:textId="77777777" w:rsidR="002B5544" w:rsidRPr="00070CA7" w:rsidRDefault="002B5544" w:rsidP="002B5544">
            <w:pPr>
              <w:jc w:val="left"/>
              <w:rPr>
                <w:kern w:val="22"/>
                <w:sz w:val="20"/>
                <w:szCs w:val="20"/>
              </w:rPr>
            </w:pPr>
            <w:r w:rsidRPr="00070CA7">
              <w:rPr>
                <w:kern w:val="22"/>
                <w:sz w:val="20"/>
                <w:szCs w:val="20"/>
              </w:rPr>
              <w:t xml:space="preserve">Identified risks of LMOs to biodiversity, taking also into account risks to human health, are appropriately managed and controlled </w:t>
            </w:r>
          </w:p>
        </w:tc>
        <w:tc>
          <w:tcPr>
            <w:tcW w:w="3402" w:type="dxa"/>
          </w:tcPr>
          <w:p w14:paraId="4F62EC87" w14:textId="77777777" w:rsidR="002B5544" w:rsidRPr="00070CA7" w:rsidRDefault="002B5544" w:rsidP="002B5544">
            <w:pPr>
              <w:spacing w:before="60" w:after="60"/>
              <w:jc w:val="left"/>
              <w:rPr>
                <w:kern w:val="22"/>
                <w:sz w:val="20"/>
                <w:szCs w:val="20"/>
              </w:rPr>
            </w:pPr>
            <w:r w:rsidRPr="00070CA7">
              <w:rPr>
                <w:kern w:val="22"/>
                <w:sz w:val="20"/>
                <w:szCs w:val="20"/>
              </w:rPr>
              <w:t xml:space="preserve">(a) Percentage of Parties taking decisions on LMOs that undertake risk assessment as required by the Protocol </w:t>
            </w:r>
          </w:p>
          <w:p w14:paraId="2118E7AA" w14:textId="77777777" w:rsidR="002B5544" w:rsidRPr="00070CA7" w:rsidRDefault="002B5544" w:rsidP="002B5544">
            <w:pPr>
              <w:spacing w:before="60" w:after="60"/>
              <w:jc w:val="left"/>
              <w:rPr>
                <w:kern w:val="22"/>
                <w:sz w:val="20"/>
                <w:szCs w:val="20"/>
              </w:rPr>
            </w:pPr>
            <w:r w:rsidRPr="00070CA7">
              <w:rPr>
                <w:kern w:val="22"/>
                <w:sz w:val="20"/>
                <w:szCs w:val="20"/>
              </w:rPr>
              <w:t>(b) Percentage of decisions in the BCH with associated summary reports of risk assessments</w:t>
            </w:r>
          </w:p>
          <w:p w14:paraId="537C1875" w14:textId="239C1CD2" w:rsidR="002B5544" w:rsidRPr="00070CA7" w:rsidRDefault="002B5544" w:rsidP="002B5544">
            <w:pPr>
              <w:jc w:val="left"/>
              <w:rPr>
                <w:kern w:val="22"/>
                <w:sz w:val="20"/>
                <w:szCs w:val="20"/>
              </w:rPr>
            </w:pPr>
            <w:r w:rsidRPr="00486777">
              <w:rPr>
                <w:kern w:val="22"/>
                <w:sz w:val="20"/>
                <w:szCs w:val="20"/>
              </w:rPr>
              <w:t>(c) Percentage of Parties that have access to relevant risk assessment and risk management guidance materials</w:t>
            </w:r>
          </w:p>
        </w:tc>
      </w:tr>
      <w:tr w:rsidR="002B5544" w:rsidRPr="00070CA7" w14:paraId="6EDE8236" w14:textId="77777777" w:rsidTr="00F13867">
        <w:tc>
          <w:tcPr>
            <w:tcW w:w="1561" w:type="dxa"/>
            <w:vMerge/>
          </w:tcPr>
          <w:p w14:paraId="1F440F46" w14:textId="77777777" w:rsidR="002B5544" w:rsidRPr="00070CA7" w:rsidRDefault="002B5544" w:rsidP="002B5544">
            <w:pPr>
              <w:rPr>
                <w:kern w:val="22"/>
                <w:sz w:val="20"/>
                <w:szCs w:val="20"/>
              </w:rPr>
            </w:pPr>
          </w:p>
        </w:tc>
        <w:tc>
          <w:tcPr>
            <w:tcW w:w="2549" w:type="dxa"/>
          </w:tcPr>
          <w:p w14:paraId="110AA45C" w14:textId="5B46CC06" w:rsidR="002B5544" w:rsidRPr="00070CA7" w:rsidRDefault="002B5544" w:rsidP="002B5544">
            <w:pPr>
              <w:jc w:val="left"/>
              <w:rPr>
                <w:kern w:val="22"/>
                <w:sz w:val="20"/>
                <w:szCs w:val="20"/>
              </w:rPr>
            </w:pPr>
            <w:bookmarkStart w:id="8" w:name="_GoBack"/>
            <w:r w:rsidRPr="00070CA7">
              <w:rPr>
                <w:kern w:val="22"/>
                <w:sz w:val="20"/>
                <w:szCs w:val="20"/>
              </w:rPr>
              <w:t>A.</w:t>
            </w:r>
            <w:r>
              <w:rPr>
                <w:kern w:val="22"/>
                <w:sz w:val="20"/>
                <w:szCs w:val="20"/>
              </w:rPr>
              <w:t>6</w:t>
            </w:r>
            <w:r w:rsidRPr="00070CA7">
              <w:rPr>
                <w:kern w:val="22"/>
                <w:sz w:val="20"/>
                <w:szCs w:val="20"/>
              </w:rPr>
              <w:t>.</w:t>
            </w:r>
            <w:bookmarkEnd w:id="8"/>
            <w:r w:rsidRPr="00070CA7">
              <w:rPr>
                <w:kern w:val="22"/>
                <w:sz w:val="20"/>
                <w:szCs w:val="20"/>
              </w:rPr>
              <w:t xml:space="preserve"> Parties </w:t>
            </w:r>
            <w:proofErr w:type="gramStart"/>
            <w:r w:rsidRPr="00070CA7">
              <w:rPr>
                <w:kern w:val="22"/>
                <w:sz w:val="20"/>
                <w:szCs w:val="20"/>
              </w:rPr>
              <w:t>are able to</w:t>
            </w:r>
            <w:proofErr w:type="gramEnd"/>
          </w:p>
          <w:p w14:paraId="79F0015F" w14:textId="5A70D9B7" w:rsidR="002B5544" w:rsidRPr="00070CA7" w:rsidRDefault="002B5544" w:rsidP="002B5544">
            <w:pPr>
              <w:jc w:val="left"/>
              <w:rPr>
                <w:kern w:val="22"/>
                <w:sz w:val="20"/>
                <w:szCs w:val="20"/>
              </w:rPr>
            </w:pPr>
            <w:r w:rsidRPr="00070CA7">
              <w:rPr>
                <w:kern w:val="22"/>
                <w:sz w:val="20"/>
                <w:szCs w:val="20"/>
              </w:rPr>
              <w:t>detect and identify LMOs</w:t>
            </w:r>
          </w:p>
        </w:tc>
        <w:tc>
          <w:tcPr>
            <w:tcW w:w="2973" w:type="dxa"/>
          </w:tcPr>
          <w:p w14:paraId="0771905A" w14:textId="1D7C34F5" w:rsidR="002B5544" w:rsidRPr="00070CA7" w:rsidRDefault="002B5544" w:rsidP="002B5544">
            <w:pPr>
              <w:spacing w:before="60" w:after="60"/>
              <w:jc w:val="left"/>
              <w:rPr>
                <w:kern w:val="22"/>
                <w:sz w:val="20"/>
                <w:szCs w:val="20"/>
              </w:rPr>
            </w:pPr>
            <w:r w:rsidRPr="00070CA7">
              <w:rPr>
                <w:kern w:val="22"/>
                <w:sz w:val="20"/>
                <w:szCs w:val="20"/>
              </w:rPr>
              <w:t>A.</w:t>
            </w:r>
            <w:r>
              <w:rPr>
                <w:kern w:val="22"/>
                <w:sz w:val="20"/>
                <w:szCs w:val="20"/>
              </w:rPr>
              <w:t>6</w:t>
            </w:r>
            <w:r w:rsidRPr="00070CA7">
              <w:rPr>
                <w:kern w:val="22"/>
                <w:sz w:val="20"/>
                <w:szCs w:val="20"/>
              </w:rPr>
              <w:t xml:space="preserve">.1. Parties have access to and use appropriate guidance materials </w:t>
            </w:r>
          </w:p>
          <w:p w14:paraId="2ABB8378" w14:textId="76221D14" w:rsidR="002B5544" w:rsidRPr="00070CA7" w:rsidRDefault="002B5544" w:rsidP="002B5544">
            <w:pPr>
              <w:jc w:val="left"/>
              <w:rPr>
                <w:kern w:val="22"/>
                <w:sz w:val="20"/>
                <w:szCs w:val="20"/>
              </w:rPr>
            </w:pPr>
            <w:r w:rsidRPr="00070CA7">
              <w:rPr>
                <w:kern w:val="22"/>
                <w:sz w:val="20"/>
                <w:szCs w:val="20"/>
              </w:rPr>
              <w:t>A.</w:t>
            </w:r>
            <w:r>
              <w:rPr>
                <w:kern w:val="22"/>
                <w:sz w:val="20"/>
                <w:szCs w:val="20"/>
              </w:rPr>
              <w:t>6</w:t>
            </w:r>
            <w:r w:rsidRPr="00070CA7">
              <w:rPr>
                <w:kern w:val="22"/>
                <w:sz w:val="20"/>
                <w:szCs w:val="20"/>
              </w:rPr>
              <w:t>.2. Parties have the necessary technical infrastructure in place for the detection and identification of LMOs</w:t>
            </w:r>
          </w:p>
        </w:tc>
        <w:tc>
          <w:tcPr>
            <w:tcW w:w="2977" w:type="dxa"/>
          </w:tcPr>
          <w:p w14:paraId="5DC5421C" w14:textId="7BE20290" w:rsidR="002B5544" w:rsidRPr="00070CA7" w:rsidRDefault="002B5544" w:rsidP="002B5544">
            <w:pPr>
              <w:jc w:val="left"/>
              <w:rPr>
                <w:kern w:val="22"/>
                <w:sz w:val="20"/>
                <w:szCs w:val="20"/>
              </w:rPr>
            </w:pPr>
            <w:r w:rsidRPr="00070CA7">
              <w:rPr>
                <w:kern w:val="22"/>
                <w:sz w:val="20"/>
                <w:szCs w:val="20"/>
              </w:rPr>
              <w:t xml:space="preserve">By detecting and identifying LMOs, Parties </w:t>
            </w:r>
            <w:proofErr w:type="gramStart"/>
            <w:r w:rsidRPr="00070CA7">
              <w:rPr>
                <w:kern w:val="22"/>
                <w:sz w:val="20"/>
                <w:szCs w:val="20"/>
              </w:rPr>
              <w:t>are able to</w:t>
            </w:r>
            <w:proofErr w:type="gramEnd"/>
            <w:r w:rsidRPr="00070CA7">
              <w:rPr>
                <w:kern w:val="22"/>
                <w:sz w:val="20"/>
                <w:szCs w:val="20"/>
              </w:rPr>
              <w:t xml:space="preserve"> respond to unintentional and illegal transboundary movements and to follow the handling, transport, packaging and identification requirements in accordance with the Protocol</w:t>
            </w:r>
          </w:p>
        </w:tc>
        <w:tc>
          <w:tcPr>
            <w:tcW w:w="3402" w:type="dxa"/>
          </w:tcPr>
          <w:p w14:paraId="7386063C" w14:textId="77777777" w:rsidR="002B5544" w:rsidRPr="00070CA7" w:rsidRDefault="002B5544" w:rsidP="002B5544">
            <w:pPr>
              <w:spacing w:before="60" w:after="60"/>
              <w:jc w:val="left"/>
              <w:rPr>
                <w:kern w:val="22"/>
                <w:sz w:val="20"/>
                <w:szCs w:val="20"/>
              </w:rPr>
            </w:pPr>
            <w:r w:rsidRPr="00070CA7">
              <w:rPr>
                <w:kern w:val="22"/>
                <w:sz w:val="20"/>
                <w:szCs w:val="20"/>
              </w:rPr>
              <w:t>(a) Percentage of LMOs for which detection methods are available in the BCH</w:t>
            </w:r>
          </w:p>
          <w:p w14:paraId="77AA125F" w14:textId="77777777" w:rsidR="002B5544" w:rsidRPr="00070CA7" w:rsidRDefault="002B5544" w:rsidP="002B5544">
            <w:pPr>
              <w:spacing w:before="60" w:after="60"/>
              <w:jc w:val="left"/>
              <w:rPr>
                <w:kern w:val="22"/>
                <w:sz w:val="20"/>
                <w:szCs w:val="20"/>
              </w:rPr>
            </w:pPr>
            <w:r w:rsidRPr="00070CA7">
              <w:rPr>
                <w:kern w:val="22"/>
                <w:sz w:val="20"/>
                <w:szCs w:val="20"/>
              </w:rPr>
              <w:t>(b) Percentage of Parties that have access to and use guidance materials to detect and identify LMOs</w:t>
            </w:r>
          </w:p>
          <w:p w14:paraId="528FB9FA" w14:textId="57CD0B98" w:rsidR="002B5544" w:rsidRPr="00070CA7" w:rsidRDefault="002B5544" w:rsidP="002B5544">
            <w:pPr>
              <w:jc w:val="left"/>
              <w:rPr>
                <w:kern w:val="22"/>
                <w:sz w:val="20"/>
                <w:szCs w:val="20"/>
              </w:rPr>
            </w:pPr>
            <w:r w:rsidRPr="00486777">
              <w:rPr>
                <w:kern w:val="22"/>
                <w:sz w:val="20"/>
                <w:szCs w:val="20"/>
              </w:rPr>
              <w:t>(c) Percentage of Parties that hav</w:t>
            </w:r>
            <w:r>
              <w:rPr>
                <w:kern w:val="22"/>
                <w:sz w:val="20"/>
                <w:szCs w:val="20"/>
              </w:rPr>
              <w:t>e</w:t>
            </w:r>
            <w:r w:rsidRPr="00486777">
              <w:rPr>
                <w:kern w:val="22"/>
                <w:sz w:val="20"/>
                <w:szCs w:val="20"/>
              </w:rPr>
              <w:t xml:space="preserve"> access to the technical infrastructure needed to detect and identify LMOs</w:t>
            </w:r>
          </w:p>
        </w:tc>
      </w:tr>
      <w:tr w:rsidR="002B5544" w:rsidRPr="00070CA7" w14:paraId="061F38CF" w14:textId="77777777" w:rsidTr="00F13867">
        <w:tc>
          <w:tcPr>
            <w:tcW w:w="1561" w:type="dxa"/>
            <w:vMerge/>
          </w:tcPr>
          <w:p w14:paraId="69363C03" w14:textId="77777777" w:rsidR="002B5544" w:rsidRPr="00070CA7" w:rsidRDefault="002B5544" w:rsidP="002B5544">
            <w:pPr>
              <w:rPr>
                <w:kern w:val="22"/>
                <w:sz w:val="20"/>
                <w:szCs w:val="20"/>
              </w:rPr>
            </w:pPr>
          </w:p>
        </w:tc>
        <w:tc>
          <w:tcPr>
            <w:tcW w:w="2549" w:type="dxa"/>
          </w:tcPr>
          <w:p w14:paraId="57867693" w14:textId="60879188" w:rsidR="002B5544" w:rsidRPr="00070CA7" w:rsidRDefault="002B5544" w:rsidP="002B5544">
            <w:pPr>
              <w:jc w:val="left"/>
              <w:rPr>
                <w:kern w:val="22"/>
                <w:sz w:val="20"/>
                <w:szCs w:val="20"/>
              </w:rPr>
            </w:pPr>
            <w:r w:rsidRPr="00070CA7">
              <w:rPr>
                <w:kern w:val="22"/>
                <w:sz w:val="20"/>
                <w:szCs w:val="20"/>
              </w:rPr>
              <w:t>A.</w:t>
            </w:r>
            <w:r>
              <w:rPr>
                <w:kern w:val="22"/>
                <w:sz w:val="20"/>
                <w:szCs w:val="20"/>
              </w:rPr>
              <w:t>7</w:t>
            </w:r>
            <w:r w:rsidRPr="00070CA7">
              <w:rPr>
                <w:kern w:val="22"/>
                <w:sz w:val="20"/>
                <w:szCs w:val="20"/>
              </w:rPr>
              <w:t>. Parties prevent illegal and unintentional transboundary movements of LMOs</w:t>
            </w:r>
          </w:p>
        </w:tc>
        <w:tc>
          <w:tcPr>
            <w:tcW w:w="2973" w:type="dxa"/>
          </w:tcPr>
          <w:p w14:paraId="5C7FB9B2" w14:textId="77C9C3A1" w:rsidR="002B5544" w:rsidRPr="00070CA7" w:rsidRDefault="002B5544" w:rsidP="002B5544">
            <w:pPr>
              <w:jc w:val="left"/>
              <w:rPr>
                <w:kern w:val="22"/>
                <w:sz w:val="20"/>
                <w:szCs w:val="20"/>
              </w:rPr>
            </w:pPr>
            <w:r w:rsidRPr="00070CA7">
              <w:rPr>
                <w:kern w:val="22"/>
                <w:sz w:val="20"/>
                <w:szCs w:val="20"/>
              </w:rPr>
              <w:t>A.</w:t>
            </w:r>
            <w:r>
              <w:rPr>
                <w:kern w:val="22"/>
                <w:sz w:val="20"/>
                <w:szCs w:val="20"/>
              </w:rPr>
              <w:t>7</w:t>
            </w:r>
            <w:r w:rsidRPr="00070CA7">
              <w:rPr>
                <w:kern w:val="22"/>
                <w:sz w:val="20"/>
                <w:szCs w:val="20"/>
              </w:rPr>
              <w:t>.1. Parties have adopted appropriate measures to prevent illegal and unintentional transboundary movements of LMOs</w:t>
            </w:r>
          </w:p>
        </w:tc>
        <w:tc>
          <w:tcPr>
            <w:tcW w:w="2977" w:type="dxa"/>
          </w:tcPr>
          <w:p w14:paraId="2B03C8C4" w14:textId="77777777" w:rsidR="002B5544" w:rsidRPr="00070CA7" w:rsidRDefault="002B5544" w:rsidP="002B5544">
            <w:pPr>
              <w:jc w:val="left"/>
              <w:rPr>
                <w:kern w:val="22"/>
                <w:sz w:val="20"/>
                <w:szCs w:val="20"/>
              </w:rPr>
            </w:pPr>
            <w:r w:rsidRPr="00070CA7">
              <w:rPr>
                <w:kern w:val="22"/>
                <w:sz w:val="20"/>
                <w:szCs w:val="20"/>
              </w:rPr>
              <w:t xml:space="preserve">Parties </w:t>
            </w:r>
            <w:proofErr w:type="gramStart"/>
            <w:r w:rsidRPr="00070CA7">
              <w:rPr>
                <w:kern w:val="22"/>
                <w:sz w:val="20"/>
                <w:szCs w:val="20"/>
              </w:rPr>
              <w:t>are able to</w:t>
            </w:r>
            <w:proofErr w:type="gramEnd"/>
            <w:r w:rsidRPr="00070CA7">
              <w:rPr>
                <w:kern w:val="22"/>
                <w:sz w:val="20"/>
                <w:szCs w:val="20"/>
              </w:rPr>
              <w:t xml:space="preserve"> prevent, detect and respond to illegal and unintentional transboundary movements of LMOs</w:t>
            </w:r>
          </w:p>
        </w:tc>
        <w:tc>
          <w:tcPr>
            <w:tcW w:w="3402" w:type="dxa"/>
          </w:tcPr>
          <w:p w14:paraId="4B39DEA5" w14:textId="47BE08B7" w:rsidR="002B5544" w:rsidRPr="00070CA7" w:rsidRDefault="002B5544" w:rsidP="002B5544">
            <w:pPr>
              <w:jc w:val="left"/>
              <w:rPr>
                <w:kern w:val="22"/>
                <w:sz w:val="20"/>
                <w:szCs w:val="20"/>
              </w:rPr>
            </w:pPr>
            <w:r w:rsidRPr="00070CA7">
              <w:rPr>
                <w:kern w:val="22"/>
                <w:sz w:val="20"/>
                <w:szCs w:val="20"/>
              </w:rPr>
              <w:t>(a) Percentage of Parties that hav</w:t>
            </w:r>
            <w:r>
              <w:rPr>
                <w:kern w:val="22"/>
                <w:sz w:val="20"/>
                <w:szCs w:val="20"/>
              </w:rPr>
              <w:t>e</w:t>
            </w:r>
            <w:r w:rsidRPr="00070CA7">
              <w:rPr>
                <w:kern w:val="22"/>
                <w:sz w:val="20"/>
                <w:szCs w:val="20"/>
              </w:rPr>
              <w:t xml:space="preserve"> appropriate measures in place to prevent illegal and unintentional transboundary movements of LMOs </w:t>
            </w:r>
          </w:p>
        </w:tc>
      </w:tr>
      <w:tr w:rsidR="002B5544" w:rsidRPr="00070CA7" w14:paraId="40260285" w14:textId="77777777" w:rsidTr="00F13867">
        <w:tc>
          <w:tcPr>
            <w:tcW w:w="1561" w:type="dxa"/>
            <w:vMerge/>
          </w:tcPr>
          <w:p w14:paraId="76D32102" w14:textId="77777777" w:rsidR="002B5544" w:rsidRPr="00070CA7" w:rsidRDefault="002B5544" w:rsidP="002B5544">
            <w:pPr>
              <w:rPr>
                <w:kern w:val="22"/>
                <w:sz w:val="20"/>
                <w:szCs w:val="20"/>
              </w:rPr>
            </w:pPr>
          </w:p>
        </w:tc>
        <w:tc>
          <w:tcPr>
            <w:tcW w:w="2549" w:type="dxa"/>
          </w:tcPr>
          <w:p w14:paraId="5771ED60" w14:textId="77C84A03" w:rsidR="002B5544" w:rsidRPr="00070CA7" w:rsidRDefault="002B5544" w:rsidP="002B5544">
            <w:pPr>
              <w:jc w:val="left"/>
              <w:rPr>
                <w:kern w:val="22"/>
                <w:sz w:val="20"/>
                <w:szCs w:val="20"/>
              </w:rPr>
            </w:pPr>
            <w:r w:rsidRPr="00070CA7">
              <w:rPr>
                <w:kern w:val="22"/>
                <w:sz w:val="20"/>
                <w:szCs w:val="20"/>
              </w:rPr>
              <w:t>A.</w:t>
            </w:r>
            <w:r>
              <w:rPr>
                <w:kern w:val="22"/>
                <w:sz w:val="20"/>
                <w:szCs w:val="20"/>
              </w:rPr>
              <w:t>8</w:t>
            </w:r>
            <w:r w:rsidRPr="00070CA7">
              <w:rPr>
                <w:kern w:val="22"/>
                <w:sz w:val="20"/>
                <w:szCs w:val="20"/>
              </w:rPr>
              <w:t>. Parties have measures in place to fulfil the handling, transport, packaging and identification requirements of LMOs under the Protocol</w:t>
            </w:r>
          </w:p>
        </w:tc>
        <w:tc>
          <w:tcPr>
            <w:tcW w:w="2973" w:type="dxa"/>
          </w:tcPr>
          <w:p w14:paraId="3BD86B54" w14:textId="0B4ABA1A" w:rsidR="002B5544" w:rsidRPr="00070CA7" w:rsidRDefault="002B5544" w:rsidP="002B5544">
            <w:pPr>
              <w:spacing w:before="60" w:after="60"/>
              <w:jc w:val="left"/>
              <w:rPr>
                <w:kern w:val="22"/>
                <w:sz w:val="20"/>
                <w:szCs w:val="20"/>
              </w:rPr>
            </w:pPr>
            <w:r w:rsidRPr="00070CA7">
              <w:rPr>
                <w:kern w:val="22"/>
                <w:sz w:val="20"/>
                <w:szCs w:val="20"/>
              </w:rPr>
              <w:t>A.</w:t>
            </w:r>
            <w:r>
              <w:rPr>
                <w:kern w:val="22"/>
                <w:sz w:val="20"/>
                <w:szCs w:val="20"/>
              </w:rPr>
              <w:t>8</w:t>
            </w:r>
            <w:r w:rsidRPr="00070CA7">
              <w:rPr>
                <w:kern w:val="22"/>
                <w:sz w:val="20"/>
                <w:szCs w:val="20"/>
              </w:rPr>
              <w:t>.1. Parties have adopted the necessary measures to require that LMOs subject to transboundary movement are handled, packaged and transported under conditions of safety, taking into consideration relevant international rules and standards</w:t>
            </w:r>
          </w:p>
          <w:p w14:paraId="3D1AE927" w14:textId="37497FF3" w:rsidR="002B5544" w:rsidRPr="00070CA7" w:rsidRDefault="002B5544" w:rsidP="002B5544">
            <w:pPr>
              <w:spacing w:before="60" w:after="60"/>
              <w:jc w:val="left"/>
              <w:rPr>
                <w:kern w:val="22"/>
                <w:sz w:val="20"/>
                <w:szCs w:val="20"/>
              </w:rPr>
            </w:pPr>
            <w:r w:rsidRPr="00070CA7">
              <w:rPr>
                <w:kern w:val="22"/>
                <w:sz w:val="20"/>
                <w:szCs w:val="20"/>
              </w:rPr>
              <w:t>A.</w:t>
            </w:r>
            <w:r>
              <w:rPr>
                <w:kern w:val="22"/>
                <w:sz w:val="20"/>
                <w:szCs w:val="20"/>
              </w:rPr>
              <w:t>8</w:t>
            </w:r>
            <w:r w:rsidRPr="00070CA7">
              <w:rPr>
                <w:kern w:val="22"/>
                <w:sz w:val="20"/>
                <w:szCs w:val="20"/>
              </w:rPr>
              <w:t>.2. Parties have measures in place to fulfil the documentation requirements for LMOs intended for direct use as food or feed, or for processing; LMOs destined for contained use; LMOs for international introduction into the environment and other LMOs</w:t>
            </w:r>
          </w:p>
        </w:tc>
        <w:tc>
          <w:tcPr>
            <w:tcW w:w="2977" w:type="dxa"/>
          </w:tcPr>
          <w:p w14:paraId="4C6F50CA" w14:textId="1AE41E32" w:rsidR="002B5544" w:rsidRPr="00070CA7" w:rsidRDefault="002B5544" w:rsidP="002B5544">
            <w:pPr>
              <w:jc w:val="left"/>
              <w:rPr>
                <w:kern w:val="22"/>
                <w:sz w:val="20"/>
                <w:szCs w:val="20"/>
              </w:rPr>
            </w:pPr>
            <w:r w:rsidRPr="00070CA7">
              <w:rPr>
                <w:kern w:val="22"/>
                <w:sz w:val="20"/>
                <w:szCs w:val="20"/>
              </w:rPr>
              <w:t xml:space="preserve">Through appropriate handling, transport, packaging and identification of LMOs, Parties </w:t>
            </w:r>
            <w:proofErr w:type="gramStart"/>
            <w:r w:rsidRPr="00070CA7">
              <w:rPr>
                <w:kern w:val="22"/>
                <w:sz w:val="20"/>
                <w:szCs w:val="20"/>
              </w:rPr>
              <w:t>are able to</w:t>
            </w:r>
            <w:proofErr w:type="gramEnd"/>
            <w:r w:rsidRPr="00070CA7">
              <w:rPr>
                <w:kern w:val="22"/>
                <w:sz w:val="20"/>
                <w:szCs w:val="20"/>
              </w:rPr>
              <w:t xml:space="preserve"> safely manage intentional transboundary movements of LMOs  </w:t>
            </w:r>
          </w:p>
        </w:tc>
        <w:tc>
          <w:tcPr>
            <w:tcW w:w="3402" w:type="dxa"/>
          </w:tcPr>
          <w:p w14:paraId="5EF484A4" w14:textId="7A555319" w:rsidR="002B5544" w:rsidRDefault="002B5544" w:rsidP="002B5544">
            <w:pPr>
              <w:jc w:val="left"/>
              <w:rPr>
                <w:kern w:val="22"/>
                <w:sz w:val="20"/>
                <w:szCs w:val="20"/>
              </w:rPr>
            </w:pPr>
            <w:r w:rsidRPr="00070CA7">
              <w:rPr>
                <w:kern w:val="22"/>
                <w:sz w:val="20"/>
                <w:szCs w:val="20"/>
              </w:rPr>
              <w:t xml:space="preserve">(a) </w:t>
            </w:r>
            <w:r>
              <w:rPr>
                <w:kern w:val="22"/>
                <w:sz w:val="20"/>
                <w:szCs w:val="20"/>
              </w:rPr>
              <w:t xml:space="preserve">Percentage of Parties that have adopted the necessary measures to </w:t>
            </w:r>
            <w:r w:rsidRPr="00070CA7">
              <w:rPr>
                <w:kern w:val="22"/>
                <w:sz w:val="20"/>
                <w:szCs w:val="20"/>
              </w:rPr>
              <w:t>require that LMOs subject to transboundary movement are handled, packaged and transported under conditions of safety</w:t>
            </w:r>
            <w:r>
              <w:rPr>
                <w:kern w:val="22"/>
                <w:sz w:val="20"/>
                <w:szCs w:val="20"/>
              </w:rPr>
              <w:t>,</w:t>
            </w:r>
            <w:r w:rsidRPr="00070CA7">
              <w:rPr>
                <w:kern w:val="22"/>
                <w:sz w:val="20"/>
                <w:szCs w:val="20"/>
              </w:rPr>
              <w:t xml:space="preserve"> taking into consideration relevant international rules and standards</w:t>
            </w:r>
          </w:p>
          <w:p w14:paraId="657B2421" w14:textId="1ECA761F" w:rsidR="002B5544" w:rsidRPr="00070CA7" w:rsidRDefault="002B5544" w:rsidP="002B5544">
            <w:pPr>
              <w:jc w:val="left"/>
              <w:rPr>
                <w:kern w:val="22"/>
                <w:sz w:val="20"/>
                <w:szCs w:val="20"/>
              </w:rPr>
            </w:pPr>
            <w:r>
              <w:rPr>
                <w:kern w:val="22"/>
                <w:sz w:val="20"/>
                <w:szCs w:val="20"/>
              </w:rPr>
              <w:t xml:space="preserve">(b) </w:t>
            </w:r>
            <w:r w:rsidRPr="00070CA7">
              <w:rPr>
                <w:kern w:val="22"/>
                <w:sz w:val="20"/>
                <w:szCs w:val="20"/>
              </w:rPr>
              <w:t>Percentage of Parties that hav</w:t>
            </w:r>
            <w:r>
              <w:rPr>
                <w:kern w:val="22"/>
                <w:sz w:val="20"/>
                <w:szCs w:val="20"/>
              </w:rPr>
              <w:t>e</w:t>
            </w:r>
            <w:r w:rsidRPr="00070CA7">
              <w:rPr>
                <w:kern w:val="22"/>
                <w:sz w:val="20"/>
                <w:szCs w:val="20"/>
              </w:rPr>
              <w:t xml:space="preserve"> put in place documentation requirements for the handling, transport, packaging and identification of LMOs</w:t>
            </w:r>
          </w:p>
        </w:tc>
      </w:tr>
      <w:tr w:rsidR="002B5544" w:rsidRPr="00070CA7" w14:paraId="2B70470F" w14:textId="77777777" w:rsidTr="00453555">
        <w:trPr>
          <w:trHeight w:val="2430"/>
        </w:trPr>
        <w:tc>
          <w:tcPr>
            <w:tcW w:w="1561" w:type="dxa"/>
          </w:tcPr>
          <w:p w14:paraId="7EC359F9" w14:textId="77777777" w:rsidR="002B5544" w:rsidRPr="00070CA7" w:rsidRDefault="002B5544" w:rsidP="002B5544">
            <w:pPr>
              <w:rPr>
                <w:kern w:val="22"/>
                <w:sz w:val="20"/>
                <w:szCs w:val="20"/>
              </w:rPr>
            </w:pPr>
          </w:p>
        </w:tc>
        <w:tc>
          <w:tcPr>
            <w:tcW w:w="2549" w:type="dxa"/>
          </w:tcPr>
          <w:p w14:paraId="275FAFDA" w14:textId="51A94BEE" w:rsidR="002B5544" w:rsidRPr="0069652D" w:rsidRDefault="002B5544" w:rsidP="002B5544">
            <w:pPr>
              <w:jc w:val="left"/>
              <w:rPr>
                <w:kern w:val="22"/>
                <w:sz w:val="20"/>
                <w:szCs w:val="20"/>
              </w:rPr>
            </w:pPr>
            <w:r w:rsidRPr="0069652D">
              <w:rPr>
                <w:kern w:val="22"/>
                <w:sz w:val="20"/>
                <w:szCs w:val="20"/>
              </w:rPr>
              <w:t>A.9</w:t>
            </w:r>
            <w:r w:rsidRPr="0069652D">
              <w:rPr>
                <w:color w:val="000000"/>
                <w:sz w:val="20"/>
                <w:szCs w:val="20"/>
                <w:lang w:val="en-CA" w:eastAsia="en-CA"/>
              </w:rPr>
              <w:t xml:space="preserve"> Parties </w:t>
            </w:r>
            <w:r w:rsidRPr="0069652D">
              <w:rPr>
                <w:sz w:val="20"/>
                <w:szCs w:val="20"/>
                <w:lang w:val="en-CA" w:eastAsia="en-CA"/>
              </w:rPr>
              <w:t>that choose to do so,</w:t>
            </w:r>
            <w:r w:rsidRPr="0069652D">
              <w:rPr>
                <w:color w:val="FF0000"/>
                <w:sz w:val="20"/>
                <w:szCs w:val="20"/>
                <w:lang w:val="en-CA" w:eastAsia="en-CA"/>
              </w:rPr>
              <w:t xml:space="preserve"> </w:t>
            </w:r>
            <w:proofErr w:type="gramStart"/>
            <w:r w:rsidRPr="0069652D">
              <w:rPr>
                <w:color w:val="000000"/>
                <w:sz w:val="20"/>
                <w:szCs w:val="20"/>
                <w:lang w:val="en-CA" w:eastAsia="en-CA"/>
              </w:rPr>
              <w:t>take into account</w:t>
            </w:r>
            <w:proofErr w:type="gramEnd"/>
            <w:r w:rsidRPr="0069652D">
              <w:rPr>
                <w:color w:val="000000"/>
                <w:sz w:val="20"/>
                <w:szCs w:val="20"/>
                <w:lang w:val="en-CA" w:eastAsia="en-CA"/>
              </w:rPr>
              <w:t xml:space="preserve"> socio-economic considerations when taking decisions on the import of LMOs in accordance with Article 26 of the Protocol</w:t>
            </w:r>
          </w:p>
        </w:tc>
        <w:tc>
          <w:tcPr>
            <w:tcW w:w="2973" w:type="dxa"/>
          </w:tcPr>
          <w:p w14:paraId="096593ED" w14:textId="1A9CBA68" w:rsidR="002B5544" w:rsidRPr="009B6840" w:rsidRDefault="002B5544" w:rsidP="002B5544">
            <w:pPr>
              <w:jc w:val="left"/>
              <w:rPr>
                <w:sz w:val="20"/>
                <w:szCs w:val="20"/>
              </w:rPr>
            </w:pPr>
            <w:r>
              <w:rPr>
                <w:sz w:val="20"/>
                <w:szCs w:val="20"/>
              </w:rPr>
              <w:t xml:space="preserve">A.9.1. </w:t>
            </w:r>
            <w:r w:rsidRPr="009B6840">
              <w:rPr>
                <w:sz w:val="20"/>
                <w:szCs w:val="20"/>
              </w:rPr>
              <w:t>Parties have access to</w:t>
            </w:r>
          </w:p>
          <w:p w14:paraId="18E89BA7" w14:textId="77777777" w:rsidR="002B5544" w:rsidRPr="009B6840" w:rsidRDefault="002B5544" w:rsidP="002B5544">
            <w:pPr>
              <w:jc w:val="left"/>
              <w:rPr>
                <w:sz w:val="20"/>
                <w:szCs w:val="20"/>
              </w:rPr>
            </w:pPr>
            <w:r w:rsidRPr="009B6840">
              <w:rPr>
                <w:sz w:val="20"/>
                <w:szCs w:val="20"/>
              </w:rPr>
              <w:t>appropriate guidance materials</w:t>
            </w:r>
          </w:p>
          <w:p w14:paraId="2EA8241F" w14:textId="77777777" w:rsidR="002B5544" w:rsidRPr="009B6840" w:rsidRDefault="002B5544" w:rsidP="002B5544">
            <w:pPr>
              <w:jc w:val="left"/>
              <w:rPr>
                <w:sz w:val="20"/>
                <w:szCs w:val="20"/>
              </w:rPr>
            </w:pPr>
            <w:r w:rsidRPr="009B6840">
              <w:rPr>
                <w:sz w:val="20"/>
                <w:szCs w:val="20"/>
              </w:rPr>
              <w:t xml:space="preserve">for </w:t>
            </w:r>
            <w:proofErr w:type="gramStart"/>
            <w:r w:rsidRPr="009B6840">
              <w:rPr>
                <w:sz w:val="20"/>
                <w:szCs w:val="20"/>
              </w:rPr>
              <w:t>taking into account</w:t>
            </w:r>
            <w:proofErr w:type="gramEnd"/>
            <w:r w:rsidRPr="009B6840">
              <w:rPr>
                <w:sz w:val="20"/>
                <w:szCs w:val="20"/>
              </w:rPr>
              <w:t xml:space="preserve"> socioeconomic considerations in</w:t>
            </w:r>
          </w:p>
          <w:p w14:paraId="037E738F" w14:textId="77777777" w:rsidR="002B5544" w:rsidRPr="009B6840" w:rsidRDefault="002B5544" w:rsidP="002B5544">
            <w:pPr>
              <w:jc w:val="left"/>
              <w:rPr>
                <w:sz w:val="20"/>
                <w:szCs w:val="20"/>
              </w:rPr>
            </w:pPr>
            <w:r w:rsidRPr="009B6840">
              <w:rPr>
                <w:sz w:val="20"/>
                <w:szCs w:val="20"/>
              </w:rPr>
              <w:t>accordance with Article 26 of</w:t>
            </w:r>
          </w:p>
          <w:p w14:paraId="50F03D87" w14:textId="77777777" w:rsidR="002B5544" w:rsidRPr="00070CA7" w:rsidRDefault="002B5544" w:rsidP="002B5544">
            <w:pPr>
              <w:spacing w:after="60"/>
              <w:jc w:val="left"/>
              <w:rPr>
                <w:kern w:val="22"/>
                <w:sz w:val="20"/>
                <w:szCs w:val="20"/>
              </w:rPr>
            </w:pPr>
            <w:r w:rsidRPr="009B6840">
              <w:rPr>
                <w:sz w:val="20"/>
                <w:szCs w:val="20"/>
              </w:rPr>
              <w:t>the Protocol</w:t>
            </w:r>
          </w:p>
          <w:p w14:paraId="1CEA048E" w14:textId="0A5FDC8D" w:rsidR="002B5544" w:rsidRPr="00070CA7" w:rsidRDefault="002B5544" w:rsidP="002B5544">
            <w:pPr>
              <w:spacing w:after="60"/>
              <w:jc w:val="left"/>
              <w:rPr>
                <w:kern w:val="22"/>
                <w:sz w:val="20"/>
                <w:szCs w:val="20"/>
              </w:rPr>
            </w:pPr>
            <w:r>
              <w:rPr>
                <w:sz w:val="20"/>
                <w:szCs w:val="20"/>
              </w:rPr>
              <w:t xml:space="preserve">A.9.2. </w:t>
            </w:r>
            <w:r w:rsidRPr="009B6840">
              <w:rPr>
                <w:sz w:val="20"/>
                <w:szCs w:val="20"/>
              </w:rPr>
              <w:t xml:space="preserve">Parties share experiences with and approaches for </w:t>
            </w:r>
            <w:proofErr w:type="gramStart"/>
            <w:r w:rsidRPr="009B6840">
              <w:rPr>
                <w:sz w:val="20"/>
                <w:szCs w:val="20"/>
              </w:rPr>
              <w:t>taking into account</w:t>
            </w:r>
            <w:proofErr w:type="gramEnd"/>
            <w:r w:rsidRPr="009B6840">
              <w:rPr>
                <w:sz w:val="20"/>
                <w:szCs w:val="20"/>
              </w:rPr>
              <w:t xml:space="preserve"> socio-economic considerations</w:t>
            </w:r>
          </w:p>
        </w:tc>
        <w:tc>
          <w:tcPr>
            <w:tcW w:w="2977" w:type="dxa"/>
          </w:tcPr>
          <w:p w14:paraId="58BD8491" w14:textId="2189805B" w:rsidR="002B5544" w:rsidRPr="00070CA7" w:rsidRDefault="002B5544" w:rsidP="002B5544">
            <w:pPr>
              <w:jc w:val="left"/>
              <w:rPr>
                <w:kern w:val="22"/>
                <w:sz w:val="20"/>
                <w:szCs w:val="20"/>
              </w:rPr>
            </w:pPr>
            <w:r w:rsidRPr="009B6840">
              <w:rPr>
                <w:sz w:val="20"/>
                <w:szCs w:val="20"/>
              </w:rPr>
              <w:t xml:space="preserve">Parties that choose to do so, </w:t>
            </w:r>
            <w:proofErr w:type="gramStart"/>
            <w:r w:rsidRPr="009B6840">
              <w:rPr>
                <w:sz w:val="20"/>
                <w:szCs w:val="20"/>
              </w:rPr>
              <w:t>are able to</w:t>
            </w:r>
            <w:proofErr w:type="gramEnd"/>
            <w:r w:rsidRPr="009B6840">
              <w:rPr>
                <w:sz w:val="20"/>
                <w:szCs w:val="20"/>
              </w:rPr>
              <w:t xml:space="preserve"> take into account socio-economic considerations in accordance with Article 26</w:t>
            </w:r>
          </w:p>
        </w:tc>
        <w:tc>
          <w:tcPr>
            <w:tcW w:w="3402" w:type="dxa"/>
          </w:tcPr>
          <w:p w14:paraId="7993855D" w14:textId="35FFD0F0" w:rsidR="002B5544" w:rsidRPr="00070CA7" w:rsidRDefault="002B5544" w:rsidP="002B5544">
            <w:pPr>
              <w:jc w:val="left"/>
              <w:rPr>
                <w:kern w:val="22"/>
                <w:sz w:val="20"/>
                <w:szCs w:val="20"/>
              </w:rPr>
            </w:pPr>
            <w:r w:rsidRPr="009B6840">
              <w:rPr>
                <w:sz w:val="20"/>
                <w:szCs w:val="20"/>
              </w:rPr>
              <w:t>(</w:t>
            </w:r>
            <w:r>
              <w:rPr>
                <w:sz w:val="20"/>
                <w:szCs w:val="20"/>
              </w:rPr>
              <w:t>a</w:t>
            </w:r>
            <w:r w:rsidRPr="009B6840">
              <w:rPr>
                <w:sz w:val="20"/>
                <w:szCs w:val="20"/>
              </w:rPr>
              <w:t xml:space="preserve">) Percentage of Parties that have access to appropriate guidance materials for </w:t>
            </w:r>
            <w:proofErr w:type="gramStart"/>
            <w:r w:rsidRPr="009B6840">
              <w:rPr>
                <w:sz w:val="20"/>
                <w:szCs w:val="20"/>
              </w:rPr>
              <w:t>taking into account</w:t>
            </w:r>
            <w:proofErr w:type="gramEnd"/>
            <w:r w:rsidRPr="009B6840">
              <w:rPr>
                <w:sz w:val="20"/>
                <w:szCs w:val="20"/>
              </w:rPr>
              <w:t xml:space="preserve"> socio-economic considerations in accordance with Article 26 of the Protocol</w:t>
            </w:r>
          </w:p>
        </w:tc>
      </w:tr>
      <w:tr w:rsidR="002B5544" w:rsidRPr="00070CA7" w14:paraId="1C330828" w14:textId="77777777" w:rsidTr="00F13867">
        <w:tc>
          <w:tcPr>
            <w:tcW w:w="1561" w:type="dxa"/>
            <w:vMerge w:val="restart"/>
          </w:tcPr>
          <w:p w14:paraId="0D3B7DD0" w14:textId="77777777" w:rsidR="002B5544" w:rsidRPr="00070CA7" w:rsidRDefault="002B5544" w:rsidP="002B5544">
            <w:pPr>
              <w:rPr>
                <w:kern w:val="22"/>
                <w:sz w:val="20"/>
                <w:szCs w:val="20"/>
              </w:rPr>
            </w:pPr>
          </w:p>
        </w:tc>
        <w:tc>
          <w:tcPr>
            <w:tcW w:w="2549" w:type="dxa"/>
          </w:tcPr>
          <w:p w14:paraId="3E5651B4" w14:textId="77777777" w:rsidR="002B5544" w:rsidRPr="00070CA7" w:rsidRDefault="002B5544" w:rsidP="002B5544">
            <w:pPr>
              <w:jc w:val="left"/>
              <w:rPr>
                <w:kern w:val="22"/>
                <w:sz w:val="20"/>
                <w:szCs w:val="20"/>
              </w:rPr>
            </w:pPr>
            <w:r w:rsidRPr="00070CA7">
              <w:rPr>
                <w:kern w:val="22"/>
                <w:sz w:val="20"/>
                <w:szCs w:val="20"/>
              </w:rPr>
              <w:t>A.10. Parties identify LMOs</w:t>
            </w:r>
          </w:p>
          <w:p w14:paraId="108948A0" w14:textId="77777777" w:rsidR="002B5544" w:rsidRPr="00070CA7" w:rsidRDefault="002B5544" w:rsidP="002B5544">
            <w:pPr>
              <w:jc w:val="left"/>
              <w:rPr>
                <w:kern w:val="22"/>
                <w:sz w:val="20"/>
                <w:szCs w:val="20"/>
              </w:rPr>
            </w:pPr>
            <w:r w:rsidRPr="00070CA7">
              <w:rPr>
                <w:kern w:val="22"/>
                <w:sz w:val="20"/>
                <w:szCs w:val="20"/>
              </w:rPr>
              <w:t>or traits that may have</w:t>
            </w:r>
          </w:p>
          <w:p w14:paraId="35B84EE9" w14:textId="00DAACF9" w:rsidR="002B5544" w:rsidRPr="00070CA7" w:rsidRDefault="002B5544" w:rsidP="002B5544">
            <w:pPr>
              <w:jc w:val="left"/>
              <w:rPr>
                <w:kern w:val="22"/>
                <w:sz w:val="20"/>
                <w:szCs w:val="20"/>
              </w:rPr>
            </w:pPr>
            <w:r w:rsidRPr="00070CA7">
              <w:rPr>
                <w:kern w:val="22"/>
                <w:sz w:val="20"/>
                <w:szCs w:val="20"/>
              </w:rPr>
              <w:t xml:space="preserve">adverse effects and those that are unlikely to have adverse effects on biological </w:t>
            </w:r>
            <w:r w:rsidRPr="00070CA7">
              <w:rPr>
                <w:kern w:val="22"/>
                <w:sz w:val="20"/>
                <w:szCs w:val="20"/>
              </w:rPr>
              <w:lastRenderedPageBreak/>
              <w:t>diversity and take appropriate measures</w:t>
            </w:r>
          </w:p>
        </w:tc>
        <w:tc>
          <w:tcPr>
            <w:tcW w:w="2973" w:type="dxa"/>
          </w:tcPr>
          <w:p w14:paraId="7AB80966" w14:textId="77777777" w:rsidR="002B5544" w:rsidRPr="00070CA7" w:rsidRDefault="002B5544" w:rsidP="002B5544">
            <w:pPr>
              <w:spacing w:after="60"/>
              <w:jc w:val="left"/>
              <w:rPr>
                <w:kern w:val="22"/>
                <w:sz w:val="20"/>
                <w:szCs w:val="20"/>
              </w:rPr>
            </w:pPr>
            <w:r w:rsidRPr="00070CA7">
              <w:rPr>
                <w:kern w:val="22"/>
                <w:sz w:val="20"/>
                <w:szCs w:val="20"/>
              </w:rPr>
              <w:lastRenderedPageBreak/>
              <w:t xml:space="preserve">A.10.1. Modalities for cooperation on identifying LMOs or traits that may have adverse effects and those that are unlikely </w:t>
            </w:r>
            <w:r w:rsidRPr="00070CA7">
              <w:rPr>
                <w:kern w:val="22"/>
                <w:sz w:val="20"/>
                <w:szCs w:val="20"/>
              </w:rPr>
              <w:lastRenderedPageBreak/>
              <w:t>to have adverse effects on biological diversity are developed</w:t>
            </w:r>
          </w:p>
          <w:p w14:paraId="014D7636" w14:textId="77777777" w:rsidR="002B5544" w:rsidRPr="00070CA7" w:rsidRDefault="002B5544" w:rsidP="002B5544">
            <w:pPr>
              <w:spacing w:before="60" w:after="60"/>
              <w:jc w:val="left"/>
              <w:rPr>
                <w:kern w:val="22"/>
                <w:sz w:val="20"/>
                <w:szCs w:val="20"/>
              </w:rPr>
            </w:pPr>
            <w:r w:rsidRPr="00070CA7">
              <w:rPr>
                <w:kern w:val="22"/>
                <w:sz w:val="20"/>
                <w:szCs w:val="20"/>
              </w:rPr>
              <w:t>A.10.2. Parties take appropriate measures on those LMOs or traits that have been identified to have possible adverse effects and those that are unlikely to have adverse effects on biological diversity</w:t>
            </w:r>
          </w:p>
        </w:tc>
        <w:tc>
          <w:tcPr>
            <w:tcW w:w="2977" w:type="dxa"/>
          </w:tcPr>
          <w:p w14:paraId="13BC9551" w14:textId="77777777" w:rsidR="002B5544" w:rsidRPr="00070CA7" w:rsidRDefault="002B5544" w:rsidP="002B5544">
            <w:pPr>
              <w:jc w:val="left"/>
              <w:rPr>
                <w:kern w:val="22"/>
                <w:sz w:val="20"/>
                <w:szCs w:val="20"/>
              </w:rPr>
            </w:pPr>
            <w:r w:rsidRPr="00070CA7">
              <w:rPr>
                <w:kern w:val="22"/>
                <w:sz w:val="20"/>
                <w:szCs w:val="20"/>
              </w:rPr>
              <w:lastRenderedPageBreak/>
              <w:t>Facilitated import of LMOs that</w:t>
            </w:r>
          </w:p>
          <w:p w14:paraId="29CC2E0E" w14:textId="4C90838B" w:rsidR="002B5544" w:rsidRPr="00070CA7" w:rsidRDefault="002B5544" w:rsidP="002B5544">
            <w:pPr>
              <w:jc w:val="left"/>
              <w:rPr>
                <w:kern w:val="22"/>
                <w:sz w:val="20"/>
                <w:szCs w:val="20"/>
              </w:rPr>
            </w:pPr>
            <w:r w:rsidRPr="00070CA7">
              <w:rPr>
                <w:kern w:val="22"/>
                <w:sz w:val="20"/>
                <w:szCs w:val="20"/>
              </w:rPr>
              <w:t xml:space="preserve">are unlikely to have adverse effects on biological diversity and appropriate measures taken to manage LMOs that may have </w:t>
            </w:r>
            <w:r w:rsidRPr="00070CA7">
              <w:rPr>
                <w:kern w:val="22"/>
                <w:sz w:val="20"/>
                <w:szCs w:val="20"/>
              </w:rPr>
              <w:lastRenderedPageBreak/>
              <w:t>adverse effects on biological diversity</w:t>
            </w:r>
          </w:p>
          <w:p w14:paraId="190FAA93" w14:textId="77777777" w:rsidR="002B5544" w:rsidRPr="00070CA7" w:rsidRDefault="002B5544" w:rsidP="002B5544">
            <w:pPr>
              <w:jc w:val="left"/>
              <w:rPr>
                <w:kern w:val="22"/>
                <w:sz w:val="20"/>
                <w:szCs w:val="20"/>
              </w:rPr>
            </w:pPr>
          </w:p>
        </w:tc>
        <w:tc>
          <w:tcPr>
            <w:tcW w:w="3402" w:type="dxa"/>
          </w:tcPr>
          <w:p w14:paraId="0A849ACB" w14:textId="267CAFFD" w:rsidR="002B5544" w:rsidRPr="00070CA7" w:rsidRDefault="002B5544" w:rsidP="002B5544">
            <w:pPr>
              <w:jc w:val="left"/>
              <w:rPr>
                <w:kern w:val="22"/>
                <w:sz w:val="20"/>
                <w:szCs w:val="20"/>
              </w:rPr>
            </w:pPr>
            <w:r w:rsidRPr="00070CA7">
              <w:rPr>
                <w:kern w:val="22"/>
                <w:sz w:val="20"/>
                <w:szCs w:val="20"/>
              </w:rPr>
              <w:lastRenderedPageBreak/>
              <w:t>(a) Number of records in the BCH on LMOs or specific traits that may have or that are not likely to have adverse effects on biological diversity</w:t>
            </w:r>
            <w:r w:rsidRPr="00070CA7">
              <w:rPr>
                <w:kern w:val="22"/>
              </w:rPr>
              <w:t xml:space="preserve"> </w:t>
            </w:r>
          </w:p>
        </w:tc>
      </w:tr>
      <w:tr w:rsidR="002B5544" w:rsidRPr="00070CA7" w14:paraId="58816479" w14:textId="77777777" w:rsidTr="00F13867">
        <w:tc>
          <w:tcPr>
            <w:tcW w:w="1561" w:type="dxa"/>
            <w:vMerge/>
          </w:tcPr>
          <w:p w14:paraId="6CCCB906" w14:textId="77777777" w:rsidR="002B5544" w:rsidRPr="00070CA7" w:rsidRDefault="002B5544" w:rsidP="002B5544">
            <w:pPr>
              <w:rPr>
                <w:kern w:val="22"/>
                <w:sz w:val="20"/>
                <w:szCs w:val="20"/>
              </w:rPr>
            </w:pPr>
          </w:p>
        </w:tc>
        <w:tc>
          <w:tcPr>
            <w:tcW w:w="2549" w:type="dxa"/>
          </w:tcPr>
          <w:p w14:paraId="04E31ADD" w14:textId="0D2A3FD6" w:rsidR="002B5544" w:rsidRPr="00070CA7" w:rsidRDefault="002B5544" w:rsidP="002B5544">
            <w:pPr>
              <w:jc w:val="left"/>
              <w:rPr>
                <w:kern w:val="22"/>
                <w:sz w:val="20"/>
                <w:szCs w:val="20"/>
              </w:rPr>
            </w:pPr>
            <w:r w:rsidRPr="00070CA7">
              <w:rPr>
                <w:kern w:val="22"/>
                <w:sz w:val="20"/>
                <w:szCs w:val="20"/>
              </w:rPr>
              <w:t xml:space="preserve">A.11. All Parties to the Cartagena Protocol become Parties to the Nagoya </w:t>
            </w:r>
            <w:r w:rsidRPr="00070CA7">
              <w:rPr>
                <w:kern w:val="22"/>
                <w:sz w:val="20"/>
                <w:szCs w:val="20"/>
              </w:rPr>
              <w:softHyphen/>
              <w:t xml:space="preserve"> Kuala Lumpur Supplementary Protocol on Liability and Redress and have in place measures to fulfil their obligations under the Supplementary Protocol</w:t>
            </w:r>
          </w:p>
        </w:tc>
        <w:tc>
          <w:tcPr>
            <w:tcW w:w="2973" w:type="dxa"/>
          </w:tcPr>
          <w:p w14:paraId="178A312E" w14:textId="77777777" w:rsidR="002B5544" w:rsidRPr="00070CA7" w:rsidRDefault="002B5544" w:rsidP="002B5544">
            <w:pPr>
              <w:spacing w:after="60"/>
              <w:jc w:val="left"/>
              <w:rPr>
                <w:kern w:val="22"/>
                <w:sz w:val="20"/>
                <w:szCs w:val="20"/>
              </w:rPr>
            </w:pPr>
            <w:r w:rsidRPr="00070CA7">
              <w:rPr>
                <w:kern w:val="22"/>
                <w:sz w:val="20"/>
                <w:szCs w:val="20"/>
              </w:rPr>
              <w:t>A.11.1. Increased number of Parties to the Supplementary Protocol</w:t>
            </w:r>
          </w:p>
          <w:p w14:paraId="2B8D8196" w14:textId="77777777" w:rsidR="002B5544" w:rsidRPr="00070CA7" w:rsidRDefault="002B5544" w:rsidP="002B5544">
            <w:pPr>
              <w:spacing w:before="60" w:after="60"/>
              <w:jc w:val="left"/>
              <w:rPr>
                <w:kern w:val="22"/>
                <w:sz w:val="20"/>
                <w:szCs w:val="20"/>
              </w:rPr>
            </w:pPr>
            <w:r w:rsidRPr="00070CA7">
              <w:rPr>
                <w:kern w:val="22"/>
                <w:sz w:val="20"/>
                <w:szCs w:val="20"/>
              </w:rPr>
              <w:t>A.11.2. Parties to the Supplementary Protocol have adopted and implemented appropriate measures to give effect to the provisions of the Supplementary Protocol</w:t>
            </w:r>
          </w:p>
        </w:tc>
        <w:tc>
          <w:tcPr>
            <w:tcW w:w="2977" w:type="dxa"/>
          </w:tcPr>
          <w:p w14:paraId="1C9C3420" w14:textId="5B0D7A40" w:rsidR="002B5544" w:rsidRPr="00070CA7" w:rsidRDefault="002B5544" w:rsidP="002B5544">
            <w:pPr>
              <w:jc w:val="left"/>
              <w:rPr>
                <w:kern w:val="22"/>
                <w:sz w:val="20"/>
                <w:szCs w:val="20"/>
              </w:rPr>
            </w:pPr>
            <w:r w:rsidRPr="00070CA7">
              <w:rPr>
                <w:kern w:val="22"/>
                <w:sz w:val="20"/>
                <w:szCs w:val="20"/>
              </w:rPr>
              <w:t>Increased number of ratifications of the Nagoya-Kuala Lumpur Supplementary Protocol on Liability and Redress advances the development of national rules and procedures on liability and redress for damage resulting from LMOs finding their origin in a transboundary movement</w:t>
            </w:r>
          </w:p>
          <w:p w14:paraId="2F887263" w14:textId="77777777" w:rsidR="002B5544" w:rsidRPr="00070CA7" w:rsidRDefault="002B5544" w:rsidP="002B5544">
            <w:pPr>
              <w:jc w:val="left"/>
              <w:rPr>
                <w:kern w:val="22"/>
                <w:sz w:val="20"/>
                <w:szCs w:val="20"/>
              </w:rPr>
            </w:pPr>
          </w:p>
        </w:tc>
        <w:tc>
          <w:tcPr>
            <w:tcW w:w="3402" w:type="dxa"/>
          </w:tcPr>
          <w:p w14:paraId="209913BD" w14:textId="77777777" w:rsidR="002B5544" w:rsidRPr="00070CA7" w:rsidRDefault="002B5544" w:rsidP="002B5544">
            <w:pPr>
              <w:spacing w:after="60"/>
              <w:jc w:val="left"/>
              <w:rPr>
                <w:kern w:val="22"/>
                <w:sz w:val="20"/>
                <w:szCs w:val="20"/>
              </w:rPr>
            </w:pPr>
            <w:r w:rsidRPr="00070CA7">
              <w:rPr>
                <w:kern w:val="22"/>
                <w:sz w:val="20"/>
                <w:szCs w:val="20"/>
              </w:rPr>
              <w:t>(a) Percentage of Parties to the Cartagena Protocol that have become Parties to the Supplementary Protocol</w:t>
            </w:r>
          </w:p>
          <w:p w14:paraId="2B96EFFC" w14:textId="45D41B5A" w:rsidR="002B5544" w:rsidRPr="00070CA7" w:rsidRDefault="002B5544" w:rsidP="002B5544">
            <w:pPr>
              <w:spacing w:before="60" w:after="60"/>
              <w:jc w:val="left"/>
              <w:rPr>
                <w:kern w:val="22"/>
                <w:sz w:val="20"/>
                <w:szCs w:val="20"/>
              </w:rPr>
            </w:pPr>
            <w:r w:rsidRPr="00486777">
              <w:rPr>
                <w:kern w:val="22"/>
                <w:sz w:val="20"/>
                <w:szCs w:val="20"/>
              </w:rPr>
              <w:t>(b) Percentage of Parties to the Supplementary Protocol that have the necessary measures in place to implement the provisions of the Supplementary Protocol</w:t>
            </w:r>
            <w:r w:rsidRPr="00070CA7">
              <w:rPr>
                <w:kern w:val="22"/>
                <w:sz w:val="20"/>
                <w:szCs w:val="20"/>
              </w:rPr>
              <w:t xml:space="preserve"> </w:t>
            </w:r>
          </w:p>
        </w:tc>
      </w:tr>
      <w:tr w:rsidR="002B5544" w:rsidRPr="00070CA7" w14:paraId="2EA45092" w14:textId="77777777" w:rsidTr="00F13867">
        <w:tc>
          <w:tcPr>
            <w:tcW w:w="1561" w:type="dxa"/>
            <w:vMerge w:val="restart"/>
          </w:tcPr>
          <w:p w14:paraId="76F84C32" w14:textId="77777777" w:rsidR="002B5544" w:rsidRPr="00070CA7" w:rsidRDefault="002B5544" w:rsidP="002B5544">
            <w:pPr>
              <w:jc w:val="left"/>
              <w:rPr>
                <w:b/>
                <w:bCs/>
                <w:kern w:val="22"/>
                <w:sz w:val="20"/>
                <w:szCs w:val="20"/>
              </w:rPr>
            </w:pPr>
            <w:r w:rsidRPr="00070CA7">
              <w:rPr>
                <w:b/>
                <w:bCs/>
                <w:kern w:val="22"/>
                <w:sz w:val="20"/>
                <w:szCs w:val="20"/>
              </w:rPr>
              <w:t>B. Enabling environment</w:t>
            </w:r>
          </w:p>
        </w:tc>
        <w:tc>
          <w:tcPr>
            <w:tcW w:w="2549" w:type="dxa"/>
          </w:tcPr>
          <w:p w14:paraId="09423A7F" w14:textId="2DD78375" w:rsidR="002B5544" w:rsidRPr="00070CA7" w:rsidRDefault="002B5544" w:rsidP="002B5544">
            <w:pPr>
              <w:jc w:val="left"/>
              <w:rPr>
                <w:kern w:val="22"/>
                <w:sz w:val="20"/>
                <w:szCs w:val="20"/>
              </w:rPr>
            </w:pPr>
            <w:r w:rsidRPr="00070CA7">
              <w:rPr>
                <w:kern w:val="22"/>
                <w:sz w:val="20"/>
                <w:szCs w:val="20"/>
              </w:rPr>
              <w:t>B.1. Parties engage in capacity-building activities addressing their identified needs</w:t>
            </w:r>
          </w:p>
        </w:tc>
        <w:tc>
          <w:tcPr>
            <w:tcW w:w="2973" w:type="dxa"/>
          </w:tcPr>
          <w:p w14:paraId="4CCAC6A5" w14:textId="77777777" w:rsidR="002B5544" w:rsidRPr="00070CA7" w:rsidRDefault="002B5544" w:rsidP="002B5544">
            <w:pPr>
              <w:spacing w:after="60"/>
              <w:jc w:val="left"/>
              <w:rPr>
                <w:kern w:val="22"/>
                <w:sz w:val="20"/>
                <w:szCs w:val="20"/>
              </w:rPr>
            </w:pPr>
            <w:r w:rsidRPr="00070CA7">
              <w:rPr>
                <w:kern w:val="22"/>
                <w:sz w:val="20"/>
                <w:szCs w:val="20"/>
              </w:rPr>
              <w:t>B.1.1. Parties have identified their capacity-building needs</w:t>
            </w:r>
          </w:p>
          <w:p w14:paraId="1A337DBD" w14:textId="77777777" w:rsidR="002B5544" w:rsidRPr="00070CA7" w:rsidRDefault="002B5544" w:rsidP="002B5544">
            <w:pPr>
              <w:spacing w:before="60" w:after="60"/>
              <w:jc w:val="left"/>
              <w:rPr>
                <w:kern w:val="22"/>
                <w:sz w:val="20"/>
                <w:szCs w:val="20"/>
              </w:rPr>
            </w:pPr>
            <w:r w:rsidRPr="00070CA7">
              <w:rPr>
                <w:kern w:val="22"/>
                <w:sz w:val="20"/>
                <w:szCs w:val="20"/>
              </w:rPr>
              <w:t>B.1.2. Parties undertake capacity-building activities, as set out in the post-2020 action plan for capacity-building for the Protocol and Supplementary Protocol</w:t>
            </w:r>
          </w:p>
          <w:p w14:paraId="446B6E50" w14:textId="77777777" w:rsidR="002B5544" w:rsidRPr="00070CA7" w:rsidRDefault="002B5544" w:rsidP="002B5544">
            <w:pPr>
              <w:spacing w:before="60" w:after="60"/>
              <w:jc w:val="left"/>
              <w:rPr>
                <w:kern w:val="22"/>
                <w:sz w:val="20"/>
                <w:szCs w:val="20"/>
              </w:rPr>
            </w:pPr>
            <w:r w:rsidRPr="00070CA7">
              <w:rPr>
                <w:kern w:val="22"/>
                <w:sz w:val="20"/>
                <w:szCs w:val="20"/>
              </w:rPr>
              <w:t>B.1.3. Parties have access to capacity-building materials, including online resources</w:t>
            </w:r>
          </w:p>
          <w:p w14:paraId="6873C4CF" w14:textId="77777777" w:rsidR="002B5544" w:rsidRPr="00070CA7" w:rsidRDefault="002B5544" w:rsidP="002B5544">
            <w:pPr>
              <w:spacing w:before="60" w:after="60"/>
              <w:jc w:val="left"/>
              <w:rPr>
                <w:kern w:val="22"/>
                <w:sz w:val="20"/>
                <w:szCs w:val="20"/>
              </w:rPr>
            </w:pPr>
            <w:r w:rsidRPr="00070CA7">
              <w:rPr>
                <w:kern w:val="22"/>
                <w:sz w:val="20"/>
                <w:szCs w:val="20"/>
              </w:rPr>
              <w:t>B.1.4. Parties cooperate to strengthen their capacities for the implementation of the Protocol</w:t>
            </w:r>
          </w:p>
        </w:tc>
        <w:tc>
          <w:tcPr>
            <w:tcW w:w="2977" w:type="dxa"/>
          </w:tcPr>
          <w:p w14:paraId="3C52198F" w14:textId="77777777" w:rsidR="002B5544" w:rsidRPr="00070CA7" w:rsidRDefault="002B5544" w:rsidP="002B5544">
            <w:pPr>
              <w:jc w:val="left"/>
              <w:rPr>
                <w:kern w:val="22"/>
                <w:sz w:val="20"/>
                <w:szCs w:val="20"/>
              </w:rPr>
            </w:pPr>
            <w:r w:rsidRPr="00070CA7">
              <w:rPr>
                <w:kern w:val="22"/>
                <w:sz w:val="20"/>
                <w:szCs w:val="20"/>
              </w:rPr>
              <w:t>Parties have the necessary</w:t>
            </w:r>
          </w:p>
          <w:p w14:paraId="34AB4D0E" w14:textId="77777777" w:rsidR="002B5544" w:rsidRPr="00070CA7" w:rsidRDefault="002B5544" w:rsidP="002B5544">
            <w:pPr>
              <w:jc w:val="left"/>
              <w:rPr>
                <w:kern w:val="22"/>
                <w:sz w:val="20"/>
                <w:szCs w:val="20"/>
              </w:rPr>
            </w:pPr>
            <w:r w:rsidRPr="00070CA7">
              <w:rPr>
                <w:kern w:val="22"/>
                <w:sz w:val="20"/>
                <w:szCs w:val="20"/>
              </w:rPr>
              <w:t>capacity for the implementation</w:t>
            </w:r>
          </w:p>
          <w:p w14:paraId="2AB7DE37" w14:textId="77777777" w:rsidR="002B5544" w:rsidRPr="00070CA7" w:rsidRDefault="002B5544" w:rsidP="002B5544">
            <w:pPr>
              <w:jc w:val="left"/>
              <w:rPr>
                <w:kern w:val="22"/>
                <w:sz w:val="20"/>
                <w:szCs w:val="20"/>
              </w:rPr>
            </w:pPr>
            <w:r w:rsidRPr="00070CA7">
              <w:rPr>
                <w:kern w:val="22"/>
                <w:sz w:val="20"/>
                <w:szCs w:val="20"/>
              </w:rPr>
              <w:t>of the Protocol</w:t>
            </w:r>
          </w:p>
        </w:tc>
        <w:tc>
          <w:tcPr>
            <w:tcW w:w="3402" w:type="dxa"/>
          </w:tcPr>
          <w:p w14:paraId="7BE810F6" w14:textId="3F8CC50B" w:rsidR="002B5544" w:rsidRPr="00070CA7" w:rsidRDefault="002B5544" w:rsidP="002B5544">
            <w:pPr>
              <w:spacing w:after="60"/>
              <w:jc w:val="left"/>
              <w:rPr>
                <w:kern w:val="22"/>
                <w:sz w:val="20"/>
                <w:szCs w:val="20"/>
              </w:rPr>
            </w:pPr>
            <w:r w:rsidRPr="00070CA7">
              <w:rPr>
                <w:kern w:val="22"/>
                <w:sz w:val="20"/>
                <w:szCs w:val="20"/>
              </w:rPr>
              <w:t>(a) Percentage of Parties that have identified their capacity-building needs</w:t>
            </w:r>
          </w:p>
          <w:p w14:paraId="10DFAA47" w14:textId="77777777" w:rsidR="002B5544" w:rsidRPr="00070CA7" w:rsidRDefault="002B5544" w:rsidP="002B5544">
            <w:pPr>
              <w:spacing w:before="60" w:after="60"/>
              <w:jc w:val="left"/>
              <w:rPr>
                <w:kern w:val="22"/>
                <w:sz w:val="20"/>
                <w:szCs w:val="20"/>
              </w:rPr>
            </w:pPr>
            <w:r w:rsidRPr="00070CA7">
              <w:rPr>
                <w:kern w:val="22"/>
                <w:sz w:val="20"/>
                <w:szCs w:val="20"/>
              </w:rPr>
              <w:t>(b) Percentage of Parties undertaking capacity-building activities</w:t>
            </w:r>
          </w:p>
          <w:p w14:paraId="6F941179" w14:textId="4EA1D50C" w:rsidR="002B5544" w:rsidRPr="00070CA7" w:rsidRDefault="002B5544" w:rsidP="002B5544">
            <w:pPr>
              <w:spacing w:before="60" w:after="60"/>
              <w:jc w:val="left"/>
              <w:rPr>
                <w:kern w:val="22"/>
                <w:sz w:val="20"/>
                <w:szCs w:val="20"/>
              </w:rPr>
            </w:pPr>
            <w:r w:rsidRPr="00070CA7">
              <w:rPr>
                <w:kern w:val="22"/>
                <w:sz w:val="20"/>
                <w:szCs w:val="20"/>
              </w:rPr>
              <w:t>(c) Percentage of Parties having access to capacity-building materials, including online resources</w:t>
            </w:r>
          </w:p>
          <w:p w14:paraId="1E6F4B31" w14:textId="77777777" w:rsidR="002B5544" w:rsidRPr="00070CA7" w:rsidRDefault="002B5544" w:rsidP="002B5544">
            <w:pPr>
              <w:spacing w:before="60" w:after="60"/>
              <w:jc w:val="left"/>
              <w:rPr>
                <w:kern w:val="22"/>
                <w:sz w:val="20"/>
                <w:szCs w:val="20"/>
              </w:rPr>
            </w:pPr>
            <w:r w:rsidRPr="00070CA7">
              <w:rPr>
                <w:kern w:val="22"/>
                <w:sz w:val="20"/>
                <w:szCs w:val="20"/>
              </w:rPr>
              <w:t>(d) Percentage of Parties that cooperate to strengthen their capacities for the implementation of the Protocol</w:t>
            </w:r>
          </w:p>
        </w:tc>
      </w:tr>
      <w:tr w:rsidR="002B5544" w:rsidRPr="00070CA7" w14:paraId="6B82137E" w14:textId="77777777" w:rsidTr="00F13867">
        <w:tc>
          <w:tcPr>
            <w:tcW w:w="1561" w:type="dxa"/>
            <w:vMerge/>
          </w:tcPr>
          <w:p w14:paraId="70B3CC99" w14:textId="77777777" w:rsidR="002B5544" w:rsidRPr="00070CA7" w:rsidRDefault="002B5544" w:rsidP="002B5544">
            <w:pPr>
              <w:rPr>
                <w:kern w:val="22"/>
                <w:sz w:val="20"/>
                <w:szCs w:val="20"/>
              </w:rPr>
            </w:pPr>
          </w:p>
        </w:tc>
        <w:tc>
          <w:tcPr>
            <w:tcW w:w="2549" w:type="dxa"/>
          </w:tcPr>
          <w:p w14:paraId="3CBD0870" w14:textId="77777777" w:rsidR="002B5544" w:rsidRPr="00070CA7" w:rsidRDefault="002B5544" w:rsidP="002B5544">
            <w:pPr>
              <w:jc w:val="left"/>
              <w:rPr>
                <w:kern w:val="22"/>
                <w:sz w:val="20"/>
                <w:szCs w:val="20"/>
              </w:rPr>
            </w:pPr>
            <w:r w:rsidRPr="00070CA7">
              <w:rPr>
                <w:kern w:val="22"/>
                <w:sz w:val="20"/>
                <w:szCs w:val="20"/>
              </w:rPr>
              <w:t>B.2. Parties mobilize resources to support</w:t>
            </w:r>
          </w:p>
          <w:p w14:paraId="3AF97818" w14:textId="77777777" w:rsidR="002B5544" w:rsidRPr="00070CA7" w:rsidRDefault="002B5544" w:rsidP="002B5544">
            <w:pPr>
              <w:rPr>
                <w:kern w:val="22"/>
                <w:sz w:val="20"/>
                <w:szCs w:val="20"/>
              </w:rPr>
            </w:pPr>
            <w:r w:rsidRPr="00070CA7">
              <w:rPr>
                <w:kern w:val="22"/>
                <w:sz w:val="20"/>
                <w:szCs w:val="20"/>
              </w:rPr>
              <w:t>implementation of the</w:t>
            </w:r>
          </w:p>
          <w:p w14:paraId="0F810E88" w14:textId="77777777" w:rsidR="002B5544" w:rsidRPr="00070CA7" w:rsidRDefault="002B5544" w:rsidP="002B5544">
            <w:pPr>
              <w:rPr>
                <w:kern w:val="22"/>
                <w:sz w:val="20"/>
                <w:szCs w:val="20"/>
              </w:rPr>
            </w:pPr>
            <w:r w:rsidRPr="00070CA7">
              <w:rPr>
                <w:kern w:val="22"/>
                <w:sz w:val="20"/>
                <w:szCs w:val="20"/>
              </w:rPr>
              <w:t>Protocol</w:t>
            </w:r>
          </w:p>
        </w:tc>
        <w:tc>
          <w:tcPr>
            <w:tcW w:w="2973" w:type="dxa"/>
          </w:tcPr>
          <w:p w14:paraId="65173AC4" w14:textId="77777777" w:rsidR="002B5544" w:rsidRPr="00070CA7" w:rsidRDefault="002B5544" w:rsidP="002B5544">
            <w:pPr>
              <w:jc w:val="left"/>
              <w:rPr>
                <w:kern w:val="22"/>
                <w:sz w:val="20"/>
                <w:szCs w:val="20"/>
              </w:rPr>
            </w:pPr>
            <w:r w:rsidRPr="00070CA7">
              <w:rPr>
                <w:kern w:val="22"/>
                <w:sz w:val="20"/>
                <w:szCs w:val="20"/>
              </w:rPr>
              <w:t xml:space="preserve">B.2.1. </w:t>
            </w:r>
            <w:proofErr w:type="gramStart"/>
            <w:r w:rsidRPr="00070CA7">
              <w:rPr>
                <w:kern w:val="22"/>
                <w:sz w:val="20"/>
                <w:szCs w:val="20"/>
              </w:rPr>
              <w:t>Sufficient</w:t>
            </w:r>
            <w:proofErr w:type="gramEnd"/>
            <w:r w:rsidRPr="00070CA7">
              <w:rPr>
                <w:kern w:val="22"/>
                <w:sz w:val="20"/>
                <w:szCs w:val="20"/>
              </w:rPr>
              <w:t xml:space="preserve"> and predictable resources are allocated to biosafety through national budgets</w:t>
            </w:r>
          </w:p>
          <w:p w14:paraId="0A9BC325" w14:textId="0DAF3034" w:rsidR="002B5544" w:rsidRPr="00070CA7" w:rsidRDefault="002B5544" w:rsidP="002B5544">
            <w:pPr>
              <w:spacing w:before="60" w:after="60"/>
              <w:jc w:val="left"/>
              <w:rPr>
                <w:kern w:val="22"/>
                <w:sz w:val="20"/>
                <w:szCs w:val="20"/>
              </w:rPr>
            </w:pPr>
            <w:r w:rsidRPr="00070CA7">
              <w:rPr>
                <w:kern w:val="22"/>
                <w:sz w:val="20"/>
                <w:szCs w:val="20"/>
              </w:rPr>
              <w:lastRenderedPageBreak/>
              <w:t>B.2.2. Parties allocate a share of national biodiversity STAR allocations to biosafety activities</w:t>
            </w:r>
          </w:p>
          <w:p w14:paraId="149A0D01" w14:textId="77777777" w:rsidR="002B5544" w:rsidRPr="00070CA7" w:rsidRDefault="002B5544" w:rsidP="002B5544">
            <w:pPr>
              <w:spacing w:before="60" w:after="60"/>
              <w:jc w:val="left"/>
              <w:rPr>
                <w:kern w:val="22"/>
                <w:sz w:val="20"/>
                <w:szCs w:val="20"/>
              </w:rPr>
            </w:pPr>
            <w:r w:rsidRPr="00070CA7">
              <w:rPr>
                <w:kern w:val="22"/>
                <w:sz w:val="20"/>
                <w:szCs w:val="20"/>
              </w:rPr>
              <w:t>B.2.3. Additional resources are mobilized to strengthen capacities for implementation of the Protocol</w:t>
            </w:r>
          </w:p>
        </w:tc>
        <w:tc>
          <w:tcPr>
            <w:tcW w:w="2977" w:type="dxa"/>
          </w:tcPr>
          <w:p w14:paraId="74F1996E" w14:textId="77777777" w:rsidR="002B5544" w:rsidRPr="00070CA7" w:rsidRDefault="002B5544" w:rsidP="002B5544">
            <w:pPr>
              <w:jc w:val="left"/>
              <w:rPr>
                <w:kern w:val="22"/>
                <w:sz w:val="20"/>
                <w:szCs w:val="20"/>
              </w:rPr>
            </w:pPr>
            <w:r w:rsidRPr="00070CA7">
              <w:rPr>
                <w:kern w:val="22"/>
                <w:sz w:val="20"/>
                <w:szCs w:val="20"/>
              </w:rPr>
              <w:lastRenderedPageBreak/>
              <w:t>Full implementation of the</w:t>
            </w:r>
          </w:p>
          <w:p w14:paraId="73980865" w14:textId="77777777" w:rsidR="002B5544" w:rsidRPr="00070CA7" w:rsidRDefault="002B5544" w:rsidP="002B5544">
            <w:pPr>
              <w:jc w:val="left"/>
              <w:rPr>
                <w:kern w:val="22"/>
                <w:sz w:val="20"/>
                <w:szCs w:val="20"/>
              </w:rPr>
            </w:pPr>
            <w:r w:rsidRPr="00070CA7">
              <w:rPr>
                <w:kern w:val="22"/>
                <w:sz w:val="20"/>
                <w:szCs w:val="20"/>
              </w:rPr>
              <w:t xml:space="preserve">Protocol is enabled by </w:t>
            </w:r>
            <w:proofErr w:type="gramStart"/>
            <w:r w:rsidRPr="00070CA7">
              <w:rPr>
                <w:kern w:val="22"/>
                <w:sz w:val="20"/>
                <w:szCs w:val="20"/>
              </w:rPr>
              <w:t>sufficient</w:t>
            </w:r>
            <w:proofErr w:type="gramEnd"/>
          </w:p>
          <w:p w14:paraId="2A86F936" w14:textId="77777777" w:rsidR="002B5544" w:rsidRPr="00070CA7" w:rsidRDefault="002B5544" w:rsidP="002B5544">
            <w:pPr>
              <w:jc w:val="left"/>
              <w:rPr>
                <w:kern w:val="22"/>
                <w:sz w:val="20"/>
                <w:szCs w:val="20"/>
              </w:rPr>
            </w:pPr>
            <w:r w:rsidRPr="00070CA7">
              <w:rPr>
                <w:kern w:val="22"/>
                <w:sz w:val="20"/>
                <w:szCs w:val="20"/>
              </w:rPr>
              <w:t>and predictable resources</w:t>
            </w:r>
          </w:p>
          <w:p w14:paraId="17136376" w14:textId="77777777" w:rsidR="002B5544" w:rsidRPr="00070CA7" w:rsidRDefault="002B5544" w:rsidP="002B5544">
            <w:pPr>
              <w:jc w:val="left"/>
              <w:rPr>
                <w:kern w:val="22"/>
                <w:sz w:val="20"/>
                <w:szCs w:val="20"/>
              </w:rPr>
            </w:pPr>
          </w:p>
        </w:tc>
        <w:tc>
          <w:tcPr>
            <w:tcW w:w="3402" w:type="dxa"/>
          </w:tcPr>
          <w:p w14:paraId="5DDB6D59" w14:textId="77777777" w:rsidR="002B5544" w:rsidRPr="00070CA7" w:rsidRDefault="002B5544" w:rsidP="002B5544">
            <w:pPr>
              <w:spacing w:after="60"/>
              <w:jc w:val="left"/>
              <w:rPr>
                <w:kern w:val="22"/>
                <w:sz w:val="20"/>
                <w:szCs w:val="20"/>
              </w:rPr>
            </w:pPr>
            <w:r w:rsidRPr="00070CA7">
              <w:rPr>
                <w:kern w:val="22"/>
                <w:sz w:val="20"/>
                <w:szCs w:val="20"/>
              </w:rPr>
              <w:t xml:space="preserve">(a) Percentage of Parties reporting that </w:t>
            </w:r>
            <w:proofErr w:type="gramStart"/>
            <w:r w:rsidRPr="00070CA7">
              <w:rPr>
                <w:kern w:val="22"/>
                <w:sz w:val="20"/>
                <w:szCs w:val="20"/>
              </w:rPr>
              <w:t>sufficient</w:t>
            </w:r>
            <w:proofErr w:type="gramEnd"/>
            <w:r w:rsidRPr="00070CA7">
              <w:rPr>
                <w:kern w:val="22"/>
                <w:sz w:val="20"/>
                <w:szCs w:val="20"/>
              </w:rPr>
              <w:t xml:space="preserve"> and predictable resources for biosafety have been allocated from national budgets</w:t>
            </w:r>
          </w:p>
          <w:p w14:paraId="45FED41C" w14:textId="77777777" w:rsidR="002B5544" w:rsidRPr="00070CA7" w:rsidRDefault="002B5544" w:rsidP="002B5544">
            <w:pPr>
              <w:spacing w:before="60" w:after="60"/>
              <w:jc w:val="left"/>
              <w:rPr>
                <w:kern w:val="22"/>
                <w:sz w:val="20"/>
                <w:szCs w:val="20"/>
              </w:rPr>
            </w:pPr>
            <w:r w:rsidRPr="00070CA7">
              <w:rPr>
                <w:kern w:val="22"/>
                <w:sz w:val="20"/>
                <w:szCs w:val="20"/>
              </w:rPr>
              <w:lastRenderedPageBreak/>
              <w:t>(b) Percentage of eligible Parties reporting that national STAR allocations are used for biosafety activities</w:t>
            </w:r>
          </w:p>
          <w:p w14:paraId="5C1C1BC6" w14:textId="77777777" w:rsidR="002B5544" w:rsidRPr="00070CA7" w:rsidRDefault="002B5544" w:rsidP="002B5544">
            <w:pPr>
              <w:spacing w:before="60" w:after="60"/>
              <w:jc w:val="left"/>
              <w:rPr>
                <w:kern w:val="22"/>
                <w:sz w:val="20"/>
                <w:szCs w:val="20"/>
              </w:rPr>
            </w:pPr>
            <w:r w:rsidRPr="00070CA7">
              <w:rPr>
                <w:kern w:val="22"/>
                <w:sz w:val="20"/>
                <w:szCs w:val="20"/>
              </w:rPr>
              <w:t>(c) Percentage of Parties reporting that they have benefited from additional resources</w:t>
            </w:r>
          </w:p>
          <w:p w14:paraId="021B4711" w14:textId="411CD127" w:rsidR="002B5544" w:rsidRPr="00070CA7" w:rsidRDefault="002B5544" w:rsidP="002B5544">
            <w:pPr>
              <w:jc w:val="left"/>
              <w:rPr>
                <w:kern w:val="22"/>
                <w:sz w:val="20"/>
                <w:szCs w:val="20"/>
              </w:rPr>
            </w:pPr>
            <w:r w:rsidRPr="00486777">
              <w:rPr>
                <w:kern w:val="22"/>
                <w:sz w:val="20"/>
                <w:szCs w:val="20"/>
              </w:rPr>
              <w:t>(d) Percentage of Parties that report having contributed resources to other Parties to strengthen their capacity for the implementation of the Protocol</w:t>
            </w:r>
          </w:p>
        </w:tc>
      </w:tr>
      <w:tr w:rsidR="002B5544" w:rsidRPr="00070CA7" w14:paraId="0454FF6F" w14:textId="77777777" w:rsidTr="00F13867">
        <w:trPr>
          <w:trHeight w:val="4414"/>
        </w:trPr>
        <w:tc>
          <w:tcPr>
            <w:tcW w:w="1561" w:type="dxa"/>
            <w:vMerge w:val="restart"/>
          </w:tcPr>
          <w:p w14:paraId="7832AB14" w14:textId="77777777" w:rsidR="002B5544" w:rsidRPr="00070CA7" w:rsidRDefault="002B5544" w:rsidP="002B5544">
            <w:pPr>
              <w:rPr>
                <w:kern w:val="22"/>
                <w:sz w:val="20"/>
                <w:szCs w:val="20"/>
              </w:rPr>
            </w:pPr>
          </w:p>
        </w:tc>
        <w:tc>
          <w:tcPr>
            <w:tcW w:w="2549" w:type="dxa"/>
          </w:tcPr>
          <w:p w14:paraId="559EBCC9" w14:textId="00FB4EEE" w:rsidR="002B5544" w:rsidRPr="00070CA7" w:rsidRDefault="002B5544" w:rsidP="002B5544">
            <w:pPr>
              <w:jc w:val="left"/>
              <w:rPr>
                <w:kern w:val="22"/>
                <w:sz w:val="20"/>
                <w:szCs w:val="20"/>
              </w:rPr>
            </w:pPr>
            <w:r w:rsidRPr="00070CA7">
              <w:rPr>
                <w:kern w:val="22"/>
                <w:sz w:val="20"/>
                <w:szCs w:val="20"/>
              </w:rPr>
              <w:t>B.3. Parties raise public awareness and deliver education on the safe transfer, handling and use of LMOs and consult the public in decision-taking on LMOs</w:t>
            </w:r>
          </w:p>
        </w:tc>
        <w:tc>
          <w:tcPr>
            <w:tcW w:w="2973" w:type="dxa"/>
          </w:tcPr>
          <w:p w14:paraId="45BD5BB6" w14:textId="77777777" w:rsidR="002B5544" w:rsidRPr="00070CA7" w:rsidRDefault="002B5544" w:rsidP="002B5544">
            <w:pPr>
              <w:spacing w:after="120"/>
              <w:jc w:val="left"/>
              <w:rPr>
                <w:kern w:val="22"/>
                <w:sz w:val="20"/>
                <w:szCs w:val="20"/>
              </w:rPr>
            </w:pPr>
            <w:r w:rsidRPr="00070CA7">
              <w:rPr>
                <w:kern w:val="22"/>
                <w:sz w:val="20"/>
                <w:szCs w:val="20"/>
              </w:rPr>
              <w:t>B.3.1. Parties have developed mechanisms to enhance public awareness, education and participation in biosafety</w:t>
            </w:r>
          </w:p>
          <w:p w14:paraId="0C743627" w14:textId="3FDAF6CC" w:rsidR="002B5544" w:rsidRPr="00070CA7" w:rsidRDefault="002B5544" w:rsidP="002B5544">
            <w:pPr>
              <w:spacing w:before="120" w:after="120"/>
              <w:jc w:val="left"/>
              <w:rPr>
                <w:kern w:val="22"/>
                <w:sz w:val="20"/>
                <w:szCs w:val="20"/>
              </w:rPr>
            </w:pPr>
            <w:r w:rsidRPr="00070CA7">
              <w:rPr>
                <w:kern w:val="22"/>
                <w:sz w:val="20"/>
                <w:szCs w:val="20"/>
              </w:rPr>
              <w:t xml:space="preserve">B.3.2. Parties consult the public in </w:t>
            </w:r>
            <w:r>
              <w:rPr>
                <w:kern w:val="22"/>
                <w:sz w:val="20"/>
                <w:szCs w:val="20"/>
              </w:rPr>
              <w:t>t</w:t>
            </w:r>
            <w:r w:rsidRPr="00070CA7">
              <w:rPr>
                <w:kern w:val="22"/>
                <w:sz w:val="20"/>
                <w:szCs w:val="20"/>
              </w:rPr>
              <w:t>aking decisions on LMOs, in accordance with their legislation, and make the results of decisions available to the public</w:t>
            </w:r>
          </w:p>
          <w:p w14:paraId="614E3242" w14:textId="77777777" w:rsidR="002B5544" w:rsidRPr="00070CA7" w:rsidRDefault="002B5544" w:rsidP="002B5544">
            <w:pPr>
              <w:spacing w:before="120" w:after="120"/>
              <w:jc w:val="left"/>
              <w:rPr>
                <w:kern w:val="22"/>
                <w:sz w:val="20"/>
                <w:szCs w:val="20"/>
              </w:rPr>
            </w:pPr>
            <w:r w:rsidRPr="00070CA7">
              <w:rPr>
                <w:kern w:val="22"/>
                <w:sz w:val="20"/>
                <w:szCs w:val="20"/>
              </w:rPr>
              <w:t>B.3.3. Parties inform the public about the means of public access to the BCH</w:t>
            </w:r>
          </w:p>
          <w:p w14:paraId="0FEB01BE" w14:textId="77777777" w:rsidR="002B5544" w:rsidRPr="00070CA7" w:rsidRDefault="002B5544" w:rsidP="002B5544">
            <w:pPr>
              <w:spacing w:before="120"/>
              <w:jc w:val="left"/>
              <w:rPr>
                <w:kern w:val="22"/>
                <w:sz w:val="20"/>
                <w:szCs w:val="20"/>
              </w:rPr>
            </w:pPr>
            <w:r w:rsidRPr="00070CA7">
              <w:rPr>
                <w:kern w:val="22"/>
                <w:sz w:val="20"/>
                <w:szCs w:val="20"/>
              </w:rPr>
              <w:t>B.3.4. Parties have access to resource materials for enhancing public awareness, education and participation in biosafety</w:t>
            </w:r>
          </w:p>
        </w:tc>
        <w:tc>
          <w:tcPr>
            <w:tcW w:w="2977" w:type="dxa"/>
          </w:tcPr>
          <w:p w14:paraId="6BC110F7" w14:textId="644EDE92" w:rsidR="002B5544" w:rsidRPr="00070CA7" w:rsidRDefault="002B5544" w:rsidP="002B5544">
            <w:pPr>
              <w:jc w:val="left"/>
              <w:rPr>
                <w:kern w:val="22"/>
                <w:sz w:val="20"/>
                <w:szCs w:val="20"/>
              </w:rPr>
            </w:pPr>
            <w:r w:rsidRPr="00070CA7">
              <w:rPr>
                <w:kern w:val="22"/>
                <w:sz w:val="20"/>
                <w:szCs w:val="20"/>
              </w:rPr>
              <w:t>Through public awareness, education and participation, Parties ensure that the public is appropriately informed about and involved in decision-taking on the safe transfer, handling and use of LMOs</w:t>
            </w:r>
          </w:p>
        </w:tc>
        <w:tc>
          <w:tcPr>
            <w:tcW w:w="3402" w:type="dxa"/>
          </w:tcPr>
          <w:p w14:paraId="68B4D1D5" w14:textId="58ED5987" w:rsidR="002B5544" w:rsidRPr="00070CA7" w:rsidRDefault="002B5544" w:rsidP="002B5544">
            <w:pPr>
              <w:spacing w:before="60" w:after="60"/>
              <w:jc w:val="left"/>
              <w:rPr>
                <w:kern w:val="22"/>
                <w:sz w:val="20"/>
                <w:szCs w:val="20"/>
              </w:rPr>
            </w:pPr>
            <w:r w:rsidRPr="00070CA7">
              <w:rPr>
                <w:kern w:val="22"/>
                <w:sz w:val="20"/>
                <w:szCs w:val="20"/>
              </w:rPr>
              <w:t>(a) Percentage of Parties having in place a mechanism to enhance public participation in</w:t>
            </w:r>
            <w:r>
              <w:rPr>
                <w:kern w:val="22"/>
                <w:sz w:val="20"/>
                <w:szCs w:val="20"/>
              </w:rPr>
              <w:t xml:space="preserve"> decision taking regarding LMOs</w:t>
            </w:r>
          </w:p>
          <w:p w14:paraId="7BE2CD30" w14:textId="77777777" w:rsidR="002B5544" w:rsidRPr="00070CA7" w:rsidRDefault="002B5544" w:rsidP="002B5544">
            <w:pPr>
              <w:spacing w:before="60" w:after="60"/>
              <w:jc w:val="left"/>
              <w:rPr>
                <w:kern w:val="22"/>
                <w:sz w:val="20"/>
                <w:szCs w:val="20"/>
              </w:rPr>
            </w:pPr>
            <w:r w:rsidRPr="00070CA7">
              <w:rPr>
                <w:kern w:val="22"/>
                <w:sz w:val="20"/>
                <w:szCs w:val="20"/>
              </w:rPr>
              <w:t>(b) Percentage of Parties informing the public about means for participation in decision-taking</w:t>
            </w:r>
          </w:p>
          <w:p w14:paraId="46E6B175" w14:textId="77777777" w:rsidR="002B5544" w:rsidRPr="00070CA7" w:rsidRDefault="002B5544" w:rsidP="002B5544">
            <w:pPr>
              <w:spacing w:before="60" w:after="60"/>
              <w:jc w:val="left"/>
              <w:rPr>
                <w:kern w:val="22"/>
                <w:sz w:val="20"/>
                <w:szCs w:val="20"/>
              </w:rPr>
            </w:pPr>
            <w:r w:rsidRPr="00070CA7">
              <w:rPr>
                <w:kern w:val="22"/>
                <w:sz w:val="20"/>
                <w:szCs w:val="20"/>
              </w:rPr>
              <w:t>(c) Percentage of Parties making the results of decisions available to the public</w:t>
            </w:r>
          </w:p>
          <w:p w14:paraId="555E9D82" w14:textId="3844A931" w:rsidR="002B5544" w:rsidRDefault="002B5544" w:rsidP="002B5544">
            <w:pPr>
              <w:spacing w:before="60" w:after="60"/>
              <w:jc w:val="left"/>
              <w:rPr>
                <w:kern w:val="22"/>
                <w:sz w:val="20"/>
                <w:szCs w:val="20"/>
              </w:rPr>
            </w:pPr>
            <w:r>
              <w:rPr>
                <w:kern w:val="22"/>
                <w:sz w:val="20"/>
                <w:szCs w:val="20"/>
              </w:rPr>
              <w:t>(d) Percentage of Parties that have informed the public about the means of public access to the BCH</w:t>
            </w:r>
          </w:p>
          <w:p w14:paraId="2152D84C" w14:textId="51115862" w:rsidR="002B5544" w:rsidRDefault="002B5544" w:rsidP="002B5544">
            <w:pPr>
              <w:spacing w:before="60" w:after="60"/>
              <w:jc w:val="left"/>
              <w:rPr>
                <w:kern w:val="22"/>
                <w:sz w:val="20"/>
                <w:szCs w:val="20"/>
              </w:rPr>
            </w:pPr>
            <w:r>
              <w:rPr>
                <w:kern w:val="22"/>
                <w:sz w:val="20"/>
                <w:szCs w:val="20"/>
              </w:rPr>
              <w:t>(e)</w:t>
            </w:r>
            <w:r>
              <w:t xml:space="preserve"> </w:t>
            </w:r>
            <w:r w:rsidRPr="00D04522">
              <w:rPr>
                <w:kern w:val="22"/>
                <w:sz w:val="20"/>
                <w:szCs w:val="20"/>
              </w:rPr>
              <w:t>Percentage of Parties having access to resource materials for enhancing public awareness, education and participation in biosafety</w:t>
            </w:r>
          </w:p>
          <w:p w14:paraId="1B32BBA2" w14:textId="2871F906" w:rsidR="002B5544" w:rsidRPr="00070CA7" w:rsidRDefault="002B5544" w:rsidP="002B5544">
            <w:pPr>
              <w:spacing w:before="60" w:after="60"/>
              <w:jc w:val="left"/>
              <w:rPr>
                <w:kern w:val="22"/>
                <w:sz w:val="20"/>
                <w:szCs w:val="20"/>
              </w:rPr>
            </w:pPr>
            <w:r w:rsidRPr="00070CA7">
              <w:rPr>
                <w:kern w:val="22"/>
                <w:sz w:val="20"/>
                <w:szCs w:val="20"/>
              </w:rPr>
              <w:t>(</w:t>
            </w:r>
            <w:r>
              <w:rPr>
                <w:kern w:val="22"/>
                <w:sz w:val="20"/>
                <w:szCs w:val="20"/>
              </w:rPr>
              <w:t>f</w:t>
            </w:r>
            <w:r w:rsidRPr="00070CA7">
              <w:rPr>
                <w:kern w:val="22"/>
                <w:sz w:val="20"/>
                <w:szCs w:val="20"/>
              </w:rPr>
              <w:t>) Percentage of Parties mainstreaming biosafety in educational and training programmes</w:t>
            </w:r>
          </w:p>
        </w:tc>
      </w:tr>
      <w:tr w:rsidR="002B5544" w:rsidRPr="00070CA7" w14:paraId="24D46DD0" w14:textId="77777777" w:rsidTr="00F13867">
        <w:tc>
          <w:tcPr>
            <w:tcW w:w="1561" w:type="dxa"/>
            <w:vMerge/>
          </w:tcPr>
          <w:p w14:paraId="4BD80709" w14:textId="77777777" w:rsidR="002B5544" w:rsidRPr="00070CA7" w:rsidRDefault="002B5544" w:rsidP="002B5544">
            <w:pPr>
              <w:rPr>
                <w:kern w:val="22"/>
                <w:sz w:val="20"/>
                <w:szCs w:val="20"/>
              </w:rPr>
            </w:pPr>
          </w:p>
        </w:tc>
        <w:tc>
          <w:tcPr>
            <w:tcW w:w="2549" w:type="dxa"/>
          </w:tcPr>
          <w:p w14:paraId="4F4BD60E" w14:textId="20001774" w:rsidR="002B5544" w:rsidRPr="00070CA7" w:rsidRDefault="002B5544" w:rsidP="002B5544">
            <w:pPr>
              <w:jc w:val="left"/>
              <w:rPr>
                <w:strike/>
                <w:kern w:val="22"/>
                <w:sz w:val="20"/>
                <w:szCs w:val="20"/>
              </w:rPr>
            </w:pPr>
            <w:r w:rsidRPr="00070CA7">
              <w:rPr>
                <w:kern w:val="22"/>
                <w:sz w:val="20"/>
                <w:szCs w:val="20"/>
              </w:rPr>
              <w:t xml:space="preserve">B.4. Enhanced cooperation by Parties on biosafety issues at the national, </w:t>
            </w:r>
            <w:r w:rsidRPr="00070CA7">
              <w:rPr>
                <w:kern w:val="22"/>
                <w:sz w:val="20"/>
                <w:szCs w:val="20"/>
              </w:rPr>
              <w:lastRenderedPageBreak/>
              <w:t xml:space="preserve">regional and international levels </w:t>
            </w:r>
          </w:p>
        </w:tc>
        <w:tc>
          <w:tcPr>
            <w:tcW w:w="2973" w:type="dxa"/>
          </w:tcPr>
          <w:p w14:paraId="2B5FC622" w14:textId="77777777" w:rsidR="002B5544" w:rsidRPr="00070CA7" w:rsidRDefault="002B5544" w:rsidP="002B5544">
            <w:pPr>
              <w:jc w:val="left"/>
              <w:rPr>
                <w:kern w:val="22"/>
                <w:sz w:val="20"/>
                <w:szCs w:val="20"/>
              </w:rPr>
            </w:pPr>
            <w:r w:rsidRPr="00070CA7">
              <w:rPr>
                <w:kern w:val="22"/>
                <w:sz w:val="20"/>
                <w:szCs w:val="20"/>
              </w:rPr>
              <w:lastRenderedPageBreak/>
              <w:t xml:space="preserve">B.4.1. Parties cooperate to support implementation of the Protocol, including through the </w:t>
            </w:r>
            <w:r w:rsidRPr="00070CA7">
              <w:rPr>
                <w:kern w:val="22"/>
                <w:sz w:val="20"/>
                <w:szCs w:val="20"/>
              </w:rPr>
              <w:lastRenderedPageBreak/>
              <w:t>exchange of scientific, technical and institutional knowledge</w:t>
            </w:r>
          </w:p>
          <w:p w14:paraId="1440C12C" w14:textId="77777777" w:rsidR="002B5544" w:rsidRPr="00070CA7" w:rsidRDefault="002B5544" w:rsidP="002B5544">
            <w:pPr>
              <w:spacing w:before="120"/>
              <w:jc w:val="left"/>
              <w:rPr>
                <w:kern w:val="22"/>
                <w:sz w:val="20"/>
                <w:szCs w:val="20"/>
              </w:rPr>
            </w:pPr>
            <w:r w:rsidRPr="00070CA7">
              <w:rPr>
                <w:kern w:val="22"/>
                <w:sz w:val="20"/>
                <w:szCs w:val="20"/>
              </w:rPr>
              <w:t>B.4.2. Parties have put in place</w:t>
            </w:r>
          </w:p>
          <w:p w14:paraId="133F7F04" w14:textId="77777777" w:rsidR="002B5544" w:rsidRPr="00070CA7" w:rsidRDefault="002B5544" w:rsidP="002B5544">
            <w:pPr>
              <w:jc w:val="left"/>
              <w:rPr>
                <w:kern w:val="22"/>
                <w:sz w:val="20"/>
                <w:szCs w:val="20"/>
              </w:rPr>
            </w:pPr>
            <w:r w:rsidRPr="00070CA7">
              <w:rPr>
                <w:kern w:val="22"/>
                <w:sz w:val="20"/>
                <w:szCs w:val="20"/>
              </w:rPr>
              <w:t>effective mechanisms to involve relevant stakeholders from different sectors in the</w:t>
            </w:r>
          </w:p>
          <w:p w14:paraId="05F8819E" w14:textId="77777777" w:rsidR="002B5544" w:rsidRPr="00070CA7" w:rsidRDefault="002B5544" w:rsidP="002B5544">
            <w:pPr>
              <w:jc w:val="left"/>
              <w:rPr>
                <w:kern w:val="22"/>
                <w:sz w:val="20"/>
                <w:szCs w:val="20"/>
              </w:rPr>
            </w:pPr>
            <w:r w:rsidRPr="00070CA7">
              <w:rPr>
                <w:kern w:val="22"/>
                <w:sz w:val="20"/>
                <w:szCs w:val="20"/>
              </w:rPr>
              <w:t>implementation of the Protocol</w:t>
            </w:r>
          </w:p>
        </w:tc>
        <w:tc>
          <w:tcPr>
            <w:tcW w:w="2977" w:type="dxa"/>
          </w:tcPr>
          <w:p w14:paraId="61D15ACF" w14:textId="2DBF53D6" w:rsidR="002B5544" w:rsidRPr="00070CA7" w:rsidRDefault="002B5544" w:rsidP="002B5544">
            <w:pPr>
              <w:jc w:val="left"/>
              <w:rPr>
                <w:kern w:val="22"/>
                <w:sz w:val="20"/>
                <w:szCs w:val="20"/>
              </w:rPr>
            </w:pPr>
            <w:r w:rsidRPr="00070CA7">
              <w:rPr>
                <w:kern w:val="22"/>
                <w:sz w:val="20"/>
                <w:szCs w:val="20"/>
              </w:rPr>
              <w:lastRenderedPageBreak/>
              <w:t xml:space="preserve">Through cooperation at the national, regional and international levels, and participation of stakeholders, </w:t>
            </w:r>
            <w:r w:rsidRPr="00070CA7">
              <w:rPr>
                <w:kern w:val="22"/>
                <w:sz w:val="20"/>
                <w:szCs w:val="20"/>
              </w:rPr>
              <w:lastRenderedPageBreak/>
              <w:t>implementation of the Protocol is more effective</w:t>
            </w:r>
          </w:p>
        </w:tc>
        <w:tc>
          <w:tcPr>
            <w:tcW w:w="3402" w:type="dxa"/>
          </w:tcPr>
          <w:p w14:paraId="3795A1AC" w14:textId="77777777" w:rsidR="002B5544" w:rsidRPr="00070CA7" w:rsidRDefault="002B5544" w:rsidP="002B5544">
            <w:pPr>
              <w:spacing w:before="60" w:after="60"/>
              <w:jc w:val="left"/>
              <w:rPr>
                <w:kern w:val="22"/>
                <w:sz w:val="20"/>
                <w:szCs w:val="20"/>
              </w:rPr>
            </w:pPr>
            <w:r w:rsidRPr="00070CA7">
              <w:rPr>
                <w:kern w:val="22"/>
                <w:sz w:val="20"/>
                <w:szCs w:val="20"/>
              </w:rPr>
              <w:lastRenderedPageBreak/>
              <w:t>(a) Percentage of Parties cooperating in exchanging scientific, technical and institutional knowledge</w:t>
            </w:r>
          </w:p>
          <w:p w14:paraId="02682199" w14:textId="12533AB9" w:rsidR="002B5544" w:rsidRPr="00070CA7" w:rsidRDefault="002B5544" w:rsidP="002B5544">
            <w:pPr>
              <w:spacing w:before="60" w:after="60"/>
              <w:jc w:val="left"/>
              <w:rPr>
                <w:kern w:val="22"/>
                <w:sz w:val="20"/>
                <w:szCs w:val="20"/>
              </w:rPr>
            </w:pPr>
            <w:r w:rsidRPr="00486777">
              <w:rPr>
                <w:kern w:val="22"/>
                <w:sz w:val="20"/>
                <w:szCs w:val="20"/>
              </w:rPr>
              <w:lastRenderedPageBreak/>
              <w:t>(b) Percentage of Parties engag</w:t>
            </w:r>
            <w:r>
              <w:rPr>
                <w:kern w:val="22"/>
                <w:sz w:val="20"/>
                <w:szCs w:val="20"/>
              </w:rPr>
              <w:t>ing</w:t>
            </w:r>
            <w:r w:rsidRPr="00486777">
              <w:rPr>
                <w:kern w:val="22"/>
                <w:sz w:val="20"/>
                <w:szCs w:val="20"/>
              </w:rPr>
              <w:t xml:space="preserve"> in bilateral, regional or multilateral activities for the implementation of the Protocol</w:t>
            </w:r>
          </w:p>
          <w:p w14:paraId="6FDDA373" w14:textId="77777777" w:rsidR="002B5544" w:rsidRPr="00070CA7" w:rsidRDefault="002B5544" w:rsidP="002B5544">
            <w:pPr>
              <w:spacing w:before="60" w:after="60"/>
              <w:jc w:val="left"/>
              <w:rPr>
                <w:kern w:val="22"/>
                <w:sz w:val="20"/>
                <w:szCs w:val="20"/>
              </w:rPr>
            </w:pPr>
            <w:r w:rsidRPr="00070CA7">
              <w:rPr>
                <w:kern w:val="22"/>
                <w:sz w:val="20"/>
                <w:szCs w:val="20"/>
              </w:rPr>
              <w:t>(c) Percentage of Parties that have mechanisms for involving stakeholders from different sectors in the implementation of the Protocol</w:t>
            </w:r>
          </w:p>
        </w:tc>
      </w:tr>
    </w:tbl>
    <w:p w14:paraId="2C6BE97A" w14:textId="77777777" w:rsidR="00F13867" w:rsidRPr="00070CA7" w:rsidRDefault="00F13867" w:rsidP="00846D88">
      <w:pPr>
        <w:rPr>
          <w:kern w:val="22"/>
          <w:sz w:val="20"/>
          <w:szCs w:val="20"/>
        </w:rPr>
      </w:pPr>
    </w:p>
    <w:p w14:paraId="3AA99928" w14:textId="403B261C" w:rsidR="00846D88" w:rsidRPr="00070CA7" w:rsidRDefault="00EB315D" w:rsidP="00EB315D">
      <w:pPr>
        <w:jc w:val="center"/>
        <w:rPr>
          <w:rFonts w:ascii="Times" w:hAnsi="Times" w:cs="Times"/>
          <w:kern w:val="22"/>
        </w:rPr>
      </w:pPr>
      <w:r w:rsidRPr="00070CA7">
        <w:rPr>
          <w:rFonts w:ascii="Times" w:hAnsi="Times" w:cs="Times"/>
          <w:kern w:val="22"/>
        </w:rPr>
        <w:t>__________</w:t>
      </w:r>
    </w:p>
    <w:sectPr w:rsidR="00846D88" w:rsidRPr="00070CA7" w:rsidSect="0073735B">
      <w:pgSz w:w="15840" w:h="12240" w:orient="landscape"/>
      <w:pgMar w:top="1389" w:right="567" w:bottom="138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E7F63" w14:textId="77777777" w:rsidR="00884A16" w:rsidRDefault="00884A16" w:rsidP="00CF1848">
      <w:r>
        <w:separator/>
      </w:r>
    </w:p>
  </w:endnote>
  <w:endnote w:type="continuationSeparator" w:id="0">
    <w:p w14:paraId="613EDF9B" w14:textId="77777777" w:rsidR="00884A16" w:rsidRDefault="00884A16"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20D81" w14:textId="77777777" w:rsidR="00884A16" w:rsidRDefault="00884A16" w:rsidP="00CF1848">
      <w:r>
        <w:separator/>
      </w:r>
    </w:p>
  </w:footnote>
  <w:footnote w:type="continuationSeparator" w:id="0">
    <w:p w14:paraId="05FBFA94" w14:textId="77777777" w:rsidR="00884A16" w:rsidRDefault="00884A16" w:rsidP="00CF1848">
      <w:r>
        <w:continuationSeparator/>
      </w:r>
    </w:p>
  </w:footnote>
  <w:footnote w:id="1">
    <w:p w14:paraId="2477408A" w14:textId="545276B1" w:rsidR="00184001" w:rsidRPr="00241B8B" w:rsidRDefault="00184001" w:rsidP="00EB315D">
      <w:pPr>
        <w:pStyle w:val="FootnoteText"/>
        <w:ind w:firstLine="0"/>
        <w:rPr>
          <w:lang w:val="en-CA"/>
        </w:rPr>
      </w:pPr>
      <w:r w:rsidRPr="00EB315D">
        <w:rPr>
          <w:rStyle w:val="FootnoteReference"/>
          <w:u w:val="none"/>
          <w:vertAlign w:val="superscript"/>
        </w:rPr>
        <w:footnoteRef/>
      </w:r>
      <w:r>
        <w:t xml:space="preserve"> </w:t>
      </w:r>
      <w:r>
        <w:rPr>
          <w:lang w:val="en-CA"/>
        </w:rPr>
        <w:t xml:space="preserve">Section II of the document available here: </w:t>
      </w:r>
      <w:r w:rsidRPr="00622124">
        <w:rPr>
          <w:lang w:val="en-CA"/>
        </w:rPr>
        <w:t>http://bch.cbd.int/post%202020/implementationplan.pdf?download</w:t>
      </w:r>
      <w:r>
        <w:rPr>
          <w:lang w:val="en-CA"/>
        </w:rPr>
        <w:t>.</w:t>
      </w:r>
    </w:p>
  </w:footnote>
  <w:footnote w:id="2">
    <w:p w14:paraId="34C04349" w14:textId="77777777" w:rsidR="00184001" w:rsidRPr="000F4989" w:rsidRDefault="00184001" w:rsidP="00EB315D">
      <w:pPr>
        <w:pStyle w:val="FootnoteText"/>
        <w:ind w:firstLine="0"/>
        <w:rPr>
          <w:lang w:val="en-CA"/>
        </w:rPr>
      </w:pPr>
      <w:r w:rsidRPr="00EB315D">
        <w:rPr>
          <w:rStyle w:val="FootnoteReference"/>
          <w:u w:val="none"/>
          <w:vertAlign w:val="superscript"/>
        </w:rPr>
        <w:footnoteRef/>
      </w:r>
      <w:r>
        <w:t xml:space="preserve"> While the terms ‘focal area’, ‘impact’, ‘strategic objective’ and ‘operational objective’ that were used in the Strategic Plan have not been maintained as such, the concepts these refer to have been kept.</w:t>
      </w:r>
    </w:p>
  </w:footnote>
  <w:footnote w:id="3">
    <w:p w14:paraId="6C3B2354" w14:textId="40B565E9" w:rsidR="00184001" w:rsidRPr="00241B8B" w:rsidRDefault="00184001" w:rsidP="00EB315D">
      <w:pPr>
        <w:pStyle w:val="FootnoteText"/>
        <w:ind w:firstLine="0"/>
        <w:rPr>
          <w:lang w:val="en-CA"/>
        </w:rPr>
      </w:pPr>
      <w:r w:rsidRPr="00EB315D">
        <w:rPr>
          <w:rStyle w:val="FootnoteReference"/>
          <w:u w:val="none"/>
          <w:vertAlign w:val="superscript"/>
        </w:rPr>
        <w:footnoteRef/>
      </w:r>
      <w:r>
        <w:t xml:space="preserve"> See COP decision 14/19 on synthetic biology and COP-MOP decision CP-9/13 risk assessment and risk 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2A3FEC" w14:textId="6B93BAA2" w:rsidR="00184001" w:rsidRPr="0057433C" w:rsidRDefault="00184001" w:rsidP="00534681">
        <w:pPr>
          <w:pStyle w:val="Header"/>
          <w:rPr>
            <w:lang w:val="fr-CA"/>
          </w:rPr>
        </w:pPr>
        <w:r>
          <w:rPr>
            <w:lang w:val="fr-CA"/>
          </w:rPr>
          <w:t>CBD/CP/LG/2019/1/3</w:t>
        </w:r>
      </w:p>
    </w:sdtContent>
  </w:sdt>
  <w:p w14:paraId="19E31C39" w14:textId="77777777" w:rsidR="00184001" w:rsidRPr="0057433C" w:rsidRDefault="00184001" w:rsidP="00534681">
    <w:pPr>
      <w:pStyle w:val="Header"/>
      <w:rPr>
        <w:lang w:val="fr-CA"/>
      </w:rPr>
    </w:pPr>
    <w:r w:rsidRPr="0057433C">
      <w:rPr>
        <w:lang w:val="fr-CA"/>
      </w:rPr>
      <w:t xml:space="preserve">Page </w:t>
    </w:r>
    <w:r>
      <w:fldChar w:fldCharType="begin"/>
    </w:r>
    <w:r w:rsidRPr="0057433C">
      <w:rPr>
        <w:lang w:val="fr-CA"/>
      </w:rPr>
      <w:instrText xml:space="preserve"> PAGE   \* MERGEFORMAT </w:instrText>
    </w:r>
    <w:r>
      <w:fldChar w:fldCharType="separate"/>
    </w:r>
    <w:r>
      <w:rPr>
        <w:noProof/>
        <w:lang w:val="fr-CA"/>
      </w:rPr>
      <w:t>4</w:t>
    </w:r>
    <w:r>
      <w:rPr>
        <w:noProof/>
      </w:rPr>
      <w:fldChar w:fldCharType="end"/>
    </w:r>
  </w:p>
  <w:p w14:paraId="38BE883B" w14:textId="77777777" w:rsidR="00184001" w:rsidRPr="0057433C" w:rsidRDefault="00184001">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CA"/>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58177CEE" w14:textId="4A312556" w:rsidR="00184001" w:rsidRPr="0057433C" w:rsidRDefault="00184001" w:rsidP="009505C9">
        <w:pPr>
          <w:pStyle w:val="Header"/>
          <w:jc w:val="right"/>
          <w:rPr>
            <w:lang w:val="fr-CA"/>
          </w:rPr>
        </w:pPr>
        <w:r>
          <w:rPr>
            <w:lang w:val="fr-CA"/>
          </w:rPr>
          <w:t>CBD/CP/LG/2019/1/3</w:t>
        </w:r>
      </w:p>
    </w:sdtContent>
  </w:sdt>
  <w:p w14:paraId="1820A7D5" w14:textId="77777777" w:rsidR="00184001" w:rsidRPr="0057433C" w:rsidRDefault="00184001" w:rsidP="009505C9">
    <w:pPr>
      <w:pStyle w:val="Header"/>
      <w:jc w:val="right"/>
      <w:rPr>
        <w:lang w:val="fr-CA"/>
      </w:rPr>
    </w:pPr>
    <w:r w:rsidRPr="0057433C">
      <w:rPr>
        <w:lang w:val="fr-CA"/>
      </w:rPr>
      <w:t xml:space="preserve">Page </w:t>
    </w:r>
    <w:r>
      <w:fldChar w:fldCharType="begin"/>
    </w:r>
    <w:r w:rsidRPr="0057433C">
      <w:rPr>
        <w:lang w:val="fr-CA"/>
      </w:rPr>
      <w:instrText xml:space="preserve"> PAGE   \* MERGEFORMAT </w:instrText>
    </w:r>
    <w:r>
      <w:fldChar w:fldCharType="separate"/>
    </w:r>
    <w:r>
      <w:rPr>
        <w:noProof/>
        <w:lang w:val="fr-CA"/>
      </w:rPr>
      <w:t>3</w:t>
    </w:r>
    <w:r>
      <w:rPr>
        <w:noProof/>
      </w:rPr>
      <w:fldChar w:fldCharType="end"/>
    </w:r>
  </w:p>
  <w:p w14:paraId="37D34E80" w14:textId="77777777" w:rsidR="00184001" w:rsidRPr="0057433C" w:rsidRDefault="00184001">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6E0A"/>
    <w:multiLevelType w:val="hybridMultilevel"/>
    <w:tmpl w:val="393AB474"/>
    <w:lvl w:ilvl="0" w:tplc="A9942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A2B44"/>
    <w:multiLevelType w:val="hybridMultilevel"/>
    <w:tmpl w:val="399A3A8E"/>
    <w:lvl w:ilvl="0" w:tplc="732261BE">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B318BB"/>
    <w:multiLevelType w:val="hybridMultilevel"/>
    <w:tmpl w:val="C2445F4C"/>
    <w:lvl w:ilvl="0" w:tplc="EFE4BFEA">
      <w:start w:val="25"/>
      <w:numFmt w:val="decimal"/>
      <w:lvlText w:val="%1."/>
      <w:lvlJc w:val="left"/>
      <w:pPr>
        <w:ind w:left="1080" w:hanging="360"/>
      </w:pPr>
      <w:rPr>
        <w:rFonts w:hint="default"/>
        <w:b w:val="0"/>
      </w:rPr>
    </w:lvl>
    <w:lvl w:ilvl="1" w:tplc="61F21DD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F4367"/>
    <w:multiLevelType w:val="hybridMultilevel"/>
    <w:tmpl w:val="48684684"/>
    <w:lvl w:ilvl="0" w:tplc="EBBE8C10">
      <w:start w:val="1"/>
      <w:numFmt w:val="lowerRoman"/>
      <w:lvlText w:val="(%1)"/>
      <w:lvlJc w:val="left"/>
      <w:pPr>
        <w:ind w:left="1080" w:hanging="720"/>
      </w:pPr>
      <w:rPr>
        <w:rFonts w:hint="default"/>
      </w:rPr>
    </w:lvl>
    <w:lvl w:ilvl="1" w:tplc="E25214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62147"/>
    <w:multiLevelType w:val="hybridMultilevel"/>
    <w:tmpl w:val="31C816C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4E14260"/>
    <w:multiLevelType w:val="hybridMultilevel"/>
    <w:tmpl w:val="EB4C5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A655F"/>
    <w:multiLevelType w:val="multilevel"/>
    <w:tmpl w:val="5ECE641C"/>
    <w:lvl w:ilvl="0">
      <w:start w:val="1"/>
      <w:numFmt w:val="upperRoman"/>
      <w:lvlText w:val="%1."/>
      <w:lvlJc w:val="left"/>
      <w:pPr>
        <w:ind w:left="1080" w:hanging="720"/>
      </w:pPr>
      <w:rPr>
        <w:rFonts w:hint="default"/>
        <w:b/>
      </w:rPr>
    </w:lvl>
    <w:lvl w:ilvl="1">
      <w:start w:val="5"/>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7" w15:restartNumberingAfterBreak="0">
    <w:nsid w:val="1D14508E"/>
    <w:multiLevelType w:val="hybridMultilevel"/>
    <w:tmpl w:val="E1CA8504"/>
    <w:lvl w:ilvl="0" w:tplc="D128964A">
      <w:start w:val="1"/>
      <w:numFmt w:val="decimal"/>
      <w:lvlText w:val="%1."/>
      <w:lvlJc w:val="left"/>
      <w:pPr>
        <w:ind w:left="1440" w:hanging="360"/>
      </w:pPr>
      <w:rPr>
        <w:rFonts w:hint="default"/>
        <w:b w:val="0"/>
      </w:rPr>
    </w:lvl>
    <w:lvl w:ilvl="1" w:tplc="86C47A0E">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975AD0"/>
    <w:multiLevelType w:val="hybridMultilevel"/>
    <w:tmpl w:val="4FD87A34"/>
    <w:lvl w:ilvl="0" w:tplc="F140E412">
      <w:start w:val="1"/>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9FDAE436">
      <w:numFmt w:val="bullet"/>
      <w:lvlText w:val="-"/>
      <w:lvlJc w:val="left"/>
      <w:pPr>
        <w:ind w:left="2340" w:hanging="360"/>
      </w:pPr>
      <w:rPr>
        <w:rFonts w:ascii="Times" w:eastAsia="Times New Roman" w:hAnsi="Times" w:cs="Time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F7174"/>
    <w:multiLevelType w:val="hybridMultilevel"/>
    <w:tmpl w:val="8B7EF10C"/>
    <w:lvl w:ilvl="0" w:tplc="ED9869AC">
      <w:start w:val="47"/>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9C52FB"/>
    <w:multiLevelType w:val="hybridMultilevel"/>
    <w:tmpl w:val="ACBE98C8"/>
    <w:lvl w:ilvl="0" w:tplc="234A2BA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0306ADC"/>
    <w:multiLevelType w:val="hybridMultilevel"/>
    <w:tmpl w:val="6C86BC74"/>
    <w:lvl w:ilvl="0" w:tplc="FB6E567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C40A2"/>
    <w:multiLevelType w:val="hybridMultilevel"/>
    <w:tmpl w:val="DF381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933EC"/>
    <w:multiLevelType w:val="hybridMultilevel"/>
    <w:tmpl w:val="3142041A"/>
    <w:lvl w:ilvl="0" w:tplc="5B5E885E">
      <w:start w:val="1"/>
      <w:numFmt w:val="lowerRoman"/>
      <w:lvlText w:val="(%1)"/>
      <w:lvlJc w:val="left"/>
      <w:pPr>
        <w:ind w:left="1440" w:hanging="720"/>
      </w:pPr>
      <w:rPr>
        <w:rFonts w:hint="default"/>
      </w:rPr>
    </w:lvl>
    <w:lvl w:ilvl="1" w:tplc="E25214E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733EFF"/>
    <w:multiLevelType w:val="hybridMultilevel"/>
    <w:tmpl w:val="74045FAE"/>
    <w:lvl w:ilvl="0" w:tplc="9CA85FD2">
      <w:start w:val="1"/>
      <w:numFmt w:val="upperRoman"/>
      <w:lvlText w:val="%1."/>
      <w:lvlJc w:val="left"/>
      <w:pPr>
        <w:ind w:left="1429" w:hanging="72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6" w15:restartNumberingAfterBreak="0">
    <w:nsid w:val="3E284B34"/>
    <w:multiLevelType w:val="hybridMultilevel"/>
    <w:tmpl w:val="822A1420"/>
    <w:lvl w:ilvl="0" w:tplc="C72A3F3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31673"/>
    <w:multiLevelType w:val="hybridMultilevel"/>
    <w:tmpl w:val="E6BC80C0"/>
    <w:lvl w:ilvl="0" w:tplc="CA2C8A7A">
      <w:start w:val="1"/>
      <w:numFmt w:val="decimal"/>
      <w:lvlText w:val="%1."/>
      <w:lvlJc w:val="left"/>
      <w:pPr>
        <w:ind w:left="720" w:hanging="360"/>
      </w:pPr>
      <w:rPr>
        <w:rFonts w:hint="default"/>
      </w:rPr>
    </w:lvl>
    <w:lvl w:ilvl="1" w:tplc="C72A3F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EA3F2A"/>
    <w:multiLevelType w:val="hybridMultilevel"/>
    <w:tmpl w:val="D0BEC134"/>
    <w:lvl w:ilvl="0" w:tplc="EBBE8C1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D7F15"/>
    <w:multiLevelType w:val="hybridMultilevel"/>
    <w:tmpl w:val="27F8BF0E"/>
    <w:lvl w:ilvl="0" w:tplc="CA2C8A7A">
      <w:start w:val="1"/>
      <w:numFmt w:val="decimal"/>
      <w:lvlText w:val="%1."/>
      <w:lvlJc w:val="left"/>
      <w:pPr>
        <w:ind w:left="720" w:hanging="360"/>
      </w:pPr>
      <w:rPr>
        <w:rFonts w:hint="default"/>
      </w:rPr>
    </w:lvl>
    <w:lvl w:ilvl="1" w:tplc="C72A3F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E8D4C68"/>
    <w:multiLevelType w:val="hybridMultilevel"/>
    <w:tmpl w:val="117C2F36"/>
    <w:lvl w:ilvl="0" w:tplc="EFE4BFEA">
      <w:start w:val="25"/>
      <w:numFmt w:val="decimal"/>
      <w:lvlText w:val="%1."/>
      <w:lvlJc w:val="left"/>
      <w:pPr>
        <w:ind w:left="1080" w:hanging="360"/>
      </w:pPr>
      <w:rPr>
        <w:rFonts w:hint="default"/>
        <w:b w:val="0"/>
      </w:rPr>
    </w:lvl>
    <w:lvl w:ilvl="1" w:tplc="04090015">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23606C"/>
    <w:multiLevelType w:val="hybridMultilevel"/>
    <w:tmpl w:val="5E5ED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D54529"/>
    <w:multiLevelType w:val="hybridMultilevel"/>
    <w:tmpl w:val="417EFC30"/>
    <w:lvl w:ilvl="0" w:tplc="49EC52A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47BCF"/>
    <w:multiLevelType w:val="hybridMultilevel"/>
    <w:tmpl w:val="2848CB64"/>
    <w:lvl w:ilvl="0" w:tplc="CA2C8A7A">
      <w:start w:val="1"/>
      <w:numFmt w:val="decimal"/>
      <w:lvlText w:val="%1."/>
      <w:lvlJc w:val="left"/>
      <w:pPr>
        <w:ind w:left="720" w:hanging="360"/>
      </w:pPr>
      <w:rPr>
        <w:rFonts w:hint="default"/>
      </w:rPr>
    </w:lvl>
    <w:lvl w:ilvl="1" w:tplc="6BB22266">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14D50"/>
    <w:multiLevelType w:val="hybridMultilevel"/>
    <w:tmpl w:val="84C60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0317A4"/>
    <w:multiLevelType w:val="hybridMultilevel"/>
    <w:tmpl w:val="2556D262"/>
    <w:lvl w:ilvl="0" w:tplc="E25214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E02202"/>
    <w:multiLevelType w:val="hybridMultilevel"/>
    <w:tmpl w:val="E83E3A44"/>
    <w:lvl w:ilvl="0" w:tplc="CA2C8A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1A4675"/>
    <w:multiLevelType w:val="hybridMultilevel"/>
    <w:tmpl w:val="AE44DC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94563"/>
    <w:multiLevelType w:val="hybridMultilevel"/>
    <w:tmpl w:val="69601424"/>
    <w:lvl w:ilvl="0" w:tplc="F17247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4B0BDE"/>
    <w:multiLevelType w:val="multilevel"/>
    <w:tmpl w:val="DD8A90CE"/>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465"/>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485"/>
        </w:tabs>
        <w:ind w:left="1485" w:hanging="72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355"/>
        </w:tabs>
        <w:ind w:left="2355" w:hanging="108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225"/>
        </w:tabs>
        <w:ind w:left="3225" w:hanging="1440"/>
      </w:pPr>
      <w:rPr>
        <w:rFonts w:hint="default"/>
      </w:rPr>
    </w:lvl>
    <w:lvl w:ilvl="8">
      <w:start w:val="1"/>
      <w:numFmt w:val="decimal"/>
      <w:lvlText w:val="%1.%2.%3.%4.%5.%6.%7.%8.%9."/>
      <w:lvlJc w:val="left"/>
      <w:pPr>
        <w:tabs>
          <w:tab w:val="num" w:pos="3840"/>
        </w:tabs>
        <w:ind w:left="3840" w:hanging="1800"/>
      </w:pPr>
      <w:rPr>
        <w:rFonts w:hint="default"/>
      </w:rPr>
    </w:lvl>
  </w:abstractNum>
  <w:abstractNum w:abstractNumId="32" w15:restartNumberingAfterBreak="0">
    <w:nsid w:val="6B8779AF"/>
    <w:multiLevelType w:val="hybridMultilevel"/>
    <w:tmpl w:val="FBDA86B0"/>
    <w:lvl w:ilvl="0" w:tplc="02BAEC68">
      <w:start w:val="7"/>
      <w:numFmt w:val="bullet"/>
      <w:lvlText w:val="-"/>
      <w:lvlJc w:val="left"/>
      <w:pPr>
        <w:ind w:left="720" w:hanging="360"/>
      </w:pPr>
      <w:rPr>
        <w:rFonts w:ascii="Times" w:eastAsia="Times New Roman" w:hAnsi="Times" w:cs="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E23244"/>
    <w:multiLevelType w:val="multilevel"/>
    <w:tmpl w:val="E828C84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080"/>
        </w:tabs>
        <w:ind w:left="0" w:firstLine="720"/>
      </w:pPr>
      <w:rPr>
        <w:rFonts w:hint="default"/>
        <w:b w:val="0"/>
        <w:i w:val="0"/>
        <w:sz w:val="22"/>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21"/>
  </w:num>
  <w:num w:numId="3">
    <w:abstractNumId w:val="18"/>
  </w:num>
  <w:num w:numId="4">
    <w:abstractNumId w:val="33"/>
  </w:num>
  <w:num w:numId="5">
    <w:abstractNumId w:val="6"/>
  </w:num>
  <w:num w:numId="6">
    <w:abstractNumId w:val="7"/>
  </w:num>
  <w:num w:numId="7">
    <w:abstractNumId w:val="9"/>
  </w:num>
  <w:num w:numId="8">
    <w:abstractNumId w:val="2"/>
  </w:num>
  <w:num w:numId="9">
    <w:abstractNumId w:val="23"/>
  </w:num>
  <w:num w:numId="10">
    <w:abstractNumId w:val="13"/>
  </w:num>
  <w:num w:numId="11">
    <w:abstractNumId w:val="24"/>
  </w:num>
  <w:num w:numId="12">
    <w:abstractNumId w:val="14"/>
  </w:num>
  <w:num w:numId="13">
    <w:abstractNumId w:val="3"/>
  </w:num>
  <w:num w:numId="14">
    <w:abstractNumId w:val="19"/>
  </w:num>
  <w:num w:numId="15">
    <w:abstractNumId w:val="27"/>
  </w:num>
  <w:num w:numId="16">
    <w:abstractNumId w:val="22"/>
  </w:num>
  <w:num w:numId="17">
    <w:abstractNumId w:val="0"/>
  </w:num>
  <w:num w:numId="18">
    <w:abstractNumId w:val="34"/>
  </w:num>
  <w:num w:numId="19">
    <w:abstractNumId w:val="31"/>
  </w:num>
  <w:num w:numId="20">
    <w:abstractNumId w:val="25"/>
  </w:num>
  <w:num w:numId="21">
    <w:abstractNumId w:val="29"/>
  </w:num>
  <w:num w:numId="22">
    <w:abstractNumId w:val="10"/>
  </w:num>
  <w:num w:numId="23">
    <w:abstractNumId w:val="32"/>
  </w:num>
  <w:num w:numId="24">
    <w:abstractNumId w:val="26"/>
  </w:num>
  <w:num w:numId="25">
    <w:abstractNumId w:val="28"/>
  </w:num>
  <w:num w:numId="26">
    <w:abstractNumId w:val="8"/>
  </w:num>
  <w:num w:numId="27">
    <w:abstractNumId w:val="12"/>
  </w:num>
  <w:num w:numId="28">
    <w:abstractNumId w:val="5"/>
  </w:num>
  <w:num w:numId="29">
    <w:abstractNumId w:val="30"/>
  </w:num>
  <w:num w:numId="30">
    <w:abstractNumId w:val="4"/>
  </w:num>
  <w:num w:numId="31">
    <w:abstractNumId w:val="17"/>
  </w:num>
  <w:num w:numId="32">
    <w:abstractNumId w:val="16"/>
  </w:num>
  <w:num w:numId="33">
    <w:abstractNumId w:val="15"/>
  </w:num>
  <w:num w:numId="34">
    <w:abstractNumId w:val="20"/>
  </w:num>
  <w:num w:numId="3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oNotTrackFormatting/>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34D"/>
    <w:rsid w:val="00000D01"/>
    <w:rsid w:val="00001B4A"/>
    <w:rsid w:val="000058E7"/>
    <w:rsid w:val="00010070"/>
    <w:rsid w:val="000102EC"/>
    <w:rsid w:val="00012B4B"/>
    <w:rsid w:val="00012E13"/>
    <w:rsid w:val="0001318B"/>
    <w:rsid w:val="00013E76"/>
    <w:rsid w:val="00013E9E"/>
    <w:rsid w:val="00016985"/>
    <w:rsid w:val="00016CDB"/>
    <w:rsid w:val="0001747B"/>
    <w:rsid w:val="00017A45"/>
    <w:rsid w:val="00020481"/>
    <w:rsid w:val="00020D58"/>
    <w:rsid w:val="000210D7"/>
    <w:rsid w:val="000222FE"/>
    <w:rsid w:val="00022309"/>
    <w:rsid w:val="00024623"/>
    <w:rsid w:val="00025997"/>
    <w:rsid w:val="00026E41"/>
    <w:rsid w:val="00027D21"/>
    <w:rsid w:val="00032557"/>
    <w:rsid w:val="0003387B"/>
    <w:rsid w:val="00033D10"/>
    <w:rsid w:val="00033FD3"/>
    <w:rsid w:val="00034195"/>
    <w:rsid w:val="00036ABF"/>
    <w:rsid w:val="00037A62"/>
    <w:rsid w:val="000427FA"/>
    <w:rsid w:val="000459E5"/>
    <w:rsid w:val="000463F7"/>
    <w:rsid w:val="00046ABD"/>
    <w:rsid w:val="00047F7B"/>
    <w:rsid w:val="00051E58"/>
    <w:rsid w:val="00051ED1"/>
    <w:rsid w:val="000531DF"/>
    <w:rsid w:val="000551E8"/>
    <w:rsid w:val="00055B0E"/>
    <w:rsid w:val="00055E6B"/>
    <w:rsid w:val="00060131"/>
    <w:rsid w:val="000605BD"/>
    <w:rsid w:val="00063D78"/>
    <w:rsid w:val="00070CA7"/>
    <w:rsid w:val="00070E39"/>
    <w:rsid w:val="00071A1D"/>
    <w:rsid w:val="00071CB0"/>
    <w:rsid w:val="000725EA"/>
    <w:rsid w:val="00077373"/>
    <w:rsid w:val="00080208"/>
    <w:rsid w:val="000844F5"/>
    <w:rsid w:val="00085801"/>
    <w:rsid w:val="00085C09"/>
    <w:rsid w:val="00087A3F"/>
    <w:rsid w:val="00090DA4"/>
    <w:rsid w:val="00091030"/>
    <w:rsid w:val="0009291D"/>
    <w:rsid w:val="00092D48"/>
    <w:rsid w:val="00094386"/>
    <w:rsid w:val="0009463F"/>
    <w:rsid w:val="000947C4"/>
    <w:rsid w:val="00094979"/>
    <w:rsid w:val="00095A8F"/>
    <w:rsid w:val="000979CF"/>
    <w:rsid w:val="000A0285"/>
    <w:rsid w:val="000A02A4"/>
    <w:rsid w:val="000A04CC"/>
    <w:rsid w:val="000A0AC1"/>
    <w:rsid w:val="000A1456"/>
    <w:rsid w:val="000A16B2"/>
    <w:rsid w:val="000A1714"/>
    <w:rsid w:val="000A1B92"/>
    <w:rsid w:val="000A5ACB"/>
    <w:rsid w:val="000A690B"/>
    <w:rsid w:val="000A7CC4"/>
    <w:rsid w:val="000B2FB4"/>
    <w:rsid w:val="000B3271"/>
    <w:rsid w:val="000B3973"/>
    <w:rsid w:val="000B45FE"/>
    <w:rsid w:val="000B630F"/>
    <w:rsid w:val="000B69CB"/>
    <w:rsid w:val="000B77F2"/>
    <w:rsid w:val="000B78E2"/>
    <w:rsid w:val="000C1992"/>
    <w:rsid w:val="000C23E5"/>
    <w:rsid w:val="000C4352"/>
    <w:rsid w:val="000C43A3"/>
    <w:rsid w:val="000C4429"/>
    <w:rsid w:val="000C4D27"/>
    <w:rsid w:val="000C5595"/>
    <w:rsid w:val="000C58DC"/>
    <w:rsid w:val="000C5F82"/>
    <w:rsid w:val="000C6923"/>
    <w:rsid w:val="000C73CC"/>
    <w:rsid w:val="000C7450"/>
    <w:rsid w:val="000D06C7"/>
    <w:rsid w:val="000D169C"/>
    <w:rsid w:val="000D29F5"/>
    <w:rsid w:val="000D2CA8"/>
    <w:rsid w:val="000D4CD6"/>
    <w:rsid w:val="000D5221"/>
    <w:rsid w:val="000D5FF8"/>
    <w:rsid w:val="000D7226"/>
    <w:rsid w:val="000D74E4"/>
    <w:rsid w:val="000D773C"/>
    <w:rsid w:val="000E0380"/>
    <w:rsid w:val="000E1BD1"/>
    <w:rsid w:val="000E2166"/>
    <w:rsid w:val="000E2958"/>
    <w:rsid w:val="000E673A"/>
    <w:rsid w:val="000E7242"/>
    <w:rsid w:val="000F0439"/>
    <w:rsid w:val="000F068C"/>
    <w:rsid w:val="000F2887"/>
    <w:rsid w:val="000F4C91"/>
    <w:rsid w:val="000F512E"/>
    <w:rsid w:val="000F59C3"/>
    <w:rsid w:val="000F5E32"/>
    <w:rsid w:val="000F74F5"/>
    <w:rsid w:val="001020B2"/>
    <w:rsid w:val="00102268"/>
    <w:rsid w:val="00102C75"/>
    <w:rsid w:val="001036A8"/>
    <w:rsid w:val="00105372"/>
    <w:rsid w:val="00106708"/>
    <w:rsid w:val="001115C8"/>
    <w:rsid w:val="00112442"/>
    <w:rsid w:val="00116287"/>
    <w:rsid w:val="00117CEE"/>
    <w:rsid w:val="00120339"/>
    <w:rsid w:val="001215CE"/>
    <w:rsid w:val="00122FE5"/>
    <w:rsid w:val="0012406C"/>
    <w:rsid w:val="001240C1"/>
    <w:rsid w:val="001250CA"/>
    <w:rsid w:val="00126463"/>
    <w:rsid w:val="00126E24"/>
    <w:rsid w:val="00127BE5"/>
    <w:rsid w:val="00130BB2"/>
    <w:rsid w:val="00130DDD"/>
    <w:rsid w:val="00130FB6"/>
    <w:rsid w:val="00131E7A"/>
    <w:rsid w:val="00132ED4"/>
    <w:rsid w:val="00133251"/>
    <w:rsid w:val="00133CF4"/>
    <w:rsid w:val="001344F8"/>
    <w:rsid w:val="00134682"/>
    <w:rsid w:val="00134F39"/>
    <w:rsid w:val="0013577C"/>
    <w:rsid w:val="00135A4F"/>
    <w:rsid w:val="00141B93"/>
    <w:rsid w:val="00143174"/>
    <w:rsid w:val="001434E3"/>
    <w:rsid w:val="0014469A"/>
    <w:rsid w:val="00144AA8"/>
    <w:rsid w:val="0014562A"/>
    <w:rsid w:val="001467C1"/>
    <w:rsid w:val="00146BAB"/>
    <w:rsid w:val="00147EB7"/>
    <w:rsid w:val="001505DD"/>
    <w:rsid w:val="00150E19"/>
    <w:rsid w:val="0015140E"/>
    <w:rsid w:val="0015263A"/>
    <w:rsid w:val="001527E0"/>
    <w:rsid w:val="0015282F"/>
    <w:rsid w:val="001531EA"/>
    <w:rsid w:val="001553F7"/>
    <w:rsid w:val="001577C4"/>
    <w:rsid w:val="00157DE4"/>
    <w:rsid w:val="0016793C"/>
    <w:rsid w:val="001679D9"/>
    <w:rsid w:val="00167BAD"/>
    <w:rsid w:val="00167C0A"/>
    <w:rsid w:val="001717BC"/>
    <w:rsid w:val="00172AF6"/>
    <w:rsid w:val="001737C8"/>
    <w:rsid w:val="001760A2"/>
    <w:rsid w:val="001765DD"/>
    <w:rsid w:val="00176CEE"/>
    <w:rsid w:val="001808A0"/>
    <w:rsid w:val="00181F75"/>
    <w:rsid w:val="0018263C"/>
    <w:rsid w:val="00182656"/>
    <w:rsid w:val="00183A72"/>
    <w:rsid w:val="00184001"/>
    <w:rsid w:val="00184860"/>
    <w:rsid w:val="0018693E"/>
    <w:rsid w:val="00190CAF"/>
    <w:rsid w:val="001935AC"/>
    <w:rsid w:val="00193D38"/>
    <w:rsid w:val="00196282"/>
    <w:rsid w:val="00197FE5"/>
    <w:rsid w:val="001A2AC8"/>
    <w:rsid w:val="001A4A82"/>
    <w:rsid w:val="001A4F63"/>
    <w:rsid w:val="001A5415"/>
    <w:rsid w:val="001A5C62"/>
    <w:rsid w:val="001B054D"/>
    <w:rsid w:val="001B147E"/>
    <w:rsid w:val="001B150F"/>
    <w:rsid w:val="001B15B7"/>
    <w:rsid w:val="001B27C7"/>
    <w:rsid w:val="001B3F34"/>
    <w:rsid w:val="001B641B"/>
    <w:rsid w:val="001B71D9"/>
    <w:rsid w:val="001B7398"/>
    <w:rsid w:val="001C083C"/>
    <w:rsid w:val="001C1417"/>
    <w:rsid w:val="001C28D6"/>
    <w:rsid w:val="001C5FDD"/>
    <w:rsid w:val="001C7688"/>
    <w:rsid w:val="001C7A6D"/>
    <w:rsid w:val="001D04ED"/>
    <w:rsid w:val="001D0C06"/>
    <w:rsid w:val="001D2C0B"/>
    <w:rsid w:val="001D4512"/>
    <w:rsid w:val="001D46A2"/>
    <w:rsid w:val="001E0223"/>
    <w:rsid w:val="001E09EC"/>
    <w:rsid w:val="001E2F97"/>
    <w:rsid w:val="001E339F"/>
    <w:rsid w:val="001E505B"/>
    <w:rsid w:val="001E618B"/>
    <w:rsid w:val="001E66BA"/>
    <w:rsid w:val="001E66BC"/>
    <w:rsid w:val="001E7855"/>
    <w:rsid w:val="001E7C00"/>
    <w:rsid w:val="001F3F36"/>
    <w:rsid w:val="001F4107"/>
    <w:rsid w:val="002000ED"/>
    <w:rsid w:val="002026A2"/>
    <w:rsid w:val="002045AC"/>
    <w:rsid w:val="00204D24"/>
    <w:rsid w:val="002076EA"/>
    <w:rsid w:val="00210D05"/>
    <w:rsid w:val="00211450"/>
    <w:rsid w:val="00211E1D"/>
    <w:rsid w:val="002169B1"/>
    <w:rsid w:val="00216B12"/>
    <w:rsid w:val="002178C5"/>
    <w:rsid w:val="002269FE"/>
    <w:rsid w:val="00230341"/>
    <w:rsid w:val="0023107E"/>
    <w:rsid w:val="00231AC3"/>
    <w:rsid w:val="00233AB0"/>
    <w:rsid w:val="00234F34"/>
    <w:rsid w:val="00235731"/>
    <w:rsid w:val="00235F25"/>
    <w:rsid w:val="002369DC"/>
    <w:rsid w:val="00236AAC"/>
    <w:rsid w:val="00236C53"/>
    <w:rsid w:val="00240195"/>
    <w:rsid w:val="00241B8B"/>
    <w:rsid w:val="00241B9E"/>
    <w:rsid w:val="00244FDE"/>
    <w:rsid w:val="00251B30"/>
    <w:rsid w:val="002533E8"/>
    <w:rsid w:val="00253CFB"/>
    <w:rsid w:val="00257947"/>
    <w:rsid w:val="00261FDB"/>
    <w:rsid w:val="0026378F"/>
    <w:rsid w:val="00264979"/>
    <w:rsid w:val="00266379"/>
    <w:rsid w:val="002672E0"/>
    <w:rsid w:val="00271A0A"/>
    <w:rsid w:val="002726FF"/>
    <w:rsid w:val="00273C4B"/>
    <w:rsid w:val="0027575A"/>
    <w:rsid w:val="00275D96"/>
    <w:rsid w:val="00275FAA"/>
    <w:rsid w:val="00276264"/>
    <w:rsid w:val="0028086B"/>
    <w:rsid w:val="00283E95"/>
    <w:rsid w:val="0028781E"/>
    <w:rsid w:val="002911B8"/>
    <w:rsid w:val="002913C7"/>
    <w:rsid w:val="00291FBF"/>
    <w:rsid w:val="0029432C"/>
    <w:rsid w:val="0029574F"/>
    <w:rsid w:val="00296F82"/>
    <w:rsid w:val="002978CF"/>
    <w:rsid w:val="00297CA2"/>
    <w:rsid w:val="002A2B4F"/>
    <w:rsid w:val="002A34FA"/>
    <w:rsid w:val="002A37BF"/>
    <w:rsid w:val="002A3859"/>
    <w:rsid w:val="002A46B6"/>
    <w:rsid w:val="002A62D5"/>
    <w:rsid w:val="002A712F"/>
    <w:rsid w:val="002A76B6"/>
    <w:rsid w:val="002B03CA"/>
    <w:rsid w:val="002B3995"/>
    <w:rsid w:val="002B4002"/>
    <w:rsid w:val="002B4C9A"/>
    <w:rsid w:val="002B5544"/>
    <w:rsid w:val="002B56DF"/>
    <w:rsid w:val="002B7ABC"/>
    <w:rsid w:val="002C08DF"/>
    <w:rsid w:val="002C1AB3"/>
    <w:rsid w:val="002C1E17"/>
    <w:rsid w:val="002C30EE"/>
    <w:rsid w:val="002C747E"/>
    <w:rsid w:val="002D1D65"/>
    <w:rsid w:val="002D2DDF"/>
    <w:rsid w:val="002E1664"/>
    <w:rsid w:val="002E3B70"/>
    <w:rsid w:val="002E7578"/>
    <w:rsid w:val="002F00CC"/>
    <w:rsid w:val="002F129F"/>
    <w:rsid w:val="002F173A"/>
    <w:rsid w:val="002F271D"/>
    <w:rsid w:val="002F4943"/>
    <w:rsid w:val="002F49E2"/>
    <w:rsid w:val="002F4C1C"/>
    <w:rsid w:val="002F4E9A"/>
    <w:rsid w:val="002F7237"/>
    <w:rsid w:val="00300B59"/>
    <w:rsid w:val="00300E52"/>
    <w:rsid w:val="003025F0"/>
    <w:rsid w:val="00302817"/>
    <w:rsid w:val="003038B7"/>
    <w:rsid w:val="00303FF1"/>
    <w:rsid w:val="00304E02"/>
    <w:rsid w:val="00307856"/>
    <w:rsid w:val="00307F28"/>
    <w:rsid w:val="00312051"/>
    <w:rsid w:val="00315996"/>
    <w:rsid w:val="00315DD8"/>
    <w:rsid w:val="0032344D"/>
    <w:rsid w:val="00324147"/>
    <w:rsid w:val="00324C97"/>
    <w:rsid w:val="00332720"/>
    <w:rsid w:val="00332AF9"/>
    <w:rsid w:val="003331DD"/>
    <w:rsid w:val="00336EA0"/>
    <w:rsid w:val="0033725A"/>
    <w:rsid w:val="00337D8C"/>
    <w:rsid w:val="003430C4"/>
    <w:rsid w:val="00343A09"/>
    <w:rsid w:val="00343A0E"/>
    <w:rsid w:val="00343E56"/>
    <w:rsid w:val="00344346"/>
    <w:rsid w:val="00344C6A"/>
    <w:rsid w:val="00344D28"/>
    <w:rsid w:val="003454DD"/>
    <w:rsid w:val="0034621A"/>
    <w:rsid w:val="0034655B"/>
    <w:rsid w:val="003467DC"/>
    <w:rsid w:val="00347EA9"/>
    <w:rsid w:val="00350183"/>
    <w:rsid w:val="003526F8"/>
    <w:rsid w:val="00357B3A"/>
    <w:rsid w:val="003600AA"/>
    <w:rsid w:val="00360435"/>
    <w:rsid w:val="00362642"/>
    <w:rsid w:val="00365B82"/>
    <w:rsid w:val="003662CA"/>
    <w:rsid w:val="003668E5"/>
    <w:rsid w:val="003669CE"/>
    <w:rsid w:val="0036713E"/>
    <w:rsid w:val="00371C34"/>
    <w:rsid w:val="00372F74"/>
    <w:rsid w:val="00375458"/>
    <w:rsid w:val="00375C5C"/>
    <w:rsid w:val="00376BF1"/>
    <w:rsid w:val="003772B2"/>
    <w:rsid w:val="003774F3"/>
    <w:rsid w:val="003835A5"/>
    <w:rsid w:val="00384DA5"/>
    <w:rsid w:val="00384E10"/>
    <w:rsid w:val="0038548A"/>
    <w:rsid w:val="003864A4"/>
    <w:rsid w:val="00393EA7"/>
    <w:rsid w:val="003A01DE"/>
    <w:rsid w:val="003A093C"/>
    <w:rsid w:val="003A0A16"/>
    <w:rsid w:val="003A1856"/>
    <w:rsid w:val="003A188B"/>
    <w:rsid w:val="003A1CF3"/>
    <w:rsid w:val="003A24DE"/>
    <w:rsid w:val="003A3046"/>
    <w:rsid w:val="003A4B4E"/>
    <w:rsid w:val="003A6983"/>
    <w:rsid w:val="003A7619"/>
    <w:rsid w:val="003B3D0B"/>
    <w:rsid w:val="003B4821"/>
    <w:rsid w:val="003B58A0"/>
    <w:rsid w:val="003B75B6"/>
    <w:rsid w:val="003C0584"/>
    <w:rsid w:val="003C4BCC"/>
    <w:rsid w:val="003C566E"/>
    <w:rsid w:val="003C568F"/>
    <w:rsid w:val="003C752F"/>
    <w:rsid w:val="003D0597"/>
    <w:rsid w:val="003D2F51"/>
    <w:rsid w:val="003D310F"/>
    <w:rsid w:val="003D3130"/>
    <w:rsid w:val="003D47AC"/>
    <w:rsid w:val="003D6A0A"/>
    <w:rsid w:val="003D6FF4"/>
    <w:rsid w:val="003E0994"/>
    <w:rsid w:val="003E216F"/>
    <w:rsid w:val="003E483F"/>
    <w:rsid w:val="003E51CA"/>
    <w:rsid w:val="003F13B9"/>
    <w:rsid w:val="003F34BA"/>
    <w:rsid w:val="003F44F7"/>
    <w:rsid w:val="003F5895"/>
    <w:rsid w:val="003F680B"/>
    <w:rsid w:val="004028AB"/>
    <w:rsid w:val="00403D4D"/>
    <w:rsid w:val="00404FE8"/>
    <w:rsid w:val="0040549E"/>
    <w:rsid w:val="00406A5A"/>
    <w:rsid w:val="00406FEE"/>
    <w:rsid w:val="0040792A"/>
    <w:rsid w:val="00407E1C"/>
    <w:rsid w:val="004110B0"/>
    <w:rsid w:val="00411A66"/>
    <w:rsid w:val="00412428"/>
    <w:rsid w:val="00412CEB"/>
    <w:rsid w:val="00413B67"/>
    <w:rsid w:val="00415390"/>
    <w:rsid w:val="00417513"/>
    <w:rsid w:val="0042210F"/>
    <w:rsid w:val="00423D29"/>
    <w:rsid w:val="00423F65"/>
    <w:rsid w:val="00424983"/>
    <w:rsid w:val="00425C8C"/>
    <w:rsid w:val="004265AB"/>
    <w:rsid w:val="004273C9"/>
    <w:rsid w:val="00431FBE"/>
    <w:rsid w:val="00432884"/>
    <w:rsid w:val="00432C06"/>
    <w:rsid w:val="00434079"/>
    <w:rsid w:val="00434C02"/>
    <w:rsid w:val="00435F37"/>
    <w:rsid w:val="00436EEF"/>
    <w:rsid w:val="00437818"/>
    <w:rsid w:val="00440B03"/>
    <w:rsid w:val="0044293D"/>
    <w:rsid w:val="0044360A"/>
    <w:rsid w:val="00443F9B"/>
    <w:rsid w:val="004441DF"/>
    <w:rsid w:val="00444E73"/>
    <w:rsid w:val="00445345"/>
    <w:rsid w:val="00446792"/>
    <w:rsid w:val="00446DB2"/>
    <w:rsid w:val="004473FA"/>
    <w:rsid w:val="0044754D"/>
    <w:rsid w:val="00447B88"/>
    <w:rsid w:val="00447CBE"/>
    <w:rsid w:val="004508B4"/>
    <w:rsid w:val="0045128A"/>
    <w:rsid w:val="0045238A"/>
    <w:rsid w:val="00455755"/>
    <w:rsid w:val="00456D80"/>
    <w:rsid w:val="004621E4"/>
    <w:rsid w:val="00462D0D"/>
    <w:rsid w:val="0046313E"/>
    <w:rsid w:val="004644C2"/>
    <w:rsid w:val="0046486D"/>
    <w:rsid w:val="00465A0A"/>
    <w:rsid w:val="00467D8C"/>
    <w:rsid w:val="00473925"/>
    <w:rsid w:val="00475688"/>
    <w:rsid w:val="004762DB"/>
    <w:rsid w:val="00480F7F"/>
    <w:rsid w:val="00481A85"/>
    <w:rsid w:val="004822D5"/>
    <w:rsid w:val="00483EBC"/>
    <w:rsid w:val="00485F24"/>
    <w:rsid w:val="00486777"/>
    <w:rsid w:val="00486784"/>
    <w:rsid w:val="00490B15"/>
    <w:rsid w:val="00493F00"/>
    <w:rsid w:val="004940E3"/>
    <w:rsid w:val="004943F8"/>
    <w:rsid w:val="004960F8"/>
    <w:rsid w:val="004A35CB"/>
    <w:rsid w:val="004A3CE3"/>
    <w:rsid w:val="004A4611"/>
    <w:rsid w:val="004A58F4"/>
    <w:rsid w:val="004B1051"/>
    <w:rsid w:val="004B1705"/>
    <w:rsid w:val="004B1989"/>
    <w:rsid w:val="004B3F3C"/>
    <w:rsid w:val="004B69F9"/>
    <w:rsid w:val="004C3AD5"/>
    <w:rsid w:val="004C56D6"/>
    <w:rsid w:val="004C5EB1"/>
    <w:rsid w:val="004C6156"/>
    <w:rsid w:val="004D1B0A"/>
    <w:rsid w:val="004D2B97"/>
    <w:rsid w:val="004D3BFC"/>
    <w:rsid w:val="004E0D13"/>
    <w:rsid w:val="004E223C"/>
    <w:rsid w:val="004E28C9"/>
    <w:rsid w:val="004E37B3"/>
    <w:rsid w:val="004E3A08"/>
    <w:rsid w:val="004E7C05"/>
    <w:rsid w:val="004F05A8"/>
    <w:rsid w:val="004F1DCA"/>
    <w:rsid w:val="004F4C23"/>
    <w:rsid w:val="004F5B0B"/>
    <w:rsid w:val="004F79FD"/>
    <w:rsid w:val="0050402B"/>
    <w:rsid w:val="00504DE7"/>
    <w:rsid w:val="00504FD4"/>
    <w:rsid w:val="00506628"/>
    <w:rsid w:val="00513CCF"/>
    <w:rsid w:val="00513DDE"/>
    <w:rsid w:val="0051417A"/>
    <w:rsid w:val="00516058"/>
    <w:rsid w:val="00521285"/>
    <w:rsid w:val="00521974"/>
    <w:rsid w:val="00525625"/>
    <w:rsid w:val="005257FA"/>
    <w:rsid w:val="00525FD8"/>
    <w:rsid w:val="00527765"/>
    <w:rsid w:val="00527C5E"/>
    <w:rsid w:val="00531CA8"/>
    <w:rsid w:val="00534681"/>
    <w:rsid w:val="0053507E"/>
    <w:rsid w:val="00535644"/>
    <w:rsid w:val="0053622F"/>
    <w:rsid w:val="00540E7A"/>
    <w:rsid w:val="005418CB"/>
    <w:rsid w:val="00546581"/>
    <w:rsid w:val="00547020"/>
    <w:rsid w:val="00551C5F"/>
    <w:rsid w:val="00552B31"/>
    <w:rsid w:val="00552E7C"/>
    <w:rsid w:val="00553114"/>
    <w:rsid w:val="00555B2B"/>
    <w:rsid w:val="00557051"/>
    <w:rsid w:val="00557E6B"/>
    <w:rsid w:val="00557EFC"/>
    <w:rsid w:val="0056147D"/>
    <w:rsid w:val="0056231A"/>
    <w:rsid w:val="00562FC9"/>
    <w:rsid w:val="00571AF9"/>
    <w:rsid w:val="00573FDD"/>
    <w:rsid w:val="0057433C"/>
    <w:rsid w:val="00574437"/>
    <w:rsid w:val="0057499B"/>
    <w:rsid w:val="00574C73"/>
    <w:rsid w:val="005809AD"/>
    <w:rsid w:val="00580C38"/>
    <w:rsid w:val="00580EFF"/>
    <w:rsid w:val="00583C08"/>
    <w:rsid w:val="00586E1E"/>
    <w:rsid w:val="00587317"/>
    <w:rsid w:val="00587C79"/>
    <w:rsid w:val="00590160"/>
    <w:rsid w:val="005935EC"/>
    <w:rsid w:val="005940A0"/>
    <w:rsid w:val="00595399"/>
    <w:rsid w:val="0059571C"/>
    <w:rsid w:val="00595F85"/>
    <w:rsid w:val="00596A37"/>
    <w:rsid w:val="005A066D"/>
    <w:rsid w:val="005A0CA4"/>
    <w:rsid w:val="005A285F"/>
    <w:rsid w:val="005A3D01"/>
    <w:rsid w:val="005A3E28"/>
    <w:rsid w:val="005A470B"/>
    <w:rsid w:val="005A511F"/>
    <w:rsid w:val="005A6FA4"/>
    <w:rsid w:val="005A7CAD"/>
    <w:rsid w:val="005B213A"/>
    <w:rsid w:val="005B31C3"/>
    <w:rsid w:val="005B4257"/>
    <w:rsid w:val="005B4BF1"/>
    <w:rsid w:val="005B4E28"/>
    <w:rsid w:val="005C043F"/>
    <w:rsid w:val="005C0D84"/>
    <w:rsid w:val="005C296F"/>
    <w:rsid w:val="005C3C0B"/>
    <w:rsid w:val="005C4819"/>
    <w:rsid w:val="005C5A60"/>
    <w:rsid w:val="005C623F"/>
    <w:rsid w:val="005D1082"/>
    <w:rsid w:val="005D3821"/>
    <w:rsid w:val="005D429D"/>
    <w:rsid w:val="005D6141"/>
    <w:rsid w:val="005E01ED"/>
    <w:rsid w:val="005E03AA"/>
    <w:rsid w:val="005E2345"/>
    <w:rsid w:val="005E2C0D"/>
    <w:rsid w:val="005E6277"/>
    <w:rsid w:val="005E644D"/>
    <w:rsid w:val="005E6525"/>
    <w:rsid w:val="005E7040"/>
    <w:rsid w:val="005F1BFF"/>
    <w:rsid w:val="005F4852"/>
    <w:rsid w:val="005F703F"/>
    <w:rsid w:val="00600BA0"/>
    <w:rsid w:val="00602222"/>
    <w:rsid w:val="00605206"/>
    <w:rsid w:val="0060618D"/>
    <w:rsid w:val="00611966"/>
    <w:rsid w:val="0061235A"/>
    <w:rsid w:val="0061235C"/>
    <w:rsid w:val="00612CE0"/>
    <w:rsid w:val="006153FE"/>
    <w:rsid w:val="00615AD8"/>
    <w:rsid w:val="0061716A"/>
    <w:rsid w:val="0062051B"/>
    <w:rsid w:val="00621743"/>
    <w:rsid w:val="00622124"/>
    <w:rsid w:val="00624C69"/>
    <w:rsid w:val="00627AA4"/>
    <w:rsid w:val="00630079"/>
    <w:rsid w:val="006303A2"/>
    <w:rsid w:val="00630485"/>
    <w:rsid w:val="00631353"/>
    <w:rsid w:val="00631F43"/>
    <w:rsid w:val="0063245F"/>
    <w:rsid w:val="006339F9"/>
    <w:rsid w:val="00633C15"/>
    <w:rsid w:val="0063552B"/>
    <w:rsid w:val="00640FE9"/>
    <w:rsid w:val="00641FD4"/>
    <w:rsid w:val="00642C5C"/>
    <w:rsid w:val="00643C0E"/>
    <w:rsid w:val="006441D4"/>
    <w:rsid w:val="00651D65"/>
    <w:rsid w:val="00655556"/>
    <w:rsid w:val="00655F38"/>
    <w:rsid w:val="006562B7"/>
    <w:rsid w:val="006564C0"/>
    <w:rsid w:val="00660370"/>
    <w:rsid w:val="00661309"/>
    <w:rsid w:val="00663940"/>
    <w:rsid w:val="00665032"/>
    <w:rsid w:val="006655B5"/>
    <w:rsid w:val="00667915"/>
    <w:rsid w:val="00670813"/>
    <w:rsid w:val="00673C2F"/>
    <w:rsid w:val="00674C1E"/>
    <w:rsid w:val="006752F7"/>
    <w:rsid w:val="006755D7"/>
    <w:rsid w:val="0068081A"/>
    <w:rsid w:val="00680830"/>
    <w:rsid w:val="00682262"/>
    <w:rsid w:val="00682B0C"/>
    <w:rsid w:val="006849BA"/>
    <w:rsid w:val="00684C4B"/>
    <w:rsid w:val="00684D06"/>
    <w:rsid w:val="006862A7"/>
    <w:rsid w:val="00690701"/>
    <w:rsid w:val="00690BD2"/>
    <w:rsid w:val="00690F83"/>
    <w:rsid w:val="006919FA"/>
    <w:rsid w:val="00696091"/>
    <w:rsid w:val="0069652D"/>
    <w:rsid w:val="00696AB6"/>
    <w:rsid w:val="006A11CD"/>
    <w:rsid w:val="006A22C9"/>
    <w:rsid w:val="006A3434"/>
    <w:rsid w:val="006A5198"/>
    <w:rsid w:val="006A5B46"/>
    <w:rsid w:val="006A6D99"/>
    <w:rsid w:val="006A7281"/>
    <w:rsid w:val="006B060A"/>
    <w:rsid w:val="006B1FB8"/>
    <w:rsid w:val="006B29F1"/>
    <w:rsid w:val="006B2B29"/>
    <w:rsid w:val="006B35CF"/>
    <w:rsid w:val="006B35D3"/>
    <w:rsid w:val="006C0971"/>
    <w:rsid w:val="006C0E01"/>
    <w:rsid w:val="006C1B26"/>
    <w:rsid w:val="006C6FBD"/>
    <w:rsid w:val="006D3E92"/>
    <w:rsid w:val="006D6C3D"/>
    <w:rsid w:val="006E0220"/>
    <w:rsid w:val="006E59A5"/>
    <w:rsid w:val="006E68AE"/>
    <w:rsid w:val="006E7E40"/>
    <w:rsid w:val="006F0542"/>
    <w:rsid w:val="006F1961"/>
    <w:rsid w:val="006F1C0C"/>
    <w:rsid w:val="006F2B2E"/>
    <w:rsid w:val="006F3C42"/>
    <w:rsid w:val="006F7BB7"/>
    <w:rsid w:val="00702E15"/>
    <w:rsid w:val="00703608"/>
    <w:rsid w:val="00703873"/>
    <w:rsid w:val="00705DF4"/>
    <w:rsid w:val="007077F4"/>
    <w:rsid w:val="007124B2"/>
    <w:rsid w:val="007133CF"/>
    <w:rsid w:val="00716A0E"/>
    <w:rsid w:val="00717619"/>
    <w:rsid w:val="00717D88"/>
    <w:rsid w:val="007204BD"/>
    <w:rsid w:val="007215E1"/>
    <w:rsid w:val="00721660"/>
    <w:rsid w:val="00723006"/>
    <w:rsid w:val="00725826"/>
    <w:rsid w:val="00725F27"/>
    <w:rsid w:val="00727432"/>
    <w:rsid w:val="00727C11"/>
    <w:rsid w:val="00731705"/>
    <w:rsid w:val="007341EF"/>
    <w:rsid w:val="00735E7D"/>
    <w:rsid w:val="00736ADA"/>
    <w:rsid w:val="0073735B"/>
    <w:rsid w:val="00741E02"/>
    <w:rsid w:val="00742A43"/>
    <w:rsid w:val="00745892"/>
    <w:rsid w:val="00750AEB"/>
    <w:rsid w:val="00750E5E"/>
    <w:rsid w:val="007514A4"/>
    <w:rsid w:val="00754A5E"/>
    <w:rsid w:val="00754FF5"/>
    <w:rsid w:val="007559B4"/>
    <w:rsid w:val="00755FE3"/>
    <w:rsid w:val="00760351"/>
    <w:rsid w:val="00760703"/>
    <w:rsid w:val="00760F0B"/>
    <w:rsid w:val="00762356"/>
    <w:rsid w:val="007623C4"/>
    <w:rsid w:val="007636C3"/>
    <w:rsid w:val="007642AD"/>
    <w:rsid w:val="00764DA1"/>
    <w:rsid w:val="00765396"/>
    <w:rsid w:val="00765BB6"/>
    <w:rsid w:val="00766197"/>
    <w:rsid w:val="00770B76"/>
    <w:rsid w:val="00771822"/>
    <w:rsid w:val="00773443"/>
    <w:rsid w:val="00775DE7"/>
    <w:rsid w:val="007765A3"/>
    <w:rsid w:val="00780288"/>
    <w:rsid w:val="007815E7"/>
    <w:rsid w:val="00781C15"/>
    <w:rsid w:val="007832A6"/>
    <w:rsid w:val="00790C8D"/>
    <w:rsid w:val="00790DA1"/>
    <w:rsid w:val="00790DF3"/>
    <w:rsid w:val="00791986"/>
    <w:rsid w:val="00792294"/>
    <w:rsid w:val="00792C33"/>
    <w:rsid w:val="00793D0D"/>
    <w:rsid w:val="007942D3"/>
    <w:rsid w:val="00795751"/>
    <w:rsid w:val="007968FC"/>
    <w:rsid w:val="00796CA8"/>
    <w:rsid w:val="007972A8"/>
    <w:rsid w:val="0079758D"/>
    <w:rsid w:val="007976AA"/>
    <w:rsid w:val="0079788E"/>
    <w:rsid w:val="007A2347"/>
    <w:rsid w:val="007A2A55"/>
    <w:rsid w:val="007A3152"/>
    <w:rsid w:val="007A38FA"/>
    <w:rsid w:val="007A4FF7"/>
    <w:rsid w:val="007A6269"/>
    <w:rsid w:val="007A6A21"/>
    <w:rsid w:val="007A6BFC"/>
    <w:rsid w:val="007A727C"/>
    <w:rsid w:val="007B01B8"/>
    <w:rsid w:val="007B05ED"/>
    <w:rsid w:val="007B1D86"/>
    <w:rsid w:val="007B3CF9"/>
    <w:rsid w:val="007B6267"/>
    <w:rsid w:val="007B6C09"/>
    <w:rsid w:val="007B6C6A"/>
    <w:rsid w:val="007C1B9C"/>
    <w:rsid w:val="007C25C0"/>
    <w:rsid w:val="007C310F"/>
    <w:rsid w:val="007C4E58"/>
    <w:rsid w:val="007C6325"/>
    <w:rsid w:val="007C6F0F"/>
    <w:rsid w:val="007C7913"/>
    <w:rsid w:val="007D14F4"/>
    <w:rsid w:val="007D1F03"/>
    <w:rsid w:val="007D29E3"/>
    <w:rsid w:val="007D7460"/>
    <w:rsid w:val="007E09DA"/>
    <w:rsid w:val="007E177A"/>
    <w:rsid w:val="007E2A93"/>
    <w:rsid w:val="007E446B"/>
    <w:rsid w:val="007E517E"/>
    <w:rsid w:val="007E5EB3"/>
    <w:rsid w:val="007E673D"/>
    <w:rsid w:val="007E7F1F"/>
    <w:rsid w:val="007F0902"/>
    <w:rsid w:val="007F0B1C"/>
    <w:rsid w:val="007F272C"/>
    <w:rsid w:val="007F3E48"/>
    <w:rsid w:val="007F3FFA"/>
    <w:rsid w:val="007F79FC"/>
    <w:rsid w:val="0080164B"/>
    <w:rsid w:val="00801F5F"/>
    <w:rsid w:val="008021E5"/>
    <w:rsid w:val="008033F2"/>
    <w:rsid w:val="00803EAE"/>
    <w:rsid w:val="0080741B"/>
    <w:rsid w:val="00811977"/>
    <w:rsid w:val="00811B2E"/>
    <w:rsid w:val="00811E8F"/>
    <w:rsid w:val="00814837"/>
    <w:rsid w:val="00814D9F"/>
    <w:rsid w:val="008157DD"/>
    <w:rsid w:val="00815B35"/>
    <w:rsid w:val="008161DE"/>
    <w:rsid w:val="00816D27"/>
    <w:rsid w:val="008178B6"/>
    <w:rsid w:val="008215D8"/>
    <w:rsid w:val="008219F2"/>
    <w:rsid w:val="00822B5D"/>
    <w:rsid w:val="00822CB0"/>
    <w:rsid w:val="00822ECC"/>
    <w:rsid w:val="008243D3"/>
    <w:rsid w:val="0083262E"/>
    <w:rsid w:val="0083394D"/>
    <w:rsid w:val="00835D7E"/>
    <w:rsid w:val="00835EE4"/>
    <w:rsid w:val="008372C4"/>
    <w:rsid w:val="008410CD"/>
    <w:rsid w:val="00841180"/>
    <w:rsid w:val="00841E70"/>
    <w:rsid w:val="0084207F"/>
    <w:rsid w:val="0084314B"/>
    <w:rsid w:val="00846D88"/>
    <w:rsid w:val="00850147"/>
    <w:rsid w:val="008502E6"/>
    <w:rsid w:val="008503B3"/>
    <w:rsid w:val="00850CCD"/>
    <w:rsid w:val="00851528"/>
    <w:rsid w:val="008530B6"/>
    <w:rsid w:val="00855140"/>
    <w:rsid w:val="008612C7"/>
    <w:rsid w:val="00862251"/>
    <w:rsid w:val="00862DB4"/>
    <w:rsid w:val="00863C68"/>
    <w:rsid w:val="00863F5E"/>
    <w:rsid w:val="008643A9"/>
    <w:rsid w:val="00866036"/>
    <w:rsid w:val="008729D7"/>
    <w:rsid w:val="00873DEE"/>
    <w:rsid w:val="008741A7"/>
    <w:rsid w:val="00874EE5"/>
    <w:rsid w:val="008750C9"/>
    <w:rsid w:val="008805E0"/>
    <w:rsid w:val="00884A16"/>
    <w:rsid w:val="00885064"/>
    <w:rsid w:val="008878D9"/>
    <w:rsid w:val="00887C51"/>
    <w:rsid w:val="00892C11"/>
    <w:rsid w:val="008935B0"/>
    <w:rsid w:val="008943E2"/>
    <w:rsid w:val="00895F29"/>
    <w:rsid w:val="008970F9"/>
    <w:rsid w:val="00897441"/>
    <w:rsid w:val="008A1B75"/>
    <w:rsid w:val="008A2177"/>
    <w:rsid w:val="008A30E4"/>
    <w:rsid w:val="008A359E"/>
    <w:rsid w:val="008A6BDC"/>
    <w:rsid w:val="008A756B"/>
    <w:rsid w:val="008B2219"/>
    <w:rsid w:val="008B230D"/>
    <w:rsid w:val="008B51FA"/>
    <w:rsid w:val="008B6390"/>
    <w:rsid w:val="008C063B"/>
    <w:rsid w:val="008C16EB"/>
    <w:rsid w:val="008C2BFF"/>
    <w:rsid w:val="008C79D7"/>
    <w:rsid w:val="008D09B0"/>
    <w:rsid w:val="008D09B8"/>
    <w:rsid w:val="008D3C38"/>
    <w:rsid w:val="008D533E"/>
    <w:rsid w:val="008D54D7"/>
    <w:rsid w:val="008D610F"/>
    <w:rsid w:val="008D6917"/>
    <w:rsid w:val="008D7017"/>
    <w:rsid w:val="008D7680"/>
    <w:rsid w:val="008E2FC4"/>
    <w:rsid w:val="008E30DB"/>
    <w:rsid w:val="008E4223"/>
    <w:rsid w:val="008E43EB"/>
    <w:rsid w:val="008E5DB7"/>
    <w:rsid w:val="008E61F5"/>
    <w:rsid w:val="008E6D8D"/>
    <w:rsid w:val="008E789F"/>
    <w:rsid w:val="008F123B"/>
    <w:rsid w:val="008F1E76"/>
    <w:rsid w:val="008F2B3F"/>
    <w:rsid w:val="008F3B0F"/>
    <w:rsid w:val="008F40DA"/>
    <w:rsid w:val="008F4CF1"/>
    <w:rsid w:val="008F65D1"/>
    <w:rsid w:val="008F7008"/>
    <w:rsid w:val="008F7CB6"/>
    <w:rsid w:val="009039EA"/>
    <w:rsid w:val="00904573"/>
    <w:rsid w:val="00904B1B"/>
    <w:rsid w:val="00905645"/>
    <w:rsid w:val="00905C9A"/>
    <w:rsid w:val="009065C2"/>
    <w:rsid w:val="009068FD"/>
    <w:rsid w:val="00906C63"/>
    <w:rsid w:val="00907519"/>
    <w:rsid w:val="00907598"/>
    <w:rsid w:val="00912E60"/>
    <w:rsid w:val="009131BB"/>
    <w:rsid w:val="00917B15"/>
    <w:rsid w:val="00923AE0"/>
    <w:rsid w:val="00924FC9"/>
    <w:rsid w:val="0092555D"/>
    <w:rsid w:val="009258DD"/>
    <w:rsid w:val="00925E89"/>
    <w:rsid w:val="00926DEB"/>
    <w:rsid w:val="00926FF8"/>
    <w:rsid w:val="00933264"/>
    <w:rsid w:val="00937E92"/>
    <w:rsid w:val="00940694"/>
    <w:rsid w:val="00941039"/>
    <w:rsid w:val="00941233"/>
    <w:rsid w:val="009414C3"/>
    <w:rsid w:val="00944038"/>
    <w:rsid w:val="00944DF2"/>
    <w:rsid w:val="009505C9"/>
    <w:rsid w:val="009508BD"/>
    <w:rsid w:val="00950DE2"/>
    <w:rsid w:val="00951CC5"/>
    <w:rsid w:val="0095238D"/>
    <w:rsid w:val="009528DC"/>
    <w:rsid w:val="009557E3"/>
    <w:rsid w:val="00955DAC"/>
    <w:rsid w:val="009614A8"/>
    <w:rsid w:val="00963B64"/>
    <w:rsid w:val="0096440C"/>
    <w:rsid w:val="00964EF2"/>
    <w:rsid w:val="0096573F"/>
    <w:rsid w:val="00965BC4"/>
    <w:rsid w:val="00967542"/>
    <w:rsid w:val="0096793F"/>
    <w:rsid w:val="00967994"/>
    <w:rsid w:val="00967CFC"/>
    <w:rsid w:val="00967FE3"/>
    <w:rsid w:val="0097077C"/>
    <w:rsid w:val="0097193B"/>
    <w:rsid w:val="00973D92"/>
    <w:rsid w:val="00974EF9"/>
    <w:rsid w:val="00975C13"/>
    <w:rsid w:val="00977B7C"/>
    <w:rsid w:val="009800DD"/>
    <w:rsid w:val="00980169"/>
    <w:rsid w:val="009828C3"/>
    <w:rsid w:val="009839A3"/>
    <w:rsid w:val="00985C79"/>
    <w:rsid w:val="00986123"/>
    <w:rsid w:val="0098707A"/>
    <w:rsid w:val="0098724D"/>
    <w:rsid w:val="00987346"/>
    <w:rsid w:val="00990AC8"/>
    <w:rsid w:val="00990B26"/>
    <w:rsid w:val="0099131B"/>
    <w:rsid w:val="0099142A"/>
    <w:rsid w:val="009927E2"/>
    <w:rsid w:val="009936DC"/>
    <w:rsid w:val="00995E18"/>
    <w:rsid w:val="00996591"/>
    <w:rsid w:val="009A5AD5"/>
    <w:rsid w:val="009A5D5D"/>
    <w:rsid w:val="009A5FB8"/>
    <w:rsid w:val="009B164E"/>
    <w:rsid w:val="009B6840"/>
    <w:rsid w:val="009B7C08"/>
    <w:rsid w:val="009C4DFD"/>
    <w:rsid w:val="009C5CFD"/>
    <w:rsid w:val="009C6495"/>
    <w:rsid w:val="009C723A"/>
    <w:rsid w:val="009C75B3"/>
    <w:rsid w:val="009C77B2"/>
    <w:rsid w:val="009D085A"/>
    <w:rsid w:val="009D14E9"/>
    <w:rsid w:val="009D5130"/>
    <w:rsid w:val="009D72FF"/>
    <w:rsid w:val="009D73C0"/>
    <w:rsid w:val="009E11A5"/>
    <w:rsid w:val="009E5ACA"/>
    <w:rsid w:val="009E64DB"/>
    <w:rsid w:val="009F0782"/>
    <w:rsid w:val="009F27FF"/>
    <w:rsid w:val="009F354E"/>
    <w:rsid w:val="009F7B20"/>
    <w:rsid w:val="00A008A0"/>
    <w:rsid w:val="00A009D0"/>
    <w:rsid w:val="00A01FD4"/>
    <w:rsid w:val="00A0202F"/>
    <w:rsid w:val="00A032AA"/>
    <w:rsid w:val="00A03619"/>
    <w:rsid w:val="00A11FBB"/>
    <w:rsid w:val="00A122F7"/>
    <w:rsid w:val="00A12C83"/>
    <w:rsid w:val="00A13EBD"/>
    <w:rsid w:val="00A142B7"/>
    <w:rsid w:val="00A1439F"/>
    <w:rsid w:val="00A16BD6"/>
    <w:rsid w:val="00A17BD3"/>
    <w:rsid w:val="00A17E4E"/>
    <w:rsid w:val="00A201EC"/>
    <w:rsid w:val="00A22DBA"/>
    <w:rsid w:val="00A24619"/>
    <w:rsid w:val="00A25363"/>
    <w:rsid w:val="00A25B47"/>
    <w:rsid w:val="00A2631D"/>
    <w:rsid w:val="00A310BF"/>
    <w:rsid w:val="00A3149F"/>
    <w:rsid w:val="00A34D2B"/>
    <w:rsid w:val="00A370CB"/>
    <w:rsid w:val="00A40588"/>
    <w:rsid w:val="00A41285"/>
    <w:rsid w:val="00A41852"/>
    <w:rsid w:val="00A426C8"/>
    <w:rsid w:val="00A43766"/>
    <w:rsid w:val="00A44C4D"/>
    <w:rsid w:val="00A508DE"/>
    <w:rsid w:val="00A517E5"/>
    <w:rsid w:val="00A51FEB"/>
    <w:rsid w:val="00A541AD"/>
    <w:rsid w:val="00A54F15"/>
    <w:rsid w:val="00A5576A"/>
    <w:rsid w:val="00A55C4C"/>
    <w:rsid w:val="00A5646C"/>
    <w:rsid w:val="00A60F06"/>
    <w:rsid w:val="00A60F16"/>
    <w:rsid w:val="00A6144C"/>
    <w:rsid w:val="00A61B38"/>
    <w:rsid w:val="00A6268B"/>
    <w:rsid w:val="00A65CC1"/>
    <w:rsid w:val="00A6671A"/>
    <w:rsid w:val="00A66997"/>
    <w:rsid w:val="00A7194D"/>
    <w:rsid w:val="00A71C80"/>
    <w:rsid w:val="00A73179"/>
    <w:rsid w:val="00A736B8"/>
    <w:rsid w:val="00A74EAA"/>
    <w:rsid w:val="00A75939"/>
    <w:rsid w:val="00A77545"/>
    <w:rsid w:val="00A77F12"/>
    <w:rsid w:val="00A81751"/>
    <w:rsid w:val="00A83039"/>
    <w:rsid w:val="00A8594C"/>
    <w:rsid w:val="00A86234"/>
    <w:rsid w:val="00A86429"/>
    <w:rsid w:val="00A864EE"/>
    <w:rsid w:val="00A87B52"/>
    <w:rsid w:val="00A87D64"/>
    <w:rsid w:val="00A90026"/>
    <w:rsid w:val="00A904E5"/>
    <w:rsid w:val="00A905E6"/>
    <w:rsid w:val="00A92E56"/>
    <w:rsid w:val="00A930C3"/>
    <w:rsid w:val="00A93FCB"/>
    <w:rsid w:val="00A97644"/>
    <w:rsid w:val="00AA59A5"/>
    <w:rsid w:val="00AA6979"/>
    <w:rsid w:val="00AA74FB"/>
    <w:rsid w:val="00AB1E57"/>
    <w:rsid w:val="00AB25D4"/>
    <w:rsid w:val="00AB3052"/>
    <w:rsid w:val="00AB3B8C"/>
    <w:rsid w:val="00AB3C38"/>
    <w:rsid w:val="00AB5F02"/>
    <w:rsid w:val="00AB63DA"/>
    <w:rsid w:val="00AB6F4B"/>
    <w:rsid w:val="00AC0C46"/>
    <w:rsid w:val="00AC12D8"/>
    <w:rsid w:val="00AC1F46"/>
    <w:rsid w:val="00AC3FF2"/>
    <w:rsid w:val="00AC4EF7"/>
    <w:rsid w:val="00AC75F1"/>
    <w:rsid w:val="00AC775D"/>
    <w:rsid w:val="00AD560F"/>
    <w:rsid w:val="00AE3619"/>
    <w:rsid w:val="00AE4D0B"/>
    <w:rsid w:val="00AE51AE"/>
    <w:rsid w:val="00AE5413"/>
    <w:rsid w:val="00AE74C6"/>
    <w:rsid w:val="00AE78A9"/>
    <w:rsid w:val="00AF02FF"/>
    <w:rsid w:val="00AF076F"/>
    <w:rsid w:val="00AF3773"/>
    <w:rsid w:val="00AF482C"/>
    <w:rsid w:val="00AF54D0"/>
    <w:rsid w:val="00AF64E4"/>
    <w:rsid w:val="00AF7485"/>
    <w:rsid w:val="00AF7DBE"/>
    <w:rsid w:val="00B003EC"/>
    <w:rsid w:val="00B009EA"/>
    <w:rsid w:val="00B00BB1"/>
    <w:rsid w:val="00B0276F"/>
    <w:rsid w:val="00B20B99"/>
    <w:rsid w:val="00B21929"/>
    <w:rsid w:val="00B21E70"/>
    <w:rsid w:val="00B2614C"/>
    <w:rsid w:val="00B266CD"/>
    <w:rsid w:val="00B3046D"/>
    <w:rsid w:val="00B3369F"/>
    <w:rsid w:val="00B343C6"/>
    <w:rsid w:val="00B34EA7"/>
    <w:rsid w:val="00B35130"/>
    <w:rsid w:val="00B36027"/>
    <w:rsid w:val="00B36132"/>
    <w:rsid w:val="00B40A2C"/>
    <w:rsid w:val="00B41F2B"/>
    <w:rsid w:val="00B42405"/>
    <w:rsid w:val="00B43E87"/>
    <w:rsid w:val="00B446FB"/>
    <w:rsid w:val="00B44DB7"/>
    <w:rsid w:val="00B45CF9"/>
    <w:rsid w:val="00B45F03"/>
    <w:rsid w:val="00B477C6"/>
    <w:rsid w:val="00B5163D"/>
    <w:rsid w:val="00B51A1A"/>
    <w:rsid w:val="00B53FA5"/>
    <w:rsid w:val="00B54186"/>
    <w:rsid w:val="00B54351"/>
    <w:rsid w:val="00B555D6"/>
    <w:rsid w:val="00B64201"/>
    <w:rsid w:val="00B64D2E"/>
    <w:rsid w:val="00B65102"/>
    <w:rsid w:val="00B65434"/>
    <w:rsid w:val="00B6546D"/>
    <w:rsid w:val="00B65711"/>
    <w:rsid w:val="00B65CAE"/>
    <w:rsid w:val="00B66115"/>
    <w:rsid w:val="00B70E4E"/>
    <w:rsid w:val="00B71CCA"/>
    <w:rsid w:val="00B731E4"/>
    <w:rsid w:val="00B732AB"/>
    <w:rsid w:val="00B735FF"/>
    <w:rsid w:val="00B7475A"/>
    <w:rsid w:val="00B80235"/>
    <w:rsid w:val="00B80560"/>
    <w:rsid w:val="00B84075"/>
    <w:rsid w:val="00B84C52"/>
    <w:rsid w:val="00B85052"/>
    <w:rsid w:val="00B8575B"/>
    <w:rsid w:val="00B85D8B"/>
    <w:rsid w:val="00B877F3"/>
    <w:rsid w:val="00B90FB5"/>
    <w:rsid w:val="00B9188C"/>
    <w:rsid w:val="00B942D7"/>
    <w:rsid w:val="00B954B6"/>
    <w:rsid w:val="00B9564C"/>
    <w:rsid w:val="00B960AF"/>
    <w:rsid w:val="00B96358"/>
    <w:rsid w:val="00B96B90"/>
    <w:rsid w:val="00BA02E1"/>
    <w:rsid w:val="00BA5EE2"/>
    <w:rsid w:val="00BB0172"/>
    <w:rsid w:val="00BB10A3"/>
    <w:rsid w:val="00BB13E5"/>
    <w:rsid w:val="00BB2D60"/>
    <w:rsid w:val="00BB3293"/>
    <w:rsid w:val="00BC0F71"/>
    <w:rsid w:val="00BC221F"/>
    <w:rsid w:val="00BC6EBD"/>
    <w:rsid w:val="00BD0A71"/>
    <w:rsid w:val="00BD0CF3"/>
    <w:rsid w:val="00BD0D2A"/>
    <w:rsid w:val="00BD149C"/>
    <w:rsid w:val="00BD5E04"/>
    <w:rsid w:val="00BD73E2"/>
    <w:rsid w:val="00BD74D8"/>
    <w:rsid w:val="00BE11FD"/>
    <w:rsid w:val="00BE16A5"/>
    <w:rsid w:val="00BE355C"/>
    <w:rsid w:val="00BE38F8"/>
    <w:rsid w:val="00BE5255"/>
    <w:rsid w:val="00BF0038"/>
    <w:rsid w:val="00BF018E"/>
    <w:rsid w:val="00BF0C89"/>
    <w:rsid w:val="00BF0DF6"/>
    <w:rsid w:val="00BF5DD8"/>
    <w:rsid w:val="00C0393D"/>
    <w:rsid w:val="00C03CCF"/>
    <w:rsid w:val="00C04D41"/>
    <w:rsid w:val="00C07DEB"/>
    <w:rsid w:val="00C10F18"/>
    <w:rsid w:val="00C116C4"/>
    <w:rsid w:val="00C12F34"/>
    <w:rsid w:val="00C1509F"/>
    <w:rsid w:val="00C1566A"/>
    <w:rsid w:val="00C15EAB"/>
    <w:rsid w:val="00C17ABA"/>
    <w:rsid w:val="00C17B24"/>
    <w:rsid w:val="00C2291D"/>
    <w:rsid w:val="00C239D7"/>
    <w:rsid w:val="00C2639F"/>
    <w:rsid w:val="00C26E0E"/>
    <w:rsid w:val="00C2705C"/>
    <w:rsid w:val="00C30FD5"/>
    <w:rsid w:val="00C31E6F"/>
    <w:rsid w:val="00C34170"/>
    <w:rsid w:val="00C34289"/>
    <w:rsid w:val="00C3469B"/>
    <w:rsid w:val="00C35FF7"/>
    <w:rsid w:val="00C40C0D"/>
    <w:rsid w:val="00C41060"/>
    <w:rsid w:val="00C41ACE"/>
    <w:rsid w:val="00C45284"/>
    <w:rsid w:val="00C460BF"/>
    <w:rsid w:val="00C46183"/>
    <w:rsid w:val="00C50F56"/>
    <w:rsid w:val="00C513C8"/>
    <w:rsid w:val="00C5223A"/>
    <w:rsid w:val="00C52A86"/>
    <w:rsid w:val="00C559CC"/>
    <w:rsid w:val="00C5722A"/>
    <w:rsid w:val="00C60382"/>
    <w:rsid w:val="00C615C4"/>
    <w:rsid w:val="00C635F6"/>
    <w:rsid w:val="00C63894"/>
    <w:rsid w:val="00C63BAE"/>
    <w:rsid w:val="00C64E3A"/>
    <w:rsid w:val="00C663E3"/>
    <w:rsid w:val="00C7100C"/>
    <w:rsid w:val="00C72426"/>
    <w:rsid w:val="00C72B8D"/>
    <w:rsid w:val="00C753B5"/>
    <w:rsid w:val="00C75BB6"/>
    <w:rsid w:val="00C76004"/>
    <w:rsid w:val="00C76CDA"/>
    <w:rsid w:val="00C80EF4"/>
    <w:rsid w:val="00C8312C"/>
    <w:rsid w:val="00C853B2"/>
    <w:rsid w:val="00C8721E"/>
    <w:rsid w:val="00C87EB6"/>
    <w:rsid w:val="00C90459"/>
    <w:rsid w:val="00C90958"/>
    <w:rsid w:val="00C909C1"/>
    <w:rsid w:val="00C90B74"/>
    <w:rsid w:val="00C9161D"/>
    <w:rsid w:val="00C91A05"/>
    <w:rsid w:val="00C91DEA"/>
    <w:rsid w:val="00C924AC"/>
    <w:rsid w:val="00C9276F"/>
    <w:rsid w:val="00C94134"/>
    <w:rsid w:val="00C94457"/>
    <w:rsid w:val="00C95169"/>
    <w:rsid w:val="00C97953"/>
    <w:rsid w:val="00CA3699"/>
    <w:rsid w:val="00CA3A19"/>
    <w:rsid w:val="00CA5049"/>
    <w:rsid w:val="00CA534E"/>
    <w:rsid w:val="00CA65B2"/>
    <w:rsid w:val="00CA69C8"/>
    <w:rsid w:val="00CB16BB"/>
    <w:rsid w:val="00CB1F34"/>
    <w:rsid w:val="00CB316C"/>
    <w:rsid w:val="00CB3AE6"/>
    <w:rsid w:val="00CB45B8"/>
    <w:rsid w:val="00CB4CEC"/>
    <w:rsid w:val="00CC02A3"/>
    <w:rsid w:val="00CC1487"/>
    <w:rsid w:val="00CC3AC4"/>
    <w:rsid w:val="00CC59CB"/>
    <w:rsid w:val="00CC727A"/>
    <w:rsid w:val="00CC748E"/>
    <w:rsid w:val="00CD04B0"/>
    <w:rsid w:val="00CD3272"/>
    <w:rsid w:val="00CD446E"/>
    <w:rsid w:val="00CD5956"/>
    <w:rsid w:val="00CE0837"/>
    <w:rsid w:val="00CE1704"/>
    <w:rsid w:val="00CE3E5D"/>
    <w:rsid w:val="00CE742C"/>
    <w:rsid w:val="00CE7D1A"/>
    <w:rsid w:val="00CF0134"/>
    <w:rsid w:val="00CF17A2"/>
    <w:rsid w:val="00CF1848"/>
    <w:rsid w:val="00CF1F51"/>
    <w:rsid w:val="00CF2587"/>
    <w:rsid w:val="00CF2D02"/>
    <w:rsid w:val="00CF4C5B"/>
    <w:rsid w:val="00CF7237"/>
    <w:rsid w:val="00CF793F"/>
    <w:rsid w:val="00D031A6"/>
    <w:rsid w:val="00D04522"/>
    <w:rsid w:val="00D04ACB"/>
    <w:rsid w:val="00D055AA"/>
    <w:rsid w:val="00D0685E"/>
    <w:rsid w:val="00D07776"/>
    <w:rsid w:val="00D07BDA"/>
    <w:rsid w:val="00D1035B"/>
    <w:rsid w:val="00D10E3E"/>
    <w:rsid w:val="00D11CB1"/>
    <w:rsid w:val="00D13B77"/>
    <w:rsid w:val="00D154A5"/>
    <w:rsid w:val="00D169A0"/>
    <w:rsid w:val="00D16B9A"/>
    <w:rsid w:val="00D2030D"/>
    <w:rsid w:val="00D22B4B"/>
    <w:rsid w:val="00D2402E"/>
    <w:rsid w:val="00D244B0"/>
    <w:rsid w:val="00D2544A"/>
    <w:rsid w:val="00D258C2"/>
    <w:rsid w:val="00D268CF"/>
    <w:rsid w:val="00D26FB5"/>
    <w:rsid w:val="00D30179"/>
    <w:rsid w:val="00D338C7"/>
    <w:rsid w:val="00D351C3"/>
    <w:rsid w:val="00D35249"/>
    <w:rsid w:val="00D3551E"/>
    <w:rsid w:val="00D40506"/>
    <w:rsid w:val="00D40645"/>
    <w:rsid w:val="00D41E49"/>
    <w:rsid w:val="00D4259F"/>
    <w:rsid w:val="00D42DAF"/>
    <w:rsid w:val="00D433A3"/>
    <w:rsid w:val="00D452C2"/>
    <w:rsid w:val="00D468DA"/>
    <w:rsid w:val="00D475F0"/>
    <w:rsid w:val="00D5061B"/>
    <w:rsid w:val="00D508B2"/>
    <w:rsid w:val="00D516B9"/>
    <w:rsid w:val="00D55677"/>
    <w:rsid w:val="00D561BC"/>
    <w:rsid w:val="00D579DD"/>
    <w:rsid w:val="00D57DFA"/>
    <w:rsid w:val="00D57E13"/>
    <w:rsid w:val="00D6077C"/>
    <w:rsid w:val="00D60950"/>
    <w:rsid w:val="00D622DA"/>
    <w:rsid w:val="00D63FE8"/>
    <w:rsid w:val="00D64216"/>
    <w:rsid w:val="00D66865"/>
    <w:rsid w:val="00D671EC"/>
    <w:rsid w:val="00D67288"/>
    <w:rsid w:val="00D703A3"/>
    <w:rsid w:val="00D746FB"/>
    <w:rsid w:val="00D7515C"/>
    <w:rsid w:val="00D76A18"/>
    <w:rsid w:val="00D8016A"/>
    <w:rsid w:val="00D80388"/>
    <w:rsid w:val="00D80E57"/>
    <w:rsid w:val="00D83442"/>
    <w:rsid w:val="00D83EDB"/>
    <w:rsid w:val="00D844F2"/>
    <w:rsid w:val="00D84E14"/>
    <w:rsid w:val="00D85F8A"/>
    <w:rsid w:val="00D8600F"/>
    <w:rsid w:val="00D86607"/>
    <w:rsid w:val="00D92F64"/>
    <w:rsid w:val="00D93912"/>
    <w:rsid w:val="00D94A76"/>
    <w:rsid w:val="00D95155"/>
    <w:rsid w:val="00D95B9E"/>
    <w:rsid w:val="00D97939"/>
    <w:rsid w:val="00DA0317"/>
    <w:rsid w:val="00DA7D63"/>
    <w:rsid w:val="00DB052B"/>
    <w:rsid w:val="00DB0727"/>
    <w:rsid w:val="00DB28EA"/>
    <w:rsid w:val="00DB408B"/>
    <w:rsid w:val="00DB4527"/>
    <w:rsid w:val="00DB59E9"/>
    <w:rsid w:val="00DB6496"/>
    <w:rsid w:val="00DB6E00"/>
    <w:rsid w:val="00DB755B"/>
    <w:rsid w:val="00DC0B28"/>
    <w:rsid w:val="00DC2C46"/>
    <w:rsid w:val="00DC411F"/>
    <w:rsid w:val="00DC720D"/>
    <w:rsid w:val="00DC7D76"/>
    <w:rsid w:val="00DD0BA3"/>
    <w:rsid w:val="00DD118C"/>
    <w:rsid w:val="00DD1ECA"/>
    <w:rsid w:val="00DD6FBB"/>
    <w:rsid w:val="00DD7936"/>
    <w:rsid w:val="00DE0E9B"/>
    <w:rsid w:val="00DE13B4"/>
    <w:rsid w:val="00DE21E2"/>
    <w:rsid w:val="00DE325D"/>
    <w:rsid w:val="00DE391F"/>
    <w:rsid w:val="00DE49EC"/>
    <w:rsid w:val="00DE6FD6"/>
    <w:rsid w:val="00DF0745"/>
    <w:rsid w:val="00DF08E8"/>
    <w:rsid w:val="00DF0D30"/>
    <w:rsid w:val="00DF2EF4"/>
    <w:rsid w:val="00DF43E4"/>
    <w:rsid w:val="00DF5507"/>
    <w:rsid w:val="00DF5568"/>
    <w:rsid w:val="00DF60A3"/>
    <w:rsid w:val="00DF61DB"/>
    <w:rsid w:val="00E01EE7"/>
    <w:rsid w:val="00E0269F"/>
    <w:rsid w:val="00E02E86"/>
    <w:rsid w:val="00E04272"/>
    <w:rsid w:val="00E05EAC"/>
    <w:rsid w:val="00E06585"/>
    <w:rsid w:val="00E065C1"/>
    <w:rsid w:val="00E10346"/>
    <w:rsid w:val="00E104C8"/>
    <w:rsid w:val="00E11A38"/>
    <w:rsid w:val="00E12CC4"/>
    <w:rsid w:val="00E13D89"/>
    <w:rsid w:val="00E1560B"/>
    <w:rsid w:val="00E1683A"/>
    <w:rsid w:val="00E1782C"/>
    <w:rsid w:val="00E17CD6"/>
    <w:rsid w:val="00E22D2E"/>
    <w:rsid w:val="00E248E0"/>
    <w:rsid w:val="00E24BEA"/>
    <w:rsid w:val="00E30C01"/>
    <w:rsid w:val="00E310E4"/>
    <w:rsid w:val="00E35EF6"/>
    <w:rsid w:val="00E367C7"/>
    <w:rsid w:val="00E40C71"/>
    <w:rsid w:val="00E41470"/>
    <w:rsid w:val="00E423B9"/>
    <w:rsid w:val="00E44528"/>
    <w:rsid w:val="00E45E57"/>
    <w:rsid w:val="00E46FA6"/>
    <w:rsid w:val="00E471E4"/>
    <w:rsid w:val="00E5148C"/>
    <w:rsid w:val="00E51E2E"/>
    <w:rsid w:val="00E53FDA"/>
    <w:rsid w:val="00E5434B"/>
    <w:rsid w:val="00E5553F"/>
    <w:rsid w:val="00E560A8"/>
    <w:rsid w:val="00E5677F"/>
    <w:rsid w:val="00E56F95"/>
    <w:rsid w:val="00E57188"/>
    <w:rsid w:val="00E60E96"/>
    <w:rsid w:val="00E63D77"/>
    <w:rsid w:val="00E65370"/>
    <w:rsid w:val="00E66235"/>
    <w:rsid w:val="00E70637"/>
    <w:rsid w:val="00E70804"/>
    <w:rsid w:val="00E70B89"/>
    <w:rsid w:val="00E73412"/>
    <w:rsid w:val="00E744AB"/>
    <w:rsid w:val="00E758CD"/>
    <w:rsid w:val="00E770F9"/>
    <w:rsid w:val="00E80CCF"/>
    <w:rsid w:val="00E81A33"/>
    <w:rsid w:val="00E83C24"/>
    <w:rsid w:val="00E840FB"/>
    <w:rsid w:val="00E85183"/>
    <w:rsid w:val="00E8717D"/>
    <w:rsid w:val="00E90A27"/>
    <w:rsid w:val="00E90A4A"/>
    <w:rsid w:val="00E90BA4"/>
    <w:rsid w:val="00E913FC"/>
    <w:rsid w:val="00E92C58"/>
    <w:rsid w:val="00E958E7"/>
    <w:rsid w:val="00E97C1F"/>
    <w:rsid w:val="00EA016C"/>
    <w:rsid w:val="00EA046B"/>
    <w:rsid w:val="00EA29CA"/>
    <w:rsid w:val="00EA588C"/>
    <w:rsid w:val="00EA6DF6"/>
    <w:rsid w:val="00EA72C8"/>
    <w:rsid w:val="00EB1FB5"/>
    <w:rsid w:val="00EB2BBC"/>
    <w:rsid w:val="00EB315D"/>
    <w:rsid w:val="00EB6ADE"/>
    <w:rsid w:val="00EC02F9"/>
    <w:rsid w:val="00EC3688"/>
    <w:rsid w:val="00EC4B56"/>
    <w:rsid w:val="00EC4BF4"/>
    <w:rsid w:val="00EC54B8"/>
    <w:rsid w:val="00EC5718"/>
    <w:rsid w:val="00EC75EB"/>
    <w:rsid w:val="00EC7BBB"/>
    <w:rsid w:val="00ED1994"/>
    <w:rsid w:val="00ED36D0"/>
    <w:rsid w:val="00EE0545"/>
    <w:rsid w:val="00EE1107"/>
    <w:rsid w:val="00EE1719"/>
    <w:rsid w:val="00EE24D6"/>
    <w:rsid w:val="00EE2D16"/>
    <w:rsid w:val="00EE4DDB"/>
    <w:rsid w:val="00EF2662"/>
    <w:rsid w:val="00EF633C"/>
    <w:rsid w:val="00EF69F7"/>
    <w:rsid w:val="00EF75A0"/>
    <w:rsid w:val="00F00784"/>
    <w:rsid w:val="00F00E0D"/>
    <w:rsid w:val="00F031E4"/>
    <w:rsid w:val="00F03349"/>
    <w:rsid w:val="00F04388"/>
    <w:rsid w:val="00F05202"/>
    <w:rsid w:val="00F06693"/>
    <w:rsid w:val="00F06753"/>
    <w:rsid w:val="00F06AFC"/>
    <w:rsid w:val="00F06F15"/>
    <w:rsid w:val="00F07C78"/>
    <w:rsid w:val="00F07C90"/>
    <w:rsid w:val="00F07F2B"/>
    <w:rsid w:val="00F103DC"/>
    <w:rsid w:val="00F1075C"/>
    <w:rsid w:val="00F12057"/>
    <w:rsid w:val="00F13867"/>
    <w:rsid w:val="00F15B34"/>
    <w:rsid w:val="00F170A7"/>
    <w:rsid w:val="00F20C64"/>
    <w:rsid w:val="00F22EBB"/>
    <w:rsid w:val="00F23D56"/>
    <w:rsid w:val="00F26460"/>
    <w:rsid w:val="00F3496E"/>
    <w:rsid w:val="00F34ABE"/>
    <w:rsid w:val="00F34F83"/>
    <w:rsid w:val="00F400E7"/>
    <w:rsid w:val="00F4205E"/>
    <w:rsid w:val="00F44EBF"/>
    <w:rsid w:val="00F45B62"/>
    <w:rsid w:val="00F466C5"/>
    <w:rsid w:val="00F47C95"/>
    <w:rsid w:val="00F50017"/>
    <w:rsid w:val="00F5009A"/>
    <w:rsid w:val="00F5183D"/>
    <w:rsid w:val="00F519EF"/>
    <w:rsid w:val="00F51E6C"/>
    <w:rsid w:val="00F52B4F"/>
    <w:rsid w:val="00F52DD9"/>
    <w:rsid w:val="00F53981"/>
    <w:rsid w:val="00F54531"/>
    <w:rsid w:val="00F54A66"/>
    <w:rsid w:val="00F55C62"/>
    <w:rsid w:val="00F5604D"/>
    <w:rsid w:val="00F57B19"/>
    <w:rsid w:val="00F6067F"/>
    <w:rsid w:val="00F61A2D"/>
    <w:rsid w:val="00F61A7E"/>
    <w:rsid w:val="00F63FF3"/>
    <w:rsid w:val="00F654BC"/>
    <w:rsid w:val="00F657CE"/>
    <w:rsid w:val="00F724CC"/>
    <w:rsid w:val="00F7253B"/>
    <w:rsid w:val="00F72C1A"/>
    <w:rsid w:val="00F743D2"/>
    <w:rsid w:val="00F74545"/>
    <w:rsid w:val="00F76344"/>
    <w:rsid w:val="00F80D8F"/>
    <w:rsid w:val="00F82995"/>
    <w:rsid w:val="00F8601C"/>
    <w:rsid w:val="00F9062C"/>
    <w:rsid w:val="00F92B09"/>
    <w:rsid w:val="00F92FBD"/>
    <w:rsid w:val="00F93266"/>
    <w:rsid w:val="00F94774"/>
    <w:rsid w:val="00F94C89"/>
    <w:rsid w:val="00F9599F"/>
    <w:rsid w:val="00FA036A"/>
    <w:rsid w:val="00FA1181"/>
    <w:rsid w:val="00FA2FD9"/>
    <w:rsid w:val="00FA4B98"/>
    <w:rsid w:val="00FB353F"/>
    <w:rsid w:val="00FB375A"/>
    <w:rsid w:val="00FB3FC5"/>
    <w:rsid w:val="00FB5A2E"/>
    <w:rsid w:val="00FB5B91"/>
    <w:rsid w:val="00FC04BD"/>
    <w:rsid w:val="00FC0A79"/>
    <w:rsid w:val="00FC0E06"/>
    <w:rsid w:val="00FC282C"/>
    <w:rsid w:val="00FC30D9"/>
    <w:rsid w:val="00FC53DB"/>
    <w:rsid w:val="00FC5897"/>
    <w:rsid w:val="00FC5C2C"/>
    <w:rsid w:val="00FC7A2A"/>
    <w:rsid w:val="00FD15B4"/>
    <w:rsid w:val="00FD1A96"/>
    <w:rsid w:val="00FD1DD7"/>
    <w:rsid w:val="00FD24B4"/>
    <w:rsid w:val="00FD27D0"/>
    <w:rsid w:val="00FD2AA9"/>
    <w:rsid w:val="00FD3EA4"/>
    <w:rsid w:val="00FD50C0"/>
    <w:rsid w:val="00FD5C58"/>
    <w:rsid w:val="00FE0C23"/>
    <w:rsid w:val="00FE22DD"/>
    <w:rsid w:val="00FE4B4A"/>
    <w:rsid w:val="00FE63EA"/>
    <w:rsid w:val="00FE6DC4"/>
    <w:rsid w:val="00FE6F74"/>
    <w:rsid w:val="00FE71E5"/>
    <w:rsid w:val="00FE78C4"/>
    <w:rsid w:val="00FF2873"/>
    <w:rsid w:val="00FF293C"/>
    <w:rsid w:val="00FF2D27"/>
    <w:rsid w:val="00FF3590"/>
    <w:rsid w:val="00FF374D"/>
    <w:rsid w:val="00FF456F"/>
    <w:rsid w:val="00FF657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25EE05F"/>
  <w15:docId w15:val="{FDC3CE07-81E4-4663-822D-D628D7F0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
    <w:qFormat/>
    <w:rsid w:val="007E09DA"/>
    <w:pPr>
      <w:keepNext/>
      <w:tabs>
        <w:tab w:val="left" w:pos="567"/>
      </w:tabs>
      <w:spacing w:before="120" w:after="120"/>
      <w:jc w:val="center"/>
      <w:outlineLvl w:val="2"/>
    </w:pPr>
    <w:rPr>
      <w:i/>
      <w:iCs/>
    </w:rPr>
  </w:style>
  <w:style w:type="paragraph" w:styleId="Heading4">
    <w:name w:val="heading 4"/>
    <w:basedOn w:val="Normal"/>
    <w:link w:val="Heading4Char"/>
    <w:uiPriority w:val="9"/>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7E09DA"/>
    <w:rPr>
      <w:sz w:val="18"/>
      <w:u w:val="single"/>
      <w:vertAlign w:val="baseline"/>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uiPriority w:val="9"/>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uiPriority w:val="9"/>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130BB2"/>
    <w:pPr>
      <w:spacing w:after="200" w:line="276" w:lineRule="auto"/>
      <w:ind w:left="720"/>
      <w:contextualSpacing/>
      <w:jc w:val="left"/>
    </w:pPr>
    <w:rPr>
      <w:rFonts w:asciiTheme="minorHAnsi" w:eastAsiaTheme="minorEastAsia" w:hAnsiTheme="minorHAnsi" w:cstheme="minorBidi"/>
      <w:szCs w:val="22"/>
      <w:lang w:val="en-CA" w:eastAsia="ja-JP"/>
    </w:rPr>
  </w:style>
  <w:style w:type="paragraph" w:styleId="CommentSubject">
    <w:name w:val="annotation subject"/>
    <w:basedOn w:val="CommentText"/>
    <w:next w:val="CommentText"/>
    <w:link w:val="CommentSubjectChar"/>
    <w:uiPriority w:val="99"/>
    <w:semiHidden/>
    <w:unhideWhenUsed/>
    <w:rsid w:val="00CA65B2"/>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CA65B2"/>
    <w:rPr>
      <w:rFonts w:ascii="Times New Roman" w:eastAsia="Times New Roman" w:hAnsi="Times New Roman" w:cs="Times New Roman"/>
      <w:b/>
      <w:bCs/>
      <w:sz w:val="20"/>
      <w:szCs w:val="20"/>
      <w:lang w:val="en-GB"/>
    </w:rPr>
  </w:style>
  <w:style w:type="paragraph" w:styleId="Revision">
    <w:name w:val="Revision"/>
    <w:hidden/>
    <w:uiPriority w:val="99"/>
    <w:semiHidden/>
    <w:rsid w:val="00CA65B2"/>
    <w:rPr>
      <w:rFonts w:ascii="Times New Roman" w:eastAsia="Times New Roman" w:hAnsi="Times New Roman" w:cs="Times New Roman"/>
      <w:sz w:val="22"/>
      <w:lang w:val="en-GB"/>
    </w:rPr>
  </w:style>
  <w:style w:type="character" w:customStyle="1" w:styleId="UnresolvedMention1">
    <w:name w:val="Unresolved Mention1"/>
    <w:basedOn w:val="DefaultParagraphFont"/>
    <w:uiPriority w:val="99"/>
    <w:semiHidden/>
    <w:unhideWhenUsed/>
    <w:rsid w:val="00432884"/>
    <w:rPr>
      <w:color w:val="605E5C"/>
      <w:shd w:val="clear" w:color="auto" w:fill="E1DFDD"/>
    </w:rPr>
  </w:style>
  <w:style w:type="character" w:styleId="SubtleEmphasis">
    <w:name w:val="Subtle Emphasis"/>
    <w:basedOn w:val="DefaultParagraphFont"/>
    <w:uiPriority w:val="19"/>
    <w:qFormat/>
    <w:rsid w:val="00432884"/>
    <w:rPr>
      <w:i/>
      <w:iCs/>
      <w:color w:val="404040" w:themeColor="text1" w:themeTint="BF"/>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0531DF"/>
    <w:pPr>
      <w:spacing w:after="160" w:line="240" w:lineRule="exact"/>
      <w:jc w:val="left"/>
    </w:pPr>
    <w:rPr>
      <w:rFonts w:asciiTheme="minorHAnsi" w:eastAsiaTheme="minorEastAsia" w:hAnsiTheme="minorHAnsi" w:cstheme="minorBidi"/>
      <w:sz w:val="18"/>
      <w:u w:val="single"/>
      <w:lang w:val="fr-CA"/>
    </w:rPr>
  </w:style>
  <w:style w:type="character" w:customStyle="1" w:styleId="Para1Char1">
    <w:name w:val="Para1 Char1"/>
    <w:rsid w:val="00735E7D"/>
    <w:rPr>
      <w:snapToGrid w:val="0"/>
      <w:sz w:val="22"/>
      <w:szCs w:val="18"/>
      <w:lang w:val="en-GB" w:eastAsia="en-US"/>
    </w:rPr>
  </w:style>
  <w:style w:type="paragraph" w:customStyle="1" w:styleId="Heading-plain">
    <w:name w:val="Heading - plain"/>
    <w:basedOn w:val="Heading2"/>
    <w:next w:val="BodyText"/>
    <w:rsid w:val="00257947"/>
    <w:pPr>
      <w:tabs>
        <w:tab w:val="clear" w:pos="720"/>
        <w:tab w:val="left" w:pos="851"/>
      </w:tabs>
    </w:pPr>
  </w:style>
  <w:style w:type="character" w:styleId="UnresolvedMention">
    <w:name w:val="Unresolved Mention"/>
    <w:basedOn w:val="DefaultParagraphFont"/>
    <w:uiPriority w:val="99"/>
    <w:semiHidden/>
    <w:unhideWhenUsed/>
    <w:rsid w:val="00240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84381">
      <w:bodyDiv w:val="1"/>
      <w:marLeft w:val="0"/>
      <w:marRight w:val="0"/>
      <w:marTop w:val="0"/>
      <w:marBottom w:val="0"/>
      <w:divBdr>
        <w:top w:val="none" w:sz="0" w:space="0" w:color="auto"/>
        <w:left w:val="none" w:sz="0" w:space="0" w:color="auto"/>
        <w:bottom w:val="none" w:sz="0" w:space="0" w:color="auto"/>
        <w:right w:val="none" w:sz="0" w:space="0" w:color="auto"/>
      </w:divBdr>
    </w:div>
    <w:div w:id="1083798493">
      <w:bodyDiv w:val="1"/>
      <w:marLeft w:val="0"/>
      <w:marRight w:val="0"/>
      <w:marTop w:val="0"/>
      <w:marBottom w:val="0"/>
      <w:divBdr>
        <w:top w:val="none" w:sz="0" w:space="0" w:color="auto"/>
        <w:left w:val="none" w:sz="0" w:space="0" w:color="auto"/>
        <w:bottom w:val="none" w:sz="0" w:space="0" w:color="auto"/>
        <w:right w:val="none" w:sz="0" w:space="0" w:color="auto"/>
      </w:divBdr>
    </w:div>
    <w:div w:id="19237573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p-mop-09/cp-mop-09-dec-07-en.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ecision/mop/default.shtml?id=1232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www.cbd.int/doc/decisions/cp-mop-09/cp-mop-09-dec-03-en.pdf" TargetMode="Externa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bch.cbd.int/protocol/post2020/submissions.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43C856F70B894E0D84724EB67B467C95"/>
        <w:category>
          <w:name w:val="General"/>
          <w:gallery w:val="placeholder"/>
        </w:category>
        <w:types>
          <w:type w:val="bbPlcHdr"/>
        </w:types>
        <w:behaviors>
          <w:behavior w:val="content"/>
        </w:behaviors>
        <w:guid w:val="{65FB8308-0944-435C-8AB6-81C9094CE7CD}"/>
      </w:docPartPr>
      <w:docPartBody>
        <w:p w:rsidR="00B33C01" w:rsidRDefault="00B33C01">
          <w:r w:rsidRPr="00DC242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14DF1"/>
    <w:rsid w:val="00045D7F"/>
    <w:rsid w:val="000B23E3"/>
    <w:rsid w:val="0011323E"/>
    <w:rsid w:val="00204ED8"/>
    <w:rsid w:val="00221891"/>
    <w:rsid w:val="00247042"/>
    <w:rsid w:val="0037303F"/>
    <w:rsid w:val="003F6B7D"/>
    <w:rsid w:val="004A6780"/>
    <w:rsid w:val="00500A2B"/>
    <w:rsid w:val="0058288D"/>
    <w:rsid w:val="005E1DAB"/>
    <w:rsid w:val="0061319C"/>
    <w:rsid w:val="0061507A"/>
    <w:rsid w:val="006801B3"/>
    <w:rsid w:val="00686E80"/>
    <w:rsid w:val="0069172A"/>
    <w:rsid w:val="006B71DE"/>
    <w:rsid w:val="00721F4F"/>
    <w:rsid w:val="00754C97"/>
    <w:rsid w:val="0079639C"/>
    <w:rsid w:val="00810A55"/>
    <w:rsid w:val="00864341"/>
    <w:rsid w:val="00880804"/>
    <w:rsid w:val="008C13C3"/>
    <w:rsid w:val="008C6619"/>
    <w:rsid w:val="008D420E"/>
    <w:rsid w:val="0091219B"/>
    <w:rsid w:val="00963238"/>
    <w:rsid w:val="0098642F"/>
    <w:rsid w:val="009C7C6D"/>
    <w:rsid w:val="00B33C01"/>
    <w:rsid w:val="00BE2CDE"/>
    <w:rsid w:val="00CE5493"/>
    <w:rsid w:val="00D90699"/>
    <w:rsid w:val="00DE18DE"/>
    <w:rsid w:val="00E138F1"/>
    <w:rsid w:val="00E20D33"/>
    <w:rsid w:val="00E538A3"/>
    <w:rsid w:val="00E72A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C01"/>
    <w:rPr>
      <w:color w:val="808080"/>
    </w:rPr>
  </w:style>
  <w:style w:type="paragraph" w:customStyle="1" w:styleId="9BDD417D5B454EDA8AF47BFC07CA66E5">
    <w:name w:val="9BDD417D5B454EDA8AF47BFC07CA66E5"/>
    <w:rsid w:val="00B33C01"/>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7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1FE317-80D6-4F48-8088-D5DA67D1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4171</Words>
  <Characters>23776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Draft post-2020 implementation plan for the cartagena protocol on biosafety</vt:lpstr>
    </vt:vector>
  </TitlesOfParts>
  <Company>SCBD</Company>
  <LinksUpToDate>false</LinksUpToDate>
  <CharactersWithSpaces>27892</CharactersWithSpaces>
  <SharedDoc>false</SharedDoc>
  <HyperlinkBase>https://www.cbd.int/post2020/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post-2020 implementation plan for the cartagena protocol on biosafety</dc:title>
  <dc:subject>CBD/CP/LG/2019/1/3</dc:subject>
  <dc:creator>SCBD</dc:creator>
  <dc:description>Regional Consultation on the Post-2020 Global Biodiversity Framework for the Western European and Others Group and Other Members of the European Union, Bonn, 19-21 March 2019</dc:description>
  <cp:lastModifiedBy>Veronique Lefebvre</cp:lastModifiedBy>
  <cp:revision>3</cp:revision>
  <cp:lastPrinted>2018-07-09T21:20:00Z</cp:lastPrinted>
  <dcterms:created xsi:type="dcterms:W3CDTF">2019-10-10T20:03:00Z</dcterms:created>
  <dcterms:modified xsi:type="dcterms:W3CDTF">2019-10-10T20:03:00Z</dcterms:modified>
  <cp:contentStatus>GENERAL</cp:contentStatus>
</cp:coreProperties>
</file>