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
        <w:gridCol w:w="936"/>
        <w:gridCol w:w="3598"/>
        <w:gridCol w:w="1287"/>
        <w:gridCol w:w="3750"/>
        <w:gridCol w:w="488"/>
      </w:tblGrid>
      <w:tr w:rsidR="00734506" w:rsidRPr="00F9543F" w14:paraId="2B853852" w14:textId="77777777" w:rsidTr="007267A5">
        <w:trPr>
          <w:gridAfter w:val="1"/>
          <w:wAfter w:w="515" w:type="dxa"/>
          <w:trHeight w:val="709"/>
        </w:trPr>
        <w:tc>
          <w:tcPr>
            <w:tcW w:w="976" w:type="dxa"/>
            <w:gridSpan w:val="2"/>
            <w:tcBorders>
              <w:bottom w:val="single" w:sz="12" w:space="0" w:color="auto"/>
            </w:tcBorders>
          </w:tcPr>
          <w:p w14:paraId="56ECE35E" w14:textId="501C5F42" w:rsidR="00C9161D" w:rsidRPr="007267A5" w:rsidRDefault="00361D1C" w:rsidP="007F45C6">
            <w:pPr>
              <w:kinsoku w:val="0"/>
              <w:overflowPunct w:val="0"/>
              <w:autoSpaceDE w:val="0"/>
              <w:autoSpaceDN w:val="0"/>
              <w:rPr>
                <w:snapToGrid w:val="0"/>
                <w:kern w:val="22"/>
              </w:rPr>
            </w:pPr>
            <w:bookmarkStart w:id="0" w:name="_GoBack"/>
            <w:bookmarkEnd w:id="0"/>
            <w:r>
              <w:rPr>
                <w:rFonts w:asciiTheme="majorBidi" w:hAnsiTheme="majorBidi"/>
                <w:noProof/>
                <w:lang w:eastAsia="es-ES"/>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7DEE9B1" w:rsidR="00C9161D" w:rsidRPr="007267A5" w:rsidRDefault="006215DB" w:rsidP="007F45C6">
            <w:pPr>
              <w:kinsoku w:val="0"/>
              <w:overflowPunct w:val="0"/>
              <w:autoSpaceDE w:val="0"/>
              <w:autoSpaceDN w:val="0"/>
              <w:rPr>
                <w:snapToGrid w:val="0"/>
                <w:kern w:val="22"/>
              </w:rPr>
            </w:pPr>
            <w:r>
              <w:rPr>
                <w:rFonts w:asciiTheme="majorBidi" w:hAnsiTheme="majorBidi"/>
                <w:noProof/>
                <w:lang w:eastAsia="es-ES"/>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5302" w:type="dxa"/>
            <w:gridSpan w:val="2"/>
            <w:tcBorders>
              <w:bottom w:val="single" w:sz="12" w:space="0" w:color="auto"/>
            </w:tcBorders>
          </w:tcPr>
          <w:p w14:paraId="74E25FE1" w14:textId="77777777" w:rsidR="00C9161D" w:rsidRPr="007267A5" w:rsidRDefault="00C9161D" w:rsidP="007F45C6">
            <w:pPr>
              <w:kinsoku w:val="0"/>
              <w:overflowPunct w:val="0"/>
              <w:autoSpaceDE w:val="0"/>
              <w:autoSpaceDN w:val="0"/>
              <w:jc w:val="right"/>
              <w:rPr>
                <w:rFonts w:ascii="Arial" w:hAnsi="Arial" w:cs="Arial"/>
                <w:b/>
                <w:snapToGrid w:val="0"/>
                <w:kern w:val="22"/>
                <w:sz w:val="32"/>
                <w:szCs w:val="32"/>
              </w:rPr>
            </w:pPr>
            <w:r>
              <w:rPr>
                <w:rFonts w:ascii="Arial" w:hAnsi="Arial"/>
                <w:b/>
                <w:snapToGrid w:val="0"/>
                <w:sz w:val="32"/>
              </w:rPr>
              <w:t>CBD</w:t>
            </w:r>
          </w:p>
        </w:tc>
      </w:tr>
      <w:tr w:rsidR="0026269B" w:rsidRPr="00F9543F" w14:paraId="6EEFA367" w14:textId="77777777" w:rsidTr="00AA2BEE">
        <w:trPr>
          <w:gridBefore w:val="1"/>
        </w:trPr>
        <w:tc>
          <w:tcPr>
            <w:tcW w:w="6117" w:type="dxa"/>
            <w:gridSpan w:val="3"/>
            <w:tcBorders>
              <w:top w:val="single" w:sz="12" w:space="0" w:color="auto"/>
              <w:bottom w:val="single" w:sz="36" w:space="0" w:color="auto"/>
            </w:tcBorders>
            <w:vAlign w:val="center"/>
          </w:tcPr>
          <w:p w14:paraId="30CE65C0" w14:textId="59B9B892" w:rsidR="00C9161D" w:rsidRPr="007267A5" w:rsidRDefault="00715EF7" w:rsidP="007F45C6">
            <w:pPr>
              <w:kinsoku w:val="0"/>
              <w:overflowPunct w:val="0"/>
              <w:autoSpaceDE w:val="0"/>
              <w:autoSpaceDN w:val="0"/>
              <w:rPr>
                <w:snapToGrid w:val="0"/>
                <w:kern w:val="22"/>
              </w:rPr>
            </w:pPr>
            <w:r>
              <w:rPr>
                <w:noProof/>
                <w:lang w:eastAsia="es-ES"/>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7267A5" w:rsidRDefault="00C9161D" w:rsidP="00814D32">
            <w:pPr>
              <w:kinsoku w:val="0"/>
              <w:overflowPunct w:val="0"/>
              <w:autoSpaceDE w:val="0"/>
              <w:autoSpaceDN w:val="0"/>
              <w:ind w:left="1438"/>
              <w:rPr>
                <w:snapToGrid w:val="0"/>
                <w:kern w:val="22"/>
                <w:szCs w:val="22"/>
              </w:rPr>
            </w:pPr>
            <w:r>
              <w:rPr>
                <w:snapToGrid w:val="0"/>
              </w:rPr>
              <w:t>Distr.</w:t>
            </w:r>
          </w:p>
          <w:p w14:paraId="037DBDB5" w14:textId="1F01C070" w:rsidR="00660A15" w:rsidRPr="007267A5" w:rsidRDefault="009F7B11" w:rsidP="00814D32">
            <w:pPr>
              <w:kinsoku w:val="0"/>
              <w:overflowPunct w:val="0"/>
              <w:autoSpaceDE w:val="0"/>
              <w:autoSpaceDN w:val="0"/>
              <w:ind w:left="1438"/>
              <w:rPr>
                <w:snapToGrid w:val="0"/>
                <w:kern w:val="22"/>
                <w:szCs w:val="22"/>
              </w:rPr>
            </w:pPr>
            <w:r>
              <w:rPr>
                <w:rFonts w:asciiTheme="majorBidi" w:hAnsiTheme="majorBidi"/>
                <w:caps/>
              </w:rPr>
              <w:t>LIMITADA</w:t>
            </w:r>
          </w:p>
          <w:p w14:paraId="4972F29D" w14:textId="77777777" w:rsidR="00C9161D" w:rsidRPr="007267A5" w:rsidRDefault="00C9161D" w:rsidP="00814D32">
            <w:pPr>
              <w:kinsoku w:val="0"/>
              <w:overflowPunct w:val="0"/>
              <w:autoSpaceDE w:val="0"/>
              <w:autoSpaceDN w:val="0"/>
              <w:ind w:left="1438"/>
              <w:rPr>
                <w:snapToGrid w:val="0"/>
                <w:kern w:val="22"/>
                <w:szCs w:val="22"/>
              </w:rPr>
            </w:pPr>
          </w:p>
          <w:p w14:paraId="59D23C43" w14:textId="4889A90A" w:rsidR="00C9161D" w:rsidRPr="007267A5" w:rsidRDefault="009E5A14" w:rsidP="00814D32">
            <w:pPr>
              <w:kinsoku w:val="0"/>
              <w:overflowPunct w:val="0"/>
              <w:autoSpaceDE w:val="0"/>
              <w:autoSpaceDN w:val="0"/>
              <w:ind w:left="1438"/>
              <w:rPr>
                <w:snapToGrid w:val="0"/>
                <w:kern w:val="22"/>
                <w:szCs w:val="22"/>
              </w:rPr>
            </w:pPr>
            <w:r>
              <w:rPr>
                <w:snapToGrid w:val="0"/>
              </w:rPr>
              <w:t>CBD/NP/MOP/4/L.1/Rev.1</w:t>
            </w:r>
          </w:p>
          <w:p w14:paraId="715EBE43" w14:textId="7FD053A5" w:rsidR="00C9161D" w:rsidRPr="007267A5" w:rsidRDefault="00866C2E" w:rsidP="00814D32">
            <w:pPr>
              <w:kinsoku w:val="0"/>
              <w:overflowPunct w:val="0"/>
              <w:autoSpaceDE w:val="0"/>
              <w:autoSpaceDN w:val="0"/>
              <w:ind w:left="1438"/>
              <w:rPr>
                <w:snapToGrid w:val="0"/>
                <w:kern w:val="22"/>
                <w:szCs w:val="22"/>
              </w:rPr>
            </w:pPr>
            <w:r>
              <w:rPr>
                <w:snapToGrid w:val="0"/>
              </w:rPr>
              <w:t>19 de diciembre de 2022</w:t>
            </w:r>
          </w:p>
          <w:p w14:paraId="5AB60E11" w14:textId="77777777" w:rsidR="00C9161D" w:rsidRPr="007267A5" w:rsidRDefault="00C9161D" w:rsidP="00814D32">
            <w:pPr>
              <w:kinsoku w:val="0"/>
              <w:overflowPunct w:val="0"/>
              <w:autoSpaceDE w:val="0"/>
              <w:autoSpaceDN w:val="0"/>
              <w:ind w:left="1438"/>
              <w:rPr>
                <w:snapToGrid w:val="0"/>
                <w:kern w:val="22"/>
                <w:szCs w:val="22"/>
              </w:rPr>
            </w:pPr>
          </w:p>
          <w:p w14:paraId="50A5425C" w14:textId="14ECFEED" w:rsidR="00C9161D" w:rsidRPr="007267A5" w:rsidRDefault="006B2290" w:rsidP="00814D32">
            <w:pPr>
              <w:kinsoku w:val="0"/>
              <w:overflowPunct w:val="0"/>
              <w:autoSpaceDE w:val="0"/>
              <w:autoSpaceDN w:val="0"/>
              <w:ind w:left="1438"/>
              <w:rPr>
                <w:snapToGrid w:val="0"/>
                <w:kern w:val="22"/>
                <w:szCs w:val="22"/>
              </w:rPr>
            </w:pPr>
            <w:r>
              <w:rPr>
                <w:snapToGrid w:val="0"/>
              </w:rPr>
              <w:t>ESPAÑOL</w:t>
            </w:r>
            <w:r>
              <w:rPr>
                <w:snapToGrid w:val="0"/>
              </w:rPr>
              <w:br/>
              <w:t>ORIGINAL: INGLÉS</w:t>
            </w:r>
          </w:p>
        </w:tc>
      </w:tr>
    </w:tbl>
    <w:p w14:paraId="7A5C9A67" w14:textId="77777777" w:rsidR="00172AF6" w:rsidRPr="007267A5" w:rsidRDefault="00520912" w:rsidP="00303BFC">
      <w:pPr>
        <w:pStyle w:val="Cornernotation"/>
        <w:kinsoku w:val="0"/>
        <w:overflowPunct w:val="0"/>
        <w:autoSpaceDE w:val="0"/>
        <w:autoSpaceDN w:val="0"/>
        <w:ind w:right="4296"/>
        <w:rPr>
          <w:snapToGrid w:val="0"/>
          <w:color w:val="000000"/>
          <w:kern w:val="22"/>
          <w:shd w:val="clear" w:color="auto" w:fill="FFFFFF"/>
        </w:rPr>
      </w:pPr>
      <w:r>
        <w:rPr>
          <w:snapToGrid w:val="0"/>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D9C6883" w14:textId="4166682C" w:rsidR="00C13C6B" w:rsidRPr="007267A5" w:rsidRDefault="00BF7858" w:rsidP="00303BFC">
      <w:pPr>
        <w:pStyle w:val="Cornernotation"/>
        <w:kinsoku w:val="0"/>
        <w:overflowPunct w:val="0"/>
        <w:autoSpaceDE w:val="0"/>
        <w:autoSpaceDN w:val="0"/>
        <w:ind w:right="4296"/>
        <w:rPr>
          <w:snapToGrid w:val="0"/>
          <w:color w:val="000000"/>
          <w:kern w:val="22"/>
        </w:rPr>
      </w:pPr>
      <w:r>
        <w:rPr>
          <w:snapToGrid w:val="0"/>
          <w:color w:val="000000"/>
        </w:rPr>
        <w:t>Cuarta reunión – Parte II</w:t>
      </w:r>
    </w:p>
    <w:p w14:paraId="3344C2AD" w14:textId="10B73628" w:rsidR="00EB65BB" w:rsidRPr="00F9543F" w:rsidRDefault="006215DB" w:rsidP="00303BFC">
      <w:pPr>
        <w:pStyle w:val="Cornernotation"/>
        <w:kinsoku w:val="0"/>
        <w:overflowPunct w:val="0"/>
        <w:autoSpaceDE w:val="0"/>
        <w:autoSpaceDN w:val="0"/>
        <w:ind w:right="4296"/>
      </w:pPr>
      <w:r>
        <w:t>Montreal (Canadá), 7 a 19 de diciembre de 2022</w:t>
      </w:r>
    </w:p>
    <w:p w14:paraId="0538402A" w14:textId="1CAC45CC" w:rsidR="00F61A84" w:rsidRPr="00F9543F" w:rsidRDefault="00F61A84" w:rsidP="00303BFC">
      <w:pPr>
        <w:pStyle w:val="Cornernotation"/>
        <w:kinsoku w:val="0"/>
        <w:overflowPunct w:val="0"/>
        <w:autoSpaceDE w:val="0"/>
        <w:autoSpaceDN w:val="0"/>
        <w:ind w:right="4296"/>
      </w:pPr>
      <w:r>
        <w:t>Tema 18 del programa</w:t>
      </w:r>
    </w:p>
    <w:p w14:paraId="4785D0ED" w14:textId="635475E6" w:rsidR="00E51B96" w:rsidRPr="007267A5"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Pr>
          <w:rFonts w:ascii="Times New Roman Bold" w:hAnsi="Times New Roman Bold"/>
          <w:snapToGrid w:val="0"/>
        </w:rPr>
        <w:t>PROYECTO DE INFORME DE LA REUNIÓN</w:t>
      </w:r>
      <w:bookmarkStart w:id="1" w:name="_Hlk134617743"/>
      <w:r>
        <w:rPr>
          <w:rStyle w:val="FootnoteReference"/>
          <w:rFonts w:asciiTheme="majorBidi" w:hAnsiTheme="majorBidi" w:cstheme="majorBidi"/>
          <w:u w:val="none"/>
          <w:vertAlign w:val="superscript"/>
        </w:rPr>
        <w:footnoteReference w:customMarkFollows="1" w:id="2"/>
        <w:t>*</w:t>
      </w:r>
      <w:bookmarkEnd w:id="1"/>
    </w:p>
    <w:p w14:paraId="5B980D9A" w14:textId="35C0EB47" w:rsidR="004373D4" w:rsidRPr="007267A5"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Pr>
          <w:rFonts w:asciiTheme="majorBidi" w:hAnsiTheme="majorBidi"/>
          <w:b w:val="0"/>
          <w:i/>
          <w:caps w:val="0"/>
          <w:snapToGrid w:val="0"/>
        </w:rPr>
        <w:t>Relatora: Elvana Ramaj (Albania)</w:t>
      </w:r>
    </w:p>
    <w:p w14:paraId="3EC40580" w14:textId="23DC7598" w:rsidR="00F52AC0" w:rsidRPr="007267A5"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Pr>
          <w:rFonts w:ascii="Times New Roman Bold" w:hAnsi="Times New Roman Bold"/>
          <w:caps w:val="0"/>
          <w:snapToGrid w:val="0"/>
        </w:rPr>
        <w:t>INTRODUCCIÓN</w:t>
      </w:r>
    </w:p>
    <w:p w14:paraId="4767BE75" w14:textId="512590A0" w:rsidR="00A74468" w:rsidRPr="00F9543F" w:rsidRDefault="00A74468" w:rsidP="00A74468">
      <w:pPr>
        <w:pStyle w:val="Para1"/>
        <w:numPr>
          <w:ilvl w:val="0"/>
          <w:numId w:val="9"/>
        </w:numPr>
        <w:overflowPunct w:val="0"/>
        <w:autoSpaceDE w:val="0"/>
        <w:autoSpaceDN w:val="0"/>
        <w:snapToGrid w:val="0"/>
        <w:spacing w:before="0"/>
      </w:pPr>
      <w:r>
        <w:t>La Conferencia de las Partes que actúa como reunión de las Partes en el Protocolo de Nagoya sobre Acceso a los Recursos Genéticos y Participación Justa y Equitativa en los Beneficios que se Deriven de su Utilización del Convenio sobre la Diversidad Biológica celebró su 4ª reunión conjuntamente con la 15ª reunión de la Conferencia de las Partes en el Convenio y la 10ª reunión de la Conferencia de las Partes que actúa como reunión de las Partes en el Protocolo de Cartagena sobre Seguridad de la Biotecnología.</w:t>
      </w:r>
    </w:p>
    <w:p w14:paraId="7202644B" w14:textId="3AB253D4" w:rsidR="00A74468" w:rsidRPr="00F9543F"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t>Debido a las circunstancias que rodearon la pandemia de la enfermedad por coronavirus (COVID-19), la reunión se celebró en dos partes: la primera parte se realizó en línea en Kunming (China), con una participación presencial limitada, los días 12 y 13 de octubre de 2021, y la segunda parte, se realizó en forma presencial en Montreal (Canadá), del 7 al 19 de diciembre de 2022. El presente informe contiene las deliberaciones de la segunda parte de la reunión</w:t>
      </w:r>
      <w:r w:rsidRPr="001E31E2">
        <w:rPr>
          <w:rStyle w:val="FootnoteReference"/>
          <w:sz w:val="22"/>
          <w:szCs w:val="22"/>
          <w:u w:val="none"/>
          <w:vertAlign w:val="superscript"/>
        </w:rPr>
        <w:footnoteReference w:id="3"/>
      </w:r>
      <w:r w:rsidR="001E31E2">
        <w:t>.</w:t>
      </w:r>
    </w:p>
    <w:p w14:paraId="60CE909F" w14:textId="59ABD8E0" w:rsidR="00A74468" w:rsidRPr="00F9543F"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t>La segunda parte de la reunión estuvo precedida de una bienvenida ceremonial del Jefe Tradicional de la Nación Onondaga, Tadodaho Sid Hill, seguida de declaraciones del Primer Ministro del Canadá, Justin Trudeau, el Secretario General de las Naciones Unidas, el Ministro de Ecología y Medio Ambiente de China y Presidente de la 15ª reunión de la Conferencia de las Partes en el Convenio, Huang Runqiu, el Primer Ministro de Quebec, François Legault, la Alcaldesa de Montreal, Valérie Plante, y el Alcalde de Kunming, Liu Jiachen, así como de una presentación cultural, el 6 de diciembre de 2022.</w:t>
      </w:r>
    </w:p>
    <w:p w14:paraId="1FADED7B" w14:textId="77777777" w:rsidR="00964C7D" w:rsidRPr="00F9543F" w:rsidRDefault="00964C7D" w:rsidP="009E414A">
      <w:pPr>
        <w:keepNext/>
        <w:pageBreakBefore/>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Pr>
          <w:b/>
          <w:snapToGrid w:val="0"/>
        </w:rPr>
        <w:lastRenderedPageBreak/>
        <w:t xml:space="preserve">B. </w:t>
      </w:r>
      <w:r>
        <w:rPr>
          <w:b/>
          <w:snapToGrid w:val="0"/>
        </w:rPr>
        <w:tab/>
        <w:t>Asistentes</w:t>
      </w:r>
    </w:p>
    <w:p w14:paraId="586319FF" w14:textId="3BC1958E" w:rsidR="002208BB" w:rsidRPr="00F9543F" w:rsidRDefault="00964C7D" w:rsidP="009E414A">
      <w:pPr>
        <w:pStyle w:val="Para1"/>
        <w:numPr>
          <w:ilvl w:val="0"/>
          <w:numId w:val="9"/>
        </w:numPr>
        <w:overflowPunct w:val="0"/>
        <w:autoSpaceDE w:val="0"/>
        <w:autoSpaceDN w:val="0"/>
        <w:snapToGrid w:val="0"/>
        <w:spacing w:before="0"/>
      </w:pPr>
      <w:r>
        <w:t>Se invitó a todos los Estados a participar en la segunda parte de la reunión. Asistieron las siguientes Pa</w:t>
      </w:r>
      <w:r w:rsidR="001E31E2">
        <w:t>rtes en el Protocolo de Nagoya:</w:t>
      </w:r>
    </w:p>
    <w:p w14:paraId="39DFF337" w14:textId="77777777" w:rsidR="00BA4A65" w:rsidRPr="007267A5" w:rsidRDefault="00BA4A65" w:rsidP="002208BB">
      <w:pPr>
        <w:pStyle w:val="Para1"/>
        <w:numPr>
          <w:ilvl w:val="0"/>
          <w:numId w:val="0"/>
        </w:numPr>
        <w:spacing w:before="0" w:after="0" w:line="360" w:lineRule="auto"/>
        <w:contextualSpacing/>
        <w:jc w:val="left"/>
        <w:sectPr w:rsidR="00BA4A65" w:rsidRPr="007267A5" w:rsidSect="00866C2E">
          <w:headerReference w:type="even" r:id="rId15"/>
          <w:headerReference w:type="default" r:id="rId16"/>
          <w:pgSz w:w="12240" w:h="15840"/>
          <w:pgMar w:top="567" w:right="1389" w:bottom="1134" w:left="1389" w:header="461" w:footer="720" w:gutter="0"/>
          <w:cols w:space="708"/>
          <w:titlePg/>
          <w:docGrid w:linePitch="360"/>
        </w:sectPr>
      </w:pPr>
    </w:p>
    <w:p w14:paraId="407C1E69" w14:textId="77777777" w:rsidR="001E31E2" w:rsidRPr="007267A5" w:rsidRDefault="001E31E2" w:rsidP="007267A5">
      <w:pPr>
        <w:pStyle w:val="Para1"/>
        <w:numPr>
          <w:ilvl w:val="0"/>
          <w:numId w:val="0"/>
        </w:numPr>
        <w:spacing w:before="60" w:after="60"/>
        <w:ind w:left="142" w:hanging="142"/>
        <w:contextualSpacing/>
        <w:jc w:val="left"/>
      </w:pPr>
      <w:r>
        <w:t>Albania</w:t>
      </w:r>
    </w:p>
    <w:p w14:paraId="74A77ED4" w14:textId="77777777" w:rsidR="001E31E2" w:rsidRPr="007267A5" w:rsidRDefault="001E31E2" w:rsidP="007267A5">
      <w:pPr>
        <w:pStyle w:val="Para1"/>
        <w:numPr>
          <w:ilvl w:val="0"/>
          <w:numId w:val="0"/>
        </w:numPr>
        <w:spacing w:before="60" w:after="60"/>
        <w:ind w:left="142" w:hanging="142"/>
        <w:contextualSpacing/>
        <w:jc w:val="left"/>
      </w:pPr>
      <w:r>
        <w:t>Alemania</w:t>
      </w:r>
    </w:p>
    <w:p w14:paraId="58B97F4E" w14:textId="77777777" w:rsidR="001E31E2" w:rsidRPr="007267A5" w:rsidRDefault="001E31E2" w:rsidP="007267A5">
      <w:pPr>
        <w:pStyle w:val="Para1"/>
        <w:numPr>
          <w:ilvl w:val="0"/>
          <w:numId w:val="0"/>
        </w:numPr>
        <w:spacing w:before="60" w:after="60"/>
        <w:ind w:left="142" w:hanging="142"/>
        <w:contextualSpacing/>
        <w:jc w:val="left"/>
      </w:pPr>
      <w:r>
        <w:t>Angola</w:t>
      </w:r>
    </w:p>
    <w:p w14:paraId="5F55A994" w14:textId="77777777" w:rsidR="001E31E2" w:rsidRPr="007267A5" w:rsidRDefault="001E31E2" w:rsidP="007267A5">
      <w:pPr>
        <w:pStyle w:val="Para1"/>
        <w:numPr>
          <w:ilvl w:val="0"/>
          <w:numId w:val="0"/>
        </w:numPr>
        <w:spacing w:before="60" w:after="60"/>
        <w:ind w:left="142" w:hanging="142"/>
        <w:contextualSpacing/>
        <w:jc w:val="left"/>
      </w:pPr>
      <w:r>
        <w:t>Antigua y Barbuda</w:t>
      </w:r>
    </w:p>
    <w:p w14:paraId="74576F39" w14:textId="77777777" w:rsidR="001E31E2" w:rsidRPr="007267A5" w:rsidRDefault="001E31E2" w:rsidP="007267A5">
      <w:pPr>
        <w:pStyle w:val="Para1"/>
        <w:numPr>
          <w:ilvl w:val="0"/>
          <w:numId w:val="0"/>
        </w:numPr>
        <w:spacing w:before="60" w:after="60"/>
        <w:ind w:left="142" w:hanging="142"/>
        <w:contextualSpacing/>
        <w:jc w:val="left"/>
      </w:pPr>
      <w:r>
        <w:t>Arabia Saudita</w:t>
      </w:r>
    </w:p>
    <w:p w14:paraId="5952E374" w14:textId="77777777" w:rsidR="001E31E2" w:rsidRPr="007267A5" w:rsidRDefault="001E31E2" w:rsidP="007267A5">
      <w:pPr>
        <w:pStyle w:val="Para1"/>
        <w:numPr>
          <w:ilvl w:val="0"/>
          <w:numId w:val="0"/>
        </w:numPr>
        <w:spacing w:before="60" w:after="60"/>
        <w:ind w:left="142" w:hanging="142"/>
        <w:contextualSpacing/>
        <w:jc w:val="left"/>
      </w:pPr>
      <w:r>
        <w:t xml:space="preserve">Argentina </w:t>
      </w:r>
    </w:p>
    <w:p w14:paraId="5BECBBD2" w14:textId="77777777" w:rsidR="001E31E2" w:rsidRPr="007267A5" w:rsidRDefault="001E31E2" w:rsidP="007267A5">
      <w:pPr>
        <w:pStyle w:val="Para1"/>
        <w:numPr>
          <w:ilvl w:val="0"/>
          <w:numId w:val="0"/>
        </w:numPr>
        <w:spacing w:before="60" w:after="60"/>
        <w:ind w:left="142" w:hanging="142"/>
        <w:contextualSpacing/>
        <w:jc w:val="left"/>
      </w:pPr>
      <w:r>
        <w:t>Austria</w:t>
      </w:r>
    </w:p>
    <w:p w14:paraId="23EE4999" w14:textId="77777777" w:rsidR="001E31E2" w:rsidRPr="007267A5" w:rsidRDefault="001E31E2" w:rsidP="007267A5">
      <w:pPr>
        <w:pStyle w:val="Para1"/>
        <w:numPr>
          <w:ilvl w:val="0"/>
          <w:numId w:val="0"/>
        </w:numPr>
        <w:spacing w:before="60" w:after="60"/>
        <w:ind w:left="142" w:hanging="142"/>
        <w:contextualSpacing/>
        <w:jc w:val="left"/>
      </w:pPr>
      <w:r>
        <w:t>Bahamas</w:t>
      </w:r>
    </w:p>
    <w:p w14:paraId="078A320D" w14:textId="77777777" w:rsidR="001E31E2" w:rsidRPr="007267A5" w:rsidRDefault="001E31E2" w:rsidP="007267A5">
      <w:pPr>
        <w:pStyle w:val="Para1"/>
        <w:numPr>
          <w:ilvl w:val="0"/>
          <w:numId w:val="0"/>
        </w:numPr>
        <w:spacing w:before="60" w:after="60"/>
        <w:ind w:left="142" w:hanging="142"/>
        <w:contextualSpacing/>
        <w:jc w:val="left"/>
      </w:pPr>
      <w:r>
        <w:t>Bahrein</w:t>
      </w:r>
    </w:p>
    <w:p w14:paraId="5BAECA6D" w14:textId="77777777" w:rsidR="001E31E2" w:rsidRPr="007267A5" w:rsidRDefault="001E31E2" w:rsidP="007267A5">
      <w:pPr>
        <w:pStyle w:val="Para1"/>
        <w:numPr>
          <w:ilvl w:val="0"/>
          <w:numId w:val="0"/>
        </w:numPr>
        <w:spacing w:before="60" w:after="60"/>
        <w:ind w:left="142" w:hanging="142"/>
        <w:contextualSpacing/>
        <w:jc w:val="left"/>
      </w:pPr>
      <w:r>
        <w:t>Belarús</w:t>
      </w:r>
    </w:p>
    <w:p w14:paraId="5B98B028" w14:textId="77777777" w:rsidR="001E31E2" w:rsidRPr="007267A5" w:rsidRDefault="001E31E2" w:rsidP="007267A5">
      <w:pPr>
        <w:pStyle w:val="Para1"/>
        <w:numPr>
          <w:ilvl w:val="0"/>
          <w:numId w:val="0"/>
        </w:numPr>
        <w:spacing w:before="60" w:after="60"/>
        <w:ind w:left="142" w:hanging="142"/>
        <w:contextualSpacing/>
        <w:jc w:val="left"/>
      </w:pPr>
      <w:r>
        <w:t>Bélgica</w:t>
      </w:r>
    </w:p>
    <w:p w14:paraId="0BAAD257" w14:textId="77777777" w:rsidR="001E31E2" w:rsidRPr="00F9543F" w:rsidRDefault="001E31E2" w:rsidP="007267A5">
      <w:pPr>
        <w:pStyle w:val="Para1"/>
        <w:numPr>
          <w:ilvl w:val="0"/>
          <w:numId w:val="0"/>
        </w:numPr>
        <w:spacing w:before="60" w:after="60"/>
        <w:ind w:left="142" w:hanging="142"/>
        <w:contextualSpacing/>
        <w:jc w:val="left"/>
      </w:pPr>
      <w:r>
        <w:t>Benin</w:t>
      </w:r>
    </w:p>
    <w:p w14:paraId="335404FC" w14:textId="77777777" w:rsidR="001E31E2" w:rsidRPr="00F9543F" w:rsidRDefault="001E31E2" w:rsidP="007267A5">
      <w:pPr>
        <w:pStyle w:val="Para1"/>
        <w:numPr>
          <w:ilvl w:val="0"/>
          <w:numId w:val="0"/>
        </w:numPr>
        <w:spacing w:before="60" w:after="60"/>
        <w:ind w:left="142" w:hanging="142"/>
        <w:contextualSpacing/>
        <w:jc w:val="left"/>
      </w:pPr>
      <w:r>
        <w:t>Bhután</w:t>
      </w:r>
    </w:p>
    <w:p w14:paraId="395005EC" w14:textId="77777777" w:rsidR="001E31E2" w:rsidRPr="00F9543F" w:rsidRDefault="001E31E2" w:rsidP="007267A5">
      <w:pPr>
        <w:pStyle w:val="Para1"/>
        <w:numPr>
          <w:ilvl w:val="0"/>
          <w:numId w:val="0"/>
        </w:numPr>
        <w:spacing w:before="60" w:after="60"/>
        <w:ind w:left="142" w:hanging="142"/>
        <w:contextualSpacing/>
        <w:jc w:val="left"/>
      </w:pPr>
      <w:r>
        <w:t>Bolivia (Estado Plurinacional de)</w:t>
      </w:r>
    </w:p>
    <w:p w14:paraId="4E00086C" w14:textId="77777777" w:rsidR="001E31E2" w:rsidRPr="007267A5" w:rsidRDefault="001E31E2" w:rsidP="007267A5">
      <w:pPr>
        <w:pStyle w:val="Para1"/>
        <w:numPr>
          <w:ilvl w:val="0"/>
          <w:numId w:val="0"/>
        </w:numPr>
        <w:spacing w:before="60" w:after="60"/>
        <w:ind w:left="142" w:hanging="142"/>
        <w:contextualSpacing/>
        <w:jc w:val="left"/>
      </w:pPr>
      <w:r>
        <w:t>Botswana</w:t>
      </w:r>
    </w:p>
    <w:p w14:paraId="72500155" w14:textId="77777777" w:rsidR="001E31E2" w:rsidRPr="007267A5" w:rsidRDefault="001E31E2" w:rsidP="007267A5">
      <w:pPr>
        <w:pStyle w:val="Para1"/>
        <w:numPr>
          <w:ilvl w:val="0"/>
          <w:numId w:val="0"/>
        </w:numPr>
        <w:spacing w:before="60" w:after="60"/>
        <w:ind w:left="142" w:hanging="142"/>
        <w:contextualSpacing/>
        <w:jc w:val="left"/>
      </w:pPr>
      <w:r>
        <w:t>Brasil</w:t>
      </w:r>
    </w:p>
    <w:p w14:paraId="024FFB84" w14:textId="77777777" w:rsidR="001E31E2" w:rsidRPr="007267A5" w:rsidRDefault="001E31E2" w:rsidP="007267A5">
      <w:pPr>
        <w:pStyle w:val="Para1"/>
        <w:numPr>
          <w:ilvl w:val="0"/>
          <w:numId w:val="0"/>
        </w:numPr>
        <w:spacing w:before="60" w:after="60"/>
        <w:ind w:left="142" w:hanging="142"/>
        <w:contextualSpacing/>
        <w:jc w:val="left"/>
      </w:pPr>
      <w:r>
        <w:t>Bulgaria</w:t>
      </w:r>
    </w:p>
    <w:p w14:paraId="51709E24" w14:textId="77777777" w:rsidR="001E31E2" w:rsidRPr="007267A5" w:rsidRDefault="001E31E2" w:rsidP="007267A5">
      <w:pPr>
        <w:pStyle w:val="Para1"/>
        <w:numPr>
          <w:ilvl w:val="0"/>
          <w:numId w:val="0"/>
        </w:numPr>
        <w:spacing w:before="60" w:after="60"/>
        <w:ind w:left="142" w:hanging="142"/>
        <w:contextualSpacing/>
        <w:jc w:val="left"/>
      </w:pPr>
      <w:r>
        <w:t>Burkina Faso</w:t>
      </w:r>
    </w:p>
    <w:p w14:paraId="686FA4D8" w14:textId="77777777" w:rsidR="001E31E2" w:rsidRPr="007267A5" w:rsidRDefault="001E31E2" w:rsidP="007267A5">
      <w:pPr>
        <w:pStyle w:val="Para1"/>
        <w:numPr>
          <w:ilvl w:val="0"/>
          <w:numId w:val="0"/>
        </w:numPr>
        <w:spacing w:before="60" w:after="60"/>
        <w:ind w:left="142" w:hanging="142"/>
        <w:contextualSpacing/>
        <w:jc w:val="left"/>
      </w:pPr>
      <w:r>
        <w:t>Burundi</w:t>
      </w:r>
    </w:p>
    <w:p w14:paraId="1E13D42D" w14:textId="77777777" w:rsidR="001E31E2" w:rsidRPr="007267A5" w:rsidRDefault="001E31E2" w:rsidP="007267A5">
      <w:pPr>
        <w:pStyle w:val="Para1"/>
        <w:numPr>
          <w:ilvl w:val="0"/>
          <w:numId w:val="0"/>
        </w:numPr>
        <w:spacing w:before="60" w:after="60"/>
        <w:ind w:left="142" w:hanging="142"/>
        <w:contextualSpacing/>
        <w:jc w:val="left"/>
      </w:pPr>
      <w:r>
        <w:t>Camboya</w:t>
      </w:r>
    </w:p>
    <w:p w14:paraId="79BF96CA" w14:textId="77777777" w:rsidR="001E31E2" w:rsidRPr="007267A5" w:rsidRDefault="001E31E2" w:rsidP="007267A5">
      <w:pPr>
        <w:pStyle w:val="Para1"/>
        <w:numPr>
          <w:ilvl w:val="0"/>
          <w:numId w:val="0"/>
        </w:numPr>
        <w:spacing w:before="60" w:after="60"/>
        <w:ind w:left="142" w:hanging="142"/>
        <w:contextualSpacing/>
        <w:jc w:val="left"/>
      </w:pPr>
      <w:r>
        <w:t>Camerún</w:t>
      </w:r>
    </w:p>
    <w:p w14:paraId="4608B86C" w14:textId="77777777" w:rsidR="001E31E2" w:rsidRPr="007267A5" w:rsidRDefault="001E31E2" w:rsidP="007267A5">
      <w:pPr>
        <w:pStyle w:val="Para1"/>
        <w:numPr>
          <w:ilvl w:val="0"/>
          <w:numId w:val="0"/>
        </w:numPr>
        <w:spacing w:before="60" w:after="60"/>
        <w:ind w:left="142" w:hanging="142"/>
        <w:contextualSpacing/>
        <w:jc w:val="left"/>
      </w:pPr>
      <w:r>
        <w:t>Chad</w:t>
      </w:r>
    </w:p>
    <w:p w14:paraId="5797D695" w14:textId="77777777" w:rsidR="001E31E2" w:rsidRPr="007267A5" w:rsidRDefault="001E31E2" w:rsidP="007267A5">
      <w:pPr>
        <w:pStyle w:val="Para1"/>
        <w:numPr>
          <w:ilvl w:val="0"/>
          <w:numId w:val="0"/>
        </w:numPr>
        <w:spacing w:before="60" w:after="60"/>
        <w:ind w:left="142" w:hanging="142"/>
        <w:contextualSpacing/>
        <w:jc w:val="left"/>
      </w:pPr>
      <w:r>
        <w:t>Chequia</w:t>
      </w:r>
    </w:p>
    <w:p w14:paraId="770FF9AD" w14:textId="77777777" w:rsidR="001E31E2" w:rsidRPr="007267A5" w:rsidRDefault="001E31E2" w:rsidP="007267A5">
      <w:pPr>
        <w:pStyle w:val="Para1"/>
        <w:numPr>
          <w:ilvl w:val="0"/>
          <w:numId w:val="0"/>
        </w:numPr>
        <w:spacing w:before="60" w:after="60"/>
        <w:ind w:left="142" w:hanging="142"/>
        <w:contextualSpacing/>
        <w:jc w:val="left"/>
      </w:pPr>
      <w:r>
        <w:t>China</w:t>
      </w:r>
    </w:p>
    <w:p w14:paraId="3AEA6319" w14:textId="77777777" w:rsidR="001E31E2" w:rsidRPr="007267A5" w:rsidRDefault="001E31E2" w:rsidP="007267A5">
      <w:pPr>
        <w:pStyle w:val="Para1"/>
        <w:numPr>
          <w:ilvl w:val="0"/>
          <w:numId w:val="0"/>
        </w:numPr>
        <w:spacing w:before="60" w:after="60"/>
        <w:ind w:left="142" w:hanging="142"/>
        <w:contextualSpacing/>
        <w:jc w:val="left"/>
      </w:pPr>
      <w:r>
        <w:t>Comoras</w:t>
      </w:r>
    </w:p>
    <w:p w14:paraId="4CE89CA9" w14:textId="77777777" w:rsidR="001E31E2" w:rsidRPr="007267A5" w:rsidRDefault="001E31E2" w:rsidP="007267A5">
      <w:pPr>
        <w:pStyle w:val="Para1"/>
        <w:numPr>
          <w:ilvl w:val="0"/>
          <w:numId w:val="0"/>
        </w:numPr>
        <w:spacing w:before="60" w:after="60"/>
        <w:ind w:left="142" w:hanging="142"/>
        <w:contextualSpacing/>
        <w:jc w:val="left"/>
      </w:pPr>
      <w:r>
        <w:t>Congo</w:t>
      </w:r>
    </w:p>
    <w:p w14:paraId="12CECC6D" w14:textId="77777777" w:rsidR="001E31E2" w:rsidRPr="007267A5" w:rsidRDefault="001E31E2" w:rsidP="007267A5">
      <w:pPr>
        <w:pStyle w:val="Para1"/>
        <w:numPr>
          <w:ilvl w:val="0"/>
          <w:numId w:val="0"/>
        </w:numPr>
        <w:spacing w:before="60" w:after="60"/>
        <w:ind w:left="142" w:hanging="142"/>
        <w:contextualSpacing/>
        <w:jc w:val="left"/>
      </w:pPr>
      <w:r>
        <w:t>Côte d’Ivoire</w:t>
      </w:r>
    </w:p>
    <w:p w14:paraId="22851A96" w14:textId="77777777" w:rsidR="001E31E2" w:rsidRPr="007267A5" w:rsidRDefault="001E31E2" w:rsidP="007267A5">
      <w:pPr>
        <w:pStyle w:val="Para1"/>
        <w:numPr>
          <w:ilvl w:val="0"/>
          <w:numId w:val="0"/>
        </w:numPr>
        <w:spacing w:before="60" w:after="60"/>
        <w:ind w:left="142" w:hanging="142"/>
        <w:contextualSpacing/>
        <w:jc w:val="left"/>
      </w:pPr>
      <w:r>
        <w:t>Croacia</w:t>
      </w:r>
    </w:p>
    <w:p w14:paraId="6759ADAD" w14:textId="77777777" w:rsidR="001E31E2" w:rsidRPr="007267A5" w:rsidRDefault="001E31E2" w:rsidP="007267A5">
      <w:pPr>
        <w:pStyle w:val="Para1"/>
        <w:numPr>
          <w:ilvl w:val="0"/>
          <w:numId w:val="0"/>
        </w:numPr>
        <w:spacing w:before="60" w:after="60"/>
        <w:ind w:left="142" w:hanging="142"/>
        <w:contextualSpacing/>
        <w:jc w:val="left"/>
      </w:pPr>
      <w:r>
        <w:t>Cuba</w:t>
      </w:r>
    </w:p>
    <w:p w14:paraId="7668C719" w14:textId="77777777" w:rsidR="001E31E2" w:rsidRPr="00F9543F" w:rsidRDefault="001E31E2" w:rsidP="007267A5">
      <w:pPr>
        <w:pStyle w:val="Para1"/>
        <w:numPr>
          <w:ilvl w:val="0"/>
          <w:numId w:val="0"/>
        </w:numPr>
        <w:spacing w:before="60" w:after="60"/>
        <w:ind w:left="142" w:hanging="142"/>
        <w:contextualSpacing/>
        <w:jc w:val="left"/>
      </w:pPr>
      <w:r>
        <w:t>Dinamarca</w:t>
      </w:r>
    </w:p>
    <w:p w14:paraId="2CAAF096" w14:textId="77777777" w:rsidR="001E31E2" w:rsidRPr="007267A5" w:rsidRDefault="001E31E2" w:rsidP="007267A5">
      <w:pPr>
        <w:pStyle w:val="Para1"/>
        <w:numPr>
          <w:ilvl w:val="0"/>
          <w:numId w:val="0"/>
        </w:numPr>
        <w:spacing w:before="60" w:after="60"/>
        <w:ind w:left="142" w:hanging="142"/>
        <w:contextualSpacing/>
        <w:jc w:val="left"/>
      </w:pPr>
      <w:r>
        <w:t>Djibouti</w:t>
      </w:r>
    </w:p>
    <w:p w14:paraId="34DC708D" w14:textId="77777777" w:rsidR="001E31E2" w:rsidRPr="007267A5" w:rsidRDefault="001E31E2" w:rsidP="007267A5">
      <w:pPr>
        <w:pStyle w:val="Para1"/>
        <w:numPr>
          <w:ilvl w:val="0"/>
          <w:numId w:val="0"/>
        </w:numPr>
        <w:spacing w:before="60" w:after="60"/>
        <w:ind w:left="142" w:hanging="142"/>
        <w:contextualSpacing/>
        <w:jc w:val="left"/>
      </w:pPr>
      <w:r>
        <w:t>Ecuador</w:t>
      </w:r>
    </w:p>
    <w:p w14:paraId="07D6A4B2" w14:textId="77777777" w:rsidR="001E31E2" w:rsidRPr="007267A5" w:rsidRDefault="001E31E2" w:rsidP="007267A5">
      <w:pPr>
        <w:pStyle w:val="Para1"/>
        <w:numPr>
          <w:ilvl w:val="0"/>
          <w:numId w:val="0"/>
        </w:numPr>
        <w:spacing w:before="60" w:after="60"/>
        <w:ind w:left="142" w:hanging="142"/>
        <w:contextualSpacing/>
        <w:jc w:val="left"/>
      </w:pPr>
      <w:r>
        <w:t>Egipto</w:t>
      </w:r>
    </w:p>
    <w:p w14:paraId="5079017A" w14:textId="77777777" w:rsidR="001E31E2" w:rsidRPr="007267A5" w:rsidRDefault="001E31E2" w:rsidP="007267A5">
      <w:pPr>
        <w:pStyle w:val="Para1"/>
        <w:numPr>
          <w:ilvl w:val="0"/>
          <w:numId w:val="0"/>
        </w:numPr>
        <w:spacing w:before="60" w:after="60"/>
        <w:ind w:left="142" w:hanging="142"/>
        <w:contextualSpacing/>
        <w:jc w:val="left"/>
      </w:pPr>
      <w:r>
        <w:t>Emiratos Árabes Unidos</w:t>
      </w:r>
    </w:p>
    <w:p w14:paraId="4D3A83BB" w14:textId="77777777" w:rsidR="001E31E2" w:rsidRPr="007267A5" w:rsidRDefault="001E31E2" w:rsidP="007267A5">
      <w:pPr>
        <w:pStyle w:val="Para1"/>
        <w:numPr>
          <w:ilvl w:val="0"/>
          <w:numId w:val="0"/>
        </w:numPr>
        <w:spacing w:before="60" w:after="60"/>
        <w:ind w:left="142" w:hanging="142"/>
        <w:contextualSpacing/>
        <w:jc w:val="left"/>
      </w:pPr>
      <w:r>
        <w:t>Eritrea</w:t>
      </w:r>
    </w:p>
    <w:p w14:paraId="58DC71AD" w14:textId="77777777" w:rsidR="001E31E2" w:rsidRPr="007267A5" w:rsidRDefault="001E31E2" w:rsidP="007267A5">
      <w:pPr>
        <w:pStyle w:val="Para1"/>
        <w:numPr>
          <w:ilvl w:val="0"/>
          <w:numId w:val="0"/>
        </w:numPr>
        <w:spacing w:before="60" w:after="60"/>
        <w:ind w:left="142" w:hanging="142"/>
        <w:contextualSpacing/>
        <w:jc w:val="left"/>
      </w:pPr>
      <w:r>
        <w:t>Eslovaquia</w:t>
      </w:r>
    </w:p>
    <w:p w14:paraId="1C01E466" w14:textId="77777777" w:rsidR="001E31E2" w:rsidRPr="007267A5" w:rsidRDefault="001E31E2" w:rsidP="007267A5">
      <w:pPr>
        <w:pStyle w:val="Para1"/>
        <w:numPr>
          <w:ilvl w:val="0"/>
          <w:numId w:val="0"/>
        </w:numPr>
        <w:spacing w:before="60" w:after="60"/>
        <w:ind w:left="142" w:hanging="142"/>
        <w:contextualSpacing/>
        <w:jc w:val="left"/>
      </w:pPr>
      <w:r>
        <w:t>España</w:t>
      </w:r>
    </w:p>
    <w:p w14:paraId="0FA3DBC6" w14:textId="77777777" w:rsidR="001E31E2" w:rsidRPr="007267A5" w:rsidRDefault="001E31E2" w:rsidP="007267A5">
      <w:pPr>
        <w:pStyle w:val="Para1"/>
        <w:numPr>
          <w:ilvl w:val="0"/>
          <w:numId w:val="0"/>
        </w:numPr>
        <w:spacing w:before="60" w:after="60"/>
        <w:ind w:left="142" w:hanging="142"/>
        <w:contextualSpacing/>
        <w:jc w:val="left"/>
      </w:pPr>
      <w:r>
        <w:t>Estonia</w:t>
      </w:r>
    </w:p>
    <w:p w14:paraId="1C32EFAF" w14:textId="77777777" w:rsidR="001E31E2" w:rsidRPr="007267A5" w:rsidRDefault="001E31E2" w:rsidP="007267A5">
      <w:pPr>
        <w:pStyle w:val="Para1"/>
        <w:numPr>
          <w:ilvl w:val="0"/>
          <w:numId w:val="0"/>
        </w:numPr>
        <w:spacing w:before="60" w:after="60"/>
        <w:ind w:left="142" w:hanging="142"/>
        <w:contextualSpacing/>
        <w:jc w:val="left"/>
      </w:pPr>
      <w:r>
        <w:t>Eswatini</w:t>
      </w:r>
    </w:p>
    <w:p w14:paraId="6921BB41" w14:textId="77777777" w:rsidR="001E31E2" w:rsidRPr="007267A5" w:rsidRDefault="001E31E2" w:rsidP="007267A5">
      <w:pPr>
        <w:pStyle w:val="Para1"/>
        <w:numPr>
          <w:ilvl w:val="0"/>
          <w:numId w:val="0"/>
        </w:numPr>
        <w:spacing w:before="60" w:after="60"/>
        <w:ind w:left="142" w:hanging="142"/>
        <w:contextualSpacing/>
        <w:jc w:val="left"/>
      </w:pPr>
      <w:r>
        <w:t>Etiopía</w:t>
      </w:r>
    </w:p>
    <w:p w14:paraId="4E198CAC" w14:textId="77777777" w:rsidR="001E31E2" w:rsidRPr="007267A5" w:rsidRDefault="001E31E2" w:rsidP="007267A5">
      <w:pPr>
        <w:pStyle w:val="Para1"/>
        <w:numPr>
          <w:ilvl w:val="0"/>
          <w:numId w:val="0"/>
        </w:numPr>
        <w:spacing w:before="60" w:after="60"/>
        <w:ind w:left="142" w:hanging="142"/>
        <w:contextualSpacing/>
        <w:jc w:val="left"/>
      </w:pPr>
      <w:r>
        <w:t>Fiji</w:t>
      </w:r>
    </w:p>
    <w:p w14:paraId="45367714" w14:textId="77777777" w:rsidR="001E31E2" w:rsidRPr="007267A5" w:rsidRDefault="001E31E2" w:rsidP="007267A5">
      <w:pPr>
        <w:pStyle w:val="Para1"/>
        <w:numPr>
          <w:ilvl w:val="0"/>
          <w:numId w:val="0"/>
        </w:numPr>
        <w:spacing w:before="60" w:after="60"/>
        <w:ind w:left="142" w:hanging="142"/>
        <w:contextualSpacing/>
        <w:jc w:val="left"/>
      </w:pPr>
      <w:r>
        <w:t>Filipinas</w:t>
      </w:r>
    </w:p>
    <w:p w14:paraId="558316E0" w14:textId="77777777" w:rsidR="001E31E2" w:rsidRPr="007267A5" w:rsidRDefault="001E31E2" w:rsidP="007267A5">
      <w:pPr>
        <w:pStyle w:val="Para1"/>
        <w:numPr>
          <w:ilvl w:val="0"/>
          <w:numId w:val="0"/>
        </w:numPr>
        <w:spacing w:before="60" w:after="60"/>
        <w:ind w:left="142" w:hanging="142"/>
        <w:contextualSpacing/>
        <w:jc w:val="left"/>
      </w:pPr>
      <w:r>
        <w:t>Finlandia</w:t>
      </w:r>
    </w:p>
    <w:p w14:paraId="21117CB3" w14:textId="77777777" w:rsidR="001E31E2" w:rsidRPr="007267A5" w:rsidRDefault="001E31E2" w:rsidP="007267A5">
      <w:pPr>
        <w:pStyle w:val="Para1"/>
        <w:numPr>
          <w:ilvl w:val="0"/>
          <w:numId w:val="0"/>
        </w:numPr>
        <w:spacing w:before="60" w:after="60"/>
        <w:ind w:left="142" w:hanging="142"/>
        <w:contextualSpacing/>
        <w:jc w:val="left"/>
      </w:pPr>
      <w:r>
        <w:t>Francia</w:t>
      </w:r>
    </w:p>
    <w:p w14:paraId="36E99307" w14:textId="77777777" w:rsidR="001E31E2" w:rsidRPr="007267A5" w:rsidRDefault="001E31E2" w:rsidP="007267A5">
      <w:pPr>
        <w:pStyle w:val="Para1"/>
        <w:numPr>
          <w:ilvl w:val="0"/>
          <w:numId w:val="0"/>
        </w:numPr>
        <w:spacing w:before="60" w:after="60"/>
        <w:ind w:left="142" w:hanging="142"/>
        <w:contextualSpacing/>
        <w:jc w:val="left"/>
      </w:pPr>
      <w:r>
        <w:t>Gabón</w:t>
      </w:r>
    </w:p>
    <w:p w14:paraId="39BA4FA1" w14:textId="77777777" w:rsidR="001E31E2" w:rsidRPr="007267A5" w:rsidRDefault="001E31E2" w:rsidP="007267A5">
      <w:pPr>
        <w:pStyle w:val="Para1"/>
        <w:numPr>
          <w:ilvl w:val="0"/>
          <w:numId w:val="0"/>
        </w:numPr>
        <w:spacing w:before="60" w:after="60"/>
        <w:ind w:left="142" w:hanging="142"/>
        <w:contextualSpacing/>
        <w:jc w:val="left"/>
      </w:pPr>
      <w:r>
        <w:t>Gambia</w:t>
      </w:r>
    </w:p>
    <w:p w14:paraId="3B8DB665" w14:textId="77777777" w:rsidR="001E31E2" w:rsidRPr="007267A5" w:rsidRDefault="001E31E2" w:rsidP="007267A5">
      <w:pPr>
        <w:pStyle w:val="Para1"/>
        <w:numPr>
          <w:ilvl w:val="0"/>
          <w:numId w:val="0"/>
        </w:numPr>
        <w:spacing w:before="60" w:after="60"/>
        <w:ind w:left="142" w:hanging="142"/>
        <w:contextualSpacing/>
        <w:jc w:val="left"/>
      </w:pPr>
      <w:r>
        <w:t>Ghana</w:t>
      </w:r>
    </w:p>
    <w:p w14:paraId="469B118A" w14:textId="77777777" w:rsidR="001E31E2" w:rsidRPr="007267A5" w:rsidRDefault="001E31E2" w:rsidP="007267A5">
      <w:pPr>
        <w:pStyle w:val="Para1"/>
        <w:numPr>
          <w:ilvl w:val="0"/>
          <w:numId w:val="0"/>
        </w:numPr>
        <w:spacing w:before="60" w:after="60"/>
        <w:ind w:left="142" w:hanging="142"/>
        <w:contextualSpacing/>
        <w:jc w:val="left"/>
      </w:pPr>
      <w:r>
        <w:t xml:space="preserve">Grecia </w:t>
      </w:r>
    </w:p>
    <w:p w14:paraId="45FCB499" w14:textId="77777777" w:rsidR="001E31E2" w:rsidRPr="007267A5" w:rsidRDefault="001E31E2" w:rsidP="007267A5">
      <w:pPr>
        <w:pStyle w:val="Para1"/>
        <w:numPr>
          <w:ilvl w:val="0"/>
          <w:numId w:val="0"/>
        </w:numPr>
        <w:spacing w:before="60" w:after="60"/>
        <w:ind w:left="142" w:hanging="142"/>
        <w:contextualSpacing/>
        <w:jc w:val="left"/>
      </w:pPr>
      <w:r>
        <w:t>Guatemala</w:t>
      </w:r>
    </w:p>
    <w:p w14:paraId="0AA926C7" w14:textId="77777777" w:rsidR="001E31E2" w:rsidRPr="007267A5" w:rsidRDefault="001E31E2" w:rsidP="007267A5">
      <w:pPr>
        <w:pStyle w:val="Para1"/>
        <w:numPr>
          <w:ilvl w:val="0"/>
          <w:numId w:val="0"/>
        </w:numPr>
        <w:spacing w:before="60" w:after="60"/>
        <w:ind w:left="142" w:hanging="142"/>
        <w:contextualSpacing/>
        <w:jc w:val="left"/>
      </w:pPr>
      <w:r>
        <w:t>Guinea</w:t>
      </w:r>
    </w:p>
    <w:p w14:paraId="164167ED" w14:textId="77777777" w:rsidR="001E31E2" w:rsidRPr="007267A5" w:rsidRDefault="001E31E2" w:rsidP="007267A5">
      <w:pPr>
        <w:pStyle w:val="Para1"/>
        <w:numPr>
          <w:ilvl w:val="0"/>
          <w:numId w:val="0"/>
        </w:numPr>
        <w:spacing w:before="60" w:after="60"/>
        <w:ind w:left="142" w:hanging="142"/>
        <w:contextualSpacing/>
        <w:jc w:val="left"/>
      </w:pPr>
      <w:r>
        <w:t>Guinea-Bissau</w:t>
      </w:r>
    </w:p>
    <w:p w14:paraId="663CBB73" w14:textId="77777777" w:rsidR="001E31E2" w:rsidRPr="007267A5" w:rsidRDefault="001E31E2" w:rsidP="007267A5">
      <w:pPr>
        <w:pStyle w:val="Para1"/>
        <w:numPr>
          <w:ilvl w:val="0"/>
          <w:numId w:val="0"/>
        </w:numPr>
        <w:spacing w:before="60" w:after="60"/>
        <w:ind w:left="142" w:hanging="142"/>
        <w:contextualSpacing/>
        <w:jc w:val="left"/>
      </w:pPr>
      <w:r>
        <w:t>Guyana</w:t>
      </w:r>
    </w:p>
    <w:p w14:paraId="42F00823" w14:textId="77777777" w:rsidR="001E31E2" w:rsidRPr="007267A5" w:rsidRDefault="001E31E2" w:rsidP="007267A5">
      <w:pPr>
        <w:pStyle w:val="Para1"/>
        <w:numPr>
          <w:ilvl w:val="0"/>
          <w:numId w:val="0"/>
        </w:numPr>
        <w:spacing w:before="60" w:after="60"/>
        <w:ind w:left="142" w:hanging="142"/>
        <w:contextualSpacing/>
        <w:jc w:val="left"/>
      </w:pPr>
      <w:r>
        <w:t>Honduras</w:t>
      </w:r>
    </w:p>
    <w:p w14:paraId="0D750CFF" w14:textId="77777777" w:rsidR="001E31E2" w:rsidRPr="007267A5" w:rsidRDefault="001E31E2" w:rsidP="007267A5">
      <w:pPr>
        <w:pStyle w:val="Para1"/>
        <w:numPr>
          <w:ilvl w:val="0"/>
          <w:numId w:val="0"/>
        </w:numPr>
        <w:spacing w:before="60" w:after="60"/>
        <w:ind w:left="142" w:hanging="142"/>
        <w:contextualSpacing/>
        <w:jc w:val="left"/>
      </w:pPr>
      <w:r>
        <w:t>Hungría</w:t>
      </w:r>
    </w:p>
    <w:p w14:paraId="5E8043CA" w14:textId="77777777" w:rsidR="001E31E2" w:rsidRPr="007267A5" w:rsidRDefault="001E31E2" w:rsidP="007267A5">
      <w:pPr>
        <w:pStyle w:val="Para1"/>
        <w:numPr>
          <w:ilvl w:val="0"/>
          <w:numId w:val="0"/>
        </w:numPr>
        <w:spacing w:before="60" w:after="60"/>
        <w:ind w:left="142" w:hanging="142"/>
        <w:contextualSpacing/>
        <w:jc w:val="left"/>
      </w:pPr>
      <w:r>
        <w:t>India</w:t>
      </w:r>
    </w:p>
    <w:p w14:paraId="79B57C37" w14:textId="77777777" w:rsidR="001E31E2" w:rsidRPr="007267A5" w:rsidRDefault="001E31E2" w:rsidP="007267A5">
      <w:pPr>
        <w:pStyle w:val="Para1"/>
        <w:numPr>
          <w:ilvl w:val="0"/>
          <w:numId w:val="0"/>
        </w:numPr>
        <w:spacing w:before="60" w:after="60"/>
        <w:ind w:left="142" w:hanging="142"/>
        <w:contextualSpacing/>
        <w:jc w:val="left"/>
      </w:pPr>
      <w:r>
        <w:t>Indonesia</w:t>
      </w:r>
    </w:p>
    <w:p w14:paraId="426B3008" w14:textId="77777777" w:rsidR="001E31E2" w:rsidRPr="007267A5" w:rsidRDefault="001E31E2" w:rsidP="007267A5">
      <w:pPr>
        <w:pStyle w:val="Para1"/>
        <w:numPr>
          <w:ilvl w:val="0"/>
          <w:numId w:val="0"/>
        </w:numPr>
        <w:spacing w:before="60" w:after="60"/>
        <w:ind w:left="142" w:hanging="142"/>
        <w:contextualSpacing/>
        <w:jc w:val="left"/>
      </w:pPr>
      <w:r>
        <w:t>Islas Marshall</w:t>
      </w:r>
    </w:p>
    <w:p w14:paraId="251E8C08" w14:textId="77777777" w:rsidR="001E31E2" w:rsidRPr="007267A5" w:rsidRDefault="001E31E2" w:rsidP="007267A5">
      <w:pPr>
        <w:pStyle w:val="Para1"/>
        <w:numPr>
          <w:ilvl w:val="0"/>
          <w:numId w:val="0"/>
        </w:numPr>
        <w:spacing w:before="60" w:after="60"/>
        <w:ind w:left="142" w:hanging="142"/>
        <w:contextualSpacing/>
        <w:jc w:val="left"/>
      </w:pPr>
      <w:r>
        <w:t>Islas Salomón</w:t>
      </w:r>
    </w:p>
    <w:p w14:paraId="1FEEE2AE" w14:textId="77777777" w:rsidR="001E31E2" w:rsidRPr="007267A5" w:rsidRDefault="001E31E2" w:rsidP="007267A5">
      <w:pPr>
        <w:pStyle w:val="Para1"/>
        <w:numPr>
          <w:ilvl w:val="0"/>
          <w:numId w:val="0"/>
        </w:numPr>
        <w:spacing w:before="60" w:after="60"/>
        <w:ind w:left="142" w:hanging="142"/>
        <w:contextualSpacing/>
        <w:jc w:val="left"/>
      </w:pPr>
      <w:r>
        <w:t>Japón</w:t>
      </w:r>
    </w:p>
    <w:p w14:paraId="2A7AE389" w14:textId="77777777" w:rsidR="001E31E2" w:rsidRPr="007267A5" w:rsidRDefault="001E31E2" w:rsidP="007267A5">
      <w:pPr>
        <w:pStyle w:val="Para1"/>
        <w:numPr>
          <w:ilvl w:val="0"/>
          <w:numId w:val="0"/>
        </w:numPr>
        <w:spacing w:before="60" w:after="60"/>
        <w:ind w:left="142" w:hanging="142"/>
        <w:contextualSpacing/>
        <w:jc w:val="left"/>
      </w:pPr>
      <w:r>
        <w:t>Jordania</w:t>
      </w:r>
    </w:p>
    <w:p w14:paraId="4777CCB2" w14:textId="77777777" w:rsidR="001E31E2" w:rsidRPr="007267A5" w:rsidRDefault="001E31E2" w:rsidP="007267A5">
      <w:pPr>
        <w:pStyle w:val="Para1"/>
        <w:numPr>
          <w:ilvl w:val="0"/>
          <w:numId w:val="0"/>
        </w:numPr>
        <w:spacing w:before="60" w:after="60"/>
        <w:ind w:left="142" w:hanging="142"/>
        <w:contextualSpacing/>
        <w:jc w:val="left"/>
      </w:pPr>
      <w:r>
        <w:t>Kazajstán</w:t>
      </w:r>
    </w:p>
    <w:p w14:paraId="59F49EE8" w14:textId="77777777" w:rsidR="001E31E2" w:rsidRPr="007267A5" w:rsidRDefault="001E31E2" w:rsidP="007267A5">
      <w:pPr>
        <w:pStyle w:val="Para1"/>
        <w:numPr>
          <w:ilvl w:val="0"/>
          <w:numId w:val="0"/>
        </w:numPr>
        <w:spacing w:before="60" w:after="60"/>
        <w:ind w:left="142" w:hanging="142"/>
        <w:contextualSpacing/>
        <w:jc w:val="left"/>
      </w:pPr>
      <w:r>
        <w:t>Kenya</w:t>
      </w:r>
    </w:p>
    <w:p w14:paraId="188106BF" w14:textId="77777777" w:rsidR="001E31E2" w:rsidRPr="007267A5" w:rsidRDefault="001E31E2" w:rsidP="007267A5">
      <w:pPr>
        <w:pStyle w:val="Para1"/>
        <w:numPr>
          <w:ilvl w:val="0"/>
          <w:numId w:val="0"/>
        </w:numPr>
        <w:spacing w:before="60" w:after="60"/>
        <w:ind w:left="142" w:hanging="142"/>
        <w:contextualSpacing/>
        <w:jc w:val="left"/>
      </w:pPr>
      <w:r>
        <w:t>Kirguistán</w:t>
      </w:r>
    </w:p>
    <w:p w14:paraId="28EC8669" w14:textId="77777777" w:rsidR="001E31E2" w:rsidRPr="007267A5" w:rsidRDefault="001E31E2" w:rsidP="007267A5">
      <w:pPr>
        <w:pStyle w:val="Para1"/>
        <w:numPr>
          <w:ilvl w:val="0"/>
          <w:numId w:val="0"/>
        </w:numPr>
        <w:spacing w:before="60" w:after="60"/>
        <w:ind w:left="142" w:hanging="142"/>
        <w:contextualSpacing/>
        <w:jc w:val="left"/>
      </w:pPr>
      <w:r>
        <w:t>Kiribati</w:t>
      </w:r>
    </w:p>
    <w:p w14:paraId="14ED2664" w14:textId="77777777" w:rsidR="001E31E2" w:rsidRPr="007267A5" w:rsidRDefault="001E31E2" w:rsidP="00BA4A65">
      <w:pPr>
        <w:pStyle w:val="Para1"/>
        <w:numPr>
          <w:ilvl w:val="0"/>
          <w:numId w:val="0"/>
        </w:numPr>
        <w:spacing w:before="60" w:after="60"/>
        <w:ind w:left="142" w:hanging="142"/>
        <w:contextualSpacing/>
        <w:jc w:val="left"/>
      </w:pPr>
      <w:r>
        <w:t xml:space="preserve">Kuwait </w:t>
      </w:r>
    </w:p>
    <w:p w14:paraId="68E67F4D" w14:textId="77777777" w:rsidR="001E31E2" w:rsidRPr="007267A5" w:rsidRDefault="001E31E2" w:rsidP="007267A5">
      <w:pPr>
        <w:pStyle w:val="Para1"/>
        <w:numPr>
          <w:ilvl w:val="0"/>
          <w:numId w:val="0"/>
        </w:numPr>
        <w:spacing w:before="60" w:after="60"/>
        <w:ind w:left="142" w:hanging="142"/>
        <w:contextualSpacing/>
        <w:jc w:val="left"/>
      </w:pPr>
      <w:r>
        <w:t>Lesotho</w:t>
      </w:r>
    </w:p>
    <w:p w14:paraId="6DAE96EB" w14:textId="77777777" w:rsidR="001E31E2" w:rsidRPr="007267A5" w:rsidRDefault="001E31E2" w:rsidP="007267A5">
      <w:pPr>
        <w:pStyle w:val="Para1"/>
        <w:numPr>
          <w:ilvl w:val="0"/>
          <w:numId w:val="0"/>
        </w:numPr>
        <w:spacing w:before="60" w:after="60"/>
        <w:ind w:left="142" w:hanging="142"/>
        <w:contextualSpacing/>
        <w:jc w:val="left"/>
      </w:pPr>
      <w:r>
        <w:t>Líbano</w:t>
      </w:r>
    </w:p>
    <w:p w14:paraId="5DE0AF6E" w14:textId="77777777" w:rsidR="001E31E2" w:rsidRPr="007267A5" w:rsidRDefault="001E31E2" w:rsidP="007267A5">
      <w:pPr>
        <w:pStyle w:val="Para1"/>
        <w:numPr>
          <w:ilvl w:val="0"/>
          <w:numId w:val="0"/>
        </w:numPr>
        <w:spacing w:before="60" w:after="60"/>
        <w:ind w:left="142" w:hanging="142"/>
        <w:contextualSpacing/>
        <w:jc w:val="left"/>
      </w:pPr>
      <w:r>
        <w:t>Liberia</w:t>
      </w:r>
    </w:p>
    <w:p w14:paraId="0FB6E4C2" w14:textId="77777777" w:rsidR="001E31E2" w:rsidRPr="007267A5" w:rsidRDefault="001E31E2" w:rsidP="007267A5">
      <w:pPr>
        <w:pStyle w:val="Para1"/>
        <w:numPr>
          <w:ilvl w:val="0"/>
          <w:numId w:val="0"/>
        </w:numPr>
        <w:spacing w:before="60" w:after="60"/>
        <w:ind w:left="142" w:hanging="142"/>
        <w:contextualSpacing/>
        <w:jc w:val="left"/>
      </w:pPr>
      <w:r>
        <w:t>Luxemburgo</w:t>
      </w:r>
    </w:p>
    <w:p w14:paraId="76729920" w14:textId="77777777" w:rsidR="001E31E2" w:rsidRPr="007267A5" w:rsidRDefault="001E31E2" w:rsidP="007267A5">
      <w:pPr>
        <w:pStyle w:val="Para1"/>
        <w:numPr>
          <w:ilvl w:val="0"/>
          <w:numId w:val="0"/>
        </w:numPr>
        <w:spacing w:before="60" w:after="60"/>
        <w:ind w:left="142" w:hanging="142"/>
        <w:contextualSpacing/>
        <w:jc w:val="left"/>
      </w:pPr>
      <w:r>
        <w:t>Madagascar</w:t>
      </w:r>
    </w:p>
    <w:p w14:paraId="256958BD" w14:textId="77777777" w:rsidR="001E31E2" w:rsidRPr="007267A5" w:rsidRDefault="001E31E2" w:rsidP="007267A5">
      <w:pPr>
        <w:pStyle w:val="Para1"/>
        <w:numPr>
          <w:ilvl w:val="0"/>
          <w:numId w:val="0"/>
        </w:numPr>
        <w:spacing w:before="60" w:after="60"/>
        <w:ind w:left="142" w:hanging="142"/>
        <w:contextualSpacing/>
        <w:jc w:val="left"/>
      </w:pPr>
      <w:r>
        <w:t>Malasia</w:t>
      </w:r>
    </w:p>
    <w:p w14:paraId="557E04BB" w14:textId="77777777" w:rsidR="001E31E2" w:rsidRPr="007267A5" w:rsidRDefault="001E31E2" w:rsidP="007267A5">
      <w:pPr>
        <w:pStyle w:val="Para1"/>
        <w:numPr>
          <w:ilvl w:val="0"/>
          <w:numId w:val="0"/>
        </w:numPr>
        <w:spacing w:before="60" w:after="60"/>
        <w:ind w:left="142" w:hanging="142"/>
        <w:contextualSpacing/>
        <w:jc w:val="left"/>
      </w:pPr>
      <w:r>
        <w:t>Malawi</w:t>
      </w:r>
    </w:p>
    <w:p w14:paraId="5E884B01" w14:textId="77777777" w:rsidR="001E31E2" w:rsidRPr="007267A5" w:rsidRDefault="001E31E2" w:rsidP="007267A5">
      <w:pPr>
        <w:pStyle w:val="Para1"/>
        <w:numPr>
          <w:ilvl w:val="0"/>
          <w:numId w:val="0"/>
        </w:numPr>
        <w:spacing w:before="60" w:after="60"/>
        <w:ind w:left="142" w:hanging="142"/>
        <w:contextualSpacing/>
        <w:jc w:val="left"/>
      </w:pPr>
      <w:r>
        <w:t>Maldivas</w:t>
      </w:r>
    </w:p>
    <w:p w14:paraId="2DB253BC" w14:textId="77777777" w:rsidR="001E31E2" w:rsidRPr="007267A5" w:rsidRDefault="001E31E2" w:rsidP="007267A5">
      <w:pPr>
        <w:pStyle w:val="Para1"/>
        <w:numPr>
          <w:ilvl w:val="0"/>
          <w:numId w:val="0"/>
        </w:numPr>
        <w:spacing w:before="60" w:after="60"/>
        <w:ind w:left="142" w:hanging="142"/>
        <w:contextualSpacing/>
        <w:jc w:val="left"/>
      </w:pPr>
      <w:r>
        <w:t>Malí</w:t>
      </w:r>
    </w:p>
    <w:p w14:paraId="2D431C21" w14:textId="77777777" w:rsidR="001E31E2" w:rsidRPr="007267A5" w:rsidRDefault="001E31E2" w:rsidP="007267A5">
      <w:pPr>
        <w:pStyle w:val="Para1"/>
        <w:numPr>
          <w:ilvl w:val="0"/>
          <w:numId w:val="0"/>
        </w:numPr>
        <w:spacing w:before="60" w:after="60"/>
        <w:ind w:left="142" w:hanging="142"/>
        <w:contextualSpacing/>
        <w:jc w:val="left"/>
      </w:pPr>
      <w:r>
        <w:t>Malta</w:t>
      </w:r>
    </w:p>
    <w:p w14:paraId="029AE6BF" w14:textId="77777777" w:rsidR="001E31E2" w:rsidRPr="007267A5" w:rsidRDefault="001E31E2" w:rsidP="007267A5">
      <w:pPr>
        <w:pStyle w:val="Para1"/>
        <w:numPr>
          <w:ilvl w:val="0"/>
          <w:numId w:val="0"/>
        </w:numPr>
        <w:spacing w:before="60" w:after="60"/>
        <w:ind w:left="142" w:hanging="142"/>
        <w:contextualSpacing/>
        <w:jc w:val="left"/>
      </w:pPr>
      <w:r>
        <w:t>Marruecos</w:t>
      </w:r>
    </w:p>
    <w:p w14:paraId="0B92EF2D" w14:textId="77777777" w:rsidR="001E31E2" w:rsidRPr="007267A5" w:rsidRDefault="001E31E2" w:rsidP="007267A5">
      <w:pPr>
        <w:pStyle w:val="Para1"/>
        <w:numPr>
          <w:ilvl w:val="0"/>
          <w:numId w:val="0"/>
        </w:numPr>
        <w:spacing w:before="60" w:after="60"/>
        <w:ind w:left="142" w:hanging="142"/>
        <w:contextualSpacing/>
        <w:jc w:val="left"/>
      </w:pPr>
      <w:r>
        <w:t>Mauricio</w:t>
      </w:r>
    </w:p>
    <w:p w14:paraId="1EEE5743" w14:textId="77777777" w:rsidR="001E31E2" w:rsidRPr="007267A5" w:rsidRDefault="001E31E2" w:rsidP="007267A5">
      <w:pPr>
        <w:pStyle w:val="Para1"/>
        <w:numPr>
          <w:ilvl w:val="0"/>
          <w:numId w:val="0"/>
        </w:numPr>
        <w:spacing w:before="60" w:after="60"/>
        <w:ind w:left="142" w:hanging="142"/>
        <w:contextualSpacing/>
        <w:jc w:val="left"/>
      </w:pPr>
      <w:r>
        <w:t>Mauritania</w:t>
      </w:r>
    </w:p>
    <w:p w14:paraId="38965B81" w14:textId="77777777" w:rsidR="001E31E2" w:rsidRPr="007267A5" w:rsidRDefault="001E31E2" w:rsidP="007267A5">
      <w:pPr>
        <w:pStyle w:val="Para1"/>
        <w:numPr>
          <w:ilvl w:val="0"/>
          <w:numId w:val="0"/>
        </w:numPr>
        <w:spacing w:before="60" w:after="60"/>
        <w:ind w:left="142" w:hanging="142"/>
        <w:contextualSpacing/>
        <w:jc w:val="left"/>
      </w:pPr>
      <w:r>
        <w:t>México</w:t>
      </w:r>
    </w:p>
    <w:p w14:paraId="7B413AF7" w14:textId="77777777" w:rsidR="001E31E2" w:rsidRPr="007267A5" w:rsidRDefault="001E31E2" w:rsidP="007267A5">
      <w:pPr>
        <w:pStyle w:val="Para1"/>
        <w:numPr>
          <w:ilvl w:val="0"/>
          <w:numId w:val="0"/>
        </w:numPr>
        <w:spacing w:before="60" w:after="60"/>
        <w:ind w:left="142" w:hanging="142"/>
        <w:contextualSpacing/>
        <w:jc w:val="left"/>
      </w:pPr>
      <w:r>
        <w:t>Micronesia (Estados Federados de)</w:t>
      </w:r>
    </w:p>
    <w:p w14:paraId="108008D3" w14:textId="77777777" w:rsidR="001E31E2" w:rsidRPr="007267A5" w:rsidRDefault="001E31E2" w:rsidP="007267A5">
      <w:pPr>
        <w:pStyle w:val="Para1"/>
        <w:numPr>
          <w:ilvl w:val="0"/>
          <w:numId w:val="0"/>
        </w:numPr>
        <w:spacing w:before="60" w:after="60"/>
        <w:ind w:left="142" w:hanging="142"/>
        <w:contextualSpacing/>
        <w:jc w:val="left"/>
      </w:pPr>
      <w:r>
        <w:t>Mongolia</w:t>
      </w:r>
    </w:p>
    <w:p w14:paraId="1ADF3A21" w14:textId="77777777" w:rsidR="001E31E2" w:rsidRPr="007267A5" w:rsidRDefault="001E31E2" w:rsidP="007267A5">
      <w:pPr>
        <w:pStyle w:val="Para1"/>
        <w:numPr>
          <w:ilvl w:val="0"/>
          <w:numId w:val="0"/>
        </w:numPr>
        <w:spacing w:before="60" w:after="60"/>
        <w:ind w:left="142" w:hanging="142"/>
        <w:contextualSpacing/>
        <w:jc w:val="left"/>
      </w:pPr>
      <w:r>
        <w:t>Mozambique</w:t>
      </w:r>
    </w:p>
    <w:p w14:paraId="00C5D5AA" w14:textId="77777777" w:rsidR="001E31E2" w:rsidRPr="007267A5" w:rsidRDefault="001E31E2" w:rsidP="007267A5">
      <w:pPr>
        <w:pStyle w:val="Para1"/>
        <w:numPr>
          <w:ilvl w:val="0"/>
          <w:numId w:val="0"/>
        </w:numPr>
        <w:spacing w:before="60" w:after="60"/>
        <w:ind w:left="142" w:hanging="142"/>
        <w:contextualSpacing/>
        <w:jc w:val="left"/>
      </w:pPr>
      <w:r>
        <w:t>Namibia</w:t>
      </w:r>
    </w:p>
    <w:p w14:paraId="40A28DC9" w14:textId="77777777" w:rsidR="001E31E2" w:rsidRPr="007267A5" w:rsidRDefault="001E31E2" w:rsidP="007267A5">
      <w:pPr>
        <w:pStyle w:val="Para1"/>
        <w:numPr>
          <w:ilvl w:val="0"/>
          <w:numId w:val="0"/>
        </w:numPr>
        <w:spacing w:before="60" w:after="60"/>
        <w:ind w:left="142" w:hanging="142"/>
        <w:contextualSpacing/>
        <w:jc w:val="left"/>
      </w:pPr>
      <w:r>
        <w:t>Nepal</w:t>
      </w:r>
    </w:p>
    <w:p w14:paraId="3726263F" w14:textId="77777777" w:rsidR="001E31E2" w:rsidRPr="007267A5" w:rsidRDefault="001E31E2" w:rsidP="007267A5">
      <w:pPr>
        <w:pStyle w:val="Para1"/>
        <w:numPr>
          <w:ilvl w:val="0"/>
          <w:numId w:val="0"/>
        </w:numPr>
        <w:spacing w:before="60" w:after="60"/>
        <w:ind w:left="142" w:hanging="142"/>
        <w:contextualSpacing/>
        <w:jc w:val="left"/>
      </w:pPr>
      <w:r>
        <w:t>Nicaragua</w:t>
      </w:r>
    </w:p>
    <w:p w14:paraId="4D96161A" w14:textId="77777777" w:rsidR="001E31E2" w:rsidRPr="007267A5" w:rsidRDefault="001E31E2" w:rsidP="007267A5">
      <w:pPr>
        <w:pStyle w:val="Para1"/>
        <w:numPr>
          <w:ilvl w:val="0"/>
          <w:numId w:val="0"/>
        </w:numPr>
        <w:spacing w:before="60" w:after="60"/>
        <w:ind w:left="142" w:hanging="142"/>
        <w:contextualSpacing/>
        <w:jc w:val="left"/>
      </w:pPr>
      <w:r>
        <w:t>Níger</w:t>
      </w:r>
    </w:p>
    <w:p w14:paraId="11DACDC6" w14:textId="77777777" w:rsidR="001E31E2" w:rsidRPr="007267A5" w:rsidRDefault="001E31E2" w:rsidP="007267A5">
      <w:pPr>
        <w:pStyle w:val="Para1"/>
        <w:numPr>
          <w:ilvl w:val="0"/>
          <w:numId w:val="0"/>
        </w:numPr>
        <w:spacing w:before="60" w:after="60"/>
        <w:ind w:left="142" w:hanging="142"/>
        <w:contextualSpacing/>
        <w:jc w:val="left"/>
      </w:pPr>
      <w:r>
        <w:t>Nigeria</w:t>
      </w:r>
    </w:p>
    <w:p w14:paraId="1214CEBE" w14:textId="77777777" w:rsidR="001E31E2" w:rsidRPr="007267A5" w:rsidRDefault="001E31E2" w:rsidP="007267A5">
      <w:pPr>
        <w:pStyle w:val="Para1"/>
        <w:numPr>
          <w:ilvl w:val="0"/>
          <w:numId w:val="0"/>
        </w:numPr>
        <w:spacing w:before="60" w:after="60"/>
        <w:ind w:left="142" w:hanging="142"/>
        <w:contextualSpacing/>
        <w:jc w:val="left"/>
      </w:pPr>
      <w:r>
        <w:t>Noruega</w:t>
      </w:r>
    </w:p>
    <w:p w14:paraId="434C1023" w14:textId="77777777" w:rsidR="001E31E2" w:rsidRPr="007267A5" w:rsidRDefault="001E31E2" w:rsidP="007267A5">
      <w:pPr>
        <w:pStyle w:val="Para1"/>
        <w:numPr>
          <w:ilvl w:val="0"/>
          <w:numId w:val="0"/>
        </w:numPr>
        <w:spacing w:before="60" w:after="60"/>
        <w:ind w:left="142" w:hanging="142"/>
        <w:contextualSpacing/>
        <w:jc w:val="left"/>
      </w:pPr>
      <w:r>
        <w:t>Omán</w:t>
      </w:r>
    </w:p>
    <w:p w14:paraId="5813E2A2" w14:textId="77777777" w:rsidR="001E31E2" w:rsidRPr="007267A5" w:rsidRDefault="001E31E2" w:rsidP="007267A5">
      <w:pPr>
        <w:pStyle w:val="Para1"/>
        <w:numPr>
          <w:ilvl w:val="0"/>
          <w:numId w:val="0"/>
        </w:numPr>
        <w:spacing w:before="60" w:after="60"/>
        <w:ind w:left="142" w:hanging="142"/>
        <w:contextualSpacing/>
        <w:jc w:val="left"/>
      </w:pPr>
      <w:r>
        <w:t>Países Bajos</w:t>
      </w:r>
    </w:p>
    <w:p w14:paraId="0DEA4B7A" w14:textId="77777777" w:rsidR="001E31E2" w:rsidRPr="007267A5" w:rsidRDefault="001E31E2" w:rsidP="007267A5">
      <w:pPr>
        <w:pStyle w:val="Para1"/>
        <w:numPr>
          <w:ilvl w:val="0"/>
          <w:numId w:val="0"/>
        </w:numPr>
        <w:spacing w:before="60" w:after="60"/>
        <w:ind w:left="142" w:hanging="142"/>
        <w:contextualSpacing/>
        <w:jc w:val="left"/>
      </w:pPr>
      <w:r>
        <w:t>Pakistán</w:t>
      </w:r>
    </w:p>
    <w:p w14:paraId="705E4D00" w14:textId="77777777" w:rsidR="001E31E2" w:rsidRPr="007267A5" w:rsidRDefault="001E31E2" w:rsidP="007267A5">
      <w:pPr>
        <w:pStyle w:val="Para1"/>
        <w:numPr>
          <w:ilvl w:val="0"/>
          <w:numId w:val="0"/>
        </w:numPr>
        <w:spacing w:before="60" w:after="60"/>
        <w:ind w:left="142" w:hanging="142"/>
        <w:contextualSpacing/>
        <w:jc w:val="left"/>
      </w:pPr>
      <w:r>
        <w:t>Palau</w:t>
      </w:r>
    </w:p>
    <w:p w14:paraId="6CBCF65A" w14:textId="77777777" w:rsidR="001E31E2" w:rsidRPr="007267A5" w:rsidRDefault="001E31E2" w:rsidP="007267A5">
      <w:pPr>
        <w:pStyle w:val="Para1"/>
        <w:numPr>
          <w:ilvl w:val="0"/>
          <w:numId w:val="0"/>
        </w:numPr>
        <w:spacing w:before="60" w:after="60"/>
        <w:ind w:left="142" w:hanging="142"/>
        <w:contextualSpacing/>
        <w:jc w:val="left"/>
      </w:pPr>
      <w:r>
        <w:t>Panamá</w:t>
      </w:r>
    </w:p>
    <w:p w14:paraId="2843D68E" w14:textId="77777777" w:rsidR="001E31E2" w:rsidRPr="007267A5" w:rsidRDefault="001E31E2" w:rsidP="007267A5">
      <w:pPr>
        <w:pStyle w:val="Para1"/>
        <w:numPr>
          <w:ilvl w:val="0"/>
          <w:numId w:val="0"/>
        </w:numPr>
        <w:spacing w:before="60" w:after="60"/>
        <w:ind w:left="142" w:hanging="142"/>
        <w:contextualSpacing/>
        <w:jc w:val="left"/>
      </w:pPr>
      <w:r>
        <w:t>Perú</w:t>
      </w:r>
    </w:p>
    <w:p w14:paraId="4D8AC2CD" w14:textId="77777777" w:rsidR="001E31E2" w:rsidRPr="007267A5" w:rsidRDefault="001E31E2" w:rsidP="007267A5">
      <w:pPr>
        <w:pStyle w:val="Para1"/>
        <w:numPr>
          <w:ilvl w:val="0"/>
          <w:numId w:val="0"/>
        </w:numPr>
        <w:spacing w:before="60" w:after="60"/>
        <w:ind w:left="142" w:hanging="142"/>
        <w:contextualSpacing/>
        <w:jc w:val="left"/>
      </w:pPr>
      <w:r>
        <w:t>Portugal</w:t>
      </w:r>
    </w:p>
    <w:p w14:paraId="5F601BAC" w14:textId="77777777" w:rsidR="001E31E2" w:rsidRPr="007267A5" w:rsidRDefault="001E31E2" w:rsidP="007267A5">
      <w:pPr>
        <w:pStyle w:val="Para1"/>
        <w:numPr>
          <w:ilvl w:val="0"/>
          <w:numId w:val="0"/>
        </w:numPr>
        <w:spacing w:before="60" w:after="60"/>
        <w:ind w:left="142" w:hanging="142"/>
        <w:contextualSpacing/>
        <w:jc w:val="left"/>
      </w:pPr>
      <w:r>
        <w:t>Qatar</w:t>
      </w:r>
    </w:p>
    <w:p w14:paraId="0512703A" w14:textId="77777777" w:rsidR="001E31E2" w:rsidRPr="00F9543F" w:rsidRDefault="001E31E2" w:rsidP="007267A5">
      <w:pPr>
        <w:pStyle w:val="Para1"/>
        <w:numPr>
          <w:ilvl w:val="0"/>
          <w:numId w:val="0"/>
        </w:numPr>
        <w:spacing w:before="60" w:after="60"/>
        <w:ind w:left="142" w:hanging="142"/>
        <w:contextualSpacing/>
        <w:jc w:val="left"/>
      </w:pPr>
      <w:r>
        <w:t>Reino Unido de Gran Bretaña e Irlanda del Norte</w:t>
      </w:r>
    </w:p>
    <w:p w14:paraId="2F681346" w14:textId="77777777" w:rsidR="001E31E2" w:rsidRPr="007267A5" w:rsidRDefault="001E31E2" w:rsidP="007267A5">
      <w:pPr>
        <w:pStyle w:val="Para1"/>
        <w:numPr>
          <w:ilvl w:val="0"/>
          <w:numId w:val="0"/>
        </w:numPr>
        <w:spacing w:before="60" w:after="60"/>
        <w:ind w:left="142" w:hanging="142"/>
        <w:contextualSpacing/>
        <w:jc w:val="left"/>
      </w:pPr>
      <w:r>
        <w:t>República Árabe Siria</w:t>
      </w:r>
    </w:p>
    <w:p w14:paraId="46B832BB" w14:textId="77777777" w:rsidR="001E31E2" w:rsidRPr="007267A5" w:rsidRDefault="001E31E2" w:rsidP="007267A5">
      <w:pPr>
        <w:pStyle w:val="Para1"/>
        <w:numPr>
          <w:ilvl w:val="0"/>
          <w:numId w:val="0"/>
        </w:numPr>
        <w:spacing w:before="60" w:after="60"/>
        <w:ind w:left="142" w:hanging="142"/>
        <w:contextualSpacing/>
        <w:jc w:val="left"/>
      </w:pPr>
      <w:r>
        <w:t>República Centroafricana</w:t>
      </w:r>
    </w:p>
    <w:p w14:paraId="237F02A8" w14:textId="77777777" w:rsidR="001E31E2" w:rsidRPr="007267A5" w:rsidRDefault="001E31E2" w:rsidP="007267A5">
      <w:pPr>
        <w:pStyle w:val="Para1"/>
        <w:numPr>
          <w:ilvl w:val="0"/>
          <w:numId w:val="0"/>
        </w:numPr>
        <w:spacing w:before="60" w:after="60"/>
        <w:ind w:left="142" w:hanging="142"/>
        <w:contextualSpacing/>
        <w:jc w:val="left"/>
      </w:pPr>
      <w:r>
        <w:t>República de Corea</w:t>
      </w:r>
    </w:p>
    <w:p w14:paraId="5A95AEE3" w14:textId="77777777" w:rsidR="001E31E2" w:rsidRPr="007267A5" w:rsidRDefault="001E31E2" w:rsidP="007267A5">
      <w:pPr>
        <w:pStyle w:val="Para1"/>
        <w:numPr>
          <w:ilvl w:val="0"/>
          <w:numId w:val="0"/>
        </w:numPr>
        <w:spacing w:before="60" w:after="60"/>
        <w:ind w:left="142" w:hanging="142"/>
        <w:contextualSpacing/>
        <w:jc w:val="left"/>
      </w:pPr>
      <w:r>
        <w:t>República de Moldova</w:t>
      </w:r>
    </w:p>
    <w:p w14:paraId="3B631BB9" w14:textId="77777777" w:rsidR="001E31E2" w:rsidRPr="00F9543F" w:rsidRDefault="001E31E2" w:rsidP="007267A5">
      <w:pPr>
        <w:pStyle w:val="Para1"/>
        <w:numPr>
          <w:ilvl w:val="0"/>
          <w:numId w:val="0"/>
        </w:numPr>
        <w:spacing w:before="60" w:after="60"/>
        <w:ind w:left="142" w:hanging="142"/>
        <w:contextualSpacing/>
        <w:jc w:val="left"/>
      </w:pPr>
      <w:r>
        <w:t>República Democrática del Congo</w:t>
      </w:r>
    </w:p>
    <w:p w14:paraId="642B5934" w14:textId="77777777" w:rsidR="001E31E2" w:rsidRPr="007267A5" w:rsidRDefault="001E31E2" w:rsidP="007267A5">
      <w:pPr>
        <w:pStyle w:val="Para1"/>
        <w:numPr>
          <w:ilvl w:val="0"/>
          <w:numId w:val="0"/>
        </w:numPr>
        <w:spacing w:before="60" w:after="60"/>
        <w:ind w:left="142" w:hanging="142"/>
        <w:contextualSpacing/>
        <w:jc w:val="left"/>
      </w:pPr>
      <w:r>
        <w:t>República Democrática Popular Lao</w:t>
      </w:r>
    </w:p>
    <w:p w14:paraId="6E0A074A" w14:textId="77777777" w:rsidR="001E31E2" w:rsidRPr="007267A5" w:rsidRDefault="001E31E2" w:rsidP="007267A5">
      <w:pPr>
        <w:pStyle w:val="Para1"/>
        <w:numPr>
          <w:ilvl w:val="0"/>
          <w:numId w:val="0"/>
        </w:numPr>
        <w:spacing w:before="60" w:after="60"/>
        <w:ind w:left="142" w:hanging="142"/>
        <w:contextualSpacing/>
        <w:jc w:val="left"/>
      </w:pPr>
      <w:r>
        <w:t>República Dominicana</w:t>
      </w:r>
    </w:p>
    <w:p w14:paraId="11C69533" w14:textId="77777777" w:rsidR="001E31E2" w:rsidRPr="007267A5" w:rsidRDefault="001E31E2" w:rsidP="007267A5">
      <w:pPr>
        <w:pStyle w:val="Para1"/>
        <w:numPr>
          <w:ilvl w:val="0"/>
          <w:numId w:val="0"/>
        </w:numPr>
        <w:spacing w:before="60" w:after="60"/>
        <w:ind w:left="142" w:hanging="142"/>
        <w:contextualSpacing/>
        <w:jc w:val="left"/>
      </w:pPr>
      <w:r>
        <w:t>República Popular Democrática de Corea</w:t>
      </w:r>
    </w:p>
    <w:p w14:paraId="0A568DFD" w14:textId="77777777" w:rsidR="001E31E2" w:rsidRPr="007267A5" w:rsidRDefault="001E31E2" w:rsidP="007267A5">
      <w:pPr>
        <w:pStyle w:val="Para1"/>
        <w:numPr>
          <w:ilvl w:val="0"/>
          <w:numId w:val="0"/>
        </w:numPr>
        <w:spacing w:before="60" w:after="60"/>
        <w:ind w:left="142" w:hanging="142"/>
        <w:contextualSpacing/>
        <w:jc w:val="left"/>
      </w:pPr>
      <w:r>
        <w:t>República Unida de Tanzanía</w:t>
      </w:r>
    </w:p>
    <w:p w14:paraId="3591C8D3" w14:textId="77777777" w:rsidR="001E31E2" w:rsidRPr="00855F1F" w:rsidRDefault="001E31E2" w:rsidP="007267A5">
      <w:pPr>
        <w:pStyle w:val="Para1"/>
        <w:numPr>
          <w:ilvl w:val="0"/>
          <w:numId w:val="0"/>
        </w:numPr>
        <w:spacing w:before="60" w:after="60"/>
        <w:ind w:left="142" w:hanging="142"/>
        <w:contextualSpacing/>
        <w:jc w:val="left"/>
        <w:rPr>
          <w:lang w:val="en-US"/>
        </w:rPr>
      </w:pPr>
      <w:r w:rsidRPr="00855F1F">
        <w:rPr>
          <w:lang w:val="en-US"/>
        </w:rPr>
        <w:t>Rumania</w:t>
      </w:r>
    </w:p>
    <w:p w14:paraId="34D21D0C" w14:textId="77777777" w:rsidR="001E31E2" w:rsidRPr="001E31E2" w:rsidRDefault="001E31E2" w:rsidP="007267A5">
      <w:pPr>
        <w:pStyle w:val="Para1"/>
        <w:numPr>
          <w:ilvl w:val="0"/>
          <w:numId w:val="0"/>
        </w:numPr>
        <w:spacing w:before="60" w:after="60"/>
        <w:ind w:left="142" w:hanging="142"/>
        <w:contextualSpacing/>
        <w:jc w:val="left"/>
        <w:rPr>
          <w:lang w:val="en-US"/>
        </w:rPr>
      </w:pPr>
      <w:r w:rsidRPr="001E31E2">
        <w:rPr>
          <w:lang w:val="en-US"/>
        </w:rPr>
        <w:t>Rwanda</w:t>
      </w:r>
    </w:p>
    <w:p w14:paraId="7BB11964" w14:textId="77777777" w:rsidR="001E31E2" w:rsidRPr="001E31E2" w:rsidRDefault="001E31E2" w:rsidP="007267A5">
      <w:pPr>
        <w:pStyle w:val="Para1"/>
        <w:numPr>
          <w:ilvl w:val="0"/>
          <w:numId w:val="0"/>
        </w:numPr>
        <w:spacing w:before="60" w:after="60"/>
        <w:ind w:left="142" w:hanging="142"/>
        <w:contextualSpacing/>
        <w:jc w:val="left"/>
        <w:rPr>
          <w:lang w:val="en-US"/>
        </w:rPr>
      </w:pPr>
      <w:r w:rsidRPr="001E31E2">
        <w:rPr>
          <w:lang w:val="en-US"/>
        </w:rPr>
        <w:t>Saint Kitts y Nevis</w:t>
      </w:r>
    </w:p>
    <w:p w14:paraId="54280ED5" w14:textId="77777777" w:rsidR="001E31E2" w:rsidRPr="007267A5" w:rsidRDefault="001E31E2" w:rsidP="007267A5">
      <w:pPr>
        <w:pStyle w:val="Para1"/>
        <w:numPr>
          <w:ilvl w:val="0"/>
          <w:numId w:val="0"/>
        </w:numPr>
        <w:spacing w:before="60" w:after="60"/>
        <w:ind w:left="142" w:hanging="142"/>
        <w:contextualSpacing/>
        <w:jc w:val="left"/>
      </w:pPr>
      <w:r>
        <w:t>Samoa</w:t>
      </w:r>
    </w:p>
    <w:p w14:paraId="1FCDE4D0" w14:textId="77777777" w:rsidR="001E31E2" w:rsidRPr="007267A5" w:rsidRDefault="001E31E2" w:rsidP="007267A5">
      <w:pPr>
        <w:pStyle w:val="Para1"/>
        <w:numPr>
          <w:ilvl w:val="0"/>
          <w:numId w:val="0"/>
        </w:numPr>
        <w:spacing w:before="60" w:after="60"/>
        <w:ind w:left="142" w:hanging="142"/>
        <w:contextualSpacing/>
        <w:jc w:val="left"/>
      </w:pPr>
      <w:r>
        <w:t>Santa Lucía</w:t>
      </w:r>
    </w:p>
    <w:p w14:paraId="38CFB476" w14:textId="77777777" w:rsidR="001E31E2" w:rsidRPr="007267A5" w:rsidRDefault="001E31E2" w:rsidP="007267A5">
      <w:pPr>
        <w:pStyle w:val="Para1"/>
        <w:numPr>
          <w:ilvl w:val="0"/>
          <w:numId w:val="0"/>
        </w:numPr>
        <w:spacing w:before="60" w:after="60"/>
        <w:ind w:left="142" w:hanging="142"/>
        <w:contextualSpacing/>
        <w:jc w:val="left"/>
      </w:pPr>
      <w:r>
        <w:t xml:space="preserve">Santo Tomé y Príncipe </w:t>
      </w:r>
    </w:p>
    <w:p w14:paraId="134AF5DA" w14:textId="77777777" w:rsidR="001E31E2" w:rsidRPr="007267A5" w:rsidRDefault="001E31E2" w:rsidP="007267A5">
      <w:pPr>
        <w:pStyle w:val="Para1"/>
        <w:numPr>
          <w:ilvl w:val="0"/>
          <w:numId w:val="0"/>
        </w:numPr>
        <w:spacing w:before="60" w:after="60"/>
        <w:ind w:left="142" w:hanging="142"/>
        <w:contextualSpacing/>
        <w:jc w:val="left"/>
      </w:pPr>
      <w:r>
        <w:t>Senegal</w:t>
      </w:r>
    </w:p>
    <w:p w14:paraId="3DC65DA6" w14:textId="77777777" w:rsidR="001E31E2" w:rsidRPr="007267A5" w:rsidRDefault="001E31E2" w:rsidP="007267A5">
      <w:pPr>
        <w:pStyle w:val="Para1"/>
        <w:numPr>
          <w:ilvl w:val="0"/>
          <w:numId w:val="0"/>
        </w:numPr>
        <w:spacing w:before="60" w:after="60"/>
        <w:ind w:left="142" w:hanging="142"/>
        <w:contextualSpacing/>
        <w:jc w:val="left"/>
      </w:pPr>
      <w:r>
        <w:t>Serbia</w:t>
      </w:r>
    </w:p>
    <w:p w14:paraId="7E037EA5" w14:textId="77777777" w:rsidR="001E31E2" w:rsidRPr="007267A5" w:rsidRDefault="001E31E2" w:rsidP="007267A5">
      <w:pPr>
        <w:pStyle w:val="Para1"/>
        <w:numPr>
          <w:ilvl w:val="0"/>
          <w:numId w:val="0"/>
        </w:numPr>
        <w:spacing w:before="60" w:after="60"/>
        <w:ind w:left="142" w:hanging="142"/>
        <w:contextualSpacing/>
        <w:jc w:val="left"/>
      </w:pPr>
      <w:r>
        <w:t>Seychelles</w:t>
      </w:r>
    </w:p>
    <w:p w14:paraId="671E7BDF" w14:textId="77777777" w:rsidR="001E31E2" w:rsidRPr="007267A5" w:rsidRDefault="001E31E2" w:rsidP="007267A5">
      <w:pPr>
        <w:pStyle w:val="Para1"/>
        <w:numPr>
          <w:ilvl w:val="0"/>
          <w:numId w:val="0"/>
        </w:numPr>
        <w:spacing w:before="60" w:after="60"/>
        <w:ind w:left="142" w:hanging="142"/>
        <w:contextualSpacing/>
        <w:jc w:val="left"/>
      </w:pPr>
      <w:r>
        <w:t>Sierra Leona</w:t>
      </w:r>
    </w:p>
    <w:p w14:paraId="178304A3" w14:textId="77777777" w:rsidR="001E31E2" w:rsidRPr="007267A5" w:rsidRDefault="001E31E2" w:rsidP="007267A5">
      <w:pPr>
        <w:pStyle w:val="Para1"/>
        <w:numPr>
          <w:ilvl w:val="0"/>
          <w:numId w:val="0"/>
        </w:numPr>
        <w:spacing w:before="60" w:after="60"/>
        <w:ind w:left="142" w:hanging="142"/>
        <w:contextualSpacing/>
        <w:jc w:val="left"/>
      </w:pPr>
      <w:r>
        <w:t>Sudáfrica</w:t>
      </w:r>
    </w:p>
    <w:p w14:paraId="1855A6E7" w14:textId="77777777" w:rsidR="001E31E2" w:rsidRPr="007267A5" w:rsidRDefault="001E31E2" w:rsidP="007267A5">
      <w:pPr>
        <w:pStyle w:val="Para1"/>
        <w:numPr>
          <w:ilvl w:val="0"/>
          <w:numId w:val="0"/>
        </w:numPr>
        <w:spacing w:before="60" w:after="60"/>
        <w:ind w:left="142" w:hanging="142"/>
        <w:contextualSpacing/>
        <w:jc w:val="left"/>
      </w:pPr>
      <w:r>
        <w:t>Sudán</w:t>
      </w:r>
    </w:p>
    <w:p w14:paraId="28F09C8C" w14:textId="77777777" w:rsidR="001E31E2" w:rsidRPr="007267A5" w:rsidRDefault="001E31E2" w:rsidP="007267A5">
      <w:pPr>
        <w:pStyle w:val="Para1"/>
        <w:numPr>
          <w:ilvl w:val="0"/>
          <w:numId w:val="0"/>
        </w:numPr>
        <w:spacing w:before="60" w:after="60"/>
        <w:ind w:left="142" w:hanging="142"/>
        <w:contextualSpacing/>
        <w:jc w:val="left"/>
      </w:pPr>
      <w:r>
        <w:t>Suecia</w:t>
      </w:r>
    </w:p>
    <w:p w14:paraId="31B27C47" w14:textId="77777777" w:rsidR="001E31E2" w:rsidRPr="007267A5" w:rsidRDefault="001E31E2" w:rsidP="007267A5">
      <w:pPr>
        <w:pStyle w:val="Para1"/>
        <w:numPr>
          <w:ilvl w:val="0"/>
          <w:numId w:val="0"/>
        </w:numPr>
        <w:spacing w:before="60" w:after="60"/>
        <w:ind w:left="142" w:hanging="142"/>
        <w:contextualSpacing/>
        <w:jc w:val="left"/>
      </w:pPr>
      <w:r>
        <w:t>Suiza</w:t>
      </w:r>
    </w:p>
    <w:p w14:paraId="27568C55" w14:textId="77777777" w:rsidR="001E31E2" w:rsidRPr="007267A5" w:rsidRDefault="001E31E2" w:rsidP="007267A5">
      <w:pPr>
        <w:pStyle w:val="Para1"/>
        <w:numPr>
          <w:ilvl w:val="0"/>
          <w:numId w:val="0"/>
        </w:numPr>
        <w:spacing w:before="60" w:after="60"/>
        <w:ind w:left="142" w:hanging="142"/>
        <w:contextualSpacing/>
        <w:jc w:val="left"/>
      </w:pPr>
      <w:r>
        <w:t>Tayikistán</w:t>
      </w:r>
    </w:p>
    <w:p w14:paraId="3E5258DE" w14:textId="77777777" w:rsidR="001E31E2" w:rsidRPr="007267A5" w:rsidRDefault="001E31E2" w:rsidP="007267A5">
      <w:pPr>
        <w:pStyle w:val="Para1"/>
        <w:numPr>
          <w:ilvl w:val="0"/>
          <w:numId w:val="0"/>
        </w:numPr>
        <w:spacing w:before="60" w:after="60"/>
        <w:ind w:left="142" w:hanging="142"/>
        <w:contextualSpacing/>
        <w:jc w:val="left"/>
      </w:pPr>
      <w:r>
        <w:t>Togo</w:t>
      </w:r>
    </w:p>
    <w:p w14:paraId="78281B21" w14:textId="77777777" w:rsidR="001E31E2" w:rsidRPr="007267A5" w:rsidRDefault="001E31E2" w:rsidP="007267A5">
      <w:pPr>
        <w:pStyle w:val="Para1"/>
        <w:numPr>
          <w:ilvl w:val="0"/>
          <w:numId w:val="0"/>
        </w:numPr>
        <w:spacing w:before="60" w:after="60"/>
        <w:ind w:left="142" w:hanging="142"/>
        <w:contextualSpacing/>
        <w:jc w:val="left"/>
      </w:pPr>
      <w:r>
        <w:t>Tonga</w:t>
      </w:r>
    </w:p>
    <w:p w14:paraId="35A5C311" w14:textId="77777777" w:rsidR="001E31E2" w:rsidRPr="007267A5" w:rsidRDefault="001E31E2" w:rsidP="007267A5">
      <w:pPr>
        <w:pStyle w:val="Para1"/>
        <w:numPr>
          <w:ilvl w:val="0"/>
          <w:numId w:val="0"/>
        </w:numPr>
        <w:spacing w:before="60" w:after="60"/>
        <w:ind w:left="142" w:hanging="142"/>
        <w:contextualSpacing/>
        <w:jc w:val="left"/>
      </w:pPr>
      <w:r>
        <w:t>Túnez</w:t>
      </w:r>
    </w:p>
    <w:p w14:paraId="3339233E" w14:textId="77777777" w:rsidR="001E31E2" w:rsidRPr="007267A5" w:rsidRDefault="001E31E2" w:rsidP="007267A5">
      <w:pPr>
        <w:pStyle w:val="Para1"/>
        <w:numPr>
          <w:ilvl w:val="0"/>
          <w:numId w:val="0"/>
        </w:numPr>
        <w:spacing w:before="60" w:after="60"/>
        <w:ind w:left="142" w:hanging="142"/>
        <w:contextualSpacing/>
        <w:jc w:val="left"/>
      </w:pPr>
      <w:r>
        <w:t>Turkmenistán</w:t>
      </w:r>
    </w:p>
    <w:p w14:paraId="3209C09D" w14:textId="77777777" w:rsidR="001E31E2" w:rsidRPr="007267A5" w:rsidRDefault="001E31E2" w:rsidP="00EE6152">
      <w:pPr>
        <w:pStyle w:val="Para1"/>
        <w:numPr>
          <w:ilvl w:val="0"/>
          <w:numId w:val="0"/>
        </w:numPr>
        <w:spacing w:before="60" w:after="60"/>
        <w:ind w:left="142" w:hanging="142"/>
        <w:contextualSpacing/>
        <w:jc w:val="left"/>
      </w:pPr>
      <w:r>
        <w:t>Tuvalu</w:t>
      </w:r>
    </w:p>
    <w:p w14:paraId="3B2F1EA0" w14:textId="77777777" w:rsidR="001E31E2" w:rsidRPr="007267A5" w:rsidRDefault="001E31E2" w:rsidP="007267A5">
      <w:pPr>
        <w:pStyle w:val="Para1"/>
        <w:numPr>
          <w:ilvl w:val="0"/>
          <w:numId w:val="0"/>
        </w:numPr>
        <w:spacing w:before="60" w:after="60"/>
        <w:ind w:left="142" w:hanging="142"/>
        <w:contextualSpacing/>
        <w:jc w:val="left"/>
      </w:pPr>
      <w:r>
        <w:t>Ucrania</w:t>
      </w:r>
    </w:p>
    <w:p w14:paraId="19B6C6EE" w14:textId="77777777" w:rsidR="001E31E2" w:rsidRPr="007267A5" w:rsidRDefault="001E31E2" w:rsidP="007267A5">
      <w:pPr>
        <w:pStyle w:val="Para1"/>
        <w:numPr>
          <w:ilvl w:val="0"/>
          <w:numId w:val="0"/>
        </w:numPr>
        <w:spacing w:before="60" w:after="60"/>
        <w:ind w:left="142" w:hanging="142"/>
        <w:contextualSpacing/>
        <w:jc w:val="left"/>
      </w:pPr>
      <w:r>
        <w:t>Uganda</w:t>
      </w:r>
    </w:p>
    <w:p w14:paraId="13FA5408" w14:textId="77777777" w:rsidR="001E31E2" w:rsidRPr="007267A5" w:rsidRDefault="001E31E2" w:rsidP="007267A5">
      <w:pPr>
        <w:pStyle w:val="Para1"/>
        <w:numPr>
          <w:ilvl w:val="0"/>
          <w:numId w:val="0"/>
        </w:numPr>
        <w:spacing w:before="60" w:after="60"/>
        <w:ind w:left="142" w:hanging="142"/>
        <w:contextualSpacing/>
        <w:jc w:val="left"/>
      </w:pPr>
      <w:r>
        <w:t>Unión Europea</w:t>
      </w:r>
    </w:p>
    <w:p w14:paraId="057679E5" w14:textId="77777777" w:rsidR="001E31E2" w:rsidRPr="007267A5" w:rsidRDefault="001E31E2" w:rsidP="007267A5">
      <w:pPr>
        <w:pStyle w:val="Para1"/>
        <w:numPr>
          <w:ilvl w:val="0"/>
          <w:numId w:val="0"/>
        </w:numPr>
        <w:spacing w:before="60" w:after="60"/>
        <w:ind w:left="142" w:hanging="142"/>
        <w:contextualSpacing/>
        <w:jc w:val="left"/>
      </w:pPr>
      <w:r>
        <w:t>Uruguay</w:t>
      </w:r>
    </w:p>
    <w:p w14:paraId="2D2F0881" w14:textId="77777777" w:rsidR="001E31E2" w:rsidRPr="007267A5" w:rsidRDefault="001E31E2" w:rsidP="007267A5">
      <w:pPr>
        <w:pStyle w:val="Para1"/>
        <w:numPr>
          <w:ilvl w:val="0"/>
          <w:numId w:val="0"/>
        </w:numPr>
        <w:spacing w:before="60" w:after="60"/>
        <w:ind w:left="142" w:hanging="142"/>
        <w:contextualSpacing/>
        <w:jc w:val="left"/>
      </w:pPr>
      <w:r>
        <w:t xml:space="preserve">Vanuatu </w:t>
      </w:r>
    </w:p>
    <w:p w14:paraId="00660D31" w14:textId="77777777" w:rsidR="001E31E2" w:rsidRPr="007267A5" w:rsidRDefault="001E31E2" w:rsidP="007267A5">
      <w:pPr>
        <w:pStyle w:val="Para1"/>
        <w:numPr>
          <w:ilvl w:val="0"/>
          <w:numId w:val="0"/>
        </w:numPr>
        <w:spacing w:before="60" w:after="60"/>
        <w:ind w:left="142" w:hanging="142"/>
        <w:contextualSpacing/>
        <w:jc w:val="left"/>
      </w:pPr>
      <w:r>
        <w:t>Venezuela (República Bolivariana de)</w:t>
      </w:r>
    </w:p>
    <w:p w14:paraId="6614B97C" w14:textId="77777777" w:rsidR="001E31E2" w:rsidRPr="007267A5" w:rsidRDefault="001E31E2" w:rsidP="007267A5">
      <w:pPr>
        <w:pStyle w:val="Para1"/>
        <w:numPr>
          <w:ilvl w:val="0"/>
          <w:numId w:val="0"/>
        </w:numPr>
        <w:spacing w:before="60" w:after="60"/>
        <w:ind w:left="142" w:hanging="142"/>
        <w:contextualSpacing/>
        <w:jc w:val="left"/>
      </w:pPr>
      <w:r>
        <w:t>Viet Nam</w:t>
      </w:r>
    </w:p>
    <w:p w14:paraId="441CBC17" w14:textId="77777777" w:rsidR="001E31E2" w:rsidRPr="007267A5" w:rsidRDefault="001E31E2" w:rsidP="007267A5">
      <w:pPr>
        <w:pStyle w:val="Para1"/>
        <w:numPr>
          <w:ilvl w:val="0"/>
          <w:numId w:val="0"/>
        </w:numPr>
        <w:spacing w:before="60" w:after="60"/>
        <w:ind w:left="142" w:hanging="142"/>
        <w:contextualSpacing/>
        <w:jc w:val="left"/>
      </w:pPr>
      <w:r>
        <w:t>Zambia</w:t>
      </w:r>
    </w:p>
    <w:p w14:paraId="1D6891C1" w14:textId="16F9D44B" w:rsidR="001E31E2" w:rsidRPr="00F9543F" w:rsidRDefault="001E31E2" w:rsidP="007267A5">
      <w:pPr>
        <w:pStyle w:val="Para1"/>
        <w:numPr>
          <w:ilvl w:val="0"/>
          <w:numId w:val="0"/>
        </w:numPr>
        <w:overflowPunct w:val="0"/>
        <w:autoSpaceDE w:val="0"/>
        <w:autoSpaceDN w:val="0"/>
        <w:snapToGrid w:val="0"/>
        <w:spacing w:before="60" w:after="60"/>
        <w:ind w:left="142" w:hanging="142"/>
        <w:jc w:val="left"/>
        <w:sectPr w:rsidR="001E31E2" w:rsidRPr="00F9543F" w:rsidSect="007267A5">
          <w:type w:val="continuous"/>
          <w:pgSz w:w="12240" w:h="15840"/>
          <w:pgMar w:top="567" w:right="1389" w:bottom="1134" w:left="1389" w:header="461" w:footer="720" w:gutter="0"/>
          <w:cols w:num="3" w:space="708"/>
          <w:titlePg/>
          <w:docGrid w:linePitch="360"/>
        </w:sectPr>
      </w:pPr>
      <w:r>
        <w:t>Zimbabwe</w:t>
      </w:r>
    </w:p>
    <w:p w14:paraId="6E7C41AD" w14:textId="4E882075" w:rsidR="00964C7D" w:rsidRPr="00F9543F" w:rsidRDefault="00964C7D" w:rsidP="007267A5">
      <w:pPr>
        <w:pStyle w:val="Para1"/>
        <w:numPr>
          <w:ilvl w:val="0"/>
          <w:numId w:val="0"/>
        </w:numPr>
        <w:overflowPunct w:val="0"/>
        <w:autoSpaceDE w:val="0"/>
        <w:autoSpaceDN w:val="0"/>
        <w:snapToGrid w:val="0"/>
        <w:spacing w:before="0" w:after="0"/>
      </w:pPr>
    </w:p>
    <w:p w14:paraId="2FF07A51" w14:textId="052DCE55" w:rsidR="00964C7D" w:rsidRPr="00F9543F" w:rsidRDefault="00964C7D" w:rsidP="00964C7D">
      <w:pPr>
        <w:pStyle w:val="Para1"/>
        <w:numPr>
          <w:ilvl w:val="0"/>
          <w:numId w:val="9"/>
        </w:numPr>
        <w:overflowPunct w:val="0"/>
        <w:autoSpaceDE w:val="0"/>
        <w:autoSpaceDN w:val="0"/>
        <w:snapToGrid w:val="0"/>
        <w:spacing w:before="0"/>
      </w:pPr>
      <w:r>
        <w:lastRenderedPageBreak/>
        <w:t>También estuvieron representados los siguientes Estados que no son Partes en el Protocolo de Nagoya</w:t>
      </w:r>
      <w:r w:rsidR="00EC4BB8" w:rsidRPr="001E31E2">
        <w:rPr>
          <w:rStyle w:val="FootnoteReference"/>
          <w:sz w:val="22"/>
          <w:szCs w:val="22"/>
          <w:u w:val="none"/>
          <w:vertAlign w:val="superscript"/>
        </w:rPr>
        <w:footnoteReference w:id="4"/>
      </w:r>
      <w:r w:rsidR="001E31E2">
        <w:t>:</w:t>
      </w:r>
    </w:p>
    <w:p w14:paraId="2350167E" w14:textId="77777777" w:rsidR="0027481E" w:rsidRPr="007267A5" w:rsidRDefault="0027481E" w:rsidP="0027481E">
      <w:pPr>
        <w:pStyle w:val="Para1"/>
        <w:numPr>
          <w:ilvl w:val="0"/>
          <w:numId w:val="0"/>
        </w:numPr>
        <w:spacing w:before="60" w:after="60"/>
        <w:ind w:left="142" w:hanging="142"/>
        <w:contextualSpacing/>
        <w:jc w:val="left"/>
        <w:sectPr w:rsidR="0027481E" w:rsidRPr="007267A5" w:rsidSect="00BA4A65">
          <w:type w:val="continuous"/>
          <w:pgSz w:w="12240" w:h="15840"/>
          <w:pgMar w:top="567" w:right="1389" w:bottom="1134" w:left="1389" w:header="461" w:footer="720" w:gutter="0"/>
          <w:cols w:space="708"/>
          <w:titlePg/>
          <w:docGrid w:linePitch="360"/>
        </w:sectPr>
      </w:pPr>
    </w:p>
    <w:p w14:paraId="7E53660A" w14:textId="77777777" w:rsidR="001E31E2" w:rsidRPr="007267A5" w:rsidRDefault="001E31E2" w:rsidP="007267A5">
      <w:pPr>
        <w:pStyle w:val="Para1"/>
        <w:numPr>
          <w:ilvl w:val="0"/>
          <w:numId w:val="0"/>
        </w:numPr>
        <w:spacing w:before="60" w:after="60"/>
        <w:ind w:left="142" w:hanging="142"/>
        <w:contextualSpacing/>
        <w:jc w:val="left"/>
      </w:pPr>
      <w:r>
        <w:t>Argelia</w:t>
      </w:r>
    </w:p>
    <w:p w14:paraId="607E7BA0" w14:textId="77777777" w:rsidR="001E31E2" w:rsidRPr="007267A5" w:rsidRDefault="001E31E2" w:rsidP="007267A5">
      <w:pPr>
        <w:pStyle w:val="Para1"/>
        <w:numPr>
          <w:ilvl w:val="0"/>
          <w:numId w:val="0"/>
        </w:numPr>
        <w:spacing w:before="60" w:after="60"/>
        <w:ind w:left="142" w:hanging="142"/>
        <w:contextualSpacing/>
        <w:jc w:val="left"/>
      </w:pPr>
      <w:r>
        <w:t>Armenia</w:t>
      </w:r>
    </w:p>
    <w:p w14:paraId="6F599BD6" w14:textId="77777777" w:rsidR="001E31E2" w:rsidRPr="007267A5" w:rsidRDefault="001E31E2" w:rsidP="007267A5">
      <w:pPr>
        <w:pStyle w:val="Para1"/>
        <w:numPr>
          <w:ilvl w:val="0"/>
          <w:numId w:val="0"/>
        </w:numPr>
        <w:spacing w:before="60" w:after="60"/>
        <w:ind w:left="142" w:hanging="142"/>
        <w:contextualSpacing/>
        <w:jc w:val="left"/>
      </w:pPr>
      <w:r>
        <w:t>Australia</w:t>
      </w:r>
    </w:p>
    <w:p w14:paraId="5BBC6477" w14:textId="77777777" w:rsidR="001E31E2" w:rsidRPr="007267A5" w:rsidRDefault="001E31E2" w:rsidP="007267A5">
      <w:pPr>
        <w:pStyle w:val="Para1"/>
        <w:numPr>
          <w:ilvl w:val="0"/>
          <w:numId w:val="0"/>
        </w:numPr>
        <w:spacing w:before="60" w:after="60"/>
        <w:ind w:left="142" w:hanging="142"/>
        <w:contextualSpacing/>
        <w:jc w:val="left"/>
      </w:pPr>
      <w:r>
        <w:t>Azerbaiyán</w:t>
      </w:r>
    </w:p>
    <w:p w14:paraId="65670FA8" w14:textId="77777777" w:rsidR="001E31E2" w:rsidRPr="007267A5" w:rsidRDefault="001E31E2" w:rsidP="008E2211">
      <w:pPr>
        <w:pStyle w:val="Para1"/>
        <w:numPr>
          <w:ilvl w:val="0"/>
          <w:numId w:val="0"/>
        </w:numPr>
        <w:spacing w:before="60" w:after="60"/>
        <w:ind w:left="142" w:hanging="142"/>
        <w:contextualSpacing/>
        <w:jc w:val="left"/>
      </w:pPr>
      <w:r>
        <w:t>Bangladesh</w:t>
      </w:r>
    </w:p>
    <w:p w14:paraId="3DD0857C" w14:textId="77777777" w:rsidR="001E31E2" w:rsidRPr="007267A5" w:rsidRDefault="001E31E2" w:rsidP="007267A5">
      <w:pPr>
        <w:pStyle w:val="Para1"/>
        <w:numPr>
          <w:ilvl w:val="0"/>
          <w:numId w:val="0"/>
        </w:numPr>
        <w:spacing w:before="60" w:after="60"/>
        <w:ind w:left="142" w:hanging="142"/>
        <w:contextualSpacing/>
        <w:jc w:val="left"/>
      </w:pPr>
      <w:r>
        <w:t>Barbados</w:t>
      </w:r>
    </w:p>
    <w:p w14:paraId="039DBDA4" w14:textId="77777777" w:rsidR="001E31E2" w:rsidRPr="007267A5" w:rsidRDefault="001E31E2" w:rsidP="007267A5">
      <w:pPr>
        <w:pStyle w:val="Para1"/>
        <w:numPr>
          <w:ilvl w:val="0"/>
          <w:numId w:val="0"/>
        </w:numPr>
        <w:spacing w:before="60" w:after="60"/>
        <w:ind w:left="142" w:hanging="142"/>
        <w:contextualSpacing/>
        <w:jc w:val="left"/>
      </w:pPr>
      <w:r>
        <w:t>Belice</w:t>
      </w:r>
    </w:p>
    <w:p w14:paraId="5580FD04" w14:textId="77777777" w:rsidR="001E31E2" w:rsidRPr="007267A5" w:rsidRDefault="001E31E2" w:rsidP="007267A5">
      <w:pPr>
        <w:pStyle w:val="Para1"/>
        <w:numPr>
          <w:ilvl w:val="0"/>
          <w:numId w:val="0"/>
        </w:numPr>
        <w:spacing w:before="60" w:after="60"/>
        <w:ind w:left="142" w:hanging="142"/>
        <w:contextualSpacing/>
        <w:jc w:val="left"/>
      </w:pPr>
      <w:r>
        <w:t>Bosnia y Herzegovina</w:t>
      </w:r>
    </w:p>
    <w:p w14:paraId="50776462" w14:textId="77777777" w:rsidR="001E31E2" w:rsidRPr="007267A5" w:rsidRDefault="001E31E2" w:rsidP="007267A5">
      <w:pPr>
        <w:pStyle w:val="Para1"/>
        <w:numPr>
          <w:ilvl w:val="0"/>
          <w:numId w:val="0"/>
        </w:numPr>
        <w:spacing w:before="60" w:after="60"/>
        <w:ind w:left="142" w:hanging="142"/>
        <w:contextualSpacing/>
        <w:jc w:val="left"/>
      </w:pPr>
      <w:r>
        <w:t>Cabo Verde</w:t>
      </w:r>
    </w:p>
    <w:p w14:paraId="0F52ECF4" w14:textId="77777777" w:rsidR="001E31E2" w:rsidRPr="007267A5" w:rsidRDefault="001E31E2" w:rsidP="007267A5">
      <w:pPr>
        <w:pStyle w:val="Para1"/>
        <w:numPr>
          <w:ilvl w:val="0"/>
          <w:numId w:val="0"/>
        </w:numPr>
        <w:spacing w:before="60" w:after="60"/>
        <w:ind w:left="142" w:hanging="142"/>
        <w:contextualSpacing/>
        <w:jc w:val="left"/>
      </w:pPr>
      <w:r>
        <w:t>Canadá</w:t>
      </w:r>
    </w:p>
    <w:p w14:paraId="7B590EF3" w14:textId="77777777" w:rsidR="001E31E2" w:rsidRPr="007267A5" w:rsidRDefault="001E31E2" w:rsidP="007267A5">
      <w:pPr>
        <w:pStyle w:val="Para1"/>
        <w:numPr>
          <w:ilvl w:val="0"/>
          <w:numId w:val="0"/>
        </w:numPr>
        <w:spacing w:before="60" w:after="60"/>
        <w:ind w:left="142" w:hanging="142"/>
        <w:contextualSpacing/>
        <w:jc w:val="left"/>
      </w:pPr>
      <w:r>
        <w:t>Chile</w:t>
      </w:r>
    </w:p>
    <w:p w14:paraId="229F76F7" w14:textId="77777777" w:rsidR="001E31E2" w:rsidRPr="007267A5" w:rsidRDefault="001E31E2" w:rsidP="007267A5">
      <w:pPr>
        <w:pStyle w:val="Para1"/>
        <w:numPr>
          <w:ilvl w:val="0"/>
          <w:numId w:val="0"/>
        </w:numPr>
        <w:spacing w:before="60" w:after="60"/>
        <w:ind w:left="142" w:hanging="142"/>
        <w:contextualSpacing/>
        <w:jc w:val="left"/>
      </w:pPr>
      <w:r>
        <w:t>Chipre</w:t>
      </w:r>
    </w:p>
    <w:p w14:paraId="5AA3B0C7" w14:textId="77777777" w:rsidR="001E31E2" w:rsidRPr="007267A5" w:rsidRDefault="001E31E2" w:rsidP="007267A5">
      <w:pPr>
        <w:pStyle w:val="Para1"/>
        <w:numPr>
          <w:ilvl w:val="0"/>
          <w:numId w:val="0"/>
        </w:numPr>
        <w:spacing w:before="60" w:after="60"/>
        <w:ind w:left="142" w:hanging="142"/>
        <w:contextualSpacing/>
        <w:jc w:val="left"/>
      </w:pPr>
      <w:r>
        <w:t>Colombia</w:t>
      </w:r>
    </w:p>
    <w:p w14:paraId="54C1B455" w14:textId="77777777" w:rsidR="001E31E2" w:rsidRPr="007267A5" w:rsidRDefault="001E31E2" w:rsidP="007267A5">
      <w:pPr>
        <w:pStyle w:val="Para1"/>
        <w:numPr>
          <w:ilvl w:val="0"/>
          <w:numId w:val="0"/>
        </w:numPr>
        <w:spacing w:before="60" w:after="60"/>
        <w:ind w:left="142" w:hanging="142"/>
        <w:contextualSpacing/>
        <w:jc w:val="left"/>
      </w:pPr>
      <w:r>
        <w:t>Costa Rica</w:t>
      </w:r>
    </w:p>
    <w:p w14:paraId="26300C41" w14:textId="77777777" w:rsidR="001E31E2" w:rsidRPr="007267A5" w:rsidRDefault="001E31E2" w:rsidP="007267A5">
      <w:pPr>
        <w:pStyle w:val="Para1"/>
        <w:numPr>
          <w:ilvl w:val="0"/>
          <w:numId w:val="0"/>
        </w:numPr>
        <w:spacing w:before="60" w:after="60"/>
        <w:ind w:left="142" w:hanging="142"/>
        <w:contextualSpacing/>
        <w:jc w:val="left"/>
      </w:pPr>
      <w:r>
        <w:t>Dominica</w:t>
      </w:r>
    </w:p>
    <w:p w14:paraId="1C52D841" w14:textId="77777777" w:rsidR="001E31E2" w:rsidRPr="007267A5" w:rsidRDefault="001E31E2" w:rsidP="007267A5">
      <w:pPr>
        <w:pStyle w:val="Para1"/>
        <w:numPr>
          <w:ilvl w:val="0"/>
          <w:numId w:val="0"/>
        </w:numPr>
        <w:spacing w:before="60" w:after="60"/>
        <w:ind w:left="142" w:hanging="142"/>
        <w:contextualSpacing/>
        <w:jc w:val="left"/>
      </w:pPr>
      <w:r>
        <w:t>El Salvador</w:t>
      </w:r>
    </w:p>
    <w:p w14:paraId="313F09C2" w14:textId="77777777" w:rsidR="001E31E2" w:rsidRPr="008B312A" w:rsidRDefault="001E31E2" w:rsidP="007267A5">
      <w:pPr>
        <w:pStyle w:val="Para1"/>
        <w:numPr>
          <w:ilvl w:val="0"/>
          <w:numId w:val="0"/>
        </w:numPr>
        <w:spacing w:before="60" w:after="60"/>
        <w:ind w:left="142" w:hanging="142"/>
        <w:contextualSpacing/>
        <w:jc w:val="left"/>
      </w:pPr>
      <w:r>
        <w:t>Eslovenia</w:t>
      </w:r>
    </w:p>
    <w:p w14:paraId="5A6630A4" w14:textId="77777777" w:rsidR="001E31E2" w:rsidRPr="007267A5" w:rsidRDefault="001E31E2" w:rsidP="007267A5">
      <w:pPr>
        <w:pStyle w:val="Para1"/>
        <w:numPr>
          <w:ilvl w:val="0"/>
          <w:numId w:val="0"/>
        </w:numPr>
        <w:spacing w:before="60" w:after="60"/>
        <w:ind w:left="142" w:hanging="142"/>
        <w:contextualSpacing/>
        <w:jc w:val="left"/>
      </w:pPr>
      <w:r>
        <w:t>Estado de Palestina</w:t>
      </w:r>
    </w:p>
    <w:p w14:paraId="1D64E344" w14:textId="77777777" w:rsidR="001E31E2" w:rsidRPr="007267A5" w:rsidRDefault="001E31E2" w:rsidP="007267A5">
      <w:pPr>
        <w:pStyle w:val="Para1"/>
        <w:numPr>
          <w:ilvl w:val="0"/>
          <w:numId w:val="0"/>
        </w:numPr>
        <w:spacing w:before="60" w:after="60"/>
        <w:ind w:left="142" w:hanging="142"/>
        <w:contextualSpacing/>
        <w:jc w:val="left"/>
      </w:pPr>
      <w:r>
        <w:t>Estados Unidos de América</w:t>
      </w:r>
    </w:p>
    <w:p w14:paraId="426F5975" w14:textId="77777777" w:rsidR="001E31E2" w:rsidRPr="007267A5" w:rsidRDefault="001E31E2" w:rsidP="007267A5">
      <w:pPr>
        <w:pStyle w:val="Para1"/>
        <w:numPr>
          <w:ilvl w:val="0"/>
          <w:numId w:val="0"/>
        </w:numPr>
        <w:spacing w:before="60" w:after="60"/>
        <w:ind w:left="142" w:hanging="142"/>
        <w:contextualSpacing/>
        <w:jc w:val="left"/>
      </w:pPr>
      <w:r>
        <w:t>Federación de Rusia</w:t>
      </w:r>
    </w:p>
    <w:p w14:paraId="44C7A85B" w14:textId="77777777" w:rsidR="001E31E2" w:rsidRPr="007267A5" w:rsidRDefault="001E31E2" w:rsidP="007267A5">
      <w:pPr>
        <w:pStyle w:val="Para1"/>
        <w:numPr>
          <w:ilvl w:val="0"/>
          <w:numId w:val="0"/>
        </w:numPr>
        <w:spacing w:before="60" w:after="60"/>
        <w:ind w:left="142" w:hanging="142"/>
        <w:contextualSpacing/>
        <w:jc w:val="left"/>
      </w:pPr>
      <w:r>
        <w:t>Georgia</w:t>
      </w:r>
    </w:p>
    <w:p w14:paraId="3A929682" w14:textId="77777777" w:rsidR="001E31E2" w:rsidRPr="007267A5" w:rsidRDefault="001E31E2" w:rsidP="007267A5">
      <w:pPr>
        <w:pStyle w:val="Para1"/>
        <w:numPr>
          <w:ilvl w:val="0"/>
          <w:numId w:val="0"/>
        </w:numPr>
        <w:spacing w:before="60" w:after="60"/>
        <w:ind w:left="142" w:hanging="142"/>
        <w:contextualSpacing/>
        <w:jc w:val="left"/>
      </w:pPr>
      <w:r>
        <w:t>Granada</w:t>
      </w:r>
    </w:p>
    <w:p w14:paraId="24A4BED6" w14:textId="77777777" w:rsidR="001E31E2" w:rsidRPr="007267A5" w:rsidRDefault="001E31E2" w:rsidP="007267A5">
      <w:pPr>
        <w:pStyle w:val="Para1"/>
        <w:numPr>
          <w:ilvl w:val="0"/>
          <w:numId w:val="0"/>
        </w:numPr>
        <w:spacing w:before="60" w:after="60"/>
        <w:ind w:left="142" w:hanging="142"/>
        <w:contextualSpacing/>
        <w:jc w:val="left"/>
      </w:pPr>
      <w:r>
        <w:t>Guinea Ecuatorial</w:t>
      </w:r>
    </w:p>
    <w:p w14:paraId="5F39E7C4" w14:textId="77777777" w:rsidR="001E31E2" w:rsidRPr="007267A5" w:rsidRDefault="001E31E2" w:rsidP="007267A5">
      <w:pPr>
        <w:pStyle w:val="Para1"/>
        <w:numPr>
          <w:ilvl w:val="0"/>
          <w:numId w:val="0"/>
        </w:numPr>
        <w:spacing w:before="60" w:after="60"/>
        <w:ind w:left="142" w:hanging="142"/>
        <w:contextualSpacing/>
        <w:jc w:val="left"/>
      </w:pPr>
      <w:r>
        <w:t>Haití</w:t>
      </w:r>
    </w:p>
    <w:p w14:paraId="4B7D23BE" w14:textId="77777777" w:rsidR="001E31E2" w:rsidRPr="007267A5" w:rsidRDefault="001E31E2" w:rsidP="007267A5">
      <w:pPr>
        <w:pStyle w:val="Para1"/>
        <w:numPr>
          <w:ilvl w:val="0"/>
          <w:numId w:val="0"/>
        </w:numPr>
        <w:spacing w:before="60" w:after="60"/>
        <w:ind w:left="142" w:hanging="142"/>
        <w:contextualSpacing/>
        <w:jc w:val="left"/>
      </w:pPr>
      <w:r>
        <w:t>Irán (República Islámica del)</w:t>
      </w:r>
    </w:p>
    <w:p w14:paraId="1AD10C30" w14:textId="77777777" w:rsidR="001E31E2" w:rsidRPr="00EA311B" w:rsidRDefault="001E31E2" w:rsidP="00AA3536">
      <w:pPr>
        <w:pStyle w:val="Para1"/>
        <w:numPr>
          <w:ilvl w:val="0"/>
          <w:numId w:val="0"/>
        </w:numPr>
        <w:spacing w:before="60" w:after="60"/>
        <w:ind w:left="142" w:hanging="142"/>
        <w:contextualSpacing/>
        <w:jc w:val="left"/>
      </w:pPr>
      <w:r>
        <w:t>Irlanda</w:t>
      </w:r>
    </w:p>
    <w:p w14:paraId="60CD50F2" w14:textId="77777777" w:rsidR="001E31E2" w:rsidRPr="007267A5" w:rsidRDefault="001E31E2" w:rsidP="007267A5">
      <w:pPr>
        <w:pStyle w:val="Para1"/>
        <w:numPr>
          <w:ilvl w:val="0"/>
          <w:numId w:val="0"/>
        </w:numPr>
        <w:spacing w:before="60" w:after="60"/>
        <w:ind w:left="142" w:hanging="142"/>
        <w:contextualSpacing/>
        <w:jc w:val="left"/>
      </w:pPr>
      <w:r>
        <w:t>Islandia</w:t>
      </w:r>
    </w:p>
    <w:p w14:paraId="3FA74701" w14:textId="77777777" w:rsidR="001E31E2" w:rsidRPr="007267A5" w:rsidRDefault="001E31E2" w:rsidP="007267A5">
      <w:pPr>
        <w:pStyle w:val="Para1"/>
        <w:numPr>
          <w:ilvl w:val="0"/>
          <w:numId w:val="0"/>
        </w:numPr>
        <w:spacing w:before="60" w:after="60"/>
        <w:ind w:left="142" w:hanging="142"/>
        <w:contextualSpacing/>
        <w:jc w:val="left"/>
      </w:pPr>
      <w:r>
        <w:t>Islas Cook</w:t>
      </w:r>
    </w:p>
    <w:p w14:paraId="0F5BCB35" w14:textId="77777777" w:rsidR="001E31E2" w:rsidRPr="00EA311B" w:rsidRDefault="001E31E2" w:rsidP="007267A5">
      <w:pPr>
        <w:pStyle w:val="Para1"/>
        <w:numPr>
          <w:ilvl w:val="0"/>
          <w:numId w:val="0"/>
        </w:numPr>
        <w:spacing w:before="60" w:after="60"/>
        <w:ind w:left="142" w:hanging="142"/>
        <w:contextualSpacing/>
        <w:jc w:val="left"/>
      </w:pPr>
      <w:r>
        <w:t>Israel</w:t>
      </w:r>
    </w:p>
    <w:p w14:paraId="4F8F5B90" w14:textId="77777777" w:rsidR="001E31E2" w:rsidRPr="00EA311B" w:rsidRDefault="001E31E2" w:rsidP="007267A5">
      <w:pPr>
        <w:pStyle w:val="Para1"/>
        <w:numPr>
          <w:ilvl w:val="0"/>
          <w:numId w:val="0"/>
        </w:numPr>
        <w:spacing w:before="60" w:after="60"/>
        <w:ind w:left="142" w:hanging="142"/>
        <w:contextualSpacing/>
        <w:jc w:val="left"/>
      </w:pPr>
      <w:r>
        <w:t>Italia</w:t>
      </w:r>
    </w:p>
    <w:p w14:paraId="49B87CB4" w14:textId="77777777" w:rsidR="001E31E2" w:rsidRPr="00EA311B" w:rsidRDefault="001E31E2" w:rsidP="007267A5">
      <w:pPr>
        <w:pStyle w:val="Para1"/>
        <w:numPr>
          <w:ilvl w:val="0"/>
          <w:numId w:val="0"/>
        </w:numPr>
        <w:spacing w:before="60" w:after="60"/>
        <w:ind w:left="142" w:hanging="142"/>
        <w:contextualSpacing/>
        <w:jc w:val="left"/>
      </w:pPr>
      <w:r>
        <w:t>Jamaica</w:t>
      </w:r>
    </w:p>
    <w:p w14:paraId="4594D39E" w14:textId="77777777" w:rsidR="001E31E2" w:rsidRPr="00EA311B" w:rsidRDefault="001E31E2" w:rsidP="007267A5">
      <w:pPr>
        <w:pStyle w:val="Para1"/>
        <w:numPr>
          <w:ilvl w:val="0"/>
          <w:numId w:val="0"/>
        </w:numPr>
        <w:spacing w:before="60" w:after="60"/>
        <w:ind w:left="142" w:hanging="142"/>
        <w:contextualSpacing/>
        <w:jc w:val="left"/>
      </w:pPr>
      <w:r>
        <w:t>Letonia</w:t>
      </w:r>
    </w:p>
    <w:p w14:paraId="79872026" w14:textId="77777777" w:rsidR="001E31E2" w:rsidRPr="00EA311B" w:rsidRDefault="001E31E2" w:rsidP="007267A5">
      <w:pPr>
        <w:pStyle w:val="Para1"/>
        <w:numPr>
          <w:ilvl w:val="0"/>
          <w:numId w:val="0"/>
        </w:numPr>
        <w:spacing w:before="60" w:after="60"/>
        <w:ind w:left="142" w:hanging="142"/>
        <w:contextualSpacing/>
        <w:jc w:val="left"/>
      </w:pPr>
      <w:r>
        <w:t>Libia</w:t>
      </w:r>
    </w:p>
    <w:p w14:paraId="4FE94425" w14:textId="77777777" w:rsidR="001E31E2" w:rsidRPr="007267A5" w:rsidRDefault="001E31E2" w:rsidP="007267A5">
      <w:pPr>
        <w:pStyle w:val="Para1"/>
        <w:numPr>
          <w:ilvl w:val="0"/>
          <w:numId w:val="0"/>
        </w:numPr>
        <w:spacing w:before="60" w:after="60"/>
        <w:ind w:left="142" w:hanging="142"/>
        <w:contextualSpacing/>
        <w:jc w:val="left"/>
      </w:pPr>
      <w:r>
        <w:t xml:space="preserve">Liechtenstein </w:t>
      </w:r>
    </w:p>
    <w:p w14:paraId="42E82079" w14:textId="77777777" w:rsidR="001E31E2" w:rsidRPr="007267A5" w:rsidRDefault="001E31E2" w:rsidP="007267A5">
      <w:pPr>
        <w:pStyle w:val="Para1"/>
        <w:numPr>
          <w:ilvl w:val="0"/>
          <w:numId w:val="0"/>
        </w:numPr>
        <w:spacing w:before="60" w:after="60"/>
        <w:ind w:left="142" w:hanging="142"/>
        <w:contextualSpacing/>
        <w:jc w:val="left"/>
      </w:pPr>
      <w:r>
        <w:t>Lituania</w:t>
      </w:r>
    </w:p>
    <w:p w14:paraId="5E32A469" w14:textId="77777777" w:rsidR="001E31E2" w:rsidRPr="007267A5" w:rsidRDefault="001E31E2" w:rsidP="007267A5">
      <w:pPr>
        <w:pStyle w:val="Para1"/>
        <w:numPr>
          <w:ilvl w:val="0"/>
          <w:numId w:val="0"/>
        </w:numPr>
        <w:spacing w:before="60" w:after="60"/>
        <w:ind w:left="142" w:hanging="142"/>
        <w:contextualSpacing/>
        <w:jc w:val="left"/>
      </w:pPr>
      <w:r>
        <w:t>Macedonia del Norte</w:t>
      </w:r>
    </w:p>
    <w:p w14:paraId="57DA43E8" w14:textId="77777777" w:rsidR="001E31E2" w:rsidRPr="007267A5" w:rsidRDefault="001E31E2" w:rsidP="007267A5">
      <w:pPr>
        <w:pStyle w:val="Para1"/>
        <w:numPr>
          <w:ilvl w:val="0"/>
          <w:numId w:val="0"/>
        </w:numPr>
        <w:spacing w:before="60" w:after="60"/>
        <w:ind w:left="142" w:hanging="142"/>
        <w:contextualSpacing/>
        <w:jc w:val="left"/>
      </w:pPr>
      <w:r>
        <w:t>Mónaco</w:t>
      </w:r>
    </w:p>
    <w:p w14:paraId="6B6C0D78" w14:textId="77777777" w:rsidR="001E31E2" w:rsidRPr="007267A5" w:rsidRDefault="001E31E2" w:rsidP="007267A5">
      <w:pPr>
        <w:pStyle w:val="Para1"/>
        <w:numPr>
          <w:ilvl w:val="0"/>
          <w:numId w:val="0"/>
        </w:numPr>
        <w:spacing w:before="60" w:after="60"/>
        <w:ind w:left="142" w:hanging="142"/>
        <w:contextualSpacing/>
        <w:jc w:val="left"/>
      </w:pPr>
      <w:r>
        <w:t>Nauru</w:t>
      </w:r>
    </w:p>
    <w:p w14:paraId="2B4DADE7" w14:textId="77777777" w:rsidR="001E31E2" w:rsidRPr="007267A5" w:rsidRDefault="001E31E2" w:rsidP="007267A5">
      <w:pPr>
        <w:pStyle w:val="Para1"/>
        <w:numPr>
          <w:ilvl w:val="0"/>
          <w:numId w:val="0"/>
        </w:numPr>
        <w:spacing w:before="60" w:after="60"/>
        <w:ind w:left="142" w:hanging="142"/>
        <w:contextualSpacing/>
        <w:jc w:val="left"/>
      </w:pPr>
      <w:r>
        <w:t>Niue</w:t>
      </w:r>
    </w:p>
    <w:p w14:paraId="5E1553C1" w14:textId="77777777" w:rsidR="001E31E2" w:rsidRPr="007267A5" w:rsidRDefault="001E31E2" w:rsidP="007267A5">
      <w:pPr>
        <w:pStyle w:val="Para1"/>
        <w:numPr>
          <w:ilvl w:val="0"/>
          <w:numId w:val="0"/>
        </w:numPr>
        <w:spacing w:before="60" w:after="60"/>
        <w:ind w:left="142" w:hanging="142"/>
        <w:contextualSpacing/>
        <w:jc w:val="left"/>
      </w:pPr>
      <w:r>
        <w:t>Nueva Zelandia</w:t>
      </w:r>
    </w:p>
    <w:p w14:paraId="733AEEF9" w14:textId="77777777" w:rsidR="001E31E2" w:rsidRPr="007267A5" w:rsidRDefault="001E31E2" w:rsidP="003A07F9">
      <w:pPr>
        <w:pStyle w:val="Para1"/>
        <w:numPr>
          <w:ilvl w:val="0"/>
          <w:numId w:val="0"/>
        </w:numPr>
        <w:spacing w:before="60" w:after="60"/>
        <w:ind w:left="142" w:hanging="142"/>
        <w:contextualSpacing/>
        <w:jc w:val="left"/>
      </w:pPr>
      <w:r>
        <w:t>Papua Nueva Guinea</w:t>
      </w:r>
    </w:p>
    <w:p w14:paraId="36EEBAD2" w14:textId="77777777" w:rsidR="001E31E2" w:rsidRPr="007267A5" w:rsidRDefault="001E31E2" w:rsidP="007267A5">
      <w:pPr>
        <w:pStyle w:val="Para1"/>
        <w:numPr>
          <w:ilvl w:val="0"/>
          <w:numId w:val="0"/>
        </w:numPr>
        <w:spacing w:before="60" w:after="60"/>
        <w:ind w:left="142" w:hanging="142"/>
        <w:contextualSpacing/>
        <w:jc w:val="left"/>
      </w:pPr>
      <w:r>
        <w:t>Paraguay</w:t>
      </w:r>
    </w:p>
    <w:p w14:paraId="7F81E792" w14:textId="77777777" w:rsidR="001E31E2" w:rsidRPr="007267A5" w:rsidRDefault="001E31E2" w:rsidP="007267A5">
      <w:pPr>
        <w:pStyle w:val="Para1"/>
        <w:numPr>
          <w:ilvl w:val="0"/>
          <w:numId w:val="0"/>
        </w:numPr>
        <w:spacing w:before="60" w:after="60"/>
        <w:ind w:left="142" w:hanging="142"/>
        <w:contextualSpacing/>
        <w:jc w:val="left"/>
      </w:pPr>
      <w:r>
        <w:t>Polonia</w:t>
      </w:r>
    </w:p>
    <w:p w14:paraId="359DD1B6" w14:textId="77777777" w:rsidR="001E31E2" w:rsidRPr="007267A5" w:rsidRDefault="001E31E2" w:rsidP="007267A5">
      <w:pPr>
        <w:pStyle w:val="Para1"/>
        <w:numPr>
          <w:ilvl w:val="0"/>
          <w:numId w:val="0"/>
        </w:numPr>
        <w:spacing w:before="60" w:after="60"/>
        <w:ind w:left="142" w:hanging="142"/>
        <w:contextualSpacing/>
        <w:jc w:val="left"/>
      </w:pPr>
      <w:r>
        <w:t>San Vicente y las Granadinas</w:t>
      </w:r>
    </w:p>
    <w:p w14:paraId="02830EC2" w14:textId="77777777" w:rsidR="001E31E2" w:rsidRPr="007267A5" w:rsidRDefault="001E31E2" w:rsidP="007267A5">
      <w:pPr>
        <w:pStyle w:val="Para1"/>
        <w:numPr>
          <w:ilvl w:val="0"/>
          <w:numId w:val="0"/>
        </w:numPr>
        <w:spacing w:before="60" w:after="60"/>
        <w:ind w:left="142" w:hanging="142"/>
        <w:contextualSpacing/>
        <w:jc w:val="left"/>
      </w:pPr>
      <w:r>
        <w:t>Santa Sede</w:t>
      </w:r>
    </w:p>
    <w:p w14:paraId="78D9E192" w14:textId="77777777" w:rsidR="001E31E2" w:rsidRPr="007267A5" w:rsidRDefault="001E31E2" w:rsidP="007267A5">
      <w:pPr>
        <w:pStyle w:val="Para1"/>
        <w:numPr>
          <w:ilvl w:val="0"/>
          <w:numId w:val="0"/>
        </w:numPr>
        <w:spacing w:before="60" w:after="60"/>
        <w:ind w:left="142" w:hanging="142"/>
        <w:contextualSpacing/>
        <w:jc w:val="left"/>
      </w:pPr>
      <w:r>
        <w:t>Singapur</w:t>
      </w:r>
    </w:p>
    <w:p w14:paraId="59AF879D" w14:textId="77777777" w:rsidR="001E31E2" w:rsidRPr="008B312A" w:rsidRDefault="001E31E2" w:rsidP="007267A5">
      <w:pPr>
        <w:pStyle w:val="Para1"/>
        <w:numPr>
          <w:ilvl w:val="0"/>
          <w:numId w:val="0"/>
        </w:numPr>
        <w:spacing w:before="60" w:after="60"/>
        <w:ind w:left="142" w:hanging="142"/>
        <w:contextualSpacing/>
        <w:jc w:val="left"/>
      </w:pPr>
      <w:r>
        <w:t>Somalia</w:t>
      </w:r>
    </w:p>
    <w:p w14:paraId="3DF28041" w14:textId="77777777" w:rsidR="001E31E2" w:rsidRPr="007267A5" w:rsidRDefault="001E31E2" w:rsidP="007267A5">
      <w:pPr>
        <w:pStyle w:val="Para1"/>
        <w:numPr>
          <w:ilvl w:val="0"/>
          <w:numId w:val="0"/>
        </w:numPr>
        <w:spacing w:before="60" w:after="60"/>
        <w:ind w:left="142" w:hanging="142"/>
        <w:contextualSpacing/>
        <w:jc w:val="left"/>
      </w:pPr>
      <w:r>
        <w:t>Sri Lanka</w:t>
      </w:r>
    </w:p>
    <w:p w14:paraId="1B2F1EDF" w14:textId="77777777" w:rsidR="001E31E2" w:rsidRPr="008B312A" w:rsidRDefault="001E31E2" w:rsidP="007267A5">
      <w:pPr>
        <w:pStyle w:val="Para1"/>
        <w:numPr>
          <w:ilvl w:val="0"/>
          <w:numId w:val="0"/>
        </w:numPr>
        <w:spacing w:before="60" w:after="60"/>
        <w:ind w:left="142" w:hanging="142"/>
        <w:contextualSpacing/>
        <w:jc w:val="left"/>
      </w:pPr>
      <w:r>
        <w:t>Sudán del Sur</w:t>
      </w:r>
    </w:p>
    <w:p w14:paraId="79C02202" w14:textId="77777777" w:rsidR="001E31E2" w:rsidRPr="007267A5" w:rsidRDefault="001E31E2" w:rsidP="007267A5">
      <w:pPr>
        <w:pStyle w:val="Para1"/>
        <w:numPr>
          <w:ilvl w:val="0"/>
          <w:numId w:val="0"/>
        </w:numPr>
        <w:spacing w:before="60" w:after="60"/>
        <w:ind w:left="142" w:hanging="142"/>
        <w:contextualSpacing/>
        <w:jc w:val="left"/>
      </w:pPr>
      <w:r>
        <w:t>Suriname</w:t>
      </w:r>
    </w:p>
    <w:p w14:paraId="5AE58E20" w14:textId="77777777" w:rsidR="001E31E2" w:rsidRPr="007267A5" w:rsidRDefault="001E31E2" w:rsidP="007267A5">
      <w:pPr>
        <w:pStyle w:val="Para1"/>
        <w:numPr>
          <w:ilvl w:val="0"/>
          <w:numId w:val="0"/>
        </w:numPr>
        <w:spacing w:before="60" w:after="60"/>
        <w:ind w:left="142" w:hanging="142"/>
        <w:contextualSpacing/>
        <w:jc w:val="left"/>
      </w:pPr>
      <w:r>
        <w:t>Tailandia</w:t>
      </w:r>
    </w:p>
    <w:p w14:paraId="338A54F1" w14:textId="77777777" w:rsidR="001E31E2" w:rsidRPr="007267A5" w:rsidRDefault="001E31E2" w:rsidP="007267A5">
      <w:pPr>
        <w:pStyle w:val="Para1"/>
        <w:numPr>
          <w:ilvl w:val="0"/>
          <w:numId w:val="0"/>
        </w:numPr>
        <w:spacing w:before="60" w:after="60"/>
        <w:ind w:left="142" w:hanging="142"/>
        <w:contextualSpacing/>
        <w:jc w:val="left"/>
      </w:pPr>
      <w:r>
        <w:t>Timor-Leste</w:t>
      </w:r>
    </w:p>
    <w:p w14:paraId="5CE969EE" w14:textId="77777777" w:rsidR="001E31E2" w:rsidRPr="007267A5" w:rsidRDefault="001E31E2" w:rsidP="007267A5">
      <w:pPr>
        <w:pStyle w:val="Para1"/>
        <w:numPr>
          <w:ilvl w:val="0"/>
          <w:numId w:val="0"/>
        </w:numPr>
        <w:spacing w:before="60" w:after="60"/>
        <w:ind w:left="142" w:hanging="142"/>
        <w:contextualSpacing/>
        <w:jc w:val="left"/>
      </w:pPr>
      <w:r>
        <w:t>Trinidad y Tabago</w:t>
      </w:r>
    </w:p>
    <w:p w14:paraId="0191BB23" w14:textId="77777777" w:rsidR="001E31E2" w:rsidRPr="007267A5" w:rsidRDefault="001E31E2" w:rsidP="007267A5">
      <w:pPr>
        <w:pStyle w:val="Para1"/>
        <w:numPr>
          <w:ilvl w:val="0"/>
          <w:numId w:val="0"/>
        </w:numPr>
        <w:spacing w:before="60" w:after="60"/>
        <w:ind w:left="142" w:hanging="142"/>
        <w:contextualSpacing/>
        <w:jc w:val="left"/>
      </w:pPr>
      <w:r>
        <w:t>Türkiye</w:t>
      </w:r>
    </w:p>
    <w:p w14:paraId="4EC4E1DD" w14:textId="77777777" w:rsidR="001E31E2" w:rsidRPr="007267A5" w:rsidRDefault="001E31E2" w:rsidP="007267A5">
      <w:pPr>
        <w:pStyle w:val="Para1"/>
        <w:numPr>
          <w:ilvl w:val="0"/>
          <w:numId w:val="0"/>
        </w:numPr>
        <w:spacing w:before="60" w:after="60"/>
        <w:ind w:left="142" w:hanging="142"/>
        <w:contextualSpacing/>
        <w:jc w:val="left"/>
      </w:pPr>
      <w:r>
        <w:t>Uzbekistán</w:t>
      </w:r>
    </w:p>
    <w:p w14:paraId="7219C54F" w14:textId="77777777" w:rsidR="001E31E2" w:rsidRPr="00F9543F" w:rsidRDefault="001E31E2" w:rsidP="007267A5">
      <w:pPr>
        <w:pStyle w:val="Para1"/>
        <w:numPr>
          <w:ilvl w:val="0"/>
          <w:numId w:val="0"/>
        </w:numPr>
        <w:spacing w:before="60"/>
        <w:ind w:left="142" w:hanging="142"/>
        <w:jc w:val="left"/>
      </w:pPr>
      <w:r>
        <w:t>Yemen</w:t>
      </w:r>
    </w:p>
    <w:p w14:paraId="527B950C" w14:textId="77777777" w:rsidR="0027481E" w:rsidRPr="00F9543F" w:rsidRDefault="0027481E" w:rsidP="00964C7D">
      <w:pPr>
        <w:pStyle w:val="Para1"/>
        <w:numPr>
          <w:ilvl w:val="0"/>
          <w:numId w:val="9"/>
        </w:numPr>
        <w:overflowPunct w:val="0"/>
        <w:autoSpaceDE w:val="0"/>
        <w:autoSpaceDN w:val="0"/>
        <w:snapToGrid w:val="0"/>
        <w:spacing w:before="0"/>
        <w:sectPr w:rsidR="0027481E" w:rsidRPr="00F9543F" w:rsidSect="007267A5">
          <w:type w:val="continuous"/>
          <w:pgSz w:w="12240" w:h="15840"/>
          <w:pgMar w:top="567" w:right="1389" w:bottom="1134" w:left="1389" w:header="461" w:footer="720" w:gutter="0"/>
          <w:cols w:num="3" w:space="708"/>
          <w:titlePg/>
          <w:docGrid w:linePitch="360"/>
        </w:sectPr>
      </w:pPr>
    </w:p>
    <w:p w14:paraId="379141A1" w14:textId="7AD1AE47" w:rsidR="00964C7D" w:rsidRPr="00F9543F" w:rsidRDefault="00964C7D" w:rsidP="007267A5">
      <w:pPr>
        <w:pStyle w:val="Para1"/>
        <w:numPr>
          <w:ilvl w:val="0"/>
          <w:numId w:val="0"/>
        </w:numPr>
        <w:overflowPunct w:val="0"/>
        <w:autoSpaceDE w:val="0"/>
        <w:autoSpaceDN w:val="0"/>
        <w:snapToGrid w:val="0"/>
      </w:pPr>
    </w:p>
    <w:p w14:paraId="442C7F4F" w14:textId="1CC21674" w:rsidR="00F52AC0" w:rsidRPr="007267A5" w:rsidRDefault="00075E78" w:rsidP="007267A5">
      <w:pPr>
        <w:pStyle w:val="Heading2"/>
        <w:tabs>
          <w:tab w:val="clear" w:pos="720"/>
          <w:tab w:val="left" w:pos="851"/>
        </w:tabs>
        <w:rPr>
          <w:i w:val="0"/>
          <w:iCs w:val="0"/>
        </w:rPr>
      </w:pPr>
      <w:r>
        <w:rPr>
          <w:i w:val="0"/>
        </w:rPr>
        <w:t>Tema 1.</w:t>
      </w:r>
      <w:r>
        <w:rPr>
          <w:i w:val="0"/>
        </w:rPr>
        <w:tab/>
        <w:t>Apertura de la reunión</w:t>
      </w:r>
    </w:p>
    <w:p w14:paraId="01EAA727" w14:textId="7078FE12" w:rsidR="00865225" w:rsidRPr="00F9543F"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2" w:name="_Hlk135294984"/>
      <w:r>
        <w:t xml:space="preserve">La primera sesión plenaria se celebró conjuntamente con las sesiones plenarias de la Conferencia de las Partes en el Convenio y de la Conferencia de las Partes que actúa como reunión de las Partes en el Protocolo de Cartagena, el 7 de diciembre de 2022. </w:t>
      </w:r>
      <w:bookmarkEnd w:id="2"/>
      <w:r>
        <w:t>El Presidente de los tres órganos, el Ministro de Ecología y Medio Ambiente de China, declaró inaugurada la segunda parte de las reuniones a las 10.25 horas</w:t>
      </w:r>
      <w:r w:rsidR="008A39E9" w:rsidRPr="001E31E2">
        <w:rPr>
          <w:rStyle w:val="FootnoteReference"/>
          <w:sz w:val="22"/>
          <w:szCs w:val="22"/>
          <w:u w:val="none"/>
          <w:vertAlign w:val="superscript"/>
        </w:rPr>
        <w:footnoteReference w:id="5"/>
      </w:r>
      <w:r>
        <w:t>.</w:t>
      </w:r>
    </w:p>
    <w:p w14:paraId="12C38E80" w14:textId="50BF4872" w:rsidR="00F52AC0" w:rsidRPr="007267A5" w:rsidRDefault="00075E78" w:rsidP="007267A5">
      <w:pPr>
        <w:pStyle w:val="Heading2"/>
        <w:tabs>
          <w:tab w:val="clear" w:pos="720"/>
          <w:tab w:val="left" w:pos="851"/>
        </w:tabs>
        <w:rPr>
          <w:i w:val="0"/>
          <w:iCs w:val="0"/>
        </w:rPr>
      </w:pPr>
      <w:r>
        <w:rPr>
          <w:i w:val="0"/>
        </w:rPr>
        <w:t>Tema 2.</w:t>
      </w:r>
      <w:bookmarkStart w:id="3" w:name="SEVEN"/>
      <w:bookmarkEnd w:id="3"/>
      <w:r>
        <w:rPr>
          <w:i w:val="0"/>
        </w:rPr>
        <w:tab/>
        <w:t>Cuestiones de organización</w:t>
      </w:r>
    </w:p>
    <w:p w14:paraId="6621B224" w14:textId="77777777" w:rsidR="00654D95" w:rsidRPr="007267A5" w:rsidRDefault="00654D95" w:rsidP="00B40FE2">
      <w:pPr>
        <w:pStyle w:val="Heading2"/>
        <w:rPr>
          <w:i w:val="0"/>
          <w:iCs w:val="0"/>
        </w:rPr>
      </w:pPr>
      <w:r>
        <w:rPr>
          <w:i w:val="0"/>
        </w:rPr>
        <w:t>A.</w:t>
      </w:r>
      <w:r>
        <w:rPr>
          <w:i w:val="0"/>
        </w:rPr>
        <w:tab/>
        <w:t>Elección de la Mesa</w:t>
      </w:r>
    </w:p>
    <w:p w14:paraId="35BC0970" w14:textId="03628B29" w:rsidR="00654D95" w:rsidRPr="00F9543F" w:rsidRDefault="00654D95" w:rsidP="00761886">
      <w:pPr>
        <w:pStyle w:val="para10"/>
      </w:pPr>
      <w:r>
        <w:t>De conformidad con el párrafo 3 del artículo 26 del Protocolo de Nagoya, la Mesa de la Conferencia de las Partes en el Convenio también ofició de Mesa de la Conferencia de las Partes que actúa como reunión de las Pa</w:t>
      </w:r>
      <w:r w:rsidR="001E31E2">
        <w:t>rtes en el Protocolo de Nagoya.</w:t>
      </w:r>
    </w:p>
    <w:p w14:paraId="3F06C0B4" w14:textId="6F8D5FE9" w:rsidR="000A4914" w:rsidRPr="007267A5"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En su primera sesión plenaria, la Conferencia de las Partes que actúa como reunión de las Partes en el Protocolo de Nagoya tomó nota de que el Presidente, los Vicepresidentes y la Relatora, que habían ejercido esas funciones durante la primera parte de la cuarta reunión, seguirían desempeñándolas, con excepción de dos de los Vicepresidentes, que habían sido sustituidos desde entonces</w:t>
      </w:r>
      <w:r w:rsidRPr="001E31E2">
        <w:rPr>
          <w:rStyle w:val="FootnoteReference"/>
          <w:rFonts w:asciiTheme="majorBidi" w:hAnsiTheme="majorBidi" w:cstheme="majorBidi"/>
          <w:sz w:val="22"/>
          <w:szCs w:val="22"/>
          <w:u w:val="none"/>
          <w:vertAlign w:val="superscript"/>
        </w:rPr>
        <w:footnoteReference w:id="6"/>
      </w:r>
      <w:r w:rsidR="001E31E2">
        <w:t>.</w:t>
      </w:r>
    </w:p>
    <w:p w14:paraId="09C2EFEC" w14:textId="1F251D8F" w:rsidR="00654D95" w:rsidRPr="00F9543F"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En la quinta sesión plenaria, el 19 de diciembre, tras la falta de consenso con respecto a las candidaturas para miembros de la Mesa y para la Presidencia del Órgano Subsidiario de Asesoramiento Científico, Técnico y Tecnológico, así como la falta de quórum para tomar una decisión al respecto, el </w:t>
      </w:r>
      <w:r>
        <w:lastRenderedPageBreak/>
        <w:t>Presidente propuso suspender la segunda parte de las reuniones de los tres órganos para permitir que las Partes consideraran el asunto en una continuación de las reuniones, que se convocaría en una fecha posterior</w:t>
      </w:r>
      <w:r w:rsidR="00301DEB" w:rsidRPr="001E31E2">
        <w:rPr>
          <w:rStyle w:val="FootnoteReference"/>
          <w:kern w:val="22"/>
          <w:sz w:val="22"/>
          <w:szCs w:val="22"/>
          <w:u w:val="none"/>
          <w:vertAlign w:val="superscript"/>
        </w:rPr>
        <w:footnoteReference w:id="7"/>
      </w:r>
      <w:r w:rsidR="001E31E2">
        <w:t>.</w:t>
      </w:r>
    </w:p>
    <w:p w14:paraId="6A21E82D" w14:textId="4798B3A2" w:rsidR="00F52AC0" w:rsidRPr="007267A5" w:rsidRDefault="00654D95" w:rsidP="00B40FE2">
      <w:pPr>
        <w:pStyle w:val="Heading2"/>
        <w:rPr>
          <w:i w:val="0"/>
          <w:iCs w:val="0"/>
        </w:rPr>
      </w:pPr>
      <w:r>
        <w:rPr>
          <w:i w:val="0"/>
        </w:rPr>
        <w:t>B.</w:t>
      </w:r>
      <w:r>
        <w:rPr>
          <w:i w:val="0"/>
        </w:rPr>
        <w:tab/>
        <w:t>Adopción del programa</w:t>
      </w:r>
    </w:p>
    <w:p w14:paraId="54F6C23E" w14:textId="5E9D2C30" w:rsidR="003819DE" w:rsidRPr="00F9543F"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t>El programa de la cuarta reunión de la Conferencia de las Partes que actúa como reunión de las Partes en el Protocolo de Nagoya, adoptado en la primera parte de la reunión, fue el siguiente:</w:t>
      </w:r>
    </w:p>
    <w:p w14:paraId="1986AA47" w14:textId="77777777"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Apertura de la reunión.</w:t>
      </w:r>
    </w:p>
    <w:p w14:paraId="5E3F32E5" w14:textId="2BCF3EBD"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Cuestiones de organización.</w:t>
      </w:r>
    </w:p>
    <w:p w14:paraId="3B3DAB27" w14:textId="7F09821A"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Informe sobre las credenciales de los representantes que participan en la cuarta reunión de la Conferencia de las Partes que actúa como reunión de las Partes en el Protocolo de Nagoya.</w:t>
      </w:r>
    </w:p>
    <w:p w14:paraId="47DBB941"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Informes de los órganos subsidiarios.</w:t>
      </w:r>
    </w:p>
    <w:p w14:paraId="535ED465" w14:textId="4BE5682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Informe del Comité de Cumplimiento (artículo 30).</w:t>
      </w:r>
    </w:p>
    <w:p w14:paraId="7807021A" w14:textId="3ACA5F51"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Administración del Protocolo y el presupuesto para los fondos fiduciarios.</w:t>
      </w:r>
    </w:p>
    <w:p w14:paraId="00B76A04" w14:textId="36F69E7F"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Mecanismo financiero y recursos financieros (artículo 25).</w:t>
      </w:r>
    </w:p>
    <w:p w14:paraId="3FE8905D" w14:textId="1C4377F4"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Medidas para brindar asistencia para la creación de capacidades y el desarrollo de capacidades (artículo 22) y medidas para aumentar la concienciación acerca de la importancia de los recursos genéticos y conocimientos tradicionales asociados (artículo 21).</w:t>
      </w:r>
    </w:p>
    <w:p w14:paraId="635D8CC0" w14:textId="015C3CC1"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El Centro de Intercambio de Información sobre Acceso y Participación en los Beneficios (artículo 14).</w:t>
      </w:r>
    </w:p>
    <w:p w14:paraId="57F70F6F" w14:textId="3104611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Vigilancia y presentación de informes (artículo 29).</w:t>
      </w:r>
    </w:p>
    <w:p w14:paraId="3C17F263" w14:textId="6B1FD61C"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Cooperación con otros convenios, organizaciones internacionales e iniciativas.</w:t>
      </w:r>
    </w:p>
    <w:p w14:paraId="7DBA8A5D" w14:textId="654A38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Revisión de la eficacia de las estructuras y los procesos.</w:t>
      </w:r>
    </w:p>
    <w:p w14:paraId="68A67EE7" w14:textId="6EB55DF6"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Marco mundial de la diversidad biológica posterior a 2020. </w:t>
      </w:r>
    </w:p>
    <w:p w14:paraId="5AED3023" w14:textId="63B5631E"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Información digital sobre secuencias de recursos genéticos.</w:t>
      </w:r>
    </w:p>
    <w:p w14:paraId="585CA2ED" w14:textId="02214FD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Instrumentos internacionales especializados de acceso y participación en los beneficios dentro del contexto del párrafo 4 del artículo 4 del Protocolo de Nagoya.</w:t>
      </w:r>
    </w:p>
    <w:p w14:paraId="74E353BB" w14:textId="2B0D03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Mecanismo mundial multilateral de participación en los beneficios (artículo 10).</w:t>
      </w:r>
    </w:p>
    <w:p w14:paraId="78B5116C"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Otros asuntos.</w:t>
      </w:r>
    </w:p>
    <w:p w14:paraId="556A44AF" w14:textId="2D4DBEE5"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Adopción del informe.</w:t>
      </w:r>
    </w:p>
    <w:p w14:paraId="1AA1110A" w14:textId="7D76A05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Clausura de la reunión.</w:t>
      </w:r>
    </w:p>
    <w:p w14:paraId="76239D3E" w14:textId="0C8A55E9" w:rsidR="00F52AC0" w:rsidRPr="007267A5" w:rsidRDefault="00654D95" w:rsidP="00B40FE2">
      <w:pPr>
        <w:pStyle w:val="Heading2"/>
        <w:rPr>
          <w:i w:val="0"/>
          <w:iCs w:val="0"/>
        </w:rPr>
      </w:pPr>
      <w:r>
        <w:rPr>
          <w:i w:val="0"/>
        </w:rPr>
        <w:t>C.</w:t>
      </w:r>
      <w:r>
        <w:rPr>
          <w:i w:val="0"/>
        </w:rPr>
        <w:tab/>
        <w:t>Organización de los trabajos</w:t>
      </w:r>
    </w:p>
    <w:p w14:paraId="7458EAFA" w14:textId="43957D53" w:rsidR="00DC0985" w:rsidRPr="00F9543F"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En su primera sesión plenaria, la Conferencia de las Partes que actúa como reunión de las Partes en el Protocolo de Nagoya consideró una nota de la Secretaria Ejecutiva sobre la propuesta de organización de los trabajos para la segunda parte de su cuarta reunión (CBD/NP/MOP/4/1/Add.4/Rev.1) y convino en organizar su labor como se establecía en la nota. Los tres órganos, que celebraron la sesión en forma conjunta, establecieron dos grupos de trabajo que les prestarían asistencia y se eligió a Rosemary Paterson (Nueva Zelandia) como Presidenta del Grupo</w:t>
      </w:r>
      <w:r w:rsidR="00855F1F">
        <w:t xml:space="preserve"> de Trabajo I y a Helena Jeffer</w:t>
      </w:r>
      <w:r>
        <w:t>y</w:t>
      </w:r>
      <w:r w:rsidR="00855F1F">
        <w:t xml:space="preserve"> </w:t>
      </w:r>
      <w:r>
        <w:t>Brown (Antigua y Barbuda) como Presidenta del Grupo de Trabajo II.</w:t>
      </w:r>
    </w:p>
    <w:p w14:paraId="0648B9BE" w14:textId="77777777" w:rsidR="00D25200" w:rsidRPr="007267A5" w:rsidRDefault="00D25200" w:rsidP="007267A5">
      <w:pPr>
        <w:pStyle w:val="Heading6"/>
        <w:spacing w:after="120"/>
        <w:ind w:left="0"/>
        <w:rPr>
          <w:i/>
          <w:iCs/>
          <w:u w:val="none"/>
        </w:rPr>
      </w:pPr>
      <w:bookmarkStart w:id="4" w:name="_Hlk123387745"/>
      <w:bookmarkStart w:id="5" w:name="_Hlk122179754"/>
      <w:r>
        <w:rPr>
          <w:i/>
          <w:u w:val="none"/>
        </w:rPr>
        <w:lastRenderedPageBreak/>
        <w:t>Primera sesión de balance</w:t>
      </w:r>
    </w:p>
    <w:bookmarkEnd w:id="4"/>
    <w:p w14:paraId="2F0A7355" w14:textId="52AC6118" w:rsidR="00D25200" w:rsidRPr="00F9543F"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10 de diciembre, la Conferencia de las Partes que actúa como reunión de las Partes en el Protocolo de Nagoya mantuvo su segunda sesión plenaria, que sirvió en parte como sesión de balance. La sesión se celebró conjuntamente con la Conferencia de las Partes en el Convenio y la Conferencia de las Partes que actúa como reunión de las Partes en el Protocolo de Cartagena, y las presidencias de los Grupos de Trabajo I y II y del grupo de contacto sobre el presupuesto informaron sobre los progresos realizados hasta esa fecha</w:t>
      </w:r>
      <w:r w:rsidR="003B11DC" w:rsidRPr="001E31E2">
        <w:rPr>
          <w:rStyle w:val="FootnoteReference"/>
          <w:sz w:val="22"/>
          <w:szCs w:val="22"/>
          <w:u w:val="none"/>
          <w:vertAlign w:val="superscript"/>
        </w:rPr>
        <w:footnoteReference w:id="8"/>
      </w:r>
      <w:r>
        <w:t>.</w:t>
      </w:r>
    </w:p>
    <w:p w14:paraId="32ED0C5A" w14:textId="77777777" w:rsidR="00D25200" w:rsidRPr="007267A5" w:rsidRDefault="00D25200" w:rsidP="007267A5">
      <w:pPr>
        <w:pStyle w:val="Heading6"/>
        <w:spacing w:after="120"/>
        <w:ind w:left="0"/>
        <w:rPr>
          <w:i/>
          <w:iCs/>
          <w:u w:val="none"/>
        </w:rPr>
      </w:pPr>
      <w:bookmarkStart w:id="6" w:name="_Hlk122192162"/>
      <w:r>
        <w:rPr>
          <w:i/>
          <w:u w:val="none"/>
        </w:rPr>
        <w:t>Primera reunión de los jefes de delegación</w:t>
      </w:r>
    </w:p>
    <w:p w14:paraId="4AFFB35C" w14:textId="1EBD05D8"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14 de diciembre se celebró una reunión de los jefes de delegación conjuntamente con la Conferencia de las Partes en el Convenio y la Conferencia de las Partes que actúa como reunión de las Partes en el Protocolo de Cartagena a fin de discutir los progresos realizados hasta esa fecha en relación con las cuestiones clave que se estaban considerando</w:t>
      </w:r>
      <w:r w:rsidR="00D4798C" w:rsidRPr="001E31E2">
        <w:rPr>
          <w:rStyle w:val="FootnoteReference"/>
          <w:sz w:val="22"/>
          <w:szCs w:val="22"/>
          <w:u w:val="none"/>
          <w:vertAlign w:val="superscript"/>
        </w:rPr>
        <w:footnoteReference w:id="9"/>
      </w:r>
      <w:r w:rsidR="001E31E2">
        <w:t>.</w:t>
      </w:r>
    </w:p>
    <w:p w14:paraId="1DA46C3D" w14:textId="77777777" w:rsidR="00D25200" w:rsidRPr="007267A5" w:rsidRDefault="00D25200" w:rsidP="007267A5">
      <w:pPr>
        <w:pStyle w:val="Heading6"/>
        <w:spacing w:after="120"/>
        <w:ind w:left="0"/>
        <w:rPr>
          <w:i/>
          <w:iCs/>
          <w:u w:val="none"/>
        </w:rPr>
      </w:pPr>
      <w:r>
        <w:rPr>
          <w:i/>
          <w:u w:val="none"/>
        </w:rPr>
        <w:t>Consultas ministeriales</w:t>
      </w:r>
    </w:p>
    <w:p w14:paraId="5AE550D4" w14:textId="417E6277" w:rsidR="00ED089F" w:rsidRPr="00F9543F" w:rsidRDefault="00ED089F" w:rsidP="00ED089F">
      <w:pPr>
        <w:pStyle w:val="Para1"/>
        <w:numPr>
          <w:ilvl w:val="0"/>
          <w:numId w:val="9"/>
        </w:numPr>
        <w:overflowPunct w:val="0"/>
        <w:autoSpaceDE w:val="0"/>
        <w:autoSpaceDN w:val="0"/>
        <w:snapToGrid w:val="0"/>
        <w:spacing w:before="0"/>
      </w:pPr>
      <w:r>
        <w:t>El 15 de diciembre, la Conferencia de las Partes que actúa como reunión de las Partes en el Protocolo de Nagoya celebró la sesión plenaria de apertura de la serie de sesiones de alto nivel de la reunión conjuntamente con la Conferencia de las Partes en el Convenio y la Conferencia de las Partes que actúa como reunión de las Partes en el Protocolo de Cartagena</w:t>
      </w:r>
      <w:r w:rsidRPr="001E31E2">
        <w:rPr>
          <w:rStyle w:val="FootnoteReference"/>
          <w:sz w:val="22"/>
          <w:szCs w:val="22"/>
          <w:u w:val="none"/>
          <w:vertAlign w:val="superscript"/>
        </w:rPr>
        <w:footnoteReference w:id="10"/>
      </w:r>
      <w:r w:rsidR="001E31E2">
        <w:t>.</w:t>
      </w:r>
    </w:p>
    <w:p w14:paraId="7273709A" w14:textId="77777777" w:rsidR="00D25200" w:rsidRPr="007267A5" w:rsidRDefault="00D25200" w:rsidP="007267A5">
      <w:pPr>
        <w:pStyle w:val="Heading6"/>
        <w:spacing w:after="120"/>
        <w:ind w:left="0"/>
        <w:rPr>
          <w:i/>
          <w:iCs/>
          <w:u w:val="none"/>
        </w:rPr>
      </w:pPr>
      <w:r>
        <w:rPr>
          <w:i/>
          <w:u w:val="none"/>
        </w:rPr>
        <w:t>Segunda sesión de balance</w:t>
      </w:r>
    </w:p>
    <w:p w14:paraId="51B3B9CF" w14:textId="354A7E6D" w:rsidR="00D25200" w:rsidRPr="00F9543F" w:rsidRDefault="00D25200" w:rsidP="00D25200">
      <w:pPr>
        <w:pStyle w:val="Para1"/>
        <w:numPr>
          <w:ilvl w:val="0"/>
          <w:numId w:val="9"/>
        </w:numPr>
        <w:overflowPunct w:val="0"/>
        <w:autoSpaceDE w:val="0"/>
        <w:autoSpaceDN w:val="0"/>
        <w:snapToGrid w:val="0"/>
        <w:spacing w:before="0"/>
      </w:pPr>
      <w:bookmarkStart w:id="7" w:name="_Hlk122379813"/>
      <w:r>
        <w:t xml:space="preserve">El 17 de diciembre, la Conferencia de las Partes que actúa como reunión de las Partes en el Protocolo de Nagoya mantuvo su tercera sesión plenaria, que sirvió como una segunda sesión de balance. </w:t>
      </w:r>
      <w:bookmarkEnd w:id="7"/>
      <w:r>
        <w:t>La sesión se celebró conjuntamente con la Conferencia de las Partes en el Convenio y la Conferencia de las Partes que actúa como reunión de las Partes en el Protocolo de Cartagena, y las presidencias de los Grupos de Trabajo I y II y del grupo de contacto sobre el presupuesto informaron sobre los progresos realizados hasta esa fecha</w:t>
      </w:r>
      <w:r w:rsidR="009C1955" w:rsidRPr="001E31E2">
        <w:rPr>
          <w:rStyle w:val="FootnoteReference"/>
          <w:sz w:val="22"/>
          <w:szCs w:val="22"/>
          <w:u w:val="none"/>
          <w:vertAlign w:val="superscript"/>
        </w:rPr>
        <w:footnoteReference w:id="11"/>
      </w:r>
      <w:r w:rsidR="001E31E2">
        <w:t>.</w:t>
      </w:r>
    </w:p>
    <w:p w14:paraId="7C293A9C" w14:textId="77777777" w:rsidR="00D25200" w:rsidRPr="007267A5" w:rsidRDefault="00D25200" w:rsidP="00D25200">
      <w:pPr>
        <w:pStyle w:val="Heading6"/>
        <w:ind w:left="0"/>
        <w:rPr>
          <w:i/>
          <w:iCs/>
          <w:u w:val="none"/>
        </w:rPr>
      </w:pPr>
      <w:r>
        <w:rPr>
          <w:i/>
          <w:u w:val="none"/>
        </w:rPr>
        <w:t>Segunda reunión de los jefes de delegación</w:t>
      </w:r>
    </w:p>
    <w:p w14:paraId="54BA7D4A" w14:textId="60535BCD"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18 de diciembre se celebró una segunda reunión de los jefes de delegación conjuntamente con la Conferencia de las Partes en el Convenio sobre la Diversidad Biológica y la Conferencia de las Partes que actúa como reunión de las Partes en el Protocolo de Cartagena a fin de examinar los proyectos de decisión preparados por el Presidente para los temas del programa fundamentales relacionados con el marco mundial de la diversidad biológica posterior a 2020</w:t>
      </w:r>
      <w:r w:rsidR="004252A5" w:rsidRPr="001E31E2">
        <w:rPr>
          <w:rStyle w:val="FootnoteReference"/>
          <w:sz w:val="22"/>
          <w:szCs w:val="22"/>
          <w:u w:val="none"/>
          <w:vertAlign w:val="superscript"/>
        </w:rPr>
        <w:footnoteReference w:id="12"/>
      </w:r>
      <w:r w:rsidR="001E31E2">
        <w:t>.</w:t>
      </w:r>
    </w:p>
    <w:bookmarkEnd w:id="5"/>
    <w:bookmarkEnd w:id="6"/>
    <w:p w14:paraId="4327DE9C" w14:textId="31DC998F" w:rsidR="00F52AC0" w:rsidRPr="007267A5" w:rsidRDefault="003134EB" w:rsidP="007267A5">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rPr>
      </w:pPr>
      <w:r>
        <w:rPr>
          <w:i w:val="0"/>
          <w:snapToGrid w:val="0"/>
        </w:rPr>
        <w:t>Tema 3.</w:t>
      </w:r>
      <w:r>
        <w:rPr>
          <w:i w:val="0"/>
          <w:snapToGrid w:val="0"/>
        </w:rPr>
        <w:tab/>
        <w:t>Informe sobre las credenciales de los representantes en la cuarta reunión de la Conferencia de las Partes que actúa como reunión de las Partes en el Protocolo de Nagoya</w:t>
      </w:r>
    </w:p>
    <w:p w14:paraId="10306BEE" w14:textId="0D9BE8C1" w:rsidR="009623DD" w:rsidRPr="00F9543F" w:rsidRDefault="009623DD" w:rsidP="009623DD">
      <w:pPr>
        <w:pStyle w:val="Para1"/>
        <w:numPr>
          <w:ilvl w:val="0"/>
          <w:numId w:val="9"/>
        </w:numPr>
        <w:overflowPunct w:val="0"/>
        <w:autoSpaceDE w:val="0"/>
        <w:autoSpaceDN w:val="0"/>
        <w:snapToGrid w:val="0"/>
        <w:spacing w:before="0"/>
      </w:pPr>
      <w:r>
        <w:t>En su primera sesión plenaria, la Conferencia de las Partes que actúa como reunión de las Partes en el Protocolo de Nagoya tomó nota de que, de conformidad con las disposiciones del Reglamento pertinentes para las reuniones de la Conferencia de las Partes, la Mesa había examinado la lista de observadores admitidos a la reunión (CBD/COP/15/INF/2) y examinaría las c</w:t>
      </w:r>
      <w:r w:rsidR="008E3EB9">
        <w:t>redenciales de las delegaciones</w:t>
      </w:r>
      <w:r>
        <w:t xml:space="preserve"> e informaría al respecto en una sesión posterior.</w:t>
      </w:r>
    </w:p>
    <w:p w14:paraId="2CA946AE" w14:textId="1DBBD433" w:rsidR="009623DD" w:rsidRPr="00F9543F" w:rsidRDefault="009623DD" w:rsidP="009623DD">
      <w:pPr>
        <w:pStyle w:val="Para1"/>
        <w:numPr>
          <w:ilvl w:val="0"/>
          <w:numId w:val="9"/>
        </w:numPr>
      </w:pPr>
      <w:r>
        <w:t xml:space="preserve">En consecuencia, en la segunda sesión plenaria, Eric Okoree (Ghana), designado por la Mesa durante la primera parte de la reunión como su representante para informar sobre las credenciales, informó a la Conferencia de las Partes que actúa como reunión de las Partes en el Protocolo de Nagoya que 131 Partes estaban inscritas como asistentes a la reunión. La Mesa había examinado las credenciales de los </w:t>
      </w:r>
      <w:r>
        <w:lastRenderedPageBreak/>
        <w:t>representantes de 100 Partes que asistían a la reunión. Las credenciales de 84 delegaciones se ajustaban plenamente al artículo 18 del Reglamento, mientras que las de 16 delegaciones no lo cumplían plenamente y otras 31 delegaciones no habían presentado sus credenciales hasta esa fecha.</w:t>
      </w:r>
    </w:p>
    <w:p w14:paraId="3696A4B5" w14:textId="73CE6601" w:rsidR="00642582" w:rsidRPr="00F9543F" w:rsidRDefault="00642582" w:rsidP="00642582">
      <w:pPr>
        <w:pStyle w:val="Para1"/>
        <w:numPr>
          <w:ilvl w:val="0"/>
          <w:numId w:val="9"/>
        </w:numPr>
        <w:tabs>
          <w:tab w:val="clear" w:pos="720"/>
        </w:tabs>
      </w:pPr>
      <w:bookmarkStart w:id="8" w:name="_Hlk122358179"/>
      <w:bookmarkStart w:id="9" w:name="_Hlk122171507"/>
      <w:r>
        <w:t>En la cuarta sesión plenaria, el 19 de diciembre, la Sra. Jeff</w:t>
      </w:r>
      <w:r w:rsidR="00855F1F">
        <w:t xml:space="preserve">ery </w:t>
      </w:r>
      <w:r>
        <w:t>Brown, hablando en nombre del Sr. Okoree, presentó el informe sobre las credenciales (CBD/NP/MOP/4/INF/6/Rev.1). Informó a la Conferencia de las Partes que actúa como reunión de las Partes en el Protocolo de Nagoya que 134</w:t>
      </w:r>
      <w:r w:rsidR="008E3EB9">
        <w:t> </w:t>
      </w:r>
      <w:r>
        <w:t>Partes estaban inscritas como asistentes a la reunión. La Mesa había examinado las credenciales de los representantes de 119 Partes que asistían a la reunión. Las credenciales de 106 delegaciones se ajustaban plenamente al artículo 18 del Reglamento, mientras que las de 13 delegaciones no lo cumplían plenamente y otras 15 delegaciones no habían presentado sus credenciales hasta esa fecha.</w:t>
      </w:r>
      <w:bookmarkEnd w:id="8"/>
    </w:p>
    <w:p w14:paraId="4C397983" w14:textId="6BD24CC3" w:rsidR="00642582" w:rsidRPr="00F9543F" w:rsidRDefault="00642582" w:rsidP="00642582">
      <w:pPr>
        <w:pStyle w:val="Para1"/>
        <w:numPr>
          <w:ilvl w:val="0"/>
          <w:numId w:val="9"/>
        </w:numPr>
        <w:tabs>
          <w:tab w:val="clear" w:pos="720"/>
        </w:tabs>
      </w:pPr>
      <w:r>
        <w:t>Varios jefes de delegación habían firmado una declaración que indicaba que presentarían sus credenciales, en la forma apropiada y en su versión original, a la Secretaria Ejecutiva dentro de un plazo de 30</w:t>
      </w:r>
      <w:r w:rsidR="008E3EB9">
        <w:t> </w:t>
      </w:r>
      <w:r>
        <w:t>días después de la clausura de la reunión y a más tardar el 19 de enero de 2023. Conforme a la práctica seguida anteriormente, la Conferencia de las Partes que actúa como reunión de las Partes en el Protocolo de Nagoya aceptó la propuesta de la Mesa de que se permitiera a aquellas delegaciones que aún debían presentar sus credenciales o que habían presentado credenciales que no se ajustaban plenamente a las disposiciones del artículo 18 participar en la r</w:t>
      </w:r>
      <w:r w:rsidR="001E31E2">
        <w:t>eunión en forma provisional.</w:t>
      </w:r>
    </w:p>
    <w:p w14:paraId="1DE9DD99" w14:textId="32EDAF76" w:rsidR="00533BCC" w:rsidRPr="00F9543F" w:rsidRDefault="00533BCC" w:rsidP="00A217BA">
      <w:pPr>
        <w:pStyle w:val="para10"/>
      </w:pPr>
      <w:r>
        <w:t>Al 18 de diciembre de 2022, se habían presentado credenciales oficiales expedidas por el Jefe de Estado o de Gobierno o por el Ministro de Relaciones Exteriores o, en el caso de una organización de integración económica regional, por la autoridad competente, según lo establecido en el artículo 18 del Reglamento, para los representantes de las siguientes 106 Partes que participaban en la segunda parte de la cuarta reunión: Albania, Alemania, Angola, Antigua y Barbuda, Argentina, Austria, Bahamas, Bahrein, Belarús, Bélgica, Benin, Bhután, Bolivia (Estado Plurinacional de), Botswana, Brasil, Bulgaria, Burkina Faso, Camboya, Camerún, Chequia, China, Côte d’Ivoire, Croacia, Cuba, Dinamarca, Ecuador, Egipto, Emiratos Árabes Unidos, Eritrea, Eslovaquia, España, Estonia, Eswatini, Etiopía, Fiji, Filipinas, Finlandia, Francia, Gambia, Ghana, Grecia, Guatemala, Guinea Bissau, Guyana, Hungría, India, Indonesia, Japón, Kenya, Kirguistán, Kiribati, Kuwait, Lesotho, Liberia, Luxemburgo, Madagascar, Malawi, Maldivas, Malta, Marruecos, Mauricio, Mauritania, México, Micronesia (Estados Federados de), Mongolia, Mozambique, Namibia, Nicaragua, Níger, Noruega, Omán, Países Bajos, Palau, Panamá, Perú, Portugal, Qatar, Reino Unido, República Árabe Siria, República de Corea, República de Moldova, República Dominicana, República Unida de Tanzanía, Rumania, Rwanda, Saint Kitts y Nevis, Samoa, Santa Lucía, Serbia, Seychelles, Sudáfrica, Sudán, Suecia, Suiza, Tayikistán, Togo, Tonga, Túnez, Tuvalu, Uganda, Unión Europea, Uruguay, Vanuatu, Viet Nam, Zambia y Zimbabwe.</w:t>
      </w:r>
    </w:p>
    <w:p w14:paraId="2FE6E5B7" w14:textId="295E8D3D" w:rsidR="00533BCC" w:rsidRPr="007267A5" w:rsidRDefault="00533BCC" w:rsidP="00533BCC">
      <w:pPr>
        <w:pStyle w:val="para10"/>
        <w:rPr>
          <w:szCs w:val="22"/>
        </w:rPr>
      </w:pPr>
      <w:r>
        <w:t>Al 19 de enero de 2023, otras ocho Partes habían presentado credenciales válidas, a saber: Arabia Saudita, Gabón, Honduras, Islas Salomón, Malasia, Mali, Nepal y Venezuela (República Bolivariana de).</w:t>
      </w:r>
    </w:p>
    <w:bookmarkEnd w:id="9"/>
    <w:p w14:paraId="4109E715" w14:textId="20451EFC" w:rsidR="00F52AC0" w:rsidRPr="00F9543F" w:rsidRDefault="003134EB" w:rsidP="007267A5">
      <w:pPr>
        <w:pStyle w:val="Heading1"/>
        <w:tabs>
          <w:tab w:val="clear" w:pos="720"/>
          <w:tab w:val="left" w:pos="851"/>
        </w:tabs>
      </w:pPr>
      <w:r>
        <w:rPr>
          <w:caps w:val="0"/>
        </w:rPr>
        <w:t>Tema 4.</w:t>
      </w:r>
      <w:r>
        <w:rPr>
          <w:caps w:val="0"/>
        </w:rPr>
        <w:tab/>
        <w:t>Informes de los órganos subsidiarios</w:t>
      </w:r>
    </w:p>
    <w:p w14:paraId="0695EC3D" w14:textId="304F8BC7" w:rsidR="00F52AC0" w:rsidRPr="00F9543F" w:rsidRDefault="00FA1901" w:rsidP="00164748">
      <w:pPr>
        <w:pStyle w:val="Para1"/>
        <w:numPr>
          <w:ilvl w:val="0"/>
          <w:numId w:val="9"/>
        </w:numPr>
        <w:rPr>
          <w:kern w:val="22"/>
          <w:szCs w:val="22"/>
        </w:rPr>
      </w:pPr>
      <w:r>
        <w:t>En su primera sesión plenaria, la Conferencia de las Partes que actúa como reunión de las Partes en el Protocolo de Nagoya tuvo ante sí los informes sobre la labor realizada entre períodos de sesiones desde la primera parte de su cuarta reunión, a saber: el informe del Órgano Subsidiario de Asesoramiento Científico, Técnico y Tecnológico sobre su 24ª reunión (CBD/SBSTTA/24/12), el informe del Órgano Subsidiario sobre la Aplicación sobre su 3ª reunión (CBD/SBI/3/21) y los informes del Grupo de Trabajo de Composición Abierta sobre el Marco Mundial de la Diversidad Biológica posterior a 2020 sobre la segunda parte de su 3ª reunión y sobre sus reuniones 4ª y</w:t>
      </w:r>
      <w:r w:rsidR="00633F00">
        <w:t> </w:t>
      </w:r>
      <w:r>
        <w:t>5ª (CBD/WG2020/3/7, CBD/WG2020/4/4 y CBD/WG2020/5/5, respectivamente).</w:t>
      </w:r>
    </w:p>
    <w:p w14:paraId="3762119B" w14:textId="7BF7317B" w:rsidR="009E5A37" w:rsidRPr="00F9543F" w:rsidRDefault="009E5A37" w:rsidP="009E5A37">
      <w:pPr>
        <w:pStyle w:val="Para1"/>
        <w:numPr>
          <w:ilvl w:val="0"/>
          <w:numId w:val="9"/>
        </w:numPr>
        <w:overflowPunct w:val="0"/>
        <w:autoSpaceDE w:val="0"/>
        <w:autoSpaceDN w:val="0"/>
        <w:snapToGrid w:val="0"/>
        <w:spacing w:before="0"/>
        <w:rPr>
          <w:rFonts w:eastAsia="Malgun Gothic"/>
        </w:rPr>
      </w:pPr>
      <w:r>
        <w:t>Seguidamente, la Conferencia de las Partes que actúa como reunión de las Partes en el Protocolo de Nagoya escuchó informes orales de las presidencias del Órgano Subsidiario de Asesoramiento Científico, Técnico y Tecnológico y del Órgano Subsidiario sobre la Aplicación y las copresidencias del Grupo de Trabajo de Composición Abierta sobre el Marco Mundial de la Diversidad Biológica posterior a 2020.</w:t>
      </w:r>
    </w:p>
    <w:p w14:paraId="2C5AEBE3" w14:textId="6E36F813" w:rsidR="009E5A37" w:rsidRPr="00F9543F" w:rsidRDefault="009E5A37" w:rsidP="009E5A37">
      <w:pPr>
        <w:pStyle w:val="Para1"/>
        <w:numPr>
          <w:ilvl w:val="0"/>
          <w:numId w:val="9"/>
        </w:numPr>
        <w:overflowPunct w:val="0"/>
        <w:autoSpaceDE w:val="0"/>
        <w:autoSpaceDN w:val="0"/>
        <w:snapToGrid w:val="0"/>
        <w:spacing w:before="0"/>
      </w:pPr>
      <w:r>
        <w:lastRenderedPageBreak/>
        <w:t>La Conferencia de las Partes que actúa como reunión de las Partes en el Protocolo de Nagoya tomó nota de la información proporcionada y acordó considerar las recomendaciones de los órganos subsidiarios en los temas pertinentes del programa.</w:t>
      </w:r>
    </w:p>
    <w:p w14:paraId="443F9003" w14:textId="4BE620F3" w:rsidR="00F52AC0" w:rsidRPr="00F9543F" w:rsidRDefault="003134EB" w:rsidP="007267A5">
      <w:pPr>
        <w:pStyle w:val="Heading1"/>
        <w:tabs>
          <w:tab w:val="clear" w:pos="720"/>
          <w:tab w:val="left" w:pos="993"/>
        </w:tabs>
      </w:pPr>
      <w:r>
        <w:rPr>
          <w:caps w:val="0"/>
        </w:rPr>
        <w:t>Tema 5.</w:t>
      </w:r>
      <w:r>
        <w:rPr>
          <w:caps w:val="0"/>
        </w:rPr>
        <w:tab/>
        <w:t>Informe del Comité de Cumplimiento (artículo 30)</w:t>
      </w:r>
    </w:p>
    <w:p w14:paraId="133EA8B9" w14:textId="19D66AC4" w:rsidR="00E569D1" w:rsidRPr="00F9543F" w:rsidRDefault="00E569D1" w:rsidP="00E569D1">
      <w:pPr>
        <w:pStyle w:val="Para1"/>
        <w:numPr>
          <w:ilvl w:val="0"/>
          <w:numId w:val="9"/>
        </w:numPr>
        <w:suppressLineNumbers/>
        <w:suppressAutoHyphens/>
        <w:kinsoku w:val="0"/>
        <w:overflowPunct w:val="0"/>
        <w:autoSpaceDE w:val="0"/>
        <w:autoSpaceDN w:val="0"/>
        <w:snapToGrid w:val="0"/>
      </w:pPr>
      <w:r>
        <w:t>En la primera sesión plenaria, la Presidenta del Comité de Cumplimiento del Protocolo de Nagoya hizo una breve reseña del informe del Comité de Cumplimiento sobre la labor realizada en sus reuniones 16ª</w:t>
      </w:r>
      <w:r w:rsidR="00633F00">
        <w:t> </w:t>
      </w:r>
      <w:r>
        <w:t>y</w:t>
      </w:r>
      <w:r w:rsidR="00633F00">
        <w:t> </w:t>
      </w:r>
      <w:r>
        <w:t>17ª, que figuraba en el documento CBD/NP/MOP/4/2 y que se había presentado durante la primera parte de la cuarta reunión de la Conferencia de las Partes que actúa como reunión de las Partes en el Protocolo de Nagoya.</w:t>
      </w:r>
      <w:r>
        <w:rPr>
          <w:rFonts w:asciiTheme="majorBidi" w:hAnsiTheme="majorBidi"/>
          <w:color w:val="000000"/>
        </w:rPr>
        <w:t xml:space="preserve"> De acuerdo con la organización de los trabajos, las cuestiones sustanciales surgidas del informe se remitieron a los Grupos de Trabajo I y II para su examen.</w:t>
      </w:r>
    </w:p>
    <w:p w14:paraId="65DB85FE" w14:textId="00035559" w:rsidR="00E569D1" w:rsidRPr="00F9543F" w:rsidRDefault="00E569D1" w:rsidP="00E569D1">
      <w:pPr>
        <w:pStyle w:val="Para1"/>
        <w:numPr>
          <w:ilvl w:val="0"/>
          <w:numId w:val="9"/>
        </w:numPr>
      </w:pPr>
      <w:r>
        <w:t>En atención a una notificación emitida por la Secretaría el 1 de septiembre de 2022, la Conferencia de las Partes que actúa como reunión de las Partes en el Protocolo de Nagoya prorrogó por dos años más el mandato de 10 miembros del Comité, 2 de cada región. También se acordó que en una etapa posterior de la reunión se elegirían cinco nuevos miembros, uno de cada región, para sustituir a los cinco indicados en el anexo de la notificación, cuyos mandatos finalizarían el 31 de diciembre de 2022</w:t>
      </w:r>
      <w:r w:rsidRPr="001E31E2">
        <w:rPr>
          <w:rStyle w:val="FootnoteReference"/>
          <w:sz w:val="22"/>
          <w:szCs w:val="22"/>
          <w:u w:val="none"/>
          <w:vertAlign w:val="superscript"/>
        </w:rPr>
        <w:footnoteReference w:id="13"/>
      </w:r>
      <w:r w:rsidR="001E31E2">
        <w:t>.</w:t>
      </w:r>
    </w:p>
    <w:p w14:paraId="4CC37B7E" w14:textId="73E61835" w:rsidR="00240B4B" w:rsidRPr="00F9543F" w:rsidRDefault="00240B4B" w:rsidP="007267A5">
      <w:pPr>
        <w:pStyle w:val="Para1"/>
        <w:numPr>
          <w:ilvl w:val="0"/>
          <w:numId w:val="9"/>
        </w:numPr>
      </w:pPr>
      <w:r>
        <w:t>El Grupo de Trabajo II consideró el tema 5 del programa en su tercera reunión, el 8 de diciembre.</w:t>
      </w:r>
      <w:r>
        <w:rPr>
          <w:color w:val="000000"/>
        </w:rPr>
        <w:t xml:space="preserve"> </w:t>
      </w:r>
      <w:r>
        <w:t>Tuvo ante sí un proyecto de decisión basado en las recomendaciones del Comité de Cumplimiento contenidas en el anexo del documento CBD/NP/MOP/4/2, que figuraba en la recopilación de proyectos de d</w:t>
      </w:r>
      <w:r w:rsidR="001E31E2">
        <w:t>ecisión (CBD/NP/MOP/4/1/Add.5).</w:t>
      </w:r>
    </w:p>
    <w:p w14:paraId="02657E9F" w14:textId="77777777" w:rsidR="00240B4B" w:rsidRPr="00F9543F" w:rsidRDefault="00240B4B" w:rsidP="00240B4B">
      <w:pPr>
        <w:pStyle w:val="Para1"/>
        <w:numPr>
          <w:ilvl w:val="0"/>
          <w:numId w:val="9"/>
        </w:numPr>
      </w:pPr>
      <w:r>
        <w:t>Formularon declaraciones los representantes de la Argentina, el Chad, Côte d’Ivoire, la</w:t>
      </w:r>
      <w:r w:rsidRPr="00633F00">
        <w:rPr>
          <w:sz w:val="20"/>
        </w:rPr>
        <w:t xml:space="preserve"> </w:t>
      </w:r>
      <w:r>
        <w:t>India, el Japón, Kenya, el Reino Unido, la República de Corea, Sudáfrica, Suiza, Uganda, la Unión Europea y sus 27 Estados miembros y el Uruguay.</w:t>
      </w:r>
    </w:p>
    <w:p w14:paraId="0AB7582E" w14:textId="1721012C" w:rsidR="00240B4B" w:rsidRPr="00F9543F" w:rsidRDefault="00C513CC" w:rsidP="00240B4B">
      <w:pPr>
        <w:pStyle w:val="Para1"/>
        <w:numPr>
          <w:ilvl w:val="0"/>
          <w:numId w:val="9"/>
        </w:numPr>
      </w:pPr>
      <w:r>
        <w:t>El Grupo de Trabajo II convino en que su Presidenta prepararía un proyecto de decisión revisado para su consideración, teniendo en cuenta las declaraciones formuladas.</w:t>
      </w:r>
    </w:p>
    <w:p w14:paraId="1BB6BED4" w14:textId="47B217F4" w:rsidR="00240B4B" w:rsidRPr="00F9543F" w:rsidRDefault="00240B4B" w:rsidP="00240B4B">
      <w:pPr>
        <w:pStyle w:val="Para1"/>
        <w:numPr>
          <w:ilvl w:val="0"/>
          <w:numId w:val="9"/>
        </w:numPr>
      </w:pPr>
      <w:r>
        <w:t>En su quinta reunión, el 9 de diciembre, el Grupo de Trabajo II consideró el proyecto de decisión revisado presentado por su Presidenta y lo aprobó para que fuera remitido a la sesión plenaria como proyecto de decisión CBD/NP/MOP/4/L.4.</w:t>
      </w:r>
    </w:p>
    <w:p w14:paraId="40B1C96A" w14:textId="6B66986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como decisión NP-4/2.</w:t>
      </w:r>
    </w:p>
    <w:p w14:paraId="542B1FAB" w14:textId="0D7FDD06" w:rsidR="40F05122" w:rsidRPr="00633F00" w:rsidRDefault="00756EB9" w:rsidP="00465610">
      <w:pPr>
        <w:pStyle w:val="Heading2longmultiline"/>
        <w:suppressLineNumbers/>
        <w:suppressAutoHyphens/>
        <w:kinsoku w:val="0"/>
        <w:overflowPunct w:val="0"/>
        <w:autoSpaceDE w:val="0"/>
        <w:autoSpaceDN w:val="0"/>
        <w:spacing w:before="240"/>
        <w:ind w:left="2160" w:right="1009" w:hanging="1298"/>
        <w:rPr>
          <w:bCs/>
          <w:i w:val="0"/>
          <w:szCs w:val="22"/>
        </w:rPr>
      </w:pPr>
      <w:r>
        <w:rPr>
          <w:i w:val="0"/>
          <w:snapToGrid w:val="0"/>
        </w:rPr>
        <w:t>Tema 6.</w:t>
      </w:r>
      <w:r>
        <w:rPr>
          <w:i w:val="0"/>
          <w:snapToGrid w:val="0"/>
        </w:rPr>
        <w:tab/>
        <w:t>Administración del Protocolo y el presupuesto para los fondos fiduciarios</w:t>
      </w:r>
    </w:p>
    <w:p w14:paraId="1E4C8929" w14:textId="5BC187B9" w:rsidR="00C8538C" w:rsidRPr="00F9543F" w:rsidRDefault="00C8538C" w:rsidP="00C8538C">
      <w:pPr>
        <w:pStyle w:val="Para1"/>
        <w:numPr>
          <w:ilvl w:val="0"/>
          <w:numId w:val="9"/>
        </w:numPr>
        <w:overflowPunct w:val="0"/>
        <w:autoSpaceDE w:val="0"/>
        <w:autoSpaceDN w:val="0"/>
        <w:snapToGrid w:val="0"/>
        <w:spacing w:before="0"/>
      </w:pPr>
      <w:r>
        <w:t>En la primera sesión plenaria, la Secretaria Ejecutiva informó sobre las actividades de la Secretaría y presentó el proyecto de presupuesto para los programas de trabajo del Convenio y sus Protocolos para el bienio 2023</w:t>
      </w:r>
      <w:r>
        <w:sym w:font="Symbol" w:char="F02D"/>
      </w:r>
      <w:r w:rsidR="001E31E2">
        <w:t>2024 (CBD/COP/15/7).</w:t>
      </w:r>
    </w:p>
    <w:p w14:paraId="38121D8D" w14:textId="45FF5A88" w:rsidR="00C8538C" w:rsidRPr="00F9543F" w:rsidRDefault="00C8538C" w:rsidP="00C8538C">
      <w:pPr>
        <w:pStyle w:val="Para1"/>
        <w:numPr>
          <w:ilvl w:val="0"/>
          <w:numId w:val="9"/>
        </w:numPr>
        <w:overflowPunct w:val="0"/>
        <w:autoSpaceDE w:val="0"/>
        <w:autoSpaceDN w:val="0"/>
        <w:snapToGrid w:val="0"/>
        <w:spacing w:before="0"/>
      </w:pPr>
      <w:bookmarkStart w:id="10" w:name="_Hlk122437950"/>
      <w:r>
        <w:t>Los tres órganos establecieron un grupo de contacto sobre el presupuesto, presidido por Hamdallah Zedan (Egipto), con el mandato de examinar el proyecto de presupuesto para el bienio 2023</w:t>
      </w:r>
      <w:r>
        <w:sym w:font="Symbol" w:char="F02D"/>
      </w:r>
      <w:r w:rsidR="001E31E2">
        <w:t>2024 en detalle.</w:t>
      </w:r>
    </w:p>
    <w:p w14:paraId="54979963" w14:textId="4A9D9339" w:rsidR="00E37766" w:rsidRPr="00F9543F"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El Presidente del grupo de contacto sobre el presupuesto informó sobre la labor del grupo en las dos sesiones plenarias de balance.</w:t>
      </w:r>
    </w:p>
    <w:p w14:paraId="2A048975" w14:textId="6AC49C22" w:rsidR="00C8538C" w:rsidRPr="00F9543F"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En la quinta sesión plenaria, el Presidente del grupo de contacto sobre el presupuesto brindó su informe final sobre la labor del grupo.</w:t>
      </w:r>
    </w:p>
    <w:p w14:paraId="0B1A222D" w14:textId="31863A97" w:rsidR="00C8538C" w:rsidRPr="00F9543F" w:rsidRDefault="00C8538C" w:rsidP="00C8538C">
      <w:pPr>
        <w:pStyle w:val="Para1"/>
        <w:numPr>
          <w:ilvl w:val="0"/>
          <w:numId w:val="9"/>
        </w:numPr>
      </w:pPr>
      <w:r>
        <w:lastRenderedPageBreak/>
        <w:t>Seguidamente, la Conferencia de las Partes que actúa como reunión de las Partes en el Protocolo de Nagoya consideró el proyecto de decisión CBD/NP/MOP/4/L.11 presentado por el Presidente del grupo de contacto sobre el presupuesto y l</w:t>
      </w:r>
      <w:r w:rsidR="001E31E2">
        <w:t>o adoptó como decisión NP-4/12.</w:t>
      </w:r>
    </w:p>
    <w:bookmarkEnd w:id="10"/>
    <w:p w14:paraId="0D48C1CC" w14:textId="34C01172" w:rsidR="00F52AC0" w:rsidRPr="007267A5" w:rsidRDefault="00756EB9" w:rsidP="007267A5">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rPr>
      </w:pPr>
      <w:r>
        <w:rPr>
          <w:i w:val="0"/>
          <w:snapToGrid w:val="0"/>
        </w:rPr>
        <w:t>Tema 7.</w:t>
      </w:r>
      <w:r>
        <w:rPr>
          <w:i w:val="0"/>
          <w:snapToGrid w:val="0"/>
        </w:rPr>
        <w:tab/>
        <w:t>Mecanismo financiero y recursos financieros (artículo 25)</w:t>
      </w:r>
    </w:p>
    <w:p w14:paraId="209CE6DC" w14:textId="5466FFCE" w:rsidR="000D631A" w:rsidRPr="007267A5" w:rsidRDefault="000D631A" w:rsidP="000D631A">
      <w:pPr>
        <w:pStyle w:val="para10"/>
        <w:rPr>
          <w:snapToGrid w:val="0"/>
          <w:kern w:val="22"/>
          <w:szCs w:val="18"/>
        </w:rPr>
      </w:pPr>
      <w:r>
        <w:rPr>
          <w:snapToGrid w:val="0"/>
        </w:rPr>
        <w:t>El Grupo de Trabajo II consideró el tema 7 del programa en su segunda reunión, el 8 de diciembre. Tuvo ante sí una nota de la Secretaria Ejecutiva (CBD/NP/MOP/4/10) y un proyecto de decisión, que figuraba en la recopil</w:t>
      </w:r>
      <w:r w:rsidR="001E31E2">
        <w:rPr>
          <w:snapToGrid w:val="0"/>
        </w:rPr>
        <w:t>ación de proyectos de decisión.</w:t>
      </w:r>
    </w:p>
    <w:p w14:paraId="3E5139FF" w14:textId="19FB808B" w:rsidR="000D631A" w:rsidRPr="007267A5" w:rsidRDefault="000D631A" w:rsidP="000D631A">
      <w:pPr>
        <w:pStyle w:val="para10"/>
        <w:rPr>
          <w:snapToGrid w:val="0"/>
          <w:kern w:val="22"/>
          <w:szCs w:val="18"/>
        </w:rPr>
      </w:pPr>
      <w:r>
        <w:rPr>
          <w:snapToGrid w:val="0"/>
        </w:rPr>
        <w:t>Formularon declaraciones los representantes de la Argentina, el Reino Unido y la Unión Europea y sus 27 Estados miembros.</w:t>
      </w:r>
    </w:p>
    <w:p w14:paraId="4D2ACEB1" w14:textId="0F912981" w:rsidR="000D631A" w:rsidRPr="007267A5" w:rsidRDefault="0075349A" w:rsidP="000D631A">
      <w:pPr>
        <w:pStyle w:val="para10"/>
        <w:rPr>
          <w:snapToGrid w:val="0"/>
          <w:kern w:val="22"/>
          <w:szCs w:val="18"/>
        </w:rPr>
      </w:pPr>
      <w:r>
        <w:rPr>
          <w:snapToGrid w:val="0"/>
        </w:rPr>
        <w:t>El Grupo de Trabajo II convino en que la Presidenta prepararía un proyecto de decisión revisado, teniendo en cuent</w:t>
      </w:r>
      <w:r w:rsidR="001E31E2">
        <w:rPr>
          <w:snapToGrid w:val="0"/>
        </w:rPr>
        <w:t>a las declaraciones formuladas.</w:t>
      </w:r>
    </w:p>
    <w:p w14:paraId="77D58FA1" w14:textId="43E64C47" w:rsidR="000D631A" w:rsidRPr="007267A5" w:rsidRDefault="000D631A" w:rsidP="000D631A">
      <w:pPr>
        <w:pStyle w:val="para10"/>
        <w:rPr>
          <w:snapToGrid w:val="0"/>
          <w:kern w:val="22"/>
          <w:szCs w:val="18"/>
        </w:rPr>
      </w:pPr>
      <w:r>
        <w:rPr>
          <w:snapToGrid w:val="0"/>
        </w:rPr>
        <w:t>En su quinta reunión, el Grupo de Trabajo II consideró el proyecto de decisión revisado presentado por su Presidenta y lo aprobó para que fuera remitido a la sesión plenaria como proyect</w:t>
      </w:r>
      <w:r w:rsidR="001E31E2">
        <w:rPr>
          <w:snapToGrid w:val="0"/>
        </w:rPr>
        <w:t>o de decisión CBD/NP/MOP/4/L.7.</w:t>
      </w:r>
    </w:p>
    <w:p w14:paraId="0F358510" w14:textId="2E4E2FA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con las enmiendas efectuadas oralmente, como decisión NP-4/8.</w:t>
      </w:r>
    </w:p>
    <w:p w14:paraId="3A561E09" w14:textId="56B2A032" w:rsidR="00F52AC0" w:rsidRPr="007267A5" w:rsidRDefault="005F57B7"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i w:val="0"/>
          <w:snapToGrid w:val="0"/>
        </w:rPr>
        <w:t>Tema 8.</w:t>
      </w:r>
      <w:r>
        <w:rPr>
          <w:rFonts w:ascii="Times New Roman Bold" w:hAnsi="Times New Roman Bold"/>
          <w:i w:val="0"/>
          <w:snapToGrid w:val="0"/>
        </w:rPr>
        <w:tab/>
        <w:t>Medidas para brindar asistencia para la creación de capacidades y</w:t>
      </w:r>
      <w:r w:rsidR="00FE0518">
        <w:rPr>
          <w:rFonts w:ascii="Times New Roman Bold" w:hAnsi="Times New Roman Bold" w:hint="eastAsia"/>
          <w:i w:val="0"/>
          <w:snapToGrid w:val="0"/>
        </w:rPr>
        <w:t> </w:t>
      </w:r>
      <w:r>
        <w:rPr>
          <w:rFonts w:ascii="Times New Roman Bold" w:hAnsi="Times New Roman Bold"/>
          <w:i w:val="0"/>
          <w:snapToGrid w:val="0"/>
        </w:rPr>
        <w:t>el desarrollo de capacidades (artículo 22) y medidas para aumentar la concienciación acerca de la importancia de los recursos genéticos y los conocimientos tradicionales asociados (artículo 21)</w:t>
      </w:r>
    </w:p>
    <w:p w14:paraId="5ACF15AE" w14:textId="11E959BD" w:rsidR="00657CE8" w:rsidRPr="007267A5" w:rsidRDefault="00657CE8" w:rsidP="00657CE8">
      <w:pPr>
        <w:pStyle w:val="para10"/>
        <w:rPr>
          <w:snapToGrid w:val="0"/>
          <w:kern w:val="22"/>
          <w:szCs w:val="18"/>
        </w:rPr>
      </w:pPr>
      <w:r>
        <w:rPr>
          <w:snapToGrid w:val="0"/>
        </w:rPr>
        <w:t xml:space="preserve">El Grupo de Trabajo II consideró el tema 8 del programa en su primera reunión, el 7 de diciembre. Tuvo ante sí un informe sobre los progresos en las medidas para brindar asistencia para la creación de capacidades y para aumentar la concienciación (artículos 22 y 21) (CBD/NP/MOP/4/5) y notas de la Secretaria Ejecutiva con una reseña de las iniciativas de creación y desarrollo de capacidades que brindan apoyo directo a los países para la aplicación del Protocolo de Nagoya (CBD/NP/MOP/4/INF/1), una descripción general de </w:t>
      </w:r>
      <w:r w:rsidR="00FE0518">
        <w:rPr>
          <w:snapToGrid w:val="0"/>
        </w:rPr>
        <w:t xml:space="preserve">las </w:t>
      </w:r>
      <w:r>
        <w:rPr>
          <w:snapToGrid w:val="0"/>
        </w:rPr>
        <w:t xml:space="preserve">herramientas y </w:t>
      </w:r>
      <w:r w:rsidR="00FE0518">
        <w:rPr>
          <w:snapToGrid w:val="0"/>
        </w:rPr>
        <w:t xml:space="preserve">los </w:t>
      </w:r>
      <w:r>
        <w:rPr>
          <w:snapToGrid w:val="0"/>
        </w:rPr>
        <w:t>recursos para la creación de capacidades en materia de acceso y participación en los beneficios (CBD/NP/MOP/4/INF/2) y observaciones y comentarios sobre el paquete de herramientas de comunicación, educación y conciencia pública, así como información actualizada sobre medidas de concienciación (CBD/NP/MOP/4/INF/3).</w:t>
      </w:r>
    </w:p>
    <w:p w14:paraId="557F9FA8" w14:textId="77777777" w:rsidR="00657CE8" w:rsidRPr="007267A5" w:rsidRDefault="00657CE8" w:rsidP="00657CE8">
      <w:pPr>
        <w:pStyle w:val="para10"/>
        <w:rPr>
          <w:snapToGrid w:val="0"/>
          <w:kern w:val="22"/>
          <w:szCs w:val="18"/>
        </w:rPr>
      </w:pPr>
      <w:r>
        <w:rPr>
          <w:snapToGrid w:val="0"/>
        </w:rPr>
        <w:t>Formularon declaraciones los representantes de la India, el Reino Unido y la Unión Europea y sus 27 Estados miembros.</w:t>
      </w:r>
    </w:p>
    <w:p w14:paraId="1C1CDC01" w14:textId="15E2A450" w:rsidR="00657CE8" w:rsidRPr="007267A5" w:rsidRDefault="005462D4" w:rsidP="00657CE8">
      <w:pPr>
        <w:pStyle w:val="para10"/>
        <w:rPr>
          <w:snapToGrid w:val="0"/>
          <w:kern w:val="22"/>
          <w:szCs w:val="18"/>
        </w:rPr>
      </w:pPr>
      <w:r>
        <w:rPr>
          <w:snapToGrid w:val="0"/>
        </w:rPr>
        <w:t>El Grupo de Trabajo II convino en que su Presidenta prepararía un proyecto de decisión revisado para su consideración, teniendo en cuenta las declaraciones formuladas.</w:t>
      </w:r>
    </w:p>
    <w:p w14:paraId="283CA5E4" w14:textId="5884F7D8" w:rsidR="000D631A" w:rsidRPr="007267A5" w:rsidRDefault="00657CE8" w:rsidP="00657CE8">
      <w:pPr>
        <w:pStyle w:val="para10"/>
        <w:rPr>
          <w:snapToGrid w:val="0"/>
          <w:kern w:val="22"/>
          <w:szCs w:val="18"/>
        </w:rPr>
      </w:pPr>
      <w:r>
        <w:rPr>
          <w:snapToGrid w:val="0"/>
        </w:rPr>
        <w:t>En su quinta reunión, el Grupo de Trabajo II consideró el proyecto de decisión revisado presentado por su Presidenta y lo aprobó para que fuera remitido a la sesión plenaria como proyect</w:t>
      </w:r>
      <w:r w:rsidR="001E31E2">
        <w:rPr>
          <w:snapToGrid w:val="0"/>
        </w:rPr>
        <w:t>o de decisión CBD/NP/MOP/4/L.5.</w:t>
      </w:r>
    </w:p>
    <w:p w14:paraId="7BD06ECC" w14:textId="5DD91043"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con las enmiendas efectuadas oralmente, como decisión NP-4/7.</w:t>
      </w:r>
    </w:p>
    <w:p w14:paraId="064E5B4D" w14:textId="5B6DD7A2" w:rsidR="00CE33D4" w:rsidRPr="007267A5" w:rsidRDefault="00033F83" w:rsidP="00E01198">
      <w:pPr>
        <w:pStyle w:val="Heading2multiline"/>
        <w:suppressLineNumbers/>
        <w:suppressAutoHyphens/>
        <w:kinsoku w:val="0"/>
        <w:overflowPunct w:val="0"/>
        <w:autoSpaceDE w:val="0"/>
        <w:autoSpaceDN w:val="0"/>
        <w:spacing w:before="240"/>
        <w:ind w:left="2160" w:right="1009" w:hanging="1298"/>
        <w:rPr>
          <w:bCs/>
          <w:i w:val="0"/>
          <w:snapToGrid w:val="0"/>
          <w:kern w:val="22"/>
          <w:szCs w:val="22"/>
        </w:rPr>
      </w:pPr>
      <w:r>
        <w:rPr>
          <w:i w:val="0"/>
          <w:snapToGrid w:val="0"/>
        </w:rPr>
        <w:lastRenderedPageBreak/>
        <w:t>Tema 9.</w:t>
      </w:r>
      <w:r>
        <w:rPr>
          <w:i w:val="0"/>
          <w:snapToGrid w:val="0"/>
        </w:rPr>
        <w:tab/>
        <w:t>El Centro de Intercambio de Información sobre Acceso y Participación en los Beneficios e intercambio de información (artículo 14)</w:t>
      </w:r>
    </w:p>
    <w:p w14:paraId="3A13CB70" w14:textId="76B220EA" w:rsidR="00A00ED4" w:rsidRPr="007267A5" w:rsidRDefault="00A00ED4" w:rsidP="00A00ED4">
      <w:pPr>
        <w:pStyle w:val="para10"/>
        <w:rPr>
          <w:snapToGrid w:val="0"/>
          <w:kern w:val="22"/>
          <w:szCs w:val="18"/>
        </w:rPr>
      </w:pPr>
      <w:r>
        <w:rPr>
          <w:snapToGrid w:val="0"/>
        </w:rPr>
        <w:t>El Grupo de Trabajo II consideró el tema 9 del programa en su primera reunión. Tuvo ante sí un proyecto de decisión, que figuraba en la recopilación de proyectos de decisión, una nota de la Secretaria Ejecutiva con un informe sobre los progresos en el funcionamiento del Centro de Intercambio de Información sobre Acceso y Participación en los Beneficios (CBD/NP/MOP/4/6) y el informe de la cuarta reunión del Comité Asesor Oficioso del Centro de Intercambio de Información sobre Acceso y Participación en los Benefici</w:t>
      </w:r>
      <w:r w:rsidR="001E31E2">
        <w:rPr>
          <w:snapToGrid w:val="0"/>
        </w:rPr>
        <w:t>os (CBD/NP/ABSCH-IAC/2019/1/3).</w:t>
      </w:r>
    </w:p>
    <w:p w14:paraId="24706700" w14:textId="77777777" w:rsidR="00A00ED4" w:rsidRPr="007267A5" w:rsidRDefault="00A00ED4" w:rsidP="00A00ED4">
      <w:pPr>
        <w:pStyle w:val="para10"/>
        <w:rPr>
          <w:snapToGrid w:val="0"/>
          <w:kern w:val="22"/>
          <w:szCs w:val="18"/>
        </w:rPr>
      </w:pPr>
      <w:r>
        <w:rPr>
          <w:snapToGrid w:val="0"/>
        </w:rPr>
        <w:t>Formularon declaraciones los representantes de la Argentina, la India, Kenya, el Reino Unido, la República Unida de Tanzanía, Sudáfrica, Suiza y la Unión Europea y sus 27 Estados miembros.</w:t>
      </w:r>
    </w:p>
    <w:p w14:paraId="072C2047" w14:textId="21B3BC6C" w:rsidR="00A00ED4" w:rsidRPr="007267A5" w:rsidRDefault="0009034A" w:rsidP="00A00ED4">
      <w:pPr>
        <w:pStyle w:val="para10"/>
        <w:rPr>
          <w:snapToGrid w:val="0"/>
          <w:kern w:val="22"/>
          <w:szCs w:val="18"/>
        </w:rPr>
      </w:pPr>
      <w:r>
        <w:rPr>
          <w:snapToGrid w:val="0"/>
        </w:rPr>
        <w:t>El Grupo de Trabajo II convino en que su Presidenta prepararía un proyecto de decisión revisado para su consideración, teniendo en cuenta las declaraciones formuladas.</w:t>
      </w:r>
    </w:p>
    <w:p w14:paraId="1023667D" w14:textId="301994AF" w:rsidR="00657CE8" w:rsidRPr="007267A5" w:rsidRDefault="00A00ED4" w:rsidP="00A00ED4">
      <w:pPr>
        <w:pStyle w:val="para10"/>
        <w:rPr>
          <w:snapToGrid w:val="0"/>
          <w:kern w:val="22"/>
          <w:szCs w:val="18"/>
        </w:rPr>
      </w:pPr>
      <w:r>
        <w:rPr>
          <w:snapToGrid w:val="0"/>
        </w:rPr>
        <w:t>En su quinta reunión, el Grupo de Trabajo II consideró el proyecto de decisión revisado presentado por su Presidenta y lo aprobó para que fuera remitido a la sesión plenaria como proyect</w:t>
      </w:r>
      <w:r w:rsidR="001E31E2">
        <w:rPr>
          <w:snapToGrid w:val="0"/>
        </w:rPr>
        <w:t>o de decisión CBD/NP/MOP/4/L.3.</w:t>
      </w:r>
    </w:p>
    <w:p w14:paraId="26D91302" w14:textId="00827A26"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como decisión NP-4/4.</w:t>
      </w:r>
    </w:p>
    <w:p w14:paraId="71CA75DF" w14:textId="439589A6" w:rsidR="00F52AC0" w:rsidRPr="00F9543F" w:rsidRDefault="00E01198" w:rsidP="007267A5">
      <w:pPr>
        <w:pStyle w:val="Heading1"/>
        <w:tabs>
          <w:tab w:val="clear" w:pos="720"/>
          <w:tab w:val="left" w:pos="993"/>
        </w:tabs>
      </w:pPr>
      <w:r>
        <w:rPr>
          <w:caps w:val="0"/>
        </w:rPr>
        <w:t>Tema</w:t>
      </w:r>
      <w:r w:rsidR="009E10FE">
        <w:t> 10.</w:t>
      </w:r>
      <w:r w:rsidR="009E10FE">
        <w:rPr>
          <w:caps w:val="0"/>
        </w:rPr>
        <w:tab/>
        <w:t>Vigilancia y presentación de informes (artículo 29)</w:t>
      </w:r>
    </w:p>
    <w:p w14:paraId="4D846293" w14:textId="57505C6C" w:rsidR="006943BB" w:rsidRPr="007267A5" w:rsidRDefault="006943BB" w:rsidP="006943BB">
      <w:pPr>
        <w:pStyle w:val="para10"/>
        <w:rPr>
          <w:snapToGrid w:val="0"/>
          <w:kern w:val="22"/>
          <w:szCs w:val="18"/>
        </w:rPr>
      </w:pPr>
      <w:r>
        <w:rPr>
          <w:snapToGrid w:val="0"/>
        </w:rPr>
        <w:t>El Grupo de Trabajo II consideró el tema 10 del programa en su primera reunión. Tuvo ante sí un proyecto de decisión, que figuraba en la recopilación de proyectos de decisión, una nota relacionada de la Secretaria Ejecutiva (CBD/NP/MOP/4/7) y otra nota con un cuadro de referencia de las revisiones realizadas en el formato para el primer informe nacional que debe presentarse en virtud del Protocolo de Nagoya (CBD/NP/MOP/10/INF/5).</w:t>
      </w:r>
    </w:p>
    <w:p w14:paraId="6AC68C2C" w14:textId="77777777" w:rsidR="006943BB" w:rsidRPr="007267A5" w:rsidRDefault="006943BB" w:rsidP="006943BB">
      <w:pPr>
        <w:pStyle w:val="para10"/>
        <w:rPr>
          <w:snapToGrid w:val="0"/>
          <w:kern w:val="22"/>
          <w:szCs w:val="18"/>
        </w:rPr>
      </w:pPr>
      <w:r>
        <w:rPr>
          <w:snapToGrid w:val="0"/>
        </w:rPr>
        <w:t>Formularon declaraciones los representantes de la Argentina, Côte d’Ivoire, la India, el Japón, Kenya, Malawi, el Reino Unido, la República Democrática del Congo (en nombre de los Estados de África), Sudáfrica y la Unión Europea y sus 27 Estados miembros.</w:t>
      </w:r>
    </w:p>
    <w:p w14:paraId="5DFC6DF7" w14:textId="4C230969" w:rsidR="006943BB" w:rsidRPr="007267A5" w:rsidRDefault="00241FBE" w:rsidP="006943BB">
      <w:pPr>
        <w:pStyle w:val="para10"/>
        <w:rPr>
          <w:snapToGrid w:val="0"/>
          <w:kern w:val="22"/>
          <w:szCs w:val="18"/>
        </w:rPr>
      </w:pPr>
      <w:r>
        <w:rPr>
          <w:snapToGrid w:val="0"/>
        </w:rPr>
        <w:t>El Grupo de Trabajo II convino en que su Presidenta prepararía un proyecto de decisión revisado para su consideración, teniendo en cuenta las declara</w:t>
      </w:r>
      <w:r w:rsidR="001E31E2">
        <w:rPr>
          <w:snapToGrid w:val="0"/>
        </w:rPr>
        <w:t>ciones formuladas.</w:t>
      </w:r>
    </w:p>
    <w:p w14:paraId="5CAAF163" w14:textId="030561DE" w:rsidR="006943BB" w:rsidRPr="007267A5" w:rsidRDefault="006943BB" w:rsidP="006943BB">
      <w:pPr>
        <w:pStyle w:val="para10"/>
        <w:rPr>
          <w:snapToGrid w:val="0"/>
          <w:kern w:val="22"/>
          <w:szCs w:val="18"/>
        </w:rPr>
      </w:pPr>
      <w:r>
        <w:rPr>
          <w:snapToGrid w:val="0"/>
        </w:rPr>
        <w:t>En su quinta reunión, el Grupo de Trabajo II consideró el proyecto de decisión revisado presentado por su Presidenta y lo aprobó para que fuera remitido a la sesión plenaria como proyecto de decisión CBD/NP/MOP/4/L.6.</w:t>
      </w:r>
    </w:p>
    <w:p w14:paraId="16EC2C3A" w14:textId="1F5E8378"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con las enmiendas efectuadas oralmente, como decisión NP-4/3.</w:t>
      </w:r>
    </w:p>
    <w:p w14:paraId="0475E987" w14:textId="1F988360" w:rsidR="00F52AC0" w:rsidRPr="00F9543F" w:rsidRDefault="00E01198" w:rsidP="007267A5">
      <w:pPr>
        <w:pStyle w:val="Heading1longmultiline"/>
        <w:tabs>
          <w:tab w:val="clear" w:pos="720"/>
          <w:tab w:val="left" w:pos="851"/>
        </w:tabs>
        <w:ind w:left="0" w:firstLine="0"/>
        <w:jc w:val="center"/>
      </w:pPr>
      <w:r>
        <w:rPr>
          <w:caps w:val="0"/>
        </w:rPr>
        <w:t>Tema</w:t>
      </w:r>
      <w:r w:rsidR="00861C67">
        <w:t> 11.</w:t>
      </w:r>
      <w:r w:rsidR="00861C67">
        <w:rPr>
          <w:caps w:val="0"/>
        </w:rPr>
        <w:tab/>
      </w:r>
      <w:r>
        <w:rPr>
          <w:caps w:val="0"/>
        </w:rPr>
        <w:t>Cooperación con otros convenios, organizaciones e iniciativas internacionales</w:t>
      </w:r>
    </w:p>
    <w:p w14:paraId="589FEAF6" w14:textId="10A8D356" w:rsidR="00F66608" w:rsidRPr="007267A5" w:rsidRDefault="00F66608" w:rsidP="00F66608">
      <w:pPr>
        <w:pStyle w:val="para10"/>
        <w:rPr>
          <w:snapToGrid w:val="0"/>
          <w:kern w:val="22"/>
          <w:szCs w:val="18"/>
        </w:rPr>
      </w:pPr>
      <w:r w:rsidRPr="00677E28">
        <w:rPr>
          <w:snapToGrid w:val="0"/>
          <w:spacing w:val="4"/>
        </w:rPr>
        <w:t>El Grupo de Trabajo II consideró el tema 11 del programa en su tercera reunión. Tuvo ante sí una nota relacionada de la Secretaria Ejecutiva (CBD/NP/MOP/4/8) y otra nota con más información sobre los</w:t>
      </w:r>
      <w:r w:rsidR="00677E28">
        <w:rPr>
          <w:snapToGrid w:val="0"/>
          <w:spacing w:val="4"/>
        </w:rPr>
        <w:t xml:space="preserve"> </w:t>
      </w:r>
      <w:r w:rsidRPr="00677E28">
        <w:rPr>
          <w:snapToGrid w:val="0"/>
          <w:spacing w:val="4"/>
        </w:rPr>
        <w:t>procesos internacionales relacionados con el acceso y la participación en los beneficios</w:t>
      </w:r>
      <w:r>
        <w:rPr>
          <w:snapToGrid w:val="0"/>
        </w:rPr>
        <w:t xml:space="preserve"> (CBD/NP/MOP/4/INF/4).</w:t>
      </w:r>
    </w:p>
    <w:p w14:paraId="4A7B7945" w14:textId="694C5A16" w:rsidR="00F66608" w:rsidRPr="007267A5" w:rsidRDefault="006A71F6" w:rsidP="00F66608">
      <w:pPr>
        <w:pStyle w:val="para10"/>
        <w:rPr>
          <w:snapToGrid w:val="0"/>
          <w:kern w:val="22"/>
          <w:szCs w:val="18"/>
        </w:rPr>
      </w:pPr>
      <w:r>
        <w:rPr>
          <w:snapToGrid w:val="0"/>
        </w:rPr>
        <w:t>El Grupo de Trabajo II tomó nota de la información brindada.</w:t>
      </w:r>
    </w:p>
    <w:p w14:paraId="2FDCEDBC" w14:textId="5254F756" w:rsidR="00F52AC0" w:rsidRPr="00F9543F" w:rsidRDefault="00E01198" w:rsidP="007267A5">
      <w:pPr>
        <w:pStyle w:val="Heading1"/>
        <w:tabs>
          <w:tab w:val="clear" w:pos="720"/>
          <w:tab w:val="left" w:pos="1134"/>
        </w:tabs>
      </w:pPr>
      <w:r>
        <w:rPr>
          <w:caps w:val="0"/>
        </w:rPr>
        <w:t>Tema</w:t>
      </w:r>
      <w:r w:rsidR="00F52AC0">
        <w:t xml:space="preserve"> 12.</w:t>
      </w:r>
      <w:r w:rsidR="00F52AC0">
        <w:rPr>
          <w:caps w:val="0"/>
        </w:rPr>
        <w:tab/>
        <w:t>Revisión de la eficacia de las estructuras y los procesos</w:t>
      </w:r>
    </w:p>
    <w:p w14:paraId="09CFC325" w14:textId="468557E5" w:rsidR="00AE655E" w:rsidRPr="007267A5" w:rsidRDefault="00AE655E" w:rsidP="00AE655E">
      <w:pPr>
        <w:pStyle w:val="para10"/>
        <w:rPr>
          <w:snapToGrid w:val="0"/>
          <w:kern w:val="22"/>
          <w:szCs w:val="18"/>
        </w:rPr>
      </w:pPr>
      <w:r>
        <w:t xml:space="preserve">El Grupo de Trabajo II consideró el tema 12 del programa en su segunda reunión, junto con el tema 17 del programa de la 15ª reunión de la Conferencia de las Partes en el Convenio y el tema 13 del </w:t>
      </w:r>
      <w:r>
        <w:lastRenderedPageBreak/>
        <w:t>programa de la 10ª reunión de la Conferencia de las Partes que actúa como reunión de las Partes en el Protocolo de Cartagena.</w:t>
      </w:r>
      <w:r>
        <w:rPr>
          <w:snapToGrid w:val="0"/>
        </w:rPr>
        <w:t xml:space="preserve"> Tuvo ante sí un proyecto de decisión basado en la recomendación 3/13 del Órgano Subsidiario sobre la Aplicación, que figuraba en las recopilaciones de proyectos de decisión de los tres órganos (CBD/NP/MOP/4/1/Add.5, CBD/COP/15/2 y CBD/CP/MOP/10/1/Add.5).</w:t>
      </w:r>
    </w:p>
    <w:p w14:paraId="1E207C17" w14:textId="3CDFE7AD" w:rsidR="00AE655E" w:rsidRPr="007267A5" w:rsidRDefault="00AE655E" w:rsidP="00AE655E">
      <w:pPr>
        <w:pStyle w:val="para10"/>
        <w:rPr>
          <w:snapToGrid w:val="0"/>
          <w:kern w:val="22"/>
          <w:szCs w:val="18"/>
        </w:rPr>
      </w:pPr>
      <w:r>
        <w:rPr>
          <w:snapToGrid w:val="0"/>
        </w:rPr>
        <w:t>En su sexta reunión, el 10 de diciembre, el Grupo de Trabajo II consideró un proyecto de decisión revisado presentado por su Presidenta referido al tema 17 del programa de la 15ª reunión de la Conferencia de las Partes en el Convenio y, tras la aprobación de esta última en ese tema del programa, también lo aprobó, con los cambios correspondientes, para que fuera remitido a la sesión plenaria como proyecto de decisión CBD/NP/MOP/4/L.8.</w:t>
      </w:r>
    </w:p>
    <w:p w14:paraId="3BB5C915" w14:textId="791B1A20"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En su segunda sesión plenaria, la Conferencia de las Partes que actúa como reunión de las Partes en el Protocolo de Nagoya adoptó el proyecto de decisión como decisión NP-4/9.</w:t>
      </w:r>
    </w:p>
    <w:p w14:paraId="46B3FA24" w14:textId="394A7D54" w:rsidR="00F52AC0" w:rsidRPr="00F9543F" w:rsidRDefault="0048458B" w:rsidP="007267A5">
      <w:pPr>
        <w:pStyle w:val="Heading1"/>
        <w:tabs>
          <w:tab w:val="clear" w:pos="720"/>
          <w:tab w:val="left" w:pos="993"/>
        </w:tabs>
      </w:pPr>
      <w:r>
        <w:t>T</w:t>
      </w:r>
      <w:r w:rsidR="002430A5">
        <w:rPr>
          <w:caps w:val="0"/>
        </w:rPr>
        <w:t>ema</w:t>
      </w:r>
      <w:r>
        <w:t> 13.</w:t>
      </w:r>
      <w:r>
        <w:tab/>
        <w:t>Marco mundial de la diversidad biológica posterior a 2020</w:t>
      </w:r>
    </w:p>
    <w:p w14:paraId="0965796F" w14:textId="1F9C1432" w:rsidR="004A1292" w:rsidRPr="007267A5" w:rsidRDefault="004A1292" w:rsidP="004A1292">
      <w:pPr>
        <w:pStyle w:val="para10"/>
        <w:rPr>
          <w:snapToGrid w:val="0"/>
          <w:kern w:val="22"/>
          <w:szCs w:val="18"/>
        </w:rPr>
      </w:pPr>
      <w:r>
        <w:rPr>
          <w:snapToGrid w:val="0"/>
        </w:rPr>
        <w:t>El Grupo de Trabajo I consideró el tema 13 del programa en su primera reunión, junto con el subtema 9 A del programa de la 15ª reunión de la Conferencia de las Partes en el Convenio. Tuvo ante sí una nota de la Secretaria Ejecutiva sobre la mejora de la aplicación del Protocolo de Nagoya en el contexto del marco mundial de la diversidad biológica posterior a 2020 (CBD/NP/MOP/4/9).</w:t>
      </w:r>
    </w:p>
    <w:p w14:paraId="14F04BED" w14:textId="27082B8B" w:rsidR="004A1292" w:rsidRPr="007267A5" w:rsidRDefault="008873BC" w:rsidP="004A1292">
      <w:pPr>
        <w:pStyle w:val="para10"/>
        <w:rPr>
          <w:snapToGrid w:val="0"/>
          <w:kern w:val="22"/>
          <w:szCs w:val="18"/>
        </w:rPr>
      </w:pPr>
      <w:r>
        <w:rPr>
          <w:snapToGrid w:val="0"/>
        </w:rPr>
        <w:t>El Grupo de Trabajo I convino en que retomaría su examen del tema 13 del programa en una etapa posterior de la reunión, una vez que se hubiera avanzado en la discusión del tema 9 A del programa de la 15ª reunión de la Conferenci</w:t>
      </w:r>
      <w:r w:rsidR="001E31E2">
        <w:rPr>
          <w:snapToGrid w:val="0"/>
        </w:rPr>
        <w:t>a de las Partes en el Convenio.</w:t>
      </w:r>
    </w:p>
    <w:p w14:paraId="013F9E04" w14:textId="3E967F48" w:rsidR="004A1292" w:rsidRPr="007267A5" w:rsidRDefault="004A1292" w:rsidP="004A1292">
      <w:pPr>
        <w:pStyle w:val="para10"/>
        <w:rPr>
          <w:snapToGrid w:val="0"/>
          <w:kern w:val="22"/>
          <w:szCs w:val="18"/>
        </w:rPr>
      </w:pPr>
      <w:r>
        <w:rPr>
          <w:snapToGrid w:val="0"/>
        </w:rPr>
        <w:t>En su cuarta reunión, el 19 de diciembre, el Grupo de Trabajo I consideró el proyecto de decisión presentado por su Presidenta y lo aprobó para que fuera remitido a la sesión plenaria como proyecto de decisión CBD/NP/MOP/4/L.12.</w:t>
      </w:r>
    </w:p>
    <w:p w14:paraId="4B052DAB" w14:textId="4F0014F2" w:rsidR="00D8765E" w:rsidRPr="007267A5" w:rsidRDefault="00D8765E" w:rsidP="00522337">
      <w:pPr>
        <w:pStyle w:val="Para1"/>
        <w:numPr>
          <w:ilvl w:val="0"/>
          <w:numId w:val="9"/>
        </w:numPr>
        <w:suppressLineNumbers/>
        <w:suppressAutoHyphens/>
        <w:kinsoku w:val="0"/>
        <w:overflowPunct w:val="0"/>
        <w:autoSpaceDE w:val="0"/>
        <w:autoSpaceDN w:val="0"/>
        <w:snapToGrid w:val="0"/>
        <w:rPr>
          <w:kern w:val="22"/>
        </w:rPr>
      </w:pPr>
      <w:r>
        <w:t>En su quinta sesión plenaria, la Conferencia de las Partes que actúa como reunión de las Partes en el Protocolo de Nagoya adoptó el proyecto de decisión como decisión NP-4/5.</w:t>
      </w:r>
    </w:p>
    <w:p w14:paraId="32C308E3" w14:textId="0897BB6E" w:rsidR="00F52AC0" w:rsidRPr="00F9543F" w:rsidRDefault="00E01198" w:rsidP="007B5EF9">
      <w:pPr>
        <w:pStyle w:val="Heading1"/>
      </w:pPr>
      <w:r>
        <w:rPr>
          <w:caps w:val="0"/>
        </w:rPr>
        <w:t>Tema</w:t>
      </w:r>
      <w:r w:rsidR="00F52AC0">
        <w:t xml:space="preserve"> 14.</w:t>
      </w:r>
      <w:r w:rsidR="00F52AC0">
        <w:tab/>
      </w:r>
      <w:r w:rsidR="00F52AC0">
        <w:rPr>
          <w:caps w:val="0"/>
        </w:rPr>
        <w:t>Información digital sobre secuencias de recursos genéticos</w:t>
      </w:r>
    </w:p>
    <w:p w14:paraId="1DF457C7" w14:textId="02160DFE" w:rsidR="00C26201" w:rsidRPr="007267A5" w:rsidRDefault="00C26201" w:rsidP="00C26201">
      <w:pPr>
        <w:pStyle w:val="para10"/>
        <w:rPr>
          <w:snapToGrid w:val="0"/>
          <w:kern w:val="22"/>
          <w:szCs w:val="18"/>
        </w:rPr>
      </w:pPr>
      <w:r>
        <w:rPr>
          <w:snapToGrid w:val="0"/>
        </w:rPr>
        <w:t>El Grupo de Trabajo I consideró el tema 14 del programa en su primera reunión, junto con el tema 11 del programa de la 15ª reunión de la Conferenci</w:t>
      </w:r>
      <w:r w:rsidR="001E31E2">
        <w:rPr>
          <w:snapToGrid w:val="0"/>
        </w:rPr>
        <w:t>a de las Partes en el Convenio.</w:t>
      </w:r>
    </w:p>
    <w:p w14:paraId="41D82C3C" w14:textId="1C523B0B" w:rsidR="00C26201" w:rsidRPr="007267A5" w:rsidRDefault="00110E5F" w:rsidP="00C26201">
      <w:pPr>
        <w:pStyle w:val="para10"/>
        <w:rPr>
          <w:snapToGrid w:val="0"/>
          <w:kern w:val="22"/>
          <w:szCs w:val="18"/>
        </w:rPr>
      </w:pPr>
      <w:r>
        <w:rPr>
          <w:snapToGrid w:val="0"/>
        </w:rPr>
        <w:t>El Grupo de Trabajo I convino en que retomaría su examen del tema 14 del programa en una etapa posterior de la reunión, una vez que se hubiera avanzado en la discusión del tema 11 del programa de la 15ª reunión de la Conferencia de las Partes en el Convenio.</w:t>
      </w:r>
    </w:p>
    <w:p w14:paraId="2AE383C8" w14:textId="79F2DA27" w:rsidR="00C26201" w:rsidRPr="007267A5" w:rsidRDefault="00C26201" w:rsidP="00C26201">
      <w:pPr>
        <w:pStyle w:val="para10"/>
        <w:rPr>
          <w:snapToGrid w:val="0"/>
          <w:kern w:val="22"/>
          <w:szCs w:val="18"/>
        </w:rPr>
      </w:pPr>
      <w:r>
        <w:rPr>
          <w:snapToGrid w:val="0"/>
        </w:rPr>
        <w:t>En su cuarta reunión, el Grupo de Trabajo I consideró el proyecto de decisión presentado por su Presidenta y lo aprobó para que fuera remitido a la sesión plenaria como proyecto de decisión CBD/NP/MOP/4/L.13.</w:t>
      </w:r>
    </w:p>
    <w:p w14:paraId="63520077" w14:textId="3714CCED"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En su quinta sesión plenaria, la Conferencia de las Partes que actúa como reunión de las Partes en el Protocolo de Nagoya adoptó el proyecto de decisión como decisión NP-4/6.</w:t>
      </w:r>
    </w:p>
    <w:p w14:paraId="4504EB3C" w14:textId="179D231A" w:rsidR="00F52AC0" w:rsidRPr="007267A5"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rPr>
        <w:t>Tema 15.</w:t>
      </w:r>
      <w:r>
        <w:rPr>
          <w:i w:val="0"/>
          <w:snapToGrid w:val="0"/>
        </w:rPr>
        <w:tab/>
        <w:t xml:space="preserve">Instrumentos internacionales especializados de acceso y participación en los beneficios dentro del contexto del párrafo 4 del artículo 4 del Protocolo de Nagoya </w:t>
      </w:r>
    </w:p>
    <w:p w14:paraId="699A8022" w14:textId="2E1C1AC0" w:rsidR="00D00121" w:rsidRPr="007267A5" w:rsidRDefault="00D00121" w:rsidP="00D00121">
      <w:pPr>
        <w:pStyle w:val="para10"/>
        <w:rPr>
          <w:snapToGrid w:val="0"/>
          <w:kern w:val="22"/>
          <w:szCs w:val="18"/>
        </w:rPr>
      </w:pPr>
      <w:r>
        <w:rPr>
          <w:snapToGrid w:val="0"/>
        </w:rPr>
        <w:t>El Grupo de Trabajo II consideró el tema 15 del programa en su tercera reunión. Tuvo ante sí un proyecto de decisión basado en la recomendación 3/16 del Órgano Subsidiario sobre la Aplicación, que figuraba en la recopilación de proyectos de decisión.</w:t>
      </w:r>
    </w:p>
    <w:p w14:paraId="67327E8D" w14:textId="073AF8DE" w:rsidR="00D00121" w:rsidRPr="007267A5" w:rsidRDefault="00D00121" w:rsidP="00D00121">
      <w:pPr>
        <w:pStyle w:val="para10"/>
        <w:rPr>
          <w:snapToGrid w:val="0"/>
          <w:kern w:val="22"/>
          <w:szCs w:val="18"/>
        </w:rPr>
      </w:pPr>
      <w:r>
        <w:rPr>
          <w:snapToGrid w:val="0"/>
        </w:rPr>
        <w:t>Formularon declaraciones los representantes del Brasil, China, el Japón, México, Namibia, Noruega, el Reino Unido, la República de Corea, Suiza y la Unión Europea y sus 27 Estados miembros.</w:t>
      </w:r>
    </w:p>
    <w:p w14:paraId="172DDE23" w14:textId="560C4CB6" w:rsidR="00D00121" w:rsidRPr="007267A5" w:rsidRDefault="00BF698F" w:rsidP="00D00121">
      <w:pPr>
        <w:pStyle w:val="para10"/>
        <w:rPr>
          <w:snapToGrid w:val="0"/>
          <w:kern w:val="22"/>
          <w:szCs w:val="18"/>
        </w:rPr>
      </w:pPr>
      <w:r>
        <w:rPr>
          <w:snapToGrid w:val="0"/>
        </w:rPr>
        <w:lastRenderedPageBreak/>
        <w:t>El Grupo de Trabajo II convino en establecer un grupo de amigos de la Presidencia para tratar el tema, cofacilitado por Mery Ciacci (Unión Europea) y Patience Gandiwa (Zimbabwe) e integrado por los representantes que habían realizado intervenciones, así como otras Partes.</w:t>
      </w:r>
    </w:p>
    <w:p w14:paraId="55AFA24E" w14:textId="53950F73" w:rsidR="00D00121" w:rsidRPr="007267A5" w:rsidRDefault="00D00121" w:rsidP="00D00121">
      <w:pPr>
        <w:pStyle w:val="para10"/>
        <w:rPr>
          <w:snapToGrid w:val="0"/>
          <w:kern w:val="22"/>
          <w:szCs w:val="18"/>
        </w:rPr>
      </w:pPr>
      <w:r>
        <w:rPr>
          <w:snapToGrid w:val="0"/>
        </w:rPr>
        <w:t>En su novena reunión, el 16</w:t>
      </w:r>
      <w:r w:rsidR="009602A2">
        <w:rPr>
          <w:snapToGrid w:val="0"/>
        </w:rPr>
        <w:t xml:space="preserve"> </w:t>
      </w:r>
      <w:r>
        <w:rPr>
          <w:snapToGrid w:val="0"/>
        </w:rPr>
        <w:t>de</w:t>
      </w:r>
      <w:r w:rsidR="009602A2">
        <w:rPr>
          <w:snapToGrid w:val="0"/>
        </w:rPr>
        <w:t xml:space="preserve"> </w:t>
      </w:r>
      <w:r>
        <w:rPr>
          <w:snapToGrid w:val="0"/>
        </w:rPr>
        <w:t>diciembre, el Grupo de Trabajo II escuchó un informe de las cofacilitadoras del grupo de amigos de la Presidencia, que no había podido resolver los temas pendientes.</w:t>
      </w:r>
    </w:p>
    <w:p w14:paraId="4DF27003" w14:textId="77777777" w:rsidR="00D00121" w:rsidRPr="007267A5" w:rsidRDefault="00D00121" w:rsidP="00D00121">
      <w:pPr>
        <w:pStyle w:val="para10"/>
        <w:rPr>
          <w:snapToGrid w:val="0"/>
          <w:kern w:val="22"/>
          <w:szCs w:val="18"/>
        </w:rPr>
      </w:pPr>
      <w:r>
        <w:rPr>
          <w:snapToGrid w:val="0"/>
        </w:rPr>
        <w:t>Formularon declaraciones los representantes de la Argentina, Bolivia (Estado Plurinacional de), el Brasil, Etiopía (en nombre de los Estados de África), Malawi, Malasia, México, Namibia, Noruega, el Reino Unido, la República de Corea, la Unión Europea y sus 27 Estados miembros y el Uruguay.</w:t>
      </w:r>
    </w:p>
    <w:p w14:paraId="68C00F95" w14:textId="71F412CA" w:rsidR="00D00121" w:rsidRPr="007267A5" w:rsidRDefault="000534E2" w:rsidP="00D00121">
      <w:pPr>
        <w:pStyle w:val="para10"/>
        <w:rPr>
          <w:snapToGrid w:val="0"/>
          <w:kern w:val="22"/>
          <w:szCs w:val="18"/>
        </w:rPr>
      </w:pPr>
      <w:r>
        <w:rPr>
          <w:snapToGrid w:val="0"/>
        </w:rPr>
        <w:t xml:space="preserve">El Grupo de Trabajo II convino en que su Presidenta prepararía un proyecto de decisión </w:t>
      </w:r>
      <w:r w:rsidR="001E31E2">
        <w:rPr>
          <w:snapToGrid w:val="0"/>
        </w:rPr>
        <w:t>revisado para su consideración.</w:t>
      </w:r>
    </w:p>
    <w:p w14:paraId="1D6330B3" w14:textId="3671EBC2" w:rsidR="00D00121" w:rsidRPr="007267A5" w:rsidRDefault="00D00121" w:rsidP="00D00121">
      <w:pPr>
        <w:pStyle w:val="para10"/>
        <w:rPr>
          <w:snapToGrid w:val="0"/>
          <w:kern w:val="22"/>
          <w:szCs w:val="18"/>
        </w:rPr>
      </w:pPr>
      <w:r>
        <w:rPr>
          <w:snapToGrid w:val="0"/>
        </w:rPr>
        <w:t>En su 10ª</w:t>
      </w:r>
      <w:r w:rsidR="003F54B2">
        <w:rPr>
          <w:snapToGrid w:val="0"/>
        </w:rPr>
        <w:t> </w:t>
      </w:r>
      <w:r>
        <w:rPr>
          <w:snapToGrid w:val="0"/>
        </w:rPr>
        <w:t>reunión, el 16</w:t>
      </w:r>
      <w:r w:rsidR="003F54B2">
        <w:rPr>
          <w:snapToGrid w:val="0"/>
        </w:rPr>
        <w:t xml:space="preserve"> </w:t>
      </w:r>
      <w:r>
        <w:rPr>
          <w:snapToGrid w:val="0"/>
        </w:rPr>
        <w:t>de</w:t>
      </w:r>
      <w:r w:rsidR="003F54B2">
        <w:rPr>
          <w:snapToGrid w:val="0"/>
        </w:rPr>
        <w:t xml:space="preserve"> </w:t>
      </w:r>
      <w:r>
        <w:rPr>
          <w:snapToGrid w:val="0"/>
        </w:rPr>
        <w:t>diciembre, el Grupo de Trabajo II consideró el proyecto de decisión presentado por su Presidenta y lo aprobó para que fuera remitido a la sesión plenaria como proyecto de decisión CBD/NP/MOP/4/L.9.</w:t>
      </w:r>
    </w:p>
    <w:p w14:paraId="0BCF744B" w14:textId="1CD07462"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En su quinta sesión plenaria, la Conferencia de las Partes que actúa como reunión de las Partes en el Protocolo de Nagoya adoptó el proyecto de decisión como decisión NP-4/11.</w:t>
      </w:r>
    </w:p>
    <w:p w14:paraId="35AB5192" w14:textId="040DA07B" w:rsidR="00D85BBB" w:rsidRPr="007267A5" w:rsidRDefault="0040625E" w:rsidP="007267A5">
      <w:pPr>
        <w:pStyle w:val="Heading2longmultiline"/>
        <w:suppressLineNumbers/>
        <w:suppressAutoHyphens/>
        <w:kinsoku w:val="0"/>
        <w:overflowPunct w:val="0"/>
        <w:autoSpaceDE w:val="0"/>
        <w:autoSpaceDN w:val="0"/>
        <w:ind w:left="0" w:right="106" w:firstLine="0"/>
        <w:jc w:val="center"/>
        <w:rPr>
          <w:i w:val="0"/>
          <w:snapToGrid w:val="0"/>
          <w:kern w:val="22"/>
          <w:szCs w:val="22"/>
        </w:rPr>
      </w:pPr>
      <w:r>
        <w:rPr>
          <w:i w:val="0"/>
          <w:snapToGrid w:val="0"/>
        </w:rPr>
        <w:t>Tema 16.</w:t>
      </w:r>
      <w:r>
        <w:rPr>
          <w:i w:val="0"/>
          <w:snapToGrid w:val="0"/>
        </w:rPr>
        <w:tab/>
        <w:t>Mecanismo mundial multilateral de participación en los beneficios (artículo 10)</w:t>
      </w:r>
    </w:p>
    <w:p w14:paraId="5C43AF2A" w14:textId="09B79275" w:rsidR="002C2497" w:rsidRPr="007267A5" w:rsidRDefault="002C2497" w:rsidP="002C2497">
      <w:pPr>
        <w:pStyle w:val="para10"/>
        <w:rPr>
          <w:snapToGrid w:val="0"/>
          <w:kern w:val="22"/>
          <w:szCs w:val="18"/>
        </w:rPr>
      </w:pPr>
      <w:r>
        <w:rPr>
          <w:snapToGrid w:val="0"/>
        </w:rPr>
        <w:t>El Grupo de Trabajo II consideró el tema 16 del programa en su tercera reunión. Tuvo ante sí un proyecto de decisión basado en la recomendación 3/17 del Órgano Subsidiario sobre la Aplicación, que figuraba en la recopilación de proyectos de decisión.</w:t>
      </w:r>
    </w:p>
    <w:p w14:paraId="2BA3CB6E" w14:textId="5B1FB7C2" w:rsidR="002C2497" w:rsidRPr="007267A5" w:rsidRDefault="00C967A7" w:rsidP="002C2497">
      <w:pPr>
        <w:pStyle w:val="para10"/>
        <w:rPr>
          <w:snapToGrid w:val="0"/>
          <w:kern w:val="22"/>
          <w:szCs w:val="18"/>
        </w:rPr>
      </w:pPr>
      <w:r>
        <w:rPr>
          <w:snapToGrid w:val="0"/>
        </w:rPr>
        <w:t>El Grupo de Trabajo II acordó aplazar su consideración del tema</w:t>
      </w:r>
      <w:r w:rsidR="003F54B2">
        <w:rPr>
          <w:snapToGrid w:val="0"/>
        </w:rPr>
        <w:t> </w:t>
      </w:r>
      <w:r>
        <w:rPr>
          <w:snapToGrid w:val="0"/>
        </w:rPr>
        <w:t>16 del programa hasta que se hubiera avanzado en la discusión de otros temas del programa.</w:t>
      </w:r>
    </w:p>
    <w:p w14:paraId="43010EA1" w14:textId="6BC49E36" w:rsidR="002C2497" w:rsidRPr="007267A5" w:rsidRDefault="002C2497" w:rsidP="002C2497">
      <w:pPr>
        <w:pStyle w:val="para10"/>
        <w:rPr>
          <w:snapToGrid w:val="0"/>
          <w:kern w:val="22"/>
          <w:szCs w:val="18"/>
        </w:rPr>
      </w:pPr>
      <w:r>
        <w:rPr>
          <w:snapToGrid w:val="0"/>
        </w:rPr>
        <w:t>En su 10</w:t>
      </w:r>
      <w:r w:rsidR="000615B1">
        <w:rPr>
          <w:snapToGrid w:val="0"/>
        </w:rPr>
        <w:t>ª reunión</w:t>
      </w:r>
      <w:r>
        <w:rPr>
          <w:snapToGrid w:val="0"/>
        </w:rPr>
        <w:t>, el Grupo de Trabajo II consideró el proyecto de decisión presentado por su Presidenta y lo aprobó para que fuera remitido a la sesión plenaria como proyecto de</w:t>
      </w:r>
      <w:r w:rsidR="001E31E2">
        <w:rPr>
          <w:snapToGrid w:val="0"/>
        </w:rPr>
        <w:t xml:space="preserve"> decisión CBD/NP/MOP/4/L.10.</w:t>
      </w:r>
    </w:p>
    <w:p w14:paraId="3E28DFAA" w14:textId="0BD987D8"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En su quinta sesión plenaria, la Conferencia de las Partes que actúa como reunión de las Partes en el Protocolo de Nagoya adoptó el proyecto de decisión como decisión NP-4/10.</w:t>
      </w:r>
    </w:p>
    <w:p w14:paraId="1C18C568" w14:textId="0AD4C0A8" w:rsidR="00F52AC0" w:rsidRPr="00F9543F" w:rsidRDefault="00E01198" w:rsidP="00AC59F9">
      <w:pPr>
        <w:pStyle w:val="Heading1"/>
      </w:pPr>
      <w:r>
        <w:rPr>
          <w:caps w:val="0"/>
        </w:rPr>
        <w:t>Tema</w:t>
      </w:r>
      <w:r w:rsidR="00CA25FD">
        <w:t> 17.</w:t>
      </w:r>
      <w:r w:rsidR="00CA25FD">
        <w:rPr>
          <w:caps w:val="0"/>
        </w:rPr>
        <w:tab/>
        <w:t>Otros asuntos</w:t>
      </w:r>
    </w:p>
    <w:p w14:paraId="56747818" w14:textId="1A6670FF" w:rsidR="005D6F8A" w:rsidRPr="00F9543F" w:rsidRDefault="005D6F8A" w:rsidP="005D6F8A">
      <w:pPr>
        <w:pStyle w:val="Para1"/>
        <w:numPr>
          <w:ilvl w:val="0"/>
          <w:numId w:val="9"/>
        </w:numPr>
        <w:overflowPunct w:val="0"/>
        <w:autoSpaceDE w:val="0"/>
        <w:autoSpaceDN w:val="0"/>
        <w:snapToGrid w:val="0"/>
        <w:spacing w:before="0"/>
      </w:pPr>
      <w:r>
        <w:t>Habida cuenta de la decisión del Presidente, en el subtema 2 A del programa, de suspender la reunión, la Conferencia de las Partes que actúa como reunión de las Partes en el Protocolo de Nagoya no</w:t>
      </w:r>
      <w:r w:rsidR="001E31E2">
        <w:t xml:space="preserve"> trató el tema 17 del programa.</w:t>
      </w:r>
    </w:p>
    <w:p w14:paraId="7AC396E6" w14:textId="009734D6" w:rsidR="00F52AC0" w:rsidRPr="00F9543F" w:rsidRDefault="00E01198" w:rsidP="00AC59F9">
      <w:pPr>
        <w:pStyle w:val="Heading1"/>
      </w:pPr>
      <w:r>
        <w:rPr>
          <w:caps w:val="0"/>
        </w:rPr>
        <w:t>Tema</w:t>
      </w:r>
      <w:r w:rsidR="00CA25FD">
        <w:t> 18.</w:t>
      </w:r>
      <w:r w:rsidR="00CA25FD">
        <w:rPr>
          <w:caps w:val="0"/>
        </w:rPr>
        <w:tab/>
        <w:t>Adopción del informe</w:t>
      </w:r>
    </w:p>
    <w:p w14:paraId="613CF5B7" w14:textId="157314E2" w:rsidR="005D6F8A" w:rsidRPr="00F9543F" w:rsidRDefault="005D6F8A" w:rsidP="005D6F8A">
      <w:pPr>
        <w:pStyle w:val="Para1"/>
        <w:numPr>
          <w:ilvl w:val="0"/>
          <w:numId w:val="9"/>
        </w:numPr>
        <w:overflowPunct w:val="0"/>
        <w:autoSpaceDE w:val="0"/>
        <w:autoSpaceDN w:val="0"/>
        <w:snapToGrid w:val="0"/>
        <w:spacing w:before="0"/>
      </w:pPr>
      <w:r>
        <w:t>Habida cuenta de la decisión del Presidente, en el subtema 2 A del programa, de suspender la reunión, la Conferencia de las Partes que actúa como reunión de las Partes en el Protocolo de Nagoya no</w:t>
      </w:r>
      <w:r w:rsidR="001E31E2">
        <w:t xml:space="preserve"> trató el tema 18 del programa.</w:t>
      </w:r>
    </w:p>
    <w:p w14:paraId="376FC71C" w14:textId="5792A556" w:rsidR="00F52AC0" w:rsidRPr="00F9543F" w:rsidRDefault="00E01198" w:rsidP="00AC59F9">
      <w:pPr>
        <w:pStyle w:val="Heading1"/>
      </w:pPr>
      <w:r>
        <w:rPr>
          <w:caps w:val="0"/>
        </w:rPr>
        <w:t>Tema</w:t>
      </w:r>
      <w:r w:rsidR="00CA25FD">
        <w:t> 19.</w:t>
      </w:r>
      <w:r w:rsidR="00CA25FD">
        <w:rPr>
          <w:caps w:val="0"/>
        </w:rPr>
        <w:tab/>
        <w:t>Clausura de la reunión</w:t>
      </w:r>
    </w:p>
    <w:p w14:paraId="7183FAE6" w14:textId="4B0F4FFE" w:rsidR="0021586A" w:rsidRPr="00F9543F" w:rsidRDefault="0021586A" w:rsidP="0021586A">
      <w:pPr>
        <w:pStyle w:val="Para1"/>
        <w:numPr>
          <w:ilvl w:val="0"/>
          <w:numId w:val="9"/>
        </w:numPr>
        <w:overflowPunct w:val="0"/>
        <w:autoSpaceDE w:val="0"/>
        <w:autoSpaceDN w:val="0"/>
        <w:snapToGrid w:val="0"/>
        <w:spacing w:before="0"/>
      </w:pPr>
      <w:r>
        <w:t>Como se indicó en relación con el subtema 2 A del programa, no resultó posible llevar a cabo la elección de la Mesa y concluir la segunda parte de la cuarta reunión de la Conferencia de las Partes que actúa como reunión de las Partes en el Protocolo de Nagoya en su quinta sesión plenaria.</w:t>
      </w:r>
    </w:p>
    <w:p w14:paraId="6F3D3094" w14:textId="4391F726" w:rsidR="0021586A" w:rsidRPr="00F9543F" w:rsidRDefault="0021586A" w:rsidP="0021586A">
      <w:pPr>
        <w:pStyle w:val="Para1"/>
        <w:numPr>
          <w:ilvl w:val="0"/>
          <w:numId w:val="9"/>
        </w:numPr>
        <w:overflowPunct w:val="0"/>
        <w:autoSpaceDE w:val="0"/>
        <w:autoSpaceDN w:val="0"/>
        <w:snapToGrid w:val="0"/>
        <w:spacing w:before="0"/>
      </w:pPr>
      <w:r>
        <w:t>Por consiguiente, el Presidente propuso suspender la cuarta reunión a fin de permitir que las Partes resolvieran sus diferencias en relación con la elección de la Mesa en una continuación de la reunión, que se convocaría en una fecha posterior, y pidió a los miembros de la Mesa de la reunión y a los miembros de las Mesas de los otros órganos que se mantuvieran en funciones hasta la conclusión de la continuación de la reunión. Ninguna de las Partes expresó op</w:t>
      </w:r>
      <w:r w:rsidR="001E31E2">
        <w:t>inión en contrario.</w:t>
      </w:r>
    </w:p>
    <w:p w14:paraId="6BA9FE9C" w14:textId="3A5891C0" w:rsidR="00351BB3" w:rsidRPr="00F9543F" w:rsidRDefault="00351BB3" w:rsidP="00351BB3">
      <w:pPr>
        <w:pStyle w:val="Para1"/>
        <w:numPr>
          <w:ilvl w:val="0"/>
          <w:numId w:val="9"/>
        </w:numPr>
        <w:tabs>
          <w:tab w:val="clear" w:pos="720"/>
          <w:tab w:val="left" w:pos="567"/>
        </w:tabs>
      </w:pPr>
      <w:r>
        <w:lastRenderedPageBreak/>
        <w:t>Tras el intercambio habitual de cortesías, el Presidente suspendió la reunión el 20 de diciembre de 2022 a la 1.00 hora.</w:t>
      </w:r>
    </w:p>
    <w:p w14:paraId="0618E56E" w14:textId="646E2E50" w:rsidR="00F52AC0" w:rsidRPr="007267A5" w:rsidRDefault="00F52AC0" w:rsidP="00C535AF">
      <w:pPr>
        <w:suppressLineNumbers/>
        <w:suppressAutoHyphens/>
        <w:kinsoku w:val="0"/>
        <w:overflowPunct w:val="0"/>
        <w:autoSpaceDE w:val="0"/>
        <w:autoSpaceDN w:val="0"/>
        <w:jc w:val="center"/>
        <w:rPr>
          <w:snapToGrid w:val="0"/>
          <w:kern w:val="22"/>
          <w:szCs w:val="22"/>
        </w:rPr>
      </w:pPr>
      <w:r>
        <w:rPr>
          <w:snapToGrid w:val="0"/>
        </w:rPr>
        <w:t>__________</w:t>
      </w:r>
    </w:p>
    <w:sectPr w:rsidR="00F52AC0" w:rsidRPr="007267A5"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AD120" w14:textId="77777777" w:rsidR="000A4898" w:rsidRDefault="000A4898" w:rsidP="00CF1848">
      <w:r>
        <w:separator/>
      </w:r>
    </w:p>
  </w:endnote>
  <w:endnote w:type="continuationSeparator" w:id="0">
    <w:p w14:paraId="13C72F3E" w14:textId="77777777" w:rsidR="000A4898" w:rsidRDefault="000A4898" w:rsidP="00CF1848">
      <w:r>
        <w:continuationSeparator/>
      </w:r>
    </w:p>
  </w:endnote>
  <w:endnote w:type="continuationNotice" w:id="1">
    <w:p w14:paraId="5A7C0E31" w14:textId="77777777" w:rsidR="000A4898" w:rsidRDefault="000A48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0A317" w14:textId="77777777" w:rsidR="000A4898" w:rsidRDefault="000A4898" w:rsidP="00CF1848">
      <w:r>
        <w:separator/>
      </w:r>
    </w:p>
  </w:footnote>
  <w:footnote w:type="continuationSeparator" w:id="0">
    <w:p w14:paraId="36F1D743" w14:textId="77777777" w:rsidR="000A4898" w:rsidRDefault="000A4898" w:rsidP="00CF1848">
      <w:r>
        <w:continuationSeparator/>
      </w:r>
    </w:p>
  </w:footnote>
  <w:footnote w:type="continuationNotice" w:id="1">
    <w:p w14:paraId="6EBA11D3" w14:textId="77777777" w:rsidR="000A4898" w:rsidRDefault="000A4898"/>
  </w:footnote>
  <w:footnote w:id="2">
    <w:p w14:paraId="35F76BC3" w14:textId="177889E2" w:rsidR="00AE04B4" w:rsidRPr="00B445D5" w:rsidRDefault="00AE04B4" w:rsidP="00AE04B4">
      <w:pPr>
        <w:pStyle w:val="FootnoteText"/>
        <w:ind w:firstLine="0"/>
      </w:pPr>
      <w:r>
        <w:rPr>
          <w:rStyle w:val="FootnoteReference"/>
          <w:u w:val="none"/>
        </w:rPr>
        <w:t>*</w:t>
      </w:r>
      <w:r>
        <w:t xml:space="preserve"> El presente documento se basa en el documento CBD/NP/MOP/4/L.1, publicado el 19 de diciembre de 2022, pero que no se consideró debido a que se suspendió la reunión, y que ahora se actualiza con la inclusión de las deliberaciones de ese día, y el documento CBD/COP/15/L.1/Add.2, que fue aprobado por el Grupo de Trabajo II en su 10ª reunión, el 16 de diciembre.</w:t>
      </w:r>
    </w:p>
  </w:footnote>
  <w:footnote w:id="3">
    <w:p w14:paraId="6F8F1BDF" w14:textId="530A1868" w:rsidR="00A74468" w:rsidRPr="0092426A" w:rsidRDefault="00A74468" w:rsidP="007267A5">
      <w:pPr>
        <w:pStyle w:val="FootnoteText"/>
        <w:ind w:firstLine="0"/>
      </w:pPr>
      <w:r>
        <w:rPr>
          <w:rStyle w:val="FootnoteReference"/>
          <w:u w:val="none"/>
          <w:vertAlign w:val="superscript"/>
        </w:rPr>
        <w:footnoteRef/>
      </w:r>
      <w:r>
        <w:t xml:space="preserve"> El informe de la primera parte de la cuarta reunión se publicó como documento CBD/NP/MOP/4/4.</w:t>
      </w:r>
    </w:p>
  </w:footnote>
  <w:footnote w:id="4">
    <w:p w14:paraId="1BC160E1" w14:textId="27874863" w:rsidR="00EC4BB8" w:rsidRPr="00120FBC" w:rsidRDefault="00EC4BB8" w:rsidP="00EC4BB8">
      <w:pPr>
        <w:pStyle w:val="FootnoteText"/>
        <w:ind w:firstLine="0"/>
      </w:pPr>
      <w:r>
        <w:rPr>
          <w:rStyle w:val="FootnoteReference"/>
          <w:u w:val="none"/>
          <w:vertAlign w:val="superscript"/>
        </w:rPr>
        <w:footnoteRef/>
      </w:r>
      <w:r>
        <w:t xml:space="preserve"> Véase el anexo del proyecto de informe de la Conferencia de las Partes sobre su 15ª reunión para consultar la lista de organizaciones representadas en la reunión.</w:t>
      </w:r>
    </w:p>
  </w:footnote>
  <w:footnote w:id="5">
    <w:p w14:paraId="3831E4D6" w14:textId="3ED6F5F4" w:rsidR="008A39E9" w:rsidRPr="005753F8" w:rsidRDefault="008A39E9" w:rsidP="008A39E9">
      <w:pPr>
        <w:pStyle w:val="FootnoteText"/>
        <w:ind w:firstLine="0"/>
      </w:pPr>
      <w:r>
        <w:rPr>
          <w:rStyle w:val="FootnoteReference"/>
          <w:u w:val="none"/>
          <w:vertAlign w:val="superscript"/>
        </w:rPr>
        <w:footnoteRef/>
      </w:r>
      <w:r>
        <w:rPr>
          <w:vertAlign w:val="superscript"/>
        </w:rPr>
        <w:t xml:space="preserve"> </w:t>
      </w:r>
      <w:r>
        <w:t>Véase el documento CBD/COP/15/Part-II/L.1/Rev.1, párrs. 7 a 21, para consultar los discursos y las declaraciones de apertura.</w:t>
      </w:r>
    </w:p>
  </w:footnote>
  <w:footnote w:id="6">
    <w:p w14:paraId="045254A1" w14:textId="16610BBC" w:rsidR="00654D95" w:rsidRPr="00A90A9F" w:rsidRDefault="00654D95" w:rsidP="00654D95">
      <w:pPr>
        <w:pStyle w:val="FootnoteText"/>
        <w:ind w:firstLine="0"/>
      </w:pPr>
      <w:r>
        <w:rPr>
          <w:rStyle w:val="FootnoteReference"/>
          <w:u w:val="none"/>
          <w:vertAlign w:val="superscript"/>
        </w:rPr>
        <w:footnoteRef/>
      </w:r>
      <w:r>
        <w:t xml:space="preserve"> Vinod Mathur (India) fue sustituido por Naresh Pal Gangwar y Andrea Meza Murillo (Costa Rica) fue sustituida por Eugenia Arguedas Montezuma.</w:t>
      </w:r>
    </w:p>
  </w:footnote>
  <w:footnote w:id="7">
    <w:p w14:paraId="5BDA66BD" w14:textId="36A2803D" w:rsidR="00301DEB" w:rsidRPr="00EB4F28" w:rsidRDefault="00301DEB" w:rsidP="00301DEB">
      <w:pPr>
        <w:pStyle w:val="FootnoteText"/>
        <w:ind w:firstLine="0"/>
      </w:pPr>
      <w:r>
        <w:rPr>
          <w:rStyle w:val="FootnoteReference"/>
          <w:u w:val="none"/>
          <w:vertAlign w:val="superscript"/>
        </w:rPr>
        <w:footnoteRef/>
      </w:r>
      <w:r>
        <w:rPr>
          <w:vertAlign w:val="superscript"/>
        </w:rPr>
        <w:t xml:space="preserve"> </w:t>
      </w:r>
      <w:r>
        <w:t>Véase el documento CBD/COP/15/Part-II/L.1/Rev.1, párrs. 23 a 28, para más información.</w:t>
      </w:r>
    </w:p>
  </w:footnote>
  <w:footnote w:id="8">
    <w:p w14:paraId="2D962501" w14:textId="77777777" w:rsidR="003B11DC" w:rsidRPr="00F61750" w:rsidRDefault="003B11DC" w:rsidP="003B11DC">
      <w:pPr>
        <w:pStyle w:val="FootnoteText"/>
        <w:ind w:firstLine="0"/>
      </w:pPr>
      <w:r>
        <w:rPr>
          <w:rStyle w:val="FootnoteReference"/>
          <w:u w:val="none"/>
          <w:vertAlign w:val="superscript"/>
        </w:rPr>
        <w:footnoteRef/>
      </w:r>
      <w:r>
        <w:t xml:space="preserve"> Véase el documento CBD/COP/15/Part-II/L.1/Rev.1, párrs. 32, para consultar las declaraciones.</w:t>
      </w:r>
    </w:p>
  </w:footnote>
  <w:footnote w:id="9">
    <w:p w14:paraId="49C1F000" w14:textId="77777777" w:rsidR="00D4798C" w:rsidRPr="00F61750" w:rsidRDefault="00D4798C" w:rsidP="00D4798C">
      <w:pPr>
        <w:pStyle w:val="FootnoteText"/>
        <w:ind w:firstLine="0"/>
      </w:pPr>
      <w:r>
        <w:rPr>
          <w:rStyle w:val="FootnoteReference"/>
          <w:u w:val="none"/>
          <w:vertAlign w:val="superscript"/>
        </w:rPr>
        <w:footnoteRef/>
      </w:r>
      <w:r>
        <w:t xml:space="preserve"> Ibidem, párr. 34, para consultar las declaraciones.</w:t>
      </w:r>
    </w:p>
  </w:footnote>
  <w:footnote w:id="10">
    <w:p w14:paraId="2A5AC077" w14:textId="77777777" w:rsidR="00ED089F" w:rsidRPr="00F61750" w:rsidRDefault="00ED089F" w:rsidP="00ED089F">
      <w:pPr>
        <w:pStyle w:val="FootnoteText"/>
        <w:ind w:firstLine="0"/>
      </w:pPr>
      <w:r>
        <w:rPr>
          <w:rStyle w:val="FootnoteReference"/>
          <w:u w:val="none"/>
          <w:vertAlign w:val="superscript"/>
        </w:rPr>
        <w:footnoteRef/>
      </w:r>
      <w:r>
        <w:t xml:space="preserve"> Ibidem, párr. 35, para obtener más información sobre las consultas ministeriales.</w:t>
      </w:r>
    </w:p>
  </w:footnote>
  <w:footnote w:id="11">
    <w:p w14:paraId="2F46C6EC" w14:textId="240BD842" w:rsidR="009C1955" w:rsidRPr="00F61750" w:rsidRDefault="009C1955" w:rsidP="009C1955">
      <w:pPr>
        <w:pStyle w:val="FootnoteText"/>
        <w:ind w:firstLine="0"/>
      </w:pPr>
      <w:r>
        <w:rPr>
          <w:rStyle w:val="FootnoteReference"/>
          <w:u w:val="none"/>
          <w:vertAlign w:val="superscript"/>
        </w:rPr>
        <w:footnoteRef/>
      </w:r>
      <w:r>
        <w:t xml:space="preserve"> Ibidem, párrs. 37 a 40, para obtener más información.</w:t>
      </w:r>
    </w:p>
  </w:footnote>
  <w:footnote w:id="12">
    <w:p w14:paraId="7392A111" w14:textId="77777777" w:rsidR="004252A5" w:rsidRPr="000912AF" w:rsidRDefault="004252A5" w:rsidP="004252A5">
      <w:pPr>
        <w:pStyle w:val="FootnoteText"/>
        <w:ind w:firstLine="0"/>
      </w:pPr>
      <w:r>
        <w:rPr>
          <w:rStyle w:val="FootnoteReference"/>
          <w:u w:val="none"/>
          <w:vertAlign w:val="superscript"/>
        </w:rPr>
        <w:footnoteRef/>
      </w:r>
      <w:r>
        <w:t xml:space="preserve"> Ibidem, párr. 42, para consultar las declaraciones.</w:t>
      </w:r>
    </w:p>
  </w:footnote>
  <w:footnote w:id="13">
    <w:p w14:paraId="31B04860" w14:textId="768E698B" w:rsidR="00E569D1" w:rsidRPr="00E3562C" w:rsidRDefault="00E569D1" w:rsidP="00E569D1">
      <w:pPr>
        <w:pStyle w:val="FootnoteText"/>
        <w:ind w:firstLine="0"/>
      </w:pPr>
      <w:r>
        <w:rPr>
          <w:rStyle w:val="FootnoteReference"/>
          <w:u w:val="none"/>
          <w:vertAlign w:val="superscript"/>
        </w:rPr>
        <w:footnoteRef/>
      </w:r>
      <w:r>
        <w:t xml:space="preserve"> Debido a la suspensión de la cuarta reunión de la Conferencia de las Partes que actúa como reunión de las Partes en el Protocolo de Nagoya, no se llegó a realizar la elección de los integrantes del Comité de Cumplimiento (véase el documento CBD/COP/15/Part-II/L.1/Rev.1, párrs. 22 a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3EF39765" w:rsidR="0036627F" w:rsidRPr="00A74468" w:rsidRDefault="006F0756" w:rsidP="00534681">
        <w:pPr>
          <w:pStyle w:val="Header"/>
          <w:rPr>
            <w:lang w:val="nl-NL"/>
          </w:rPr>
        </w:pPr>
        <w:r>
          <w:rPr>
            <w:lang w:val="nl-NL"/>
          </w:rPr>
          <w:t>CBD/NP/MOP/4/L.1/Rev.1</w:t>
        </w:r>
      </w:p>
    </w:sdtContent>
  </w:sdt>
  <w:p w14:paraId="7D22AEBD" w14:textId="1ADE5321" w:rsidR="0036627F" w:rsidRPr="00A74468" w:rsidRDefault="0036627F" w:rsidP="00534681">
    <w:pPr>
      <w:pStyle w:val="Header"/>
    </w:pPr>
    <w:r>
      <w:t xml:space="preserve">Página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BC41A9">
      <w:rPr>
        <w:noProof/>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69871C15" w:rsidR="0036627F" w:rsidRPr="00A74468" w:rsidRDefault="006F0756" w:rsidP="009505C9">
        <w:pPr>
          <w:pStyle w:val="Header"/>
          <w:jc w:val="right"/>
          <w:rPr>
            <w:lang w:val="nl-NL"/>
          </w:rPr>
        </w:pPr>
        <w:r>
          <w:rPr>
            <w:lang w:val="nl-NL"/>
          </w:rPr>
          <w:t>CBD/NP/MOP/4/L.1/Rev.1</w:t>
        </w:r>
      </w:p>
    </w:sdtContent>
  </w:sdt>
  <w:p w14:paraId="0985698D" w14:textId="63614D99" w:rsidR="0036627F" w:rsidRPr="00A74468" w:rsidRDefault="0036627F" w:rsidP="009505C9">
    <w:pPr>
      <w:pStyle w:val="Header"/>
      <w:jc w:val="right"/>
    </w:pPr>
    <w:r>
      <w:t xml:space="preserve">Página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BC41A9">
      <w:rPr>
        <w:noProof/>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9"/>
  </w:num>
  <w:num w:numId="3">
    <w:abstractNumId w:val="7"/>
  </w:num>
  <w:num w:numId="4">
    <w:abstractNumId w:val="13"/>
  </w:num>
  <w:num w:numId="5">
    <w:abstractNumId w:val="3"/>
  </w:num>
  <w:num w:numId="6">
    <w:abstractNumId w:val="6"/>
  </w:num>
  <w:num w:numId="7">
    <w:abstractNumId w:val="5"/>
  </w:num>
  <w:num w:numId="8">
    <w:abstractNumId w:val="14"/>
  </w:num>
  <w:num w:numId="9">
    <w:abstractNumId w:val="10"/>
  </w:num>
  <w:num w:numId="10">
    <w:abstractNumId w:val="12"/>
  </w:num>
  <w:num w:numId="11">
    <w:abstractNumId w:val="8"/>
  </w:num>
  <w:num w:numId="12">
    <w:abstractNumId w:val="0"/>
  </w:num>
  <w:num w:numId="13">
    <w:abstractNumId w:val="11"/>
  </w:num>
  <w:num w:numId="14">
    <w:abstractNumId w:val="1"/>
  </w:num>
  <w:num w:numId="15">
    <w:abstractNumId w:val="9"/>
  </w:num>
  <w:num w:numId="16">
    <w:abstractNumId w:val="9"/>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5B1"/>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94E"/>
    <w:rsid w:val="000A3B71"/>
    <w:rsid w:val="000A43F7"/>
    <w:rsid w:val="000A4898"/>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1BD2"/>
    <w:rsid w:val="001049A1"/>
    <w:rsid w:val="00104B55"/>
    <w:rsid w:val="00104EC9"/>
    <w:rsid w:val="00105372"/>
    <w:rsid w:val="00105875"/>
    <w:rsid w:val="00106A88"/>
    <w:rsid w:val="00110E5F"/>
    <w:rsid w:val="001111E7"/>
    <w:rsid w:val="00112598"/>
    <w:rsid w:val="00112ADD"/>
    <w:rsid w:val="001132F2"/>
    <w:rsid w:val="0011587D"/>
    <w:rsid w:val="001163AD"/>
    <w:rsid w:val="00116B59"/>
    <w:rsid w:val="00116CB1"/>
    <w:rsid w:val="00117916"/>
    <w:rsid w:val="00120B75"/>
    <w:rsid w:val="00120DA2"/>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2159"/>
    <w:rsid w:val="001D219B"/>
    <w:rsid w:val="001D2257"/>
    <w:rsid w:val="001D39ED"/>
    <w:rsid w:val="001D503C"/>
    <w:rsid w:val="001D5070"/>
    <w:rsid w:val="001D5E08"/>
    <w:rsid w:val="001D6200"/>
    <w:rsid w:val="001D69F0"/>
    <w:rsid w:val="001D70B4"/>
    <w:rsid w:val="001D75CF"/>
    <w:rsid w:val="001E31E2"/>
    <w:rsid w:val="001E3B5D"/>
    <w:rsid w:val="001E581F"/>
    <w:rsid w:val="001E58AE"/>
    <w:rsid w:val="001E5A99"/>
    <w:rsid w:val="001E633D"/>
    <w:rsid w:val="001F2EB0"/>
    <w:rsid w:val="001F323C"/>
    <w:rsid w:val="001F3695"/>
    <w:rsid w:val="001F423A"/>
    <w:rsid w:val="001F6A8F"/>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9D5"/>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6E6"/>
    <w:rsid w:val="00235A6E"/>
    <w:rsid w:val="002360EF"/>
    <w:rsid w:val="00240B4B"/>
    <w:rsid w:val="0024187E"/>
    <w:rsid w:val="00241FBE"/>
    <w:rsid w:val="002430A5"/>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276"/>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54B2"/>
    <w:rsid w:val="003F7EA3"/>
    <w:rsid w:val="004003F7"/>
    <w:rsid w:val="0040077D"/>
    <w:rsid w:val="0040175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5B10"/>
    <w:rsid w:val="00426103"/>
    <w:rsid w:val="004269F4"/>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F33"/>
    <w:rsid w:val="00452213"/>
    <w:rsid w:val="004534C6"/>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49B9"/>
    <w:rsid w:val="004E5E95"/>
    <w:rsid w:val="004E6742"/>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00"/>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77E28"/>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F0756"/>
    <w:rsid w:val="006F0AE2"/>
    <w:rsid w:val="006F2359"/>
    <w:rsid w:val="006F243C"/>
    <w:rsid w:val="006F2AF1"/>
    <w:rsid w:val="006F2C69"/>
    <w:rsid w:val="006F3EAB"/>
    <w:rsid w:val="006F4EAE"/>
    <w:rsid w:val="006F509A"/>
    <w:rsid w:val="006F5989"/>
    <w:rsid w:val="006F5A5E"/>
    <w:rsid w:val="006F67E7"/>
    <w:rsid w:val="00700F54"/>
    <w:rsid w:val="007053D9"/>
    <w:rsid w:val="00705927"/>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34B1"/>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695"/>
    <w:rsid w:val="00766B43"/>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10BA"/>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6AF"/>
    <w:rsid w:val="007F3807"/>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D32"/>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5F1F"/>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3EB9"/>
    <w:rsid w:val="008E4C70"/>
    <w:rsid w:val="008E4EA3"/>
    <w:rsid w:val="008E757D"/>
    <w:rsid w:val="008F061D"/>
    <w:rsid w:val="008F37E9"/>
    <w:rsid w:val="008F3868"/>
    <w:rsid w:val="008F53DB"/>
    <w:rsid w:val="008F62BF"/>
    <w:rsid w:val="008F64D8"/>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303A0"/>
    <w:rsid w:val="00931216"/>
    <w:rsid w:val="00931CF5"/>
    <w:rsid w:val="009328FE"/>
    <w:rsid w:val="00933BBA"/>
    <w:rsid w:val="00933CEA"/>
    <w:rsid w:val="00933FC4"/>
    <w:rsid w:val="00940485"/>
    <w:rsid w:val="0094109C"/>
    <w:rsid w:val="0094126F"/>
    <w:rsid w:val="00942060"/>
    <w:rsid w:val="0094360D"/>
    <w:rsid w:val="00943AAE"/>
    <w:rsid w:val="00943B7C"/>
    <w:rsid w:val="00944261"/>
    <w:rsid w:val="00944465"/>
    <w:rsid w:val="00944B03"/>
    <w:rsid w:val="00944D6E"/>
    <w:rsid w:val="00944ECC"/>
    <w:rsid w:val="00944EF5"/>
    <w:rsid w:val="00944F3A"/>
    <w:rsid w:val="009505C9"/>
    <w:rsid w:val="009511B9"/>
    <w:rsid w:val="0095205B"/>
    <w:rsid w:val="00952621"/>
    <w:rsid w:val="00953A73"/>
    <w:rsid w:val="00954539"/>
    <w:rsid w:val="00954C0B"/>
    <w:rsid w:val="00957755"/>
    <w:rsid w:val="009602A2"/>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BA6"/>
    <w:rsid w:val="009D4766"/>
    <w:rsid w:val="009D62FA"/>
    <w:rsid w:val="009D6D56"/>
    <w:rsid w:val="009E10FE"/>
    <w:rsid w:val="009E1596"/>
    <w:rsid w:val="009E30F4"/>
    <w:rsid w:val="009E39CD"/>
    <w:rsid w:val="009E414A"/>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61A"/>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4468"/>
    <w:rsid w:val="00A74B65"/>
    <w:rsid w:val="00A74CC0"/>
    <w:rsid w:val="00A74E4A"/>
    <w:rsid w:val="00A75774"/>
    <w:rsid w:val="00A767BB"/>
    <w:rsid w:val="00A7745B"/>
    <w:rsid w:val="00A83423"/>
    <w:rsid w:val="00A85C1F"/>
    <w:rsid w:val="00A863A3"/>
    <w:rsid w:val="00A87C47"/>
    <w:rsid w:val="00A91216"/>
    <w:rsid w:val="00A938E6"/>
    <w:rsid w:val="00A94FC4"/>
    <w:rsid w:val="00A95073"/>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3827"/>
    <w:rsid w:val="00AE3E51"/>
    <w:rsid w:val="00AE45CD"/>
    <w:rsid w:val="00AE4754"/>
    <w:rsid w:val="00AE4EBB"/>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C41A9"/>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4EEB"/>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7046"/>
    <w:rsid w:val="00C20D12"/>
    <w:rsid w:val="00C21D59"/>
    <w:rsid w:val="00C21FF2"/>
    <w:rsid w:val="00C2206D"/>
    <w:rsid w:val="00C22B33"/>
    <w:rsid w:val="00C22C9B"/>
    <w:rsid w:val="00C26201"/>
    <w:rsid w:val="00C302AF"/>
    <w:rsid w:val="00C30343"/>
    <w:rsid w:val="00C30F01"/>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42A86"/>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A58BD"/>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198"/>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11B"/>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57FC"/>
    <w:rsid w:val="00EE6152"/>
    <w:rsid w:val="00EF091F"/>
    <w:rsid w:val="00EF2CBA"/>
    <w:rsid w:val="00EF2EE8"/>
    <w:rsid w:val="00EF3368"/>
    <w:rsid w:val="00EF457D"/>
    <w:rsid w:val="00EF4A73"/>
    <w:rsid w:val="00EF4D93"/>
    <w:rsid w:val="00EF6448"/>
    <w:rsid w:val="00EF7F74"/>
    <w:rsid w:val="00F00F4D"/>
    <w:rsid w:val="00F02FBC"/>
    <w:rsid w:val="00F03DFB"/>
    <w:rsid w:val="00F03F8C"/>
    <w:rsid w:val="00F05753"/>
    <w:rsid w:val="00F11170"/>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0B19"/>
    <w:rsid w:val="00F9212A"/>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0518"/>
    <w:rsid w:val="00FE1661"/>
    <w:rsid w:val="00FE1C4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s-ES"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s-ES"/>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s-ES"/>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s-ES"/>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s-ES"/>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s-ES"/>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s-ES"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s-ES"/>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es-ES"/>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
    <w:name w:val="Mention"/>
    <w:basedOn w:val="DefaultParagraphFont"/>
    <w:uiPriority w:val="99"/>
    <w:unhideWhenUsed/>
    <w:rsid w:val="00805948"/>
    <w:rPr>
      <w:color w:val="2B579A"/>
      <w:shd w:val="clear" w:color="auto" w:fill="E6E6E6"/>
    </w:rPr>
  </w:style>
  <w:style w:type="character" w:customStyle="1"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30C6CD3B-B6EE-4151-846C-22EF61B16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5182</Words>
  <Characters>28506</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CBD/NP/MOP/4/L.1/Rev.1</dc:subject>
  <dc:creator>SCBD</dc:creator>
  <cp:keywords/>
  <cp:lastModifiedBy>equipo</cp:lastModifiedBy>
  <cp:revision>2</cp:revision>
  <cp:lastPrinted>2018-03-02T18:44:00Z</cp:lastPrinted>
  <dcterms:created xsi:type="dcterms:W3CDTF">2023-06-14T17:38:00Z</dcterms:created>
  <dcterms:modified xsi:type="dcterms:W3CDTF">2023-06-14T17:38:00Z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