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7A6E" w:rsidRPr="00184CAA" w:rsidTr="00CB08C3">
        <w:trPr>
          <w:trHeight w:val="709"/>
        </w:trPr>
        <w:tc>
          <w:tcPr>
            <w:tcW w:w="976" w:type="dxa"/>
            <w:tcBorders>
              <w:bottom w:val="single" w:sz="12" w:space="0" w:color="auto"/>
            </w:tcBorders>
          </w:tcPr>
          <w:p w:rsidR="00207A6E" w:rsidRPr="000F07EC" w:rsidRDefault="00207A6E" w:rsidP="000F07EC">
            <w:pPr>
              <w:suppressLineNumbers/>
              <w:suppressAutoHyphens/>
              <w:kinsoku w:val="0"/>
              <w:overflowPunct w:val="0"/>
              <w:autoSpaceDE w:val="0"/>
              <w:autoSpaceDN w:val="0"/>
              <w:adjustRightInd w:val="0"/>
              <w:snapToGrid w:val="0"/>
              <w:rPr>
                <w:snapToGrid w:val="0"/>
                <w:kern w:val="22"/>
              </w:rPr>
            </w:pPr>
            <w:bookmarkStart w:id="0" w:name="_GoBack"/>
            <w:bookmarkEnd w:id="0"/>
            <w:r w:rsidRPr="000F07EC">
              <w:rPr>
                <w:noProof/>
                <w:snapToGrid w:val="0"/>
                <w:kern w:val="22"/>
                <w:lang w:eastAsia="zh-CN"/>
              </w:rPr>
              <w:drawing>
                <wp:inline distT="0" distB="0" distL="0" distR="0" wp14:anchorId="6A90043C" wp14:editId="31FF5B5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207A6E" w:rsidRPr="000F07EC" w:rsidRDefault="00207A6E" w:rsidP="000F07EC">
            <w:pPr>
              <w:suppressLineNumbers/>
              <w:suppressAutoHyphens/>
              <w:kinsoku w:val="0"/>
              <w:overflowPunct w:val="0"/>
              <w:autoSpaceDE w:val="0"/>
              <w:autoSpaceDN w:val="0"/>
              <w:adjustRightInd w:val="0"/>
              <w:snapToGrid w:val="0"/>
              <w:rPr>
                <w:snapToGrid w:val="0"/>
                <w:kern w:val="22"/>
              </w:rPr>
            </w:pPr>
            <w:r w:rsidRPr="000F07EC">
              <w:rPr>
                <w:noProof/>
                <w:snapToGrid w:val="0"/>
                <w:kern w:val="22"/>
                <w:lang w:eastAsia="zh-CN"/>
              </w:rPr>
              <w:drawing>
                <wp:inline distT="0" distB="0" distL="0" distR="0" wp14:anchorId="7333D85D" wp14:editId="27004F43">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207A6E" w:rsidRPr="000F07EC" w:rsidRDefault="00207A6E" w:rsidP="000F07EC">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0F07EC">
              <w:rPr>
                <w:rFonts w:ascii="Arial" w:hAnsi="Arial" w:cs="Arial"/>
                <w:b/>
                <w:snapToGrid w:val="0"/>
                <w:kern w:val="22"/>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184CAA" w:rsidTr="009554D5">
        <w:trPr>
          <w:trHeight w:val="1693"/>
        </w:trPr>
        <w:tc>
          <w:tcPr>
            <w:tcW w:w="6227" w:type="dxa"/>
            <w:tcBorders>
              <w:top w:val="nil"/>
              <w:bottom w:val="single" w:sz="36" w:space="0" w:color="000000"/>
            </w:tcBorders>
          </w:tcPr>
          <w:p w:rsidR="00F16F02" w:rsidRPr="00184CAA" w:rsidRDefault="00F16F02" w:rsidP="000F07EC">
            <w:pPr>
              <w:suppressLineNumbers/>
              <w:suppressAutoHyphens/>
              <w:kinsoku w:val="0"/>
              <w:overflowPunct w:val="0"/>
              <w:autoSpaceDE w:val="0"/>
              <w:autoSpaceDN w:val="0"/>
              <w:adjustRightInd w:val="0"/>
              <w:snapToGrid w:val="0"/>
              <w:rPr>
                <w:snapToGrid w:val="0"/>
                <w:kern w:val="22"/>
              </w:rPr>
            </w:pPr>
          </w:p>
          <w:p w:rsidR="00F16F02" w:rsidRPr="00184CAA" w:rsidRDefault="00F16F02" w:rsidP="000F07EC">
            <w:pPr>
              <w:suppressLineNumbers/>
              <w:suppressAutoHyphens/>
              <w:kinsoku w:val="0"/>
              <w:overflowPunct w:val="0"/>
              <w:autoSpaceDE w:val="0"/>
              <w:autoSpaceDN w:val="0"/>
              <w:adjustRightInd w:val="0"/>
              <w:snapToGrid w:val="0"/>
              <w:rPr>
                <w:snapToGrid w:val="0"/>
                <w:kern w:val="22"/>
              </w:rPr>
            </w:pPr>
            <w:r w:rsidRPr="000F07EC">
              <w:rPr>
                <w:noProof/>
                <w:snapToGrid w:val="0"/>
                <w:kern w:val="22"/>
                <w:lang w:eastAsia="zh-CN"/>
              </w:rPr>
              <w:drawing>
                <wp:inline distT="0" distB="0" distL="0" distR="0" wp14:anchorId="696F9FB0" wp14:editId="7A4E162D">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p w:rsidR="00F16F02" w:rsidRPr="00184CAA" w:rsidRDefault="00F16F02" w:rsidP="000F07EC">
            <w:pPr>
              <w:suppressLineNumbers/>
              <w:suppressAutoHyphens/>
              <w:kinsoku w:val="0"/>
              <w:overflowPunct w:val="0"/>
              <w:autoSpaceDE w:val="0"/>
              <w:autoSpaceDN w:val="0"/>
              <w:adjustRightInd w:val="0"/>
              <w:snapToGrid w:val="0"/>
              <w:rPr>
                <w:rFonts w:ascii="Univers" w:hAnsi="Univers"/>
                <w:snapToGrid w:val="0"/>
                <w:kern w:val="22"/>
                <w:sz w:val="32"/>
              </w:rPr>
            </w:pPr>
          </w:p>
        </w:tc>
        <w:tc>
          <w:tcPr>
            <w:tcW w:w="1144" w:type="dxa"/>
            <w:tcBorders>
              <w:top w:val="nil"/>
              <w:bottom w:val="single" w:sz="36" w:space="0" w:color="000000"/>
            </w:tcBorders>
          </w:tcPr>
          <w:p w:rsidR="00F16F02" w:rsidRPr="00443608" w:rsidRDefault="00F16F02" w:rsidP="000F07EC">
            <w:pPr>
              <w:pStyle w:val="Header"/>
              <w:suppressLineNumbers/>
              <w:tabs>
                <w:tab w:val="clear" w:pos="4320"/>
                <w:tab w:val="clear" w:pos="8640"/>
              </w:tabs>
              <w:suppressAutoHyphens/>
              <w:kinsoku w:val="0"/>
              <w:overflowPunct w:val="0"/>
              <w:autoSpaceDE w:val="0"/>
              <w:autoSpaceDN w:val="0"/>
              <w:adjustRightInd w:val="0"/>
              <w:snapToGrid w:val="0"/>
              <w:rPr>
                <w:b/>
                <w:snapToGrid w:val="0"/>
                <w:kern w:val="22"/>
                <w:sz w:val="32"/>
                <w:szCs w:val="32"/>
              </w:rPr>
            </w:pPr>
          </w:p>
        </w:tc>
        <w:tc>
          <w:tcPr>
            <w:tcW w:w="2977" w:type="dxa"/>
            <w:tcBorders>
              <w:top w:val="nil"/>
              <w:bottom w:val="single" w:sz="36" w:space="0" w:color="000000"/>
            </w:tcBorders>
          </w:tcPr>
          <w:p w:rsidR="00F16F02" w:rsidRPr="00BC3017" w:rsidRDefault="00F16F02" w:rsidP="000F07EC">
            <w:pPr>
              <w:suppressLineNumbers/>
              <w:suppressAutoHyphens/>
              <w:kinsoku w:val="0"/>
              <w:overflowPunct w:val="0"/>
              <w:autoSpaceDE w:val="0"/>
              <w:autoSpaceDN w:val="0"/>
              <w:adjustRightInd w:val="0"/>
              <w:snapToGrid w:val="0"/>
              <w:ind w:left="63"/>
              <w:rPr>
                <w:snapToGrid w:val="0"/>
                <w:kern w:val="22"/>
                <w:szCs w:val="22"/>
              </w:rPr>
            </w:pPr>
            <w:r w:rsidRPr="005C6D4C">
              <w:rPr>
                <w:snapToGrid w:val="0"/>
                <w:kern w:val="22"/>
                <w:szCs w:val="22"/>
              </w:rPr>
              <w:t>Distr.</w:t>
            </w:r>
          </w:p>
          <w:p w:rsidR="00F16F02" w:rsidRPr="005C6D4C" w:rsidRDefault="00F16F02" w:rsidP="000F07EC">
            <w:pPr>
              <w:suppressLineNumbers/>
              <w:suppressAutoHyphens/>
              <w:kinsoku w:val="0"/>
              <w:overflowPunct w:val="0"/>
              <w:autoSpaceDE w:val="0"/>
              <w:autoSpaceDN w:val="0"/>
              <w:adjustRightInd w:val="0"/>
              <w:snapToGrid w:val="0"/>
              <w:ind w:left="63"/>
              <w:rPr>
                <w:snapToGrid w:val="0"/>
                <w:kern w:val="22"/>
                <w:szCs w:val="22"/>
              </w:rPr>
            </w:pPr>
            <w:r w:rsidRPr="005C6D4C">
              <w:rPr>
                <w:snapToGrid w:val="0"/>
                <w:kern w:val="22"/>
                <w:szCs w:val="22"/>
              </w:rPr>
              <w:t>GENERAL</w:t>
            </w:r>
          </w:p>
          <w:p w:rsidR="00F16F02" w:rsidRPr="005C6D4C" w:rsidRDefault="00F16F02" w:rsidP="000F07EC">
            <w:pPr>
              <w:suppressLineNumbers/>
              <w:suppressAutoHyphens/>
              <w:kinsoku w:val="0"/>
              <w:overflowPunct w:val="0"/>
              <w:autoSpaceDE w:val="0"/>
              <w:autoSpaceDN w:val="0"/>
              <w:adjustRightInd w:val="0"/>
              <w:snapToGrid w:val="0"/>
              <w:ind w:left="63"/>
              <w:rPr>
                <w:snapToGrid w:val="0"/>
                <w:kern w:val="22"/>
                <w:szCs w:val="22"/>
              </w:rPr>
            </w:pPr>
          </w:p>
          <w:sdt>
            <w:sdtPr>
              <w:rPr>
                <w:snapToGrid w:val="0"/>
                <w:kern w:val="22"/>
                <w:szCs w:val="22"/>
                <w:lang w:val="en-US"/>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rsidR="00F16F02" w:rsidRPr="005C6D4C" w:rsidRDefault="00DC3575" w:rsidP="000F07EC">
                <w:pPr>
                  <w:suppressLineNumbers/>
                  <w:suppressAutoHyphens/>
                  <w:kinsoku w:val="0"/>
                  <w:overflowPunct w:val="0"/>
                  <w:autoSpaceDE w:val="0"/>
                  <w:autoSpaceDN w:val="0"/>
                  <w:adjustRightInd w:val="0"/>
                  <w:snapToGrid w:val="0"/>
                  <w:ind w:left="63"/>
                  <w:rPr>
                    <w:snapToGrid w:val="0"/>
                    <w:kern w:val="22"/>
                    <w:szCs w:val="22"/>
                  </w:rPr>
                </w:pPr>
                <w:r w:rsidRPr="005C6D4C">
                  <w:rPr>
                    <w:snapToGrid w:val="0"/>
                    <w:kern w:val="22"/>
                    <w:szCs w:val="22"/>
                    <w:lang w:val="en-US"/>
                  </w:rPr>
                  <w:t>CBD/SBI/2/14</w:t>
                </w:r>
              </w:p>
            </w:sdtContent>
          </w:sdt>
          <w:p w:rsidR="00F16F02" w:rsidRPr="005C6D4C" w:rsidRDefault="00387D13" w:rsidP="000F07EC">
            <w:pPr>
              <w:suppressLineNumbers/>
              <w:suppressAutoHyphens/>
              <w:kinsoku w:val="0"/>
              <w:overflowPunct w:val="0"/>
              <w:autoSpaceDE w:val="0"/>
              <w:autoSpaceDN w:val="0"/>
              <w:adjustRightInd w:val="0"/>
              <w:snapToGrid w:val="0"/>
              <w:ind w:left="63"/>
              <w:rPr>
                <w:snapToGrid w:val="0"/>
                <w:kern w:val="22"/>
                <w:szCs w:val="22"/>
              </w:rPr>
            </w:pPr>
            <w:r w:rsidRPr="005C6D4C">
              <w:rPr>
                <w:snapToGrid w:val="0"/>
                <w:kern w:val="22"/>
                <w:szCs w:val="22"/>
              </w:rPr>
              <w:t>20</w:t>
            </w:r>
            <w:r w:rsidR="000258A6" w:rsidRPr="005C6D4C">
              <w:rPr>
                <w:snapToGrid w:val="0"/>
                <w:kern w:val="22"/>
                <w:szCs w:val="22"/>
              </w:rPr>
              <w:t xml:space="preserve"> April</w:t>
            </w:r>
            <w:r w:rsidR="00D15589" w:rsidRPr="005C6D4C">
              <w:rPr>
                <w:snapToGrid w:val="0"/>
                <w:kern w:val="22"/>
                <w:szCs w:val="22"/>
              </w:rPr>
              <w:t xml:space="preserve"> 2018</w:t>
            </w:r>
          </w:p>
          <w:p w:rsidR="00F16F02" w:rsidRPr="005C6D4C" w:rsidRDefault="00F16F02" w:rsidP="000F07EC">
            <w:pPr>
              <w:suppressLineNumbers/>
              <w:suppressAutoHyphens/>
              <w:kinsoku w:val="0"/>
              <w:overflowPunct w:val="0"/>
              <w:autoSpaceDE w:val="0"/>
              <w:autoSpaceDN w:val="0"/>
              <w:adjustRightInd w:val="0"/>
              <w:snapToGrid w:val="0"/>
              <w:ind w:left="63"/>
              <w:rPr>
                <w:snapToGrid w:val="0"/>
                <w:kern w:val="22"/>
                <w:szCs w:val="22"/>
              </w:rPr>
            </w:pPr>
          </w:p>
          <w:p w:rsidR="00F16F02" w:rsidRPr="000F07EC" w:rsidRDefault="00F16F02" w:rsidP="000F07EC">
            <w:pPr>
              <w:suppressLineNumbers/>
              <w:suppressAutoHyphens/>
              <w:kinsoku w:val="0"/>
              <w:overflowPunct w:val="0"/>
              <w:autoSpaceDE w:val="0"/>
              <w:autoSpaceDN w:val="0"/>
              <w:adjustRightInd w:val="0"/>
              <w:snapToGrid w:val="0"/>
              <w:ind w:left="63"/>
              <w:rPr>
                <w:snapToGrid w:val="0"/>
                <w:kern w:val="22"/>
                <w:szCs w:val="22"/>
                <w:u w:val="single"/>
              </w:rPr>
            </w:pPr>
            <w:r w:rsidRPr="005C6D4C">
              <w:rPr>
                <w:snapToGrid w:val="0"/>
                <w:kern w:val="22"/>
                <w:szCs w:val="22"/>
              </w:rPr>
              <w:t>ORIGINAL:  ENGLISH</w:t>
            </w:r>
          </w:p>
        </w:tc>
      </w:tr>
    </w:tbl>
    <w:bookmarkStart w:id="1" w:name="Meeting"/>
    <w:p w:rsidR="00CA6B87" w:rsidRPr="000F07EC" w:rsidRDefault="000F07EC" w:rsidP="000F07EC">
      <w:pPr>
        <w:pStyle w:val="meetingname"/>
        <w:suppressLineNumbers/>
        <w:suppressAutoHyphens/>
        <w:kinsoku w:val="0"/>
        <w:overflowPunct w:val="0"/>
        <w:autoSpaceDE w:val="0"/>
        <w:autoSpaceDN w:val="0"/>
        <w:adjustRightInd w:val="0"/>
        <w:snapToGrid w:val="0"/>
        <w:ind w:right="4398"/>
        <w:rPr>
          <w:kern w:val="22"/>
          <w:szCs w:val="22"/>
        </w:rPr>
      </w:pPr>
      <w:sdt>
        <w:sdtPr>
          <w:rPr>
            <w:kern w:val="22"/>
            <w:szCs w:val="22"/>
          </w:rPr>
          <w:alias w:val="Meeting"/>
          <w:tag w:val="Meeting"/>
          <w:id w:val="1412045910"/>
          <w:placeholder>
            <w:docPart w:val="DefaultPlaceholder_1082065158"/>
          </w:placeholder>
          <w:text/>
        </w:sdtPr>
        <w:sdtEndPr/>
        <w:sdtContent>
          <w:r w:rsidR="00D51069" w:rsidRPr="000F07EC">
            <w:rPr>
              <w:kern w:val="22"/>
              <w:szCs w:val="22"/>
            </w:rPr>
            <w:t xml:space="preserve">SUBSIDIARY BODY ON </w:t>
          </w:r>
          <w:r w:rsidR="002E0627" w:rsidRPr="000F07EC">
            <w:rPr>
              <w:kern w:val="22"/>
              <w:szCs w:val="22"/>
            </w:rPr>
            <w:t>IMPLEMENTATION</w:t>
          </w:r>
        </w:sdtContent>
      </w:sdt>
      <w:bookmarkEnd w:id="1"/>
    </w:p>
    <w:p w:rsidR="00D51069" w:rsidRPr="000F07EC" w:rsidRDefault="002E0627" w:rsidP="000F07EC">
      <w:pPr>
        <w:suppressLineNumbers/>
        <w:suppressAutoHyphens/>
        <w:kinsoku w:val="0"/>
        <w:overflowPunct w:val="0"/>
        <w:autoSpaceDE w:val="0"/>
        <w:autoSpaceDN w:val="0"/>
        <w:adjustRightInd w:val="0"/>
        <w:snapToGrid w:val="0"/>
        <w:rPr>
          <w:snapToGrid w:val="0"/>
          <w:kern w:val="22"/>
          <w:szCs w:val="22"/>
          <w:lang w:eastAsia="nb-NO"/>
        </w:rPr>
      </w:pPr>
      <w:r w:rsidRPr="000F07EC">
        <w:rPr>
          <w:snapToGrid w:val="0"/>
          <w:kern w:val="22"/>
          <w:szCs w:val="22"/>
          <w:lang w:eastAsia="nb-NO"/>
        </w:rPr>
        <w:t>S</w:t>
      </w:r>
      <w:r w:rsidR="00FB3B70" w:rsidRPr="000F07EC">
        <w:rPr>
          <w:snapToGrid w:val="0"/>
          <w:kern w:val="22"/>
          <w:szCs w:val="22"/>
          <w:lang w:eastAsia="nb-NO"/>
        </w:rPr>
        <w:t>econd</w:t>
      </w:r>
      <w:r w:rsidR="00D51069" w:rsidRPr="000F07EC">
        <w:rPr>
          <w:snapToGrid w:val="0"/>
          <w:kern w:val="22"/>
          <w:szCs w:val="22"/>
          <w:lang w:eastAsia="nb-NO"/>
        </w:rPr>
        <w:t xml:space="preserve"> meeting</w:t>
      </w:r>
    </w:p>
    <w:p w:rsidR="00CA6B87" w:rsidRPr="000F07EC" w:rsidRDefault="00D51069" w:rsidP="000F07EC">
      <w:pPr>
        <w:suppressLineNumbers/>
        <w:suppressAutoHyphens/>
        <w:kinsoku w:val="0"/>
        <w:overflowPunct w:val="0"/>
        <w:autoSpaceDE w:val="0"/>
        <w:autoSpaceDN w:val="0"/>
        <w:adjustRightInd w:val="0"/>
        <w:snapToGrid w:val="0"/>
        <w:rPr>
          <w:snapToGrid w:val="0"/>
          <w:kern w:val="22"/>
          <w:szCs w:val="22"/>
          <w:lang w:eastAsia="nb-NO"/>
        </w:rPr>
      </w:pPr>
      <w:r w:rsidRPr="000F07EC">
        <w:rPr>
          <w:snapToGrid w:val="0"/>
          <w:kern w:val="22"/>
          <w:szCs w:val="22"/>
          <w:lang w:eastAsia="nb-NO"/>
        </w:rPr>
        <w:t>Montreal</w:t>
      </w:r>
      <w:r w:rsidR="00CA6B87" w:rsidRPr="000F07EC">
        <w:rPr>
          <w:snapToGrid w:val="0"/>
          <w:kern w:val="22"/>
          <w:szCs w:val="22"/>
          <w:lang w:eastAsia="nb-NO"/>
        </w:rPr>
        <w:t xml:space="preserve">, </w:t>
      </w:r>
      <w:r w:rsidRPr="000F07EC">
        <w:rPr>
          <w:snapToGrid w:val="0"/>
          <w:kern w:val="22"/>
          <w:szCs w:val="22"/>
          <w:lang w:eastAsia="nb-NO"/>
        </w:rPr>
        <w:t xml:space="preserve">Canada, </w:t>
      </w:r>
      <w:r w:rsidR="002E0627" w:rsidRPr="000F07EC">
        <w:rPr>
          <w:snapToGrid w:val="0"/>
          <w:kern w:val="22"/>
          <w:szCs w:val="22"/>
          <w:lang w:eastAsia="nb-NO"/>
        </w:rPr>
        <w:t>9-13</w:t>
      </w:r>
      <w:r w:rsidR="00D15589" w:rsidRPr="000F07EC">
        <w:rPr>
          <w:snapToGrid w:val="0"/>
          <w:kern w:val="22"/>
          <w:szCs w:val="22"/>
          <w:lang w:eastAsia="nb-NO"/>
        </w:rPr>
        <w:t xml:space="preserve"> July 2018</w:t>
      </w:r>
    </w:p>
    <w:p w:rsidR="00CA6B87" w:rsidRPr="000F07EC" w:rsidRDefault="00D51069" w:rsidP="000F07EC">
      <w:pPr>
        <w:suppressLineNumbers/>
        <w:suppressAutoHyphens/>
        <w:kinsoku w:val="0"/>
        <w:overflowPunct w:val="0"/>
        <w:autoSpaceDE w:val="0"/>
        <w:autoSpaceDN w:val="0"/>
        <w:adjustRightInd w:val="0"/>
        <w:snapToGrid w:val="0"/>
        <w:rPr>
          <w:snapToGrid w:val="0"/>
          <w:kern w:val="22"/>
          <w:szCs w:val="22"/>
          <w:lang w:eastAsia="nb-NO"/>
        </w:rPr>
      </w:pPr>
      <w:r w:rsidRPr="000F07EC">
        <w:rPr>
          <w:snapToGrid w:val="0"/>
          <w:kern w:val="22"/>
          <w:szCs w:val="22"/>
          <w:lang w:eastAsia="nb-NO"/>
        </w:rPr>
        <w:t>I</w:t>
      </w:r>
      <w:r w:rsidR="00CA6B87" w:rsidRPr="000F07EC">
        <w:rPr>
          <w:snapToGrid w:val="0"/>
          <w:kern w:val="22"/>
          <w:szCs w:val="22"/>
          <w:lang w:eastAsia="nb-NO"/>
        </w:rPr>
        <w:t xml:space="preserve">tem </w:t>
      </w:r>
      <w:r w:rsidR="00CE3C3C" w:rsidRPr="000F07EC">
        <w:rPr>
          <w:snapToGrid w:val="0"/>
          <w:kern w:val="22"/>
          <w:szCs w:val="22"/>
          <w:lang w:eastAsia="nb-NO"/>
        </w:rPr>
        <w:t>14</w:t>
      </w:r>
      <w:r w:rsidRPr="000F07EC">
        <w:rPr>
          <w:snapToGrid w:val="0"/>
          <w:kern w:val="22"/>
          <w:szCs w:val="22"/>
          <w:lang w:eastAsia="nb-NO"/>
        </w:rPr>
        <w:t xml:space="preserve"> of the provisional agenda</w:t>
      </w:r>
      <w:r w:rsidRPr="000F07EC">
        <w:rPr>
          <w:rStyle w:val="FootnoteReference"/>
          <w:snapToGrid w:val="0"/>
          <w:kern w:val="22"/>
          <w:szCs w:val="22"/>
          <w:lang w:eastAsia="nb-NO"/>
        </w:rPr>
        <w:footnoteReference w:customMarkFollows="1" w:id="1"/>
        <w:t>*</w:t>
      </w:r>
    </w:p>
    <w:p w:rsidR="00406BC6" w:rsidRPr="000F07EC" w:rsidRDefault="000F07EC" w:rsidP="000F07EC">
      <w:pPr>
        <w:pStyle w:val="Heading1"/>
        <w:keepNext w:val="0"/>
        <w:suppressLineNumbers/>
        <w:tabs>
          <w:tab w:val="clear" w:pos="720"/>
        </w:tabs>
        <w:suppressAutoHyphens/>
        <w:kinsoku w:val="0"/>
        <w:overflowPunct w:val="0"/>
        <w:autoSpaceDE w:val="0"/>
        <w:autoSpaceDN w:val="0"/>
        <w:adjustRightInd w:val="0"/>
        <w:snapToGrid w:val="0"/>
        <w:rPr>
          <w:snapToGrid w:val="0"/>
          <w:kern w:val="22"/>
          <w:szCs w:val="22"/>
          <w:lang w:val="en-US"/>
        </w:rPr>
      </w:pPr>
      <w:sdt>
        <w:sdtPr>
          <w:rPr>
            <w:snapToGrid w:val="0"/>
            <w:kern w:val="22"/>
            <w:szCs w:val="22"/>
            <w:lang w:val="en-US"/>
          </w:rPr>
          <w:alias w:val="Title"/>
          <w:tag w:val=""/>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184CAA" w:rsidRPr="000F07EC">
            <w:rPr>
              <w:snapToGrid w:val="0"/>
              <w:kern w:val="22"/>
              <w:szCs w:val="22"/>
              <w:lang w:val="en-US"/>
            </w:rPr>
            <w:t>Enhancing integration under the Convention and its Protocols with respect to provisions related to access and benefit-sharing</w:t>
          </w:r>
        </w:sdtContent>
      </w:sdt>
    </w:p>
    <w:p w:rsidR="00EF44CA" w:rsidRPr="000F07EC" w:rsidRDefault="00C85EA4" w:rsidP="000F07EC">
      <w:pPr>
        <w:pStyle w:val="Heading2"/>
        <w:keepNext w:val="0"/>
        <w:suppressLineNumbers/>
        <w:tabs>
          <w:tab w:val="clear" w:pos="720"/>
        </w:tabs>
        <w:suppressAutoHyphens/>
        <w:kinsoku w:val="0"/>
        <w:overflowPunct w:val="0"/>
        <w:autoSpaceDE w:val="0"/>
        <w:autoSpaceDN w:val="0"/>
        <w:adjustRightInd w:val="0"/>
        <w:snapToGrid w:val="0"/>
        <w:rPr>
          <w:b w:val="0"/>
          <w:i/>
          <w:snapToGrid w:val="0"/>
          <w:kern w:val="22"/>
          <w:szCs w:val="22"/>
          <w:lang w:val="en-US"/>
        </w:rPr>
      </w:pPr>
      <w:r w:rsidRPr="000F07EC">
        <w:rPr>
          <w:b w:val="0"/>
          <w:i/>
          <w:snapToGrid w:val="0"/>
          <w:kern w:val="22"/>
          <w:szCs w:val="22"/>
          <w:lang w:val="en-US"/>
        </w:rPr>
        <w:t>Note by the Executive Secretary</w:t>
      </w:r>
    </w:p>
    <w:p w:rsidR="00184CAA" w:rsidRPr="000F07EC" w:rsidRDefault="00184CAA" w:rsidP="000F07EC">
      <w:pPr>
        <w:suppressLineNumbers/>
        <w:suppressAutoHyphens/>
        <w:kinsoku w:val="0"/>
        <w:overflowPunct w:val="0"/>
        <w:autoSpaceDE w:val="0"/>
        <w:autoSpaceDN w:val="0"/>
        <w:adjustRightInd w:val="0"/>
        <w:snapToGrid w:val="0"/>
        <w:spacing w:before="120" w:after="120"/>
        <w:jc w:val="center"/>
        <w:rPr>
          <w:b/>
          <w:caps/>
          <w:snapToGrid w:val="0"/>
          <w:kern w:val="22"/>
          <w:szCs w:val="22"/>
          <w:lang w:val="en-US"/>
        </w:rPr>
      </w:pPr>
      <w:r w:rsidRPr="000F07EC">
        <w:rPr>
          <w:b/>
          <w:bCs/>
          <w:caps/>
          <w:snapToGrid w:val="0"/>
          <w:kern w:val="22"/>
          <w:szCs w:val="22"/>
          <w:lang w:val="en-US"/>
        </w:rPr>
        <w:t>Introduction</w:t>
      </w:r>
    </w:p>
    <w:p w:rsidR="000268FA" w:rsidRPr="000F07EC" w:rsidRDefault="00CE3C3C"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In decision </w:t>
      </w:r>
      <w:hyperlink r:id="rId12" w:history="1">
        <w:r w:rsidRPr="000F07EC">
          <w:rPr>
            <w:rStyle w:val="Hyperlink"/>
            <w:kern w:val="22"/>
            <w:szCs w:val="22"/>
          </w:rPr>
          <w:t>XII/13</w:t>
        </w:r>
      </w:hyperlink>
      <w:r w:rsidRPr="000F07EC">
        <w:rPr>
          <w:kern w:val="22"/>
          <w:szCs w:val="22"/>
        </w:rPr>
        <w:t xml:space="preserve">, </w:t>
      </w:r>
      <w:r w:rsidR="000268FA" w:rsidRPr="000F07EC">
        <w:rPr>
          <w:kern w:val="22"/>
          <w:szCs w:val="22"/>
        </w:rPr>
        <w:t xml:space="preserve">the Conference of the Parties welcomed the entry into force of the </w:t>
      </w:r>
      <w:hyperlink r:id="rId13" w:history="1">
        <w:r w:rsidR="000B42B4" w:rsidRPr="000F07EC">
          <w:rPr>
            <w:rStyle w:val="Hyperlink"/>
            <w:kern w:val="22"/>
            <w:szCs w:val="22"/>
          </w:rPr>
          <w:t>Nagoya Protocol</w:t>
        </w:r>
      </w:hyperlink>
      <w:r w:rsidR="000B42B4" w:rsidRPr="000F07EC">
        <w:rPr>
          <w:kern w:val="22"/>
          <w:szCs w:val="22"/>
        </w:rPr>
        <w:t xml:space="preserve"> and urged all Parties to the </w:t>
      </w:r>
      <w:hyperlink r:id="rId14" w:history="1">
        <w:r w:rsidR="000B42B4" w:rsidRPr="000F07EC">
          <w:rPr>
            <w:rStyle w:val="Hyperlink"/>
            <w:kern w:val="22"/>
            <w:szCs w:val="22"/>
          </w:rPr>
          <w:t>C</w:t>
        </w:r>
        <w:r w:rsidR="0009324F" w:rsidRPr="000F07EC">
          <w:rPr>
            <w:rStyle w:val="Hyperlink"/>
            <w:kern w:val="22"/>
            <w:szCs w:val="22"/>
          </w:rPr>
          <w:t>onvention</w:t>
        </w:r>
        <w:r w:rsidR="000B42B4" w:rsidRPr="000F07EC">
          <w:rPr>
            <w:rStyle w:val="Hyperlink"/>
            <w:kern w:val="22"/>
            <w:szCs w:val="22"/>
          </w:rPr>
          <w:t xml:space="preserve"> </w:t>
        </w:r>
        <w:r w:rsidR="0009324F" w:rsidRPr="000F07EC">
          <w:rPr>
            <w:rStyle w:val="Hyperlink"/>
            <w:kern w:val="22"/>
            <w:szCs w:val="22"/>
          </w:rPr>
          <w:t>on Biological Diversity</w:t>
        </w:r>
      </w:hyperlink>
      <w:r w:rsidR="0009324F" w:rsidRPr="000F07EC">
        <w:rPr>
          <w:kern w:val="22"/>
          <w:szCs w:val="22"/>
        </w:rPr>
        <w:t xml:space="preserve"> </w:t>
      </w:r>
      <w:r w:rsidR="000B42B4" w:rsidRPr="000F07EC">
        <w:rPr>
          <w:kern w:val="22"/>
          <w:szCs w:val="22"/>
        </w:rPr>
        <w:t>that had not yet ratified the Nagoya Protocol to do so (paras</w:t>
      </w:r>
      <w:r w:rsidR="00953AB3" w:rsidRPr="000F07EC">
        <w:rPr>
          <w:kern w:val="22"/>
          <w:szCs w:val="22"/>
        </w:rPr>
        <w:t>.</w:t>
      </w:r>
      <w:r w:rsidR="000B42B4" w:rsidRPr="000F07EC">
        <w:rPr>
          <w:kern w:val="22"/>
          <w:szCs w:val="22"/>
        </w:rPr>
        <w:t xml:space="preserve"> 1</w:t>
      </w:r>
      <w:r w:rsidR="007C31B3" w:rsidRPr="000F07EC">
        <w:rPr>
          <w:kern w:val="22"/>
          <w:szCs w:val="22"/>
        </w:rPr>
        <w:t>-</w:t>
      </w:r>
      <w:r w:rsidR="000B42B4" w:rsidRPr="000F07EC">
        <w:rPr>
          <w:kern w:val="22"/>
          <w:szCs w:val="22"/>
        </w:rPr>
        <w:t xml:space="preserve">2). </w:t>
      </w:r>
      <w:r w:rsidR="00B90D53" w:rsidRPr="000F07EC">
        <w:rPr>
          <w:kern w:val="22"/>
          <w:szCs w:val="22"/>
        </w:rPr>
        <w:t>In addition, it</w:t>
      </w:r>
      <w:r w:rsidR="000B42B4" w:rsidRPr="000F07EC">
        <w:rPr>
          <w:kern w:val="22"/>
          <w:szCs w:val="22"/>
        </w:rPr>
        <w:t xml:space="preserve"> recalled Article 26 of the Convention, which requires Parties to report on measures taken for the implementation of the provisions of the Convention, and also recalled that these reports should include information on measures taken in relation to the </w:t>
      </w:r>
      <w:r w:rsidR="00953AB3" w:rsidRPr="000F07EC">
        <w:rPr>
          <w:kern w:val="22"/>
          <w:szCs w:val="22"/>
        </w:rPr>
        <w:t xml:space="preserve">access and </w:t>
      </w:r>
      <w:proofErr w:type="gramStart"/>
      <w:r w:rsidR="00953AB3" w:rsidRPr="000F07EC">
        <w:rPr>
          <w:kern w:val="22"/>
          <w:szCs w:val="22"/>
        </w:rPr>
        <w:t>benefit-sharing</w:t>
      </w:r>
      <w:proofErr w:type="gramEnd"/>
      <w:r w:rsidR="00953AB3" w:rsidRPr="000F07EC">
        <w:rPr>
          <w:kern w:val="22"/>
          <w:szCs w:val="22"/>
        </w:rPr>
        <w:t xml:space="preserve"> (</w:t>
      </w:r>
      <w:r w:rsidR="000B42B4" w:rsidRPr="000F07EC">
        <w:rPr>
          <w:kern w:val="22"/>
          <w:szCs w:val="22"/>
        </w:rPr>
        <w:t>ABS</w:t>
      </w:r>
      <w:r w:rsidR="00953AB3" w:rsidRPr="000F07EC">
        <w:rPr>
          <w:kern w:val="22"/>
          <w:szCs w:val="22"/>
        </w:rPr>
        <w:t>)</w:t>
      </w:r>
      <w:r w:rsidR="000B42B4" w:rsidRPr="000F07EC">
        <w:rPr>
          <w:kern w:val="22"/>
          <w:szCs w:val="22"/>
        </w:rPr>
        <w:t xml:space="preserve"> related provisions of the Convention, in particular its Article 15</w:t>
      </w:r>
      <w:r w:rsidR="008B641B" w:rsidRPr="000F07EC">
        <w:rPr>
          <w:kern w:val="22"/>
          <w:szCs w:val="22"/>
        </w:rPr>
        <w:t xml:space="preserve"> (para</w:t>
      </w:r>
      <w:r w:rsidR="00953AB3" w:rsidRPr="000F07EC">
        <w:rPr>
          <w:kern w:val="22"/>
          <w:szCs w:val="22"/>
        </w:rPr>
        <w:t>.</w:t>
      </w:r>
      <w:r w:rsidR="00B673E3" w:rsidRPr="000F07EC">
        <w:rPr>
          <w:kern w:val="22"/>
          <w:szCs w:val="22"/>
        </w:rPr>
        <w:t> </w:t>
      </w:r>
      <w:r w:rsidR="008B641B" w:rsidRPr="000F07EC">
        <w:rPr>
          <w:kern w:val="22"/>
          <w:szCs w:val="22"/>
        </w:rPr>
        <w:t>3)</w:t>
      </w:r>
      <w:r w:rsidR="000B42B4" w:rsidRPr="000F07EC">
        <w:rPr>
          <w:kern w:val="22"/>
          <w:szCs w:val="22"/>
        </w:rPr>
        <w:t>.</w:t>
      </w:r>
    </w:p>
    <w:p w:rsidR="00736BC2" w:rsidRPr="000F07EC" w:rsidRDefault="008B641B"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In addition, t</w:t>
      </w:r>
      <w:r w:rsidR="00CE3C3C" w:rsidRPr="000F07EC">
        <w:rPr>
          <w:kern w:val="22"/>
          <w:szCs w:val="22"/>
        </w:rPr>
        <w:t xml:space="preserve">he Conference of the Parties requested the Executive Secretary to prepare a note on possible ways and means to promote integrated approaches to issues at the interface between the access and benefit-sharing provisions of the Convention and the provisions of the Nagoya Protocol, taking into account the latest national reports under the Convention, available information in the </w:t>
      </w:r>
      <w:hyperlink r:id="rId15" w:history="1">
        <w:r w:rsidR="00953AB3" w:rsidRPr="000F07EC">
          <w:rPr>
            <w:rStyle w:val="Hyperlink"/>
            <w:szCs w:val="22"/>
          </w:rPr>
          <w:t xml:space="preserve">Access and Benefit-sharing </w:t>
        </w:r>
        <w:r w:rsidR="00CE3C3C" w:rsidRPr="000F07EC">
          <w:rPr>
            <w:rStyle w:val="Hyperlink"/>
            <w:szCs w:val="22"/>
          </w:rPr>
          <w:t>Clearing-House</w:t>
        </w:r>
      </w:hyperlink>
      <w:r w:rsidR="00CE3C3C" w:rsidRPr="000F07EC">
        <w:rPr>
          <w:kern w:val="22"/>
          <w:szCs w:val="22"/>
        </w:rPr>
        <w:t xml:space="preserve">, and the interim national reports under the Nagoya Protocol, as well as other information submitted to the Executive Secretary, for consideration by the Conference of the Parties at its fourteenth meeting </w:t>
      </w:r>
      <w:r w:rsidR="002E3605" w:rsidRPr="000F07EC">
        <w:rPr>
          <w:kern w:val="22"/>
          <w:szCs w:val="22"/>
        </w:rPr>
        <w:t>and by</w:t>
      </w:r>
      <w:r w:rsidR="00CE3C3C" w:rsidRPr="000F07EC">
        <w:rPr>
          <w:kern w:val="22"/>
          <w:szCs w:val="22"/>
        </w:rPr>
        <w:t xml:space="preserve"> the Conference of the Parties serving as the meeting of the Parties to the Nagoya Protocol</w:t>
      </w:r>
      <w:r w:rsidRPr="000F07EC">
        <w:rPr>
          <w:kern w:val="22"/>
          <w:szCs w:val="22"/>
        </w:rPr>
        <w:t xml:space="preserve"> </w:t>
      </w:r>
      <w:r w:rsidR="002E3605" w:rsidRPr="000F07EC">
        <w:rPr>
          <w:kern w:val="22"/>
          <w:szCs w:val="22"/>
        </w:rPr>
        <w:t xml:space="preserve">at its third meeting </w:t>
      </w:r>
      <w:r w:rsidRPr="000F07EC">
        <w:rPr>
          <w:kern w:val="22"/>
          <w:szCs w:val="22"/>
        </w:rPr>
        <w:t>(para</w:t>
      </w:r>
      <w:r w:rsidR="00953AB3" w:rsidRPr="000F07EC">
        <w:rPr>
          <w:kern w:val="22"/>
          <w:szCs w:val="22"/>
        </w:rPr>
        <w:t>. </w:t>
      </w:r>
      <w:r w:rsidRPr="000F07EC">
        <w:rPr>
          <w:kern w:val="22"/>
          <w:szCs w:val="22"/>
        </w:rPr>
        <w:t>4)</w:t>
      </w:r>
      <w:r w:rsidR="00CE3C3C" w:rsidRPr="000F07EC">
        <w:rPr>
          <w:kern w:val="22"/>
          <w:szCs w:val="22"/>
        </w:rPr>
        <w:t>.</w:t>
      </w:r>
    </w:p>
    <w:p w:rsidR="000A62EE" w:rsidRPr="000F07EC" w:rsidRDefault="000A62EE"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Integration between the </w:t>
      </w:r>
      <w:r w:rsidR="008B558C" w:rsidRPr="000F07EC">
        <w:rPr>
          <w:kern w:val="22"/>
          <w:szCs w:val="22"/>
        </w:rPr>
        <w:t xml:space="preserve">ABS-related provisions of the </w:t>
      </w:r>
      <w:r w:rsidRPr="000F07EC">
        <w:rPr>
          <w:kern w:val="22"/>
          <w:szCs w:val="22"/>
        </w:rPr>
        <w:t>C</w:t>
      </w:r>
      <w:r w:rsidR="0009324F" w:rsidRPr="000F07EC">
        <w:rPr>
          <w:kern w:val="22"/>
          <w:szCs w:val="22"/>
        </w:rPr>
        <w:t>onvention</w:t>
      </w:r>
      <w:r w:rsidRPr="000F07EC">
        <w:rPr>
          <w:kern w:val="22"/>
          <w:szCs w:val="22"/>
        </w:rPr>
        <w:t xml:space="preserve"> and the N</w:t>
      </w:r>
      <w:r w:rsidR="000268FA" w:rsidRPr="000F07EC">
        <w:rPr>
          <w:kern w:val="22"/>
          <w:szCs w:val="22"/>
        </w:rPr>
        <w:t xml:space="preserve">agoya </w:t>
      </w:r>
      <w:r w:rsidRPr="000F07EC">
        <w:rPr>
          <w:kern w:val="22"/>
          <w:szCs w:val="22"/>
        </w:rPr>
        <w:t>P</w:t>
      </w:r>
      <w:r w:rsidR="000268FA" w:rsidRPr="000F07EC">
        <w:rPr>
          <w:kern w:val="22"/>
          <w:szCs w:val="22"/>
        </w:rPr>
        <w:t>rotocol</w:t>
      </w:r>
      <w:r w:rsidRPr="000F07EC">
        <w:rPr>
          <w:kern w:val="22"/>
          <w:szCs w:val="22"/>
        </w:rPr>
        <w:t xml:space="preserve"> can be considered a</w:t>
      </w:r>
      <w:r w:rsidR="00030992" w:rsidRPr="000F07EC">
        <w:rPr>
          <w:kern w:val="22"/>
          <w:szCs w:val="22"/>
        </w:rPr>
        <w:t>t different levels</w:t>
      </w:r>
      <w:r w:rsidRPr="000F07EC">
        <w:rPr>
          <w:kern w:val="22"/>
          <w:szCs w:val="22"/>
        </w:rPr>
        <w:t>:</w:t>
      </w:r>
    </w:p>
    <w:p w:rsidR="000268FA" w:rsidRPr="000F07EC" w:rsidRDefault="000268FA" w:rsidP="000F07EC">
      <w:pPr>
        <w:pStyle w:val="Para1"/>
        <w:numPr>
          <w:ilvl w:val="1"/>
          <w:numId w:val="2"/>
        </w:numPr>
        <w:suppressLineNumbers/>
        <w:tabs>
          <w:tab w:val="clear" w:pos="1440"/>
        </w:tabs>
        <w:suppressAutoHyphens/>
        <w:kinsoku w:val="0"/>
        <w:overflowPunct w:val="0"/>
        <w:autoSpaceDE w:val="0"/>
        <w:autoSpaceDN w:val="0"/>
        <w:adjustRightInd w:val="0"/>
        <w:snapToGrid w:val="0"/>
        <w:rPr>
          <w:kern w:val="22"/>
          <w:szCs w:val="22"/>
        </w:rPr>
      </w:pPr>
      <w:r w:rsidRPr="000F07EC">
        <w:rPr>
          <w:kern w:val="22"/>
          <w:szCs w:val="22"/>
        </w:rPr>
        <w:t xml:space="preserve">Relationship between the </w:t>
      </w:r>
      <w:r w:rsidR="008B558C" w:rsidRPr="000F07EC">
        <w:rPr>
          <w:kern w:val="22"/>
          <w:szCs w:val="22"/>
        </w:rPr>
        <w:t xml:space="preserve">ABS-related </w:t>
      </w:r>
      <w:r w:rsidRPr="000F07EC">
        <w:rPr>
          <w:kern w:val="22"/>
          <w:szCs w:val="22"/>
        </w:rPr>
        <w:t>provisions of the C</w:t>
      </w:r>
      <w:r w:rsidR="0009324F" w:rsidRPr="000F07EC">
        <w:rPr>
          <w:kern w:val="22"/>
          <w:szCs w:val="22"/>
        </w:rPr>
        <w:t>onvention</w:t>
      </w:r>
      <w:r w:rsidRPr="000F07EC">
        <w:rPr>
          <w:kern w:val="22"/>
          <w:szCs w:val="22"/>
        </w:rPr>
        <w:t xml:space="preserve"> and the Nagoya Protocol;</w:t>
      </w:r>
    </w:p>
    <w:p w:rsidR="000014E2" w:rsidRPr="000F07EC" w:rsidRDefault="000014E2" w:rsidP="000F07EC">
      <w:pPr>
        <w:pStyle w:val="Para1"/>
        <w:numPr>
          <w:ilvl w:val="1"/>
          <w:numId w:val="2"/>
        </w:numPr>
        <w:suppressLineNumbers/>
        <w:tabs>
          <w:tab w:val="clear" w:pos="1440"/>
        </w:tabs>
        <w:suppressAutoHyphens/>
        <w:kinsoku w:val="0"/>
        <w:overflowPunct w:val="0"/>
        <w:autoSpaceDE w:val="0"/>
        <w:autoSpaceDN w:val="0"/>
        <w:adjustRightInd w:val="0"/>
        <w:snapToGrid w:val="0"/>
        <w:rPr>
          <w:kern w:val="22"/>
          <w:szCs w:val="22"/>
        </w:rPr>
      </w:pPr>
      <w:r w:rsidRPr="000F07EC">
        <w:rPr>
          <w:kern w:val="22"/>
          <w:szCs w:val="22"/>
        </w:rPr>
        <w:t xml:space="preserve">Integration of </w:t>
      </w:r>
      <w:r w:rsidR="00495886" w:rsidRPr="000F07EC">
        <w:rPr>
          <w:kern w:val="22"/>
          <w:szCs w:val="22"/>
        </w:rPr>
        <w:t>access and benefit-sharing</w:t>
      </w:r>
      <w:r w:rsidRPr="000F07EC">
        <w:rPr>
          <w:kern w:val="22"/>
          <w:szCs w:val="22"/>
        </w:rPr>
        <w:t xml:space="preserve"> across the Convention;</w:t>
      </w:r>
    </w:p>
    <w:p w:rsidR="000268FA" w:rsidRPr="000F07EC" w:rsidRDefault="000268FA" w:rsidP="000F07EC">
      <w:pPr>
        <w:pStyle w:val="Para1"/>
        <w:numPr>
          <w:ilvl w:val="1"/>
          <w:numId w:val="2"/>
        </w:numPr>
        <w:suppressLineNumbers/>
        <w:tabs>
          <w:tab w:val="clear" w:pos="1440"/>
        </w:tabs>
        <w:suppressAutoHyphens/>
        <w:kinsoku w:val="0"/>
        <w:overflowPunct w:val="0"/>
        <w:autoSpaceDE w:val="0"/>
        <w:autoSpaceDN w:val="0"/>
        <w:adjustRightInd w:val="0"/>
        <w:snapToGrid w:val="0"/>
        <w:rPr>
          <w:kern w:val="22"/>
          <w:szCs w:val="22"/>
        </w:rPr>
      </w:pPr>
      <w:r w:rsidRPr="000F07EC">
        <w:rPr>
          <w:kern w:val="22"/>
          <w:szCs w:val="22"/>
        </w:rPr>
        <w:t xml:space="preserve">Cross-cutting issues </w:t>
      </w:r>
      <w:r w:rsidR="00222E55" w:rsidRPr="000F07EC">
        <w:rPr>
          <w:kern w:val="22"/>
          <w:szCs w:val="22"/>
        </w:rPr>
        <w:t>of relevance to the C</w:t>
      </w:r>
      <w:r w:rsidR="0009324F" w:rsidRPr="000F07EC">
        <w:rPr>
          <w:kern w:val="22"/>
          <w:szCs w:val="22"/>
        </w:rPr>
        <w:t>onvention</w:t>
      </w:r>
      <w:r w:rsidR="00222E55" w:rsidRPr="000F07EC">
        <w:rPr>
          <w:kern w:val="22"/>
          <w:szCs w:val="22"/>
        </w:rPr>
        <w:t xml:space="preserve"> and the Nagoya Protocol, </w:t>
      </w:r>
      <w:r w:rsidRPr="000F07EC">
        <w:rPr>
          <w:kern w:val="22"/>
          <w:szCs w:val="22"/>
        </w:rPr>
        <w:t>such as capacity-bui</w:t>
      </w:r>
      <w:r w:rsidR="00E8078E" w:rsidRPr="000F07EC">
        <w:rPr>
          <w:kern w:val="22"/>
          <w:szCs w:val="22"/>
        </w:rPr>
        <w:t>lding,</w:t>
      </w:r>
      <w:r w:rsidRPr="000F07EC">
        <w:rPr>
          <w:kern w:val="22"/>
          <w:szCs w:val="22"/>
        </w:rPr>
        <w:t xml:space="preserve"> the </w:t>
      </w:r>
      <w:r w:rsidR="00953AB3" w:rsidRPr="000F07EC">
        <w:rPr>
          <w:kern w:val="22"/>
          <w:szCs w:val="22"/>
        </w:rPr>
        <w:t>c</w:t>
      </w:r>
      <w:r w:rsidRPr="000F07EC">
        <w:rPr>
          <w:kern w:val="22"/>
          <w:szCs w:val="22"/>
        </w:rPr>
        <w:t>learing-</w:t>
      </w:r>
      <w:r w:rsidR="00953AB3" w:rsidRPr="000F07EC">
        <w:rPr>
          <w:kern w:val="22"/>
          <w:szCs w:val="22"/>
        </w:rPr>
        <w:t>h</w:t>
      </w:r>
      <w:r w:rsidRPr="000F07EC">
        <w:rPr>
          <w:kern w:val="22"/>
          <w:szCs w:val="22"/>
        </w:rPr>
        <w:t xml:space="preserve">ouse </w:t>
      </w:r>
      <w:r w:rsidR="00953AB3" w:rsidRPr="000F07EC">
        <w:rPr>
          <w:kern w:val="22"/>
          <w:szCs w:val="22"/>
        </w:rPr>
        <w:t>m</w:t>
      </w:r>
      <w:r w:rsidRPr="000F07EC">
        <w:rPr>
          <w:kern w:val="22"/>
          <w:szCs w:val="22"/>
        </w:rPr>
        <w:t>echanism</w:t>
      </w:r>
      <w:r w:rsidR="00E8078E" w:rsidRPr="000F07EC">
        <w:rPr>
          <w:kern w:val="22"/>
          <w:szCs w:val="22"/>
        </w:rPr>
        <w:t>s</w:t>
      </w:r>
      <w:r w:rsidRPr="000F07EC">
        <w:rPr>
          <w:kern w:val="22"/>
          <w:szCs w:val="22"/>
        </w:rPr>
        <w:t>, the financial mechanism and resource mobilization</w:t>
      </w:r>
      <w:r w:rsidR="0061763C" w:rsidRPr="000F07EC">
        <w:rPr>
          <w:kern w:val="22"/>
          <w:szCs w:val="22"/>
        </w:rPr>
        <w:t xml:space="preserve">, </w:t>
      </w:r>
      <w:r w:rsidR="00BB4BD0" w:rsidRPr="000F07EC">
        <w:rPr>
          <w:kern w:val="22"/>
          <w:szCs w:val="22"/>
        </w:rPr>
        <w:t xml:space="preserve">and </w:t>
      </w:r>
      <w:r w:rsidR="0061763C" w:rsidRPr="000F07EC">
        <w:rPr>
          <w:kern w:val="22"/>
          <w:szCs w:val="22"/>
        </w:rPr>
        <w:t>national reporting</w:t>
      </w:r>
      <w:r w:rsidRPr="000F07EC">
        <w:rPr>
          <w:kern w:val="22"/>
          <w:szCs w:val="22"/>
        </w:rPr>
        <w:t>;</w:t>
      </w:r>
    </w:p>
    <w:p w:rsidR="000268FA" w:rsidRPr="000F07EC" w:rsidRDefault="00E8078E" w:rsidP="000F07EC">
      <w:pPr>
        <w:pStyle w:val="Para1"/>
        <w:numPr>
          <w:ilvl w:val="1"/>
          <w:numId w:val="2"/>
        </w:numPr>
        <w:suppressLineNumbers/>
        <w:tabs>
          <w:tab w:val="clear" w:pos="1440"/>
        </w:tabs>
        <w:suppressAutoHyphens/>
        <w:kinsoku w:val="0"/>
        <w:overflowPunct w:val="0"/>
        <w:autoSpaceDE w:val="0"/>
        <w:autoSpaceDN w:val="0"/>
        <w:adjustRightInd w:val="0"/>
        <w:snapToGrid w:val="0"/>
        <w:rPr>
          <w:kern w:val="22"/>
          <w:szCs w:val="22"/>
        </w:rPr>
      </w:pPr>
      <w:r w:rsidRPr="000F07EC">
        <w:rPr>
          <w:kern w:val="22"/>
          <w:szCs w:val="22"/>
        </w:rPr>
        <w:t xml:space="preserve">Structures and processes under the Convention and its </w:t>
      </w:r>
      <w:r w:rsidR="002037DF" w:rsidRPr="000F07EC">
        <w:rPr>
          <w:kern w:val="22"/>
          <w:szCs w:val="22"/>
        </w:rPr>
        <w:t>Protocols</w:t>
      </w:r>
      <w:r w:rsidR="00222E55" w:rsidRPr="000F07EC">
        <w:rPr>
          <w:kern w:val="22"/>
          <w:szCs w:val="22"/>
        </w:rPr>
        <w:t>.</w:t>
      </w:r>
    </w:p>
    <w:p w:rsidR="00007D43" w:rsidRPr="000F07EC" w:rsidRDefault="006B3613"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Section I</w:t>
      </w:r>
      <w:r w:rsidR="00AE75E3" w:rsidRPr="000F07EC">
        <w:rPr>
          <w:kern w:val="22"/>
          <w:szCs w:val="22"/>
        </w:rPr>
        <w:t xml:space="preserve"> </w:t>
      </w:r>
      <w:r w:rsidR="002C13C8" w:rsidRPr="000F07EC">
        <w:rPr>
          <w:kern w:val="22"/>
          <w:szCs w:val="22"/>
        </w:rPr>
        <w:t xml:space="preserve">of the present document </w:t>
      </w:r>
      <w:r w:rsidR="00495DED" w:rsidRPr="000F07EC">
        <w:rPr>
          <w:kern w:val="22"/>
          <w:szCs w:val="22"/>
        </w:rPr>
        <w:t>addresses</w:t>
      </w:r>
      <w:r w:rsidR="00222E55" w:rsidRPr="000F07EC">
        <w:rPr>
          <w:kern w:val="22"/>
          <w:szCs w:val="22"/>
        </w:rPr>
        <w:t xml:space="preserve"> the relationship between the ABS-related provisions of the C</w:t>
      </w:r>
      <w:r w:rsidR="0009324F" w:rsidRPr="000F07EC">
        <w:rPr>
          <w:kern w:val="22"/>
          <w:szCs w:val="22"/>
        </w:rPr>
        <w:t>onvention</w:t>
      </w:r>
      <w:r w:rsidR="00222E55" w:rsidRPr="000F07EC">
        <w:rPr>
          <w:kern w:val="22"/>
          <w:szCs w:val="22"/>
        </w:rPr>
        <w:t xml:space="preserve"> and the Nagoya Protocol. </w:t>
      </w:r>
      <w:r w:rsidRPr="000F07EC">
        <w:rPr>
          <w:kern w:val="22"/>
          <w:szCs w:val="22"/>
        </w:rPr>
        <w:t>Section II</w:t>
      </w:r>
      <w:r w:rsidR="0059525C" w:rsidRPr="000F07EC">
        <w:rPr>
          <w:kern w:val="22"/>
          <w:szCs w:val="22"/>
        </w:rPr>
        <w:t xml:space="preserve"> examines the integration of access and benefit-sharing across the Convention. Conclusions and recommendations are contained in sections I</w:t>
      </w:r>
      <w:r w:rsidR="009D76DF" w:rsidRPr="000F07EC">
        <w:rPr>
          <w:kern w:val="22"/>
          <w:szCs w:val="22"/>
        </w:rPr>
        <w:t>II</w:t>
      </w:r>
      <w:r w:rsidR="0059525C" w:rsidRPr="000F07EC">
        <w:rPr>
          <w:kern w:val="22"/>
          <w:szCs w:val="22"/>
        </w:rPr>
        <w:t xml:space="preserve"> and </w:t>
      </w:r>
      <w:r w:rsidR="009D76DF" w:rsidRPr="000F07EC">
        <w:rPr>
          <w:kern w:val="22"/>
          <w:szCs w:val="22"/>
        </w:rPr>
        <w:t>I</w:t>
      </w:r>
      <w:r w:rsidR="0059525C" w:rsidRPr="000F07EC">
        <w:rPr>
          <w:kern w:val="22"/>
          <w:szCs w:val="22"/>
        </w:rPr>
        <w:t>V of the document</w:t>
      </w:r>
      <w:r w:rsidR="00141982" w:rsidRPr="000F07EC">
        <w:rPr>
          <w:kern w:val="22"/>
          <w:szCs w:val="22"/>
        </w:rPr>
        <w:t xml:space="preserve"> respectively</w:t>
      </w:r>
      <w:r w:rsidR="0059525C" w:rsidRPr="000F07EC">
        <w:rPr>
          <w:kern w:val="22"/>
          <w:szCs w:val="22"/>
        </w:rPr>
        <w:t xml:space="preserve">. </w:t>
      </w:r>
      <w:r w:rsidR="003115C2" w:rsidRPr="000F07EC">
        <w:rPr>
          <w:kern w:val="22"/>
          <w:szCs w:val="22"/>
        </w:rPr>
        <w:t xml:space="preserve">In accordance with decision </w:t>
      </w:r>
      <w:hyperlink r:id="rId16" w:history="1">
        <w:r w:rsidR="003115C2" w:rsidRPr="000F07EC">
          <w:rPr>
            <w:rStyle w:val="Hyperlink"/>
            <w:kern w:val="22"/>
            <w:szCs w:val="22"/>
          </w:rPr>
          <w:t>XIII/26</w:t>
        </w:r>
      </w:hyperlink>
      <w:r w:rsidR="003115C2" w:rsidRPr="000F07EC">
        <w:rPr>
          <w:kern w:val="22"/>
          <w:szCs w:val="22"/>
        </w:rPr>
        <w:t>, paragraph 2, c</w:t>
      </w:r>
      <w:r w:rsidR="00222E55" w:rsidRPr="000F07EC">
        <w:rPr>
          <w:kern w:val="22"/>
          <w:szCs w:val="22"/>
        </w:rPr>
        <w:t xml:space="preserve">ross-cutting issues under </w:t>
      </w:r>
      <w:r w:rsidR="00222E55" w:rsidRPr="000F07EC">
        <w:rPr>
          <w:kern w:val="22"/>
          <w:szCs w:val="22"/>
        </w:rPr>
        <w:lastRenderedPageBreak/>
        <w:t>the Convention and its Proto</w:t>
      </w:r>
      <w:r w:rsidR="003F159B" w:rsidRPr="000F07EC">
        <w:rPr>
          <w:kern w:val="22"/>
          <w:szCs w:val="22"/>
        </w:rPr>
        <w:t>cols, such as capacity-building</w:t>
      </w:r>
      <w:r w:rsidR="005B6A14" w:rsidRPr="000F07EC">
        <w:rPr>
          <w:kern w:val="22"/>
          <w:szCs w:val="22"/>
        </w:rPr>
        <w:t xml:space="preserve">, </w:t>
      </w:r>
      <w:r w:rsidR="0067304D" w:rsidRPr="000F07EC">
        <w:rPr>
          <w:kern w:val="22"/>
          <w:szCs w:val="22"/>
        </w:rPr>
        <w:t xml:space="preserve">the </w:t>
      </w:r>
      <w:r w:rsidR="00222E55" w:rsidRPr="000F07EC">
        <w:rPr>
          <w:kern w:val="22"/>
          <w:szCs w:val="22"/>
        </w:rPr>
        <w:t>financial mechanism and resource mobilization</w:t>
      </w:r>
      <w:r w:rsidR="00BB4BD0" w:rsidRPr="000F07EC">
        <w:rPr>
          <w:kern w:val="22"/>
          <w:szCs w:val="22"/>
        </w:rPr>
        <w:t>, and national reporting</w:t>
      </w:r>
      <w:r w:rsidR="00222E55" w:rsidRPr="000F07EC">
        <w:rPr>
          <w:kern w:val="22"/>
          <w:szCs w:val="22"/>
        </w:rPr>
        <w:t xml:space="preserve"> </w:t>
      </w:r>
      <w:r w:rsidR="00495DED" w:rsidRPr="000F07EC">
        <w:rPr>
          <w:kern w:val="22"/>
          <w:szCs w:val="22"/>
        </w:rPr>
        <w:t>will be</w:t>
      </w:r>
      <w:r w:rsidR="00222E55" w:rsidRPr="000F07EC">
        <w:rPr>
          <w:kern w:val="22"/>
          <w:szCs w:val="22"/>
        </w:rPr>
        <w:t xml:space="preserve"> addressed </w:t>
      </w:r>
      <w:r w:rsidR="003F159B" w:rsidRPr="000F07EC">
        <w:rPr>
          <w:kern w:val="22"/>
          <w:szCs w:val="22"/>
        </w:rPr>
        <w:t xml:space="preserve">by </w:t>
      </w:r>
      <w:r w:rsidR="0027701F" w:rsidRPr="000F07EC">
        <w:rPr>
          <w:kern w:val="22"/>
          <w:szCs w:val="22"/>
        </w:rPr>
        <w:t>the Subsidiary Body on Implementation</w:t>
      </w:r>
      <w:r w:rsidR="003F159B" w:rsidRPr="000F07EC">
        <w:rPr>
          <w:kern w:val="22"/>
          <w:szCs w:val="22"/>
        </w:rPr>
        <w:t xml:space="preserve"> </w:t>
      </w:r>
      <w:r w:rsidR="008A1CC0" w:rsidRPr="000F07EC">
        <w:rPr>
          <w:kern w:val="22"/>
          <w:szCs w:val="22"/>
        </w:rPr>
        <w:t xml:space="preserve">at its second meeting </w:t>
      </w:r>
      <w:r w:rsidR="003F159B" w:rsidRPr="000F07EC">
        <w:rPr>
          <w:kern w:val="22"/>
          <w:szCs w:val="22"/>
        </w:rPr>
        <w:t xml:space="preserve">under agenda items </w:t>
      </w:r>
      <w:r w:rsidR="005B6A14" w:rsidRPr="000F07EC">
        <w:rPr>
          <w:kern w:val="22"/>
          <w:szCs w:val="22"/>
        </w:rPr>
        <w:t>10, 9</w:t>
      </w:r>
      <w:r w:rsidR="00BB4BD0" w:rsidRPr="000F07EC">
        <w:rPr>
          <w:kern w:val="22"/>
          <w:szCs w:val="22"/>
        </w:rPr>
        <w:t xml:space="preserve">, </w:t>
      </w:r>
      <w:r w:rsidR="005B6A14" w:rsidRPr="000F07EC">
        <w:rPr>
          <w:kern w:val="22"/>
          <w:szCs w:val="22"/>
        </w:rPr>
        <w:t>8</w:t>
      </w:r>
      <w:r w:rsidR="003F159B" w:rsidRPr="000F07EC">
        <w:rPr>
          <w:kern w:val="22"/>
          <w:szCs w:val="22"/>
        </w:rPr>
        <w:t xml:space="preserve"> </w:t>
      </w:r>
      <w:r w:rsidR="00BB4BD0" w:rsidRPr="000F07EC">
        <w:rPr>
          <w:kern w:val="22"/>
          <w:szCs w:val="22"/>
        </w:rPr>
        <w:t xml:space="preserve">and </w:t>
      </w:r>
      <w:r w:rsidR="00387D13" w:rsidRPr="000F07EC">
        <w:rPr>
          <w:kern w:val="22"/>
          <w:szCs w:val="22"/>
        </w:rPr>
        <w:t>13</w:t>
      </w:r>
      <w:r w:rsidR="008A1CC0" w:rsidRPr="000F07EC">
        <w:rPr>
          <w:kern w:val="22"/>
          <w:szCs w:val="22"/>
        </w:rPr>
        <w:t>,</w:t>
      </w:r>
      <w:r w:rsidR="00BB4BD0" w:rsidRPr="000F07EC">
        <w:rPr>
          <w:kern w:val="22"/>
          <w:szCs w:val="22"/>
        </w:rPr>
        <w:t xml:space="preserve"> </w:t>
      </w:r>
      <w:r w:rsidR="003F159B" w:rsidRPr="000F07EC">
        <w:rPr>
          <w:kern w:val="22"/>
          <w:szCs w:val="22"/>
        </w:rPr>
        <w:t>respectively</w:t>
      </w:r>
      <w:r w:rsidR="00042999" w:rsidRPr="000F07EC">
        <w:rPr>
          <w:kern w:val="22"/>
          <w:szCs w:val="22"/>
        </w:rPr>
        <w:t xml:space="preserve">. In accordance with decision </w:t>
      </w:r>
      <w:hyperlink r:id="rId17" w:history="1">
        <w:r w:rsidR="00042999" w:rsidRPr="000F07EC">
          <w:rPr>
            <w:rStyle w:val="Hyperlink"/>
            <w:kern w:val="22"/>
            <w:szCs w:val="22"/>
          </w:rPr>
          <w:t>XII/31</w:t>
        </w:r>
      </w:hyperlink>
      <w:r w:rsidR="00042999" w:rsidRPr="000F07EC">
        <w:rPr>
          <w:kern w:val="22"/>
          <w:szCs w:val="22"/>
        </w:rPr>
        <w:t>, i</w:t>
      </w:r>
      <w:r w:rsidR="002848EB" w:rsidRPr="000F07EC">
        <w:rPr>
          <w:kern w:val="22"/>
          <w:szCs w:val="22"/>
        </w:rPr>
        <w:t xml:space="preserve">ssues related to the effectiveness of </w:t>
      </w:r>
      <w:r w:rsidR="00287606" w:rsidRPr="000F07EC">
        <w:rPr>
          <w:kern w:val="22"/>
          <w:szCs w:val="22"/>
        </w:rPr>
        <w:t xml:space="preserve">the </w:t>
      </w:r>
      <w:r w:rsidR="002848EB" w:rsidRPr="000F07EC">
        <w:rPr>
          <w:kern w:val="22"/>
          <w:szCs w:val="22"/>
        </w:rPr>
        <w:t>processes under the</w:t>
      </w:r>
      <w:r w:rsidR="00495DED" w:rsidRPr="000F07EC">
        <w:rPr>
          <w:kern w:val="22"/>
          <w:szCs w:val="22"/>
        </w:rPr>
        <w:t xml:space="preserve"> Convention and its Protocols </w:t>
      </w:r>
      <w:r w:rsidR="003115C2" w:rsidRPr="000F07EC">
        <w:rPr>
          <w:kern w:val="22"/>
          <w:szCs w:val="22"/>
        </w:rPr>
        <w:t xml:space="preserve">will be </w:t>
      </w:r>
      <w:r w:rsidR="002848EB" w:rsidRPr="000F07EC">
        <w:rPr>
          <w:kern w:val="22"/>
          <w:szCs w:val="22"/>
        </w:rPr>
        <w:t xml:space="preserve">addressed </w:t>
      </w:r>
      <w:r w:rsidR="003115C2" w:rsidRPr="000F07EC">
        <w:rPr>
          <w:kern w:val="22"/>
          <w:szCs w:val="22"/>
        </w:rPr>
        <w:t xml:space="preserve">by the Subsidiary Body </w:t>
      </w:r>
      <w:r w:rsidR="00495DED" w:rsidRPr="000F07EC">
        <w:rPr>
          <w:kern w:val="22"/>
          <w:szCs w:val="22"/>
        </w:rPr>
        <w:t>under agenda item</w:t>
      </w:r>
      <w:r w:rsidR="00B47155" w:rsidRPr="000F07EC">
        <w:rPr>
          <w:kern w:val="22"/>
          <w:szCs w:val="22"/>
        </w:rPr>
        <w:t> </w:t>
      </w:r>
      <w:r w:rsidR="00495DED" w:rsidRPr="000F07EC">
        <w:rPr>
          <w:kern w:val="22"/>
          <w:szCs w:val="22"/>
        </w:rPr>
        <w:t>15.</w:t>
      </w:r>
    </w:p>
    <w:p w:rsidR="000A62EE" w:rsidRPr="000F07EC" w:rsidRDefault="00030992" w:rsidP="000F07EC">
      <w:pPr>
        <w:pStyle w:val="Heading1"/>
        <w:suppressLineNumbers/>
        <w:tabs>
          <w:tab w:val="clear" w:pos="720"/>
        </w:tabs>
        <w:suppressAutoHyphens/>
        <w:kinsoku w:val="0"/>
        <w:overflowPunct w:val="0"/>
        <w:autoSpaceDE w:val="0"/>
        <w:autoSpaceDN w:val="0"/>
        <w:adjustRightInd w:val="0"/>
        <w:snapToGrid w:val="0"/>
        <w:spacing w:before="120"/>
        <w:ind w:left="1152" w:hanging="432"/>
        <w:jc w:val="left"/>
        <w:rPr>
          <w:bCs/>
          <w:snapToGrid w:val="0"/>
          <w:kern w:val="22"/>
          <w:szCs w:val="22"/>
        </w:rPr>
      </w:pPr>
      <w:r w:rsidRPr="000F07EC">
        <w:rPr>
          <w:bCs/>
          <w:snapToGrid w:val="0"/>
          <w:kern w:val="22"/>
          <w:szCs w:val="22"/>
        </w:rPr>
        <w:t>I</w:t>
      </w:r>
      <w:r w:rsidR="00007D43" w:rsidRPr="000F07EC">
        <w:rPr>
          <w:bCs/>
          <w:snapToGrid w:val="0"/>
          <w:kern w:val="22"/>
          <w:szCs w:val="22"/>
        </w:rPr>
        <w:t>.</w:t>
      </w:r>
      <w:r w:rsidR="001F68FD" w:rsidRPr="000F07EC">
        <w:rPr>
          <w:bCs/>
          <w:snapToGrid w:val="0"/>
          <w:kern w:val="22"/>
          <w:szCs w:val="22"/>
        </w:rPr>
        <w:tab/>
      </w:r>
      <w:r w:rsidR="00207CB2" w:rsidRPr="000F07EC">
        <w:rPr>
          <w:bCs/>
          <w:snapToGrid w:val="0"/>
          <w:kern w:val="22"/>
          <w:szCs w:val="22"/>
        </w:rPr>
        <w:t>R</w:t>
      </w:r>
      <w:r w:rsidR="00C05B4C" w:rsidRPr="000F07EC">
        <w:rPr>
          <w:bCs/>
          <w:snapToGrid w:val="0"/>
          <w:kern w:val="22"/>
          <w:szCs w:val="22"/>
        </w:rPr>
        <w:t>elationship between the provisions of the Convention related to access and benefit-sharing and the Nagoya Protocol</w:t>
      </w:r>
    </w:p>
    <w:p w:rsidR="002E2FF9" w:rsidRPr="000F07EC" w:rsidRDefault="00A24442"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The N</w:t>
      </w:r>
      <w:r w:rsidR="00042999" w:rsidRPr="000F07EC">
        <w:rPr>
          <w:kern w:val="22"/>
          <w:szCs w:val="22"/>
        </w:rPr>
        <w:t xml:space="preserve">agoya </w:t>
      </w:r>
      <w:r w:rsidRPr="000F07EC">
        <w:rPr>
          <w:kern w:val="22"/>
          <w:szCs w:val="22"/>
        </w:rPr>
        <w:t>P</w:t>
      </w:r>
      <w:r w:rsidR="00042999" w:rsidRPr="000F07EC">
        <w:rPr>
          <w:kern w:val="22"/>
          <w:szCs w:val="22"/>
        </w:rPr>
        <w:t>rotocol</w:t>
      </w:r>
      <w:r w:rsidRPr="000F07EC">
        <w:rPr>
          <w:kern w:val="22"/>
          <w:szCs w:val="22"/>
        </w:rPr>
        <w:t xml:space="preserve"> </w:t>
      </w:r>
      <w:r w:rsidR="006B3613" w:rsidRPr="000F07EC">
        <w:rPr>
          <w:kern w:val="22"/>
          <w:szCs w:val="22"/>
        </w:rPr>
        <w:t>was adopted by the Conference of the Parties in 2010.</w:t>
      </w:r>
      <w:r w:rsidR="00C73CD1" w:rsidRPr="000F07EC">
        <w:rPr>
          <w:rStyle w:val="FootnoteReference"/>
          <w:kern w:val="22"/>
          <w:szCs w:val="22"/>
        </w:rPr>
        <w:footnoteReference w:id="2"/>
      </w:r>
      <w:r w:rsidR="006B3613" w:rsidRPr="000F07EC">
        <w:rPr>
          <w:kern w:val="22"/>
          <w:szCs w:val="22"/>
        </w:rPr>
        <w:t xml:space="preserve"> It </w:t>
      </w:r>
      <w:r w:rsidR="0065770C" w:rsidRPr="000F07EC">
        <w:rPr>
          <w:kern w:val="22"/>
          <w:szCs w:val="22"/>
        </w:rPr>
        <w:t>supports the implementation of the th</w:t>
      </w:r>
      <w:r w:rsidR="00007D43" w:rsidRPr="000F07EC">
        <w:rPr>
          <w:kern w:val="22"/>
          <w:szCs w:val="22"/>
        </w:rPr>
        <w:t>ird</w:t>
      </w:r>
      <w:r w:rsidR="0065770C" w:rsidRPr="000F07EC">
        <w:rPr>
          <w:kern w:val="22"/>
          <w:szCs w:val="22"/>
        </w:rPr>
        <w:t xml:space="preserve"> objective of the Convention</w:t>
      </w:r>
      <w:r w:rsidR="006531B0" w:rsidRPr="000F07EC">
        <w:rPr>
          <w:kern w:val="22"/>
          <w:szCs w:val="22"/>
        </w:rPr>
        <w:t xml:space="preserve"> on Biological Diversity</w:t>
      </w:r>
      <w:r w:rsidR="00F90072" w:rsidRPr="000F07EC">
        <w:rPr>
          <w:kern w:val="22"/>
          <w:szCs w:val="22"/>
        </w:rPr>
        <w:t>,</w:t>
      </w:r>
      <w:r w:rsidR="00532E21" w:rsidRPr="000F07EC">
        <w:rPr>
          <w:kern w:val="22"/>
          <w:szCs w:val="22"/>
        </w:rPr>
        <w:t xml:space="preserve"> </w:t>
      </w:r>
      <w:r w:rsidR="0065770C" w:rsidRPr="000F07EC">
        <w:rPr>
          <w:kern w:val="22"/>
          <w:szCs w:val="22"/>
        </w:rPr>
        <w:t>the fair and equitable sharing of benefits arising out of the utilization</w:t>
      </w:r>
      <w:r w:rsidR="003B322A" w:rsidRPr="000F07EC">
        <w:rPr>
          <w:kern w:val="22"/>
          <w:szCs w:val="22"/>
        </w:rPr>
        <w:t xml:space="preserve"> of genetic resources</w:t>
      </w:r>
      <w:r w:rsidR="00B65D7E" w:rsidRPr="000F07EC">
        <w:rPr>
          <w:kern w:val="22"/>
          <w:szCs w:val="22"/>
        </w:rPr>
        <w:t>,</w:t>
      </w:r>
      <w:r w:rsidR="00F90072" w:rsidRPr="000F07EC">
        <w:rPr>
          <w:kern w:val="22"/>
          <w:szCs w:val="22"/>
        </w:rPr>
        <w:t xml:space="preserve"> and contributes to </w:t>
      </w:r>
      <w:r w:rsidR="0009324F" w:rsidRPr="000F07EC">
        <w:rPr>
          <w:kern w:val="22"/>
          <w:szCs w:val="22"/>
        </w:rPr>
        <w:t xml:space="preserve">the other </w:t>
      </w:r>
      <w:r w:rsidR="00F90072" w:rsidRPr="000F07EC">
        <w:rPr>
          <w:kern w:val="22"/>
          <w:szCs w:val="22"/>
        </w:rPr>
        <w:t>two objectiv</w:t>
      </w:r>
      <w:r w:rsidR="00D04312" w:rsidRPr="000F07EC">
        <w:rPr>
          <w:kern w:val="22"/>
          <w:szCs w:val="22"/>
        </w:rPr>
        <w:t>es</w:t>
      </w:r>
      <w:r w:rsidR="00F90072" w:rsidRPr="000F07EC">
        <w:rPr>
          <w:kern w:val="22"/>
          <w:szCs w:val="22"/>
        </w:rPr>
        <w:t>: conservation of biological diversity and the sustainable us</w:t>
      </w:r>
      <w:r w:rsidR="008A0CE1" w:rsidRPr="000F07EC">
        <w:rPr>
          <w:kern w:val="22"/>
          <w:szCs w:val="22"/>
        </w:rPr>
        <w:t>e</w:t>
      </w:r>
      <w:r w:rsidR="00F90072" w:rsidRPr="000F07EC">
        <w:rPr>
          <w:kern w:val="22"/>
          <w:szCs w:val="22"/>
        </w:rPr>
        <w:t xml:space="preserve"> of its components</w:t>
      </w:r>
      <w:r w:rsidR="00042999" w:rsidRPr="000F07EC">
        <w:rPr>
          <w:kern w:val="22"/>
          <w:szCs w:val="22"/>
        </w:rPr>
        <w:t>.</w:t>
      </w:r>
    </w:p>
    <w:p w:rsidR="000B42B4" w:rsidRPr="000F07EC" w:rsidRDefault="00B65D7E"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The Protocol</w:t>
      </w:r>
      <w:r w:rsidR="0065770C" w:rsidRPr="000F07EC">
        <w:rPr>
          <w:kern w:val="22"/>
          <w:szCs w:val="22"/>
        </w:rPr>
        <w:t xml:space="preserve"> builds on the </w:t>
      </w:r>
      <w:r w:rsidR="00A935F9" w:rsidRPr="000F07EC">
        <w:rPr>
          <w:kern w:val="22"/>
          <w:szCs w:val="22"/>
        </w:rPr>
        <w:t xml:space="preserve">access and benefit-sharing </w:t>
      </w:r>
      <w:r w:rsidR="0065770C" w:rsidRPr="000F07EC">
        <w:rPr>
          <w:kern w:val="22"/>
          <w:szCs w:val="22"/>
        </w:rPr>
        <w:t>provisions of the C</w:t>
      </w:r>
      <w:r w:rsidR="006531B0" w:rsidRPr="000F07EC">
        <w:rPr>
          <w:kern w:val="22"/>
          <w:szCs w:val="22"/>
        </w:rPr>
        <w:t>onvention</w:t>
      </w:r>
      <w:r w:rsidR="00BE3CE9" w:rsidRPr="000F07EC">
        <w:rPr>
          <w:kern w:val="22"/>
          <w:szCs w:val="22"/>
        </w:rPr>
        <w:t>, in particular Article</w:t>
      </w:r>
      <w:r w:rsidR="00BD2718" w:rsidRPr="000F07EC">
        <w:rPr>
          <w:kern w:val="22"/>
          <w:szCs w:val="22"/>
        </w:rPr>
        <w:t>s</w:t>
      </w:r>
      <w:r w:rsidR="00BE3CE9" w:rsidRPr="000F07EC">
        <w:rPr>
          <w:kern w:val="22"/>
          <w:szCs w:val="22"/>
        </w:rPr>
        <w:t xml:space="preserve"> 15, 16</w:t>
      </w:r>
      <w:r w:rsidR="002E2FF9" w:rsidRPr="000F07EC">
        <w:rPr>
          <w:kern w:val="22"/>
          <w:szCs w:val="22"/>
        </w:rPr>
        <w:t xml:space="preserve">, </w:t>
      </w:r>
      <w:r w:rsidR="00BE3CE9" w:rsidRPr="000F07EC">
        <w:rPr>
          <w:kern w:val="22"/>
          <w:szCs w:val="22"/>
        </w:rPr>
        <w:t>19(1)</w:t>
      </w:r>
      <w:r w:rsidR="00F17093" w:rsidRPr="000F07EC">
        <w:rPr>
          <w:kern w:val="22"/>
          <w:szCs w:val="22"/>
        </w:rPr>
        <w:t xml:space="preserve"> and (2)</w:t>
      </w:r>
      <w:r w:rsidR="002E2FF9" w:rsidRPr="000F07EC">
        <w:rPr>
          <w:kern w:val="22"/>
          <w:szCs w:val="22"/>
        </w:rPr>
        <w:t xml:space="preserve"> and 8(j)</w:t>
      </w:r>
      <w:r w:rsidR="00BE3CE9" w:rsidRPr="000F07EC">
        <w:rPr>
          <w:kern w:val="22"/>
          <w:szCs w:val="22"/>
        </w:rPr>
        <w:t>,</w:t>
      </w:r>
      <w:r w:rsidR="000A62EE" w:rsidRPr="000F07EC">
        <w:rPr>
          <w:kern w:val="22"/>
          <w:szCs w:val="22"/>
        </w:rPr>
        <w:t xml:space="preserve"> </w:t>
      </w:r>
      <w:r w:rsidR="00BE3CE9" w:rsidRPr="000F07EC">
        <w:rPr>
          <w:kern w:val="22"/>
          <w:szCs w:val="22"/>
        </w:rPr>
        <w:t>in order to provide</w:t>
      </w:r>
      <w:r w:rsidR="000A62EE" w:rsidRPr="000F07EC">
        <w:rPr>
          <w:kern w:val="22"/>
          <w:szCs w:val="22"/>
        </w:rPr>
        <w:t xml:space="preserve"> greater legal certainty to both providers and users of genetic resources</w:t>
      </w:r>
      <w:r w:rsidR="002E2FF9" w:rsidRPr="000F07EC">
        <w:rPr>
          <w:kern w:val="22"/>
          <w:szCs w:val="22"/>
        </w:rPr>
        <w:t xml:space="preserve"> and associated traditional knowledge</w:t>
      </w:r>
      <w:r w:rsidR="0065770C" w:rsidRPr="000F07EC">
        <w:rPr>
          <w:kern w:val="22"/>
          <w:szCs w:val="22"/>
        </w:rPr>
        <w:t>.</w:t>
      </w:r>
      <w:r w:rsidR="000A62EE" w:rsidRPr="000F07EC">
        <w:rPr>
          <w:kern w:val="22"/>
          <w:szCs w:val="22"/>
        </w:rPr>
        <w:t xml:space="preserve"> The provisions of the N</w:t>
      </w:r>
      <w:r w:rsidR="006F6F44" w:rsidRPr="000F07EC">
        <w:rPr>
          <w:kern w:val="22"/>
          <w:szCs w:val="22"/>
        </w:rPr>
        <w:t xml:space="preserve">agoya </w:t>
      </w:r>
      <w:r w:rsidR="000A62EE" w:rsidRPr="000F07EC">
        <w:rPr>
          <w:kern w:val="22"/>
          <w:szCs w:val="22"/>
        </w:rPr>
        <w:t>P</w:t>
      </w:r>
      <w:r w:rsidR="006F6F44" w:rsidRPr="000F07EC">
        <w:rPr>
          <w:kern w:val="22"/>
          <w:szCs w:val="22"/>
        </w:rPr>
        <w:t>rotocol are</w:t>
      </w:r>
      <w:r w:rsidR="000A62EE" w:rsidRPr="000F07EC">
        <w:rPr>
          <w:kern w:val="22"/>
          <w:szCs w:val="22"/>
        </w:rPr>
        <w:t xml:space="preserve"> fully in line with the ABS provisions of the C</w:t>
      </w:r>
      <w:r w:rsidR="006F6F44" w:rsidRPr="000F07EC">
        <w:rPr>
          <w:kern w:val="22"/>
          <w:szCs w:val="22"/>
        </w:rPr>
        <w:t>onvention</w:t>
      </w:r>
      <w:r w:rsidR="000A62EE" w:rsidRPr="000F07EC">
        <w:rPr>
          <w:kern w:val="22"/>
          <w:szCs w:val="22"/>
        </w:rPr>
        <w:t xml:space="preserve"> and go a step further in establishing an international framework for </w:t>
      </w:r>
      <w:r w:rsidR="00042999" w:rsidRPr="000F07EC">
        <w:rPr>
          <w:kern w:val="22"/>
          <w:szCs w:val="22"/>
        </w:rPr>
        <w:t xml:space="preserve">access and benefit-sharing </w:t>
      </w:r>
      <w:r w:rsidR="001A1B76" w:rsidRPr="000F07EC">
        <w:rPr>
          <w:kern w:val="22"/>
          <w:szCs w:val="22"/>
        </w:rPr>
        <w:t>through innovative provisions</w:t>
      </w:r>
      <w:r w:rsidR="00033CEB" w:rsidRPr="000F07EC">
        <w:rPr>
          <w:kern w:val="22"/>
          <w:szCs w:val="22"/>
        </w:rPr>
        <w:t>,</w:t>
      </w:r>
      <w:r w:rsidR="001A1B76" w:rsidRPr="000F07EC">
        <w:rPr>
          <w:kern w:val="22"/>
          <w:szCs w:val="22"/>
        </w:rPr>
        <w:t xml:space="preserve"> including those related to </w:t>
      </w:r>
      <w:r w:rsidR="00042999" w:rsidRPr="000F07EC">
        <w:rPr>
          <w:kern w:val="22"/>
          <w:szCs w:val="22"/>
        </w:rPr>
        <w:t xml:space="preserve">access, benefit-sharing, </w:t>
      </w:r>
      <w:r w:rsidR="001A1B76" w:rsidRPr="000F07EC">
        <w:rPr>
          <w:kern w:val="22"/>
          <w:szCs w:val="22"/>
        </w:rPr>
        <w:t>c</w:t>
      </w:r>
      <w:r w:rsidR="0027701F" w:rsidRPr="000F07EC">
        <w:rPr>
          <w:kern w:val="22"/>
          <w:szCs w:val="22"/>
        </w:rPr>
        <w:t xml:space="preserve">ompliance, indigenous peoples and local communities, and </w:t>
      </w:r>
      <w:r w:rsidR="001A1B76" w:rsidRPr="000F07EC">
        <w:rPr>
          <w:kern w:val="22"/>
          <w:szCs w:val="22"/>
        </w:rPr>
        <w:t>the establishmen</w:t>
      </w:r>
      <w:r w:rsidR="0027701F" w:rsidRPr="000F07EC">
        <w:rPr>
          <w:kern w:val="22"/>
          <w:szCs w:val="22"/>
        </w:rPr>
        <w:t>t of the ABS Clearing-House.</w:t>
      </w:r>
    </w:p>
    <w:p w:rsidR="00E829C8" w:rsidRPr="000F07EC" w:rsidRDefault="007146A1" w:rsidP="000F07EC">
      <w:pPr>
        <w:pStyle w:val="Para1"/>
        <w:suppressLineNumbers/>
        <w:suppressAutoHyphens/>
        <w:kinsoku w:val="0"/>
        <w:overflowPunct w:val="0"/>
        <w:autoSpaceDE w:val="0"/>
        <w:autoSpaceDN w:val="0"/>
        <w:adjustRightInd w:val="0"/>
        <w:snapToGrid w:val="0"/>
        <w:rPr>
          <w:kern w:val="22"/>
          <w:szCs w:val="22"/>
        </w:rPr>
      </w:pPr>
      <w:r w:rsidRPr="000F07EC" w:rsidDel="00E829C8">
        <w:rPr>
          <w:kern w:val="22"/>
          <w:szCs w:val="22"/>
        </w:rPr>
        <w:t>In 2010, Parties to the C</w:t>
      </w:r>
      <w:r w:rsidR="00A935F9" w:rsidRPr="000F07EC" w:rsidDel="00E829C8">
        <w:rPr>
          <w:kern w:val="22"/>
          <w:szCs w:val="22"/>
        </w:rPr>
        <w:t>onvention</w:t>
      </w:r>
      <w:r w:rsidRPr="000F07EC" w:rsidDel="00E829C8">
        <w:rPr>
          <w:kern w:val="22"/>
          <w:szCs w:val="22"/>
        </w:rPr>
        <w:t xml:space="preserve"> </w:t>
      </w:r>
      <w:r w:rsidR="006B3613" w:rsidRPr="000F07EC">
        <w:rPr>
          <w:kern w:val="22"/>
          <w:szCs w:val="22"/>
        </w:rPr>
        <w:t xml:space="preserve">also </w:t>
      </w:r>
      <w:r w:rsidRPr="000F07EC" w:rsidDel="00E829C8">
        <w:rPr>
          <w:kern w:val="22"/>
          <w:szCs w:val="22"/>
        </w:rPr>
        <w:t xml:space="preserve">adopted the </w:t>
      </w:r>
      <w:hyperlink r:id="rId18" w:history="1">
        <w:r w:rsidRPr="000F07EC" w:rsidDel="00E829C8">
          <w:rPr>
            <w:rStyle w:val="Hyperlink"/>
            <w:kern w:val="22"/>
            <w:szCs w:val="22"/>
          </w:rPr>
          <w:t>Strategic Plan for Biodiversity</w:t>
        </w:r>
        <w:r w:rsidR="00BD2718" w:rsidRPr="000F07EC">
          <w:rPr>
            <w:rStyle w:val="Hyperlink"/>
            <w:kern w:val="22"/>
            <w:szCs w:val="22"/>
          </w:rPr>
          <w:t xml:space="preserve"> 2011-2020</w:t>
        </w:r>
      </w:hyperlink>
      <w:r w:rsidRPr="000F07EC" w:rsidDel="00E829C8">
        <w:rPr>
          <w:kern w:val="22"/>
          <w:szCs w:val="22"/>
        </w:rPr>
        <w:t xml:space="preserve">, including the Aichi Biodiversity Targets, for the </w:t>
      </w:r>
      <w:r w:rsidR="00F471BB" w:rsidRPr="000F07EC" w:rsidDel="00E829C8">
        <w:rPr>
          <w:kern w:val="22"/>
          <w:szCs w:val="22"/>
        </w:rPr>
        <w:t xml:space="preserve">period </w:t>
      </w:r>
      <w:r w:rsidRPr="000F07EC" w:rsidDel="00E829C8">
        <w:rPr>
          <w:kern w:val="22"/>
          <w:szCs w:val="22"/>
        </w:rPr>
        <w:t>2011-2020.</w:t>
      </w:r>
      <w:r w:rsidR="00786D5C" w:rsidRPr="000F07EC">
        <w:rPr>
          <w:rStyle w:val="FootnoteReference"/>
          <w:kern w:val="22"/>
          <w:szCs w:val="22"/>
        </w:rPr>
        <w:footnoteReference w:id="3"/>
      </w:r>
      <w:r w:rsidRPr="000F07EC" w:rsidDel="00E829C8">
        <w:rPr>
          <w:kern w:val="22"/>
          <w:szCs w:val="22"/>
        </w:rPr>
        <w:t xml:space="preserve"> </w:t>
      </w:r>
      <w:r w:rsidR="00B65D7E" w:rsidRPr="000F07EC" w:rsidDel="00E829C8">
        <w:rPr>
          <w:kern w:val="22"/>
          <w:szCs w:val="22"/>
        </w:rPr>
        <w:t>Target 16 of the Strategic Plan provides</w:t>
      </w:r>
      <w:r w:rsidRPr="000F07EC" w:rsidDel="00E829C8">
        <w:rPr>
          <w:kern w:val="22"/>
          <w:szCs w:val="22"/>
        </w:rPr>
        <w:t xml:space="preserve"> </w:t>
      </w:r>
      <w:r w:rsidR="00B65D7E" w:rsidRPr="000F07EC" w:rsidDel="00E829C8">
        <w:rPr>
          <w:kern w:val="22"/>
          <w:szCs w:val="22"/>
        </w:rPr>
        <w:t xml:space="preserve">that “by 2015, the Nagoya Protocol on Access to Genetic Resources and the Fair and Equitable Sharing of Benefits Arising from their Utilization is in force and operational, consistent with national legislation.” </w:t>
      </w:r>
      <w:r w:rsidRPr="000F07EC" w:rsidDel="00E829C8">
        <w:rPr>
          <w:kern w:val="22"/>
          <w:szCs w:val="22"/>
        </w:rPr>
        <w:t xml:space="preserve">The adoption of this target </w:t>
      </w:r>
      <w:r w:rsidR="006B3613" w:rsidRPr="000F07EC">
        <w:rPr>
          <w:kern w:val="22"/>
          <w:szCs w:val="22"/>
        </w:rPr>
        <w:t>demonstrated</w:t>
      </w:r>
      <w:r w:rsidR="00A935F9" w:rsidRPr="000F07EC" w:rsidDel="00E829C8">
        <w:rPr>
          <w:kern w:val="22"/>
          <w:szCs w:val="22"/>
        </w:rPr>
        <w:t xml:space="preserve"> the commitment of </w:t>
      </w:r>
      <w:r w:rsidRPr="000F07EC" w:rsidDel="00E829C8">
        <w:rPr>
          <w:kern w:val="22"/>
          <w:szCs w:val="22"/>
        </w:rPr>
        <w:t>Parties</w:t>
      </w:r>
      <w:r w:rsidR="00A935F9" w:rsidRPr="000F07EC" w:rsidDel="00E829C8">
        <w:rPr>
          <w:kern w:val="22"/>
          <w:szCs w:val="22"/>
        </w:rPr>
        <w:t xml:space="preserve"> to the Convention</w:t>
      </w:r>
      <w:r w:rsidRPr="000F07EC" w:rsidDel="00E829C8">
        <w:rPr>
          <w:kern w:val="22"/>
          <w:szCs w:val="22"/>
        </w:rPr>
        <w:t xml:space="preserve"> to work towards ratification and implementation of the Nagoya Protocol. </w:t>
      </w:r>
      <w:r w:rsidR="0017247F" w:rsidRPr="000F07EC" w:rsidDel="00E829C8">
        <w:rPr>
          <w:kern w:val="22"/>
          <w:szCs w:val="22"/>
        </w:rPr>
        <w:t>The</w:t>
      </w:r>
      <w:r w:rsidR="00B65D7E" w:rsidRPr="000F07EC" w:rsidDel="00E829C8">
        <w:rPr>
          <w:kern w:val="22"/>
          <w:szCs w:val="22"/>
        </w:rPr>
        <w:t xml:space="preserve"> </w:t>
      </w:r>
      <w:r w:rsidR="006861A0" w:rsidRPr="000F07EC" w:rsidDel="00E829C8">
        <w:rPr>
          <w:kern w:val="22"/>
          <w:szCs w:val="22"/>
        </w:rPr>
        <w:t xml:space="preserve">first part of the </w:t>
      </w:r>
      <w:r w:rsidR="00B65D7E" w:rsidRPr="000F07EC" w:rsidDel="00E829C8">
        <w:rPr>
          <w:kern w:val="22"/>
          <w:szCs w:val="22"/>
        </w:rPr>
        <w:t>target was achieved with the entry into force of the</w:t>
      </w:r>
      <w:r w:rsidR="00A42777" w:rsidRPr="000F07EC" w:rsidDel="00E829C8">
        <w:rPr>
          <w:kern w:val="22"/>
          <w:szCs w:val="22"/>
        </w:rPr>
        <w:t xml:space="preserve"> Protocol</w:t>
      </w:r>
      <w:r w:rsidR="0017247F" w:rsidRPr="000F07EC" w:rsidDel="00E829C8">
        <w:rPr>
          <w:kern w:val="22"/>
          <w:szCs w:val="22"/>
        </w:rPr>
        <w:t xml:space="preserve"> on 10 October 2014</w:t>
      </w:r>
      <w:r w:rsidR="00B65D7E" w:rsidRPr="000F07EC" w:rsidDel="00E829C8">
        <w:rPr>
          <w:kern w:val="22"/>
          <w:szCs w:val="22"/>
        </w:rPr>
        <w:t>.</w:t>
      </w:r>
      <w:r w:rsidR="006861A0" w:rsidRPr="000F07EC" w:rsidDel="00E829C8">
        <w:rPr>
          <w:kern w:val="22"/>
          <w:szCs w:val="22"/>
        </w:rPr>
        <w:t xml:space="preserve"> With respect to the second part of the target, although the Protocol is operational, efforts are still needed to </w:t>
      </w:r>
      <w:r w:rsidR="0010056E" w:rsidRPr="000F07EC" w:rsidDel="00E829C8">
        <w:rPr>
          <w:kern w:val="22"/>
          <w:szCs w:val="22"/>
        </w:rPr>
        <w:t xml:space="preserve">further </w:t>
      </w:r>
      <w:r w:rsidR="006861A0" w:rsidRPr="000F07EC" w:rsidDel="00E829C8">
        <w:rPr>
          <w:kern w:val="22"/>
          <w:szCs w:val="22"/>
        </w:rPr>
        <w:t>advance its implementation.</w:t>
      </w:r>
    </w:p>
    <w:p w:rsidR="00E829C8" w:rsidRPr="000F07EC" w:rsidRDefault="001F68FD" w:rsidP="000F07EC">
      <w:pPr>
        <w:pStyle w:val="Heading2"/>
        <w:suppressLineNumbers/>
        <w:suppressAutoHyphens/>
        <w:kinsoku w:val="0"/>
        <w:overflowPunct w:val="0"/>
        <w:autoSpaceDE w:val="0"/>
        <w:autoSpaceDN w:val="0"/>
        <w:adjustRightInd w:val="0"/>
        <w:snapToGrid w:val="0"/>
        <w:ind w:left="1152" w:hanging="432"/>
        <w:jc w:val="left"/>
        <w:rPr>
          <w:snapToGrid w:val="0"/>
          <w:kern w:val="22"/>
          <w:szCs w:val="22"/>
        </w:rPr>
      </w:pPr>
      <w:r w:rsidRPr="000F07EC">
        <w:rPr>
          <w:snapToGrid w:val="0"/>
          <w:kern w:val="22"/>
          <w:szCs w:val="22"/>
        </w:rPr>
        <w:t>A</w:t>
      </w:r>
      <w:r w:rsidR="00E829C8" w:rsidRPr="000F07EC">
        <w:rPr>
          <w:snapToGrid w:val="0"/>
          <w:kern w:val="22"/>
          <w:szCs w:val="22"/>
        </w:rPr>
        <w:t>.</w:t>
      </w:r>
      <w:r w:rsidRPr="000F07EC">
        <w:rPr>
          <w:snapToGrid w:val="0"/>
          <w:kern w:val="22"/>
          <w:szCs w:val="22"/>
        </w:rPr>
        <w:tab/>
      </w:r>
      <w:r w:rsidR="00E829C8" w:rsidRPr="000F07EC">
        <w:rPr>
          <w:snapToGrid w:val="0"/>
          <w:kern w:val="22"/>
          <w:szCs w:val="22"/>
        </w:rPr>
        <w:t>Status of reporting on access and benefit-sharing under the Convention and the Nagoya</w:t>
      </w:r>
      <w:r w:rsidR="00CD62C1" w:rsidRPr="000F07EC">
        <w:rPr>
          <w:snapToGrid w:val="0"/>
          <w:kern w:val="22"/>
          <w:szCs w:val="22"/>
        </w:rPr>
        <w:t> </w:t>
      </w:r>
      <w:r w:rsidR="00E829C8" w:rsidRPr="000F07EC">
        <w:rPr>
          <w:snapToGrid w:val="0"/>
          <w:kern w:val="22"/>
          <w:szCs w:val="22"/>
        </w:rPr>
        <w:t>Protocol</w:t>
      </w:r>
    </w:p>
    <w:p w:rsidR="00E829C8" w:rsidRPr="000F07EC" w:rsidRDefault="003157F2"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Further to </w:t>
      </w:r>
      <w:r w:rsidR="00E829C8" w:rsidRPr="000F07EC">
        <w:rPr>
          <w:kern w:val="22"/>
          <w:szCs w:val="22"/>
        </w:rPr>
        <w:t xml:space="preserve">the adoption of the Strategic Plan for Biodiversity </w:t>
      </w:r>
      <w:r w:rsidR="00BD2718" w:rsidRPr="000F07EC">
        <w:rPr>
          <w:kern w:val="22"/>
          <w:szCs w:val="22"/>
        </w:rPr>
        <w:t xml:space="preserve">2011-2020 </w:t>
      </w:r>
      <w:r w:rsidR="00E829C8" w:rsidRPr="000F07EC">
        <w:rPr>
          <w:kern w:val="22"/>
          <w:szCs w:val="22"/>
        </w:rPr>
        <w:t xml:space="preserve">and its Aichi Biodiversity Targets, Parties </w:t>
      </w:r>
      <w:r w:rsidR="00376A2E" w:rsidRPr="000F07EC">
        <w:rPr>
          <w:kern w:val="22"/>
          <w:szCs w:val="22"/>
        </w:rPr>
        <w:t xml:space="preserve">to the Convention </w:t>
      </w:r>
      <w:r w:rsidR="00E829C8" w:rsidRPr="000F07EC">
        <w:rPr>
          <w:kern w:val="22"/>
          <w:szCs w:val="22"/>
        </w:rPr>
        <w:t>agreed to translate this overarching international framework into revised and updated national biodiversity strategies and action plans (NBSAPs)</w:t>
      </w:r>
      <w:r w:rsidR="001F68FD" w:rsidRPr="000F07EC">
        <w:rPr>
          <w:kern w:val="22"/>
          <w:szCs w:val="22"/>
        </w:rPr>
        <w:t>.</w:t>
      </w:r>
      <w:r w:rsidR="00E829C8" w:rsidRPr="000F07EC">
        <w:rPr>
          <w:kern w:val="22"/>
          <w:szCs w:val="22"/>
        </w:rPr>
        <w:t xml:space="preserve"> Additionally, the Conference of the Parties decided</w:t>
      </w:r>
      <w:r w:rsidR="0024037F" w:rsidRPr="000F07EC">
        <w:rPr>
          <w:kern w:val="22"/>
          <w:szCs w:val="22"/>
        </w:rPr>
        <w:t xml:space="preserve"> that the fifth national reports, due by 31 March 2014, should focus on the implementation of the 2011-2020 Strategic Plan and progress achieved towards the Aichi Biodiversity Targets.</w:t>
      </w:r>
      <w:r w:rsidR="00141982" w:rsidRPr="000F07EC">
        <w:rPr>
          <w:rStyle w:val="FootnoteReference"/>
          <w:kern w:val="22"/>
          <w:szCs w:val="22"/>
        </w:rPr>
        <w:footnoteReference w:id="4"/>
      </w:r>
    </w:p>
    <w:p w:rsidR="00E829C8" w:rsidRPr="000F07EC" w:rsidRDefault="000502E7"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I</w:t>
      </w:r>
      <w:r w:rsidR="00E829C8" w:rsidRPr="000F07EC">
        <w:rPr>
          <w:kern w:val="22"/>
          <w:szCs w:val="22"/>
        </w:rPr>
        <w:t>n accordance with Article 29 of the Nagoya Protocol</w:t>
      </w:r>
      <w:r w:rsidR="00376A2E" w:rsidRPr="000F07EC">
        <w:rPr>
          <w:kern w:val="22"/>
          <w:szCs w:val="22"/>
        </w:rPr>
        <w:t>,</w:t>
      </w:r>
      <w:r w:rsidR="00E829C8" w:rsidRPr="000F07EC">
        <w:rPr>
          <w:kern w:val="22"/>
          <w:szCs w:val="22"/>
        </w:rPr>
        <w:t xml:space="preserve"> each Party is required to monitor the implementation of its obligations and to report to the </w:t>
      </w:r>
      <w:r w:rsidRPr="000F07EC">
        <w:rPr>
          <w:kern w:val="22"/>
          <w:szCs w:val="22"/>
        </w:rPr>
        <w:t xml:space="preserve">Conference of the Parties serving as the </w:t>
      </w:r>
      <w:r w:rsidR="00E829C8" w:rsidRPr="000F07EC">
        <w:rPr>
          <w:kern w:val="22"/>
          <w:szCs w:val="22"/>
        </w:rPr>
        <w:t xml:space="preserve">meeting of the Parties to the Protocol on measures it has taken to implement the Protocol. </w:t>
      </w:r>
      <w:r w:rsidR="003203FE" w:rsidRPr="000F07EC">
        <w:rPr>
          <w:kern w:val="22"/>
          <w:szCs w:val="22"/>
        </w:rPr>
        <w:t xml:space="preserve">At its </w:t>
      </w:r>
      <w:r w:rsidR="00E829C8" w:rsidRPr="000F07EC">
        <w:rPr>
          <w:kern w:val="22"/>
          <w:szCs w:val="22"/>
        </w:rPr>
        <w:t>first meeting</w:t>
      </w:r>
      <w:r w:rsidR="003203FE" w:rsidRPr="000F07EC">
        <w:rPr>
          <w:kern w:val="22"/>
          <w:szCs w:val="22"/>
        </w:rPr>
        <w:t>,</w:t>
      </w:r>
      <w:r w:rsidR="00E829C8" w:rsidRPr="000F07EC">
        <w:rPr>
          <w:kern w:val="22"/>
          <w:szCs w:val="22"/>
        </w:rPr>
        <w:t xml:space="preserve"> </w:t>
      </w:r>
      <w:r w:rsidR="003203FE" w:rsidRPr="000F07EC">
        <w:rPr>
          <w:kern w:val="22"/>
          <w:szCs w:val="22"/>
        </w:rPr>
        <w:t xml:space="preserve">the Conference of the Parties serving as the meeting </w:t>
      </w:r>
      <w:r w:rsidR="00E829C8" w:rsidRPr="000F07EC">
        <w:rPr>
          <w:kern w:val="22"/>
          <w:szCs w:val="22"/>
        </w:rPr>
        <w:t xml:space="preserve">of the Parties to the Protocol requested Parties to submit a national report on the implementation of the Protocol </w:t>
      </w:r>
      <w:r w:rsidR="003203FE" w:rsidRPr="000F07EC">
        <w:rPr>
          <w:kern w:val="22"/>
          <w:szCs w:val="22"/>
        </w:rPr>
        <w:t xml:space="preserve">12 </w:t>
      </w:r>
      <w:r w:rsidR="00E829C8" w:rsidRPr="000F07EC">
        <w:rPr>
          <w:kern w:val="22"/>
          <w:szCs w:val="22"/>
        </w:rPr>
        <w:t>months prior to the third meeting of the Parties. Accordingly, Parties and non-Parties were invited to submit a national report by 1</w:t>
      </w:r>
      <w:r w:rsidR="003203FE" w:rsidRPr="000F07EC">
        <w:rPr>
          <w:kern w:val="22"/>
          <w:szCs w:val="22"/>
        </w:rPr>
        <w:t> </w:t>
      </w:r>
      <w:r w:rsidR="00E829C8" w:rsidRPr="000F07EC">
        <w:rPr>
          <w:kern w:val="22"/>
          <w:szCs w:val="22"/>
        </w:rPr>
        <w:t>November</w:t>
      </w:r>
      <w:r w:rsidR="003203FE" w:rsidRPr="000F07EC">
        <w:rPr>
          <w:kern w:val="22"/>
          <w:szCs w:val="22"/>
        </w:rPr>
        <w:t> </w:t>
      </w:r>
      <w:r w:rsidR="00E829C8" w:rsidRPr="000F07EC">
        <w:rPr>
          <w:kern w:val="22"/>
          <w:szCs w:val="22"/>
        </w:rPr>
        <w:t>2017. Parties to the Nagoya Protocol are also required to make national information available to the ABS Clearing-House as provided by Article 14 of the Protocol</w:t>
      </w:r>
      <w:r w:rsidR="006B3613" w:rsidRPr="000F07EC">
        <w:rPr>
          <w:kern w:val="22"/>
          <w:szCs w:val="22"/>
        </w:rPr>
        <w:t xml:space="preserve"> and non-Parties are encouraged to do so.</w:t>
      </w:r>
    </w:p>
    <w:p w:rsidR="006B3613" w:rsidRPr="000F07EC" w:rsidRDefault="003157F2" w:rsidP="000F07EC">
      <w:pPr>
        <w:pStyle w:val="Para1"/>
        <w:suppressLineNumbers/>
        <w:suppressAutoHyphens/>
        <w:kinsoku w:val="0"/>
        <w:overflowPunct w:val="0"/>
        <w:autoSpaceDE w:val="0"/>
        <w:autoSpaceDN w:val="0"/>
        <w:adjustRightInd w:val="0"/>
        <w:snapToGrid w:val="0"/>
        <w:rPr>
          <w:b/>
          <w:kern w:val="22"/>
          <w:szCs w:val="22"/>
        </w:rPr>
      </w:pPr>
      <w:r w:rsidRPr="000F07EC">
        <w:rPr>
          <w:kern w:val="22"/>
          <w:szCs w:val="22"/>
        </w:rPr>
        <w:lastRenderedPageBreak/>
        <w:t>Against this background, t</w:t>
      </w:r>
      <w:r w:rsidR="00E829C8" w:rsidRPr="000F07EC">
        <w:rPr>
          <w:kern w:val="22"/>
          <w:szCs w:val="22"/>
        </w:rPr>
        <w:t>he table below provides an overview of ABS reporting through the different reporting mechanisms established under the Convention and the Nagoya Protocol.</w:t>
      </w:r>
    </w:p>
    <w:p w:rsidR="006B3613" w:rsidRPr="000F07EC" w:rsidRDefault="00E829C8" w:rsidP="000F07EC">
      <w:pPr>
        <w:keepNext/>
        <w:suppressLineNumbers/>
        <w:suppressAutoHyphens/>
        <w:kinsoku w:val="0"/>
        <w:overflowPunct w:val="0"/>
        <w:autoSpaceDE w:val="0"/>
        <w:autoSpaceDN w:val="0"/>
        <w:adjustRightInd w:val="0"/>
        <w:snapToGrid w:val="0"/>
        <w:ind w:left="720" w:hanging="720"/>
        <w:jc w:val="left"/>
        <w:rPr>
          <w:b/>
          <w:snapToGrid w:val="0"/>
          <w:kern w:val="22"/>
          <w:szCs w:val="22"/>
        </w:rPr>
      </w:pPr>
      <w:proofErr w:type="gramStart"/>
      <w:r w:rsidRPr="000F07EC">
        <w:rPr>
          <w:b/>
          <w:snapToGrid w:val="0"/>
          <w:kern w:val="22"/>
          <w:szCs w:val="22"/>
        </w:rPr>
        <w:t>Table</w:t>
      </w:r>
      <w:r w:rsidR="009316F7" w:rsidRPr="000F07EC">
        <w:rPr>
          <w:b/>
          <w:snapToGrid w:val="0"/>
          <w:kern w:val="22"/>
          <w:szCs w:val="22"/>
        </w:rPr>
        <w:t>.</w:t>
      </w:r>
      <w:proofErr w:type="gramEnd"/>
      <w:r w:rsidR="00535459" w:rsidRPr="000F07EC">
        <w:rPr>
          <w:b/>
          <w:snapToGrid w:val="0"/>
          <w:kern w:val="22"/>
          <w:szCs w:val="22"/>
        </w:rPr>
        <w:tab/>
      </w:r>
      <w:r w:rsidRPr="000F07EC">
        <w:rPr>
          <w:b/>
          <w:snapToGrid w:val="0"/>
          <w:kern w:val="22"/>
          <w:szCs w:val="22"/>
        </w:rPr>
        <w:t xml:space="preserve">Overview of ABS reporting under the Convention and the </w:t>
      </w:r>
      <w:r w:rsidR="00535459" w:rsidRPr="000F07EC">
        <w:rPr>
          <w:b/>
          <w:snapToGrid w:val="0"/>
          <w:kern w:val="22"/>
          <w:szCs w:val="22"/>
        </w:rPr>
        <w:t xml:space="preserve">Nagoya </w:t>
      </w:r>
      <w:r w:rsidRPr="000F07EC">
        <w:rPr>
          <w:b/>
          <w:snapToGrid w:val="0"/>
          <w:kern w:val="22"/>
          <w:szCs w:val="22"/>
        </w:rPr>
        <w:t>Protocol as of 22</w:t>
      </w:r>
      <w:r w:rsidR="00535459" w:rsidRPr="000F07EC">
        <w:rPr>
          <w:b/>
          <w:snapToGrid w:val="0"/>
          <w:kern w:val="22"/>
          <w:szCs w:val="22"/>
        </w:rPr>
        <w:t> </w:t>
      </w:r>
      <w:r w:rsidRPr="000F07EC">
        <w:rPr>
          <w:b/>
          <w:snapToGrid w:val="0"/>
          <w:kern w:val="22"/>
          <w:szCs w:val="22"/>
        </w:rPr>
        <w:t>February 2018</w:t>
      </w:r>
    </w:p>
    <w:p w:rsidR="006B3613" w:rsidRPr="000F07EC" w:rsidRDefault="006B3613" w:rsidP="000F07EC">
      <w:pPr>
        <w:keepNext/>
        <w:suppressLineNumbers/>
        <w:suppressAutoHyphens/>
        <w:kinsoku w:val="0"/>
        <w:overflowPunct w:val="0"/>
        <w:autoSpaceDE w:val="0"/>
        <w:autoSpaceDN w:val="0"/>
        <w:adjustRightInd w:val="0"/>
        <w:snapToGrid w:val="0"/>
        <w:rPr>
          <w:bCs/>
          <w:snapToGrid w:val="0"/>
          <w:kern w:val="22"/>
          <w:szCs w:val="22"/>
        </w:rPr>
      </w:pPr>
    </w:p>
    <w:tbl>
      <w:tblPr>
        <w:tblStyle w:val="TableGrid"/>
        <w:tblW w:w="0" w:type="auto"/>
        <w:jc w:val="center"/>
        <w:tblInd w:w="-857" w:type="dxa"/>
        <w:tblLook w:val="06A0" w:firstRow="1" w:lastRow="0" w:firstColumn="1" w:lastColumn="0" w:noHBand="1" w:noVBand="1"/>
      </w:tblPr>
      <w:tblGrid>
        <w:gridCol w:w="2847"/>
        <w:gridCol w:w="1871"/>
        <w:gridCol w:w="2160"/>
        <w:gridCol w:w="2378"/>
      </w:tblGrid>
      <w:tr w:rsidR="00E829C8" w:rsidRPr="000F07EC" w:rsidTr="000F07EC">
        <w:trPr>
          <w:cantSplit/>
          <w:jc w:val="center"/>
        </w:trPr>
        <w:tc>
          <w:tcPr>
            <w:tcW w:w="2847" w:type="dxa"/>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i/>
                <w:iCs/>
                <w:snapToGrid w:val="0"/>
                <w:kern w:val="22"/>
                <w:szCs w:val="22"/>
              </w:rPr>
            </w:pPr>
          </w:p>
        </w:tc>
        <w:tc>
          <w:tcPr>
            <w:tcW w:w="1871" w:type="dxa"/>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i/>
                <w:iCs/>
                <w:snapToGrid w:val="0"/>
                <w:kern w:val="22"/>
                <w:szCs w:val="22"/>
              </w:rPr>
            </w:pPr>
            <w:r w:rsidRPr="000F07EC">
              <w:rPr>
                <w:rFonts w:ascii="Times New Roman" w:hAnsi="Times New Roman" w:cs="Times New Roman"/>
                <w:i/>
                <w:iCs/>
                <w:snapToGrid w:val="0"/>
                <w:kern w:val="22"/>
                <w:szCs w:val="22"/>
              </w:rPr>
              <w:t>Parties</w:t>
            </w:r>
            <w:r w:rsidR="00896917" w:rsidRPr="000F07EC">
              <w:rPr>
                <w:rFonts w:ascii="Times New Roman" w:hAnsi="Times New Roman" w:cs="Times New Roman"/>
                <w:i/>
                <w:iCs/>
                <w:snapToGrid w:val="0"/>
                <w:kern w:val="22"/>
                <w:szCs w:val="22"/>
              </w:rPr>
              <w:t xml:space="preserve"> to the Convention</w:t>
            </w:r>
            <w:r w:rsidRPr="000F07EC">
              <w:rPr>
                <w:rFonts w:ascii="Times New Roman" w:hAnsi="Times New Roman" w:cs="Times New Roman"/>
                <w:i/>
                <w:iCs/>
                <w:snapToGrid w:val="0"/>
                <w:kern w:val="22"/>
                <w:szCs w:val="22"/>
              </w:rPr>
              <w:t xml:space="preserve"> (196)</w:t>
            </w:r>
          </w:p>
        </w:tc>
        <w:tc>
          <w:tcPr>
            <w:tcW w:w="2160" w:type="dxa"/>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i/>
                <w:iCs/>
                <w:snapToGrid w:val="0"/>
                <w:kern w:val="22"/>
                <w:szCs w:val="22"/>
              </w:rPr>
            </w:pPr>
            <w:r w:rsidRPr="000F07EC">
              <w:rPr>
                <w:rFonts w:ascii="Times New Roman" w:hAnsi="Times New Roman" w:cs="Times New Roman"/>
                <w:i/>
                <w:iCs/>
                <w:snapToGrid w:val="0"/>
                <w:kern w:val="22"/>
                <w:szCs w:val="22"/>
              </w:rPr>
              <w:t>Parties to the Nagoya Protocol (105)</w:t>
            </w:r>
          </w:p>
        </w:tc>
        <w:tc>
          <w:tcPr>
            <w:tcW w:w="2378" w:type="dxa"/>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i/>
                <w:iCs/>
                <w:snapToGrid w:val="0"/>
                <w:kern w:val="22"/>
                <w:szCs w:val="22"/>
              </w:rPr>
            </w:pPr>
            <w:r w:rsidRPr="000F07EC">
              <w:rPr>
                <w:rFonts w:ascii="Times New Roman" w:hAnsi="Times New Roman" w:cs="Times New Roman"/>
                <w:i/>
                <w:iCs/>
                <w:snapToGrid w:val="0"/>
                <w:kern w:val="22"/>
                <w:szCs w:val="22"/>
              </w:rPr>
              <w:t>Non-Parties to the Nagoya Protocol (91)</w:t>
            </w:r>
          </w:p>
        </w:tc>
      </w:tr>
      <w:tr w:rsidR="00E829C8" w:rsidRPr="000F07EC" w:rsidTr="000F07EC">
        <w:trPr>
          <w:cantSplit/>
          <w:jc w:val="center"/>
        </w:trPr>
        <w:tc>
          <w:tcPr>
            <w:tcW w:w="2847" w:type="dxa"/>
          </w:tcPr>
          <w:p w:rsidR="00E829C8" w:rsidRPr="000F07EC" w:rsidRDefault="00BD2718" w:rsidP="000F07EC">
            <w:pPr>
              <w:suppressLineNumbers/>
              <w:suppressAutoHyphens/>
              <w:kinsoku w:val="0"/>
              <w:overflowPunct w:val="0"/>
              <w:autoSpaceDE w:val="0"/>
              <w:autoSpaceDN w:val="0"/>
              <w:adjustRightInd w:val="0"/>
              <w:snapToGrid w:val="0"/>
              <w:jc w:val="left"/>
              <w:rPr>
                <w:rFonts w:ascii="Times New Roman" w:hAnsi="Times New Roman" w:cs="Times New Roman"/>
                <w:snapToGrid w:val="0"/>
                <w:kern w:val="22"/>
                <w:szCs w:val="22"/>
              </w:rPr>
            </w:pPr>
            <w:r w:rsidRPr="000F07EC">
              <w:rPr>
                <w:rFonts w:ascii="Times New Roman" w:hAnsi="Times New Roman" w:cs="Times New Roman"/>
                <w:snapToGrid w:val="0"/>
                <w:kern w:val="22"/>
                <w:szCs w:val="22"/>
              </w:rPr>
              <w:t>Fifth</w:t>
            </w:r>
            <w:r w:rsidR="00E829C8" w:rsidRPr="000F07EC">
              <w:rPr>
                <w:rFonts w:ascii="Times New Roman" w:hAnsi="Times New Roman" w:cs="Times New Roman"/>
                <w:snapToGrid w:val="0"/>
                <w:kern w:val="22"/>
                <w:szCs w:val="22"/>
              </w:rPr>
              <w:t xml:space="preserve"> </w:t>
            </w:r>
            <w:r w:rsidRPr="000F07EC">
              <w:rPr>
                <w:rFonts w:ascii="Times New Roman" w:hAnsi="Times New Roman" w:cs="Times New Roman"/>
                <w:snapToGrid w:val="0"/>
                <w:kern w:val="22"/>
                <w:szCs w:val="22"/>
              </w:rPr>
              <w:t>n</w:t>
            </w:r>
            <w:r w:rsidR="00E829C8" w:rsidRPr="000F07EC">
              <w:rPr>
                <w:rFonts w:ascii="Times New Roman" w:hAnsi="Times New Roman" w:cs="Times New Roman"/>
                <w:snapToGrid w:val="0"/>
                <w:kern w:val="22"/>
                <w:szCs w:val="22"/>
              </w:rPr>
              <w:t xml:space="preserve">ational </w:t>
            </w:r>
            <w:r w:rsidRPr="000F07EC">
              <w:rPr>
                <w:rFonts w:ascii="Times New Roman" w:hAnsi="Times New Roman" w:cs="Times New Roman"/>
                <w:snapToGrid w:val="0"/>
                <w:kern w:val="22"/>
                <w:szCs w:val="22"/>
              </w:rPr>
              <w:t>r</w:t>
            </w:r>
            <w:r w:rsidR="00E829C8" w:rsidRPr="000F07EC">
              <w:rPr>
                <w:rFonts w:ascii="Times New Roman" w:hAnsi="Times New Roman" w:cs="Times New Roman"/>
                <w:snapToGrid w:val="0"/>
                <w:kern w:val="22"/>
                <w:szCs w:val="22"/>
              </w:rPr>
              <w:t>eports submitted</w:t>
            </w:r>
          </w:p>
        </w:tc>
        <w:tc>
          <w:tcPr>
            <w:tcW w:w="1871"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189</w:t>
            </w:r>
          </w:p>
        </w:tc>
        <w:tc>
          <w:tcPr>
            <w:tcW w:w="2160"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102</w:t>
            </w:r>
          </w:p>
        </w:tc>
        <w:tc>
          <w:tcPr>
            <w:tcW w:w="2378"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87</w:t>
            </w:r>
          </w:p>
        </w:tc>
      </w:tr>
      <w:tr w:rsidR="00E829C8" w:rsidRPr="000F07EC" w:rsidTr="000F07EC">
        <w:trPr>
          <w:cantSplit/>
          <w:jc w:val="center"/>
        </w:trPr>
        <w:tc>
          <w:tcPr>
            <w:tcW w:w="2847" w:type="dxa"/>
          </w:tcPr>
          <w:p w:rsidR="00E829C8" w:rsidRPr="000F07EC" w:rsidRDefault="00E829C8" w:rsidP="000F07EC">
            <w:pPr>
              <w:suppressLineNumbers/>
              <w:suppressAutoHyphens/>
              <w:kinsoku w:val="0"/>
              <w:overflowPunct w:val="0"/>
              <w:autoSpaceDE w:val="0"/>
              <w:autoSpaceDN w:val="0"/>
              <w:adjustRightInd w:val="0"/>
              <w:snapToGrid w:val="0"/>
              <w:jc w:val="left"/>
              <w:rPr>
                <w:rFonts w:ascii="Times New Roman" w:hAnsi="Times New Roman" w:cs="Times New Roman"/>
                <w:snapToGrid w:val="0"/>
                <w:kern w:val="22"/>
                <w:szCs w:val="22"/>
              </w:rPr>
            </w:pPr>
            <w:r w:rsidRPr="000F07EC">
              <w:rPr>
                <w:rFonts w:ascii="Times New Roman" w:hAnsi="Times New Roman" w:cs="Times New Roman"/>
                <w:snapToGrid w:val="0"/>
                <w:kern w:val="22"/>
                <w:szCs w:val="22"/>
              </w:rPr>
              <w:t>Information reported on ABS in</w:t>
            </w:r>
            <w:r w:rsidR="002055D2" w:rsidRPr="000F07EC">
              <w:rPr>
                <w:rFonts w:ascii="Times New Roman" w:hAnsi="Times New Roman" w:cs="Times New Roman"/>
                <w:snapToGrid w:val="0"/>
                <w:kern w:val="22"/>
                <w:szCs w:val="22"/>
              </w:rPr>
              <w:t xml:space="preserve"> </w:t>
            </w:r>
            <w:r w:rsidR="00BD2718" w:rsidRPr="000F07EC">
              <w:rPr>
                <w:rFonts w:ascii="Times New Roman" w:hAnsi="Times New Roman" w:cs="Times New Roman"/>
                <w:snapToGrid w:val="0"/>
                <w:kern w:val="22"/>
                <w:szCs w:val="22"/>
              </w:rPr>
              <w:t>fifth</w:t>
            </w:r>
            <w:r w:rsidRPr="000F07EC">
              <w:rPr>
                <w:rFonts w:ascii="Times New Roman" w:hAnsi="Times New Roman" w:cs="Times New Roman"/>
                <w:snapToGrid w:val="0"/>
                <w:kern w:val="22"/>
                <w:szCs w:val="22"/>
              </w:rPr>
              <w:t xml:space="preserve"> </w:t>
            </w:r>
            <w:r w:rsidR="00BD2718" w:rsidRPr="000F07EC">
              <w:rPr>
                <w:rFonts w:ascii="Times New Roman" w:hAnsi="Times New Roman" w:cs="Times New Roman"/>
                <w:snapToGrid w:val="0"/>
                <w:kern w:val="22"/>
                <w:szCs w:val="22"/>
              </w:rPr>
              <w:t>n</w:t>
            </w:r>
            <w:r w:rsidRPr="000F07EC">
              <w:rPr>
                <w:rFonts w:ascii="Times New Roman" w:hAnsi="Times New Roman" w:cs="Times New Roman"/>
                <w:snapToGrid w:val="0"/>
                <w:kern w:val="22"/>
                <w:szCs w:val="22"/>
              </w:rPr>
              <w:t xml:space="preserve">ational </w:t>
            </w:r>
            <w:r w:rsidR="00BD2718" w:rsidRPr="000F07EC">
              <w:rPr>
                <w:rFonts w:ascii="Times New Roman" w:hAnsi="Times New Roman" w:cs="Times New Roman"/>
                <w:snapToGrid w:val="0"/>
                <w:kern w:val="22"/>
                <w:szCs w:val="22"/>
              </w:rPr>
              <w:t>r</w:t>
            </w:r>
            <w:r w:rsidRPr="000F07EC">
              <w:rPr>
                <w:rFonts w:ascii="Times New Roman" w:hAnsi="Times New Roman" w:cs="Times New Roman"/>
                <w:snapToGrid w:val="0"/>
                <w:kern w:val="22"/>
                <w:szCs w:val="22"/>
              </w:rPr>
              <w:t>eport</w:t>
            </w:r>
          </w:p>
        </w:tc>
        <w:tc>
          <w:tcPr>
            <w:tcW w:w="1871"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165</w:t>
            </w:r>
          </w:p>
        </w:tc>
        <w:tc>
          <w:tcPr>
            <w:tcW w:w="2160"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94</w:t>
            </w:r>
          </w:p>
        </w:tc>
        <w:tc>
          <w:tcPr>
            <w:tcW w:w="2378"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71</w:t>
            </w:r>
          </w:p>
        </w:tc>
      </w:tr>
      <w:tr w:rsidR="00E829C8" w:rsidRPr="000F07EC" w:rsidTr="000F07EC">
        <w:trPr>
          <w:cantSplit/>
          <w:jc w:val="center"/>
        </w:trPr>
        <w:tc>
          <w:tcPr>
            <w:tcW w:w="2847" w:type="dxa"/>
          </w:tcPr>
          <w:p w:rsidR="00E829C8" w:rsidRPr="000F07EC" w:rsidRDefault="00E829C8" w:rsidP="000F07EC">
            <w:pPr>
              <w:suppressLineNumbers/>
              <w:suppressAutoHyphens/>
              <w:kinsoku w:val="0"/>
              <w:overflowPunct w:val="0"/>
              <w:autoSpaceDE w:val="0"/>
              <w:autoSpaceDN w:val="0"/>
              <w:adjustRightInd w:val="0"/>
              <w:snapToGrid w:val="0"/>
              <w:jc w:val="left"/>
              <w:rPr>
                <w:rFonts w:ascii="Times New Roman" w:hAnsi="Times New Roman" w:cs="Times New Roman"/>
                <w:snapToGrid w:val="0"/>
                <w:kern w:val="22"/>
                <w:szCs w:val="22"/>
              </w:rPr>
            </w:pPr>
            <w:r w:rsidRPr="000F07EC">
              <w:rPr>
                <w:rFonts w:ascii="Times New Roman" w:hAnsi="Times New Roman" w:cs="Times New Roman"/>
                <w:snapToGrid w:val="0"/>
                <w:kern w:val="22"/>
                <w:szCs w:val="22"/>
              </w:rPr>
              <w:t>Information on ABS measures in</w:t>
            </w:r>
            <w:r w:rsidR="002055D2" w:rsidRPr="000F07EC">
              <w:rPr>
                <w:rFonts w:ascii="Times New Roman" w:hAnsi="Times New Roman" w:cs="Times New Roman"/>
                <w:snapToGrid w:val="0"/>
                <w:kern w:val="22"/>
                <w:szCs w:val="22"/>
              </w:rPr>
              <w:t xml:space="preserve"> </w:t>
            </w:r>
            <w:r w:rsidR="00BD2718" w:rsidRPr="000F07EC">
              <w:rPr>
                <w:rFonts w:ascii="Times New Roman" w:hAnsi="Times New Roman" w:cs="Times New Roman"/>
                <w:snapToGrid w:val="0"/>
                <w:kern w:val="22"/>
                <w:szCs w:val="22"/>
              </w:rPr>
              <w:t>fifth n</w:t>
            </w:r>
            <w:r w:rsidRPr="000F07EC">
              <w:rPr>
                <w:rFonts w:ascii="Times New Roman" w:hAnsi="Times New Roman" w:cs="Times New Roman"/>
                <w:snapToGrid w:val="0"/>
                <w:kern w:val="22"/>
                <w:szCs w:val="22"/>
              </w:rPr>
              <w:t xml:space="preserve">ational </w:t>
            </w:r>
            <w:r w:rsidR="00BD2718" w:rsidRPr="000F07EC">
              <w:rPr>
                <w:rFonts w:ascii="Times New Roman" w:hAnsi="Times New Roman" w:cs="Times New Roman"/>
                <w:snapToGrid w:val="0"/>
                <w:kern w:val="22"/>
                <w:szCs w:val="22"/>
              </w:rPr>
              <w:t>r</w:t>
            </w:r>
            <w:r w:rsidRPr="000F07EC">
              <w:rPr>
                <w:rFonts w:ascii="Times New Roman" w:hAnsi="Times New Roman" w:cs="Times New Roman"/>
                <w:snapToGrid w:val="0"/>
                <w:kern w:val="22"/>
                <w:szCs w:val="22"/>
              </w:rPr>
              <w:t>eport</w:t>
            </w:r>
          </w:p>
        </w:tc>
        <w:tc>
          <w:tcPr>
            <w:tcW w:w="1871"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102</w:t>
            </w:r>
          </w:p>
        </w:tc>
        <w:tc>
          <w:tcPr>
            <w:tcW w:w="2160"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67</w:t>
            </w:r>
          </w:p>
        </w:tc>
        <w:tc>
          <w:tcPr>
            <w:tcW w:w="2378"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35</w:t>
            </w:r>
          </w:p>
        </w:tc>
      </w:tr>
      <w:tr w:rsidR="00E829C8" w:rsidRPr="000F07EC" w:rsidTr="000F07EC">
        <w:trPr>
          <w:cantSplit/>
          <w:jc w:val="center"/>
        </w:trPr>
        <w:tc>
          <w:tcPr>
            <w:tcW w:w="2847" w:type="dxa"/>
          </w:tcPr>
          <w:p w:rsidR="00E829C8" w:rsidRPr="000F07EC" w:rsidRDefault="00E829C8" w:rsidP="000F07EC">
            <w:pPr>
              <w:suppressLineNumbers/>
              <w:suppressAutoHyphens/>
              <w:kinsoku w:val="0"/>
              <w:overflowPunct w:val="0"/>
              <w:autoSpaceDE w:val="0"/>
              <w:autoSpaceDN w:val="0"/>
              <w:adjustRightInd w:val="0"/>
              <w:snapToGrid w:val="0"/>
              <w:jc w:val="left"/>
              <w:rPr>
                <w:rFonts w:ascii="Times New Roman" w:hAnsi="Times New Roman" w:cs="Times New Roman"/>
                <w:snapToGrid w:val="0"/>
                <w:kern w:val="22"/>
                <w:szCs w:val="22"/>
              </w:rPr>
            </w:pPr>
            <w:r w:rsidRPr="000F07EC">
              <w:rPr>
                <w:rFonts w:ascii="Times New Roman" w:hAnsi="Times New Roman" w:cs="Times New Roman"/>
                <w:snapToGrid w:val="0"/>
                <w:kern w:val="22"/>
                <w:szCs w:val="22"/>
              </w:rPr>
              <w:t>NBSAPs submitted</w:t>
            </w:r>
          </w:p>
        </w:tc>
        <w:tc>
          <w:tcPr>
            <w:tcW w:w="1871"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186</w:t>
            </w:r>
          </w:p>
        </w:tc>
        <w:tc>
          <w:tcPr>
            <w:tcW w:w="2160"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104</w:t>
            </w:r>
          </w:p>
        </w:tc>
        <w:tc>
          <w:tcPr>
            <w:tcW w:w="2378"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82</w:t>
            </w:r>
          </w:p>
        </w:tc>
      </w:tr>
      <w:tr w:rsidR="00E829C8" w:rsidRPr="000F07EC" w:rsidTr="000F07EC">
        <w:trPr>
          <w:cantSplit/>
          <w:jc w:val="center"/>
        </w:trPr>
        <w:tc>
          <w:tcPr>
            <w:tcW w:w="2847" w:type="dxa"/>
          </w:tcPr>
          <w:p w:rsidR="00E829C8" w:rsidRPr="000F07EC" w:rsidRDefault="00E829C8" w:rsidP="000F07EC">
            <w:pPr>
              <w:suppressLineNumbers/>
              <w:suppressAutoHyphens/>
              <w:kinsoku w:val="0"/>
              <w:overflowPunct w:val="0"/>
              <w:autoSpaceDE w:val="0"/>
              <w:autoSpaceDN w:val="0"/>
              <w:adjustRightInd w:val="0"/>
              <w:snapToGrid w:val="0"/>
              <w:jc w:val="left"/>
              <w:rPr>
                <w:rFonts w:ascii="Times New Roman" w:hAnsi="Times New Roman" w:cs="Times New Roman"/>
                <w:snapToGrid w:val="0"/>
                <w:kern w:val="22"/>
                <w:szCs w:val="22"/>
              </w:rPr>
            </w:pPr>
            <w:r w:rsidRPr="000F07EC">
              <w:rPr>
                <w:rFonts w:ascii="Times New Roman" w:hAnsi="Times New Roman" w:cs="Times New Roman"/>
                <w:snapToGrid w:val="0"/>
                <w:kern w:val="22"/>
                <w:szCs w:val="22"/>
              </w:rPr>
              <w:t>Information reported on ABS in</w:t>
            </w:r>
            <w:r w:rsidR="002055D2" w:rsidRPr="000F07EC">
              <w:rPr>
                <w:rFonts w:ascii="Times New Roman" w:hAnsi="Times New Roman" w:cs="Times New Roman"/>
                <w:snapToGrid w:val="0"/>
                <w:kern w:val="22"/>
                <w:szCs w:val="22"/>
              </w:rPr>
              <w:t xml:space="preserve"> </w:t>
            </w:r>
            <w:r w:rsidRPr="000F07EC">
              <w:rPr>
                <w:rFonts w:ascii="Times New Roman" w:hAnsi="Times New Roman" w:cs="Times New Roman"/>
                <w:snapToGrid w:val="0"/>
                <w:kern w:val="22"/>
                <w:szCs w:val="22"/>
              </w:rPr>
              <w:t>NBSAP</w:t>
            </w:r>
          </w:p>
        </w:tc>
        <w:tc>
          <w:tcPr>
            <w:tcW w:w="1871"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151</w:t>
            </w:r>
          </w:p>
        </w:tc>
        <w:tc>
          <w:tcPr>
            <w:tcW w:w="2160"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90</w:t>
            </w:r>
          </w:p>
        </w:tc>
        <w:tc>
          <w:tcPr>
            <w:tcW w:w="2378"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61</w:t>
            </w:r>
          </w:p>
        </w:tc>
      </w:tr>
      <w:tr w:rsidR="00E829C8" w:rsidRPr="000F07EC" w:rsidTr="000F07EC">
        <w:trPr>
          <w:cantSplit/>
          <w:jc w:val="center"/>
        </w:trPr>
        <w:tc>
          <w:tcPr>
            <w:tcW w:w="2847" w:type="dxa"/>
          </w:tcPr>
          <w:p w:rsidR="00E829C8" w:rsidRPr="000F07EC" w:rsidRDefault="00E829C8" w:rsidP="000F07EC">
            <w:pPr>
              <w:suppressLineNumbers/>
              <w:suppressAutoHyphens/>
              <w:kinsoku w:val="0"/>
              <w:overflowPunct w:val="0"/>
              <w:autoSpaceDE w:val="0"/>
              <w:autoSpaceDN w:val="0"/>
              <w:adjustRightInd w:val="0"/>
              <w:snapToGrid w:val="0"/>
              <w:jc w:val="left"/>
              <w:rPr>
                <w:rFonts w:ascii="Times New Roman" w:hAnsi="Times New Roman" w:cs="Times New Roman"/>
                <w:snapToGrid w:val="0"/>
                <w:kern w:val="22"/>
                <w:szCs w:val="22"/>
              </w:rPr>
            </w:pPr>
            <w:r w:rsidRPr="000F07EC">
              <w:rPr>
                <w:rFonts w:ascii="Times New Roman" w:hAnsi="Times New Roman" w:cs="Times New Roman"/>
                <w:snapToGrid w:val="0"/>
                <w:kern w:val="22"/>
                <w:szCs w:val="22"/>
              </w:rPr>
              <w:t xml:space="preserve">Interim </w:t>
            </w:r>
            <w:r w:rsidR="00BD2718" w:rsidRPr="000F07EC">
              <w:rPr>
                <w:rFonts w:ascii="Times New Roman" w:hAnsi="Times New Roman" w:cs="Times New Roman"/>
                <w:snapToGrid w:val="0"/>
                <w:kern w:val="22"/>
                <w:szCs w:val="22"/>
              </w:rPr>
              <w:t>n</w:t>
            </w:r>
            <w:r w:rsidRPr="000F07EC">
              <w:rPr>
                <w:rFonts w:ascii="Times New Roman" w:hAnsi="Times New Roman" w:cs="Times New Roman"/>
                <w:snapToGrid w:val="0"/>
                <w:kern w:val="22"/>
                <w:szCs w:val="22"/>
              </w:rPr>
              <w:t xml:space="preserve">ational </w:t>
            </w:r>
            <w:r w:rsidR="00BD2718" w:rsidRPr="000F07EC">
              <w:rPr>
                <w:rFonts w:ascii="Times New Roman" w:hAnsi="Times New Roman" w:cs="Times New Roman"/>
                <w:snapToGrid w:val="0"/>
                <w:kern w:val="22"/>
                <w:szCs w:val="22"/>
              </w:rPr>
              <w:t>r</w:t>
            </w:r>
            <w:r w:rsidRPr="000F07EC">
              <w:rPr>
                <w:rFonts w:ascii="Times New Roman" w:hAnsi="Times New Roman" w:cs="Times New Roman"/>
                <w:snapToGrid w:val="0"/>
                <w:kern w:val="22"/>
                <w:szCs w:val="22"/>
              </w:rPr>
              <w:t>eports submitted</w:t>
            </w:r>
          </w:p>
        </w:tc>
        <w:tc>
          <w:tcPr>
            <w:tcW w:w="1871"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75</w:t>
            </w:r>
          </w:p>
        </w:tc>
        <w:tc>
          <w:tcPr>
            <w:tcW w:w="2160"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69</w:t>
            </w:r>
          </w:p>
        </w:tc>
        <w:tc>
          <w:tcPr>
            <w:tcW w:w="2378"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6</w:t>
            </w:r>
          </w:p>
        </w:tc>
      </w:tr>
      <w:tr w:rsidR="00E829C8" w:rsidRPr="000F07EC" w:rsidTr="000F07EC">
        <w:trPr>
          <w:cantSplit/>
          <w:jc w:val="center"/>
        </w:trPr>
        <w:tc>
          <w:tcPr>
            <w:tcW w:w="2847" w:type="dxa"/>
          </w:tcPr>
          <w:p w:rsidR="00E829C8" w:rsidRPr="000F07EC" w:rsidRDefault="00E829C8" w:rsidP="000F07EC">
            <w:pPr>
              <w:suppressLineNumbers/>
              <w:suppressAutoHyphens/>
              <w:kinsoku w:val="0"/>
              <w:overflowPunct w:val="0"/>
              <w:autoSpaceDE w:val="0"/>
              <w:autoSpaceDN w:val="0"/>
              <w:adjustRightInd w:val="0"/>
              <w:snapToGrid w:val="0"/>
              <w:jc w:val="left"/>
              <w:rPr>
                <w:rFonts w:ascii="Times New Roman" w:hAnsi="Times New Roman" w:cs="Times New Roman"/>
                <w:snapToGrid w:val="0"/>
                <w:kern w:val="22"/>
                <w:szCs w:val="22"/>
              </w:rPr>
            </w:pPr>
            <w:r w:rsidRPr="000F07EC">
              <w:rPr>
                <w:rFonts w:ascii="Times New Roman" w:hAnsi="Times New Roman" w:cs="Times New Roman"/>
                <w:snapToGrid w:val="0"/>
                <w:kern w:val="22"/>
                <w:szCs w:val="22"/>
              </w:rPr>
              <w:t>National records</w:t>
            </w:r>
            <w:r w:rsidRPr="000F07EC">
              <w:rPr>
                <w:rStyle w:val="FootnoteReference"/>
                <w:rFonts w:ascii="Times New Roman" w:hAnsi="Times New Roman" w:cs="Times New Roman"/>
                <w:snapToGrid w:val="0"/>
                <w:kern w:val="22"/>
                <w:szCs w:val="22"/>
              </w:rPr>
              <w:footnoteReference w:id="5"/>
            </w:r>
            <w:r w:rsidRPr="000F07EC">
              <w:rPr>
                <w:rFonts w:ascii="Times New Roman" w:hAnsi="Times New Roman" w:cs="Times New Roman"/>
                <w:snapToGrid w:val="0"/>
                <w:kern w:val="22"/>
                <w:szCs w:val="22"/>
              </w:rPr>
              <w:t xml:space="preserve"> on the ABS Clearing-House</w:t>
            </w:r>
          </w:p>
        </w:tc>
        <w:tc>
          <w:tcPr>
            <w:tcW w:w="1871"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63</w:t>
            </w:r>
          </w:p>
        </w:tc>
        <w:tc>
          <w:tcPr>
            <w:tcW w:w="2160"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55</w:t>
            </w:r>
          </w:p>
        </w:tc>
        <w:tc>
          <w:tcPr>
            <w:tcW w:w="2378" w:type="dxa"/>
            <w:vAlign w:val="center"/>
          </w:tcPr>
          <w:p w:rsidR="00E829C8" w:rsidRPr="000F07EC" w:rsidRDefault="00E829C8" w:rsidP="000F07EC">
            <w:pPr>
              <w:suppressLineNumbers/>
              <w:suppressAutoHyphens/>
              <w:kinsoku w:val="0"/>
              <w:overflowPunct w:val="0"/>
              <w:autoSpaceDE w:val="0"/>
              <w:autoSpaceDN w:val="0"/>
              <w:adjustRightInd w:val="0"/>
              <w:snapToGrid w:val="0"/>
              <w:jc w:val="center"/>
              <w:rPr>
                <w:rFonts w:ascii="Times New Roman" w:hAnsi="Times New Roman" w:cs="Times New Roman"/>
                <w:snapToGrid w:val="0"/>
                <w:kern w:val="22"/>
                <w:szCs w:val="22"/>
              </w:rPr>
            </w:pPr>
            <w:r w:rsidRPr="000F07EC">
              <w:rPr>
                <w:rFonts w:ascii="Times New Roman" w:hAnsi="Times New Roman" w:cs="Times New Roman"/>
                <w:snapToGrid w:val="0"/>
                <w:kern w:val="22"/>
                <w:szCs w:val="22"/>
              </w:rPr>
              <w:t>8</w:t>
            </w:r>
          </w:p>
        </w:tc>
      </w:tr>
    </w:tbl>
    <w:p w:rsidR="00E829C8" w:rsidRPr="000F07EC" w:rsidRDefault="00E829C8" w:rsidP="000F07EC">
      <w:pPr>
        <w:pStyle w:val="Para1"/>
        <w:numPr>
          <w:ilvl w:val="0"/>
          <w:numId w:val="0"/>
        </w:numPr>
        <w:suppressLineNumbers/>
        <w:suppressAutoHyphens/>
        <w:kinsoku w:val="0"/>
        <w:overflowPunct w:val="0"/>
        <w:autoSpaceDE w:val="0"/>
        <w:autoSpaceDN w:val="0"/>
        <w:adjustRightInd w:val="0"/>
        <w:snapToGrid w:val="0"/>
        <w:spacing w:before="0" w:after="0"/>
        <w:rPr>
          <w:kern w:val="22"/>
          <w:szCs w:val="22"/>
        </w:rPr>
      </w:pPr>
    </w:p>
    <w:p w:rsidR="0039164A" w:rsidRPr="000F07EC" w:rsidDel="00E829C8" w:rsidRDefault="00A63F60"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As indicated in the table, out of 189 Parties </w:t>
      </w:r>
      <w:r w:rsidR="00BD2718" w:rsidRPr="000F07EC">
        <w:rPr>
          <w:kern w:val="22"/>
          <w:szCs w:val="22"/>
        </w:rPr>
        <w:t>to the Convention</w:t>
      </w:r>
      <w:r w:rsidR="00197E46" w:rsidRPr="000F07EC">
        <w:rPr>
          <w:kern w:val="22"/>
          <w:szCs w:val="22"/>
        </w:rPr>
        <w:t xml:space="preserve"> </w:t>
      </w:r>
      <w:r w:rsidRPr="000F07EC">
        <w:rPr>
          <w:kern w:val="22"/>
          <w:szCs w:val="22"/>
        </w:rPr>
        <w:t xml:space="preserve">who submitted a </w:t>
      </w:r>
      <w:r w:rsidR="00197E46" w:rsidRPr="000F07EC">
        <w:rPr>
          <w:kern w:val="22"/>
          <w:szCs w:val="22"/>
        </w:rPr>
        <w:t xml:space="preserve">fifth </w:t>
      </w:r>
      <w:r w:rsidRPr="000F07EC">
        <w:rPr>
          <w:kern w:val="22"/>
          <w:szCs w:val="22"/>
        </w:rPr>
        <w:t>national report, 165 Parties (87</w:t>
      </w:r>
      <w:r w:rsidR="00785E90" w:rsidRPr="000F07EC">
        <w:rPr>
          <w:kern w:val="22"/>
          <w:szCs w:val="22"/>
        </w:rPr>
        <w:t> per cent</w:t>
      </w:r>
      <w:r w:rsidRPr="000F07EC">
        <w:rPr>
          <w:kern w:val="22"/>
          <w:szCs w:val="22"/>
        </w:rPr>
        <w:t xml:space="preserve">) reported on access and benefit-sharing in response to the question on progress made towards the implementation of the Strategic Plan for Biodiversity 2011-2020 and its Aichi Biodiversity Targets. </w:t>
      </w:r>
      <w:r w:rsidR="00C31B34" w:rsidRPr="000F07EC">
        <w:rPr>
          <w:kern w:val="22"/>
          <w:szCs w:val="22"/>
        </w:rPr>
        <w:t>O</w:t>
      </w:r>
      <w:r w:rsidRPr="000F07EC">
        <w:rPr>
          <w:kern w:val="22"/>
          <w:szCs w:val="22"/>
        </w:rPr>
        <w:t>f these 165 Parties</w:t>
      </w:r>
      <w:r w:rsidR="00C31B34" w:rsidRPr="000F07EC">
        <w:rPr>
          <w:kern w:val="22"/>
          <w:szCs w:val="22"/>
        </w:rPr>
        <w:t>, 94</w:t>
      </w:r>
      <w:r w:rsidRPr="000F07EC">
        <w:rPr>
          <w:kern w:val="22"/>
          <w:szCs w:val="22"/>
        </w:rPr>
        <w:t xml:space="preserve"> are also Parties to the Nagoya Protocol. With respect to NBSAPs, out of the 186 NBSAPs, 151 (81</w:t>
      </w:r>
      <w:r w:rsidR="00785E90" w:rsidRPr="000F07EC">
        <w:rPr>
          <w:kern w:val="22"/>
          <w:szCs w:val="22"/>
        </w:rPr>
        <w:t> per cent</w:t>
      </w:r>
      <w:r w:rsidRPr="000F07EC">
        <w:rPr>
          <w:kern w:val="22"/>
          <w:szCs w:val="22"/>
        </w:rPr>
        <w:t xml:space="preserve">) provided information on access and benefit-sharing in relation to national targets, a planned strategy or activities. In addition, some Parties </w:t>
      </w:r>
      <w:r w:rsidR="00197E46" w:rsidRPr="000F07EC">
        <w:rPr>
          <w:kern w:val="22"/>
          <w:szCs w:val="22"/>
        </w:rPr>
        <w:t xml:space="preserve">to the Convention </w:t>
      </w:r>
      <w:r w:rsidRPr="000F07EC">
        <w:rPr>
          <w:kern w:val="22"/>
          <w:szCs w:val="22"/>
        </w:rPr>
        <w:t>that are not yet Parties to the Nagoya Protocol have submitted an interim national report on the implementation of the provisions of the Nagoya Protocol and/or have provided information on the ABS Clearing-House.</w:t>
      </w:r>
    </w:p>
    <w:p w:rsidR="006861A0" w:rsidRPr="000F07EC" w:rsidRDefault="001F68FD" w:rsidP="000F07EC">
      <w:pPr>
        <w:pStyle w:val="Heading2"/>
        <w:suppressLineNumbers/>
        <w:tabs>
          <w:tab w:val="clear" w:pos="720"/>
          <w:tab w:val="left" w:pos="360"/>
        </w:tabs>
        <w:suppressAutoHyphens/>
        <w:kinsoku w:val="0"/>
        <w:overflowPunct w:val="0"/>
        <w:autoSpaceDE w:val="0"/>
        <w:autoSpaceDN w:val="0"/>
        <w:adjustRightInd w:val="0"/>
        <w:snapToGrid w:val="0"/>
        <w:rPr>
          <w:snapToGrid w:val="0"/>
          <w:kern w:val="22"/>
          <w:szCs w:val="22"/>
        </w:rPr>
      </w:pPr>
      <w:r w:rsidRPr="000F07EC">
        <w:rPr>
          <w:snapToGrid w:val="0"/>
          <w:kern w:val="22"/>
          <w:szCs w:val="22"/>
        </w:rPr>
        <w:t>B</w:t>
      </w:r>
      <w:r w:rsidR="00AF56FA" w:rsidRPr="000F07EC">
        <w:rPr>
          <w:snapToGrid w:val="0"/>
          <w:kern w:val="22"/>
          <w:szCs w:val="22"/>
        </w:rPr>
        <w:t>.</w:t>
      </w:r>
      <w:r w:rsidRPr="000F07EC">
        <w:rPr>
          <w:snapToGrid w:val="0"/>
          <w:kern w:val="22"/>
          <w:szCs w:val="22"/>
        </w:rPr>
        <w:tab/>
      </w:r>
      <w:r w:rsidR="006861A0" w:rsidRPr="000F07EC">
        <w:rPr>
          <w:snapToGrid w:val="0"/>
          <w:kern w:val="22"/>
          <w:szCs w:val="22"/>
        </w:rPr>
        <w:t>Status of ratifications and implementation of the Nagoya Protocol</w:t>
      </w:r>
    </w:p>
    <w:p w:rsidR="0017247F" w:rsidRPr="000F07EC" w:rsidRDefault="006B3613"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A</w:t>
      </w:r>
      <w:r w:rsidR="00E829C8" w:rsidRPr="000F07EC">
        <w:rPr>
          <w:kern w:val="22"/>
          <w:szCs w:val="22"/>
        </w:rPr>
        <w:t>s of 8 May 2018, 105 Parties to the Convention had ratified the Protocol.</w:t>
      </w:r>
      <w:r w:rsidRPr="000F07EC">
        <w:rPr>
          <w:kern w:val="22"/>
          <w:szCs w:val="22"/>
        </w:rPr>
        <w:t xml:space="preserve"> </w:t>
      </w:r>
      <w:r w:rsidR="00757E33" w:rsidRPr="000F07EC">
        <w:rPr>
          <w:kern w:val="22"/>
          <w:szCs w:val="22"/>
        </w:rPr>
        <w:t xml:space="preserve">Progress </w:t>
      </w:r>
      <w:r w:rsidR="00D9485E" w:rsidRPr="000F07EC">
        <w:rPr>
          <w:kern w:val="22"/>
          <w:szCs w:val="22"/>
        </w:rPr>
        <w:t>with</w:t>
      </w:r>
      <w:r w:rsidR="00757E33" w:rsidRPr="000F07EC">
        <w:rPr>
          <w:kern w:val="22"/>
          <w:szCs w:val="22"/>
        </w:rPr>
        <w:t xml:space="preserve"> implementation will be considered </w:t>
      </w:r>
      <w:r w:rsidR="003F1C9A" w:rsidRPr="000F07EC">
        <w:rPr>
          <w:kern w:val="22"/>
          <w:szCs w:val="22"/>
        </w:rPr>
        <w:t xml:space="preserve">at </w:t>
      </w:r>
      <w:r w:rsidR="00757E33" w:rsidRPr="000F07EC">
        <w:rPr>
          <w:kern w:val="22"/>
          <w:szCs w:val="22"/>
        </w:rPr>
        <w:t xml:space="preserve">the third meeting of the Parties </w:t>
      </w:r>
      <w:r w:rsidR="003B322A" w:rsidRPr="000F07EC">
        <w:rPr>
          <w:kern w:val="22"/>
          <w:szCs w:val="22"/>
        </w:rPr>
        <w:t xml:space="preserve">to the Protocol </w:t>
      </w:r>
      <w:r w:rsidR="00757E33" w:rsidRPr="000F07EC">
        <w:rPr>
          <w:kern w:val="22"/>
          <w:szCs w:val="22"/>
        </w:rPr>
        <w:t xml:space="preserve">on </w:t>
      </w:r>
      <w:r w:rsidR="003B72CB" w:rsidRPr="000F07EC">
        <w:rPr>
          <w:kern w:val="22"/>
          <w:szCs w:val="22"/>
        </w:rPr>
        <w:t xml:space="preserve">the basis of </w:t>
      </w:r>
      <w:r w:rsidR="00757E33" w:rsidRPr="000F07EC">
        <w:rPr>
          <w:kern w:val="22"/>
          <w:szCs w:val="22"/>
        </w:rPr>
        <w:t>the first assessment and review of the Protocol.</w:t>
      </w:r>
    </w:p>
    <w:p w:rsidR="00DB2F58" w:rsidRPr="000F07EC" w:rsidRDefault="002E2FF9"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In accordance with Article 31 of the Nagoya Protocol, the Parties to the Protocol</w:t>
      </w:r>
      <w:r w:rsidR="00D9485E" w:rsidRPr="000F07EC">
        <w:rPr>
          <w:kern w:val="22"/>
          <w:szCs w:val="22"/>
        </w:rPr>
        <w:t>,</w:t>
      </w:r>
      <w:r w:rsidRPr="000F07EC">
        <w:rPr>
          <w:kern w:val="22"/>
          <w:szCs w:val="22"/>
        </w:rPr>
        <w:t xml:space="preserve"> at their third meeting, will undertake the first assessment and review of the effectiveness of the Nagoya Protocol taking into account information made available through the interim national reports </w:t>
      </w:r>
      <w:r w:rsidR="00383510" w:rsidRPr="000F07EC">
        <w:rPr>
          <w:kern w:val="22"/>
          <w:szCs w:val="22"/>
        </w:rPr>
        <w:t xml:space="preserve">and </w:t>
      </w:r>
      <w:r w:rsidRPr="000F07EC">
        <w:rPr>
          <w:kern w:val="22"/>
          <w:szCs w:val="22"/>
        </w:rPr>
        <w:t xml:space="preserve">the ABS Clearing-House </w:t>
      </w:r>
      <w:r w:rsidR="009B523C" w:rsidRPr="000F07EC">
        <w:rPr>
          <w:kern w:val="22"/>
          <w:szCs w:val="22"/>
        </w:rPr>
        <w:t>as well as</w:t>
      </w:r>
      <w:r w:rsidRPr="000F07EC">
        <w:rPr>
          <w:kern w:val="22"/>
          <w:szCs w:val="22"/>
        </w:rPr>
        <w:t xml:space="preserve"> other sources of information. An assessment of progress in the implementation of the Protocol will be considered under agenda item 4 of </w:t>
      </w:r>
      <w:r w:rsidR="00304DA9" w:rsidRPr="000F07EC">
        <w:rPr>
          <w:kern w:val="22"/>
          <w:szCs w:val="22"/>
        </w:rPr>
        <w:t xml:space="preserve">the second meeting of the Subsidiary Body on Implementation </w:t>
      </w:r>
      <w:r w:rsidRPr="000F07EC">
        <w:rPr>
          <w:kern w:val="22"/>
          <w:szCs w:val="22"/>
        </w:rPr>
        <w:t xml:space="preserve">on </w:t>
      </w:r>
      <w:r w:rsidR="001E74B3" w:rsidRPr="000F07EC">
        <w:rPr>
          <w:kern w:val="22"/>
          <w:szCs w:val="22"/>
        </w:rPr>
        <w:t xml:space="preserve">the basis of </w:t>
      </w:r>
      <w:r w:rsidR="005A72FB" w:rsidRPr="000F07EC">
        <w:rPr>
          <w:kern w:val="22"/>
          <w:szCs w:val="22"/>
        </w:rPr>
        <w:t>a note by the Executive Secretary (</w:t>
      </w:r>
      <w:r w:rsidR="002A0EED" w:rsidRPr="000F07EC">
        <w:rPr>
          <w:kern w:val="22"/>
          <w:szCs w:val="22"/>
        </w:rPr>
        <w:t>UNEP/CBD/SBI/2/3</w:t>
      </w:r>
      <w:r w:rsidR="005A72FB" w:rsidRPr="000F07EC">
        <w:rPr>
          <w:kern w:val="22"/>
          <w:szCs w:val="22"/>
        </w:rPr>
        <w:t>)</w:t>
      </w:r>
      <w:r w:rsidR="002A0EED" w:rsidRPr="000F07EC">
        <w:rPr>
          <w:kern w:val="22"/>
          <w:szCs w:val="22"/>
        </w:rPr>
        <w:t>.</w:t>
      </w:r>
      <w:r w:rsidR="00E829C8" w:rsidRPr="000F07EC">
        <w:rPr>
          <w:kern w:val="22"/>
          <w:szCs w:val="22"/>
        </w:rPr>
        <w:t xml:space="preserve"> The assessment takes into account information provided by Parties through the interim national report and the ABS Clearing-House. For those that did not submit an interim national report, information provided in the fifth national report and NBSAPs was also considered.</w:t>
      </w:r>
      <w:r w:rsidRPr="000F07EC">
        <w:rPr>
          <w:kern w:val="22"/>
          <w:szCs w:val="22"/>
        </w:rPr>
        <w:t xml:space="preserve"> </w:t>
      </w:r>
      <w:r w:rsidR="00304DA9" w:rsidRPr="000F07EC">
        <w:rPr>
          <w:kern w:val="22"/>
          <w:szCs w:val="22"/>
        </w:rPr>
        <w:t>I</w:t>
      </w:r>
      <w:r w:rsidRPr="000F07EC">
        <w:rPr>
          <w:kern w:val="22"/>
          <w:szCs w:val="22"/>
        </w:rPr>
        <w:t xml:space="preserve">ts findings and recommendations </w:t>
      </w:r>
      <w:r w:rsidR="00304DA9" w:rsidRPr="000F07EC">
        <w:rPr>
          <w:kern w:val="22"/>
          <w:szCs w:val="22"/>
        </w:rPr>
        <w:t xml:space="preserve">will be submitted </w:t>
      </w:r>
      <w:r w:rsidR="006C541D" w:rsidRPr="000F07EC">
        <w:rPr>
          <w:kern w:val="22"/>
          <w:szCs w:val="22"/>
        </w:rPr>
        <w:t xml:space="preserve">to the Conference of the Parties serving as the </w:t>
      </w:r>
      <w:r w:rsidRPr="000F07EC">
        <w:rPr>
          <w:kern w:val="22"/>
          <w:szCs w:val="22"/>
        </w:rPr>
        <w:t>meeting of th</w:t>
      </w:r>
      <w:r w:rsidR="0042079D" w:rsidRPr="000F07EC">
        <w:rPr>
          <w:kern w:val="22"/>
          <w:szCs w:val="22"/>
        </w:rPr>
        <w:t>e Parties</w:t>
      </w:r>
      <w:r w:rsidR="006C541D" w:rsidRPr="000F07EC">
        <w:rPr>
          <w:kern w:val="22"/>
          <w:szCs w:val="22"/>
        </w:rPr>
        <w:t xml:space="preserve"> for consideration at its third meeting</w:t>
      </w:r>
      <w:r w:rsidRPr="000F07EC">
        <w:rPr>
          <w:kern w:val="22"/>
          <w:szCs w:val="22"/>
        </w:rPr>
        <w:t>.</w:t>
      </w:r>
    </w:p>
    <w:p w:rsidR="00FA5BF9" w:rsidRPr="000F07EC" w:rsidRDefault="00A42777"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lastRenderedPageBreak/>
        <w:t>As</w:t>
      </w:r>
      <w:r w:rsidR="00FA5BF9" w:rsidRPr="000F07EC">
        <w:rPr>
          <w:kern w:val="22"/>
          <w:szCs w:val="22"/>
        </w:rPr>
        <w:t xml:space="preserve"> th</w:t>
      </w:r>
      <w:r w:rsidR="00A75BD0" w:rsidRPr="000F07EC">
        <w:rPr>
          <w:kern w:val="22"/>
          <w:szCs w:val="22"/>
        </w:rPr>
        <w:t xml:space="preserve">e Nagoya Protocol supports implementation of the ABS provisions of the Convention, </w:t>
      </w:r>
      <w:r w:rsidR="00383510" w:rsidRPr="000F07EC">
        <w:rPr>
          <w:kern w:val="22"/>
          <w:szCs w:val="22"/>
        </w:rPr>
        <w:t>the assessment of progress in the</w:t>
      </w:r>
      <w:r w:rsidR="00A75BD0" w:rsidRPr="000F07EC">
        <w:rPr>
          <w:kern w:val="22"/>
          <w:szCs w:val="22"/>
        </w:rPr>
        <w:t xml:space="preserve"> implementation of the Nagoya Protocol can also </w:t>
      </w:r>
      <w:r w:rsidR="00383510" w:rsidRPr="000F07EC">
        <w:rPr>
          <w:kern w:val="22"/>
          <w:szCs w:val="22"/>
        </w:rPr>
        <w:t>assist in assessing progress in the</w:t>
      </w:r>
      <w:r w:rsidR="00A75BD0" w:rsidRPr="000F07EC">
        <w:rPr>
          <w:kern w:val="22"/>
          <w:szCs w:val="22"/>
        </w:rPr>
        <w:t xml:space="preserve"> implementation of the ABS provisions of the Convention.</w:t>
      </w:r>
    </w:p>
    <w:p w:rsidR="00A24442" w:rsidRPr="000F07EC" w:rsidRDefault="001F68FD" w:rsidP="000F07EC">
      <w:pPr>
        <w:pStyle w:val="Heading2"/>
        <w:keepNext w:val="0"/>
        <w:suppressLineNumbers/>
        <w:suppressAutoHyphens/>
        <w:kinsoku w:val="0"/>
        <w:overflowPunct w:val="0"/>
        <w:autoSpaceDE w:val="0"/>
        <w:autoSpaceDN w:val="0"/>
        <w:adjustRightInd w:val="0"/>
        <w:snapToGrid w:val="0"/>
        <w:ind w:left="1152" w:hanging="432"/>
        <w:jc w:val="left"/>
        <w:rPr>
          <w:snapToGrid w:val="0"/>
          <w:kern w:val="22"/>
          <w:szCs w:val="22"/>
        </w:rPr>
      </w:pPr>
      <w:r w:rsidRPr="000F07EC">
        <w:rPr>
          <w:snapToGrid w:val="0"/>
          <w:kern w:val="22"/>
          <w:szCs w:val="22"/>
        </w:rPr>
        <w:t>C</w:t>
      </w:r>
      <w:r w:rsidR="00E829C8" w:rsidRPr="000F07EC">
        <w:rPr>
          <w:snapToGrid w:val="0"/>
          <w:kern w:val="22"/>
          <w:szCs w:val="22"/>
        </w:rPr>
        <w:t xml:space="preserve">. </w:t>
      </w:r>
      <w:r w:rsidRPr="000F07EC">
        <w:rPr>
          <w:snapToGrid w:val="0"/>
          <w:kern w:val="22"/>
          <w:szCs w:val="22"/>
        </w:rPr>
        <w:tab/>
      </w:r>
      <w:r w:rsidR="0017247F" w:rsidRPr="000F07EC">
        <w:rPr>
          <w:snapToGrid w:val="0"/>
          <w:kern w:val="22"/>
          <w:szCs w:val="22"/>
        </w:rPr>
        <w:t xml:space="preserve">Progress towards </w:t>
      </w:r>
      <w:r w:rsidR="000B42B4" w:rsidRPr="000F07EC">
        <w:rPr>
          <w:snapToGrid w:val="0"/>
          <w:kern w:val="22"/>
          <w:szCs w:val="22"/>
        </w:rPr>
        <w:t>ratification</w:t>
      </w:r>
      <w:r w:rsidR="0061763C" w:rsidRPr="000F07EC">
        <w:rPr>
          <w:snapToGrid w:val="0"/>
          <w:kern w:val="22"/>
          <w:szCs w:val="22"/>
        </w:rPr>
        <w:t xml:space="preserve"> and implementation</w:t>
      </w:r>
      <w:r w:rsidR="000C0AE0" w:rsidRPr="000F07EC">
        <w:rPr>
          <w:snapToGrid w:val="0"/>
          <w:kern w:val="22"/>
          <w:szCs w:val="22"/>
        </w:rPr>
        <w:t xml:space="preserve"> by </w:t>
      </w:r>
      <w:r w:rsidR="00A935F9" w:rsidRPr="000F07EC">
        <w:rPr>
          <w:snapToGrid w:val="0"/>
          <w:kern w:val="22"/>
          <w:szCs w:val="22"/>
        </w:rPr>
        <w:t xml:space="preserve">Parties </w:t>
      </w:r>
      <w:r w:rsidR="001423A4" w:rsidRPr="000F07EC">
        <w:rPr>
          <w:snapToGrid w:val="0"/>
          <w:kern w:val="22"/>
          <w:szCs w:val="22"/>
        </w:rPr>
        <w:t xml:space="preserve">to the Convention </w:t>
      </w:r>
      <w:r w:rsidR="00A935F9" w:rsidRPr="000F07EC">
        <w:rPr>
          <w:snapToGrid w:val="0"/>
          <w:kern w:val="22"/>
          <w:szCs w:val="22"/>
        </w:rPr>
        <w:t xml:space="preserve">that are </w:t>
      </w:r>
      <w:r w:rsidR="000C0AE0" w:rsidRPr="000F07EC">
        <w:rPr>
          <w:snapToGrid w:val="0"/>
          <w:kern w:val="22"/>
          <w:szCs w:val="22"/>
        </w:rPr>
        <w:t>non</w:t>
      </w:r>
      <w:r w:rsidRPr="000F07EC">
        <w:rPr>
          <w:snapToGrid w:val="0"/>
          <w:kern w:val="22"/>
          <w:szCs w:val="22"/>
        </w:rPr>
        <w:noBreakHyphen/>
      </w:r>
      <w:r w:rsidR="000C0AE0" w:rsidRPr="000F07EC">
        <w:rPr>
          <w:snapToGrid w:val="0"/>
          <w:kern w:val="22"/>
          <w:szCs w:val="22"/>
        </w:rPr>
        <w:t>Parties</w:t>
      </w:r>
      <w:r w:rsidR="0034478E" w:rsidRPr="000F07EC">
        <w:rPr>
          <w:snapToGrid w:val="0"/>
          <w:kern w:val="22"/>
          <w:szCs w:val="22"/>
        </w:rPr>
        <w:t xml:space="preserve"> to the Nagoya Protocol</w:t>
      </w:r>
    </w:p>
    <w:p w:rsidR="00DB2F58" w:rsidRPr="000F07EC" w:rsidRDefault="00383510"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In addition to</w:t>
      </w:r>
      <w:r w:rsidR="00C433B7" w:rsidRPr="000F07EC">
        <w:rPr>
          <w:kern w:val="22"/>
          <w:szCs w:val="22"/>
        </w:rPr>
        <w:t xml:space="preserve"> </w:t>
      </w:r>
      <w:r w:rsidR="00EC56E4" w:rsidRPr="000F07EC">
        <w:rPr>
          <w:kern w:val="22"/>
          <w:szCs w:val="22"/>
        </w:rPr>
        <w:t>Parties</w:t>
      </w:r>
      <w:r w:rsidR="00C433B7" w:rsidRPr="000F07EC">
        <w:rPr>
          <w:kern w:val="22"/>
          <w:szCs w:val="22"/>
        </w:rPr>
        <w:t xml:space="preserve"> to the Convention</w:t>
      </w:r>
      <w:r w:rsidR="00EC56E4" w:rsidRPr="000F07EC">
        <w:rPr>
          <w:kern w:val="22"/>
          <w:szCs w:val="22"/>
        </w:rPr>
        <w:t xml:space="preserve"> that have ratifie</w:t>
      </w:r>
      <w:r w:rsidR="00A935F9" w:rsidRPr="000F07EC">
        <w:rPr>
          <w:kern w:val="22"/>
          <w:szCs w:val="22"/>
        </w:rPr>
        <w:t xml:space="preserve">d the Protocol, a number of </w:t>
      </w:r>
      <w:r w:rsidR="00EC56E4" w:rsidRPr="000F07EC">
        <w:rPr>
          <w:kern w:val="22"/>
          <w:szCs w:val="22"/>
        </w:rPr>
        <w:t>Parties</w:t>
      </w:r>
      <w:r w:rsidR="00A935F9" w:rsidRPr="000F07EC">
        <w:rPr>
          <w:kern w:val="22"/>
          <w:szCs w:val="22"/>
        </w:rPr>
        <w:t xml:space="preserve"> to the Convention</w:t>
      </w:r>
      <w:r w:rsidR="00EC56E4" w:rsidRPr="000F07EC">
        <w:rPr>
          <w:kern w:val="22"/>
          <w:szCs w:val="22"/>
        </w:rPr>
        <w:t xml:space="preserve"> are working towards ratification or are planning to ratif</w:t>
      </w:r>
      <w:r w:rsidR="009B523C" w:rsidRPr="000F07EC">
        <w:rPr>
          <w:kern w:val="22"/>
          <w:szCs w:val="22"/>
        </w:rPr>
        <w:t>y</w:t>
      </w:r>
      <w:r w:rsidR="00EC56E4" w:rsidRPr="000F07EC">
        <w:rPr>
          <w:kern w:val="22"/>
          <w:szCs w:val="22"/>
        </w:rPr>
        <w:t>.</w:t>
      </w:r>
    </w:p>
    <w:p w:rsidR="00C433B7" w:rsidRPr="000F07EC" w:rsidRDefault="003B322A"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As illustrated in graph A below and </w:t>
      </w:r>
      <w:r w:rsidR="00CE3C3C" w:rsidRPr="000F07EC">
        <w:rPr>
          <w:kern w:val="22"/>
          <w:szCs w:val="22"/>
        </w:rPr>
        <w:t xml:space="preserve">on </w:t>
      </w:r>
      <w:r w:rsidR="00685AA5" w:rsidRPr="000F07EC">
        <w:rPr>
          <w:kern w:val="22"/>
          <w:szCs w:val="22"/>
        </w:rPr>
        <w:t xml:space="preserve">the basis of </w:t>
      </w:r>
      <w:r w:rsidR="00CE3C3C" w:rsidRPr="000F07EC">
        <w:rPr>
          <w:kern w:val="22"/>
          <w:szCs w:val="22"/>
        </w:rPr>
        <w:t xml:space="preserve">information made available through </w:t>
      </w:r>
      <w:r w:rsidR="007146A1" w:rsidRPr="000F07EC">
        <w:rPr>
          <w:kern w:val="22"/>
          <w:szCs w:val="22"/>
        </w:rPr>
        <w:t xml:space="preserve">national reports under the Convention, NBSAPs, </w:t>
      </w:r>
      <w:r w:rsidR="00CE3C3C" w:rsidRPr="000F07EC">
        <w:rPr>
          <w:kern w:val="22"/>
          <w:szCs w:val="22"/>
        </w:rPr>
        <w:t>interim national reports</w:t>
      </w:r>
      <w:r w:rsidR="007146A1" w:rsidRPr="000F07EC">
        <w:rPr>
          <w:kern w:val="22"/>
          <w:szCs w:val="22"/>
        </w:rPr>
        <w:t xml:space="preserve"> on the implementation of the Nagoya Protocol</w:t>
      </w:r>
      <w:r w:rsidR="009E0D5C" w:rsidRPr="000F07EC">
        <w:rPr>
          <w:kern w:val="22"/>
          <w:szCs w:val="22"/>
        </w:rPr>
        <w:t>, the ABS</w:t>
      </w:r>
      <w:r w:rsidR="00757E33" w:rsidRPr="000F07EC">
        <w:rPr>
          <w:kern w:val="22"/>
          <w:szCs w:val="22"/>
        </w:rPr>
        <w:t xml:space="preserve"> </w:t>
      </w:r>
      <w:r w:rsidR="006F6F44" w:rsidRPr="000F07EC">
        <w:rPr>
          <w:kern w:val="22"/>
          <w:szCs w:val="22"/>
        </w:rPr>
        <w:t>C</w:t>
      </w:r>
      <w:r w:rsidR="00757E33" w:rsidRPr="000F07EC">
        <w:rPr>
          <w:kern w:val="22"/>
          <w:szCs w:val="22"/>
        </w:rPr>
        <w:t>learing-</w:t>
      </w:r>
      <w:r w:rsidR="006F6F44" w:rsidRPr="000F07EC">
        <w:rPr>
          <w:kern w:val="22"/>
          <w:szCs w:val="22"/>
        </w:rPr>
        <w:t>H</w:t>
      </w:r>
      <w:r w:rsidR="00757E33" w:rsidRPr="000F07EC">
        <w:rPr>
          <w:kern w:val="22"/>
          <w:szCs w:val="22"/>
        </w:rPr>
        <w:t>ouse</w:t>
      </w:r>
      <w:r w:rsidR="006F6F44" w:rsidRPr="000F07EC">
        <w:rPr>
          <w:kern w:val="22"/>
          <w:szCs w:val="22"/>
        </w:rPr>
        <w:t xml:space="preserve"> and capacity-building projects</w:t>
      </w:r>
      <w:r w:rsidR="009B523C" w:rsidRPr="000F07EC">
        <w:rPr>
          <w:kern w:val="22"/>
          <w:szCs w:val="22"/>
        </w:rPr>
        <w:t xml:space="preserve"> related to ABS</w:t>
      </w:r>
      <w:r w:rsidR="006F6F44" w:rsidRPr="000F07EC">
        <w:rPr>
          <w:kern w:val="22"/>
          <w:szCs w:val="22"/>
        </w:rPr>
        <w:t>,</w:t>
      </w:r>
      <w:r w:rsidR="00A24442" w:rsidRPr="000F07EC">
        <w:rPr>
          <w:kern w:val="22"/>
          <w:szCs w:val="22"/>
        </w:rPr>
        <w:t xml:space="preserve"> </w:t>
      </w:r>
      <w:r w:rsidR="00353291" w:rsidRPr="000F07EC">
        <w:rPr>
          <w:kern w:val="22"/>
          <w:szCs w:val="22"/>
        </w:rPr>
        <w:t xml:space="preserve">a </w:t>
      </w:r>
      <w:r w:rsidR="00A24442" w:rsidRPr="000F07EC">
        <w:rPr>
          <w:kern w:val="22"/>
          <w:szCs w:val="22"/>
        </w:rPr>
        <w:t>process</w:t>
      </w:r>
      <w:r w:rsidR="00012364" w:rsidRPr="000F07EC">
        <w:rPr>
          <w:kern w:val="22"/>
          <w:szCs w:val="22"/>
        </w:rPr>
        <w:t xml:space="preserve"> towards ratification</w:t>
      </w:r>
      <w:r w:rsidR="00A24442" w:rsidRPr="000F07EC">
        <w:rPr>
          <w:kern w:val="22"/>
          <w:szCs w:val="22"/>
        </w:rPr>
        <w:t xml:space="preserve"> is under</w:t>
      </w:r>
      <w:r w:rsidR="00685AA5" w:rsidRPr="000F07EC">
        <w:rPr>
          <w:kern w:val="22"/>
          <w:szCs w:val="22"/>
        </w:rPr>
        <w:t xml:space="preserve"> </w:t>
      </w:r>
      <w:r w:rsidR="00A24442" w:rsidRPr="000F07EC">
        <w:rPr>
          <w:kern w:val="22"/>
          <w:szCs w:val="22"/>
        </w:rPr>
        <w:t xml:space="preserve">way in </w:t>
      </w:r>
      <w:r w:rsidR="0000533E" w:rsidRPr="000F07EC">
        <w:rPr>
          <w:kern w:val="22"/>
          <w:szCs w:val="22"/>
        </w:rPr>
        <w:t>34</w:t>
      </w:r>
      <w:r w:rsidR="00A24442" w:rsidRPr="000F07EC">
        <w:rPr>
          <w:kern w:val="22"/>
          <w:szCs w:val="22"/>
        </w:rPr>
        <w:t xml:space="preserve"> Parties</w:t>
      </w:r>
      <w:r w:rsidR="0000533E" w:rsidRPr="000F07EC">
        <w:rPr>
          <w:kern w:val="22"/>
          <w:szCs w:val="22"/>
        </w:rPr>
        <w:t xml:space="preserve"> to the C</w:t>
      </w:r>
      <w:r w:rsidR="00A935F9" w:rsidRPr="000F07EC">
        <w:rPr>
          <w:kern w:val="22"/>
          <w:szCs w:val="22"/>
        </w:rPr>
        <w:t>onvention</w:t>
      </w:r>
      <w:r w:rsidR="00685AA5" w:rsidRPr="000F07EC">
        <w:rPr>
          <w:kern w:val="22"/>
          <w:szCs w:val="22"/>
        </w:rPr>
        <w:t>,</w:t>
      </w:r>
      <w:r w:rsidR="00A935F9" w:rsidRPr="000F07EC">
        <w:rPr>
          <w:kern w:val="22"/>
          <w:szCs w:val="22"/>
        </w:rPr>
        <w:t xml:space="preserve"> </w:t>
      </w:r>
      <w:r w:rsidR="00A24442" w:rsidRPr="000F07EC">
        <w:rPr>
          <w:kern w:val="22"/>
          <w:szCs w:val="22"/>
        </w:rPr>
        <w:t xml:space="preserve">and </w:t>
      </w:r>
      <w:r w:rsidR="009B523C" w:rsidRPr="000F07EC">
        <w:rPr>
          <w:kern w:val="22"/>
          <w:szCs w:val="22"/>
        </w:rPr>
        <w:t xml:space="preserve">there are indications that </w:t>
      </w:r>
      <w:r w:rsidR="0000533E" w:rsidRPr="000F07EC">
        <w:rPr>
          <w:kern w:val="22"/>
          <w:szCs w:val="22"/>
        </w:rPr>
        <w:t>34</w:t>
      </w:r>
      <w:r w:rsidR="006531B0" w:rsidRPr="000F07EC">
        <w:rPr>
          <w:kern w:val="22"/>
          <w:szCs w:val="22"/>
        </w:rPr>
        <w:t xml:space="preserve"> </w:t>
      </w:r>
      <w:r w:rsidR="00012364" w:rsidRPr="000F07EC">
        <w:rPr>
          <w:kern w:val="22"/>
          <w:szCs w:val="22"/>
        </w:rPr>
        <w:t xml:space="preserve">additional </w:t>
      </w:r>
      <w:r w:rsidR="006531B0" w:rsidRPr="000F07EC">
        <w:rPr>
          <w:kern w:val="22"/>
          <w:szCs w:val="22"/>
        </w:rPr>
        <w:t>Parties</w:t>
      </w:r>
      <w:r w:rsidR="0000533E" w:rsidRPr="000F07EC">
        <w:rPr>
          <w:kern w:val="22"/>
          <w:szCs w:val="22"/>
        </w:rPr>
        <w:t xml:space="preserve"> to the C</w:t>
      </w:r>
      <w:r w:rsidR="00A935F9" w:rsidRPr="000F07EC">
        <w:rPr>
          <w:kern w:val="22"/>
          <w:szCs w:val="22"/>
        </w:rPr>
        <w:t>onvention</w:t>
      </w:r>
      <w:r w:rsidR="006531B0" w:rsidRPr="000F07EC">
        <w:rPr>
          <w:kern w:val="22"/>
          <w:szCs w:val="22"/>
        </w:rPr>
        <w:t xml:space="preserve"> are</w:t>
      </w:r>
      <w:r w:rsidR="00A24442" w:rsidRPr="000F07EC">
        <w:rPr>
          <w:kern w:val="22"/>
          <w:szCs w:val="22"/>
        </w:rPr>
        <w:t xml:space="preserve"> planning to ratify the Protocol. </w:t>
      </w:r>
      <w:r w:rsidR="00353291" w:rsidRPr="000F07EC">
        <w:rPr>
          <w:kern w:val="22"/>
          <w:szCs w:val="22"/>
        </w:rPr>
        <w:t>Only 23</w:t>
      </w:r>
      <w:r w:rsidR="00A935F9" w:rsidRPr="000F07EC">
        <w:rPr>
          <w:kern w:val="22"/>
          <w:szCs w:val="22"/>
        </w:rPr>
        <w:t xml:space="preserve"> </w:t>
      </w:r>
      <w:r w:rsidR="00353291" w:rsidRPr="000F07EC">
        <w:rPr>
          <w:kern w:val="22"/>
          <w:szCs w:val="22"/>
        </w:rPr>
        <w:t xml:space="preserve">Parties </w:t>
      </w:r>
      <w:r w:rsidR="00A935F9" w:rsidRPr="000F07EC">
        <w:rPr>
          <w:kern w:val="22"/>
          <w:szCs w:val="22"/>
        </w:rPr>
        <w:t xml:space="preserve">to the Convention </w:t>
      </w:r>
      <w:r w:rsidR="00353291" w:rsidRPr="000F07EC">
        <w:rPr>
          <w:kern w:val="22"/>
          <w:szCs w:val="22"/>
        </w:rPr>
        <w:t>have not given any indication of their intention to ratify the Protocol.</w:t>
      </w:r>
    </w:p>
    <w:p w:rsidR="006861A0" w:rsidRPr="000F07EC" w:rsidRDefault="00353291">
      <w:pPr>
        <w:pStyle w:val="Para1"/>
        <w:rPr>
          <w:szCs w:val="22"/>
        </w:rPr>
      </w:pPr>
      <w:r w:rsidRPr="000F07EC">
        <w:rPr>
          <w:szCs w:val="22"/>
        </w:rPr>
        <w:t xml:space="preserve">In conclusion, </w:t>
      </w:r>
      <w:r w:rsidR="00D517FF" w:rsidRPr="000F07EC">
        <w:rPr>
          <w:kern w:val="22"/>
          <w:szCs w:val="22"/>
        </w:rPr>
        <w:t xml:space="preserve">available </w:t>
      </w:r>
      <w:r w:rsidRPr="000F07EC">
        <w:rPr>
          <w:szCs w:val="22"/>
        </w:rPr>
        <w:t>information indicates that a majority of Parties to the C</w:t>
      </w:r>
      <w:r w:rsidR="00A935F9" w:rsidRPr="000F07EC">
        <w:rPr>
          <w:szCs w:val="22"/>
        </w:rPr>
        <w:t>onvention</w:t>
      </w:r>
      <w:r w:rsidRPr="000F07EC">
        <w:rPr>
          <w:szCs w:val="22"/>
        </w:rPr>
        <w:t xml:space="preserve"> that have not yet ratified the Protocol are either working towards ratification or planning to ratify.</w:t>
      </w:r>
    </w:p>
    <w:p w:rsidR="00012364" w:rsidRPr="000F07EC" w:rsidRDefault="00012364" w:rsidP="000F07EC">
      <w:pPr>
        <w:pStyle w:val="Para1"/>
        <w:numPr>
          <w:ilvl w:val="0"/>
          <w:numId w:val="0"/>
        </w:numPr>
        <w:suppressLineNumbers/>
        <w:suppressAutoHyphens/>
        <w:kinsoku w:val="0"/>
        <w:overflowPunct w:val="0"/>
        <w:autoSpaceDE w:val="0"/>
        <w:autoSpaceDN w:val="0"/>
        <w:adjustRightInd w:val="0"/>
        <w:snapToGrid w:val="0"/>
        <w:jc w:val="center"/>
        <w:rPr>
          <w:b/>
          <w:kern w:val="22"/>
          <w:szCs w:val="22"/>
        </w:rPr>
      </w:pPr>
      <w:r w:rsidRPr="000F07EC">
        <w:rPr>
          <w:b/>
          <w:kern w:val="22"/>
          <w:szCs w:val="22"/>
        </w:rPr>
        <w:t>Graph A</w:t>
      </w:r>
      <w:r w:rsidR="00931A10" w:rsidRPr="000F07EC">
        <w:rPr>
          <w:b/>
          <w:kern w:val="22"/>
          <w:szCs w:val="22"/>
        </w:rPr>
        <w:t>.</w:t>
      </w:r>
      <w:r w:rsidRPr="000F07EC">
        <w:rPr>
          <w:b/>
          <w:kern w:val="22"/>
          <w:szCs w:val="22"/>
        </w:rPr>
        <w:t xml:space="preserve"> Status of ratifications</w:t>
      </w:r>
    </w:p>
    <w:p w:rsidR="00020B29" w:rsidRPr="000F07EC" w:rsidRDefault="006C3635" w:rsidP="000F07EC">
      <w:pPr>
        <w:pStyle w:val="Para1"/>
        <w:numPr>
          <w:ilvl w:val="0"/>
          <w:numId w:val="0"/>
        </w:numPr>
        <w:suppressLineNumbers/>
        <w:suppressAutoHyphens/>
        <w:kinsoku w:val="0"/>
        <w:overflowPunct w:val="0"/>
        <w:autoSpaceDE w:val="0"/>
        <w:autoSpaceDN w:val="0"/>
        <w:adjustRightInd w:val="0"/>
        <w:snapToGrid w:val="0"/>
        <w:jc w:val="center"/>
        <w:rPr>
          <w:kern w:val="22"/>
          <w:szCs w:val="22"/>
        </w:rPr>
      </w:pPr>
      <w:r w:rsidRPr="000F07EC">
        <w:rPr>
          <w:noProof/>
          <w:kern w:val="22"/>
          <w:szCs w:val="22"/>
          <w:lang w:eastAsia="zh-CN"/>
        </w:rPr>
        <w:drawing>
          <wp:inline distT="0" distB="0" distL="0" distR="0" wp14:anchorId="59E0E6AD" wp14:editId="23FE6732">
            <wp:extent cx="4114800" cy="24955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2364" w:rsidRPr="000F07EC" w:rsidRDefault="00012364" w:rsidP="000F07EC">
      <w:pPr>
        <w:pStyle w:val="Para1"/>
        <w:numPr>
          <w:ilvl w:val="0"/>
          <w:numId w:val="0"/>
        </w:numPr>
        <w:suppressLineNumbers/>
        <w:suppressAutoHyphens/>
        <w:kinsoku w:val="0"/>
        <w:overflowPunct w:val="0"/>
        <w:autoSpaceDE w:val="0"/>
        <w:autoSpaceDN w:val="0"/>
        <w:adjustRightInd w:val="0"/>
        <w:snapToGrid w:val="0"/>
        <w:jc w:val="center"/>
        <w:rPr>
          <w:b/>
          <w:kern w:val="22"/>
          <w:szCs w:val="22"/>
        </w:rPr>
      </w:pPr>
      <w:r w:rsidRPr="000F07EC">
        <w:rPr>
          <w:b/>
          <w:kern w:val="22"/>
          <w:szCs w:val="22"/>
        </w:rPr>
        <w:t>Graph B</w:t>
      </w:r>
      <w:r w:rsidR="00931A10" w:rsidRPr="000F07EC">
        <w:rPr>
          <w:b/>
          <w:kern w:val="22"/>
          <w:szCs w:val="22"/>
        </w:rPr>
        <w:t>.</w:t>
      </w:r>
      <w:r w:rsidR="007146A1" w:rsidRPr="000F07EC">
        <w:rPr>
          <w:b/>
          <w:kern w:val="22"/>
          <w:szCs w:val="22"/>
        </w:rPr>
        <w:t xml:space="preserve"> Status of</w:t>
      </w:r>
      <w:r w:rsidRPr="000F07EC">
        <w:rPr>
          <w:b/>
          <w:kern w:val="22"/>
          <w:szCs w:val="22"/>
        </w:rPr>
        <w:t xml:space="preserve"> </w:t>
      </w:r>
      <w:r w:rsidR="007146A1" w:rsidRPr="000F07EC">
        <w:rPr>
          <w:b/>
          <w:kern w:val="22"/>
          <w:szCs w:val="22"/>
        </w:rPr>
        <w:t>r</w:t>
      </w:r>
      <w:r w:rsidRPr="000F07EC">
        <w:rPr>
          <w:b/>
          <w:kern w:val="22"/>
          <w:szCs w:val="22"/>
        </w:rPr>
        <w:t>atifications by region</w:t>
      </w:r>
    </w:p>
    <w:p w:rsidR="00020B29" w:rsidRPr="000F07EC" w:rsidRDefault="0000533E" w:rsidP="000F07EC">
      <w:pPr>
        <w:pStyle w:val="Para1"/>
        <w:numPr>
          <w:ilvl w:val="0"/>
          <w:numId w:val="0"/>
        </w:numPr>
        <w:suppressLineNumbers/>
        <w:suppressAutoHyphens/>
        <w:kinsoku w:val="0"/>
        <w:overflowPunct w:val="0"/>
        <w:autoSpaceDE w:val="0"/>
        <w:autoSpaceDN w:val="0"/>
        <w:adjustRightInd w:val="0"/>
        <w:snapToGrid w:val="0"/>
        <w:jc w:val="center"/>
        <w:rPr>
          <w:kern w:val="22"/>
          <w:szCs w:val="22"/>
        </w:rPr>
      </w:pPr>
      <w:r w:rsidRPr="000F07EC">
        <w:rPr>
          <w:noProof/>
          <w:kern w:val="22"/>
          <w:szCs w:val="22"/>
          <w:lang w:eastAsia="zh-CN"/>
        </w:rPr>
        <w:drawing>
          <wp:inline distT="0" distB="0" distL="0" distR="0" wp14:anchorId="4A653606" wp14:editId="27D664EA">
            <wp:extent cx="4029075" cy="26574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D94539" w:rsidRPr="000F07EC">
        <w:rPr>
          <w:kern w:val="22"/>
          <w:szCs w:val="22"/>
        </w:rPr>
        <w:t xml:space="preserve"> </w:t>
      </w:r>
    </w:p>
    <w:p w:rsidR="0065770C" w:rsidRPr="000F07EC" w:rsidRDefault="00306099" w:rsidP="000F07EC">
      <w:pPr>
        <w:pStyle w:val="Para1"/>
        <w:keepLines/>
        <w:suppressLineNumbers/>
        <w:suppressAutoHyphens/>
        <w:kinsoku w:val="0"/>
        <w:overflowPunct w:val="0"/>
        <w:autoSpaceDE w:val="0"/>
        <w:autoSpaceDN w:val="0"/>
        <w:adjustRightInd w:val="0"/>
        <w:snapToGrid w:val="0"/>
        <w:rPr>
          <w:kern w:val="22"/>
          <w:szCs w:val="22"/>
        </w:rPr>
      </w:pPr>
      <w:r w:rsidRPr="000F07EC">
        <w:rPr>
          <w:kern w:val="22"/>
          <w:szCs w:val="22"/>
        </w:rPr>
        <w:lastRenderedPageBreak/>
        <w:t>In addition, a</w:t>
      </w:r>
      <w:r w:rsidR="0065770C" w:rsidRPr="000F07EC">
        <w:rPr>
          <w:kern w:val="22"/>
          <w:szCs w:val="22"/>
        </w:rPr>
        <w:t xml:space="preserve">s illustrated by graph </w:t>
      </w:r>
      <w:r w:rsidR="00012364" w:rsidRPr="000F07EC">
        <w:rPr>
          <w:kern w:val="22"/>
          <w:szCs w:val="22"/>
        </w:rPr>
        <w:t xml:space="preserve">B </w:t>
      </w:r>
      <w:r w:rsidR="00C433B7" w:rsidRPr="000F07EC">
        <w:rPr>
          <w:kern w:val="22"/>
          <w:szCs w:val="22"/>
        </w:rPr>
        <w:t xml:space="preserve">above </w:t>
      </w:r>
      <w:r w:rsidR="00012364" w:rsidRPr="000F07EC">
        <w:rPr>
          <w:kern w:val="22"/>
          <w:szCs w:val="22"/>
        </w:rPr>
        <w:t xml:space="preserve">on </w:t>
      </w:r>
      <w:r w:rsidR="0065770C" w:rsidRPr="000F07EC">
        <w:rPr>
          <w:kern w:val="22"/>
          <w:szCs w:val="22"/>
        </w:rPr>
        <w:t>ratifications by region, there is general support for the Nagoya Protocol across all regions</w:t>
      </w:r>
      <w:r w:rsidR="008A0CE1" w:rsidRPr="000F07EC">
        <w:rPr>
          <w:kern w:val="22"/>
          <w:szCs w:val="22"/>
        </w:rPr>
        <w:t>.</w:t>
      </w:r>
      <w:r w:rsidR="009029A0" w:rsidRPr="000F07EC">
        <w:rPr>
          <w:kern w:val="22"/>
          <w:szCs w:val="22"/>
        </w:rPr>
        <w:t xml:space="preserve"> </w:t>
      </w:r>
      <w:r w:rsidR="008A0CE1" w:rsidRPr="000F07EC">
        <w:rPr>
          <w:kern w:val="22"/>
          <w:szCs w:val="22"/>
        </w:rPr>
        <w:t>P</w:t>
      </w:r>
      <w:r w:rsidR="0065770C" w:rsidRPr="000F07EC">
        <w:rPr>
          <w:kern w:val="22"/>
          <w:szCs w:val="22"/>
        </w:rPr>
        <w:t>rogress</w:t>
      </w:r>
      <w:r w:rsidR="008A0CE1" w:rsidRPr="000F07EC">
        <w:rPr>
          <w:kern w:val="22"/>
          <w:szCs w:val="22"/>
        </w:rPr>
        <w:t xml:space="preserve"> towards ratification, however,</w:t>
      </w:r>
      <w:r w:rsidR="009029A0" w:rsidRPr="000F07EC">
        <w:rPr>
          <w:kern w:val="22"/>
          <w:szCs w:val="22"/>
        </w:rPr>
        <w:t xml:space="preserve"> </w:t>
      </w:r>
      <w:r w:rsidR="001C382D" w:rsidRPr="000F07EC">
        <w:rPr>
          <w:kern w:val="22"/>
          <w:szCs w:val="22"/>
        </w:rPr>
        <w:t xml:space="preserve">is </w:t>
      </w:r>
      <w:r w:rsidR="009029A0" w:rsidRPr="000F07EC">
        <w:rPr>
          <w:kern w:val="22"/>
          <w:szCs w:val="22"/>
        </w:rPr>
        <w:t>slow</w:t>
      </w:r>
      <w:r w:rsidR="008A0CE1" w:rsidRPr="000F07EC">
        <w:rPr>
          <w:kern w:val="22"/>
          <w:szCs w:val="22"/>
        </w:rPr>
        <w:t>er in some regions</w:t>
      </w:r>
      <w:r w:rsidR="009029A0" w:rsidRPr="000F07EC">
        <w:rPr>
          <w:kern w:val="22"/>
          <w:szCs w:val="22"/>
        </w:rPr>
        <w:t xml:space="preserve"> </w:t>
      </w:r>
      <w:r w:rsidR="0065770C" w:rsidRPr="000F07EC">
        <w:rPr>
          <w:kern w:val="22"/>
          <w:szCs w:val="22"/>
        </w:rPr>
        <w:t xml:space="preserve">than </w:t>
      </w:r>
      <w:r w:rsidR="008A0CE1" w:rsidRPr="000F07EC">
        <w:rPr>
          <w:kern w:val="22"/>
          <w:szCs w:val="22"/>
        </w:rPr>
        <w:t xml:space="preserve">in </w:t>
      </w:r>
      <w:r w:rsidR="0065770C" w:rsidRPr="000F07EC">
        <w:rPr>
          <w:kern w:val="22"/>
          <w:szCs w:val="22"/>
        </w:rPr>
        <w:t xml:space="preserve">others. Limited progress </w:t>
      </w:r>
      <w:r w:rsidR="0068607C" w:rsidRPr="000F07EC">
        <w:rPr>
          <w:kern w:val="22"/>
          <w:szCs w:val="22"/>
        </w:rPr>
        <w:t>by</w:t>
      </w:r>
      <w:r w:rsidR="0065770C" w:rsidRPr="000F07EC">
        <w:rPr>
          <w:kern w:val="22"/>
          <w:szCs w:val="22"/>
        </w:rPr>
        <w:t xml:space="preserve"> countries in some regions may be explained by a variety of </w:t>
      </w:r>
      <w:r w:rsidR="009029A0" w:rsidRPr="000F07EC">
        <w:rPr>
          <w:kern w:val="22"/>
          <w:szCs w:val="22"/>
        </w:rPr>
        <w:t xml:space="preserve">factors. </w:t>
      </w:r>
      <w:r w:rsidR="00042999" w:rsidRPr="000F07EC">
        <w:rPr>
          <w:kern w:val="22"/>
          <w:szCs w:val="22"/>
        </w:rPr>
        <w:t xml:space="preserve">In particular, </w:t>
      </w:r>
      <w:r w:rsidR="002A0EED" w:rsidRPr="000F07EC">
        <w:rPr>
          <w:kern w:val="22"/>
          <w:szCs w:val="22"/>
        </w:rPr>
        <w:t xml:space="preserve">the consultation process required by many countries prior to </w:t>
      </w:r>
      <w:r w:rsidR="00FC6D52" w:rsidRPr="000F07EC">
        <w:rPr>
          <w:kern w:val="22"/>
          <w:szCs w:val="22"/>
        </w:rPr>
        <w:t xml:space="preserve">ratification can be </w:t>
      </w:r>
      <w:r w:rsidR="0068607C" w:rsidRPr="000F07EC">
        <w:rPr>
          <w:kern w:val="22"/>
          <w:szCs w:val="22"/>
        </w:rPr>
        <w:t xml:space="preserve">politically sensitive and </w:t>
      </w:r>
      <w:r w:rsidR="00FC6D52" w:rsidRPr="000F07EC">
        <w:rPr>
          <w:kern w:val="22"/>
          <w:szCs w:val="22"/>
        </w:rPr>
        <w:t>time</w:t>
      </w:r>
      <w:r w:rsidR="00BC778C" w:rsidRPr="000F07EC">
        <w:rPr>
          <w:kern w:val="22"/>
          <w:szCs w:val="22"/>
        </w:rPr>
        <w:t>-</w:t>
      </w:r>
      <w:r w:rsidR="00FC6D52" w:rsidRPr="000F07EC">
        <w:rPr>
          <w:kern w:val="22"/>
          <w:szCs w:val="22"/>
        </w:rPr>
        <w:t xml:space="preserve">consuming considering </w:t>
      </w:r>
      <w:r w:rsidR="009029A0" w:rsidRPr="000F07EC">
        <w:rPr>
          <w:kern w:val="22"/>
          <w:szCs w:val="22"/>
        </w:rPr>
        <w:t>the cross-cutting nature of ABS issues</w:t>
      </w:r>
      <w:r w:rsidR="00BC778C" w:rsidRPr="000F07EC">
        <w:rPr>
          <w:kern w:val="22"/>
          <w:szCs w:val="22"/>
        </w:rPr>
        <w:t>,</w:t>
      </w:r>
      <w:r w:rsidR="009029A0" w:rsidRPr="000F07EC">
        <w:rPr>
          <w:kern w:val="22"/>
          <w:szCs w:val="22"/>
        </w:rPr>
        <w:t xml:space="preserve"> which are relevant to different ministries</w:t>
      </w:r>
      <w:r w:rsidR="00BE3CE9" w:rsidRPr="000F07EC">
        <w:rPr>
          <w:kern w:val="22"/>
          <w:szCs w:val="22"/>
        </w:rPr>
        <w:t xml:space="preserve"> (</w:t>
      </w:r>
      <w:r w:rsidR="00BC778C" w:rsidRPr="000F07EC">
        <w:rPr>
          <w:kern w:val="22"/>
          <w:szCs w:val="22"/>
        </w:rPr>
        <w:t>for example</w:t>
      </w:r>
      <w:r w:rsidR="00BE3CE9" w:rsidRPr="000F07EC">
        <w:rPr>
          <w:kern w:val="22"/>
          <w:szCs w:val="22"/>
        </w:rPr>
        <w:t xml:space="preserve"> environment, agriculture, research, trade)</w:t>
      </w:r>
      <w:r w:rsidR="009029A0" w:rsidRPr="000F07EC">
        <w:rPr>
          <w:kern w:val="22"/>
          <w:szCs w:val="22"/>
        </w:rPr>
        <w:t xml:space="preserve">, </w:t>
      </w:r>
      <w:r w:rsidR="006C3635" w:rsidRPr="000F07EC">
        <w:rPr>
          <w:kern w:val="22"/>
          <w:szCs w:val="22"/>
        </w:rPr>
        <w:t xml:space="preserve">to </w:t>
      </w:r>
      <w:r w:rsidR="00365E9D" w:rsidRPr="000F07EC">
        <w:rPr>
          <w:kern w:val="22"/>
          <w:szCs w:val="22"/>
        </w:rPr>
        <w:t>indigenous peoples and local communities</w:t>
      </w:r>
      <w:r w:rsidR="009029A0" w:rsidRPr="000F07EC">
        <w:rPr>
          <w:kern w:val="22"/>
          <w:szCs w:val="22"/>
        </w:rPr>
        <w:t xml:space="preserve"> and </w:t>
      </w:r>
      <w:r w:rsidR="00FC6D52" w:rsidRPr="000F07EC">
        <w:rPr>
          <w:kern w:val="22"/>
          <w:szCs w:val="22"/>
        </w:rPr>
        <w:t xml:space="preserve">to </w:t>
      </w:r>
      <w:r w:rsidR="006C3635" w:rsidRPr="000F07EC">
        <w:rPr>
          <w:kern w:val="22"/>
          <w:szCs w:val="22"/>
        </w:rPr>
        <w:t xml:space="preserve">various </w:t>
      </w:r>
      <w:r w:rsidR="009029A0" w:rsidRPr="000F07EC">
        <w:rPr>
          <w:kern w:val="22"/>
          <w:szCs w:val="22"/>
        </w:rPr>
        <w:t>stakeholders</w:t>
      </w:r>
      <w:r w:rsidR="002A0EED" w:rsidRPr="000F07EC">
        <w:rPr>
          <w:kern w:val="22"/>
          <w:szCs w:val="22"/>
        </w:rPr>
        <w:t xml:space="preserve"> (</w:t>
      </w:r>
      <w:r w:rsidR="00BC778C" w:rsidRPr="000F07EC">
        <w:rPr>
          <w:kern w:val="22"/>
          <w:szCs w:val="22"/>
        </w:rPr>
        <w:t>such as the</w:t>
      </w:r>
      <w:r w:rsidR="002A0EED" w:rsidRPr="000F07EC">
        <w:rPr>
          <w:kern w:val="22"/>
          <w:szCs w:val="22"/>
        </w:rPr>
        <w:t xml:space="preserve"> business and scientific communit</w:t>
      </w:r>
      <w:r w:rsidR="00BC778C" w:rsidRPr="000F07EC">
        <w:rPr>
          <w:kern w:val="22"/>
          <w:szCs w:val="22"/>
        </w:rPr>
        <w:t>ies</w:t>
      </w:r>
      <w:r w:rsidR="002A0EED" w:rsidRPr="000F07EC">
        <w:rPr>
          <w:kern w:val="22"/>
          <w:szCs w:val="22"/>
        </w:rPr>
        <w:t>)</w:t>
      </w:r>
      <w:r w:rsidR="00FC6D52" w:rsidRPr="000F07EC">
        <w:rPr>
          <w:kern w:val="22"/>
          <w:szCs w:val="22"/>
        </w:rPr>
        <w:t>.</w:t>
      </w:r>
      <w:r w:rsidR="002A0EED" w:rsidRPr="000F07EC">
        <w:rPr>
          <w:kern w:val="22"/>
          <w:szCs w:val="22"/>
        </w:rPr>
        <w:t xml:space="preserve"> </w:t>
      </w:r>
      <w:r w:rsidR="00042999" w:rsidRPr="000F07EC">
        <w:rPr>
          <w:kern w:val="22"/>
          <w:szCs w:val="22"/>
        </w:rPr>
        <w:t xml:space="preserve">In addition, a number of countries </w:t>
      </w:r>
      <w:r w:rsidR="00FC6D52" w:rsidRPr="000F07EC">
        <w:rPr>
          <w:kern w:val="22"/>
          <w:szCs w:val="22"/>
        </w:rPr>
        <w:t>require the development of national measures for implementation prior to ratification</w:t>
      </w:r>
      <w:r w:rsidR="00042999" w:rsidRPr="000F07EC">
        <w:rPr>
          <w:kern w:val="22"/>
          <w:szCs w:val="22"/>
        </w:rPr>
        <w:t>.</w:t>
      </w:r>
    </w:p>
    <w:p w:rsidR="00D41040" w:rsidRPr="000F07EC" w:rsidRDefault="00D41040"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Given that many countries need to adopt measures to implement </w:t>
      </w:r>
      <w:r w:rsidR="00012364" w:rsidRPr="000F07EC">
        <w:rPr>
          <w:kern w:val="22"/>
          <w:szCs w:val="22"/>
        </w:rPr>
        <w:t>the Protocol</w:t>
      </w:r>
      <w:r w:rsidRPr="000F07EC">
        <w:rPr>
          <w:kern w:val="22"/>
          <w:szCs w:val="22"/>
        </w:rPr>
        <w:t xml:space="preserve"> before it can be ratified, a number of Parties </w:t>
      </w:r>
      <w:r w:rsidR="00190409" w:rsidRPr="000F07EC">
        <w:rPr>
          <w:kern w:val="22"/>
          <w:szCs w:val="22"/>
        </w:rPr>
        <w:t xml:space="preserve">to the Convention </w:t>
      </w:r>
      <w:r w:rsidRPr="000F07EC">
        <w:rPr>
          <w:kern w:val="22"/>
          <w:szCs w:val="22"/>
        </w:rPr>
        <w:t xml:space="preserve">working towards ratification are also taking steps to implement the Protocol and have made information available </w:t>
      </w:r>
      <w:r w:rsidR="0034478E" w:rsidRPr="000F07EC">
        <w:rPr>
          <w:kern w:val="22"/>
          <w:szCs w:val="22"/>
        </w:rPr>
        <w:t xml:space="preserve">on national developments related to ABS implementation, such as the establishment of institutional structures or the development or revision of national ABS measures, </w:t>
      </w:r>
      <w:r w:rsidRPr="000F07EC">
        <w:rPr>
          <w:kern w:val="22"/>
          <w:szCs w:val="22"/>
        </w:rPr>
        <w:t xml:space="preserve">through </w:t>
      </w:r>
      <w:r w:rsidR="0034478E" w:rsidRPr="000F07EC">
        <w:rPr>
          <w:kern w:val="22"/>
          <w:szCs w:val="22"/>
        </w:rPr>
        <w:t>the national reports under the Convention, NBSAPs, the interim national reports on the implementation of the Nagoya Protocol, and/or the ABS Clearing-House.</w:t>
      </w:r>
    </w:p>
    <w:p w:rsidR="00306099" w:rsidRPr="000F07EC" w:rsidRDefault="00306099"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In addition, a number of Parties </w:t>
      </w:r>
      <w:r w:rsidR="00190409" w:rsidRPr="000F07EC">
        <w:rPr>
          <w:kern w:val="22"/>
          <w:szCs w:val="22"/>
        </w:rPr>
        <w:t xml:space="preserve">to the Convention </w:t>
      </w:r>
      <w:r w:rsidRPr="000F07EC">
        <w:rPr>
          <w:kern w:val="22"/>
          <w:szCs w:val="22"/>
        </w:rPr>
        <w:t>already had ABS measures in place prior to the Nagoya Protocol in accordance with the access and benefit-sharing provisions of the Convention. Many of these countries are in the process of revising their national ABS measures in order to comply with the additional obligations established by the Nagoya Protocol, such as those related to compliance and to monitoring the utilization of genetic resources.</w:t>
      </w:r>
    </w:p>
    <w:p w:rsidR="0091673D" w:rsidRPr="000F07EC" w:rsidRDefault="00D41040"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The following graph provide</w:t>
      </w:r>
      <w:r w:rsidR="00EF7A75" w:rsidRPr="000F07EC">
        <w:rPr>
          <w:kern w:val="22"/>
          <w:szCs w:val="22"/>
        </w:rPr>
        <w:t>s</w:t>
      </w:r>
      <w:r w:rsidRPr="000F07EC">
        <w:rPr>
          <w:kern w:val="22"/>
          <w:szCs w:val="22"/>
        </w:rPr>
        <w:t xml:space="preserve"> an overview of progress made by </w:t>
      </w:r>
      <w:r w:rsidR="00AD2B2A" w:rsidRPr="000F07EC">
        <w:rPr>
          <w:kern w:val="22"/>
          <w:szCs w:val="22"/>
        </w:rPr>
        <w:t xml:space="preserve">Parties </w:t>
      </w:r>
      <w:r w:rsidR="00190409" w:rsidRPr="000F07EC">
        <w:rPr>
          <w:kern w:val="22"/>
          <w:szCs w:val="22"/>
        </w:rPr>
        <w:t xml:space="preserve">to the Convention </w:t>
      </w:r>
      <w:r w:rsidR="00AD2B2A" w:rsidRPr="000F07EC">
        <w:rPr>
          <w:kern w:val="22"/>
          <w:szCs w:val="22"/>
        </w:rPr>
        <w:t xml:space="preserve">that are </w:t>
      </w:r>
      <w:r w:rsidR="008F4687" w:rsidRPr="000F07EC">
        <w:rPr>
          <w:kern w:val="22"/>
          <w:szCs w:val="22"/>
        </w:rPr>
        <w:t xml:space="preserve">not yet </w:t>
      </w:r>
      <w:r w:rsidRPr="000F07EC">
        <w:rPr>
          <w:kern w:val="22"/>
          <w:szCs w:val="22"/>
        </w:rPr>
        <w:t>Parties</w:t>
      </w:r>
      <w:r w:rsidR="00C433B7" w:rsidRPr="000F07EC">
        <w:rPr>
          <w:kern w:val="22"/>
          <w:szCs w:val="22"/>
        </w:rPr>
        <w:t xml:space="preserve"> to the Nagoya Protocol</w:t>
      </w:r>
      <w:r w:rsidRPr="000F07EC">
        <w:rPr>
          <w:kern w:val="22"/>
          <w:szCs w:val="22"/>
        </w:rPr>
        <w:t xml:space="preserve"> in </w:t>
      </w:r>
      <w:r w:rsidR="00EF7A75" w:rsidRPr="000F07EC">
        <w:rPr>
          <w:kern w:val="22"/>
          <w:szCs w:val="22"/>
        </w:rPr>
        <w:t>establishing legislative, administrative and policy measures on access and benefit-sharing</w:t>
      </w:r>
      <w:r w:rsidR="004A7EA5" w:rsidRPr="000F07EC">
        <w:rPr>
          <w:kern w:val="22"/>
          <w:szCs w:val="22"/>
        </w:rPr>
        <w:t>.</w:t>
      </w:r>
    </w:p>
    <w:p w:rsidR="0031427C" w:rsidRPr="000F07EC" w:rsidRDefault="00AD2B2A" w:rsidP="000F07EC">
      <w:pPr>
        <w:pStyle w:val="Para1"/>
        <w:keepNext/>
        <w:numPr>
          <w:ilvl w:val="0"/>
          <w:numId w:val="0"/>
        </w:numPr>
        <w:suppressLineNumbers/>
        <w:suppressAutoHyphens/>
        <w:kinsoku w:val="0"/>
        <w:overflowPunct w:val="0"/>
        <w:autoSpaceDE w:val="0"/>
        <w:autoSpaceDN w:val="0"/>
        <w:adjustRightInd w:val="0"/>
        <w:snapToGrid w:val="0"/>
        <w:ind w:left="1080" w:hanging="1080"/>
        <w:rPr>
          <w:b/>
          <w:spacing w:val="-2"/>
          <w:kern w:val="22"/>
          <w:szCs w:val="22"/>
        </w:rPr>
      </w:pPr>
      <w:r w:rsidRPr="000F07EC">
        <w:rPr>
          <w:b/>
          <w:spacing w:val="-2"/>
          <w:kern w:val="22"/>
          <w:szCs w:val="22"/>
        </w:rPr>
        <w:t>Graph C:</w:t>
      </w:r>
      <w:r w:rsidR="004A7EA5" w:rsidRPr="000F07EC">
        <w:rPr>
          <w:b/>
          <w:spacing w:val="-2"/>
          <w:kern w:val="22"/>
          <w:szCs w:val="22"/>
        </w:rPr>
        <w:tab/>
      </w:r>
      <w:r w:rsidRPr="000F07EC">
        <w:rPr>
          <w:b/>
          <w:spacing w:val="-2"/>
          <w:kern w:val="22"/>
          <w:szCs w:val="22"/>
        </w:rPr>
        <w:t xml:space="preserve">Progress in establishing legislative, administrative and policy measures on ABS by </w:t>
      </w:r>
      <w:r w:rsidR="00306099" w:rsidRPr="000F07EC">
        <w:rPr>
          <w:b/>
          <w:spacing w:val="-2"/>
          <w:kern w:val="22"/>
          <w:szCs w:val="22"/>
        </w:rPr>
        <w:t xml:space="preserve">Parties </w:t>
      </w:r>
      <w:r w:rsidR="001F6667" w:rsidRPr="000F07EC">
        <w:rPr>
          <w:b/>
          <w:spacing w:val="-2"/>
          <w:kern w:val="22"/>
          <w:szCs w:val="22"/>
        </w:rPr>
        <w:t xml:space="preserve">to the Convention </w:t>
      </w:r>
      <w:r w:rsidR="00306099" w:rsidRPr="000F07EC">
        <w:rPr>
          <w:b/>
          <w:spacing w:val="-2"/>
          <w:kern w:val="22"/>
          <w:szCs w:val="22"/>
        </w:rPr>
        <w:t xml:space="preserve">that are </w:t>
      </w:r>
      <w:r w:rsidRPr="000F07EC">
        <w:rPr>
          <w:b/>
          <w:spacing w:val="-2"/>
          <w:kern w:val="22"/>
          <w:szCs w:val="22"/>
        </w:rPr>
        <w:t xml:space="preserve">non-Parties </w:t>
      </w:r>
      <w:r w:rsidR="00306099" w:rsidRPr="000F07EC">
        <w:rPr>
          <w:b/>
          <w:spacing w:val="-2"/>
          <w:kern w:val="22"/>
          <w:szCs w:val="22"/>
        </w:rPr>
        <w:t xml:space="preserve">to the Nagoya Protocol </w:t>
      </w:r>
      <w:r w:rsidRPr="000F07EC">
        <w:rPr>
          <w:b/>
          <w:spacing w:val="-2"/>
          <w:kern w:val="22"/>
          <w:szCs w:val="22"/>
        </w:rPr>
        <w:t>as of 22 February 2018</w:t>
      </w:r>
    </w:p>
    <w:p w:rsidR="0031427C" w:rsidRPr="000F07EC" w:rsidRDefault="0031427C" w:rsidP="000F07EC">
      <w:pPr>
        <w:pStyle w:val="Para1"/>
        <w:numPr>
          <w:ilvl w:val="0"/>
          <w:numId w:val="0"/>
        </w:numPr>
        <w:suppressLineNumbers/>
        <w:suppressAutoHyphens/>
        <w:kinsoku w:val="0"/>
        <w:overflowPunct w:val="0"/>
        <w:autoSpaceDE w:val="0"/>
        <w:autoSpaceDN w:val="0"/>
        <w:adjustRightInd w:val="0"/>
        <w:snapToGrid w:val="0"/>
        <w:jc w:val="center"/>
        <w:rPr>
          <w:kern w:val="22"/>
          <w:szCs w:val="22"/>
          <w:lang w:val="en-US"/>
        </w:rPr>
      </w:pPr>
      <w:r w:rsidRPr="000F07EC">
        <w:rPr>
          <w:noProof/>
          <w:kern w:val="22"/>
          <w:szCs w:val="22"/>
          <w:lang w:eastAsia="zh-CN"/>
        </w:rPr>
        <w:drawing>
          <wp:inline distT="0" distB="0" distL="0" distR="0" wp14:anchorId="15D2B4A5" wp14:editId="4F68EDE4">
            <wp:extent cx="4162425" cy="26098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B3613" w:rsidRPr="000F07EC" w:rsidRDefault="006B3613"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According to information available, 30 Parties</w:t>
      </w:r>
      <w:r w:rsidR="00190409" w:rsidRPr="000F07EC">
        <w:rPr>
          <w:kern w:val="22"/>
          <w:szCs w:val="22"/>
        </w:rPr>
        <w:t xml:space="preserve"> to the Convention</w:t>
      </w:r>
      <w:r w:rsidRPr="000F07EC">
        <w:rPr>
          <w:kern w:val="22"/>
          <w:szCs w:val="22"/>
        </w:rPr>
        <w:t xml:space="preserve"> (33</w:t>
      </w:r>
      <w:r w:rsidR="00785E90" w:rsidRPr="000F07EC">
        <w:rPr>
          <w:kern w:val="22"/>
          <w:szCs w:val="22"/>
        </w:rPr>
        <w:t> per cent</w:t>
      </w:r>
      <w:r w:rsidRPr="000F07EC">
        <w:rPr>
          <w:kern w:val="22"/>
          <w:szCs w:val="22"/>
        </w:rPr>
        <w:t xml:space="preserve"> of the Parties that have not ratified the Protocol) reported having ABS measures in place. Out of these 30 Parties, 7 indicated that they </w:t>
      </w:r>
      <w:r w:rsidR="00D5565F" w:rsidRPr="000F07EC">
        <w:rPr>
          <w:kern w:val="22"/>
          <w:szCs w:val="22"/>
        </w:rPr>
        <w:t xml:space="preserve">were </w:t>
      </w:r>
      <w:r w:rsidRPr="000F07EC">
        <w:rPr>
          <w:kern w:val="22"/>
          <w:szCs w:val="22"/>
        </w:rPr>
        <w:t xml:space="preserve">currently revising existing or developing new ABS measures to implement the Nagoya Protocol and 14 Parties </w:t>
      </w:r>
      <w:r w:rsidR="004F4D43" w:rsidRPr="000F07EC">
        <w:rPr>
          <w:kern w:val="22"/>
          <w:szCs w:val="22"/>
        </w:rPr>
        <w:t>were</w:t>
      </w:r>
      <w:r w:rsidR="004F4D43" w:rsidRPr="000F07EC">
        <w:rPr>
          <w:kern w:val="22"/>
          <w:szCs w:val="22"/>
        </w:rPr>
        <w:t xml:space="preserve"> </w:t>
      </w:r>
      <w:r w:rsidRPr="000F07EC">
        <w:rPr>
          <w:kern w:val="22"/>
          <w:szCs w:val="22"/>
        </w:rPr>
        <w:t>planning to develop additional ABS measures.</w:t>
      </w:r>
    </w:p>
    <w:p w:rsidR="006B3613" w:rsidRPr="000F07EC" w:rsidRDefault="006B3613"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In addition, out of the 61 Parties </w:t>
      </w:r>
      <w:r w:rsidR="00190409" w:rsidRPr="000F07EC">
        <w:rPr>
          <w:kern w:val="22"/>
          <w:szCs w:val="22"/>
        </w:rPr>
        <w:t xml:space="preserve">to the Convention </w:t>
      </w:r>
      <w:r w:rsidRPr="000F07EC">
        <w:rPr>
          <w:kern w:val="22"/>
          <w:szCs w:val="22"/>
        </w:rPr>
        <w:t>that do not have ABS measures in place, 13</w:t>
      </w:r>
      <w:r w:rsidR="001F6667" w:rsidRPr="000F07EC">
        <w:rPr>
          <w:kern w:val="22"/>
          <w:szCs w:val="22"/>
        </w:rPr>
        <w:t> </w:t>
      </w:r>
      <w:r w:rsidRPr="000F07EC">
        <w:rPr>
          <w:kern w:val="22"/>
          <w:szCs w:val="22"/>
        </w:rPr>
        <w:t xml:space="preserve">Parties indicated that they </w:t>
      </w:r>
      <w:r w:rsidR="000B3A14" w:rsidRPr="000F07EC">
        <w:rPr>
          <w:kern w:val="22"/>
          <w:szCs w:val="22"/>
        </w:rPr>
        <w:t>were</w:t>
      </w:r>
      <w:r w:rsidR="000B3A14" w:rsidRPr="000F07EC">
        <w:rPr>
          <w:kern w:val="22"/>
          <w:szCs w:val="22"/>
        </w:rPr>
        <w:t xml:space="preserve"> </w:t>
      </w:r>
      <w:r w:rsidRPr="000F07EC">
        <w:rPr>
          <w:kern w:val="22"/>
          <w:szCs w:val="22"/>
        </w:rPr>
        <w:t xml:space="preserve">currently developing measures, 25 Parties reported that </w:t>
      </w:r>
      <w:r w:rsidR="000B3A14" w:rsidRPr="000F07EC">
        <w:rPr>
          <w:kern w:val="22"/>
          <w:szCs w:val="22"/>
        </w:rPr>
        <w:t>were</w:t>
      </w:r>
      <w:r w:rsidR="000B3A14" w:rsidRPr="000F07EC">
        <w:rPr>
          <w:kern w:val="22"/>
          <w:szCs w:val="22"/>
        </w:rPr>
        <w:t xml:space="preserve"> </w:t>
      </w:r>
      <w:r w:rsidRPr="000F07EC">
        <w:rPr>
          <w:kern w:val="22"/>
          <w:szCs w:val="22"/>
        </w:rPr>
        <w:t xml:space="preserve">planning to develop measures and another 23 Parties </w:t>
      </w:r>
      <w:r w:rsidR="007744C8" w:rsidRPr="000F07EC">
        <w:rPr>
          <w:kern w:val="22"/>
          <w:szCs w:val="22"/>
        </w:rPr>
        <w:t>did</w:t>
      </w:r>
      <w:r w:rsidR="007744C8" w:rsidRPr="000F07EC">
        <w:rPr>
          <w:kern w:val="22"/>
          <w:szCs w:val="22"/>
        </w:rPr>
        <w:t xml:space="preserve"> </w:t>
      </w:r>
      <w:r w:rsidRPr="000F07EC">
        <w:rPr>
          <w:kern w:val="22"/>
          <w:szCs w:val="22"/>
        </w:rPr>
        <w:t>not provide information on the development of measures.</w:t>
      </w:r>
    </w:p>
    <w:p w:rsidR="009029A0" w:rsidRPr="000F07EC" w:rsidRDefault="009E0D5C"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lastRenderedPageBreak/>
        <w:t>As highlighted</w:t>
      </w:r>
      <w:r w:rsidR="00A2169A" w:rsidRPr="000F07EC">
        <w:rPr>
          <w:kern w:val="22"/>
          <w:szCs w:val="22"/>
        </w:rPr>
        <w:t xml:space="preserve"> in decision</w:t>
      </w:r>
      <w:r w:rsidR="00190409" w:rsidRPr="000F07EC">
        <w:rPr>
          <w:kern w:val="22"/>
          <w:szCs w:val="22"/>
        </w:rPr>
        <w:t>s</w:t>
      </w:r>
      <w:r w:rsidR="00A2169A" w:rsidRPr="000F07EC">
        <w:rPr>
          <w:kern w:val="22"/>
          <w:szCs w:val="22"/>
        </w:rPr>
        <w:t xml:space="preserve"> </w:t>
      </w:r>
      <w:hyperlink r:id="rId22" w:history="1">
        <w:r w:rsidR="0041618C" w:rsidRPr="000F07EC">
          <w:rPr>
            <w:rStyle w:val="Hyperlink"/>
            <w:kern w:val="22"/>
            <w:szCs w:val="22"/>
          </w:rPr>
          <w:t>XIII/</w:t>
        </w:r>
        <w:r w:rsidR="00FC6D52" w:rsidRPr="000F07EC">
          <w:rPr>
            <w:rStyle w:val="Hyperlink"/>
            <w:kern w:val="22"/>
            <w:szCs w:val="22"/>
          </w:rPr>
          <w:t>1</w:t>
        </w:r>
      </w:hyperlink>
      <w:r w:rsidR="0041618C" w:rsidRPr="000F07EC">
        <w:rPr>
          <w:kern w:val="22"/>
          <w:szCs w:val="22"/>
        </w:rPr>
        <w:t xml:space="preserve"> and </w:t>
      </w:r>
      <w:hyperlink r:id="rId23" w:history="1">
        <w:r w:rsidR="0041618C" w:rsidRPr="000F07EC">
          <w:rPr>
            <w:rStyle w:val="Hyperlink"/>
            <w:kern w:val="22"/>
            <w:szCs w:val="22"/>
          </w:rPr>
          <w:t>NP</w:t>
        </w:r>
        <w:r w:rsidR="000D2010" w:rsidRPr="000F07EC">
          <w:rPr>
            <w:rStyle w:val="Hyperlink"/>
            <w:kern w:val="22"/>
            <w:szCs w:val="22"/>
          </w:rPr>
          <w:t>-</w:t>
        </w:r>
        <w:r w:rsidR="00FC6D52" w:rsidRPr="000F07EC">
          <w:rPr>
            <w:rStyle w:val="Hyperlink"/>
            <w:kern w:val="22"/>
            <w:szCs w:val="22"/>
          </w:rPr>
          <w:t>2/1</w:t>
        </w:r>
      </w:hyperlink>
      <w:r w:rsidR="00A2169A" w:rsidRPr="000F07EC">
        <w:rPr>
          <w:kern w:val="22"/>
          <w:szCs w:val="22"/>
        </w:rPr>
        <w:t xml:space="preserve"> </w:t>
      </w:r>
      <w:r w:rsidR="00365E9D" w:rsidRPr="000F07EC">
        <w:rPr>
          <w:kern w:val="22"/>
          <w:szCs w:val="22"/>
        </w:rPr>
        <w:t xml:space="preserve">and more recently by Parties in their national reports, </w:t>
      </w:r>
      <w:r w:rsidR="00A2169A" w:rsidRPr="000F07EC">
        <w:rPr>
          <w:kern w:val="22"/>
          <w:szCs w:val="22"/>
        </w:rPr>
        <w:t xml:space="preserve">further </w:t>
      </w:r>
      <w:r w:rsidR="006F6F44" w:rsidRPr="000F07EC">
        <w:rPr>
          <w:kern w:val="22"/>
          <w:szCs w:val="22"/>
        </w:rPr>
        <w:t xml:space="preserve">technical </w:t>
      </w:r>
      <w:r w:rsidR="00FC6D52" w:rsidRPr="000F07EC">
        <w:rPr>
          <w:kern w:val="22"/>
          <w:szCs w:val="22"/>
        </w:rPr>
        <w:t>assistance</w:t>
      </w:r>
      <w:r w:rsidR="0041618C" w:rsidRPr="000F07EC">
        <w:rPr>
          <w:kern w:val="22"/>
          <w:szCs w:val="22"/>
        </w:rPr>
        <w:t xml:space="preserve">, </w:t>
      </w:r>
      <w:proofErr w:type="gramStart"/>
      <w:r w:rsidR="00A2169A" w:rsidRPr="000F07EC">
        <w:rPr>
          <w:kern w:val="22"/>
          <w:szCs w:val="22"/>
        </w:rPr>
        <w:t>capacity</w:t>
      </w:r>
      <w:proofErr w:type="gramEnd"/>
      <w:r w:rsidR="00A2169A" w:rsidRPr="000F07EC">
        <w:rPr>
          <w:kern w:val="22"/>
          <w:szCs w:val="22"/>
        </w:rPr>
        <w:t xml:space="preserve">-building and financial resources are needed to </w:t>
      </w:r>
      <w:r w:rsidR="006F6F44" w:rsidRPr="000F07EC">
        <w:rPr>
          <w:kern w:val="22"/>
          <w:szCs w:val="22"/>
        </w:rPr>
        <w:t>support ratification and implementation.</w:t>
      </w:r>
    </w:p>
    <w:p w:rsidR="00226406" w:rsidRPr="000F07EC" w:rsidRDefault="009029A0"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F</w:t>
      </w:r>
      <w:r w:rsidR="00525039" w:rsidRPr="000F07EC">
        <w:rPr>
          <w:kern w:val="22"/>
          <w:szCs w:val="22"/>
        </w:rPr>
        <w:t>urthermore,</w:t>
      </w:r>
      <w:r w:rsidRPr="000F07EC">
        <w:rPr>
          <w:kern w:val="22"/>
          <w:szCs w:val="22"/>
        </w:rPr>
        <w:t xml:space="preserve"> Parties</w:t>
      </w:r>
      <w:r w:rsidR="00EF7A75" w:rsidRPr="000F07EC">
        <w:rPr>
          <w:kern w:val="22"/>
          <w:szCs w:val="22"/>
        </w:rPr>
        <w:t xml:space="preserve"> </w:t>
      </w:r>
      <w:r w:rsidR="00190409" w:rsidRPr="000F07EC">
        <w:rPr>
          <w:kern w:val="22"/>
          <w:szCs w:val="22"/>
        </w:rPr>
        <w:t xml:space="preserve">to the Convention </w:t>
      </w:r>
      <w:r w:rsidR="00EF7A75" w:rsidRPr="000F07EC">
        <w:rPr>
          <w:kern w:val="22"/>
          <w:szCs w:val="22"/>
        </w:rPr>
        <w:t>that have not yet ratified the Nagoya Protocol</w:t>
      </w:r>
      <w:r w:rsidR="00525039" w:rsidRPr="000F07EC">
        <w:rPr>
          <w:kern w:val="22"/>
          <w:szCs w:val="22"/>
        </w:rPr>
        <w:t xml:space="preserve"> continue to</w:t>
      </w:r>
      <w:r w:rsidR="000C0AE0" w:rsidRPr="000F07EC">
        <w:rPr>
          <w:kern w:val="22"/>
          <w:szCs w:val="22"/>
        </w:rPr>
        <w:t xml:space="preserve"> </w:t>
      </w:r>
      <w:r w:rsidR="00525039" w:rsidRPr="000F07EC">
        <w:rPr>
          <w:kern w:val="22"/>
          <w:szCs w:val="22"/>
        </w:rPr>
        <w:t>have</w:t>
      </w:r>
      <w:r w:rsidR="00EF7A75" w:rsidRPr="000F07EC">
        <w:rPr>
          <w:kern w:val="22"/>
          <w:szCs w:val="22"/>
        </w:rPr>
        <w:t xml:space="preserve"> ABS </w:t>
      </w:r>
      <w:r w:rsidR="00525039" w:rsidRPr="000F07EC">
        <w:rPr>
          <w:kern w:val="22"/>
          <w:szCs w:val="22"/>
        </w:rPr>
        <w:t xml:space="preserve">obligations as the relevant </w:t>
      </w:r>
      <w:r w:rsidRPr="000F07EC">
        <w:rPr>
          <w:kern w:val="22"/>
          <w:szCs w:val="22"/>
        </w:rPr>
        <w:t>provisions of the Convention</w:t>
      </w:r>
      <w:r w:rsidR="00525039" w:rsidRPr="000F07EC">
        <w:rPr>
          <w:kern w:val="22"/>
          <w:szCs w:val="22"/>
        </w:rPr>
        <w:t>,</w:t>
      </w:r>
      <w:r w:rsidRPr="000F07EC">
        <w:rPr>
          <w:kern w:val="22"/>
          <w:szCs w:val="22"/>
        </w:rPr>
        <w:t xml:space="preserve"> </w:t>
      </w:r>
      <w:r w:rsidR="00012364" w:rsidRPr="000F07EC">
        <w:rPr>
          <w:kern w:val="22"/>
          <w:szCs w:val="22"/>
        </w:rPr>
        <w:t xml:space="preserve">including </w:t>
      </w:r>
      <w:r w:rsidR="00757E33" w:rsidRPr="000F07EC">
        <w:rPr>
          <w:kern w:val="22"/>
          <w:szCs w:val="22"/>
        </w:rPr>
        <w:t>obligations contained in</w:t>
      </w:r>
      <w:r w:rsidR="00226406" w:rsidRPr="000F07EC">
        <w:rPr>
          <w:kern w:val="22"/>
          <w:szCs w:val="22"/>
        </w:rPr>
        <w:t xml:space="preserve"> Articles 15, 16</w:t>
      </w:r>
      <w:r w:rsidR="00FC6D52" w:rsidRPr="000F07EC">
        <w:rPr>
          <w:kern w:val="22"/>
          <w:szCs w:val="22"/>
        </w:rPr>
        <w:t xml:space="preserve">, </w:t>
      </w:r>
      <w:r w:rsidR="00226406" w:rsidRPr="000F07EC">
        <w:rPr>
          <w:kern w:val="22"/>
          <w:szCs w:val="22"/>
        </w:rPr>
        <w:t>19 (1)</w:t>
      </w:r>
      <w:r w:rsidR="00525039" w:rsidRPr="000F07EC">
        <w:rPr>
          <w:kern w:val="22"/>
          <w:szCs w:val="22"/>
        </w:rPr>
        <w:t xml:space="preserve"> and </w:t>
      </w:r>
      <w:r w:rsidR="00FC6D52" w:rsidRPr="000F07EC">
        <w:rPr>
          <w:kern w:val="22"/>
          <w:szCs w:val="22"/>
        </w:rPr>
        <w:t>(2)</w:t>
      </w:r>
      <w:r w:rsidR="00757E33" w:rsidRPr="000F07EC">
        <w:rPr>
          <w:kern w:val="22"/>
          <w:szCs w:val="22"/>
        </w:rPr>
        <w:t xml:space="preserve"> and </w:t>
      </w:r>
      <w:r w:rsidR="00F26B0A" w:rsidRPr="000F07EC">
        <w:rPr>
          <w:kern w:val="22"/>
          <w:szCs w:val="22"/>
        </w:rPr>
        <w:t xml:space="preserve">Article </w:t>
      </w:r>
      <w:r w:rsidR="00757E33" w:rsidRPr="000F07EC">
        <w:rPr>
          <w:kern w:val="22"/>
          <w:szCs w:val="22"/>
        </w:rPr>
        <w:t>8(j)</w:t>
      </w:r>
      <w:r w:rsidR="00525039" w:rsidRPr="000F07EC">
        <w:rPr>
          <w:kern w:val="22"/>
          <w:szCs w:val="22"/>
        </w:rPr>
        <w:t>,</w:t>
      </w:r>
      <w:r w:rsidR="00757E33" w:rsidRPr="000F07EC">
        <w:rPr>
          <w:kern w:val="22"/>
          <w:szCs w:val="22"/>
        </w:rPr>
        <w:t xml:space="preserve"> continue to apply</w:t>
      </w:r>
      <w:r w:rsidR="000A62EE" w:rsidRPr="000F07EC">
        <w:rPr>
          <w:kern w:val="22"/>
          <w:szCs w:val="22"/>
        </w:rPr>
        <w:t>.</w:t>
      </w:r>
    </w:p>
    <w:p w:rsidR="0036390F" w:rsidRPr="000F07EC" w:rsidRDefault="0036390F" w:rsidP="000F07EC">
      <w:pPr>
        <w:pStyle w:val="Heading1"/>
        <w:numPr>
          <w:ilvl w:val="0"/>
          <w:numId w:val="20"/>
        </w:numPr>
        <w:suppressLineNumbers/>
        <w:suppressAutoHyphens/>
        <w:kinsoku w:val="0"/>
        <w:overflowPunct w:val="0"/>
        <w:autoSpaceDE w:val="0"/>
        <w:autoSpaceDN w:val="0"/>
        <w:adjustRightInd w:val="0"/>
        <w:snapToGrid w:val="0"/>
        <w:spacing w:before="120"/>
        <w:rPr>
          <w:bCs/>
          <w:snapToGrid w:val="0"/>
          <w:kern w:val="22"/>
          <w:szCs w:val="22"/>
        </w:rPr>
      </w:pPr>
      <w:r w:rsidRPr="000F07EC">
        <w:rPr>
          <w:bCs/>
          <w:snapToGrid w:val="0"/>
          <w:kern w:val="22"/>
          <w:szCs w:val="22"/>
        </w:rPr>
        <w:t xml:space="preserve">Integration of </w:t>
      </w:r>
      <w:r w:rsidR="001F6667" w:rsidRPr="000F07EC">
        <w:rPr>
          <w:bCs/>
          <w:snapToGrid w:val="0"/>
          <w:kern w:val="22"/>
          <w:szCs w:val="22"/>
        </w:rPr>
        <w:t xml:space="preserve">access </w:t>
      </w:r>
      <w:r w:rsidR="00141982" w:rsidRPr="000F07EC">
        <w:rPr>
          <w:bCs/>
          <w:snapToGrid w:val="0"/>
          <w:kern w:val="22"/>
          <w:szCs w:val="22"/>
        </w:rPr>
        <w:t>and benefit-sharing</w:t>
      </w:r>
      <w:r w:rsidRPr="000F07EC">
        <w:rPr>
          <w:bCs/>
          <w:snapToGrid w:val="0"/>
          <w:kern w:val="22"/>
          <w:szCs w:val="22"/>
        </w:rPr>
        <w:t xml:space="preserve"> across the Convention</w:t>
      </w:r>
    </w:p>
    <w:p w:rsidR="00B561EC" w:rsidRPr="000F07EC" w:rsidRDefault="0036390F"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A</w:t>
      </w:r>
      <w:r w:rsidR="009E0D5C" w:rsidRPr="000F07EC">
        <w:rPr>
          <w:kern w:val="22"/>
          <w:szCs w:val="22"/>
        </w:rPr>
        <w:t>ccess and benefit-sharing</w:t>
      </w:r>
      <w:r w:rsidRPr="000F07EC">
        <w:rPr>
          <w:kern w:val="22"/>
          <w:szCs w:val="22"/>
        </w:rPr>
        <w:t xml:space="preserve"> is still, to a large extent, </w:t>
      </w:r>
      <w:r w:rsidR="00A876B6" w:rsidRPr="000F07EC">
        <w:rPr>
          <w:kern w:val="22"/>
          <w:szCs w:val="22"/>
        </w:rPr>
        <w:t>considered as</w:t>
      </w:r>
      <w:r w:rsidRPr="000F07EC">
        <w:rPr>
          <w:kern w:val="22"/>
          <w:szCs w:val="22"/>
        </w:rPr>
        <w:t xml:space="preserve"> a stand</w:t>
      </w:r>
      <w:r w:rsidR="00702810" w:rsidRPr="000F07EC">
        <w:rPr>
          <w:kern w:val="22"/>
          <w:szCs w:val="22"/>
        </w:rPr>
        <w:t>-</w:t>
      </w:r>
      <w:r w:rsidRPr="000F07EC">
        <w:rPr>
          <w:kern w:val="22"/>
          <w:szCs w:val="22"/>
        </w:rPr>
        <w:t>alone issue under the Con</w:t>
      </w:r>
      <w:r w:rsidR="001E7625" w:rsidRPr="000F07EC">
        <w:rPr>
          <w:kern w:val="22"/>
          <w:szCs w:val="22"/>
        </w:rPr>
        <w:t xml:space="preserve">vention and the Nagoya Protocol. </w:t>
      </w:r>
      <w:r w:rsidR="00B561EC" w:rsidRPr="000F07EC">
        <w:rPr>
          <w:kern w:val="22"/>
          <w:szCs w:val="22"/>
        </w:rPr>
        <w:t>However, the Nagoya Protocol emphasizes that benefit-sharing is to contribute to the conservation of biological diversity and the sustainable use of its components</w:t>
      </w:r>
      <w:r w:rsidR="00190409" w:rsidRPr="000F07EC">
        <w:rPr>
          <w:kern w:val="22"/>
          <w:szCs w:val="22"/>
        </w:rPr>
        <w:t>.</w:t>
      </w:r>
      <w:r w:rsidR="00F17093" w:rsidRPr="000F07EC">
        <w:rPr>
          <w:rStyle w:val="FootnoteReference"/>
          <w:kern w:val="22"/>
          <w:szCs w:val="22"/>
        </w:rPr>
        <w:footnoteReference w:id="6"/>
      </w:r>
    </w:p>
    <w:p w:rsidR="0015012D" w:rsidRPr="000F07EC" w:rsidRDefault="00B561EC"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G</w:t>
      </w:r>
      <w:r w:rsidR="0015012D" w:rsidRPr="000F07EC">
        <w:rPr>
          <w:kern w:val="22"/>
          <w:szCs w:val="22"/>
        </w:rPr>
        <w:t xml:space="preserve">iven </w:t>
      </w:r>
      <w:r w:rsidR="00166622" w:rsidRPr="000F07EC">
        <w:rPr>
          <w:kern w:val="22"/>
          <w:szCs w:val="22"/>
        </w:rPr>
        <w:t>the</w:t>
      </w:r>
      <w:r w:rsidR="00166622" w:rsidRPr="000F07EC">
        <w:rPr>
          <w:kern w:val="22"/>
          <w:szCs w:val="22"/>
        </w:rPr>
        <w:t xml:space="preserve"> </w:t>
      </w:r>
      <w:r w:rsidR="0015012D" w:rsidRPr="000F07EC">
        <w:rPr>
          <w:kern w:val="22"/>
          <w:szCs w:val="22"/>
        </w:rPr>
        <w:t>cross-cutting nature</w:t>
      </w:r>
      <w:r w:rsidR="00166622" w:rsidRPr="000F07EC">
        <w:rPr>
          <w:kern w:val="22"/>
          <w:szCs w:val="22"/>
        </w:rPr>
        <w:t xml:space="preserve"> of the Protocol</w:t>
      </w:r>
      <w:r w:rsidR="0015012D" w:rsidRPr="000F07EC">
        <w:rPr>
          <w:kern w:val="22"/>
          <w:szCs w:val="22"/>
        </w:rPr>
        <w:t xml:space="preserve">, </w:t>
      </w:r>
      <w:r w:rsidR="001E7625" w:rsidRPr="000F07EC">
        <w:rPr>
          <w:kern w:val="22"/>
          <w:szCs w:val="22"/>
        </w:rPr>
        <w:t>in order</w:t>
      </w:r>
      <w:r w:rsidR="00E93875" w:rsidRPr="000F07EC">
        <w:rPr>
          <w:kern w:val="22"/>
          <w:szCs w:val="22"/>
        </w:rPr>
        <w:t xml:space="preserve"> to support </w:t>
      </w:r>
      <w:r w:rsidR="0036390F" w:rsidRPr="000F07EC">
        <w:rPr>
          <w:kern w:val="22"/>
          <w:szCs w:val="22"/>
        </w:rPr>
        <w:t xml:space="preserve">its full implementation at </w:t>
      </w:r>
      <w:r w:rsidR="00166622" w:rsidRPr="000F07EC">
        <w:rPr>
          <w:kern w:val="22"/>
          <w:szCs w:val="22"/>
        </w:rPr>
        <w:t xml:space="preserve">the </w:t>
      </w:r>
      <w:r w:rsidR="0036390F" w:rsidRPr="000F07EC">
        <w:rPr>
          <w:kern w:val="22"/>
          <w:szCs w:val="22"/>
        </w:rPr>
        <w:t>national level</w:t>
      </w:r>
      <w:r w:rsidR="00E93875" w:rsidRPr="000F07EC">
        <w:rPr>
          <w:kern w:val="22"/>
          <w:szCs w:val="22"/>
        </w:rPr>
        <w:t xml:space="preserve">, issues related to </w:t>
      </w:r>
      <w:r w:rsidR="0015012D" w:rsidRPr="000F07EC">
        <w:rPr>
          <w:kern w:val="22"/>
          <w:szCs w:val="22"/>
        </w:rPr>
        <w:t xml:space="preserve">access to </w:t>
      </w:r>
      <w:r w:rsidR="00E93875" w:rsidRPr="000F07EC">
        <w:rPr>
          <w:kern w:val="22"/>
          <w:szCs w:val="22"/>
        </w:rPr>
        <w:t xml:space="preserve">genetic resources and associated traditional knowledge </w:t>
      </w:r>
      <w:r w:rsidR="0015012D" w:rsidRPr="000F07EC">
        <w:rPr>
          <w:kern w:val="22"/>
          <w:szCs w:val="22"/>
        </w:rPr>
        <w:t>and the fair and equitable sharing of bene</w:t>
      </w:r>
      <w:r w:rsidR="00A876B6" w:rsidRPr="000F07EC">
        <w:rPr>
          <w:kern w:val="22"/>
          <w:szCs w:val="22"/>
        </w:rPr>
        <w:t>fits arising out of their utiliz</w:t>
      </w:r>
      <w:r w:rsidR="0015012D" w:rsidRPr="000F07EC">
        <w:rPr>
          <w:kern w:val="22"/>
          <w:szCs w:val="22"/>
        </w:rPr>
        <w:t xml:space="preserve">ation </w:t>
      </w:r>
      <w:r w:rsidR="0068607C" w:rsidRPr="000F07EC">
        <w:rPr>
          <w:kern w:val="22"/>
          <w:szCs w:val="22"/>
        </w:rPr>
        <w:t>should</w:t>
      </w:r>
      <w:r w:rsidR="0015012D" w:rsidRPr="000F07EC">
        <w:rPr>
          <w:kern w:val="22"/>
          <w:szCs w:val="22"/>
        </w:rPr>
        <w:t xml:space="preserve"> be</w:t>
      </w:r>
      <w:r w:rsidR="001E7625" w:rsidRPr="000F07EC">
        <w:rPr>
          <w:kern w:val="22"/>
          <w:szCs w:val="22"/>
        </w:rPr>
        <w:t xml:space="preserve"> considered and taken into account by relevant government representatives and stakeholders involved in the management</w:t>
      </w:r>
      <w:r w:rsidR="0015012D" w:rsidRPr="000F07EC">
        <w:rPr>
          <w:kern w:val="22"/>
          <w:szCs w:val="22"/>
        </w:rPr>
        <w:t xml:space="preserve"> and/or use of</w:t>
      </w:r>
      <w:r w:rsidR="0036390F" w:rsidRPr="000F07EC">
        <w:rPr>
          <w:kern w:val="22"/>
          <w:szCs w:val="22"/>
        </w:rPr>
        <w:t xml:space="preserve"> </w:t>
      </w:r>
      <w:r w:rsidR="0015012D" w:rsidRPr="000F07EC">
        <w:rPr>
          <w:kern w:val="22"/>
          <w:szCs w:val="22"/>
        </w:rPr>
        <w:t>natural resources</w:t>
      </w:r>
      <w:r w:rsidR="008F78C2" w:rsidRPr="000F07EC">
        <w:rPr>
          <w:kern w:val="22"/>
          <w:szCs w:val="22"/>
        </w:rPr>
        <w:t xml:space="preserve"> </w:t>
      </w:r>
      <w:r w:rsidR="0036390F" w:rsidRPr="000F07EC">
        <w:rPr>
          <w:kern w:val="22"/>
          <w:szCs w:val="22"/>
        </w:rPr>
        <w:t>in different areas (</w:t>
      </w:r>
      <w:r w:rsidR="001D4BCD" w:rsidRPr="000F07EC">
        <w:rPr>
          <w:kern w:val="22"/>
          <w:szCs w:val="22"/>
        </w:rPr>
        <w:t>for example</w:t>
      </w:r>
      <w:r w:rsidR="0036390F" w:rsidRPr="000F07EC">
        <w:rPr>
          <w:kern w:val="22"/>
          <w:szCs w:val="22"/>
        </w:rPr>
        <w:t xml:space="preserve"> forests, </w:t>
      </w:r>
      <w:r w:rsidR="0015012D" w:rsidRPr="000F07EC">
        <w:rPr>
          <w:kern w:val="22"/>
          <w:szCs w:val="22"/>
        </w:rPr>
        <w:t xml:space="preserve">marine areas, </w:t>
      </w:r>
      <w:r w:rsidR="001D4BCD" w:rsidRPr="000F07EC">
        <w:rPr>
          <w:kern w:val="22"/>
          <w:szCs w:val="22"/>
        </w:rPr>
        <w:t xml:space="preserve">and </w:t>
      </w:r>
      <w:r w:rsidR="0015012D" w:rsidRPr="000F07EC">
        <w:rPr>
          <w:kern w:val="22"/>
          <w:szCs w:val="22"/>
        </w:rPr>
        <w:t>protected areas</w:t>
      </w:r>
      <w:r w:rsidR="0036390F" w:rsidRPr="000F07EC">
        <w:rPr>
          <w:kern w:val="22"/>
          <w:szCs w:val="22"/>
        </w:rPr>
        <w:t>) as part of an integrat</w:t>
      </w:r>
      <w:r w:rsidR="0015012D" w:rsidRPr="000F07EC">
        <w:rPr>
          <w:kern w:val="22"/>
          <w:szCs w:val="22"/>
        </w:rPr>
        <w:t>ed management approach that can</w:t>
      </w:r>
      <w:r w:rsidR="0036390F" w:rsidRPr="000F07EC">
        <w:rPr>
          <w:kern w:val="22"/>
          <w:szCs w:val="22"/>
        </w:rPr>
        <w:t xml:space="preserve"> contribute to conservation and sustainable use.</w:t>
      </w:r>
    </w:p>
    <w:p w:rsidR="00365E9D" w:rsidRPr="000F07EC" w:rsidRDefault="0036390F"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Against this background, the integration of ABS related issues across the Convention </w:t>
      </w:r>
      <w:r w:rsidR="00365E9D" w:rsidRPr="000F07EC">
        <w:rPr>
          <w:kern w:val="22"/>
          <w:szCs w:val="22"/>
        </w:rPr>
        <w:t xml:space="preserve">could </w:t>
      </w:r>
      <w:r w:rsidR="00B561EC" w:rsidRPr="000F07EC">
        <w:rPr>
          <w:kern w:val="22"/>
          <w:szCs w:val="22"/>
        </w:rPr>
        <w:t xml:space="preserve">further </w:t>
      </w:r>
      <w:r w:rsidR="00365E9D" w:rsidRPr="000F07EC">
        <w:rPr>
          <w:kern w:val="22"/>
          <w:szCs w:val="22"/>
        </w:rPr>
        <w:t xml:space="preserve">support </w:t>
      </w:r>
      <w:r w:rsidR="00B561EC" w:rsidRPr="000F07EC">
        <w:rPr>
          <w:kern w:val="22"/>
          <w:szCs w:val="22"/>
        </w:rPr>
        <w:t xml:space="preserve">the </w:t>
      </w:r>
      <w:r w:rsidR="00365E9D" w:rsidRPr="000F07EC">
        <w:rPr>
          <w:kern w:val="22"/>
          <w:szCs w:val="22"/>
        </w:rPr>
        <w:t xml:space="preserve">implementation of the Nagoya Protocol. </w:t>
      </w:r>
      <w:r w:rsidR="00F17093" w:rsidRPr="000F07EC">
        <w:rPr>
          <w:kern w:val="22"/>
          <w:szCs w:val="22"/>
        </w:rPr>
        <w:t xml:space="preserve">Some efforts in this direction have already been undertaken at the international level that could help </w:t>
      </w:r>
      <w:r w:rsidR="00306099" w:rsidRPr="000F07EC">
        <w:rPr>
          <w:kern w:val="22"/>
          <w:szCs w:val="22"/>
        </w:rPr>
        <w:t xml:space="preserve">support and </w:t>
      </w:r>
      <w:r w:rsidR="00F17093" w:rsidRPr="000F07EC">
        <w:rPr>
          <w:kern w:val="22"/>
          <w:szCs w:val="22"/>
        </w:rPr>
        <w:t>inform activities at the national level</w:t>
      </w:r>
      <w:r w:rsidR="00E02467" w:rsidRPr="000F07EC">
        <w:rPr>
          <w:kern w:val="22"/>
          <w:szCs w:val="22"/>
        </w:rPr>
        <w:t>.</w:t>
      </w:r>
    </w:p>
    <w:p w:rsidR="003B322A" w:rsidRPr="000F07EC" w:rsidRDefault="008D30B6"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Due to its direct linkages with access and benefit-sharing </w:t>
      </w:r>
      <w:r w:rsidR="00F26B0A" w:rsidRPr="000F07EC">
        <w:rPr>
          <w:kern w:val="22"/>
          <w:szCs w:val="22"/>
        </w:rPr>
        <w:t>as it relates to traditional knowledge, t</w:t>
      </w:r>
      <w:r w:rsidR="003B322A" w:rsidRPr="000F07EC">
        <w:rPr>
          <w:kern w:val="22"/>
          <w:szCs w:val="22"/>
        </w:rPr>
        <w:t xml:space="preserve">he </w:t>
      </w:r>
      <w:hyperlink r:id="rId24" w:history="1">
        <w:r w:rsidR="00785C3D" w:rsidRPr="000F07EC">
          <w:rPr>
            <w:rStyle w:val="Hyperlink"/>
            <w:kern w:val="22"/>
            <w:szCs w:val="22"/>
          </w:rPr>
          <w:t xml:space="preserve">programme of </w:t>
        </w:r>
        <w:r w:rsidR="003B322A" w:rsidRPr="000F07EC">
          <w:rPr>
            <w:rStyle w:val="Hyperlink"/>
            <w:kern w:val="22"/>
            <w:szCs w:val="22"/>
          </w:rPr>
          <w:t>work on Article 8(j)</w:t>
        </w:r>
        <w:r w:rsidR="00F26B0A" w:rsidRPr="000F07EC">
          <w:rPr>
            <w:rStyle w:val="Hyperlink"/>
            <w:kern w:val="22"/>
            <w:szCs w:val="22"/>
          </w:rPr>
          <w:t xml:space="preserve"> and related provisions</w:t>
        </w:r>
      </w:hyperlink>
      <w:r w:rsidR="00F26B0A" w:rsidRPr="000F07EC">
        <w:rPr>
          <w:kern w:val="22"/>
          <w:szCs w:val="22"/>
        </w:rPr>
        <w:t xml:space="preserve"> has been supporting ABS </w:t>
      </w:r>
      <w:r w:rsidR="00FE24FC" w:rsidRPr="000F07EC">
        <w:rPr>
          <w:kern w:val="22"/>
          <w:szCs w:val="22"/>
        </w:rPr>
        <w:t xml:space="preserve">implementation </w:t>
      </w:r>
      <w:r w:rsidR="00F26B0A" w:rsidRPr="000F07EC">
        <w:rPr>
          <w:kern w:val="22"/>
          <w:szCs w:val="22"/>
        </w:rPr>
        <w:t xml:space="preserve">and </w:t>
      </w:r>
      <w:r w:rsidR="00FE24FC" w:rsidRPr="000F07EC">
        <w:rPr>
          <w:kern w:val="22"/>
          <w:szCs w:val="22"/>
        </w:rPr>
        <w:t xml:space="preserve">more recently </w:t>
      </w:r>
      <w:r w:rsidR="00F26B0A" w:rsidRPr="000F07EC">
        <w:rPr>
          <w:kern w:val="22"/>
          <w:szCs w:val="22"/>
        </w:rPr>
        <w:t>th</w:t>
      </w:r>
      <w:r w:rsidR="00FE24FC" w:rsidRPr="000F07EC">
        <w:rPr>
          <w:kern w:val="22"/>
          <w:szCs w:val="22"/>
        </w:rPr>
        <w:t>e Nagoya Protocol</w:t>
      </w:r>
      <w:r w:rsidR="00F26B0A" w:rsidRPr="000F07EC">
        <w:rPr>
          <w:kern w:val="22"/>
          <w:szCs w:val="22"/>
        </w:rPr>
        <w:t xml:space="preserve">. Relevant </w:t>
      </w:r>
      <w:r w:rsidR="00FE24FC" w:rsidRPr="000F07EC">
        <w:rPr>
          <w:kern w:val="22"/>
          <w:szCs w:val="22"/>
        </w:rPr>
        <w:t>work carried out has</w:t>
      </w:r>
      <w:r w:rsidR="00F26B0A" w:rsidRPr="000F07EC">
        <w:rPr>
          <w:kern w:val="22"/>
          <w:szCs w:val="22"/>
        </w:rPr>
        <w:t xml:space="preserve"> included the development of the </w:t>
      </w:r>
      <w:r w:rsidR="00D3505C" w:rsidRPr="000F07EC">
        <w:rPr>
          <w:noProof/>
          <w:kern w:val="22"/>
          <w:szCs w:val="22"/>
        </w:rPr>
        <w:t>Mo’otz kuxtal</w:t>
      </w:r>
      <w:r w:rsidR="00D3505C" w:rsidRPr="000F07EC">
        <w:rPr>
          <w:b/>
          <w:caps/>
          <w:kern w:val="22"/>
          <w:szCs w:val="22"/>
        </w:rPr>
        <w:t xml:space="preserve"> </w:t>
      </w:r>
      <w:r w:rsidR="00D3505C" w:rsidRPr="000F07EC">
        <w:rPr>
          <w:kern w:val="22"/>
          <w:szCs w:val="22"/>
        </w:rPr>
        <w:t>voluntary guidelines</w:t>
      </w:r>
      <w:r w:rsidR="00B561EC" w:rsidRPr="000F07EC">
        <w:rPr>
          <w:rStyle w:val="FootnoteReference"/>
          <w:kern w:val="22"/>
          <w:szCs w:val="22"/>
        </w:rPr>
        <w:footnoteReference w:id="7"/>
      </w:r>
      <w:r w:rsidR="00F26B0A" w:rsidRPr="000F07EC">
        <w:rPr>
          <w:kern w:val="22"/>
          <w:szCs w:val="22"/>
        </w:rPr>
        <w:t xml:space="preserve"> as well as a number of capacity-building activities </w:t>
      </w:r>
      <w:r w:rsidRPr="000F07EC">
        <w:rPr>
          <w:kern w:val="22"/>
          <w:szCs w:val="22"/>
        </w:rPr>
        <w:t xml:space="preserve">targeting primarily indigenous and local communities </w:t>
      </w:r>
      <w:r w:rsidR="00F26B0A" w:rsidRPr="000F07EC">
        <w:rPr>
          <w:kern w:val="22"/>
          <w:szCs w:val="22"/>
        </w:rPr>
        <w:t xml:space="preserve">to support the implementation of the </w:t>
      </w:r>
      <w:r w:rsidRPr="000F07EC">
        <w:rPr>
          <w:kern w:val="22"/>
          <w:szCs w:val="22"/>
        </w:rPr>
        <w:t xml:space="preserve">Convention and the </w:t>
      </w:r>
      <w:r w:rsidR="00F26B0A" w:rsidRPr="000F07EC">
        <w:rPr>
          <w:kern w:val="22"/>
          <w:szCs w:val="22"/>
        </w:rPr>
        <w:t>Nagoya Protocol, including through the development of community protocols.</w:t>
      </w:r>
    </w:p>
    <w:p w:rsidR="00FE24FC" w:rsidRPr="000F07EC" w:rsidRDefault="00EB6C99"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The following materials were developed</w:t>
      </w:r>
      <w:r w:rsidR="00B95D69" w:rsidRPr="000F07EC">
        <w:rPr>
          <w:kern w:val="22"/>
          <w:szCs w:val="22"/>
        </w:rPr>
        <w:t>,</w:t>
      </w:r>
      <w:r w:rsidR="002922A2" w:rsidRPr="000F07EC">
        <w:rPr>
          <w:kern w:val="22"/>
          <w:szCs w:val="22"/>
        </w:rPr>
        <w:t xml:space="preserve"> </w:t>
      </w:r>
      <w:r w:rsidR="00B95D69" w:rsidRPr="000F07EC">
        <w:rPr>
          <w:kern w:val="22"/>
          <w:szCs w:val="22"/>
        </w:rPr>
        <w:t xml:space="preserve">with the support of the Secretariat, </w:t>
      </w:r>
      <w:r w:rsidRPr="000F07EC">
        <w:rPr>
          <w:kern w:val="22"/>
          <w:szCs w:val="22"/>
        </w:rPr>
        <w:t>to build</w:t>
      </w:r>
      <w:r w:rsidR="00FE24FC" w:rsidRPr="000F07EC">
        <w:rPr>
          <w:kern w:val="22"/>
          <w:szCs w:val="22"/>
        </w:rPr>
        <w:t xml:space="preserve"> the capacity of the scientific community </w:t>
      </w:r>
      <w:r w:rsidR="00B561EC" w:rsidRPr="000F07EC">
        <w:rPr>
          <w:kern w:val="22"/>
          <w:szCs w:val="22"/>
        </w:rPr>
        <w:t xml:space="preserve">as users of genetic resources </w:t>
      </w:r>
      <w:r w:rsidR="00FE24FC" w:rsidRPr="000F07EC">
        <w:rPr>
          <w:kern w:val="22"/>
          <w:szCs w:val="22"/>
        </w:rPr>
        <w:t>with respect to access and be</w:t>
      </w:r>
      <w:r w:rsidRPr="000F07EC">
        <w:rPr>
          <w:kern w:val="22"/>
          <w:szCs w:val="22"/>
        </w:rPr>
        <w:t>nefit-sharing issues</w:t>
      </w:r>
      <w:r w:rsidR="00FE24FC" w:rsidRPr="000F07EC">
        <w:rPr>
          <w:kern w:val="22"/>
          <w:szCs w:val="22"/>
        </w:rPr>
        <w:t>:</w:t>
      </w:r>
    </w:p>
    <w:p w:rsidR="00365E9D" w:rsidRPr="000F07EC" w:rsidRDefault="00FE24FC" w:rsidP="000F07EC">
      <w:pPr>
        <w:pStyle w:val="Para1"/>
        <w:numPr>
          <w:ilvl w:val="1"/>
          <w:numId w:val="2"/>
        </w:numPr>
        <w:suppressLineNumbers/>
        <w:tabs>
          <w:tab w:val="clear" w:pos="1440"/>
          <w:tab w:val="left" w:pos="1260"/>
        </w:tabs>
        <w:suppressAutoHyphens/>
        <w:kinsoku w:val="0"/>
        <w:overflowPunct w:val="0"/>
        <w:autoSpaceDE w:val="0"/>
        <w:autoSpaceDN w:val="0"/>
        <w:adjustRightInd w:val="0"/>
        <w:snapToGrid w:val="0"/>
        <w:rPr>
          <w:kern w:val="22"/>
          <w:szCs w:val="22"/>
        </w:rPr>
      </w:pPr>
      <w:r w:rsidRPr="000F07EC">
        <w:rPr>
          <w:kern w:val="22"/>
          <w:szCs w:val="22"/>
        </w:rPr>
        <w:t xml:space="preserve">A </w:t>
      </w:r>
      <w:r w:rsidR="001F2D27" w:rsidRPr="000F07EC">
        <w:rPr>
          <w:kern w:val="22"/>
          <w:szCs w:val="22"/>
        </w:rPr>
        <w:t>recent 2017 publication developed under the Global Taxonomy Initiative entitled</w:t>
      </w:r>
      <w:r w:rsidR="001F2D27" w:rsidRPr="000F07EC">
        <w:rPr>
          <w:kern w:val="22"/>
          <w:szCs w:val="22"/>
          <w:shd w:val="clear" w:color="auto" w:fill="FFFFFF"/>
        </w:rPr>
        <w:t xml:space="preserve"> </w:t>
      </w:r>
      <w:r w:rsidR="00E34E13" w:rsidRPr="000F07EC">
        <w:rPr>
          <w:kern w:val="22"/>
          <w:szCs w:val="22"/>
          <w:shd w:val="clear" w:color="auto" w:fill="FFFFFF"/>
        </w:rPr>
        <w:t>“</w:t>
      </w:r>
      <w:r w:rsidR="001F2D27" w:rsidRPr="000F07EC">
        <w:rPr>
          <w:bCs/>
          <w:i/>
          <w:iCs/>
          <w:kern w:val="22"/>
          <w:szCs w:val="22"/>
          <w:shd w:val="clear" w:color="auto" w:fill="FFFFFF"/>
        </w:rPr>
        <w:t>Introduction to Access and Benefit-Sharing and the Nagoya Protocol: What DNA Barcoding Researchers Need to Know</w:t>
      </w:r>
      <w:r w:rsidR="00E34E13" w:rsidRPr="000F07EC">
        <w:rPr>
          <w:kern w:val="22"/>
          <w:szCs w:val="22"/>
          <w:shd w:val="clear" w:color="auto" w:fill="FFFFFF"/>
        </w:rPr>
        <w:t>”</w:t>
      </w:r>
      <w:r w:rsidR="001F2D27" w:rsidRPr="000F07EC">
        <w:rPr>
          <w:kern w:val="22"/>
          <w:szCs w:val="22"/>
          <w:shd w:val="clear" w:color="auto" w:fill="FFFFFF"/>
        </w:rPr>
        <w:t xml:space="preserve"> available at: </w:t>
      </w:r>
      <w:hyperlink r:id="rId25" w:history="1">
        <w:r w:rsidR="00704E2A" w:rsidRPr="000F07EC">
          <w:rPr>
            <w:rStyle w:val="Hyperlink"/>
            <w:kern w:val="22"/>
            <w:szCs w:val="22"/>
            <w:shd w:val="clear" w:color="auto" w:fill="FFFFFF"/>
          </w:rPr>
          <w:t>https://www.cbd.int/gti/</w:t>
        </w:r>
      </w:hyperlink>
      <w:r w:rsidR="00704E2A" w:rsidRPr="000F07EC">
        <w:rPr>
          <w:kern w:val="22"/>
          <w:szCs w:val="22"/>
          <w:shd w:val="clear" w:color="auto" w:fill="FFFFFF"/>
        </w:rPr>
        <w:t>;</w:t>
      </w:r>
    </w:p>
    <w:p w:rsidR="00365E9D" w:rsidRPr="000F07EC" w:rsidRDefault="00EB6C99" w:rsidP="000F07EC">
      <w:pPr>
        <w:pStyle w:val="Para1"/>
        <w:numPr>
          <w:ilvl w:val="1"/>
          <w:numId w:val="2"/>
        </w:numPr>
        <w:suppressLineNumbers/>
        <w:tabs>
          <w:tab w:val="clear" w:pos="1440"/>
          <w:tab w:val="left" w:pos="1260"/>
        </w:tabs>
        <w:suppressAutoHyphens/>
        <w:kinsoku w:val="0"/>
        <w:overflowPunct w:val="0"/>
        <w:autoSpaceDE w:val="0"/>
        <w:autoSpaceDN w:val="0"/>
        <w:adjustRightInd w:val="0"/>
        <w:snapToGrid w:val="0"/>
        <w:rPr>
          <w:kern w:val="22"/>
          <w:szCs w:val="22"/>
        </w:rPr>
      </w:pPr>
      <w:r w:rsidRPr="000F07EC">
        <w:rPr>
          <w:kern w:val="22"/>
          <w:szCs w:val="22"/>
          <w:lang w:val="en-CA"/>
        </w:rPr>
        <w:t xml:space="preserve">A suite of e-learning modules on access and benefit-sharing for </w:t>
      </w:r>
      <w:proofErr w:type="gramStart"/>
      <w:r w:rsidRPr="000F07EC">
        <w:rPr>
          <w:kern w:val="22"/>
          <w:szCs w:val="22"/>
          <w:lang w:val="en-CA"/>
        </w:rPr>
        <w:t>those working in botanic gardens was</w:t>
      </w:r>
      <w:proofErr w:type="gramEnd"/>
      <w:r w:rsidRPr="000F07EC">
        <w:rPr>
          <w:kern w:val="22"/>
          <w:szCs w:val="22"/>
          <w:lang w:val="en-CA"/>
        </w:rPr>
        <w:t xml:space="preserve"> developed by Botanic Gardens Conservation International thanks to support from the Convention on Biological Diversity and the Japan Biodiversity Fund and is available at </w:t>
      </w:r>
      <w:hyperlink r:id="rId26" w:history="1">
        <w:r w:rsidRPr="000F07EC">
          <w:rPr>
            <w:rStyle w:val="Hyperlink"/>
            <w:kern w:val="22"/>
            <w:szCs w:val="22"/>
            <w:lang w:val="en-CA"/>
          </w:rPr>
          <w:t>https://www.bgci.org/policy/abs_learning/</w:t>
        </w:r>
      </w:hyperlink>
      <w:r w:rsidR="005765BE" w:rsidRPr="000F07EC">
        <w:rPr>
          <w:rStyle w:val="Hyperlink"/>
          <w:kern w:val="22"/>
          <w:szCs w:val="22"/>
          <w:lang w:val="en-CA"/>
        </w:rPr>
        <w:t>.</w:t>
      </w:r>
    </w:p>
    <w:p w:rsidR="00365E9D" w:rsidRPr="000F07EC" w:rsidRDefault="00365E9D"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In addition, </w:t>
      </w:r>
      <w:r w:rsidR="00FE24FC" w:rsidRPr="000F07EC">
        <w:rPr>
          <w:kern w:val="22"/>
          <w:szCs w:val="22"/>
        </w:rPr>
        <w:t xml:space="preserve">some </w:t>
      </w:r>
      <w:r w:rsidR="008D30B6" w:rsidRPr="000F07EC">
        <w:rPr>
          <w:kern w:val="22"/>
          <w:szCs w:val="22"/>
        </w:rPr>
        <w:t xml:space="preserve">activities carried out </w:t>
      </w:r>
      <w:r w:rsidR="00387D13" w:rsidRPr="000F07EC">
        <w:rPr>
          <w:kern w:val="22"/>
          <w:szCs w:val="22"/>
        </w:rPr>
        <w:t xml:space="preserve">by the Secretariat </w:t>
      </w:r>
      <w:r w:rsidR="008D30B6" w:rsidRPr="000F07EC">
        <w:rPr>
          <w:kern w:val="22"/>
          <w:szCs w:val="22"/>
        </w:rPr>
        <w:t>to address the</w:t>
      </w:r>
      <w:r w:rsidRPr="000F07EC">
        <w:rPr>
          <w:kern w:val="22"/>
          <w:szCs w:val="22"/>
        </w:rPr>
        <w:t xml:space="preserve"> </w:t>
      </w:r>
      <w:r w:rsidR="00B561EC" w:rsidRPr="000F07EC">
        <w:rPr>
          <w:kern w:val="22"/>
          <w:szCs w:val="22"/>
        </w:rPr>
        <w:t>“</w:t>
      </w:r>
      <w:r w:rsidR="001C38B7" w:rsidRPr="000F07EC">
        <w:rPr>
          <w:kern w:val="22"/>
          <w:szCs w:val="22"/>
        </w:rPr>
        <w:t>b</w:t>
      </w:r>
      <w:r w:rsidRPr="000F07EC">
        <w:rPr>
          <w:kern w:val="22"/>
          <w:szCs w:val="22"/>
        </w:rPr>
        <w:t xml:space="preserve">usiness and </w:t>
      </w:r>
      <w:r w:rsidR="001C38B7" w:rsidRPr="000F07EC">
        <w:rPr>
          <w:kern w:val="22"/>
          <w:szCs w:val="22"/>
        </w:rPr>
        <w:t>b</w:t>
      </w:r>
      <w:r w:rsidRPr="000F07EC">
        <w:rPr>
          <w:kern w:val="22"/>
          <w:szCs w:val="22"/>
        </w:rPr>
        <w:t>iodiversity</w:t>
      </w:r>
      <w:r w:rsidR="00B561EC" w:rsidRPr="000F07EC">
        <w:rPr>
          <w:kern w:val="22"/>
          <w:szCs w:val="22"/>
        </w:rPr>
        <w:t>”</w:t>
      </w:r>
      <w:r w:rsidR="008D30B6" w:rsidRPr="000F07EC">
        <w:rPr>
          <w:kern w:val="22"/>
          <w:szCs w:val="22"/>
        </w:rPr>
        <w:t xml:space="preserve"> interface have </w:t>
      </w:r>
      <w:r w:rsidR="00D20649" w:rsidRPr="000F07EC">
        <w:rPr>
          <w:kern w:val="22"/>
          <w:szCs w:val="22"/>
        </w:rPr>
        <w:t>taken into account</w:t>
      </w:r>
      <w:r w:rsidR="00D20649" w:rsidRPr="000F07EC">
        <w:rPr>
          <w:kern w:val="22"/>
          <w:szCs w:val="22"/>
        </w:rPr>
        <w:t xml:space="preserve"> </w:t>
      </w:r>
      <w:r w:rsidR="008D30B6" w:rsidRPr="000F07EC">
        <w:rPr>
          <w:kern w:val="22"/>
          <w:szCs w:val="22"/>
        </w:rPr>
        <w:t>access and benefit-sharing</w:t>
      </w:r>
      <w:r w:rsidR="00FE24FC" w:rsidRPr="000F07EC">
        <w:rPr>
          <w:kern w:val="22"/>
          <w:szCs w:val="22"/>
        </w:rPr>
        <w:t xml:space="preserve"> and the implications of </w:t>
      </w:r>
      <w:r w:rsidR="00D20649" w:rsidRPr="000F07EC">
        <w:rPr>
          <w:kern w:val="22"/>
          <w:szCs w:val="22"/>
        </w:rPr>
        <w:t xml:space="preserve">the </w:t>
      </w:r>
      <w:r w:rsidR="00FE24FC" w:rsidRPr="000F07EC">
        <w:rPr>
          <w:kern w:val="22"/>
          <w:szCs w:val="22"/>
        </w:rPr>
        <w:t>Nagoya Protocol</w:t>
      </w:r>
      <w:r w:rsidR="008D30B6" w:rsidRPr="000F07EC">
        <w:rPr>
          <w:kern w:val="22"/>
          <w:szCs w:val="22"/>
        </w:rPr>
        <w:t>. The</w:t>
      </w:r>
      <w:r w:rsidR="00DD71AA" w:rsidRPr="000F07EC">
        <w:rPr>
          <w:kern w:val="22"/>
          <w:szCs w:val="22"/>
        </w:rPr>
        <w:t>y</w:t>
      </w:r>
      <w:r w:rsidR="008D30B6" w:rsidRPr="000F07EC">
        <w:rPr>
          <w:kern w:val="22"/>
          <w:szCs w:val="22"/>
        </w:rPr>
        <w:t xml:space="preserve"> include</w:t>
      </w:r>
      <w:r w:rsidRPr="000F07EC">
        <w:rPr>
          <w:kern w:val="22"/>
          <w:szCs w:val="22"/>
        </w:rPr>
        <w:t xml:space="preserve"> </w:t>
      </w:r>
      <w:r w:rsidR="00FE24FC" w:rsidRPr="000F07EC">
        <w:rPr>
          <w:kern w:val="22"/>
          <w:szCs w:val="22"/>
        </w:rPr>
        <w:t>the development of n</w:t>
      </w:r>
      <w:r w:rsidRPr="000F07EC">
        <w:rPr>
          <w:kern w:val="22"/>
          <w:szCs w:val="22"/>
        </w:rPr>
        <w:t xml:space="preserve">ewsletters </w:t>
      </w:r>
      <w:r w:rsidR="0068607C" w:rsidRPr="000F07EC">
        <w:rPr>
          <w:kern w:val="22"/>
          <w:szCs w:val="22"/>
        </w:rPr>
        <w:t>for the business community</w:t>
      </w:r>
      <w:r w:rsidR="00EB6C99" w:rsidRPr="000F07EC">
        <w:rPr>
          <w:rStyle w:val="FootnoteReference"/>
          <w:kern w:val="22"/>
          <w:szCs w:val="22"/>
        </w:rPr>
        <w:footnoteReference w:id="8"/>
      </w:r>
      <w:r w:rsidR="0068607C" w:rsidRPr="000F07EC">
        <w:rPr>
          <w:kern w:val="22"/>
          <w:szCs w:val="22"/>
        </w:rPr>
        <w:t xml:space="preserve"> </w:t>
      </w:r>
      <w:r w:rsidRPr="000F07EC">
        <w:rPr>
          <w:kern w:val="22"/>
          <w:szCs w:val="22"/>
        </w:rPr>
        <w:t xml:space="preserve">and a session on ABS at the </w:t>
      </w:r>
      <w:hyperlink r:id="rId27" w:history="1">
        <w:r w:rsidRPr="000F07EC">
          <w:rPr>
            <w:rStyle w:val="Hyperlink"/>
            <w:kern w:val="22"/>
            <w:szCs w:val="22"/>
          </w:rPr>
          <w:t>Business and Biodiversity Forum</w:t>
        </w:r>
      </w:hyperlink>
      <w:r w:rsidRPr="000F07EC">
        <w:rPr>
          <w:kern w:val="22"/>
          <w:szCs w:val="22"/>
        </w:rPr>
        <w:t xml:space="preserve"> </w:t>
      </w:r>
      <w:r w:rsidR="002D4DBF" w:rsidRPr="000F07EC">
        <w:rPr>
          <w:kern w:val="22"/>
          <w:szCs w:val="22"/>
        </w:rPr>
        <w:t>during</w:t>
      </w:r>
      <w:r w:rsidR="002D4DBF" w:rsidRPr="000F07EC">
        <w:rPr>
          <w:kern w:val="22"/>
          <w:szCs w:val="22"/>
        </w:rPr>
        <w:t xml:space="preserve"> </w:t>
      </w:r>
      <w:r w:rsidR="00E02467" w:rsidRPr="000F07EC">
        <w:rPr>
          <w:kern w:val="22"/>
          <w:szCs w:val="22"/>
        </w:rPr>
        <w:t xml:space="preserve">the thirteenth meeting of the Conference of the </w:t>
      </w:r>
      <w:r w:rsidR="00E02467" w:rsidRPr="000F07EC">
        <w:rPr>
          <w:kern w:val="22"/>
          <w:szCs w:val="22"/>
        </w:rPr>
        <w:lastRenderedPageBreak/>
        <w:t>Parties</w:t>
      </w:r>
      <w:r w:rsidR="00FE24FC" w:rsidRPr="000F07EC">
        <w:rPr>
          <w:kern w:val="22"/>
          <w:szCs w:val="22"/>
        </w:rPr>
        <w:t xml:space="preserve">. These activities have </w:t>
      </w:r>
      <w:r w:rsidR="00181B21" w:rsidRPr="000F07EC">
        <w:rPr>
          <w:kern w:val="22"/>
          <w:szCs w:val="22"/>
        </w:rPr>
        <w:t>highlight</w:t>
      </w:r>
      <w:r w:rsidR="00FE24FC" w:rsidRPr="000F07EC">
        <w:rPr>
          <w:kern w:val="22"/>
          <w:szCs w:val="22"/>
        </w:rPr>
        <w:t>ed</w:t>
      </w:r>
      <w:r w:rsidR="00181B21" w:rsidRPr="000F07EC">
        <w:rPr>
          <w:kern w:val="22"/>
          <w:szCs w:val="22"/>
        </w:rPr>
        <w:t xml:space="preserve"> the </w:t>
      </w:r>
      <w:r w:rsidR="00FE24FC" w:rsidRPr="000F07EC">
        <w:rPr>
          <w:kern w:val="22"/>
          <w:szCs w:val="22"/>
        </w:rPr>
        <w:t xml:space="preserve">relevance of </w:t>
      </w:r>
      <w:r w:rsidR="002E301B" w:rsidRPr="000F07EC">
        <w:rPr>
          <w:kern w:val="22"/>
          <w:szCs w:val="22"/>
        </w:rPr>
        <w:t>ABS</w:t>
      </w:r>
      <w:r w:rsidR="00FE24FC" w:rsidRPr="000F07EC">
        <w:rPr>
          <w:kern w:val="22"/>
          <w:szCs w:val="22"/>
        </w:rPr>
        <w:t xml:space="preserve"> to various sectors </w:t>
      </w:r>
      <w:r w:rsidR="002E301B" w:rsidRPr="000F07EC">
        <w:rPr>
          <w:kern w:val="22"/>
          <w:szCs w:val="22"/>
        </w:rPr>
        <w:t>that</w:t>
      </w:r>
      <w:r w:rsidR="002E301B" w:rsidRPr="000F07EC">
        <w:rPr>
          <w:kern w:val="22"/>
          <w:szCs w:val="22"/>
        </w:rPr>
        <w:t xml:space="preserve"> </w:t>
      </w:r>
      <w:r w:rsidR="00FE24FC" w:rsidRPr="000F07EC">
        <w:rPr>
          <w:kern w:val="22"/>
          <w:szCs w:val="22"/>
        </w:rPr>
        <w:t xml:space="preserve">utilize genetic resources, including cosmetics, </w:t>
      </w:r>
      <w:r w:rsidR="00B561EC" w:rsidRPr="000F07EC">
        <w:rPr>
          <w:kern w:val="22"/>
          <w:szCs w:val="22"/>
        </w:rPr>
        <w:t>pharmaceuticals, agriculture, botanicals and horticulture.</w:t>
      </w:r>
    </w:p>
    <w:p w:rsidR="000258A6" w:rsidRPr="000F07EC" w:rsidRDefault="008D30B6"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Other initiatives taken to integrate ABS </w:t>
      </w:r>
      <w:r w:rsidR="00FE24FC" w:rsidRPr="000F07EC">
        <w:rPr>
          <w:kern w:val="22"/>
          <w:szCs w:val="22"/>
        </w:rPr>
        <w:t xml:space="preserve">have </w:t>
      </w:r>
      <w:r w:rsidRPr="000F07EC">
        <w:rPr>
          <w:kern w:val="22"/>
          <w:szCs w:val="22"/>
        </w:rPr>
        <w:t>include</w:t>
      </w:r>
      <w:r w:rsidR="00FE24FC" w:rsidRPr="000F07EC">
        <w:rPr>
          <w:kern w:val="22"/>
          <w:szCs w:val="22"/>
        </w:rPr>
        <w:t>d</w:t>
      </w:r>
      <w:r w:rsidRPr="000F07EC">
        <w:rPr>
          <w:kern w:val="22"/>
          <w:szCs w:val="22"/>
        </w:rPr>
        <w:t xml:space="preserve"> initiatives by partners to include an ABS component as part of </w:t>
      </w:r>
      <w:r w:rsidR="00181B21" w:rsidRPr="000F07EC">
        <w:rPr>
          <w:kern w:val="22"/>
          <w:szCs w:val="22"/>
        </w:rPr>
        <w:t>capacity-building projects addressing environment</w:t>
      </w:r>
      <w:r w:rsidR="006D010F" w:rsidRPr="000F07EC">
        <w:rPr>
          <w:kern w:val="22"/>
          <w:szCs w:val="22"/>
        </w:rPr>
        <w:t>al</w:t>
      </w:r>
      <w:r w:rsidR="00181B21" w:rsidRPr="000F07EC">
        <w:rPr>
          <w:kern w:val="22"/>
          <w:szCs w:val="22"/>
        </w:rPr>
        <w:t xml:space="preserve"> or biodiversity</w:t>
      </w:r>
      <w:r w:rsidR="002A100D" w:rsidRPr="000F07EC">
        <w:rPr>
          <w:kern w:val="22"/>
          <w:szCs w:val="22"/>
        </w:rPr>
        <w:t>-</w:t>
      </w:r>
      <w:r w:rsidR="00181B21" w:rsidRPr="000F07EC">
        <w:rPr>
          <w:kern w:val="22"/>
          <w:szCs w:val="22"/>
        </w:rPr>
        <w:t xml:space="preserve">related issues </w:t>
      </w:r>
      <w:r w:rsidRPr="000F07EC">
        <w:rPr>
          <w:kern w:val="22"/>
          <w:szCs w:val="22"/>
        </w:rPr>
        <w:t>more broadly.</w:t>
      </w:r>
    </w:p>
    <w:p w:rsidR="00572A4B" w:rsidRPr="000F07EC" w:rsidRDefault="00181B21"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With a view to further advanc</w:t>
      </w:r>
      <w:r w:rsidR="00301E8A" w:rsidRPr="000F07EC">
        <w:rPr>
          <w:kern w:val="22"/>
          <w:szCs w:val="22"/>
        </w:rPr>
        <w:t>ing</w:t>
      </w:r>
      <w:r w:rsidRPr="000F07EC">
        <w:rPr>
          <w:kern w:val="22"/>
          <w:szCs w:val="22"/>
        </w:rPr>
        <w:t xml:space="preserve"> </w:t>
      </w:r>
      <w:r w:rsidR="00AA0467" w:rsidRPr="000F07EC">
        <w:rPr>
          <w:kern w:val="22"/>
          <w:szCs w:val="22"/>
        </w:rPr>
        <w:t xml:space="preserve">the </w:t>
      </w:r>
      <w:r w:rsidRPr="000F07EC">
        <w:rPr>
          <w:kern w:val="22"/>
          <w:szCs w:val="22"/>
        </w:rPr>
        <w:t>implementation of the Nagoya Protocol, additional</w:t>
      </w:r>
      <w:r w:rsidR="0000278D" w:rsidRPr="000F07EC">
        <w:rPr>
          <w:kern w:val="22"/>
          <w:szCs w:val="22"/>
        </w:rPr>
        <w:t xml:space="preserve"> steps could be taken to integrate ABS across the </w:t>
      </w:r>
      <w:r w:rsidR="00306099" w:rsidRPr="000F07EC">
        <w:rPr>
          <w:kern w:val="22"/>
          <w:szCs w:val="22"/>
        </w:rPr>
        <w:t xml:space="preserve">work of the </w:t>
      </w:r>
      <w:r w:rsidR="0000278D" w:rsidRPr="000F07EC">
        <w:rPr>
          <w:kern w:val="22"/>
          <w:szCs w:val="22"/>
        </w:rPr>
        <w:t>Convention.</w:t>
      </w:r>
      <w:r w:rsidR="000258A6" w:rsidRPr="000F07EC">
        <w:rPr>
          <w:kern w:val="22"/>
          <w:szCs w:val="22"/>
        </w:rPr>
        <w:t xml:space="preserve"> </w:t>
      </w:r>
      <w:r w:rsidR="0036390F" w:rsidRPr="000F07EC">
        <w:rPr>
          <w:kern w:val="22"/>
          <w:szCs w:val="22"/>
        </w:rPr>
        <w:t>For</w:t>
      </w:r>
      <w:r w:rsidR="009E0D5C" w:rsidRPr="000F07EC">
        <w:rPr>
          <w:kern w:val="22"/>
          <w:szCs w:val="22"/>
        </w:rPr>
        <w:t xml:space="preserve"> instance, ABS</w:t>
      </w:r>
      <w:r w:rsidR="0089138D" w:rsidRPr="000F07EC">
        <w:rPr>
          <w:kern w:val="22"/>
          <w:szCs w:val="22"/>
        </w:rPr>
        <w:t>-</w:t>
      </w:r>
      <w:r w:rsidR="009E0D5C" w:rsidRPr="000F07EC">
        <w:rPr>
          <w:kern w:val="22"/>
          <w:szCs w:val="22"/>
        </w:rPr>
        <w:t>related issues c</w:t>
      </w:r>
      <w:r w:rsidR="0036390F" w:rsidRPr="000F07EC">
        <w:rPr>
          <w:kern w:val="22"/>
          <w:szCs w:val="22"/>
        </w:rPr>
        <w:t xml:space="preserve">ould be </w:t>
      </w:r>
      <w:r w:rsidR="009E0D5C" w:rsidRPr="000F07EC">
        <w:rPr>
          <w:kern w:val="22"/>
          <w:szCs w:val="22"/>
        </w:rPr>
        <w:t xml:space="preserve">further </w:t>
      </w:r>
      <w:r w:rsidR="0036390F" w:rsidRPr="000F07EC">
        <w:rPr>
          <w:kern w:val="22"/>
          <w:szCs w:val="22"/>
        </w:rPr>
        <w:t xml:space="preserve">considered </w:t>
      </w:r>
      <w:r w:rsidR="009E0D5C" w:rsidRPr="000F07EC">
        <w:rPr>
          <w:kern w:val="22"/>
          <w:szCs w:val="22"/>
        </w:rPr>
        <w:t xml:space="preserve">when addressing protected areas or </w:t>
      </w:r>
      <w:r w:rsidR="0036390F" w:rsidRPr="000F07EC">
        <w:rPr>
          <w:kern w:val="22"/>
          <w:szCs w:val="22"/>
        </w:rPr>
        <w:t xml:space="preserve">the management of forest and marine areas. </w:t>
      </w:r>
      <w:r w:rsidRPr="000F07EC">
        <w:rPr>
          <w:kern w:val="22"/>
          <w:szCs w:val="22"/>
        </w:rPr>
        <w:t xml:space="preserve">The inclusion of an ABS component as part of capacity-building projects </w:t>
      </w:r>
      <w:r w:rsidR="009B269A" w:rsidRPr="000F07EC">
        <w:rPr>
          <w:kern w:val="22"/>
          <w:szCs w:val="22"/>
        </w:rPr>
        <w:t>could also be considered in a more systematic manner.</w:t>
      </w:r>
    </w:p>
    <w:p w:rsidR="006F6F44" w:rsidRPr="000F07EC" w:rsidRDefault="00030992" w:rsidP="000F07EC">
      <w:pPr>
        <w:pStyle w:val="Heading1"/>
        <w:suppressLineNumbers/>
        <w:tabs>
          <w:tab w:val="clear" w:pos="720"/>
          <w:tab w:val="left" w:pos="450"/>
        </w:tabs>
        <w:suppressAutoHyphens/>
        <w:kinsoku w:val="0"/>
        <w:overflowPunct w:val="0"/>
        <w:autoSpaceDE w:val="0"/>
        <w:autoSpaceDN w:val="0"/>
        <w:adjustRightInd w:val="0"/>
        <w:snapToGrid w:val="0"/>
        <w:spacing w:before="120"/>
        <w:rPr>
          <w:bCs/>
          <w:snapToGrid w:val="0"/>
          <w:kern w:val="22"/>
          <w:szCs w:val="22"/>
        </w:rPr>
      </w:pPr>
      <w:r w:rsidRPr="000F07EC">
        <w:rPr>
          <w:bCs/>
          <w:snapToGrid w:val="0"/>
          <w:kern w:val="22"/>
          <w:szCs w:val="22"/>
        </w:rPr>
        <w:t>III</w:t>
      </w:r>
      <w:r w:rsidR="00007D43" w:rsidRPr="000F07EC">
        <w:rPr>
          <w:bCs/>
          <w:snapToGrid w:val="0"/>
          <w:kern w:val="22"/>
          <w:szCs w:val="22"/>
        </w:rPr>
        <w:t>.</w:t>
      </w:r>
      <w:r w:rsidR="001F68FD" w:rsidRPr="000F07EC">
        <w:rPr>
          <w:bCs/>
          <w:snapToGrid w:val="0"/>
          <w:kern w:val="22"/>
          <w:szCs w:val="22"/>
        </w:rPr>
        <w:tab/>
      </w:r>
      <w:r w:rsidR="006F6F44" w:rsidRPr="000F07EC">
        <w:rPr>
          <w:bCs/>
          <w:snapToGrid w:val="0"/>
          <w:kern w:val="22"/>
          <w:szCs w:val="22"/>
        </w:rPr>
        <w:t>Conclusion</w:t>
      </w:r>
    </w:p>
    <w:p w:rsidR="00E829C8" w:rsidRPr="000F07EC" w:rsidRDefault="00E829C8"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By adopting Aichi Biodiversity Target 16</w:t>
      </w:r>
      <w:r w:rsidR="00B95D69" w:rsidRPr="000F07EC">
        <w:rPr>
          <w:kern w:val="22"/>
          <w:szCs w:val="22"/>
        </w:rPr>
        <w:t>,</w:t>
      </w:r>
      <w:r w:rsidRPr="000F07EC">
        <w:rPr>
          <w:kern w:val="22"/>
          <w:szCs w:val="22"/>
        </w:rPr>
        <w:t xml:space="preserve"> Parties to the Convention </w:t>
      </w:r>
      <w:r w:rsidR="00030992" w:rsidRPr="000F07EC">
        <w:rPr>
          <w:kern w:val="22"/>
          <w:szCs w:val="22"/>
        </w:rPr>
        <w:t>demonstrated</w:t>
      </w:r>
      <w:r w:rsidRPr="000F07EC">
        <w:rPr>
          <w:kern w:val="22"/>
          <w:szCs w:val="22"/>
        </w:rPr>
        <w:t xml:space="preserve"> their commitment to work towards ratification and implementation of the Nagoya Protocol, and most Parties to the Convention have provided information on ABS in their fifth national report</w:t>
      </w:r>
      <w:r w:rsidR="00B95D69" w:rsidRPr="000F07EC">
        <w:rPr>
          <w:kern w:val="22"/>
          <w:szCs w:val="22"/>
        </w:rPr>
        <w:t>s</w:t>
      </w:r>
      <w:r w:rsidRPr="000F07EC">
        <w:rPr>
          <w:kern w:val="22"/>
          <w:szCs w:val="22"/>
        </w:rPr>
        <w:t xml:space="preserve"> (87</w:t>
      </w:r>
      <w:r w:rsidR="00785E90" w:rsidRPr="000F07EC">
        <w:rPr>
          <w:kern w:val="22"/>
          <w:szCs w:val="22"/>
        </w:rPr>
        <w:t> per cent</w:t>
      </w:r>
      <w:r w:rsidRPr="000F07EC">
        <w:rPr>
          <w:kern w:val="22"/>
          <w:szCs w:val="22"/>
        </w:rPr>
        <w:t>) and</w:t>
      </w:r>
      <w:r w:rsidR="00030992" w:rsidRPr="000F07EC">
        <w:rPr>
          <w:kern w:val="22"/>
          <w:szCs w:val="22"/>
        </w:rPr>
        <w:t>/or</w:t>
      </w:r>
      <w:r w:rsidRPr="000F07EC">
        <w:rPr>
          <w:kern w:val="22"/>
          <w:szCs w:val="22"/>
        </w:rPr>
        <w:t xml:space="preserve"> NBSAPs (81</w:t>
      </w:r>
      <w:r w:rsidR="00785E90" w:rsidRPr="000F07EC">
        <w:rPr>
          <w:kern w:val="22"/>
          <w:szCs w:val="22"/>
        </w:rPr>
        <w:t> per cent</w:t>
      </w:r>
      <w:r w:rsidRPr="000F07EC">
        <w:rPr>
          <w:kern w:val="22"/>
          <w:szCs w:val="22"/>
        </w:rPr>
        <w:t>).</w:t>
      </w:r>
    </w:p>
    <w:p w:rsidR="006A0929" w:rsidRPr="000F07EC" w:rsidRDefault="00E829C8"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B</w:t>
      </w:r>
      <w:r w:rsidR="006F6F44" w:rsidRPr="000F07EC">
        <w:rPr>
          <w:kern w:val="22"/>
          <w:szCs w:val="22"/>
        </w:rPr>
        <w:t xml:space="preserve">ased on </w:t>
      </w:r>
      <w:r w:rsidR="0099431C" w:rsidRPr="000F07EC">
        <w:rPr>
          <w:kern w:val="22"/>
          <w:szCs w:val="22"/>
        </w:rPr>
        <w:t>available</w:t>
      </w:r>
      <w:r w:rsidR="0099431C" w:rsidRPr="000F07EC">
        <w:rPr>
          <w:kern w:val="22"/>
          <w:szCs w:val="22"/>
        </w:rPr>
        <w:t xml:space="preserve"> </w:t>
      </w:r>
      <w:r w:rsidR="006F6F44" w:rsidRPr="000F07EC">
        <w:rPr>
          <w:kern w:val="22"/>
          <w:szCs w:val="22"/>
        </w:rPr>
        <w:t xml:space="preserve">information, </w:t>
      </w:r>
      <w:r w:rsidR="0095393E" w:rsidRPr="000F07EC">
        <w:rPr>
          <w:kern w:val="22"/>
          <w:szCs w:val="22"/>
        </w:rPr>
        <w:t xml:space="preserve">a large majority of </w:t>
      </w:r>
      <w:r w:rsidR="006F6F44" w:rsidRPr="000F07EC">
        <w:rPr>
          <w:kern w:val="22"/>
          <w:szCs w:val="22"/>
        </w:rPr>
        <w:t>Parties to the Convention</w:t>
      </w:r>
      <w:r w:rsidR="00FE5032" w:rsidRPr="000F07EC">
        <w:rPr>
          <w:kern w:val="22"/>
          <w:szCs w:val="22"/>
        </w:rPr>
        <w:t xml:space="preserve"> </w:t>
      </w:r>
      <w:r w:rsidR="0009324F" w:rsidRPr="000F07EC">
        <w:rPr>
          <w:kern w:val="22"/>
          <w:szCs w:val="22"/>
        </w:rPr>
        <w:t>(88</w:t>
      </w:r>
      <w:r w:rsidR="00785E90" w:rsidRPr="000F07EC">
        <w:rPr>
          <w:kern w:val="22"/>
          <w:szCs w:val="22"/>
        </w:rPr>
        <w:t> per cent</w:t>
      </w:r>
      <w:r w:rsidR="00FE5032" w:rsidRPr="000F07EC">
        <w:rPr>
          <w:kern w:val="22"/>
          <w:szCs w:val="22"/>
        </w:rPr>
        <w:t>)</w:t>
      </w:r>
      <w:r w:rsidR="006F6F44" w:rsidRPr="000F07EC">
        <w:rPr>
          <w:kern w:val="22"/>
          <w:szCs w:val="22"/>
        </w:rPr>
        <w:t xml:space="preserve"> have either ratified the Protocol, are working towards its ratification or are planning to ratify</w:t>
      </w:r>
      <w:r w:rsidR="00E55657" w:rsidRPr="000F07EC">
        <w:rPr>
          <w:kern w:val="22"/>
          <w:szCs w:val="22"/>
        </w:rPr>
        <w:t xml:space="preserve"> it</w:t>
      </w:r>
      <w:r w:rsidR="000D2010" w:rsidRPr="000F07EC">
        <w:rPr>
          <w:kern w:val="22"/>
          <w:szCs w:val="22"/>
        </w:rPr>
        <w:t>. This demonstrates broad</w:t>
      </w:r>
      <w:r w:rsidR="006F6F44" w:rsidRPr="000F07EC">
        <w:rPr>
          <w:kern w:val="22"/>
          <w:szCs w:val="22"/>
        </w:rPr>
        <w:t xml:space="preserve"> support for the Nagoya Protocol. </w:t>
      </w:r>
      <w:r w:rsidR="00FE5032" w:rsidRPr="000F07EC">
        <w:rPr>
          <w:kern w:val="22"/>
          <w:szCs w:val="22"/>
        </w:rPr>
        <w:t xml:space="preserve">In addition, </w:t>
      </w:r>
      <w:r w:rsidR="0009324F" w:rsidRPr="000F07EC">
        <w:rPr>
          <w:kern w:val="22"/>
          <w:szCs w:val="22"/>
        </w:rPr>
        <w:t>75</w:t>
      </w:r>
      <w:r w:rsidR="00785E90" w:rsidRPr="000F07EC">
        <w:rPr>
          <w:kern w:val="22"/>
          <w:szCs w:val="22"/>
        </w:rPr>
        <w:t> per cent</w:t>
      </w:r>
      <w:r w:rsidR="00FE5032" w:rsidRPr="000F07EC">
        <w:rPr>
          <w:kern w:val="22"/>
          <w:szCs w:val="22"/>
        </w:rPr>
        <w:t xml:space="preserve"> of Parties to the </w:t>
      </w:r>
      <w:r w:rsidR="00E02467" w:rsidRPr="000F07EC">
        <w:rPr>
          <w:kern w:val="22"/>
          <w:szCs w:val="22"/>
        </w:rPr>
        <w:t xml:space="preserve">Convention </w:t>
      </w:r>
      <w:r w:rsidR="00FE5032" w:rsidRPr="000F07EC">
        <w:rPr>
          <w:kern w:val="22"/>
          <w:szCs w:val="22"/>
        </w:rPr>
        <w:t xml:space="preserve">that have not ratified the Nagoya Protocol </w:t>
      </w:r>
      <w:r w:rsidR="00030992" w:rsidRPr="000F07EC">
        <w:rPr>
          <w:kern w:val="22"/>
          <w:szCs w:val="22"/>
        </w:rPr>
        <w:t xml:space="preserve">either </w:t>
      </w:r>
      <w:r w:rsidR="00FE5032" w:rsidRPr="000F07EC">
        <w:rPr>
          <w:kern w:val="22"/>
          <w:szCs w:val="22"/>
        </w:rPr>
        <w:t>have ABS measures in place</w:t>
      </w:r>
      <w:r w:rsidR="0004001B" w:rsidRPr="000F07EC">
        <w:rPr>
          <w:kern w:val="22"/>
          <w:szCs w:val="22"/>
        </w:rPr>
        <w:t>,</w:t>
      </w:r>
      <w:r w:rsidR="00FE5032" w:rsidRPr="000F07EC">
        <w:rPr>
          <w:kern w:val="22"/>
          <w:szCs w:val="22"/>
        </w:rPr>
        <w:t xml:space="preserve"> are working </w:t>
      </w:r>
      <w:r w:rsidR="006A0929" w:rsidRPr="000F07EC">
        <w:rPr>
          <w:kern w:val="22"/>
          <w:szCs w:val="22"/>
        </w:rPr>
        <w:t>on the development of measures or</w:t>
      </w:r>
      <w:r w:rsidR="0004001B" w:rsidRPr="000F07EC">
        <w:rPr>
          <w:kern w:val="22"/>
          <w:szCs w:val="22"/>
        </w:rPr>
        <w:t xml:space="preserve"> are</w:t>
      </w:r>
      <w:r w:rsidR="006A0929" w:rsidRPr="000F07EC">
        <w:rPr>
          <w:kern w:val="22"/>
          <w:szCs w:val="22"/>
        </w:rPr>
        <w:t xml:space="preserve"> planning to do so.</w:t>
      </w:r>
    </w:p>
    <w:p w:rsidR="006F6F44" w:rsidRPr="000F07EC" w:rsidRDefault="006F6F44"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 </w:t>
      </w:r>
      <w:r w:rsidR="00C2117E" w:rsidRPr="000F07EC">
        <w:rPr>
          <w:kern w:val="22"/>
          <w:szCs w:val="22"/>
        </w:rPr>
        <w:t>However, a</w:t>
      </w:r>
      <w:r w:rsidRPr="000F07EC">
        <w:rPr>
          <w:kern w:val="22"/>
          <w:szCs w:val="22"/>
        </w:rPr>
        <w:t xml:space="preserve">s </w:t>
      </w:r>
      <w:r w:rsidR="00AC378D" w:rsidRPr="000F07EC">
        <w:rPr>
          <w:kern w:val="22"/>
          <w:szCs w:val="22"/>
        </w:rPr>
        <w:t>highlighted</w:t>
      </w:r>
      <w:r w:rsidR="0095393E" w:rsidRPr="000F07EC">
        <w:rPr>
          <w:kern w:val="22"/>
          <w:szCs w:val="22"/>
        </w:rPr>
        <w:t xml:space="preserve"> </w:t>
      </w:r>
      <w:r w:rsidR="00387D13" w:rsidRPr="000F07EC">
        <w:rPr>
          <w:kern w:val="22"/>
          <w:szCs w:val="22"/>
        </w:rPr>
        <w:t xml:space="preserve">in </w:t>
      </w:r>
      <w:r w:rsidR="0095393E" w:rsidRPr="000F07EC">
        <w:rPr>
          <w:kern w:val="22"/>
          <w:szCs w:val="22"/>
        </w:rPr>
        <w:t>decision</w:t>
      </w:r>
      <w:r w:rsidR="00E02467" w:rsidRPr="000F07EC">
        <w:rPr>
          <w:kern w:val="22"/>
          <w:szCs w:val="22"/>
        </w:rPr>
        <w:t>s</w:t>
      </w:r>
      <w:r w:rsidR="0095393E" w:rsidRPr="000F07EC">
        <w:rPr>
          <w:kern w:val="22"/>
          <w:szCs w:val="22"/>
        </w:rPr>
        <w:t xml:space="preserve"> XIII/1 decision NP-2/1 </w:t>
      </w:r>
      <w:r w:rsidR="002071FA" w:rsidRPr="000F07EC">
        <w:rPr>
          <w:kern w:val="22"/>
          <w:szCs w:val="22"/>
        </w:rPr>
        <w:t>and in the interim national reports</w:t>
      </w:r>
      <w:r w:rsidRPr="000F07EC">
        <w:rPr>
          <w:kern w:val="22"/>
          <w:szCs w:val="22"/>
        </w:rPr>
        <w:t>, further efforts are needed to support ratification and implementation, including through capacity-building and financial support.</w:t>
      </w:r>
    </w:p>
    <w:p w:rsidR="00E55657" w:rsidRPr="000F07EC" w:rsidRDefault="006F6F44"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Considering that the Nagoya Protocol is </w:t>
      </w:r>
      <w:r w:rsidR="002445C2" w:rsidRPr="000F07EC">
        <w:rPr>
          <w:kern w:val="22"/>
          <w:szCs w:val="22"/>
        </w:rPr>
        <w:t xml:space="preserve">meant </w:t>
      </w:r>
      <w:r w:rsidRPr="000F07EC">
        <w:rPr>
          <w:kern w:val="22"/>
          <w:szCs w:val="22"/>
        </w:rPr>
        <w:t xml:space="preserve">to facilitate </w:t>
      </w:r>
      <w:r w:rsidR="002445C2" w:rsidRPr="000F07EC">
        <w:rPr>
          <w:kern w:val="22"/>
          <w:szCs w:val="22"/>
        </w:rPr>
        <w:t xml:space="preserve">the </w:t>
      </w:r>
      <w:r w:rsidRPr="000F07EC">
        <w:rPr>
          <w:kern w:val="22"/>
          <w:szCs w:val="22"/>
        </w:rPr>
        <w:t xml:space="preserve">implementation of </w:t>
      </w:r>
      <w:r w:rsidR="002445C2" w:rsidRPr="000F07EC">
        <w:rPr>
          <w:kern w:val="22"/>
          <w:szCs w:val="22"/>
        </w:rPr>
        <w:t xml:space="preserve">the </w:t>
      </w:r>
      <w:r w:rsidRPr="000F07EC">
        <w:rPr>
          <w:kern w:val="22"/>
          <w:szCs w:val="22"/>
        </w:rPr>
        <w:t>ABS-related provisions of the C</w:t>
      </w:r>
      <w:r w:rsidR="00387D13" w:rsidRPr="000F07EC">
        <w:rPr>
          <w:kern w:val="22"/>
          <w:szCs w:val="22"/>
        </w:rPr>
        <w:t>onvention</w:t>
      </w:r>
      <w:r w:rsidRPr="000F07EC">
        <w:rPr>
          <w:kern w:val="22"/>
          <w:szCs w:val="22"/>
        </w:rPr>
        <w:t xml:space="preserve"> and given that Parties to the C</w:t>
      </w:r>
      <w:r w:rsidR="00387D13" w:rsidRPr="000F07EC">
        <w:rPr>
          <w:kern w:val="22"/>
          <w:szCs w:val="22"/>
        </w:rPr>
        <w:t>onvention</w:t>
      </w:r>
      <w:r w:rsidRPr="000F07EC">
        <w:rPr>
          <w:kern w:val="22"/>
          <w:szCs w:val="22"/>
        </w:rPr>
        <w:t xml:space="preserve"> have the obligation to implement </w:t>
      </w:r>
      <w:r w:rsidR="00387D13" w:rsidRPr="000F07EC">
        <w:rPr>
          <w:kern w:val="22"/>
          <w:szCs w:val="22"/>
        </w:rPr>
        <w:t xml:space="preserve">the </w:t>
      </w:r>
      <w:r w:rsidRPr="000F07EC">
        <w:rPr>
          <w:kern w:val="22"/>
          <w:szCs w:val="22"/>
        </w:rPr>
        <w:t xml:space="preserve">ABS-related provisions </w:t>
      </w:r>
      <w:r w:rsidR="00387D13" w:rsidRPr="000F07EC">
        <w:rPr>
          <w:kern w:val="22"/>
          <w:szCs w:val="22"/>
        </w:rPr>
        <w:t>of</w:t>
      </w:r>
      <w:r w:rsidRPr="000F07EC">
        <w:rPr>
          <w:kern w:val="22"/>
          <w:szCs w:val="22"/>
        </w:rPr>
        <w:t xml:space="preserve"> the C</w:t>
      </w:r>
      <w:r w:rsidR="00387D13" w:rsidRPr="000F07EC">
        <w:rPr>
          <w:kern w:val="22"/>
          <w:szCs w:val="22"/>
        </w:rPr>
        <w:t>onvention</w:t>
      </w:r>
      <w:r w:rsidRPr="000F07EC">
        <w:rPr>
          <w:kern w:val="22"/>
          <w:szCs w:val="22"/>
        </w:rPr>
        <w:t>, it is in the interest of all Parties to the C</w:t>
      </w:r>
      <w:r w:rsidR="00387D13" w:rsidRPr="000F07EC">
        <w:rPr>
          <w:kern w:val="22"/>
          <w:szCs w:val="22"/>
        </w:rPr>
        <w:t>onvention</w:t>
      </w:r>
      <w:r w:rsidRPr="000F07EC">
        <w:rPr>
          <w:kern w:val="22"/>
          <w:szCs w:val="22"/>
        </w:rPr>
        <w:t xml:space="preserve"> to ratify </w:t>
      </w:r>
      <w:r w:rsidR="0067304D" w:rsidRPr="000F07EC">
        <w:rPr>
          <w:kern w:val="22"/>
          <w:szCs w:val="22"/>
        </w:rPr>
        <w:t xml:space="preserve">the Protocol </w:t>
      </w:r>
      <w:r w:rsidRPr="000F07EC">
        <w:rPr>
          <w:kern w:val="22"/>
          <w:szCs w:val="22"/>
        </w:rPr>
        <w:t xml:space="preserve">in order to support a coherent international ABS </w:t>
      </w:r>
      <w:r w:rsidR="00440A3A" w:rsidRPr="000F07EC">
        <w:rPr>
          <w:kern w:val="22"/>
          <w:szCs w:val="22"/>
        </w:rPr>
        <w:t>regime</w:t>
      </w:r>
      <w:r w:rsidRPr="000F07EC">
        <w:rPr>
          <w:kern w:val="22"/>
          <w:szCs w:val="22"/>
        </w:rPr>
        <w:t>.</w:t>
      </w:r>
    </w:p>
    <w:p w:rsidR="00440A3A" w:rsidRPr="000F07EC" w:rsidRDefault="00E55657"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Finally, c</w:t>
      </w:r>
      <w:r w:rsidR="00C2117E" w:rsidRPr="000F07EC">
        <w:rPr>
          <w:kern w:val="22"/>
          <w:szCs w:val="22"/>
        </w:rPr>
        <w:t xml:space="preserve">onsidering the cross-cutting nature of issues related to </w:t>
      </w:r>
      <w:r w:rsidR="000D5AFE" w:rsidRPr="000F07EC">
        <w:rPr>
          <w:kern w:val="22"/>
          <w:szCs w:val="22"/>
        </w:rPr>
        <w:t>ABS</w:t>
      </w:r>
      <w:r w:rsidR="00C2117E" w:rsidRPr="000F07EC">
        <w:rPr>
          <w:kern w:val="22"/>
          <w:szCs w:val="22"/>
        </w:rPr>
        <w:t xml:space="preserve"> and </w:t>
      </w:r>
      <w:r w:rsidR="0095393E" w:rsidRPr="000F07EC">
        <w:rPr>
          <w:kern w:val="22"/>
          <w:szCs w:val="22"/>
        </w:rPr>
        <w:t xml:space="preserve">the potential for benefit-sharing to contribute to conservation and sustainable use, </w:t>
      </w:r>
      <w:r w:rsidR="00C2117E" w:rsidRPr="000F07EC">
        <w:rPr>
          <w:kern w:val="22"/>
          <w:szCs w:val="22"/>
        </w:rPr>
        <w:t>further efforts</w:t>
      </w:r>
      <w:r w:rsidR="00511340" w:rsidRPr="000F07EC">
        <w:rPr>
          <w:kern w:val="22"/>
          <w:szCs w:val="22"/>
        </w:rPr>
        <w:t xml:space="preserve"> may be</w:t>
      </w:r>
      <w:r w:rsidR="00C2117E" w:rsidRPr="000F07EC">
        <w:rPr>
          <w:kern w:val="22"/>
          <w:szCs w:val="22"/>
        </w:rPr>
        <w:t xml:space="preserve"> needed to integrate ABS across the various work programmes of the C</w:t>
      </w:r>
      <w:r w:rsidR="0009324F" w:rsidRPr="000F07EC">
        <w:rPr>
          <w:kern w:val="22"/>
          <w:szCs w:val="22"/>
        </w:rPr>
        <w:t>onvention</w:t>
      </w:r>
      <w:r w:rsidR="00C2117E" w:rsidRPr="000F07EC">
        <w:rPr>
          <w:kern w:val="22"/>
          <w:szCs w:val="22"/>
        </w:rPr>
        <w:t xml:space="preserve"> in order to </w:t>
      </w:r>
      <w:r w:rsidR="0095393E" w:rsidRPr="000F07EC">
        <w:rPr>
          <w:kern w:val="22"/>
          <w:szCs w:val="22"/>
        </w:rPr>
        <w:t>support the implementation of the Nagoya Protocol</w:t>
      </w:r>
      <w:r w:rsidR="00C2117E" w:rsidRPr="000F07EC">
        <w:rPr>
          <w:kern w:val="22"/>
          <w:szCs w:val="22"/>
        </w:rPr>
        <w:t>.</w:t>
      </w:r>
      <w:r w:rsidR="00B267ED" w:rsidRPr="000F07EC">
        <w:rPr>
          <w:kern w:val="22"/>
          <w:szCs w:val="22"/>
        </w:rPr>
        <w:t xml:space="preserve"> Further integration of ABS into other areas of work under the Convention could be considered as part of </w:t>
      </w:r>
      <w:r w:rsidR="00CD4910" w:rsidRPr="000F07EC">
        <w:rPr>
          <w:kern w:val="22"/>
          <w:szCs w:val="22"/>
        </w:rPr>
        <w:t xml:space="preserve">the </w:t>
      </w:r>
      <w:r w:rsidR="00B267ED" w:rsidRPr="000F07EC">
        <w:rPr>
          <w:kern w:val="22"/>
          <w:szCs w:val="22"/>
        </w:rPr>
        <w:t xml:space="preserve">discussions on the </w:t>
      </w:r>
      <w:hyperlink r:id="rId28" w:history="1">
        <w:r w:rsidR="00B267ED" w:rsidRPr="000F07EC">
          <w:rPr>
            <w:rStyle w:val="Hyperlink"/>
            <w:kern w:val="22"/>
            <w:szCs w:val="22"/>
          </w:rPr>
          <w:t>post</w:t>
        </w:r>
        <w:r w:rsidR="000D5AFE" w:rsidRPr="000F07EC">
          <w:rPr>
            <w:rStyle w:val="Hyperlink"/>
            <w:kern w:val="22"/>
            <w:szCs w:val="22"/>
          </w:rPr>
          <w:t>-</w:t>
        </w:r>
        <w:r w:rsidR="00B267ED" w:rsidRPr="000F07EC">
          <w:rPr>
            <w:rStyle w:val="Hyperlink"/>
            <w:kern w:val="22"/>
            <w:szCs w:val="22"/>
          </w:rPr>
          <w:t xml:space="preserve">2020 </w:t>
        </w:r>
        <w:r w:rsidR="000D5AFE" w:rsidRPr="000F07EC">
          <w:rPr>
            <w:rStyle w:val="Hyperlink"/>
            <w:kern w:val="22"/>
            <w:szCs w:val="22"/>
          </w:rPr>
          <w:t>g</w:t>
        </w:r>
        <w:r w:rsidR="00F81D9E" w:rsidRPr="000F07EC">
          <w:rPr>
            <w:rStyle w:val="Hyperlink"/>
            <w:kern w:val="22"/>
            <w:szCs w:val="22"/>
          </w:rPr>
          <w:t xml:space="preserve">lobal </w:t>
        </w:r>
        <w:r w:rsidR="000D5AFE" w:rsidRPr="000F07EC">
          <w:rPr>
            <w:rStyle w:val="Hyperlink"/>
            <w:kern w:val="22"/>
            <w:szCs w:val="22"/>
          </w:rPr>
          <w:t>b</w:t>
        </w:r>
        <w:r w:rsidR="00B267ED" w:rsidRPr="000F07EC">
          <w:rPr>
            <w:rStyle w:val="Hyperlink"/>
            <w:kern w:val="22"/>
            <w:szCs w:val="22"/>
          </w:rPr>
          <w:t xml:space="preserve">iodiversity </w:t>
        </w:r>
        <w:r w:rsidR="000D5AFE" w:rsidRPr="000F07EC">
          <w:rPr>
            <w:rStyle w:val="Hyperlink"/>
            <w:kern w:val="22"/>
            <w:szCs w:val="22"/>
          </w:rPr>
          <w:t>f</w:t>
        </w:r>
        <w:r w:rsidR="00B267ED" w:rsidRPr="000F07EC">
          <w:rPr>
            <w:rStyle w:val="Hyperlink"/>
            <w:kern w:val="22"/>
            <w:szCs w:val="22"/>
          </w:rPr>
          <w:t>ramework</w:t>
        </w:r>
      </w:hyperlink>
      <w:r w:rsidR="00B267ED" w:rsidRPr="000F07EC">
        <w:rPr>
          <w:kern w:val="22"/>
          <w:szCs w:val="22"/>
        </w:rPr>
        <w:t>.</w:t>
      </w:r>
    </w:p>
    <w:p w:rsidR="00AE5298" w:rsidRPr="000F07EC" w:rsidRDefault="00030992" w:rsidP="000F07EC">
      <w:pPr>
        <w:pStyle w:val="Heading1"/>
        <w:suppressLineNumbers/>
        <w:tabs>
          <w:tab w:val="clear" w:pos="720"/>
          <w:tab w:val="left" w:pos="450"/>
        </w:tabs>
        <w:suppressAutoHyphens/>
        <w:kinsoku w:val="0"/>
        <w:overflowPunct w:val="0"/>
        <w:autoSpaceDE w:val="0"/>
        <w:autoSpaceDN w:val="0"/>
        <w:adjustRightInd w:val="0"/>
        <w:snapToGrid w:val="0"/>
        <w:spacing w:before="120"/>
        <w:rPr>
          <w:bCs/>
          <w:snapToGrid w:val="0"/>
          <w:kern w:val="22"/>
          <w:szCs w:val="22"/>
        </w:rPr>
      </w:pPr>
      <w:r w:rsidRPr="000F07EC">
        <w:rPr>
          <w:bCs/>
          <w:snapToGrid w:val="0"/>
          <w:kern w:val="22"/>
          <w:szCs w:val="22"/>
        </w:rPr>
        <w:t>I</w:t>
      </w:r>
      <w:r w:rsidR="00007D43" w:rsidRPr="000F07EC">
        <w:rPr>
          <w:bCs/>
          <w:snapToGrid w:val="0"/>
          <w:kern w:val="22"/>
          <w:szCs w:val="22"/>
        </w:rPr>
        <w:t>V</w:t>
      </w:r>
      <w:r w:rsidR="00440A3A" w:rsidRPr="000F07EC">
        <w:rPr>
          <w:bCs/>
          <w:snapToGrid w:val="0"/>
          <w:kern w:val="22"/>
          <w:szCs w:val="22"/>
        </w:rPr>
        <w:t>.</w:t>
      </w:r>
      <w:r w:rsidR="001F68FD" w:rsidRPr="000F07EC">
        <w:rPr>
          <w:bCs/>
          <w:snapToGrid w:val="0"/>
          <w:kern w:val="22"/>
          <w:szCs w:val="22"/>
        </w:rPr>
        <w:tab/>
      </w:r>
      <w:r w:rsidR="001B6036" w:rsidRPr="000F07EC">
        <w:rPr>
          <w:bCs/>
          <w:snapToGrid w:val="0"/>
          <w:kern w:val="22"/>
          <w:szCs w:val="22"/>
        </w:rPr>
        <w:t xml:space="preserve">Suggested </w:t>
      </w:r>
      <w:r w:rsidR="00440A3A" w:rsidRPr="000F07EC">
        <w:rPr>
          <w:bCs/>
          <w:snapToGrid w:val="0"/>
          <w:kern w:val="22"/>
          <w:szCs w:val="22"/>
        </w:rPr>
        <w:t>draft recommendations</w:t>
      </w:r>
    </w:p>
    <w:p w:rsidR="00440A3A" w:rsidRPr="000F07EC" w:rsidRDefault="00D1789D" w:rsidP="000F07EC">
      <w:pPr>
        <w:pStyle w:val="Para1"/>
        <w:suppressLineNumbers/>
        <w:suppressAutoHyphens/>
        <w:kinsoku w:val="0"/>
        <w:overflowPunct w:val="0"/>
        <w:autoSpaceDE w:val="0"/>
        <w:autoSpaceDN w:val="0"/>
        <w:adjustRightInd w:val="0"/>
        <w:snapToGrid w:val="0"/>
        <w:rPr>
          <w:kern w:val="22"/>
          <w:szCs w:val="22"/>
        </w:rPr>
      </w:pPr>
      <w:r w:rsidRPr="000F07EC">
        <w:rPr>
          <w:kern w:val="22"/>
          <w:szCs w:val="22"/>
        </w:rPr>
        <w:t xml:space="preserve">The </w:t>
      </w:r>
      <w:r w:rsidR="00440A3A" w:rsidRPr="000F07EC">
        <w:rPr>
          <w:kern w:val="22"/>
          <w:szCs w:val="22"/>
        </w:rPr>
        <w:t>S</w:t>
      </w:r>
      <w:r w:rsidRPr="000F07EC">
        <w:rPr>
          <w:kern w:val="22"/>
          <w:szCs w:val="22"/>
        </w:rPr>
        <w:t xml:space="preserve">ubsidiary </w:t>
      </w:r>
      <w:r w:rsidR="00440A3A" w:rsidRPr="000F07EC">
        <w:rPr>
          <w:kern w:val="22"/>
          <w:szCs w:val="22"/>
        </w:rPr>
        <w:t>B</w:t>
      </w:r>
      <w:r w:rsidRPr="000F07EC">
        <w:rPr>
          <w:kern w:val="22"/>
          <w:szCs w:val="22"/>
        </w:rPr>
        <w:t>ody on Implementation</w:t>
      </w:r>
      <w:r w:rsidR="00440A3A" w:rsidRPr="000F07EC">
        <w:rPr>
          <w:kern w:val="22"/>
          <w:szCs w:val="22"/>
        </w:rPr>
        <w:t xml:space="preserve"> may wish to </w:t>
      </w:r>
      <w:r w:rsidRPr="000F07EC">
        <w:rPr>
          <w:kern w:val="22"/>
          <w:szCs w:val="22"/>
        </w:rPr>
        <w:t>recommend that the Conference of the Parties adopt a decision along the following lines</w:t>
      </w:r>
      <w:r w:rsidR="00440A3A" w:rsidRPr="000F07EC">
        <w:rPr>
          <w:kern w:val="22"/>
          <w:szCs w:val="22"/>
        </w:rPr>
        <w:t>:</w:t>
      </w:r>
    </w:p>
    <w:p w:rsidR="00440A3A" w:rsidRPr="000F07EC" w:rsidRDefault="00440A3A" w:rsidP="000F07EC">
      <w:pPr>
        <w:pStyle w:val="Para1"/>
        <w:numPr>
          <w:ilvl w:val="0"/>
          <w:numId w:val="0"/>
        </w:numPr>
        <w:suppressLineNumbers/>
        <w:suppressAutoHyphens/>
        <w:kinsoku w:val="0"/>
        <w:overflowPunct w:val="0"/>
        <w:autoSpaceDE w:val="0"/>
        <w:autoSpaceDN w:val="0"/>
        <w:adjustRightInd w:val="0"/>
        <w:snapToGrid w:val="0"/>
        <w:ind w:firstLine="720"/>
        <w:rPr>
          <w:rFonts w:eastAsia="Calibri"/>
          <w:i/>
          <w:kern w:val="22"/>
          <w:szCs w:val="22"/>
        </w:rPr>
      </w:pPr>
      <w:r w:rsidRPr="000F07EC">
        <w:rPr>
          <w:rFonts w:eastAsia="Calibri"/>
          <w:i/>
          <w:kern w:val="22"/>
          <w:szCs w:val="22"/>
        </w:rPr>
        <w:t>The Conference of the Parties</w:t>
      </w:r>
    </w:p>
    <w:p w:rsidR="00D1789D" w:rsidRPr="000F07EC" w:rsidRDefault="00440A3A" w:rsidP="000F07EC">
      <w:pPr>
        <w:pStyle w:val="Para1"/>
        <w:numPr>
          <w:ilvl w:val="0"/>
          <w:numId w:val="7"/>
        </w:numPr>
        <w:suppressLineNumbers/>
        <w:suppressAutoHyphens/>
        <w:kinsoku w:val="0"/>
        <w:overflowPunct w:val="0"/>
        <w:autoSpaceDE w:val="0"/>
        <w:autoSpaceDN w:val="0"/>
        <w:adjustRightInd w:val="0"/>
        <w:snapToGrid w:val="0"/>
        <w:ind w:left="0" w:firstLine="720"/>
        <w:rPr>
          <w:rFonts w:eastAsia="Calibri"/>
          <w:kern w:val="22"/>
          <w:szCs w:val="22"/>
        </w:rPr>
      </w:pPr>
      <w:r w:rsidRPr="000F07EC">
        <w:rPr>
          <w:rFonts w:eastAsia="Calibri"/>
          <w:i/>
          <w:kern w:val="22"/>
          <w:szCs w:val="22"/>
        </w:rPr>
        <w:t xml:space="preserve">Notes </w:t>
      </w:r>
      <w:r w:rsidRPr="000F07EC">
        <w:rPr>
          <w:rFonts w:eastAsia="Calibri"/>
          <w:kern w:val="22"/>
          <w:szCs w:val="22"/>
        </w:rPr>
        <w:t>with appreciation the efforts made by Parties and non-Parties to the Nagoya Protocol in ratifying and implementing the Nagoya Protocol</w:t>
      </w:r>
      <w:r w:rsidR="00C26158" w:rsidRPr="000F07EC">
        <w:rPr>
          <w:szCs w:val="22"/>
        </w:rPr>
        <w:t xml:space="preserve"> </w:t>
      </w:r>
      <w:r w:rsidR="00C26158" w:rsidRPr="000F07EC">
        <w:rPr>
          <w:rFonts w:eastAsia="Calibri"/>
          <w:kern w:val="22"/>
          <w:szCs w:val="22"/>
        </w:rPr>
        <w:t>on Access to Genetic Resources and the Fair and Equitable Sharing of Benefits Arising from their Utilization</w:t>
      </w:r>
      <w:r w:rsidRPr="000F07EC">
        <w:rPr>
          <w:rFonts w:eastAsia="Calibri"/>
          <w:kern w:val="22"/>
          <w:szCs w:val="22"/>
        </w:rPr>
        <w:t>;</w:t>
      </w:r>
    </w:p>
    <w:p w:rsidR="00440A3A" w:rsidRPr="000F07EC" w:rsidRDefault="00D1789D" w:rsidP="000F07EC">
      <w:pPr>
        <w:pStyle w:val="Para1"/>
        <w:numPr>
          <w:ilvl w:val="0"/>
          <w:numId w:val="7"/>
        </w:numPr>
        <w:suppressLineNumbers/>
        <w:suppressAutoHyphens/>
        <w:kinsoku w:val="0"/>
        <w:overflowPunct w:val="0"/>
        <w:autoSpaceDE w:val="0"/>
        <w:autoSpaceDN w:val="0"/>
        <w:adjustRightInd w:val="0"/>
        <w:snapToGrid w:val="0"/>
        <w:ind w:left="0" w:firstLine="720"/>
        <w:rPr>
          <w:rFonts w:eastAsia="Calibri"/>
          <w:kern w:val="22"/>
          <w:szCs w:val="22"/>
        </w:rPr>
      </w:pPr>
      <w:r w:rsidRPr="000F07EC">
        <w:rPr>
          <w:rFonts w:eastAsia="Calibri"/>
          <w:i/>
          <w:kern w:val="22"/>
          <w:szCs w:val="22"/>
        </w:rPr>
        <w:t>Urges</w:t>
      </w:r>
      <w:r w:rsidR="00440A3A" w:rsidRPr="000F07EC">
        <w:rPr>
          <w:rFonts w:eastAsia="Calibri"/>
          <w:i/>
          <w:kern w:val="22"/>
          <w:szCs w:val="22"/>
        </w:rPr>
        <w:t xml:space="preserve"> P</w:t>
      </w:r>
      <w:r w:rsidR="00440A3A" w:rsidRPr="000F07EC">
        <w:rPr>
          <w:rFonts w:eastAsia="Calibri"/>
          <w:kern w:val="22"/>
          <w:szCs w:val="22"/>
        </w:rPr>
        <w:t>arties to the Convention on Biological Diversity that have not yet done so to deposit their instrument of ratification, acceptance or approval or their instrument of accession to the Nagoya Protocol as soon as possible, and to take steps towards its implementation, including by establishing institutional structures and legislative, administrative and policy measures on access and benefit-sharing, and to make relevant information available to the Access and Benefit-sharing Clearing-House</w:t>
      </w:r>
      <w:r w:rsidR="004B1B86" w:rsidRPr="000F07EC">
        <w:rPr>
          <w:rFonts w:eastAsia="Calibri"/>
          <w:kern w:val="22"/>
          <w:szCs w:val="22"/>
        </w:rPr>
        <w:t>;</w:t>
      </w:r>
    </w:p>
    <w:p w:rsidR="0065254C" w:rsidRPr="000F07EC" w:rsidRDefault="00FD4540" w:rsidP="000F07EC">
      <w:pPr>
        <w:pStyle w:val="Para1"/>
        <w:numPr>
          <w:ilvl w:val="0"/>
          <w:numId w:val="7"/>
        </w:numPr>
        <w:suppressLineNumbers/>
        <w:suppressAutoHyphens/>
        <w:kinsoku w:val="0"/>
        <w:overflowPunct w:val="0"/>
        <w:autoSpaceDE w:val="0"/>
        <w:autoSpaceDN w:val="0"/>
        <w:adjustRightInd w:val="0"/>
        <w:snapToGrid w:val="0"/>
        <w:ind w:left="0" w:firstLine="720"/>
        <w:rPr>
          <w:rFonts w:eastAsia="Calibri"/>
          <w:kern w:val="22"/>
          <w:szCs w:val="22"/>
        </w:rPr>
      </w:pPr>
      <w:r w:rsidRPr="000F07EC">
        <w:rPr>
          <w:rFonts w:eastAsia="Calibri"/>
          <w:i/>
          <w:kern w:val="22"/>
          <w:szCs w:val="22"/>
        </w:rPr>
        <w:lastRenderedPageBreak/>
        <w:t>Urges</w:t>
      </w:r>
      <w:r w:rsidR="0065254C" w:rsidRPr="000F07EC">
        <w:rPr>
          <w:rFonts w:eastAsia="Calibri"/>
          <w:i/>
          <w:kern w:val="22"/>
          <w:szCs w:val="22"/>
        </w:rPr>
        <w:t xml:space="preserve"> </w:t>
      </w:r>
      <w:r w:rsidR="0065254C" w:rsidRPr="000F07EC">
        <w:rPr>
          <w:rFonts w:eastAsia="Calibri"/>
          <w:kern w:val="22"/>
          <w:szCs w:val="22"/>
        </w:rPr>
        <w:t xml:space="preserve">Parties to the Convention that are not yet Parties to the Nagoya Protocol to report on </w:t>
      </w:r>
      <w:r w:rsidR="004B1B86" w:rsidRPr="000F07EC">
        <w:rPr>
          <w:rFonts w:eastAsia="Calibri"/>
          <w:kern w:val="22"/>
          <w:szCs w:val="22"/>
        </w:rPr>
        <w:t xml:space="preserve">access and benefit-sharing </w:t>
      </w:r>
      <w:r w:rsidR="0065254C" w:rsidRPr="000F07EC">
        <w:rPr>
          <w:rFonts w:eastAsia="Calibri"/>
          <w:kern w:val="22"/>
          <w:szCs w:val="22"/>
        </w:rPr>
        <w:t>implement</w:t>
      </w:r>
      <w:r w:rsidR="00EE5C06" w:rsidRPr="000F07EC">
        <w:rPr>
          <w:rFonts w:eastAsia="Calibri"/>
          <w:kern w:val="22"/>
          <w:szCs w:val="22"/>
        </w:rPr>
        <w:t>at</w:t>
      </w:r>
      <w:r w:rsidR="0065254C" w:rsidRPr="000F07EC">
        <w:rPr>
          <w:rFonts w:eastAsia="Calibri"/>
          <w:kern w:val="22"/>
          <w:szCs w:val="22"/>
        </w:rPr>
        <w:t xml:space="preserve">ion in their </w:t>
      </w:r>
      <w:r w:rsidR="004B1B86" w:rsidRPr="000F07EC">
        <w:rPr>
          <w:rFonts w:eastAsia="Calibri"/>
          <w:kern w:val="22"/>
          <w:szCs w:val="22"/>
        </w:rPr>
        <w:t>sixth</w:t>
      </w:r>
      <w:r w:rsidR="0065254C" w:rsidRPr="000F07EC">
        <w:rPr>
          <w:rFonts w:eastAsia="Calibri"/>
          <w:kern w:val="22"/>
          <w:szCs w:val="22"/>
        </w:rPr>
        <w:t xml:space="preserve"> national reports</w:t>
      </w:r>
      <w:r w:rsidR="004B1B86" w:rsidRPr="000F07EC">
        <w:rPr>
          <w:rFonts w:eastAsia="Calibri"/>
          <w:kern w:val="22"/>
          <w:szCs w:val="22"/>
        </w:rPr>
        <w:t>;</w:t>
      </w:r>
    </w:p>
    <w:p w:rsidR="00D1789D" w:rsidRPr="000F07EC" w:rsidRDefault="00D1789D" w:rsidP="000F07EC">
      <w:pPr>
        <w:numPr>
          <w:ilvl w:val="0"/>
          <w:numId w:val="7"/>
        </w:numPr>
        <w:suppressLineNumbers/>
        <w:suppressAutoHyphens/>
        <w:kinsoku w:val="0"/>
        <w:overflowPunct w:val="0"/>
        <w:autoSpaceDE w:val="0"/>
        <w:autoSpaceDN w:val="0"/>
        <w:adjustRightInd w:val="0"/>
        <w:snapToGrid w:val="0"/>
        <w:spacing w:before="120" w:after="120"/>
        <w:ind w:left="0" w:firstLine="720"/>
        <w:rPr>
          <w:snapToGrid w:val="0"/>
          <w:kern w:val="22"/>
          <w:szCs w:val="22"/>
        </w:rPr>
      </w:pPr>
      <w:r w:rsidRPr="000F07EC">
        <w:rPr>
          <w:i/>
          <w:snapToGrid w:val="0"/>
          <w:kern w:val="22"/>
          <w:szCs w:val="22"/>
        </w:rPr>
        <w:t>Reiterates</w:t>
      </w:r>
      <w:r w:rsidRPr="000F07EC">
        <w:rPr>
          <w:snapToGrid w:val="0"/>
          <w:kern w:val="22"/>
          <w:szCs w:val="22"/>
        </w:rPr>
        <w:t xml:space="preserve"> the need for capacity-building and development activities as well as financial resources to support </w:t>
      </w:r>
      <w:r w:rsidR="00F81D9E" w:rsidRPr="000F07EC">
        <w:rPr>
          <w:snapToGrid w:val="0"/>
          <w:kern w:val="22"/>
          <w:szCs w:val="22"/>
        </w:rPr>
        <w:t xml:space="preserve">ratification and </w:t>
      </w:r>
      <w:r w:rsidRPr="000F07EC">
        <w:rPr>
          <w:snapToGrid w:val="0"/>
          <w:kern w:val="22"/>
          <w:szCs w:val="22"/>
        </w:rPr>
        <w:t>implementation of the Nagoya Protocol</w:t>
      </w:r>
      <w:r w:rsidR="00FD737E" w:rsidRPr="000F07EC">
        <w:rPr>
          <w:snapToGrid w:val="0"/>
          <w:kern w:val="22"/>
          <w:szCs w:val="22"/>
        </w:rPr>
        <w:t>,</w:t>
      </w:r>
      <w:r w:rsidRPr="000F07EC">
        <w:rPr>
          <w:snapToGrid w:val="0"/>
          <w:kern w:val="22"/>
          <w:szCs w:val="22"/>
        </w:rPr>
        <w:t xml:space="preserve"> and </w:t>
      </w:r>
      <w:r w:rsidRPr="000F07EC">
        <w:rPr>
          <w:i/>
          <w:snapToGrid w:val="0"/>
          <w:kern w:val="22"/>
          <w:szCs w:val="22"/>
        </w:rPr>
        <w:t>invites</w:t>
      </w:r>
      <w:r w:rsidRPr="000F07EC">
        <w:rPr>
          <w:snapToGrid w:val="0"/>
          <w:kern w:val="22"/>
          <w:szCs w:val="22"/>
        </w:rPr>
        <w:t xml:space="preserve"> Governments and relevant organi</w:t>
      </w:r>
      <w:r w:rsidR="004B1B86" w:rsidRPr="000F07EC">
        <w:rPr>
          <w:snapToGrid w:val="0"/>
          <w:kern w:val="22"/>
          <w:szCs w:val="22"/>
        </w:rPr>
        <w:t>z</w:t>
      </w:r>
      <w:r w:rsidRPr="000F07EC">
        <w:rPr>
          <w:snapToGrid w:val="0"/>
          <w:kern w:val="22"/>
          <w:szCs w:val="22"/>
        </w:rPr>
        <w:t>ations to provide technical and financial support</w:t>
      </w:r>
      <w:r w:rsidR="004B1B86" w:rsidRPr="000F07EC">
        <w:rPr>
          <w:snapToGrid w:val="0"/>
          <w:kern w:val="22"/>
          <w:szCs w:val="22"/>
        </w:rPr>
        <w:t>;</w:t>
      </w:r>
    </w:p>
    <w:p w:rsidR="0004001B" w:rsidRPr="000F07EC" w:rsidRDefault="00D1789D" w:rsidP="000F07EC">
      <w:pPr>
        <w:pStyle w:val="Para1"/>
        <w:numPr>
          <w:ilvl w:val="0"/>
          <w:numId w:val="7"/>
        </w:numPr>
        <w:suppressLineNumbers/>
        <w:suppressAutoHyphens/>
        <w:kinsoku w:val="0"/>
        <w:overflowPunct w:val="0"/>
        <w:autoSpaceDE w:val="0"/>
        <w:autoSpaceDN w:val="0"/>
        <w:adjustRightInd w:val="0"/>
        <w:snapToGrid w:val="0"/>
        <w:ind w:left="0" w:firstLine="720"/>
        <w:rPr>
          <w:rFonts w:eastAsia="Calibri"/>
          <w:kern w:val="22"/>
          <w:szCs w:val="22"/>
        </w:rPr>
      </w:pPr>
      <w:r w:rsidRPr="000F07EC">
        <w:rPr>
          <w:rFonts w:eastAsia="Calibri"/>
          <w:i/>
          <w:kern w:val="22"/>
          <w:szCs w:val="22"/>
        </w:rPr>
        <w:t>Encourages</w:t>
      </w:r>
      <w:r w:rsidRPr="000F07EC">
        <w:rPr>
          <w:rFonts w:eastAsia="Calibri"/>
          <w:kern w:val="22"/>
          <w:szCs w:val="22"/>
        </w:rPr>
        <w:t xml:space="preserve"> Parties to consider further </w:t>
      </w:r>
      <w:r w:rsidR="00787A39" w:rsidRPr="000F07EC">
        <w:rPr>
          <w:rFonts w:eastAsia="Calibri"/>
          <w:kern w:val="22"/>
          <w:szCs w:val="22"/>
        </w:rPr>
        <w:t xml:space="preserve">the </w:t>
      </w:r>
      <w:r w:rsidRPr="000F07EC">
        <w:rPr>
          <w:rFonts w:eastAsia="Calibri"/>
          <w:kern w:val="22"/>
          <w:szCs w:val="22"/>
        </w:rPr>
        <w:t>integration of access and benefit-sharing into other areas of work under the Convention as part of discussions on the post</w:t>
      </w:r>
      <w:r w:rsidR="004B1B86" w:rsidRPr="000F07EC">
        <w:rPr>
          <w:rFonts w:eastAsia="Calibri"/>
          <w:kern w:val="22"/>
          <w:szCs w:val="22"/>
        </w:rPr>
        <w:t>-</w:t>
      </w:r>
      <w:r w:rsidRPr="000F07EC">
        <w:rPr>
          <w:rFonts w:eastAsia="Calibri"/>
          <w:kern w:val="22"/>
          <w:szCs w:val="22"/>
        </w:rPr>
        <w:t xml:space="preserve">2020 </w:t>
      </w:r>
      <w:r w:rsidR="004B1B86" w:rsidRPr="000F07EC">
        <w:rPr>
          <w:rFonts w:eastAsia="Calibri"/>
          <w:kern w:val="22"/>
          <w:szCs w:val="22"/>
        </w:rPr>
        <w:t>g</w:t>
      </w:r>
      <w:r w:rsidR="00F81D9E" w:rsidRPr="000F07EC">
        <w:rPr>
          <w:rFonts w:eastAsia="Calibri"/>
          <w:kern w:val="22"/>
          <w:szCs w:val="22"/>
        </w:rPr>
        <w:t xml:space="preserve">lobal </w:t>
      </w:r>
      <w:r w:rsidR="004B1B86" w:rsidRPr="000F07EC">
        <w:rPr>
          <w:rFonts w:eastAsia="Calibri"/>
          <w:kern w:val="22"/>
          <w:szCs w:val="22"/>
        </w:rPr>
        <w:t>b</w:t>
      </w:r>
      <w:r w:rsidRPr="000F07EC">
        <w:rPr>
          <w:rFonts w:eastAsia="Calibri"/>
          <w:kern w:val="22"/>
          <w:szCs w:val="22"/>
        </w:rPr>
        <w:t xml:space="preserve">iodiversity </w:t>
      </w:r>
      <w:r w:rsidR="004B1B86" w:rsidRPr="000F07EC">
        <w:rPr>
          <w:rFonts w:eastAsia="Calibri"/>
          <w:kern w:val="22"/>
          <w:szCs w:val="22"/>
        </w:rPr>
        <w:t>f</w:t>
      </w:r>
      <w:r w:rsidRPr="000F07EC">
        <w:rPr>
          <w:rFonts w:eastAsia="Calibri"/>
          <w:kern w:val="22"/>
          <w:szCs w:val="22"/>
        </w:rPr>
        <w:t>ramework</w:t>
      </w:r>
      <w:r w:rsidR="0004001B" w:rsidRPr="000F07EC">
        <w:rPr>
          <w:rFonts w:eastAsia="Calibri"/>
          <w:kern w:val="22"/>
          <w:szCs w:val="22"/>
        </w:rPr>
        <w:t>;</w:t>
      </w:r>
    </w:p>
    <w:p w:rsidR="00D1789D" w:rsidRPr="000F07EC" w:rsidRDefault="0004001B" w:rsidP="000F07EC">
      <w:pPr>
        <w:pStyle w:val="Para1"/>
        <w:numPr>
          <w:ilvl w:val="0"/>
          <w:numId w:val="7"/>
        </w:numPr>
        <w:suppressLineNumbers/>
        <w:suppressAutoHyphens/>
        <w:kinsoku w:val="0"/>
        <w:overflowPunct w:val="0"/>
        <w:autoSpaceDE w:val="0"/>
        <w:autoSpaceDN w:val="0"/>
        <w:adjustRightInd w:val="0"/>
        <w:snapToGrid w:val="0"/>
        <w:ind w:left="0" w:firstLine="720"/>
        <w:rPr>
          <w:rFonts w:eastAsia="Calibri"/>
          <w:kern w:val="22"/>
          <w:szCs w:val="22"/>
        </w:rPr>
      </w:pPr>
      <w:r w:rsidRPr="000F07EC">
        <w:rPr>
          <w:rFonts w:eastAsia="Calibri"/>
          <w:i/>
          <w:kern w:val="22"/>
          <w:szCs w:val="22"/>
        </w:rPr>
        <w:t>Request</w:t>
      </w:r>
      <w:r w:rsidR="00787A39" w:rsidRPr="000F07EC">
        <w:rPr>
          <w:rFonts w:eastAsia="Calibri"/>
          <w:i/>
          <w:kern w:val="22"/>
          <w:szCs w:val="22"/>
        </w:rPr>
        <w:t>s</w:t>
      </w:r>
      <w:r w:rsidRPr="000F07EC">
        <w:rPr>
          <w:rFonts w:eastAsia="Calibri"/>
          <w:kern w:val="22"/>
          <w:szCs w:val="22"/>
        </w:rPr>
        <w:t xml:space="preserve"> the Executive Secretary to continue efforts to integrate access and benefit-sharing across the work of the Secretariat.</w:t>
      </w:r>
    </w:p>
    <w:p w:rsidR="00440A3A" w:rsidRPr="000F07EC" w:rsidRDefault="004B1B86" w:rsidP="000F07EC">
      <w:pPr>
        <w:pStyle w:val="Para1"/>
        <w:numPr>
          <w:ilvl w:val="0"/>
          <w:numId w:val="0"/>
        </w:numPr>
        <w:suppressLineNumbers/>
        <w:suppressAutoHyphens/>
        <w:kinsoku w:val="0"/>
        <w:overflowPunct w:val="0"/>
        <w:autoSpaceDE w:val="0"/>
        <w:autoSpaceDN w:val="0"/>
        <w:adjustRightInd w:val="0"/>
        <w:snapToGrid w:val="0"/>
        <w:jc w:val="center"/>
        <w:rPr>
          <w:kern w:val="22"/>
          <w:szCs w:val="22"/>
        </w:rPr>
      </w:pPr>
      <w:r w:rsidRPr="000F07EC">
        <w:rPr>
          <w:kern w:val="22"/>
          <w:szCs w:val="22"/>
        </w:rPr>
        <w:t>__________</w:t>
      </w:r>
    </w:p>
    <w:sectPr w:rsidR="00440A3A" w:rsidRPr="000F07EC" w:rsidSect="00CA1572">
      <w:headerReference w:type="even" r:id="rId29"/>
      <w:headerReference w:type="default" r:id="rId30"/>
      <w:footerReference w:type="even" r:id="rId31"/>
      <w:footerReference w:type="default" r:id="rId32"/>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7D" w:rsidRDefault="0010187D">
      <w:r>
        <w:separator/>
      </w:r>
    </w:p>
  </w:endnote>
  <w:endnote w:type="continuationSeparator" w:id="0">
    <w:p w:rsidR="0010187D" w:rsidRDefault="0010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00"/>
    <w:family w:val="swiss"/>
    <w:pitch w:val="variable"/>
    <w:sig w:usb0="20002A87" w:usb1="00000000" w:usb2="00000000"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ID Font+ F"/>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40" w:rsidRDefault="00B74140" w:rsidP="000F07EC">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35F" w:rsidRDefault="002C735F" w:rsidP="000F07EC">
    <w:pPr>
      <w:pStyle w:val="Footer"/>
      <w:tabs>
        <w:tab w:val="clear" w:pos="4320"/>
        <w:tab w:val="clear" w:pos="8640"/>
      </w:tabs>
      <w:kinsoku w:val="0"/>
      <w:overflowPunct w:val="0"/>
      <w:autoSpaceDE w:val="0"/>
      <w:autoSpaceDN w:val="0"/>
      <w:adjustRightInd w:val="0"/>
      <w:snapToGrid w:val="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7D" w:rsidRDefault="0010187D">
      <w:r>
        <w:separator/>
      </w:r>
    </w:p>
  </w:footnote>
  <w:footnote w:type="continuationSeparator" w:id="0">
    <w:p w:rsidR="0010187D" w:rsidRDefault="0010187D">
      <w:r>
        <w:continuationSeparator/>
      </w:r>
    </w:p>
  </w:footnote>
  <w:footnote w:id="1">
    <w:p w:rsidR="00D51069" w:rsidRPr="000F07EC" w:rsidRDefault="00D51069" w:rsidP="000F07EC">
      <w:pPr>
        <w:pStyle w:val="FootnoteText"/>
        <w:kinsoku w:val="0"/>
        <w:overflowPunct w:val="0"/>
        <w:autoSpaceDE w:val="0"/>
        <w:autoSpaceDN w:val="0"/>
        <w:adjustRightInd w:val="0"/>
        <w:snapToGrid w:val="0"/>
        <w:ind w:firstLine="0"/>
        <w:jc w:val="left"/>
        <w:rPr>
          <w:snapToGrid w:val="0"/>
          <w:kern w:val="18"/>
          <w:szCs w:val="18"/>
        </w:rPr>
      </w:pPr>
      <w:r w:rsidRPr="000F07EC">
        <w:rPr>
          <w:rStyle w:val="FootnoteReference"/>
          <w:snapToGrid w:val="0"/>
          <w:kern w:val="18"/>
          <w:sz w:val="18"/>
          <w:szCs w:val="18"/>
        </w:rPr>
        <w:t>*</w:t>
      </w:r>
      <w:r w:rsidRPr="000F07EC">
        <w:rPr>
          <w:snapToGrid w:val="0"/>
          <w:kern w:val="18"/>
          <w:szCs w:val="18"/>
        </w:rPr>
        <w:t xml:space="preserve"> </w:t>
      </w:r>
      <w:hyperlink r:id="rId1" w:history="1">
        <w:proofErr w:type="gramStart"/>
        <w:r w:rsidRPr="000F07EC">
          <w:rPr>
            <w:rStyle w:val="Hyperlink"/>
            <w:snapToGrid w:val="0"/>
            <w:kern w:val="18"/>
            <w:szCs w:val="18"/>
          </w:rPr>
          <w:t>CBD/</w:t>
        </w:r>
        <w:r w:rsidR="002E0627" w:rsidRPr="000F07EC">
          <w:rPr>
            <w:rStyle w:val="Hyperlink"/>
            <w:snapToGrid w:val="0"/>
            <w:kern w:val="18"/>
            <w:szCs w:val="18"/>
          </w:rPr>
          <w:t>SBI/2/1</w:t>
        </w:r>
      </w:hyperlink>
      <w:r w:rsidR="002E0627" w:rsidRPr="000F07EC">
        <w:rPr>
          <w:snapToGrid w:val="0"/>
          <w:kern w:val="18"/>
          <w:szCs w:val="18"/>
        </w:rPr>
        <w:t>.</w:t>
      </w:r>
      <w:proofErr w:type="gramEnd"/>
    </w:p>
  </w:footnote>
  <w:footnote w:id="2">
    <w:p w:rsidR="00C73CD1" w:rsidRPr="000F07EC" w:rsidRDefault="00C73CD1" w:rsidP="000F07EC">
      <w:pPr>
        <w:pStyle w:val="FootnoteText"/>
        <w:kinsoku w:val="0"/>
        <w:overflowPunct w:val="0"/>
        <w:autoSpaceDE w:val="0"/>
        <w:autoSpaceDN w:val="0"/>
        <w:adjustRightInd w:val="0"/>
        <w:snapToGrid w:val="0"/>
        <w:ind w:firstLine="0"/>
        <w:jc w:val="left"/>
        <w:rPr>
          <w:snapToGrid w:val="0"/>
          <w:kern w:val="18"/>
          <w:szCs w:val="18"/>
        </w:rPr>
      </w:pPr>
      <w:r w:rsidRPr="000F07EC">
        <w:rPr>
          <w:rStyle w:val="FootnoteReference"/>
          <w:snapToGrid w:val="0"/>
          <w:kern w:val="18"/>
          <w:sz w:val="18"/>
          <w:szCs w:val="18"/>
        </w:rPr>
        <w:footnoteRef/>
      </w:r>
      <w:r w:rsidRPr="000F07EC">
        <w:rPr>
          <w:snapToGrid w:val="0"/>
          <w:kern w:val="18"/>
          <w:szCs w:val="18"/>
        </w:rPr>
        <w:t xml:space="preserve"> See decision </w:t>
      </w:r>
      <w:hyperlink r:id="rId2" w:history="1">
        <w:r w:rsidRPr="000F07EC">
          <w:rPr>
            <w:rStyle w:val="Hyperlink"/>
            <w:snapToGrid w:val="0"/>
            <w:kern w:val="18"/>
            <w:szCs w:val="18"/>
          </w:rPr>
          <w:t>X/1</w:t>
        </w:r>
      </w:hyperlink>
      <w:r w:rsidRPr="000F07EC">
        <w:rPr>
          <w:snapToGrid w:val="0"/>
          <w:kern w:val="18"/>
          <w:szCs w:val="18"/>
        </w:rPr>
        <w:t>.</w:t>
      </w:r>
    </w:p>
  </w:footnote>
  <w:footnote w:id="3">
    <w:p w:rsidR="00786D5C" w:rsidRPr="000F07EC" w:rsidRDefault="00786D5C">
      <w:pPr>
        <w:pStyle w:val="FootnoteText"/>
        <w:kinsoku w:val="0"/>
        <w:overflowPunct w:val="0"/>
        <w:autoSpaceDE w:val="0"/>
        <w:autoSpaceDN w:val="0"/>
        <w:adjustRightInd w:val="0"/>
        <w:snapToGrid w:val="0"/>
        <w:ind w:firstLine="0"/>
        <w:jc w:val="left"/>
        <w:rPr>
          <w:snapToGrid w:val="0"/>
          <w:kern w:val="18"/>
          <w:szCs w:val="18"/>
        </w:rPr>
      </w:pPr>
      <w:r w:rsidRPr="000F07EC">
        <w:rPr>
          <w:rStyle w:val="FootnoteReference"/>
          <w:snapToGrid w:val="0"/>
          <w:kern w:val="18"/>
          <w:sz w:val="18"/>
          <w:szCs w:val="18"/>
        </w:rPr>
        <w:footnoteRef/>
      </w:r>
      <w:r w:rsidRPr="000F07EC">
        <w:rPr>
          <w:snapToGrid w:val="0"/>
          <w:kern w:val="18"/>
          <w:szCs w:val="18"/>
        </w:rPr>
        <w:t xml:space="preserve"> See decision </w:t>
      </w:r>
      <w:hyperlink r:id="rId3" w:history="1">
        <w:r w:rsidRPr="000F07EC">
          <w:rPr>
            <w:rStyle w:val="Hyperlink"/>
            <w:snapToGrid w:val="0"/>
            <w:kern w:val="18"/>
            <w:szCs w:val="18"/>
          </w:rPr>
          <w:t>X/2</w:t>
        </w:r>
      </w:hyperlink>
      <w:r w:rsidRPr="000F07EC">
        <w:rPr>
          <w:snapToGrid w:val="0"/>
          <w:kern w:val="18"/>
          <w:szCs w:val="18"/>
        </w:rPr>
        <w:t>.</w:t>
      </w:r>
    </w:p>
  </w:footnote>
  <w:footnote w:id="4">
    <w:p w:rsidR="00141982" w:rsidRPr="000F07EC" w:rsidRDefault="00141982" w:rsidP="000F07EC">
      <w:pPr>
        <w:pStyle w:val="FootnoteText"/>
        <w:kinsoku w:val="0"/>
        <w:overflowPunct w:val="0"/>
        <w:autoSpaceDE w:val="0"/>
        <w:autoSpaceDN w:val="0"/>
        <w:adjustRightInd w:val="0"/>
        <w:snapToGrid w:val="0"/>
        <w:ind w:firstLine="0"/>
        <w:jc w:val="left"/>
        <w:rPr>
          <w:snapToGrid w:val="0"/>
          <w:kern w:val="18"/>
          <w:szCs w:val="18"/>
        </w:rPr>
      </w:pPr>
      <w:r w:rsidRPr="000F07EC">
        <w:rPr>
          <w:rStyle w:val="FootnoteReference"/>
          <w:snapToGrid w:val="0"/>
          <w:kern w:val="18"/>
          <w:sz w:val="18"/>
          <w:szCs w:val="18"/>
        </w:rPr>
        <w:footnoteRef/>
      </w:r>
      <w:r w:rsidRPr="000F07EC">
        <w:rPr>
          <w:snapToGrid w:val="0"/>
          <w:kern w:val="18"/>
          <w:szCs w:val="18"/>
        </w:rPr>
        <w:t xml:space="preserve"> See decision </w:t>
      </w:r>
      <w:hyperlink r:id="rId4" w:history="1">
        <w:r w:rsidRPr="000F07EC">
          <w:rPr>
            <w:rStyle w:val="Hyperlink"/>
            <w:snapToGrid w:val="0"/>
            <w:kern w:val="18"/>
            <w:szCs w:val="18"/>
          </w:rPr>
          <w:t>X/10</w:t>
        </w:r>
      </w:hyperlink>
      <w:r w:rsidRPr="000F07EC">
        <w:rPr>
          <w:snapToGrid w:val="0"/>
          <w:kern w:val="18"/>
          <w:szCs w:val="18"/>
        </w:rPr>
        <w:t>.</w:t>
      </w:r>
    </w:p>
  </w:footnote>
  <w:footnote w:id="5">
    <w:p w:rsidR="00E829C8" w:rsidRPr="000F07EC" w:rsidRDefault="00E829C8" w:rsidP="000F07EC">
      <w:pPr>
        <w:pStyle w:val="FootnoteText"/>
        <w:kinsoku w:val="0"/>
        <w:overflowPunct w:val="0"/>
        <w:autoSpaceDE w:val="0"/>
        <w:autoSpaceDN w:val="0"/>
        <w:adjustRightInd w:val="0"/>
        <w:snapToGrid w:val="0"/>
        <w:ind w:firstLine="0"/>
        <w:jc w:val="left"/>
        <w:rPr>
          <w:snapToGrid w:val="0"/>
          <w:kern w:val="18"/>
          <w:szCs w:val="18"/>
        </w:rPr>
      </w:pPr>
      <w:r w:rsidRPr="000F07EC">
        <w:rPr>
          <w:rStyle w:val="FootnoteReference"/>
          <w:snapToGrid w:val="0"/>
          <w:kern w:val="18"/>
          <w:sz w:val="18"/>
          <w:szCs w:val="18"/>
        </w:rPr>
        <w:footnoteRef/>
      </w:r>
      <w:r w:rsidRPr="000F07EC">
        <w:rPr>
          <w:snapToGrid w:val="0"/>
          <w:kern w:val="18"/>
          <w:szCs w:val="18"/>
        </w:rPr>
        <w:t xml:space="preserve"> This takes into account ABS measures, competent national authorities, checkpoints or internationally recognized certificates of compliance</w:t>
      </w:r>
      <w:r w:rsidR="0050491F" w:rsidRPr="000F07EC">
        <w:rPr>
          <w:snapToGrid w:val="0"/>
          <w:kern w:val="18"/>
          <w:szCs w:val="18"/>
        </w:rPr>
        <w:t>.</w:t>
      </w:r>
    </w:p>
  </w:footnote>
  <w:footnote w:id="6">
    <w:p w:rsidR="00F17093" w:rsidRPr="000F07EC" w:rsidRDefault="00F17093" w:rsidP="000F07EC">
      <w:pPr>
        <w:pStyle w:val="FootnoteText"/>
        <w:kinsoku w:val="0"/>
        <w:overflowPunct w:val="0"/>
        <w:autoSpaceDE w:val="0"/>
        <w:autoSpaceDN w:val="0"/>
        <w:adjustRightInd w:val="0"/>
        <w:snapToGrid w:val="0"/>
        <w:ind w:firstLine="0"/>
        <w:jc w:val="left"/>
        <w:rPr>
          <w:snapToGrid w:val="0"/>
          <w:kern w:val="18"/>
          <w:szCs w:val="18"/>
        </w:rPr>
      </w:pPr>
      <w:r w:rsidRPr="000F07EC">
        <w:rPr>
          <w:rStyle w:val="FootnoteReference"/>
          <w:snapToGrid w:val="0"/>
          <w:kern w:val="18"/>
          <w:sz w:val="18"/>
          <w:szCs w:val="18"/>
        </w:rPr>
        <w:footnoteRef/>
      </w:r>
      <w:r w:rsidRPr="000F07EC">
        <w:rPr>
          <w:snapToGrid w:val="0"/>
          <w:kern w:val="18"/>
          <w:szCs w:val="18"/>
        </w:rPr>
        <w:t xml:space="preserve"> See Articles 1 and 9 of the Nagoya Protocol.</w:t>
      </w:r>
    </w:p>
  </w:footnote>
  <w:footnote w:id="7">
    <w:p w:rsidR="00B561EC" w:rsidRPr="000F07EC" w:rsidRDefault="00B561EC" w:rsidP="000F07EC">
      <w:pPr>
        <w:pStyle w:val="FootnoteText"/>
        <w:kinsoku w:val="0"/>
        <w:overflowPunct w:val="0"/>
        <w:autoSpaceDE w:val="0"/>
        <w:autoSpaceDN w:val="0"/>
        <w:adjustRightInd w:val="0"/>
        <w:snapToGrid w:val="0"/>
        <w:ind w:firstLine="0"/>
        <w:jc w:val="left"/>
        <w:rPr>
          <w:snapToGrid w:val="0"/>
          <w:kern w:val="18"/>
          <w:szCs w:val="18"/>
        </w:rPr>
      </w:pPr>
      <w:r w:rsidRPr="000F07EC">
        <w:rPr>
          <w:rStyle w:val="FootnoteReference"/>
          <w:snapToGrid w:val="0"/>
          <w:kern w:val="18"/>
          <w:sz w:val="18"/>
          <w:szCs w:val="18"/>
        </w:rPr>
        <w:footnoteRef/>
      </w:r>
      <w:r w:rsidRPr="000F07EC">
        <w:rPr>
          <w:snapToGrid w:val="0"/>
          <w:kern w:val="18"/>
          <w:szCs w:val="18"/>
        </w:rPr>
        <w:t xml:space="preserve"> The</w:t>
      </w:r>
      <w:r w:rsidR="00D3505C" w:rsidRPr="000F07EC">
        <w:rPr>
          <w:snapToGrid w:val="0"/>
          <w:kern w:val="18"/>
          <w:szCs w:val="18"/>
        </w:rPr>
        <w:t xml:space="preserve"> </w:t>
      </w:r>
      <w:r w:rsidR="00D3505C" w:rsidRPr="000F07EC">
        <w:rPr>
          <w:noProof/>
          <w:snapToGrid w:val="0"/>
          <w:kern w:val="18"/>
          <w:szCs w:val="18"/>
        </w:rPr>
        <w:t>Mo’otz kuxtal</w:t>
      </w:r>
      <w:r w:rsidR="00D3505C" w:rsidRPr="000F07EC">
        <w:rPr>
          <w:b/>
          <w:snapToGrid w:val="0"/>
          <w:kern w:val="18"/>
          <w:szCs w:val="18"/>
        </w:rPr>
        <w:t xml:space="preserve"> </w:t>
      </w:r>
      <w:r w:rsidR="00D3505C" w:rsidRPr="000F07EC">
        <w:rPr>
          <w:snapToGrid w:val="0"/>
          <w:kern w:val="18"/>
          <w:szCs w:val="18"/>
        </w:rPr>
        <w:t>voluntary guidelines for the development of mechanisms, legislation or other appropriate initiatives to ensure the “prior and informed consent”, “free, prior and informed consent” or “approval and involvement”,</w:t>
      </w:r>
      <w:r w:rsidR="00D3505C" w:rsidRPr="000F07EC" w:rsidDel="003C359C">
        <w:rPr>
          <w:snapToGrid w:val="0"/>
          <w:kern w:val="18"/>
          <w:szCs w:val="18"/>
        </w:rPr>
        <w:t xml:space="preserve"> </w:t>
      </w:r>
      <w:r w:rsidR="00D3505C" w:rsidRPr="000F07EC">
        <w:rPr>
          <w:snapToGrid w:val="0"/>
          <w:kern w:val="18"/>
          <w:szCs w:val="18"/>
        </w:rPr>
        <w:t>depending on national circumstances, of indigenous peoples and local communities for accessing their knowledge, innovations and practices, for fair and equitable sharing of benefits arising from the use of their knowledge, innovations and practices relevant for the conservation and sustainable use of biological diversity, and for reporting and preventing unlawful appropriation of traditional knowledge</w:t>
      </w:r>
      <w:r w:rsidR="00B45C4C" w:rsidRPr="000F07EC">
        <w:rPr>
          <w:snapToGrid w:val="0"/>
          <w:kern w:val="18"/>
          <w:szCs w:val="18"/>
        </w:rPr>
        <w:t>.</w:t>
      </w:r>
      <w:r w:rsidR="00691F75" w:rsidRPr="000F07EC">
        <w:rPr>
          <w:snapToGrid w:val="0"/>
          <w:kern w:val="18"/>
          <w:szCs w:val="18"/>
        </w:rPr>
        <w:t xml:space="preserve"> The guidelines were adopted by the Conference of the Parties in decision </w:t>
      </w:r>
      <w:hyperlink r:id="rId5" w:history="1">
        <w:r w:rsidR="00691F75" w:rsidRPr="000F07EC">
          <w:rPr>
            <w:rStyle w:val="Hyperlink"/>
            <w:snapToGrid w:val="0"/>
            <w:kern w:val="18"/>
            <w:szCs w:val="18"/>
          </w:rPr>
          <w:t>XIII/18</w:t>
        </w:r>
      </w:hyperlink>
      <w:r w:rsidR="00691F75" w:rsidRPr="000F07EC">
        <w:rPr>
          <w:snapToGrid w:val="0"/>
          <w:kern w:val="18"/>
          <w:szCs w:val="18"/>
        </w:rPr>
        <w:t>.</w:t>
      </w:r>
    </w:p>
  </w:footnote>
  <w:footnote w:id="8">
    <w:p w:rsidR="00EB6C99" w:rsidRPr="000F07EC" w:rsidRDefault="00EB6C99" w:rsidP="000F07EC">
      <w:pPr>
        <w:pStyle w:val="FootnoteText"/>
        <w:kinsoku w:val="0"/>
        <w:overflowPunct w:val="0"/>
        <w:autoSpaceDE w:val="0"/>
        <w:autoSpaceDN w:val="0"/>
        <w:adjustRightInd w:val="0"/>
        <w:snapToGrid w:val="0"/>
        <w:ind w:firstLine="0"/>
        <w:jc w:val="left"/>
        <w:rPr>
          <w:snapToGrid w:val="0"/>
          <w:kern w:val="18"/>
          <w:szCs w:val="18"/>
        </w:rPr>
      </w:pPr>
      <w:r w:rsidRPr="000F07EC">
        <w:rPr>
          <w:rStyle w:val="FootnoteReference"/>
          <w:snapToGrid w:val="0"/>
          <w:kern w:val="18"/>
          <w:sz w:val="18"/>
          <w:szCs w:val="18"/>
        </w:rPr>
        <w:footnoteRef/>
      </w:r>
      <w:r w:rsidRPr="000F07EC">
        <w:rPr>
          <w:snapToGrid w:val="0"/>
          <w:kern w:val="18"/>
          <w:szCs w:val="18"/>
        </w:rPr>
        <w:t xml:space="preserve"> Available at: </w:t>
      </w:r>
      <w:hyperlink r:id="rId6" w:history="1">
        <w:r w:rsidR="00B45C4C" w:rsidRPr="000F07EC">
          <w:rPr>
            <w:rStyle w:val="Hyperlink"/>
            <w:snapToGrid w:val="0"/>
            <w:kern w:val="18"/>
            <w:szCs w:val="18"/>
          </w:rPr>
          <w:t>https://www.cbd.int/business/ressources/newsletters.shtml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rsidR="00BA3233" w:rsidRPr="00B74140" w:rsidRDefault="00DC3575" w:rsidP="000F07EC">
        <w:pPr>
          <w:pStyle w:val="Header"/>
          <w:tabs>
            <w:tab w:val="clear" w:pos="4320"/>
            <w:tab w:val="clear" w:pos="8640"/>
          </w:tabs>
          <w:kinsoku w:val="0"/>
          <w:overflowPunct w:val="0"/>
          <w:autoSpaceDE w:val="0"/>
          <w:autoSpaceDN w:val="0"/>
          <w:adjustRightInd w:val="0"/>
          <w:snapToGrid w:val="0"/>
          <w:jc w:val="left"/>
          <w:rPr>
            <w:noProof/>
            <w:kern w:val="22"/>
          </w:rPr>
        </w:pPr>
        <w:r w:rsidRPr="00B74140">
          <w:rPr>
            <w:noProof/>
            <w:kern w:val="22"/>
          </w:rPr>
          <w:t>CBD/SBI/2/14</w:t>
        </w:r>
      </w:p>
    </w:sdtContent>
  </w:sdt>
  <w:p w:rsidR="00BA3233" w:rsidRPr="00B74140" w:rsidRDefault="00BA3233" w:rsidP="000F07EC">
    <w:pPr>
      <w:pStyle w:val="Header"/>
      <w:tabs>
        <w:tab w:val="clear" w:pos="4320"/>
        <w:tab w:val="clear" w:pos="8640"/>
      </w:tabs>
      <w:kinsoku w:val="0"/>
      <w:overflowPunct w:val="0"/>
      <w:autoSpaceDE w:val="0"/>
      <w:autoSpaceDN w:val="0"/>
      <w:adjustRightInd w:val="0"/>
      <w:snapToGrid w:val="0"/>
      <w:jc w:val="left"/>
      <w:rPr>
        <w:noProof/>
        <w:kern w:val="22"/>
      </w:rPr>
    </w:pPr>
    <w:r w:rsidRPr="00B74140">
      <w:rPr>
        <w:noProof/>
        <w:kern w:val="22"/>
      </w:rPr>
      <w:t xml:space="preserve">Page </w:t>
    </w:r>
    <w:r w:rsidRPr="00B74140">
      <w:rPr>
        <w:noProof/>
        <w:kern w:val="22"/>
      </w:rPr>
      <w:fldChar w:fldCharType="begin"/>
    </w:r>
    <w:r w:rsidRPr="00B74140">
      <w:rPr>
        <w:noProof/>
        <w:kern w:val="22"/>
      </w:rPr>
      <w:instrText xml:space="preserve"> PAGE   \* MERGEFORMAT </w:instrText>
    </w:r>
    <w:r w:rsidRPr="00B74140">
      <w:rPr>
        <w:noProof/>
        <w:kern w:val="22"/>
      </w:rPr>
      <w:fldChar w:fldCharType="separate"/>
    </w:r>
    <w:r w:rsidR="000F07EC">
      <w:rPr>
        <w:noProof/>
        <w:kern w:val="22"/>
      </w:rPr>
      <w:t>8</w:t>
    </w:r>
    <w:r w:rsidRPr="00B74140">
      <w:rPr>
        <w:noProof/>
        <w:kern w:val="22"/>
      </w:rPr>
      <w:fldChar w:fldCharType="end"/>
    </w:r>
  </w:p>
  <w:p w:rsidR="00BA3233" w:rsidRPr="00B74140" w:rsidRDefault="00BA3233" w:rsidP="000F07EC">
    <w:pPr>
      <w:pStyle w:val="Header"/>
      <w:tabs>
        <w:tab w:val="clear" w:pos="4320"/>
        <w:tab w:val="clear" w:pos="8640"/>
      </w:tabs>
      <w:kinsoku w:val="0"/>
      <w:overflowPunct w:val="0"/>
      <w:autoSpaceDE w:val="0"/>
      <w:autoSpaceDN w:val="0"/>
      <w:adjustRightInd w:val="0"/>
      <w:snapToGrid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599458323"/>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rsidR="00BA3233" w:rsidRPr="00B74140" w:rsidRDefault="00DC3575" w:rsidP="000F07EC">
        <w:pPr>
          <w:pStyle w:val="Header"/>
          <w:tabs>
            <w:tab w:val="clear" w:pos="4320"/>
            <w:tab w:val="clear" w:pos="8640"/>
          </w:tabs>
          <w:kinsoku w:val="0"/>
          <w:overflowPunct w:val="0"/>
          <w:autoSpaceDE w:val="0"/>
          <w:autoSpaceDN w:val="0"/>
          <w:jc w:val="right"/>
          <w:rPr>
            <w:noProof/>
            <w:kern w:val="22"/>
          </w:rPr>
        </w:pPr>
        <w:r w:rsidRPr="00B74140">
          <w:rPr>
            <w:noProof/>
            <w:kern w:val="22"/>
          </w:rPr>
          <w:t>CBD/SBI/2/14</w:t>
        </w:r>
      </w:p>
    </w:sdtContent>
  </w:sdt>
  <w:p w:rsidR="00BA3233" w:rsidRPr="00B74140" w:rsidRDefault="00BA3233" w:rsidP="000F07EC">
    <w:pPr>
      <w:pStyle w:val="Header"/>
      <w:tabs>
        <w:tab w:val="clear" w:pos="4320"/>
        <w:tab w:val="clear" w:pos="8640"/>
      </w:tabs>
      <w:kinsoku w:val="0"/>
      <w:overflowPunct w:val="0"/>
      <w:autoSpaceDE w:val="0"/>
      <w:autoSpaceDN w:val="0"/>
      <w:jc w:val="right"/>
      <w:rPr>
        <w:noProof/>
        <w:kern w:val="22"/>
      </w:rPr>
    </w:pPr>
    <w:r w:rsidRPr="00B74140">
      <w:rPr>
        <w:noProof/>
        <w:kern w:val="22"/>
      </w:rPr>
      <w:t xml:space="preserve">Page </w:t>
    </w:r>
    <w:r w:rsidRPr="00B74140">
      <w:rPr>
        <w:noProof/>
        <w:kern w:val="22"/>
      </w:rPr>
      <w:fldChar w:fldCharType="begin"/>
    </w:r>
    <w:r w:rsidRPr="00B74140">
      <w:rPr>
        <w:noProof/>
        <w:kern w:val="22"/>
      </w:rPr>
      <w:instrText xml:space="preserve"> PAGE   \* MERGEFORMAT </w:instrText>
    </w:r>
    <w:r w:rsidRPr="000F07EC">
      <w:rPr>
        <w:noProof/>
        <w:kern w:val="22"/>
      </w:rPr>
      <w:fldChar w:fldCharType="separate"/>
    </w:r>
    <w:r w:rsidR="000F07EC">
      <w:rPr>
        <w:noProof/>
        <w:kern w:val="22"/>
      </w:rPr>
      <w:t>7</w:t>
    </w:r>
    <w:r w:rsidRPr="00B74140">
      <w:rPr>
        <w:noProof/>
        <w:kern w:val="22"/>
      </w:rPr>
      <w:fldChar w:fldCharType="end"/>
    </w:r>
  </w:p>
  <w:p w:rsidR="00BA3233" w:rsidRPr="009316F7" w:rsidRDefault="00BA3233" w:rsidP="000F07EC">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A91"/>
    <w:multiLevelType w:val="hybridMultilevel"/>
    <w:tmpl w:val="04F44444"/>
    <w:lvl w:ilvl="0" w:tplc="EEACD8C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77A60"/>
    <w:multiLevelType w:val="hybridMultilevel"/>
    <w:tmpl w:val="079E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30380E0D"/>
    <w:multiLevelType w:val="hybridMultilevel"/>
    <w:tmpl w:val="FA2AB2E4"/>
    <w:lvl w:ilvl="0" w:tplc="843A0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7234BC9"/>
    <w:multiLevelType w:val="hybridMultilevel"/>
    <w:tmpl w:val="A26EC64A"/>
    <w:lvl w:ilvl="0" w:tplc="68A2B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0423B12"/>
    <w:multiLevelType w:val="hybridMultilevel"/>
    <w:tmpl w:val="A836A3CC"/>
    <w:lvl w:ilvl="0" w:tplc="F8F0A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4F5E76"/>
    <w:multiLevelType w:val="hybridMultilevel"/>
    <w:tmpl w:val="1B665ADE"/>
    <w:lvl w:ilvl="0" w:tplc="CAD2961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1701F"/>
    <w:multiLevelType w:val="hybridMultilevel"/>
    <w:tmpl w:val="4DAE67A4"/>
    <w:lvl w:ilvl="0" w:tplc="FEF00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7"/>
  </w:num>
  <w:num w:numId="5">
    <w:abstractNumId w:val="6"/>
  </w:num>
  <w:num w:numId="6">
    <w:abstractNumId w:val="8"/>
  </w:num>
  <w:num w:numId="7">
    <w:abstractNumId w:val="1"/>
  </w:num>
  <w:num w:numId="8">
    <w:abstractNumId w:val="7"/>
  </w:num>
  <w:num w:numId="9">
    <w:abstractNumId w:val="5"/>
  </w:num>
  <w:num w:numId="10">
    <w:abstractNumId w:val="3"/>
  </w:num>
  <w:num w:numId="11">
    <w:abstractNumId w:val="10"/>
  </w:num>
  <w:num w:numId="12">
    <w:abstractNumId w:val="9"/>
  </w:num>
  <w:num w:numId="13">
    <w:abstractNumId w:val="7"/>
  </w:num>
  <w:num w:numId="14">
    <w:abstractNumId w:val="7"/>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7"/>
  </w:num>
  <w:num w:numId="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3B"/>
    <w:rsid w:val="000014E2"/>
    <w:rsid w:val="0000278D"/>
    <w:rsid w:val="000045D5"/>
    <w:rsid w:val="0000533E"/>
    <w:rsid w:val="00006FA3"/>
    <w:rsid w:val="00007D43"/>
    <w:rsid w:val="00012364"/>
    <w:rsid w:val="00020B29"/>
    <w:rsid w:val="00020DF0"/>
    <w:rsid w:val="000219AC"/>
    <w:rsid w:val="0002202C"/>
    <w:rsid w:val="000258A6"/>
    <w:rsid w:val="000268FA"/>
    <w:rsid w:val="00030992"/>
    <w:rsid w:val="00031D24"/>
    <w:rsid w:val="00033CEB"/>
    <w:rsid w:val="00037873"/>
    <w:rsid w:val="00037B3D"/>
    <w:rsid w:val="0004001B"/>
    <w:rsid w:val="00042999"/>
    <w:rsid w:val="000502E7"/>
    <w:rsid w:val="00052450"/>
    <w:rsid w:val="00054381"/>
    <w:rsid w:val="000550B5"/>
    <w:rsid w:val="000576B1"/>
    <w:rsid w:val="000711E1"/>
    <w:rsid w:val="00073708"/>
    <w:rsid w:val="00077D14"/>
    <w:rsid w:val="000808F1"/>
    <w:rsid w:val="0009324F"/>
    <w:rsid w:val="00095791"/>
    <w:rsid w:val="000A1E5D"/>
    <w:rsid w:val="000A62EE"/>
    <w:rsid w:val="000B3A14"/>
    <w:rsid w:val="000B42B4"/>
    <w:rsid w:val="000C0AE0"/>
    <w:rsid w:val="000D2010"/>
    <w:rsid w:val="000D5AFE"/>
    <w:rsid w:val="000E2B05"/>
    <w:rsid w:val="000E637D"/>
    <w:rsid w:val="000E7E6A"/>
    <w:rsid w:val="000F07EC"/>
    <w:rsid w:val="000F63AB"/>
    <w:rsid w:val="000F7A43"/>
    <w:rsid w:val="0010056E"/>
    <w:rsid w:val="0010187D"/>
    <w:rsid w:val="00103C09"/>
    <w:rsid w:val="001155AB"/>
    <w:rsid w:val="0012214B"/>
    <w:rsid w:val="001337B6"/>
    <w:rsid w:val="001412F0"/>
    <w:rsid w:val="00141982"/>
    <w:rsid w:val="001423A4"/>
    <w:rsid w:val="0015012D"/>
    <w:rsid w:val="00152888"/>
    <w:rsid w:val="00152C2B"/>
    <w:rsid w:val="001647F1"/>
    <w:rsid w:val="00166367"/>
    <w:rsid w:val="00166622"/>
    <w:rsid w:val="0017247F"/>
    <w:rsid w:val="00181B21"/>
    <w:rsid w:val="00184CAA"/>
    <w:rsid w:val="00190409"/>
    <w:rsid w:val="00192E06"/>
    <w:rsid w:val="00197E46"/>
    <w:rsid w:val="001A1B76"/>
    <w:rsid w:val="001A5072"/>
    <w:rsid w:val="001A6C94"/>
    <w:rsid w:val="001B331B"/>
    <w:rsid w:val="001B6036"/>
    <w:rsid w:val="001C2570"/>
    <w:rsid w:val="001C321F"/>
    <w:rsid w:val="001C382D"/>
    <w:rsid w:val="001C38B7"/>
    <w:rsid w:val="001D1E30"/>
    <w:rsid w:val="001D4BCD"/>
    <w:rsid w:val="001E74B3"/>
    <w:rsid w:val="001E7625"/>
    <w:rsid w:val="001F1A27"/>
    <w:rsid w:val="001F2D27"/>
    <w:rsid w:val="001F6379"/>
    <w:rsid w:val="001F6667"/>
    <w:rsid w:val="001F68FD"/>
    <w:rsid w:val="002037DF"/>
    <w:rsid w:val="00204415"/>
    <w:rsid w:val="002055D2"/>
    <w:rsid w:val="00206C81"/>
    <w:rsid w:val="002071FA"/>
    <w:rsid w:val="00207A6E"/>
    <w:rsid w:val="00207CB2"/>
    <w:rsid w:val="0021130E"/>
    <w:rsid w:val="00222E55"/>
    <w:rsid w:val="00224B92"/>
    <w:rsid w:val="00226030"/>
    <w:rsid w:val="00226406"/>
    <w:rsid w:val="002357E1"/>
    <w:rsid w:val="0024037F"/>
    <w:rsid w:val="002445C2"/>
    <w:rsid w:val="002504D7"/>
    <w:rsid w:val="00252897"/>
    <w:rsid w:val="00252E86"/>
    <w:rsid w:val="002626DC"/>
    <w:rsid w:val="00262F0B"/>
    <w:rsid w:val="0027701F"/>
    <w:rsid w:val="002826DC"/>
    <w:rsid w:val="002848EB"/>
    <w:rsid w:val="00284FCE"/>
    <w:rsid w:val="00287606"/>
    <w:rsid w:val="002922A2"/>
    <w:rsid w:val="002A0EED"/>
    <w:rsid w:val="002A100D"/>
    <w:rsid w:val="002B0942"/>
    <w:rsid w:val="002B323A"/>
    <w:rsid w:val="002C13C8"/>
    <w:rsid w:val="002C4BDB"/>
    <w:rsid w:val="002C735F"/>
    <w:rsid w:val="002C7752"/>
    <w:rsid w:val="002D4673"/>
    <w:rsid w:val="002D4DBF"/>
    <w:rsid w:val="002E0627"/>
    <w:rsid w:val="002E2FF9"/>
    <w:rsid w:val="002E301B"/>
    <w:rsid w:val="002E3605"/>
    <w:rsid w:val="002E4F76"/>
    <w:rsid w:val="00300AF8"/>
    <w:rsid w:val="00301E8A"/>
    <w:rsid w:val="00304194"/>
    <w:rsid w:val="00304DA9"/>
    <w:rsid w:val="00306099"/>
    <w:rsid w:val="003115C2"/>
    <w:rsid w:val="00312CF4"/>
    <w:rsid w:val="0031427C"/>
    <w:rsid w:val="003157F2"/>
    <w:rsid w:val="003203FE"/>
    <w:rsid w:val="003210FF"/>
    <w:rsid w:val="00325DE3"/>
    <w:rsid w:val="003276E8"/>
    <w:rsid w:val="00336766"/>
    <w:rsid w:val="0034478E"/>
    <w:rsid w:val="00345278"/>
    <w:rsid w:val="00352B6F"/>
    <w:rsid w:val="00353291"/>
    <w:rsid w:val="0036143A"/>
    <w:rsid w:val="0036390F"/>
    <w:rsid w:val="00365E9D"/>
    <w:rsid w:val="00366925"/>
    <w:rsid w:val="00374C33"/>
    <w:rsid w:val="00376A2E"/>
    <w:rsid w:val="0037792F"/>
    <w:rsid w:val="00381BFF"/>
    <w:rsid w:val="00383510"/>
    <w:rsid w:val="00387D13"/>
    <w:rsid w:val="0039164A"/>
    <w:rsid w:val="003926ED"/>
    <w:rsid w:val="003A1BC4"/>
    <w:rsid w:val="003B10B9"/>
    <w:rsid w:val="003B322A"/>
    <w:rsid w:val="003B72CB"/>
    <w:rsid w:val="003C113F"/>
    <w:rsid w:val="003C408D"/>
    <w:rsid w:val="003E2DAE"/>
    <w:rsid w:val="003E4D78"/>
    <w:rsid w:val="003F159B"/>
    <w:rsid w:val="003F1C9A"/>
    <w:rsid w:val="003F6E44"/>
    <w:rsid w:val="00400E09"/>
    <w:rsid w:val="00406BC6"/>
    <w:rsid w:val="0041618C"/>
    <w:rsid w:val="004162F8"/>
    <w:rsid w:val="0042079D"/>
    <w:rsid w:val="004376F1"/>
    <w:rsid w:val="00440A3A"/>
    <w:rsid w:val="00443608"/>
    <w:rsid w:val="0044424E"/>
    <w:rsid w:val="00473BAD"/>
    <w:rsid w:val="00476D32"/>
    <w:rsid w:val="00483D28"/>
    <w:rsid w:val="00487C34"/>
    <w:rsid w:val="00495886"/>
    <w:rsid w:val="00495DED"/>
    <w:rsid w:val="004A462F"/>
    <w:rsid w:val="004A4E01"/>
    <w:rsid w:val="004A7EA5"/>
    <w:rsid w:val="004B1B86"/>
    <w:rsid w:val="004B597A"/>
    <w:rsid w:val="004B5A7D"/>
    <w:rsid w:val="004D1C32"/>
    <w:rsid w:val="004D3907"/>
    <w:rsid w:val="004F4D43"/>
    <w:rsid w:val="00500530"/>
    <w:rsid w:val="005032C9"/>
    <w:rsid w:val="0050491F"/>
    <w:rsid w:val="00511340"/>
    <w:rsid w:val="00516C26"/>
    <w:rsid w:val="00525039"/>
    <w:rsid w:val="00532455"/>
    <w:rsid w:val="00532E21"/>
    <w:rsid w:val="00535459"/>
    <w:rsid w:val="005440A6"/>
    <w:rsid w:val="00553DA8"/>
    <w:rsid w:val="00560784"/>
    <w:rsid w:val="00565FB8"/>
    <w:rsid w:val="005666BD"/>
    <w:rsid w:val="005711BC"/>
    <w:rsid w:val="00572A4B"/>
    <w:rsid w:val="005755D8"/>
    <w:rsid w:val="005765BE"/>
    <w:rsid w:val="00591B7F"/>
    <w:rsid w:val="0059525C"/>
    <w:rsid w:val="005955D2"/>
    <w:rsid w:val="005A4284"/>
    <w:rsid w:val="005A72FB"/>
    <w:rsid w:val="005B6A14"/>
    <w:rsid w:val="005C1ECF"/>
    <w:rsid w:val="005C6D4C"/>
    <w:rsid w:val="005C7BA7"/>
    <w:rsid w:val="005D139C"/>
    <w:rsid w:val="005F4C74"/>
    <w:rsid w:val="005F7DD4"/>
    <w:rsid w:val="00601BDD"/>
    <w:rsid w:val="0061763C"/>
    <w:rsid w:val="006260D5"/>
    <w:rsid w:val="0062654C"/>
    <w:rsid w:val="00647F7A"/>
    <w:rsid w:val="006507F2"/>
    <w:rsid w:val="0065254C"/>
    <w:rsid w:val="006531B0"/>
    <w:rsid w:val="0065770C"/>
    <w:rsid w:val="00665634"/>
    <w:rsid w:val="00670D1D"/>
    <w:rsid w:val="0067304D"/>
    <w:rsid w:val="00685AA5"/>
    <w:rsid w:val="0068607C"/>
    <w:rsid w:val="006861A0"/>
    <w:rsid w:val="00690847"/>
    <w:rsid w:val="00690872"/>
    <w:rsid w:val="00691F75"/>
    <w:rsid w:val="006A066D"/>
    <w:rsid w:val="006A0929"/>
    <w:rsid w:val="006A0D1D"/>
    <w:rsid w:val="006B074E"/>
    <w:rsid w:val="006B2BD5"/>
    <w:rsid w:val="006B3613"/>
    <w:rsid w:val="006C1650"/>
    <w:rsid w:val="006C3635"/>
    <w:rsid w:val="006C541D"/>
    <w:rsid w:val="006D010F"/>
    <w:rsid w:val="006D0E3D"/>
    <w:rsid w:val="006F284C"/>
    <w:rsid w:val="006F6F44"/>
    <w:rsid w:val="006F7227"/>
    <w:rsid w:val="00702366"/>
    <w:rsid w:val="00702810"/>
    <w:rsid w:val="00704E2A"/>
    <w:rsid w:val="00712E26"/>
    <w:rsid w:val="00713343"/>
    <w:rsid w:val="007146A1"/>
    <w:rsid w:val="007163BC"/>
    <w:rsid w:val="00730AE3"/>
    <w:rsid w:val="007323D8"/>
    <w:rsid w:val="00736BC2"/>
    <w:rsid w:val="00757E33"/>
    <w:rsid w:val="00760850"/>
    <w:rsid w:val="00772B17"/>
    <w:rsid w:val="0077314D"/>
    <w:rsid w:val="007744C8"/>
    <w:rsid w:val="00785C3D"/>
    <w:rsid w:val="00785E90"/>
    <w:rsid w:val="00786D5C"/>
    <w:rsid w:val="00787A39"/>
    <w:rsid w:val="0079325E"/>
    <w:rsid w:val="007941A5"/>
    <w:rsid w:val="00797309"/>
    <w:rsid w:val="007A0411"/>
    <w:rsid w:val="007B1587"/>
    <w:rsid w:val="007B4135"/>
    <w:rsid w:val="007C31B3"/>
    <w:rsid w:val="007C50CD"/>
    <w:rsid w:val="007C5285"/>
    <w:rsid w:val="007C633B"/>
    <w:rsid w:val="007D3182"/>
    <w:rsid w:val="007D4C76"/>
    <w:rsid w:val="007E1D22"/>
    <w:rsid w:val="007F226A"/>
    <w:rsid w:val="00816E3E"/>
    <w:rsid w:val="00825524"/>
    <w:rsid w:val="008259D9"/>
    <w:rsid w:val="0083211E"/>
    <w:rsid w:val="00835ABF"/>
    <w:rsid w:val="008424C2"/>
    <w:rsid w:val="00843728"/>
    <w:rsid w:val="00843FF1"/>
    <w:rsid w:val="00846BA5"/>
    <w:rsid w:val="008656AC"/>
    <w:rsid w:val="008700C1"/>
    <w:rsid w:val="00870D40"/>
    <w:rsid w:val="00884C4C"/>
    <w:rsid w:val="0089138D"/>
    <w:rsid w:val="00896917"/>
    <w:rsid w:val="008A0CE1"/>
    <w:rsid w:val="008A1CC0"/>
    <w:rsid w:val="008A2179"/>
    <w:rsid w:val="008A43D4"/>
    <w:rsid w:val="008A7963"/>
    <w:rsid w:val="008B558C"/>
    <w:rsid w:val="008B641B"/>
    <w:rsid w:val="008C013C"/>
    <w:rsid w:val="008C1E35"/>
    <w:rsid w:val="008C2FF5"/>
    <w:rsid w:val="008D0857"/>
    <w:rsid w:val="008D30B6"/>
    <w:rsid w:val="008D5AA2"/>
    <w:rsid w:val="008E1ADE"/>
    <w:rsid w:val="008E5F84"/>
    <w:rsid w:val="008E7500"/>
    <w:rsid w:val="008F4687"/>
    <w:rsid w:val="008F78C2"/>
    <w:rsid w:val="009029A0"/>
    <w:rsid w:val="00904DE8"/>
    <w:rsid w:val="009067F8"/>
    <w:rsid w:val="0091673D"/>
    <w:rsid w:val="00922EAD"/>
    <w:rsid w:val="00927396"/>
    <w:rsid w:val="0092794B"/>
    <w:rsid w:val="009316F7"/>
    <w:rsid w:val="00931A10"/>
    <w:rsid w:val="00941DB3"/>
    <w:rsid w:val="009466CA"/>
    <w:rsid w:val="00951BF6"/>
    <w:rsid w:val="00953856"/>
    <w:rsid w:val="0095393E"/>
    <w:rsid w:val="00953AB3"/>
    <w:rsid w:val="009554D5"/>
    <w:rsid w:val="00956F96"/>
    <w:rsid w:val="009570CA"/>
    <w:rsid w:val="009721C5"/>
    <w:rsid w:val="00972706"/>
    <w:rsid w:val="00976DA6"/>
    <w:rsid w:val="009828D0"/>
    <w:rsid w:val="009909A3"/>
    <w:rsid w:val="00992F49"/>
    <w:rsid w:val="0099431C"/>
    <w:rsid w:val="009955DF"/>
    <w:rsid w:val="009A1E1D"/>
    <w:rsid w:val="009B269A"/>
    <w:rsid w:val="009B523C"/>
    <w:rsid w:val="009B5E1D"/>
    <w:rsid w:val="009D2F92"/>
    <w:rsid w:val="009D2FA2"/>
    <w:rsid w:val="009D57DD"/>
    <w:rsid w:val="009D76DF"/>
    <w:rsid w:val="009E0D5C"/>
    <w:rsid w:val="009E2B79"/>
    <w:rsid w:val="009E62EF"/>
    <w:rsid w:val="00A0383E"/>
    <w:rsid w:val="00A10051"/>
    <w:rsid w:val="00A11C68"/>
    <w:rsid w:val="00A12D9A"/>
    <w:rsid w:val="00A20F36"/>
    <w:rsid w:val="00A2169A"/>
    <w:rsid w:val="00A24442"/>
    <w:rsid w:val="00A30DAD"/>
    <w:rsid w:val="00A33082"/>
    <w:rsid w:val="00A36091"/>
    <w:rsid w:val="00A42777"/>
    <w:rsid w:val="00A63F60"/>
    <w:rsid w:val="00A7069A"/>
    <w:rsid w:val="00A70BFB"/>
    <w:rsid w:val="00A7359E"/>
    <w:rsid w:val="00A75BD0"/>
    <w:rsid w:val="00A77DD9"/>
    <w:rsid w:val="00A876B6"/>
    <w:rsid w:val="00A935F9"/>
    <w:rsid w:val="00A954A4"/>
    <w:rsid w:val="00A955E6"/>
    <w:rsid w:val="00AA014E"/>
    <w:rsid w:val="00AA0467"/>
    <w:rsid w:val="00AA4365"/>
    <w:rsid w:val="00AA57BC"/>
    <w:rsid w:val="00AC1E69"/>
    <w:rsid w:val="00AC378D"/>
    <w:rsid w:val="00AD2B2A"/>
    <w:rsid w:val="00AD6F26"/>
    <w:rsid w:val="00AE5298"/>
    <w:rsid w:val="00AE75E3"/>
    <w:rsid w:val="00AF56FA"/>
    <w:rsid w:val="00AF5A70"/>
    <w:rsid w:val="00B000F8"/>
    <w:rsid w:val="00B106D9"/>
    <w:rsid w:val="00B2340C"/>
    <w:rsid w:val="00B23576"/>
    <w:rsid w:val="00B267ED"/>
    <w:rsid w:val="00B271A0"/>
    <w:rsid w:val="00B3299A"/>
    <w:rsid w:val="00B41880"/>
    <w:rsid w:val="00B4436B"/>
    <w:rsid w:val="00B45C4C"/>
    <w:rsid w:val="00B47155"/>
    <w:rsid w:val="00B561EC"/>
    <w:rsid w:val="00B56B11"/>
    <w:rsid w:val="00B65D7E"/>
    <w:rsid w:val="00B673E3"/>
    <w:rsid w:val="00B74140"/>
    <w:rsid w:val="00B8515D"/>
    <w:rsid w:val="00B85F9B"/>
    <w:rsid w:val="00B90D53"/>
    <w:rsid w:val="00B923EF"/>
    <w:rsid w:val="00B959FD"/>
    <w:rsid w:val="00B95D69"/>
    <w:rsid w:val="00B960E9"/>
    <w:rsid w:val="00BA1498"/>
    <w:rsid w:val="00BA3233"/>
    <w:rsid w:val="00BB4BD0"/>
    <w:rsid w:val="00BB73C8"/>
    <w:rsid w:val="00BC21F2"/>
    <w:rsid w:val="00BC27DE"/>
    <w:rsid w:val="00BC3017"/>
    <w:rsid w:val="00BC778C"/>
    <w:rsid w:val="00BD0052"/>
    <w:rsid w:val="00BD2718"/>
    <w:rsid w:val="00BE37A4"/>
    <w:rsid w:val="00BE3CE9"/>
    <w:rsid w:val="00BE45DE"/>
    <w:rsid w:val="00C05456"/>
    <w:rsid w:val="00C05B4C"/>
    <w:rsid w:val="00C076A9"/>
    <w:rsid w:val="00C15BBB"/>
    <w:rsid w:val="00C2117E"/>
    <w:rsid w:val="00C26158"/>
    <w:rsid w:val="00C31B34"/>
    <w:rsid w:val="00C31FC0"/>
    <w:rsid w:val="00C36325"/>
    <w:rsid w:val="00C37FF1"/>
    <w:rsid w:val="00C433B7"/>
    <w:rsid w:val="00C43DED"/>
    <w:rsid w:val="00C465A1"/>
    <w:rsid w:val="00C507CD"/>
    <w:rsid w:val="00C71E38"/>
    <w:rsid w:val="00C73CD1"/>
    <w:rsid w:val="00C85EA4"/>
    <w:rsid w:val="00C912FE"/>
    <w:rsid w:val="00CA1572"/>
    <w:rsid w:val="00CA1B6A"/>
    <w:rsid w:val="00CA2D7B"/>
    <w:rsid w:val="00CA6B87"/>
    <w:rsid w:val="00CB14C9"/>
    <w:rsid w:val="00CB5C90"/>
    <w:rsid w:val="00CC2031"/>
    <w:rsid w:val="00CC4C87"/>
    <w:rsid w:val="00CC51ED"/>
    <w:rsid w:val="00CD1ADD"/>
    <w:rsid w:val="00CD3457"/>
    <w:rsid w:val="00CD4910"/>
    <w:rsid w:val="00CD62C1"/>
    <w:rsid w:val="00CE3C3C"/>
    <w:rsid w:val="00CE51C3"/>
    <w:rsid w:val="00CF2484"/>
    <w:rsid w:val="00CF2A4E"/>
    <w:rsid w:val="00CF4F69"/>
    <w:rsid w:val="00D04312"/>
    <w:rsid w:val="00D15589"/>
    <w:rsid w:val="00D1789D"/>
    <w:rsid w:val="00D20649"/>
    <w:rsid w:val="00D22AE8"/>
    <w:rsid w:val="00D23A92"/>
    <w:rsid w:val="00D25589"/>
    <w:rsid w:val="00D3505C"/>
    <w:rsid w:val="00D41040"/>
    <w:rsid w:val="00D413B0"/>
    <w:rsid w:val="00D432AD"/>
    <w:rsid w:val="00D43EFC"/>
    <w:rsid w:val="00D51069"/>
    <w:rsid w:val="00D517FF"/>
    <w:rsid w:val="00D53B75"/>
    <w:rsid w:val="00D5565F"/>
    <w:rsid w:val="00D6013A"/>
    <w:rsid w:val="00D8117C"/>
    <w:rsid w:val="00D8317D"/>
    <w:rsid w:val="00D94539"/>
    <w:rsid w:val="00D9485E"/>
    <w:rsid w:val="00D9537D"/>
    <w:rsid w:val="00DB2F58"/>
    <w:rsid w:val="00DC3575"/>
    <w:rsid w:val="00DC70A7"/>
    <w:rsid w:val="00DD52CC"/>
    <w:rsid w:val="00DD71AA"/>
    <w:rsid w:val="00DE308B"/>
    <w:rsid w:val="00E02467"/>
    <w:rsid w:val="00E05380"/>
    <w:rsid w:val="00E1048F"/>
    <w:rsid w:val="00E22B4E"/>
    <w:rsid w:val="00E303E8"/>
    <w:rsid w:val="00E315D5"/>
    <w:rsid w:val="00E34E13"/>
    <w:rsid w:val="00E37A7A"/>
    <w:rsid w:val="00E47630"/>
    <w:rsid w:val="00E55657"/>
    <w:rsid w:val="00E55B3B"/>
    <w:rsid w:val="00E55E91"/>
    <w:rsid w:val="00E648D7"/>
    <w:rsid w:val="00E758CF"/>
    <w:rsid w:val="00E8078E"/>
    <w:rsid w:val="00E829C8"/>
    <w:rsid w:val="00E83011"/>
    <w:rsid w:val="00E840AB"/>
    <w:rsid w:val="00E84170"/>
    <w:rsid w:val="00E91F57"/>
    <w:rsid w:val="00E92A9D"/>
    <w:rsid w:val="00E93875"/>
    <w:rsid w:val="00E94634"/>
    <w:rsid w:val="00E95090"/>
    <w:rsid w:val="00EA48B2"/>
    <w:rsid w:val="00EA7525"/>
    <w:rsid w:val="00EB6C99"/>
    <w:rsid w:val="00EC0891"/>
    <w:rsid w:val="00EC56E4"/>
    <w:rsid w:val="00EC7E9D"/>
    <w:rsid w:val="00EE5153"/>
    <w:rsid w:val="00EE51DB"/>
    <w:rsid w:val="00EE5C06"/>
    <w:rsid w:val="00EF1374"/>
    <w:rsid w:val="00EF44CA"/>
    <w:rsid w:val="00EF7A75"/>
    <w:rsid w:val="00F117CF"/>
    <w:rsid w:val="00F13DC0"/>
    <w:rsid w:val="00F14485"/>
    <w:rsid w:val="00F16F02"/>
    <w:rsid w:val="00F17093"/>
    <w:rsid w:val="00F211E6"/>
    <w:rsid w:val="00F251F6"/>
    <w:rsid w:val="00F26A60"/>
    <w:rsid w:val="00F26B0A"/>
    <w:rsid w:val="00F465B6"/>
    <w:rsid w:val="00F471BB"/>
    <w:rsid w:val="00F51757"/>
    <w:rsid w:val="00F64CB9"/>
    <w:rsid w:val="00F67181"/>
    <w:rsid w:val="00F701F1"/>
    <w:rsid w:val="00F77628"/>
    <w:rsid w:val="00F81D9E"/>
    <w:rsid w:val="00F838DD"/>
    <w:rsid w:val="00F90072"/>
    <w:rsid w:val="00F94184"/>
    <w:rsid w:val="00FA5BF9"/>
    <w:rsid w:val="00FA6AA4"/>
    <w:rsid w:val="00FB3B70"/>
    <w:rsid w:val="00FB3F6C"/>
    <w:rsid w:val="00FB6B0F"/>
    <w:rsid w:val="00FC6159"/>
    <w:rsid w:val="00FC6D52"/>
    <w:rsid w:val="00FD061C"/>
    <w:rsid w:val="00FD4540"/>
    <w:rsid w:val="00FD67F3"/>
    <w:rsid w:val="00FD737E"/>
    <w:rsid w:val="00FE09E3"/>
    <w:rsid w:val="00FE24FC"/>
    <w:rsid w:val="00FE4807"/>
    <w:rsid w:val="00FE5032"/>
    <w:rsid w:val="00FF5B6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rsid w:val="00301E8A"/>
    <w:pPr>
      <w:numPr>
        <w:numId w:val="2"/>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301E8A"/>
    <w:rPr>
      <w:sz w:val="22"/>
      <w:u w:val="none"/>
      <w:vertAlign w:val="superscript"/>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53AB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rsid w:val="00301E8A"/>
    <w:pPr>
      <w:numPr>
        <w:numId w:val="2"/>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301E8A"/>
    <w:rPr>
      <w:sz w:val="22"/>
      <w:u w:val="none"/>
      <w:vertAlign w:val="superscript"/>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53A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0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abs/text/default.shtml" TargetMode="External"/><Relationship Id="rId18" Type="http://schemas.openxmlformats.org/officeDocument/2006/relationships/hyperlink" Target="https://www.cbd.int/sp/" TargetMode="External"/><Relationship Id="rId26" Type="http://schemas.openxmlformats.org/officeDocument/2006/relationships/hyperlink" Target="https://www.bgci.org/policy/abs_learning/" TargetMode="Externa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cbd.int/doc/decisions/cop-12/cop-12-dec-13-en.pdf" TargetMode="External"/><Relationship Id="rId17" Type="http://schemas.openxmlformats.org/officeDocument/2006/relationships/hyperlink" Target="https://www.cbd.int/doc/decisions/cop-12/cop-12-dec-31-en.pdf" TargetMode="External"/><Relationship Id="rId25" Type="http://schemas.openxmlformats.org/officeDocument/2006/relationships/hyperlink" Target="https://www.cbd.int/gt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bd.int/doc/decisions/cop-13/cop-13-dec-26-en.pdf" TargetMode="External"/><Relationship Id="rId20" Type="http://schemas.openxmlformats.org/officeDocument/2006/relationships/chart" Target="charts/chart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www.cbd.int/traditional/default.shtm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bsch.cbd.int/" TargetMode="External"/><Relationship Id="rId23" Type="http://schemas.openxmlformats.org/officeDocument/2006/relationships/hyperlink" Target="https://www.cbd.int/doc/decisions/np-mop-02/np-mop-02-dec-01-en.pdf" TargetMode="External"/><Relationship Id="rId28" Type="http://schemas.openxmlformats.org/officeDocument/2006/relationships/hyperlink" Target="https://www.cbd.int/post2020/" TargetMode="External"/><Relationship Id="rId10" Type="http://schemas.openxmlformats.org/officeDocument/2006/relationships/image" Target="media/image2.emf"/><Relationship Id="rId19" Type="http://schemas.openxmlformats.org/officeDocument/2006/relationships/chart" Target="charts/chart1.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cbd.int/convention/text/" TargetMode="External"/><Relationship Id="rId22" Type="http://schemas.openxmlformats.org/officeDocument/2006/relationships/hyperlink" Target="https://www.cbd.int/doc/decisions/cop-13/cop-13-dec-01-en.pdf" TargetMode="External"/><Relationship Id="rId27" Type="http://schemas.openxmlformats.org/officeDocument/2006/relationships/hyperlink" Target="https://www.cbd.int/business/meetings-events/2016.shtml" TargetMode="External"/><Relationship Id="rId30" Type="http://schemas.openxmlformats.org/officeDocument/2006/relationships/header" Target="head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en.pdf" TargetMode="External"/><Relationship Id="rId2" Type="http://schemas.openxmlformats.org/officeDocument/2006/relationships/hyperlink" Target="https://www.cbd.int/doc/decisions/cop-10/cop-10-dec-01-en.pdf" TargetMode="External"/><Relationship Id="rId1" Type="http://schemas.openxmlformats.org/officeDocument/2006/relationships/hyperlink" Target="https://www.cbd.int/doc/c/6ce5/878e/5ffa49887c20c19961fe040a/sbi-02-01-en.pdf" TargetMode="External"/><Relationship Id="rId6" Type="http://schemas.openxmlformats.org/officeDocument/2006/relationships/hyperlink" Target="https://www.cbd.int/business/ressources/newsletters.shtml" TargetMode="External"/><Relationship Id="rId5" Type="http://schemas.openxmlformats.org/officeDocument/2006/relationships/hyperlink" Target="https://www.cbd.int/doc/decisions/cop-13/cop-13-dec-18-en.pdf" TargetMode="External"/><Relationship Id="rId4" Type="http://schemas.openxmlformats.org/officeDocument/2006/relationships/hyperlink" Target="https://www.cbd.int/doc/decisions/cop-10/cop-10-dec-10-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iodiv.org\shares\UserDoc\Working%20Folders\Nagoya%20Protocol\Global%20Overview\NP_ProgressTable_current%20version.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iodiv.org\shares\UserDoc\Working%20Folders\Nagoya%20Protocol\Global%20Overview\NP_ProgressTable_current%20version.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3034132237735358"/>
          <c:y val="0.26391167260370163"/>
          <c:w val="0.36156576894072912"/>
          <c:h val="0.57341401537218351"/>
        </c:manualLayout>
      </c:layout>
      <c:pieChart>
        <c:varyColors val="1"/>
        <c:ser>
          <c:idx val="0"/>
          <c:order val="0"/>
          <c:dPt>
            <c:idx val="0"/>
            <c:bubble3D val="0"/>
            <c:extLst xmlns:c16r2="http://schemas.microsoft.com/office/drawing/2015/06/chart">
              <c:ext xmlns:c16="http://schemas.microsoft.com/office/drawing/2014/chart" uri="{C3380CC4-5D6E-409C-BE32-E72D297353CC}">
                <c16:uniqueId val="{00000000-611D-4FFF-819C-510CD57E26B4}"/>
              </c:ext>
            </c:extLst>
          </c:dPt>
          <c:dPt>
            <c:idx val="1"/>
            <c:bubble3D val="0"/>
            <c:extLst xmlns:c16r2="http://schemas.microsoft.com/office/drawing/2015/06/chart">
              <c:ext xmlns:c16="http://schemas.microsoft.com/office/drawing/2014/chart" uri="{C3380CC4-5D6E-409C-BE32-E72D297353CC}">
                <c16:uniqueId val="{00000001-611D-4FFF-819C-510CD57E26B4}"/>
              </c:ext>
            </c:extLst>
          </c:dPt>
          <c:dPt>
            <c:idx val="2"/>
            <c:bubble3D val="0"/>
            <c:spPr>
              <a:pattFill prst="ltVert">
                <a:fgClr>
                  <a:schemeClr val="tx1"/>
                </a:fgClr>
                <a:bgClr>
                  <a:schemeClr val="bg1"/>
                </a:bgClr>
              </a:pattFill>
            </c:spPr>
            <c:extLst xmlns:c16r2="http://schemas.microsoft.com/office/drawing/2015/06/chart">
              <c:ext xmlns:c16="http://schemas.microsoft.com/office/drawing/2014/chart" uri="{C3380CC4-5D6E-409C-BE32-E72D297353CC}">
                <c16:uniqueId val="{00000003-611D-4FFF-819C-510CD57E26B4}"/>
              </c:ext>
            </c:extLst>
          </c:dPt>
          <c:dPt>
            <c:idx val="3"/>
            <c:bubble3D val="0"/>
            <c:spPr>
              <a:solidFill>
                <a:schemeClr val="tx1"/>
              </a:solidFill>
            </c:spPr>
            <c:extLst xmlns:c16r2="http://schemas.microsoft.com/office/drawing/2015/06/chart">
              <c:ext xmlns:c16="http://schemas.microsoft.com/office/drawing/2014/chart" uri="{C3380CC4-5D6E-409C-BE32-E72D297353CC}">
                <c16:uniqueId val="{00000005-611D-4FFF-819C-510CD57E26B4}"/>
              </c:ext>
            </c:extLst>
          </c:dPt>
          <c:dLbls>
            <c:dLbl>
              <c:idx val="0"/>
              <c:layout>
                <c:manualLayout>
                  <c:x val="6.1478104710595387E-2"/>
                  <c:y val="-6.7260342457192854E-2"/>
                </c:manualLayout>
              </c:layout>
              <c:tx>
                <c:rich>
                  <a:bodyPr/>
                  <a:lstStyle/>
                  <a:p>
                    <a:r>
                      <a:rPr lang="en-US" sz="900">
                        <a:latin typeface="Times Bold Italic" pitchFamily="18" charset="0"/>
                      </a:rPr>
                      <a:t>105 Parties to the Protocol</a:t>
                    </a:r>
                  </a:p>
                  <a:p>
                    <a:r>
                      <a:rPr lang="en-US" sz="900">
                        <a:latin typeface="Times Bold Italic" pitchFamily="18" charset="0"/>
                      </a:rPr>
                      <a:t>(54</a:t>
                    </a:r>
                    <a:r>
                      <a:rPr lang="en-US" sz="900" b="0" i="0" u="none" strike="noStrike" kern="1200" baseline="0">
                        <a:solidFill>
                          <a:sysClr val="windowText" lastClr="000000"/>
                        </a:solidFill>
                        <a:latin typeface="Times Bold Italic" pitchFamily="18" charset="0"/>
                        <a:ea typeface="+mn-ea"/>
                        <a:cs typeface="+mn-cs"/>
                      </a:rPr>
                      <a:t> per cent</a:t>
                    </a:r>
                    <a:r>
                      <a:rPr lang="en-US" sz="900">
                        <a:latin typeface="Times Bold Italic" pitchFamily="18" charset="0"/>
                      </a:rPr>
                      <a:t>)</a:t>
                    </a:r>
                    <a:endParaRPr lang="en-US"/>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11D-4FFF-819C-510CD57E26B4}"/>
                </c:ext>
              </c:extLst>
            </c:dLbl>
            <c:dLbl>
              <c:idx val="1"/>
              <c:layout>
                <c:manualLayout>
                  <c:x val="-3.9047042196648494E-3"/>
                  <c:y val="2.6233926641522749E-2"/>
                </c:manualLayout>
              </c:layout>
              <c:tx>
                <c:rich>
                  <a:bodyPr/>
                  <a:lstStyle/>
                  <a:p>
                    <a:r>
                      <a:rPr lang="en-US" sz="900">
                        <a:latin typeface="Times Bold Italic" pitchFamily="18" charset="0"/>
                      </a:rPr>
                      <a:t>Ratification process underway in 34 countries</a:t>
                    </a:r>
                  </a:p>
                  <a:p>
                    <a:r>
                      <a:rPr lang="en-US" sz="900">
                        <a:latin typeface="Times Bold Italic" pitchFamily="18" charset="0"/>
                      </a:rPr>
                      <a:t>(17</a:t>
                    </a:r>
                    <a:r>
                      <a:rPr lang="en-US" sz="900" b="0" i="0" u="none" strike="noStrike" kern="1200" baseline="0">
                        <a:solidFill>
                          <a:sysClr val="windowText" lastClr="000000"/>
                        </a:solidFill>
                        <a:latin typeface="Times Bold Italic" pitchFamily="18" charset="0"/>
                        <a:ea typeface="+mn-ea"/>
                        <a:cs typeface="+mn-cs"/>
                      </a:rPr>
                      <a:t> per cent</a:t>
                    </a:r>
                    <a:r>
                      <a:rPr lang="en-US" sz="900">
                        <a:latin typeface="Times Bold Italic" pitchFamily="18" charset="0"/>
                      </a:rPr>
                      <a:t>)</a:t>
                    </a:r>
                    <a:endParaRPr lang="en-US"/>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11D-4FFF-819C-510CD57E26B4}"/>
                </c:ext>
              </c:extLst>
            </c:dLbl>
            <c:dLbl>
              <c:idx val="2"/>
              <c:layout>
                <c:manualLayout>
                  <c:x val="-8.7836159903089031E-2"/>
                  <c:y val="0.14189704228147951"/>
                </c:manualLayout>
              </c:layout>
              <c:tx>
                <c:rich>
                  <a:bodyPr/>
                  <a:lstStyle/>
                  <a:p>
                    <a:r>
                      <a:rPr lang="en-US" sz="900">
                        <a:latin typeface="Times Bold Italic" pitchFamily="18" charset="0"/>
                      </a:rPr>
                      <a:t>34 countries (17</a:t>
                    </a:r>
                    <a:r>
                      <a:rPr lang="en-US" sz="900" b="0" i="0" u="none" strike="noStrike" kern="1200" baseline="0">
                        <a:solidFill>
                          <a:sysClr val="windowText" lastClr="000000"/>
                        </a:solidFill>
                        <a:latin typeface="Times Bold Italic" pitchFamily="18" charset="0"/>
                        <a:ea typeface="+mn-ea"/>
                        <a:cs typeface="+mn-cs"/>
                      </a:rPr>
                      <a:t> per cent</a:t>
                    </a:r>
                    <a:r>
                      <a:rPr lang="en-US" sz="900">
                        <a:latin typeface="Times Bold Italic" pitchFamily="18" charset="0"/>
                      </a:rPr>
                      <a:t>) planning to ratify (intention)</a:t>
                    </a:r>
                    <a:endParaRPr lang="en-US" sz="1400">
                      <a:latin typeface="Times Bold Italic" pitchFamily="18" charset="0"/>
                    </a:endParaRP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11D-4FFF-819C-510CD57E26B4}"/>
                </c:ext>
              </c:extLst>
            </c:dLbl>
            <c:dLbl>
              <c:idx val="3"/>
              <c:layout>
                <c:manualLayout>
                  <c:x val="-0.12869170199878863"/>
                  <c:y val="7.9027327466419633E-2"/>
                </c:manualLayout>
              </c:layout>
              <c:tx>
                <c:rich>
                  <a:bodyPr/>
                  <a:lstStyle/>
                  <a:p>
                    <a:r>
                      <a:rPr lang="en-US" sz="900">
                        <a:latin typeface="Times Bold Italic" pitchFamily="18" charset="0"/>
                      </a:rPr>
                      <a:t>No information available on ratification for 23 countries
(12</a:t>
                    </a:r>
                    <a:r>
                      <a:rPr lang="en-US" sz="900" b="0" i="0" u="none" strike="noStrike" kern="1200" baseline="0">
                        <a:solidFill>
                          <a:sysClr val="windowText" lastClr="000000"/>
                        </a:solidFill>
                        <a:latin typeface="Times Bold Italic" pitchFamily="18" charset="0"/>
                        <a:ea typeface="+mn-ea"/>
                        <a:cs typeface="+mn-cs"/>
                      </a:rPr>
                      <a:t> per cent</a:t>
                    </a:r>
                    <a:r>
                      <a:rPr lang="en-US" sz="900">
                        <a:latin typeface="Times Bold Italic" pitchFamily="18" charset="0"/>
                      </a:rPr>
                      <a:t>)</a:t>
                    </a:r>
                    <a:endParaRPr lang="en-US"/>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11D-4FFF-819C-510CD57E26B4}"/>
                </c:ext>
              </c:extLst>
            </c:dLbl>
            <c:spPr>
              <a:noFill/>
              <a:ln>
                <a:noFill/>
              </a:ln>
              <a:effectLst/>
            </c:spPr>
            <c:txPr>
              <a:bodyPr/>
              <a:lstStyle/>
              <a:p>
                <a:pPr>
                  <a:defRPr sz="900">
                    <a:latin typeface="Times Bold Italic" pitchFamily="18" charset="0"/>
                  </a:defRPr>
                </a:pPr>
                <a:endParaRPr lang="en-US"/>
              </a:p>
            </c:txPr>
            <c:dLblPos val="outEnd"/>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'ANALYSIS NON Parties'!$C$45:$F$45</c:f>
              <c:strCache>
                <c:ptCount val="4"/>
                <c:pt idx="0">
                  <c:v>Parties to the Protocol</c:v>
                </c:pt>
                <c:pt idx="1">
                  <c:v>Ratification process underway</c:v>
                </c:pt>
                <c:pt idx="2">
                  <c:v>Planning to ratify</c:v>
                </c:pt>
                <c:pt idx="3">
                  <c:v>No information available on ratification</c:v>
                </c:pt>
              </c:strCache>
            </c:strRef>
          </c:cat>
          <c:val>
            <c:numRef>
              <c:f>'ANALYSIS NON Parties'!$C$51:$F$51</c:f>
              <c:numCache>
                <c:formatCode>General</c:formatCode>
                <c:ptCount val="4"/>
                <c:pt idx="0">
                  <c:v>105</c:v>
                </c:pt>
                <c:pt idx="1">
                  <c:v>34</c:v>
                </c:pt>
                <c:pt idx="2">
                  <c:v>34</c:v>
                </c:pt>
                <c:pt idx="3">
                  <c:v>23</c:v>
                </c:pt>
              </c:numCache>
            </c:numRef>
          </c:val>
          <c:extLst xmlns:c16r2="http://schemas.microsoft.com/office/drawing/2015/06/chart">
            <c:ext xmlns:c16="http://schemas.microsoft.com/office/drawing/2014/chart" uri="{C3380CC4-5D6E-409C-BE32-E72D297353CC}">
              <c16:uniqueId val="{00000006-611D-4FFF-819C-510CD57E26B4}"/>
            </c:ext>
          </c:extLst>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2"/>
            <c:bubble3D val="0"/>
            <c:extLst xmlns:c16r2="http://schemas.microsoft.com/office/drawing/2015/06/chart">
              <c:ext xmlns:c16="http://schemas.microsoft.com/office/drawing/2014/chart" uri="{C3380CC4-5D6E-409C-BE32-E72D297353CC}">
                <c16:uniqueId val="{00000000-18E8-43BE-BFD3-55CD62753623}"/>
              </c:ext>
            </c:extLst>
          </c:dPt>
          <c:dPt>
            <c:idx val="3"/>
            <c:bubble3D val="0"/>
            <c:spPr>
              <a:pattFill prst="ltVert">
                <a:fgClr>
                  <a:schemeClr val="tx1"/>
                </a:fgClr>
                <a:bgClr>
                  <a:schemeClr val="bg1"/>
                </a:bgClr>
              </a:pattFill>
            </c:spPr>
            <c:extLst xmlns:c16r2="http://schemas.microsoft.com/office/drawing/2015/06/chart">
              <c:ext xmlns:c16="http://schemas.microsoft.com/office/drawing/2014/chart" uri="{C3380CC4-5D6E-409C-BE32-E72D297353CC}">
                <c16:uniqueId val="{00000002-18E8-43BE-BFD3-55CD62753623}"/>
              </c:ext>
            </c:extLst>
          </c:dPt>
          <c:dPt>
            <c:idx val="4"/>
            <c:bubble3D val="0"/>
            <c:spPr>
              <a:solidFill>
                <a:schemeClr val="tx1"/>
              </a:solidFill>
            </c:spPr>
            <c:extLst xmlns:c16r2="http://schemas.microsoft.com/office/drawing/2015/06/chart">
              <c:ext xmlns:c16="http://schemas.microsoft.com/office/drawing/2014/chart" uri="{C3380CC4-5D6E-409C-BE32-E72D297353CC}">
                <c16:uniqueId val="{00000004-18E8-43BE-BFD3-55CD62753623}"/>
              </c:ext>
            </c:extLst>
          </c:dPt>
          <c:dLbls>
            <c:dLbl>
              <c:idx val="0"/>
              <c:layout/>
              <c:tx>
                <c:rich>
                  <a:bodyPr/>
                  <a:lstStyle/>
                  <a:p>
                    <a:r>
                      <a:rPr lang="en-US" sz="900">
                        <a:latin typeface="Times New Roman" panose="02020603050405020304" pitchFamily="18" charset="0"/>
                        <a:cs typeface="Times New Roman" panose="02020603050405020304" pitchFamily="18" charset="0"/>
                      </a:rPr>
                      <a:t>Africa: </a:t>
                    </a:r>
                  </a:p>
                  <a:p>
                    <a:r>
                      <a:rPr lang="en-US" sz="900">
                        <a:latin typeface="Times New Roman" panose="02020603050405020304" pitchFamily="18" charset="0"/>
                        <a:cs typeface="Times New Roman" panose="02020603050405020304" pitchFamily="18" charset="0"/>
                      </a:rPr>
                      <a:t>42 Parties</a:t>
                    </a:r>
                    <a:endParaRPr lang="en-US"/>
                  </a:p>
                </c:rich>
              </c:tx>
              <c:dLblPos val="outEnd"/>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8E8-43BE-BFD3-55CD62753623}"/>
                </c:ext>
              </c:extLst>
            </c:dLbl>
            <c:dLbl>
              <c:idx val="1"/>
              <c:layout/>
              <c:tx>
                <c:rich>
                  <a:bodyPr/>
                  <a:lstStyle/>
                  <a:p>
                    <a:r>
                      <a:rPr lang="en-US" sz="900" dirty="0">
                        <a:latin typeface="Times New Roman" panose="02020603050405020304" pitchFamily="18" charset="0"/>
                        <a:cs typeface="Times New Roman" panose="02020603050405020304" pitchFamily="18" charset="0"/>
                      </a:rPr>
                      <a:t>Asia-Pacific: </a:t>
                    </a:r>
                  </a:p>
                  <a:p>
                    <a:r>
                      <a:rPr lang="en-US" sz="900" dirty="0">
                        <a:latin typeface="Times New Roman" panose="02020603050405020304" pitchFamily="18" charset="0"/>
                        <a:cs typeface="Times New Roman" panose="02020603050405020304" pitchFamily="18" charset="0"/>
                      </a:rPr>
                      <a:t>27 Parties</a:t>
                    </a:r>
                    <a:endParaRPr lang="en-US" dirty="0"/>
                  </a:p>
                </c:rich>
              </c:tx>
              <c:dLblPos val="outEnd"/>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8E8-43BE-BFD3-55CD62753623}"/>
                </c:ext>
              </c:extLst>
            </c:dLbl>
            <c:dLbl>
              <c:idx val="2"/>
              <c:layout/>
              <c:tx>
                <c:rich>
                  <a:bodyPr/>
                  <a:lstStyle/>
                  <a:p>
                    <a:r>
                      <a:rPr lang="en-US" sz="900" dirty="0">
                        <a:latin typeface="Times New Roman" panose="02020603050405020304" pitchFamily="18" charset="0"/>
                        <a:cs typeface="Times New Roman" panose="02020603050405020304" pitchFamily="18" charset="0"/>
                      </a:rPr>
                      <a:t>CEE:</a:t>
                    </a:r>
                  </a:p>
                  <a:p>
                    <a:r>
                      <a:rPr lang="en-US" sz="900" dirty="0">
                        <a:latin typeface="Times New Roman" panose="02020603050405020304" pitchFamily="18" charset="0"/>
                        <a:cs typeface="Times New Roman" panose="02020603050405020304" pitchFamily="18" charset="0"/>
                      </a:rPr>
                      <a:t>8 Parties</a:t>
                    </a:r>
                    <a:endParaRPr lang="en-US" dirty="0"/>
                  </a:p>
                </c:rich>
              </c:tx>
              <c:dLblPos val="outEnd"/>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8E8-43BE-BFD3-55CD62753623}"/>
                </c:ext>
              </c:extLst>
            </c:dLbl>
            <c:dLbl>
              <c:idx val="3"/>
              <c:layout>
                <c:manualLayout>
                  <c:x val="2.136752136752137E-3"/>
                  <c:y val="6.8728522336769758E-3"/>
                </c:manualLayout>
              </c:layout>
              <c:tx>
                <c:rich>
                  <a:bodyPr/>
                  <a:lstStyle/>
                  <a:p>
                    <a:r>
                      <a:rPr lang="en-US" sz="900" dirty="0">
                        <a:latin typeface="Times New Roman" panose="02020603050405020304" pitchFamily="18" charset="0"/>
                        <a:cs typeface="Times New Roman" panose="02020603050405020304" pitchFamily="18" charset="0"/>
                      </a:rPr>
                      <a:t>GRULAC:</a:t>
                    </a:r>
                  </a:p>
                  <a:p>
                    <a:r>
                      <a:rPr lang="en-US" sz="900" dirty="0">
                        <a:latin typeface="Times New Roman" panose="02020603050405020304" pitchFamily="18" charset="0"/>
                        <a:cs typeface="Times New Roman" panose="02020603050405020304" pitchFamily="18" charset="0"/>
                      </a:rPr>
                      <a:t>13 Parties</a:t>
                    </a:r>
                    <a:endParaRPr lang="en-US" dirty="0"/>
                  </a:p>
                </c:rich>
              </c:tx>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8E8-43BE-BFD3-55CD62753623}"/>
                </c:ext>
              </c:extLst>
            </c:dLbl>
            <c:dLbl>
              <c:idx val="4"/>
              <c:layout>
                <c:manualLayout>
                  <c:x val="-3.2679738562091205E-3"/>
                  <c:y val="5.2910052910052907E-3"/>
                </c:manualLayout>
              </c:layout>
              <c:tx>
                <c:rich>
                  <a:bodyPr/>
                  <a:lstStyle/>
                  <a:p>
                    <a:r>
                      <a:rPr lang="en-US" sz="900" dirty="0">
                        <a:latin typeface="Times New Roman" panose="02020603050405020304" pitchFamily="18" charset="0"/>
                        <a:cs typeface="Times New Roman" panose="02020603050405020304" pitchFamily="18" charset="0"/>
                      </a:rPr>
                      <a:t>WEOG: </a:t>
                    </a:r>
                  </a:p>
                  <a:p>
                    <a:r>
                      <a:rPr lang="en-US" sz="900" dirty="0">
                        <a:latin typeface="Times New Roman" panose="02020603050405020304" pitchFamily="18" charset="0"/>
                        <a:cs typeface="Times New Roman" panose="02020603050405020304" pitchFamily="18" charset="0"/>
                      </a:rPr>
                      <a:t>15 Parties</a:t>
                    </a:r>
                    <a:endParaRPr lang="en-US" sz="1200" dirty="0"/>
                  </a:p>
                </c:rich>
              </c:tx>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8E8-43BE-BFD3-55CD62753623}"/>
                </c:ext>
              </c:extLst>
            </c:dLbl>
            <c:spPr>
              <a:noFill/>
              <a:ln>
                <a:noFill/>
              </a:ln>
              <a:effectLst/>
            </c:spPr>
            <c:dLblPos val="outEnd"/>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'ANALYSIS Parties'!$A$4:$A$8</c:f>
              <c:strCache>
                <c:ptCount val="5"/>
                <c:pt idx="0">
                  <c:v>Africa</c:v>
                </c:pt>
                <c:pt idx="1">
                  <c:v>Asia-Pacific</c:v>
                </c:pt>
                <c:pt idx="2">
                  <c:v>CEE</c:v>
                </c:pt>
                <c:pt idx="3">
                  <c:v>GRULAC</c:v>
                </c:pt>
                <c:pt idx="4">
                  <c:v>WEOG</c:v>
                </c:pt>
              </c:strCache>
            </c:strRef>
          </c:cat>
          <c:val>
            <c:numRef>
              <c:f>'ANALYSIS Parties'!$C$4:$C$8</c:f>
              <c:numCache>
                <c:formatCode>General</c:formatCode>
                <c:ptCount val="5"/>
                <c:pt idx="0">
                  <c:v>42</c:v>
                </c:pt>
                <c:pt idx="1">
                  <c:v>27</c:v>
                </c:pt>
                <c:pt idx="2">
                  <c:v>8</c:v>
                </c:pt>
                <c:pt idx="3">
                  <c:v>13</c:v>
                </c:pt>
                <c:pt idx="4">
                  <c:v>15</c:v>
                </c:pt>
              </c:numCache>
            </c:numRef>
          </c:val>
          <c:extLst xmlns:c16r2="http://schemas.microsoft.com/office/drawing/2015/06/chart">
            <c:ext xmlns:c16="http://schemas.microsoft.com/office/drawing/2014/chart" uri="{C3380CC4-5D6E-409C-BE32-E72D297353CC}">
              <c16:uniqueId val="{00000007-18E8-43BE-BFD3-55CD62753623}"/>
            </c:ext>
          </c:extLst>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
              <c:idx val="0"/>
              <c:layout>
                <c:manualLayout>
                  <c:x val="4.4423013014846011E-2"/>
                  <c:y val="0.11986995452728903"/>
                </c:manualLayout>
              </c:layout>
              <c:tx>
                <c:rich>
                  <a:bodyPr/>
                  <a:lstStyle/>
                  <a:p>
                    <a:r>
                      <a:rPr lang="en-US"/>
                      <a:t>30 CBD Parties  ABS measures</a:t>
                    </a:r>
                    <a:r>
                      <a:rPr lang="en-US" baseline="0"/>
                      <a:t> in place</a:t>
                    </a:r>
                    <a:r>
                      <a:rPr lang="en-US"/>
                      <a:t>  </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839-461A-9871-15E7E5F2B454}"/>
                </c:ext>
              </c:extLst>
            </c:dLbl>
            <c:dLbl>
              <c:idx val="1"/>
              <c:layout/>
              <c:tx>
                <c:rich>
                  <a:bodyPr/>
                  <a:lstStyle/>
                  <a:p>
                    <a:r>
                      <a:rPr lang="en-US"/>
                      <a:t>No measures in place but currently  developing or planning to develop, 38 CBD Parties</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839-461A-9871-15E7E5F2B454}"/>
                </c:ext>
              </c:extLst>
            </c:dLbl>
            <c:dLbl>
              <c:idx val="2"/>
              <c:layout>
                <c:manualLayout>
                  <c:x val="-7.4413450256702401E-2"/>
                  <c:y val="0.15912208504801098"/>
                </c:manualLayout>
              </c:layout>
              <c:tx>
                <c:rich>
                  <a:bodyPr/>
                  <a:lstStyle/>
                  <a:p>
                    <a:r>
                      <a:rPr lang="en-US"/>
                      <a:t>No information available, 23 CBD Parties</a:t>
                    </a:r>
                  </a:p>
                </c:rich>
              </c:tx>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839-461A-9871-15E7E5F2B454}"/>
                </c:ext>
              </c:extLst>
            </c:dLbl>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Sheet1!$A$21:$A$23</c:f>
              <c:strCache>
                <c:ptCount val="3"/>
                <c:pt idx="0">
                  <c:v> ABS measures in place</c:v>
                </c:pt>
                <c:pt idx="1">
                  <c:v>No measures in place but currently  developing or planning to develop</c:v>
                </c:pt>
                <c:pt idx="2">
                  <c:v>No measures in place or no information available</c:v>
                </c:pt>
              </c:strCache>
            </c:strRef>
          </c:cat>
          <c:val>
            <c:numRef>
              <c:f>Sheet1!$B$21:$B$23</c:f>
              <c:numCache>
                <c:formatCode>General</c:formatCode>
                <c:ptCount val="3"/>
                <c:pt idx="0">
                  <c:v>30</c:v>
                </c:pt>
                <c:pt idx="1">
                  <c:v>38</c:v>
                </c:pt>
                <c:pt idx="2">
                  <c:v>23</c:v>
                </c:pt>
              </c:numCache>
            </c:numRef>
          </c:val>
          <c:extLst xmlns:c16r2="http://schemas.microsoft.com/office/drawing/2015/06/chart">
            <c:ext xmlns:c16="http://schemas.microsoft.com/office/drawing/2014/chart" uri="{C3380CC4-5D6E-409C-BE32-E72D297353CC}">
              <c16:uniqueId val="{00000003-5839-461A-9871-15E7E5F2B454}"/>
            </c:ext>
          </c:extLst>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1B29AF">
          <w:r w:rsidRPr="00B903A7">
            <w:rPr>
              <w:rStyle w:val="PlaceholderText"/>
            </w:rPr>
            <w:t>[Title]</w:t>
          </w:r>
        </w:p>
      </w:docPartBody>
    </w:docPart>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PlaceholderText"/>
            </w:rPr>
            <w:t>[Subject]</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PlaceholderText"/>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00"/>
    <w:family w:val="swiss"/>
    <w:pitch w:val="variable"/>
    <w:sig w:usb0="20002A87" w:usb1="00000000" w:usb2="00000000"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ID Font+ F"/>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AF"/>
    <w:rsid w:val="00015BC6"/>
    <w:rsid w:val="000710E3"/>
    <w:rsid w:val="000C0B8C"/>
    <w:rsid w:val="000E1480"/>
    <w:rsid w:val="00117A5C"/>
    <w:rsid w:val="001B29AF"/>
    <w:rsid w:val="002714A5"/>
    <w:rsid w:val="002B2DCF"/>
    <w:rsid w:val="002D2DAB"/>
    <w:rsid w:val="0037757D"/>
    <w:rsid w:val="00415A47"/>
    <w:rsid w:val="00437D4E"/>
    <w:rsid w:val="00480C2B"/>
    <w:rsid w:val="00483ACD"/>
    <w:rsid w:val="004A69EC"/>
    <w:rsid w:val="00520B7E"/>
    <w:rsid w:val="00566305"/>
    <w:rsid w:val="005D40F6"/>
    <w:rsid w:val="007C2937"/>
    <w:rsid w:val="007C7510"/>
    <w:rsid w:val="007E501A"/>
    <w:rsid w:val="007F4559"/>
    <w:rsid w:val="0083264A"/>
    <w:rsid w:val="00863F7C"/>
    <w:rsid w:val="00922062"/>
    <w:rsid w:val="009B6214"/>
    <w:rsid w:val="009C00DE"/>
    <w:rsid w:val="00A27574"/>
    <w:rsid w:val="00B36C7B"/>
    <w:rsid w:val="00B52C23"/>
    <w:rsid w:val="00B66C2B"/>
    <w:rsid w:val="00B775A7"/>
    <w:rsid w:val="00BA6C9E"/>
    <w:rsid w:val="00BB2CFE"/>
    <w:rsid w:val="00CB09A3"/>
    <w:rsid w:val="00D43A0F"/>
    <w:rsid w:val="00D5481D"/>
    <w:rsid w:val="00DF3025"/>
    <w:rsid w:val="00EC17B5"/>
    <w:rsid w:val="00EF609D"/>
    <w:rsid w:val="00FC16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15BC6"/>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15BC6"/>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1B0E7-AA7F-4922-949F-7993DB1E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0</TotalTime>
  <Pages>8</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Enhancing integration under the Convention and its Protocols with respect to provisions related to access and benefit-sharing</vt:lpstr>
    </vt:vector>
  </TitlesOfParts>
  <Company>Biodiversity</Company>
  <LinksUpToDate>false</LinksUpToDate>
  <CharactersWithSpaces>22662</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integration under the Convention and its Protocols with respect to provisions related to access and benefit-sharing</dc:title>
  <dc:subject>CBD/SBI/2/14</dc:subject>
  <dc:creator>SCBD</dc:creator>
  <cp:lastModifiedBy>Orestes Plasencia</cp:lastModifiedBy>
  <cp:revision>2</cp:revision>
  <cp:lastPrinted>2018-05-08T18:39:00Z</cp:lastPrinted>
  <dcterms:created xsi:type="dcterms:W3CDTF">2018-05-30T18:15:00Z</dcterms:created>
  <dcterms:modified xsi:type="dcterms:W3CDTF">2018-05-30T18:15:00Z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SUBSIDIARY BODY ON IMPLEMENTATION</vt:lpwstr>
  </property>
</Properties>
</file>