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C500D" w14:paraId="0DF13B92" w14:textId="77777777" w:rsidTr="478F8050">
        <w:trPr>
          <w:trHeight w:val="850"/>
        </w:trPr>
        <w:tc>
          <w:tcPr>
            <w:tcW w:w="975" w:type="dxa"/>
            <w:vAlign w:val="bottom"/>
          </w:tcPr>
          <w:p w14:paraId="275FF137" w14:textId="3A0687F5" w:rsidR="008A1499" w:rsidRPr="009C500D" w:rsidRDefault="11C3890B" w:rsidP="008A1499">
            <w:pPr>
              <w:pStyle w:val="AASmallLogo"/>
            </w:pPr>
            <w:r>
              <w:rPr>
                <w:noProof/>
                <w:lang w:val="en-US"/>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6B5A20D" w14:textId="77777777" w:rsidR="008A1499" w:rsidRPr="009C500D" w:rsidRDefault="008A1499" w:rsidP="008A1499">
            <w:pPr>
              <w:pStyle w:val="AASmallLogo"/>
            </w:pPr>
          </w:p>
        </w:tc>
        <w:tc>
          <w:tcPr>
            <w:tcW w:w="1434" w:type="dxa"/>
            <w:noWrap/>
            <w:vAlign w:val="bottom"/>
          </w:tcPr>
          <w:p w14:paraId="211682C0" w14:textId="00446965" w:rsidR="008A1499" w:rsidRPr="009C500D" w:rsidRDefault="002D7C7F" w:rsidP="008A1499">
            <w:pPr>
              <w:pStyle w:val="AASmallLogo"/>
            </w:pPr>
            <w:r>
              <w:rPr>
                <w:noProof/>
                <w:lang w:val="en-US"/>
              </w:rPr>
              <w:drawing>
                <wp:inline distT="0" distB="0" distL="0" distR="0" wp14:anchorId="5B8BF64C" wp14:editId="23749AB4">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t xml:space="preserve"> </w:t>
            </w:r>
          </w:p>
          <w:p w14:paraId="77A2B1CD" w14:textId="77777777" w:rsidR="008A1499" w:rsidRPr="009C500D" w:rsidRDefault="008A1499" w:rsidP="008A1499">
            <w:pPr>
              <w:pStyle w:val="AASmallLogo"/>
            </w:pPr>
          </w:p>
        </w:tc>
        <w:tc>
          <w:tcPr>
            <w:tcW w:w="8073" w:type="dxa"/>
            <w:vAlign w:val="bottom"/>
          </w:tcPr>
          <w:p w14:paraId="378BEC33" w14:textId="0344B185" w:rsidR="008A1499" w:rsidRPr="009C500D" w:rsidRDefault="008A1499" w:rsidP="00BA1CEB">
            <w:pPr>
              <w:pStyle w:val="ABSymbol"/>
            </w:pPr>
            <w:proofErr w:type="spellStart"/>
            <w:r>
              <w:rPr>
                <w:sz w:val="40"/>
                <w:szCs w:val="40"/>
              </w:rPr>
              <w:t>CBD</w:t>
            </w:r>
            <w:proofErr w:type="spellEnd"/>
            <w:r>
              <w:t>/</w:t>
            </w:r>
            <w:proofErr w:type="spellStart"/>
            <w:r>
              <w:t>SBI</w:t>
            </w:r>
            <w:proofErr w:type="spellEnd"/>
            <w:r>
              <w:t>/7/</w:t>
            </w:r>
            <w:proofErr w:type="spellStart"/>
            <w:r>
              <w:t>CRP.10</w:t>
            </w:r>
            <w:proofErr w:type="spellEnd"/>
          </w:p>
        </w:tc>
      </w:tr>
    </w:tbl>
    <w:p w14:paraId="7A86F7BF" w14:textId="77777777" w:rsidR="008A1499" w:rsidRPr="009C500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C500D" w14:paraId="36E82908" w14:textId="77777777" w:rsidTr="008A1499">
        <w:trPr>
          <w:trHeight w:val="1814"/>
        </w:trPr>
        <w:tc>
          <w:tcPr>
            <w:tcW w:w="7370" w:type="dxa"/>
          </w:tcPr>
          <w:p w14:paraId="26DB64EE" w14:textId="10C1D06D" w:rsidR="008A1499" w:rsidRPr="009C500D" w:rsidRDefault="002D7C7F" w:rsidP="008A1499">
            <w:pPr>
              <w:pStyle w:val="ACLargeLogo"/>
            </w:pPr>
            <w:r w:rsidRPr="004B621F">
              <w:rPr>
                <w:noProof/>
                <w:kern w:val="22"/>
                <w:lang w:val="en-US"/>
              </w:rPr>
              <w:drawing>
                <wp:inline distT="0" distB="0" distL="0" distR="0" wp14:anchorId="7665934D" wp14:editId="31D0E989">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t xml:space="preserve"> </w:t>
            </w:r>
          </w:p>
          <w:p w14:paraId="49BBD2C1" w14:textId="77777777" w:rsidR="008A1499" w:rsidRPr="009C500D" w:rsidRDefault="008A1499" w:rsidP="008A1499">
            <w:pPr>
              <w:pStyle w:val="ACLargeLogo"/>
            </w:pPr>
          </w:p>
        </w:tc>
        <w:tc>
          <w:tcPr>
            <w:tcW w:w="3112" w:type="dxa"/>
          </w:tcPr>
          <w:p w14:paraId="45911D37" w14:textId="0D81871E" w:rsidR="008A1499" w:rsidRPr="004B11E8" w:rsidRDefault="008A1499" w:rsidP="008A1499">
            <w:pPr>
              <w:pStyle w:val="AEDistrNormal"/>
              <w:rPr>
                <w:lang w:val="pt-BR"/>
              </w:rPr>
            </w:pPr>
            <w:r w:rsidRPr="004B11E8">
              <w:rPr>
                <w:lang w:val="pt-BR"/>
              </w:rPr>
              <w:t xml:space="preserve">Distr. limitada </w:t>
            </w:r>
          </w:p>
          <w:p w14:paraId="6B1A9E6B" w14:textId="222EEE74" w:rsidR="008A1499" w:rsidRPr="004B11E8" w:rsidRDefault="00965AE7" w:rsidP="008A1499">
            <w:pPr>
              <w:pStyle w:val="AEDistrNormal"/>
              <w:rPr>
                <w:lang w:val="pt-BR"/>
              </w:rPr>
            </w:pPr>
            <w:r w:rsidRPr="004B11E8">
              <w:rPr>
                <w:lang w:val="pt-BR"/>
              </w:rPr>
              <w:t>11 de agosto de 2026</w:t>
            </w:r>
          </w:p>
          <w:p w14:paraId="773C6E19" w14:textId="6B120763" w:rsidR="008A1499" w:rsidRPr="009C500D" w:rsidRDefault="009A74E6" w:rsidP="00E83824">
            <w:pPr>
              <w:pStyle w:val="AEDistrNormal6pt"/>
              <w:spacing w:before="0"/>
            </w:pPr>
            <w:r>
              <w:t xml:space="preserve">Español </w:t>
            </w:r>
            <w:r w:rsidR="00E83824">
              <w:br/>
            </w:r>
            <w:r>
              <w:t>Original: inglés</w:t>
            </w:r>
          </w:p>
          <w:p w14:paraId="64589F67" w14:textId="77777777" w:rsidR="008A1499" w:rsidRPr="009C500D" w:rsidRDefault="008A1499" w:rsidP="008A1499">
            <w:pPr>
              <w:pStyle w:val="AEDistrNormal6pt"/>
            </w:pPr>
          </w:p>
        </w:tc>
      </w:tr>
    </w:tbl>
    <w:p w14:paraId="037ADFFE" w14:textId="77777777" w:rsidR="008A1499" w:rsidRPr="009C500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500D" w14:paraId="0C9CDC4D" w14:textId="77777777" w:rsidTr="008A1499">
        <w:trPr>
          <w:trHeight w:val="57"/>
        </w:trPr>
        <w:tc>
          <w:tcPr>
            <w:tcW w:w="6094" w:type="dxa"/>
          </w:tcPr>
          <w:p w14:paraId="1BEFBCB6" w14:textId="27DF928F" w:rsidR="008A1499" w:rsidRPr="009C500D" w:rsidRDefault="00C4348A" w:rsidP="008A1499">
            <w:pPr>
              <w:pStyle w:val="AFCorN12Bold"/>
            </w:pPr>
            <w:r>
              <w:t xml:space="preserve">Órgano Subsidiario sobre la Aplicación </w:t>
            </w:r>
          </w:p>
          <w:p w14:paraId="572756C0" w14:textId="77777777" w:rsidR="008A1499" w:rsidRPr="009C500D" w:rsidRDefault="00FB6391" w:rsidP="008A1499">
            <w:pPr>
              <w:pStyle w:val="AFCorNBold"/>
            </w:pPr>
            <w:r>
              <w:t xml:space="preserve">Séptima reunión </w:t>
            </w:r>
          </w:p>
          <w:p w14:paraId="1B37EC47" w14:textId="77777777" w:rsidR="008A1499" w:rsidRPr="00572886" w:rsidRDefault="00FB6391" w:rsidP="008A1499">
            <w:pPr>
              <w:pStyle w:val="AFCorNNormal"/>
              <w:rPr>
                <w:lang w:val="pt-BR"/>
              </w:rPr>
            </w:pPr>
            <w:r w:rsidRPr="00572886">
              <w:rPr>
                <w:lang w:val="pt-BR"/>
              </w:rPr>
              <w:t xml:space="preserve">Nairobi, </w:t>
            </w:r>
            <w:r w:rsidRPr="00572886">
              <w:rPr>
                <w:snapToGrid w:val="0"/>
                <w:lang w:val="pt-BR"/>
              </w:rPr>
              <w:t>4 a 12 de agosto de 2026</w:t>
            </w:r>
          </w:p>
          <w:p w14:paraId="4B70222E" w14:textId="6D7FA232" w:rsidR="008A1499" w:rsidRPr="00237874" w:rsidRDefault="009B106A" w:rsidP="008A1499">
            <w:pPr>
              <w:pStyle w:val="AFCorNNormal"/>
            </w:pPr>
            <w:r>
              <w:t>Tema 5 del programa</w:t>
            </w:r>
          </w:p>
          <w:p w14:paraId="27DC1601" w14:textId="4853EEA4" w:rsidR="008A1499" w:rsidRPr="009C500D" w:rsidRDefault="00613402" w:rsidP="00BA1CEB">
            <w:pPr>
              <w:pStyle w:val="AFCorNBold"/>
              <w:spacing w:after="120"/>
            </w:pPr>
            <w:r>
              <w:t>Información digital sobre secuencias de recursos genéticos</w:t>
            </w:r>
          </w:p>
        </w:tc>
        <w:tc>
          <w:tcPr>
            <w:tcW w:w="4388" w:type="dxa"/>
          </w:tcPr>
          <w:p w14:paraId="4144EF4B" w14:textId="77777777" w:rsidR="008A1499" w:rsidRPr="009C500D" w:rsidRDefault="008A1499" w:rsidP="008A1499">
            <w:pPr>
              <w:pStyle w:val="CBDNormal"/>
              <w:jc w:val="left"/>
            </w:pPr>
          </w:p>
        </w:tc>
      </w:tr>
    </w:tbl>
    <w:p w14:paraId="78BC3775" w14:textId="271636E2" w:rsidR="00C9161D" w:rsidRPr="00237874" w:rsidRDefault="007E4597" w:rsidP="00A111D1">
      <w:pPr>
        <w:pStyle w:val="CBDTitle"/>
        <w:rPr>
          <w:caps/>
        </w:rPr>
      </w:pPr>
      <w:r>
        <w:t>Información digital sobre secuencias de recursos genéticos</w:t>
      </w:r>
    </w:p>
    <w:p w14:paraId="67A87A43" w14:textId="480B7219" w:rsidR="00F6586C" w:rsidRPr="00237874" w:rsidRDefault="006C6AF3" w:rsidP="00A111D1">
      <w:pPr>
        <w:pStyle w:val="CBDSubTitle"/>
      </w:pPr>
      <w:r>
        <w:t>Proyecto de recomendación presentado por la Presiden</w:t>
      </w:r>
      <w:r w:rsidR="00850534">
        <w:t>t</w:t>
      </w:r>
      <w:r>
        <w:t>a</w:t>
      </w:r>
    </w:p>
    <w:p w14:paraId="79D6235A" w14:textId="75CB7E1D" w:rsidR="00191D41" w:rsidRDefault="006941AE" w:rsidP="009726CE">
      <w:pPr>
        <w:pStyle w:val="CBDNormalNoNumber"/>
        <w:keepNext/>
        <w:ind w:firstLine="567"/>
        <w:rPr>
          <w:i/>
          <w:iCs/>
        </w:rPr>
      </w:pPr>
      <w:r>
        <w:rPr>
          <w:i/>
          <w:iCs/>
        </w:rPr>
        <w:t xml:space="preserve">El Órgano Subsidiario sobre la Aplicación </w:t>
      </w:r>
    </w:p>
    <w:p w14:paraId="4FF28D1A" w14:textId="699CCAC0" w:rsidR="00EB5FDA" w:rsidRDefault="00EB5FDA" w:rsidP="00A63E83">
      <w:pPr>
        <w:pStyle w:val="CBDNormalNoNumber"/>
        <w:keepNext/>
        <w:tabs>
          <w:tab w:val="clear" w:pos="567"/>
        </w:tabs>
        <w:ind w:firstLine="567"/>
        <w:rPr>
          <w:i/>
          <w:iCs/>
        </w:rPr>
      </w:pPr>
      <w:r>
        <w:t>[1.</w:t>
      </w:r>
      <w:r>
        <w:tab/>
      </w:r>
      <w:r>
        <w:rPr>
          <w:i/>
          <w:iCs/>
        </w:rPr>
        <w:t xml:space="preserve">Recomienda </w:t>
      </w:r>
      <w:r>
        <w:t xml:space="preserve">que, en su </w:t>
      </w:r>
      <w:proofErr w:type="spellStart"/>
      <w:r>
        <w:t>17</w:t>
      </w:r>
      <w:r>
        <w:rPr>
          <w:vertAlign w:val="superscript"/>
        </w:rPr>
        <w:t>a</w:t>
      </w:r>
      <w:proofErr w:type="spellEnd"/>
      <w:r>
        <w:t xml:space="preserve"> reunión y con carácter prioritario, la Conferencia de las Partes revise el memorando de entendimiento firmado entre la Secretaría del Convenio sobre la Diversidad Biológica, el Programa de las Naciones Unidas para el Desarrollo, el Programa de las Naciones Unidas para el Medio Ambiente y la Oficina de los Fondos Fiduciarios de Asociados Múltiples de las Naciones Unidas, así como su</w:t>
      </w:r>
      <w:r w:rsidR="007D1571">
        <w:t>s</w:t>
      </w:r>
      <w:r>
        <w:t xml:space="preserve"> anexos y los arreglos </w:t>
      </w:r>
      <w:r w:rsidR="003507BF">
        <w:t xml:space="preserve">conexos </w:t>
      </w:r>
      <w:r>
        <w:t xml:space="preserve">de gobernanza, </w:t>
      </w:r>
      <w:r w:rsidR="007D1571">
        <w:t>procedimiento</w:t>
      </w:r>
      <w:r>
        <w:t xml:space="preserve"> y </w:t>
      </w:r>
      <w:r w:rsidR="007D1571">
        <w:t>funcionamiento</w:t>
      </w:r>
      <w:r>
        <w:t xml:space="preserve"> elaborados para el Comité Directivo del Mecanismo Multilateral </w:t>
      </w:r>
      <w:r w:rsidR="00E31F9E">
        <w:t>de</w:t>
      </w:r>
      <w:r>
        <w:t xml:space="preserve"> Participación Justa y Equitativa en los Beneficios que se Deriven de la Utilización de Información Digital sobre Secuencias de Recursos Genéticos, incluido el Fondo de Cali, y formule recomendaciones sobre </w:t>
      </w:r>
      <w:r w:rsidR="00E31F9E">
        <w:t>las modificaciones que sea necesario introducir en ellos para garantizar su</w:t>
      </w:r>
      <w:r>
        <w:t xml:space="preserve"> coherencia con la decisión </w:t>
      </w:r>
      <w:hyperlink r:id="rId15" w:history="1">
        <w:r>
          <w:rPr>
            <w:rStyle w:val="Hyperlink"/>
          </w:rPr>
          <w:t>16/2</w:t>
        </w:r>
      </w:hyperlink>
      <w:r>
        <w:t xml:space="preserve"> de 1 de noviembre de 2024;</w:t>
      </w:r>
    </w:p>
    <w:p w14:paraId="271C0A45" w14:textId="7D627EAC" w:rsidR="00EB5FDA" w:rsidRPr="009726CE" w:rsidRDefault="00A11F06" w:rsidP="00490E86">
      <w:pPr>
        <w:pStyle w:val="CBDNormalNoNumber"/>
        <w:keepNext/>
        <w:tabs>
          <w:tab w:val="clear" w:pos="567"/>
        </w:tabs>
        <w:ind w:firstLine="567"/>
      </w:pPr>
      <w:r>
        <w:t>2.</w:t>
      </w:r>
      <w:r>
        <w:tab/>
      </w:r>
      <w:r>
        <w:rPr>
          <w:i/>
          <w:iCs/>
        </w:rPr>
        <w:t xml:space="preserve">Pide </w:t>
      </w:r>
      <w:r>
        <w:t xml:space="preserve">que la Secretaria Ejecutiva, </w:t>
      </w:r>
      <w:r w:rsidR="0066011B">
        <w:t>en su calidad de</w:t>
      </w:r>
      <w:r>
        <w:t xml:space="preserve"> Jefa de la Secretaría del Convenio que actúa como Secretaría provisional del Mecanismo Multilateral, incluido el Fondo de Cali:</w:t>
      </w:r>
    </w:p>
    <w:p w14:paraId="79C2BB26" w14:textId="65B885F7" w:rsidR="00EB5FDA" w:rsidRPr="009726CE" w:rsidRDefault="00A11F06" w:rsidP="00490E86">
      <w:pPr>
        <w:pStyle w:val="CBDNormalNoNumber"/>
        <w:keepNext/>
        <w:tabs>
          <w:tab w:val="clear" w:pos="567"/>
        </w:tabs>
        <w:ind w:firstLine="567"/>
      </w:pPr>
      <w:r>
        <w:t>a)</w:t>
      </w:r>
      <w:r>
        <w:tab/>
        <w:t>Facilite la celebración de reuniones oficiosas en línea entre períodos de sesiones para que las Partes consideren el memorando de entendimiento y sus anexos, así como las repercusiones jurídicas de sus disposiciones;</w:t>
      </w:r>
    </w:p>
    <w:p w14:paraId="3AC1C4E6" w14:textId="6F2ED1FE" w:rsidR="000F7896" w:rsidRPr="009726CE" w:rsidRDefault="00A11F06" w:rsidP="00A11F06">
      <w:pPr>
        <w:pStyle w:val="CBDNormalNoNumber"/>
        <w:keepNext/>
        <w:tabs>
          <w:tab w:val="clear" w:pos="567"/>
        </w:tabs>
        <w:ind w:firstLine="567"/>
      </w:pPr>
      <w:r>
        <w:t>b)</w:t>
      </w:r>
      <w:r>
        <w:tab/>
        <w:t xml:space="preserve">Comunique a la Mesa de la Conferencia de las Partes la necesidad de incluir un tema adicional sobre la revisión del memorando de entendimiento y sus anexos en el programa provisional para la </w:t>
      </w:r>
      <w:proofErr w:type="spellStart"/>
      <w:r>
        <w:t>17</w:t>
      </w:r>
      <w:r>
        <w:rPr>
          <w:vertAlign w:val="superscript"/>
        </w:rPr>
        <w:t>a</w:t>
      </w:r>
      <w:proofErr w:type="spellEnd"/>
      <w:r>
        <w:t xml:space="preserve"> reunión de la Conferencia de las Partes, y presente los documentos para que sean examinados en esa reunión;]</w:t>
      </w:r>
    </w:p>
    <w:p w14:paraId="65E3513E" w14:textId="1BE5FCB9" w:rsidR="000F7896" w:rsidRDefault="000F7896" w:rsidP="00975995">
      <w:pPr>
        <w:pStyle w:val="CBDNormalNoNumber"/>
        <w:keepNext/>
        <w:tabs>
          <w:tab w:val="clear" w:pos="567"/>
        </w:tabs>
        <w:rPr>
          <w:i/>
          <w:iCs/>
        </w:rPr>
      </w:pPr>
      <w:r>
        <w:t>[</w:t>
      </w:r>
    </w:p>
    <w:p w14:paraId="5CB0988E" w14:textId="365492EB" w:rsidR="000F7896" w:rsidRDefault="00930460" w:rsidP="009726CE">
      <w:pPr>
        <w:pStyle w:val="CBDNormalNoNumber"/>
        <w:keepNext/>
        <w:tabs>
          <w:tab w:val="clear" w:pos="567"/>
          <w:tab w:val="clear" w:pos="1134"/>
        </w:tabs>
        <w:ind w:firstLine="567"/>
        <w:rPr>
          <w:i/>
          <w:iCs/>
        </w:rPr>
      </w:pPr>
      <w:r>
        <w:t xml:space="preserve">2 </w:t>
      </w:r>
      <w:proofErr w:type="spellStart"/>
      <w:r>
        <w:t>Alt</w:t>
      </w:r>
      <w:proofErr w:type="spellEnd"/>
      <w:r>
        <w:t>.</w:t>
      </w:r>
      <w:r w:rsidR="008C3CDA">
        <w:tab/>
        <w:t xml:space="preserve">   </w:t>
      </w:r>
      <w:r>
        <w:rPr>
          <w:i/>
          <w:iCs/>
        </w:rPr>
        <w:t xml:space="preserve">Pide </w:t>
      </w:r>
      <w:r>
        <w:t xml:space="preserve">a la Secretaria Ejecutiva que facilite un debate en línea con la Oficina de los Fondos Fiduciarios de Asociados Múltiples, los </w:t>
      </w:r>
      <w:r w:rsidR="00112012">
        <w:t>asociados</w:t>
      </w:r>
      <w:r>
        <w:t xml:space="preserve"> de las Naciones Unidas y el Comité Directivo del Mecanismo Multilateral, incluido el Fondo de Cali, que estará abierto a todos, y que publique la grabación del debate en el sitio web del Convenio;</w:t>
      </w:r>
    </w:p>
    <w:p w14:paraId="65B26833" w14:textId="1C9D796D" w:rsidR="000F7896" w:rsidRDefault="00930460" w:rsidP="009726CE">
      <w:pPr>
        <w:pStyle w:val="CBDNormalNoNumber"/>
        <w:tabs>
          <w:tab w:val="clear" w:pos="567"/>
        </w:tabs>
        <w:ind w:firstLine="567"/>
        <w:rPr>
          <w:i/>
          <w:iCs/>
        </w:rPr>
      </w:pPr>
      <w:r>
        <w:t xml:space="preserve">2 </w:t>
      </w:r>
      <w:proofErr w:type="spellStart"/>
      <w:r>
        <w:t>Alt</w:t>
      </w:r>
      <w:proofErr w:type="spellEnd"/>
      <w:r>
        <w:t>. bis.</w:t>
      </w:r>
      <w:r>
        <w:rPr>
          <w:i/>
          <w:iCs/>
        </w:rPr>
        <w:tab/>
        <w:t xml:space="preserve">Recomienda </w:t>
      </w:r>
      <w:r>
        <w:t xml:space="preserve">que, en su </w:t>
      </w:r>
      <w:proofErr w:type="spellStart"/>
      <w:r>
        <w:t>17</w:t>
      </w:r>
      <w:r>
        <w:rPr>
          <w:vertAlign w:val="superscript"/>
        </w:rPr>
        <w:t>a</w:t>
      </w:r>
      <w:proofErr w:type="spellEnd"/>
      <w:r>
        <w:t xml:space="preserve"> reunión, la Conferencia de las Partes en el Convenio considere el texto del memorando de entendimiento y sus anexos en el marco del tema relativo a la información digital sobre secuencias de recursos genéticos;]</w:t>
      </w:r>
    </w:p>
    <w:p w14:paraId="1F50DD7D" w14:textId="0C7A243A" w:rsidR="00233EAC" w:rsidRPr="009C500D" w:rsidRDefault="002E7E39" w:rsidP="004C408B">
      <w:pPr>
        <w:pStyle w:val="CBDNormalNoNumber"/>
        <w:keepNext/>
        <w:ind w:firstLine="567"/>
      </w:pPr>
      <w:r>
        <w:lastRenderedPageBreak/>
        <w:t>3.</w:t>
      </w:r>
      <w:r>
        <w:tab/>
      </w:r>
      <w:r>
        <w:rPr>
          <w:i/>
          <w:iCs/>
        </w:rPr>
        <w:t>Recomienda</w:t>
      </w:r>
      <w:r>
        <w:t xml:space="preserve"> a la Conferencia de las Partes que en su 17ª reunión adopte elementos de una decisión del siguiente tenor: </w:t>
      </w:r>
    </w:p>
    <w:p w14:paraId="693487B5" w14:textId="16B08D86" w:rsidR="00233EAC" w:rsidRPr="004C408B" w:rsidRDefault="00233EAC" w:rsidP="009726CE">
      <w:pPr>
        <w:pStyle w:val="CBDNormalNoNumber"/>
        <w:keepNext/>
        <w:tabs>
          <w:tab w:val="clear" w:pos="567"/>
          <w:tab w:val="clear" w:pos="1134"/>
          <w:tab w:val="left" w:pos="720"/>
        </w:tabs>
        <w:ind w:left="1134" w:firstLine="567"/>
        <w:rPr>
          <w:i/>
          <w:iCs/>
        </w:rPr>
      </w:pPr>
      <w:r>
        <w:rPr>
          <w:i/>
          <w:iCs/>
        </w:rPr>
        <w:t>La Conferencia de las Partes,</w:t>
      </w:r>
      <w:r>
        <w:t xml:space="preserve"> </w:t>
      </w:r>
    </w:p>
    <w:p w14:paraId="02ACB2EF" w14:textId="2D6DCEBB" w:rsidR="00774686" w:rsidRPr="00256BF2" w:rsidRDefault="00774686" w:rsidP="00B404F3">
      <w:pPr>
        <w:pStyle w:val="CBDNormalNoNumber"/>
        <w:tabs>
          <w:tab w:val="clear" w:pos="567"/>
          <w:tab w:val="clear" w:pos="1134"/>
          <w:tab w:val="left" w:pos="720"/>
        </w:tabs>
        <w:ind w:left="1134" w:firstLine="567"/>
        <w:rPr>
          <w:i/>
          <w:iCs/>
        </w:rPr>
      </w:pPr>
      <w:r>
        <w:rPr>
          <w:i/>
          <w:iCs/>
        </w:rPr>
        <w:t>Recordando</w:t>
      </w:r>
      <w:r>
        <w:t xml:space="preserve"> las decisiones </w:t>
      </w:r>
      <w:hyperlink r:id="rId16" w:history="1">
        <w:r>
          <w:rPr>
            <w:rStyle w:val="Hyperlink"/>
          </w:rPr>
          <w:t>15/9</w:t>
        </w:r>
      </w:hyperlink>
      <w:r>
        <w:t xml:space="preserve"> de 19 de diciembre de 2022, en particular su párrafo 13, y </w:t>
      </w:r>
      <w:hyperlink r:id="rId17" w:history="1">
        <w:r>
          <w:rPr>
            <w:rStyle w:val="Hyperlink"/>
          </w:rPr>
          <w:t>16/2</w:t>
        </w:r>
      </w:hyperlink>
      <w:r>
        <w:t xml:space="preserve"> de 1 de noviembre de 2024,</w:t>
      </w:r>
    </w:p>
    <w:p w14:paraId="5DBE26B0" w14:textId="28689741" w:rsidR="005C75F8" w:rsidRDefault="00724FBF" w:rsidP="00F27CED">
      <w:pPr>
        <w:pStyle w:val="CBDNormalNoNumber"/>
        <w:tabs>
          <w:tab w:val="clear" w:pos="567"/>
          <w:tab w:val="clear" w:pos="1134"/>
          <w:tab w:val="left" w:pos="720"/>
        </w:tabs>
        <w:ind w:left="1134" w:firstLine="567"/>
      </w:pPr>
      <w:r>
        <w:t>[1.</w:t>
      </w:r>
      <w:r>
        <w:tab/>
      </w:r>
      <w:r>
        <w:rPr>
          <w:i/>
          <w:iCs/>
        </w:rPr>
        <w:t>Reconoce</w:t>
      </w:r>
      <w:r>
        <w:t xml:space="preserve"> el posible valor de estudiar vías proporcionales que podrían complementar el enfoque sectorial establecido en la decisión </w:t>
      </w:r>
      <w:hyperlink r:id="rId18" w:history="1">
        <w:r>
          <w:rPr>
            <w:rStyle w:val="Hyperlink"/>
          </w:rPr>
          <w:t>16/2</w:t>
        </w:r>
      </w:hyperlink>
      <w:r>
        <w:t xml:space="preserve"> abordando las posibles asimetrías que afectan a los usuarios que hacen un uso limitado o inicial de la información digital sobre secuencias de recursos genéticos, en particular en los países en desarrollo, cuyas demás carteras cumplen los requisitos nacionales aplicables en materia de acceso y participación en los beneficios, si corresponde, [y sin </w:t>
      </w:r>
      <w:r w:rsidR="00EE1D7B">
        <w:t>perjuicio</w:t>
      </w:r>
      <w:r>
        <w:t xml:space="preserve"> de las obligaciones dimanantes de los marcos nacionales existentes de acceso y participación en los beneficios, y] las condiciones mutuamente acordadas, evitando al mismo tiempo crear obstáculos involuntarios para la adopción y utilización responsables de la información digital sobre secuencias;]</w:t>
      </w:r>
    </w:p>
    <w:p w14:paraId="3D0179CC" w14:textId="74A46A0D" w:rsidR="00D951C5" w:rsidRPr="00084961" w:rsidRDefault="00B971D0" w:rsidP="009726CE">
      <w:pPr>
        <w:pStyle w:val="CBDNormalNoNumber"/>
        <w:tabs>
          <w:tab w:val="clear" w:pos="567"/>
          <w:tab w:val="clear" w:pos="1134"/>
          <w:tab w:val="clear" w:pos="1701"/>
          <w:tab w:val="clear" w:pos="2268"/>
          <w:tab w:val="left" w:pos="720"/>
          <w:tab w:val="left" w:pos="2410"/>
        </w:tabs>
        <w:ind w:left="1134" w:firstLine="567"/>
      </w:pPr>
      <w:r>
        <w:t>[</w:t>
      </w:r>
      <w:proofErr w:type="spellStart"/>
      <w:r>
        <w:t>1.Alt</w:t>
      </w:r>
      <w:proofErr w:type="spellEnd"/>
      <w:r>
        <w:tab/>
      </w:r>
      <w:r>
        <w:rPr>
          <w:i/>
          <w:iCs/>
        </w:rPr>
        <w:t>Reconoce</w:t>
      </w:r>
      <w:r>
        <w:t xml:space="preserve"> las asimetrías entre los usuarios, incluidos aquellos que hacen un uso limitado o inicial de la información digital sobre secuencias de recursos genéticos, y el posible valor de estudiar vías proporcionales que podrían complementar el enfoque sectorial establecido en la decisión </w:t>
      </w:r>
      <w:hyperlink r:id="rId19" w:history="1">
        <w:r>
          <w:rPr>
            <w:rStyle w:val="Hyperlink"/>
          </w:rPr>
          <w:t>16/2</w:t>
        </w:r>
      </w:hyperlink>
      <w:r>
        <w:t>;]</w:t>
      </w:r>
    </w:p>
    <w:p w14:paraId="0D40CBC0" w14:textId="7C6A77F9" w:rsidR="000D0BC2" w:rsidRPr="009C500D" w:rsidRDefault="0087084F" w:rsidP="00C175AE">
      <w:pPr>
        <w:pStyle w:val="CBDNormalNoNumber"/>
        <w:keepNext/>
        <w:tabs>
          <w:tab w:val="clear" w:pos="567"/>
          <w:tab w:val="clear" w:pos="1134"/>
          <w:tab w:val="clear" w:pos="2268"/>
          <w:tab w:val="left" w:pos="720"/>
          <w:tab w:val="left" w:pos="2410"/>
        </w:tabs>
        <w:ind w:left="1134" w:firstLine="567"/>
      </w:pPr>
      <w:r>
        <w:t>[2.</w:t>
      </w:r>
      <w:r>
        <w:tab/>
      </w:r>
      <w:r>
        <w:rPr>
          <w:i/>
          <w:iCs/>
        </w:rPr>
        <w:t>Pide</w:t>
      </w:r>
      <w:r>
        <w:t xml:space="preserve"> a la Secretaria Ejecutiva que, con sujeción a la disponibilidad de recursos, [encargue un estudio][recopile información pertinente] sobre posibles modalidades adicionales [para explorar posibles vías de contribución, </w:t>
      </w:r>
      <w:r w:rsidR="00232FB5">
        <w:t>entre otras cosas</w:t>
      </w:r>
      <w:r>
        <w:t xml:space="preserve">][, incluida una vía proporcional para las entidades que hagan un uso limitado o inicial de la información digital sobre secuencias de recursos genéticos] </w:t>
      </w:r>
      <w:r w:rsidR="00232FB5">
        <w:t>para permitir</w:t>
      </w:r>
      <w:r>
        <w:t xml:space="preserve"> a las entidades calcular sus contribuciones al Fondo de Cali sobre la base de los productos o servicios [de sus carteras desarrolladas [directa o indirectamente]] utilizando información digital sobre secuencias de recursos genéticos comprendida en el ámbito del Mecanismo Multilateral[, </w:t>
      </w:r>
      <w:r w:rsidR="00C37109">
        <w:t>incluso sobre la</w:t>
      </w:r>
      <w:r>
        <w:t xml:space="preserve"> posible interacción con los marcos nacionales de acceso y participación en los beneficios], y que analice y evalúe la viabilidad, la practicidad</w:t>
      </w:r>
      <w:r w:rsidR="00157365">
        <w:t>,</w:t>
      </w:r>
      <w:r>
        <w:t xml:space="preserve"> la eficiencia</w:t>
      </w:r>
      <w:r w:rsidR="00157365">
        <w:t xml:space="preserve"> y</w:t>
      </w:r>
      <w:r>
        <w:t xml:space="preserve"> los retos jurídicos y técnicos de las vías de contribución, incluyendo [la posible interacción con los marcos nacionales de acceso y participación en los beneficios,][ su interacción con los marcos nacionales de acceso y participación en los beneficios, sus repercusiones para la base general de contribuyentes y la previsibilidad de las contribuciones y la generación de ingresos para el Fondo de Cali,] [una evaluación del posible impacto del nivel total de contribuciones al Fondo de Cali,] [las repercusiones para la equidad y los intereses de las Partes que son países en desarrollo, en particular los países menos adelantados y los pequeños Estados insulares en desar</w:t>
      </w:r>
      <w:r w:rsidR="00157365">
        <w:t>r</w:t>
      </w:r>
      <w:r>
        <w:t xml:space="preserve">ollo, y las Partes con economías en transición];] </w:t>
      </w:r>
    </w:p>
    <w:p w14:paraId="33FBB64E" w14:textId="51A9F0FE" w:rsidR="72C80BDA" w:rsidRDefault="00317AF7" w:rsidP="00B55F66">
      <w:pPr>
        <w:pStyle w:val="CBDRecommendText"/>
        <w:tabs>
          <w:tab w:val="clear" w:pos="567"/>
          <w:tab w:val="clear" w:pos="1134"/>
          <w:tab w:val="clear" w:pos="2268"/>
          <w:tab w:val="left" w:pos="720"/>
          <w:tab w:val="left" w:pos="2410"/>
        </w:tabs>
        <w:ind w:left="1134" w:firstLine="567"/>
      </w:pPr>
      <w:r>
        <w:t>[</w:t>
      </w:r>
      <w:proofErr w:type="spellStart"/>
      <w:r>
        <w:t>2.Alt</w:t>
      </w:r>
      <w:proofErr w:type="spellEnd"/>
      <w:r>
        <w:tab/>
      </w:r>
      <w:r>
        <w:rPr>
          <w:i/>
          <w:iCs/>
        </w:rPr>
        <w:t>Establece</w:t>
      </w:r>
      <w:r>
        <w:t xml:space="preserve">, con sujeción a la disponibilidad de recursos, [un grupo de trabajo especial de composición abierta sobre la participación en los beneficios </w:t>
      </w:r>
      <w:r w:rsidR="003007E6">
        <w:t>que se deriven</w:t>
      </w:r>
      <w:r>
        <w:t xml:space="preserve"> de la utilización de información digital sobre secuencias de recursos genéticos] para seguir desarrollando el Mecanismo Multilateral, incluido el Fondo de Cali, mediante [opciones para] una modalidad basada en productos y servicios que </w:t>
      </w:r>
      <w:r w:rsidR="00D94DB5">
        <w:t>ofrezca</w:t>
      </w:r>
      <w:r>
        <w:t xml:space="preserve"> una vía proporcional para las empresas que hagan un uso limitado de información digital sobre secuencias, como complemento del enfoque sectorial, de conformidad con el mandato que figura en el anexo [X], y para formular recomendaciones a la Conferencia de las Partes para que las examine en su 18ª reunión;</w:t>
      </w:r>
      <w:r w:rsidR="00737E39">
        <w:t>]</w:t>
      </w:r>
    </w:p>
    <w:p w14:paraId="68692B38" w14:textId="53981932" w:rsidR="00E51563" w:rsidRPr="00C175AE" w:rsidRDefault="0087084F" w:rsidP="009726CE">
      <w:pPr>
        <w:pStyle w:val="CBDNormalNumber"/>
        <w:numPr>
          <w:ilvl w:val="0"/>
          <w:numId w:val="0"/>
        </w:numPr>
        <w:tabs>
          <w:tab w:val="clear" w:pos="567"/>
          <w:tab w:val="clear" w:pos="1134"/>
          <w:tab w:val="left" w:pos="720"/>
        </w:tabs>
        <w:spacing w:line="259" w:lineRule="auto"/>
        <w:ind w:left="1134" w:firstLine="540"/>
      </w:pPr>
      <w:r>
        <w:t>[3.</w:t>
      </w:r>
      <w:r>
        <w:tab/>
      </w:r>
      <w:r>
        <w:rPr>
          <w:i/>
          <w:iCs/>
        </w:rPr>
        <w:t>Considera</w:t>
      </w:r>
      <w:r>
        <w:t>, en su [18ª</w:t>
      </w:r>
      <w:proofErr w:type="gramStart"/>
      <w:r>
        <w:t>][</w:t>
      </w:r>
      <w:proofErr w:type="gramEnd"/>
      <w:r>
        <w:t>19ª] reunión, sin prejuzgar el resultado de la primera revisión de la eficacia del Mecanismo Multilateral, incluido el Fondo de Cali, y a la luz de los resultados y las recomendaciones derivados de la primera revisión de la eficacia del Mecanismo Multilateral, incluido el Fondo de Cali, las posibles modalidades adicionales a que se hace referencia en el párrafo 2;]</w:t>
      </w:r>
    </w:p>
    <w:p w14:paraId="78E6F755" w14:textId="62857812" w:rsidR="00027B76" w:rsidRPr="001C0346" w:rsidRDefault="00570E2E" w:rsidP="00C175AE">
      <w:pPr>
        <w:pStyle w:val="CBDNormalNoNumber"/>
        <w:tabs>
          <w:tab w:val="clear" w:pos="567"/>
          <w:tab w:val="clear" w:pos="1134"/>
        </w:tabs>
        <w:ind w:left="1134" w:firstLine="567"/>
      </w:pPr>
      <w:r>
        <w:t>4.</w:t>
      </w:r>
      <w:r>
        <w:tab/>
        <w:t>[</w:t>
      </w:r>
      <w:r>
        <w:rPr>
          <w:i/>
          <w:iCs/>
        </w:rPr>
        <w:t>Insta</w:t>
      </w:r>
      <w:r>
        <w:t>][</w:t>
      </w:r>
      <w:r>
        <w:rPr>
          <w:i/>
          <w:iCs/>
        </w:rPr>
        <w:t>Exhorta</w:t>
      </w:r>
      <w:r>
        <w:t xml:space="preserve">] a las Partes, e invita a otros Gobiernos, las organizaciones y los interesados pertinentes, incluido el sector privado, a organizar actividades participativas y establecer alianzas, según proceda, para fomentar la participación del sector privado y sus contribuciones al Fondo de Cali, así como la participación en los beneficios no monetarios [de conformidad con la decisión </w:t>
      </w:r>
      <w:hyperlink r:id="rId20" w:history="1">
        <w:r>
          <w:rPr>
            <w:rStyle w:val="Hyperlink"/>
          </w:rPr>
          <w:t>16/2</w:t>
        </w:r>
      </w:hyperlink>
      <w:r>
        <w:t xml:space="preserve"> y sin perjuicio de las medidas nacionales aplicables en materia de acceso y participación en los beneficios];</w:t>
      </w:r>
    </w:p>
    <w:p w14:paraId="7BCBFC4D" w14:textId="77777777" w:rsidR="00472E2D" w:rsidRPr="00472E2D" w:rsidRDefault="00472E2D" w:rsidP="00472E2D">
      <w:pPr>
        <w:tabs>
          <w:tab w:val="clear" w:pos="567"/>
          <w:tab w:val="clear" w:pos="1134"/>
          <w:tab w:val="left" w:pos="2835"/>
          <w:tab w:val="left" w:pos="3402"/>
        </w:tabs>
        <w:spacing w:after="120"/>
        <w:ind w:left="1134" w:firstLine="567"/>
        <w:rPr>
          <w:lang w:val="es-ES_tradnl"/>
        </w:rPr>
      </w:pPr>
      <w:r w:rsidRPr="00472E2D">
        <w:rPr>
          <w:lang w:val="es-ES_tradnl"/>
        </w:rPr>
        <w:t>5.</w:t>
      </w:r>
      <w:r w:rsidRPr="00472E2D">
        <w:rPr>
          <w:lang w:val="es-ES_tradnl"/>
        </w:rPr>
        <w:tab/>
        <w:t>[</w:t>
      </w:r>
      <w:r w:rsidRPr="00472E2D">
        <w:rPr>
          <w:i/>
          <w:iCs/>
          <w:lang w:val="es-ES_tradnl"/>
        </w:rPr>
        <w:t>Pide</w:t>
      </w:r>
      <w:r w:rsidRPr="00472E2D">
        <w:rPr>
          <w:lang w:val="es-ES_tradnl"/>
        </w:rPr>
        <w:t>][</w:t>
      </w:r>
      <w:r w:rsidRPr="00472E2D">
        <w:rPr>
          <w:i/>
          <w:iCs/>
          <w:lang w:val="es-ES_tradnl"/>
        </w:rPr>
        <w:t>Alienta encarecidamente</w:t>
      </w:r>
      <w:r w:rsidRPr="00472E2D">
        <w:rPr>
          <w:lang w:val="es-ES_tradnl"/>
        </w:rPr>
        <w:t>] a las Partes, e invita a otros gobiernos y organizaciones pertinentes, a dar apoyo al trabajo del Comité Directivo del Mecanismo Multilateral, incluidos el Fondo de Cali, y la Secretaría del Convenio que actúa como Secretaría provisional del Mecanismo, incluido el Fondo de Cali, a través del apoyo financiero y de actividades [formales e] informales, [incluidos la creación de capacidad, la asistencia técnica, la concienciación y el intercambio de información,] tales como talleres sobre la puesta en marcha del Mecanismo, incluido el Fondo de Cali, y temas conexos [y a apoyar la participación eficaz en la labor del Comité de miembros provenientes de Partes que son países en desarrollo, en particular los países menos adelantados y los pequeños Estados insulares en desarrollo;]</w:t>
      </w:r>
    </w:p>
    <w:p w14:paraId="5B9AFE6C" w14:textId="77777777" w:rsidR="00472E2D" w:rsidRPr="00472E2D" w:rsidRDefault="00472E2D" w:rsidP="00472E2D">
      <w:pPr>
        <w:tabs>
          <w:tab w:val="clear" w:pos="567"/>
          <w:tab w:val="clear" w:pos="1134"/>
          <w:tab w:val="left" w:pos="2835"/>
          <w:tab w:val="left" w:pos="3402"/>
        </w:tabs>
        <w:spacing w:after="120"/>
        <w:ind w:left="1134" w:firstLine="567"/>
        <w:rPr>
          <w:lang w:val="es-ES_tradnl"/>
        </w:rPr>
      </w:pPr>
      <w:r w:rsidRPr="00472E2D">
        <w:rPr>
          <w:lang w:val="es-ES_tradnl"/>
        </w:rPr>
        <w:t>[6.</w:t>
      </w:r>
      <w:r w:rsidRPr="00472E2D">
        <w:rPr>
          <w:lang w:val="es-ES_tradnl"/>
        </w:rPr>
        <w:tab/>
      </w:r>
      <w:r w:rsidRPr="00472E2D">
        <w:rPr>
          <w:i/>
          <w:iCs/>
          <w:lang w:val="es-ES_tradnl"/>
        </w:rPr>
        <w:t>Reafirma</w:t>
      </w:r>
      <w:r w:rsidRPr="00472E2D">
        <w:rPr>
          <w:lang w:val="es-ES_tradnl"/>
        </w:rPr>
        <w:t xml:space="preserve"> que la gobernanza, los arreglos institucionales y las modalidades operativas del Mecanismo Multilateral, incluido el Fondo de Cali, siguen estando bajo la autoridad de la Conferencia de las Partes, y pide al Órgano Subsidiario sobre la Aplicación que revise su conformidad con la decisión </w:t>
      </w:r>
      <w:hyperlink r:id="rId21" w:history="1">
        <w:r w:rsidRPr="00472E2D">
          <w:rPr>
            <w:color w:val="0000FF" w:themeColor="hyperlink"/>
            <w:u w:val="single"/>
            <w:lang w:val="es-ES_tradnl"/>
          </w:rPr>
          <w:t>16/2</w:t>
        </w:r>
      </w:hyperlink>
      <w:r w:rsidRPr="00472E2D">
        <w:rPr>
          <w:lang w:val="es-ES_tradnl"/>
        </w:rPr>
        <w:t xml:space="preserve"> y con otras decisiones pertinentes de la Conferencia de las Partes de manera periódica, y que realice recomendaciones, según proceda, a la Conferencia de las Partes;]</w:t>
      </w:r>
    </w:p>
    <w:p w14:paraId="641F572A" w14:textId="77777777" w:rsidR="00472E2D" w:rsidRPr="00472E2D" w:rsidRDefault="00472E2D" w:rsidP="00472E2D">
      <w:pPr>
        <w:tabs>
          <w:tab w:val="clear" w:pos="567"/>
          <w:tab w:val="clear" w:pos="1134"/>
          <w:tab w:val="left" w:pos="2835"/>
          <w:tab w:val="left" w:pos="3402"/>
        </w:tabs>
        <w:spacing w:after="120"/>
        <w:ind w:left="1134" w:firstLine="567"/>
        <w:rPr>
          <w:lang w:val="es-ES_tradnl"/>
        </w:rPr>
      </w:pPr>
      <w:r w:rsidRPr="00472E2D">
        <w:rPr>
          <w:lang w:val="es-ES_tradnl"/>
        </w:rPr>
        <w:t>[7.</w:t>
      </w:r>
      <w:r w:rsidRPr="00472E2D">
        <w:rPr>
          <w:lang w:val="es-ES_tradnl"/>
        </w:rPr>
        <w:tab/>
      </w:r>
      <w:r w:rsidRPr="00472E2D">
        <w:rPr>
          <w:i/>
          <w:iCs/>
          <w:lang w:val="es-ES_tradnl"/>
        </w:rPr>
        <w:t xml:space="preserve">Decide </w:t>
      </w:r>
      <w:r w:rsidRPr="00472E2D">
        <w:rPr>
          <w:lang w:val="es-ES_tradnl"/>
        </w:rPr>
        <w:t xml:space="preserve">que los miembros futuros del Comité Directivo serán nombrados por sus respectivos grupos regionales y circunscripciones; </w:t>
      </w:r>
    </w:p>
    <w:p w14:paraId="215FCF9C" w14:textId="77777777" w:rsidR="00472E2D" w:rsidRPr="00472E2D" w:rsidRDefault="00472E2D" w:rsidP="00472E2D">
      <w:pPr>
        <w:tabs>
          <w:tab w:val="clear" w:pos="567"/>
          <w:tab w:val="clear" w:pos="1134"/>
          <w:tab w:val="left" w:pos="2835"/>
          <w:tab w:val="left" w:pos="3402"/>
        </w:tabs>
        <w:spacing w:after="120"/>
        <w:ind w:left="1134" w:firstLine="567"/>
        <w:rPr>
          <w:lang w:val="es-ES_tradnl"/>
        </w:rPr>
      </w:pPr>
      <w:r w:rsidRPr="00472E2D">
        <w:rPr>
          <w:lang w:val="es-ES_tradnl"/>
        </w:rPr>
        <w:t>8.</w:t>
      </w:r>
      <w:r w:rsidRPr="00472E2D">
        <w:rPr>
          <w:lang w:val="es-ES_tradnl"/>
        </w:rPr>
        <w:tab/>
      </w:r>
      <w:r w:rsidRPr="00472E2D">
        <w:rPr>
          <w:i/>
          <w:iCs/>
          <w:lang w:val="es-ES_tradnl"/>
        </w:rPr>
        <w:t>Pide</w:t>
      </w:r>
      <w:r w:rsidRPr="00472E2D">
        <w:rPr>
          <w:lang w:val="es-ES_tradnl"/>
        </w:rPr>
        <w:t xml:space="preserve"> a la Secretaria Ejecutiva que facilite el proceso de nombramiento consiguientemente;]</w:t>
      </w:r>
    </w:p>
    <w:p w14:paraId="73AC55FB" w14:textId="77777777" w:rsidR="00472E2D" w:rsidRPr="00472E2D" w:rsidRDefault="00472E2D" w:rsidP="00472E2D">
      <w:pPr>
        <w:tabs>
          <w:tab w:val="clear" w:pos="567"/>
          <w:tab w:val="clear" w:pos="1134"/>
          <w:tab w:val="left" w:pos="2835"/>
          <w:tab w:val="left" w:pos="3402"/>
        </w:tabs>
        <w:spacing w:after="120"/>
        <w:ind w:left="1134" w:firstLine="567"/>
        <w:rPr>
          <w:lang w:val="es-ES_tradnl"/>
        </w:rPr>
      </w:pPr>
      <w:r w:rsidRPr="00472E2D">
        <w:rPr>
          <w:lang w:val="es-ES_tradnl"/>
        </w:rPr>
        <w:t>9.</w:t>
      </w:r>
      <w:r w:rsidRPr="00472E2D">
        <w:rPr>
          <w:lang w:val="es-ES_tradnl"/>
        </w:rPr>
        <w:tab/>
      </w:r>
      <w:r w:rsidRPr="00472E2D">
        <w:rPr>
          <w:i/>
          <w:iCs/>
          <w:lang w:val="es-ES_tradnl"/>
        </w:rPr>
        <w:t xml:space="preserve">Invita, </w:t>
      </w:r>
      <w:r w:rsidRPr="00472E2D">
        <w:rPr>
          <w:lang w:val="es-ES_tradnl"/>
        </w:rPr>
        <w:t>con el propósito de poner a disposición del público y dar acceso a la información digital sobre secuencias de recursos genéticos de manera transparente y responsable [, coherente con los derechos soberanos de todas las Partes sobre los recursos genéticos y los derechos de los pueblos indígenas y las comunidades locales</w:t>
      </w:r>
      <w:proofErr w:type="gramStart"/>
      <w:r w:rsidRPr="00472E2D">
        <w:rPr>
          <w:lang w:val="es-ES_tradnl"/>
        </w:rPr>
        <w:t>][</w:t>
      </w:r>
      <w:proofErr w:type="gramEnd"/>
      <w:r w:rsidRPr="00472E2D">
        <w:rPr>
          <w:lang w:val="es-ES_tradnl"/>
        </w:rPr>
        <w:t>a todas las Partes, conforme a los principios del acceso abierto a los datos], a:</w:t>
      </w:r>
    </w:p>
    <w:p w14:paraId="356B74DF" w14:textId="77777777" w:rsidR="00472E2D" w:rsidRPr="00472E2D" w:rsidRDefault="00472E2D" w:rsidP="00472E2D">
      <w:pPr>
        <w:numPr>
          <w:ilvl w:val="0"/>
          <w:numId w:val="109"/>
        </w:numPr>
        <w:tabs>
          <w:tab w:val="clear" w:pos="567"/>
          <w:tab w:val="left" w:pos="3402"/>
        </w:tabs>
        <w:spacing w:after="120"/>
        <w:ind w:left="1170" w:firstLine="540"/>
        <w:rPr>
          <w:lang w:val="es-ES_tradnl"/>
        </w:rPr>
      </w:pPr>
      <w:r w:rsidRPr="00472E2D">
        <w:rPr>
          <w:lang w:val="es-ES_tradnl"/>
        </w:rPr>
        <w:t xml:space="preserve">Los pueblos indígenas y las comunidades locales, incluidas, entre otros, las mujeres y la juventud, [con el apoyo de las Partes, y cuando sea pertinente en colaboración con ellas, y, según proceda, a los gestores de bases de datos de información digital sobre secuencias de recursos genéticos, la comunidad científica, los usuarios de información digital sobre secuencias de recursos genéticos, las organizaciones e iniciativas pertinentes, para dar apoyo a talleres participativos a fin de elaborar sus materiales educativos </w:t>
      </w:r>
      <w:proofErr w:type="spellStart"/>
      <w:r w:rsidRPr="00472E2D">
        <w:rPr>
          <w:lang w:val="es-ES_tradnl"/>
        </w:rPr>
        <w:t>autodirigidos</w:t>
      </w:r>
      <w:proofErr w:type="spellEnd"/>
      <w:r w:rsidRPr="00472E2D">
        <w:rPr>
          <w:lang w:val="es-ES_tradnl"/>
        </w:rPr>
        <w:t>][para contribuir, en consulta y en colaboración con las Partes, según proceda, con la elaboración de materiales educativos en virtud de un proceso impulsado por las Partes] para su uso por parte de operadores de bases de datos, instituciones científicas y de investigación, la Secretaría y otros interesados, según sea pertinente, en relación con la gestión y gobernanza de datos vinculados a los pueblos indígenas y las comunidades locales, incluidas las mujeres y la juventud de esas comunidades, y sus conocimientos tradicionales, incluidas la consideración y la consonancia con los principios de datos fáciles de encontrar, accesibles, interoperables y reutilizables (</w:t>
      </w:r>
      <w:proofErr w:type="spellStart"/>
      <w:r w:rsidRPr="00472E2D">
        <w:rPr>
          <w:lang w:val="es-ES_tradnl"/>
        </w:rPr>
        <w:t>FAIR</w:t>
      </w:r>
      <w:proofErr w:type="spellEnd"/>
      <w:r w:rsidRPr="00472E2D">
        <w:rPr>
          <w:lang w:val="es-ES_tradnl"/>
        </w:rPr>
        <w:t xml:space="preserve"> por sus siglas en inglés) y los de beneficio colectivo, autoridad para controlar, responsabilidad y ética (</w:t>
      </w:r>
      <w:proofErr w:type="spellStart"/>
      <w:r w:rsidRPr="00472E2D">
        <w:rPr>
          <w:lang w:val="es-ES_tradnl"/>
        </w:rPr>
        <w:t>CARE</w:t>
      </w:r>
      <w:proofErr w:type="spellEnd"/>
      <w:r w:rsidRPr="00472E2D">
        <w:rPr>
          <w:lang w:val="es-ES_tradnl"/>
        </w:rPr>
        <w:t xml:space="preserve"> por sus siglas en inglés), con el propósito, entre otras cosas, de brindar orientación a las publicaciones científicas sobre investigaciones que utilicen información digital sobre secuencias de recursos genéticos[, en consonancia con la legislación y las circunstancias nacionales];</w:t>
      </w:r>
    </w:p>
    <w:p w14:paraId="766F5E0F" w14:textId="77777777" w:rsidR="00472E2D" w:rsidRPr="00472E2D" w:rsidRDefault="00472E2D" w:rsidP="00472E2D">
      <w:pPr>
        <w:tabs>
          <w:tab w:val="clear" w:pos="567"/>
          <w:tab w:val="clear" w:pos="1134"/>
          <w:tab w:val="left" w:pos="1800"/>
          <w:tab w:val="left" w:pos="2835"/>
          <w:tab w:val="left" w:pos="3402"/>
        </w:tabs>
        <w:spacing w:after="120"/>
        <w:ind w:left="1800"/>
        <w:rPr>
          <w:lang w:val="es-ES_tradnl"/>
        </w:rPr>
      </w:pPr>
      <w:r w:rsidRPr="00472E2D">
        <w:rPr>
          <w:lang w:val="es-ES_tradnl"/>
        </w:rPr>
        <w:t>[b)</w:t>
      </w:r>
      <w:r w:rsidRPr="00472E2D">
        <w:rPr>
          <w:lang w:val="es-ES_tradnl"/>
        </w:rPr>
        <w:tab/>
        <w:t xml:space="preserve">[Gestores de bases de datos y usuarios para elaborar e implementar de manera gradual][Las Partes y otros gobiernos que financian, auspician y acogen bases de datos de información digital sobre secuencias de recursos genéticos para garantizar que las entidades que operan esas bases de datos y los usuarios de sus jurisdicciones tomen las medidas para elaborar e implementar de manera gradual, de conformidad con los párrafos 11 y 12 de la decisión </w:t>
      </w:r>
      <w:hyperlink r:id="rId22" w:history="1">
        <w:r w:rsidRPr="00472E2D">
          <w:rPr>
            <w:color w:val="0000FF" w:themeColor="hyperlink"/>
            <w:u w:val="single"/>
            <w:lang w:val="es-ES_tradnl"/>
          </w:rPr>
          <w:t>16/2</w:t>
        </w:r>
      </w:hyperlink>
      <w:r w:rsidRPr="00472E2D">
        <w:rPr>
          <w:lang w:val="es-ES_tradnl"/>
        </w:rPr>
        <w:t>]:</w:t>
      </w:r>
    </w:p>
    <w:p w14:paraId="2978577E" w14:textId="77777777" w:rsidR="00472E2D" w:rsidRPr="00472E2D" w:rsidRDefault="00472E2D" w:rsidP="00472E2D">
      <w:pPr>
        <w:numPr>
          <w:ilvl w:val="1"/>
          <w:numId w:val="108"/>
        </w:numPr>
        <w:tabs>
          <w:tab w:val="clear" w:pos="567"/>
          <w:tab w:val="clear" w:pos="1134"/>
          <w:tab w:val="clear" w:pos="1701"/>
          <w:tab w:val="left" w:pos="1620"/>
          <w:tab w:val="left" w:pos="2835"/>
          <w:tab w:val="left" w:pos="3402"/>
        </w:tabs>
        <w:spacing w:after="120"/>
        <w:ind w:left="2250" w:hanging="450"/>
        <w:rPr>
          <w:lang w:val="es-ES_tradnl"/>
        </w:rPr>
      </w:pPr>
      <w:r w:rsidRPr="00472E2D">
        <w:rPr>
          <w:lang w:val="es-ES_tradnl"/>
        </w:rPr>
        <w:t xml:space="preserve">Buenas prácticas y metadatos estandarizados [e interoperables] en apoyo de una mejor accesibilidad, transparencia y responsabilidad en las bases de datos que portan información digital sobre secuencias de recursos genéticos, incluida, según proceda, [y cuando esté disponible,] información de su procedencia [y país de origen] [e información sobre el país de origen del material biológico o de los recursos genéticos de los que se obtuvo la secuencia]; </w:t>
      </w:r>
    </w:p>
    <w:p w14:paraId="08C141F0" w14:textId="77777777" w:rsidR="00472E2D" w:rsidRPr="00472E2D" w:rsidRDefault="00472E2D" w:rsidP="00472E2D">
      <w:pPr>
        <w:numPr>
          <w:ilvl w:val="1"/>
          <w:numId w:val="108"/>
        </w:numPr>
        <w:tabs>
          <w:tab w:val="clear" w:pos="567"/>
          <w:tab w:val="left" w:pos="2835"/>
          <w:tab w:val="left" w:pos="3402"/>
        </w:tabs>
        <w:spacing w:after="120"/>
        <w:ind w:left="2250" w:hanging="450"/>
        <w:rPr>
          <w:lang w:val="es-ES_tradnl"/>
        </w:rPr>
      </w:pPr>
      <w:r w:rsidRPr="00472E2D">
        <w:rPr>
          <w:lang w:val="es-ES_tradnl"/>
        </w:rPr>
        <w:t xml:space="preserve">Declaraciones relativas a la legítima presentación de información digital sobre secuencias, según </w:t>
      </w:r>
      <w:proofErr w:type="gramStart"/>
      <w:r w:rsidRPr="00472E2D">
        <w:rPr>
          <w:lang w:val="es-ES_tradnl"/>
        </w:rPr>
        <w:t>proceda[</w:t>
      </w:r>
      <w:proofErr w:type="gramEnd"/>
      <w:r w:rsidRPr="00472E2D">
        <w:rPr>
          <w:lang w:val="es-ES_tradnl"/>
        </w:rPr>
        <w:t xml:space="preserve">, incluidas referencias a información pertinente o documentación que respalde tales declaraciones, de conformidad con la legislación nacional]; </w:t>
      </w:r>
    </w:p>
    <w:p w14:paraId="790B3A66" w14:textId="2FC9B376" w:rsidR="00472E2D" w:rsidRPr="00472E2D" w:rsidRDefault="00472E2D" w:rsidP="00472E2D">
      <w:pPr>
        <w:numPr>
          <w:ilvl w:val="1"/>
          <w:numId w:val="108"/>
        </w:numPr>
        <w:tabs>
          <w:tab w:val="clear" w:pos="567"/>
          <w:tab w:val="left" w:pos="2835"/>
          <w:tab w:val="left" w:pos="3402"/>
        </w:tabs>
        <w:spacing w:after="120"/>
        <w:ind w:left="2250" w:hanging="450"/>
        <w:rPr>
          <w:lang w:val="es-ES_tradnl"/>
        </w:rPr>
      </w:pPr>
      <w:r w:rsidRPr="00472E2D">
        <w:rPr>
          <w:lang w:val="es-ES_tradnl"/>
        </w:rPr>
        <w:t xml:space="preserve">[Campos o metadatos [estandarizados] para que los remitentes proporcionen datos sobre] información de [derechos y] permisos [pertinentes], incluido el consentimiento libre, previo </w:t>
      </w:r>
      <w:r w:rsidR="00415FF1">
        <w:rPr>
          <w:lang w:val="es-ES_tradnl"/>
        </w:rPr>
        <w:t>e</w:t>
      </w:r>
      <w:r w:rsidRPr="00472E2D">
        <w:rPr>
          <w:lang w:val="es-ES_tradnl"/>
        </w:rPr>
        <w:t xml:space="preserve"> </w:t>
      </w:r>
      <w:proofErr w:type="gramStart"/>
      <w:r w:rsidR="00E3354E">
        <w:rPr>
          <w:lang w:val="es-ES_tradnl"/>
        </w:rPr>
        <w:t>informado</w:t>
      </w:r>
      <w:r w:rsidRPr="00472E2D">
        <w:rPr>
          <w:lang w:val="es-ES_tradnl"/>
        </w:rPr>
        <w:t>[</w:t>
      </w:r>
      <w:proofErr w:type="gramEnd"/>
      <w:r w:rsidRPr="00472E2D">
        <w:rPr>
          <w:lang w:val="es-ES_tradnl"/>
        </w:rPr>
        <w:t xml:space="preserve">, de conformidad con las circunstancias nacionales]; </w:t>
      </w:r>
    </w:p>
    <w:p w14:paraId="3ECC4D52" w14:textId="77777777" w:rsidR="00472E2D" w:rsidRPr="00472E2D" w:rsidRDefault="00472E2D" w:rsidP="00472E2D">
      <w:pPr>
        <w:numPr>
          <w:ilvl w:val="1"/>
          <w:numId w:val="108"/>
        </w:numPr>
        <w:tabs>
          <w:tab w:val="clear" w:pos="567"/>
          <w:tab w:val="left" w:pos="2835"/>
          <w:tab w:val="left" w:pos="3402"/>
        </w:tabs>
        <w:spacing w:after="120"/>
        <w:ind w:firstLine="0"/>
        <w:rPr>
          <w:lang w:val="es-ES_tradnl"/>
        </w:rPr>
      </w:pPr>
      <w:r w:rsidRPr="00472E2D">
        <w:rPr>
          <w:lang w:val="es-ES_tradnl"/>
        </w:rPr>
        <w:t xml:space="preserve">[Estándares de metadatos interoperables;] </w:t>
      </w:r>
    </w:p>
    <w:p w14:paraId="3EBF1CC7" w14:textId="77777777" w:rsidR="00472E2D" w:rsidRPr="00472E2D" w:rsidRDefault="00472E2D" w:rsidP="00472E2D">
      <w:pPr>
        <w:numPr>
          <w:ilvl w:val="1"/>
          <w:numId w:val="108"/>
        </w:numPr>
        <w:tabs>
          <w:tab w:val="clear" w:pos="567"/>
          <w:tab w:val="clear" w:pos="1701"/>
          <w:tab w:val="left" w:pos="2835"/>
          <w:tab w:val="left" w:pos="3402"/>
        </w:tabs>
        <w:spacing w:after="120"/>
        <w:ind w:left="2250" w:hanging="450"/>
        <w:rPr>
          <w:lang w:val="es-ES_tradnl"/>
        </w:rPr>
      </w:pPr>
      <w:r w:rsidRPr="00472E2D">
        <w:rPr>
          <w:lang w:val="es-ES_tradnl"/>
        </w:rPr>
        <w:t xml:space="preserve">Consonancia con los principios </w:t>
      </w:r>
      <w:proofErr w:type="spellStart"/>
      <w:r w:rsidRPr="00472E2D">
        <w:rPr>
          <w:lang w:val="es-ES_tradnl"/>
        </w:rPr>
        <w:t>CARE</w:t>
      </w:r>
      <w:proofErr w:type="spellEnd"/>
      <w:r w:rsidRPr="00472E2D">
        <w:rPr>
          <w:lang w:val="es-ES_tradnl"/>
        </w:rPr>
        <w:t xml:space="preserve">, </w:t>
      </w:r>
      <w:proofErr w:type="spellStart"/>
      <w:r w:rsidRPr="00472E2D">
        <w:rPr>
          <w:lang w:val="es-ES_tradnl"/>
        </w:rPr>
        <w:t>FAIR</w:t>
      </w:r>
      <w:proofErr w:type="spellEnd"/>
      <w:r w:rsidRPr="00472E2D">
        <w:rPr>
          <w:lang w:val="es-ES_tradnl"/>
        </w:rPr>
        <w:t xml:space="preserve"> y TRUST (transparencia, responsabilidad, enfoque en el usuario y tecnología), así como con las recomendaciones establecidas en la sección III de la </w:t>
      </w:r>
      <w:r w:rsidRPr="00472E2D">
        <w:rPr>
          <w:i/>
          <w:iCs/>
          <w:lang w:val="es-ES_tradnl"/>
        </w:rPr>
        <w:t xml:space="preserve">Recomendación sobre la Ciencia Abierta </w:t>
      </w:r>
      <w:r w:rsidRPr="00472E2D">
        <w:rPr>
          <w:lang w:val="es-ES_tradnl"/>
        </w:rPr>
        <w:t>de la Organización de las Naciones Unidas para la Educación, la Ciencia y la Cultura.]</w:t>
      </w:r>
    </w:p>
    <w:p w14:paraId="44BFDDE7" w14:textId="77777777" w:rsidR="00472E2D" w:rsidRPr="00472E2D" w:rsidRDefault="00472E2D" w:rsidP="00472E2D">
      <w:pPr>
        <w:tabs>
          <w:tab w:val="clear" w:pos="567"/>
          <w:tab w:val="clear" w:pos="1134"/>
          <w:tab w:val="left" w:pos="2835"/>
          <w:tab w:val="left" w:pos="3402"/>
        </w:tabs>
        <w:spacing w:after="120"/>
        <w:ind w:left="1710"/>
        <w:rPr>
          <w:lang w:val="es-ES_tradnl"/>
        </w:rPr>
      </w:pPr>
      <w:r w:rsidRPr="00472E2D">
        <w:rPr>
          <w:lang w:val="es-ES_tradnl"/>
        </w:rPr>
        <w:t xml:space="preserve">[b </w:t>
      </w:r>
      <w:proofErr w:type="spellStart"/>
      <w:r w:rsidRPr="00472E2D">
        <w:rPr>
          <w:lang w:val="es-ES_tradnl"/>
        </w:rPr>
        <w:t>Alt</w:t>
      </w:r>
      <w:proofErr w:type="spellEnd"/>
      <w:r w:rsidRPr="00472E2D">
        <w:rPr>
          <w:lang w:val="es-ES_tradnl"/>
        </w:rPr>
        <w:t>.)</w:t>
      </w:r>
      <w:r w:rsidRPr="00472E2D">
        <w:rPr>
          <w:lang w:val="es-ES_tradnl"/>
        </w:rPr>
        <w:tab/>
        <w:t xml:space="preserve">Organizaciones que alberguen bases de datos para poner a disposición del público información digital sobre secuencias de recursos genéticos e intercambien información con la Secretaria Ejecutiva para la 18ª reunión de la Conferencia de las Partes en relación con la implementación del párrafo 10 del anexo de la decisión </w:t>
      </w:r>
      <w:hyperlink r:id="rId23" w:history="1">
        <w:r w:rsidRPr="00472E2D">
          <w:rPr>
            <w:color w:val="0000FF" w:themeColor="hyperlink"/>
            <w:u w:val="single"/>
            <w:lang w:val="es-ES_tradnl"/>
          </w:rPr>
          <w:t>16/2</w:t>
        </w:r>
      </w:hyperlink>
      <w:r w:rsidRPr="00472E2D">
        <w:rPr>
          <w:lang w:val="es-ES_tradnl"/>
        </w:rPr>
        <w:t>;]</w:t>
      </w:r>
    </w:p>
    <w:p w14:paraId="0FB0B812" w14:textId="77777777" w:rsidR="00472E2D" w:rsidRPr="00472E2D" w:rsidRDefault="00472E2D" w:rsidP="00472E2D">
      <w:pPr>
        <w:tabs>
          <w:tab w:val="clear" w:pos="567"/>
          <w:tab w:val="clear" w:pos="1701"/>
          <w:tab w:val="clear" w:pos="2268"/>
          <w:tab w:val="left" w:pos="2552"/>
          <w:tab w:val="left" w:pos="2835"/>
          <w:tab w:val="left" w:pos="3402"/>
        </w:tabs>
        <w:spacing w:after="120"/>
        <w:ind w:left="1080" w:firstLine="630"/>
        <w:rPr>
          <w:lang w:val="es-ES_tradnl"/>
        </w:rPr>
      </w:pPr>
      <w:r w:rsidRPr="00472E2D">
        <w:rPr>
          <w:lang w:val="es-ES_tradnl"/>
        </w:rPr>
        <w:t xml:space="preserve">[b </w:t>
      </w:r>
      <w:proofErr w:type="spellStart"/>
      <w:r w:rsidRPr="00472E2D">
        <w:rPr>
          <w:lang w:val="es-ES_tradnl"/>
        </w:rPr>
        <w:t>Alt</w:t>
      </w:r>
      <w:proofErr w:type="spellEnd"/>
      <w:r w:rsidRPr="00472E2D">
        <w:rPr>
          <w:lang w:val="es-ES_tradnl"/>
        </w:rPr>
        <w:t>. bis)</w:t>
      </w:r>
      <w:r w:rsidRPr="00472E2D">
        <w:rPr>
          <w:lang w:val="es-ES_tradnl"/>
        </w:rPr>
        <w:tab/>
        <w:t xml:space="preserve">Las Partes y otros gobiernos que financian, auspician o acogen bases de datos de información digital sobre secuencias de recursos genéticos para intercambiar información sobre las medidas que han tomado para garantizar que las entidades que operan [tales][esas] bases de datos [garanticen la implementación eficaz del Mecanismo Multilateral, y que los usuarios en sus jurisdicciones tomen medidas para elaborar e] implementar de manera gradual los párrafos 11 y 12 del anexo de la decisión </w:t>
      </w:r>
      <w:hyperlink r:id="rId24" w:history="1">
        <w:r w:rsidRPr="00472E2D">
          <w:rPr>
            <w:color w:val="0000FF" w:themeColor="hyperlink"/>
            <w:u w:val="single"/>
            <w:lang w:val="es-ES_tradnl"/>
          </w:rPr>
          <w:t>16/2</w:t>
        </w:r>
      </w:hyperlink>
      <w:r w:rsidRPr="00472E2D">
        <w:rPr>
          <w:lang w:val="es-ES_tradnl"/>
        </w:rPr>
        <w:t>;]]</w:t>
      </w:r>
    </w:p>
    <w:p w14:paraId="09923327" w14:textId="77777777" w:rsidR="00472E2D" w:rsidRPr="00472E2D" w:rsidRDefault="00472E2D" w:rsidP="00472E2D">
      <w:pPr>
        <w:tabs>
          <w:tab w:val="clear" w:pos="567"/>
          <w:tab w:val="clear" w:pos="1701"/>
          <w:tab w:val="left" w:pos="1350"/>
          <w:tab w:val="left" w:pos="2835"/>
          <w:tab w:val="left" w:pos="3402"/>
        </w:tabs>
        <w:spacing w:after="120"/>
        <w:ind w:left="1080" w:firstLine="630"/>
        <w:rPr>
          <w:lang w:val="es-ES_tradnl"/>
        </w:rPr>
      </w:pPr>
      <w:r w:rsidRPr="00472E2D">
        <w:rPr>
          <w:lang w:val="es-ES_tradnl"/>
        </w:rPr>
        <w:t>[c)</w:t>
      </w:r>
      <w:r w:rsidRPr="00472E2D">
        <w:rPr>
          <w:lang w:val="es-ES_tradnl"/>
        </w:rPr>
        <w:tab/>
        <w:t>La exploración de enfoques prácticos para mejorar [la responsabilidad y] la transparencia a todas las Partes en relación con la presentación y utilización de información digital sobre secuencias de recursos genéticos, manteniendo a la vez el acceso abierto y tomando en cuenta las prácticas de bases de datos existentes [y la legislación y las medidas nacionales vigentes];]</w:t>
      </w:r>
    </w:p>
    <w:p w14:paraId="48C123E1" w14:textId="77777777" w:rsidR="00472E2D" w:rsidRPr="00472E2D" w:rsidRDefault="00472E2D" w:rsidP="00472E2D">
      <w:pPr>
        <w:tabs>
          <w:tab w:val="clear" w:pos="567"/>
          <w:tab w:val="left" w:pos="2835"/>
          <w:tab w:val="left" w:pos="3402"/>
        </w:tabs>
        <w:spacing w:after="120"/>
        <w:ind w:left="1080" w:firstLine="630"/>
        <w:rPr>
          <w:lang w:val="es-ES_tradnl"/>
        </w:rPr>
      </w:pPr>
      <w:r w:rsidRPr="00472E2D">
        <w:rPr>
          <w:lang w:val="es-ES_tradnl"/>
        </w:rPr>
        <w:t>[10.</w:t>
      </w:r>
      <w:r w:rsidRPr="00472E2D">
        <w:rPr>
          <w:i/>
          <w:iCs/>
          <w:lang w:val="es-ES_tradnl"/>
        </w:rPr>
        <w:tab/>
        <w:t>Invita</w:t>
      </w:r>
      <w:r w:rsidRPr="00472E2D">
        <w:rPr>
          <w:lang w:val="es-ES_tradnl"/>
        </w:rPr>
        <w:t xml:space="preserve"> a las Partes y las organizaciones y los interesados pertinentes que estén en condición de hacerlo a que proporcionen creación de capacidad, asistencia técnica, transferencia de </w:t>
      </w:r>
      <w:proofErr w:type="gramStart"/>
      <w:r w:rsidRPr="00472E2D">
        <w:rPr>
          <w:lang w:val="es-ES_tradnl"/>
        </w:rPr>
        <w:t>tecnología[</w:t>
      </w:r>
      <w:proofErr w:type="gramEnd"/>
      <w:r w:rsidRPr="00472E2D">
        <w:rPr>
          <w:lang w:val="es-ES_tradnl"/>
        </w:rPr>
        <w:t xml:space="preserve">, de manera voluntaria y sobre condiciones mutuamente acordadas] y apoyo financiero para la labor esbozada en los anteriores subpárrafos 9 a) y b);] </w:t>
      </w:r>
    </w:p>
    <w:p w14:paraId="348A37DF" w14:textId="77777777" w:rsidR="00472E2D" w:rsidRPr="00472E2D" w:rsidRDefault="00472E2D" w:rsidP="00472E2D">
      <w:pPr>
        <w:tabs>
          <w:tab w:val="clear" w:pos="567"/>
          <w:tab w:val="left" w:pos="2835"/>
          <w:tab w:val="left" w:pos="3402"/>
        </w:tabs>
        <w:spacing w:after="120"/>
        <w:ind w:left="1080" w:firstLine="630"/>
        <w:rPr>
          <w:lang w:val="es-ES_tradnl"/>
        </w:rPr>
      </w:pPr>
      <w:r w:rsidRPr="00472E2D">
        <w:rPr>
          <w:lang w:val="es-ES_tradnl"/>
        </w:rPr>
        <w:t>11.</w:t>
      </w:r>
      <w:r w:rsidRPr="00472E2D">
        <w:rPr>
          <w:lang w:val="es-ES_tradnl"/>
        </w:rPr>
        <w:tab/>
      </w:r>
      <w:r w:rsidRPr="00472E2D">
        <w:rPr>
          <w:i/>
          <w:iCs/>
          <w:lang w:val="es-ES_tradnl"/>
        </w:rPr>
        <w:t>Invita</w:t>
      </w:r>
      <w:r w:rsidRPr="00472E2D">
        <w:rPr>
          <w:lang w:val="es-ES_tradnl"/>
        </w:rPr>
        <w:t xml:space="preserve"> a los distintos actores a que se hace referencia en el párrafo 9 anterior a aportar información a la Secretaría sobre la labor pertinente emprendida y sus resultados;</w:t>
      </w:r>
    </w:p>
    <w:p w14:paraId="358E2447" w14:textId="77777777" w:rsidR="00472E2D" w:rsidRPr="00472E2D" w:rsidRDefault="00472E2D" w:rsidP="00472E2D">
      <w:pPr>
        <w:tabs>
          <w:tab w:val="clear" w:pos="567"/>
          <w:tab w:val="left" w:pos="2835"/>
          <w:tab w:val="left" w:pos="3402"/>
        </w:tabs>
        <w:spacing w:after="120"/>
        <w:ind w:left="1080" w:firstLine="630"/>
        <w:rPr>
          <w:lang w:val="es-ES_tradnl"/>
        </w:rPr>
      </w:pPr>
      <w:r w:rsidRPr="00472E2D">
        <w:rPr>
          <w:lang w:val="es-ES_tradnl"/>
        </w:rPr>
        <w:t xml:space="preserve">[12. </w:t>
      </w:r>
      <w:r w:rsidRPr="00472E2D">
        <w:rPr>
          <w:lang w:val="es-ES_tradnl"/>
        </w:rPr>
        <w:tab/>
      </w:r>
      <w:r w:rsidRPr="00472E2D">
        <w:rPr>
          <w:i/>
          <w:iCs/>
          <w:lang w:val="es-ES_tradnl"/>
        </w:rPr>
        <w:t>Pide</w:t>
      </w:r>
      <w:r w:rsidRPr="00472E2D">
        <w:rPr>
          <w:lang w:val="es-ES_tradnl"/>
        </w:rPr>
        <w:t xml:space="preserve"> a la Secretaria Ejecutiva que, con sujeción a la disponibilidad de recursos, garantice que las conclusiones y las recomendaciones resultantes del estudio sobre herramientas y modelos, para garantizar que las conclusiones y las recomendaciones resultantes del estudio sobre herramientas y modelos, tales como las bases de datos, para poner a disposición del público y dar acceso a la información digital sobre secuencias de recursos genéticos de manera transparente y responsable</w:t>
      </w:r>
      <w:r w:rsidRPr="00472E2D">
        <w:rPr>
          <w:vertAlign w:val="superscript"/>
          <w:lang w:val="es-ES_tradnl"/>
        </w:rPr>
        <w:footnoteReference w:id="1"/>
      </w:r>
      <w:r w:rsidRPr="00472E2D">
        <w:rPr>
          <w:lang w:val="es-ES_tradnl"/>
        </w:rPr>
        <w:t>, estén sujetas a la revisión por pares, permitiendo a las Partes, los pueblos indígenas y las comunidades locales, los operadores de bases de datos y los expertos pertinentes que proporcionen comentarios, y que presente el estudio y la recomendación finales para ser sometidos a revisión del Órgano Subsidiario sobre la Aplicación, en una reunión a celebrarse antes de la 18ª reunión de la Conferencia de las Partes, y asimismo ser sometidos a revisión de la Conferencia de las Partes en su 18ª reunión, [antes de que sean informadas elaboraciones futuras de políticas];]</w:t>
      </w:r>
    </w:p>
    <w:p w14:paraId="29128F76" w14:textId="77777777" w:rsidR="00472E2D" w:rsidRPr="00472E2D" w:rsidRDefault="00472E2D" w:rsidP="00472E2D">
      <w:pPr>
        <w:keepNext/>
        <w:tabs>
          <w:tab w:val="clear" w:pos="567"/>
          <w:tab w:val="left" w:pos="2835"/>
          <w:tab w:val="left" w:pos="3402"/>
        </w:tabs>
        <w:spacing w:after="120"/>
        <w:ind w:left="1080" w:firstLine="720"/>
        <w:rPr>
          <w:lang w:val="es-ES_tradnl"/>
        </w:rPr>
      </w:pPr>
      <w:r w:rsidRPr="00472E2D">
        <w:rPr>
          <w:lang w:val="es-ES_tradnl"/>
        </w:rPr>
        <w:t>13.</w:t>
      </w:r>
      <w:r w:rsidRPr="00472E2D">
        <w:rPr>
          <w:i/>
          <w:iCs/>
          <w:lang w:val="es-ES_tradnl"/>
        </w:rPr>
        <w:tab/>
        <w:t>Pide asimismo</w:t>
      </w:r>
      <w:r w:rsidRPr="00472E2D">
        <w:rPr>
          <w:lang w:val="es-ES_tradnl"/>
        </w:rPr>
        <w:t xml:space="preserve"> a la Secretaria Ejecutiva que, con sujeción a la disponibilidad de recursos:</w:t>
      </w:r>
    </w:p>
    <w:p w14:paraId="48166946" w14:textId="77777777" w:rsidR="00472E2D" w:rsidRPr="00472E2D" w:rsidRDefault="00472E2D" w:rsidP="00472E2D">
      <w:pPr>
        <w:numPr>
          <w:ilvl w:val="3"/>
          <w:numId w:val="108"/>
        </w:numPr>
        <w:tabs>
          <w:tab w:val="clear" w:pos="567"/>
          <w:tab w:val="left" w:pos="2835"/>
          <w:tab w:val="left" w:pos="3402"/>
        </w:tabs>
        <w:spacing w:after="120"/>
        <w:ind w:left="1080" w:firstLine="810"/>
        <w:rPr>
          <w:lang w:val="es-ES_tradnl"/>
        </w:rPr>
      </w:pPr>
      <w:r w:rsidRPr="00472E2D">
        <w:rPr>
          <w:lang w:val="es-ES_tradnl"/>
        </w:rPr>
        <w:t>Pida y recopile la información a la que se hace mención en el párrafo 11 anterior para su divulgación a través del mecanismo de facilitación del Convenio y del Centro de Intercambio de Información sobre Acceso y Participación en los Beneficios;</w:t>
      </w:r>
    </w:p>
    <w:p w14:paraId="1ED1803E" w14:textId="77777777" w:rsidR="00472E2D" w:rsidRPr="00472E2D" w:rsidRDefault="00472E2D" w:rsidP="00472E2D">
      <w:pPr>
        <w:numPr>
          <w:ilvl w:val="3"/>
          <w:numId w:val="108"/>
        </w:numPr>
        <w:tabs>
          <w:tab w:val="clear" w:pos="567"/>
          <w:tab w:val="left" w:pos="2835"/>
          <w:tab w:val="left" w:pos="3402"/>
        </w:tabs>
        <w:spacing w:after="120"/>
        <w:ind w:left="1080" w:firstLine="810"/>
        <w:rPr>
          <w:lang w:val="es-ES_tradnl"/>
        </w:rPr>
      </w:pPr>
      <w:r w:rsidRPr="00472E2D">
        <w:rPr>
          <w:lang w:val="es-ES_tradnl"/>
        </w:rPr>
        <w:t xml:space="preserve">Emita un llamado solicitando información en otras plataformas y mecanismos de facilitación de información fuera del Convenio y sus Protocolos a fin de colaborar con la divulgación de esos materiales educativos; </w:t>
      </w:r>
    </w:p>
    <w:p w14:paraId="66318DE2" w14:textId="77777777" w:rsidR="00472E2D" w:rsidRPr="00472E2D" w:rsidRDefault="00472E2D" w:rsidP="00472E2D">
      <w:pPr>
        <w:tabs>
          <w:tab w:val="clear" w:pos="567"/>
          <w:tab w:val="left" w:pos="2835"/>
          <w:tab w:val="left" w:pos="3402"/>
        </w:tabs>
        <w:spacing w:after="120"/>
        <w:ind w:left="1980"/>
        <w:rPr>
          <w:lang w:val="es-ES_tradnl"/>
        </w:rPr>
      </w:pPr>
      <w:r w:rsidRPr="00472E2D">
        <w:rPr>
          <w:lang w:val="es-ES_tradnl"/>
        </w:rPr>
        <w:t>[</w:t>
      </w:r>
    </w:p>
    <w:p w14:paraId="161CFC42" w14:textId="44CFD569" w:rsidR="00472E2D" w:rsidRPr="00472E2D" w:rsidRDefault="00472E2D" w:rsidP="00027C3A">
      <w:pPr>
        <w:tabs>
          <w:tab w:val="clear" w:pos="567"/>
          <w:tab w:val="left" w:pos="2835"/>
          <w:tab w:val="left" w:pos="3402"/>
        </w:tabs>
        <w:spacing w:after="120"/>
        <w:ind w:left="1080" w:firstLine="900"/>
        <w:rPr>
          <w:lang w:val="es-ES_tradnl"/>
        </w:rPr>
      </w:pPr>
      <w:r w:rsidRPr="00472E2D">
        <w:rPr>
          <w:lang w:val="es-ES_tradnl"/>
        </w:rPr>
        <w:t>14.</w:t>
      </w:r>
      <w:r w:rsidRPr="00472E2D">
        <w:rPr>
          <w:i/>
          <w:iCs/>
          <w:lang w:val="es-ES_tradnl"/>
        </w:rPr>
        <w:tab/>
      </w:r>
      <w:r w:rsidR="00027C3A">
        <w:rPr>
          <w:i/>
          <w:iCs/>
          <w:lang w:val="es-ES_tradnl"/>
        </w:rPr>
        <w:t xml:space="preserve">   </w:t>
      </w:r>
      <w:r w:rsidRPr="00472E2D">
        <w:rPr>
          <w:lang w:val="es-ES_tradnl"/>
        </w:rPr>
        <w:t>[</w:t>
      </w:r>
      <w:r w:rsidRPr="00472E2D">
        <w:rPr>
          <w:i/>
          <w:iCs/>
          <w:lang w:val="es-ES_tradnl"/>
        </w:rPr>
        <w:t>Adopta</w:t>
      </w:r>
      <w:r w:rsidRPr="00472E2D">
        <w:rPr>
          <w:i/>
          <w:lang w:val="es-ES_tradnl"/>
        </w:rPr>
        <w:t xml:space="preserve"> </w:t>
      </w:r>
      <w:r w:rsidRPr="00472E2D">
        <w:rPr>
          <w:iCs/>
          <w:lang w:val="es-ES_tradnl"/>
        </w:rPr>
        <w:t>la][</w:t>
      </w:r>
      <w:r w:rsidRPr="00472E2D">
        <w:rPr>
          <w:i/>
          <w:iCs/>
          <w:lang w:val="es-ES_tradnl"/>
        </w:rPr>
        <w:t xml:space="preserve">Toma nota </w:t>
      </w:r>
      <w:r w:rsidRPr="00472E2D">
        <w:rPr>
          <w:lang w:val="es-ES_tradnl"/>
        </w:rPr>
        <w:t xml:space="preserve">de la propuesta de] metodología de revisión que figura en el anexo de la presente decisión; </w:t>
      </w:r>
    </w:p>
    <w:p w14:paraId="71062BB1" w14:textId="77777777" w:rsidR="00472E2D" w:rsidRPr="00472E2D" w:rsidRDefault="00472E2D" w:rsidP="00472E2D">
      <w:pPr>
        <w:tabs>
          <w:tab w:val="clear" w:pos="567"/>
          <w:tab w:val="left" w:pos="2835"/>
          <w:tab w:val="left" w:pos="3402"/>
        </w:tabs>
        <w:spacing w:after="120"/>
        <w:ind w:left="1080" w:firstLine="900"/>
        <w:rPr>
          <w:lang w:val="es-ES_tradnl"/>
        </w:rPr>
      </w:pPr>
      <w:r w:rsidRPr="00472E2D">
        <w:rPr>
          <w:lang w:val="es-ES_tradnl"/>
        </w:rPr>
        <w:t>15.</w:t>
      </w:r>
      <w:r w:rsidRPr="00472E2D">
        <w:rPr>
          <w:i/>
          <w:iCs/>
          <w:lang w:val="es-ES_tradnl"/>
        </w:rPr>
        <w:tab/>
        <w:t xml:space="preserve">   Pide </w:t>
      </w:r>
      <w:r w:rsidRPr="00472E2D">
        <w:rPr>
          <w:lang w:val="es-ES_tradnl"/>
        </w:rPr>
        <w:t>a la Secretaria Ejecutiva que, en consulta con el Comité Directivo, y en consonancia con la metodología de revisión y con sujeción a la disponibilidad de recursos:</w:t>
      </w:r>
    </w:p>
    <w:p w14:paraId="14C71C97" w14:textId="77777777" w:rsidR="00472E2D" w:rsidRPr="00472E2D" w:rsidRDefault="00472E2D" w:rsidP="00472E2D">
      <w:pPr>
        <w:numPr>
          <w:ilvl w:val="0"/>
          <w:numId w:val="110"/>
        </w:numPr>
        <w:tabs>
          <w:tab w:val="clear" w:pos="567"/>
          <w:tab w:val="left" w:pos="2835"/>
          <w:tab w:val="left" w:pos="3402"/>
        </w:tabs>
        <w:spacing w:after="120"/>
        <w:ind w:left="1080" w:firstLine="900"/>
        <w:rPr>
          <w:lang w:val="es-ES_tradnl"/>
        </w:rPr>
      </w:pPr>
      <w:r w:rsidRPr="00472E2D">
        <w:rPr>
          <w:lang w:val="es-ES_tradnl"/>
        </w:rPr>
        <w:t xml:space="preserve">   Elabore y divulgue una encuesta disponible en todos los idiomas oficiales de las Naciones Unidas para recopilar datos e información pertinentes de las Partes, otros gobiernos, los pueblos indígenas y las comunidades locales, las organizaciones de las mujeres y la juventud y otros interesados pertinentes, así como otras organizaciones, incluidos la comunidad científica, los gestores de bases de datos y el sector privado, a fin de aportar información para la primera revisión de la eficacia del Mecanismo Multilateral, incluido el Fondo de Cali,  y para la elaboración de encuestas para revisiones futuras;</w:t>
      </w:r>
    </w:p>
    <w:p w14:paraId="35A086ED" w14:textId="77777777" w:rsidR="00472E2D" w:rsidRPr="00472E2D" w:rsidRDefault="00472E2D" w:rsidP="00472E2D">
      <w:pPr>
        <w:numPr>
          <w:ilvl w:val="0"/>
          <w:numId w:val="110"/>
        </w:numPr>
        <w:tabs>
          <w:tab w:val="clear" w:pos="567"/>
          <w:tab w:val="left" w:pos="2835"/>
          <w:tab w:val="left" w:pos="3402"/>
        </w:tabs>
        <w:spacing w:after="120"/>
        <w:ind w:left="1080" w:firstLine="900"/>
        <w:rPr>
          <w:lang w:val="es-ES_tradnl"/>
        </w:rPr>
      </w:pPr>
      <w:r w:rsidRPr="00472E2D">
        <w:rPr>
          <w:lang w:val="es-ES_tradnl"/>
        </w:rPr>
        <w:t xml:space="preserve">    Encargue un informe de revisión que contenga: a) un análisis de los datos y la información presentados con arreglo al subpárrafo 15 a) anterior, en consonancia con los pilares y la evaluación de gobernanza del Mecanismo Multilateral, incluido el Fondo de Cali, información del informe mundial sobre los progresos colectivos en la implementación del Marco Mundial de Biodiversidad de Kunming-Montreal</w:t>
      </w:r>
      <w:r w:rsidRPr="00472E2D">
        <w:rPr>
          <w:vertAlign w:val="superscript"/>
          <w:lang w:val="es-ES_tradnl"/>
        </w:rPr>
        <w:footnoteReference w:id="2"/>
      </w:r>
      <w:r w:rsidRPr="00472E2D">
        <w:rPr>
          <w:lang w:val="es-ES_tradnl"/>
        </w:rPr>
        <w:t xml:space="preserve"> y otros recursos fácilmente disponibles, según proceda; y b) recomendaciones para mejorar la eficacia del Mecanismo Multilateral, incluido el Fondo de Cali;</w:t>
      </w:r>
    </w:p>
    <w:p w14:paraId="6A65032B" w14:textId="77777777" w:rsidR="00472E2D" w:rsidRPr="00472E2D" w:rsidRDefault="00472E2D" w:rsidP="00472E2D">
      <w:pPr>
        <w:numPr>
          <w:ilvl w:val="0"/>
          <w:numId w:val="110"/>
        </w:numPr>
        <w:tabs>
          <w:tab w:val="clear" w:pos="567"/>
          <w:tab w:val="left" w:pos="2835"/>
          <w:tab w:val="left" w:pos="3402"/>
        </w:tabs>
        <w:spacing w:after="120"/>
        <w:ind w:left="1080" w:firstLine="990"/>
        <w:rPr>
          <w:lang w:val="es-ES_tradnl"/>
        </w:rPr>
      </w:pPr>
      <w:r w:rsidRPr="00472E2D">
        <w:rPr>
          <w:lang w:val="es-ES_tradnl"/>
        </w:rPr>
        <w:t xml:space="preserve">    Presente el informe de revisión al Comité Directivo para darle al mismo la oportunidad de intercambiar sus puntos de vista y dar cualquier recomendación que pueda tener al respecto, y que presente el informe y las recomendaciones del Comité al Órgano Subsidiario sobre la Aplicación;</w:t>
      </w:r>
    </w:p>
    <w:p w14:paraId="403776FE" w14:textId="77777777" w:rsidR="00472E2D" w:rsidRPr="00472E2D" w:rsidRDefault="00472E2D" w:rsidP="00472E2D">
      <w:pPr>
        <w:tabs>
          <w:tab w:val="clear" w:pos="567"/>
          <w:tab w:val="left" w:pos="2835"/>
          <w:tab w:val="left" w:pos="3402"/>
        </w:tabs>
        <w:spacing w:after="120"/>
        <w:ind w:left="1080" w:firstLine="900"/>
        <w:rPr>
          <w:lang w:val="es-ES_tradnl"/>
        </w:rPr>
      </w:pPr>
      <w:r w:rsidRPr="00472E2D">
        <w:rPr>
          <w:lang w:val="es-ES_tradnl"/>
        </w:rPr>
        <w:t>16.</w:t>
      </w:r>
      <w:r w:rsidRPr="00472E2D">
        <w:rPr>
          <w:lang w:val="es-ES_tradnl"/>
        </w:rPr>
        <w:tab/>
      </w:r>
      <w:r w:rsidRPr="00472E2D">
        <w:rPr>
          <w:lang w:val="es-ES_tradnl"/>
        </w:rPr>
        <w:tab/>
      </w:r>
      <w:r w:rsidRPr="00472E2D">
        <w:rPr>
          <w:i/>
          <w:iCs/>
          <w:lang w:val="es-ES_tradnl"/>
        </w:rPr>
        <w:t>Invita</w:t>
      </w:r>
      <w:r w:rsidRPr="00472E2D">
        <w:rPr>
          <w:lang w:val="es-ES_tradnl"/>
        </w:rPr>
        <w:t xml:space="preserve"> a los actores interesados a responder a la encuesta a la que se hace referencia en el párrafo 15 a) anterior;</w:t>
      </w:r>
    </w:p>
    <w:p w14:paraId="2ADCB71B" w14:textId="77777777" w:rsidR="00472E2D" w:rsidRPr="00472E2D" w:rsidRDefault="00472E2D" w:rsidP="00472E2D">
      <w:pPr>
        <w:tabs>
          <w:tab w:val="clear" w:pos="567"/>
          <w:tab w:val="left" w:pos="2835"/>
          <w:tab w:val="left" w:pos="3402"/>
        </w:tabs>
        <w:spacing w:after="120"/>
        <w:ind w:left="1080" w:firstLine="900"/>
        <w:rPr>
          <w:lang w:val="es-ES_tradnl"/>
        </w:rPr>
      </w:pPr>
      <w:r w:rsidRPr="00472E2D">
        <w:rPr>
          <w:lang w:val="es-ES_tradnl"/>
        </w:rPr>
        <w:t>17.</w:t>
      </w:r>
      <w:r w:rsidRPr="00472E2D">
        <w:rPr>
          <w:lang w:val="es-ES_tradnl"/>
        </w:rPr>
        <w:tab/>
      </w:r>
      <w:r w:rsidRPr="00472E2D">
        <w:rPr>
          <w:lang w:val="es-ES_tradnl"/>
        </w:rPr>
        <w:tab/>
      </w:r>
      <w:r w:rsidRPr="00472E2D">
        <w:rPr>
          <w:i/>
          <w:iCs/>
          <w:lang w:val="es-ES_tradnl"/>
        </w:rPr>
        <w:t>Pide</w:t>
      </w:r>
      <w:r w:rsidRPr="00472E2D">
        <w:rPr>
          <w:lang w:val="es-ES_tradnl"/>
        </w:rPr>
        <w:t xml:space="preserve"> que, en una reunión a celebrarse antes de la 18ª reunión de la Conferencia de las Partes, el Órgano Subsidiario sobre la Aplicación revise los puntos de vista y las recomendaciones del Comité Directivo sobre el informe de revisión, de existir, y que, según proceda, presente una recomendación que se someterá a la consideración de la Conferencia de las Partes en su 18ª reunión.</w:t>
      </w:r>
    </w:p>
    <w:p w14:paraId="70694F90" w14:textId="77777777" w:rsidR="00472E2D" w:rsidRPr="00572886" w:rsidRDefault="00472E2D" w:rsidP="00472E2D">
      <w:pPr>
        <w:tabs>
          <w:tab w:val="clear" w:pos="567"/>
          <w:tab w:val="left" w:pos="2835"/>
          <w:tab w:val="left" w:pos="3402"/>
        </w:tabs>
        <w:spacing w:after="120"/>
        <w:ind w:left="1134" w:firstLine="567"/>
        <w:rPr>
          <w:lang w:val="es-MX"/>
        </w:rPr>
      </w:pPr>
      <w:r w:rsidRPr="00572886">
        <w:rPr>
          <w:lang w:val="es-MX"/>
        </w:rPr>
        <w:t>]</w:t>
      </w:r>
    </w:p>
    <w:p w14:paraId="2DE346F3" w14:textId="7779EE07" w:rsidR="00DF6325" w:rsidRPr="00572886" w:rsidRDefault="00DF6325" w:rsidP="009726CE">
      <w:pPr>
        <w:pStyle w:val="CBDNormalNoNumber"/>
        <w:tabs>
          <w:tab w:val="clear" w:pos="567"/>
        </w:tabs>
        <w:ind w:left="1134" w:firstLine="567"/>
        <w:rPr>
          <w:lang w:val="es-MX"/>
        </w:rPr>
      </w:pPr>
    </w:p>
    <w:p w14:paraId="6B1CCBF0" w14:textId="77777777" w:rsidR="003D49D8" w:rsidRPr="003D49D8" w:rsidRDefault="003D49D8" w:rsidP="003D49D8">
      <w:pPr>
        <w:keepNext/>
        <w:keepLines/>
        <w:tabs>
          <w:tab w:val="left" w:pos="2835"/>
          <w:tab w:val="left" w:pos="3402"/>
        </w:tabs>
        <w:spacing w:before="240" w:after="240"/>
        <w:jc w:val="left"/>
        <w:rPr>
          <w:b/>
          <w:sz w:val="28"/>
          <w:lang w:val="es-ES_tradnl"/>
        </w:rPr>
      </w:pPr>
      <w:r w:rsidRPr="003D49D8">
        <w:rPr>
          <w:b/>
          <w:sz w:val="28"/>
          <w:lang w:val="es-ES_tradnl"/>
        </w:rPr>
        <w:t>[Anexo</w:t>
      </w:r>
    </w:p>
    <w:p w14:paraId="4AC8B737" w14:textId="77777777" w:rsidR="003D49D8" w:rsidRPr="003D49D8" w:rsidRDefault="003D49D8" w:rsidP="003D49D8">
      <w:pPr>
        <w:keepNext/>
        <w:keepLines/>
        <w:tabs>
          <w:tab w:val="left" w:pos="2835"/>
          <w:tab w:val="left" w:pos="3402"/>
        </w:tabs>
        <w:spacing w:before="240" w:after="240"/>
        <w:jc w:val="left"/>
        <w:rPr>
          <w:b/>
          <w:caps/>
          <w:sz w:val="28"/>
          <w:lang w:val="es-ES_tradnl"/>
        </w:rPr>
      </w:pPr>
      <w:r w:rsidRPr="003D49D8">
        <w:rPr>
          <w:b/>
          <w:sz w:val="28"/>
          <w:lang w:val="es-ES_tradnl"/>
        </w:rPr>
        <w:t>Metodología de revisión de la eficacia del Mecanismo Multilateral de Participación Justa y Equitativa en los Beneficios que se Deriven de la Utilización de Información Digital sobre Secuencias de Recursos Genéticos, incluido el Fondo de Cali</w:t>
      </w:r>
      <w:r w:rsidRPr="003D49D8">
        <w:rPr>
          <w:b/>
          <w:sz w:val="28"/>
          <w:vertAlign w:val="superscript"/>
          <w:lang w:val="es-ES_tradnl"/>
        </w:rPr>
        <w:footnoteReference w:customMarkFollows="1" w:id="3"/>
        <w:t>*</w:t>
      </w:r>
    </w:p>
    <w:p w14:paraId="11298ABB" w14:textId="77777777" w:rsidR="003D49D8" w:rsidRPr="003D49D8" w:rsidRDefault="003D49D8" w:rsidP="003D49D8">
      <w:pPr>
        <w:keepNext/>
        <w:keepLines/>
        <w:tabs>
          <w:tab w:val="left" w:pos="2835"/>
          <w:tab w:val="left" w:pos="3402"/>
        </w:tabs>
        <w:spacing w:before="240" w:after="120"/>
        <w:ind w:left="567" w:hanging="567"/>
        <w:jc w:val="left"/>
        <w:outlineLvl w:val="0"/>
        <w:rPr>
          <w:b/>
          <w:sz w:val="28"/>
          <w:lang w:val="es-ES_tradnl"/>
        </w:rPr>
      </w:pPr>
      <w:r w:rsidRPr="003D49D8">
        <w:rPr>
          <w:b/>
          <w:sz w:val="28"/>
          <w:lang w:val="es-ES_tradnl"/>
        </w:rPr>
        <w:t>I.</w:t>
      </w:r>
      <w:r w:rsidRPr="003D49D8">
        <w:rPr>
          <w:b/>
          <w:sz w:val="28"/>
          <w:lang w:val="es-ES_tradnl"/>
        </w:rPr>
        <w:tab/>
        <w:t xml:space="preserve">Marco conceptual de la metodología de revisión </w:t>
      </w:r>
    </w:p>
    <w:p w14:paraId="01BBE1EF"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1.</w:t>
      </w:r>
      <w:r w:rsidRPr="003D49D8">
        <w:rPr>
          <w:lang w:val="es-ES_tradnl"/>
        </w:rPr>
        <w:tab/>
        <w:t>Para que el Mecanismo Multilateral para la Participación Justa y Equitativa en los Beneficios que se Deriven de la Utilización de Información Digital sobre Secuencias de Recursos Genéticos, incluido el Fondo de Cali, sea eficaz, deben darse cinco condiciones propicias (</w:t>
      </w:r>
      <w:proofErr w:type="spellStart"/>
      <w:r w:rsidRPr="003D49D8">
        <w:rPr>
          <w:lang w:val="es-ES_tradnl"/>
        </w:rPr>
        <w:t>CP1-CP5</w:t>
      </w:r>
      <w:proofErr w:type="spellEnd"/>
      <w:r w:rsidRPr="003D49D8">
        <w:rPr>
          <w:lang w:val="es-ES_tradnl"/>
        </w:rPr>
        <w:t>) en el ecosistema en el que opera el Mecanismo. Estas se consideran condiciones previas estructurales: las respuestas de políticas que deben darse en caso de deficiencias en las condiciones propicias difieren de las que deben darse para fallas en el diseño del mecanismo. Las cinco condiciones son:</w:t>
      </w:r>
    </w:p>
    <w:p w14:paraId="1FD73191" w14:textId="77777777" w:rsidR="003D49D8" w:rsidRPr="003D49D8" w:rsidRDefault="003D49D8" w:rsidP="003D49D8">
      <w:pPr>
        <w:tabs>
          <w:tab w:val="left" w:pos="2835"/>
          <w:tab w:val="left" w:pos="3402"/>
          <w:tab w:val="left" w:pos="3969"/>
        </w:tabs>
        <w:spacing w:before="120" w:after="120"/>
        <w:ind w:left="567" w:firstLine="567"/>
        <w:rPr>
          <w:lang w:val="es-ES_tradnl"/>
        </w:rPr>
      </w:pPr>
      <w:r w:rsidRPr="003D49D8">
        <w:rPr>
          <w:lang w:val="es-ES_tradnl"/>
        </w:rPr>
        <w:t>a)</w:t>
      </w:r>
      <w:r w:rsidRPr="003D49D8">
        <w:rPr>
          <w:lang w:val="es-ES_tradnl"/>
        </w:rPr>
        <w:tab/>
        <w:t>Claridad de la industria sobre las condiciones de contribución (</w:t>
      </w:r>
      <w:proofErr w:type="spellStart"/>
      <w:r w:rsidRPr="003D49D8">
        <w:rPr>
          <w:lang w:val="es-ES_tradnl"/>
        </w:rPr>
        <w:t>CP1</w:t>
      </w:r>
      <w:proofErr w:type="spellEnd"/>
      <w:r w:rsidRPr="003D49D8">
        <w:rPr>
          <w:lang w:val="es-ES_tradnl"/>
        </w:rPr>
        <w:t xml:space="preserve">); </w:t>
      </w:r>
    </w:p>
    <w:p w14:paraId="1D9553CF" w14:textId="77777777" w:rsidR="003D49D8" w:rsidRPr="003D49D8" w:rsidRDefault="003D49D8" w:rsidP="003D49D8">
      <w:pPr>
        <w:tabs>
          <w:tab w:val="left" w:pos="2835"/>
          <w:tab w:val="left" w:pos="3402"/>
          <w:tab w:val="left" w:pos="3969"/>
        </w:tabs>
        <w:spacing w:before="120" w:after="120"/>
        <w:ind w:left="567" w:firstLine="567"/>
        <w:rPr>
          <w:lang w:val="es-ES_tradnl"/>
        </w:rPr>
      </w:pPr>
      <w:r w:rsidRPr="003D49D8">
        <w:rPr>
          <w:lang w:val="es-ES_tradnl"/>
        </w:rPr>
        <w:t>b)</w:t>
      </w:r>
      <w:r w:rsidRPr="003D49D8">
        <w:rPr>
          <w:lang w:val="es-ES_tradnl"/>
        </w:rPr>
        <w:tab/>
        <w:t>Una justificación económica comercialmente viable (</w:t>
      </w:r>
      <w:proofErr w:type="spellStart"/>
      <w:r w:rsidRPr="003D49D8">
        <w:rPr>
          <w:lang w:val="es-ES_tradnl"/>
        </w:rPr>
        <w:t>CP2</w:t>
      </w:r>
      <w:proofErr w:type="spellEnd"/>
      <w:r w:rsidRPr="003D49D8">
        <w:rPr>
          <w:lang w:val="es-ES_tradnl"/>
        </w:rPr>
        <w:t>);</w:t>
      </w:r>
    </w:p>
    <w:p w14:paraId="04BCE54C" w14:textId="77777777" w:rsidR="003D49D8" w:rsidRPr="003D49D8" w:rsidRDefault="003D49D8" w:rsidP="003D49D8">
      <w:pPr>
        <w:tabs>
          <w:tab w:val="left" w:pos="2835"/>
          <w:tab w:val="left" w:pos="3402"/>
          <w:tab w:val="left" w:pos="3969"/>
        </w:tabs>
        <w:spacing w:before="120" w:after="120"/>
        <w:ind w:left="567" w:firstLine="567"/>
        <w:rPr>
          <w:lang w:val="es-ES_tradnl"/>
        </w:rPr>
      </w:pPr>
      <w:r w:rsidRPr="003D49D8">
        <w:rPr>
          <w:lang w:val="es-ES_tradnl"/>
        </w:rPr>
        <w:t>c)</w:t>
      </w:r>
      <w:r w:rsidRPr="003D49D8">
        <w:rPr>
          <w:lang w:val="es-ES_tradnl"/>
        </w:rPr>
        <w:tab/>
        <w:t>Seguridad jurídica para contribuyentes y proveedores (</w:t>
      </w:r>
      <w:proofErr w:type="spellStart"/>
      <w:r w:rsidRPr="003D49D8">
        <w:rPr>
          <w:lang w:val="es-ES_tradnl"/>
        </w:rPr>
        <w:t>CP3</w:t>
      </w:r>
      <w:proofErr w:type="spellEnd"/>
      <w:r w:rsidRPr="003D49D8">
        <w:rPr>
          <w:lang w:val="es-ES_tradnl"/>
        </w:rPr>
        <w:t>);</w:t>
      </w:r>
    </w:p>
    <w:p w14:paraId="5DB557D2" w14:textId="77777777" w:rsidR="003D49D8" w:rsidRPr="003D49D8" w:rsidRDefault="003D49D8" w:rsidP="003D49D8">
      <w:pPr>
        <w:tabs>
          <w:tab w:val="left" w:pos="2835"/>
          <w:tab w:val="left" w:pos="3402"/>
          <w:tab w:val="left" w:pos="3969"/>
        </w:tabs>
        <w:spacing w:before="120" w:after="120"/>
        <w:ind w:left="567" w:firstLine="567"/>
        <w:rPr>
          <w:lang w:val="es-ES_tradnl"/>
        </w:rPr>
      </w:pPr>
      <w:r w:rsidRPr="003D49D8">
        <w:rPr>
          <w:lang w:val="es-ES_tradnl"/>
        </w:rPr>
        <w:t>d)</w:t>
      </w:r>
      <w:r w:rsidRPr="003D49D8">
        <w:rPr>
          <w:lang w:val="es-ES_tradnl"/>
        </w:rPr>
        <w:tab/>
        <w:t>Entidades receptoras identificadas o designadas que sean funcionales (</w:t>
      </w:r>
      <w:proofErr w:type="spellStart"/>
      <w:r w:rsidRPr="003D49D8">
        <w:rPr>
          <w:lang w:val="es-ES_tradnl"/>
        </w:rPr>
        <w:t>CP4</w:t>
      </w:r>
      <w:proofErr w:type="spellEnd"/>
      <w:r w:rsidRPr="003D49D8">
        <w:rPr>
          <w:lang w:val="es-ES_tradnl"/>
        </w:rPr>
        <w:t xml:space="preserve">); </w:t>
      </w:r>
    </w:p>
    <w:p w14:paraId="10F6EA82" w14:textId="77777777" w:rsidR="003D49D8" w:rsidRPr="003D49D8" w:rsidRDefault="003D49D8" w:rsidP="003D49D8">
      <w:pPr>
        <w:tabs>
          <w:tab w:val="left" w:pos="2835"/>
          <w:tab w:val="left" w:pos="3402"/>
          <w:tab w:val="left" w:pos="3969"/>
        </w:tabs>
        <w:spacing w:before="120" w:after="120"/>
        <w:ind w:left="567" w:firstLine="567"/>
        <w:rPr>
          <w:lang w:val="es-ES_tradnl"/>
        </w:rPr>
      </w:pPr>
      <w:r w:rsidRPr="003D49D8">
        <w:rPr>
          <w:lang w:val="es-ES_tradnl"/>
        </w:rPr>
        <w:t>e)</w:t>
      </w:r>
      <w:r w:rsidRPr="003D49D8">
        <w:rPr>
          <w:lang w:val="es-ES_tradnl"/>
        </w:rPr>
        <w:tab/>
        <w:t>Gobernanza eficaz con compromiso político sostenido (</w:t>
      </w:r>
      <w:proofErr w:type="spellStart"/>
      <w:r w:rsidRPr="003D49D8">
        <w:rPr>
          <w:lang w:val="es-ES_tradnl"/>
        </w:rPr>
        <w:t>CP5</w:t>
      </w:r>
      <w:proofErr w:type="spellEnd"/>
      <w:r w:rsidRPr="003D49D8">
        <w:rPr>
          <w:lang w:val="es-ES_tradnl"/>
        </w:rPr>
        <w:t>).</w:t>
      </w:r>
    </w:p>
    <w:p w14:paraId="6B8F412F"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2.</w:t>
      </w:r>
      <w:r w:rsidRPr="003D49D8">
        <w:rPr>
          <w:lang w:val="es-ES_tradnl"/>
        </w:rPr>
        <w:tab/>
        <w:t>La revisión evalúa el Mecanismo Multilateral, incluido el Fondo de Cali, en función de seis pilares de evaluación (</w:t>
      </w:r>
      <w:proofErr w:type="spellStart"/>
      <w:r w:rsidRPr="003D49D8">
        <w:rPr>
          <w:lang w:val="es-ES_tradnl"/>
        </w:rPr>
        <w:t>P1-P6</w:t>
      </w:r>
      <w:proofErr w:type="spellEnd"/>
      <w:r w:rsidRPr="003D49D8">
        <w:rPr>
          <w:lang w:val="es-ES_tradnl"/>
        </w:rPr>
        <w:t>) y una evaluación de gobernanza (</w:t>
      </w:r>
      <w:proofErr w:type="spellStart"/>
      <w:r w:rsidRPr="003D49D8">
        <w:rPr>
          <w:lang w:val="es-ES_tradnl"/>
        </w:rPr>
        <w:t>G1</w:t>
      </w:r>
      <w:proofErr w:type="spellEnd"/>
      <w:r w:rsidRPr="003D49D8">
        <w:rPr>
          <w:lang w:val="es-ES_tradnl"/>
        </w:rPr>
        <w:t xml:space="preserve">). El pilar </w:t>
      </w:r>
      <w:proofErr w:type="spellStart"/>
      <w:r w:rsidRPr="003D49D8">
        <w:rPr>
          <w:lang w:val="es-ES_tradnl"/>
        </w:rPr>
        <w:t>P1</w:t>
      </w:r>
      <w:proofErr w:type="spellEnd"/>
      <w:r w:rsidRPr="003D49D8">
        <w:rPr>
          <w:lang w:val="es-ES_tradnl"/>
        </w:rPr>
        <w:t xml:space="preserve"> abarca la movilización y distribución de recursos; el </w:t>
      </w:r>
      <w:proofErr w:type="spellStart"/>
      <w:r w:rsidRPr="003D49D8">
        <w:rPr>
          <w:lang w:val="es-ES_tradnl"/>
        </w:rPr>
        <w:t>P2</w:t>
      </w:r>
      <w:proofErr w:type="spellEnd"/>
      <w:r w:rsidRPr="003D49D8">
        <w:rPr>
          <w:lang w:val="es-ES_tradnl"/>
        </w:rPr>
        <w:t xml:space="preserve"> cubre los niveles de contribución, el diseño de activación, la eficacia y los costos administrativos; el </w:t>
      </w:r>
      <w:proofErr w:type="spellStart"/>
      <w:r w:rsidRPr="003D49D8">
        <w:rPr>
          <w:lang w:val="es-ES_tradnl"/>
        </w:rPr>
        <w:t>P3</w:t>
      </w:r>
      <w:proofErr w:type="spellEnd"/>
      <w:r w:rsidRPr="003D49D8">
        <w:rPr>
          <w:lang w:val="es-ES_tradnl"/>
        </w:rPr>
        <w:t xml:space="preserve"> cubre los beneficios no monetarios, incluido el acceso abierto a información digital sobre secuencias de recursos genéticos; el </w:t>
      </w:r>
      <w:proofErr w:type="spellStart"/>
      <w:r w:rsidRPr="003D49D8">
        <w:rPr>
          <w:lang w:val="es-ES_tradnl"/>
        </w:rPr>
        <w:t>P4</w:t>
      </w:r>
      <w:proofErr w:type="spellEnd"/>
      <w:r w:rsidRPr="003D49D8">
        <w:rPr>
          <w:lang w:val="es-ES_tradnl"/>
        </w:rPr>
        <w:t xml:space="preserve"> cubre la coherencia del Mecanismo con otro mecanismo, incluidas las contribuciones al Marco Mundial de Biodiversidad de Kunming‑Montreal y la complementariedad con marcos nacionales e internacionales de acceso y participación en los beneficios; y el </w:t>
      </w:r>
      <w:proofErr w:type="spellStart"/>
      <w:r w:rsidRPr="003D49D8">
        <w:rPr>
          <w:lang w:val="es-ES_tradnl"/>
        </w:rPr>
        <w:t>P5</w:t>
      </w:r>
      <w:proofErr w:type="spellEnd"/>
      <w:r w:rsidRPr="003D49D8">
        <w:rPr>
          <w:lang w:val="es-ES_tradnl"/>
        </w:rPr>
        <w:t xml:space="preserve"> abarca los derechos, las obligaciones de acceso abierto y los impactos de las investigaciones en relación con los pueblos indígenas y las comunidades locales. La </w:t>
      </w:r>
      <w:proofErr w:type="spellStart"/>
      <w:r w:rsidRPr="003D49D8">
        <w:rPr>
          <w:lang w:val="es-ES_tradnl"/>
        </w:rPr>
        <w:t>G1</w:t>
      </w:r>
      <w:proofErr w:type="spellEnd"/>
      <w:r w:rsidRPr="003D49D8">
        <w:rPr>
          <w:lang w:val="es-ES_tradnl"/>
        </w:rPr>
        <w:t xml:space="preserve"> evalúa la gobernanza del Mecanismo en función de seis indicadores: </w:t>
      </w:r>
      <w:proofErr w:type="spellStart"/>
      <w:r w:rsidRPr="003D49D8">
        <w:rPr>
          <w:lang w:val="es-ES_tradnl"/>
        </w:rPr>
        <w:t>inclusividad</w:t>
      </w:r>
      <w:proofErr w:type="spellEnd"/>
      <w:r w:rsidRPr="003D49D8">
        <w:rPr>
          <w:lang w:val="es-ES_tradnl"/>
        </w:rPr>
        <w:t xml:space="preserve"> en la toma de decisiones, transparencia, calidad de la respuesta de gestión, coherencia institucional, integridad fiduciaria y progresos en las estructuras de gobernanza. </w:t>
      </w:r>
    </w:p>
    <w:p w14:paraId="71C49E9C"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3.</w:t>
      </w:r>
      <w:r w:rsidRPr="003D49D8">
        <w:rPr>
          <w:lang w:val="es-ES_tradnl"/>
        </w:rPr>
        <w:tab/>
        <w:t>Los siguientes cuatro supuestos reflejan el diseño del Mecanismo según lo establecido por decisiones de la Conferencia de las Partes. La evaluación se da dentro de los límites de esos supuestos.</w:t>
      </w:r>
    </w:p>
    <w:p w14:paraId="1F05AE4D"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4.</w:t>
      </w:r>
      <w:r w:rsidRPr="003D49D8">
        <w:rPr>
          <w:lang w:val="es-ES_tradnl"/>
        </w:rPr>
        <w:tab/>
      </w:r>
      <w:r w:rsidRPr="003D49D8">
        <w:rPr>
          <w:b/>
          <w:lang w:val="es-ES_tradnl"/>
        </w:rPr>
        <w:t>Supuesto 1 — Desvinculación de la trazabilidad (decisión 15/9, párr. 5).</w:t>
      </w:r>
      <w:r w:rsidRPr="003D49D8">
        <w:rPr>
          <w:lang w:val="es-ES_tradnl"/>
        </w:rPr>
        <w:t xml:space="preserve"> El Mecanismo no requiere prueba de que una información digital sobre secuencias de recursos genéticos específica haya sido utilizada por un contribuyente específico. Además, se preservan todos los derechos existentes en virtud del Protocolo de Nagoya y otros instrumentos (decisión 15/9, párr. 11; decisión </w:t>
      </w:r>
      <w:hyperlink r:id="rId25" w:history="1">
        <w:r w:rsidRPr="003D49D8">
          <w:rPr>
            <w:color w:val="0000FF" w:themeColor="hyperlink"/>
            <w:u w:val="single"/>
            <w:lang w:val="es-ES_tradnl"/>
          </w:rPr>
          <w:t>16/2</w:t>
        </w:r>
      </w:hyperlink>
      <w:r w:rsidRPr="003D49D8">
        <w:rPr>
          <w:lang w:val="es-ES_tradnl"/>
        </w:rPr>
        <w:t>, párr. 27). La evaluación se centra en determinar si el Mecanismo genera los flujos y resultados deseados a nivel de sistema, no en determinar si las contribuciones individuales se pueden rastrear a usos específicos.</w:t>
      </w:r>
    </w:p>
    <w:p w14:paraId="37FC7B8B"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5.</w:t>
      </w:r>
      <w:r w:rsidRPr="003D49D8">
        <w:rPr>
          <w:lang w:val="es-ES_tradnl"/>
        </w:rPr>
        <w:tab/>
      </w:r>
      <w:r w:rsidRPr="003D49D8">
        <w:rPr>
          <w:b/>
          <w:lang w:val="es-ES_tradnl"/>
        </w:rPr>
        <w:t xml:space="preserve">Supuesto 2 — Atribución multilateral mediante plausibilidad-contribución (decisión 15/9, párr. 5). </w:t>
      </w:r>
      <w:r w:rsidRPr="003D49D8">
        <w:rPr>
          <w:bCs/>
          <w:lang w:val="es-ES_tradnl"/>
        </w:rPr>
        <w:t xml:space="preserve">El mecanismo establece sectores en los que es plausible que la actividad económica dependa de la utilización de información digital sobre secuencias de recursos genéticos. Este marco de plausibilidad-contribución es el principal método analítico para los resultados del Pilar 1 y el Pilar 2. El enfoque para esta metodología de revisión se armonizó con los enfoques de mecanismos similares: estructura de evaluación de tres niveles y enfoque del Fondo Verde para el Clima de </w:t>
      </w:r>
      <w:proofErr w:type="spellStart"/>
      <w:r w:rsidRPr="003D49D8">
        <w:rPr>
          <w:bCs/>
          <w:lang w:val="es-ES_tradnl"/>
        </w:rPr>
        <w:t>evaluabilidad</w:t>
      </w:r>
      <w:proofErr w:type="spellEnd"/>
      <w:r w:rsidRPr="003D49D8">
        <w:rPr>
          <w:bCs/>
          <w:lang w:val="es-ES_tradnl"/>
        </w:rPr>
        <w:t xml:space="preserve">-actualización-primero; presentación de informes financieros y modelo escalonado de acceso a datos del Fondo Multilateral del Protocolo de Montreal; y evaluación de equidad y beneficios no monetarios del Fondo de Distribución de Beneficios del Tratado Internacional sobre los Recursos Fitogenéticos para la Alimentación y la Agricultura. La lógica basada en el cumplimiento y la escala de calificación de los marcos lógicos de proyecto del Fondo Verde para el Clima son incompatibles con el diseño de carácter voluntario del Fondo de Cali, de manera que solo se consideraron aplicables a esta metodología la estructura de evaluación de tres niveles (desempeño, diseño y funcionamiento) y el enfoque de </w:t>
      </w:r>
      <w:proofErr w:type="spellStart"/>
      <w:r w:rsidRPr="003D49D8">
        <w:rPr>
          <w:bCs/>
          <w:lang w:val="es-ES_tradnl"/>
        </w:rPr>
        <w:t>evaluabilidad</w:t>
      </w:r>
      <w:proofErr w:type="spellEnd"/>
      <w:r w:rsidRPr="003D49D8">
        <w:rPr>
          <w:bCs/>
          <w:lang w:val="es-ES_tradnl"/>
        </w:rPr>
        <w:t>-actualización-primero. El Acuerdo en el marco de la Convención de las Naciones Unidas sobre el Derecho del Mar relativo a la Conservación y el Uso Sostenible de la Diversidad Biológica Marina de las Zonas Situadas Fuera de la Jurisdicción Nacional y el anexo sobre Acceso a los Patógenos y Participación en los Beneficios del Acuerdo de la Organización Mundial de la Salud sobre Pandemias son instrumentos delimitantes pertinentes para la parte del Pilar 4 referida a coherencia con otros instrumentos internacionales y el riesgo de acumulación de contribuciones, pero actualmente no tienen metodologías de evaluación aplicables.</w:t>
      </w:r>
    </w:p>
    <w:p w14:paraId="6C1C467B"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6.</w:t>
      </w:r>
      <w:r w:rsidRPr="003D49D8">
        <w:rPr>
          <w:lang w:val="es-ES_tradnl"/>
        </w:rPr>
        <w:tab/>
      </w:r>
      <w:r w:rsidRPr="003D49D8">
        <w:rPr>
          <w:b/>
          <w:lang w:val="es-ES_tradnl"/>
        </w:rPr>
        <w:t>Supuesto 3 — Dado que las condiciones propicias enumeradas en el párrafo 1 son condiciones previas estructurales y no fallas del mecanismo, incluso un mecanismo bien diseñado rendirá por debajo de su capacidad si no están dadas las condiciones propicias</w:t>
      </w:r>
      <w:r w:rsidRPr="003D49D8">
        <w:rPr>
          <w:b/>
          <w:bCs/>
          <w:lang w:val="es-ES_tradnl"/>
        </w:rPr>
        <w:t>.</w:t>
      </w:r>
      <w:r w:rsidRPr="003D49D8">
        <w:rPr>
          <w:lang w:val="es-ES_tradnl"/>
        </w:rPr>
        <w:t xml:space="preserve"> Cada condición representa un modo de falla específico que requiere su respuesta particular de política, y el número de Partes que dan cumplimiento al párrafo 13</w:t>
      </w:r>
      <w:r w:rsidRPr="003D49D8">
        <w:rPr>
          <w:vertAlign w:val="superscript"/>
          <w:lang w:val="es-ES_tradnl"/>
        </w:rPr>
        <w:footnoteReference w:id="4"/>
      </w:r>
      <w:r w:rsidRPr="003D49D8">
        <w:rPr>
          <w:lang w:val="es-ES_tradnl"/>
        </w:rPr>
        <w:t xml:space="preserve"> </w:t>
      </w:r>
      <w:r w:rsidRPr="003D49D8">
        <w:rPr>
          <w:lang w:val="es-MX"/>
        </w:rPr>
        <w:t>del anexo a la decisión</w:t>
      </w:r>
      <w:r w:rsidRPr="003D49D8">
        <w:rPr>
          <w:lang w:val="es-ES_tradnl"/>
        </w:rPr>
        <w:t xml:space="preserve"> </w:t>
      </w:r>
      <w:hyperlink r:id="rId26">
        <w:r w:rsidRPr="003D49D8">
          <w:rPr>
            <w:color w:val="0000FF" w:themeColor="hyperlink"/>
            <w:u w:val="single"/>
            <w:lang w:val="es-ES_tradnl"/>
          </w:rPr>
          <w:t>16/2</w:t>
        </w:r>
      </w:hyperlink>
      <w:r w:rsidRPr="003D49D8">
        <w:rPr>
          <w:lang w:val="es-ES_tradnl"/>
        </w:rPr>
        <w:t xml:space="preserve"> medido por el tiempo de la revisión de la Conferencia de las Partes en su </w:t>
      </w:r>
      <w:proofErr w:type="spellStart"/>
      <w:r w:rsidRPr="003D49D8">
        <w:rPr>
          <w:lang w:val="es-ES_tradnl"/>
        </w:rPr>
        <w:t>18</w:t>
      </w:r>
      <w:r w:rsidRPr="003D49D8">
        <w:rPr>
          <w:vertAlign w:val="superscript"/>
          <w:lang w:val="es-ES_tradnl"/>
        </w:rPr>
        <w:t>a</w:t>
      </w:r>
      <w:proofErr w:type="spellEnd"/>
      <w:r w:rsidRPr="003D49D8">
        <w:rPr>
          <w:lang w:val="es-ES_tradnl"/>
        </w:rPr>
        <w:t xml:space="preserve"> reunión es la señal principal más importante de esta primera revisión. En la revisión se debe, por lo tanto, establecer qué condiciones propicias estaban dadas al momento de funcionamiento del mecanismo. Si las condiciones propicias son deficientes, un bajo desempeño no será una señal de defectos en el diseño que requieran que la Conferencia de las Partes haga cambios en el Mecanismo Multilateral, incluido el Fondo de Cali, sino que será una falla o carencia en una condición previa, que requerirá respuestas de tipo diplomático, jurídico o de creación de capacidad. La actualización de la </w:t>
      </w:r>
      <w:proofErr w:type="spellStart"/>
      <w:r w:rsidRPr="003D49D8">
        <w:rPr>
          <w:lang w:val="es-ES_tradnl"/>
        </w:rPr>
        <w:t>evaluabilidad</w:t>
      </w:r>
      <w:proofErr w:type="spellEnd"/>
      <w:r w:rsidRPr="003D49D8">
        <w:rPr>
          <w:lang w:val="es-ES_tradnl"/>
        </w:rPr>
        <w:t xml:space="preserve"> debe, por lo tanto, incluir un diagnóstico de condiciones propicias antes de que se presente cualquier resultado de los pilares. La Secretaría debería desarrollar lo siguiente: </w:t>
      </w:r>
    </w:p>
    <w:p w14:paraId="13C8C55D" w14:textId="77777777" w:rsidR="003D49D8" w:rsidRPr="003D49D8" w:rsidRDefault="003D49D8" w:rsidP="003D49D8">
      <w:pPr>
        <w:tabs>
          <w:tab w:val="clear" w:pos="1134"/>
          <w:tab w:val="left" w:pos="2835"/>
          <w:tab w:val="left" w:pos="3402"/>
          <w:tab w:val="left" w:pos="3969"/>
        </w:tabs>
        <w:spacing w:before="120" w:after="120"/>
        <w:ind w:left="567" w:firstLine="567"/>
        <w:rPr>
          <w:lang w:val="es-ES_tradnl"/>
        </w:rPr>
      </w:pPr>
      <w:r w:rsidRPr="003D49D8">
        <w:rPr>
          <w:lang w:val="es-ES_tradnl"/>
        </w:rPr>
        <w:t>a)</w:t>
      </w:r>
      <w:r w:rsidRPr="003D49D8">
        <w:rPr>
          <w:lang w:val="es-ES_tradnl"/>
        </w:rPr>
        <w:tab/>
        <w:t>Una encuesta para recopilar datos referidos a las condiciones propicias 1 y 2 sobre claridad de la industria respecto a condiciones de contribución y sobre una justificación económica comercialmente viable, respectivamente;</w:t>
      </w:r>
    </w:p>
    <w:p w14:paraId="18482AD3" w14:textId="77777777" w:rsidR="003D49D8" w:rsidRPr="003D49D8" w:rsidRDefault="003D49D8" w:rsidP="003D49D8">
      <w:pPr>
        <w:tabs>
          <w:tab w:val="clear" w:pos="1134"/>
          <w:tab w:val="left" w:pos="2835"/>
          <w:tab w:val="left" w:pos="3402"/>
          <w:tab w:val="left" w:pos="3969"/>
        </w:tabs>
        <w:spacing w:before="120" w:after="120"/>
        <w:ind w:left="567" w:firstLine="567"/>
        <w:rPr>
          <w:lang w:val="es-ES_tradnl"/>
        </w:rPr>
      </w:pPr>
      <w:r w:rsidRPr="003D49D8">
        <w:rPr>
          <w:lang w:val="es-ES_tradnl"/>
        </w:rPr>
        <w:t>b)</w:t>
      </w:r>
      <w:r w:rsidRPr="003D49D8">
        <w:rPr>
          <w:lang w:val="es-ES_tradnl"/>
        </w:rPr>
        <w:tab/>
        <w:t>Una herramienta de rastreo para países que no adoptaron medidas administrativas, de políticas o legislativas dirigidas a incentivar contribuciones de los usuarios;</w:t>
      </w:r>
    </w:p>
    <w:p w14:paraId="239F904F" w14:textId="77777777" w:rsidR="003D49D8" w:rsidRPr="003D49D8" w:rsidRDefault="003D49D8" w:rsidP="003D49D8">
      <w:pPr>
        <w:tabs>
          <w:tab w:val="clear" w:pos="1134"/>
          <w:tab w:val="left" w:pos="2835"/>
          <w:tab w:val="left" w:pos="3402"/>
          <w:tab w:val="left" w:pos="3969"/>
        </w:tabs>
        <w:spacing w:before="120" w:after="120"/>
        <w:ind w:left="567" w:firstLine="567"/>
        <w:rPr>
          <w:lang w:val="es-ES_tradnl"/>
        </w:rPr>
      </w:pPr>
      <w:r w:rsidRPr="003D49D8">
        <w:rPr>
          <w:lang w:val="es-ES_tradnl"/>
        </w:rPr>
        <w:t>c)</w:t>
      </w:r>
      <w:r w:rsidRPr="003D49D8">
        <w:rPr>
          <w:lang w:val="es-ES_tradnl"/>
        </w:rPr>
        <w:tab/>
        <w:t xml:space="preserve">Un protocolo para abordar el riesgo de acumulación de contribuciones; </w:t>
      </w:r>
    </w:p>
    <w:p w14:paraId="3B6FEE42" w14:textId="77777777" w:rsidR="003D49D8" w:rsidRPr="003D49D8" w:rsidRDefault="003D49D8" w:rsidP="003D49D8">
      <w:pPr>
        <w:tabs>
          <w:tab w:val="clear" w:pos="1134"/>
          <w:tab w:val="left" w:pos="2835"/>
          <w:tab w:val="left" w:pos="3402"/>
          <w:tab w:val="left" w:pos="3969"/>
        </w:tabs>
        <w:spacing w:before="120" w:after="120"/>
        <w:ind w:left="567" w:firstLine="567"/>
        <w:rPr>
          <w:lang w:val="es-ES_tradnl"/>
        </w:rPr>
      </w:pPr>
      <w:r w:rsidRPr="003D49D8">
        <w:rPr>
          <w:lang w:val="es-ES_tradnl"/>
        </w:rPr>
        <w:t>d)</w:t>
      </w:r>
      <w:r w:rsidRPr="003D49D8">
        <w:rPr>
          <w:lang w:val="es-ES_tradnl"/>
        </w:rPr>
        <w:tab/>
        <w:t>Una evaluación del grado de preparación para la condición propicia 4 referida a la designación de instituciones para la recepción de contribuciones para pueblos indígenas y comunidades locales y su grado de preparación;</w:t>
      </w:r>
    </w:p>
    <w:p w14:paraId="50141F5C" w14:textId="77777777" w:rsidR="003D49D8" w:rsidRPr="003D49D8" w:rsidRDefault="003D49D8" w:rsidP="003D49D8">
      <w:pPr>
        <w:tabs>
          <w:tab w:val="clear" w:pos="1134"/>
          <w:tab w:val="left" w:pos="2835"/>
          <w:tab w:val="left" w:pos="3402"/>
          <w:tab w:val="left" w:pos="3969"/>
        </w:tabs>
        <w:spacing w:before="120" w:after="120"/>
        <w:ind w:left="567" w:firstLine="567"/>
        <w:rPr>
          <w:lang w:val="es-ES_tradnl"/>
        </w:rPr>
      </w:pPr>
      <w:r w:rsidRPr="003D49D8">
        <w:rPr>
          <w:lang w:val="es-ES_tradnl"/>
        </w:rPr>
        <w:t>e)</w:t>
      </w:r>
      <w:r w:rsidRPr="003D49D8">
        <w:rPr>
          <w:lang w:val="es-ES_tradnl"/>
        </w:rPr>
        <w:tab/>
        <w:t xml:space="preserve">Protocolos cualitativos para la condición propicia 5 referida a gobernanza eficaz con compromiso político sostenido. </w:t>
      </w:r>
    </w:p>
    <w:p w14:paraId="2F03EDE8"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7.</w:t>
      </w:r>
      <w:r w:rsidRPr="003D49D8">
        <w:rPr>
          <w:lang w:val="es-ES_tradnl"/>
        </w:rPr>
        <w:tab/>
      </w:r>
      <w:r w:rsidRPr="003D49D8">
        <w:rPr>
          <w:b/>
          <w:lang w:val="es-ES_tradnl"/>
        </w:rPr>
        <w:t>Supuesto 4 — Puesta en funcionamiento gradual y modularidad</w:t>
      </w:r>
      <w:r w:rsidRPr="003D49D8">
        <w:rPr>
          <w:b/>
          <w:bCs/>
          <w:lang w:val="es-ES_tradnl"/>
        </w:rPr>
        <w:t>.</w:t>
      </w:r>
      <w:r w:rsidRPr="003D49D8">
        <w:rPr>
          <w:lang w:val="es-ES_tradnl"/>
        </w:rPr>
        <w:t xml:space="preserve"> La metodología se adopta antes de que el Mecanismo esté plenamente en funcionamiento. Todavía se están afinando la fórmula de asignación, los umbrales de contribución, las medidas de interacción entre bases de datos y las estructuras de gobernanza, y el Comité Directivo presentará algunos de estos elementos a la Conferencia de las Partes en su 17ª reunión. La metodología es, por lo tanto, modular: aquellos elementos cuya </w:t>
      </w:r>
      <w:proofErr w:type="spellStart"/>
      <w:r w:rsidRPr="003D49D8">
        <w:rPr>
          <w:lang w:val="es-ES_tradnl"/>
        </w:rPr>
        <w:t>evaluabilidad</w:t>
      </w:r>
      <w:proofErr w:type="spellEnd"/>
      <w:r w:rsidRPr="003D49D8">
        <w:rPr>
          <w:lang w:val="es-ES_tradnl"/>
        </w:rPr>
        <w:t xml:space="preserve"> depende de que se haya terminado de desarrollar una característica de diseño se clasifican como supeditadas a una modalidad y se marcan como “aún no evaluables”.</w:t>
      </w:r>
    </w:p>
    <w:p w14:paraId="44CA9CD2"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8.</w:t>
      </w:r>
      <w:r w:rsidRPr="003D49D8">
        <w:rPr>
          <w:lang w:val="es-ES_tradnl"/>
        </w:rPr>
        <w:tab/>
        <w:t>La metodología presupone tres limitaciones, dado que son factores que no pueden resolverse mejorando la recopilación de datos:</w:t>
      </w:r>
    </w:p>
    <w:p w14:paraId="2BEEFF54"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ab/>
        <w:t>a)</w:t>
      </w:r>
      <w:r w:rsidRPr="003D49D8">
        <w:rPr>
          <w:lang w:val="es-ES_tradnl"/>
        </w:rPr>
        <w:tab/>
        <w:t>Atribución: los resultados no pueden atribuirse a una información digital sobre secuencias de recursos genéticos, un contribuyente o un país de origen específicos (decisión 15/9, párr. 5). La revisión no puede satisfacer demandas de vínculos bilaterales de origen-beneficio;</w:t>
      </w:r>
    </w:p>
    <w:p w14:paraId="0AC60798"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ab/>
        <w:t>b)</w:t>
      </w:r>
      <w:r w:rsidRPr="003D49D8">
        <w:rPr>
          <w:lang w:val="es-ES_tradnl"/>
        </w:rPr>
        <w:tab/>
        <w:t>Cuestiones políticas: la determinación de si la activación, los umbrales o la fórmula de asignación son “justos” en un sentido absoluto es una cuestión política que corresponde a las Partes. La revisión solo evalúa el desempeño en función de los criterios establecidos en el párrafo 9 de la decisión 15/9;</w:t>
      </w:r>
    </w:p>
    <w:p w14:paraId="6A1E1008"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ab/>
        <w:t>c)</w:t>
      </w:r>
      <w:r w:rsidRPr="003D49D8">
        <w:rPr>
          <w:lang w:val="es-ES_tradnl"/>
        </w:rPr>
        <w:tab/>
        <w:t>Solicitudes de las Partes: la fórmula de asignación, los umbrales y los porcentajes de contribución se fijan a través de procesos separados decididos por las Partes. La revisión solo puede evaluar si los porcentajes adoptados están generando los flujos esperados y si los umbrales podrían estar planteando una barrera a la adopción (condición propicia 2).</w:t>
      </w:r>
    </w:p>
    <w:p w14:paraId="1E59FD7E" w14:textId="77777777" w:rsidR="003D49D8" w:rsidRPr="003D49D8" w:rsidRDefault="003D49D8" w:rsidP="003D49D8">
      <w:pPr>
        <w:tabs>
          <w:tab w:val="clear" w:pos="567"/>
          <w:tab w:val="clear" w:pos="1134"/>
          <w:tab w:val="clear" w:pos="1701"/>
          <w:tab w:val="clear" w:pos="2268"/>
        </w:tabs>
        <w:jc w:val="left"/>
        <w:rPr>
          <w:highlight w:val="yellow"/>
          <w:lang w:val="es-ES_tradnl"/>
        </w:rPr>
        <w:sectPr w:rsidR="003D49D8" w:rsidRPr="003D49D8" w:rsidSect="00DF6325">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pPr>
    </w:p>
    <w:p w14:paraId="7D5E848A" w14:textId="77777777" w:rsidR="003D49D8" w:rsidRPr="003D49D8" w:rsidRDefault="003D49D8" w:rsidP="003D49D8">
      <w:pPr>
        <w:keepNext/>
        <w:keepLines/>
        <w:tabs>
          <w:tab w:val="left" w:pos="2835"/>
          <w:tab w:val="left" w:pos="3402"/>
        </w:tabs>
        <w:spacing w:before="240" w:after="120"/>
        <w:ind w:left="567" w:hanging="567"/>
        <w:jc w:val="left"/>
        <w:outlineLvl w:val="0"/>
        <w:rPr>
          <w:b/>
          <w:sz w:val="28"/>
          <w:lang w:val="es-ES_tradnl"/>
        </w:rPr>
      </w:pPr>
      <w:r w:rsidRPr="003D49D8">
        <w:rPr>
          <w:b/>
          <w:sz w:val="28"/>
          <w:lang w:val="es-ES_tradnl"/>
        </w:rPr>
        <w:t>II.</w:t>
      </w:r>
      <w:r w:rsidRPr="003D49D8">
        <w:rPr>
          <w:b/>
          <w:sz w:val="28"/>
          <w:lang w:val="es-ES_tradnl"/>
        </w:rPr>
        <w:tab/>
        <w:t>Marco de resultados</w:t>
      </w:r>
    </w:p>
    <w:p w14:paraId="2E0FA40F" w14:textId="77777777" w:rsidR="003D49D8" w:rsidRPr="003D49D8" w:rsidRDefault="003D49D8" w:rsidP="003D49D8">
      <w:pPr>
        <w:tabs>
          <w:tab w:val="left" w:pos="2835"/>
          <w:tab w:val="left" w:pos="3402"/>
          <w:tab w:val="left" w:pos="3969"/>
        </w:tabs>
        <w:spacing w:before="120" w:after="120"/>
        <w:ind w:left="567"/>
        <w:rPr>
          <w:lang w:val="es-ES_tradnl"/>
        </w:rPr>
      </w:pPr>
      <w:r w:rsidRPr="003D49D8">
        <w:rPr>
          <w:lang w:val="es-ES_tradnl"/>
        </w:rPr>
        <w:t>9.</w:t>
      </w:r>
      <w:r w:rsidRPr="003D49D8">
        <w:rPr>
          <w:lang w:val="es-ES_tradnl"/>
        </w:rPr>
        <w:tab/>
        <w:t xml:space="preserve">El cuadro 1 contiene elementos que son evaluables en la </w:t>
      </w:r>
      <w:proofErr w:type="spellStart"/>
      <w:r w:rsidRPr="003D49D8">
        <w:rPr>
          <w:lang w:val="es-ES_tradnl"/>
        </w:rPr>
        <w:t>18</w:t>
      </w:r>
      <w:r w:rsidRPr="003D49D8">
        <w:rPr>
          <w:vertAlign w:val="superscript"/>
          <w:lang w:val="es-ES_tradnl"/>
        </w:rPr>
        <w:t>a</w:t>
      </w:r>
      <w:proofErr w:type="spellEnd"/>
      <w:r w:rsidRPr="003D49D8">
        <w:rPr>
          <w:lang w:val="es-ES_tradnl"/>
        </w:rPr>
        <w:t xml:space="preserve"> reunión de la Conferencia de las Partes, ya sea plena o condicionalmente. Los elementos indicados con † están supeditados a decisiones o acciones específicas adoptadas en la 17ª reunión de la Conferencia de las Partes, o inmediatamente después de ella, como es el caso, por ejemplo, de la adopción de la fórmula de asignación, la adopción del manual de operaciones y el lanzamiento de una encuesta o un rastreador. El cuadro 2 contiene elementos que no son evaluables en la </w:t>
      </w:r>
      <w:proofErr w:type="spellStart"/>
      <w:r w:rsidRPr="003D49D8">
        <w:rPr>
          <w:lang w:val="es-ES_tradnl"/>
        </w:rPr>
        <w:t>18</w:t>
      </w:r>
      <w:r w:rsidRPr="003D49D8">
        <w:rPr>
          <w:vertAlign w:val="superscript"/>
          <w:lang w:val="es-ES_tradnl"/>
        </w:rPr>
        <w:t>a</w:t>
      </w:r>
      <w:proofErr w:type="spellEnd"/>
      <w:r w:rsidRPr="003D49D8">
        <w:rPr>
          <w:lang w:val="es-ES_tradnl"/>
        </w:rPr>
        <w:t> reunión de la Conferencia de las Partes independientemente de los resultados de la 17ª reunión de la Conferencia de las Partes, principalmente porque no están dadas las condiciones operativas o porque faltan instrumentos externos.</w:t>
      </w:r>
    </w:p>
    <w:p w14:paraId="2EFBC92C" w14:textId="77777777" w:rsidR="00DF6325" w:rsidRPr="003D49D8" w:rsidRDefault="00DF6325">
      <w:pPr>
        <w:pStyle w:val="CBDTableTitle"/>
        <w:rPr>
          <w:lang w:val="es-ES_tradnl"/>
        </w:rPr>
        <w:sectPr w:rsidR="00DF6325" w:rsidRPr="003D49D8" w:rsidSect="00DF6325">
          <w:headerReference w:type="even" r:id="rId31"/>
          <w:headerReference w:type="default" r:id="rId32"/>
          <w:footerReference w:type="even" r:id="rId33"/>
          <w:footerReference w:type="default" r:id="rId34"/>
          <w:pgSz w:w="12240" w:h="15840"/>
          <w:pgMar w:top="567" w:right="1440" w:bottom="1134" w:left="1440" w:header="709" w:footer="709" w:gutter="0"/>
          <w:cols w:space="708"/>
          <w:docGrid w:linePitch="360"/>
        </w:sectPr>
      </w:pPr>
    </w:p>
    <w:p w14:paraId="3464366A" w14:textId="77777777" w:rsidR="00C57E3F" w:rsidRPr="00C57E3F" w:rsidRDefault="00C57E3F" w:rsidP="00C57E3F">
      <w:pPr>
        <w:keepNext/>
        <w:keepLines/>
        <w:tabs>
          <w:tab w:val="left" w:pos="2835"/>
          <w:tab w:val="left" w:pos="3402"/>
        </w:tabs>
        <w:spacing w:before="120" w:after="60"/>
        <w:ind w:left="567"/>
        <w:jc w:val="left"/>
        <w:rPr>
          <w:b/>
          <w:lang w:val="es-ES"/>
        </w:rPr>
      </w:pPr>
      <w:r w:rsidRPr="00C57E3F">
        <w:rPr>
          <w:lang w:val="es-ES"/>
        </w:rPr>
        <w:t>Cuadro 1</w:t>
      </w:r>
      <w:r w:rsidRPr="00C57E3F">
        <w:rPr>
          <w:lang w:val="es-ES"/>
        </w:rPr>
        <w:br/>
      </w:r>
      <w:r w:rsidRPr="00C57E3F">
        <w:rPr>
          <w:b/>
          <w:lang w:val="es-ES"/>
        </w:rPr>
        <w:t xml:space="preserve">Marco de revisión consolidado — elementos que son evaluables plena o condicionalmente en la </w:t>
      </w:r>
      <w:proofErr w:type="spellStart"/>
      <w:r w:rsidRPr="00C57E3F">
        <w:rPr>
          <w:b/>
          <w:lang w:val="es-ES"/>
        </w:rPr>
        <w:t>18</w:t>
      </w:r>
      <w:r w:rsidRPr="00C57E3F">
        <w:rPr>
          <w:b/>
          <w:vertAlign w:val="superscript"/>
          <w:lang w:val="es-ES"/>
        </w:rPr>
        <w:t>a</w:t>
      </w:r>
      <w:proofErr w:type="spellEnd"/>
      <w:r w:rsidRPr="00C57E3F">
        <w:rPr>
          <w:b/>
          <w:lang w:val="es-ES"/>
        </w:rPr>
        <w:t> reunión de la Conferencia de las Partes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C57E3F" w:rsidRPr="00C57E3F" w14:paraId="34005012" w14:textId="77777777" w:rsidTr="00D562C2">
        <w:trPr>
          <w:tblHeader/>
        </w:trPr>
        <w:tc>
          <w:tcPr>
            <w:tcW w:w="3300" w:type="dxa"/>
            <w:tcBorders>
              <w:bottom w:val="single" w:sz="4" w:space="0" w:color="auto"/>
            </w:tcBorders>
            <w:tcMar>
              <w:top w:w="60" w:type="dxa"/>
              <w:left w:w="80" w:type="dxa"/>
              <w:bottom w:w="60" w:type="dxa"/>
              <w:right w:w="80" w:type="dxa"/>
            </w:tcMar>
          </w:tcPr>
          <w:p w14:paraId="038858F7" w14:textId="77777777" w:rsidR="00C57E3F" w:rsidRPr="00C57E3F" w:rsidRDefault="00C57E3F" w:rsidP="00C57E3F">
            <w:pPr>
              <w:tabs>
                <w:tab w:val="left" w:pos="2835"/>
                <w:tab w:val="left" w:pos="3402"/>
              </w:tabs>
              <w:spacing w:before="40" w:after="80"/>
              <w:jc w:val="left"/>
              <w:rPr>
                <w:i/>
                <w:iCs/>
                <w:sz w:val="20"/>
                <w:szCs w:val="20"/>
                <w:lang w:val="es-ES"/>
              </w:rPr>
            </w:pPr>
            <w:r w:rsidRPr="00C57E3F">
              <w:rPr>
                <w:i/>
                <w:sz w:val="20"/>
                <w:lang w:val="es-ES"/>
              </w:rPr>
              <w:t>Pilar/elemento</w:t>
            </w:r>
          </w:p>
        </w:tc>
        <w:tc>
          <w:tcPr>
            <w:tcW w:w="1500" w:type="dxa"/>
            <w:tcBorders>
              <w:bottom w:val="single" w:sz="4" w:space="0" w:color="auto"/>
            </w:tcBorders>
            <w:tcMar>
              <w:top w:w="60" w:type="dxa"/>
              <w:left w:w="80" w:type="dxa"/>
              <w:bottom w:w="60" w:type="dxa"/>
              <w:right w:w="80" w:type="dxa"/>
            </w:tcMar>
          </w:tcPr>
          <w:p w14:paraId="20C9AC66" w14:textId="77777777" w:rsidR="00C57E3F" w:rsidRPr="00C57E3F" w:rsidRDefault="00C57E3F" w:rsidP="00C57E3F">
            <w:pPr>
              <w:tabs>
                <w:tab w:val="left" w:pos="2835"/>
                <w:tab w:val="left" w:pos="3402"/>
              </w:tabs>
              <w:spacing w:before="40" w:after="80"/>
              <w:jc w:val="left"/>
              <w:rPr>
                <w:i/>
                <w:iCs/>
                <w:sz w:val="20"/>
                <w:szCs w:val="20"/>
                <w:lang w:val="es-ES"/>
              </w:rPr>
            </w:pPr>
            <w:r w:rsidRPr="00C57E3F">
              <w:rPr>
                <w:i/>
                <w:sz w:val="20"/>
                <w:lang w:val="es-ES"/>
              </w:rPr>
              <w:t>Estado de datos</w:t>
            </w:r>
          </w:p>
        </w:tc>
        <w:tc>
          <w:tcPr>
            <w:tcW w:w="2400" w:type="dxa"/>
            <w:tcBorders>
              <w:bottom w:val="single" w:sz="4" w:space="0" w:color="auto"/>
            </w:tcBorders>
            <w:tcMar>
              <w:top w:w="60" w:type="dxa"/>
              <w:left w:w="80" w:type="dxa"/>
              <w:bottom w:w="60" w:type="dxa"/>
              <w:right w:w="80" w:type="dxa"/>
            </w:tcMar>
          </w:tcPr>
          <w:p w14:paraId="73E78AC6" w14:textId="77777777" w:rsidR="00C57E3F" w:rsidRPr="00C57E3F" w:rsidRDefault="00C57E3F" w:rsidP="00C57E3F">
            <w:pPr>
              <w:tabs>
                <w:tab w:val="left" w:pos="2835"/>
                <w:tab w:val="left" w:pos="3402"/>
              </w:tabs>
              <w:spacing w:before="40" w:after="80"/>
              <w:jc w:val="left"/>
              <w:rPr>
                <w:i/>
                <w:iCs/>
                <w:sz w:val="20"/>
                <w:szCs w:val="20"/>
                <w:lang w:val="es-ES"/>
              </w:rPr>
            </w:pPr>
            <w:r w:rsidRPr="00C57E3F">
              <w:rPr>
                <w:i/>
                <w:sz w:val="20"/>
                <w:lang w:val="es-ES"/>
              </w:rPr>
              <w:t>Fuente de datos</w:t>
            </w:r>
          </w:p>
        </w:tc>
        <w:tc>
          <w:tcPr>
            <w:tcW w:w="6372" w:type="dxa"/>
            <w:tcBorders>
              <w:bottom w:val="single" w:sz="4" w:space="0" w:color="auto"/>
            </w:tcBorders>
            <w:tcMar>
              <w:top w:w="60" w:type="dxa"/>
              <w:left w:w="80" w:type="dxa"/>
              <w:bottom w:w="60" w:type="dxa"/>
              <w:right w:w="80" w:type="dxa"/>
            </w:tcMar>
          </w:tcPr>
          <w:p w14:paraId="14C3BB97" w14:textId="77777777" w:rsidR="00C57E3F" w:rsidRPr="00C57E3F" w:rsidRDefault="00C57E3F" w:rsidP="00C57E3F">
            <w:pPr>
              <w:tabs>
                <w:tab w:val="left" w:pos="2835"/>
                <w:tab w:val="left" w:pos="3402"/>
              </w:tabs>
              <w:spacing w:before="40" w:after="80"/>
              <w:jc w:val="left"/>
              <w:rPr>
                <w:i/>
                <w:iCs/>
                <w:sz w:val="20"/>
                <w:szCs w:val="20"/>
                <w:lang w:val="es-ES"/>
              </w:rPr>
            </w:pPr>
            <w:proofErr w:type="spellStart"/>
            <w:r w:rsidRPr="00C57E3F">
              <w:rPr>
                <w:i/>
                <w:sz w:val="20"/>
                <w:lang w:val="es-ES"/>
              </w:rPr>
              <w:t>Evaluabilidad</w:t>
            </w:r>
            <w:proofErr w:type="spellEnd"/>
          </w:p>
        </w:tc>
      </w:tr>
      <w:tr w:rsidR="00C57E3F" w:rsidRPr="00C57E3F" w14:paraId="7BEC7D06" w14:textId="77777777" w:rsidTr="00D562C2">
        <w:tc>
          <w:tcPr>
            <w:tcW w:w="13572" w:type="dxa"/>
            <w:gridSpan w:val="4"/>
            <w:tcBorders>
              <w:top w:val="single" w:sz="4" w:space="0" w:color="auto"/>
              <w:bottom w:val="single" w:sz="4" w:space="0" w:color="CCCCCC"/>
            </w:tcBorders>
            <w:tcMar>
              <w:top w:w="60" w:type="dxa"/>
              <w:left w:w="80" w:type="dxa"/>
              <w:bottom w:w="60" w:type="dxa"/>
              <w:right w:w="80" w:type="dxa"/>
            </w:tcMar>
          </w:tcPr>
          <w:p w14:paraId="0B0C8F92" w14:textId="77777777" w:rsidR="00C57E3F" w:rsidRPr="00C57E3F" w:rsidRDefault="00C57E3F" w:rsidP="00C57E3F">
            <w:pPr>
              <w:tabs>
                <w:tab w:val="left" w:pos="2835"/>
                <w:tab w:val="left" w:pos="3402"/>
              </w:tabs>
              <w:spacing w:before="40" w:after="80"/>
              <w:jc w:val="left"/>
              <w:rPr>
                <w:b/>
                <w:bCs/>
                <w:sz w:val="20"/>
                <w:szCs w:val="20"/>
                <w:lang w:val="es-ES"/>
              </w:rPr>
            </w:pPr>
            <w:proofErr w:type="spellStart"/>
            <w:r w:rsidRPr="00C57E3F">
              <w:rPr>
                <w:b/>
                <w:sz w:val="20"/>
                <w:lang w:val="es-ES"/>
              </w:rPr>
              <w:t>P1</w:t>
            </w:r>
            <w:proofErr w:type="spellEnd"/>
            <w:r w:rsidRPr="00C57E3F">
              <w:rPr>
                <w:b/>
                <w:sz w:val="20"/>
                <w:lang w:val="es-ES"/>
              </w:rPr>
              <w:t xml:space="preserve"> — Contribución monetaria y distribución [y gobernanza]</w:t>
            </w:r>
          </w:p>
        </w:tc>
      </w:tr>
      <w:tr w:rsidR="00C57E3F" w:rsidRPr="00C57E3F" w14:paraId="593E63B6" w14:textId="77777777" w:rsidTr="00D562C2">
        <w:tc>
          <w:tcPr>
            <w:tcW w:w="3300" w:type="dxa"/>
            <w:tcBorders>
              <w:bottom w:val="nil"/>
            </w:tcBorders>
            <w:shd w:val="clear" w:color="auto" w:fill="E2EFDA"/>
            <w:tcMar>
              <w:top w:w="60" w:type="dxa"/>
              <w:left w:w="80" w:type="dxa"/>
              <w:bottom w:w="60" w:type="dxa"/>
              <w:right w:w="80" w:type="dxa"/>
            </w:tcMar>
          </w:tcPr>
          <w:p w14:paraId="3A8536BB" w14:textId="13E74FF1"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Contribuciones totales recibidas ([volumen][cantidad], número, sector,[ incluido en relación con los porcentajes indicativos en </w:t>
            </w:r>
            <w:hyperlink r:id="rId35" w:history="1">
              <w:r w:rsidR="00C15E30" w:rsidRPr="00C15E30">
                <w:rPr>
                  <w:color w:val="0000FF" w:themeColor="hyperlink"/>
                  <w:sz w:val="20"/>
                  <w:szCs w:val="20"/>
                  <w:u w:val="single"/>
                  <w:lang w:val="es-MX"/>
                </w:rPr>
                <w:t>16/2</w:t>
              </w:r>
            </w:hyperlink>
            <w:r w:rsidRPr="00C57E3F">
              <w:rPr>
                <w:sz w:val="20"/>
                <w:lang w:val="es-ES"/>
              </w:rPr>
              <w:t>])</w:t>
            </w:r>
          </w:p>
        </w:tc>
        <w:tc>
          <w:tcPr>
            <w:tcW w:w="1500" w:type="dxa"/>
            <w:tcBorders>
              <w:bottom w:val="nil"/>
            </w:tcBorders>
            <w:shd w:val="clear" w:color="auto" w:fill="E2EFDA"/>
            <w:tcMar>
              <w:top w:w="60" w:type="dxa"/>
              <w:left w:w="80" w:type="dxa"/>
              <w:bottom w:w="60" w:type="dxa"/>
              <w:right w:w="80" w:type="dxa"/>
            </w:tcMar>
          </w:tcPr>
          <w:p w14:paraId="23917EF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w:t>
            </w:r>
            <w:proofErr w:type="spellStart"/>
            <w:r w:rsidRPr="00C57E3F">
              <w:rPr>
                <w:sz w:val="20"/>
                <w:lang w:val="es-ES"/>
              </w:rPr>
              <w:t>OFFAM</w:t>
            </w:r>
            <w:proofErr w:type="spellEnd"/>
            <w:r w:rsidRPr="00C57E3F">
              <w:rPr>
                <w:sz w:val="20"/>
                <w:lang w:val="es-ES"/>
              </w:rPr>
              <w:t>)</w:t>
            </w:r>
          </w:p>
        </w:tc>
        <w:tc>
          <w:tcPr>
            <w:tcW w:w="2400" w:type="dxa"/>
            <w:tcBorders>
              <w:bottom w:val="nil"/>
            </w:tcBorders>
            <w:shd w:val="clear" w:color="auto" w:fill="E2EFDA"/>
            <w:tcMar>
              <w:top w:w="60" w:type="dxa"/>
              <w:left w:w="80" w:type="dxa"/>
              <w:bottom w:w="60" w:type="dxa"/>
              <w:right w:w="80" w:type="dxa"/>
            </w:tcMar>
          </w:tcPr>
          <w:p w14:paraId="1FC0E48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Informe financiero de la </w:t>
            </w:r>
            <w:proofErr w:type="spellStart"/>
            <w:r w:rsidRPr="00C57E3F">
              <w:rPr>
                <w:sz w:val="20"/>
                <w:lang w:val="es-ES"/>
              </w:rPr>
              <w:t>OFFAM</w:t>
            </w:r>
            <w:proofErr w:type="spellEnd"/>
            <w:r w:rsidRPr="00C57E3F">
              <w:rPr>
                <w:sz w:val="20"/>
                <w:vertAlign w:val="superscript"/>
                <w:lang w:val="en-CA"/>
              </w:rPr>
              <w:footnoteReference w:id="5"/>
            </w:r>
          </w:p>
        </w:tc>
        <w:tc>
          <w:tcPr>
            <w:tcW w:w="6372" w:type="dxa"/>
            <w:tcBorders>
              <w:bottom w:val="nil"/>
            </w:tcBorders>
            <w:shd w:val="clear" w:color="auto" w:fill="E2EFDA"/>
            <w:tcMar>
              <w:top w:w="60" w:type="dxa"/>
              <w:left w:w="80" w:type="dxa"/>
              <w:bottom w:w="60" w:type="dxa"/>
              <w:right w:w="80" w:type="dxa"/>
            </w:tcMar>
          </w:tcPr>
          <w:p w14:paraId="460C1996"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Plenamente evaluable; alimenta indicadores de la meta 13 del </w:t>
            </w:r>
            <w:proofErr w:type="spellStart"/>
            <w:r w:rsidRPr="00C57E3F">
              <w:rPr>
                <w:sz w:val="20"/>
                <w:lang w:val="es-ES"/>
              </w:rPr>
              <w:t>MMBKM</w:t>
            </w:r>
            <w:proofErr w:type="spellEnd"/>
            <w:r w:rsidRPr="00C57E3F">
              <w:rPr>
                <w:sz w:val="20"/>
                <w:lang w:val="es-ES"/>
              </w:rPr>
              <w:t>[; costo y carga administrativa donde haya suficientes datos disponibles]</w:t>
            </w:r>
          </w:p>
        </w:tc>
      </w:tr>
      <w:tr w:rsidR="00C57E3F" w:rsidRPr="00C57E3F" w14:paraId="48512A95" w14:textId="77777777" w:rsidTr="00D562C2">
        <w:tc>
          <w:tcPr>
            <w:tcW w:w="3300" w:type="dxa"/>
            <w:tcBorders>
              <w:top w:val="nil"/>
            </w:tcBorders>
            <w:shd w:val="clear" w:color="auto" w:fill="FFF2CC"/>
            <w:tcMar>
              <w:top w:w="60" w:type="dxa"/>
              <w:left w:w="80" w:type="dxa"/>
              <w:bottom w:w="60" w:type="dxa"/>
              <w:right w:w="80" w:type="dxa"/>
            </w:tcMar>
          </w:tcPr>
          <w:p w14:paraId="49841D40"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Distribución por región y tipo de receptor †</w:t>
            </w:r>
          </w:p>
        </w:tc>
        <w:tc>
          <w:tcPr>
            <w:tcW w:w="1500" w:type="dxa"/>
            <w:tcBorders>
              <w:top w:val="nil"/>
            </w:tcBorders>
            <w:shd w:val="clear" w:color="auto" w:fill="FFF2CC"/>
            <w:tcMar>
              <w:top w:w="60" w:type="dxa"/>
              <w:left w:w="80" w:type="dxa"/>
              <w:bottom w:w="60" w:type="dxa"/>
              <w:right w:w="80" w:type="dxa"/>
            </w:tcMar>
          </w:tcPr>
          <w:p w14:paraId="6C62FBCF"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w:t>
            </w:r>
            <w:proofErr w:type="spellStart"/>
            <w:r w:rsidRPr="00C57E3F">
              <w:rPr>
                <w:sz w:val="20"/>
                <w:lang w:val="es-ES"/>
              </w:rPr>
              <w:t>OFFAM</w:t>
            </w:r>
            <w:proofErr w:type="spellEnd"/>
            <w:r w:rsidRPr="00C57E3F">
              <w:rPr>
                <w:sz w:val="20"/>
                <w:lang w:val="es-ES"/>
              </w:rPr>
              <w:t>) — supeditados a la modalidad de la fórmula</w:t>
            </w:r>
          </w:p>
        </w:tc>
        <w:tc>
          <w:tcPr>
            <w:tcW w:w="2400" w:type="dxa"/>
            <w:tcBorders>
              <w:top w:val="nil"/>
            </w:tcBorders>
            <w:shd w:val="clear" w:color="auto" w:fill="FFF2CC"/>
            <w:tcMar>
              <w:top w:w="60" w:type="dxa"/>
              <w:left w:w="80" w:type="dxa"/>
              <w:bottom w:w="60" w:type="dxa"/>
              <w:right w:w="80" w:type="dxa"/>
            </w:tcMar>
          </w:tcPr>
          <w:p w14:paraId="2C63330E"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Datos de asignación de la </w:t>
            </w:r>
            <w:proofErr w:type="spellStart"/>
            <w:r w:rsidRPr="00C57E3F">
              <w:rPr>
                <w:sz w:val="20"/>
                <w:lang w:val="es-ES"/>
              </w:rPr>
              <w:t>OFFAM</w:t>
            </w:r>
            <w:proofErr w:type="spellEnd"/>
          </w:p>
        </w:tc>
        <w:tc>
          <w:tcPr>
            <w:tcW w:w="6372" w:type="dxa"/>
            <w:tcBorders>
              <w:top w:val="nil"/>
            </w:tcBorders>
            <w:shd w:val="clear" w:color="auto" w:fill="FFF2CC"/>
            <w:tcMar>
              <w:top w:w="60" w:type="dxa"/>
              <w:left w:w="80" w:type="dxa"/>
              <w:bottom w:w="60" w:type="dxa"/>
              <w:right w:w="80" w:type="dxa"/>
            </w:tcMar>
          </w:tcPr>
          <w:p w14:paraId="74AA677D"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Datos de distribución básicos evaluables ahora; para la evaluación plena se requiere la adopción de la fórmula de asignación. Supeditada a la adopción de la fórmula de asignación en la COP-17[; alimenta indicadores de la meta 13 del </w:t>
            </w:r>
            <w:proofErr w:type="spellStart"/>
            <w:r w:rsidRPr="00C57E3F">
              <w:rPr>
                <w:sz w:val="20"/>
                <w:lang w:val="es-ES"/>
              </w:rPr>
              <w:t>MMBKM</w:t>
            </w:r>
            <w:proofErr w:type="spellEnd"/>
            <w:r w:rsidRPr="00C57E3F">
              <w:rPr>
                <w:sz w:val="20"/>
                <w:lang w:val="es-ES"/>
              </w:rPr>
              <w:t>]</w:t>
            </w:r>
          </w:p>
        </w:tc>
      </w:tr>
      <w:tr w:rsidR="00C57E3F" w:rsidRPr="00C57E3F" w14:paraId="5E46AE2C" w14:textId="77777777" w:rsidTr="00D562C2">
        <w:tc>
          <w:tcPr>
            <w:tcW w:w="3300" w:type="dxa"/>
            <w:shd w:val="clear" w:color="auto" w:fill="E2EFDA"/>
            <w:tcMar>
              <w:top w:w="60" w:type="dxa"/>
              <w:left w:w="80" w:type="dxa"/>
              <w:bottom w:w="60" w:type="dxa"/>
              <w:right w:w="80" w:type="dxa"/>
            </w:tcMar>
          </w:tcPr>
          <w:p w14:paraId="6CDB7FDA"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Porcentaje de desembolso</w:t>
            </w:r>
          </w:p>
        </w:tc>
        <w:tc>
          <w:tcPr>
            <w:tcW w:w="1500" w:type="dxa"/>
            <w:shd w:val="clear" w:color="auto" w:fill="E2EFDA"/>
            <w:tcMar>
              <w:top w:w="60" w:type="dxa"/>
              <w:left w:w="80" w:type="dxa"/>
              <w:bottom w:w="60" w:type="dxa"/>
              <w:right w:w="80" w:type="dxa"/>
            </w:tcMar>
          </w:tcPr>
          <w:p w14:paraId="3BC4B35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w:t>
            </w:r>
            <w:proofErr w:type="spellStart"/>
            <w:r w:rsidRPr="00C57E3F">
              <w:rPr>
                <w:sz w:val="20"/>
                <w:lang w:val="es-ES"/>
              </w:rPr>
              <w:t>OFFAM</w:t>
            </w:r>
            <w:proofErr w:type="spellEnd"/>
            <w:r w:rsidRPr="00C57E3F">
              <w:rPr>
                <w:sz w:val="20"/>
                <w:lang w:val="es-ES"/>
              </w:rPr>
              <w:t>)</w:t>
            </w:r>
          </w:p>
        </w:tc>
        <w:tc>
          <w:tcPr>
            <w:tcW w:w="2400" w:type="dxa"/>
            <w:shd w:val="clear" w:color="auto" w:fill="E2EFDA"/>
            <w:tcMar>
              <w:top w:w="60" w:type="dxa"/>
              <w:left w:w="80" w:type="dxa"/>
              <w:bottom w:w="60" w:type="dxa"/>
              <w:right w:w="80" w:type="dxa"/>
            </w:tcMar>
          </w:tcPr>
          <w:p w14:paraId="04213F9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Informe financiero de la </w:t>
            </w:r>
            <w:proofErr w:type="spellStart"/>
            <w:r w:rsidRPr="00C57E3F">
              <w:rPr>
                <w:sz w:val="20"/>
                <w:lang w:val="es-ES"/>
              </w:rPr>
              <w:t>OFFAM</w:t>
            </w:r>
            <w:proofErr w:type="spellEnd"/>
          </w:p>
        </w:tc>
        <w:tc>
          <w:tcPr>
            <w:tcW w:w="6372" w:type="dxa"/>
            <w:shd w:val="clear" w:color="auto" w:fill="E2EFDA"/>
            <w:tcMar>
              <w:top w:w="60" w:type="dxa"/>
              <w:left w:w="80" w:type="dxa"/>
              <w:bottom w:w="60" w:type="dxa"/>
              <w:right w:w="80" w:type="dxa"/>
            </w:tcMar>
          </w:tcPr>
          <w:p w14:paraId="0A90562D"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Plenamente evaluable</w:t>
            </w:r>
          </w:p>
        </w:tc>
      </w:tr>
      <w:tr w:rsidR="00C57E3F" w:rsidRPr="00C57E3F" w14:paraId="698BEF7A" w14:textId="77777777" w:rsidTr="00D562C2">
        <w:tc>
          <w:tcPr>
            <w:tcW w:w="3300" w:type="dxa"/>
            <w:shd w:val="clear" w:color="auto" w:fill="E2EFDA"/>
            <w:tcMar>
              <w:top w:w="60" w:type="dxa"/>
              <w:left w:w="80" w:type="dxa"/>
              <w:bottom w:w="60" w:type="dxa"/>
              <w:right w:w="80" w:type="dxa"/>
            </w:tcMar>
          </w:tcPr>
          <w:p w14:paraId="5894C62B"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Cumplimiento del proceso de asignación (incluidos transparencia, rendición de cuentas, receptividad a cuestiones de género)</w:t>
            </w:r>
          </w:p>
        </w:tc>
        <w:tc>
          <w:tcPr>
            <w:tcW w:w="1500" w:type="dxa"/>
            <w:shd w:val="clear" w:color="auto" w:fill="E2EFDA"/>
            <w:tcMar>
              <w:top w:w="60" w:type="dxa"/>
              <w:left w:w="80" w:type="dxa"/>
              <w:bottom w:w="60" w:type="dxa"/>
              <w:right w:w="80" w:type="dxa"/>
            </w:tcMar>
          </w:tcPr>
          <w:p w14:paraId="5E8346F2"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(Secretaría del Fondo)</w:t>
            </w:r>
          </w:p>
        </w:tc>
        <w:tc>
          <w:tcPr>
            <w:tcW w:w="2400" w:type="dxa"/>
            <w:shd w:val="clear" w:color="auto" w:fill="E2EFDA"/>
            <w:tcMar>
              <w:top w:w="60" w:type="dxa"/>
              <w:left w:w="80" w:type="dxa"/>
              <w:bottom w:w="60" w:type="dxa"/>
              <w:right w:w="80" w:type="dxa"/>
            </w:tcMar>
          </w:tcPr>
          <w:p w14:paraId="6D459E42"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Informe descriptivo de la </w:t>
            </w:r>
            <w:proofErr w:type="spellStart"/>
            <w:r w:rsidRPr="00C57E3F">
              <w:rPr>
                <w:sz w:val="20"/>
                <w:lang w:val="es-ES"/>
              </w:rPr>
              <w:t>Secretaría</w:t>
            </w:r>
            <w:r w:rsidRPr="00C57E3F">
              <w:rPr>
                <w:sz w:val="20"/>
                <w:vertAlign w:val="superscript"/>
                <w:lang w:val="es-ES"/>
              </w:rPr>
              <w:t>5</w:t>
            </w:r>
            <w:proofErr w:type="spellEnd"/>
          </w:p>
        </w:tc>
        <w:tc>
          <w:tcPr>
            <w:tcW w:w="6372" w:type="dxa"/>
            <w:shd w:val="clear" w:color="auto" w:fill="E2EFDA"/>
            <w:tcMar>
              <w:top w:w="60" w:type="dxa"/>
              <w:left w:w="80" w:type="dxa"/>
              <w:bottom w:w="60" w:type="dxa"/>
              <w:right w:w="80" w:type="dxa"/>
            </w:tcMar>
          </w:tcPr>
          <w:p w14:paraId="22D53CD8"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Plenamente evaluable</w:t>
            </w:r>
          </w:p>
        </w:tc>
      </w:tr>
      <w:tr w:rsidR="00C57E3F" w:rsidRPr="00C57E3F" w14:paraId="44CB4E3A" w14:textId="77777777" w:rsidTr="00D562C2">
        <w:tc>
          <w:tcPr>
            <w:tcW w:w="3300" w:type="dxa"/>
            <w:shd w:val="clear" w:color="auto" w:fill="FFF2CC"/>
            <w:tcMar>
              <w:top w:w="60" w:type="dxa"/>
              <w:left w:w="80" w:type="dxa"/>
              <w:bottom w:w="60" w:type="dxa"/>
              <w:right w:w="80" w:type="dxa"/>
            </w:tcMar>
          </w:tcPr>
          <w:p w14:paraId="386F0053"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Progresos en la estructura de gobernanza — G1.vi (elemento principal) (véase </w:t>
            </w:r>
            <w:proofErr w:type="spellStart"/>
            <w:r w:rsidRPr="00C57E3F">
              <w:rPr>
                <w:sz w:val="20"/>
                <w:lang w:val="es-ES"/>
              </w:rPr>
              <w:t>G1</w:t>
            </w:r>
            <w:proofErr w:type="spellEnd"/>
            <w:r w:rsidRPr="00C57E3F">
              <w:rPr>
                <w:sz w:val="20"/>
                <w:lang w:val="es-ES"/>
              </w:rPr>
              <w:t xml:space="preserve"> más adelante) †</w:t>
            </w:r>
          </w:p>
        </w:tc>
        <w:tc>
          <w:tcPr>
            <w:tcW w:w="1500" w:type="dxa"/>
            <w:shd w:val="clear" w:color="auto" w:fill="FFF2CC"/>
            <w:tcMar>
              <w:top w:w="60" w:type="dxa"/>
              <w:left w:w="80" w:type="dxa"/>
              <w:bottom w:w="60" w:type="dxa"/>
              <w:right w:w="80" w:type="dxa"/>
            </w:tcMar>
          </w:tcPr>
          <w:p w14:paraId="156C444D"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(Secretaría del Fondo)</w:t>
            </w:r>
          </w:p>
        </w:tc>
        <w:tc>
          <w:tcPr>
            <w:tcW w:w="2400" w:type="dxa"/>
            <w:shd w:val="clear" w:color="auto" w:fill="FFF2CC"/>
            <w:tcMar>
              <w:top w:w="60" w:type="dxa"/>
              <w:left w:w="80" w:type="dxa"/>
              <w:bottom w:w="60" w:type="dxa"/>
              <w:right w:w="80" w:type="dxa"/>
            </w:tcMar>
          </w:tcPr>
          <w:p w14:paraId="7584F0C5"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Informe Anual del Fondo de </w:t>
            </w:r>
            <w:proofErr w:type="spellStart"/>
            <w:r w:rsidRPr="00C57E3F">
              <w:rPr>
                <w:sz w:val="20"/>
                <w:lang w:val="es-ES"/>
              </w:rPr>
              <w:t>Cali</w:t>
            </w:r>
            <w:r w:rsidRPr="00C57E3F">
              <w:rPr>
                <w:sz w:val="20"/>
                <w:vertAlign w:val="superscript"/>
                <w:lang w:val="es-ES"/>
              </w:rPr>
              <w:t>5</w:t>
            </w:r>
            <w:proofErr w:type="spellEnd"/>
            <w:r w:rsidRPr="00C57E3F">
              <w:rPr>
                <w:sz w:val="20"/>
                <w:lang w:val="es-ES"/>
              </w:rPr>
              <w:t>; informe del Comité Directivo a la Conferencia de las Partes; actas de reuniones del Comité Directivo; manual de operaciones (una vez adoptado)</w:t>
            </w:r>
          </w:p>
        </w:tc>
        <w:tc>
          <w:tcPr>
            <w:tcW w:w="6372" w:type="dxa"/>
            <w:shd w:val="clear" w:color="auto" w:fill="FFF2CC"/>
            <w:tcMar>
              <w:top w:w="60" w:type="dxa"/>
              <w:left w:w="80" w:type="dxa"/>
              <w:bottom w:w="60" w:type="dxa"/>
              <w:right w:w="80" w:type="dxa"/>
            </w:tcMar>
          </w:tcPr>
          <w:p w14:paraId="0815BB9E"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Plenamente evaluable; si se adopta el manual de operaciones en la COP-17, G1.vi será plenamente evaluable. Supeditada a la adopción del manual de operaciones en la COP-17.</w:t>
            </w:r>
          </w:p>
        </w:tc>
      </w:tr>
      <w:tr w:rsidR="00C57E3F" w:rsidRPr="00C57E3F" w14:paraId="71818A27" w14:textId="77777777" w:rsidTr="00D562C2">
        <w:tc>
          <w:tcPr>
            <w:tcW w:w="13572" w:type="dxa"/>
            <w:gridSpan w:val="4"/>
            <w:tcMar>
              <w:top w:w="60" w:type="dxa"/>
              <w:left w:w="80" w:type="dxa"/>
              <w:bottom w:w="60" w:type="dxa"/>
              <w:right w:w="80" w:type="dxa"/>
            </w:tcMar>
          </w:tcPr>
          <w:p w14:paraId="4684D8E4" w14:textId="77777777" w:rsidR="00C57E3F" w:rsidRPr="00C57E3F" w:rsidRDefault="00C57E3F" w:rsidP="00C57E3F">
            <w:pPr>
              <w:keepNext/>
              <w:keepLines/>
              <w:tabs>
                <w:tab w:val="left" w:pos="2835"/>
                <w:tab w:val="left" w:pos="3402"/>
              </w:tabs>
              <w:spacing w:before="40" w:after="80"/>
              <w:jc w:val="left"/>
              <w:rPr>
                <w:b/>
                <w:bCs/>
                <w:sz w:val="20"/>
                <w:szCs w:val="20"/>
                <w:lang w:val="es-ES"/>
              </w:rPr>
            </w:pPr>
            <w:proofErr w:type="spellStart"/>
            <w:r w:rsidRPr="00C57E3F">
              <w:rPr>
                <w:b/>
                <w:sz w:val="20"/>
                <w:lang w:val="es-ES"/>
              </w:rPr>
              <w:t>P2</w:t>
            </w:r>
            <w:proofErr w:type="spellEnd"/>
            <w:r w:rsidRPr="00C57E3F">
              <w:rPr>
                <w:b/>
                <w:sz w:val="20"/>
                <w:lang w:val="es-ES"/>
              </w:rPr>
              <w:t xml:space="preserve"> — [Niveles de contribución], diseño de punto de activación, eficacia y costos</w:t>
            </w:r>
          </w:p>
        </w:tc>
      </w:tr>
      <w:tr w:rsidR="00C57E3F" w:rsidRPr="00C57E3F" w14:paraId="1F895E9F" w14:textId="77777777" w:rsidTr="00D562C2">
        <w:tc>
          <w:tcPr>
            <w:tcW w:w="3300" w:type="dxa"/>
            <w:shd w:val="clear" w:color="auto" w:fill="E2EFDA"/>
            <w:tcMar>
              <w:top w:w="60" w:type="dxa"/>
              <w:left w:w="80" w:type="dxa"/>
              <w:bottom w:w="60" w:type="dxa"/>
              <w:right w:w="80" w:type="dxa"/>
            </w:tcMar>
          </w:tcPr>
          <w:p w14:paraId="119DE684" w14:textId="77777777" w:rsidR="00C57E3F" w:rsidRPr="00C57E3F" w:rsidRDefault="00C57E3F" w:rsidP="00C57E3F">
            <w:pPr>
              <w:keepNext/>
              <w:keepLines/>
              <w:tabs>
                <w:tab w:val="left" w:pos="2835"/>
                <w:tab w:val="left" w:pos="3402"/>
              </w:tabs>
              <w:spacing w:before="40" w:after="80"/>
              <w:jc w:val="left"/>
              <w:rPr>
                <w:sz w:val="20"/>
                <w:szCs w:val="20"/>
                <w:lang w:val="es-MX"/>
              </w:rPr>
            </w:pPr>
          </w:p>
        </w:tc>
        <w:tc>
          <w:tcPr>
            <w:tcW w:w="1500" w:type="dxa"/>
            <w:shd w:val="clear" w:color="auto" w:fill="E2EFDA"/>
            <w:tcMar>
              <w:top w:w="60" w:type="dxa"/>
              <w:left w:w="80" w:type="dxa"/>
              <w:bottom w:w="60" w:type="dxa"/>
              <w:right w:w="80" w:type="dxa"/>
            </w:tcMar>
          </w:tcPr>
          <w:p w14:paraId="71A1229A" w14:textId="77777777" w:rsidR="00C57E3F" w:rsidRPr="00C57E3F" w:rsidRDefault="00C57E3F" w:rsidP="00C57E3F">
            <w:pPr>
              <w:keepNext/>
              <w:keepLines/>
              <w:tabs>
                <w:tab w:val="left" w:pos="2835"/>
                <w:tab w:val="left" w:pos="3402"/>
              </w:tabs>
              <w:spacing w:before="40" w:after="80"/>
              <w:jc w:val="left"/>
              <w:rPr>
                <w:sz w:val="20"/>
                <w:szCs w:val="20"/>
                <w:lang w:val="es-MX"/>
              </w:rPr>
            </w:pPr>
          </w:p>
        </w:tc>
        <w:tc>
          <w:tcPr>
            <w:tcW w:w="2400" w:type="dxa"/>
            <w:shd w:val="clear" w:color="auto" w:fill="E2EFDA"/>
            <w:tcMar>
              <w:top w:w="60" w:type="dxa"/>
              <w:left w:w="80" w:type="dxa"/>
              <w:bottom w:w="60" w:type="dxa"/>
              <w:right w:w="80" w:type="dxa"/>
            </w:tcMar>
          </w:tcPr>
          <w:p w14:paraId="4DB9672E" w14:textId="77777777" w:rsidR="00C57E3F" w:rsidRPr="00C57E3F" w:rsidRDefault="00C57E3F" w:rsidP="00C57E3F">
            <w:pPr>
              <w:keepNext/>
              <w:keepLines/>
              <w:tabs>
                <w:tab w:val="left" w:pos="2835"/>
                <w:tab w:val="left" w:pos="3402"/>
              </w:tabs>
              <w:spacing w:before="40" w:after="80"/>
              <w:jc w:val="left"/>
              <w:rPr>
                <w:sz w:val="20"/>
                <w:szCs w:val="20"/>
                <w:lang w:val="es-MX"/>
              </w:rPr>
            </w:pPr>
          </w:p>
        </w:tc>
        <w:tc>
          <w:tcPr>
            <w:tcW w:w="6372" w:type="dxa"/>
            <w:shd w:val="clear" w:color="auto" w:fill="E2EFDA"/>
            <w:tcMar>
              <w:top w:w="60" w:type="dxa"/>
              <w:left w:w="80" w:type="dxa"/>
              <w:bottom w:w="60" w:type="dxa"/>
              <w:right w:w="80" w:type="dxa"/>
            </w:tcMar>
          </w:tcPr>
          <w:p w14:paraId="5CB825A7" w14:textId="77777777" w:rsidR="00C57E3F" w:rsidRPr="00C57E3F" w:rsidRDefault="00C57E3F" w:rsidP="00C57E3F">
            <w:pPr>
              <w:keepNext/>
              <w:keepLines/>
              <w:tabs>
                <w:tab w:val="left" w:pos="2835"/>
                <w:tab w:val="left" w:pos="3402"/>
              </w:tabs>
              <w:spacing w:before="40" w:after="80"/>
              <w:jc w:val="left"/>
              <w:rPr>
                <w:sz w:val="20"/>
                <w:szCs w:val="20"/>
                <w:lang w:val="es-MX"/>
              </w:rPr>
            </w:pPr>
          </w:p>
        </w:tc>
      </w:tr>
      <w:tr w:rsidR="00C57E3F" w:rsidRPr="00C57E3F" w14:paraId="4D9B9EFC" w14:textId="77777777" w:rsidTr="00D562C2">
        <w:tc>
          <w:tcPr>
            <w:tcW w:w="3300" w:type="dxa"/>
            <w:shd w:val="clear" w:color="auto" w:fill="E2EFDA"/>
            <w:tcMar>
              <w:top w:w="60" w:type="dxa"/>
              <w:left w:w="80" w:type="dxa"/>
              <w:bottom w:w="60" w:type="dxa"/>
              <w:right w:w="80" w:type="dxa"/>
            </w:tcMar>
          </w:tcPr>
          <w:p w14:paraId="73FFC343" w14:textId="77777777" w:rsidR="00C57E3F" w:rsidRPr="00C57E3F" w:rsidRDefault="00C57E3F" w:rsidP="00C57E3F">
            <w:pPr>
              <w:keepNext/>
              <w:keepLines/>
              <w:tabs>
                <w:tab w:val="left" w:pos="2835"/>
                <w:tab w:val="left" w:pos="3402"/>
              </w:tabs>
              <w:spacing w:before="40" w:after="80"/>
              <w:jc w:val="left"/>
              <w:rPr>
                <w:sz w:val="20"/>
                <w:szCs w:val="20"/>
                <w:lang w:val="es-MX"/>
              </w:rPr>
            </w:pPr>
          </w:p>
        </w:tc>
        <w:tc>
          <w:tcPr>
            <w:tcW w:w="1500" w:type="dxa"/>
            <w:shd w:val="clear" w:color="auto" w:fill="E2EFDA"/>
            <w:tcMar>
              <w:top w:w="60" w:type="dxa"/>
              <w:left w:w="80" w:type="dxa"/>
              <w:bottom w:w="60" w:type="dxa"/>
              <w:right w:w="80" w:type="dxa"/>
            </w:tcMar>
          </w:tcPr>
          <w:p w14:paraId="35F2E8D0" w14:textId="77777777" w:rsidR="00C57E3F" w:rsidRPr="00C57E3F" w:rsidRDefault="00C57E3F" w:rsidP="00C57E3F">
            <w:pPr>
              <w:keepNext/>
              <w:keepLines/>
              <w:tabs>
                <w:tab w:val="left" w:pos="2835"/>
                <w:tab w:val="left" w:pos="3402"/>
              </w:tabs>
              <w:spacing w:before="40" w:after="80"/>
              <w:jc w:val="left"/>
              <w:rPr>
                <w:sz w:val="20"/>
                <w:szCs w:val="20"/>
                <w:lang w:val="es-MX"/>
              </w:rPr>
            </w:pPr>
          </w:p>
        </w:tc>
        <w:tc>
          <w:tcPr>
            <w:tcW w:w="2400" w:type="dxa"/>
            <w:shd w:val="clear" w:color="auto" w:fill="E2EFDA"/>
            <w:tcMar>
              <w:top w:w="60" w:type="dxa"/>
              <w:left w:w="80" w:type="dxa"/>
              <w:bottom w:w="60" w:type="dxa"/>
              <w:right w:w="80" w:type="dxa"/>
            </w:tcMar>
          </w:tcPr>
          <w:p w14:paraId="42DA36A0" w14:textId="77777777" w:rsidR="00C57E3F" w:rsidRPr="00C57E3F" w:rsidRDefault="00C57E3F" w:rsidP="00C57E3F">
            <w:pPr>
              <w:keepNext/>
              <w:keepLines/>
              <w:tabs>
                <w:tab w:val="left" w:pos="2835"/>
                <w:tab w:val="left" w:pos="3402"/>
              </w:tabs>
              <w:spacing w:before="40" w:after="80"/>
              <w:jc w:val="left"/>
              <w:rPr>
                <w:sz w:val="20"/>
                <w:szCs w:val="20"/>
                <w:lang w:val="es-MX"/>
              </w:rPr>
            </w:pPr>
          </w:p>
        </w:tc>
        <w:tc>
          <w:tcPr>
            <w:tcW w:w="6372" w:type="dxa"/>
            <w:shd w:val="clear" w:color="auto" w:fill="E2EFDA"/>
            <w:tcMar>
              <w:top w:w="60" w:type="dxa"/>
              <w:left w:w="80" w:type="dxa"/>
              <w:bottom w:w="60" w:type="dxa"/>
              <w:right w:w="80" w:type="dxa"/>
            </w:tcMar>
          </w:tcPr>
          <w:p w14:paraId="486E6168" w14:textId="77777777" w:rsidR="00C57E3F" w:rsidRPr="00C57E3F" w:rsidRDefault="00C57E3F" w:rsidP="00C57E3F">
            <w:pPr>
              <w:keepNext/>
              <w:keepLines/>
              <w:tabs>
                <w:tab w:val="left" w:pos="2835"/>
                <w:tab w:val="left" w:pos="3402"/>
              </w:tabs>
              <w:spacing w:before="40" w:after="80"/>
              <w:jc w:val="left"/>
              <w:rPr>
                <w:sz w:val="20"/>
                <w:szCs w:val="20"/>
                <w:lang w:val="es-MX"/>
              </w:rPr>
            </w:pPr>
          </w:p>
        </w:tc>
      </w:tr>
      <w:tr w:rsidR="00C57E3F" w:rsidRPr="00C57E3F" w14:paraId="439DF73B" w14:textId="77777777" w:rsidTr="00D562C2">
        <w:tc>
          <w:tcPr>
            <w:tcW w:w="3300" w:type="dxa"/>
            <w:shd w:val="clear" w:color="auto" w:fill="E2EFDA"/>
            <w:tcMar>
              <w:top w:w="60" w:type="dxa"/>
              <w:left w:w="80" w:type="dxa"/>
              <w:bottom w:w="60" w:type="dxa"/>
              <w:right w:w="80" w:type="dxa"/>
            </w:tcMar>
          </w:tcPr>
          <w:p w14:paraId="662EF8F8" w14:textId="77777777" w:rsidR="00C57E3F" w:rsidRPr="00C57E3F" w:rsidRDefault="00C57E3F" w:rsidP="00C57E3F">
            <w:pPr>
              <w:tabs>
                <w:tab w:val="left" w:pos="2835"/>
                <w:tab w:val="left" w:pos="3402"/>
              </w:tabs>
              <w:spacing w:before="40" w:after="80"/>
              <w:jc w:val="left"/>
              <w:rPr>
                <w:sz w:val="20"/>
                <w:szCs w:val="20"/>
                <w:lang w:val="es-MX"/>
              </w:rPr>
            </w:pPr>
          </w:p>
        </w:tc>
        <w:tc>
          <w:tcPr>
            <w:tcW w:w="1500" w:type="dxa"/>
            <w:shd w:val="clear" w:color="auto" w:fill="E2EFDA"/>
            <w:tcMar>
              <w:top w:w="60" w:type="dxa"/>
              <w:left w:w="80" w:type="dxa"/>
              <w:bottom w:w="60" w:type="dxa"/>
              <w:right w:w="80" w:type="dxa"/>
            </w:tcMar>
          </w:tcPr>
          <w:p w14:paraId="3312309D" w14:textId="77777777" w:rsidR="00C57E3F" w:rsidRPr="00C57E3F" w:rsidRDefault="00C57E3F" w:rsidP="00C57E3F">
            <w:pPr>
              <w:tabs>
                <w:tab w:val="left" w:pos="2835"/>
                <w:tab w:val="left" w:pos="3402"/>
              </w:tabs>
              <w:spacing w:before="40" w:after="80"/>
              <w:jc w:val="left"/>
              <w:rPr>
                <w:sz w:val="20"/>
                <w:szCs w:val="20"/>
                <w:lang w:val="es-MX"/>
              </w:rPr>
            </w:pPr>
          </w:p>
        </w:tc>
        <w:tc>
          <w:tcPr>
            <w:tcW w:w="2400" w:type="dxa"/>
            <w:shd w:val="clear" w:color="auto" w:fill="E2EFDA"/>
            <w:tcMar>
              <w:top w:w="60" w:type="dxa"/>
              <w:left w:w="80" w:type="dxa"/>
              <w:bottom w:w="60" w:type="dxa"/>
              <w:right w:w="80" w:type="dxa"/>
            </w:tcMar>
          </w:tcPr>
          <w:p w14:paraId="5BDFCDCD" w14:textId="77777777" w:rsidR="00C57E3F" w:rsidRPr="00C57E3F" w:rsidRDefault="00C57E3F" w:rsidP="00C57E3F">
            <w:pPr>
              <w:tabs>
                <w:tab w:val="left" w:pos="2835"/>
                <w:tab w:val="left" w:pos="3402"/>
              </w:tabs>
              <w:spacing w:before="40" w:after="80"/>
              <w:jc w:val="left"/>
              <w:rPr>
                <w:sz w:val="20"/>
                <w:szCs w:val="20"/>
                <w:lang w:val="es-MX"/>
              </w:rPr>
            </w:pPr>
          </w:p>
        </w:tc>
        <w:tc>
          <w:tcPr>
            <w:tcW w:w="6372" w:type="dxa"/>
            <w:shd w:val="clear" w:color="auto" w:fill="E2EFDA"/>
            <w:tcMar>
              <w:top w:w="60" w:type="dxa"/>
              <w:left w:w="80" w:type="dxa"/>
              <w:bottom w:w="60" w:type="dxa"/>
              <w:right w:w="80" w:type="dxa"/>
            </w:tcMar>
          </w:tcPr>
          <w:p w14:paraId="33E7185A" w14:textId="77777777" w:rsidR="00C57E3F" w:rsidRPr="00C57E3F" w:rsidRDefault="00C57E3F" w:rsidP="00C57E3F">
            <w:pPr>
              <w:tabs>
                <w:tab w:val="left" w:pos="2835"/>
                <w:tab w:val="left" w:pos="3402"/>
              </w:tabs>
              <w:spacing w:before="40" w:after="80"/>
              <w:jc w:val="left"/>
              <w:rPr>
                <w:sz w:val="20"/>
                <w:szCs w:val="20"/>
                <w:lang w:val="es-MX"/>
              </w:rPr>
            </w:pPr>
          </w:p>
        </w:tc>
      </w:tr>
      <w:tr w:rsidR="00C57E3F" w:rsidRPr="00C57E3F" w14:paraId="3F3EBDEF" w14:textId="77777777" w:rsidTr="00D562C2">
        <w:tc>
          <w:tcPr>
            <w:tcW w:w="3300" w:type="dxa"/>
            <w:shd w:val="clear" w:color="auto" w:fill="FFF2CC"/>
            <w:tcMar>
              <w:top w:w="60" w:type="dxa"/>
              <w:left w:w="80" w:type="dxa"/>
              <w:bottom w:w="60" w:type="dxa"/>
              <w:right w:w="80" w:type="dxa"/>
            </w:tcMar>
          </w:tcPr>
          <w:p w14:paraId="1E2277AA" w14:textId="17C19E3B"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CP1</w:t>
            </w:r>
            <w:proofErr w:type="spellEnd"/>
            <w:r w:rsidRPr="00C57E3F">
              <w:rPr>
                <w:sz w:val="20"/>
                <w:lang w:val="es-ES"/>
              </w:rPr>
              <w:t xml:space="preserve"> — Conocimiento de los contribuyentes, comprensión [y claridad] [y] eficacia operativa de las condiciones de contribución † [incluida la evaluación de la eficacia y adecuación del punto de activación para las contribuciones monetarias conforme a la decisión </w:t>
            </w:r>
            <w:hyperlink r:id="rId36" w:history="1">
              <w:r w:rsidR="0067120E" w:rsidRPr="00BC1D02">
                <w:rPr>
                  <w:rStyle w:val="Hyperlink"/>
                  <w:sz w:val="20"/>
                  <w:lang w:val="es-MX"/>
                </w:rPr>
                <w:t>16/2</w:t>
              </w:r>
            </w:hyperlink>
            <w:r w:rsidRPr="00C57E3F">
              <w:rPr>
                <w:sz w:val="20"/>
                <w:lang w:val="es-ES"/>
              </w:rPr>
              <w:t>]</w:t>
            </w:r>
          </w:p>
        </w:tc>
        <w:tc>
          <w:tcPr>
            <w:tcW w:w="1500" w:type="dxa"/>
            <w:shd w:val="clear" w:color="auto" w:fill="FFF2CC"/>
            <w:tcMar>
              <w:top w:w="60" w:type="dxa"/>
              <w:left w:w="80" w:type="dxa"/>
              <w:bottom w:w="60" w:type="dxa"/>
              <w:right w:w="80" w:type="dxa"/>
            </w:tcMar>
          </w:tcPr>
          <w:p w14:paraId="2B557772"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 (encuesta)</w:t>
            </w:r>
          </w:p>
        </w:tc>
        <w:tc>
          <w:tcPr>
            <w:tcW w:w="2400" w:type="dxa"/>
            <w:shd w:val="clear" w:color="auto" w:fill="FFF2CC"/>
            <w:tcMar>
              <w:top w:w="60" w:type="dxa"/>
              <w:left w:w="80" w:type="dxa"/>
              <w:bottom w:w="60" w:type="dxa"/>
              <w:right w:w="80" w:type="dxa"/>
            </w:tcMar>
          </w:tcPr>
          <w:p w14:paraId="08D41D38"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Encuesta de contribuyentes / interesados; incluida la presentación de informes nacionales sobre la meta 13; [Distinguir entre entidades que no tenían conocimiento, entidades que tenían conocimiento pero encontraron condiciones inciertas y entidades que tenían conocimiento pero no contribuyeron]</w:t>
            </w:r>
          </w:p>
        </w:tc>
        <w:tc>
          <w:tcPr>
            <w:tcW w:w="6372" w:type="dxa"/>
            <w:shd w:val="clear" w:color="auto" w:fill="FFF2CC"/>
            <w:tcMar>
              <w:top w:w="60" w:type="dxa"/>
              <w:left w:w="80" w:type="dxa"/>
              <w:bottom w:w="60" w:type="dxa"/>
              <w:right w:w="80" w:type="dxa"/>
            </w:tcMar>
          </w:tcPr>
          <w:p w14:paraId="4C71A7CA"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Evaluable en encuesta lanzada poco después de la COP-17 complementada con datos sobre contribuciones efectivas y tendencias de contribución; resultados provisionales posiblemente disponibles antes de la COP-18. Supeditada al lanzamiento de la encuesta por la Secretaría después de la COP-17.</w:t>
            </w:r>
          </w:p>
        </w:tc>
      </w:tr>
      <w:tr w:rsidR="00C57E3F" w:rsidRPr="00C57E3F" w14:paraId="11F3AAB3" w14:textId="77777777" w:rsidTr="00D562C2">
        <w:tc>
          <w:tcPr>
            <w:tcW w:w="3300" w:type="dxa"/>
            <w:shd w:val="clear" w:color="auto" w:fill="FFF2CC"/>
            <w:tcMar>
              <w:top w:w="60" w:type="dxa"/>
              <w:left w:w="80" w:type="dxa"/>
              <w:bottom w:w="60" w:type="dxa"/>
              <w:right w:w="80" w:type="dxa"/>
            </w:tcMar>
          </w:tcPr>
          <w:p w14:paraId="65095396"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CP2</w:t>
            </w:r>
            <w:proofErr w:type="spellEnd"/>
            <w:r w:rsidRPr="00C57E3F">
              <w:rPr>
                <w:sz w:val="20"/>
                <w:lang w:val="es-ES"/>
              </w:rPr>
              <w:t xml:space="preserve"> — Percepción de la justificación económica de los umbrales de contribución † </w:t>
            </w:r>
          </w:p>
          <w:p w14:paraId="31D8928F" w14:textId="77777777" w:rsidR="00C57E3F" w:rsidRPr="00C57E3F" w:rsidRDefault="00C57E3F" w:rsidP="00C57E3F">
            <w:pPr>
              <w:tabs>
                <w:tab w:val="left" w:pos="2835"/>
                <w:tab w:val="left" w:pos="3402"/>
              </w:tabs>
              <w:spacing w:before="40" w:after="80"/>
              <w:jc w:val="left"/>
              <w:rPr>
                <w:sz w:val="20"/>
                <w:szCs w:val="20"/>
                <w:lang w:val="es-MX"/>
              </w:rPr>
            </w:pPr>
          </w:p>
          <w:p w14:paraId="5C7B5575" w14:textId="77777777" w:rsidR="00C57E3F" w:rsidRPr="00C57E3F" w:rsidRDefault="00C57E3F" w:rsidP="00C57E3F">
            <w:pPr>
              <w:tabs>
                <w:tab w:val="left" w:pos="2835"/>
                <w:tab w:val="left" w:pos="3402"/>
              </w:tabs>
              <w:spacing w:before="40" w:after="80"/>
              <w:jc w:val="left"/>
              <w:rPr>
                <w:sz w:val="20"/>
                <w:szCs w:val="20"/>
                <w:lang w:val="es-MX"/>
              </w:rPr>
            </w:pPr>
          </w:p>
        </w:tc>
        <w:tc>
          <w:tcPr>
            <w:tcW w:w="1500" w:type="dxa"/>
            <w:shd w:val="clear" w:color="auto" w:fill="FFF2CC"/>
            <w:tcMar>
              <w:top w:w="60" w:type="dxa"/>
              <w:left w:w="80" w:type="dxa"/>
              <w:bottom w:w="60" w:type="dxa"/>
              <w:right w:w="80" w:type="dxa"/>
            </w:tcMar>
          </w:tcPr>
          <w:p w14:paraId="028A5DB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 (encuesta)</w:t>
            </w:r>
          </w:p>
        </w:tc>
        <w:tc>
          <w:tcPr>
            <w:tcW w:w="2400" w:type="dxa"/>
            <w:shd w:val="clear" w:color="auto" w:fill="FFF2CC"/>
            <w:tcMar>
              <w:top w:w="60" w:type="dxa"/>
              <w:left w:w="80" w:type="dxa"/>
              <w:bottom w:w="60" w:type="dxa"/>
              <w:right w:w="80" w:type="dxa"/>
            </w:tcMar>
          </w:tcPr>
          <w:p w14:paraId="113A2B1F"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Encuesta de contribuyentes / interesados, [autoridad nacional competente / punto focal nacional del CDB, según proceda] complementada con datos sobre entidades que cumplen con el umbral, entidades que contribuyen y contribuciones recibidas</w:t>
            </w:r>
          </w:p>
        </w:tc>
        <w:tc>
          <w:tcPr>
            <w:tcW w:w="6372" w:type="dxa"/>
            <w:shd w:val="clear" w:color="auto" w:fill="FFF2CC"/>
            <w:tcMar>
              <w:top w:w="60" w:type="dxa"/>
              <w:left w:w="80" w:type="dxa"/>
              <w:bottom w:w="60" w:type="dxa"/>
              <w:right w:w="80" w:type="dxa"/>
            </w:tcMar>
          </w:tcPr>
          <w:p w14:paraId="7F94FE7B"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Evaluable en encuesta lanzada poco después de la COP-17; resultados provisionales posiblemente disponibles antes de la COP-18. Supeditada al lanzamiento de la encuesta por la Secretaría después de la COP-17, efecto en el umbral de contribución sobre el nivel de participación y contribución</w:t>
            </w:r>
          </w:p>
        </w:tc>
      </w:tr>
      <w:tr w:rsidR="00C57E3F" w:rsidRPr="00C57E3F" w14:paraId="1A686B41" w14:textId="77777777" w:rsidTr="00D562C2">
        <w:tc>
          <w:tcPr>
            <w:tcW w:w="3300" w:type="dxa"/>
            <w:shd w:val="clear" w:color="auto" w:fill="FFF2CC"/>
            <w:tcMar>
              <w:top w:w="60" w:type="dxa"/>
              <w:left w:w="80" w:type="dxa"/>
              <w:bottom w:w="60" w:type="dxa"/>
              <w:right w:w="80" w:type="dxa"/>
            </w:tcMar>
          </w:tcPr>
          <w:p w14:paraId="4BE84BCD" w14:textId="07334A40"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CP3</w:t>
            </w:r>
            <w:proofErr w:type="spellEnd"/>
            <w:r w:rsidR="00C02B5B">
              <w:rPr>
                <w:sz w:val="20"/>
                <w:lang w:val="es-ES"/>
              </w:rPr>
              <w:t xml:space="preserve"> - </w:t>
            </w:r>
            <w:r w:rsidRPr="00C57E3F">
              <w:rPr>
                <w:sz w:val="20"/>
                <w:lang w:val="es-ES"/>
              </w:rPr>
              <w:t>[propuesta de valor e incentivo para proveedor y usuario, incluido reconocimiento de certificado]</w:t>
            </w:r>
          </w:p>
        </w:tc>
        <w:tc>
          <w:tcPr>
            <w:tcW w:w="1500" w:type="dxa"/>
            <w:shd w:val="clear" w:color="auto" w:fill="FFF2CC"/>
            <w:tcMar>
              <w:top w:w="60" w:type="dxa"/>
              <w:left w:w="80" w:type="dxa"/>
              <w:bottom w:w="60" w:type="dxa"/>
              <w:right w:w="80" w:type="dxa"/>
            </w:tcMar>
          </w:tcPr>
          <w:p w14:paraId="29B0C8D9" w14:textId="77777777" w:rsidR="00C57E3F" w:rsidRPr="00C57E3F" w:rsidRDefault="00C57E3F" w:rsidP="00C57E3F">
            <w:pPr>
              <w:tabs>
                <w:tab w:val="left" w:pos="2835"/>
                <w:tab w:val="left" w:pos="3402"/>
              </w:tabs>
              <w:spacing w:before="40" w:after="80"/>
              <w:jc w:val="left"/>
              <w:rPr>
                <w:sz w:val="20"/>
                <w:szCs w:val="20"/>
                <w:lang w:val="es-MX"/>
              </w:rPr>
            </w:pPr>
          </w:p>
        </w:tc>
        <w:tc>
          <w:tcPr>
            <w:tcW w:w="2400" w:type="dxa"/>
            <w:shd w:val="clear" w:color="auto" w:fill="FFF2CC"/>
            <w:tcMar>
              <w:top w:w="60" w:type="dxa"/>
              <w:left w:w="80" w:type="dxa"/>
              <w:bottom w:w="60" w:type="dxa"/>
              <w:right w:w="80" w:type="dxa"/>
            </w:tcMar>
          </w:tcPr>
          <w:p w14:paraId="7E15EA58" w14:textId="77777777" w:rsidR="00C57E3F" w:rsidRPr="00C57E3F" w:rsidRDefault="00C57E3F" w:rsidP="00C57E3F">
            <w:pPr>
              <w:tabs>
                <w:tab w:val="left" w:pos="2835"/>
                <w:tab w:val="left" w:pos="3402"/>
              </w:tabs>
              <w:spacing w:before="40" w:after="80"/>
              <w:jc w:val="left"/>
              <w:rPr>
                <w:sz w:val="20"/>
                <w:szCs w:val="20"/>
                <w:lang w:val="es-MX"/>
              </w:rPr>
            </w:pPr>
          </w:p>
        </w:tc>
        <w:tc>
          <w:tcPr>
            <w:tcW w:w="6372" w:type="dxa"/>
            <w:shd w:val="clear" w:color="auto" w:fill="FFF2CC"/>
            <w:tcMar>
              <w:top w:w="60" w:type="dxa"/>
              <w:left w:w="80" w:type="dxa"/>
              <w:bottom w:w="60" w:type="dxa"/>
              <w:right w:w="80" w:type="dxa"/>
            </w:tcMar>
          </w:tcPr>
          <w:p w14:paraId="29CC370B" w14:textId="77777777" w:rsidR="00C57E3F" w:rsidRPr="00C57E3F" w:rsidRDefault="00C57E3F" w:rsidP="00C57E3F">
            <w:pPr>
              <w:tabs>
                <w:tab w:val="left" w:pos="2835"/>
                <w:tab w:val="left" w:pos="3402"/>
              </w:tabs>
              <w:spacing w:before="40" w:after="80"/>
              <w:jc w:val="left"/>
              <w:rPr>
                <w:sz w:val="20"/>
                <w:szCs w:val="20"/>
                <w:lang w:val="es-MX"/>
              </w:rPr>
            </w:pPr>
          </w:p>
        </w:tc>
      </w:tr>
      <w:tr w:rsidR="00C57E3F" w:rsidRPr="00C57E3F" w14:paraId="6F00F3A3" w14:textId="77777777" w:rsidTr="00D562C2">
        <w:tc>
          <w:tcPr>
            <w:tcW w:w="13572" w:type="dxa"/>
            <w:gridSpan w:val="4"/>
            <w:tcMar>
              <w:top w:w="60" w:type="dxa"/>
              <w:left w:w="80" w:type="dxa"/>
              <w:bottom w:w="60" w:type="dxa"/>
              <w:right w:w="80" w:type="dxa"/>
            </w:tcMar>
          </w:tcPr>
          <w:p w14:paraId="32E75051" w14:textId="77777777" w:rsidR="00C57E3F" w:rsidRPr="00C57E3F" w:rsidRDefault="00C57E3F" w:rsidP="00C57E3F">
            <w:pPr>
              <w:tabs>
                <w:tab w:val="left" w:pos="2835"/>
                <w:tab w:val="left" w:pos="3402"/>
              </w:tabs>
              <w:spacing w:before="40" w:after="80"/>
              <w:jc w:val="left"/>
              <w:rPr>
                <w:b/>
                <w:bCs/>
                <w:sz w:val="20"/>
                <w:szCs w:val="20"/>
                <w:lang w:val="es-ES"/>
              </w:rPr>
            </w:pPr>
            <w:proofErr w:type="spellStart"/>
            <w:r w:rsidRPr="00C57E3F">
              <w:rPr>
                <w:b/>
                <w:sz w:val="20"/>
                <w:lang w:val="es-ES"/>
              </w:rPr>
              <w:t>P3</w:t>
            </w:r>
            <w:proofErr w:type="spellEnd"/>
            <w:r w:rsidRPr="00C57E3F">
              <w:rPr>
                <w:b/>
                <w:sz w:val="20"/>
                <w:lang w:val="es-ES"/>
              </w:rPr>
              <w:t xml:space="preserve"> — Beneficios no monetarios [derivados del uso de información digital sobre secuencias]</w:t>
            </w:r>
          </w:p>
        </w:tc>
      </w:tr>
      <w:tr w:rsidR="00C57E3F" w:rsidRPr="00C57E3F" w14:paraId="044FDF11" w14:textId="77777777" w:rsidTr="00D562C2">
        <w:tc>
          <w:tcPr>
            <w:tcW w:w="3300" w:type="dxa"/>
            <w:shd w:val="clear" w:color="auto" w:fill="E2EFDA"/>
            <w:tcMar>
              <w:top w:w="60" w:type="dxa"/>
              <w:left w:w="80" w:type="dxa"/>
              <w:bottom w:w="60" w:type="dxa"/>
              <w:right w:w="80" w:type="dxa"/>
            </w:tcMar>
          </w:tcPr>
          <w:p w14:paraId="128FA79C" w14:textId="77777777" w:rsidR="00C57E3F" w:rsidRPr="00C57E3F" w:rsidRDefault="00C57E3F" w:rsidP="00C57E3F">
            <w:pPr>
              <w:tabs>
                <w:tab w:val="left" w:pos="2835"/>
                <w:tab w:val="left" w:pos="3402"/>
              </w:tabs>
              <w:spacing w:before="40" w:after="80"/>
              <w:jc w:val="left"/>
              <w:rPr>
                <w:i/>
                <w:iCs/>
                <w:sz w:val="20"/>
                <w:szCs w:val="20"/>
                <w:lang w:val="es-ES"/>
              </w:rPr>
            </w:pPr>
            <w:r w:rsidRPr="00C57E3F">
              <w:rPr>
                <w:i/>
                <w:sz w:val="20"/>
                <w:lang w:val="es-ES"/>
              </w:rPr>
              <w:t>(toda la fila entre corchetes)</w:t>
            </w:r>
          </w:p>
          <w:p w14:paraId="2C1DB4A9" w14:textId="649D2AE4" w:rsidR="00C57E3F" w:rsidRPr="00C57E3F" w:rsidRDefault="00C57E3F" w:rsidP="000D705B">
            <w:pPr>
              <w:tabs>
                <w:tab w:val="left" w:pos="2835"/>
                <w:tab w:val="left" w:pos="3402"/>
              </w:tabs>
              <w:spacing w:before="40" w:after="80"/>
              <w:jc w:val="left"/>
              <w:rPr>
                <w:sz w:val="20"/>
                <w:szCs w:val="20"/>
                <w:lang w:val="es-ES"/>
              </w:rPr>
            </w:pPr>
            <w:r w:rsidRPr="00C57E3F">
              <w:rPr>
                <w:sz w:val="20"/>
                <w:lang w:val="es-ES"/>
              </w:rPr>
              <w:t xml:space="preserve">Acceso [abierto] a información digital sobre secuencias — [en consonancia con </w:t>
            </w:r>
            <w:r w:rsidR="00105DB6">
              <w:rPr>
                <w:sz w:val="20"/>
                <w:lang w:val="es-ES"/>
              </w:rPr>
              <w:t xml:space="preserve">el </w:t>
            </w:r>
            <w:r w:rsidRPr="00C57E3F">
              <w:rPr>
                <w:sz w:val="20"/>
                <w:lang w:val="es-ES"/>
              </w:rPr>
              <w:t xml:space="preserve">cumplimiento de </w:t>
            </w:r>
            <w:r w:rsidR="000D705B">
              <w:rPr>
                <w:sz w:val="20"/>
                <w:lang w:val="es-ES"/>
              </w:rPr>
              <w:t xml:space="preserve">principios </w:t>
            </w:r>
            <w:proofErr w:type="spellStart"/>
            <w:r w:rsidRPr="00C57E3F">
              <w:rPr>
                <w:sz w:val="20"/>
                <w:lang w:val="es-ES"/>
              </w:rPr>
              <w:t>FAIR</w:t>
            </w:r>
            <w:proofErr w:type="spellEnd"/>
            <w:r w:rsidRPr="00C57E3F">
              <w:rPr>
                <w:sz w:val="20"/>
                <w:lang w:val="es-ES"/>
              </w:rPr>
              <w:t xml:space="preserve">, </w:t>
            </w:r>
            <w:proofErr w:type="spellStart"/>
            <w:r w:rsidRPr="00C57E3F">
              <w:rPr>
                <w:sz w:val="20"/>
                <w:lang w:val="es-ES"/>
              </w:rPr>
              <w:t>CARE</w:t>
            </w:r>
            <w:proofErr w:type="spellEnd"/>
            <w:r w:rsidRPr="00C57E3F">
              <w:rPr>
                <w:sz w:val="20"/>
                <w:lang w:val="es-ES"/>
              </w:rPr>
              <w:t xml:space="preserve"> y de la UNESCO][</w:t>
            </w:r>
            <w:r w:rsidR="000D705B">
              <w:rPr>
                <w:sz w:val="20"/>
                <w:lang w:val="es-ES"/>
              </w:rPr>
              <w:t>cumplimiento de principios</w:t>
            </w:r>
            <w:r w:rsidRPr="00C57E3F">
              <w:rPr>
                <w:sz w:val="20"/>
                <w:lang w:val="es-ES"/>
              </w:rPr>
              <w:t xml:space="preserve">, así como recomendaciones de la UNESCO, principios </w:t>
            </w:r>
            <w:proofErr w:type="spellStart"/>
            <w:r w:rsidRPr="00C57E3F">
              <w:rPr>
                <w:sz w:val="20"/>
                <w:lang w:val="es-ES"/>
              </w:rPr>
              <w:t>CARE</w:t>
            </w:r>
            <w:proofErr w:type="spellEnd"/>
            <w:r w:rsidRPr="00C57E3F">
              <w:rPr>
                <w:sz w:val="20"/>
                <w:lang w:val="es-ES"/>
              </w:rPr>
              <w:t>]</w:t>
            </w:r>
          </w:p>
        </w:tc>
        <w:tc>
          <w:tcPr>
            <w:tcW w:w="1500" w:type="dxa"/>
            <w:shd w:val="clear" w:color="auto" w:fill="E2EFDA"/>
            <w:tcMar>
              <w:top w:w="60" w:type="dxa"/>
              <w:left w:w="80" w:type="dxa"/>
              <w:bottom w:w="60" w:type="dxa"/>
              <w:right w:w="80" w:type="dxa"/>
            </w:tcMar>
          </w:tcPr>
          <w:p w14:paraId="0AA87896"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(bases de datos)</w:t>
            </w:r>
          </w:p>
        </w:tc>
        <w:tc>
          <w:tcPr>
            <w:tcW w:w="2400" w:type="dxa"/>
            <w:shd w:val="clear" w:color="auto" w:fill="E2EFDA"/>
            <w:tcMar>
              <w:top w:w="60" w:type="dxa"/>
              <w:left w:w="80" w:type="dxa"/>
              <w:bottom w:w="60" w:type="dxa"/>
              <w:right w:w="80" w:type="dxa"/>
            </w:tcMar>
          </w:tcPr>
          <w:p w14:paraId="7C26C703"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Informes voluntarios de operadores de bases de datos </w:t>
            </w:r>
          </w:p>
        </w:tc>
        <w:tc>
          <w:tcPr>
            <w:tcW w:w="6372" w:type="dxa"/>
            <w:shd w:val="clear" w:color="auto" w:fill="E2EFDA"/>
            <w:tcMar>
              <w:top w:w="60" w:type="dxa"/>
              <w:left w:w="80" w:type="dxa"/>
              <w:bottom w:w="60" w:type="dxa"/>
              <w:right w:w="80" w:type="dxa"/>
            </w:tcMar>
          </w:tcPr>
          <w:p w14:paraId="76ADCAF4"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Plenamente evaluable si están disponibles los informes.</w:t>
            </w:r>
          </w:p>
        </w:tc>
      </w:tr>
      <w:tr w:rsidR="00C57E3F" w:rsidRPr="00C57E3F" w14:paraId="55B51EE9" w14:textId="77777777" w:rsidTr="00D562C2">
        <w:tc>
          <w:tcPr>
            <w:tcW w:w="3300" w:type="dxa"/>
            <w:shd w:val="clear" w:color="auto" w:fill="E2EFDA"/>
            <w:tcMar>
              <w:top w:w="60" w:type="dxa"/>
              <w:left w:w="80" w:type="dxa"/>
              <w:bottom w:w="60" w:type="dxa"/>
              <w:right w:w="80" w:type="dxa"/>
            </w:tcMar>
          </w:tcPr>
          <w:p w14:paraId="072D3C5D" w14:textId="7E2810F8" w:rsidR="00C57E3F" w:rsidRPr="00C57E3F" w:rsidRDefault="00C57E3F" w:rsidP="002E61C7">
            <w:pPr>
              <w:tabs>
                <w:tab w:val="left" w:pos="2835"/>
                <w:tab w:val="left" w:pos="3402"/>
              </w:tabs>
              <w:spacing w:before="40" w:after="80"/>
              <w:jc w:val="left"/>
              <w:rPr>
                <w:sz w:val="20"/>
                <w:szCs w:val="20"/>
                <w:lang w:val="es-ES"/>
              </w:rPr>
            </w:pPr>
            <w:r w:rsidRPr="00C57E3F">
              <w:rPr>
                <w:sz w:val="20"/>
                <w:lang w:val="es-ES"/>
              </w:rPr>
              <w:t xml:space="preserve">Creación de capacidad </w:t>
            </w:r>
            <w:r w:rsidR="002E61C7">
              <w:rPr>
                <w:sz w:val="20"/>
                <w:lang w:val="es-ES"/>
              </w:rPr>
              <w:t xml:space="preserve">– </w:t>
            </w:r>
            <w:r w:rsidR="002E61C7" w:rsidRPr="002E61C7">
              <w:rPr>
                <w:i/>
                <w:sz w:val="20"/>
                <w:lang w:val="es-ES"/>
              </w:rPr>
              <w:t>se podría considerar para el cuadro 2</w:t>
            </w:r>
          </w:p>
        </w:tc>
        <w:tc>
          <w:tcPr>
            <w:tcW w:w="1500" w:type="dxa"/>
            <w:shd w:val="clear" w:color="auto" w:fill="E2EFDA"/>
            <w:tcMar>
              <w:top w:w="60" w:type="dxa"/>
              <w:left w:w="80" w:type="dxa"/>
              <w:bottom w:w="60" w:type="dxa"/>
              <w:right w:w="80" w:type="dxa"/>
            </w:tcMar>
          </w:tcPr>
          <w:p w14:paraId="6D715D33" w14:textId="77777777" w:rsidR="00C57E3F" w:rsidRPr="00C57E3F" w:rsidRDefault="00C57E3F" w:rsidP="00C57E3F">
            <w:pPr>
              <w:tabs>
                <w:tab w:val="left" w:pos="2835"/>
                <w:tab w:val="left" w:pos="3402"/>
              </w:tabs>
              <w:spacing w:before="40" w:after="80"/>
              <w:jc w:val="left"/>
              <w:rPr>
                <w:sz w:val="20"/>
                <w:szCs w:val="20"/>
                <w:lang w:val="es-MX"/>
              </w:rPr>
            </w:pPr>
          </w:p>
        </w:tc>
        <w:tc>
          <w:tcPr>
            <w:tcW w:w="2400" w:type="dxa"/>
            <w:shd w:val="clear" w:color="auto" w:fill="E2EFDA"/>
            <w:tcMar>
              <w:top w:w="60" w:type="dxa"/>
              <w:left w:w="86" w:type="dxa"/>
              <w:bottom w:w="60" w:type="dxa"/>
              <w:right w:w="29" w:type="dxa"/>
            </w:tcMar>
          </w:tcPr>
          <w:p w14:paraId="31116E2E" w14:textId="77777777" w:rsidR="00C57E3F" w:rsidRPr="00C57E3F" w:rsidRDefault="00C57E3F" w:rsidP="00C57E3F">
            <w:pPr>
              <w:tabs>
                <w:tab w:val="left" w:pos="2835"/>
                <w:tab w:val="left" w:pos="3402"/>
              </w:tabs>
              <w:spacing w:before="40" w:after="80"/>
              <w:jc w:val="left"/>
              <w:rPr>
                <w:spacing w:val="-4"/>
                <w:sz w:val="20"/>
                <w:szCs w:val="20"/>
                <w:lang w:val="es-ES"/>
              </w:rPr>
            </w:pPr>
            <w:r w:rsidRPr="00C57E3F">
              <w:rPr>
                <w:spacing w:val="-4"/>
                <w:sz w:val="20"/>
                <w:lang w:val="es-ES"/>
              </w:rPr>
              <w:t>[Informe de los centros técnicos del marco estratégico a largo plazo para la creación y el desarrollo de capacidad del CDB]</w:t>
            </w:r>
          </w:p>
        </w:tc>
        <w:tc>
          <w:tcPr>
            <w:tcW w:w="6372" w:type="dxa"/>
            <w:shd w:val="clear" w:color="auto" w:fill="E2EFDA"/>
            <w:tcMar>
              <w:top w:w="60" w:type="dxa"/>
              <w:left w:w="80" w:type="dxa"/>
              <w:bottom w:w="60" w:type="dxa"/>
              <w:right w:w="80" w:type="dxa"/>
            </w:tcMar>
          </w:tcPr>
          <w:p w14:paraId="04BCAFE9" w14:textId="77777777" w:rsidR="00C57E3F" w:rsidRPr="00C57E3F" w:rsidRDefault="00C57E3F" w:rsidP="00C57E3F">
            <w:pPr>
              <w:tabs>
                <w:tab w:val="left" w:pos="2835"/>
                <w:tab w:val="left" w:pos="3402"/>
              </w:tabs>
              <w:spacing w:before="40" w:after="80"/>
              <w:jc w:val="left"/>
              <w:rPr>
                <w:sz w:val="20"/>
                <w:szCs w:val="20"/>
                <w:lang w:val="es-MX"/>
              </w:rPr>
            </w:pPr>
          </w:p>
        </w:tc>
      </w:tr>
      <w:tr w:rsidR="00C57E3F" w:rsidRPr="00C57E3F" w14:paraId="4F30904F" w14:textId="77777777" w:rsidTr="00D562C2">
        <w:tc>
          <w:tcPr>
            <w:tcW w:w="3300" w:type="dxa"/>
            <w:shd w:val="clear" w:color="auto" w:fill="E2EFDA"/>
            <w:tcMar>
              <w:top w:w="60" w:type="dxa"/>
              <w:left w:w="80" w:type="dxa"/>
              <w:bottom w:w="60" w:type="dxa"/>
              <w:right w:w="80" w:type="dxa"/>
            </w:tcMar>
          </w:tcPr>
          <w:p w14:paraId="206FC35D"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Transferencia de tecnología</w:t>
            </w:r>
          </w:p>
        </w:tc>
        <w:tc>
          <w:tcPr>
            <w:tcW w:w="1500" w:type="dxa"/>
            <w:shd w:val="clear" w:color="auto" w:fill="E2EFDA"/>
            <w:tcMar>
              <w:top w:w="60" w:type="dxa"/>
              <w:left w:w="80" w:type="dxa"/>
              <w:bottom w:w="60" w:type="dxa"/>
              <w:right w:w="80" w:type="dxa"/>
            </w:tcMar>
          </w:tcPr>
          <w:p w14:paraId="7AA67DC7" w14:textId="77777777" w:rsidR="00C57E3F" w:rsidRPr="00C57E3F" w:rsidRDefault="00C57E3F" w:rsidP="00C57E3F">
            <w:pPr>
              <w:tabs>
                <w:tab w:val="left" w:pos="2835"/>
                <w:tab w:val="left" w:pos="3402"/>
              </w:tabs>
              <w:spacing w:before="40" w:after="80"/>
              <w:jc w:val="left"/>
              <w:rPr>
                <w:sz w:val="20"/>
                <w:szCs w:val="20"/>
                <w:lang w:val="en-CA"/>
              </w:rPr>
            </w:pPr>
          </w:p>
        </w:tc>
        <w:tc>
          <w:tcPr>
            <w:tcW w:w="2400" w:type="dxa"/>
            <w:shd w:val="clear" w:color="auto" w:fill="E2EFDA"/>
            <w:tcMar>
              <w:top w:w="60" w:type="dxa"/>
              <w:left w:w="80" w:type="dxa"/>
              <w:bottom w:w="60" w:type="dxa"/>
              <w:right w:w="80" w:type="dxa"/>
            </w:tcMar>
          </w:tcPr>
          <w:p w14:paraId="603447EF" w14:textId="77777777" w:rsidR="00C57E3F" w:rsidRPr="00C57E3F" w:rsidRDefault="00C57E3F" w:rsidP="00C57E3F">
            <w:pPr>
              <w:tabs>
                <w:tab w:val="left" w:pos="2835"/>
                <w:tab w:val="left" w:pos="3402"/>
              </w:tabs>
              <w:spacing w:before="40" w:after="80"/>
              <w:jc w:val="left"/>
              <w:rPr>
                <w:sz w:val="20"/>
                <w:szCs w:val="20"/>
                <w:lang w:val="en-CA"/>
              </w:rPr>
            </w:pPr>
          </w:p>
        </w:tc>
        <w:tc>
          <w:tcPr>
            <w:tcW w:w="6372" w:type="dxa"/>
            <w:shd w:val="clear" w:color="auto" w:fill="E2EFDA"/>
            <w:tcMar>
              <w:top w:w="60" w:type="dxa"/>
              <w:left w:w="80" w:type="dxa"/>
              <w:bottom w:w="60" w:type="dxa"/>
              <w:right w:w="80" w:type="dxa"/>
            </w:tcMar>
          </w:tcPr>
          <w:p w14:paraId="50B8736A" w14:textId="77777777" w:rsidR="00C57E3F" w:rsidRPr="00C57E3F" w:rsidRDefault="00C57E3F" w:rsidP="00C57E3F">
            <w:pPr>
              <w:tabs>
                <w:tab w:val="left" w:pos="2835"/>
                <w:tab w:val="left" w:pos="3402"/>
              </w:tabs>
              <w:spacing w:before="40" w:after="80"/>
              <w:jc w:val="left"/>
              <w:rPr>
                <w:sz w:val="20"/>
                <w:szCs w:val="20"/>
                <w:lang w:val="en-CA"/>
              </w:rPr>
            </w:pPr>
          </w:p>
        </w:tc>
      </w:tr>
      <w:tr w:rsidR="00C57E3F" w:rsidRPr="00C57E3F" w14:paraId="15E0F1D7" w14:textId="77777777" w:rsidTr="00D562C2">
        <w:tc>
          <w:tcPr>
            <w:tcW w:w="13572" w:type="dxa"/>
            <w:gridSpan w:val="4"/>
            <w:tcMar>
              <w:top w:w="60" w:type="dxa"/>
              <w:left w:w="80" w:type="dxa"/>
              <w:bottom w:w="60" w:type="dxa"/>
              <w:right w:w="80" w:type="dxa"/>
            </w:tcMar>
          </w:tcPr>
          <w:p w14:paraId="151D08A2" w14:textId="77777777" w:rsidR="00C57E3F" w:rsidRPr="00C57E3F" w:rsidRDefault="00C57E3F" w:rsidP="00C57E3F">
            <w:pPr>
              <w:tabs>
                <w:tab w:val="left" w:pos="2835"/>
                <w:tab w:val="left" w:pos="3402"/>
              </w:tabs>
              <w:spacing w:before="40" w:after="80"/>
              <w:jc w:val="left"/>
              <w:rPr>
                <w:b/>
                <w:bCs/>
                <w:sz w:val="20"/>
                <w:szCs w:val="20"/>
                <w:lang w:val="es-ES"/>
              </w:rPr>
            </w:pPr>
            <w:proofErr w:type="spellStart"/>
            <w:r w:rsidRPr="00C57E3F">
              <w:rPr>
                <w:b/>
                <w:sz w:val="20"/>
                <w:lang w:val="es-ES"/>
              </w:rPr>
              <w:t>P4</w:t>
            </w:r>
            <w:proofErr w:type="spellEnd"/>
            <w:r w:rsidRPr="00C57E3F">
              <w:rPr>
                <w:b/>
                <w:sz w:val="20"/>
                <w:lang w:val="es-ES"/>
              </w:rPr>
              <w:t xml:space="preserve"> — </w:t>
            </w:r>
            <w:r w:rsidRPr="00C57E3F">
              <w:rPr>
                <w:sz w:val="20"/>
                <w:lang w:val="es-ES"/>
              </w:rPr>
              <w:t xml:space="preserve">Coherencia del mecanismo con otros mecanismos, incluidas contribuciones del </w:t>
            </w:r>
            <w:proofErr w:type="spellStart"/>
            <w:r w:rsidRPr="00C57E3F">
              <w:rPr>
                <w:sz w:val="20"/>
                <w:lang w:val="es-ES"/>
              </w:rPr>
              <w:t>MMBKM</w:t>
            </w:r>
            <w:proofErr w:type="spellEnd"/>
            <w:r w:rsidRPr="00C57E3F">
              <w:rPr>
                <w:sz w:val="20"/>
                <w:lang w:val="es-ES"/>
              </w:rPr>
              <w:t xml:space="preserve"> y complementariedad con otros marcos de APB nacionales e internacionales</w:t>
            </w:r>
          </w:p>
        </w:tc>
      </w:tr>
      <w:tr w:rsidR="00C57E3F" w:rsidRPr="00C57E3F" w14:paraId="788B4666" w14:textId="77777777" w:rsidTr="00D562C2">
        <w:tc>
          <w:tcPr>
            <w:tcW w:w="3300" w:type="dxa"/>
            <w:shd w:val="clear" w:color="auto" w:fill="FFF2CC"/>
            <w:tcMar>
              <w:top w:w="60" w:type="dxa"/>
              <w:left w:w="80" w:type="dxa"/>
              <w:bottom w:w="60" w:type="dxa"/>
              <w:right w:w="80" w:type="dxa"/>
            </w:tcMar>
          </w:tcPr>
          <w:p w14:paraId="71AA876A" w14:textId="738B64FE" w:rsidR="00C57E3F" w:rsidRPr="00C57E3F" w:rsidRDefault="00C57E3F" w:rsidP="002E61C7">
            <w:pPr>
              <w:tabs>
                <w:tab w:val="left" w:pos="2835"/>
                <w:tab w:val="left" w:pos="3402"/>
              </w:tabs>
              <w:spacing w:before="40" w:after="80"/>
              <w:jc w:val="left"/>
              <w:rPr>
                <w:sz w:val="20"/>
                <w:lang w:val="es-ES"/>
              </w:rPr>
            </w:pPr>
            <w:proofErr w:type="spellStart"/>
            <w:r w:rsidRPr="00C57E3F">
              <w:rPr>
                <w:sz w:val="20"/>
                <w:lang w:val="es-ES"/>
              </w:rPr>
              <w:t>CP3</w:t>
            </w:r>
            <w:proofErr w:type="spellEnd"/>
            <w:r w:rsidRPr="00C57E3F">
              <w:rPr>
                <w:sz w:val="20"/>
                <w:lang w:val="es-ES"/>
              </w:rPr>
              <w:t xml:space="preserve"> a) — Medidas nacionales de incentivo (cumplimiento de APB) † </w:t>
            </w:r>
          </w:p>
        </w:tc>
        <w:tc>
          <w:tcPr>
            <w:tcW w:w="1500" w:type="dxa"/>
            <w:shd w:val="clear" w:color="auto" w:fill="FFF2CC"/>
            <w:tcMar>
              <w:top w:w="60" w:type="dxa"/>
              <w:left w:w="80" w:type="dxa"/>
              <w:bottom w:w="60" w:type="dxa"/>
              <w:right w:w="80" w:type="dxa"/>
            </w:tcMar>
          </w:tcPr>
          <w:p w14:paraId="3619E432"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 (notificación de las Partes)</w:t>
            </w:r>
          </w:p>
        </w:tc>
        <w:tc>
          <w:tcPr>
            <w:tcW w:w="2400" w:type="dxa"/>
            <w:shd w:val="clear" w:color="auto" w:fill="FFF2CC"/>
            <w:tcMar>
              <w:top w:w="60" w:type="dxa"/>
              <w:left w:w="86" w:type="dxa"/>
              <w:bottom w:w="60" w:type="dxa"/>
              <w:right w:w="29" w:type="dxa"/>
            </w:tcMar>
          </w:tcPr>
          <w:p w14:paraId="1A542137" w14:textId="77777777" w:rsidR="00C57E3F" w:rsidRPr="00C57E3F" w:rsidRDefault="00C57E3F" w:rsidP="00C57E3F">
            <w:pPr>
              <w:tabs>
                <w:tab w:val="left" w:pos="2835"/>
                <w:tab w:val="left" w:pos="3402"/>
              </w:tabs>
              <w:spacing w:before="40" w:after="80"/>
              <w:jc w:val="left"/>
              <w:rPr>
                <w:spacing w:val="-8"/>
                <w:sz w:val="20"/>
                <w:szCs w:val="20"/>
                <w:lang w:val="es-ES"/>
              </w:rPr>
            </w:pPr>
            <w:r w:rsidRPr="00C57E3F">
              <w:rPr>
                <w:spacing w:val="-8"/>
                <w:sz w:val="20"/>
                <w:lang w:val="es-ES"/>
              </w:rPr>
              <w:t xml:space="preserve">Notificación de las Partes sobre </w:t>
            </w:r>
            <w:r w:rsidRPr="00C57E3F">
              <w:rPr>
                <w:spacing w:val="-4"/>
                <w:sz w:val="20"/>
                <w:lang w:val="es-ES"/>
              </w:rPr>
              <w:t>medidas nacionales de APB</w:t>
            </w:r>
            <w:r w:rsidRPr="00C57E3F">
              <w:rPr>
                <w:spacing w:val="-8"/>
                <w:sz w:val="20"/>
                <w:lang w:val="es-ES"/>
              </w:rPr>
              <w:t xml:space="preserve"> </w:t>
            </w:r>
            <w:r w:rsidRPr="00C57E3F">
              <w:rPr>
                <w:spacing w:val="-4"/>
                <w:sz w:val="20"/>
                <w:lang w:val="es-ES"/>
              </w:rPr>
              <w:t>incluida información digital sobre secuencias; rastreador</w:t>
            </w:r>
            <w:r w:rsidRPr="00C57E3F">
              <w:rPr>
                <w:spacing w:val="-8"/>
                <w:sz w:val="20"/>
                <w:lang w:val="es-ES"/>
              </w:rPr>
              <w:t xml:space="preserve"> </w:t>
            </w:r>
            <w:r w:rsidRPr="00C57E3F">
              <w:rPr>
                <w:spacing w:val="-4"/>
                <w:sz w:val="20"/>
                <w:lang w:val="es-ES"/>
              </w:rPr>
              <w:t>de la Secretaría (§13)</w:t>
            </w:r>
          </w:p>
        </w:tc>
        <w:tc>
          <w:tcPr>
            <w:tcW w:w="6372" w:type="dxa"/>
            <w:shd w:val="clear" w:color="auto" w:fill="FFF2CC"/>
            <w:tcMar>
              <w:top w:w="60" w:type="dxa"/>
              <w:left w:w="80" w:type="dxa"/>
              <w:bottom w:w="60" w:type="dxa"/>
              <w:right w:w="80" w:type="dxa"/>
            </w:tcMar>
          </w:tcPr>
          <w:p w14:paraId="288B06A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Evaluable si el rastreador se pone en marcha y la notificación de las Partes se emite inmediatamente después de la COP-17. Supeditada a que la Secretaría ponga en marcha el rastreador y la COP-17 autorice la notificación de las Partes.</w:t>
            </w:r>
          </w:p>
        </w:tc>
      </w:tr>
      <w:tr w:rsidR="00C57E3F" w:rsidRPr="00C57E3F" w14:paraId="6D1AD3A2" w14:textId="77777777" w:rsidTr="00D562C2">
        <w:tc>
          <w:tcPr>
            <w:tcW w:w="3300" w:type="dxa"/>
            <w:shd w:val="clear" w:color="auto" w:fill="FFF2CC"/>
            <w:tcMar>
              <w:top w:w="60" w:type="dxa"/>
              <w:left w:w="80" w:type="dxa"/>
              <w:bottom w:w="60" w:type="dxa"/>
              <w:right w:w="80" w:type="dxa"/>
            </w:tcMar>
          </w:tcPr>
          <w:p w14:paraId="1218C26D" w14:textId="5718ED41" w:rsidR="00C57E3F" w:rsidRPr="00C57E3F" w:rsidRDefault="00C57E3F" w:rsidP="00C57E3F">
            <w:pPr>
              <w:widowControl w:val="0"/>
              <w:tabs>
                <w:tab w:val="left" w:pos="2835"/>
                <w:tab w:val="left" w:pos="3402"/>
              </w:tabs>
              <w:spacing w:before="40" w:after="80"/>
              <w:jc w:val="left"/>
              <w:rPr>
                <w:sz w:val="20"/>
                <w:szCs w:val="20"/>
                <w:lang w:val="es-ES"/>
              </w:rPr>
            </w:pPr>
            <w:r w:rsidRPr="00C57E3F">
              <w:rPr>
                <w:sz w:val="20"/>
                <w:lang w:val="es-ES"/>
              </w:rPr>
              <w:t xml:space="preserve">[[Medidas nacionales] </w:t>
            </w:r>
            <w:r w:rsidR="002E61C7">
              <w:rPr>
                <w:sz w:val="20"/>
                <w:lang w:val="es-ES"/>
              </w:rPr>
              <w:br/>
            </w:r>
            <w:r w:rsidRPr="00C57E3F">
              <w:rPr>
                <w:sz w:val="20"/>
                <w:lang w:val="es-ES"/>
              </w:rPr>
              <w:t xml:space="preserve">[Progreso / medidas / acciones (ref. </w:t>
            </w:r>
            <w:hyperlink r:id="rId37" w:history="1">
              <w:r w:rsidR="00BC1D02" w:rsidRPr="00BA0AA5">
                <w:rPr>
                  <w:rStyle w:val="Hyperlink"/>
                  <w:sz w:val="20"/>
                  <w:lang w:val="es-MX"/>
                </w:rPr>
                <w:t>16/2</w:t>
              </w:r>
            </w:hyperlink>
            <w:r w:rsidRPr="00C57E3F">
              <w:rPr>
                <w:sz w:val="20"/>
                <w:lang w:val="es-ES"/>
              </w:rPr>
              <w:t>,</w:t>
            </w:r>
            <w:r w:rsidR="002E61C7">
              <w:rPr>
                <w:sz w:val="20"/>
                <w:lang w:val="es-ES"/>
              </w:rPr>
              <w:t xml:space="preserve"> anexo,</w:t>
            </w:r>
            <w:r w:rsidRPr="00C57E3F">
              <w:rPr>
                <w:sz w:val="20"/>
                <w:lang w:val="es-ES"/>
              </w:rPr>
              <w:t xml:space="preserve"> </w:t>
            </w:r>
            <w:r w:rsidR="002E61C7">
              <w:rPr>
                <w:sz w:val="20"/>
                <w:lang w:val="es-ES"/>
              </w:rPr>
              <w:t>párr.</w:t>
            </w:r>
            <w:r w:rsidRPr="00C57E3F">
              <w:rPr>
                <w:sz w:val="20"/>
                <w:lang w:val="es-ES"/>
              </w:rPr>
              <w:t xml:space="preserve"> 10)] que financian, patrocinan y alojan bases de datos dentro de la jurisdicción nacional, incluida rendición de cuentas y transparencia en consonancia con la decisión sobre información digital sobre secuencias, conforme a las decisiones </w:t>
            </w:r>
            <w:hyperlink r:id="rId38" w:history="1">
              <w:r w:rsidR="00167351" w:rsidRPr="00BA0AA5">
                <w:rPr>
                  <w:rStyle w:val="Hyperlink"/>
                  <w:sz w:val="20"/>
                  <w:lang w:val="es-MX"/>
                </w:rPr>
                <w:t>16/2</w:t>
              </w:r>
            </w:hyperlink>
            <w:r w:rsidRPr="00C57E3F">
              <w:rPr>
                <w:sz w:val="20"/>
                <w:lang w:val="es-ES"/>
              </w:rPr>
              <w:t>, párr. 11, y 15/9]</w:t>
            </w:r>
          </w:p>
        </w:tc>
        <w:tc>
          <w:tcPr>
            <w:tcW w:w="1500" w:type="dxa"/>
            <w:shd w:val="clear" w:color="auto" w:fill="FFF2CC"/>
            <w:tcMar>
              <w:top w:w="60" w:type="dxa"/>
              <w:left w:w="80" w:type="dxa"/>
              <w:bottom w:w="60" w:type="dxa"/>
              <w:right w:w="80" w:type="dxa"/>
            </w:tcMar>
          </w:tcPr>
          <w:p w14:paraId="5AE77D61" w14:textId="77777777" w:rsidR="00C57E3F" w:rsidRPr="00C57E3F" w:rsidRDefault="00C57E3F" w:rsidP="00C57E3F">
            <w:pPr>
              <w:widowControl w:val="0"/>
              <w:tabs>
                <w:tab w:val="left" w:pos="2835"/>
                <w:tab w:val="left" w:pos="3402"/>
              </w:tabs>
              <w:spacing w:before="40" w:after="80"/>
              <w:jc w:val="left"/>
              <w:rPr>
                <w:sz w:val="20"/>
                <w:szCs w:val="20"/>
                <w:lang w:val="es-MX"/>
              </w:rPr>
            </w:pPr>
          </w:p>
        </w:tc>
        <w:tc>
          <w:tcPr>
            <w:tcW w:w="2400" w:type="dxa"/>
            <w:shd w:val="clear" w:color="auto" w:fill="FFF2CC"/>
            <w:tcMar>
              <w:top w:w="60" w:type="dxa"/>
              <w:left w:w="80" w:type="dxa"/>
              <w:bottom w:w="60" w:type="dxa"/>
              <w:right w:w="80" w:type="dxa"/>
            </w:tcMar>
          </w:tcPr>
          <w:p w14:paraId="7DC1CB66" w14:textId="77777777" w:rsidR="00C57E3F" w:rsidRPr="00C57E3F" w:rsidRDefault="00C57E3F" w:rsidP="00C57E3F">
            <w:pPr>
              <w:widowControl w:val="0"/>
              <w:tabs>
                <w:tab w:val="left" w:pos="2835"/>
                <w:tab w:val="left" w:pos="3402"/>
              </w:tabs>
              <w:spacing w:before="40" w:after="80"/>
              <w:jc w:val="left"/>
              <w:rPr>
                <w:sz w:val="20"/>
                <w:szCs w:val="20"/>
                <w:lang w:val="es-MX"/>
              </w:rPr>
            </w:pPr>
          </w:p>
        </w:tc>
        <w:tc>
          <w:tcPr>
            <w:tcW w:w="6372" w:type="dxa"/>
            <w:shd w:val="clear" w:color="auto" w:fill="FFF2CC"/>
            <w:tcMar>
              <w:top w:w="60" w:type="dxa"/>
              <w:left w:w="80" w:type="dxa"/>
              <w:bottom w:w="60" w:type="dxa"/>
              <w:right w:w="80" w:type="dxa"/>
            </w:tcMar>
          </w:tcPr>
          <w:p w14:paraId="0EA50E1B" w14:textId="77777777" w:rsidR="00C57E3F" w:rsidRPr="00C57E3F" w:rsidRDefault="00C57E3F" w:rsidP="00C57E3F">
            <w:pPr>
              <w:widowControl w:val="0"/>
              <w:tabs>
                <w:tab w:val="left" w:pos="2835"/>
                <w:tab w:val="left" w:pos="3402"/>
              </w:tabs>
              <w:spacing w:before="40" w:after="80"/>
              <w:jc w:val="left"/>
              <w:rPr>
                <w:sz w:val="20"/>
                <w:szCs w:val="20"/>
                <w:lang w:val="es-MX"/>
              </w:rPr>
            </w:pPr>
          </w:p>
        </w:tc>
      </w:tr>
      <w:tr w:rsidR="00C57E3F" w:rsidRPr="00C57E3F" w14:paraId="5BA945A5" w14:textId="77777777" w:rsidTr="00D562C2">
        <w:tc>
          <w:tcPr>
            <w:tcW w:w="3300" w:type="dxa"/>
            <w:shd w:val="clear" w:color="auto" w:fill="FFFFCC"/>
            <w:tcMar>
              <w:top w:w="60" w:type="dxa"/>
              <w:left w:w="80" w:type="dxa"/>
              <w:bottom w:w="60" w:type="dxa"/>
              <w:right w:w="80" w:type="dxa"/>
            </w:tcMar>
          </w:tcPr>
          <w:p w14:paraId="3935E60A" w14:textId="6CDB54F2" w:rsidR="00C57E3F" w:rsidRPr="00C57E3F" w:rsidRDefault="00C57E3F" w:rsidP="00AB07B4">
            <w:pPr>
              <w:tabs>
                <w:tab w:val="left" w:pos="2835"/>
                <w:tab w:val="left" w:pos="3402"/>
              </w:tabs>
              <w:spacing w:before="40" w:after="80"/>
              <w:jc w:val="left"/>
              <w:rPr>
                <w:sz w:val="20"/>
                <w:szCs w:val="20"/>
                <w:lang w:val="es-ES"/>
              </w:rPr>
            </w:pPr>
            <w:r w:rsidRPr="00C57E3F">
              <w:rPr>
                <w:sz w:val="20"/>
                <w:lang w:val="es-ES"/>
              </w:rPr>
              <w:t xml:space="preserve">Impacto en investigación e innovación </w:t>
            </w:r>
            <w:r w:rsidR="00AB07B4">
              <w:rPr>
                <w:sz w:val="20"/>
                <w:lang w:val="es-ES"/>
              </w:rPr>
              <w:t xml:space="preserve">– </w:t>
            </w:r>
            <w:r w:rsidR="00AB07B4" w:rsidRPr="00AB07B4">
              <w:rPr>
                <w:i/>
                <w:sz w:val="20"/>
                <w:lang w:val="es-ES"/>
              </w:rPr>
              <w:t>se podría considerar para el cuadro 2</w:t>
            </w:r>
          </w:p>
        </w:tc>
        <w:tc>
          <w:tcPr>
            <w:tcW w:w="1500" w:type="dxa"/>
            <w:shd w:val="clear" w:color="auto" w:fill="FFFFCC"/>
            <w:tcMar>
              <w:top w:w="60" w:type="dxa"/>
              <w:left w:w="80" w:type="dxa"/>
              <w:bottom w:w="60" w:type="dxa"/>
              <w:right w:w="80" w:type="dxa"/>
            </w:tcMar>
          </w:tcPr>
          <w:p w14:paraId="63C6CE98" w14:textId="77777777" w:rsidR="00C57E3F" w:rsidRPr="00C57E3F" w:rsidRDefault="00C57E3F" w:rsidP="00C57E3F">
            <w:pPr>
              <w:tabs>
                <w:tab w:val="left" w:pos="2835"/>
                <w:tab w:val="left" w:pos="3402"/>
              </w:tabs>
              <w:spacing w:before="40" w:after="80"/>
              <w:jc w:val="left"/>
              <w:rPr>
                <w:sz w:val="20"/>
                <w:szCs w:val="20"/>
                <w:lang w:val="es-MX"/>
              </w:rPr>
            </w:pPr>
          </w:p>
        </w:tc>
        <w:tc>
          <w:tcPr>
            <w:tcW w:w="2400" w:type="dxa"/>
            <w:shd w:val="clear" w:color="auto" w:fill="FFFFCC"/>
            <w:tcMar>
              <w:top w:w="60" w:type="dxa"/>
              <w:left w:w="80" w:type="dxa"/>
              <w:bottom w:w="60" w:type="dxa"/>
              <w:right w:w="80" w:type="dxa"/>
            </w:tcMar>
          </w:tcPr>
          <w:p w14:paraId="5CF08990"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Informes provenientes de bases de datos</w:t>
            </w:r>
          </w:p>
        </w:tc>
        <w:tc>
          <w:tcPr>
            <w:tcW w:w="6372" w:type="dxa"/>
            <w:shd w:val="clear" w:color="auto" w:fill="FFFFCC"/>
            <w:tcMar>
              <w:top w:w="60" w:type="dxa"/>
              <w:left w:w="80" w:type="dxa"/>
              <w:bottom w:w="60" w:type="dxa"/>
              <w:right w:w="80" w:type="dxa"/>
            </w:tcMar>
          </w:tcPr>
          <w:p w14:paraId="12DA4C2E" w14:textId="77777777" w:rsidR="00C57E3F" w:rsidRPr="00C57E3F" w:rsidRDefault="00C57E3F" w:rsidP="00C57E3F">
            <w:pPr>
              <w:tabs>
                <w:tab w:val="left" w:pos="2835"/>
                <w:tab w:val="left" w:pos="3402"/>
              </w:tabs>
              <w:spacing w:before="40" w:after="80"/>
              <w:jc w:val="left"/>
              <w:rPr>
                <w:sz w:val="20"/>
                <w:szCs w:val="20"/>
                <w:lang w:val="es-MX"/>
              </w:rPr>
            </w:pPr>
          </w:p>
        </w:tc>
      </w:tr>
      <w:tr w:rsidR="00C57E3F" w:rsidRPr="00C57E3F" w14:paraId="090A4A84" w14:textId="77777777" w:rsidTr="00D562C2">
        <w:tc>
          <w:tcPr>
            <w:tcW w:w="3300" w:type="dxa"/>
            <w:shd w:val="clear" w:color="auto" w:fill="FFF2CC"/>
            <w:tcMar>
              <w:top w:w="60" w:type="dxa"/>
              <w:left w:w="80" w:type="dxa"/>
              <w:bottom w:w="60" w:type="dxa"/>
              <w:right w:w="80" w:type="dxa"/>
            </w:tcMar>
          </w:tcPr>
          <w:p w14:paraId="07E1A8FB"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CP3</w:t>
            </w:r>
            <w:proofErr w:type="spellEnd"/>
            <w:r w:rsidRPr="00C57E3F">
              <w:rPr>
                <w:sz w:val="20"/>
                <w:lang w:val="es-ES"/>
              </w:rPr>
              <w:t> c) — Confianza de proveedores (armonización con medidas nacionales de APB)</w:t>
            </w:r>
          </w:p>
        </w:tc>
        <w:tc>
          <w:tcPr>
            <w:tcW w:w="1500" w:type="dxa"/>
            <w:shd w:val="clear" w:color="auto" w:fill="FFF2CC"/>
            <w:tcMar>
              <w:top w:w="60" w:type="dxa"/>
              <w:left w:w="80" w:type="dxa"/>
              <w:bottom w:w="60" w:type="dxa"/>
              <w:right w:w="80" w:type="dxa"/>
            </w:tcMar>
          </w:tcPr>
          <w:p w14:paraId="771C5715"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 (evaluación)</w:t>
            </w:r>
          </w:p>
        </w:tc>
        <w:tc>
          <w:tcPr>
            <w:tcW w:w="2400" w:type="dxa"/>
            <w:shd w:val="clear" w:color="auto" w:fill="FFF2CC"/>
            <w:tcMar>
              <w:top w:w="60" w:type="dxa"/>
              <w:left w:w="80" w:type="dxa"/>
              <w:bottom w:w="60" w:type="dxa"/>
              <w:right w:w="80" w:type="dxa"/>
            </w:tcMar>
          </w:tcPr>
          <w:p w14:paraId="1545BFC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Informes nacionales de las Partes / </w:t>
            </w:r>
            <w:proofErr w:type="spellStart"/>
            <w:r w:rsidRPr="00C57E3F">
              <w:rPr>
                <w:sz w:val="20"/>
                <w:lang w:val="es-ES"/>
              </w:rPr>
              <w:t>PSPIR</w:t>
            </w:r>
            <w:proofErr w:type="spellEnd"/>
            <w:r w:rsidRPr="00C57E3F">
              <w:rPr>
                <w:sz w:val="20"/>
                <w:lang w:val="es-ES"/>
              </w:rPr>
              <w:t>; notificación de las Partes</w:t>
            </w:r>
          </w:p>
        </w:tc>
        <w:tc>
          <w:tcPr>
            <w:tcW w:w="6372" w:type="dxa"/>
            <w:shd w:val="clear" w:color="auto" w:fill="FFF2CC"/>
            <w:tcMar>
              <w:top w:w="60" w:type="dxa"/>
              <w:left w:w="80" w:type="dxa"/>
              <w:bottom w:w="60" w:type="dxa"/>
              <w:right w:w="80" w:type="dxa"/>
            </w:tcMar>
          </w:tcPr>
          <w:p w14:paraId="2FDB3EF0" w14:textId="6E237CDA" w:rsidR="00C57E3F" w:rsidRPr="00C57E3F" w:rsidRDefault="00C57E3F" w:rsidP="00743F2D">
            <w:pPr>
              <w:tabs>
                <w:tab w:val="left" w:pos="2835"/>
                <w:tab w:val="left" w:pos="3402"/>
              </w:tabs>
              <w:spacing w:before="40" w:after="80"/>
              <w:jc w:val="left"/>
              <w:rPr>
                <w:sz w:val="20"/>
                <w:szCs w:val="20"/>
                <w:lang w:val="es-ES"/>
              </w:rPr>
            </w:pPr>
            <w:r w:rsidRPr="00C57E3F">
              <w:rPr>
                <w:sz w:val="20"/>
                <w:lang w:val="es-ES"/>
              </w:rPr>
              <w:t xml:space="preserve">Parcialmente evaluable a través de la notificación de las Partes únicamente; los resultados se consideran provisionales dada la etapa temprana del </w:t>
            </w:r>
            <w:r w:rsidR="00743F2D">
              <w:rPr>
                <w:sz w:val="20"/>
                <w:lang w:val="es-ES"/>
              </w:rPr>
              <w:t>M</w:t>
            </w:r>
            <w:r w:rsidRPr="00C57E3F">
              <w:rPr>
                <w:sz w:val="20"/>
                <w:lang w:val="es-ES"/>
              </w:rPr>
              <w:t>ecanismo. Seguimiento en ciclos subsiguientes, incluido sobre la percepción de la extensión voluntaria del mecanismo</w:t>
            </w:r>
          </w:p>
        </w:tc>
      </w:tr>
      <w:tr w:rsidR="00C57E3F" w:rsidRPr="00C57E3F" w14:paraId="6370D90A" w14:textId="77777777" w:rsidTr="00D562C2">
        <w:tc>
          <w:tcPr>
            <w:tcW w:w="3300" w:type="dxa"/>
            <w:shd w:val="clear" w:color="auto" w:fill="FFF2CC"/>
            <w:tcMar>
              <w:top w:w="60" w:type="dxa"/>
              <w:left w:w="80" w:type="dxa"/>
              <w:bottom w:w="60" w:type="dxa"/>
              <w:right w:w="80" w:type="dxa"/>
            </w:tcMar>
          </w:tcPr>
          <w:p w14:paraId="6AD96ECF"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Coherencia con las EPANB y medidas nacionales de información digital sobre secuencias / APB</w:t>
            </w:r>
          </w:p>
        </w:tc>
        <w:tc>
          <w:tcPr>
            <w:tcW w:w="1500" w:type="dxa"/>
            <w:shd w:val="clear" w:color="auto" w:fill="FFF2CC"/>
            <w:tcMar>
              <w:top w:w="60" w:type="dxa"/>
              <w:left w:w="80" w:type="dxa"/>
              <w:bottom w:w="60" w:type="dxa"/>
              <w:right w:w="80" w:type="dxa"/>
            </w:tcMar>
          </w:tcPr>
          <w:p w14:paraId="327CF8A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(CDB)</w:t>
            </w:r>
          </w:p>
        </w:tc>
        <w:tc>
          <w:tcPr>
            <w:tcW w:w="2400" w:type="dxa"/>
            <w:shd w:val="clear" w:color="auto" w:fill="FFF2CC"/>
            <w:tcMar>
              <w:top w:w="60" w:type="dxa"/>
              <w:left w:w="80" w:type="dxa"/>
              <w:bottom w:w="60" w:type="dxa"/>
              <w:right w:w="80" w:type="dxa"/>
            </w:tcMar>
          </w:tcPr>
          <w:p w14:paraId="7F5B1505"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PSPIR</w:t>
            </w:r>
            <w:proofErr w:type="spellEnd"/>
            <w:r w:rsidRPr="00C57E3F">
              <w:rPr>
                <w:sz w:val="20"/>
                <w:lang w:val="es-ES"/>
              </w:rPr>
              <w:t xml:space="preserve"> / Secretaría</w:t>
            </w:r>
          </w:p>
        </w:tc>
        <w:tc>
          <w:tcPr>
            <w:tcW w:w="6372" w:type="dxa"/>
            <w:shd w:val="clear" w:color="auto" w:fill="FFF2CC"/>
            <w:tcMar>
              <w:top w:w="60" w:type="dxa"/>
              <w:left w:w="80" w:type="dxa"/>
              <w:bottom w:w="60" w:type="dxa"/>
              <w:right w:w="80" w:type="dxa"/>
            </w:tcMar>
          </w:tcPr>
          <w:p w14:paraId="64426D88" w14:textId="3FE7433F" w:rsidR="00C57E3F" w:rsidRPr="00C57E3F" w:rsidRDefault="00C57E3F" w:rsidP="00B33070">
            <w:pPr>
              <w:tabs>
                <w:tab w:val="left" w:pos="2835"/>
                <w:tab w:val="left" w:pos="3402"/>
              </w:tabs>
              <w:spacing w:before="40" w:after="80"/>
              <w:jc w:val="left"/>
              <w:rPr>
                <w:sz w:val="20"/>
                <w:szCs w:val="20"/>
                <w:lang w:val="es-ES"/>
              </w:rPr>
            </w:pPr>
            <w:r w:rsidRPr="00C57E3F">
              <w:rPr>
                <w:sz w:val="20"/>
                <w:lang w:val="es-ES"/>
              </w:rPr>
              <w:t xml:space="preserve">Parcialmente evaluable en la COP-18 (solo resultados provisionales, dada la etapa temprana del </w:t>
            </w:r>
            <w:r w:rsidR="00B33070">
              <w:rPr>
                <w:sz w:val="20"/>
                <w:lang w:val="es-ES"/>
              </w:rPr>
              <w:t>M</w:t>
            </w:r>
            <w:r w:rsidRPr="00C57E3F">
              <w:rPr>
                <w:sz w:val="20"/>
                <w:lang w:val="es-ES"/>
              </w:rPr>
              <w:t>ecanismo). Seguimiento en ciclos subsiguientes.</w:t>
            </w:r>
          </w:p>
        </w:tc>
      </w:tr>
      <w:tr w:rsidR="00C57E3F" w:rsidRPr="00C57E3F" w14:paraId="1257DB3C" w14:textId="77777777" w:rsidTr="00D562C2">
        <w:tc>
          <w:tcPr>
            <w:tcW w:w="3300" w:type="dxa"/>
            <w:shd w:val="clear" w:color="auto" w:fill="F5F5F5"/>
            <w:tcMar>
              <w:top w:w="60" w:type="dxa"/>
              <w:left w:w="80" w:type="dxa"/>
              <w:bottom w:w="60" w:type="dxa"/>
              <w:right w:w="80" w:type="dxa"/>
            </w:tcMar>
          </w:tcPr>
          <w:p w14:paraId="7B433E47" w14:textId="77777777" w:rsidR="00C57E3F" w:rsidRPr="00C57E3F" w:rsidRDefault="00C57E3F" w:rsidP="00C57E3F">
            <w:pPr>
              <w:tabs>
                <w:tab w:val="left" w:pos="2835"/>
                <w:tab w:val="left" w:pos="3402"/>
              </w:tabs>
              <w:spacing w:before="40" w:after="80"/>
              <w:jc w:val="left"/>
              <w:rPr>
                <w:sz w:val="20"/>
                <w:szCs w:val="20"/>
                <w:lang w:val="es-MX"/>
              </w:rPr>
            </w:pPr>
          </w:p>
        </w:tc>
        <w:tc>
          <w:tcPr>
            <w:tcW w:w="1500" w:type="dxa"/>
            <w:shd w:val="clear" w:color="auto" w:fill="F5F5F5"/>
            <w:tcMar>
              <w:top w:w="60" w:type="dxa"/>
              <w:left w:w="80" w:type="dxa"/>
              <w:bottom w:w="60" w:type="dxa"/>
              <w:right w:w="80" w:type="dxa"/>
            </w:tcMar>
          </w:tcPr>
          <w:p w14:paraId="5DB92E57" w14:textId="77777777" w:rsidR="00C57E3F" w:rsidRPr="00C57E3F" w:rsidRDefault="00C57E3F" w:rsidP="00C57E3F">
            <w:pPr>
              <w:tabs>
                <w:tab w:val="left" w:pos="2835"/>
                <w:tab w:val="left" w:pos="3402"/>
              </w:tabs>
              <w:spacing w:before="40" w:after="80"/>
              <w:jc w:val="left"/>
              <w:rPr>
                <w:sz w:val="20"/>
                <w:szCs w:val="20"/>
                <w:lang w:val="es-MX"/>
              </w:rPr>
            </w:pPr>
          </w:p>
        </w:tc>
        <w:tc>
          <w:tcPr>
            <w:tcW w:w="2400" w:type="dxa"/>
            <w:shd w:val="clear" w:color="auto" w:fill="F5F5F5"/>
            <w:tcMar>
              <w:top w:w="60" w:type="dxa"/>
              <w:left w:w="80" w:type="dxa"/>
              <w:bottom w:w="60" w:type="dxa"/>
              <w:right w:w="80" w:type="dxa"/>
            </w:tcMar>
          </w:tcPr>
          <w:p w14:paraId="2433A5E2" w14:textId="77777777" w:rsidR="00C57E3F" w:rsidRPr="00C57E3F" w:rsidRDefault="00C57E3F" w:rsidP="00C57E3F">
            <w:pPr>
              <w:tabs>
                <w:tab w:val="left" w:pos="2835"/>
                <w:tab w:val="left" w:pos="3402"/>
              </w:tabs>
              <w:spacing w:before="40" w:after="80"/>
              <w:jc w:val="left"/>
              <w:rPr>
                <w:sz w:val="20"/>
                <w:szCs w:val="20"/>
                <w:lang w:val="es-MX"/>
              </w:rPr>
            </w:pPr>
          </w:p>
        </w:tc>
        <w:tc>
          <w:tcPr>
            <w:tcW w:w="6372" w:type="dxa"/>
            <w:shd w:val="clear" w:color="auto" w:fill="F5F5F5"/>
            <w:tcMar>
              <w:top w:w="60" w:type="dxa"/>
              <w:left w:w="80" w:type="dxa"/>
              <w:bottom w:w="60" w:type="dxa"/>
              <w:right w:w="80" w:type="dxa"/>
            </w:tcMar>
          </w:tcPr>
          <w:p w14:paraId="6C6FA69E" w14:textId="77777777" w:rsidR="00C57E3F" w:rsidRPr="00C57E3F" w:rsidRDefault="00C57E3F" w:rsidP="00C57E3F">
            <w:pPr>
              <w:tabs>
                <w:tab w:val="left" w:pos="2835"/>
                <w:tab w:val="left" w:pos="3402"/>
              </w:tabs>
              <w:spacing w:before="40" w:after="80"/>
              <w:jc w:val="left"/>
              <w:rPr>
                <w:sz w:val="20"/>
                <w:szCs w:val="20"/>
                <w:lang w:val="es-MX"/>
              </w:rPr>
            </w:pPr>
          </w:p>
        </w:tc>
      </w:tr>
      <w:tr w:rsidR="00C57E3F" w:rsidRPr="00C57E3F" w14:paraId="54BFF9E4" w14:textId="77777777" w:rsidTr="00D562C2">
        <w:tc>
          <w:tcPr>
            <w:tcW w:w="13572" w:type="dxa"/>
            <w:gridSpan w:val="4"/>
            <w:tcMar>
              <w:top w:w="60" w:type="dxa"/>
              <w:left w:w="80" w:type="dxa"/>
              <w:bottom w:w="60" w:type="dxa"/>
              <w:right w:w="80" w:type="dxa"/>
            </w:tcMar>
          </w:tcPr>
          <w:p w14:paraId="4F824C8F" w14:textId="5F45CCDF" w:rsidR="00C57E3F" w:rsidRPr="00C57E3F" w:rsidRDefault="00C57E3F" w:rsidP="00B33070">
            <w:pPr>
              <w:tabs>
                <w:tab w:val="left" w:pos="2835"/>
                <w:tab w:val="left" w:pos="3402"/>
              </w:tabs>
              <w:spacing w:before="40" w:after="80"/>
              <w:jc w:val="left"/>
              <w:rPr>
                <w:b/>
                <w:bCs/>
                <w:sz w:val="20"/>
                <w:szCs w:val="20"/>
                <w:lang w:val="es-ES"/>
              </w:rPr>
            </w:pPr>
            <w:proofErr w:type="spellStart"/>
            <w:r w:rsidRPr="00C57E3F">
              <w:rPr>
                <w:b/>
                <w:sz w:val="20"/>
                <w:lang w:val="es-ES"/>
              </w:rPr>
              <w:t>P</w:t>
            </w:r>
            <w:r w:rsidR="00B33070">
              <w:rPr>
                <w:b/>
                <w:sz w:val="20"/>
                <w:lang w:val="es-ES"/>
              </w:rPr>
              <w:t>5</w:t>
            </w:r>
            <w:proofErr w:type="spellEnd"/>
            <w:r w:rsidRPr="00C57E3F">
              <w:rPr>
                <w:b/>
                <w:sz w:val="20"/>
                <w:lang w:val="es-ES"/>
              </w:rPr>
              <w:t xml:space="preserve"> — Derechos de los pueblos indígenas y las comunidades locales, [acceso abierto e impactos de investigaciones] [e impacto de la utilización de información digital sobre secuencias de los recursos genéticos en ellos]</w:t>
            </w:r>
          </w:p>
        </w:tc>
      </w:tr>
      <w:tr w:rsidR="00C57E3F" w:rsidRPr="00C57E3F" w14:paraId="496D4890" w14:textId="77777777" w:rsidTr="00D562C2">
        <w:tc>
          <w:tcPr>
            <w:tcW w:w="3300" w:type="dxa"/>
            <w:shd w:val="clear" w:color="auto" w:fill="F5F5F5"/>
            <w:tcMar>
              <w:top w:w="60" w:type="dxa"/>
              <w:left w:w="80" w:type="dxa"/>
              <w:bottom w:w="60" w:type="dxa"/>
              <w:right w:w="80" w:type="dxa"/>
            </w:tcMar>
          </w:tcPr>
          <w:p w14:paraId="63E287E7" w14:textId="77777777" w:rsidR="00C57E3F" w:rsidRPr="00C57E3F" w:rsidRDefault="00C57E3F" w:rsidP="00C57E3F">
            <w:pPr>
              <w:tabs>
                <w:tab w:val="left" w:pos="2835"/>
                <w:tab w:val="left" w:pos="3402"/>
              </w:tabs>
              <w:spacing w:before="40" w:after="80"/>
              <w:jc w:val="left"/>
              <w:rPr>
                <w:sz w:val="20"/>
                <w:szCs w:val="20"/>
                <w:lang w:val="es-ES"/>
              </w:rPr>
            </w:pPr>
            <w:r w:rsidRPr="00C57E3F">
              <w:rPr>
                <w:i/>
                <w:sz w:val="20"/>
                <w:lang w:val="es-ES"/>
              </w:rPr>
              <w:t>Todos los elementos</w:t>
            </w:r>
          </w:p>
        </w:tc>
        <w:tc>
          <w:tcPr>
            <w:tcW w:w="1500" w:type="dxa"/>
            <w:shd w:val="clear" w:color="auto" w:fill="F5F5F5"/>
            <w:tcMar>
              <w:top w:w="60" w:type="dxa"/>
              <w:left w:w="80" w:type="dxa"/>
              <w:bottom w:w="60" w:type="dxa"/>
              <w:right w:w="80" w:type="dxa"/>
            </w:tcMar>
          </w:tcPr>
          <w:p w14:paraId="04848E3A" w14:textId="77777777" w:rsidR="00C57E3F" w:rsidRPr="00C57E3F" w:rsidRDefault="00C57E3F" w:rsidP="00C57E3F">
            <w:pPr>
              <w:tabs>
                <w:tab w:val="left" w:pos="2835"/>
                <w:tab w:val="left" w:pos="3402"/>
              </w:tabs>
              <w:spacing w:before="40" w:after="80"/>
              <w:jc w:val="left"/>
              <w:rPr>
                <w:sz w:val="20"/>
                <w:szCs w:val="20"/>
                <w:lang w:val="es-ES"/>
              </w:rPr>
            </w:pPr>
            <w:r w:rsidRPr="00C57E3F">
              <w:rPr>
                <w:i/>
                <w:sz w:val="20"/>
                <w:lang w:val="es-ES"/>
              </w:rPr>
              <w:t>—</w:t>
            </w:r>
          </w:p>
        </w:tc>
        <w:tc>
          <w:tcPr>
            <w:tcW w:w="2400" w:type="dxa"/>
            <w:shd w:val="clear" w:color="auto" w:fill="F5F5F5"/>
            <w:tcMar>
              <w:top w:w="60" w:type="dxa"/>
              <w:left w:w="80" w:type="dxa"/>
              <w:bottom w:w="60" w:type="dxa"/>
              <w:right w:w="80" w:type="dxa"/>
            </w:tcMar>
          </w:tcPr>
          <w:p w14:paraId="6C50EA5C" w14:textId="77777777" w:rsidR="00C57E3F" w:rsidRPr="00C57E3F" w:rsidRDefault="00C57E3F" w:rsidP="00C57E3F">
            <w:pPr>
              <w:tabs>
                <w:tab w:val="left" w:pos="2835"/>
                <w:tab w:val="left" w:pos="3402"/>
              </w:tabs>
              <w:spacing w:before="40" w:after="80"/>
              <w:jc w:val="left"/>
              <w:rPr>
                <w:sz w:val="20"/>
                <w:szCs w:val="20"/>
                <w:lang w:val="es-ES"/>
              </w:rPr>
            </w:pPr>
            <w:r w:rsidRPr="00C57E3F">
              <w:rPr>
                <w:i/>
                <w:sz w:val="20"/>
                <w:lang w:val="es-ES"/>
              </w:rPr>
              <w:t>—</w:t>
            </w:r>
          </w:p>
        </w:tc>
        <w:tc>
          <w:tcPr>
            <w:tcW w:w="6372" w:type="dxa"/>
            <w:shd w:val="clear" w:color="auto" w:fill="F5F5F5"/>
            <w:tcMar>
              <w:top w:w="60" w:type="dxa"/>
              <w:left w:w="80" w:type="dxa"/>
              <w:bottom w:w="60" w:type="dxa"/>
              <w:right w:w="80" w:type="dxa"/>
            </w:tcMar>
          </w:tcPr>
          <w:p w14:paraId="773BBA76" w14:textId="61DB7AE3" w:rsidR="00C57E3F" w:rsidRPr="00C57E3F" w:rsidRDefault="00C57E3F" w:rsidP="00B33070">
            <w:pPr>
              <w:tabs>
                <w:tab w:val="left" w:pos="2835"/>
                <w:tab w:val="left" w:pos="3402"/>
              </w:tabs>
              <w:spacing w:before="40" w:after="80"/>
              <w:jc w:val="left"/>
              <w:rPr>
                <w:sz w:val="20"/>
                <w:szCs w:val="20"/>
                <w:lang w:val="es-ES"/>
              </w:rPr>
            </w:pPr>
            <w:r w:rsidRPr="00C57E3F">
              <w:rPr>
                <w:i/>
                <w:sz w:val="20"/>
                <w:lang w:val="es-ES"/>
              </w:rPr>
              <w:t xml:space="preserve">Ningún elemento del </w:t>
            </w:r>
            <w:proofErr w:type="spellStart"/>
            <w:r w:rsidRPr="00C57E3F">
              <w:rPr>
                <w:i/>
                <w:sz w:val="20"/>
                <w:lang w:val="es-ES"/>
              </w:rPr>
              <w:t>P</w:t>
            </w:r>
            <w:r w:rsidR="00B33070">
              <w:rPr>
                <w:i/>
                <w:sz w:val="20"/>
                <w:lang w:val="es-ES"/>
              </w:rPr>
              <w:t>5</w:t>
            </w:r>
            <w:proofErr w:type="spellEnd"/>
            <w:r w:rsidRPr="00C57E3F">
              <w:rPr>
                <w:i/>
                <w:sz w:val="20"/>
                <w:lang w:val="es-ES"/>
              </w:rPr>
              <w:t xml:space="preserve"> es evaluable en la COP-18. Todos los elementos del </w:t>
            </w:r>
            <w:proofErr w:type="spellStart"/>
            <w:r w:rsidRPr="00C57E3F">
              <w:rPr>
                <w:i/>
                <w:sz w:val="20"/>
                <w:lang w:val="es-ES"/>
              </w:rPr>
              <w:t>P</w:t>
            </w:r>
            <w:r w:rsidR="00B33070">
              <w:rPr>
                <w:i/>
                <w:sz w:val="20"/>
                <w:lang w:val="es-ES"/>
              </w:rPr>
              <w:t>5</w:t>
            </w:r>
            <w:proofErr w:type="spellEnd"/>
            <w:r w:rsidRPr="00C57E3F">
              <w:rPr>
                <w:i/>
                <w:sz w:val="20"/>
                <w:lang w:val="es-ES"/>
              </w:rPr>
              <w:t xml:space="preserve"> corresponden al cuadro 2.</w:t>
            </w:r>
          </w:p>
        </w:tc>
      </w:tr>
      <w:tr w:rsidR="00C57E3F" w:rsidRPr="00C57E3F" w14:paraId="1F992AF2" w14:textId="77777777" w:rsidTr="00D562C2">
        <w:tc>
          <w:tcPr>
            <w:tcW w:w="13572" w:type="dxa"/>
            <w:gridSpan w:val="4"/>
            <w:tcMar>
              <w:top w:w="60" w:type="dxa"/>
              <w:left w:w="80" w:type="dxa"/>
              <w:bottom w:w="60" w:type="dxa"/>
              <w:right w:w="80" w:type="dxa"/>
            </w:tcMar>
          </w:tcPr>
          <w:p w14:paraId="0085945C" w14:textId="77777777" w:rsidR="00C57E3F" w:rsidRPr="00C57E3F" w:rsidRDefault="00C57E3F" w:rsidP="00C57E3F">
            <w:pPr>
              <w:tabs>
                <w:tab w:val="left" w:pos="2835"/>
                <w:tab w:val="left" w:pos="3402"/>
              </w:tabs>
              <w:spacing w:before="40" w:after="80"/>
              <w:jc w:val="left"/>
              <w:rPr>
                <w:b/>
                <w:bCs/>
                <w:sz w:val="20"/>
                <w:szCs w:val="20"/>
                <w:lang w:val="es-ES"/>
              </w:rPr>
            </w:pPr>
            <w:proofErr w:type="spellStart"/>
            <w:r w:rsidRPr="00C57E3F">
              <w:rPr>
                <w:b/>
                <w:sz w:val="20"/>
                <w:lang w:val="es-ES"/>
              </w:rPr>
              <w:t>G1</w:t>
            </w:r>
            <w:proofErr w:type="spellEnd"/>
            <w:r w:rsidRPr="00C57E3F">
              <w:rPr>
                <w:b/>
                <w:sz w:val="20"/>
                <w:lang w:val="es-ES"/>
              </w:rPr>
              <w:t xml:space="preserve"> — Evaluación de la gobernanza</w:t>
            </w:r>
          </w:p>
        </w:tc>
      </w:tr>
      <w:tr w:rsidR="00C57E3F" w:rsidRPr="00C57E3F" w14:paraId="52540044" w14:textId="77777777" w:rsidTr="00D562C2">
        <w:tc>
          <w:tcPr>
            <w:tcW w:w="3300" w:type="dxa"/>
            <w:shd w:val="clear" w:color="auto" w:fill="FFF2CC"/>
            <w:tcMar>
              <w:top w:w="60" w:type="dxa"/>
              <w:left w:w="80" w:type="dxa"/>
              <w:bottom w:w="60" w:type="dxa"/>
              <w:right w:w="80" w:type="dxa"/>
            </w:tcMar>
          </w:tcPr>
          <w:p w14:paraId="52114F1F"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G1.i</w:t>
            </w:r>
            <w:proofErr w:type="spellEnd"/>
            <w:r w:rsidRPr="00C57E3F">
              <w:rPr>
                <w:sz w:val="20"/>
                <w:lang w:val="es-ES"/>
              </w:rPr>
              <w:t xml:space="preserve"> — </w:t>
            </w:r>
            <w:proofErr w:type="spellStart"/>
            <w:r w:rsidRPr="00C57E3F">
              <w:rPr>
                <w:sz w:val="20"/>
                <w:lang w:val="es-ES"/>
              </w:rPr>
              <w:t>Inclusividad</w:t>
            </w:r>
            <w:proofErr w:type="spellEnd"/>
            <w:r w:rsidRPr="00C57E3F">
              <w:rPr>
                <w:sz w:val="20"/>
                <w:lang w:val="es-ES"/>
              </w:rPr>
              <w:t xml:space="preserve"> en la toma de decisiones †</w:t>
            </w:r>
          </w:p>
        </w:tc>
        <w:tc>
          <w:tcPr>
            <w:tcW w:w="1500" w:type="dxa"/>
            <w:shd w:val="clear" w:color="auto" w:fill="FFF2CC"/>
            <w:tcMar>
              <w:top w:w="60" w:type="dxa"/>
              <w:left w:w="80" w:type="dxa"/>
              <w:bottom w:w="60" w:type="dxa"/>
              <w:right w:w="80" w:type="dxa"/>
            </w:tcMar>
          </w:tcPr>
          <w:p w14:paraId="7D1528FE"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Provisionales (Secretaría)</w:t>
            </w:r>
          </w:p>
        </w:tc>
        <w:tc>
          <w:tcPr>
            <w:tcW w:w="2400" w:type="dxa"/>
            <w:shd w:val="clear" w:color="auto" w:fill="FFF2CC"/>
            <w:tcMar>
              <w:top w:w="60" w:type="dxa"/>
              <w:left w:w="80" w:type="dxa"/>
              <w:bottom w:w="60" w:type="dxa"/>
              <w:right w:w="80" w:type="dxa"/>
            </w:tcMar>
          </w:tcPr>
          <w:p w14:paraId="2FD2A0CB"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Actas de reuniones del CD; manual de operaciones (una vez adoptado)</w:t>
            </w:r>
          </w:p>
        </w:tc>
        <w:tc>
          <w:tcPr>
            <w:tcW w:w="6372" w:type="dxa"/>
            <w:shd w:val="clear" w:color="auto" w:fill="FFF2CC"/>
            <w:tcMar>
              <w:top w:w="60" w:type="dxa"/>
              <w:left w:w="80" w:type="dxa"/>
              <w:bottom w:w="60" w:type="dxa"/>
              <w:right w:w="80" w:type="dxa"/>
            </w:tcMar>
          </w:tcPr>
          <w:p w14:paraId="3E6F63CA"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Plenamente evaluable; el manual de operaciones (si se adopta en la COP-17) agrega gobernanza de fórmula de asignación.</w:t>
            </w:r>
          </w:p>
        </w:tc>
      </w:tr>
      <w:tr w:rsidR="00C57E3F" w:rsidRPr="00C57E3F" w14:paraId="0C39D031" w14:textId="77777777" w:rsidTr="00D562C2">
        <w:tc>
          <w:tcPr>
            <w:tcW w:w="3300" w:type="dxa"/>
            <w:shd w:val="clear" w:color="auto" w:fill="E2EFDA"/>
            <w:tcMar>
              <w:top w:w="60" w:type="dxa"/>
              <w:left w:w="80" w:type="dxa"/>
              <w:bottom w:w="60" w:type="dxa"/>
              <w:right w:w="80" w:type="dxa"/>
            </w:tcMar>
          </w:tcPr>
          <w:p w14:paraId="7B9B2045"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G1.ii</w:t>
            </w:r>
            <w:proofErr w:type="spellEnd"/>
            <w:r w:rsidRPr="00C57E3F">
              <w:rPr>
                <w:sz w:val="20"/>
                <w:lang w:val="es-ES"/>
              </w:rPr>
              <w:t xml:space="preserve"> — Transparencia y presentación a tiempo de la documentación</w:t>
            </w:r>
          </w:p>
        </w:tc>
        <w:tc>
          <w:tcPr>
            <w:tcW w:w="1500" w:type="dxa"/>
            <w:shd w:val="clear" w:color="auto" w:fill="E2EFDA"/>
            <w:tcMar>
              <w:top w:w="60" w:type="dxa"/>
              <w:left w:w="80" w:type="dxa"/>
              <w:bottom w:w="60" w:type="dxa"/>
              <w:right w:w="80" w:type="dxa"/>
            </w:tcMar>
          </w:tcPr>
          <w:p w14:paraId="0931E2AB" w14:textId="77777777" w:rsidR="00C57E3F" w:rsidRPr="00C57E3F" w:rsidRDefault="00C57E3F" w:rsidP="00C57E3F">
            <w:pPr>
              <w:tabs>
                <w:tab w:val="left" w:pos="2835"/>
                <w:tab w:val="left" w:pos="3402"/>
              </w:tabs>
              <w:spacing w:before="40" w:after="80" w:line="259" w:lineRule="auto"/>
              <w:jc w:val="left"/>
              <w:rPr>
                <w:sz w:val="20"/>
                <w:szCs w:val="20"/>
                <w:lang w:val="es-ES"/>
              </w:rPr>
            </w:pPr>
            <w:r w:rsidRPr="00C57E3F">
              <w:rPr>
                <w:sz w:val="20"/>
                <w:lang w:val="es-ES"/>
              </w:rPr>
              <w:t>Provisionales (Secretaría)</w:t>
            </w:r>
          </w:p>
        </w:tc>
        <w:tc>
          <w:tcPr>
            <w:tcW w:w="2400" w:type="dxa"/>
            <w:shd w:val="clear" w:color="auto" w:fill="E2EFDA"/>
            <w:tcMar>
              <w:top w:w="60" w:type="dxa"/>
              <w:left w:w="80" w:type="dxa"/>
              <w:bottom w:w="60" w:type="dxa"/>
              <w:right w:w="80" w:type="dxa"/>
            </w:tcMar>
          </w:tcPr>
          <w:p w14:paraId="59D1674D"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Informe periódico de la Secretaría, [incluida disponibilidad a tiempo de decisiones, documentos de reunión y documentos financieros pertinentes] </w:t>
            </w:r>
          </w:p>
        </w:tc>
        <w:tc>
          <w:tcPr>
            <w:tcW w:w="6372" w:type="dxa"/>
            <w:shd w:val="clear" w:color="auto" w:fill="E2EFDA"/>
            <w:tcMar>
              <w:top w:w="60" w:type="dxa"/>
              <w:left w:w="80" w:type="dxa"/>
              <w:bottom w:w="60" w:type="dxa"/>
              <w:right w:w="80" w:type="dxa"/>
            </w:tcMar>
          </w:tcPr>
          <w:p w14:paraId="5174E31E" w14:textId="019B18BC" w:rsidR="00C57E3F" w:rsidRPr="00C57E3F" w:rsidRDefault="00C57E3F" w:rsidP="00847254">
            <w:pPr>
              <w:tabs>
                <w:tab w:val="left" w:pos="2835"/>
                <w:tab w:val="left" w:pos="3402"/>
              </w:tabs>
              <w:spacing w:before="40" w:after="80"/>
              <w:jc w:val="left"/>
              <w:rPr>
                <w:sz w:val="20"/>
                <w:szCs w:val="20"/>
                <w:lang w:val="es-ES"/>
              </w:rPr>
            </w:pPr>
            <w:r w:rsidRPr="00C57E3F">
              <w:rPr>
                <w:sz w:val="20"/>
                <w:lang w:val="es-ES"/>
              </w:rPr>
              <w:t>Plenamente evaluable</w:t>
            </w:r>
          </w:p>
        </w:tc>
      </w:tr>
      <w:tr w:rsidR="00C57E3F" w:rsidRPr="00C57E3F" w14:paraId="054BA46B" w14:textId="77777777" w:rsidTr="00D562C2">
        <w:tc>
          <w:tcPr>
            <w:tcW w:w="3300" w:type="dxa"/>
            <w:shd w:val="clear" w:color="auto" w:fill="FFF2CC"/>
            <w:tcMar>
              <w:top w:w="60" w:type="dxa"/>
              <w:left w:w="80" w:type="dxa"/>
              <w:bottom w:w="60" w:type="dxa"/>
              <w:right w:w="80" w:type="dxa"/>
            </w:tcMar>
          </w:tcPr>
          <w:p w14:paraId="20F4968F"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G1.iii</w:t>
            </w:r>
            <w:proofErr w:type="spellEnd"/>
            <w:r w:rsidRPr="00C57E3F">
              <w:rPr>
                <w:sz w:val="20"/>
                <w:lang w:val="es-ES"/>
              </w:rPr>
              <w:t xml:space="preserve"> — Calidad de respuesta de gestión †</w:t>
            </w:r>
          </w:p>
        </w:tc>
        <w:tc>
          <w:tcPr>
            <w:tcW w:w="1500" w:type="dxa"/>
            <w:shd w:val="clear" w:color="auto" w:fill="FFF2CC"/>
            <w:tcMar>
              <w:top w:w="60" w:type="dxa"/>
              <w:left w:w="80" w:type="dxa"/>
              <w:bottom w:w="60" w:type="dxa"/>
              <w:right w:w="80" w:type="dxa"/>
            </w:tcMar>
          </w:tcPr>
          <w:p w14:paraId="6240AC9C"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(CD)</w:t>
            </w:r>
          </w:p>
        </w:tc>
        <w:tc>
          <w:tcPr>
            <w:tcW w:w="2400" w:type="dxa"/>
            <w:shd w:val="clear" w:color="auto" w:fill="FFF2CC"/>
            <w:tcMar>
              <w:top w:w="60" w:type="dxa"/>
              <w:left w:w="80" w:type="dxa"/>
              <w:bottom w:w="60" w:type="dxa"/>
              <w:right w:w="80" w:type="dxa"/>
            </w:tcMar>
          </w:tcPr>
          <w:p w14:paraId="662AD382"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Respuesta de gestión del CD; manual de operaciones (una vez adoptado)</w:t>
            </w:r>
          </w:p>
        </w:tc>
        <w:tc>
          <w:tcPr>
            <w:tcW w:w="6372" w:type="dxa"/>
            <w:shd w:val="clear" w:color="auto" w:fill="FFF2CC"/>
            <w:tcMar>
              <w:top w:w="60" w:type="dxa"/>
              <w:left w:w="80" w:type="dxa"/>
              <w:bottom w:w="60" w:type="dxa"/>
              <w:right w:w="80" w:type="dxa"/>
            </w:tcMar>
          </w:tcPr>
          <w:p w14:paraId="1400FF37"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Plenamente evaluable a partir de la COP-18; el manual de operaciones (si se adopta en la COP-17) agrega gobernanza de asignación.</w:t>
            </w:r>
          </w:p>
        </w:tc>
      </w:tr>
      <w:tr w:rsidR="00C57E3F" w:rsidRPr="00C57E3F" w14:paraId="1EF5FC65" w14:textId="77777777" w:rsidTr="00D562C2">
        <w:tc>
          <w:tcPr>
            <w:tcW w:w="3300" w:type="dxa"/>
            <w:shd w:val="clear" w:color="auto" w:fill="E2EFDA"/>
            <w:tcMar>
              <w:top w:w="60" w:type="dxa"/>
              <w:left w:w="80" w:type="dxa"/>
              <w:bottom w:w="60" w:type="dxa"/>
              <w:right w:w="80" w:type="dxa"/>
            </w:tcMar>
          </w:tcPr>
          <w:p w14:paraId="41EF62A1"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G1.iv</w:t>
            </w:r>
            <w:proofErr w:type="spellEnd"/>
            <w:r w:rsidRPr="00C57E3F">
              <w:rPr>
                <w:sz w:val="20"/>
                <w:lang w:val="es-ES"/>
              </w:rPr>
              <w:t xml:space="preserve"> — Coherencia institucional (CD / Secretaría del Fondo / </w:t>
            </w:r>
            <w:proofErr w:type="spellStart"/>
            <w:r w:rsidRPr="00C57E3F">
              <w:rPr>
                <w:sz w:val="20"/>
                <w:lang w:val="es-ES"/>
              </w:rPr>
              <w:t>OFFAM</w:t>
            </w:r>
            <w:proofErr w:type="spellEnd"/>
            <w:r w:rsidRPr="00C57E3F">
              <w:rPr>
                <w:sz w:val="20"/>
                <w:lang w:val="es-ES"/>
              </w:rPr>
              <w:t>)</w:t>
            </w:r>
          </w:p>
        </w:tc>
        <w:tc>
          <w:tcPr>
            <w:tcW w:w="1500" w:type="dxa"/>
            <w:shd w:val="clear" w:color="auto" w:fill="E2EFDA"/>
            <w:tcMar>
              <w:top w:w="60" w:type="dxa"/>
              <w:left w:w="80" w:type="dxa"/>
              <w:bottom w:w="60" w:type="dxa"/>
              <w:right w:w="80" w:type="dxa"/>
            </w:tcMar>
          </w:tcPr>
          <w:p w14:paraId="17A79873"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(Secretaría)</w:t>
            </w:r>
          </w:p>
        </w:tc>
        <w:tc>
          <w:tcPr>
            <w:tcW w:w="2400" w:type="dxa"/>
            <w:shd w:val="clear" w:color="auto" w:fill="E2EFDA"/>
            <w:tcMar>
              <w:top w:w="60" w:type="dxa"/>
              <w:left w:w="80" w:type="dxa"/>
              <w:bottom w:w="60" w:type="dxa"/>
              <w:right w:w="80" w:type="dxa"/>
            </w:tcMar>
          </w:tcPr>
          <w:p w14:paraId="13904514"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Informe periódico de la Secretaría [con inclusión de claridad de mandato, función, responsabilidad del Comité Ejecutivo, </w:t>
            </w:r>
            <w:proofErr w:type="spellStart"/>
            <w:r w:rsidRPr="00C57E3F">
              <w:rPr>
                <w:sz w:val="20"/>
                <w:lang w:val="es-ES"/>
              </w:rPr>
              <w:t>OFFAM</w:t>
            </w:r>
            <w:proofErr w:type="spellEnd"/>
            <w:r w:rsidRPr="00C57E3F">
              <w:rPr>
                <w:sz w:val="20"/>
                <w:lang w:val="es-ES"/>
              </w:rPr>
              <w:t>,]</w:t>
            </w:r>
          </w:p>
        </w:tc>
        <w:tc>
          <w:tcPr>
            <w:tcW w:w="6372" w:type="dxa"/>
            <w:shd w:val="clear" w:color="auto" w:fill="E2EFDA"/>
            <w:tcMar>
              <w:top w:w="60" w:type="dxa"/>
              <w:left w:w="80" w:type="dxa"/>
              <w:bottom w:w="60" w:type="dxa"/>
              <w:right w:w="80" w:type="dxa"/>
            </w:tcMar>
          </w:tcPr>
          <w:p w14:paraId="20B6C6D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Plenamente evaluable </w:t>
            </w:r>
          </w:p>
        </w:tc>
      </w:tr>
      <w:tr w:rsidR="00C57E3F" w:rsidRPr="00C57E3F" w14:paraId="2CBF4C22" w14:textId="77777777" w:rsidTr="00D562C2">
        <w:tc>
          <w:tcPr>
            <w:tcW w:w="3300" w:type="dxa"/>
            <w:shd w:val="clear" w:color="auto" w:fill="E2EFDA"/>
            <w:tcMar>
              <w:top w:w="60" w:type="dxa"/>
              <w:left w:w="80" w:type="dxa"/>
              <w:bottom w:w="60" w:type="dxa"/>
              <w:right w:w="80" w:type="dxa"/>
            </w:tcMar>
          </w:tcPr>
          <w:p w14:paraId="5DE07892"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G1.v</w:t>
            </w:r>
            <w:proofErr w:type="spellEnd"/>
            <w:r w:rsidRPr="00C57E3F">
              <w:rPr>
                <w:sz w:val="20"/>
                <w:lang w:val="es-ES"/>
              </w:rPr>
              <w:t xml:space="preserve"> — Integridad fiduciaria y financiera</w:t>
            </w:r>
          </w:p>
        </w:tc>
        <w:tc>
          <w:tcPr>
            <w:tcW w:w="1500" w:type="dxa"/>
            <w:shd w:val="clear" w:color="auto" w:fill="E2EFDA"/>
            <w:tcMar>
              <w:top w:w="60" w:type="dxa"/>
              <w:left w:w="80" w:type="dxa"/>
              <w:bottom w:w="60" w:type="dxa"/>
              <w:right w:w="80" w:type="dxa"/>
            </w:tcMar>
          </w:tcPr>
          <w:p w14:paraId="077E56A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w:t>
            </w:r>
            <w:proofErr w:type="spellStart"/>
            <w:r w:rsidRPr="00C57E3F">
              <w:rPr>
                <w:sz w:val="20"/>
                <w:lang w:val="es-ES"/>
              </w:rPr>
              <w:t>OFFAM</w:t>
            </w:r>
            <w:proofErr w:type="spellEnd"/>
            <w:r w:rsidRPr="00C57E3F">
              <w:rPr>
                <w:sz w:val="20"/>
                <w:lang w:val="es-ES"/>
              </w:rPr>
              <w:t>)</w:t>
            </w:r>
          </w:p>
        </w:tc>
        <w:tc>
          <w:tcPr>
            <w:tcW w:w="2400" w:type="dxa"/>
            <w:shd w:val="clear" w:color="auto" w:fill="E2EFDA"/>
            <w:tcMar>
              <w:top w:w="60" w:type="dxa"/>
              <w:left w:w="80" w:type="dxa"/>
              <w:bottom w:w="60" w:type="dxa"/>
              <w:right w:w="80" w:type="dxa"/>
            </w:tcMar>
          </w:tcPr>
          <w:p w14:paraId="14CE0CF2"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Informe anual de la </w:t>
            </w:r>
            <w:proofErr w:type="spellStart"/>
            <w:r w:rsidRPr="00C57E3F">
              <w:rPr>
                <w:sz w:val="20"/>
                <w:lang w:val="es-ES"/>
              </w:rPr>
              <w:t>OFFAM</w:t>
            </w:r>
            <w:proofErr w:type="spellEnd"/>
            <w:r w:rsidRPr="00C57E3F">
              <w:rPr>
                <w:sz w:val="20"/>
                <w:lang w:val="es-ES"/>
              </w:rPr>
              <w:t xml:space="preserve">; procesos de la </w:t>
            </w:r>
            <w:proofErr w:type="spellStart"/>
            <w:r w:rsidRPr="00C57E3F">
              <w:rPr>
                <w:sz w:val="20"/>
                <w:lang w:val="es-ES"/>
              </w:rPr>
              <w:t>OFFAM</w:t>
            </w:r>
            <w:proofErr w:type="spellEnd"/>
          </w:p>
        </w:tc>
        <w:tc>
          <w:tcPr>
            <w:tcW w:w="6372" w:type="dxa"/>
            <w:shd w:val="clear" w:color="auto" w:fill="E2EFDA"/>
            <w:tcMar>
              <w:top w:w="60" w:type="dxa"/>
              <w:left w:w="80" w:type="dxa"/>
              <w:bottom w:w="60" w:type="dxa"/>
              <w:right w:w="80" w:type="dxa"/>
            </w:tcMar>
          </w:tcPr>
          <w:p w14:paraId="3FD36B1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Plenamente evaluable</w:t>
            </w:r>
          </w:p>
        </w:tc>
      </w:tr>
      <w:tr w:rsidR="00C57E3F" w:rsidRPr="00C57E3F" w14:paraId="0BC89DF9" w14:textId="77777777" w:rsidTr="00D562C2">
        <w:tc>
          <w:tcPr>
            <w:tcW w:w="3300" w:type="dxa"/>
            <w:shd w:val="clear" w:color="auto" w:fill="FFF2CC"/>
            <w:tcMar>
              <w:top w:w="60" w:type="dxa"/>
              <w:left w:w="80" w:type="dxa"/>
              <w:bottom w:w="60" w:type="dxa"/>
              <w:right w:w="80" w:type="dxa"/>
            </w:tcMar>
          </w:tcPr>
          <w:p w14:paraId="41D88FD7"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G1.vi — Gobernanza [eficacia y rendición de cuentas][progresos en las estructuras] †</w:t>
            </w:r>
          </w:p>
        </w:tc>
        <w:tc>
          <w:tcPr>
            <w:tcW w:w="1500" w:type="dxa"/>
            <w:shd w:val="clear" w:color="auto" w:fill="FFF2CC"/>
            <w:tcMar>
              <w:top w:w="60" w:type="dxa"/>
              <w:left w:w="80" w:type="dxa"/>
              <w:bottom w:w="60" w:type="dxa"/>
              <w:right w:w="80" w:type="dxa"/>
            </w:tcMar>
          </w:tcPr>
          <w:p w14:paraId="2C12FCA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(Secretaría)</w:t>
            </w:r>
          </w:p>
        </w:tc>
        <w:tc>
          <w:tcPr>
            <w:tcW w:w="2400" w:type="dxa"/>
            <w:shd w:val="clear" w:color="auto" w:fill="FFF2CC"/>
            <w:tcMar>
              <w:top w:w="60" w:type="dxa"/>
              <w:left w:w="80" w:type="dxa"/>
              <w:bottom w:w="60" w:type="dxa"/>
              <w:right w:w="80" w:type="dxa"/>
            </w:tcMar>
          </w:tcPr>
          <w:p w14:paraId="6F7277F0"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Actas de reuniones del CD; informes anuales del Fondo de Cali; manual de operaciones (una vez adoptado)</w:t>
            </w:r>
          </w:p>
        </w:tc>
        <w:tc>
          <w:tcPr>
            <w:tcW w:w="6372" w:type="dxa"/>
            <w:shd w:val="clear" w:color="auto" w:fill="FFF2CC"/>
            <w:tcMar>
              <w:top w:w="60" w:type="dxa"/>
              <w:left w:w="80" w:type="dxa"/>
              <w:bottom w:w="60" w:type="dxa"/>
              <w:right w:w="80" w:type="dxa"/>
            </w:tcMar>
          </w:tcPr>
          <w:p w14:paraId="15702F05"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Plenamente evaluable; si se adopta el manual de operaciones en la COP-17, la estructura de gobernanza será plenamente evaluable.</w:t>
            </w:r>
          </w:p>
        </w:tc>
      </w:tr>
      <w:tr w:rsidR="00C57E3F" w:rsidRPr="00C57E3F" w14:paraId="694B1235" w14:textId="77777777" w:rsidTr="00D562C2">
        <w:tc>
          <w:tcPr>
            <w:tcW w:w="13572" w:type="dxa"/>
            <w:gridSpan w:val="4"/>
            <w:tcMar>
              <w:top w:w="60" w:type="dxa"/>
              <w:left w:w="80" w:type="dxa"/>
              <w:bottom w:w="60" w:type="dxa"/>
              <w:right w:w="80" w:type="dxa"/>
            </w:tcMar>
          </w:tcPr>
          <w:p w14:paraId="2A61140D" w14:textId="77777777" w:rsidR="00C57E3F" w:rsidRPr="00C57E3F" w:rsidRDefault="00C57E3F" w:rsidP="00C57E3F">
            <w:pPr>
              <w:tabs>
                <w:tab w:val="left" w:pos="2835"/>
                <w:tab w:val="left" w:pos="3402"/>
              </w:tabs>
              <w:spacing w:before="40" w:after="80"/>
              <w:jc w:val="left"/>
              <w:rPr>
                <w:b/>
                <w:bCs/>
                <w:sz w:val="20"/>
                <w:szCs w:val="20"/>
                <w:lang w:val="es-ES"/>
              </w:rPr>
            </w:pPr>
            <w:proofErr w:type="spellStart"/>
            <w:r w:rsidRPr="00C57E3F">
              <w:rPr>
                <w:b/>
                <w:sz w:val="20"/>
                <w:lang w:val="es-ES"/>
              </w:rPr>
              <w:t>CP1-CP5</w:t>
            </w:r>
            <w:proofErr w:type="spellEnd"/>
            <w:r w:rsidRPr="00C57E3F">
              <w:rPr>
                <w:b/>
                <w:sz w:val="20"/>
                <w:lang w:val="es-ES"/>
              </w:rPr>
              <w:t xml:space="preserve"> — Diagnóstico de condiciones propicias (resumen transversal)</w:t>
            </w:r>
          </w:p>
        </w:tc>
      </w:tr>
      <w:tr w:rsidR="00C57E3F" w:rsidRPr="00C57E3F" w14:paraId="04B9AAAD" w14:textId="77777777" w:rsidTr="00D562C2">
        <w:tc>
          <w:tcPr>
            <w:tcW w:w="3300" w:type="dxa"/>
            <w:shd w:val="clear" w:color="auto" w:fill="F5F5F5"/>
            <w:tcMar>
              <w:top w:w="60" w:type="dxa"/>
              <w:left w:w="80" w:type="dxa"/>
              <w:bottom w:w="60" w:type="dxa"/>
              <w:right w:w="80" w:type="dxa"/>
            </w:tcMar>
          </w:tcPr>
          <w:p w14:paraId="00067325" w14:textId="3A62D985" w:rsidR="00C57E3F" w:rsidRPr="00C57E3F" w:rsidRDefault="00C57E3F" w:rsidP="00D562C2">
            <w:pPr>
              <w:tabs>
                <w:tab w:val="left" w:pos="2835"/>
                <w:tab w:val="left" w:pos="3402"/>
              </w:tabs>
              <w:spacing w:before="40" w:after="80"/>
              <w:jc w:val="left"/>
              <w:rPr>
                <w:sz w:val="20"/>
                <w:szCs w:val="20"/>
                <w:lang w:val="es-ES"/>
              </w:rPr>
            </w:pPr>
            <w:proofErr w:type="spellStart"/>
            <w:r w:rsidRPr="00C57E3F">
              <w:rPr>
                <w:sz w:val="20"/>
                <w:lang w:val="es-ES"/>
              </w:rPr>
              <w:t>CP1</w:t>
            </w:r>
            <w:proofErr w:type="spellEnd"/>
            <w:r w:rsidRPr="00C57E3F">
              <w:rPr>
                <w:sz w:val="20"/>
                <w:lang w:val="es-ES"/>
              </w:rPr>
              <w:t xml:space="preserve"> — Claridad de la industria </w:t>
            </w:r>
          </w:p>
        </w:tc>
        <w:tc>
          <w:tcPr>
            <w:tcW w:w="1500" w:type="dxa"/>
            <w:shd w:val="clear" w:color="auto" w:fill="F5F5F5"/>
            <w:tcMar>
              <w:top w:w="60" w:type="dxa"/>
              <w:left w:w="80" w:type="dxa"/>
              <w:bottom w:w="60" w:type="dxa"/>
              <w:right w:w="80" w:type="dxa"/>
            </w:tcMar>
          </w:tcPr>
          <w:p w14:paraId="127BF78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 (encuesta)</w:t>
            </w:r>
          </w:p>
        </w:tc>
        <w:tc>
          <w:tcPr>
            <w:tcW w:w="2400" w:type="dxa"/>
            <w:shd w:val="clear" w:color="auto" w:fill="F5F5F5"/>
            <w:tcMar>
              <w:top w:w="60" w:type="dxa"/>
              <w:left w:w="80" w:type="dxa"/>
              <w:bottom w:w="60" w:type="dxa"/>
              <w:right w:w="80" w:type="dxa"/>
            </w:tcMar>
          </w:tcPr>
          <w:p w14:paraId="38D3F2E0"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Encuesta de contribuyentes / interesados </w:t>
            </w:r>
          </w:p>
        </w:tc>
        <w:tc>
          <w:tcPr>
            <w:tcW w:w="6372" w:type="dxa"/>
            <w:shd w:val="clear" w:color="auto" w:fill="F5F5F5"/>
            <w:tcMar>
              <w:top w:w="60" w:type="dxa"/>
              <w:left w:w="80" w:type="dxa"/>
              <w:bottom w:w="60" w:type="dxa"/>
              <w:right w:w="80" w:type="dxa"/>
            </w:tcMar>
          </w:tcPr>
          <w:p w14:paraId="3619540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Véase </w:t>
            </w:r>
            <w:proofErr w:type="spellStart"/>
            <w:r w:rsidRPr="00C57E3F">
              <w:rPr>
                <w:sz w:val="20"/>
                <w:lang w:val="es-ES"/>
              </w:rPr>
              <w:t>P2</w:t>
            </w:r>
            <w:proofErr w:type="spellEnd"/>
            <w:r w:rsidRPr="00C57E3F">
              <w:rPr>
                <w:sz w:val="20"/>
                <w:lang w:val="es-ES"/>
              </w:rPr>
              <w:t xml:space="preserve"> más arriba †</w:t>
            </w:r>
          </w:p>
        </w:tc>
      </w:tr>
      <w:tr w:rsidR="00C57E3F" w:rsidRPr="00C57E3F" w14:paraId="3E7BA775" w14:textId="77777777" w:rsidTr="00D562C2">
        <w:tc>
          <w:tcPr>
            <w:tcW w:w="3300" w:type="dxa"/>
            <w:shd w:val="clear" w:color="auto" w:fill="F5F5F5"/>
            <w:tcMar>
              <w:top w:w="60" w:type="dxa"/>
              <w:left w:w="80" w:type="dxa"/>
              <w:bottom w:w="60" w:type="dxa"/>
              <w:right w:w="80" w:type="dxa"/>
            </w:tcMar>
          </w:tcPr>
          <w:p w14:paraId="61D5544F" w14:textId="352DDEC2" w:rsidR="00C57E3F" w:rsidRPr="00C57E3F" w:rsidRDefault="00C57E3F" w:rsidP="00D562C2">
            <w:pPr>
              <w:tabs>
                <w:tab w:val="left" w:pos="2835"/>
                <w:tab w:val="left" w:pos="3402"/>
              </w:tabs>
              <w:spacing w:before="40" w:after="80"/>
              <w:jc w:val="left"/>
              <w:rPr>
                <w:sz w:val="20"/>
                <w:szCs w:val="20"/>
                <w:lang w:val="es-ES"/>
              </w:rPr>
            </w:pPr>
            <w:proofErr w:type="spellStart"/>
            <w:r w:rsidRPr="00C57E3F">
              <w:rPr>
                <w:sz w:val="20"/>
                <w:lang w:val="es-ES"/>
              </w:rPr>
              <w:t>CP2</w:t>
            </w:r>
            <w:proofErr w:type="spellEnd"/>
            <w:r w:rsidRPr="00C57E3F">
              <w:rPr>
                <w:sz w:val="20"/>
                <w:lang w:val="es-ES"/>
              </w:rPr>
              <w:t xml:space="preserve"> — Idoneidad de la justificación económica tanto para usuarios como para proveedores </w:t>
            </w:r>
            <w:r w:rsidRPr="00C57E3F">
              <w:rPr>
                <w:i/>
                <w:sz w:val="20"/>
                <w:lang w:val="es-ES"/>
              </w:rPr>
              <w:t>(adaptar secciones en el texto, 6 b) y 11 a))</w:t>
            </w:r>
          </w:p>
        </w:tc>
        <w:tc>
          <w:tcPr>
            <w:tcW w:w="1500" w:type="dxa"/>
            <w:shd w:val="clear" w:color="auto" w:fill="F5F5F5"/>
            <w:tcMar>
              <w:top w:w="60" w:type="dxa"/>
              <w:left w:w="80" w:type="dxa"/>
              <w:bottom w:w="60" w:type="dxa"/>
              <w:right w:w="80" w:type="dxa"/>
            </w:tcMar>
          </w:tcPr>
          <w:p w14:paraId="50105402"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 (encuesta)</w:t>
            </w:r>
          </w:p>
        </w:tc>
        <w:tc>
          <w:tcPr>
            <w:tcW w:w="2400" w:type="dxa"/>
            <w:shd w:val="clear" w:color="auto" w:fill="F5F5F5"/>
            <w:tcMar>
              <w:top w:w="60" w:type="dxa"/>
              <w:left w:w="80" w:type="dxa"/>
              <w:bottom w:w="60" w:type="dxa"/>
              <w:right w:w="80" w:type="dxa"/>
            </w:tcMar>
          </w:tcPr>
          <w:p w14:paraId="1D73AD7D"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Encuesta de contribuyentes / interesados </w:t>
            </w:r>
          </w:p>
        </w:tc>
        <w:tc>
          <w:tcPr>
            <w:tcW w:w="6372" w:type="dxa"/>
            <w:shd w:val="clear" w:color="auto" w:fill="F5F5F5"/>
            <w:tcMar>
              <w:top w:w="60" w:type="dxa"/>
              <w:left w:w="80" w:type="dxa"/>
              <w:bottom w:w="60" w:type="dxa"/>
              <w:right w:w="80" w:type="dxa"/>
            </w:tcMar>
          </w:tcPr>
          <w:p w14:paraId="79D3694D"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Véase </w:t>
            </w:r>
            <w:proofErr w:type="spellStart"/>
            <w:r w:rsidRPr="00C57E3F">
              <w:rPr>
                <w:sz w:val="20"/>
                <w:lang w:val="es-ES"/>
              </w:rPr>
              <w:t>P2</w:t>
            </w:r>
            <w:proofErr w:type="spellEnd"/>
            <w:r w:rsidRPr="00C57E3F">
              <w:rPr>
                <w:sz w:val="20"/>
                <w:lang w:val="es-ES"/>
              </w:rPr>
              <w:t xml:space="preserve"> más arriba †</w:t>
            </w:r>
          </w:p>
        </w:tc>
      </w:tr>
      <w:tr w:rsidR="00C57E3F" w:rsidRPr="00C57E3F" w14:paraId="66F3424D" w14:textId="77777777" w:rsidTr="00D562C2">
        <w:tc>
          <w:tcPr>
            <w:tcW w:w="3300" w:type="dxa"/>
            <w:shd w:val="clear" w:color="auto" w:fill="F5F5F5"/>
            <w:tcMar>
              <w:top w:w="60" w:type="dxa"/>
              <w:left w:w="80" w:type="dxa"/>
              <w:bottom w:w="60" w:type="dxa"/>
              <w:right w:w="80" w:type="dxa"/>
            </w:tcMar>
          </w:tcPr>
          <w:p w14:paraId="28D41058"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CP3</w:t>
            </w:r>
            <w:proofErr w:type="spellEnd"/>
            <w:r w:rsidRPr="00C57E3F">
              <w:rPr>
                <w:sz w:val="20"/>
                <w:lang w:val="es-ES"/>
              </w:rPr>
              <w:t xml:space="preserve"> — Seguridad jurídica</w:t>
            </w:r>
          </w:p>
        </w:tc>
        <w:tc>
          <w:tcPr>
            <w:tcW w:w="1500" w:type="dxa"/>
            <w:shd w:val="clear" w:color="auto" w:fill="F5F5F5"/>
            <w:tcMar>
              <w:top w:w="60" w:type="dxa"/>
              <w:left w:w="80" w:type="dxa"/>
              <w:bottom w:w="60" w:type="dxa"/>
              <w:right w:w="80" w:type="dxa"/>
            </w:tcMar>
          </w:tcPr>
          <w:p w14:paraId="6A83B577" w14:textId="017341CE" w:rsidR="00C57E3F" w:rsidRPr="00C57E3F" w:rsidRDefault="00C57E3F" w:rsidP="00D562C2">
            <w:pPr>
              <w:tabs>
                <w:tab w:val="left" w:pos="2835"/>
                <w:tab w:val="left" w:pos="3402"/>
              </w:tabs>
              <w:spacing w:before="40" w:after="80"/>
              <w:jc w:val="left"/>
              <w:rPr>
                <w:sz w:val="20"/>
                <w:szCs w:val="20"/>
                <w:lang w:val="es-ES"/>
              </w:rPr>
            </w:pPr>
            <w:r w:rsidRPr="00C57E3F">
              <w:rPr>
                <w:sz w:val="20"/>
                <w:lang w:val="es-ES"/>
              </w:rPr>
              <w:t xml:space="preserve">Véase </w:t>
            </w:r>
            <w:proofErr w:type="spellStart"/>
            <w:r w:rsidRPr="00C57E3F">
              <w:rPr>
                <w:sz w:val="20"/>
                <w:lang w:val="es-ES"/>
              </w:rPr>
              <w:t>P4</w:t>
            </w:r>
            <w:proofErr w:type="spellEnd"/>
            <w:r w:rsidRPr="00C57E3F">
              <w:rPr>
                <w:sz w:val="20"/>
                <w:lang w:val="es-ES"/>
              </w:rPr>
              <w:t xml:space="preserve"> </w:t>
            </w:r>
            <w:r w:rsidR="00D562C2">
              <w:rPr>
                <w:sz w:val="20"/>
                <w:lang w:val="es-ES"/>
              </w:rPr>
              <w:t>en el</w:t>
            </w:r>
            <w:r w:rsidRPr="00C57E3F">
              <w:rPr>
                <w:sz w:val="20"/>
                <w:lang w:val="es-ES"/>
              </w:rPr>
              <w:t xml:space="preserve"> cuadro 2</w:t>
            </w:r>
          </w:p>
        </w:tc>
        <w:tc>
          <w:tcPr>
            <w:tcW w:w="2400" w:type="dxa"/>
            <w:shd w:val="clear" w:color="auto" w:fill="F5F5F5"/>
            <w:tcMar>
              <w:top w:w="60" w:type="dxa"/>
              <w:left w:w="80" w:type="dxa"/>
              <w:bottom w:w="60" w:type="dxa"/>
              <w:right w:w="80" w:type="dxa"/>
            </w:tcMar>
          </w:tcPr>
          <w:p w14:paraId="59D58A98" w14:textId="4590820C" w:rsidR="00C57E3F" w:rsidRPr="00C57E3F" w:rsidRDefault="00C57E3F" w:rsidP="00D562C2">
            <w:pPr>
              <w:tabs>
                <w:tab w:val="left" w:pos="2835"/>
                <w:tab w:val="left" w:pos="3402"/>
              </w:tabs>
              <w:spacing w:before="40" w:after="80"/>
              <w:jc w:val="left"/>
              <w:rPr>
                <w:sz w:val="20"/>
                <w:szCs w:val="20"/>
                <w:lang w:val="es-ES"/>
              </w:rPr>
            </w:pPr>
            <w:r w:rsidRPr="00C57E3F">
              <w:rPr>
                <w:sz w:val="20"/>
                <w:lang w:val="es-ES"/>
              </w:rPr>
              <w:t xml:space="preserve">Véase </w:t>
            </w:r>
            <w:proofErr w:type="spellStart"/>
            <w:r w:rsidRPr="00C57E3F">
              <w:rPr>
                <w:sz w:val="20"/>
                <w:lang w:val="es-ES"/>
              </w:rPr>
              <w:t>P4</w:t>
            </w:r>
            <w:proofErr w:type="spellEnd"/>
            <w:r w:rsidRPr="00C57E3F">
              <w:rPr>
                <w:sz w:val="20"/>
                <w:lang w:val="es-ES"/>
              </w:rPr>
              <w:t xml:space="preserve"> </w:t>
            </w:r>
            <w:r w:rsidR="00D562C2">
              <w:rPr>
                <w:sz w:val="20"/>
                <w:lang w:val="es-ES"/>
              </w:rPr>
              <w:t>en el</w:t>
            </w:r>
            <w:r w:rsidRPr="00C57E3F">
              <w:rPr>
                <w:sz w:val="20"/>
                <w:lang w:val="es-ES"/>
              </w:rPr>
              <w:t xml:space="preserve"> cuadro 2</w:t>
            </w:r>
          </w:p>
        </w:tc>
        <w:tc>
          <w:tcPr>
            <w:tcW w:w="6372" w:type="dxa"/>
            <w:shd w:val="clear" w:color="auto" w:fill="F5F5F5"/>
            <w:tcMar>
              <w:top w:w="60" w:type="dxa"/>
              <w:left w:w="80" w:type="dxa"/>
              <w:bottom w:w="60" w:type="dxa"/>
              <w:right w:w="80" w:type="dxa"/>
            </w:tcMar>
          </w:tcPr>
          <w:p w14:paraId="7032C66D" w14:textId="1139A12C" w:rsidR="00C57E3F" w:rsidRPr="00C57E3F" w:rsidRDefault="00C57E3F" w:rsidP="00D562C2">
            <w:pPr>
              <w:tabs>
                <w:tab w:val="left" w:pos="2835"/>
                <w:tab w:val="left" w:pos="3402"/>
              </w:tabs>
              <w:spacing w:before="40" w:after="80"/>
              <w:jc w:val="left"/>
              <w:rPr>
                <w:sz w:val="20"/>
                <w:szCs w:val="20"/>
                <w:lang w:val="es-ES"/>
              </w:rPr>
            </w:pPr>
            <w:proofErr w:type="spellStart"/>
            <w:r w:rsidRPr="00C57E3F">
              <w:rPr>
                <w:sz w:val="20"/>
                <w:lang w:val="es-ES"/>
              </w:rPr>
              <w:t>CP3</w:t>
            </w:r>
            <w:proofErr w:type="spellEnd"/>
            <w:r w:rsidRPr="00C57E3F">
              <w:rPr>
                <w:sz w:val="20"/>
                <w:lang w:val="es-ES"/>
              </w:rPr>
              <w:t xml:space="preserve"> a) </w:t>
            </w:r>
            <w:r w:rsidR="00D562C2">
              <w:rPr>
                <w:sz w:val="20"/>
                <w:lang w:val="es-ES"/>
              </w:rPr>
              <w:t xml:space="preserve">y c) </w:t>
            </w:r>
            <w:r w:rsidRPr="00C57E3F">
              <w:rPr>
                <w:sz w:val="20"/>
                <w:lang w:val="es-ES"/>
              </w:rPr>
              <w:t xml:space="preserve">véase </w:t>
            </w:r>
            <w:proofErr w:type="spellStart"/>
            <w:r w:rsidRPr="00C57E3F">
              <w:rPr>
                <w:sz w:val="20"/>
                <w:lang w:val="es-ES"/>
              </w:rPr>
              <w:t>P4</w:t>
            </w:r>
            <w:proofErr w:type="spellEnd"/>
            <w:r w:rsidRPr="00C57E3F">
              <w:rPr>
                <w:sz w:val="20"/>
                <w:lang w:val="es-ES"/>
              </w:rPr>
              <w:t xml:space="preserve"> más arriba; </w:t>
            </w:r>
            <w:proofErr w:type="spellStart"/>
            <w:r w:rsidRPr="00C57E3F">
              <w:rPr>
                <w:sz w:val="20"/>
                <w:lang w:val="es-ES"/>
              </w:rPr>
              <w:t>CP3</w:t>
            </w:r>
            <w:proofErr w:type="spellEnd"/>
            <w:r w:rsidRPr="00C57E3F">
              <w:rPr>
                <w:sz w:val="20"/>
                <w:lang w:val="es-ES"/>
              </w:rPr>
              <w:t> b) véase cuadro 2</w:t>
            </w:r>
          </w:p>
        </w:tc>
      </w:tr>
      <w:tr w:rsidR="00C57E3F" w:rsidRPr="00C57E3F" w14:paraId="5355E307" w14:textId="77777777" w:rsidTr="00D562C2">
        <w:tc>
          <w:tcPr>
            <w:tcW w:w="3300" w:type="dxa"/>
            <w:shd w:val="clear" w:color="auto" w:fill="F5F5F5"/>
            <w:tcMar>
              <w:top w:w="60" w:type="dxa"/>
              <w:left w:w="80" w:type="dxa"/>
              <w:bottom w:w="60" w:type="dxa"/>
              <w:right w:w="80" w:type="dxa"/>
            </w:tcMar>
          </w:tcPr>
          <w:p w14:paraId="1D4363CF"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CP4</w:t>
            </w:r>
            <w:proofErr w:type="spellEnd"/>
            <w:r w:rsidRPr="00C57E3F">
              <w:rPr>
                <w:sz w:val="20"/>
                <w:lang w:val="es-ES"/>
              </w:rPr>
              <w:t xml:space="preserve"> — Grado de preparación institucional de pueblos indígenas y comunidades locales </w:t>
            </w:r>
          </w:p>
        </w:tc>
        <w:tc>
          <w:tcPr>
            <w:tcW w:w="1500" w:type="dxa"/>
            <w:shd w:val="clear" w:color="auto" w:fill="F5F5F5"/>
            <w:tcMar>
              <w:top w:w="60" w:type="dxa"/>
              <w:left w:w="80" w:type="dxa"/>
              <w:bottom w:w="60" w:type="dxa"/>
              <w:right w:w="80" w:type="dxa"/>
            </w:tcMar>
          </w:tcPr>
          <w:p w14:paraId="3D58BBE4"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 (evaluación)</w:t>
            </w:r>
          </w:p>
        </w:tc>
        <w:tc>
          <w:tcPr>
            <w:tcW w:w="2400" w:type="dxa"/>
            <w:shd w:val="clear" w:color="auto" w:fill="F5F5F5"/>
            <w:tcMar>
              <w:top w:w="60" w:type="dxa"/>
              <w:left w:w="80" w:type="dxa"/>
              <w:bottom w:w="60" w:type="dxa"/>
              <w:right w:w="80" w:type="dxa"/>
            </w:tcMar>
          </w:tcPr>
          <w:p w14:paraId="102CDC7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Consulta con pueblos indígenas y comunidades locales; informes de las Partes</w:t>
            </w:r>
          </w:p>
        </w:tc>
        <w:tc>
          <w:tcPr>
            <w:tcW w:w="6372" w:type="dxa"/>
            <w:shd w:val="clear" w:color="auto" w:fill="F5F5F5"/>
            <w:tcMar>
              <w:top w:w="60" w:type="dxa"/>
              <w:left w:w="80" w:type="dxa"/>
              <w:bottom w:w="60" w:type="dxa"/>
              <w:right w:w="80" w:type="dxa"/>
            </w:tcMar>
          </w:tcPr>
          <w:p w14:paraId="2411A0E3"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Véase cuadro 2</w:t>
            </w:r>
          </w:p>
        </w:tc>
      </w:tr>
      <w:tr w:rsidR="00C57E3F" w:rsidRPr="00C57E3F" w14:paraId="60568945" w14:textId="77777777" w:rsidTr="00D562C2">
        <w:tc>
          <w:tcPr>
            <w:tcW w:w="3300" w:type="dxa"/>
            <w:shd w:val="clear" w:color="auto" w:fill="E2EFDA"/>
            <w:tcMar>
              <w:top w:w="60" w:type="dxa"/>
              <w:left w:w="80" w:type="dxa"/>
              <w:bottom w:w="60" w:type="dxa"/>
              <w:right w:w="80" w:type="dxa"/>
            </w:tcMar>
          </w:tcPr>
          <w:p w14:paraId="20F37716"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CP5</w:t>
            </w:r>
            <w:proofErr w:type="spellEnd"/>
            <w:r w:rsidRPr="00C57E3F">
              <w:rPr>
                <w:sz w:val="20"/>
                <w:lang w:val="es-ES"/>
              </w:rPr>
              <w:t xml:space="preserve"> — Calidad de la gobernanza </w:t>
            </w:r>
          </w:p>
        </w:tc>
        <w:tc>
          <w:tcPr>
            <w:tcW w:w="1500" w:type="dxa"/>
            <w:shd w:val="clear" w:color="auto" w:fill="E2EFDA"/>
            <w:tcMar>
              <w:top w:w="60" w:type="dxa"/>
              <w:left w:w="80" w:type="dxa"/>
              <w:bottom w:w="60" w:type="dxa"/>
              <w:right w:w="80" w:type="dxa"/>
            </w:tcMar>
          </w:tcPr>
          <w:p w14:paraId="372C3DEA"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(cualitativo)</w:t>
            </w:r>
          </w:p>
        </w:tc>
        <w:tc>
          <w:tcPr>
            <w:tcW w:w="2400" w:type="dxa"/>
            <w:shd w:val="clear" w:color="auto" w:fill="E2EFDA"/>
            <w:tcMar>
              <w:top w:w="60" w:type="dxa"/>
              <w:left w:w="80" w:type="dxa"/>
              <w:bottom w:w="60" w:type="dxa"/>
              <w:right w:w="80" w:type="dxa"/>
            </w:tcMar>
          </w:tcPr>
          <w:p w14:paraId="3750195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Secretaría; actas de reuniones del CD</w:t>
            </w:r>
          </w:p>
        </w:tc>
        <w:tc>
          <w:tcPr>
            <w:tcW w:w="6372" w:type="dxa"/>
            <w:shd w:val="clear" w:color="auto" w:fill="E2EFDA"/>
            <w:tcMar>
              <w:top w:w="60" w:type="dxa"/>
              <w:left w:w="80" w:type="dxa"/>
              <w:bottom w:w="60" w:type="dxa"/>
              <w:right w:w="80" w:type="dxa"/>
            </w:tcMar>
          </w:tcPr>
          <w:p w14:paraId="16E8141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Véase </w:t>
            </w:r>
            <w:proofErr w:type="spellStart"/>
            <w:r w:rsidRPr="00C57E3F">
              <w:rPr>
                <w:sz w:val="20"/>
                <w:lang w:val="es-ES"/>
              </w:rPr>
              <w:t>G1</w:t>
            </w:r>
            <w:proofErr w:type="spellEnd"/>
            <w:r w:rsidRPr="00C57E3F">
              <w:rPr>
                <w:sz w:val="20"/>
                <w:lang w:val="es-ES"/>
              </w:rPr>
              <w:t xml:space="preserve"> más arriba</w:t>
            </w:r>
          </w:p>
        </w:tc>
      </w:tr>
      <w:tr w:rsidR="00C57E3F" w:rsidRPr="00C57E3F" w14:paraId="1CB8C512" w14:textId="77777777" w:rsidTr="00D562C2">
        <w:tc>
          <w:tcPr>
            <w:tcW w:w="13572" w:type="dxa"/>
            <w:gridSpan w:val="4"/>
            <w:shd w:val="clear" w:color="auto" w:fill="FFFFFF" w:themeFill="background1"/>
            <w:tcMar>
              <w:top w:w="60" w:type="dxa"/>
              <w:left w:w="80" w:type="dxa"/>
              <w:bottom w:w="60" w:type="dxa"/>
              <w:right w:w="80" w:type="dxa"/>
            </w:tcMar>
          </w:tcPr>
          <w:p w14:paraId="72DD05A3" w14:textId="77777777" w:rsidR="00C57E3F" w:rsidRPr="00C57E3F" w:rsidRDefault="00C57E3F" w:rsidP="00C57E3F">
            <w:pPr>
              <w:tabs>
                <w:tab w:val="left" w:pos="2835"/>
                <w:tab w:val="left" w:pos="3402"/>
              </w:tabs>
              <w:jc w:val="left"/>
              <w:rPr>
                <w:sz w:val="20"/>
                <w:szCs w:val="20"/>
                <w:lang w:val="es-ES"/>
              </w:rPr>
            </w:pPr>
            <w:r w:rsidRPr="00C57E3F">
              <w:rPr>
                <w:i/>
                <w:sz w:val="20"/>
                <w:lang w:val="es-ES"/>
              </w:rPr>
              <w:t>Código de colores</w:t>
            </w:r>
            <w:r w:rsidRPr="00C57E3F">
              <w:rPr>
                <w:sz w:val="20"/>
                <w:lang w:val="es-ES"/>
              </w:rPr>
              <w:t xml:space="preserve">: verde = datos existentes disponibles; ámbar = datos pendientes de elaboración, instrumento aún no adoptado o evaluación supeditada a una decisión de la COP-17; gris = filas de referencia cruzada. </w:t>
            </w:r>
          </w:p>
          <w:p w14:paraId="242E3BCC" w14:textId="77777777" w:rsidR="00C57E3F" w:rsidRPr="00C57E3F" w:rsidRDefault="00C57E3F" w:rsidP="00C57E3F">
            <w:pPr>
              <w:tabs>
                <w:tab w:val="left" w:pos="2835"/>
                <w:tab w:val="left" w:pos="3402"/>
              </w:tabs>
              <w:jc w:val="left"/>
              <w:rPr>
                <w:sz w:val="20"/>
                <w:szCs w:val="20"/>
                <w:lang w:val="es-ES"/>
              </w:rPr>
            </w:pPr>
            <w:r w:rsidRPr="00C57E3F">
              <w:rPr>
                <w:i/>
                <w:sz w:val="20"/>
                <w:lang w:val="es-ES"/>
              </w:rPr>
              <w:t>Abreviaciones</w:t>
            </w:r>
            <w:r w:rsidRPr="00C57E3F">
              <w:rPr>
                <w:sz w:val="20"/>
                <w:lang w:val="es-ES"/>
              </w:rPr>
              <w:t xml:space="preserve">: APB = acceso y participación en los beneficios; CD = Comité Directivo; COP = Conferencia de las Partes; </w:t>
            </w:r>
            <w:proofErr w:type="spellStart"/>
            <w:r w:rsidRPr="00C57E3F">
              <w:rPr>
                <w:sz w:val="20"/>
                <w:lang w:val="es-ES"/>
              </w:rPr>
              <w:t>CP</w:t>
            </w:r>
            <w:proofErr w:type="spellEnd"/>
            <w:r w:rsidRPr="00C57E3F">
              <w:rPr>
                <w:sz w:val="20"/>
                <w:lang w:val="es-ES"/>
              </w:rPr>
              <w:t xml:space="preserve"> = condición propicia; </w:t>
            </w:r>
            <w:proofErr w:type="spellStart"/>
            <w:r w:rsidRPr="00C57E3F">
              <w:rPr>
                <w:sz w:val="20"/>
                <w:lang w:val="es-ES"/>
              </w:rPr>
              <w:t>MMBKM</w:t>
            </w:r>
            <w:proofErr w:type="spellEnd"/>
            <w:r w:rsidRPr="00C57E3F">
              <w:rPr>
                <w:sz w:val="20"/>
                <w:lang w:val="es-ES"/>
              </w:rPr>
              <w:t xml:space="preserve"> = Marco Mundial de Biodiversidad de Kunming-Montreal; </w:t>
            </w:r>
            <w:proofErr w:type="spellStart"/>
            <w:r w:rsidRPr="00C57E3F">
              <w:rPr>
                <w:sz w:val="20"/>
                <w:lang w:val="es-ES"/>
              </w:rPr>
              <w:t>OFFAM</w:t>
            </w:r>
            <w:proofErr w:type="spellEnd"/>
            <w:r w:rsidRPr="00C57E3F">
              <w:rPr>
                <w:sz w:val="20"/>
                <w:lang w:val="es-ES"/>
              </w:rPr>
              <w:t xml:space="preserve"> = Oficina de los Fondos Fiduciarios de Asociados Múltiples.</w:t>
            </w:r>
          </w:p>
        </w:tc>
      </w:tr>
    </w:tbl>
    <w:p w14:paraId="776D13B6" w14:textId="77777777" w:rsidR="00C57E3F" w:rsidRPr="00C57E3F" w:rsidRDefault="00C57E3F" w:rsidP="00C57E3F">
      <w:pPr>
        <w:keepNext/>
        <w:keepLines/>
        <w:tabs>
          <w:tab w:val="left" w:pos="2835"/>
          <w:tab w:val="left" w:pos="3402"/>
        </w:tabs>
        <w:spacing w:before="120" w:after="60"/>
        <w:ind w:left="567"/>
        <w:jc w:val="left"/>
        <w:rPr>
          <w:b/>
          <w:lang w:val="es-ES"/>
        </w:rPr>
      </w:pPr>
      <w:r w:rsidRPr="00C57E3F">
        <w:rPr>
          <w:lang w:val="es-ES"/>
        </w:rPr>
        <w:t>Cuadro 2</w:t>
      </w:r>
      <w:r w:rsidRPr="00C57E3F">
        <w:rPr>
          <w:lang w:val="es-ES"/>
        </w:rPr>
        <w:br/>
      </w:r>
      <w:r w:rsidRPr="00C57E3F">
        <w:rPr>
          <w:b/>
          <w:lang w:val="es-ES"/>
        </w:rPr>
        <w:t xml:space="preserve">Marco de revisión consolidado — elementos que no son evaluables aún en la </w:t>
      </w:r>
      <w:proofErr w:type="spellStart"/>
      <w:r w:rsidRPr="00C57E3F">
        <w:rPr>
          <w:b/>
          <w:lang w:val="es-ES"/>
        </w:rPr>
        <w:t>18</w:t>
      </w:r>
      <w:r w:rsidRPr="00C57E3F">
        <w:rPr>
          <w:b/>
          <w:vertAlign w:val="superscript"/>
          <w:lang w:val="es-ES"/>
        </w:rPr>
        <w:t>a</w:t>
      </w:r>
      <w:proofErr w:type="spellEnd"/>
      <w:r w:rsidRPr="00C57E3F">
        <w:rPr>
          <w:b/>
          <w:lang w:val="es-ES"/>
        </w:rPr>
        <w:t> reunión de la Conferencia de las Partes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C57E3F" w:rsidRPr="00C57E3F" w14:paraId="2FA5FD14" w14:textId="77777777" w:rsidTr="00D562C2">
        <w:trPr>
          <w:tblHeader/>
        </w:trPr>
        <w:tc>
          <w:tcPr>
            <w:tcW w:w="3300" w:type="dxa"/>
            <w:tcBorders>
              <w:bottom w:val="single" w:sz="4" w:space="0" w:color="auto"/>
            </w:tcBorders>
            <w:tcMar>
              <w:top w:w="60" w:type="dxa"/>
              <w:left w:w="80" w:type="dxa"/>
              <w:bottom w:w="60" w:type="dxa"/>
              <w:right w:w="80" w:type="dxa"/>
            </w:tcMar>
          </w:tcPr>
          <w:p w14:paraId="2E9A1498" w14:textId="77777777" w:rsidR="00C57E3F" w:rsidRPr="00C57E3F" w:rsidRDefault="00C57E3F" w:rsidP="00C57E3F">
            <w:pPr>
              <w:keepNext/>
              <w:keepLines/>
              <w:tabs>
                <w:tab w:val="left" w:pos="2835"/>
                <w:tab w:val="left" w:pos="3402"/>
              </w:tabs>
              <w:spacing w:before="40" w:after="80"/>
              <w:jc w:val="left"/>
              <w:rPr>
                <w:i/>
                <w:iCs/>
                <w:sz w:val="20"/>
                <w:szCs w:val="20"/>
                <w:lang w:val="es-ES"/>
              </w:rPr>
            </w:pPr>
            <w:r w:rsidRPr="00C57E3F">
              <w:rPr>
                <w:i/>
                <w:sz w:val="20"/>
                <w:lang w:val="es-ES"/>
              </w:rPr>
              <w:t>Pilar/elemento</w:t>
            </w:r>
          </w:p>
        </w:tc>
        <w:tc>
          <w:tcPr>
            <w:tcW w:w="1500" w:type="dxa"/>
            <w:tcBorders>
              <w:bottom w:val="single" w:sz="4" w:space="0" w:color="auto"/>
            </w:tcBorders>
            <w:tcMar>
              <w:top w:w="60" w:type="dxa"/>
              <w:left w:w="80" w:type="dxa"/>
              <w:bottom w:w="60" w:type="dxa"/>
              <w:right w:w="80" w:type="dxa"/>
            </w:tcMar>
          </w:tcPr>
          <w:p w14:paraId="6814DF36" w14:textId="77777777" w:rsidR="00C57E3F" w:rsidRPr="00C57E3F" w:rsidRDefault="00C57E3F" w:rsidP="00C57E3F">
            <w:pPr>
              <w:keepNext/>
              <w:keepLines/>
              <w:tabs>
                <w:tab w:val="left" w:pos="2835"/>
                <w:tab w:val="left" w:pos="3402"/>
              </w:tabs>
              <w:spacing w:before="40" w:after="80"/>
              <w:jc w:val="left"/>
              <w:rPr>
                <w:i/>
                <w:iCs/>
                <w:sz w:val="20"/>
                <w:szCs w:val="20"/>
                <w:lang w:val="es-ES"/>
              </w:rPr>
            </w:pPr>
            <w:r w:rsidRPr="00C57E3F">
              <w:rPr>
                <w:i/>
                <w:sz w:val="20"/>
                <w:lang w:val="es-ES"/>
              </w:rPr>
              <w:t>Estado de datos</w:t>
            </w:r>
          </w:p>
        </w:tc>
        <w:tc>
          <w:tcPr>
            <w:tcW w:w="2400" w:type="dxa"/>
            <w:tcBorders>
              <w:bottom w:val="single" w:sz="4" w:space="0" w:color="auto"/>
            </w:tcBorders>
            <w:tcMar>
              <w:top w:w="60" w:type="dxa"/>
              <w:left w:w="80" w:type="dxa"/>
              <w:bottom w:w="60" w:type="dxa"/>
              <w:right w:w="80" w:type="dxa"/>
            </w:tcMar>
          </w:tcPr>
          <w:p w14:paraId="03C40C36" w14:textId="77777777" w:rsidR="00C57E3F" w:rsidRPr="00C57E3F" w:rsidRDefault="00C57E3F" w:rsidP="00C57E3F">
            <w:pPr>
              <w:keepNext/>
              <w:keepLines/>
              <w:tabs>
                <w:tab w:val="left" w:pos="2835"/>
                <w:tab w:val="left" w:pos="3402"/>
              </w:tabs>
              <w:spacing w:before="40" w:after="80"/>
              <w:jc w:val="left"/>
              <w:rPr>
                <w:i/>
                <w:iCs/>
                <w:sz w:val="20"/>
                <w:szCs w:val="20"/>
                <w:lang w:val="es-ES"/>
              </w:rPr>
            </w:pPr>
            <w:r w:rsidRPr="00C57E3F">
              <w:rPr>
                <w:i/>
                <w:sz w:val="20"/>
                <w:lang w:val="es-ES"/>
              </w:rPr>
              <w:t>Fuente de datos</w:t>
            </w:r>
          </w:p>
        </w:tc>
        <w:tc>
          <w:tcPr>
            <w:tcW w:w="6372" w:type="dxa"/>
            <w:tcBorders>
              <w:bottom w:val="single" w:sz="4" w:space="0" w:color="auto"/>
            </w:tcBorders>
            <w:tcMar>
              <w:top w:w="60" w:type="dxa"/>
              <w:left w:w="80" w:type="dxa"/>
              <w:bottom w:w="60" w:type="dxa"/>
              <w:right w:w="80" w:type="dxa"/>
            </w:tcMar>
          </w:tcPr>
          <w:p w14:paraId="1315352F" w14:textId="77777777" w:rsidR="00C57E3F" w:rsidRPr="00C57E3F" w:rsidRDefault="00C57E3F" w:rsidP="00C57E3F">
            <w:pPr>
              <w:keepNext/>
              <w:keepLines/>
              <w:tabs>
                <w:tab w:val="left" w:pos="2835"/>
                <w:tab w:val="left" w:pos="3402"/>
              </w:tabs>
              <w:spacing w:before="40" w:after="80"/>
              <w:jc w:val="left"/>
              <w:rPr>
                <w:i/>
                <w:iCs/>
                <w:sz w:val="20"/>
                <w:szCs w:val="20"/>
                <w:lang w:val="es-ES"/>
              </w:rPr>
            </w:pPr>
            <w:proofErr w:type="spellStart"/>
            <w:r w:rsidRPr="00C57E3F">
              <w:rPr>
                <w:i/>
                <w:sz w:val="20"/>
                <w:lang w:val="es-ES"/>
              </w:rPr>
              <w:t>Evaluabilidad</w:t>
            </w:r>
            <w:proofErr w:type="spellEnd"/>
          </w:p>
        </w:tc>
      </w:tr>
      <w:tr w:rsidR="00C57E3F" w:rsidRPr="00C57E3F" w14:paraId="00F4A531" w14:textId="77777777" w:rsidTr="00D562C2">
        <w:tc>
          <w:tcPr>
            <w:tcW w:w="13572" w:type="dxa"/>
            <w:gridSpan w:val="4"/>
            <w:tcBorders>
              <w:top w:val="single" w:sz="4" w:space="0" w:color="auto"/>
            </w:tcBorders>
            <w:tcMar>
              <w:top w:w="60" w:type="dxa"/>
              <w:left w:w="80" w:type="dxa"/>
              <w:bottom w:w="60" w:type="dxa"/>
              <w:right w:w="80" w:type="dxa"/>
            </w:tcMar>
          </w:tcPr>
          <w:p w14:paraId="0DEABA2A" w14:textId="77777777" w:rsidR="00C57E3F" w:rsidRPr="00C57E3F" w:rsidRDefault="00C57E3F" w:rsidP="00C57E3F">
            <w:pPr>
              <w:keepNext/>
              <w:keepLines/>
              <w:tabs>
                <w:tab w:val="left" w:pos="2835"/>
                <w:tab w:val="left" w:pos="3402"/>
              </w:tabs>
              <w:spacing w:before="40" w:after="80"/>
              <w:jc w:val="left"/>
              <w:rPr>
                <w:b/>
                <w:bCs/>
                <w:sz w:val="20"/>
                <w:szCs w:val="20"/>
                <w:lang w:val="es-ES"/>
              </w:rPr>
            </w:pPr>
            <w:proofErr w:type="spellStart"/>
            <w:r w:rsidRPr="00C57E3F">
              <w:rPr>
                <w:b/>
                <w:sz w:val="20"/>
                <w:lang w:val="es-ES"/>
              </w:rPr>
              <w:t>P2</w:t>
            </w:r>
            <w:proofErr w:type="spellEnd"/>
            <w:r w:rsidRPr="00C57E3F">
              <w:rPr>
                <w:b/>
                <w:sz w:val="20"/>
                <w:lang w:val="es-ES"/>
              </w:rPr>
              <w:t xml:space="preserve"> — Niveles de contribución, diseño de activación, eficacia y costos</w:t>
            </w:r>
          </w:p>
        </w:tc>
      </w:tr>
      <w:tr w:rsidR="00C57E3F" w:rsidRPr="00C57E3F" w14:paraId="12FAA5C9" w14:textId="77777777" w:rsidTr="00D562C2">
        <w:tc>
          <w:tcPr>
            <w:tcW w:w="3300" w:type="dxa"/>
            <w:shd w:val="clear" w:color="auto" w:fill="FFF2CC"/>
            <w:tcMar>
              <w:top w:w="60" w:type="dxa"/>
              <w:left w:w="80" w:type="dxa"/>
              <w:bottom w:w="60" w:type="dxa"/>
              <w:right w:w="80" w:type="dxa"/>
            </w:tcMar>
          </w:tcPr>
          <w:p w14:paraId="44720AAA"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Costos de transacción y carga administrativa</w:t>
            </w:r>
          </w:p>
        </w:tc>
        <w:tc>
          <w:tcPr>
            <w:tcW w:w="1500" w:type="dxa"/>
            <w:shd w:val="clear" w:color="auto" w:fill="FFF2CC"/>
            <w:tcMar>
              <w:top w:w="60" w:type="dxa"/>
              <w:left w:w="80" w:type="dxa"/>
              <w:bottom w:w="60" w:type="dxa"/>
              <w:right w:w="80" w:type="dxa"/>
            </w:tcMar>
          </w:tcPr>
          <w:p w14:paraId="660FE8A2"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 (estudio)</w:t>
            </w:r>
          </w:p>
        </w:tc>
        <w:tc>
          <w:tcPr>
            <w:tcW w:w="2400" w:type="dxa"/>
            <w:shd w:val="clear" w:color="auto" w:fill="FFF2CC"/>
            <w:tcMar>
              <w:top w:w="60" w:type="dxa"/>
              <w:left w:w="80" w:type="dxa"/>
              <w:bottom w:w="60" w:type="dxa"/>
              <w:right w:w="80" w:type="dxa"/>
            </w:tcMar>
          </w:tcPr>
          <w:p w14:paraId="0B5C8218"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Estudio encargado por el CD</w:t>
            </w:r>
          </w:p>
        </w:tc>
        <w:tc>
          <w:tcPr>
            <w:tcW w:w="6372" w:type="dxa"/>
            <w:shd w:val="clear" w:color="auto" w:fill="FFF2CC"/>
            <w:tcMar>
              <w:top w:w="60" w:type="dxa"/>
              <w:left w:w="80" w:type="dxa"/>
              <w:bottom w:w="60" w:type="dxa"/>
              <w:right w:w="80" w:type="dxa"/>
            </w:tcMar>
          </w:tcPr>
          <w:p w14:paraId="76F7942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Evaluable en COP futuras; requiere un estudio dedicado.</w:t>
            </w:r>
          </w:p>
        </w:tc>
      </w:tr>
      <w:tr w:rsidR="00C57E3F" w:rsidRPr="00C57E3F" w14:paraId="6282304A" w14:textId="77777777" w:rsidTr="00D562C2">
        <w:tc>
          <w:tcPr>
            <w:tcW w:w="13572" w:type="dxa"/>
            <w:gridSpan w:val="4"/>
            <w:tcMar>
              <w:top w:w="60" w:type="dxa"/>
              <w:left w:w="80" w:type="dxa"/>
              <w:bottom w:w="60" w:type="dxa"/>
              <w:right w:w="80" w:type="dxa"/>
            </w:tcMar>
          </w:tcPr>
          <w:p w14:paraId="34B6C3CC" w14:textId="77777777" w:rsidR="00C57E3F" w:rsidRPr="00C57E3F" w:rsidRDefault="00C57E3F" w:rsidP="00C57E3F">
            <w:pPr>
              <w:tabs>
                <w:tab w:val="left" w:pos="2835"/>
                <w:tab w:val="left" w:pos="3402"/>
              </w:tabs>
              <w:spacing w:before="40" w:after="80"/>
              <w:jc w:val="left"/>
              <w:rPr>
                <w:b/>
                <w:bCs/>
                <w:sz w:val="20"/>
                <w:szCs w:val="20"/>
                <w:lang w:val="es-ES"/>
              </w:rPr>
            </w:pPr>
            <w:proofErr w:type="spellStart"/>
            <w:r w:rsidRPr="00C57E3F">
              <w:rPr>
                <w:b/>
                <w:sz w:val="20"/>
                <w:lang w:val="es-ES"/>
              </w:rPr>
              <w:t>P3</w:t>
            </w:r>
            <w:proofErr w:type="spellEnd"/>
            <w:r w:rsidRPr="00C57E3F">
              <w:rPr>
                <w:b/>
                <w:sz w:val="20"/>
                <w:lang w:val="es-ES"/>
              </w:rPr>
              <w:t xml:space="preserve"> — Beneficios no monetarios</w:t>
            </w:r>
          </w:p>
        </w:tc>
      </w:tr>
      <w:tr w:rsidR="00C57E3F" w:rsidRPr="00C57E3F" w14:paraId="01D15045" w14:textId="77777777" w:rsidTr="00D562C2">
        <w:tc>
          <w:tcPr>
            <w:tcW w:w="3300" w:type="dxa"/>
            <w:shd w:val="clear" w:color="auto" w:fill="FFF2CC"/>
            <w:tcMar>
              <w:top w:w="60" w:type="dxa"/>
              <w:left w:w="80" w:type="dxa"/>
              <w:bottom w:w="60" w:type="dxa"/>
              <w:right w:w="80" w:type="dxa"/>
            </w:tcMar>
          </w:tcPr>
          <w:p w14:paraId="37837627" w14:textId="3FE401C4" w:rsidR="00C57E3F" w:rsidRPr="00C57E3F" w:rsidRDefault="00C57E3F" w:rsidP="00105DB6">
            <w:pPr>
              <w:tabs>
                <w:tab w:val="left" w:pos="2835"/>
                <w:tab w:val="left" w:pos="3402"/>
              </w:tabs>
              <w:spacing w:before="40" w:after="80"/>
              <w:jc w:val="left"/>
              <w:rPr>
                <w:sz w:val="20"/>
                <w:szCs w:val="20"/>
                <w:lang w:val="es-ES"/>
              </w:rPr>
            </w:pPr>
            <w:r w:rsidRPr="00C57E3F">
              <w:rPr>
                <w:sz w:val="20"/>
                <w:lang w:val="es-ES"/>
              </w:rPr>
              <w:t xml:space="preserve">[Volumen y tipo][Tipo, alcance y receptor] de beneficios no monetarios </w:t>
            </w:r>
            <w:r w:rsidRPr="00C57E3F">
              <w:rPr>
                <w:i/>
                <w:sz w:val="20"/>
                <w:lang w:val="es-ES"/>
              </w:rPr>
              <w:t>(</w:t>
            </w:r>
            <w:r w:rsidR="00D562C2" w:rsidRPr="00D562C2">
              <w:rPr>
                <w:i/>
                <w:sz w:val="20"/>
              </w:rPr>
              <w:t xml:space="preserve">La Secretaría </w:t>
            </w:r>
            <w:r w:rsidR="00D562C2">
              <w:rPr>
                <w:i/>
                <w:sz w:val="20"/>
              </w:rPr>
              <w:t>compara</w:t>
            </w:r>
            <w:r w:rsidR="00D562C2" w:rsidRPr="00D562C2">
              <w:rPr>
                <w:i/>
                <w:sz w:val="20"/>
              </w:rPr>
              <w:t xml:space="preserve"> la redacción con el documento sobre creación de capacidad y propone: </w:t>
            </w:r>
            <w:r w:rsidR="00D562C2">
              <w:rPr>
                <w:i/>
                <w:sz w:val="20"/>
              </w:rPr>
              <w:t>“</w:t>
            </w:r>
            <w:r w:rsidR="00D562C2" w:rsidRPr="00D562C2">
              <w:rPr>
                <w:i/>
                <w:sz w:val="20"/>
              </w:rPr>
              <w:t xml:space="preserve">Evaluación de </w:t>
            </w:r>
            <w:r w:rsidR="00D562C2">
              <w:rPr>
                <w:i/>
                <w:sz w:val="20"/>
              </w:rPr>
              <w:t>la participación en beneficios no monetarios</w:t>
            </w:r>
            <w:r w:rsidR="00D562C2" w:rsidRPr="00D562C2">
              <w:rPr>
                <w:i/>
                <w:sz w:val="20"/>
              </w:rPr>
              <w:t xml:space="preserve"> en consonancia con la metodología del marco de seguimiento del </w:t>
            </w:r>
            <w:proofErr w:type="spellStart"/>
            <w:r w:rsidR="00105DB6">
              <w:rPr>
                <w:i/>
                <w:sz w:val="20"/>
              </w:rPr>
              <w:t>MMB</w:t>
            </w:r>
            <w:proofErr w:type="spellEnd"/>
            <w:r w:rsidR="00D562C2" w:rsidRPr="00D562C2">
              <w:rPr>
                <w:i/>
                <w:sz w:val="20"/>
              </w:rPr>
              <w:t xml:space="preserve"> para </w:t>
            </w:r>
            <w:proofErr w:type="spellStart"/>
            <w:r w:rsidR="00D562C2" w:rsidRPr="00D562C2">
              <w:rPr>
                <w:i/>
                <w:sz w:val="20"/>
              </w:rPr>
              <w:t>C.2</w:t>
            </w:r>
            <w:proofErr w:type="spellEnd"/>
            <w:r w:rsidRPr="00C57E3F">
              <w:rPr>
                <w:i/>
                <w:sz w:val="20"/>
                <w:lang w:val="es-ES"/>
              </w:rPr>
              <w:t>)</w:t>
            </w:r>
          </w:p>
        </w:tc>
        <w:tc>
          <w:tcPr>
            <w:tcW w:w="1500" w:type="dxa"/>
            <w:shd w:val="clear" w:color="auto" w:fill="FFF2CC"/>
            <w:tcMar>
              <w:top w:w="60" w:type="dxa"/>
              <w:left w:w="80" w:type="dxa"/>
              <w:bottom w:w="60" w:type="dxa"/>
              <w:right w:w="80" w:type="dxa"/>
            </w:tcMar>
          </w:tcPr>
          <w:p w14:paraId="495885E4"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 (presentación de informes)</w:t>
            </w:r>
          </w:p>
        </w:tc>
        <w:tc>
          <w:tcPr>
            <w:tcW w:w="2400" w:type="dxa"/>
            <w:shd w:val="clear" w:color="auto" w:fill="FFF2CC"/>
            <w:tcMar>
              <w:top w:w="60" w:type="dxa"/>
              <w:left w:w="80" w:type="dxa"/>
              <w:bottom w:w="60" w:type="dxa"/>
              <w:right w:w="80" w:type="dxa"/>
            </w:tcMar>
          </w:tcPr>
          <w:p w14:paraId="64155FDB"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Informes de operadores de base de datos en el cuadro 1; encuesta de contribuyentes / interesados</w:t>
            </w:r>
          </w:p>
        </w:tc>
        <w:tc>
          <w:tcPr>
            <w:tcW w:w="6372" w:type="dxa"/>
            <w:shd w:val="clear" w:color="auto" w:fill="FFF2CC"/>
            <w:tcMar>
              <w:top w:w="60" w:type="dxa"/>
              <w:left w:w="80" w:type="dxa"/>
              <w:bottom w:w="60" w:type="dxa"/>
              <w:right w:w="80" w:type="dxa"/>
            </w:tcMar>
          </w:tcPr>
          <w:p w14:paraId="230B4135"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Parcialmente evaluable; se desarrollará tipología y encuesta; la consideración especial de beneficios no monetarios para pueblos indígenas y comunidades locales será plenamente evaluable en una COP futura; [el alcance incluye la cantidad total y a dónde va]</w:t>
            </w:r>
          </w:p>
        </w:tc>
      </w:tr>
      <w:tr w:rsidR="00C57E3F" w:rsidRPr="00C57E3F" w14:paraId="0389767E" w14:textId="77777777" w:rsidTr="00D562C2">
        <w:tc>
          <w:tcPr>
            <w:tcW w:w="13572" w:type="dxa"/>
            <w:gridSpan w:val="4"/>
            <w:tcMar>
              <w:top w:w="60" w:type="dxa"/>
              <w:left w:w="80" w:type="dxa"/>
              <w:bottom w:w="60" w:type="dxa"/>
              <w:right w:w="80" w:type="dxa"/>
            </w:tcMar>
          </w:tcPr>
          <w:p w14:paraId="56011B84" w14:textId="77777777" w:rsidR="00C57E3F" w:rsidRPr="00C57E3F" w:rsidRDefault="00C57E3F" w:rsidP="00C57E3F">
            <w:pPr>
              <w:tabs>
                <w:tab w:val="left" w:pos="2835"/>
                <w:tab w:val="left" w:pos="3402"/>
              </w:tabs>
              <w:spacing w:before="40" w:after="80"/>
              <w:jc w:val="left"/>
              <w:rPr>
                <w:b/>
                <w:bCs/>
                <w:sz w:val="20"/>
                <w:szCs w:val="20"/>
                <w:lang w:val="es-ES"/>
              </w:rPr>
            </w:pPr>
            <w:proofErr w:type="spellStart"/>
            <w:r w:rsidRPr="00C57E3F">
              <w:rPr>
                <w:b/>
                <w:sz w:val="20"/>
                <w:lang w:val="es-ES"/>
              </w:rPr>
              <w:t>P4</w:t>
            </w:r>
            <w:proofErr w:type="spellEnd"/>
            <w:r w:rsidRPr="00C57E3F">
              <w:rPr>
                <w:b/>
                <w:sz w:val="20"/>
                <w:lang w:val="es-ES"/>
              </w:rPr>
              <w:t xml:space="preserve"> — </w:t>
            </w:r>
            <w:r w:rsidRPr="00C57E3F">
              <w:rPr>
                <w:sz w:val="20"/>
                <w:lang w:val="es-ES"/>
              </w:rPr>
              <w:t xml:space="preserve">Contribuciones al </w:t>
            </w:r>
            <w:proofErr w:type="spellStart"/>
            <w:r w:rsidRPr="00C57E3F">
              <w:rPr>
                <w:sz w:val="20"/>
                <w:lang w:val="es-ES"/>
              </w:rPr>
              <w:t>MMBKM</w:t>
            </w:r>
            <w:proofErr w:type="spellEnd"/>
            <w:r w:rsidRPr="00C57E3F">
              <w:rPr>
                <w:sz w:val="20"/>
                <w:lang w:val="es-ES"/>
              </w:rPr>
              <w:t>, complementariedad con marcos de APB nacionales e internacionales y coherencia con otros mecanismos</w:t>
            </w:r>
          </w:p>
        </w:tc>
      </w:tr>
      <w:tr w:rsidR="00C57E3F" w:rsidRPr="00C57E3F" w14:paraId="38A9780E" w14:textId="77777777" w:rsidTr="00D562C2">
        <w:tc>
          <w:tcPr>
            <w:tcW w:w="3300" w:type="dxa"/>
            <w:shd w:val="clear" w:color="auto" w:fill="FFF2CC"/>
            <w:tcMar>
              <w:top w:w="60" w:type="dxa"/>
              <w:left w:w="80" w:type="dxa"/>
              <w:bottom w:w="60" w:type="dxa"/>
              <w:right w:w="80" w:type="dxa"/>
            </w:tcMar>
          </w:tcPr>
          <w:p w14:paraId="4B937A97"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Impacto en la biodiversidad de las actividades financiadas </w:t>
            </w:r>
          </w:p>
        </w:tc>
        <w:tc>
          <w:tcPr>
            <w:tcW w:w="1500" w:type="dxa"/>
            <w:shd w:val="clear" w:color="auto" w:fill="FFF2CC"/>
            <w:tcMar>
              <w:top w:w="60" w:type="dxa"/>
              <w:left w:w="80" w:type="dxa"/>
              <w:bottom w:w="60" w:type="dxa"/>
              <w:right w:w="80" w:type="dxa"/>
            </w:tcMar>
          </w:tcPr>
          <w:p w14:paraId="73D2E33F"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w:t>
            </w:r>
          </w:p>
        </w:tc>
        <w:tc>
          <w:tcPr>
            <w:tcW w:w="2400" w:type="dxa"/>
            <w:shd w:val="clear" w:color="auto" w:fill="FFF2CC"/>
            <w:tcMar>
              <w:top w:w="60" w:type="dxa"/>
              <w:left w:w="80" w:type="dxa"/>
              <w:bottom w:w="60" w:type="dxa"/>
              <w:right w:w="80" w:type="dxa"/>
            </w:tcMar>
          </w:tcPr>
          <w:p w14:paraId="7C64D368"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Secretaría; informes de las Partes</w:t>
            </w:r>
          </w:p>
        </w:tc>
        <w:tc>
          <w:tcPr>
            <w:tcW w:w="6372" w:type="dxa"/>
            <w:shd w:val="clear" w:color="auto" w:fill="FFF2CC"/>
            <w:tcMar>
              <w:top w:w="60" w:type="dxa"/>
              <w:left w:w="80" w:type="dxa"/>
              <w:bottom w:w="60" w:type="dxa"/>
              <w:right w:w="80" w:type="dxa"/>
            </w:tcMar>
          </w:tcPr>
          <w:p w14:paraId="430F2FCC"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No evaluable aún; la evaluación cualitativa de contribuciones será posible en una COP futura.</w:t>
            </w:r>
          </w:p>
        </w:tc>
      </w:tr>
      <w:tr w:rsidR="00C57E3F" w:rsidRPr="00C57E3F" w14:paraId="42EAE494" w14:textId="77777777" w:rsidTr="00D562C2">
        <w:tc>
          <w:tcPr>
            <w:tcW w:w="3300" w:type="dxa"/>
            <w:shd w:val="clear" w:color="auto" w:fill="FFF2CC"/>
            <w:tcMar>
              <w:top w:w="60" w:type="dxa"/>
              <w:left w:w="80" w:type="dxa"/>
              <w:bottom w:w="60" w:type="dxa"/>
              <w:right w:w="80" w:type="dxa"/>
            </w:tcMar>
          </w:tcPr>
          <w:p w14:paraId="586F8DD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Armonización con ciclos de presentación de informes de </w:t>
            </w:r>
            <w:proofErr w:type="spellStart"/>
            <w:r w:rsidRPr="00C57E3F">
              <w:rPr>
                <w:sz w:val="20"/>
                <w:lang w:val="es-ES"/>
              </w:rPr>
              <w:t>PSPIR</w:t>
            </w:r>
            <w:proofErr w:type="spellEnd"/>
          </w:p>
        </w:tc>
        <w:tc>
          <w:tcPr>
            <w:tcW w:w="1500" w:type="dxa"/>
            <w:shd w:val="clear" w:color="auto" w:fill="FFF2CC"/>
            <w:tcMar>
              <w:top w:w="60" w:type="dxa"/>
              <w:left w:w="80" w:type="dxa"/>
              <w:bottom w:w="60" w:type="dxa"/>
              <w:right w:w="80" w:type="dxa"/>
            </w:tcMar>
          </w:tcPr>
          <w:p w14:paraId="4AA192BA"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No evaluable aún</w:t>
            </w:r>
          </w:p>
        </w:tc>
        <w:tc>
          <w:tcPr>
            <w:tcW w:w="2400" w:type="dxa"/>
            <w:shd w:val="clear" w:color="auto" w:fill="FFF2CC"/>
            <w:tcMar>
              <w:top w:w="60" w:type="dxa"/>
              <w:left w:w="80" w:type="dxa"/>
              <w:bottom w:w="60" w:type="dxa"/>
              <w:right w:w="80" w:type="dxa"/>
            </w:tcMar>
          </w:tcPr>
          <w:p w14:paraId="3386BBB1"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PSPIR</w:t>
            </w:r>
            <w:proofErr w:type="spellEnd"/>
            <w:r w:rsidRPr="00C57E3F">
              <w:rPr>
                <w:sz w:val="20"/>
                <w:lang w:val="es-ES"/>
              </w:rPr>
              <w:t xml:space="preserve"> / Secretaría</w:t>
            </w:r>
          </w:p>
        </w:tc>
        <w:tc>
          <w:tcPr>
            <w:tcW w:w="6372" w:type="dxa"/>
            <w:shd w:val="clear" w:color="auto" w:fill="FFF2CC"/>
            <w:tcMar>
              <w:top w:w="60" w:type="dxa"/>
              <w:left w:w="80" w:type="dxa"/>
              <w:bottom w:w="60" w:type="dxa"/>
              <w:right w:w="80" w:type="dxa"/>
            </w:tcMar>
          </w:tcPr>
          <w:p w14:paraId="52DB5223"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No evaluable aún: en </w:t>
            </w:r>
            <w:proofErr w:type="spellStart"/>
            <w:r w:rsidRPr="00C57E3F">
              <w:rPr>
                <w:sz w:val="20"/>
                <w:lang w:val="es-ES"/>
              </w:rPr>
              <w:t>PSPIR</w:t>
            </w:r>
            <w:proofErr w:type="spellEnd"/>
            <w:r w:rsidRPr="00C57E3F">
              <w:rPr>
                <w:sz w:val="20"/>
                <w:lang w:val="es-ES"/>
              </w:rPr>
              <w:t xml:space="preserve"> no hay aún datos de fórmula de asignación. Evaluable en una COP futura.</w:t>
            </w:r>
          </w:p>
        </w:tc>
      </w:tr>
      <w:tr w:rsidR="00C57E3F" w:rsidRPr="00C57E3F" w14:paraId="522F8F71" w14:textId="77777777" w:rsidTr="00D562C2">
        <w:tc>
          <w:tcPr>
            <w:tcW w:w="3300" w:type="dxa"/>
            <w:shd w:val="clear" w:color="auto" w:fill="FFF2CC"/>
            <w:tcMar>
              <w:top w:w="60" w:type="dxa"/>
              <w:left w:w="80" w:type="dxa"/>
              <w:bottom w:w="60" w:type="dxa"/>
              <w:right w:w="80" w:type="dxa"/>
            </w:tcMar>
          </w:tcPr>
          <w:p w14:paraId="484FCFC4" w14:textId="77777777" w:rsidR="00C57E3F" w:rsidRPr="00C57E3F" w:rsidRDefault="00C57E3F" w:rsidP="00C57E3F">
            <w:pPr>
              <w:tabs>
                <w:tab w:val="left" w:pos="2835"/>
                <w:tab w:val="left" w:pos="3402"/>
              </w:tabs>
              <w:spacing w:before="40" w:after="80"/>
              <w:jc w:val="left"/>
              <w:rPr>
                <w:sz w:val="20"/>
                <w:szCs w:val="20"/>
                <w:lang w:val="es-ES"/>
              </w:rPr>
            </w:pPr>
            <w:proofErr w:type="spellStart"/>
            <w:r w:rsidRPr="00C57E3F">
              <w:rPr>
                <w:sz w:val="20"/>
                <w:lang w:val="es-ES"/>
              </w:rPr>
              <w:t>CP3</w:t>
            </w:r>
            <w:proofErr w:type="spellEnd"/>
            <w:r w:rsidRPr="00C57E3F">
              <w:rPr>
                <w:sz w:val="20"/>
                <w:lang w:val="es-ES"/>
              </w:rPr>
              <w:t xml:space="preserve"> b) — [riesgo de acumulación de [contribuciones][obligaciones] </w:t>
            </w:r>
          </w:p>
          <w:p w14:paraId="38E26F6A"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[acumulación de expectativas de participación en los beneficios]</w:t>
            </w:r>
          </w:p>
          <w:p w14:paraId="61D90DD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 [potencial solapamiento [[de obligaciones en virtud de][entre] [instrumentos]]] [de mecanismos de participación en los beneficios] internacionales pertinentes</w:t>
            </w:r>
          </w:p>
          <w:p w14:paraId="5EF51D97"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[potencial solapamiento de medidas de participación en los beneficios]</w:t>
            </w:r>
          </w:p>
          <w:p w14:paraId="7C7D08F0"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[solapamiento de requisitos de participación en los beneficios] </w:t>
            </w:r>
          </w:p>
          <w:p w14:paraId="63CCCC48"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[interacciones y sinergias con otros instrumentos multilaterales de acceso y participación de los beneficios]</w:t>
            </w:r>
          </w:p>
          <w:p w14:paraId="42C5D1FA"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w:t>
            </w:r>
            <w:proofErr w:type="spellStart"/>
            <w:r w:rsidRPr="00C57E3F">
              <w:rPr>
                <w:sz w:val="20"/>
                <w:lang w:val="es-ES"/>
              </w:rPr>
              <w:t>TIRFAA</w:t>
            </w:r>
            <w:proofErr w:type="spellEnd"/>
            <w:r w:rsidRPr="00C57E3F">
              <w:rPr>
                <w:sz w:val="20"/>
                <w:lang w:val="es-ES"/>
              </w:rPr>
              <w:t xml:space="preserve">, </w:t>
            </w:r>
            <w:proofErr w:type="spellStart"/>
            <w:r w:rsidRPr="00C57E3F">
              <w:rPr>
                <w:sz w:val="20"/>
                <w:lang w:val="es-ES"/>
              </w:rPr>
              <w:t>BBNJ</w:t>
            </w:r>
            <w:proofErr w:type="spellEnd"/>
            <w:r w:rsidRPr="00C57E3F">
              <w:rPr>
                <w:sz w:val="20"/>
                <w:lang w:val="es-ES"/>
              </w:rPr>
              <w:t xml:space="preserve">, </w:t>
            </w:r>
            <w:proofErr w:type="spellStart"/>
            <w:r w:rsidRPr="00C57E3F">
              <w:rPr>
                <w:sz w:val="20"/>
                <w:lang w:val="es-ES"/>
              </w:rPr>
              <w:t>PABS</w:t>
            </w:r>
            <w:proofErr w:type="spellEnd"/>
            <w:r w:rsidRPr="00C57E3F">
              <w:rPr>
                <w:sz w:val="20"/>
                <w:lang w:val="es-ES"/>
              </w:rPr>
              <w:t xml:space="preserve"> OMS)</w:t>
            </w:r>
          </w:p>
        </w:tc>
        <w:tc>
          <w:tcPr>
            <w:tcW w:w="1500" w:type="dxa"/>
            <w:shd w:val="clear" w:color="auto" w:fill="FFF2CC"/>
            <w:tcMar>
              <w:top w:w="60" w:type="dxa"/>
              <w:left w:w="80" w:type="dxa"/>
              <w:bottom w:w="60" w:type="dxa"/>
              <w:right w:w="80" w:type="dxa"/>
            </w:tcMar>
          </w:tcPr>
          <w:p w14:paraId="3A154C45"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 (protocolo)</w:t>
            </w:r>
          </w:p>
        </w:tc>
        <w:tc>
          <w:tcPr>
            <w:tcW w:w="2400" w:type="dxa"/>
            <w:shd w:val="clear" w:color="auto" w:fill="FFF2CC"/>
            <w:tcMar>
              <w:top w:w="60" w:type="dxa"/>
              <w:left w:w="80" w:type="dxa"/>
              <w:bottom w:w="60" w:type="dxa"/>
              <w:right w:w="80" w:type="dxa"/>
            </w:tcMar>
          </w:tcPr>
          <w:p w14:paraId="5E1BD4D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Protocolo de la Secretaría para riesgo de acumulación</w:t>
            </w:r>
          </w:p>
        </w:tc>
        <w:tc>
          <w:tcPr>
            <w:tcW w:w="6372" w:type="dxa"/>
            <w:shd w:val="clear" w:color="auto" w:fill="FFF2CC"/>
            <w:tcMar>
              <w:top w:w="60" w:type="dxa"/>
              <w:left w:w="80" w:type="dxa"/>
              <w:bottom w:w="60" w:type="dxa"/>
              <w:right w:w="80" w:type="dxa"/>
            </w:tcMar>
          </w:tcPr>
          <w:p w14:paraId="6CC1643E"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No evaluable aún: otros instrumentos internacionales aún no han decidido si tratarán dentro de su ámbito la participación en los beneficios derivados de la utilización de la información digital sobre secuencias de recursos genéticos y cómo lo harían. Evaluable en una COP futura.</w:t>
            </w:r>
          </w:p>
        </w:tc>
      </w:tr>
      <w:tr w:rsidR="00C57E3F" w:rsidRPr="00C57E3F" w14:paraId="3413FD17" w14:textId="77777777" w:rsidTr="00D562C2">
        <w:tc>
          <w:tcPr>
            <w:tcW w:w="13572" w:type="dxa"/>
            <w:gridSpan w:val="4"/>
            <w:tcBorders>
              <w:bottom w:val="single" w:sz="4" w:space="0" w:color="CCCCCC"/>
            </w:tcBorders>
            <w:tcMar>
              <w:top w:w="60" w:type="dxa"/>
              <w:left w:w="80" w:type="dxa"/>
              <w:bottom w:w="60" w:type="dxa"/>
              <w:right w:w="80" w:type="dxa"/>
            </w:tcMar>
          </w:tcPr>
          <w:p w14:paraId="059EB1B4" w14:textId="5E0B879B" w:rsidR="00C57E3F" w:rsidRPr="00C57E3F" w:rsidRDefault="00C57E3F" w:rsidP="00D562C2">
            <w:pPr>
              <w:tabs>
                <w:tab w:val="left" w:pos="2835"/>
                <w:tab w:val="left" w:pos="3402"/>
              </w:tabs>
              <w:spacing w:before="40" w:after="80"/>
              <w:jc w:val="left"/>
              <w:rPr>
                <w:b/>
                <w:bCs/>
                <w:sz w:val="20"/>
                <w:szCs w:val="20"/>
                <w:lang w:val="es-ES"/>
              </w:rPr>
            </w:pPr>
            <w:proofErr w:type="spellStart"/>
            <w:r w:rsidRPr="00C57E3F">
              <w:rPr>
                <w:b/>
                <w:sz w:val="20"/>
                <w:lang w:val="es-ES"/>
              </w:rPr>
              <w:t>P</w:t>
            </w:r>
            <w:r w:rsidR="00D562C2">
              <w:rPr>
                <w:b/>
                <w:sz w:val="20"/>
                <w:lang w:val="es-ES"/>
              </w:rPr>
              <w:t>5</w:t>
            </w:r>
            <w:proofErr w:type="spellEnd"/>
            <w:r w:rsidRPr="00C57E3F">
              <w:rPr>
                <w:b/>
                <w:sz w:val="20"/>
                <w:lang w:val="es-ES"/>
              </w:rPr>
              <w:t xml:space="preserve"> — Derechos de los pueblos indígenas y las comunidades locales, acceso abierto e impactos de las investigaciones</w:t>
            </w:r>
          </w:p>
        </w:tc>
      </w:tr>
      <w:tr w:rsidR="00C57E3F" w:rsidRPr="00C57E3F" w14:paraId="1B6A8C82" w14:textId="77777777" w:rsidTr="00D562C2">
        <w:tc>
          <w:tcPr>
            <w:tcW w:w="3300" w:type="dxa"/>
            <w:tcBorders>
              <w:bottom w:val="nil"/>
            </w:tcBorders>
            <w:shd w:val="clear" w:color="auto" w:fill="FFF2CC"/>
            <w:tcMar>
              <w:top w:w="60" w:type="dxa"/>
              <w:left w:w="80" w:type="dxa"/>
              <w:bottom w:w="60" w:type="dxa"/>
              <w:right w:w="80" w:type="dxa"/>
            </w:tcMar>
          </w:tcPr>
          <w:p w14:paraId="7DE125C1" w14:textId="41FF6D83" w:rsidR="00C57E3F" w:rsidRPr="00C57E3F" w:rsidRDefault="00C57E3F" w:rsidP="00B07603">
            <w:pPr>
              <w:tabs>
                <w:tab w:val="left" w:pos="2835"/>
                <w:tab w:val="left" w:pos="3402"/>
              </w:tabs>
              <w:spacing w:before="40" w:after="80"/>
              <w:jc w:val="left"/>
              <w:rPr>
                <w:sz w:val="20"/>
                <w:szCs w:val="20"/>
                <w:lang w:val="es-ES"/>
              </w:rPr>
            </w:pPr>
            <w:proofErr w:type="spellStart"/>
            <w:r w:rsidRPr="00C57E3F">
              <w:rPr>
                <w:sz w:val="20"/>
                <w:lang w:val="es-ES"/>
              </w:rPr>
              <w:t>CP4</w:t>
            </w:r>
            <w:proofErr w:type="spellEnd"/>
            <w:r w:rsidRPr="00C57E3F">
              <w:rPr>
                <w:sz w:val="20"/>
                <w:lang w:val="es-ES"/>
              </w:rPr>
              <w:t xml:space="preserve"> — Grado de preparación institucional de pueblos indígenas y comunidades locales y designación de entidades </w:t>
            </w:r>
            <w:r w:rsidR="00B07603">
              <w:rPr>
                <w:sz w:val="20"/>
                <w:lang w:val="es-ES"/>
              </w:rPr>
              <w:t xml:space="preserve">– </w:t>
            </w:r>
            <w:r w:rsidR="00B07603" w:rsidRPr="00B07603">
              <w:rPr>
                <w:i/>
                <w:sz w:val="20"/>
                <w:lang w:val="es-ES"/>
              </w:rPr>
              <w:t>se podría considerar para el cuadro 1</w:t>
            </w:r>
          </w:p>
        </w:tc>
        <w:tc>
          <w:tcPr>
            <w:tcW w:w="1500" w:type="dxa"/>
            <w:tcBorders>
              <w:bottom w:val="nil"/>
            </w:tcBorders>
            <w:shd w:val="clear" w:color="auto" w:fill="FFF2CC"/>
            <w:tcMar>
              <w:top w:w="60" w:type="dxa"/>
              <w:left w:w="80" w:type="dxa"/>
              <w:bottom w:w="60" w:type="dxa"/>
              <w:right w:w="80" w:type="dxa"/>
            </w:tcMar>
          </w:tcPr>
          <w:p w14:paraId="41726B7A"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 (evaluación)</w:t>
            </w:r>
          </w:p>
        </w:tc>
        <w:tc>
          <w:tcPr>
            <w:tcW w:w="2400" w:type="dxa"/>
            <w:tcBorders>
              <w:bottom w:val="nil"/>
            </w:tcBorders>
            <w:shd w:val="clear" w:color="auto" w:fill="FFF2CC"/>
            <w:tcMar>
              <w:top w:w="60" w:type="dxa"/>
              <w:left w:w="80" w:type="dxa"/>
              <w:bottom w:w="60" w:type="dxa"/>
              <w:right w:w="80" w:type="dxa"/>
            </w:tcMar>
          </w:tcPr>
          <w:p w14:paraId="5D9205A7"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Consulta con pueblos indígenas y comunidades locales; informes de las Partes</w:t>
            </w:r>
          </w:p>
        </w:tc>
        <w:tc>
          <w:tcPr>
            <w:tcW w:w="6372" w:type="dxa"/>
            <w:tcBorders>
              <w:bottom w:val="nil"/>
            </w:tcBorders>
            <w:shd w:val="clear" w:color="auto" w:fill="FFF2CC"/>
            <w:tcMar>
              <w:top w:w="60" w:type="dxa"/>
              <w:left w:w="80" w:type="dxa"/>
              <w:bottom w:w="60" w:type="dxa"/>
              <w:right w:w="80" w:type="dxa"/>
            </w:tcMar>
          </w:tcPr>
          <w:p w14:paraId="45EFCBCF"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Parcialmente evaluable: el Fondo de Cali aún no está plenamente en funcionamiento. Evaluable en una COP futura.</w:t>
            </w:r>
          </w:p>
        </w:tc>
      </w:tr>
      <w:tr w:rsidR="00C57E3F" w:rsidRPr="00C57E3F" w14:paraId="52727428" w14:textId="77777777" w:rsidTr="00D562C2">
        <w:tc>
          <w:tcPr>
            <w:tcW w:w="3300" w:type="dxa"/>
            <w:tcBorders>
              <w:top w:val="nil"/>
            </w:tcBorders>
            <w:shd w:val="clear" w:color="auto" w:fill="FFF2CC"/>
            <w:tcMar>
              <w:top w:w="60" w:type="dxa"/>
              <w:left w:w="80" w:type="dxa"/>
              <w:bottom w:w="60" w:type="dxa"/>
              <w:right w:w="80" w:type="dxa"/>
            </w:tcMar>
          </w:tcPr>
          <w:p w14:paraId="619D159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Beneficios recibidos por pueblos indígenas y comunidades locales y sus entidades identificadas o designadas</w:t>
            </w:r>
          </w:p>
        </w:tc>
        <w:tc>
          <w:tcPr>
            <w:tcW w:w="1500" w:type="dxa"/>
            <w:tcBorders>
              <w:top w:val="nil"/>
            </w:tcBorders>
            <w:shd w:val="clear" w:color="auto" w:fill="FFF2CC"/>
            <w:tcMar>
              <w:top w:w="60" w:type="dxa"/>
              <w:left w:w="80" w:type="dxa"/>
              <w:bottom w:w="60" w:type="dxa"/>
              <w:right w:w="80" w:type="dxa"/>
            </w:tcMar>
          </w:tcPr>
          <w:p w14:paraId="62513A4F"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Existentes / se elaborarán</w:t>
            </w:r>
          </w:p>
        </w:tc>
        <w:tc>
          <w:tcPr>
            <w:tcW w:w="2400" w:type="dxa"/>
            <w:tcBorders>
              <w:top w:val="nil"/>
            </w:tcBorders>
            <w:shd w:val="clear" w:color="auto" w:fill="FFF2CC"/>
            <w:tcMar>
              <w:top w:w="60" w:type="dxa"/>
              <w:left w:w="80" w:type="dxa"/>
              <w:bottom w:w="60" w:type="dxa"/>
              <w:right w:w="80" w:type="dxa"/>
            </w:tcMar>
          </w:tcPr>
          <w:p w14:paraId="6136D25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 xml:space="preserve">Datos de asignación de la </w:t>
            </w:r>
            <w:proofErr w:type="spellStart"/>
            <w:r w:rsidRPr="00C57E3F">
              <w:rPr>
                <w:sz w:val="20"/>
                <w:lang w:val="es-ES"/>
              </w:rPr>
              <w:t>OFFAM</w:t>
            </w:r>
            <w:proofErr w:type="spellEnd"/>
            <w:r w:rsidRPr="00C57E3F">
              <w:rPr>
                <w:sz w:val="20"/>
                <w:lang w:val="es-ES"/>
              </w:rPr>
              <w:t>; consulta con pueblos indígenas y comunidades locales</w:t>
            </w:r>
          </w:p>
        </w:tc>
        <w:tc>
          <w:tcPr>
            <w:tcW w:w="6372" w:type="dxa"/>
            <w:tcBorders>
              <w:top w:val="nil"/>
            </w:tcBorders>
            <w:shd w:val="clear" w:color="auto" w:fill="FFF2CC"/>
            <w:tcMar>
              <w:top w:w="60" w:type="dxa"/>
              <w:left w:w="80" w:type="dxa"/>
              <w:bottom w:w="60" w:type="dxa"/>
              <w:right w:w="80" w:type="dxa"/>
            </w:tcMar>
          </w:tcPr>
          <w:p w14:paraId="0F307E85"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Parcialmente evaluable para los factores o) y q) a través de una encuesta o notificación de las Partes; los resultados se consideran provisionales. Seguimiento en ciclos subsiguientes.</w:t>
            </w:r>
          </w:p>
        </w:tc>
      </w:tr>
      <w:tr w:rsidR="00C57E3F" w:rsidRPr="00C57E3F" w14:paraId="7662567E" w14:textId="77777777" w:rsidTr="00D562C2">
        <w:tc>
          <w:tcPr>
            <w:tcW w:w="3300" w:type="dxa"/>
            <w:shd w:val="clear" w:color="auto" w:fill="FFF2CC"/>
            <w:tcMar>
              <w:top w:w="60" w:type="dxa"/>
              <w:left w:w="80" w:type="dxa"/>
              <w:bottom w:w="60" w:type="dxa"/>
              <w:right w:w="80" w:type="dxa"/>
            </w:tcMar>
          </w:tcPr>
          <w:p w14:paraId="0BDEF315"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No obstaculización de investigaciones e innovación, incluido sobre nuevas tecnologías</w:t>
            </w:r>
          </w:p>
        </w:tc>
        <w:tc>
          <w:tcPr>
            <w:tcW w:w="1500" w:type="dxa"/>
            <w:shd w:val="clear" w:color="auto" w:fill="FFF2CC"/>
            <w:tcMar>
              <w:top w:w="60" w:type="dxa"/>
              <w:left w:w="80" w:type="dxa"/>
              <w:bottom w:w="60" w:type="dxa"/>
              <w:right w:w="80" w:type="dxa"/>
            </w:tcMar>
          </w:tcPr>
          <w:p w14:paraId="03202A39"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Se elaborarán (estudio)</w:t>
            </w:r>
          </w:p>
        </w:tc>
        <w:tc>
          <w:tcPr>
            <w:tcW w:w="2400" w:type="dxa"/>
            <w:shd w:val="clear" w:color="auto" w:fill="FFF2CC"/>
            <w:tcMar>
              <w:top w:w="60" w:type="dxa"/>
              <w:left w:w="80" w:type="dxa"/>
              <w:bottom w:w="60" w:type="dxa"/>
              <w:right w:w="80" w:type="dxa"/>
            </w:tcMar>
          </w:tcPr>
          <w:p w14:paraId="04008C07"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Estudio del CD; consulta con la comunidad de investigaciones</w:t>
            </w:r>
          </w:p>
        </w:tc>
        <w:tc>
          <w:tcPr>
            <w:tcW w:w="6372" w:type="dxa"/>
            <w:shd w:val="clear" w:color="auto" w:fill="FFF2CC"/>
            <w:tcMar>
              <w:top w:w="60" w:type="dxa"/>
              <w:left w:w="80" w:type="dxa"/>
              <w:bottom w:w="60" w:type="dxa"/>
              <w:right w:w="80" w:type="dxa"/>
            </w:tcMar>
          </w:tcPr>
          <w:p w14:paraId="24088851" w14:textId="77777777" w:rsidR="00C57E3F" w:rsidRPr="00C57E3F" w:rsidRDefault="00C57E3F" w:rsidP="00C57E3F">
            <w:pPr>
              <w:tabs>
                <w:tab w:val="left" w:pos="2835"/>
                <w:tab w:val="left" w:pos="3402"/>
              </w:tabs>
              <w:spacing w:before="40" w:after="80"/>
              <w:jc w:val="left"/>
              <w:rPr>
                <w:sz w:val="20"/>
                <w:szCs w:val="20"/>
                <w:lang w:val="es-ES"/>
              </w:rPr>
            </w:pPr>
            <w:r w:rsidRPr="00C57E3F">
              <w:rPr>
                <w:sz w:val="20"/>
                <w:lang w:val="es-ES"/>
              </w:rPr>
              <w:t>No evaluable aún: el Fondo de Cali aún no está plenamente en funcionamiento. Evaluable en una COP futura.</w:t>
            </w:r>
          </w:p>
        </w:tc>
      </w:tr>
      <w:tr w:rsidR="00C57E3F" w:rsidRPr="00C57E3F" w14:paraId="5FE95121" w14:textId="77777777" w:rsidTr="00D562C2">
        <w:tc>
          <w:tcPr>
            <w:tcW w:w="13572" w:type="dxa"/>
            <w:gridSpan w:val="4"/>
            <w:shd w:val="clear" w:color="auto" w:fill="FFFFFF" w:themeFill="background1"/>
            <w:tcMar>
              <w:top w:w="60" w:type="dxa"/>
              <w:left w:w="80" w:type="dxa"/>
              <w:bottom w:w="60" w:type="dxa"/>
              <w:right w:w="80" w:type="dxa"/>
            </w:tcMar>
          </w:tcPr>
          <w:p w14:paraId="359D10E1" w14:textId="720F9B3F" w:rsidR="00C57E3F" w:rsidRPr="00C57E3F" w:rsidRDefault="00C57E3F" w:rsidP="00C57E3F">
            <w:pPr>
              <w:keepNext/>
              <w:keepLines/>
              <w:tabs>
                <w:tab w:val="left" w:pos="2835"/>
                <w:tab w:val="left" w:pos="3402"/>
              </w:tabs>
              <w:spacing w:before="40" w:after="80"/>
              <w:jc w:val="left"/>
              <w:rPr>
                <w:i/>
                <w:iCs/>
                <w:sz w:val="20"/>
                <w:szCs w:val="20"/>
                <w:lang w:val="es-ES"/>
              </w:rPr>
            </w:pPr>
            <w:r w:rsidRPr="00C57E3F">
              <w:rPr>
                <w:i/>
                <w:sz w:val="20"/>
                <w:lang w:val="es-ES"/>
              </w:rPr>
              <w:t>Código de colores</w:t>
            </w:r>
            <w:r w:rsidRPr="00C57E3F">
              <w:rPr>
                <w:sz w:val="20"/>
                <w:lang w:val="es-ES"/>
              </w:rPr>
              <w:t>: verde = datos existentes disponibles; ámbar = datos pendientes de elaboración, instrumento aún no adoptado o evaluación supeditada a una decisión de la COP-17; gris = filas de referencia cruzada. Los factores establecidos en el adjunto VI de la decisión </w:t>
            </w:r>
            <w:r w:rsidR="00AB4068" w:rsidRPr="00AB4068">
              <w:rPr>
                <w:sz w:val="20"/>
                <w:lang w:val="en-GB"/>
              </w:rPr>
              <w:fldChar w:fldCharType="begin"/>
            </w:r>
            <w:r w:rsidR="00AB4068" w:rsidRPr="00AB4068">
              <w:rPr>
                <w:sz w:val="20"/>
                <w:lang w:val="es-MX"/>
              </w:rPr>
              <w:instrText xml:space="preserve"> HYPERLINK "https://www.cbd.int/decisions/cop/?m=cop-16" </w:instrText>
            </w:r>
            <w:r w:rsidR="00AB4068" w:rsidRPr="00AB4068">
              <w:rPr>
                <w:sz w:val="20"/>
                <w:lang w:val="en-GB"/>
              </w:rPr>
              <w:fldChar w:fldCharType="separate"/>
            </w:r>
            <w:r w:rsidR="00AB4068" w:rsidRPr="00AB4068">
              <w:rPr>
                <w:rStyle w:val="Hyperlink"/>
                <w:sz w:val="20"/>
                <w:lang w:val="es-MX"/>
              </w:rPr>
              <w:t>16/2</w:t>
            </w:r>
            <w:r w:rsidR="00AB4068" w:rsidRPr="00AB4068">
              <w:rPr>
                <w:sz w:val="20"/>
                <w:lang w:val="es-ES"/>
              </w:rPr>
              <w:fldChar w:fldCharType="end"/>
            </w:r>
            <w:r w:rsidR="00AB4068">
              <w:rPr>
                <w:sz w:val="20"/>
                <w:lang w:val="es-ES"/>
              </w:rPr>
              <w:t xml:space="preserve"> </w:t>
            </w:r>
            <w:bookmarkStart w:id="0" w:name="_GoBack"/>
            <w:bookmarkEnd w:id="0"/>
            <w:r w:rsidRPr="00C57E3F">
              <w:rPr>
                <w:sz w:val="20"/>
                <w:lang w:val="es-ES"/>
              </w:rPr>
              <w:t>y los criterios de evaluación del Comité de Ayuda al Desarrollo de la Organización de Cooperación y Desarrollo Económicos (CAD-OCDE) se indican en los registros de evaluación a nivel de elemento mantenidos por la Secretaría.</w:t>
            </w:r>
            <w:r w:rsidRPr="00C57E3F">
              <w:rPr>
                <w:i/>
                <w:sz w:val="20"/>
                <w:lang w:val="es-ES"/>
              </w:rPr>
              <w:t xml:space="preserve"> </w:t>
            </w:r>
          </w:p>
          <w:p w14:paraId="659D5596" w14:textId="77777777" w:rsidR="00C57E3F" w:rsidRPr="00C57E3F" w:rsidRDefault="00C57E3F" w:rsidP="00C57E3F">
            <w:pPr>
              <w:tabs>
                <w:tab w:val="left" w:pos="2835"/>
                <w:tab w:val="left" w:pos="3402"/>
              </w:tabs>
              <w:spacing w:before="40" w:after="80"/>
              <w:jc w:val="left"/>
              <w:rPr>
                <w:sz w:val="20"/>
                <w:szCs w:val="20"/>
                <w:lang w:val="es-ES"/>
              </w:rPr>
            </w:pPr>
            <w:r w:rsidRPr="00C57E3F">
              <w:rPr>
                <w:i/>
                <w:sz w:val="20"/>
                <w:lang w:val="es-ES"/>
              </w:rPr>
              <w:t xml:space="preserve">Abreviaturas: </w:t>
            </w:r>
            <w:r w:rsidRPr="00C57E3F">
              <w:rPr>
                <w:sz w:val="20"/>
                <w:lang w:val="es-ES"/>
              </w:rPr>
              <w:t xml:space="preserve">APB = acceso y participación en los beneficios; </w:t>
            </w:r>
            <w:proofErr w:type="spellStart"/>
            <w:r w:rsidRPr="00C57E3F">
              <w:rPr>
                <w:sz w:val="20"/>
                <w:lang w:val="es-ES"/>
              </w:rPr>
              <w:t>BBNJ</w:t>
            </w:r>
            <w:proofErr w:type="spellEnd"/>
            <w:r w:rsidRPr="00C57E3F">
              <w:rPr>
                <w:sz w:val="20"/>
                <w:lang w:val="es-ES"/>
              </w:rPr>
              <w:t xml:space="preserve"> = Acuerdo en el marco de la Convención de las Naciones Unidas sobre el Derecho del Mar relativo a la Conservación y el Uso Sostenible de la Diversidad Biológica Marina de las Zonas Situadas Fuera de la Jurisdicción Nacional; CD = Comité Directivo; CDB = Convenio sobre la Diversidad Biológica; COP = Conferencia de las Partes; </w:t>
            </w:r>
            <w:proofErr w:type="spellStart"/>
            <w:r w:rsidRPr="00C57E3F">
              <w:rPr>
                <w:sz w:val="20"/>
                <w:lang w:val="es-ES"/>
              </w:rPr>
              <w:t>CP</w:t>
            </w:r>
            <w:proofErr w:type="spellEnd"/>
            <w:r w:rsidRPr="00C57E3F">
              <w:rPr>
                <w:sz w:val="20"/>
                <w:lang w:val="es-ES"/>
              </w:rPr>
              <w:t xml:space="preserve"> = condición propicia; </w:t>
            </w:r>
            <w:proofErr w:type="spellStart"/>
            <w:r w:rsidRPr="00C57E3F">
              <w:rPr>
                <w:sz w:val="20"/>
                <w:lang w:val="es-ES"/>
              </w:rPr>
              <w:t>MMBKM</w:t>
            </w:r>
            <w:proofErr w:type="spellEnd"/>
            <w:r w:rsidRPr="00C57E3F">
              <w:rPr>
                <w:sz w:val="20"/>
                <w:lang w:val="es-ES"/>
              </w:rPr>
              <w:t xml:space="preserve"> = Marco Mundial de Biodiversidad de Kunming-Montreal; </w:t>
            </w:r>
            <w:proofErr w:type="spellStart"/>
            <w:r w:rsidRPr="00C57E3F">
              <w:rPr>
                <w:sz w:val="20"/>
                <w:lang w:val="es-ES"/>
              </w:rPr>
              <w:t>OFFAM</w:t>
            </w:r>
            <w:proofErr w:type="spellEnd"/>
            <w:r w:rsidRPr="00C57E3F">
              <w:rPr>
                <w:sz w:val="20"/>
                <w:lang w:val="es-ES"/>
              </w:rPr>
              <w:t xml:space="preserve"> = Oficina de los Fondos Fiduciarios de Asociados Múltiples; </w:t>
            </w:r>
            <w:proofErr w:type="spellStart"/>
            <w:r w:rsidRPr="00C57E3F">
              <w:rPr>
                <w:sz w:val="20"/>
                <w:lang w:val="es-ES"/>
              </w:rPr>
              <w:t>PABS</w:t>
            </w:r>
            <w:proofErr w:type="spellEnd"/>
            <w:r w:rsidRPr="00C57E3F">
              <w:rPr>
                <w:sz w:val="20"/>
                <w:lang w:val="es-ES"/>
              </w:rPr>
              <w:t xml:space="preserve"> OMS = Sistema de Acceso a los Patógenos y Participación en los Beneficios de la Organización Mundial de la Salud; </w:t>
            </w:r>
            <w:proofErr w:type="spellStart"/>
            <w:r w:rsidRPr="00C57E3F">
              <w:rPr>
                <w:sz w:val="20"/>
                <w:lang w:val="es-ES"/>
              </w:rPr>
              <w:t>PSPIR</w:t>
            </w:r>
            <w:proofErr w:type="spellEnd"/>
            <w:r w:rsidRPr="00C57E3F">
              <w:rPr>
                <w:sz w:val="20"/>
                <w:lang w:val="es-ES"/>
              </w:rPr>
              <w:t xml:space="preserve"> = planificación, seguimiento, presentación de informes y revisión; </w:t>
            </w:r>
            <w:proofErr w:type="spellStart"/>
            <w:r w:rsidRPr="00C57E3F">
              <w:rPr>
                <w:sz w:val="20"/>
                <w:lang w:val="es-ES"/>
              </w:rPr>
              <w:t>TIRFAA</w:t>
            </w:r>
            <w:proofErr w:type="spellEnd"/>
            <w:r w:rsidRPr="00C57E3F">
              <w:rPr>
                <w:sz w:val="20"/>
                <w:lang w:val="es-ES"/>
              </w:rPr>
              <w:t xml:space="preserve"> = Tratado Internacional sobre los Recursos Fitogenéticos para la Alimentación y la Agricultura.</w:t>
            </w:r>
          </w:p>
        </w:tc>
      </w:tr>
    </w:tbl>
    <w:p w14:paraId="14DA3F93" w14:textId="77777777" w:rsidR="00C57E3F" w:rsidRPr="00C57E3F" w:rsidRDefault="00C57E3F" w:rsidP="00C57E3F">
      <w:pPr>
        <w:keepNext/>
        <w:keepLines/>
        <w:tabs>
          <w:tab w:val="clear" w:pos="567"/>
        </w:tabs>
        <w:spacing w:before="240" w:after="120"/>
        <w:jc w:val="left"/>
        <w:outlineLvl w:val="0"/>
        <w:rPr>
          <w:rFonts w:eastAsiaTheme="majorEastAsia" w:cstheme="majorBidi"/>
          <w:b/>
          <w:bCs/>
          <w:kern w:val="2"/>
          <w:sz w:val="28"/>
          <w:szCs w:val="32"/>
          <w:lang w:val="es-ES"/>
          <w14:ligatures w14:val="standardContextual"/>
        </w:rPr>
        <w:sectPr w:rsidR="00C57E3F" w:rsidRPr="00C57E3F" w:rsidSect="00D562C2">
          <w:footnotePr>
            <w:numRestart w:val="eachSect"/>
          </w:footnotePr>
          <w:pgSz w:w="15840" w:h="12240" w:orient="landscape"/>
          <w:pgMar w:top="1440" w:right="567" w:bottom="1440" w:left="1134" w:header="709" w:footer="709" w:gutter="0"/>
          <w:cols w:space="708"/>
          <w:docGrid w:linePitch="360"/>
        </w:sectPr>
      </w:pPr>
    </w:p>
    <w:p w14:paraId="13C5A30D" w14:textId="77777777" w:rsidR="00C57E3F" w:rsidRPr="00C57E3F" w:rsidRDefault="00C57E3F" w:rsidP="00C57E3F">
      <w:pPr>
        <w:keepNext/>
        <w:keepLines/>
        <w:tabs>
          <w:tab w:val="left" w:pos="2835"/>
          <w:tab w:val="left" w:pos="3402"/>
        </w:tabs>
        <w:spacing w:before="240" w:after="120"/>
        <w:ind w:left="567" w:hanging="567"/>
        <w:jc w:val="left"/>
        <w:outlineLvl w:val="0"/>
        <w:rPr>
          <w:b/>
          <w:sz w:val="28"/>
          <w:lang w:val="es-ES"/>
        </w:rPr>
      </w:pPr>
      <w:r w:rsidRPr="00C57E3F">
        <w:rPr>
          <w:b/>
          <w:sz w:val="28"/>
          <w:lang w:val="es-ES"/>
        </w:rPr>
        <w:t>III.</w:t>
      </w:r>
      <w:r w:rsidRPr="00C57E3F">
        <w:rPr>
          <w:b/>
          <w:sz w:val="28"/>
          <w:lang w:val="es-ES"/>
        </w:rPr>
        <w:tab/>
        <w:t>Enfoque metodológico, consultas y garantía de calidad</w:t>
      </w:r>
    </w:p>
    <w:p w14:paraId="200CE97D" w14:textId="77777777" w:rsidR="00C57E3F" w:rsidRPr="00C57E3F" w:rsidRDefault="00C57E3F" w:rsidP="00C57E3F">
      <w:pPr>
        <w:pStyle w:val="CBDNormalNumber"/>
        <w:rPr>
          <w:lang w:val="es-ES"/>
        </w:rPr>
      </w:pPr>
      <w:r w:rsidRPr="00C57E3F">
        <w:rPr>
          <w:lang w:val="es-ES"/>
        </w:rPr>
        <w:t xml:space="preserve">El Comité Directivo estará a cargo de la supervisión de esta revisión. Los datos para la revisión se clasifican en tres niveles de confidencialidad (públicos, restringidos, sensibles) y se recopilan a través de cuatro plantillas de presentación mínima de informes: </w:t>
      </w:r>
    </w:p>
    <w:p w14:paraId="2A6629FE" w14:textId="77777777" w:rsidR="00C57E3F" w:rsidRPr="00C57E3F" w:rsidRDefault="00C57E3F" w:rsidP="00C57E3F">
      <w:pPr>
        <w:numPr>
          <w:ilvl w:val="1"/>
          <w:numId w:val="103"/>
        </w:numPr>
        <w:tabs>
          <w:tab w:val="left" w:pos="2835"/>
          <w:tab w:val="left" w:pos="3402"/>
          <w:tab w:val="left" w:pos="3969"/>
        </w:tabs>
        <w:spacing w:before="120" w:after="120"/>
        <w:rPr>
          <w:lang w:val="es-ES"/>
        </w:rPr>
      </w:pPr>
      <w:r w:rsidRPr="00C57E3F">
        <w:rPr>
          <w:lang w:val="es-ES"/>
        </w:rPr>
        <w:t xml:space="preserve">Informe financiero anual de la </w:t>
      </w:r>
      <w:proofErr w:type="spellStart"/>
      <w:r w:rsidRPr="00C57E3F">
        <w:rPr>
          <w:lang w:val="es-ES"/>
        </w:rPr>
        <w:t>OFFAM</w:t>
      </w:r>
      <w:proofErr w:type="spellEnd"/>
      <w:r w:rsidRPr="00C57E3F">
        <w:rPr>
          <w:lang w:val="es-ES"/>
        </w:rPr>
        <w:t xml:space="preserve">, </w:t>
      </w:r>
    </w:p>
    <w:p w14:paraId="2C65B6FD" w14:textId="77777777" w:rsidR="00C57E3F" w:rsidRPr="00C57E3F" w:rsidRDefault="00C57E3F" w:rsidP="00C57E3F">
      <w:pPr>
        <w:numPr>
          <w:ilvl w:val="1"/>
          <w:numId w:val="103"/>
        </w:numPr>
        <w:tabs>
          <w:tab w:val="left" w:pos="2835"/>
          <w:tab w:val="left" w:pos="3402"/>
          <w:tab w:val="left" w:pos="3969"/>
        </w:tabs>
        <w:spacing w:before="120" w:after="120"/>
        <w:rPr>
          <w:lang w:val="es-ES"/>
        </w:rPr>
      </w:pPr>
      <w:r w:rsidRPr="00C57E3F">
        <w:rPr>
          <w:lang w:val="es-ES"/>
        </w:rPr>
        <w:t xml:space="preserve">Informe descriptivo anual de la Secretaría del Fondo, </w:t>
      </w:r>
    </w:p>
    <w:p w14:paraId="5529C6D9" w14:textId="77777777" w:rsidR="00C57E3F" w:rsidRPr="00C57E3F" w:rsidRDefault="00C57E3F" w:rsidP="00C57E3F">
      <w:pPr>
        <w:numPr>
          <w:ilvl w:val="1"/>
          <w:numId w:val="103"/>
        </w:numPr>
        <w:tabs>
          <w:tab w:val="left" w:pos="2835"/>
          <w:tab w:val="left" w:pos="3402"/>
          <w:tab w:val="left" w:pos="3969"/>
        </w:tabs>
        <w:spacing w:before="120" w:after="120"/>
        <w:rPr>
          <w:lang w:val="es-ES"/>
        </w:rPr>
      </w:pPr>
      <w:r w:rsidRPr="00C57E3F">
        <w:rPr>
          <w:lang w:val="es-ES"/>
        </w:rPr>
        <w:t xml:space="preserve">Presentación de informes de las Partes sobre la implementación nacional a través de una notificación, y </w:t>
      </w:r>
    </w:p>
    <w:p w14:paraId="3EBE62DA" w14:textId="77777777" w:rsidR="00C57E3F" w:rsidRPr="00C57E3F" w:rsidRDefault="00C57E3F" w:rsidP="00C57E3F">
      <w:pPr>
        <w:numPr>
          <w:ilvl w:val="1"/>
          <w:numId w:val="103"/>
        </w:numPr>
        <w:tabs>
          <w:tab w:val="left" w:pos="2835"/>
          <w:tab w:val="left" w:pos="3402"/>
          <w:tab w:val="left" w:pos="3969"/>
        </w:tabs>
        <w:spacing w:before="120" w:after="120"/>
        <w:rPr>
          <w:lang w:val="es-ES"/>
        </w:rPr>
      </w:pPr>
      <w:r w:rsidRPr="00C57E3F">
        <w:rPr>
          <w:lang w:val="es-ES"/>
        </w:rPr>
        <w:t xml:space="preserve">Presentación de informes con carácter voluntario por bases de datos y herramientas sobre informes de información digital sobre secuencias de recursos genéticos, incluido sobre armonización con los principios </w:t>
      </w:r>
      <w:proofErr w:type="spellStart"/>
      <w:r w:rsidRPr="00C57E3F">
        <w:rPr>
          <w:lang w:val="es-ES"/>
        </w:rPr>
        <w:t>FAIR</w:t>
      </w:r>
      <w:proofErr w:type="spellEnd"/>
      <w:r w:rsidRPr="00C57E3F">
        <w:rPr>
          <w:lang w:val="es-ES"/>
        </w:rPr>
        <w:t xml:space="preserve"> (datos fáciles de encontrar, accesibles, interoperables y reutilizables) y </w:t>
      </w:r>
      <w:proofErr w:type="spellStart"/>
      <w:r w:rsidRPr="00C57E3F">
        <w:rPr>
          <w:lang w:val="es-ES"/>
        </w:rPr>
        <w:t>CARE</w:t>
      </w:r>
      <w:proofErr w:type="spellEnd"/>
      <w:r w:rsidRPr="00C57E3F">
        <w:rPr>
          <w:lang w:val="es-ES"/>
        </w:rPr>
        <w:t xml:space="preserve"> (beneficio colectivo, autoridad para controlar, responsabilidad y ética). </w:t>
      </w:r>
    </w:p>
    <w:p w14:paraId="28E30DE1"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Además, mediante consultas a interesados — incluido con un cuestionario estructurado para Partes, pueblos indígenas y comunidades locales y consultas dirigidas con pueblos indígenas y comunidades locales — se generarán datos empíricos utilizables para fines analíticos. Los resultados preliminares deberían distribuirse a los interesados, habilitándose un período de comentarios y registrándose todos los comentarios sustanciales.</w:t>
      </w:r>
    </w:p>
    <w:p w14:paraId="29982B8F" w14:textId="77777777" w:rsidR="00C57E3F" w:rsidRPr="00C57E3F" w:rsidRDefault="00C57E3F" w:rsidP="00C57E3F">
      <w:pPr>
        <w:keepNext/>
        <w:keepLines/>
        <w:tabs>
          <w:tab w:val="left" w:pos="2835"/>
          <w:tab w:val="left" w:pos="3402"/>
          <w:tab w:val="left" w:pos="3969"/>
        </w:tabs>
        <w:spacing w:before="120" w:after="120"/>
        <w:ind w:left="567" w:hanging="567"/>
        <w:rPr>
          <w:b/>
          <w:sz w:val="24"/>
          <w:lang w:val="es-ES"/>
        </w:rPr>
      </w:pPr>
      <w:r w:rsidRPr="00C57E3F">
        <w:rPr>
          <w:b/>
          <w:sz w:val="24"/>
          <w:lang w:val="es-ES"/>
        </w:rPr>
        <w:t>A.</w:t>
      </w:r>
      <w:r w:rsidRPr="00C57E3F">
        <w:rPr>
          <w:b/>
          <w:sz w:val="24"/>
          <w:lang w:val="es-ES"/>
        </w:rPr>
        <w:tab/>
        <w:t>Independencia y garantía de calidad</w:t>
      </w:r>
    </w:p>
    <w:p w14:paraId="4DCBD6FA"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 xml:space="preserve">El trabajo analítico estará a cargo de evaluadores independientes que no tengan conflictos de intereses con el Comité Directivo y su Secretaría, la Secretaría del Convenio y la Oficina de los Fondos Fiduciarios de Asociados Múltiples. </w:t>
      </w:r>
    </w:p>
    <w:p w14:paraId="20032058"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Además, los resultados preliminares estarán sujeto a revisión por pares.</w:t>
      </w:r>
    </w:p>
    <w:p w14:paraId="32FC9C8C" w14:textId="77777777" w:rsidR="00C57E3F" w:rsidRPr="00C57E3F" w:rsidRDefault="00C57E3F" w:rsidP="00C57E3F">
      <w:pPr>
        <w:keepNext/>
        <w:keepLines/>
        <w:tabs>
          <w:tab w:val="left" w:pos="2835"/>
          <w:tab w:val="left" w:pos="3402"/>
          <w:tab w:val="left" w:pos="3969"/>
        </w:tabs>
        <w:spacing w:before="120" w:after="120"/>
        <w:ind w:left="567" w:hanging="567"/>
        <w:rPr>
          <w:b/>
          <w:sz w:val="24"/>
          <w:lang w:val="es-ES"/>
        </w:rPr>
      </w:pPr>
      <w:r w:rsidRPr="00C57E3F">
        <w:rPr>
          <w:b/>
          <w:sz w:val="24"/>
          <w:lang w:val="es-ES"/>
        </w:rPr>
        <w:t>B.</w:t>
      </w:r>
      <w:r w:rsidRPr="00C57E3F">
        <w:rPr>
          <w:b/>
          <w:sz w:val="24"/>
          <w:lang w:val="es-ES"/>
        </w:rPr>
        <w:tab/>
        <w:t>Estructura del informe</w:t>
      </w:r>
    </w:p>
    <w:p w14:paraId="200E72C4"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ab/>
        <w:t xml:space="preserve">El informe de revisión constará de cinco secciones: </w:t>
      </w:r>
    </w:p>
    <w:p w14:paraId="65557CC0" w14:textId="77777777" w:rsidR="00C57E3F" w:rsidRPr="00C57E3F" w:rsidRDefault="00C57E3F" w:rsidP="00C57E3F">
      <w:pPr>
        <w:numPr>
          <w:ilvl w:val="1"/>
          <w:numId w:val="104"/>
        </w:numPr>
        <w:tabs>
          <w:tab w:val="left" w:pos="2835"/>
          <w:tab w:val="left" w:pos="3402"/>
          <w:tab w:val="left" w:pos="3969"/>
        </w:tabs>
        <w:spacing w:before="120" w:after="120"/>
        <w:rPr>
          <w:lang w:val="es-ES"/>
        </w:rPr>
      </w:pPr>
      <w:r w:rsidRPr="00C57E3F">
        <w:rPr>
          <w:lang w:val="es-ES"/>
        </w:rPr>
        <w:t xml:space="preserve">Resumen; </w:t>
      </w:r>
    </w:p>
    <w:p w14:paraId="1B9FD0C2" w14:textId="77777777" w:rsidR="00C57E3F" w:rsidRPr="00C57E3F" w:rsidRDefault="00C57E3F" w:rsidP="00C57E3F">
      <w:pPr>
        <w:numPr>
          <w:ilvl w:val="1"/>
          <w:numId w:val="104"/>
        </w:numPr>
        <w:tabs>
          <w:tab w:val="left" w:pos="2835"/>
          <w:tab w:val="left" w:pos="3402"/>
          <w:tab w:val="left" w:pos="3969"/>
        </w:tabs>
        <w:spacing w:before="120" w:after="120"/>
        <w:rPr>
          <w:lang w:val="es-ES"/>
        </w:rPr>
      </w:pPr>
      <w:r w:rsidRPr="00C57E3F">
        <w:rPr>
          <w:lang w:val="es-ES"/>
        </w:rPr>
        <w:t xml:space="preserve">Actualización de la </w:t>
      </w:r>
      <w:proofErr w:type="spellStart"/>
      <w:r w:rsidRPr="00C57E3F">
        <w:rPr>
          <w:lang w:val="es-ES"/>
        </w:rPr>
        <w:t>evaluabilidad</w:t>
      </w:r>
      <w:proofErr w:type="spellEnd"/>
      <w:r w:rsidRPr="00C57E3F">
        <w:rPr>
          <w:lang w:val="es-ES"/>
        </w:rPr>
        <w:t>;</w:t>
      </w:r>
    </w:p>
    <w:p w14:paraId="5D185161" w14:textId="77777777" w:rsidR="00C57E3F" w:rsidRPr="00C57E3F" w:rsidRDefault="00C57E3F" w:rsidP="00C57E3F">
      <w:pPr>
        <w:numPr>
          <w:ilvl w:val="1"/>
          <w:numId w:val="105"/>
        </w:numPr>
        <w:tabs>
          <w:tab w:val="left" w:pos="2835"/>
          <w:tab w:val="left" w:pos="3402"/>
          <w:tab w:val="left" w:pos="3969"/>
        </w:tabs>
        <w:spacing w:before="120" w:after="120"/>
        <w:rPr>
          <w:lang w:val="es-ES"/>
        </w:rPr>
      </w:pPr>
      <w:r w:rsidRPr="00C57E3F">
        <w:rPr>
          <w:lang w:val="es-ES"/>
        </w:rPr>
        <w:t xml:space="preserve">Resultados por categoría de pilar y </w:t>
      </w:r>
      <w:proofErr w:type="spellStart"/>
      <w:r w:rsidRPr="00C57E3F">
        <w:rPr>
          <w:lang w:val="es-ES"/>
        </w:rPr>
        <w:t>G1</w:t>
      </w:r>
      <w:proofErr w:type="spellEnd"/>
      <w:r w:rsidRPr="00C57E3F">
        <w:rPr>
          <w:lang w:val="es-ES"/>
        </w:rPr>
        <w:t xml:space="preserve">, en cada caso presentados como: </w:t>
      </w:r>
    </w:p>
    <w:p w14:paraId="08F6EB34" w14:textId="77777777" w:rsidR="00C57E3F" w:rsidRPr="00C57E3F" w:rsidRDefault="00C57E3F" w:rsidP="00C57E3F">
      <w:pPr>
        <w:numPr>
          <w:ilvl w:val="2"/>
          <w:numId w:val="106"/>
        </w:numPr>
        <w:tabs>
          <w:tab w:val="left" w:pos="2835"/>
          <w:tab w:val="left" w:pos="3402"/>
          <w:tab w:val="left" w:pos="3969"/>
        </w:tabs>
        <w:spacing w:before="120" w:after="120"/>
        <w:ind w:hanging="288"/>
        <w:rPr>
          <w:lang w:val="es-ES"/>
        </w:rPr>
      </w:pPr>
      <w:r w:rsidRPr="00C57E3F">
        <w:rPr>
          <w:lang w:val="es-ES"/>
        </w:rPr>
        <w:t>Datos empíricos;</w:t>
      </w:r>
    </w:p>
    <w:p w14:paraId="03A9F220" w14:textId="77777777" w:rsidR="00C57E3F" w:rsidRPr="00C57E3F" w:rsidRDefault="00C57E3F" w:rsidP="00C57E3F">
      <w:pPr>
        <w:numPr>
          <w:ilvl w:val="2"/>
          <w:numId w:val="106"/>
        </w:numPr>
        <w:tabs>
          <w:tab w:val="left" w:pos="2835"/>
          <w:tab w:val="left" w:pos="3402"/>
          <w:tab w:val="left" w:pos="3969"/>
        </w:tabs>
        <w:spacing w:before="120" w:after="120"/>
        <w:ind w:hanging="288"/>
        <w:rPr>
          <w:lang w:val="es-ES"/>
        </w:rPr>
      </w:pPr>
      <w:r w:rsidRPr="00C57E3F">
        <w:rPr>
          <w:lang w:val="es-ES"/>
        </w:rPr>
        <w:t>Resultados;</w:t>
      </w:r>
    </w:p>
    <w:p w14:paraId="29BA6D00" w14:textId="77777777" w:rsidR="00C57E3F" w:rsidRPr="00C57E3F" w:rsidRDefault="00C57E3F" w:rsidP="00C57E3F">
      <w:pPr>
        <w:numPr>
          <w:ilvl w:val="2"/>
          <w:numId w:val="106"/>
        </w:numPr>
        <w:tabs>
          <w:tab w:val="left" w:pos="2835"/>
          <w:tab w:val="left" w:pos="3402"/>
          <w:tab w:val="left" w:pos="3969"/>
        </w:tabs>
        <w:spacing w:before="120" w:after="120"/>
        <w:ind w:hanging="288"/>
        <w:rPr>
          <w:lang w:val="es-ES"/>
        </w:rPr>
      </w:pPr>
      <w:r w:rsidRPr="00C57E3F">
        <w:rPr>
          <w:lang w:val="es-ES"/>
        </w:rPr>
        <w:t>Conclusión;</w:t>
      </w:r>
    </w:p>
    <w:p w14:paraId="6FF45564" w14:textId="77777777" w:rsidR="00C57E3F" w:rsidRPr="00C57E3F" w:rsidRDefault="00C57E3F" w:rsidP="00C57E3F">
      <w:pPr>
        <w:numPr>
          <w:ilvl w:val="2"/>
          <w:numId w:val="106"/>
        </w:numPr>
        <w:tabs>
          <w:tab w:val="left" w:pos="2835"/>
          <w:tab w:val="left" w:pos="3402"/>
          <w:tab w:val="left" w:pos="3969"/>
        </w:tabs>
        <w:spacing w:before="120" w:after="120"/>
        <w:ind w:hanging="288"/>
        <w:rPr>
          <w:lang w:val="es-ES"/>
        </w:rPr>
      </w:pPr>
      <w:r w:rsidRPr="00C57E3F">
        <w:rPr>
          <w:lang w:val="es-ES"/>
        </w:rPr>
        <w:t xml:space="preserve">Recomendación; </w:t>
      </w:r>
    </w:p>
    <w:p w14:paraId="0B7CC69B" w14:textId="77777777" w:rsidR="00C57E3F" w:rsidRPr="00C57E3F" w:rsidRDefault="00C57E3F" w:rsidP="00C57E3F">
      <w:pPr>
        <w:numPr>
          <w:ilvl w:val="1"/>
          <w:numId w:val="107"/>
        </w:numPr>
        <w:tabs>
          <w:tab w:val="left" w:pos="2835"/>
          <w:tab w:val="left" w:pos="3402"/>
          <w:tab w:val="left" w:pos="3969"/>
        </w:tabs>
        <w:spacing w:before="120" w:after="120"/>
        <w:rPr>
          <w:lang w:val="es-ES"/>
        </w:rPr>
      </w:pPr>
      <w:r w:rsidRPr="00C57E3F">
        <w:rPr>
          <w:lang w:val="es-ES"/>
        </w:rPr>
        <w:t>Resultados transversales (equidad, coherencia, sostenibilidad, condiciones propicias); y</w:t>
      </w:r>
    </w:p>
    <w:p w14:paraId="4CDBE3BA" w14:textId="77777777" w:rsidR="00C57E3F" w:rsidRPr="00C57E3F" w:rsidRDefault="00C57E3F" w:rsidP="00C57E3F">
      <w:pPr>
        <w:numPr>
          <w:ilvl w:val="1"/>
          <w:numId w:val="107"/>
        </w:numPr>
        <w:tabs>
          <w:tab w:val="left" w:pos="2835"/>
          <w:tab w:val="left" w:pos="3402"/>
          <w:tab w:val="left" w:pos="3969"/>
        </w:tabs>
        <w:spacing w:before="120" w:after="120"/>
        <w:rPr>
          <w:lang w:val="es-ES"/>
        </w:rPr>
      </w:pPr>
      <w:r w:rsidRPr="00C57E3F">
        <w:rPr>
          <w:lang w:val="es-ES"/>
        </w:rPr>
        <w:t xml:space="preserve">Ajustes propuestos (importantes o menores) </w:t>
      </w:r>
    </w:p>
    <w:p w14:paraId="2ABC31FC"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El informe tendrá además cuatro anexos: A) cuadros de datos; B) síntesis de consultas; C) respuesta de gestión; y D) registro de la revisión por pares.</w:t>
      </w:r>
    </w:p>
    <w:p w14:paraId="10D65B1B" w14:textId="77777777" w:rsidR="00C57E3F" w:rsidRPr="00C57E3F" w:rsidRDefault="00C57E3F" w:rsidP="00C57E3F">
      <w:pPr>
        <w:keepNext/>
        <w:keepLines/>
        <w:tabs>
          <w:tab w:val="left" w:pos="2835"/>
          <w:tab w:val="left" w:pos="3402"/>
          <w:tab w:val="left" w:pos="3969"/>
        </w:tabs>
        <w:spacing w:before="120" w:after="120"/>
        <w:ind w:left="567" w:hanging="567"/>
        <w:rPr>
          <w:b/>
          <w:sz w:val="24"/>
          <w:lang w:val="es-ES"/>
        </w:rPr>
      </w:pPr>
      <w:r w:rsidRPr="00C57E3F">
        <w:rPr>
          <w:b/>
          <w:sz w:val="24"/>
          <w:lang w:val="es-ES"/>
        </w:rPr>
        <w:t>C.</w:t>
      </w:r>
      <w:r w:rsidRPr="00C57E3F">
        <w:rPr>
          <w:b/>
          <w:sz w:val="24"/>
          <w:lang w:val="es-ES"/>
        </w:rPr>
        <w:tab/>
        <w:t>Respuesta del Comité Directivo a la evaluación</w:t>
      </w:r>
    </w:p>
    <w:p w14:paraId="0A71C406"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La respuesta de gestión es la recomendación del Comité Directivo incluida en el informe mismo. Cada recomendación puede aceptarse, aceptarse con cambios o rechazarse con fundamentación. Todas las recomendaciones aceptadas irán acompañadas de un plan de acción en el que se especifique la acción, el organismo responsable, el calendario y las implicaciones en materia de recursos; las recomendaciones que impliquen revisiones importantes deberán ser presentadas a la Conferencia de las Partes para su aval. Antes del ciclo de revisión siguiente se deberá presentar un informe sobre el estado de ejecución de estos planes de acción</w:t>
      </w:r>
      <w:r w:rsidRPr="00C57E3F">
        <w:rPr>
          <w:vertAlign w:val="superscript"/>
          <w:lang w:val="en-CA"/>
        </w:rPr>
        <w:footnoteReference w:id="6"/>
      </w:r>
      <w:r w:rsidRPr="00C57E3F">
        <w:rPr>
          <w:lang w:val="es-ES"/>
        </w:rPr>
        <w:t>.</w:t>
      </w:r>
    </w:p>
    <w:p w14:paraId="4979C9E9" w14:textId="77777777" w:rsidR="00C57E3F" w:rsidRPr="00C57E3F" w:rsidRDefault="00C57E3F" w:rsidP="00C57E3F">
      <w:pPr>
        <w:keepNext/>
        <w:keepLines/>
        <w:tabs>
          <w:tab w:val="left" w:pos="2835"/>
          <w:tab w:val="left" w:pos="3402"/>
          <w:tab w:val="left" w:pos="3969"/>
        </w:tabs>
        <w:spacing w:before="120" w:after="120"/>
        <w:ind w:left="567" w:hanging="567"/>
        <w:rPr>
          <w:b/>
          <w:sz w:val="24"/>
          <w:lang w:val="es-ES"/>
        </w:rPr>
      </w:pPr>
      <w:r w:rsidRPr="00C57E3F">
        <w:rPr>
          <w:b/>
          <w:sz w:val="24"/>
          <w:lang w:val="es-ES"/>
        </w:rPr>
        <w:t>D.</w:t>
      </w:r>
      <w:r w:rsidRPr="00C57E3F">
        <w:rPr>
          <w:b/>
          <w:sz w:val="24"/>
          <w:lang w:val="es-ES"/>
        </w:rPr>
        <w:tab/>
        <w:t>Medidas derivadas del informe</w:t>
      </w:r>
    </w:p>
    <w:p w14:paraId="6043BE2B"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 xml:space="preserve">Dado que el estado de ejecución del plan de acción del ciclo de revisión anterior debería ser presentado antes del ciclo de revisión subsiguiente, las recomendaciones deberían registrarse con una de las siguientes categorías: cumplidas dentro del plazo / cumplidas fuera del plazo / parcialmente cumplidas / aún no iniciadas, con una explicación de cualquier demora y un calendario revisado si corresponde. Si alguna acción del plan queda inconclusa sin motivo adecuado, esto se debería considerar un incumplimiento en la ejecución y comunicarse en la sección de resultados transversales del siguiente informe de revisión en la categoría </w:t>
      </w:r>
      <w:proofErr w:type="spellStart"/>
      <w:r w:rsidRPr="00C57E3F">
        <w:rPr>
          <w:lang w:val="es-ES"/>
        </w:rPr>
        <w:t>G1.iii</w:t>
      </w:r>
      <w:proofErr w:type="spellEnd"/>
      <w:r w:rsidRPr="00C57E3F">
        <w:rPr>
          <w:lang w:val="es-ES"/>
        </w:rPr>
        <w:t xml:space="preserve"> (calidad de la respuesta de gestión). La respuesta de gestión es un documento en evolución: el Comité Directivo puede actualizarlo entre ciclos de manera de reflejar circunstancias cambiantes, pero deberá comunicar tales cambios a la Conferencia de las Partes, junto con los motivos y las consecuencias.</w:t>
      </w:r>
    </w:p>
    <w:p w14:paraId="21E35F40" w14:textId="77777777" w:rsidR="00C57E3F" w:rsidRPr="00C57E3F" w:rsidRDefault="00C57E3F" w:rsidP="00C57E3F">
      <w:pPr>
        <w:keepNext/>
        <w:keepLines/>
        <w:tabs>
          <w:tab w:val="left" w:pos="2835"/>
          <w:tab w:val="left" w:pos="3402"/>
        </w:tabs>
        <w:spacing w:before="240" w:after="120"/>
        <w:ind w:left="567" w:hanging="567"/>
        <w:jc w:val="left"/>
        <w:outlineLvl w:val="0"/>
        <w:rPr>
          <w:b/>
          <w:sz w:val="28"/>
          <w:lang w:val="es-ES"/>
        </w:rPr>
      </w:pPr>
      <w:r w:rsidRPr="00C57E3F">
        <w:rPr>
          <w:b/>
          <w:sz w:val="28"/>
          <w:lang w:val="es-ES"/>
        </w:rPr>
        <w:t>III.</w:t>
      </w:r>
      <w:r w:rsidRPr="00C57E3F">
        <w:rPr>
          <w:b/>
          <w:sz w:val="28"/>
          <w:lang w:val="es-ES"/>
        </w:rPr>
        <w:tab/>
        <w:t>Gobernanza, funciones y responsabilidades</w:t>
      </w:r>
    </w:p>
    <w:p w14:paraId="2AC9D5BF" w14:textId="22DD6B86"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Cuando se haya adoptado una metodología, la Conferencia de las Partes examinará su informe. El Comité Directivo, como órgano rector del Mecanismo Multilateral</w:t>
      </w:r>
      <w:r w:rsidR="009A2D40">
        <w:rPr>
          <w:lang w:val="es-ES"/>
        </w:rPr>
        <w:t>, incluido el</w:t>
      </w:r>
      <w:r w:rsidRPr="00C57E3F">
        <w:rPr>
          <w:lang w:val="es-ES"/>
        </w:rPr>
        <w:t xml:space="preserve"> Fondo de Cali, debería supervisar la elaboración de la metodología, la recopilación de datos y el informe final. Debería entonces preparar una propuesta de respuesta de gestión. Cabe señalar que el Comité está también sujeto a la evaluación de la gobernanza bajo </w:t>
      </w:r>
      <w:proofErr w:type="spellStart"/>
      <w:r w:rsidRPr="00C57E3F">
        <w:rPr>
          <w:lang w:val="es-ES"/>
        </w:rPr>
        <w:t>G1</w:t>
      </w:r>
      <w:proofErr w:type="spellEnd"/>
      <w:r w:rsidRPr="00C57E3F">
        <w:rPr>
          <w:lang w:val="es-ES"/>
        </w:rPr>
        <w:t xml:space="preserve">, lo cual se controla a través del requisito de independencia indicado en la sección </w:t>
      </w:r>
      <w:proofErr w:type="spellStart"/>
      <w:r w:rsidRPr="00C57E3F">
        <w:rPr>
          <w:lang w:val="es-ES"/>
        </w:rPr>
        <w:t>II.A</w:t>
      </w:r>
      <w:proofErr w:type="spellEnd"/>
      <w:r w:rsidRPr="00C57E3F">
        <w:rPr>
          <w:lang w:val="es-ES"/>
        </w:rPr>
        <w:t xml:space="preserve">. </w:t>
      </w:r>
    </w:p>
    <w:p w14:paraId="1C19BC68"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 xml:space="preserve">La Secretaría del Convenio sobre la Diversidad Biológica, que actualmente oficia de Secretaría provisional del Fondo, impulsa la elaboración de la metodología, prepara presentaciones, coordina la recopilación de datos y compila los datos obtenidos. </w:t>
      </w:r>
    </w:p>
    <w:p w14:paraId="225DA837"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 xml:space="preserve">Los dos mandatos de la Conferencia de las Partes y su Secretaría y del Comité Directivo y su Secretaría provisional son separados, aun teniendo en cuenta que es posible que algunos funcionarios trabajen para ambas entidades. El riesgo de circularidad — el hecho de que la Secretaría prepare los datos y a la vez los interprete — se controla a través de las mismas disposiciones de independencia establecidas en la sección </w:t>
      </w:r>
      <w:proofErr w:type="spellStart"/>
      <w:r w:rsidRPr="00C57E3F">
        <w:rPr>
          <w:lang w:val="es-ES"/>
        </w:rPr>
        <w:t>II.A</w:t>
      </w:r>
      <w:proofErr w:type="spellEnd"/>
      <w:r w:rsidRPr="00C57E3F">
        <w:rPr>
          <w:lang w:val="es-ES"/>
        </w:rPr>
        <w:t>: los evaluadores deben verificar independientemente los datos aportados por la Secretaría cotejándolos con fuentes primarias donde sea posible, y en el registro de la revisión por pares (indicado en el párr. 11 del presente) se debe documentar toda inquietud que se plantee en relación con la calidad de los datos.</w:t>
      </w:r>
    </w:p>
    <w:p w14:paraId="7E0B15ED"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 xml:space="preserve">La Oficina de los Fondos Fiduciarios de Asociados Múltiples proporcionará registros financieros a través de sus obligaciones de presentación de informes públicos, registros de contribución, datos de desembolsos, informes de auditoría y estados financieros certificados. </w:t>
      </w:r>
    </w:p>
    <w:p w14:paraId="0A551E09"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 xml:space="preserve">Las Partes proporcionarán datos como parte de la planificación, seguimiento, presentación de informes y revisión del Marco Mundial de Biodiversidad de Kunming‑Montreal. Las Partes aportarán también datos sobre medidas administrativas, de políticas o legislativas e incentivos a los usuarios en sus jurisdicciones. Por último, las Partes revisarán los resultados preliminares como parte de su proceso de revisión. </w:t>
      </w:r>
    </w:p>
    <w:p w14:paraId="7E6DF956"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 xml:space="preserve">Se consultará a los pueblos indígenas y las comunidades locales sobre el cumplimiento de los principios en el manejo de datos y se les pedirá que aporten evidencia sobre los beneficios recibidos y que revisen las partes referidas a niveles sensibles. </w:t>
      </w:r>
    </w:p>
    <w:p w14:paraId="5C034FAD"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 xml:space="preserve">Los operadores de bases de datos deberían proporcionar informes de medidas de interrelación, estadísticas de acceso y evaluaciones anuales de la calidad de los datos de procedencia. </w:t>
      </w:r>
    </w:p>
    <w:p w14:paraId="06148E5F" w14:textId="77777777" w:rsidR="00C57E3F" w:rsidRPr="00C57E3F" w:rsidRDefault="00C57E3F" w:rsidP="00C57E3F">
      <w:pPr>
        <w:numPr>
          <w:ilvl w:val="0"/>
          <w:numId w:val="7"/>
        </w:numPr>
        <w:tabs>
          <w:tab w:val="left" w:pos="2835"/>
          <w:tab w:val="left" w:pos="3402"/>
          <w:tab w:val="left" w:pos="3969"/>
        </w:tabs>
        <w:spacing w:before="120" w:after="120"/>
        <w:rPr>
          <w:lang w:val="es-ES"/>
        </w:rPr>
      </w:pPr>
      <w:r w:rsidRPr="00C57E3F">
        <w:rPr>
          <w:lang w:val="es-ES"/>
        </w:rPr>
        <w:t>Por último, los contribuyentes del sector privado deberían responder la encuesta y aportar insumos durante las consultas.</w:t>
      </w:r>
    </w:p>
    <w:p w14:paraId="4ECC1AB8" w14:textId="3B2E9EF5" w:rsidR="00D16452" w:rsidRPr="00177E5D" w:rsidRDefault="00D16452" w:rsidP="009726CE">
      <w:pPr>
        <w:pStyle w:val="CBDNormalNumber"/>
        <w:numPr>
          <w:ilvl w:val="0"/>
          <w:numId w:val="0"/>
        </w:numPr>
        <w:ind w:left="567"/>
      </w:pPr>
      <w:r>
        <w:t>]</w:t>
      </w:r>
    </w:p>
    <w:p w14:paraId="39503465" w14:textId="375E3D80" w:rsidR="00A111D1" w:rsidRPr="009C500D" w:rsidRDefault="00DF6325" w:rsidP="009726CE">
      <w:pPr>
        <w:tabs>
          <w:tab w:val="clear" w:pos="567"/>
          <w:tab w:val="clear" w:pos="1134"/>
          <w:tab w:val="clear" w:pos="1701"/>
          <w:tab w:val="clear" w:pos="2268"/>
        </w:tabs>
        <w:jc w:val="center"/>
      </w:pPr>
      <w:r>
        <w:rPr>
          <w:rFonts w:ascii="Times New Roman Bold" w:hAnsi="Times New Roman Bold"/>
          <w:b/>
          <w:bCs/>
          <w:sz w:val="24"/>
          <w:szCs w:val="26"/>
        </w:rPr>
        <w:t>__________</w:t>
      </w:r>
    </w:p>
    <w:sectPr w:rsidR="00A111D1" w:rsidRPr="009C500D" w:rsidSect="009726CE">
      <w:headerReference w:type="even" r:id="rId39"/>
      <w:headerReference w:type="default" r:id="rId40"/>
      <w:footerReference w:type="even" r:id="rId41"/>
      <w:footerReference w:type="default" r:id="rId42"/>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A3E7D" w14:textId="77777777" w:rsidR="00B32873" w:rsidRPr="009C500D" w:rsidRDefault="00B32873" w:rsidP="00CF1848">
      <w:r w:rsidRPr="009C500D">
        <w:separator/>
      </w:r>
    </w:p>
  </w:endnote>
  <w:endnote w:type="continuationSeparator" w:id="0">
    <w:p w14:paraId="6FDC0A57" w14:textId="77777777" w:rsidR="00B32873" w:rsidRPr="009C500D" w:rsidRDefault="00B32873"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4624861"/>
      <w:docPartObj>
        <w:docPartGallery w:val="Page Numbers (Bottom of Page)"/>
        <w:docPartUnique/>
      </w:docPartObj>
    </w:sdtPr>
    <w:sdtEndPr/>
    <w:sdtContent>
      <w:sdt>
        <w:sdtPr>
          <w:id w:val="-1456865764"/>
          <w:docPartObj>
            <w:docPartGallery w:val="Page Numbers (Top of Page)"/>
            <w:docPartUnique/>
          </w:docPartObj>
        </w:sdtPr>
        <w:sdtEndPr/>
        <w:sdtContent>
          <w:p w14:paraId="2FD943C2" w14:textId="376CB242" w:rsidR="003D49D8" w:rsidRDefault="003D49D8" w:rsidP="003F3610">
            <w:pPr>
              <w:pStyle w:val="CBDFooter"/>
            </w:pPr>
            <w:r w:rsidRPr="001C3B15">
              <w:fldChar w:fldCharType="begin"/>
            </w:r>
            <w:r w:rsidRPr="001C3B15">
              <w:instrText xml:space="preserve"> PAGE </w:instrText>
            </w:r>
            <w:r w:rsidRPr="001C3B15">
              <w:fldChar w:fldCharType="separate"/>
            </w:r>
            <w:r w:rsidR="00AB4068">
              <w:rPr>
                <w:noProof/>
              </w:rPr>
              <w:t>8</w:t>
            </w:r>
            <w:r w:rsidRPr="001C3B15">
              <w:fldChar w:fldCharType="end"/>
            </w:r>
            <w:r w:rsidRPr="001C3B15">
              <w:t>/</w:t>
            </w:r>
            <w:fldSimple w:instr=" NUMPAGES  ">
              <w:r w:rsidR="00AB4068">
                <w:rPr>
                  <w:noProof/>
                </w:rPr>
                <w:t>20</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6526603"/>
      <w:docPartObj>
        <w:docPartGallery w:val="Page Numbers (Bottom of Page)"/>
        <w:docPartUnique/>
      </w:docPartObj>
    </w:sdtPr>
    <w:sdtEndPr/>
    <w:sdtContent>
      <w:sdt>
        <w:sdtPr>
          <w:id w:val="-1377073736"/>
          <w:docPartObj>
            <w:docPartGallery w:val="Page Numbers (Top of Page)"/>
            <w:docPartUnique/>
          </w:docPartObj>
        </w:sdtPr>
        <w:sdtEndPr/>
        <w:sdtContent>
          <w:p w14:paraId="2446502E" w14:textId="0A8F4930" w:rsidR="003D49D8" w:rsidRDefault="003D49D8" w:rsidP="003F3610">
            <w:pPr>
              <w:pStyle w:val="CBDFooter"/>
              <w:jc w:val="right"/>
            </w:pPr>
            <w:r w:rsidRPr="001C3B15">
              <w:fldChar w:fldCharType="begin"/>
            </w:r>
            <w:r w:rsidRPr="001C3B15">
              <w:instrText xml:space="preserve"> PAGE </w:instrText>
            </w:r>
            <w:r w:rsidRPr="001C3B15">
              <w:fldChar w:fldCharType="separate"/>
            </w:r>
            <w:r w:rsidR="00AB4068">
              <w:rPr>
                <w:noProof/>
              </w:rPr>
              <w:t>7</w:t>
            </w:r>
            <w:r w:rsidRPr="001C3B15">
              <w:fldChar w:fldCharType="end"/>
            </w:r>
            <w:r w:rsidRPr="001C3B15">
              <w:t>/</w:t>
            </w:r>
            <w:fldSimple w:instr=" NUMPAGES  ">
              <w:r w:rsidR="00AB4068">
                <w:rPr>
                  <w:noProof/>
                </w:rPr>
                <w:t>20</w:t>
              </w:r>
            </w:fldSimple>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5977256"/>
      <w:docPartObj>
        <w:docPartGallery w:val="Page Numbers (Bottom of Page)"/>
        <w:docPartUnique/>
      </w:docPartObj>
    </w:sdtPr>
    <w:sdtEndPr/>
    <w:sdtContent>
      <w:sdt>
        <w:sdtPr>
          <w:id w:val="953442804"/>
          <w:docPartObj>
            <w:docPartGallery w:val="Page Numbers (Top of Page)"/>
            <w:docPartUnique/>
          </w:docPartObj>
        </w:sdtPr>
        <w:sdtEndPr/>
        <w:sdtContent>
          <w:p w14:paraId="18726E9F" w14:textId="0D177F90" w:rsidR="00D562C2" w:rsidRDefault="00D562C2" w:rsidP="003F3610">
            <w:pPr>
              <w:pStyle w:val="CBDFooter"/>
            </w:pPr>
            <w:r w:rsidRPr="001C3B15">
              <w:fldChar w:fldCharType="begin"/>
            </w:r>
            <w:r w:rsidRPr="001C3B15">
              <w:instrText xml:space="preserve"> PAGE </w:instrText>
            </w:r>
            <w:r w:rsidRPr="001C3B15">
              <w:fldChar w:fldCharType="separate"/>
            </w:r>
            <w:r w:rsidR="00AB4068">
              <w:rPr>
                <w:noProof/>
              </w:rPr>
              <w:t>16</w:t>
            </w:r>
            <w:r w:rsidRPr="001C3B15">
              <w:fldChar w:fldCharType="end"/>
            </w:r>
            <w:r>
              <w:t>/</w:t>
            </w:r>
            <w:fldSimple w:instr=" NUMPAGES  ">
              <w:r w:rsidR="00AB4068">
                <w:rPr>
                  <w:noProof/>
                </w:rPr>
                <w:t>20</w:t>
              </w:r>
            </w:fldSimple>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71629"/>
      <w:docPartObj>
        <w:docPartGallery w:val="Page Numbers (Bottom of Page)"/>
        <w:docPartUnique/>
      </w:docPartObj>
    </w:sdtPr>
    <w:sdtEndPr/>
    <w:sdtContent>
      <w:sdt>
        <w:sdtPr>
          <w:id w:val="-1586759218"/>
          <w:docPartObj>
            <w:docPartGallery w:val="Page Numbers (Top of Page)"/>
            <w:docPartUnique/>
          </w:docPartObj>
        </w:sdtPr>
        <w:sdtEndPr/>
        <w:sdtContent>
          <w:p w14:paraId="2187A970" w14:textId="68B6DB13" w:rsidR="00D562C2" w:rsidRDefault="00D562C2" w:rsidP="003F3610">
            <w:pPr>
              <w:pStyle w:val="CBDFooter"/>
              <w:jc w:val="right"/>
            </w:pPr>
            <w:r w:rsidRPr="001C3B15">
              <w:fldChar w:fldCharType="begin"/>
            </w:r>
            <w:r w:rsidRPr="001C3B15">
              <w:instrText xml:space="preserve"> PAGE </w:instrText>
            </w:r>
            <w:r w:rsidRPr="001C3B15">
              <w:fldChar w:fldCharType="separate"/>
            </w:r>
            <w:r w:rsidR="00AB4068">
              <w:rPr>
                <w:noProof/>
              </w:rPr>
              <w:t>17</w:t>
            </w:r>
            <w:r w:rsidRPr="001C3B15">
              <w:fldChar w:fldCharType="end"/>
            </w:r>
            <w:r>
              <w:t>/</w:t>
            </w:r>
            <w:fldSimple w:instr=" NUMPAGES  ">
              <w:r w:rsidR="00AB4068">
                <w:rPr>
                  <w:noProof/>
                </w:rPr>
                <w:t>20</w:t>
              </w:r>
            </w:fldSimple>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91C9A4" w14:textId="1434FB62" w:rsidR="00D562C2" w:rsidRPr="00A61FFC" w:rsidRDefault="00D562C2"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sidR="00AB4068">
              <w:rPr>
                <w:noProof/>
                <w:szCs w:val="20"/>
              </w:rPr>
              <w:t>20</w:t>
            </w:r>
            <w:r w:rsidRPr="004C408B">
              <w:rPr>
                <w:szCs w:val="20"/>
              </w:rPr>
              <w:fldChar w:fldCharType="end"/>
            </w:r>
            <w:r>
              <w:t>/</w:t>
            </w:r>
            <w:r w:rsidRPr="004C408B">
              <w:rPr>
                <w:szCs w:val="20"/>
              </w:rPr>
              <w:fldChar w:fldCharType="begin"/>
            </w:r>
            <w:r w:rsidRPr="004C408B">
              <w:rPr>
                <w:szCs w:val="20"/>
              </w:rPr>
              <w:instrText xml:space="preserve"> NUMPAGES  </w:instrText>
            </w:r>
            <w:r w:rsidRPr="004C408B">
              <w:rPr>
                <w:szCs w:val="20"/>
              </w:rPr>
              <w:fldChar w:fldCharType="separate"/>
            </w:r>
            <w:r w:rsidR="00AB4068">
              <w:rPr>
                <w:noProof/>
                <w:szCs w:val="20"/>
              </w:rPr>
              <w:t>20</w:t>
            </w:r>
            <w:r w:rsidRPr="004C408B">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0554E955" w14:textId="3ED8DBFF" w:rsidR="00D562C2" w:rsidRPr="00A61FFC" w:rsidRDefault="00D562C2"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sidR="00AB4068">
          <w:rPr>
            <w:noProof/>
            <w:szCs w:val="20"/>
          </w:rPr>
          <w:t>19</w:t>
        </w:r>
        <w:r w:rsidRPr="004C408B">
          <w:rPr>
            <w:szCs w:val="20"/>
          </w:rPr>
          <w:fldChar w:fldCharType="end"/>
        </w:r>
        <w:r>
          <w:t>/</w:t>
        </w:r>
        <w:r w:rsidRPr="004C408B">
          <w:rPr>
            <w:szCs w:val="20"/>
          </w:rPr>
          <w:fldChar w:fldCharType="begin"/>
        </w:r>
        <w:r w:rsidRPr="004C408B">
          <w:rPr>
            <w:szCs w:val="20"/>
          </w:rPr>
          <w:instrText xml:space="preserve"> NUMPAGES  </w:instrText>
        </w:r>
        <w:r w:rsidRPr="004C408B">
          <w:rPr>
            <w:szCs w:val="20"/>
          </w:rPr>
          <w:fldChar w:fldCharType="separate"/>
        </w:r>
        <w:r w:rsidR="00AB4068">
          <w:rPr>
            <w:noProof/>
            <w:szCs w:val="20"/>
          </w:rPr>
          <w:t>20</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2B0A6" w14:textId="77777777" w:rsidR="00B32873" w:rsidRPr="009C500D" w:rsidRDefault="00B32873" w:rsidP="00CF1848">
      <w:r w:rsidRPr="009C500D">
        <w:separator/>
      </w:r>
    </w:p>
  </w:footnote>
  <w:footnote w:type="continuationSeparator" w:id="0">
    <w:p w14:paraId="455B5B4A" w14:textId="77777777" w:rsidR="00B32873" w:rsidRPr="009C500D" w:rsidRDefault="00B32873" w:rsidP="00CF1848">
      <w:r w:rsidRPr="009C500D">
        <w:continuationSeparator/>
      </w:r>
    </w:p>
  </w:footnote>
  <w:footnote w:id="1">
    <w:p w14:paraId="131E2F77" w14:textId="77777777" w:rsidR="00472E2D" w:rsidRPr="00F32224" w:rsidRDefault="00472E2D" w:rsidP="00472E2D">
      <w:pPr>
        <w:pStyle w:val="FootnoteText"/>
        <w:rPr>
          <w:lang w:val="es-ES_tradnl"/>
        </w:rPr>
      </w:pPr>
      <w:r>
        <w:rPr>
          <w:rStyle w:val="FootnoteReference"/>
        </w:rPr>
        <w:footnoteRef/>
      </w:r>
      <w:r w:rsidRPr="003E1675">
        <w:rPr>
          <w:lang w:val="es-MX"/>
        </w:rPr>
        <w:t xml:space="preserve"> </w:t>
      </w:r>
      <w:hyperlink r:id="rId1" w:history="1">
        <w:proofErr w:type="spellStart"/>
        <w:r w:rsidRPr="00F32224">
          <w:rPr>
            <w:rStyle w:val="Hyperlink"/>
            <w:lang w:val="es-ES_tradnl"/>
          </w:rPr>
          <w:t>CBD</w:t>
        </w:r>
        <w:proofErr w:type="spellEnd"/>
        <w:r w:rsidRPr="00F32224">
          <w:rPr>
            <w:rStyle w:val="Hyperlink"/>
            <w:lang w:val="es-ES_tradnl"/>
          </w:rPr>
          <w:t>/</w:t>
        </w:r>
        <w:proofErr w:type="spellStart"/>
        <w:r w:rsidRPr="00F32224">
          <w:rPr>
            <w:rStyle w:val="Hyperlink"/>
            <w:lang w:val="es-ES_tradnl"/>
          </w:rPr>
          <w:t>SBI</w:t>
        </w:r>
        <w:proofErr w:type="spellEnd"/>
        <w:r w:rsidRPr="00F32224">
          <w:rPr>
            <w:rStyle w:val="Hyperlink"/>
            <w:lang w:val="es-ES_tradnl"/>
          </w:rPr>
          <w:t>/7/</w:t>
        </w:r>
        <w:proofErr w:type="spellStart"/>
        <w:r w:rsidRPr="00F32224">
          <w:rPr>
            <w:rStyle w:val="Hyperlink"/>
            <w:lang w:val="es-ES_tradnl"/>
          </w:rPr>
          <w:t>INF</w:t>
        </w:r>
        <w:proofErr w:type="spellEnd"/>
        <w:r w:rsidRPr="00F32224">
          <w:rPr>
            <w:rStyle w:val="Hyperlink"/>
            <w:lang w:val="es-ES_tradnl"/>
          </w:rPr>
          <w:t>/15</w:t>
        </w:r>
      </w:hyperlink>
      <w:r w:rsidRPr="00F32224">
        <w:rPr>
          <w:lang w:val="es-ES_tradnl"/>
        </w:rPr>
        <w:t>.</w:t>
      </w:r>
    </w:p>
  </w:footnote>
  <w:footnote w:id="2">
    <w:p w14:paraId="080FAE4B" w14:textId="77777777" w:rsidR="00472E2D" w:rsidRPr="003E1675" w:rsidRDefault="00472E2D" w:rsidP="00472E2D">
      <w:pPr>
        <w:pStyle w:val="FootnoteText"/>
        <w:rPr>
          <w:lang w:val="es-MX"/>
        </w:rPr>
      </w:pPr>
      <w:r w:rsidRPr="00F32224">
        <w:rPr>
          <w:rStyle w:val="FootnoteReference"/>
          <w:lang w:val="es-ES_tradnl"/>
        </w:rPr>
        <w:footnoteRef/>
      </w:r>
      <w:r w:rsidRPr="00F32224">
        <w:rPr>
          <w:lang w:val="es-ES_tradnl"/>
        </w:rPr>
        <w:t xml:space="preserve"> Decisión </w:t>
      </w:r>
      <w:hyperlink r:id="rId2" w:history="1">
        <w:r w:rsidRPr="00F32224">
          <w:rPr>
            <w:rStyle w:val="Hyperlink"/>
            <w:lang w:val="es-ES_tradnl"/>
          </w:rPr>
          <w:t>15/4</w:t>
        </w:r>
      </w:hyperlink>
      <w:r w:rsidRPr="00F32224">
        <w:rPr>
          <w:lang w:val="es-ES_tradnl"/>
        </w:rPr>
        <w:t>, anexo.</w:t>
      </w:r>
    </w:p>
  </w:footnote>
  <w:footnote w:id="3">
    <w:p w14:paraId="2915AC17" w14:textId="77777777" w:rsidR="003D49D8" w:rsidRPr="005C2065" w:rsidRDefault="003D49D8" w:rsidP="003D49D8">
      <w:pPr>
        <w:pStyle w:val="FootnoteText"/>
        <w:rPr>
          <w:lang w:val="es-ES_tradnl"/>
        </w:rPr>
      </w:pPr>
      <w:r>
        <w:rPr>
          <w:rStyle w:val="FootnoteReference"/>
        </w:rPr>
        <w:t>*</w:t>
      </w:r>
      <w:r>
        <w:t xml:space="preserve"> </w:t>
      </w:r>
      <w:r w:rsidRPr="005C2065">
        <w:rPr>
          <w:lang w:val="es-ES_tradnl"/>
        </w:rPr>
        <w:t xml:space="preserve">El presente documento se publica sin edición formal. </w:t>
      </w:r>
    </w:p>
  </w:footnote>
  <w:footnote w:id="4">
    <w:p w14:paraId="3F77C3A0" w14:textId="77777777" w:rsidR="003D49D8" w:rsidRPr="009E2B29" w:rsidRDefault="003D49D8" w:rsidP="003D49D8">
      <w:pPr>
        <w:pStyle w:val="FootnoteText"/>
      </w:pPr>
      <w:r w:rsidRPr="00177E5D">
        <w:rPr>
          <w:rStyle w:val="FootnoteReference"/>
          <w:lang w:val="en-CA"/>
        </w:rPr>
        <w:footnoteRef/>
      </w:r>
      <w:r w:rsidRPr="009E2B29">
        <w:t xml:space="preserve"> “13. </w:t>
      </w:r>
      <w:r w:rsidRPr="008C6323">
        <w:rPr>
          <w:lang w:val="es-ES"/>
        </w:rPr>
        <w:t>Se invita a las Partes y a los Estados que no son Partes a adoptar medidas administrativas, de políticas o legislativas, en consonancia con la legislación nacional, para incentivar a usuarios de su jurisdicción a realizar contribuciones al fondo mundial con arreglo a las modalidades del mecanismo multilateral</w:t>
      </w:r>
      <w:r w:rsidRPr="009E2B29">
        <w:t>.”</w:t>
      </w:r>
    </w:p>
  </w:footnote>
  <w:footnote w:id="5">
    <w:p w14:paraId="5DA682EA" w14:textId="77777777" w:rsidR="00D562C2" w:rsidRPr="009E2B29" w:rsidRDefault="00D562C2" w:rsidP="00C57E3F">
      <w:pPr>
        <w:pStyle w:val="FootnoteText"/>
      </w:pPr>
      <w:r>
        <w:rPr>
          <w:rStyle w:val="FootnoteReference"/>
          <w:lang w:val="en-CA"/>
        </w:rPr>
        <w:footnoteRef/>
      </w:r>
      <w:r>
        <w:t xml:space="preserve"> Informe financiero de la </w:t>
      </w:r>
      <w:proofErr w:type="spellStart"/>
      <w:r>
        <w:t>OFFAM</w:t>
      </w:r>
      <w:proofErr w:type="spellEnd"/>
      <w:r>
        <w:t xml:space="preserve"> + informe descriptivo de la Secretaría del Fondo = informe anual del Fondo de Cali.</w:t>
      </w:r>
    </w:p>
  </w:footnote>
  <w:footnote w:id="6">
    <w:p w14:paraId="57F931E2" w14:textId="0E8CB83A" w:rsidR="00D562C2" w:rsidRDefault="00D562C2" w:rsidP="00C57E3F">
      <w:pPr>
        <w:pStyle w:val="FootnoteText"/>
      </w:pPr>
      <w:r>
        <w:rPr>
          <w:vertAlign w:val="superscript"/>
        </w:rPr>
        <w:footnoteRef/>
      </w:r>
      <w:r>
        <w:t xml:space="preserve"> Comité Directivo — órgano rector del Fondo de Cali, a cargo de la supervisión, las decisiones de asignación y la</w:t>
      </w:r>
      <w:r w:rsidR="00836DBA">
        <w:t>s</w:t>
      </w:r>
      <w:r>
        <w:t xml:space="preserve"> respuesta</w:t>
      </w:r>
      <w:r w:rsidR="00836DBA">
        <w:t>s</w:t>
      </w:r>
      <w:r>
        <w:t xml:space="preserve"> de gestión.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A0AF7" w14:textId="77777777" w:rsidR="003D49D8" w:rsidRDefault="003D49D8" w:rsidP="003F3610">
    <w:pPr>
      <w:pStyle w:val="Header"/>
      <w:spacing w:after="240"/>
    </w:pPr>
    <w:proofErr w:type="spellStart"/>
    <w:r>
      <w:t>CBD</w:t>
    </w:r>
    <w:proofErr w:type="spellEnd"/>
    <w:r>
      <w:t>/</w:t>
    </w:r>
    <w:proofErr w:type="spellStart"/>
    <w:r>
      <w:t>SBI</w:t>
    </w:r>
    <w:proofErr w:type="spellEnd"/>
    <w:r>
      <w:t>/7/</w:t>
    </w:r>
    <w:proofErr w:type="spellStart"/>
    <w:r>
      <w:t>CRP.10</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E438C" w14:textId="77777777" w:rsidR="003D49D8" w:rsidRDefault="003D49D8" w:rsidP="003F3610">
    <w:pPr>
      <w:pStyle w:val="Header"/>
      <w:spacing w:after="240"/>
      <w:jc w:val="right"/>
    </w:pPr>
    <w:proofErr w:type="spellStart"/>
    <w:r>
      <w:t>CBD</w:t>
    </w:r>
    <w:proofErr w:type="spellEnd"/>
    <w:r>
      <w:t>/</w:t>
    </w:r>
    <w:proofErr w:type="spellStart"/>
    <w:r>
      <w:t>SBI</w:t>
    </w:r>
    <w:proofErr w:type="spellEnd"/>
    <w:r>
      <w:t>/7/</w:t>
    </w:r>
    <w:proofErr w:type="spellStart"/>
    <w:r>
      <w:t>CRP.10</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490DA" w14:textId="453FA150" w:rsidR="00D562C2" w:rsidRDefault="00D562C2" w:rsidP="003F3610">
    <w:pPr>
      <w:pStyle w:val="Header"/>
      <w:spacing w:after="240"/>
    </w:pPr>
    <w:proofErr w:type="spellStart"/>
    <w:r>
      <w:t>CBD</w:t>
    </w:r>
    <w:proofErr w:type="spellEnd"/>
    <w:r>
      <w:t>/</w:t>
    </w:r>
    <w:proofErr w:type="spellStart"/>
    <w:r>
      <w:t>SBI</w:t>
    </w:r>
    <w:proofErr w:type="spellEnd"/>
    <w:r>
      <w:t>/7/</w:t>
    </w:r>
    <w:proofErr w:type="spellStart"/>
    <w:r>
      <w:t>CRP.10</w:t>
    </w:r>
    <w:proofErr w:type="spellEnd"/>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22E8C" w14:textId="351C551A" w:rsidR="00D562C2" w:rsidRDefault="00D562C2" w:rsidP="003F3610">
    <w:pPr>
      <w:pStyle w:val="Header"/>
      <w:spacing w:after="240"/>
      <w:jc w:val="right"/>
    </w:pPr>
    <w:proofErr w:type="spellStart"/>
    <w:r>
      <w:t>CBD</w:t>
    </w:r>
    <w:proofErr w:type="spellEnd"/>
    <w:r>
      <w:t>/</w:t>
    </w:r>
    <w:proofErr w:type="spellStart"/>
    <w:r>
      <w:t>SBI</w:t>
    </w:r>
    <w:proofErr w:type="spellEnd"/>
    <w:r>
      <w:t>/7/</w:t>
    </w:r>
    <w:proofErr w:type="spellStart"/>
    <w:r>
      <w:t>CRP.10</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C8BE99" w14:textId="31715A5B" w:rsidR="00D562C2" w:rsidRPr="009C500D" w:rsidRDefault="00D562C2" w:rsidP="007C4951">
        <w:pPr>
          <w:pStyle w:val="Header"/>
          <w:spacing w:after="240"/>
          <w:rPr>
            <w:szCs w:val="20"/>
          </w:rPr>
        </w:pPr>
        <w:proofErr w:type="spellStart"/>
        <w:r>
          <w:rPr>
            <w:szCs w:val="20"/>
          </w:rPr>
          <w:t>CBD</w:t>
        </w:r>
        <w:proofErr w:type="spellEnd"/>
        <w:r>
          <w:rPr>
            <w:szCs w:val="20"/>
          </w:rPr>
          <w:t>/</w:t>
        </w:r>
        <w:proofErr w:type="spellStart"/>
        <w:r>
          <w:rPr>
            <w:szCs w:val="20"/>
          </w:rPr>
          <w:t>SBI</w:t>
        </w:r>
        <w:proofErr w:type="spellEnd"/>
        <w:r>
          <w:rPr>
            <w:szCs w:val="20"/>
          </w:rPr>
          <w:t>/7/</w:t>
        </w:r>
        <w:proofErr w:type="spellStart"/>
        <w:r>
          <w:rPr>
            <w:szCs w:val="20"/>
          </w:rPr>
          <w:t>CRP.10</w:t>
        </w:r>
        <w:proofErr w:type="spellEnd"/>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2419D23" w14:textId="64A43531" w:rsidR="00D562C2" w:rsidRPr="009C500D" w:rsidRDefault="00D562C2" w:rsidP="007C4951">
        <w:pPr>
          <w:pStyle w:val="Header"/>
          <w:spacing w:after="240"/>
          <w:jc w:val="right"/>
        </w:pPr>
        <w:proofErr w:type="spellStart"/>
        <w:r>
          <w:t>CBD</w:t>
        </w:r>
        <w:proofErr w:type="spellEnd"/>
        <w:r>
          <w:t>/</w:t>
        </w:r>
        <w:proofErr w:type="spellStart"/>
        <w:r>
          <w:t>SBI</w:t>
        </w:r>
        <w:proofErr w:type="spellEnd"/>
        <w:r>
          <w:t>/7/</w:t>
        </w:r>
        <w:proofErr w:type="spellStart"/>
        <w:r>
          <w:t>CRP.10</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6F42874"/>
    <w:multiLevelType w:val="hybridMultilevel"/>
    <w:tmpl w:val="D0A85C6A"/>
    <w:lvl w:ilvl="0" w:tplc="0409000F">
      <w:start w:val="1"/>
      <w:numFmt w:val="decimal"/>
      <w:lvlText w:val="%1."/>
      <w:lvlJc w:val="left"/>
      <w:pPr>
        <w:ind w:left="720" w:hanging="360"/>
      </w:pPr>
    </w:lvl>
    <w:lvl w:ilvl="1" w:tplc="D15085B4">
      <w:start w:val="1"/>
      <w:numFmt w:val="lowerRoman"/>
      <w:lvlText w:val="%2)"/>
      <w:lvlJc w:val="left"/>
      <w:pPr>
        <w:ind w:left="1800" w:hanging="720"/>
      </w:pPr>
      <w:rPr>
        <w:rFonts w:hint="default"/>
      </w:rPr>
    </w:lvl>
    <w:lvl w:ilvl="2" w:tplc="0409001B">
      <w:start w:val="1"/>
      <w:numFmt w:val="lowerRoman"/>
      <w:lvlText w:val="%3."/>
      <w:lvlJc w:val="right"/>
      <w:pPr>
        <w:ind w:left="2160" w:hanging="180"/>
      </w:pPr>
    </w:lvl>
    <w:lvl w:ilvl="3" w:tplc="E9145454">
      <w:start w:val="1"/>
      <w:numFmt w:val="lowerLetter"/>
      <w:lvlText w:val="%4)"/>
      <w:lvlJc w:val="left"/>
      <w:pPr>
        <w:ind w:left="3084" w:hanging="564"/>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E5356EC"/>
    <w:multiLevelType w:val="multilevel"/>
    <w:tmpl w:val="07D269C8"/>
    <w:numStyleLink w:val="CBDHeadings"/>
  </w:abstractNum>
  <w:abstractNum w:abstractNumId="3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40" w15:restartNumberingAfterBreak="0">
    <w:nsid w:val="398E2FF3"/>
    <w:multiLevelType w:val="multilevel"/>
    <w:tmpl w:val="222A08B4"/>
    <w:numStyleLink w:val="ListCBD"/>
  </w:abstractNum>
  <w:abstractNum w:abstractNumId="41"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8E94C86"/>
    <w:multiLevelType w:val="hybridMultilevel"/>
    <w:tmpl w:val="F4D2B89E"/>
    <w:lvl w:ilvl="0" w:tplc="E9145454">
      <w:start w:val="1"/>
      <w:numFmt w:val="lowerLetter"/>
      <w:lvlText w:val="%1)"/>
      <w:lvlJc w:val="left"/>
      <w:pPr>
        <w:ind w:left="3084" w:hanging="5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EA13FFA"/>
    <w:multiLevelType w:val="multilevel"/>
    <w:tmpl w:val="D37231E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4"/>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1"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52"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2A66A9D"/>
    <w:multiLevelType w:val="multilevel"/>
    <w:tmpl w:val="222A08B4"/>
    <w:numStyleLink w:val="ListCBD"/>
  </w:abstractNum>
  <w:abstractNum w:abstractNumId="55"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4E93A38"/>
    <w:multiLevelType w:val="multilevel"/>
    <w:tmpl w:val="6250364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268" w:hanging="567"/>
      </w:pPr>
      <w:rPr>
        <w:rFonts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BA87D39"/>
    <w:multiLevelType w:val="hybridMultilevel"/>
    <w:tmpl w:val="185CEA96"/>
    <w:lvl w:ilvl="0" w:tplc="440CDC04">
      <w:start w:val="1"/>
      <w:numFmt w:val="lowerLetter"/>
      <w:lvlText w:val="%1)"/>
      <w:lvlJc w:val="left"/>
      <w:pPr>
        <w:ind w:left="2265" w:hanging="564"/>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2" w15:restartNumberingAfterBreak="0">
    <w:nsid w:val="5D943BEE"/>
    <w:multiLevelType w:val="multilevel"/>
    <w:tmpl w:val="8C869750"/>
    <w:lvl w:ilvl="0">
      <w:start w:val="10"/>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3" w15:restartNumberingAfterBreak="0">
    <w:nsid w:val="60AA375F"/>
    <w:multiLevelType w:val="multilevel"/>
    <w:tmpl w:val="BBDA303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4"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64B82721"/>
    <w:multiLevelType w:val="multilevel"/>
    <w:tmpl w:val="BFDC048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6"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7"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68B70991"/>
    <w:multiLevelType w:val="multilevel"/>
    <w:tmpl w:val="222A08B4"/>
    <w:numStyleLink w:val="ListCBD"/>
  </w:abstractNum>
  <w:abstractNum w:abstractNumId="69"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0"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4"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4261FD5"/>
    <w:multiLevelType w:val="multilevel"/>
    <w:tmpl w:val="B53063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7"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7"/>
  </w:num>
  <w:num w:numId="2">
    <w:abstractNumId w:val="44"/>
  </w:num>
  <w:num w:numId="3">
    <w:abstractNumId w:val="72"/>
  </w:num>
  <w:num w:numId="4">
    <w:abstractNumId w:val="73"/>
  </w:num>
  <w:num w:numId="5">
    <w:abstractNumId w:val="46"/>
  </w:num>
  <w:num w:numId="6">
    <w:abstractNumId w:val="71"/>
  </w:num>
  <w:num w:numId="7">
    <w:abstractNumId w:val="62"/>
  </w:num>
  <w:num w:numId="8">
    <w:abstractNumId w:val="41"/>
  </w:num>
  <w:num w:numId="9">
    <w:abstractNumId w:val="57"/>
  </w:num>
  <w:num w:numId="1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2"/>
  </w:num>
  <w:num w:numId="14">
    <w:abstractNumId w:val="62"/>
  </w:num>
  <w:num w:numId="1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2"/>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5"/>
  </w:num>
  <w:num w:numId="20">
    <w:abstractNumId w:val="53"/>
  </w:num>
  <w:num w:numId="21">
    <w:abstractNumId w:val="70"/>
  </w:num>
  <w:num w:numId="2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2"/>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62"/>
  </w:num>
  <w:num w:numId="2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74"/>
  </w:num>
  <w:num w:numId="31">
    <w:abstractNumId w:val="13"/>
  </w:num>
  <w:num w:numId="32">
    <w:abstractNumId w:val="11"/>
  </w:num>
  <w:num w:numId="33">
    <w:abstractNumId w:val="18"/>
  </w:num>
  <w:num w:numId="3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17"/>
  </w:num>
  <w:num w:numId="37">
    <w:abstractNumId w:val="38"/>
  </w:num>
  <w:num w:numId="38">
    <w:abstractNumId w:val="12"/>
  </w:num>
  <w:num w:numId="39">
    <w:abstractNumId w:val="26"/>
  </w:num>
  <w:num w:numId="40">
    <w:abstractNumId w:val="9"/>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68"/>
  </w:num>
  <w:num w:numId="51">
    <w:abstractNumId w:val="76"/>
  </w:num>
  <w:num w:numId="52">
    <w:abstractNumId w:val="28"/>
  </w:num>
  <w:num w:numId="53">
    <w:abstractNumId w:val="29"/>
  </w:num>
  <w:num w:numId="54">
    <w:abstractNumId w:val="68"/>
    <w:lvlOverride w:ilvl="0">
      <w:startOverride w:val="1"/>
    </w:lvlOverride>
  </w:num>
  <w:num w:numId="55">
    <w:abstractNumId w:val="54"/>
  </w:num>
  <w:num w:numId="56">
    <w:abstractNumId w:val="43"/>
  </w:num>
  <w:num w:numId="57">
    <w:abstractNumId w:val="60"/>
  </w:num>
  <w:num w:numId="58">
    <w:abstractNumId w:val="59"/>
  </w:num>
  <w:num w:numId="5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9"/>
  </w:num>
  <w:num w:numId="61">
    <w:abstractNumId w:val="48"/>
  </w:num>
  <w:num w:numId="62">
    <w:abstractNumId w:val="40"/>
  </w:num>
  <w:num w:numId="63">
    <w:abstractNumId w:val="21"/>
  </w:num>
  <w:num w:numId="6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7"/>
  </w:num>
  <w:num w:numId="66">
    <w:abstractNumId w:val="10"/>
  </w:num>
  <w:num w:numId="6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num>
  <w:num w:numId="70">
    <w:abstractNumId w:val="33"/>
  </w:num>
  <w:num w:numId="71">
    <w:abstractNumId w:val="33"/>
    <w:lvlOverride w:ilvl="0">
      <w:startOverride w:val="1"/>
    </w:lvlOverride>
  </w:num>
  <w:num w:numId="72">
    <w:abstractNumId w:val="33"/>
    <w:lvlOverride w:ilvl="0">
      <w:startOverride w:val="1"/>
    </w:lvlOverride>
  </w:num>
  <w:num w:numId="73">
    <w:abstractNumId w:val="33"/>
    <w:lvlOverride w:ilvl="0">
      <w:startOverride w:val="1"/>
    </w:lvlOverride>
  </w:num>
  <w:num w:numId="74">
    <w:abstractNumId w:val="37"/>
  </w:num>
  <w:num w:numId="75">
    <w:abstractNumId w:val="58"/>
  </w:num>
  <w:num w:numId="76">
    <w:abstractNumId w:val="42"/>
  </w:num>
  <w:num w:numId="77">
    <w:abstractNumId w:val="36"/>
  </w:num>
  <w:num w:numId="78">
    <w:abstractNumId w:val="20"/>
  </w:num>
  <w:num w:numId="7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8"/>
  </w:num>
  <w:num w:numId="85">
    <w:abstractNumId w:val="62"/>
  </w:num>
  <w:num w:numId="86">
    <w:abstractNumId w:val="62"/>
    <w:lvlOverride w:ilvl="0">
      <w:startOverride w:val="2"/>
    </w:lvlOverride>
  </w:num>
  <w:num w:numId="87">
    <w:abstractNumId w:val="25"/>
  </w:num>
  <w:num w:numId="88">
    <w:abstractNumId w:val="23"/>
  </w:num>
  <w:num w:numId="89">
    <w:abstractNumId w:val="51"/>
  </w:num>
  <w:num w:numId="90">
    <w:abstractNumId w:val="30"/>
  </w:num>
  <w:num w:numId="91">
    <w:abstractNumId w:val="52"/>
  </w:num>
  <w:num w:numId="92">
    <w:abstractNumId w:val="35"/>
  </w:num>
  <w:num w:numId="93">
    <w:abstractNumId w:val="22"/>
  </w:num>
  <w:num w:numId="94">
    <w:abstractNumId w:val="49"/>
  </w:num>
  <w:num w:numId="95">
    <w:abstractNumId w:val="32"/>
  </w:num>
  <w:num w:numId="96">
    <w:abstractNumId w:val="69"/>
  </w:num>
  <w:num w:numId="97">
    <w:abstractNumId w:val="15"/>
  </w:num>
  <w:num w:numId="98">
    <w:abstractNumId w:val="77"/>
  </w:num>
  <w:num w:numId="99">
    <w:abstractNumId w:val="66"/>
  </w:num>
  <w:num w:numId="100">
    <w:abstractNumId w:val="64"/>
  </w:num>
  <w:num w:numId="101">
    <w:abstractNumId w:val="67"/>
  </w:num>
  <w:num w:numId="10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75"/>
  </w:num>
  <w:num w:numId="104">
    <w:abstractNumId w:val="65"/>
  </w:num>
  <w:num w:numId="105">
    <w:abstractNumId w:val="63"/>
  </w:num>
  <w:num w:numId="106">
    <w:abstractNumId w:val="56"/>
  </w:num>
  <w:num w:numId="107">
    <w:abstractNumId w:val="50"/>
  </w:num>
  <w:num w:numId="108">
    <w:abstractNumId w:val="31"/>
  </w:num>
  <w:num w:numId="109">
    <w:abstractNumId w:val="61"/>
  </w:num>
  <w:num w:numId="110">
    <w:abstractNumId w:val="4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6907"/>
    <w:rsid w:val="000070C3"/>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A05"/>
    <w:rsid w:val="00014DCA"/>
    <w:rsid w:val="000161E2"/>
    <w:rsid w:val="00016904"/>
    <w:rsid w:val="00017185"/>
    <w:rsid w:val="00017455"/>
    <w:rsid w:val="00017D6F"/>
    <w:rsid w:val="0002048D"/>
    <w:rsid w:val="0002119F"/>
    <w:rsid w:val="00021496"/>
    <w:rsid w:val="0002173C"/>
    <w:rsid w:val="000217BE"/>
    <w:rsid w:val="000225C0"/>
    <w:rsid w:val="00022C18"/>
    <w:rsid w:val="00022F36"/>
    <w:rsid w:val="0002448C"/>
    <w:rsid w:val="000244E4"/>
    <w:rsid w:val="00025318"/>
    <w:rsid w:val="000254FA"/>
    <w:rsid w:val="0002598A"/>
    <w:rsid w:val="00025DF1"/>
    <w:rsid w:val="00026092"/>
    <w:rsid w:val="00027B76"/>
    <w:rsid w:val="00027C3A"/>
    <w:rsid w:val="00027EE9"/>
    <w:rsid w:val="000300F9"/>
    <w:rsid w:val="0003020B"/>
    <w:rsid w:val="0003081E"/>
    <w:rsid w:val="0003144B"/>
    <w:rsid w:val="00031861"/>
    <w:rsid w:val="00031B3F"/>
    <w:rsid w:val="00032DED"/>
    <w:rsid w:val="000330BA"/>
    <w:rsid w:val="00033CCD"/>
    <w:rsid w:val="000347A8"/>
    <w:rsid w:val="00035A3F"/>
    <w:rsid w:val="00035EE1"/>
    <w:rsid w:val="000360CC"/>
    <w:rsid w:val="0003680F"/>
    <w:rsid w:val="00036BA6"/>
    <w:rsid w:val="00036CB8"/>
    <w:rsid w:val="00036F39"/>
    <w:rsid w:val="000377F9"/>
    <w:rsid w:val="000379A2"/>
    <w:rsid w:val="000379F4"/>
    <w:rsid w:val="000408B8"/>
    <w:rsid w:val="000419F5"/>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50D"/>
    <w:rsid w:val="0005068C"/>
    <w:rsid w:val="000506C7"/>
    <w:rsid w:val="00050868"/>
    <w:rsid w:val="00050D60"/>
    <w:rsid w:val="00051235"/>
    <w:rsid w:val="0005167F"/>
    <w:rsid w:val="0005218B"/>
    <w:rsid w:val="000521F5"/>
    <w:rsid w:val="00052864"/>
    <w:rsid w:val="000529D5"/>
    <w:rsid w:val="00052B7A"/>
    <w:rsid w:val="00052E55"/>
    <w:rsid w:val="0005355C"/>
    <w:rsid w:val="0005393A"/>
    <w:rsid w:val="00053ABB"/>
    <w:rsid w:val="00053E03"/>
    <w:rsid w:val="00054136"/>
    <w:rsid w:val="000542D0"/>
    <w:rsid w:val="00054446"/>
    <w:rsid w:val="0005473A"/>
    <w:rsid w:val="00054AE2"/>
    <w:rsid w:val="0005515B"/>
    <w:rsid w:val="0005526B"/>
    <w:rsid w:val="000557D9"/>
    <w:rsid w:val="000561A6"/>
    <w:rsid w:val="00056549"/>
    <w:rsid w:val="00056F56"/>
    <w:rsid w:val="00057136"/>
    <w:rsid w:val="00057ECA"/>
    <w:rsid w:val="000600DE"/>
    <w:rsid w:val="000606F2"/>
    <w:rsid w:val="00060BBA"/>
    <w:rsid w:val="0006101B"/>
    <w:rsid w:val="000615D5"/>
    <w:rsid w:val="00061F8B"/>
    <w:rsid w:val="00062361"/>
    <w:rsid w:val="00062699"/>
    <w:rsid w:val="000632DA"/>
    <w:rsid w:val="00063CC9"/>
    <w:rsid w:val="00063E03"/>
    <w:rsid w:val="00063FF5"/>
    <w:rsid w:val="00064191"/>
    <w:rsid w:val="000648A7"/>
    <w:rsid w:val="000659A2"/>
    <w:rsid w:val="000666CC"/>
    <w:rsid w:val="0006684C"/>
    <w:rsid w:val="00067696"/>
    <w:rsid w:val="00070415"/>
    <w:rsid w:val="0007171B"/>
    <w:rsid w:val="0007194E"/>
    <w:rsid w:val="00071E28"/>
    <w:rsid w:val="0007254F"/>
    <w:rsid w:val="0007293A"/>
    <w:rsid w:val="00073AEA"/>
    <w:rsid w:val="00073B30"/>
    <w:rsid w:val="00073BF9"/>
    <w:rsid w:val="00073D11"/>
    <w:rsid w:val="0007416B"/>
    <w:rsid w:val="00074D60"/>
    <w:rsid w:val="00074DE4"/>
    <w:rsid w:val="00075CCB"/>
    <w:rsid w:val="00076E5E"/>
    <w:rsid w:val="000776FE"/>
    <w:rsid w:val="00077767"/>
    <w:rsid w:val="00080660"/>
    <w:rsid w:val="000816FE"/>
    <w:rsid w:val="00081953"/>
    <w:rsid w:val="0008198C"/>
    <w:rsid w:val="00082418"/>
    <w:rsid w:val="00082CDE"/>
    <w:rsid w:val="000830C5"/>
    <w:rsid w:val="0008365E"/>
    <w:rsid w:val="000839D9"/>
    <w:rsid w:val="00084791"/>
    <w:rsid w:val="00084961"/>
    <w:rsid w:val="0008568C"/>
    <w:rsid w:val="0008571F"/>
    <w:rsid w:val="000872E0"/>
    <w:rsid w:val="0008733A"/>
    <w:rsid w:val="00087652"/>
    <w:rsid w:val="00087815"/>
    <w:rsid w:val="000907F0"/>
    <w:rsid w:val="00090A54"/>
    <w:rsid w:val="000914E1"/>
    <w:rsid w:val="00091CEA"/>
    <w:rsid w:val="000920BB"/>
    <w:rsid w:val="0009218E"/>
    <w:rsid w:val="000922E9"/>
    <w:rsid w:val="0009272F"/>
    <w:rsid w:val="0009341D"/>
    <w:rsid w:val="000936B8"/>
    <w:rsid w:val="00093791"/>
    <w:rsid w:val="00093804"/>
    <w:rsid w:val="000938B3"/>
    <w:rsid w:val="000951CE"/>
    <w:rsid w:val="0009534C"/>
    <w:rsid w:val="000956BF"/>
    <w:rsid w:val="000957EE"/>
    <w:rsid w:val="00095E8A"/>
    <w:rsid w:val="0009600C"/>
    <w:rsid w:val="0009639E"/>
    <w:rsid w:val="000963DC"/>
    <w:rsid w:val="0009646B"/>
    <w:rsid w:val="00096BEB"/>
    <w:rsid w:val="00096E70"/>
    <w:rsid w:val="000974E7"/>
    <w:rsid w:val="00097767"/>
    <w:rsid w:val="000977FB"/>
    <w:rsid w:val="000979A2"/>
    <w:rsid w:val="000A066B"/>
    <w:rsid w:val="000A087A"/>
    <w:rsid w:val="000A0C12"/>
    <w:rsid w:val="000A1AA1"/>
    <w:rsid w:val="000A2189"/>
    <w:rsid w:val="000A25C6"/>
    <w:rsid w:val="000A32E2"/>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B08BB"/>
    <w:rsid w:val="000B08DC"/>
    <w:rsid w:val="000B0903"/>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32B2"/>
    <w:rsid w:val="000C4641"/>
    <w:rsid w:val="000C4FA6"/>
    <w:rsid w:val="000C4FCC"/>
    <w:rsid w:val="000C54F9"/>
    <w:rsid w:val="000C5950"/>
    <w:rsid w:val="000C5B1D"/>
    <w:rsid w:val="000C68D6"/>
    <w:rsid w:val="000C6A4B"/>
    <w:rsid w:val="000C749B"/>
    <w:rsid w:val="000C74C3"/>
    <w:rsid w:val="000C7A1C"/>
    <w:rsid w:val="000C7A46"/>
    <w:rsid w:val="000C7E11"/>
    <w:rsid w:val="000D000F"/>
    <w:rsid w:val="000D032D"/>
    <w:rsid w:val="000D0638"/>
    <w:rsid w:val="000D0BC2"/>
    <w:rsid w:val="000D0F68"/>
    <w:rsid w:val="000D1939"/>
    <w:rsid w:val="000D2133"/>
    <w:rsid w:val="000D2291"/>
    <w:rsid w:val="000D354F"/>
    <w:rsid w:val="000D3A50"/>
    <w:rsid w:val="000D4D7C"/>
    <w:rsid w:val="000D5669"/>
    <w:rsid w:val="000D5F17"/>
    <w:rsid w:val="000D5FB9"/>
    <w:rsid w:val="000D6809"/>
    <w:rsid w:val="000D68C2"/>
    <w:rsid w:val="000D6EDE"/>
    <w:rsid w:val="000D6FC2"/>
    <w:rsid w:val="000D705B"/>
    <w:rsid w:val="000D70AE"/>
    <w:rsid w:val="000D76AC"/>
    <w:rsid w:val="000D7DD5"/>
    <w:rsid w:val="000E0049"/>
    <w:rsid w:val="000E02D7"/>
    <w:rsid w:val="000E064E"/>
    <w:rsid w:val="000E081A"/>
    <w:rsid w:val="000E0887"/>
    <w:rsid w:val="000E0CBD"/>
    <w:rsid w:val="000E0D0A"/>
    <w:rsid w:val="000E19CE"/>
    <w:rsid w:val="000E1C9F"/>
    <w:rsid w:val="000E26B8"/>
    <w:rsid w:val="000E2C70"/>
    <w:rsid w:val="000E2D44"/>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BD"/>
    <w:rsid w:val="000E6CF0"/>
    <w:rsid w:val="000E7324"/>
    <w:rsid w:val="000E7A23"/>
    <w:rsid w:val="000F0A3F"/>
    <w:rsid w:val="000F0B1B"/>
    <w:rsid w:val="000F0D22"/>
    <w:rsid w:val="000F116E"/>
    <w:rsid w:val="000F1B2E"/>
    <w:rsid w:val="000F1E9E"/>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5811"/>
    <w:rsid w:val="00105C31"/>
    <w:rsid w:val="00105DB6"/>
    <w:rsid w:val="00105EE2"/>
    <w:rsid w:val="001061A8"/>
    <w:rsid w:val="001067A3"/>
    <w:rsid w:val="00106FB7"/>
    <w:rsid w:val="001078A1"/>
    <w:rsid w:val="00107E55"/>
    <w:rsid w:val="00110AF0"/>
    <w:rsid w:val="00110EB4"/>
    <w:rsid w:val="00111197"/>
    <w:rsid w:val="001112BD"/>
    <w:rsid w:val="00111515"/>
    <w:rsid w:val="0011166A"/>
    <w:rsid w:val="00111FBA"/>
    <w:rsid w:val="00112012"/>
    <w:rsid w:val="001120E3"/>
    <w:rsid w:val="00112230"/>
    <w:rsid w:val="00112242"/>
    <w:rsid w:val="0011226F"/>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5144"/>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2813"/>
    <w:rsid w:val="00142AA7"/>
    <w:rsid w:val="00142D9E"/>
    <w:rsid w:val="001430CE"/>
    <w:rsid w:val="0014392F"/>
    <w:rsid w:val="00143CB3"/>
    <w:rsid w:val="00144103"/>
    <w:rsid w:val="00144344"/>
    <w:rsid w:val="0014467C"/>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6A8"/>
    <w:rsid w:val="00152BA9"/>
    <w:rsid w:val="001536C0"/>
    <w:rsid w:val="001536CA"/>
    <w:rsid w:val="001536D7"/>
    <w:rsid w:val="001536E1"/>
    <w:rsid w:val="00153F7C"/>
    <w:rsid w:val="001543B0"/>
    <w:rsid w:val="00154413"/>
    <w:rsid w:val="00155F3D"/>
    <w:rsid w:val="0015708F"/>
    <w:rsid w:val="00157365"/>
    <w:rsid w:val="001575D7"/>
    <w:rsid w:val="00157CFC"/>
    <w:rsid w:val="00160A7C"/>
    <w:rsid w:val="00160AC7"/>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52C6"/>
    <w:rsid w:val="00165BE1"/>
    <w:rsid w:val="001664E4"/>
    <w:rsid w:val="001665CA"/>
    <w:rsid w:val="001666E1"/>
    <w:rsid w:val="0016712F"/>
    <w:rsid w:val="00167351"/>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F6"/>
    <w:rsid w:val="0017302E"/>
    <w:rsid w:val="00173968"/>
    <w:rsid w:val="00174096"/>
    <w:rsid w:val="0017414F"/>
    <w:rsid w:val="001742B9"/>
    <w:rsid w:val="001751B5"/>
    <w:rsid w:val="00175F6F"/>
    <w:rsid w:val="001769BC"/>
    <w:rsid w:val="00176A08"/>
    <w:rsid w:val="00176CEE"/>
    <w:rsid w:val="00176F66"/>
    <w:rsid w:val="001776C8"/>
    <w:rsid w:val="001778B9"/>
    <w:rsid w:val="00177DE8"/>
    <w:rsid w:val="00177FD3"/>
    <w:rsid w:val="00180398"/>
    <w:rsid w:val="00181BA2"/>
    <w:rsid w:val="0018214E"/>
    <w:rsid w:val="00182F50"/>
    <w:rsid w:val="001830D9"/>
    <w:rsid w:val="001830F5"/>
    <w:rsid w:val="0018322B"/>
    <w:rsid w:val="00183246"/>
    <w:rsid w:val="0018327B"/>
    <w:rsid w:val="001839EF"/>
    <w:rsid w:val="00183EB9"/>
    <w:rsid w:val="00183F53"/>
    <w:rsid w:val="00184144"/>
    <w:rsid w:val="00184184"/>
    <w:rsid w:val="0018444F"/>
    <w:rsid w:val="00184F52"/>
    <w:rsid w:val="00185074"/>
    <w:rsid w:val="001854D4"/>
    <w:rsid w:val="001854F9"/>
    <w:rsid w:val="00185DBD"/>
    <w:rsid w:val="00186547"/>
    <w:rsid w:val="00186DD8"/>
    <w:rsid w:val="00187804"/>
    <w:rsid w:val="0018784D"/>
    <w:rsid w:val="00187D4A"/>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D7D"/>
    <w:rsid w:val="001A5E3E"/>
    <w:rsid w:val="001A60AB"/>
    <w:rsid w:val="001A6A36"/>
    <w:rsid w:val="001A773B"/>
    <w:rsid w:val="001A78EB"/>
    <w:rsid w:val="001A79C1"/>
    <w:rsid w:val="001A7AAB"/>
    <w:rsid w:val="001A7D01"/>
    <w:rsid w:val="001B077D"/>
    <w:rsid w:val="001B12E4"/>
    <w:rsid w:val="001B13FE"/>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7FE"/>
    <w:rsid w:val="001C2873"/>
    <w:rsid w:val="001C2AE9"/>
    <w:rsid w:val="001C2D90"/>
    <w:rsid w:val="001C2DD0"/>
    <w:rsid w:val="001C3003"/>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D02E7"/>
    <w:rsid w:val="001D0720"/>
    <w:rsid w:val="001D099A"/>
    <w:rsid w:val="001D0CB3"/>
    <w:rsid w:val="001D0D04"/>
    <w:rsid w:val="001D0D81"/>
    <w:rsid w:val="001D0DC6"/>
    <w:rsid w:val="001D14A4"/>
    <w:rsid w:val="001D18CA"/>
    <w:rsid w:val="001D20C0"/>
    <w:rsid w:val="001D2C24"/>
    <w:rsid w:val="001D2C61"/>
    <w:rsid w:val="001D32C0"/>
    <w:rsid w:val="001D344B"/>
    <w:rsid w:val="001D3733"/>
    <w:rsid w:val="001D3D32"/>
    <w:rsid w:val="001D3F8A"/>
    <w:rsid w:val="001D3FC8"/>
    <w:rsid w:val="001D410A"/>
    <w:rsid w:val="001D487D"/>
    <w:rsid w:val="001D4A52"/>
    <w:rsid w:val="001D4E29"/>
    <w:rsid w:val="001D4FBD"/>
    <w:rsid w:val="001D5EB6"/>
    <w:rsid w:val="001D6150"/>
    <w:rsid w:val="001D6611"/>
    <w:rsid w:val="001D6CBA"/>
    <w:rsid w:val="001D6E6D"/>
    <w:rsid w:val="001D70D9"/>
    <w:rsid w:val="001E0407"/>
    <w:rsid w:val="001E06C0"/>
    <w:rsid w:val="001E0B6A"/>
    <w:rsid w:val="001E0BD8"/>
    <w:rsid w:val="001E1509"/>
    <w:rsid w:val="001E1665"/>
    <w:rsid w:val="001E1898"/>
    <w:rsid w:val="001E18DB"/>
    <w:rsid w:val="001E1BF2"/>
    <w:rsid w:val="001E2655"/>
    <w:rsid w:val="001E281F"/>
    <w:rsid w:val="001E2DF3"/>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10E"/>
    <w:rsid w:val="001F1F58"/>
    <w:rsid w:val="001F2595"/>
    <w:rsid w:val="001F25DB"/>
    <w:rsid w:val="001F30DE"/>
    <w:rsid w:val="001F3E5B"/>
    <w:rsid w:val="001F4321"/>
    <w:rsid w:val="001F4590"/>
    <w:rsid w:val="001F529F"/>
    <w:rsid w:val="001F5513"/>
    <w:rsid w:val="001F57CC"/>
    <w:rsid w:val="001F5D7B"/>
    <w:rsid w:val="001F5DF2"/>
    <w:rsid w:val="001F5E77"/>
    <w:rsid w:val="001F6354"/>
    <w:rsid w:val="001F6D80"/>
    <w:rsid w:val="001F7A6B"/>
    <w:rsid w:val="002003A1"/>
    <w:rsid w:val="00200452"/>
    <w:rsid w:val="00200D56"/>
    <w:rsid w:val="002011FB"/>
    <w:rsid w:val="00201DD5"/>
    <w:rsid w:val="002027B2"/>
    <w:rsid w:val="002029E8"/>
    <w:rsid w:val="002038E4"/>
    <w:rsid w:val="00203C80"/>
    <w:rsid w:val="00203CF4"/>
    <w:rsid w:val="00204046"/>
    <w:rsid w:val="00204D96"/>
    <w:rsid w:val="002050FC"/>
    <w:rsid w:val="002069B9"/>
    <w:rsid w:val="00206AD6"/>
    <w:rsid w:val="00206C14"/>
    <w:rsid w:val="00206CA1"/>
    <w:rsid w:val="00207527"/>
    <w:rsid w:val="002075C4"/>
    <w:rsid w:val="002104AC"/>
    <w:rsid w:val="002105F8"/>
    <w:rsid w:val="00210CA0"/>
    <w:rsid w:val="00210E81"/>
    <w:rsid w:val="00210F28"/>
    <w:rsid w:val="00212481"/>
    <w:rsid w:val="00212C7D"/>
    <w:rsid w:val="0021360E"/>
    <w:rsid w:val="00213666"/>
    <w:rsid w:val="0021379F"/>
    <w:rsid w:val="002140FE"/>
    <w:rsid w:val="0021429D"/>
    <w:rsid w:val="00214305"/>
    <w:rsid w:val="002143D2"/>
    <w:rsid w:val="00215469"/>
    <w:rsid w:val="002157E8"/>
    <w:rsid w:val="0021650C"/>
    <w:rsid w:val="00216D4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D0A"/>
    <w:rsid w:val="00232EB6"/>
    <w:rsid w:val="00232FB5"/>
    <w:rsid w:val="00233210"/>
    <w:rsid w:val="0023351C"/>
    <w:rsid w:val="002339EC"/>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924"/>
    <w:rsid w:val="00240F54"/>
    <w:rsid w:val="00241096"/>
    <w:rsid w:val="00241D82"/>
    <w:rsid w:val="00242260"/>
    <w:rsid w:val="002428BC"/>
    <w:rsid w:val="002434F1"/>
    <w:rsid w:val="00243A3D"/>
    <w:rsid w:val="002442B4"/>
    <w:rsid w:val="0024452F"/>
    <w:rsid w:val="00244C1A"/>
    <w:rsid w:val="0024501B"/>
    <w:rsid w:val="0024599D"/>
    <w:rsid w:val="0024680D"/>
    <w:rsid w:val="00246E4A"/>
    <w:rsid w:val="00247FCB"/>
    <w:rsid w:val="0025014D"/>
    <w:rsid w:val="002505DD"/>
    <w:rsid w:val="00250DB4"/>
    <w:rsid w:val="00251B7D"/>
    <w:rsid w:val="00253D70"/>
    <w:rsid w:val="002545B2"/>
    <w:rsid w:val="002545E4"/>
    <w:rsid w:val="002550D7"/>
    <w:rsid w:val="002554E0"/>
    <w:rsid w:val="00255987"/>
    <w:rsid w:val="00255F72"/>
    <w:rsid w:val="002562FE"/>
    <w:rsid w:val="00256510"/>
    <w:rsid w:val="00256BF2"/>
    <w:rsid w:val="00257695"/>
    <w:rsid w:val="00257C22"/>
    <w:rsid w:val="00257E28"/>
    <w:rsid w:val="00260319"/>
    <w:rsid w:val="00260D5A"/>
    <w:rsid w:val="00260DB0"/>
    <w:rsid w:val="00260EEB"/>
    <w:rsid w:val="00260FD7"/>
    <w:rsid w:val="0026269D"/>
    <w:rsid w:val="00262E3D"/>
    <w:rsid w:val="002630D0"/>
    <w:rsid w:val="002632EC"/>
    <w:rsid w:val="002633B5"/>
    <w:rsid w:val="00263958"/>
    <w:rsid w:val="00263E19"/>
    <w:rsid w:val="002640BE"/>
    <w:rsid w:val="00264122"/>
    <w:rsid w:val="00264273"/>
    <w:rsid w:val="002649C0"/>
    <w:rsid w:val="00264B98"/>
    <w:rsid w:val="00264D11"/>
    <w:rsid w:val="00265E6E"/>
    <w:rsid w:val="00266167"/>
    <w:rsid w:val="002664AC"/>
    <w:rsid w:val="00266718"/>
    <w:rsid w:val="00267A90"/>
    <w:rsid w:val="00270642"/>
    <w:rsid w:val="002706D3"/>
    <w:rsid w:val="00270CA0"/>
    <w:rsid w:val="00270E8C"/>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22"/>
    <w:rsid w:val="00277209"/>
    <w:rsid w:val="0027750B"/>
    <w:rsid w:val="002804FF"/>
    <w:rsid w:val="0028123A"/>
    <w:rsid w:val="00282079"/>
    <w:rsid w:val="002825D0"/>
    <w:rsid w:val="00282CD1"/>
    <w:rsid w:val="0028309A"/>
    <w:rsid w:val="00283FF6"/>
    <w:rsid w:val="00284225"/>
    <w:rsid w:val="0028498C"/>
    <w:rsid w:val="00284ECA"/>
    <w:rsid w:val="0028589B"/>
    <w:rsid w:val="00285D26"/>
    <w:rsid w:val="0028682B"/>
    <w:rsid w:val="00286939"/>
    <w:rsid w:val="002869ED"/>
    <w:rsid w:val="00286D3A"/>
    <w:rsid w:val="002871BB"/>
    <w:rsid w:val="0028740E"/>
    <w:rsid w:val="0028756A"/>
    <w:rsid w:val="002875BF"/>
    <w:rsid w:val="00287797"/>
    <w:rsid w:val="00287FEB"/>
    <w:rsid w:val="002905BF"/>
    <w:rsid w:val="00290D2B"/>
    <w:rsid w:val="00291181"/>
    <w:rsid w:val="00291D05"/>
    <w:rsid w:val="00294557"/>
    <w:rsid w:val="00294576"/>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70"/>
    <w:rsid w:val="002A703D"/>
    <w:rsid w:val="002A7355"/>
    <w:rsid w:val="002A7B53"/>
    <w:rsid w:val="002A7DF1"/>
    <w:rsid w:val="002B05BD"/>
    <w:rsid w:val="002B062B"/>
    <w:rsid w:val="002B1340"/>
    <w:rsid w:val="002B148C"/>
    <w:rsid w:val="002B1499"/>
    <w:rsid w:val="002B1B14"/>
    <w:rsid w:val="002B205F"/>
    <w:rsid w:val="002B319D"/>
    <w:rsid w:val="002B3326"/>
    <w:rsid w:val="002B3974"/>
    <w:rsid w:val="002B3D3C"/>
    <w:rsid w:val="002B411A"/>
    <w:rsid w:val="002B44BC"/>
    <w:rsid w:val="002B44C5"/>
    <w:rsid w:val="002B482C"/>
    <w:rsid w:val="002B5353"/>
    <w:rsid w:val="002B55E2"/>
    <w:rsid w:val="002B5925"/>
    <w:rsid w:val="002B637A"/>
    <w:rsid w:val="002B6A40"/>
    <w:rsid w:val="002B6BB2"/>
    <w:rsid w:val="002B7610"/>
    <w:rsid w:val="002B7E65"/>
    <w:rsid w:val="002B7F11"/>
    <w:rsid w:val="002C0469"/>
    <w:rsid w:val="002C0F2D"/>
    <w:rsid w:val="002C1589"/>
    <w:rsid w:val="002C1621"/>
    <w:rsid w:val="002C1740"/>
    <w:rsid w:val="002C1978"/>
    <w:rsid w:val="002C33B2"/>
    <w:rsid w:val="002C3B28"/>
    <w:rsid w:val="002C3B29"/>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E8E"/>
    <w:rsid w:val="002D64A0"/>
    <w:rsid w:val="002D76F6"/>
    <w:rsid w:val="002D76FB"/>
    <w:rsid w:val="002D7B7B"/>
    <w:rsid w:val="002D7C7F"/>
    <w:rsid w:val="002D7DB9"/>
    <w:rsid w:val="002D7E05"/>
    <w:rsid w:val="002E00AE"/>
    <w:rsid w:val="002E08A3"/>
    <w:rsid w:val="002E0E2A"/>
    <w:rsid w:val="002E1A43"/>
    <w:rsid w:val="002E2146"/>
    <w:rsid w:val="002E2C7D"/>
    <w:rsid w:val="002E2F43"/>
    <w:rsid w:val="002E3AB7"/>
    <w:rsid w:val="002E3B7C"/>
    <w:rsid w:val="002E42AA"/>
    <w:rsid w:val="002E44DD"/>
    <w:rsid w:val="002E4BE9"/>
    <w:rsid w:val="002E4F3B"/>
    <w:rsid w:val="002E54D2"/>
    <w:rsid w:val="002E5AE5"/>
    <w:rsid w:val="002E5B64"/>
    <w:rsid w:val="002E61C7"/>
    <w:rsid w:val="002E6EF9"/>
    <w:rsid w:val="002E6FEB"/>
    <w:rsid w:val="002E701E"/>
    <w:rsid w:val="002E73C5"/>
    <w:rsid w:val="002E73CC"/>
    <w:rsid w:val="002E74C8"/>
    <w:rsid w:val="002E78CF"/>
    <w:rsid w:val="002E7E39"/>
    <w:rsid w:val="002E7E7A"/>
    <w:rsid w:val="002F0665"/>
    <w:rsid w:val="002F0A58"/>
    <w:rsid w:val="002F10E3"/>
    <w:rsid w:val="002F13DA"/>
    <w:rsid w:val="002F20B4"/>
    <w:rsid w:val="002F28E1"/>
    <w:rsid w:val="002F39B1"/>
    <w:rsid w:val="002F41F3"/>
    <w:rsid w:val="002F4FA6"/>
    <w:rsid w:val="002F56A3"/>
    <w:rsid w:val="002F5DB3"/>
    <w:rsid w:val="002F6BA4"/>
    <w:rsid w:val="002F76DE"/>
    <w:rsid w:val="002F791D"/>
    <w:rsid w:val="0030070C"/>
    <w:rsid w:val="003007E6"/>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1E2"/>
    <w:rsid w:val="00311553"/>
    <w:rsid w:val="00311624"/>
    <w:rsid w:val="003125EC"/>
    <w:rsid w:val="00312AA0"/>
    <w:rsid w:val="00313074"/>
    <w:rsid w:val="00313C50"/>
    <w:rsid w:val="003144FC"/>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552"/>
    <w:rsid w:val="00323C25"/>
    <w:rsid w:val="003244B1"/>
    <w:rsid w:val="003251BD"/>
    <w:rsid w:val="00325616"/>
    <w:rsid w:val="003256D0"/>
    <w:rsid w:val="003266B5"/>
    <w:rsid w:val="00326A90"/>
    <w:rsid w:val="00326BBC"/>
    <w:rsid w:val="0032736E"/>
    <w:rsid w:val="00327BBA"/>
    <w:rsid w:val="00327EBE"/>
    <w:rsid w:val="0033033F"/>
    <w:rsid w:val="00330E02"/>
    <w:rsid w:val="0033158F"/>
    <w:rsid w:val="00332731"/>
    <w:rsid w:val="00332889"/>
    <w:rsid w:val="00332B42"/>
    <w:rsid w:val="00333927"/>
    <w:rsid w:val="00333A12"/>
    <w:rsid w:val="0033410E"/>
    <w:rsid w:val="003343D7"/>
    <w:rsid w:val="00334EE6"/>
    <w:rsid w:val="003351E8"/>
    <w:rsid w:val="00335361"/>
    <w:rsid w:val="003361EB"/>
    <w:rsid w:val="00336A96"/>
    <w:rsid w:val="00336B5D"/>
    <w:rsid w:val="00336FE7"/>
    <w:rsid w:val="00337075"/>
    <w:rsid w:val="003373D9"/>
    <w:rsid w:val="0033750E"/>
    <w:rsid w:val="00340203"/>
    <w:rsid w:val="003405D5"/>
    <w:rsid w:val="00340855"/>
    <w:rsid w:val="00340EA1"/>
    <w:rsid w:val="003414E5"/>
    <w:rsid w:val="00341E5D"/>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8CF"/>
    <w:rsid w:val="00347DED"/>
    <w:rsid w:val="00347EC8"/>
    <w:rsid w:val="003504AB"/>
    <w:rsid w:val="0035060F"/>
    <w:rsid w:val="003507BF"/>
    <w:rsid w:val="00350B22"/>
    <w:rsid w:val="00350B6C"/>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C07"/>
    <w:rsid w:val="00360CE8"/>
    <w:rsid w:val="003613C1"/>
    <w:rsid w:val="0036214D"/>
    <w:rsid w:val="003625B3"/>
    <w:rsid w:val="00362C87"/>
    <w:rsid w:val="00362C9E"/>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6C"/>
    <w:rsid w:val="00377772"/>
    <w:rsid w:val="003807C7"/>
    <w:rsid w:val="00380F50"/>
    <w:rsid w:val="003815C7"/>
    <w:rsid w:val="00382127"/>
    <w:rsid w:val="00383A6C"/>
    <w:rsid w:val="00384108"/>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28"/>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57C"/>
    <w:rsid w:val="00395E49"/>
    <w:rsid w:val="00396274"/>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324"/>
    <w:rsid w:val="003A3610"/>
    <w:rsid w:val="003A3E91"/>
    <w:rsid w:val="003A4054"/>
    <w:rsid w:val="003A442D"/>
    <w:rsid w:val="003A4A93"/>
    <w:rsid w:val="003A4CFF"/>
    <w:rsid w:val="003A59A3"/>
    <w:rsid w:val="003A5FA3"/>
    <w:rsid w:val="003A6B8D"/>
    <w:rsid w:val="003A74A2"/>
    <w:rsid w:val="003A7758"/>
    <w:rsid w:val="003B022F"/>
    <w:rsid w:val="003B035F"/>
    <w:rsid w:val="003B0914"/>
    <w:rsid w:val="003B0A05"/>
    <w:rsid w:val="003B0D11"/>
    <w:rsid w:val="003B0EFF"/>
    <w:rsid w:val="003B10C1"/>
    <w:rsid w:val="003B1246"/>
    <w:rsid w:val="003B131F"/>
    <w:rsid w:val="003B1C50"/>
    <w:rsid w:val="003B2C91"/>
    <w:rsid w:val="003B3CE3"/>
    <w:rsid w:val="003B48EE"/>
    <w:rsid w:val="003B4DB2"/>
    <w:rsid w:val="003B4E19"/>
    <w:rsid w:val="003B4FE5"/>
    <w:rsid w:val="003B5A00"/>
    <w:rsid w:val="003B5A24"/>
    <w:rsid w:val="003B6345"/>
    <w:rsid w:val="003B6E54"/>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AC5"/>
    <w:rsid w:val="003D2AEB"/>
    <w:rsid w:val="003D2B51"/>
    <w:rsid w:val="003D2CB5"/>
    <w:rsid w:val="003D3FAA"/>
    <w:rsid w:val="003D44CA"/>
    <w:rsid w:val="003D48A5"/>
    <w:rsid w:val="003D49D8"/>
    <w:rsid w:val="003D5AFB"/>
    <w:rsid w:val="003D5D9E"/>
    <w:rsid w:val="003D5F1D"/>
    <w:rsid w:val="003D61AA"/>
    <w:rsid w:val="003D6291"/>
    <w:rsid w:val="003D62D1"/>
    <w:rsid w:val="003D666F"/>
    <w:rsid w:val="003D68FC"/>
    <w:rsid w:val="003D7150"/>
    <w:rsid w:val="003D72B4"/>
    <w:rsid w:val="003D7521"/>
    <w:rsid w:val="003D761A"/>
    <w:rsid w:val="003D7E55"/>
    <w:rsid w:val="003E0207"/>
    <w:rsid w:val="003E0C3F"/>
    <w:rsid w:val="003E1640"/>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982"/>
    <w:rsid w:val="003E6A20"/>
    <w:rsid w:val="003E6C47"/>
    <w:rsid w:val="003E6E17"/>
    <w:rsid w:val="003E6FAE"/>
    <w:rsid w:val="003E7024"/>
    <w:rsid w:val="003E7051"/>
    <w:rsid w:val="003E7330"/>
    <w:rsid w:val="003E7CE0"/>
    <w:rsid w:val="003F0529"/>
    <w:rsid w:val="003F0579"/>
    <w:rsid w:val="003F0AA0"/>
    <w:rsid w:val="003F0BCF"/>
    <w:rsid w:val="003F1109"/>
    <w:rsid w:val="003F1CD7"/>
    <w:rsid w:val="003F1E15"/>
    <w:rsid w:val="003F1E37"/>
    <w:rsid w:val="003F246F"/>
    <w:rsid w:val="003F2654"/>
    <w:rsid w:val="003F2978"/>
    <w:rsid w:val="003F2D8D"/>
    <w:rsid w:val="003F2DDD"/>
    <w:rsid w:val="003F3610"/>
    <w:rsid w:val="003F3D2F"/>
    <w:rsid w:val="003F3E7F"/>
    <w:rsid w:val="003F3FE9"/>
    <w:rsid w:val="003F45FD"/>
    <w:rsid w:val="003F53A4"/>
    <w:rsid w:val="003F5A67"/>
    <w:rsid w:val="003F5D20"/>
    <w:rsid w:val="003F6353"/>
    <w:rsid w:val="003F6C68"/>
    <w:rsid w:val="003F6E71"/>
    <w:rsid w:val="003F705A"/>
    <w:rsid w:val="003F720F"/>
    <w:rsid w:val="003F7224"/>
    <w:rsid w:val="003F77C0"/>
    <w:rsid w:val="003F7C67"/>
    <w:rsid w:val="0040084B"/>
    <w:rsid w:val="00400C1E"/>
    <w:rsid w:val="00400D45"/>
    <w:rsid w:val="00400FAF"/>
    <w:rsid w:val="0040167B"/>
    <w:rsid w:val="0040183C"/>
    <w:rsid w:val="0040198C"/>
    <w:rsid w:val="00401B68"/>
    <w:rsid w:val="0040216D"/>
    <w:rsid w:val="00402224"/>
    <w:rsid w:val="0040259B"/>
    <w:rsid w:val="00402709"/>
    <w:rsid w:val="00403459"/>
    <w:rsid w:val="00403612"/>
    <w:rsid w:val="004039A4"/>
    <w:rsid w:val="00403EC0"/>
    <w:rsid w:val="00404042"/>
    <w:rsid w:val="0040412D"/>
    <w:rsid w:val="00404A1C"/>
    <w:rsid w:val="00404C69"/>
    <w:rsid w:val="00405BA3"/>
    <w:rsid w:val="00406382"/>
    <w:rsid w:val="00406CF7"/>
    <w:rsid w:val="00406E0F"/>
    <w:rsid w:val="004072D5"/>
    <w:rsid w:val="004073B8"/>
    <w:rsid w:val="004073F4"/>
    <w:rsid w:val="004076AA"/>
    <w:rsid w:val="00407CF3"/>
    <w:rsid w:val="00410565"/>
    <w:rsid w:val="004110B6"/>
    <w:rsid w:val="00411405"/>
    <w:rsid w:val="004122AC"/>
    <w:rsid w:val="00412952"/>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5FF1"/>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E18"/>
    <w:rsid w:val="004336D4"/>
    <w:rsid w:val="004339DD"/>
    <w:rsid w:val="00433A32"/>
    <w:rsid w:val="00434276"/>
    <w:rsid w:val="00434415"/>
    <w:rsid w:val="00434525"/>
    <w:rsid w:val="00434A4B"/>
    <w:rsid w:val="00435989"/>
    <w:rsid w:val="00436873"/>
    <w:rsid w:val="00436CAD"/>
    <w:rsid w:val="00436FA3"/>
    <w:rsid w:val="00437173"/>
    <w:rsid w:val="004372C9"/>
    <w:rsid w:val="00437B2B"/>
    <w:rsid w:val="004416F3"/>
    <w:rsid w:val="00441F35"/>
    <w:rsid w:val="0044231C"/>
    <w:rsid w:val="00442D3F"/>
    <w:rsid w:val="004432C1"/>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6E7E"/>
    <w:rsid w:val="00446E96"/>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FF"/>
    <w:rsid w:val="00456235"/>
    <w:rsid w:val="00456938"/>
    <w:rsid w:val="00456BD7"/>
    <w:rsid w:val="00456F67"/>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A7D"/>
    <w:rsid w:val="00463CBB"/>
    <w:rsid w:val="00463D43"/>
    <w:rsid w:val="00463F22"/>
    <w:rsid w:val="00464289"/>
    <w:rsid w:val="004644C2"/>
    <w:rsid w:val="00464C0A"/>
    <w:rsid w:val="00464D9C"/>
    <w:rsid w:val="00465209"/>
    <w:rsid w:val="004652F9"/>
    <w:rsid w:val="004657BC"/>
    <w:rsid w:val="00465A0B"/>
    <w:rsid w:val="00465A96"/>
    <w:rsid w:val="00465BB4"/>
    <w:rsid w:val="00465E49"/>
    <w:rsid w:val="00465FE9"/>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2E2D"/>
    <w:rsid w:val="00473014"/>
    <w:rsid w:val="00473218"/>
    <w:rsid w:val="0047383D"/>
    <w:rsid w:val="00473A8E"/>
    <w:rsid w:val="00473B2D"/>
    <w:rsid w:val="00473F6B"/>
    <w:rsid w:val="004742F7"/>
    <w:rsid w:val="00474337"/>
    <w:rsid w:val="004746F3"/>
    <w:rsid w:val="00475152"/>
    <w:rsid w:val="004756DC"/>
    <w:rsid w:val="00475BC7"/>
    <w:rsid w:val="00476164"/>
    <w:rsid w:val="004768B8"/>
    <w:rsid w:val="00476B66"/>
    <w:rsid w:val="00476EA7"/>
    <w:rsid w:val="004775E2"/>
    <w:rsid w:val="00477A99"/>
    <w:rsid w:val="00477FDF"/>
    <w:rsid w:val="00480145"/>
    <w:rsid w:val="00480342"/>
    <w:rsid w:val="00480893"/>
    <w:rsid w:val="004819CC"/>
    <w:rsid w:val="00482E87"/>
    <w:rsid w:val="00482F28"/>
    <w:rsid w:val="00483672"/>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B40"/>
    <w:rsid w:val="00490E86"/>
    <w:rsid w:val="00490F20"/>
    <w:rsid w:val="00491F3D"/>
    <w:rsid w:val="00491F7C"/>
    <w:rsid w:val="00492275"/>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381"/>
    <w:rsid w:val="004A7946"/>
    <w:rsid w:val="004B03CB"/>
    <w:rsid w:val="004B03CE"/>
    <w:rsid w:val="004B0697"/>
    <w:rsid w:val="004B09E4"/>
    <w:rsid w:val="004B0D10"/>
    <w:rsid w:val="004B11E8"/>
    <w:rsid w:val="004B148A"/>
    <w:rsid w:val="004B17AA"/>
    <w:rsid w:val="004B2026"/>
    <w:rsid w:val="004B25C4"/>
    <w:rsid w:val="004B27F3"/>
    <w:rsid w:val="004B2809"/>
    <w:rsid w:val="004B2875"/>
    <w:rsid w:val="004B2897"/>
    <w:rsid w:val="004B29FD"/>
    <w:rsid w:val="004B2F93"/>
    <w:rsid w:val="004B37CB"/>
    <w:rsid w:val="004B3EB5"/>
    <w:rsid w:val="004B59C6"/>
    <w:rsid w:val="004B667A"/>
    <w:rsid w:val="004B69A1"/>
    <w:rsid w:val="004B6C6D"/>
    <w:rsid w:val="004B7224"/>
    <w:rsid w:val="004B7DA9"/>
    <w:rsid w:val="004C02DB"/>
    <w:rsid w:val="004C0591"/>
    <w:rsid w:val="004C07FA"/>
    <w:rsid w:val="004C0A53"/>
    <w:rsid w:val="004C0E88"/>
    <w:rsid w:val="004C1797"/>
    <w:rsid w:val="004C18A0"/>
    <w:rsid w:val="004C1AA1"/>
    <w:rsid w:val="004C1D32"/>
    <w:rsid w:val="004C228C"/>
    <w:rsid w:val="004C3560"/>
    <w:rsid w:val="004C408B"/>
    <w:rsid w:val="004C4141"/>
    <w:rsid w:val="004C416D"/>
    <w:rsid w:val="004C447A"/>
    <w:rsid w:val="004C45EC"/>
    <w:rsid w:val="004C479F"/>
    <w:rsid w:val="004C4A03"/>
    <w:rsid w:val="004C4C08"/>
    <w:rsid w:val="004C4F8B"/>
    <w:rsid w:val="004C5EA3"/>
    <w:rsid w:val="004C6AA4"/>
    <w:rsid w:val="004C79B2"/>
    <w:rsid w:val="004D0C01"/>
    <w:rsid w:val="004D1B09"/>
    <w:rsid w:val="004D2409"/>
    <w:rsid w:val="004D26A6"/>
    <w:rsid w:val="004D29C0"/>
    <w:rsid w:val="004D2A26"/>
    <w:rsid w:val="004D3478"/>
    <w:rsid w:val="004D350F"/>
    <w:rsid w:val="004D3F92"/>
    <w:rsid w:val="004D4269"/>
    <w:rsid w:val="004D4B2F"/>
    <w:rsid w:val="004D4C1D"/>
    <w:rsid w:val="004D4CB8"/>
    <w:rsid w:val="004D5B40"/>
    <w:rsid w:val="004D5E56"/>
    <w:rsid w:val="004D60D2"/>
    <w:rsid w:val="004D625C"/>
    <w:rsid w:val="004D6C50"/>
    <w:rsid w:val="004D6CF0"/>
    <w:rsid w:val="004D749E"/>
    <w:rsid w:val="004D767E"/>
    <w:rsid w:val="004D7D03"/>
    <w:rsid w:val="004D7ED9"/>
    <w:rsid w:val="004E0075"/>
    <w:rsid w:val="004E01C0"/>
    <w:rsid w:val="004E0536"/>
    <w:rsid w:val="004E0DD9"/>
    <w:rsid w:val="004E0F1F"/>
    <w:rsid w:val="004E1A04"/>
    <w:rsid w:val="004E1E88"/>
    <w:rsid w:val="004E1F58"/>
    <w:rsid w:val="004E230B"/>
    <w:rsid w:val="004E25D7"/>
    <w:rsid w:val="004E34D6"/>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E52"/>
    <w:rsid w:val="004F5125"/>
    <w:rsid w:val="004F520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3616"/>
    <w:rsid w:val="00504395"/>
    <w:rsid w:val="00504407"/>
    <w:rsid w:val="0050440C"/>
    <w:rsid w:val="00504721"/>
    <w:rsid w:val="005049CE"/>
    <w:rsid w:val="00504B5F"/>
    <w:rsid w:val="00504D4B"/>
    <w:rsid w:val="00504D74"/>
    <w:rsid w:val="00505569"/>
    <w:rsid w:val="0050628C"/>
    <w:rsid w:val="005063E4"/>
    <w:rsid w:val="0050673B"/>
    <w:rsid w:val="0050682C"/>
    <w:rsid w:val="005071F6"/>
    <w:rsid w:val="005074CF"/>
    <w:rsid w:val="00507BB8"/>
    <w:rsid w:val="00507E51"/>
    <w:rsid w:val="0051006C"/>
    <w:rsid w:val="0051035D"/>
    <w:rsid w:val="00510393"/>
    <w:rsid w:val="00510927"/>
    <w:rsid w:val="00510FD4"/>
    <w:rsid w:val="0051173C"/>
    <w:rsid w:val="00511A16"/>
    <w:rsid w:val="00511CAA"/>
    <w:rsid w:val="00512040"/>
    <w:rsid w:val="00512099"/>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1FE"/>
    <w:rsid w:val="005178A7"/>
    <w:rsid w:val="00517EAD"/>
    <w:rsid w:val="005206B6"/>
    <w:rsid w:val="0052071D"/>
    <w:rsid w:val="00520A38"/>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5FC2"/>
    <w:rsid w:val="00526123"/>
    <w:rsid w:val="00527301"/>
    <w:rsid w:val="00527349"/>
    <w:rsid w:val="00527E8C"/>
    <w:rsid w:val="00527FF3"/>
    <w:rsid w:val="0053069C"/>
    <w:rsid w:val="00530946"/>
    <w:rsid w:val="00530EBC"/>
    <w:rsid w:val="00530F9E"/>
    <w:rsid w:val="00531194"/>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DD7"/>
    <w:rsid w:val="00536E52"/>
    <w:rsid w:val="00540351"/>
    <w:rsid w:val="00541798"/>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A2"/>
    <w:rsid w:val="00551047"/>
    <w:rsid w:val="0055136D"/>
    <w:rsid w:val="005514CC"/>
    <w:rsid w:val="00551623"/>
    <w:rsid w:val="005520A0"/>
    <w:rsid w:val="0055296D"/>
    <w:rsid w:val="00552ACA"/>
    <w:rsid w:val="00552D27"/>
    <w:rsid w:val="00553304"/>
    <w:rsid w:val="005534F4"/>
    <w:rsid w:val="00554638"/>
    <w:rsid w:val="00554A0B"/>
    <w:rsid w:val="00554EFD"/>
    <w:rsid w:val="00555794"/>
    <w:rsid w:val="00556024"/>
    <w:rsid w:val="0055615C"/>
    <w:rsid w:val="0055651E"/>
    <w:rsid w:val="0055710C"/>
    <w:rsid w:val="005571ED"/>
    <w:rsid w:val="00557E9F"/>
    <w:rsid w:val="00560535"/>
    <w:rsid w:val="0056068E"/>
    <w:rsid w:val="00560F49"/>
    <w:rsid w:val="005610BA"/>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CB"/>
    <w:rsid w:val="00566A0D"/>
    <w:rsid w:val="00566B0F"/>
    <w:rsid w:val="00566C35"/>
    <w:rsid w:val="0056729B"/>
    <w:rsid w:val="00567C21"/>
    <w:rsid w:val="00570E2E"/>
    <w:rsid w:val="00571A90"/>
    <w:rsid w:val="00571E7B"/>
    <w:rsid w:val="00572239"/>
    <w:rsid w:val="00572886"/>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7017"/>
    <w:rsid w:val="00587209"/>
    <w:rsid w:val="00587331"/>
    <w:rsid w:val="00587858"/>
    <w:rsid w:val="00587F69"/>
    <w:rsid w:val="00590828"/>
    <w:rsid w:val="00590AED"/>
    <w:rsid w:val="00591ABB"/>
    <w:rsid w:val="00592188"/>
    <w:rsid w:val="0059262A"/>
    <w:rsid w:val="005926A6"/>
    <w:rsid w:val="00593123"/>
    <w:rsid w:val="005934A1"/>
    <w:rsid w:val="0059424E"/>
    <w:rsid w:val="005946AB"/>
    <w:rsid w:val="00595278"/>
    <w:rsid w:val="005954D8"/>
    <w:rsid w:val="0059598F"/>
    <w:rsid w:val="00595993"/>
    <w:rsid w:val="00595D16"/>
    <w:rsid w:val="00595DD7"/>
    <w:rsid w:val="005971EF"/>
    <w:rsid w:val="005A057C"/>
    <w:rsid w:val="005A0870"/>
    <w:rsid w:val="005A130F"/>
    <w:rsid w:val="005A163C"/>
    <w:rsid w:val="005A1D46"/>
    <w:rsid w:val="005A2329"/>
    <w:rsid w:val="005A27F4"/>
    <w:rsid w:val="005A2C8A"/>
    <w:rsid w:val="005A38C9"/>
    <w:rsid w:val="005A39A8"/>
    <w:rsid w:val="005A3C39"/>
    <w:rsid w:val="005A4385"/>
    <w:rsid w:val="005A4E79"/>
    <w:rsid w:val="005A55E2"/>
    <w:rsid w:val="005A5671"/>
    <w:rsid w:val="005A5947"/>
    <w:rsid w:val="005A65E2"/>
    <w:rsid w:val="005A69A0"/>
    <w:rsid w:val="005B0240"/>
    <w:rsid w:val="005B0A99"/>
    <w:rsid w:val="005B1620"/>
    <w:rsid w:val="005B1B8E"/>
    <w:rsid w:val="005B331C"/>
    <w:rsid w:val="005B3502"/>
    <w:rsid w:val="005B35E2"/>
    <w:rsid w:val="005B4AFA"/>
    <w:rsid w:val="005B4D3E"/>
    <w:rsid w:val="005B509F"/>
    <w:rsid w:val="005B5364"/>
    <w:rsid w:val="005B5652"/>
    <w:rsid w:val="005B59DE"/>
    <w:rsid w:val="005B59FA"/>
    <w:rsid w:val="005B5BF9"/>
    <w:rsid w:val="005B6D52"/>
    <w:rsid w:val="005B7827"/>
    <w:rsid w:val="005B789F"/>
    <w:rsid w:val="005C0D72"/>
    <w:rsid w:val="005C1006"/>
    <w:rsid w:val="005C1D03"/>
    <w:rsid w:val="005C2852"/>
    <w:rsid w:val="005C2F2A"/>
    <w:rsid w:val="005C3467"/>
    <w:rsid w:val="005C38BB"/>
    <w:rsid w:val="005C3C7D"/>
    <w:rsid w:val="005C3F17"/>
    <w:rsid w:val="005C432E"/>
    <w:rsid w:val="005C4CE6"/>
    <w:rsid w:val="005C4D91"/>
    <w:rsid w:val="005C4F3F"/>
    <w:rsid w:val="005C508B"/>
    <w:rsid w:val="005C6304"/>
    <w:rsid w:val="005C729E"/>
    <w:rsid w:val="005C74E5"/>
    <w:rsid w:val="005C75F8"/>
    <w:rsid w:val="005C76DF"/>
    <w:rsid w:val="005C7744"/>
    <w:rsid w:val="005C79FA"/>
    <w:rsid w:val="005C7C75"/>
    <w:rsid w:val="005D000E"/>
    <w:rsid w:val="005D0592"/>
    <w:rsid w:val="005D204A"/>
    <w:rsid w:val="005D2084"/>
    <w:rsid w:val="005D296C"/>
    <w:rsid w:val="005D3AA8"/>
    <w:rsid w:val="005D3EC6"/>
    <w:rsid w:val="005D4209"/>
    <w:rsid w:val="005D4A72"/>
    <w:rsid w:val="005D503B"/>
    <w:rsid w:val="005D5BA1"/>
    <w:rsid w:val="005D5BB1"/>
    <w:rsid w:val="005D5D16"/>
    <w:rsid w:val="005D5F29"/>
    <w:rsid w:val="005D6487"/>
    <w:rsid w:val="005D67DF"/>
    <w:rsid w:val="005D6CE5"/>
    <w:rsid w:val="005D6E70"/>
    <w:rsid w:val="005D7475"/>
    <w:rsid w:val="005D74CE"/>
    <w:rsid w:val="005D75EE"/>
    <w:rsid w:val="005D765A"/>
    <w:rsid w:val="005D76B9"/>
    <w:rsid w:val="005D7BBC"/>
    <w:rsid w:val="005D7D12"/>
    <w:rsid w:val="005E0CE3"/>
    <w:rsid w:val="005E16A0"/>
    <w:rsid w:val="005E190C"/>
    <w:rsid w:val="005E19DC"/>
    <w:rsid w:val="005E1F5C"/>
    <w:rsid w:val="005E27A9"/>
    <w:rsid w:val="005E2CDC"/>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DD5"/>
    <w:rsid w:val="00601FF7"/>
    <w:rsid w:val="00602B32"/>
    <w:rsid w:val="00602DF1"/>
    <w:rsid w:val="00602E42"/>
    <w:rsid w:val="0060359C"/>
    <w:rsid w:val="00603771"/>
    <w:rsid w:val="0060391F"/>
    <w:rsid w:val="00603BA3"/>
    <w:rsid w:val="00603C20"/>
    <w:rsid w:val="00603F21"/>
    <w:rsid w:val="00603FDE"/>
    <w:rsid w:val="0060445C"/>
    <w:rsid w:val="00605458"/>
    <w:rsid w:val="00605A80"/>
    <w:rsid w:val="00605ACA"/>
    <w:rsid w:val="00605EDF"/>
    <w:rsid w:val="00606227"/>
    <w:rsid w:val="00606408"/>
    <w:rsid w:val="00606E9D"/>
    <w:rsid w:val="0060796F"/>
    <w:rsid w:val="00607A3B"/>
    <w:rsid w:val="00607C1F"/>
    <w:rsid w:val="00607E81"/>
    <w:rsid w:val="00610113"/>
    <w:rsid w:val="0061047A"/>
    <w:rsid w:val="00610D4D"/>
    <w:rsid w:val="00611615"/>
    <w:rsid w:val="00611D0C"/>
    <w:rsid w:val="006122BA"/>
    <w:rsid w:val="0061261E"/>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1BF5"/>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1369"/>
    <w:rsid w:val="006416C9"/>
    <w:rsid w:val="00641765"/>
    <w:rsid w:val="00641C7C"/>
    <w:rsid w:val="006425C7"/>
    <w:rsid w:val="00642FB3"/>
    <w:rsid w:val="006430D0"/>
    <w:rsid w:val="00643901"/>
    <w:rsid w:val="00643B56"/>
    <w:rsid w:val="00643D15"/>
    <w:rsid w:val="006455DA"/>
    <w:rsid w:val="00645BCD"/>
    <w:rsid w:val="00645DC1"/>
    <w:rsid w:val="00646F5D"/>
    <w:rsid w:val="006478BF"/>
    <w:rsid w:val="006513E6"/>
    <w:rsid w:val="0065172A"/>
    <w:rsid w:val="006521C9"/>
    <w:rsid w:val="006527FD"/>
    <w:rsid w:val="00652B79"/>
    <w:rsid w:val="00652F2A"/>
    <w:rsid w:val="00653429"/>
    <w:rsid w:val="006539F3"/>
    <w:rsid w:val="00653A9D"/>
    <w:rsid w:val="00654779"/>
    <w:rsid w:val="00654880"/>
    <w:rsid w:val="006549D4"/>
    <w:rsid w:val="00654A9C"/>
    <w:rsid w:val="00654C1B"/>
    <w:rsid w:val="0065560B"/>
    <w:rsid w:val="006568F1"/>
    <w:rsid w:val="0065735E"/>
    <w:rsid w:val="006578EA"/>
    <w:rsid w:val="006579A2"/>
    <w:rsid w:val="006579E4"/>
    <w:rsid w:val="0066011B"/>
    <w:rsid w:val="00660611"/>
    <w:rsid w:val="006607A2"/>
    <w:rsid w:val="00660A49"/>
    <w:rsid w:val="00660B19"/>
    <w:rsid w:val="00660EA7"/>
    <w:rsid w:val="00660EAF"/>
    <w:rsid w:val="0066107E"/>
    <w:rsid w:val="006612EC"/>
    <w:rsid w:val="006628E1"/>
    <w:rsid w:val="00662B61"/>
    <w:rsid w:val="00662D28"/>
    <w:rsid w:val="00662E07"/>
    <w:rsid w:val="00662ED7"/>
    <w:rsid w:val="006637A8"/>
    <w:rsid w:val="006637CB"/>
    <w:rsid w:val="00664586"/>
    <w:rsid w:val="00664875"/>
    <w:rsid w:val="00665052"/>
    <w:rsid w:val="006650A3"/>
    <w:rsid w:val="006651C1"/>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20E"/>
    <w:rsid w:val="00671B14"/>
    <w:rsid w:val="00671C32"/>
    <w:rsid w:val="00671D78"/>
    <w:rsid w:val="006720E9"/>
    <w:rsid w:val="00672102"/>
    <w:rsid w:val="006722D6"/>
    <w:rsid w:val="00672D63"/>
    <w:rsid w:val="00673E7C"/>
    <w:rsid w:val="006741AA"/>
    <w:rsid w:val="006742C7"/>
    <w:rsid w:val="006744DC"/>
    <w:rsid w:val="0067458B"/>
    <w:rsid w:val="006747FA"/>
    <w:rsid w:val="00675E35"/>
    <w:rsid w:val="0067609D"/>
    <w:rsid w:val="00676253"/>
    <w:rsid w:val="0067630C"/>
    <w:rsid w:val="00676953"/>
    <w:rsid w:val="00676BA4"/>
    <w:rsid w:val="00680410"/>
    <w:rsid w:val="006814C1"/>
    <w:rsid w:val="006816BE"/>
    <w:rsid w:val="00681D89"/>
    <w:rsid w:val="00682C96"/>
    <w:rsid w:val="00682FA3"/>
    <w:rsid w:val="0068447A"/>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3B6B"/>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275B"/>
    <w:rsid w:val="006B28BA"/>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BC1"/>
    <w:rsid w:val="006C3027"/>
    <w:rsid w:val="006C368C"/>
    <w:rsid w:val="006C47DF"/>
    <w:rsid w:val="006C4810"/>
    <w:rsid w:val="006C48CB"/>
    <w:rsid w:val="006C4A62"/>
    <w:rsid w:val="006C4C86"/>
    <w:rsid w:val="006C6AF3"/>
    <w:rsid w:val="006C74C5"/>
    <w:rsid w:val="006C7FFC"/>
    <w:rsid w:val="006D0002"/>
    <w:rsid w:val="006D05AD"/>
    <w:rsid w:val="006D1230"/>
    <w:rsid w:val="006D174C"/>
    <w:rsid w:val="006D17A7"/>
    <w:rsid w:val="006D18E3"/>
    <w:rsid w:val="006D25A4"/>
    <w:rsid w:val="006D2783"/>
    <w:rsid w:val="006D2A84"/>
    <w:rsid w:val="006D2E1F"/>
    <w:rsid w:val="006D3623"/>
    <w:rsid w:val="006D38B9"/>
    <w:rsid w:val="006D3FC4"/>
    <w:rsid w:val="006D4967"/>
    <w:rsid w:val="006D5CAD"/>
    <w:rsid w:val="006D63B4"/>
    <w:rsid w:val="006D68A4"/>
    <w:rsid w:val="006D7A20"/>
    <w:rsid w:val="006D7A56"/>
    <w:rsid w:val="006D7DD3"/>
    <w:rsid w:val="006E009D"/>
    <w:rsid w:val="006E03D7"/>
    <w:rsid w:val="006E0542"/>
    <w:rsid w:val="006E0D33"/>
    <w:rsid w:val="006E0FA5"/>
    <w:rsid w:val="006E150D"/>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1018"/>
    <w:rsid w:val="006F107C"/>
    <w:rsid w:val="006F1C3B"/>
    <w:rsid w:val="006F285D"/>
    <w:rsid w:val="006F2959"/>
    <w:rsid w:val="006F2A99"/>
    <w:rsid w:val="006F2AEC"/>
    <w:rsid w:val="006F2B24"/>
    <w:rsid w:val="006F328B"/>
    <w:rsid w:val="006F3C0B"/>
    <w:rsid w:val="006F3C22"/>
    <w:rsid w:val="006F3CE2"/>
    <w:rsid w:val="006F4384"/>
    <w:rsid w:val="006F54C1"/>
    <w:rsid w:val="006F5511"/>
    <w:rsid w:val="006F6F7A"/>
    <w:rsid w:val="006F7AAA"/>
    <w:rsid w:val="006F7D10"/>
    <w:rsid w:val="007002E3"/>
    <w:rsid w:val="007006F6"/>
    <w:rsid w:val="00700FD6"/>
    <w:rsid w:val="00701DC8"/>
    <w:rsid w:val="0070229B"/>
    <w:rsid w:val="00702845"/>
    <w:rsid w:val="00702FD9"/>
    <w:rsid w:val="00703003"/>
    <w:rsid w:val="00703550"/>
    <w:rsid w:val="00703903"/>
    <w:rsid w:val="00704388"/>
    <w:rsid w:val="0070464B"/>
    <w:rsid w:val="007048C5"/>
    <w:rsid w:val="0070501F"/>
    <w:rsid w:val="007055F0"/>
    <w:rsid w:val="00706CA8"/>
    <w:rsid w:val="00706D40"/>
    <w:rsid w:val="007070E5"/>
    <w:rsid w:val="00707340"/>
    <w:rsid w:val="0070739C"/>
    <w:rsid w:val="00710645"/>
    <w:rsid w:val="0071087C"/>
    <w:rsid w:val="007108CD"/>
    <w:rsid w:val="007109FC"/>
    <w:rsid w:val="00710FE9"/>
    <w:rsid w:val="007111E2"/>
    <w:rsid w:val="00711629"/>
    <w:rsid w:val="00712F80"/>
    <w:rsid w:val="007136F0"/>
    <w:rsid w:val="007140C6"/>
    <w:rsid w:val="007149FC"/>
    <w:rsid w:val="007156D8"/>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1233"/>
    <w:rsid w:val="007312DE"/>
    <w:rsid w:val="00731354"/>
    <w:rsid w:val="00731443"/>
    <w:rsid w:val="00731A02"/>
    <w:rsid w:val="00731FC8"/>
    <w:rsid w:val="00732EAF"/>
    <w:rsid w:val="007332B4"/>
    <w:rsid w:val="00733AC3"/>
    <w:rsid w:val="00733E12"/>
    <w:rsid w:val="007345B8"/>
    <w:rsid w:val="0073466A"/>
    <w:rsid w:val="00734677"/>
    <w:rsid w:val="007351A2"/>
    <w:rsid w:val="00735750"/>
    <w:rsid w:val="00736266"/>
    <w:rsid w:val="00736980"/>
    <w:rsid w:val="00737130"/>
    <w:rsid w:val="00737E39"/>
    <w:rsid w:val="00740CD6"/>
    <w:rsid w:val="007410D8"/>
    <w:rsid w:val="00742E0B"/>
    <w:rsid w:val="007430CB"/>
    <w:rsid w:val="00743873"/>
    <w:rsid w:val="00743F2D"/>
    <w:rsid w:val="007442F6"/>
    <w:rsid w:val="007448BF"/>
    <w:rsid w:val="0074629A"/>
    <w:rsid w:val="00746445"/>
    <w:rsid w:val="00746911"/>
    <w:rsid w:val="00746F36"/>
    <w:rsid w:val="007473BE"/>
    <w:rsid w:val="007473C8"/>
    <w:rsid w:val="0074772D"/>
    <w:rsid w:val="007477E7"/>
    <w:rsid w:val="00750A8A"/>
    <w:rsid w:val="00750BF2"/>
    <w:rsid w:val="00751873"/>
    <w:rsid w:val="00751BBD"/>
    <w:rsid w:val="00751DEA"/>
    <w:rsid w:val="00752E39"/>
    <w:rsid w:val="00753432"/>
    <w:rsid w:val="00753647"/>
    <w:rsid w:val="00753800"/>
    <w:rsid w:val="0075423D"/>
    <w:rsid w:val="00754AC3"/>
    <w:rsid w:val="007554C3"/>
    <w:rsid w:val="00755DDF"/>
    <w:rsid w:val="0075662E"/>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D8D"/>
    <w:rsid w:val="00775180"/>
    <w:rsid w:val="00775311"/>
    <w:rsid w:val="00775AB6"/>
    <w:rsid w:val="00775BB5"/>
    <w:rsid w:val="007762F9"/>
    <w:rsid w:val="0077648A"/>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3AF"/>
    <w:rsid w:val="007934CB"/>
    <w:rsid w:val="00793F21"/>
    <w:rsid w:val="007942D3"/>
    <w:rsid w:val="00794CC9"/>
    <w:rsid w:val="00795046"/>
    <w:rsid w:val="0079552B"/>
    <w:rsid w:val="00795781"/>
    <w:rsid w:val="00795CA2"/>
    <w:rsid w:val="007961B5"/>
    <w:rsid w:val="00796228"/>
    <w:rsid w:val="0079688D"/>
    <w:rsid w:val="007968EC"/>
    <w:rsid w:val="00796A51"/>
    <w:rsid w:val="0079790D"/>
    <w:rsid w:val="00797D87"/>
    <w:rsid w:val="007A0384"/>
    <w:rsid w:val="007A07E3"/>
    <w:rsid w:val="007A09DA"/>
    <w:rsid w:val="007A14C7"/>
    <w:rsid w:val="007A1D99"/>
    <w:rsid w:val="007A20D3"/>
    <w:rsid w:val="007A22CE"/>
    <w:rsid w:val="007A2B4C"/>
    <w:rsid w:val="007A4239"/>
    <w:rsid w:val="007A4606"/>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54BD"/>
    <w:rsid w:val="007B59A9"/>
    <w:rsid w:val="007B5A1A"/>
    <w:rsid w:val="007B5B12"/>
    <w:rsid w:val="007B66A9"/>
    <w:rsid w:val="007B6918"/>
    <w:rsid w:val="007B6C09"/>
    <w:rsid w:val="007B75AF"/>
    <w:rsid w:val="007B7741"/>
    <w:rsid w:val="007B7760"/>
    <w:rsid w:val="007B77ED"/>
    <w:rsid w:val="007C086F"/>
    <w:rsid w:val="007C0B9C"/>
    <w:rsid w:val="007C1735"/>
    <w:rsid w:val="007C1861"/>
    <w:rsid w:val="007C1EF2"/>
    <w:rsid w:val="007C2C32"/>
    <w:rsid w:val="007C2DC9"/>
    <w:rsid w:val="007C2F01"/>
    <w:rsid w:val="007C3FB3"/>
    <w:rsid w:val="007C415F"/>
    <w:rsid w:val="007C45E4"/>
    <w:rsid w:val="007C4951"/>
    <w:rsid w:val="007C4AB7"/>
    <w:rsid w:val="007C516D"/>
    <w:rsid w:val="007C5906"/>
    <w:rsid w:val="007C5976"/>
    <w:rsid w:val="007C68AB"/>
    <w:rsid w:val="007C69B8"/>
    <w:rsid w:val="007C6E23"/>
    <w:rsid w:val="007C71D5"/>
    <w:rsid w:val="007C7AE1"/>
    <w:rsid w:val="007C7CD0"/>
    <w:rsid w:val="007C7DC1"/>
    <w:rsid w:val="007D0C11"/>
    <w:rsid w:val="007D0C7B"/>
    <w:rsid w:val="007D1571"/>
    <w:rsid w:val="007D1917"/>
    <w:rsid w:val="007D1DB8"/>
    <w:rsid w:val="007D1E05"/>
    <w:rsid w:val="007D2056"/>
    <w:rsid w:val="007D2A82"/>
    <w:rsid w:val="007D2D59"/>
    <w:rsid w:val="007D2DEA"/>
    <w:rsid w:val="007D2F3D"/>
    <w:rsid w:val="007D32B6"/>
    <w:rsid w:val="007D3329"/>
    <w:rsid w:val="007D38ED"/>
    <w:rsid w:val="007D4C43"/>
    <w:rsid w:val="007D5B7E"/>
    <w:rsid w:val="007D5BC0"/>
    <w:rsid w:val="007D5DBC"/>
    <w:rsid w:val="007D61E7"/>
    <w:rsid w:val="007D69BA"/>
    <w:rsid w:val="007D7EE3"/>
    <w:rsid w:val="007E068F"/>
    <w:rsid w:val="007E06C0"/>
    <w:rsid w:val="007E09DA"/>
    <w:rsid w:val="007E0F8A"/>
    <w:rsid w:val="007E11B2"/>
    <w:rsid w:val="007E19B9"/>
    <w:rsid w:val="007E1BE6"/>
    <w:rsid w:val="007E2048"/>
    <w:rsid w:val="007E223C"/>
    <w:rsid w:val="007E2AE8"/>
    <w:rsid w:val="007E2BD0"/>
    <w:rsid w:val="007E39B7"/>
    <w:rsid w:val="007E3D61"/>
    <w:rsid w:val="007E3EB9"/>
    <w:rsid w:val="007E4332"/>
    <w:rsid w:val="007E4597"/>
    <w:rsid w:val="007E47A6"/>
    <w:rsid w:val="007E4ADB"/>
    <w:rsid w:val="007E573A"/>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9B8"/>
    <w:rsid w:val="007F2B0F"/>
    <w:rsid w:val="007F2B53"/>
    <w:rsid w:val="007F30ED"/>
    <w:rsid w:val="007F3111"/>
    <w:rsid w:val="007F35B9"/>
    <w:rsid w:val="007F3668"/>
    <w:rsid w:val="007F3A9C"/>
    <w:rsid w:val="007F3F29"/>
    <w:rsid w:val="007F4522"/>
    <w:rsid w:val="007F4892"/>
    <w:rsid w:val="007F4E01"/>
    <w:rsid w:val="007F550D"/>
    <w:rsid w:val="007F5AE0"/>
    <w:rsid w:val="007F5F4C"/>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695"/>
    <w:rsid w:val="00807D97"/>
    <w:rsid w:val="0081091F"/>
    <w:rsid w:val="00810A6E"/>
    <w:rsid w:val="00810B22"/>
    <w:rsid w:val="00810D9D"/>
    <w:rsid w:val="008112E0"/>
    <w:rsid w:val="00811427"/>
    <w:rsid w:val="008114F1"/>
    <w:rsid w:val="00811DBA"/>
    <w:rsid w:val="0081204F"/>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706"/>
    <w:rsid w:val="008178B6"/>
    <w:rsid w:val="008178DF"/>
    <w:rsid w:val="00817A1C"/>
    <w:rsid w:val="00820DAC"/>
    <w:rsid w:val="00821CEE"/>
    <w:rsid w:val="00821E44"/>
    <w:rsid w:val="008222E0"/>
    <w:rsid w:val="008223A7"/>
    <w:rsid w:val="008225A1"/>
    <w:rsid w:val="008226AF"/>
    <w:rsid w:val="008226CA"/>
    <w:rsid w:val="00822A08"/>
    <w:rsid w:val="008236AD"/>
    <w:rsid w:val="00825367"/>
    <w:rsid w:val="00825E6F"/>
    <w:rsid w:val="00826095"/>
    <w:rsid w:val="0082690F"/>
    <w:rsid w:val="0082781A"/>
    <w:rsid w:val="00827F89"/>
    <w:rsid w:val="008300B7"/>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633"/>
    <w:rsid w:val="0083588F"/>
    <w:rsid w:val="008359DF"/>
    <w:rsid w:val="008363B6"/>
    <w:rsid w:val="008369F1"/>
    <w:rsid w:val="00836A6E"/>
    <w:rsid w:val="00836DBA"/>
    <w:rsid w:val="008376BB"/>
    <w:rsid w:val="0083790B"/>
    <w:rsid w:val="00840EB1"/>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576"/>
    <w:rsid w:val="00846780"/>
    <w:rsid w:val="00846F25"/>
    <w:rsid w:val="00847254"/>
    <w:rsid w:val="008473F7"/>
    <w:rsid w:val="00847B8E"/>
    <w:rsid w:val="00847DC7"/>
    <w:rsid w:val="00850534"/>
    <w:rsid w:val="0085053C"/>
    <w:rsid w:val="00850849"/>
    <w:rsid w:val="00850899"/>
    <w:rsid w:val="00850CF1"/>
    <w:rsid w:val="00851977"/>
    <w:rsid w:val="00851BCA"/>
    <w:rsid w:val="008520CD"/>
    <w:rsid w:val="00852B0D"/>
    <w:rsid w:val="00852C81"/>
    <w:rsid w:val="00852CA8"/>
    <w:rsid w:val="00852DDC"/>
    <w:rsid w:val="008532B8"/>
    <w:rsid w:val="00853A6E"/>
    <w:rsid w:val="00853C09"/>
    <w:rsid w:val="00853E71"/>
    <w:rsid w:val="00854232"/>
    <w:rsid w:val="008547E3"/>
    <w:rsid w:val="00854D24"/>
    <w:rsid w:val="00854DA0"/>
    <w:rsid w:val="00856321"/>
    <w:rsid w:val="008569A5"/>
    <w:rsid w:val="00856B6F"/>
    <w:rsid w:val="0085760D"/>
    <w:rsid w:val="008601C9"/>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64CC"/>
    <w:rsid w:val="00867A59"/>
    <w:rsid w:val="00870127"/>
    <w:rsid w:val="00870701"/>
    <w:rsid w:val="0087084F"/>
    <w:rsid w:val="00870AAD"/>
    <w:rsid w:val="00870D07"/>
    <w:rsid w:val="00870EE4"/>
    <w:rsid w:val="00870FA9"/>
    <w:rsid w:val="008712A1"/>
    <w:rsid w:val="00871657"/>
    <w:rsid w:val="00871978"/>
    <w:rsid w:val="00872AD0"/>
    <w:rsid w:val="00872C89"/>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F6"/>
    <w:rsid w:val="00892C65"/>
    <w:rsid w:val="00892ECA"/>
    <w:rsid w:val="008931B7"/>
    <w:rsid w:val="0089322E"/>
    <w:rsid w:val="008932D6"/>
    <w:rsid w:val="00896FAE"/>
    <w:rsid w:val="00897449"/>
    <w:rsid w:val="008974F0"/>
    <w:rsid w:val="008979C6"/>
    <w:rsid w:val="00897CFD"/>
    <w:rsid w:val="00897FB9"/>
    <w:rsid w:val="008A04A4"/>
    <w:rsid w:val="008A067A"/>
    <w:rsid w:val="008A0FA0"/>
    <w:rsid w:val="008A1499"/>
    <w:rsid w:val="008A1738"/>
    <w:rsid w:val="008A1A04"/>
    <w:rsid w:val="008A1E4F"/>
    <w:rsid w:val="008A2646"/>
    <w:rsid w:val="008A290F"/>
    <w:rsid w:val="008A2B16"/>
    <w:rsid w:val="008A350B"/>
    <w:rsid w:val="008A3686"/>
    <w:rsid w:val="008A3C1D"/>
    <w:rsid w:val="008A4498"/>
    <w:rsid w:val="008A456F"/>
    <w:rsid w:val="008A6F1C"/>
    <w:rsid w:val="008A734D"/>
    <w:rsid w:val="008A740C"/>
    <w:rsid w:val="008A75A1"/>
    <w:rsid w:val="008A7DD4"/>
    <w:rsid w:val="008B0038"/>
    <w:rsid w:val="008B012A"/>
    <w:rsid w:val="008B0A36"/>
    <w:rsid w:val="008B0E96"/>
    <w:rsid w:val="008B18EE"/>
    <w:rsid w:val="008B1F6B"/>
    <w:rsid w:val="008B251B"/>
    <w:rsid w:val="008B327E"/>
    <w:rsid w:val="008B3311"/>
    <w:rsid w:val="008B3A45"/>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3CDA"/>
    <w:rsid w:val="008C4EC6"/>
    <w:rsid w:val="008C51BA"/>
    <w:rsid w:val="008C526F"/>
    <w:rsid w:val="008C54A2"/>
    <w:rsid w:val="008C5A05"/>
    <w:rsid w:val="008C5E6F"/>
    <w:rsid w:val="008C6168"/>
    <w:rsid w:val="008C6B6B"/>
    <w:rsid w:val="008C6C5D"/>
    <w:rsid w:val="008C6EEA"/>
    <w:rsid w:val="008C72D6"/>
    <w:rsid w:val="008C75D2"/>
    <w:rsid w:val="008C772C"/>
    <w:rsid w:val="008D11FD"/>
    <w:rsid w:val="008D1261"/>
    <w:rsid w:val="008D1720"/>
    <w:rsid w:val="008D1FA7"/>
    <w:rsid w:val="008D2049"/>
    <w:rsid w:val="008D23DB"/>
    <w:rsid w:val="008D2D5C"/>
    <w:rsid w:val="008D3368"/>
    <w:rsid w:val="008D33C2"/>
    <w:rsid w:val="008D3F61"/>
    <w:rsid w:val="008D3FB5"/>
    <w:rsid w:val="008D42EB"/>
    <w:rsid w:val="008D43AE"/>
    <w:rsid w:val="008D4C1D"/>
    <w:rsid w:val="008D54A9"/>
    <w:rsid w:val="008D5B8B"/>
    <w:rsid w:val="008D5FD4"/>
    <w:rsid w:val="008D6322"/>
    <w:rsid w:val="008D70E8"/>
    <w:rsid w:val="008D71DD"/>
    <w:rsid w:val="008D7453"/>
    <w:rsid w:val="008D766C"/>
    <w:rsid w:val="008D7F76"/>
    <w:rsid w:val="008E032B"/>
    <w:rsid w:val="008E1A39"/>
    <w:rsid w:val="008E1CD0"/>
    <w:rsid w:val="008E1D62"/>
    <w:rsid w:val="008E254E"/>
    <w:rsid w:val="008E29A1"/>
    <w:rsid w:val="008E2F94"/>
    <w:rsid w:val="008E3107"/>
    <w:rsid w:val="008E4AF0"/>
    <w:rsid w:val="008E4D51"/>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58B"/>
    <w:rsid w:val="00900653"/>
    <w:rsid w:val="00900A01"/>
    <w:rsid w:val="00900AF7"/>
    <w:rsid w:val="00900B7A"/>
    <w:rsid w:val="00901764"/>
    <w:rsid w:val="009028A8"/>
    <w:rsid w:val="00902EAA"/>
    <w:rsid w:val="009030FA"/>
    <w:rsid w:val="0090310B"/>
    <w:rsid w:val="009033BA"/>
    <w:rsid w:val="00903EF8"/>
    <w:rsid w:val="00903F25"/>
    <w:rsid w:val="00904793"/>
    <w:rsid w:val="009047DE"/>
    <w:rsid w:val="00904D3A"/>
    <w:rsid w:val="00905A45"/>
    <w:rsid w:val="00905E47"/>
    <w:rsid w:val="0090601B"/>
    <w:rsid w:val="00906AA8"/>
    <w:rsid w:val="00906DB9"/>
    <w:rsid w:val="00906E17"/>
    <w:rsid w:val="00907163"/>
    <w:rsid w:val="009072E9"/>
    <w:rsid w:val="00907581"/>
    <w:rsid w:val="0091009F"/>
    <w:rsid w:val="009102B7"/>
    <w:rsid w:val="00910735"/>
    <w:rsid w:val="009107F2"/>
    <w:rsid w:val="00910FE8"/>
    <w:rsid w:val="00911A3C"/>
    <w:rsid w:val="00911FB6"/>
    <w:rsid w:val="009120AE"/>
    <w:rsid w:val="009124A5"/>
    <w:rsid w:val="00912DB4"/>
    <w:rsid w:val="00913F88"/>
    <w:rsid w:val="00914393"/>
    <w:rsid w:val="009156C7"/>
    <w:rsid w:val="009157BA"/>
    <w:rsid w:val="00916337"/>
    <w:rsid w:val="0091746D"/>
    <w:rsid w:val="0091752C"/>
    <w:rsid w:val="009201F5"/>
    <w:rsid w:val="0092028B"/>
    <w:rsid w:val="00920EBA"/>
    <w:rsid w:val="0092169A"/>
    <w:rsid w:val="00922591"/>
    <w:rsid w:val="0092269E"/>
    <w:rsid w:val="00922CB9"/>
    <w:rsid w:val="009234D4"/>
    <w:rsid w:val="00923791"/>
    <w:rsid w:val="009237F3"/>
    <w:rsid w:val="00923EEB"/>
    <w:rsid w:val="009242A2"/>
    <w:rsid w:val="00924CE7"/>
    <w:rsid w:val="009250A3"/>
    <w:rsid w:val="0092660E"/>
    <w:rsid w:val="00926D71"/>
    <w:rsid w:val="00927030"/>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8C4"/>
    <w:rsid w:val="00936296"/>
    <w:rsid w:val="009367C4"/>
    <w:rsid w:val="00937BB0"/>
    <w:rsid w:val="00940A02"/>
    <w:rsid w:val="00940CD2"/>
    <w:rsid w:val="00940F33"/>
    <w:rsid w:val="009423D3"/>
    <w:rsid w:val="009425AE"/>
    <w:rsid w:val="00942B34"/>
    <w:rsid w:val="00942B55"/>
    <w:rsid w:val="00942C6E"/>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FFF"/>
    <w:rsid w:val="00953446"/>
    <w:rsid w:val="00954C86"/>
    <w:rsid w:val="00955950"/>
    <w:rsid w:val="00955B03"/>
    <w:rsid w:val="00955C45"/>
    <w:rsid w:val="00955CA0"/>
    <w:rsid w:val="009577E1"/>
    <w:rsid w:val="00957C29"/>
    <w:rsid w:val="009603C9"/>
    <w:rsid w:val="00960BB3"/>
    <w:rsid w:val="00960BD2"/>
    <w:rsid w:val="00960BDF"/>
    <w:rsid w:val="00960E5A"/>
    <w:rsid w:val="009616D1"/>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EDA"/>
    <w:rsid w:val="009753B0"/>
    <w:rsid w:val="00975995"/>
    <w:rsid w:val="00975EF4"/>
    <w:rsid w:val="0097609F"/>
    <w:rsid w:val="00976783"/>
    <w:rsid w:val="00976946"/>
    <w:rsid w:val="009773E1"/>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D54"/>
    <w:rsid w:val="009900DF"/>
    <w:rsid w:val="0099049D"/>
    <w:rsid w:val="0099090A"/>
    <w:rsid w:val="00990B27"/>
    <w:rsid w:val="00990BDD"/>
    <w:rsid w:val="00990E42"/>
    <w:rsid w:val="00990FFE"/>
    <w:rsid w:val="00991264"/>
    <w:rsid w:val="00991453"/>
    <w:rsid w:val="00991566"/>
    <w:rsid w:val="00991A48"/>
    <w:rsid w:val="00991B3D"/>
    <w:rsid w:val="009926C4"/>
    <w:rsid w:val="00992B1B"/>
    <w:rsid w:val="00992D01"/>
    <w:rsid w:val="00992E13"/>
    <w:rsid w:val="009930C2"/>
    <w:rsid w:val="00993E66"/>
    <w:rsid w:val="009945DC"/>
    <w:rsid w:val="00994803"/>
    <w:rsid w:val="00994C21"/>
    <w:rsid w:val="00994F34"/>
    <w:rsid w:val="00995470"/>
    <w:rsid w:val="00995529"/>
    <w:rsid w:val="00995FD8"/>
    <w:rsid w:val="0099609F"/>
    <w:rsid w:val="009962AB"/>
    <w:rsid w:val="00996CF1"/>
    <w:rsid w:val="00997FCF"/>
    <w:rsid w:val="009A06AF"/>
    <w:rsid w:val="009A09B6"/>
    <w:rsid w:val="009A0B6D"/>
    <w:rsid w:val="009A0D06"/>
    <w:rsid w:val="009A0EFC"/>
    <w:rsid w:val="009A1ABD"/>
    <w:rsid w:val="009A1D41"/>
    <w:rsid w:val="009A27E8"/>
    <w:rsid w:val="009A297B"/>
    <w:rsid w:val="009A2D40"/>
    <w:rsid w:val="009A2E2E"/>
    <w:rsid w:val="009A3B37"/>
    <w:rsid w:val="009A3B7D"/>
    <w:rsid w:val="009A4891"/>
    <w:rsid w:val="009A4AF0"/>
    <w:rsid w:val="009A512D"/>
    <w:rsid w:val="009A5467"/>
    <w:rsid w:val="009A54C4"/>
    <w:rsid w:val="009A5551"/>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EA7"/>
    <w:rsid w:val="009B309F"/>
    <w:rsid w:val="009B33CA"/>
    <w:rsid w:val="009B45CB"/>
    <w:rsid w:val="009B48B0"/>
    <w:rsid w:val="009B5BF4"/>
    <w:rsid w:val="009B5E3D"/>
    <w:rsid w:val="009B5EB5"/>
    <w:rsid w:val="009B65DD"/>
    <w:rsid w:val="009B67AD"/>
    <w:rsid w:val="009B7780"/>
    <w:rsid w:val="009B783D"/>
    <w:rsid w:val="009B7C8C"/>
    <w:rsid w:val="009C013F"/>
    <w:rsid w:val="009C0472"/>
    <w:rsid w:val="009C085B"/>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CA5"/>
    <w:rsid w:val="009D461C"/>
    <w:rsid w:val="009D490A"/>
    <w:rsid w:val="009D4E19"/>
    <w:rsid w:val="009D534D"/>
    <w:rsid w:val="009D6055"/>
    <w:rsid w:val="009D6860"/>
    <w:rsid w:val="009D6EA3"/>
    <w:rsid w:val="009D7021"/>
    <w:rsid w:val="009D7258"/>
    <w:rsid w:val="009D7323"/>
    <w:rsid w:val="009D77EB"/>
    <w:rsid w:val="009D7B4B"/>
    <w:rsid w:val="009D7F00"/>
    <w:rsid w:val="009E00A4"/>
    <w:rsid w:val="009E1048"/>
    <w:rsid w:val="009E1A7B"/>
    <w:rsid w:val="009E1F7D"/>
    <w:rsid w:val="009E20CB"/>
    <w:rsid w:val="009E2331"/>
    <w:rsid w:val="009E242E"/>
    <w:rsid w:val="009E42DE"/>
    <w:rsid w:val="009E4DF4"/>
    <w:rsid w:val="009E539C"/>
    <w:rsid w:val="009E5455"/>
    <w:rsid w:val="009E5AD3"/>
    <w:rsid w:val="009E601A"/>
    <w:rsid w:val="009E6280"/>
    <w:rsid w:val="009E6AA1"/>
    <w:rsid w:val="009E6B60"/>
    <w:rsid w:val="009E6F43"/>
    <w:rsid w:val="009E7163"/>
    <w:rsid w:val="009E7347"/>
    <w:rsid w:val="009E74F3"/>
    <w:rsid w:val="009E7B15"/>
    <w:rsid w:val="009F004D"/>
    <w:rsid w:val="009F0EBB"/>
    <w:rsid w:val="009F1185"/>
    <w:rsid w:val="009F1782"/>
    <w:rsid w:val="009F1BF0"/>
    <w:rsid w:val="009F230F"/>
    <w:rsid w:val="009F37C9"/>
    <w:rsid w:val="009F3A56"/>
    <w:rsid w:val="009F4A17"/>
    <w:rsid w:val="009F4FE9"/>
    <w:rsid w:val="009F5539"/>
    <w:rsid w:val="009F582F"/>
    <w:rsid w:val="009F5ADA"/>
    <w:rsid w:val="009F5F23"/>
    <w:rsid w:val="009F605E"/>
    <w:rsid w:val="009F7204"/>
    <w:rsid w:val="00A005D1"/>
    <w:rsid w:val="00A0062B"/>
    <w:rsid w:val="00A0073D"/>
    <w:rsid w:val="00A00B08"/>
    <w:rsid w:val="00A00C87"/>
    <w:rsid w:val="00A013BE"/>
    <w:rsid w:val="00A014F5"/>
    <w:rsid w:val="00A01694"/>
    <w:rsid w:val="00A01D92"/>
    <w:rsid w:val="00A01E5E"/>
    <w:rsid w:val="00A0239F"/>
    <w:rsid w:val="00A024F7"/>
    <w:rsid w:val="00A02D61"/>
    <w:rsid w:val="00A02DAB"/>
    <w:rsid w:val="00A02E22"/>
    <w:rsid w:val="00A02EE6"/>
    <w:rsid w:val="00A02F37"/>
    <w:rsid w:val="00A03245"/>
    <w:rsid w:val="00A03826"/>
    <w:rsid w:val="00A03AF0"/>
    <w:rsid w:val="00A03BF4"/>
    <w:rsid w:val="00A03FE1"/>
    <w:rsid w:val="00A04EA2"/>
    <w:rsid w:val="00A050FD"/>
    <w:rsid w:val="00A051D8"/>
    <w:rsid w:val="00A066FD"/>
    <w:rsid w:val="00A068C1"/>
    <w:rsid w:val="00A06B5F"/>
    <w:rsid w:val="00A06CC6"/>
    <w:rsid w:val="00A07061"/>
    <w:rsid w:val="00A074AE"/>
    <w:rsid w:val="00A07557"/>
    <w:rsid w:val="00A075C4"/>
    <w:rsid w:val="00A07B19"/>
    <w:rsid w:val="00A111D1"/>
    <w:rsid w:val="00A1123D"/>
    <w:rsid w:val="00A1133E"/>
    <w:rsid w:val="00A11B6B"/>
    <w:rsid w:val="00A11DF4"/>
    <w:rsid w:val="00A11F06"/>
    <w:rsid w:val="00A12F3C"/>
    <w:rsid w:val="00A1331F"/>
    <w:rsid w:val="00A1472E"/>
    <w:rsid w:val="00A14734"/>
    <w:rsid w:val="00A14DFC"/>
    <w:rsid w:val="00A157B9"/>
    <w:rsid w:val="00A1667A"/>
    <w:rsid w:val="00A170D6"/>
    <w:rsid w:val="00A1720D"/>
    <w:rsid w:val="00A1747B"/>
    <w:rsid w:val="00A178E9"/>
    <w:rsid w:val="00A17CFE"/>
    <w:rsid w:val="00A17ED0"/>
    <w:rsid w:val="00A201A2"/>
    <w:rsid w:val="00A2085B"/>
    <w:rsid w:val="00A20B3D"/>
    <w:rsid w:val="00A20B5C"/>
    <w:rsid w:val="00A21F19"/>
    <w:rsid w:val="00A22173"/>
    <w:rsid w:val="00A222AD"/>
    <w:rsid w:val="00A22C75"/>
    <w:rsid w:val="00A23853"/>
    <w:rsid w:val="00A238C3"/>
    <w:rsid w:val="00A261FD"/>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61D"/>
    <w:rsid w:val="00A37A45"/>
    <w:rsid w:val="00A37D1A"/>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7144"/>
    <w:rsid w:val="00A51B60"/>
    <w:rsid w:val="00A5263F"/>
    <w:rsid w:val="00A5297A"/>
    <w:rsid w:val="00A53B8A"/>
    <w:rsid w:val="00A53BE0"/>
    <w:rsid w:val="00A53CA0"/>
    <w:rsid w:val="00A5477D"/>
    <w:rsid w:val="00A55C55"/>
    <w:rsid w:val="00A55D8D"/>
    <w:rsid w:val="00A55E72"/>
    <w:rsid w:val="00A5728B"/>
    <w:rsid w:val="00A57415"/>
    <w:rsid w:val="00A5748E"/>
    <w:rsid w:val="00A57616"/>
    <w:rsid w:val="00A576BD"/>
    <w:rsid w:val="00A578C2"/>
    <w:rsid w:val="00A57EFC"/>
    <w:rsid w:val="00A60139"/>
    <w:rsid w:val="00A61171"/>
    <w:rsid w:val="00A612EF"/>
    <w:rsid w:val="00A61392"/>
    <w:rsid w:val="00A617FC"/>
    <w:rsid w:val="00A61E03"/>
    <w:rsid w:val="00A61FFC"/>
    <w:rsid w:val="00A62203"/>
    <w:rsid w:val="00A62367"/>
    <w:rsid w:val="00A6240F"/>
    <w:rsid w:val="00A62B44"/>
    <w:rsid w:val="00A63E83"/>
    <w:rsid w:val="00A6455D"/>
    <w:rsid w:val="00A645D1"/>
    <w:rsid w:val="00A645DA"/>
    <w:rsid w:val="00A6482A"/>
    <w:rsid w:val="00A650FE"/>
    <w:rsid w:val="00A655C5"/>
    <w:rsid w:val="00A65BFD"/>
    <w:rsid w:val="00A65CD3"/>
    <w:rsid w:val="00A65DDF"/>
    <w:rsid w:val="00A65F86"/>
    <w:rsid w:val="00A660C0"/>
    <w:rsid w:val="00A66985"/>
    <w:rsid w:val="00A67111"/>
    <w:rsid w:val="00A67635"/>
    <w:rsid w:val="00A676BD"/>
    <w:rsid w:val="00A67C39"/>
    <w:rsid w:val="00A67C4C"/>
    <w:rsid w:val="00A70113"/>
    <w:rsid w:val="00A7025A"/>
    <w:rsid w:val="00A70A8C"/>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9EC"/>
    <w:rsid w:val="00A81EEF"/>
    <w:rsid w:val="00A82232"/>
    <w:rsid w:val="00A823D6"/>
    <w:rsid w:val="00A83CE4"/>
    <w:rsid w:val="00A83F6A"/>
    <w:rsid w:val="00A83FE3"/>
    <w:rsid w:val="00A846C8"/>
    <w:rsid w:val="00A84F93"/>
    <w:rsid w:val="00A85070"/>
    <w:rsid w:val="00A85BAE"/>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E3"/>
    <w:rsid w:val="00A94BCB"/>
    <w:rsid w:val="00A94C9E"/>
    <w:rsid w:val="00A959AE"/>
    <w:rsid w:val="00A95BAD"/>
    <w:rsid w:val="00A95D72"/>
    <w:rsid w:val="00A96056"/>
    <w:rsid w:val="00A963F6"/>
    <w:rsid w:val="00A964A8"/>
    <w:rsid w:val="00A965A6"/>
    <w:rsid w:val="00A969C8"/>
    <w:rsid w:val="00A96BE8"/>
    <w:rsid w:val="00A97497"/>
    <w:rsid w:val="00A97D57"/>
    <w:rsid w:val="00AA0156"/>
    <w:rsid w:val="00AA01EF"/>
    <w:rsid w:val="00AA0506"/>
    <w:rsid w:val="00AA098F"/>
    <w:rsid w:val="00AA0A7D"/>
    <w:rsid w:val="00AA0B6C"/>
    <w:rsid w:val="00AA0DC3"/>
    <w:rsid w:val="00AA1556"/>
    <w:rsid w:val="00AA16CF"/>
    <w:rsid w:val="00AA1E0F"/>
    <w:rsid w:val="00AA1E4D"/>
    <w:rsid w:val="00AA1F38"/>
    <w:rsid w:val="00AA1F52"/>
    <w:rsid w:val="00AA24DC"/>
    <w:rsid w:val="00AA2773"/>
    <w:rsid w:val="00AA4152"/>
    <w:rsid w:val="00AA421E"/>
    <w:rsid w:val="00AA4911"/>
    <w:rsid w:val="00AA4A16"/>
    <w:rsid w:val="00AA4DB4"/>
    <w:rsid w:val="00AA4F48"/>
    <w:rsid w:val="00AA4FD7"/>
    <w:rsid w:val="00AA52DC"/>
    <w:rsid w:val="00AA531A"/>
    <w:rsid w:val="00AA5390"/>
    <w:rsid w:val="00AA5631"/>
    <w:rsid w:val="00AA5D7E"/>
    <w:rsid w:val="00AA6B53"/>
    <w:rsid w:val="00AA6CBC"/>
    <w:rsid w:val="00AA6E0C"/>
    <w:rsid w:val="00AA6F92"/>
    <w:rsid w:val="00AA72AE"/>
    <w:rsid w:val="00AA77FD"/>
    <w:rsid w:val="00AB03A4"/>
    <w:rsid w:val="00AB04AF"/>
    <w:rsid w:val="00AB0534"/>
    <w:rsid w:val="00AB07B4"/>
    <w:rsid w:val="00AB09AC"/>
    <w:rsid w:val="00AB1024"/>
    <w:rsid w:val="00AB1695"/>
    <w:rsid w:val="00AB16B4"/>
    <w:rsid w:val="00AB1FB5"/>
    <w:rsid w:val="00AB29DA"/>
    <w:rsid w:val="00AB2D99"/>
    <w:rsid w:val="00AB310D"/>
    <w:rsid w:val="00AB341E"/>
    <w:rsid w:val="00AB349E"/>
    <w:rsid w:val="00AB3A31"/>
    <w:rsid w:val="00AB4068"/>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0AF"/>
    <w:rsid w:val="00AD23C7"/>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4C61"/>
    <w:rsid w:val="00AE5099"/>
    <w:rsid w:val="00AE62DA"/>
    <w:rsid w:val="00AE63C4"/>
    <w:rsid w:val="00AE6A93"/>
    <w:rsid w:val="00AE70F1"/>
    <w:rsid w:val="00AF00DD"/>
    <w:rsid w:val="00AF0381"/>
    <w:rsid w:val="00AF0C9E"/>
    <w:rsid w:val="00AF0D5A"/>
    <w:rsid w:val="00AF2D2D"/>
    <w:rsid w:val="00AF2D96"/>
    <w:rsid w:val="00AF32A7"/>
    <w:rsid w:val="00AF33FE"/>
    <w:rsid w:val="00AF3CF1"/>
    <w:rsid w:val="00AF40BA"/>
    <w:rsid w:val="00AF42DE"/>
    <w:rsid w:val="00AF4867"/>
    <w:rsid w:val="00AF556E"/>
    <w:rsid w:val="00AF55A5"/>
    <w:rsid w:val="00AF5918"/>
    <w:rsid w:val="00AF59A1"/>
    <w:rsid w:val="00AF5A38"/>
    <w:rsid w:val="00AF63B0"/>
    <w:rsid w:val="00AF63C9"/>
    <w:rsid w:val="00AF6D09"/>
    <w:rsid w:val="00AF786E"/>
    <w:rsid w:val="00B001BA"/>
    <w:rsid w:val="00B003EC"/>
    <w:rsid w:val="00B013FF"/>
    <w:rsid w:val="00B01682"/>
    <w:rsid w:val="00B024E0"/>
    <w:rsid w:val="00B036F2"/>
    <w:rsid w:val="00B03BAF"/>
    <w:rsid w:val="00B03BDC"/>
    <w:rsid w:val="00B04AFC"/>
    <w:rsid w:val="00B04E18"/>
    <w:rsid w:val="00B0513A"/>
    <w:rsid w:val="00B05CBA"/>
    <w:rsid w:val="00B06002"/>
    <w:rsid w:val="00B064A1"/>
    <w:rsid w:val="00B06AE3"/>
    <w:rsid w:val="00B06CE3"/>
    <w:rsid w:val="00B07282"/>
    <w:rsid w:val="00B072AB"/>
    <w:rsid w:val="00B07603"/>
    <w:rsid w:val="00B07859"/>
    <w:rsid w:val="00B07973"/>
    <w:rsid w:val="00B07C70"/>
    <w:rsid w:val="00B07FF0"/>
    <w:rsid w:val="00B1016A"/>
    <w:rsid w:val="00B1026E"/>
    <w:rsid w:val="00B107EC"/>
    <w:rsid w:val="00B10B26"/>
    <w:rsid w:val="00B10B6D"/>
    <w:rsid w:val="00B10B9A"/>
    <w:rsid w:val="00B116DA"/>
    <w:rsid w:val="00B11F4A"/>
    <w:rsid w:val="00B11F92"/>
    <w:rsid w:val="00B12733"/>
    <w:rsid w:val="00B13975"/>
    <w:rsid w:val="00B13ACB"/>
    <w:rsid w:val="00B14016"/>
    <w:rsid w:val="00B1440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623A"/>
    <w:rsid w:val="00B27316"/>
    <w:rsid w:val="00B27CD2"/>
    <w:rsid w:val="00B3016D"/>
    <w:rsid w:val="00B30391"/>
    <w:rsid w:val="00B30DDF"/>
    <w:rsid w:val="00B30E6B"/>
    <w:rsid w:val="00B313E2"/>
    <w:rsid w:val="00B31673"/>
    <w:rsid w:val="00B31E7C"/>
    <w:rsid w:val="00B31F2F"/>
    <w:rsid w:val="00B32873"/>
    <w:rsid w:val="00B32B8F"/>
    <w:rsid w:val="00B33070"/>
    <w:rsid w:val="00B33112"/>
    <w:rsid w:val="00B33662"/>
    <w:rsid w:val="00B3369F"/>
    <w:rsid w:val="00B33833"/>
    <w:rsid w:val="00B34592"/>
    <w:rsid w:val="00B34884"/>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407"/>
    <w:rsid w:val="00B52D5C"/>
    <w:rsid w:val="00B532C0"/>
    <w:rsid w:val="00B532E9"/>
    <w:rsid w:val="00B54361"/>
    <w:rsid w:val="00B54868"/>
    <w:rsid w:val="00B55F66"/>
    <w:rsid w:val="00B5625F"/>
    <w:rsid w:val="00B5643A"/>
    <w:rsid w:val="00B565C5"/>
    <w:rsid w:val="00B56A68"/>
    <w:rsid w:val="00B577A6"/>
    <w:rsid w:val="00B57DA9"/>
    <w:rsid w:val="00B60144"/>
    <w:rsid w:val="00B60281"/>
    <w:rsid w:val="00B60474"/>
    <w:rsid w:val="00B60F95"/>
    <w:rsid w:val="00B6125F"/>
    <w:rsid w:val="00B61CA3"/>
    <w:rsid w:val="00B61D56"/>
    <w:rsid w:val="00B623E3"/>
    <w:rsid w:val="00B6255F"/>
    <w:rsid w:val="00B62E61"/>
    <w:rsid w:val="00B6313F"/>
    <w:rsid w:val="00B63528"/>
    <w:rsid w:val="00B64F9C"/>
    <w:rsid w:val="00B673B9"/>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54A"/>
    <w:rsid w:val="00B93DF3"/>
    <w:rsid w:val="00B93FFF"/>
    <w:rsid w:val="00B94E6C"/>
    <w:rsid w:val="00B95496"/>
    <w:rsid w:val="00B9593C"/>
    <w:rsid w:val="00B95BD7"/>
    <w:rsid w:val="00B95F20"/>
    <w:rsid w:val="00B967EB"/>
    <w:rsid w:val="00B9708E"/>
    <w:rsid w:val="00B971A3"/>
    <w:rsid w:val="00B971D0"/>
    <w:rsid w:val="00B975C8"/>
    <w:rsid w:val="00B97A63"/>
    <w:rsid w:val="00B97CB4"/>
    <w:rsid w:val="00BA04F1"/>
    <w:rsid w:val="00BA06A9"/>
    <w:rsid w:val="00BA0A14"/>
    <w:rsid w:val="00BA0AA5"/>
    <w:rsid w:val="00BA0C35"/>
    <w:rsid w:val="00BA0FF6"/>
    <w:rsid w:val="00BA1078"/>
    <w:rsid w:val="00BA14C6"/>
    <w:rsid w:val="00BA17DF"/>
    <w:rsid w:val="00BA1C10"/>
    <w:rsid w:val="00BA1CEB"/>
    <w:rsid w:val="00BA222C"/>
    <w:rsid w:val="00BA23D8"/>
    <w:rsid w:val="00BA3885"/>
    <w:rsid w:val="00BA3AF9"/>
    <w:rsid w:val="00BA42FC"/>
    <w:rsid w:val="00BA45F0"/>
    <w:rsid w:val="00BA470E"/>
    <w:rsid w:val="00BA5514"/>
    <w:rsid w:val="00BA5537"/>
    <w:rsid w:val="00BA5999"/>
    <w:rsid w:val="00BA5A52"/>
    <w:rsid w:val="00BA5C77"/>
    <w:rsid w:val="00BA684B"/>
    <w:rsid w:val="00BA6B9B"/>
    <w:rsid w:val="00BA6DB0"/>
    <w:rsid w:val="00BA71A9"/>
    <w:rsid w:val="00BA7569"/>
    <w:rsid w:val="00BA78ED"/>
    <w:rsid w:val="00BA7D07"/>
    <w:rsid w:val="00BB0552"/>
    <w:rsid w:val="00BB081F"/>
    <w:rsid w:val="00BB08A4"/>
    <w:rsid w:val="00BB0B96"/>
    <w:rsid w:val="00BB1B53"/>
    <w:rsid w:val="00BB22BD"/>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1D02"/>
    <w:rsid w:val="00BC1DB0"/>
    <w:rsid w:val="00BC1DFF"/>
    <w:rsid w:val="00BC1E18"/>
    <w:rsid w:val="00BC2203"/>
    <w:rsid w:val="00BC2682"/>
    <w:rsid w:val="00BC2698"/>
    <w:rsid w:val="00BC28DF"/>
    <w:rsid w:val="00BC2F5A"/>
    <w:rsid w:val="00BC3B28"/>
    <w:rsid w:val="00BC3C9E"/>
    <w:rsid w:val="00BC3CE9"/>
    <w:rsid w:val="00BC3CFD"/>
    <w:rsid w:val="00BC5101"/>
    <w:rsid w:val="00BC55AC"/>
    <w:rsid w:val="00BC5C5F"/>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4059"/>
    <w:rsid w:val="00BE4671"/>
    <w:rsid w:val="00BE5D01"/>
    <w:rsid w:val="00BE5E81"/>
    <w:rsid w:val="00BE6134"/>
    <w:rsid w:val="00BE7012"/>
    <w:rsid w:val="00BE7E8C"/>
    <w:rsid w:val="00BF0071"/>
    <w:rsid w:val="00BF06FA"/>
    <w:rsid w:val="00BF0733"/>
    <w:rsid w:val="00BF08DE"/>
    <w:rsid w:val="00BF0B5B"/>
    <w:rsid w:val="00BF1B61"/>
    <w:rsid w:val="00BF1FA9"/>
    <w:rsid w:val="00BF209B"/>
    <w:rsid w:val="00BF24FB"/>
    <w:rsid w:val="00BF2DC2"/>
    <w:rsid w:val="00BF2DFD"/>
    <w:rsid w:val="00BF3D98"/>
    <w:rsid w:val="00BF5538"/>
    <w:rsid w:val="00BF5708"/>
    <w:rsid w:val="00BF59FF"/>
    <w:rsid w:val="00BF5C28"/>
    <w:rsid w:val="00BF5CA8"/>
    <w:rsid w:val="00BF5E56"/>
    <w:rsid w:val="00BF6032"/>
    <w:rsid w:val="00BF6056"/>
    <w:rsid w:val="00BF6944"/>
    <w:rsid w:val="00C00961"/>
    <w:rsid w:val="00C00C14"/>
    <w:rsid w:val="00C0126C"/>
    <w:rsid w:val="00C0140C"/>
    <w:rsid w:val="00C015D1"/>
    <w:rsid w:val="00C01A69"/>
    <w:rsid w:val="00C027DD"/>
    <w:rsid w:val="00C029D1"/>
    <w:rsid w:val="00C02A75"/>
    <w:rsid w:val="00C02B5B"/>
    <w:rsid w:val="00C02C1A"/>
    <w:rsid w:val="00C0352A"/>
    <w:rsid w:val="00C03DB8"/>
    <w:rsid w:val="00C03FA5"/>
    <w:rsid w:val="00C04497"/>
    <w:rsid w:val="00C04C14"/>
    <w:rsid w:val="00C056CE"/>
    <w:rsid w:val="00C0573D"/>
    <w:rsid w:val="00C05825"/>
    <w:rsid w:val="00C058C9"/>
    <w:rsid w:val="00C0611F"/>
    <w:rsid w:val="00C0654B"/>
    <w:rsid w:val="00C0654E"/>
    <w:rsid w:val="00C079D1"/>
    <w:rsid w:val="00C07FA9"/>
    <w:rsid w:val="00C10504"/>
    <w:rsid w:val="00C10C41"/>
    <w:rsid w:val="00C1136B"/>
    <w:rsid w:val="00C128CC"/>
    <w:rsid w:val="00C13025"/>
    <w:rsid w:val="00C14175"/>
    <w:rsid w:val="00C1441A"/>
    <w:rsid w:val="00C14434"/>
    <w:rsid w:val="00C15E30"/>
    <w:rsid w:val="00C1686B"/>
    <w:rsid w:val="00C175AE"/>
    <w:rsid w:val="00C17959"/>
    <w:rsid w:val="00C17E41"/>
    <w:rsid w:val="00C20974"/>
    <w:rsid w:val="00C20D0A"/>
    <w:rsid w:val="00C21C57"/>
    <w:rsid w:val="00C21D83"/>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37109"/>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D19"/>
    <w:rsid w:val="00C512E3"/>
    <w:rsid w:val="00C51B8F"/>
    <w:rsid w:val="00C529CC"/>
    <w:rsid w:val="00C53030"/>
    <w:rsid w:val="00C53543"/>
    <w:rsid w:val="00C537C5"/>
    <w:rsid w:val="00C53B58"/>
    <w:rsid w:val="00C542F6"/>
    <w:rsid w:val="00C5443B"/>
    <w:rsid w:val="00C54749"/>
    <w:rsid w:val="00C5485F"/>
    <w:rsid w:val="00C55173"/>
    <w:rsid w:val="00C555A1"/>
    <w:rsid w:val="00C5690B"/>
    <w:rsid w:val="00C57AB7"/>
    <w:rsid w:val="00C57E3F"/>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4238"/>
    <w:rsid w:val="00C646DB"/>
    <w:rsid w:val="00C6470F"/>
    <w:rsid w:val="00C64DCD"/>
    <w:rsid w:val="00C65208"/>
    <w:rsid w:val="00C6592E"/>
    <w:rsid w:val="00C6598A"/>
    <w:rsid w:val="00C660BF"/>
    <w:rsid w:val="00C66395"/>
    <w:rsid w:val="00C668B8"/>
    <w:rsid w:val="00C668EE"/>
    <w:rsid w:val="00C66BE1"/>
    <w:rsid w:val="00C70407"/>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48C"/>
    <w:rsid w:val="00C7780D"/>
    <w:rsid w:val="00C77EA8"/>
    <w:rsid w:val="00C80A60"/>
    <w:rsid w:val="00C80C6B"/>
    <w:rsid w:val="00C80DE4"/>
    <w:rsid w:val="00C812AC"/>
    <w:rsid w:val="00C813D3"/>
    <w:rsid w:val="00C81AB9"/>
    <w:rsid w:val="00C81F37"/>
    <w:rsid w:val="00C82954"/>
    <w:rsid w:val="00C829C7"/>
    <w:rsid w:val="00C82CBA"/>
    <w:rsid w:val="00C8323E"/>
    <w:rsid w:val="00C83793"/>
    <w:rsid w:val="00C8422A"/>
    <w:rsid w:val="00C84BC9"/>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13A"/>
    <w:rsid w:val="00C9632A"/>
    <w:rsid w:val="00C96494"/>
    <w:rsid w:val="00C96912"/>
    <w:rsid w:val="00C96B12"/>
    <w:rsid w:val="00C96F52"/>
    <w:rsid w:val="00C97A6D"/>
    <w:rsid w:val="00C97BCE"/>
    <w:rsid w:val="00C97D11"/>
    <w:rsid w:val="00C97DCA"/>
    <w:rsid w:val="00C97EE9"/>
    <w:rsid w:val="00CA08DF"/>
    <w:rsid w:val="00CA0C1D"/>
    <w:rsid w:val="00CA0D02"/>
    <w:rsid w:val="00CA0EC7"/>
    <w:rsid w:val="00CA1C25"/>
    <w:rsid w:val="00CA2035"/>
    <w:rsid w:val="00CA20A6"/>
    <w:rsid w:val="00CA22AB"/>
    <w:rsid w:val="00CA30CC"/>
    <w:rsid w:val="00CA31E0"/>
    <w:rsid w:val="00CA3D3B"/>
    <w:rsid w:val="00CA497A"/>
    <w:rsid w:val="00CA4C6F"/>
    <w:rsid w:val="00CA5212"/>
    <w:rsid w:val="00CA5569"/>
    <w:rsid w:val="00CA6F28"/>
    <w:rsid w:val="00CA6F4D"/>
    <w:rsid w:val="00CA7750"/>
    <w:rsid w:val="00CA7B13"/>
    <w:rsid w:val="00CB00E5"/>
    <w:rsid w:val="00CB03D4"/>
    <w:rsid w:val="00CB0445"/>
    <w:rsid w:val="00CB076F"/>
    <w:rsid w:val="00CB11CD"/>
    <w:rsid w:val="00CB1246"/>
    <w:rsid w:val="00CB147D"/>
    <w:rsid w:val="00CB193F"/>
    <w:rsid w:val="00CB1ED8"/>
    <w:rsid w:val="00CB243B"/>
    <w:rsid w:val="00CB26E0"/>
    <w:rsid w:val="00CB2D8E"/>
    <w:rsid w:val="00CB2DD4"/>
    <w:rsid w:val="00CB2E13"/>
    <w:rsid w:val="00CB3D8E"/>
    <w:rsid w:val="00CB3F16"/>
    <w:rsid w:val="00CB3F8D"/>
    <w:rsid w:val="00CB43B2"/>
    <w:rsid w:val="00CB4D51"/>
    <w:rsid w:val="00CB5753"/>
    <w:rsid w:val="00CB6362"/>
    <w:rsid w:val="00CB6F78"/>
    <w:rsid w:val="00CB741E"/>
    <w:rsid w:val="00CB7B6E"/>
    <w:rsid w:val="00CB7E7E"/>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3A1"/>
    <w:rsid w:val="00CE5833"/>
    <w:rsid w:val="00CE6116"/>
    <w:rsid w:val="00CE69A9"/>
    <w:rsid w:val="00CE7B2C"/>
    <w:rsid w:val="00CF0A31"/>
    <w:rsid w:val="00CF1271"/>
    <w:rsid w:val="00CF1848"/>
    <w:rsid w:val="00CF1D36"/>
    <w:rsid w:val="00CF256B"/>
    <w:rsid w:val="00CF32D2"/>
    <w:rsid w:val="00CF3855"/>
    <w:rsid w:val="00CF41D8"/>
    <w:rsid w:val="00CF467E"/>
    <w:rsid w:val="00CF4EFC"/>
    <w:rsid w:val="00CF506F"/>
    <w:rsid w:val="00CF510F"/>
    <w:rsid w:val="00CF6637"/>
    <w:rsid w:val="00CF688A"/>
    <w:rsid w:val="00CF6B31"/>
    <w:rsid w:val="00CF7B8A"/>
    <w:rsid w:val="00CF7D71"/>
    <w:rsid w:val="00CF7F17"/>
    <w:rsid w:val="00D00092"/>
    <w:rsid w:val="00D00358"/>
    <w:rsid w:val="00D00674"/>
    <w:rsid w:val="00D00F3A"/>
    <w:rsid w:val="00D0113C"/>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7FBF"/>
    <w:rsid w:val="00D10577"/>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923"/>
    <w:rsid w:val="00D2001C"/>
    <w:rsid w:val="00D20AD5"/>
    <w:rsid w:val="00D20E86"/>
    <w:rsid w:val="00D22153"/>
    <w:rsid w:val="00D22426"/>
    <w:rsid w:val="00D224C1"/>
    <w:rsid w:val="00D225B2"/>
    <w:rsid w:val="00D226D6"/>
    <w:rsid w:val="00D227F0"/>
    <w:rsid w:val="00D22E86"/>
    <w:rsid w:val="00D237C2"/>
    <w:rsid w:val="00D252CE"/>
    <w:rsid w:val="00D2608B"/>
    <w:rsid w:val="00D26270"/>
    <w:rsid w:val="00D26319"/>
    <w:rsid w:val="00D2681A"/>
    <w:rsid w:val="00D26DBE"/>
    <w:rsid w:val="00D30E45"/>
    <w:rsid w:val="00D3104F"/>
    <w:rsid w:val="00D31141"/>
    <w:rsid w:val="00D31D26"/>
    <w:rsid w:val="00D31E8D"/>
    <w:rsid w:val="00D324C3"/>
    <w:rsid w:val="00D326C3"/>
    <w:rsid w:val="00D329DA"/>
    <w:rsid w:val="00D32E8E"/>
    <w:rsid w:val="00D331DD"/>
    <w:rsid w:val="00D33487"/>
    <w:rsid w:val="00D3351C"/>
    <w:rsid w:val="00D33EFC"/>
    <w:rsid w:val="00D342AA"/>
    <w:rsid w:val="00D34DB0"/>
    <w:rsid w:val="00D35D02"/>
    <w:rsid w:val="00D35EC7"/>
    <w:rsid w:val="00D362A4"/>
    <w:rsid w:val="00D36691"/>
    <w:rsid w:val="00D37595"/>
    <w:rsid w:val="00D377FF"/>
    <w:rsid w:val="00D37C13"/>
    <w:rsid w:val="00D37F1B"/>
    <w:rsid w:val="00D40DBC"/>
    <w:rsid w:val="00D40F2C"/>
    <w:rsid w:val="00D4158B"/>
    <w:rsid w:val="00D41645"/>
    <w:rsid w:val="00D4189B"/>
    <w:rsid w:val="00D41E27"/>
    <w:rsid w:val="00D41F15"/>
    <w:rsid w:val="00D42575"/>
    <w:rsid w:val="00D43CB2"/>
    <w:rsid w:val="00D43E7F"/>
    <w:rsid w:val="00D442AB"/>
    <w:rsid w:val="00D449AA"/>
    <w:rsid w:val="00D44F22"/>
    <w:rsid w:val="00D4526C"/>
    <w:rsid w:val="00D45307"/>
    <w:rsid w:val="00D458A3"/>
    <w:rsid w:val="00D45E0C"/>
    <w:rsid w:val="00D46566"/>
    <w:rsid w:val="00D469DB"/>
    <w:rsid w:val="00D4711F"/>
    <w:rsid w:val="00D4735D"/>
    <w:rsid w:val="00D478B6"/>
    <w:rsid w:val="00D50031"/>
    <w:rsid w:val="00D5016D"/>
    <w:rsid w:val="00D50246"/>
    <w:rsid w:val="00D503C1"/>
    <w:rsid w:val="00D50983"/>
    <w:rsid w:val="00D50F19"/>
    <w:rsid w:val="00D50FDA"/>
    <w:rsid w:val="00D51487"/>
    <w:rsid w:val="00D5191A"/>
    <w:rsid w:val="00D51F80"/>
    <w:rsid w:val="00D520DC"/>
    <w:rsid w:val="00D5228D"/>
    <w:rsid w:val="00D52A0A"/>
    <w:rsid w:val="00D54F04"/>
    <w:rsid w:val="00D55E39"/>
    <w:rsid w:val="00D562C2"/>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A7C"/>
    <w:rsid w:val="00D65337"/>
    <w:rsid w:val="00D65CD4"/>
    <w:rsid w:val="00D65F0D"/>
    <w:rsid w:val="00D6671E"/>
    <w:rsid w:val="00D667AD"/>
    <w:rsid w:val="00D668C9"/>
    <w:rsid w:val="00D66F63"/>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B6"/>
    <w:rsid w:val="00D771F5"/>
    <w:rsid w:val="00D777CA"/>
    <w:rsid w:val="00D778DF"/>
    <w:rsid w:val="00D80849"/>
    <w:rsid w:val="00D80B9A"/>
    <w:rsid w:val="00D81372"/>
    <w:rsid w:val="00D81F7F"/>
    <w:rsid w:val="00D81FB1"/>
    <w:rsid w:val="00D826EF"/>
    <w:rsid w:val="00D827D1"/>
    <w:rsid w:val="00D82B90"/>
    <w:rsid w:val="00D82E8F"/>
    <w:rsid w:val="00D83777"/>
    <w:rsid w:val="00D84031"/>
    <w:rsid w:val="00D84307"/>
    <w:rsid w:val="00D845F1"/>
    <w:rsid w:val="00D84661"/>
    <w:rsid w:val="00D84EC4"/>
    <w:rsid w:val="00D85FF5"/>
    <w:rsid w:val="00D86FAA"/>
    <w:rsid w:val="00D87054"/>
    <w:rsid w:val="00D8725F"/>
    <w:rsid w:val="00D875CC"/>
    <w:rsid w:val="00D8782D"/>
    <w:rsid w:val="00D87F86"/>
    <w:rsid w:val="00D9098E"/>
    <w:rsid w:val="00D90E24"/>
    <w:rsid w:val="00D913EF"/>
    <w:rsid w:val="00D91777"/>
    <w:rsid w:val="00D91E02"/>
    <w:rsid w:val="00D92989"/>
    <w:rsid w:val="00D92A90"/>
    <w:rsid w:val="00D93004"/>
    <w:rsid w:val="00D93325"/>
    <w:rsid w:val="00D936A3"/>
    <w:rsid w:val="00D938C1"/>
    <w:rsid w:val="00D939E6"/>
    <w:rsid w:val="00D94214"/>
    <w:rsid w:val="00D94612"/>
    <w:rsid w:val="00D94815"/>
    <w:rsid w:val="00D94DB5"/>
    <w:rsid w:val="00D94FD7"/>
    <w:rsid w:val="00D951C5"/>
    <w:rsid w:val="00D958A4"/>
    <w:rsid w:val="00D95973"/>
    <w:rsid w:val="00D96592"/>
    <w:rsid w:val="00D9660C"/>
    <w:rsid w:val="00D96D6C"/>
    <w:rsid w:val="00D96D8B"/>
    <w:rsid w:val="00D9773C"/>
    <w:rsid w:val="00D97990"/>
    <w:rsid w:val="00DA0201"/>
    <w:rsid w:val="00DA083C"/>
    <w:rsid w:val="00DA0B48"/>
    <w:rsid w:val="00DA1E45"/>
    <w:rsid w:val="00DA259F"/>
    <w:rsid w:val="00DA25FC"/>
    <w:rsid w:val="00DA27AF"/>
    <w:rsid w:val="00DA33FA"/>
    <w:rsid w:val="00DA3417"/>
    <w:rsid w:val="00DA3893"/>
    <w:rsid w:val="00DA4167"/>
    <w:rsid w:val="00DA4B8E"/>
    <w:rsid w:val="00DA4C98"/>
    <w:rsid w:val="00DA4DBA"/>
    <w:rsid w:val="00DA5567"/>
    <w:rsid w:val="00DA5981"/>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5EA1"/>
    <w:rsid w:val="00DB63EB"/>
    <w:rsid w:val="00DB65CC"/>
    <w:rsid w:val="00DB6CF3"/>
    <w:rsid w:val="00DB6E90"/>
    <w:rsid w:val="00DB6F88"/>
    <w:rsid w:val="00DB7B2B"/>
    <w:rsid w:val="00DB7DAE"/>
    <w:rsid w:val="00DB7FF8"/>
    <w:rsid w:val="00DC062D"/>
    <w:rsid w:val="00DC0B42"/>
    <w:rsid w:val="00DC0BF6"/>
    <w:rsid w:val="00DC11AE"/>
    <w:rsid w:val="00DC1738"/>
    <w:rsid w:val="00DC1D59"/>
    <w:rsid w:val="00DC200C"/>
    <w:rsid w:val="00DC2582"/>
    <w:rsid w:val="00DC2967"/>
    <w:rsid w:val="00DC2D74"/>
    <w:rsid w:val="00DC3005"/>
    <w:rsid w:val="00DC33F5"/>
    <w:rsid w:val="00DC35E8"/>
    <w:rsid w:val="00DC3901"/>
    <w:rsid w:val="00DC3925"/>
    <w:rsid w:val="00DC3DF2"/>
    <w:rsid w:val="00DC47FF"/>
    <w:rsid w:val="00DC52F7"/>
    <w:rsid w:val="00DC5AB3"/>
    <w:rsid w:val="00DC6095"/>
    <w:rsid w:val="00DC63C0"/>
    <w:rsid w:val="00DC6605"/>
    <w:rsid w:val="00DC669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40D2"/>
    <w:rsid w:val="00DD4246"/>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C8E"/>
    <w:rsid w:val="00DE4EBC"/>
    <w:rsid w:val="00DE5C77"/>
    <w:rsid w:val="00DE5D6B"/>
    <w:rsid w:val="00DE5DB0"/>
    <w:rsid w:val="00DE6797"/>
    <w:rsid w:val="00DE6923"/>
    <w:rsid w:val="00DE765C"/>
    <w:rsid w:val="00DE7CEA"/>
    <w:rsid w:val="00DF0382"/>
    <w:rsid w:val="00DF0699"/>
    <w:rsid w:val="00DF15F2"/>
    <w:rsid w:val="00DF1651"/>
    <w:rsid w:val="00DF1714"/>
    <w:rsid w:val="00DF1D59"/>
    <w:rsid w:val="00DF264D"/>
    <w:rsid w:val="00DF2812"/>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C3C"/>
    <w:rsid w:val="00E06EB5"/>
    <w:rsid w:val="00E06FCB"/>
    <w:rsid w:val="00E071E5"/>
    <w:rsid w:val="00E07739"/>
    <w:rsid w:val="00E0796F"/>
    <w:rsid w:val="00E07BA8"/>
    <w:rsid w:val="00E11379"/>
    <w:rsid w:val="00E11AA3"/>
    <w:rsid w:val="00E11B2B"/>
    <w:rsid w:val="00E11B68"/>
    <w:rsid w:val="00E11E55"/>
    <w:rsid w:val="00E1232B"/>
    <w:rsid w:val="00E12A1A"/>
    <w:rsid w:val="00E12DE8"/>
    <w:rsid w:val="00E12E14"/>
    <w:rsid w:val="00E12F58"/>
    <w:rsid w:val="00E13194"/>
    <w:rsid w:val="00E134AB"/>
    <w:rsid w:val="00E1479A"/>
    <w:rsid w:val="00E14CB8"/>
    <w:rsid w:val="00E14FFB"/>
    <w:rsid w:val="00E150CA"/>
    <w:rsid w:val="00E16144"/>
    <w:rsid w:val="00E168B8"/>
    <w:rsid w:val="00E1696C"/>
    <w:rsid w:val="00E16C9E"/>
    <w:rsid w:val="00E16D3D"/>
    <w:rsid w:val="00E16DE9"/>
    <w:rsid w:val="00E16E04"/>
    <w:rsid w:val="00E17057"/>
    <w:rsid w:val="00E1787F"/>
    <w:rsid w:val="00E17F1C"/>
    <w:rsid w:val="00E207A7"/>
    <w:rsid w:val="00E216CE"/>
    <w:rsid w:val="00E2203E"/>
    <w:rsid w:val="00E22B21"/>
    <w:rsid w:val="00E22BF3"/>
    <w:rsid w:val="00E22DF4"/>
    <w:rsid w:val="00E23165"/>
    <w:rsid w:val="00E23204"/>
    <w:rsid w:val="00E2339B"/>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77CC"/>
    <w:rsid w:val="00E27A25"/>
    <w:rsid w:val="00E30DD2"/>
    <w:rsid w:val="00E31749"/>
    <w:rsid w:val="00E317E5"/>
    <w:rsid w:val="00E31825"/>
    <w:rsid w:val="00E31E9A"/>
    <w:rsid w:val="00E31F9E"/>
    <w:rsid w:val="00E32084"/>
    <w:rsid w:val="00E32632"/>
    <w:rsid w:val="00E32C70"/>
    <w:rsid w:val="00E3354E"/>
    <w:rsid w:val="00E335F2"/>
    <w:rsid w:val="00E3365A"/>
    <w:rsid w:val="00E33823"/>
    <w:rsid w:val="00E33C9A"/>
    <w:rsid w:val="00E33D3A"/>
    <w:rsid w:val="00E34329"/>
    <w:rsid w:val="00E34716"/>
    <w:rsid w:val="00E35158"/>
    <w:rsid w:val="00E351E8"/>
    <w:rsid w:val="00E35EA5"/>
    <w:rsid w:val="00E36341"/>
    <w:rsid w:val="00E369BE"/>
    <w:rsid w:val="00E36B46"/>
    <w:rsid w:val="00E370F4"/>
    <w:rsid w:val="00E37693"/>
    <w:rsid w:val="00E376B5"/>
    <w:rsid w:val="00E40210"/>
    <w:rsid w:val="00E404D6"/>
    <w:rsid w:val="00E40A1C"/>
    <w:rsid w:val="00E40ED6"/>
    <w:rsid w:val="00E4106F"/>
    <w:rsid w:val="00E410F6"/>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3A51"/>
    <w:rsid w:val="00E53DE8"/>
    <w:rsid w:val="00E53EF4"/>
    <w:rsid w:val="00E54199"/>
    <w:rsid w:val="00E54CCC"/>
    <w:rsid w:val="00E54D17"/>
    <w:rsid w:val="00E54F18"/>
    <w:rsid w:val="00E55193"/>
    <w:rsid w:val="00E55A97"/>
    <w:rsid w:val="00E55D2D"/>
    <w:rsid w:val="00E56901"/>
    <w:rsid w:val="00E569B5"/>
    <w:rsid w:val="00E570ED"/>
    <w:rsid w:val="00E572A1"/>
    <w:rsid w:val="00E57DA6"/>
    <w:rsid w:val="00E60A6A"/>
    <w:rsid w:val="00E6158A"/>
    <w:rsid w:val="00E61925"/>
    <w:rsid w:val="00E61C84"/>
    <w:rsid w:val="00E624DE"/>
    <w:rsid w:val="00E62730"/>
    <w:rsid w:val="00E62F9C"/>
    <w:rsid w:val="00E63224"/>
    <w:rsid w:val="00E63743"/>
    <w:rsid w:val="00E63836"/>
    <w:rsid w:val="00E63934"/>
    <w:rsid w:val="00E6427B"/>
    <w:rsid w:val="00E64B2E"/>
    <w:rsid w:val="00E64D6E"/>
    <w:rsid w:val="00E64F67"/>
    <w:rsid w:val="00E65A68"/>
    <w:rsid w:val="00E66235"/>
    <w:rsid w:val="00E66278"/>
    <w:rsid w:val="00E6648F"/>
    <w:rsid w:val="00E6698C"/>
    <w:rsid w:val="00E67025"/>
    <w:rsid w:val="00E676F4"/>
    <w:rsid w:val="00E67A7B"/>
    <w:rsid w:val="00E67FC8"/>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63A"/>
    <w:rsid w:val="00E75E6B"/>
    <w:rsid w:val="00E75ED5"/>
    <w:rsid w:val="00E7673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AF6"/>
    <w:rsid w:val="00E82B6E"/>
    <w:rsid w:val="00E82C93"/>
    <w:rsid w:val="00E8301C"/>
    <w:rsid w:val="00E83187"/>
    <w:rsid w:val="00E83223"/>
    <w:rsid w:val="00E837FB"/>
    <w:rsid w:val="00E83824"/>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902C4"/>
    <w:rsid w:val="00E9047E"/>
    <w:rsid w:val="00E90BF1"/>
    <w:rsid w:val="00E90CD6"/>
    <w:rsid w:val="00E9140A"/>
    <w:rsid w:val="00E91E6C"/>
    <w:rsid w:val="00E9204E"/>
    <w:rsid w:val="00E92265"/>
    <w:rsid w:val="00E92544"/>
    <w:rsid w:val="00E927B6"/>
    <w:rsid w:val="00E928F9"/>
    <w:rsid w:val="00E92D2A"/>
    <w:rsid w:val="00E9318D"/>
    <w:rsid w:val="00E93328"/>
    <w:rsid w:val="00E93A5A"/>
    <w:rsid w:val="00E93EAE"/>
    <w:rsid w:val="00E93F3E"/>
    <w:rsid w:val="00E946D6"/>
    <w:rsid w:val="00E94BC2"/>
    <w:rsid w:val="00E94D2D"/>
    <w:rsid w:val="00E957AC"/>
    <w:rsid w:val="00E95CBC"/>
    <w:rsid w:val="00E95DD3"/>
    <w:rsid w:val="00E96081"/>
    <w:rsid w:val="00E961FD"/>
    <w:rsid w:val="00E970DF"/>
    <w:rsid w:val="00E9748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65EB"/>
    <w:rsid w:val="00EA66E2"/>
    <w:rsid w:val="00EA68C3"/>
    <w:rsid w:val="00EA69A6"/>
    <w:rsid w:val="00EA69BC"/>
    <w:rsid w:val="00EA6AC3"/>
    <w:rsid w:val="00EA6B61"/>
    <w:rsid w:val="00EA7946"/>
    <w:rsid w:val="00EA7EBF"/>
    <w:rsid w:val="00EB008B"/>
    <w:rsid w:val="00EB0599"/>
    <w:rsid w:val="00EB0931"/>
    <w:rsid w:val="00EB0CEE"/>
    <w:rsid w:val="00EB21EF"/>
    <w:rsid w:val="00EB2390"/>
    <w:rsid w:val="00EB287D"/>
    <w:rsid w:val="00EB31E9"/>
    <w:rsid w:val="00EB32EE"/>
    <w:rsid w:val="00EB3823"/>
    <w:rsid w:val="00EB391B"/>
    <w:rsid w:val="00EB3AE3"/>
    <w:rsid w:val="00EB4375"/>
    <w:rsid w:val="00EB446E"/>
    <w:rsid w:val="00EB4544"/>
    <w:rsid w:val="00EB4A05"/>
    <w:rsid w:val="00EB4AD2"/>
    <w:rsid w:val="00EB5137"/>
    <w:rsid w:val="00EB5847"/>
    <w:rsid w:val="00EB5CEA"/>
    <w:rsid w:val="00EB5FDA"/>
    <w:rsid w:val="00EB628B"/>
    <w:rsid w:val="00EB6D8A"/>
    <w:rsid w:val="00EB6E65"/>
    <w:rsid w:val="00EB70FD"/>
    <w:rsid w:val="00EB76BC"/>
    <w:rsid w:val="00EB7737"/>
    <w:rsid w:val="00EB7E7F"/>
    <w:rsid w:val="00EC04AC"/>
    <w:rsid w:val="00EC0A61"/>
    <w:rsid w:val="00EC15B7"/>
    <w:rsid w:val="00EC2535"/>
    <w:rsid w:val="00EC29D1"/>
    <w:rsid w:val="00EC2B29"/>
    <w:rsid w:val="00EC41F4"/>
    <w:rsid w:val="00EC4269"/>
    <w:rsid w:val="00EC52D8"/>
    <w:rsid w:val="00EC52DC"/>
    <w:rsid w:val="00EC6394"/>
    <w:rsid w:val="00EC6759"/>
    <w:rsid w:val="00EC6A65"/>
    <w:rsid w:val="00EC6E16"/>
    <w:rsid w:val="00EC70F6"/>
    <w:rsid w:val="00EC748A"/>
    <w:rsid w:val="00EC7C76"/>
    <w:rsid w:val="00ED1451"/>
    <w:rsid w:val="00ED17D6"/>
    <w:rsid w:val="00ED29AC"/>
    <w:rsid w:val="00ED2BD2"/>
    <w:rsid w:val="00ED379F"/>
    <w:rsid w:val="00ED3CFC"/>
    <w:rsid w:val="00ED4471"/>
    <w:rsid w:val="00ED4A21"/>
    <w:rsid w:val="00ED538E"/>
    <w:rsid w:val="00ED57ED"/>
    <w:rsid w:val="00ED587E"/>
    <w:rsid w:val="00ED5B5F"/>
    <w:rsid w:val="00ED6384"/>
    <w:rsid w:val="00ED6523"/>
    <w:rsid w:val="00ED6A39"/>
    <w:rsid w:val="00ED74A1"/>
    <w:rsid w:val="00ED75A1"/>
    <w:rsid w:val="00EE06C7"/>
    <w:rsid w:val="00EE0DA6"/>
    <w:rsid w:val="00EE0ED0"/>
    <w:rsid w:val="00EE0F16"/>
    <w:rsid w:val="00EE1174"/>
    <w:rsid w:val="00EE189B"/>
    <w:rsid w:val="00EE1D7B"/>
    <w:rsid w:val="00EE1F03"/>
    <w:rsid w:val="00EE2337"/>
    <w:rsid w:val="00EE25A1"/>
    <w:rsid w:val="00EE26EE"/>
    <w:rsid w:val="00EE28B0"/>
    <w:rsid w:val="00EE2F3D"/>
    <w:rsid w:val="00EE39D2"/>
    <w:rsid w:val="00EE3DE1"/>
    <w:rsid w:val="00EE42AA"/>
    <w:rsid w:val="00EE4C94"/>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7285"/>
    <w:rsid w:val="00F07562"/>
    <w:rsid w:val="00F07CB3"/>
    <w:rsid w:val="00F07F55"/>
    <w:rsid w:val="00F10649"/>
    <w:rsid w:val="00F106CD"/>
    <w:rsid w:val="00F1086A"/>
    <w:rsid w:val="00F11182"/>
    <w:rsid w:val="00F11799"/>
    <w:rsid w:val="00F119B2"/>
    <w:rsid w:val="00F11A42"/>
    <w:rsid w:val="00F11C39"/>
    <w:rsid w:val="00F11DCD"/>
    <w:rsid w:val="00F12264"/>
    <w:rsid w:val="00F126B7"/>
    <w:rsid w:val="00F127F3"/>
    <w:rsid w:val="00F12DA8"/>
    <w:rsid w:val="00F1356D"/>
    <w:rsid w:val="00F1494E"/>
    <w:rsid w:val="00F149A6"/>
    <w:rsid w:val="00F14A66"/>
    <w:rsid w:val="00F14D92"/>
    <w:rsid w:val="00F15146"/>
    <w:rsid w:val="00F156A2"/>
    <w:rsid w:val="00F16AD7"/>
    <w:rsid w:val="00F201E6"/>
    <w:rsid w:val="00F20310"/>
    <w:rsid w:val="00F203CF"/>
    <w:rsid w:val="00F2074C"/>
    <w:rsid w:val="00F21C59"/>
    <w:rsid w:val="00F22375"/>
    <w:rsid w:val="00F22847"/>
    <w:rsid w:val="00F22C6D"/>
    <w:rsid w:val="00F22E80"/>
    <w:rsid w:val="00F23059"/>
    <w:rsid w:val="00F230D1"/>
    <w:rsid w:val="00F231C8"/>
    <w:rsid w:val="00F2329F"/>
    <w:rsid w:val="00F232F0"/>
    <w:rsid w:val="00F23425"/>
    <w:rsid w:val="00F23A5A"/>
    <w:rsid w:val="00F2536D"/>
    <w:rsid w:val="00F255D5"/>
    <w:rsid w:val="00F25B40"/>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8EE"/>
    <w:rsid w:val="00F35CE4"/>
    <w:rsid w:val="00F3643A"/>
    <w:rsid w:val="00F3671B"/>
    <w:rsid w:val="00F36C14"/>
    <w:rsid w:val="00F379C6"/>
    <w:rsid w:val="00F37A67"/>
    <w:rsid w:val="00F37B61"/>
    <w:rsid w:val="00F4099B"/>
    <w:rsid w:val="00F4110F"/>
    <w:rsid w:val="00F41CB2"/>
    <w:rsid w:val="00F42631"/>
    <w:rsid w:val="00F446E3"/>
    <w:rsid w:val="00F45422"/>
    <w:rsid w:val="00F457BB"/>
    <w:rsid w:val="00F4641B"/>
    <w:rsid w:val="00F468B9"/>
    <w:rsid w:val="00F46A4D"/>
    <w:rsid w:val="00F47400"/>
    <w:rsid w:val="00F47FFC"/>
    <w:rsid w:val="00F503ED"/>
    <w:rsid w:val="00F508B0"/>
    <w:rsid w:val="00F521DD"/>
    <w:rsid w:val="00F52D5A"/>
    <w:rsid w:val="00F53193"/>
    <w:rsid w:val="00F53410"/>
    <w:rsid w:val="00F5357E"/>
    <w:rsid w:val="00F537E1"/>
    <w:rsid w:val="00F53C0B"/>
    <w:rsid w:val="00F53DBE"/>
    <w:rsid w:val="00F544F7"/>
    <w:rsid w:val="00F5461E"/>
    <w:rsid w:val="00F5573A"/>
    <w:rsid w:val="00F55FCE"/>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BAC"/>
    <w:rsid w:val="00F6585A"/>
    <w:rsid w:val="00F6586C"/>
    <w:rsid w:val="00F65A40"/>
    <w:rsid w:val="00F65F12"/>
    <w:rsid w:val="00F65FC5"/>
    <w:rsid w:val="00F6630B"/>
    <w:rsid w:val="00F678AC"/>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805DD"/>
    <w:rsid w:val="00F80B72"/>
    <w:rsid w:val="00F81131"/>
    <w:rsid w:val="00F81243"/>
    <w:rsid w:val="00F8287A"/>
    <w:rsid w:val="00F831D4"/>
    <w:rsid w:val="00F83ECE"/>
    <w:rsid w:val="00F84046"/>
    <w:rsid w:val="00F848D3"/>
    <w:rsid w:val="00F84DF1"/>
    <w:rsid w:val="00F84F8C"/>
    <w:rsid w:val="00F85452"/>
    <w:rsid w:val="00F85C49"/>
    <w:rsid w:val="00F86720"/>
    <w:rsid w:val="00F86AFA"/>
    <w:rsid w:val="00F86DEF"/>
    <w:rsid w:val="00F8737D"/>
    <w:rsid w:val="00F875F5"/>
    <w:rsid w:val="00F877C5"/>
    <w:rsid w:val="00F877D6"/>
    <w:rsid w:val="00F90009"/>
    <w:rsid w:val="00F9038B"/>
    <w:rsid w:val="00F90F07"/>
    <w:rsid w:val="00F9146E"/>
    <w:rsid w:val="00F920EF"/>
    <w:rsid w:val="00F9224A"/>
    <w:rsid w:val="00F922DA"/>
    <w:rsid w:val="00F92657"/>
    <w:rsid w:val="00F9401B"/>
    <w:rsid w:val="00F94774"/>
    <w:rsid w:val="00F9546D"/>
    <w:rsid w:val="00F95E6E"/>
    <w:rsid w:val="00F95F44"/>
    <w:rsid w:val="00F96117"/>
    <w:rsid w:val="00F96FAD"/>
    <w:rsid w:val="00F97491"/>
    <w:rsid w:val="00F974BD"/>
    <w:rsid w:val="00F977A5"/>
    <w:rsid w:val="00FA006F"/>
    <w:rsid w:val="00FA089B"/>
    <w:rsid w:val="00FA0D04"/>
    <w:rsid w:val="00FA116A"/>
    <w:rsid w:val="00FA12CF"/>
    <w:rsid w:val="00FA1A8B"/>
    <w:rsid w:val="00FA1B57"/>
    <w:rsid w:val="00FA2714"/>
    <w:rsid w:val="00FA2CE5"/>
    <w:rsid w:val="00FA2FDD"/>
    <w:rsid w:val="00FA3820"/>
    <w:rsid w:val="00FA39C6"/>
    <w:rsid w:val="00FA4B12"/>
    <w:rsid w:val="00FA4C2A"/>
    <w:rsid w:val="00FA4C7F"/>
    <w:rsid w:val="00FA4F7C"/>
    <w:rsid w:val="00FA578B"/>
    <w:rsid w:val="00FA64A1"/>
    <w:rsid w:val="00FA663B"/>
    <w:rsid w:val="00FA67E8"/>
    <w:rsid w:val="00FA70B8"/>
    <w:rsid w:val="00FA733A"/>
    <w:rsid w:val="00FA763D"/>
    <w:rsid w:val="00FA7AC9"/>
    <w:rsid w:val="00FB087F"/>
    <w:rsid w:val="00FB0D07"/>
    <w:rsid w:val="00FB1674"/>
    <w:rsid w:val="00FB1A9C"/>
    <w:rsid w:val="00FB1C01"/>
    <w:rsid w:val="00FB1DCD"/>
    <w:rsid w:val="00FB205E"/>
    <w:rsid w:val="00FB2307"/>
    <w:rsid w:val="00FB296F"/>
    <w:rsid w:val="00FB31C1"/>
    <w:rsid w:val="00FB32AE"/>
    <w:rsid w:val="00FB355B"/>
    <w:rsid w:val="00FB37A2"/>
    <w:rsid w:val="00FB3C06"/>
    <w:rsid w:val="00FB419B"/>
    <w:rsid w:val="00FB4629"/>
    <w:rsid w:val="00FB4B05"/>
    <w:rsid w:val="00FB52EE"/>
    <w:rsid w:val="00FB53AA"/>
    <w:rsid w:val="00FB55B5"/>
    <w:rsid w:val="00FB6074"/>
    <w:rsid w:val="00FB61D1"/>
    <w:rsid w:val="00FB6391"/>
    <w:rsid w:val="00FB6805"/>
    <w:rsid w:val="00FB6AD2"/>
    <w:rsid w:val="00FB774D"/>
    <w:rsid w:val="00FB7A2C"/>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93C"/>
    <w:rsid w:val="00FC4D8B"/>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973"/>
    <w:rsid w:val="00FD2681"/>
    <w:rsid w:val="00FD2852"/>
    <w:rsid w:val="00FD2C22"/>
    <w:rsid w:val="00FD2D05"/>
    <w:rsid w:val="00FD2F54"/>
    <w:rsid w:val="00FD31B5"/>
    <w:rsid w:val="00FD3E82"/>
    <w:rsid w:val="00FD51F4"/>
    <w:rsid w:val="00FD5402"/>
    <w:rsid w:val="00FD562B"/>
    <w:rsid w:val="00FD56BA"/>
    <w:rsid w:val="00FD56CF"/>
    <w:rsid w:val="00FD57D9"/>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E6C4E"/>
    <w:rsid w:val="00FF0046"/>
    <w:rsid w:val="00FF0646"/>
    <w:rsid w:val="00FF0EE6"/>
    <w:rsid w:val="00FF1707"/>
    <w:rsid w:val="00FF17A9"/>
    <w:rsid w:val="00FF187A"/>
    <w:rsid w:val="00FF1CF7"/>
    <w:rsid w:val="00FF1FCC"/>
    <w:rsid w:val="00FF2C3F"/>
    <w:rsid w:val="00FF2FFC"/>
    <w:rsid w:val="00FF3197"/>
    <w:rsid w:val="00FF338E"/>
    <w:rsid w:val="00FF3A3C"/>
    <w:rsid w:val="00FF4025"/>
    <w:rsid w:val="00FF43FF"/>
    <w:rsid w:val="00FF4401"/>
    <w:rsid w:val="00FF4888"/>
    <w:rsid w:val="00FF4953"/>
    <w:rsid w:val="00FF5181"/>
    <w:rsid w:val="00FF5308"/>
    <w:rsid w:val="00FF53FE"/>
    <w:rsid w:val="00FF5872"/>
    <w:rsid w:val="00FF58A7"/>
    <w:rsid w:val="00FF6008"/>
    <w:rsid w:val="00FF6444"/>
    <w:rsid w:val="00FF6546"/>
    <w:rsid w:val="00FF6739"/>
    <w:rsid w:val="00FF7306"/>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F643D4"/>
  <w15:docId w15:val="{DB4F878B-7A26-4CFD-95A1-AE7B9332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uiPriority w:val="99"/>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9C500D"/>
    <w:rPr>
      <w:rFonts w:ascii="Times New Roman" w:eastAsia="SimSun" w:hAnsi="Times New Roman" w:cs="Times New Roman"/>
      <w:sz w:val="20"/>
      <w:szCs w:val="22"/>
      <w:lang w:val="es-UY"/>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9C500D"/>
    <w:rPr>
      <w:sz w:val="16"/>
      <w:szCs w:val="16"/>
      <w:lang w:val="es-UY"/>
    </w:rPr>
  </w:style>
  <w:style w:type="paragraph" w:styleId="CommentText">
    <w:name w:val="annotation text"/>
    <w:basedOn w:val="Normal"/>
    <w:link w:val="CommentTextChar"/>
    <w:uiPriority w:val="99"/>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s-UY"/>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basedOn w:val="DefaultParagraphFont"/>
    <w:uiPriority w:val="99"/>
    <w:semiHidden/>
    <w:unhideWhenUsed/>
    <w:rsid w:val="009C500D"/>
    <w:rPr>
      <w:vertAlign w:val="superscript"/>
      <w:lang w:val="es-UY"/>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uiPriority w:val="9"/>
    <w:rsid w:val="009C500D"/>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s-UY"/>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s-UY"/>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
    <w:name w:val="Smart Hyperlink"/>
    <w:basedOn w:val="DefaultParagraphFont"/>
    <w:uiPriority w:val="99"/>
    <w:semiHidden/>
    <w:unhideWhenUsed/>
    <w:rsid w:val="00A111D1"/>
    <w:rPr>
      <w:u w:val="dotted"/>
      <w:lang w:val="es-UY"/>
    </w:rPr>
  </w:style>
  <w:style w:type="character" w:customStyle="1" w:styleId="SmartLink">
    <w:name w:val="Smart Link"/>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unhideWhenUsed/>
    <w:rsid w:val="00A111D1"/>
    <w:rPr>
      <w:color w:val="605E5C"/>
      <w:shd w:val="clear" w:color="auto" w:fill="E1DFDD"/>
      <w:lang w:val="es-UY"/>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s-UY"/>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rPr>
  </w:style>
  <w:style w:type="paragraph" w:customStyle="1" w:styleId="Fett1">
    <w:name w:val="Fett1"/>
    <w:qFormat/>
    <w:rsid w:val="00DF6325"/>
    <w:rPr>
      <w:rFonts w:ascii="Arial" w:eastAsia="Arial" w:hAnsi="Arial" w:cs="Arial"/>
      <w:b/>
      <w:bCs/>
      <w:sz w:val="20"/>
      <w:szCs w:val="20"/>
      <w:lang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eastAsia="de-AT"/>
    </w:rPr>
  </w:style>
  <w:style w:type="character" w:customStyle="1" w:styleId="CommentTextChar1">
    <w:name w:val="Comment Text Char1"/>
    <w:basedOn w:val="DefaultParagraphFont"/>
    <w:uiPriority w:val="99"/>
    <w:rsid w:val="00DF6325"/>
    <w:rPr>
      <w:rFonts w:ascii="Times New Roman" w:eastAsia="SimSun" w:hAnsi="Times New Roman" w:cs="Times New Roman"/>
      <w:sz w:val="20"/>
      <w:szCs w:val="20"/>
      <w:lang w:val="es-UY"/>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eader" Target="header5.xml"/><Relationship Id="rId21" Type="http://schemas.openxmlformats.org/officeDocument/2006/relationships/hyperlink" Target="https://www.cbd.int/decisions/cop/?m=cop-16" TargetMode="External"/><Relationship Id="rId34" Type="http://schemas.openxmlformats.org/officeDocument/2006/relationships/footer" Target="footer4.xml"/><Relationship Id="rId42" Type="http://schemas.openxmlformats.org/officeDocument/2006/relationships/footer" Target="footer6.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eader" Target="header4.xml"/><Relationship Id="rId37" Type="http://schemas.openxmlformats.org/officeDocument/2006/relationships/hyperlink" Target="https://www.cbd.int/decisions/cop/?m=cop-16" TargetMode="External"/><Relationship Id="rId40"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3.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www.cbd.int/decisions/cop/?m=cop-16"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footer" Target="footer3.xml"/><Relationship Id="rId38"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11742047-1B43-4A75-BFD7-3F6F8BA9F929}"/>
</file>

<file path=customXml/itemProps5.xml><?xml version="1.0" encoding="utf-8"?>
<ds:datastoreItem xmlns:ds="http://schemas.openxmlformats.org/officeDocument/2006/customXml" ds:itemID="{65FE2144-72C3-4F92-80D3-FA490F7829C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105</TotalTime>
  <Pages>20</Pages>
  <Words>7473</Words>
  <Characters>42597</Characters>
  <Application>Microsoft Office Word</Application>
  <DocSecurity>0</DocSecurity>
  <Lines>354</Lines>
  <Paragraphs>99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Digital sequence information on genetic resources</vt:lpstr>
      <vt:lpstr>I.	Marco conceptual de la metodología de revisión </vt:lpstr>
      <vt:lpstr>II.	Marco de resultados</vt:lpstr>
      <vt:lpstr/>
      <vt:lpstr>III.	Enfoque metodológico, consultas y garantía de calidad</vt:lpstr>
      <vt:lpstr>III.	Gobernanza, funciones y responsabilidades</vt:lpstr>
    </vt:vector>
  </TitlesOfParts>
  <Company>SCBD</Company>
  <LinksUpToDate>false</LinksUpToDate>
  <CharactersWithSpaces>49971</CharactersWithSpaces>
  <SharedDoc>false</SharedDoc>
  <HLinks>
    <vt:vector size="24" baseType="variant">
      <vt:variant>
        <vt:i4>7209057</vt:i4>
      </vt:variant>
      <vt:variant>
        <vt:i4>6</vt:i4>
      </vt:variant>
      <vt:variant>
        <vt:i4>0</vt:i4>
      </vt:variant>
      <vt:variant>
        <vt:i4>5</vt:i4>
      </vt:variant>
      <vt:variant>
        <vt:lpwstr>https://www.cbd.int/decisions/cop/?m=cop-16</vt:lpwstr>
      </vt:variant>
      <vt:variant>
        <vt:lpwstr/>
      </vt:variant>
      <vt:variant>
        <vt:i4>3604535</vt:i4>
      </vt:variant>
      <vt:variant>
        <vt:i4>3</vt:i4>
      </vt:variant>
      <vt:variant>
        <vt:i4>0</vt:i4>
      </vt:variant>
      <vt:variant>
        <vt:i4>5</vt:i4>
      </vt:variant>
      <vt:variant>
        <vt:lpwstr>https://www.cbd.int/documents/CBD/SBI/7/5/ADD2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CBD/SBI/7/CRP.10</dc:subject>
  <dc:creator>Secretariat of the Convention on Biological Diversity</dc:creator>
  <cp:keywords>Convention on Biological Diversity</cp:keywords>
  <cp:lastModifiedBy>Rosario </cp:lastModifiedBy>
  <cp:revision>62</cp:revision>
  <cp:lastPrinted>2020-01-22T17:56:00Z</cp:lastPrinted>
  <dcterms:created xsi:type="dcterms:W3CDTF">2026-08-11T17:30:00Z</dcterms:created>
  <dcterms:modified xsi:type="dcterms:W3CDTF">2026-08-11T23:27:00Z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MSIP_Label_cd1d175d-d3b5-4360-bec8-546a7841a427_Enabled">
    <vt:lpwstr>true</vt:lpwstr>
  </property>
  <property fmtid="{D5CDD505-2E9C-101B-9397-08002B2CF9AE}" pid="11" name="MSIP_Label_cd1d175d-d3b5-4360-bec8-546a7841a427_SetDate">
    <vt:lpwstr>2026-08-09T15:10:12Z</vt:lpwstr>
  </property>
  <property fmtid="{D5CDD505-2E9C-101B-9397-08002B2CF9AE}" pid="12" name="MSIP_Label_cd1d175d-d3b5-4360-bec8-546a7841a427_Method">
    <vt:lpwstr>Privileged</vt:lpwstr>
  </property>
  <property fmtid="{D5CDD505-2E9C-101B-9397-08002B2CF9AE}" pid="13" name="MSIP_Label_cd1d175d-d3b5-4360-bec8-546a7841a427_Name">
    <vt:lpwstr>Intern Sensitiv</vt:lpwstr>
  </property>
  <property fmtid="{D5CDD505-2E9C-101B-9397-08002B2CF9AE}" pid="14" name="MSIP_Label_cd1d175d-d3b5-4360-bec8-546a7841a427_SiteId">
    <vt:lpwstr>3977e38c-aa4b-439e-80ea-421a4d4ef891</vt:lpwstr>
  </property>
  <property fmtid="{D5CDD505-2E9C-101B-9397-08002B2CF9AE}" pid="15" name="MSIP_Label_cd1d175d-d3b5-4360-bec8-546a7841a427_ActionId">
    <vt:lpwstr>b16fc65c-a8b7-412d-bbca-3a6c08694006</vt:lpwstr>
  </property>
  <property fmtid="{D5CDD505-2E9C-101B-9397-08002B2CF9AE}" pid="16" name="MSIP_Label_cd1d175d-d3b5-4360-bec8-546a7841a427_ContentBits">
    <vt:lpwstr>0</vt:lpwstr>
  </property>
  <property fmtid="{D5CDD505-2E9C-101B-9397-08002B2CF9AE}" pid="17" name="MSIP_Label_cd1d175d-d3b5-4360-bec8-546a7841a427_Tag">
    <vt:lpwstr>10, 0, 1, 1</vt:lpwstr>
  </property>
</Properties>
</file>