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34506" w:rsidRPr="00C535AF" w14:paraId="2B853852" w14:textId="77777777" w:rsidTr="006D2C62">
        <w:trPr>
          <w:trHeight w:val="709"/>
        </w:trPr>
        <w:tc>
          <w:tcPr>
            <w:tcW w:w="976" w:type="dxa"/>
            <w:tcBorders>
              <w:bottom w:val="single" w:sz="12" w:space="0" w:color="auto"/>
            </w:tcBorders>
          </w:tcPr>
          <w:p w14:paraId="56ECE35E" w14:textId="501C5F42" w:rsidR="00C9161D" w:rsidRPr="00C535AF" w:rsidRDefault="00361D1C" w:rsidP="007F45C6">
            <w:pPr>
              <w:kinsoku w:val="0"/>
              <w:overflowPunct w:val="0"/>
              <w:autoSpaceDE w:val="0"/>
              <w:autoSpaceDN w:val="0"/>
              <w:rPr>
                <w:snapToGrid w:val="0"/>
                <w:kern w:val="22"/>
              </w:rPr>
            </w:pPr>
            <w:r>
              <w:rPr>
                <w:rFonts w:asciiTheme="majorBidi" w:hAnsiTheme="majorBidi"/>
                <w:noProof/>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DB6C9B" w14:textId="7A7EB584" w:rsidR="00C9161D" w:rsidRPr="00C535AF" w:rsidRDefault="00D6636E" w:rsidP="007F45C6">
            <w:pPr>
              <w:kinsoku w:val="0"/>
              <w:overflowPunct w:val="0"/>
              <w:autoSpaceDE w:val="0"/>
              <w:autoSpaceDN w:val="0"/>
              <w:rPr>
                <w:snapToGrid w:val="0"/>
                <w:kern w:val="22"/>
              </w:rPr>
            </w:pPr>
            <w:r>
              <w:rPr>
                <w:noProof/>
              </w:rPr>
              <w:drawing>
                <wp:anchor distT="0" distB="0" distL="114300" distR="114300" simplePos="0" relativeHeight="251659264" behindDoc="0" locked="0" layoutInCell="1" allowOverlap="1" wp14:anchorId="6A067CF1" wp14:editId="36D83529">
                  <wp:simplePos x="0" y="0"/>
                  <wp:positionH relativeFrom="column">
                    <wp:posOffset>49530</wp:posOffset>
                  </wp:positionH>
                  <wp:positionV relativeFrom="paragraph">
                    <wp:posOffset>1905</wp:posOffset>
                  </wp:positionV>
                  <wp:extent cx="742950" cy="357505"/>
                  <wp:effectExtent l="0" t="0" r="0" b="4445"/>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357505"/>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74E25FE1" w14:textId="77777777" w:rsidR="00C9161D" w:rsidRPr="00C535AF" w:rsidRDefault="00C9161D" w:rsidP="007F45C6">
            <w:pPr>
              <w:kinsoku w:val="0"/>
              <w:overflowPunct w:val="0"/>
              <w:autoSpaceDE w:val="0"/>
              <w:autoSpaceDN w:val="0"/>
              <w:jc w:val="right"/>
              <w:rPr>
                <w:rFonts w:ascii="Arial" w:hAnsi="Arial" w:cs="Arial"/>
                <w:b/>
                <w:snapToGrid w:val="0"/>
                <w:kern w:val="22"/>
                <w:sz w:val="32"/>
                <w:szCs w:val="32"/>
              </w:rPr>
            </w:pPr>
            <w:r>
              <w:rPr>
                <w:rFonts w:ascii="Arial" w:hAnsi="Arial"/>
                <w:b/>
                <w:snapToGrid w:val="0"/>
                <w:sz w:val="32"/>
              </w:rPr>
              <w:t>CBD</w:t>
            </w:r>
          </w:p>
        </w:tc>
      </w:tr>
      <w:tr w:rsidR="0026269B" w:rsidRPr="00C535AF" w14:paraId="6EEFA367" w14:textId="77777777" w:rsidTr="006D2C62">
        <w:tc>
          <w:tcPr>
            <w:tcW w:w="6117" w:type="dxa"/>
            <w:gridSpan w:val="2"/>
            <w:tcBorders>
              <w:top w:val="single" w:sz="12" w:space="0" w:color="auto"/>
              <w:bottom w:val="single" w:sz="36" w:space="0" w:color="auto"/>
            </w:tcBorders>
            <w:vAlign w:val="center"/>
          </w:tcPr>
          <w:p w14:paraId="30CE65C0" w14:textId="04E5A97B" w:rsidR="00C9161D" w:rsidRPr="00C535AF" w:rsidRDefault="00D6453D" w:rsidP="007F45C6">
            <w:pPr>
              <w:kinsoku w:val="0"/>
              <w:overflowPunct w:val="0"/>
              <w:autoSpaceDE w:val="0"/>
              <w:autoSpaceDN w:val="0"/>
              <w:rPr>
                <w:snapToGrid w:val="0"/>
                <w:kern w:val="22"/>
              </w:rPr>
            </w:pPr>
            <w:r>
              <w:rPr>
                <w:rFonts w:ascii="Cambria" w:hAnsi="Cambria"/>
                <w:noProof/>
              </w:rPr>
              <w:drawing>
                <wp:inline distT="0" distB="0" distL="0" distR="0" wp14:anchorId="79A39731" wp14:editId="13EC25E5">
                  <wp:extent cx="2910840" cy="1051560"/>
                  <wp:effectExtent l="0" t="0" r="381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0840" cy="105156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92246EC" w14:textId="77777777" w:rsidR="00C9161D" w:rsidRPr="00B122DA" w:rsidRDefault="00C9161D" w:rsidP="007F45C6">
            <w:pPr>
              <w:kinsoku w:val="0"/>
              <w:overflowPunct w:val="0"/>
              <w:autoSpaceDE w:val="0"/>
              <w:autoSpaceDN w:val="0"/>
              <w:ind w:left="1470"/>
              <w:rPr>
                <w:snapToGrid w:val="0"/>
                <w:kern w:val="22"/>
                <w:szCs w:val="22"/>
                <w:lang w:val="en-US"/>
              </w:rPr>
            </w:pPr>
            <w:r w:rsidRPr="00B122DA">
              <w:rPr>
                <w:snapToGrid w:val="0"/>
                <w:lang w:val="en-US"/>
              </w:rPr>
              <w:t>Distr.</w:t>
            </w:r>
          </w:p>
          <w:p w14:paraId="037DBDB5" w14:textId="3FFD3749" w:rsidR="00660A15" w:rsidRPr="00B122DA" w:rsidRDefault="00660A15" w:rsidP="007F45C6">
            <w:pPr>
              <w:kinsoku w:val="0"/>
              <w:overflowPunct w:val="0"/>
              <w:autoSpaceDE w:val="0"/>
              <w:autoSpaceDN w:val="0"/>
              <w:ind w:left="1470"/>
              <w:rPr>
                <w:snapToGrid w:val="0"/>
                <w:kern w:val="22"/>
                <w:szCs w:val="22"/>
                <w:lang w:val="en-US"/>
              </w:rPr>
            </w:pPr>
            <w:r w:rsidRPr="00B122DA">
              <w:rPr>
                <w:rFonts w:asciiTheme="majorBidi" w:hAnsiTheme="majorBidi"/>
                <w:caps/>
                <w:lang w:val="en-US"/>
              </w:rPr>
              <w:t>GENERAL</w:t>
            </w:r>
          </w:p>
          <w:p w14:paraId="4972F29D" w14:textId="77777777" w:rsidR="00C9161D" w:rsidRPr="00C535AF" w:rsidRDefault="00C9161D" w:rsidP="007F45C6">
            <w:pPr>
              <w:kinsoku w:val="0"/>
              <w:overflowPunct w:val="0"/>
              <w:autoSpaceDE w:val="0"/>
              <w:autoSpaceDN w:val="0"/>
              <w:ind w:left="1470"/>
              <w:rPr>
                <w:snapToGrid w:val="0"/>
                <w:kern w:val="22"/>
                <w:szCs w:val="22"/>
                <w:lang w:val="en-CA"/>
              </w:rPr>
            </w:pPr>
          </w:p>
          <w:p w14:paraId="59D23C43" w14:textId="70C5CE6B" w:rsidR="00C9161D" w:rsidRPr="00B122DA" w:rsidRDefault="00A8788A" w:rsidP="007F45C6">
            <w:pPr>
              <w:kinsoku w:val="0"/>
              <w:overflowPunct w:val="0"/>
              <w:autoSpaceDE w:val="0"/>
              <w:autoSpaceDN w:val="0"/>
              <w:ind w:left="1470"/>
              <w:rPr>
                <w:snapToGrid w:val="0"/>
                <w:kern w:val="22"/>
                <w:szCs w:val="22"/>
                <w:lang w:val="en-US"/>
              </w:rPr>
            </w:pPr>
            <w:sdt>
              <w:sdtPr>
                <w:rPr>
                  <w:snapToGrid w:val="0"/>
                  <w:color w:val="2B579A"/>
                  <w:kern w:val="22"/>
                  <w:shd w:val="clear" w:color="auto" w:fill="E6E6E6"/>
                </w:rPr>
                <w:alias w:val="Asunto"/>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DC46EA" w:rsidRPr="00C535AF">
                  <w:rPr>
                    <w:snapToGrid w:val="0"/>
                    <w:kern w:val="22"/>
                    <w:lang w:val="en-CA"/>
                  </w:rPr>
                  <w:t>CBD/NP/MOP/4/1/Add.</w:t>
                </w:r>
                <w:r w:rsidR="00DC46EA">
                  <w:rPr>
                    <w:snapToGrid w:val="0"/>
                    <w:kern w:val="22"/>
                    <w:lang w:val="en-CA"/>
                  </w:rPr>
                  <w:t>3</w:t>
                </w:r>
              </w:sdtContent>
            </w:sdt>
          </w:p>
          <w:p w14:paraId="715EBE43" w14:textId="4E831B39" w:rsidR="00C9161D" w:rsidRPr="00C535AF" w:rsidRDefault="008150F5" w:rsidP="007F45C6">
            <w:pPr>
              <w:kinsoku w:val="0"/>
              <w:overflowPunct w:val="0"/>
              <w:autoSpaceDE w:val="0"/>
              <w:autoSpaceDN w:val="0"/>
              <w:ind w:left="1470"/>
              <w:rPr>
                <w:snapToGrid w:val="0"/>
                <w:kern w:val="22"/>
                <w:szCs w:val="22"/>
              </w:rPr>
            </w:pPr>
            <w:r>
              <w:rPr>
                <w:snapToGrid w:val="0"/>
              </w:rPr>
              <w:t>6 de octubre de 2022</w:t>
            </w:r>
          </w:p>
          <w:p w14:paraId="5AB60E11" w14:textId="77777777" w:rsidR="00C9161D" w:rsidRPr="00B122DA" w:rsidRDefault="00C9161D" w:rsidP="007F45C6">
            <w:pPr>
              <w:kinsoku w:val="0"/>
              <w:overflowPunct w:val="0"/>
              <w:autoSpaceDE w:val="0"/>
              <w:autoSpaceDN w:val="0"/>
              <w:ind w:left="1470"/>
              <w:rPr>
                <w:snapToGrid w:val="0"/>
                <w:kern w:val="22"/>
                <w:szCs w:val="22"/>
                <w:lang w:val="es-UY"/>
              </w:rPr>
            </w:pPr>
          </w:p>
          <w:p w14:paraId="32A5AEC2" w14:textId="5AF2A43B" w:rsidR="00F4402F" w:rsidRPr="00C535AF" w:rsidRDefault="00F4402F" w:rsidP="007F45C6">
            <w:pPr>
              <w:kinsoku w:val="0"/>
              <w:overflowPunct w:val="0"/>
              <w:autoSpaceDE w:val="0"/>
              <w:autoSpaceDN w:val="0"/>
              <w:ind w:left="1470"/>
              <w:rPr>
                <w:snapToGrid w:val="0"/>
                <w:kern w:val="22"/>
                <w:szCs w:val="22"/>
              </w:rPr>
            </w:pPr>
            <w:r>
              <w:rPr>
                <w:snapToGrid w:val="0"/>
              </w:rPr>
              <w:t>ESPAÑOL</w:t>
            </w:r>
          </w:p>
          <w:p w14:paraId="50A5425C" w14:textId="742C4257" w:rsidR="00C9161D" w:rsidRPr="00060219" w:rsidRDefault="006B2290" w:rsidP="00060219">
            <w:pPr>
              <w:kinsoku w:val="0"/>
              <w:overflowPunct w:val="0"/>
              <w:autoSpaceDE w:val="0"/>
              <w:autoSpaceDN w:val="0"/>
              <w:ind w:left="1470"/>
              <w:rPr>
                <w:snapToGrid w:val="0"/>
                <w:kern w:val="22"/>
                <w:szCs w:val="22"/>
              </w:rPr>
            </w:pPr>
            <w:r>
              <w:rPr>
                <w:snapToGrid w:val="0"/>
              </w:rPr>
              <w:t>ORIGINAL: INGLÉS</w:t>
            </w:r>
          </w:p>
        </w:tc>
      </w:tr>
    </w:tbl>
    <w:p w14:paraId="7A5C9A67" w14:textId="77777777" w:rsidR="00172AF6" w:rsidRPr="00C535AF" w:rsidRDefault="00520912" w:rsidP="00303BFC">
      <w:pPr>
        <w:pStyle w:val="Cornernotation"/>
        <w:kinsoku w:val="0"/>
        <w:overflowPunct w:val="0"/>
        <w:autoSpaceDE w:val="0"/>
        <w:autoSpaceDN w:val="0"/>
        <w:ind w:right="4296"/>
        <w:rPr>
          <w:snapToGrid w:val="0"/>
          <w:color w:val="000000"/>
          <w:kern w:val="22"/>
          <w:shd w:val="clear" w:color="auto" w:fill="FFFFFF"/>
        </w:rPr>
      </w:pPr>
      <w:r>
        <w:rPr>
          <w:snapToGrid w:val="0"/>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D9C6883" w14:textId="032DCEFD" w:rsidR="00C13C6B" w:rsidRPr="00CD19CC" w:rsidRDefault="00BF7858" w:rsidP="00303BFC">
      <w:pPr>
        <w:pStyle w:val="Cornernotation"/>
        <w:kinsoku w:val="0"/>
        <w:overflowPunct w:val="0"/>
        <w:autoSpaceDE w:val="0"/>
        <w:autoSpaceDN w:val="0"/>
        <w:ind w:right="4296"/>
        <w:rPr>
          <w:snapToGrid w:val="0"/>
          <w:color w:val="000000"/>
          <w:kern w:val="22"/>
        </w:rPr>
      </w:pPr>
      <w:r>
        <w:rPr>
          <w:snapToGrid w:val="0"/>
          <w:color w:val="000000"/>
        </w:rPr>
        <w:t>Cuarta reunión (Parte II)</w:t>
      </w:r>
    </w:p>
    <w:p w14:paraId="3344C2AD" w14:textId="73D084F4" w:rsidR="00EB65BB" w:rsidRDefault="006215DB" w:rsidP="00303BFC">
      <w:pPr>
        <w:pStyle w:val="Cornernotation"/>
        <w:kinsoku w:val="0"/>
        <w:overflowPunct w:val="0"/>
        <w:autoSpaceDE w:val="0"/>
        <w:autoSpaceDN w:val="0"/>
        <w:ind w:right="4296"/>
      </w:pPr>
      <w:r>
        <w:t xml:space="preserve">Montreal (Canadá), 7 a 19 de </w:t>
      </w:r>
      <w:r w:rsidR="00CA2A98">
        <w:t>diciembre</w:t>
      </w:r>
      <w:r>
        <w:t xml:space="preserve"> de 2022</w:t>
      </w:r>
    </w:p>
    <w:p w14:paraId="0538402A" w14:textId="58DBD35A" w:rsidR="00F61A84" w:rsidRPr="00CA2A98" w:rsidRDefault="00F61A84" w:rsidP="00303BFC">
      <w:pPr>
        <w:pStyle w:val="Cornernotation"/>
        <w:kinsoku w:val="0"/>
        <w:overflowPunct w:val="0"/>
        <w:autoSpaceDE w:val="0"/>
        <w:autoSpaceDN w:val="0"/>
        <w:ind w:right="4296"/>
        <w:rPr>
          <w:lang w:val="es-UY"/>
        </w:rPr>
      </w:pPr>
      <w:r w:rsidRPr="00CA2A98">
        <w:rPr>
          <w:lang w:val="es-UY"/>
        </w:rPr>
        <w:t>Tema 2 del programa</w:t>
      </w:r>
    </w:p>
    <w:sdt>
      <w:sdtPr>
        <w:rPr>
          <w:rFonts w:ascii="Times New Roman Bold" w:hAnsi="Times New Roman Bold" w:cs="Times New Roman Bold"/>
          <w:snapToGrid w:val="0"/>
          <w:kern w:val="22"/>
          <w:lang w:val="es-UY"/>
        </w:rPr>
        <w:alias w:val="Title"/>
        <w:tag w:val=""/>
        <w:id w:val="-31652276"/>
        <w:placeholder>
          <w:docPart w:val="2F1EE5B77ABA4675A28BB6F9F84FAC74"/>
        </w:placeholder>
        <w:dataBinding w:prefixMappings="xmlns:ns0='http://purl.org/dc/elements/1.1/' xmlns:ns1='http://schemas.openxmlformats.org/package/2006/metadata/core-properties' " w:xpath="/ns1:coreProperties[1]/ns0:title[1]" w:storeItemID="{6C3C8BC8-F283-45AE-878A-BAB7291924A1}"/>
        <w:text/>
      </w:sdtPr>
      <w:sdtEndPr/>
      <w:sdtContent>
        <w:p w14:paraId="4785D0ED" w14:textId="132A4632" w:rsidR="00E51B96" w:rsidRPr="00437DCE" w:rsidRDefault="006D2C62"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lang w:val="es-UY"/>
            </w:rPr>
          </w:pPr>
          <w:r w:rsidRPr="00437DCE">
            <w:rPr>
              <w:rFonts w:ascii="Times New Roman Bold" w:hAnsi="Times New Roman Bold" w:cs="Times New Roman Bold"/>
              <w:snapToGrid w:val="0"/>
              <w:kern w:val="22"/>
              <w:lang w:val="es-UY"/>
            </w:rPr>
            <w:t>ANOTA</w:t>
          </w:r>
          <w:r w:rsidR="0078187A" w:rsidRPr="00437DCE">
            <w:rPr>
              <w:rFonts w:ascii="Times New Roman Bold" w:hAnsi="Times New Roman Bold" w:cs="Times New Roman Bold"/>
              <w:snapToGrid w:val="0"/>
              <w:kern w:val="22"/>
              <w:lang w:val="es-UY"/>
            </w:rPr>
            <w:t>C</w:t>
          </w:r>
          <w:r w:rsidRPr="00437DCE">
            <w:rPr>
              <w:rFonts w:ascii="Times New Roman Bold" w:hAnsi="Times New Roman Bold" w:cs="Times New Roman Bold"/>
              <w:snapToGrid w:val="0"/>
              <w:kern w:val="22"/>
              <w:lang w:val="es-UY"/>
            </w:rPr>
            <w:t>ION</w:t>
          </w:r>
          <w:r w:rsidR="0078187A" w:rsidRPr="00437DCE">
            <w:rPr>
              <w:rFonts w:ascii="Times New Roman Bold" w:hAnsi="Times New Roman Bold" w:cs="Times New Roman Bold"/>
              <w:snapToGrid w:val="0"/>
              <w:kern w:val="22"/>
              <w:lang w:val="es-UY"/>
            </w:rPr>
            <w:t>E</w:t>
          </w:r>
          <w:r w:rsidRPr="00437DCE">
            <w:rPr>
              <w:rFonts w:ascii="Times New Roman Bold" w:hAnsi="Times New Roman Bold" w:cs="Times New Roman Bold"/>
              <w:snapToGrid w:val="0"/>
              <w:kern w:val="22"/>
              <w:lang w:val="es-UY"/>
            </w:rPr>
            <w:t xml:space="preserve">S </w:t>
          </w:r>
          <w:r w:rsidR="00437DCE" w:rsidRPr="00437DCE">
            <w:rPr>
              <w:rFonts w:ascii="Times New Roman Bold" w:hAnsi="Times New Roman Bold" w:cs="Times New Roman Bold"/>
              <w:snapToGrid w:val="0"/>
              <w:kern w:val="22"/>
              <w:lang w:val="es-UY"/>
            </w:rPr>
            <w:t>AL PROGRAMA</w:t>
          </w:r>
          <w:r w:rsidRPr="00437DCE">
            <w:rPr>
              <w:rFonts w:ascii="Times New Roman Bold" w:hAnsi="Times New Roman Bold" w:cs="Times New Roman Bold"/>
              <w:snapToGrid w:val="0"/>
              <w:kern w:val="22"/>
              <w:lang w:val="es-UY"/>
            </w:rPr>
            <w:t xml:space="preserve"> </w:t>
          </w:r>
          <w:r w:rsidR="001D75CF" w:rsidRPr="00437DCE">
            <w:rPr>
              <w:rFonts w:ascii="Times New Roman Bold" w:hAnsi="Times New Roman Bold" w:cs="Times New Roman Bold"/>
              <w:snapToGrid w:val="0"/>
              <w:kern w:val="22"/>
              <w:lang w:val="es-UY"/>
            </w:rPr>
            <w:t>(Part</w:t>
          </w:r>
          <w:r w:rsidR="00437DCE" w:rsidRPr="00437DCE">
            <w:rPr>
              <w:rFonts w:ascii="Times New Roman Bold" w:hAnsi="Times New Roman Bold" w:cs="Times New Roman Bold"/>
              <w:snapToGrid w:val="0"/>
              <w:kern w:val="22"/>
              <w:lang w:val="es-UY"/>
            </w:rPr>
            <w:t>E</w:t>
          </w:r>
          <w:r w:rsidR="001D75CF" w:rsidRPr="00437DCE">
            <w:rPr>
              <w:rFonts w:ascii="Times New Roman Bold" w:hAnsi="Times New Roman Bold" w:cs="Times New Roman Bold"/>
              <w:snapToGrid w:val="0"/>
              <w:kern w:val="22"/>
              <w:lang w:val="es-UY"/>
            </w:rPr>
            <w:t xml:space="preserve"> II)</w:t>
          </w:r>
        </w:p>
      </w:sdtContent>
    </w:sdt>
    <w:p w14:paraId="3EC40580" w14:textId="69661308" w:rsidR="00F52AC0"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rPr>
      </w:pPr>
      <w:r>
        <w:rPr>
          <w:rFonts w:ascii="Times New Roman Bold" w:hAnsi="Times New Roman Bold"/>
          <w:caps w:val="0"/>
          <w:snapToGrid w:val="0"/>
        </w:rPr>
        <w:t>INTRODUCCIÓN</w:t>
      </w:r>
    </w:p>
    <w:p w14:paraId="2E0BB661" w14:textId="037D8F2F" w:rsidR="00AE6599" w:rsidRPr="001D2159" w:rsidRDefault="00ED5BA7" w:rsidP="00ED5BA7">
      <w:pPr>
        <w:pStyle w:val="Para1"/>
        <w:numPr>
          <w:ilvl w:val="0"/>
          <w:numId w:val="0"/>
        </w:numPr>
        <w:suppressLineNumbers/>
        <w:suppressAutoHyphens/>
        <w:kinsoku w:val="0"/>
        <w:overflowPunct w:val="0"/>
        <w:autoSpaceDE w:val="0"/>
        <w:autoSpaceDN w:val="0"/>
        <w:rPr>
          <w:kern w:val="22"/>
        </w:rPr>
      </w:pPr>
      <w:r>
        <w:t>1.</w:t>
      </w:r>
      <w:r>
        <w:tab/>
        <w:t xml:space="preserve">En atención al ofrecimiento del Gobierno de China, que fue acogido con satisfacción por la Conferencia de las Partes en el Convenio sobre la Diversidad Biológica en la decisión </w:t>
      </w:r>
      <w:hyperlink r:id="rId15" w:history="1">
        <w:r>
          <w:rPr>
            <w:rStyle w:val="Hyperlink"/>
            <w:sz w:val="22"/>
          </w:rPr>
          <w:t>XIII/33</w:t>
        </w:r>
      </w:hyperlink>
      <w:r>
        <w:t>, la cuarta reunión de la Conferencia de las Partes que actúa como reunión de las Partes en el Protocolo de Nagoya sobre Acceso a los Recursos Genéticos y Participación Justa y Equitativa en los Beneficios que se Deriven de su Utilización estaba prevista para celebrarse en Kunming (China), en octubre de 2020, en forma concurrente con la 15</w:t>
      </w:r>
      <w:r>
        <w:rPr>
          <w:vertAlign w:val="superscript"/>
        </w:rPr>
        <w:t>a</w:t>
      </w:r>
      <w:r>
        <w:t xml:space="preserve"> reunión de la Conferencia de las Partes en el Convenio y la décima reunión de la Conferencia de las Partes que actúa como reunión de las Partes en el Protocolo de Cartagena sobre Seguridad de la Biotecnología. Sin embargo, debido a la actual pandemia de COVID-19, las reuniones se postergaron.</w:t>
      </w:r>
    </w:p>
    <w:p w14:paraId="20FE768A" w14:textId="03488708" w:rsidR="002E5DC3" w:rsidRPr="002E5DC3" w:rsidRDefault="00DE55B6" w:rsidP="007E5E03">
      <w:pPr>
        <w:pStyle w:val="Para1"/>
        <w:numPr>
          <w:ilvl w:val="0"/>
          <w:numId w:val="0"/>
        </w:numPr>
        <w:suppressLineNumbers/>
        <w:suppressAutoHyphens/>
        <w:kinsoku w:val="0"/>
        <w:overflowPunct w:val="0"/>
        <w:autoSpaceDE w:val="0"/>
        <w:autoSpaceDN w:val="0"/>
        <w:rPr>
          <w:kern w:val="22"/>
        </w:rPr>
      </w:pPr>
      <w:r>
        <w:t>2.</w:t>
      </w:r>
      <w:r>
        <w:tab/>
        <w:t>En virtud del acuerdo para celebrar estas reuniones en dos partes y teniendo en cuenta la necesidad de celebrar la 15ª reunión de la Conferencia de las Partes antes del final de 2022, la primera parte se celebró en un entorno híbrido, en línea y en Kunming, del 11 al 15 de octubre de 2021. La segunda parte de las reuniones se celebrará en forma presencial en Montreal (Canadá) del 7 al 19 de diciembre de 2022.</w:t>
      </w:r>
    </w:p>
    <w:p w14:paraId="07C20FB9" w14:textId="30D6EE92" w:rsidR="009027ED" w:rsidRPr="000430F1" w:rsidRDefault="004544B7" w:rsidP="007E5E03">
      <w:pPr>
        <w:pStyle w:val="Para1"/>
        <w:numPr>
          <w:ilvl w:val="0"/>
          <w:numId w:val="0"/>
        </w:numPr>
        <w:suppressLineNumbers/>
        <w:suppressAutoHyphens/>
        <w:kinsoku w:val="0"/>
        <w:overflowPunct w:val="0"/>
        <w:autoSpaceDE w:val="0"/>
        <w:autoSpaceDN w:val="0"/>
        <w:rPr>
          <w:kern w:val="22"/>
        </w:rPr>
      </w:pPr>
      <w:r>
        <w:t>3.</w:t>
      </w:r>
      <w:r>
        <w:tab/>
        <w:t xml:space="preserve">El programa de la cuarta reunión de la Conferencia de las Partes que actúa como reunión de las Partes en el Protocolo (CBD/NP/MOP/4/1/Rev.1) fue aprobado en la primera parte de la reunión. La Mesa examinó el proyecto preliminar de anotaciones para la segunda parte de la cuarta reunión de las Partes en el Protocolo en sus reuniones celebradas en mayo, julio y agosto de 2022. Las anotaciones para la segunda parte de la reunión fueron finalizadas </w:t>
      </w:r>
      <w:r w:rsidR="000D43DF">
        <w:t xml:space="preserve">posteriormente </w:t>
      </w:r>
      <w:r>
        <w:t>por la Secretaria Ejecutiva, teniendo en cuenta los comentarios de la Mesa en esas reuniones, y se present</w:t>
      </w:r>
      <w:r w:rsidR="000846B0">
        <w:t>a</w:t>
      </w:r>
      <w:r>
        <w:t>n en este documento.</w:t>
      </w:r>
    </w:p>
    <w:p w14:paraId="6140DEAC" w14:textId="07246A69" w:rsidR="00F52AC0" w:rsidRPr="006343DE" w:rsidRDefault="004544B7" w:rsidP="007E5E03">
      <w:pPr>
        <w:pStyle w:val="Para1"/>
        <w:numPr>
          <w:ilvl w:val="0"/>
          <w:numId w:val="0"/>
        </w:numPr>
        <w:suppressLineNumbers/>
        <w:suppressAutoHyphens/>
        <w:kinsoku w:val="0"/>
        <w:overflowPunct w:val="0"/>
        <w:autoSpaceDE w:val="0"/>
        <w:autoSpaceDN w:val="0"/>
        <w:rPr>
          <w:kern w:val="22"/>
        </w:rPr>
      </w:pPr>
      <w:r>
        <w:t>4.</w:t>
      </w:r>
      <w:r>
        <w:tab/>
        <w:t xml:space="preserve">La Presidencia organizará sesiones ministeriales de alto nivel durante las dos partes de la reunión, en consulta con la Secretaría y la Mesa. La serie de sesiones de alto nivel programadas para la segunda parte de la reunión se celebrará del 15 al 17 de diciembre de 2022. </w:t>
      </w:r>
    </w:p>
    <w:p w14:paraId="7ED8CDA4" w14:textId="6EA5A233" w:rsidR="00B27AC8" w:rsidRDefault="004544B7" w:rsidP="007E5E03">
      <w:pPr>
        <w:pStyle w:val="Para1"/>
        <w:numPr>
          <w:ilvl w:val="0"/>
          <w:numId w:val="0"/>
        </w:numPr>
        <w:suppressLineNumbers/>
        <w:suppressAutoHyphens/>
        <w:kinsoku w:val="0"/>
        <w:overflowPunct w:val="0"/>
        <w:autoSpaceDE w:val="0"/>
        <w:autoSpaceDN w:val="0"/>
        <w:rPr>
          <w:kern w:val="22"/>
        </w:rPr>
      </w:pPr>
      <w:r>
        <w:t>5.</w:t>
      </w:r>
      <w:r>
        <w:tab/>
        <w:t>Las consultas entre las delegaciones y las reuniones preparatorias de los grupos regionales podrían tener lugar antes del comienzo de las reuniones.</w:t>
      </w:r>
    </w:p>
    <w:p w14:paraId="4083992C" w14:textId="66542103" w:rsidR="00F62C54" w:rsidRDefault="004544B7" w:rsidP="007E5E03">
      <w:pPr>
        <w:pStyle w:val="Para1"/>
        <w:numPr>
          <w:ilvl w:val="0"/>
          <w:numId w:val="0"/>
        </w:numPr>
        <w:suppressLineNumbers/>
        <w:suppressAutoHyphens/>
        <w:kinsoku w:val="0"/>
        <w:overflowPunct w:val="0"/>
        <w:autoSpaceDE w:val="0"/>
        <w:autoSpaceDN w:val="0"/>
        <w:sectPr w:rsidR="00F62C54" w:rsidSect="00F62C54">
          <w:headerReference w:type="even" r:id="rId16"/>
          <w:headerReference w:type="default" r:id="rId17"/>
          <w:footerReference w:type="even" r:id="rId18"/>
          <w:footerReference w:type="default" r:id="rId19"/>
          <w:headerReference w:type="first" r:id="rId20"/>
          <w:footerReference w:type="first" r:id="rId21"/>
          <w:pgSz w:w="12242" w:h="15842" w:code="1"/>
          <w:pgMar w:top="567" w:right="1440" w:bottom="1021" w:left="1440" w:header="459" w:footer="720" w:gutter="0"/>
          <w:cols w:space="720"/>
          <w:titlePg/>
          <w:docGrid w:linePitch="299"/>
        </w:sectPr>
      </w:pPr>
      <w:r>
        <w:lastRenderedPageBreak/>
        <w:t>6.</w:t>
      </w:r>
      <w:r>
        <w:tab/>
        <w:t>La Secretaria Ejecutiva preparó una recopilación de los proyectos de decisión propuestos en las reuniones celebradas por los órganos subsidiarios durante el período entre sesiones o elaborados por la Secretaria Ejecutiva (CBD/CP/MOP/10/1/Add.5).</w:t>
      </w:r>
    </w:p>
    <w:p w14:paraId="787D9DB0" w14:textId="4EE6468C" w:rsidR="00542D9D" w:rsidRPr="00C535AF" w:rsidRDefault="002744A2" w:rsidP="007E5E03">
      <w:pPr>
        <w:pStyle w:val="Para1"/>
        <w:numPr>
          <w:ilvl w:val="0"/>
          <w:numId w:val="0"/>
        </w:numPr>
        <w:suppressLineNumbers/>
        <w:suppressAutoHyphens/>
        <w:kinsoku w:val="0"/>
        <w:overflowPunct w:val="0"/>
        <w:autoSpaceDE w:val="0"/>
        <w:autoSpaceDN w:val="0"/>
        <w:rPr>
          <w:kern w:val="22"/>
        </w:rPr>
      </w:pPr>
      <w:r>
        <w:t>7.</w:t>
      </w:r>
      <w:r>
        <w:tab/>
        <w:t>Para más información, véanse las anotaciones al programa para la segunda parte de la 15ª reunión de la Conferencia de las Partes en el Convenio, CBD/COP/15/1/Add.3.</w:t>
      </w:r>
    </w:p>
    <w:p w14:paraId="442C7F4F" w14:textId="703A1D61" w:rsidR="00F52AC0" w:rsidRPr="00C535AF" w:rsidRDefault="00F52AC0" w:rsidP="007E5E03">
      <w:pPr>
        <w:pStyle w:val="Heading2"/>
        <w:suppressLineNumbers/>
        <w:tabs>
          <w:tab w:val="left" w:pos="1080"/>
        </w:tabs>
        <w:suppressAutoHyphens/>
        <w:kinsoku w:val="0"/>
        <w:overflowPunct w:val="0"/>
        <w:autoSpaceDE w:val="0"/>
        <w:autoSpaceDN w:val="0"/>
        <w:spacing w:before="240"/>
        <w:rPr>
          <w:i w:val="0"/>
          <w:snapToGrid w:val="0"/>
          <w:kern w:val="22"/>
          <w:szCs w:val="22"/>
        </w:rPr>
      </w:pPr>
      <w:r>
        <w:rPr>
          <w:i w:val="0"/>
          <w:snapToGrid w:val="0"/>
        </w:rPr>
        <w:t>TEMA 1.</w:t>
      </w:r>
      <w:r>
        <w:rPr>
          <w:i w:val="0"/>
          <w:snapToGrid w:val="0"/>
        </w:rPr>
        <w:tab/>
        <w:t>APERTURA DE LA REUNIÓN</w:t>
      </w:r>
    </w:p>
    <w:p w14:paraId="1FC709D4" w14:textId="4C0D3C7F" w:rsidR="00E9566B" w:rsidRPr="00AB03F9" w:rsidRDefault="002744A2" w:rsidP="007E5E03">
      <w:pPr>
        <w:pStyle w:val="Para1"/>
        <w:numPr>
          <w:ilvl w:val="0"/>
          <w:numId w:val="0"/>
        </w:numPr>
        <w:suppressLineNumbers/>
        <w:suppressAutoHyphens/>
        <w:kinsoku w:val="0"/>
        <w:overflowPunct w:val="0"/>
        <w:autoSpaceDE w:val="0"/>
        <w:autoSpaceDN w:val="0"/>
        <w:rPr>
          <w:kern w:val="22"/>
        </w:rPr>
      </w:pPr>
      <w:r>
        <w:t>8.</w:t>
      </w:r>
      <w:r>
        <w:tab/>
        <w:t xml:space="preserve">La reunión se reanudará en forma presencial y </w:t>
      </w:r>
      <w:proofErr w:type="gramStart"/>
      <w:r>
        <w:t>conjuntamente con</w:t>
      </w:r>
      <w:proofErr w:type="gramEnd"/>
      <w:r>
        <w:t xml:space="preserve"> la 15</w:t>
      </w:r>
      <w:r>
        <w:rPr>
          <w:vertAlign w:val="superscript"/>
        </w:rPr>
        <w:t>a</w:t>
      </w:r>
      <w:r>
        <w:t xml:space="preserve"> reunión de la Conferencia de las Partes y la décima reunión de la Conferencia de las Partes que actúa como reunión de las Partes en el Protocolo de Cartagena.</w:t>
      </w:r>
    </w:p>
    <w:p w14:paraId="7332787A" w14:textId="28FDEC78" w:rsidR="004B139B" w:rsidRPr="00AB03F9" w:rsidRDefault="002744A2" w:rsidP="007E5E03">
      <w:pPr>
        <w:pStyle w:val="Para1"/>
        <w:numPr>
          <w:ilvl w:val="0"/>
          <w:numId w:val="0"/>
        </w:numPr>
        <w:suppressLineNumbers/>
        <w:suppressAutoHyphens/>
        <w:kinsoku w:val="0"/>
        <w:overflowPunct w:val="0"/>
        <w:autoSpaceDE w:val="0"/>
        <w:autoSpaceDN w:val="0"/>
        <w:rPr>
          <w:kern w:val="22"/>
        </w:rPr>
      </w:pPr>
      <w:r>
        <w:t>9.</w:t>
      </w:r>
      <w:r>
        <w:tab/>
        <w:t xml:space="preserve">La apertura de la reunión tendrá lugar el miércoles 7 de diciembre de 2022 a las 10.00 horas (hora de Montreal). </w:t>
      </w:r>
    </w:p>
    <w:p w14:paraId="615B6341" w14:textId="271389F5" w:rsidR="00923A85" w:rsidRPr="00AB03F9" w:rsidRDefault="002744A2" w:rsidP="007E5E03">
      <w:pPr>
        <w:pStyle w:val="Para1"/>
        <w:numPr>
          <w:ilvl w:val="0"/>
          <w:numId w:val="0"/>
        </w:numPr>
        <w:suppressLineNumbers/>
        <w:suppressAutoHyphens/>
        <w:kinsoku w:val="0"/>
        <w:overflowPunct w:val="0"/>
        <w:autoSpaceDE w:val="0"/>
        <w:autoSpaceDN w:val="0"/>
        <w:rPr>
          <w:kern w:val="22"/>
        </w:rPr>
      </w:pPr>
      <w:r>
        <w:t>10.</w:t>
      </w:r>
      <w:r>
        <w:tab/>
        <w:t>La apertura de la segunda parte de la reunión estará a cargo del Presidente de la 15</w:t>
      </w:r>
      <w:r>
        <w:rPr>
          <w:vertAlign w:val="superscript"/>
        </w:rPr>
        <w:t>a</w:t>
      </w:r>
      <w:r>
        <w:t xml:space="preserve"> reunión de la Conferencia de las Partes. En la sesión de apertura, formularán declaraciones de bienvenida ante la Conferencia los representantes de la Presidencia y del país anfitrión.</w:t>
      </w:r>
    </w:p>
    <w:p w14:paraId="429EB15F" w14:textId="7C67A8D1" w:rsidR="0030253E" w:rsidRPr="00AB03F9" w:rsidRDefault="002744A2" w:rsidP="007E5E03">
      <w:pPr>
        <w:pStyle w:val="Para1"/>
        <w:numPr>
          <w:ilvl w:val="0"/>
          <w:numId w:val="0"/>
        </w:numPr>
        <w:suppressLineNumbers/>
        <w:suppressAutoHyphens/>
        <w:kinsoku w:val="0"/>
        <w:overflowPunct w:val="0"/>
        <w:autoSpaceDE w:val="0"/>
        <w:autoSpaceDN w:val="0"/>
        <w:rPr>
          <w:kern w:val="22"/>
        </w:rPr>
      </w:pPr>
      <w:r>
        <w:t>11.</w:t>
      </w:r>
      <w:r>
        <w:tab/>
        <w:t>La Secretaria Ejecutiva se dirigirá a la reunión y destacará los temas principales que la Conferencia de las Partes y las reuniones de las Partes en los Protocolos tendrán ante sí.</w:t>
      </w:r>
    </w:p>
    <w:p w14:paraId="7A1CC453" w14:textId="5305DC8F" w:rsidR="00F52AC0" w:rsidRPr="00AB03F9" w:rsidRDefault="002744A2" w:rsidP="007E5E03">
      <w:pPr>
        <w:pStyle w:val="Para1"/>
        <w:numPr>
          <w:ilvl w:val="0"/>
          <w:numId w:val="0"/>
        </w:numPr>
        <w:suppressLineNumbers/>
        <w:suppressAutoHyphens/>
        <w:kinsoku w:val="0"/>
        <w:overflowPunct w:val="0"/>
        <w:autoSpaceDE w:val="0"/>
        <w:autoSpaceDN w:val="0"/>
        <w:rPr>
          <w:kern w:val="22"/>
        </w:rPr>
      </w:pPr>
      <w:r>
        <w:t>12.</w:t>
      </w:r>
      <w:r>
        <w:tab/>
        <w:t xml:space="preserve">También podrán formular declaraciones los representantes de los grupos regionales, los pueblos indígenas y las comunidades locales y un número limitado de otros grupos. </w:t>
      </w:r>
    </w:p>
    <w:p w14:paraId="12C38E80" w14:textId="77777777" w:rsidR="00F52AC0" w:rsidRPr="00C535AF" w:rsidRDefault="00F52AC0" w:rsidP="00465610">
      <w:pPr>
        <w:pStyle w:val="Heading2"/>
        <w:suppressLineNumbers/>
        <w:tabs>
          <w:tab w:val="left" w:pos="1080"/>
        </w:tabs>
        <w:suppressAutoHyphens/>
        <w:kinsoku w:val="0"/>
        <w:overflowPunct w:val="0"/>
        <w:autoSpaceDE w:val="0"/>
        <w:autoSpaceDN w:val="0"/>
        <w:spacing w:before="240"/>
        <w:rPr>
          <w:i w:val="0"/>
          <w:snapToGrid w:val="0"/>
          <w:kern w:val="22"/>
          <w:szCs w:val="22"/>
        </w:rPr>
      </w:pPr>
      <w:r>
        <w:rPr>
          <w:i w:val="0"/>
          <w:snapToGrid w:val="0"/>
        </w:rPr>
        <w:t>TEMA 2.</w:t>
      </w:r>
      <w:bookmarkStart w:id="0" w:name="SEVEN"/>
      <w:bookmarkEnd w:id="0"/>
      <w:r>
        <w:rPr>
          <w:i w:val="0"/>
          <w:snapToGrid w:val="0"/>
        </w:rPr>
        <w:tab/>
        <w:t>CUESTIONES DE ORGANIZACIÓN</w:t>
      </w:r>
    </w:p>
    <w:p w14:paraId="5065289B" w14:textId="026CE2C4" w:rsidR="00F52AC0" w:rsidRPr="00C535AF" w:rsidRDefault="00453BE5" w:rsidP="00F52AC0">
      <w:pPr>
        <w:keepNext/>
        <w:suppressLineNumbers/>
        <w:tabs>
          <w:tab w:val="left" w:pos="567"/>
        </w:tabs>
        <w:suppressAutoHyphens/>
        <w:kinsoku w:val="0"/>
        <w:overflowPunct w:val="0"/>
        <w:autoSpaceDE w:val="0"/>
        <w:autoSpaceDN w:val="0"/>
        <w:spacing w:before="120" w:after="120"/>
        <w:outlineLvl w:val="2"/>
        <w:rPr>
          <w:i/>
          <w:iCs/>
          <w:snapToGrid w:val="0"/>
          <w:kern w:val="22"/>
          <w:szCs w:val="22"/>
        </w:rPr>
      </w:pPr>
      <w:r>
        <w:rPr>
          <w:i/>
          <w:snapToGrid w:val="0"/>
        </w:rPr>
        <w:t>Mesa</w:t>
      </w:r>
    </w:p>
    <w:p w14:paraId="66C06621" w14:textId="50892EB1" w:rsidR="00D24492" w:rsidRPr="00AB03F9" w:rsidRDefault="009F49AC" w:rsidP="009F49AC">
      <w:pPr>
        <w:pStyle w:val="Para1"/>
        <w:numPr>
          <w:ilvl w:val="0"/>
          <w:numId w:val="0"/>
        </w:numPr>
        <w:suppressLineNumbers/>
        <w:suppressAutoHyphens/>
        <w:kinsoku w:val="0"/>
        <w:overflowPunct w:val="0"/>
        <w:autoSpaceDE w:val="0"/>
        <w:autoSpaceDN w:val="0"/>
        <w:rPr>
          <w:kern w:val="22"/>
        </w:rPr>
      </w:pPr>
      <w:r>
        <w:t>13.</w:t>
      </w:r>
      <w:r>
        <w:tab/>
        <w:t>El Presidente de la 15ª reunión de la Conferencia de las Partes, Sr. Runqiu Huang, Ministro de Ecología y Medio Ambiente de China, fue elegido</w:t>
      </w:r>
      <w:r w:rsidR="006615F4">
        <w:t xml:space="preserve"> por aclamación</w:t>
      </w:r>
      <w:r>
        <w:t xml:space="preserve"> en la inauguración de la primera parte de la reunión y seguirá ejerciendo la presidencia durante la segunda parte de la reunión y hasta que se elija a un nuevo Presidente en la apertura de la 16</w:t>
      </w:r>
      <w:r>
        <w:rPr>
          <w:vertAlign w:val="superscript"/>
        </w:rPr>
        <w:t>a</w:t>
      </w:r>
      <w:r>
        <w:t xml:space="preserve"> reunión de la Conferencia de las Partes.</w:t>
      </w:r>
    </w:p>
    <w:p w14:paraId="5D187F62" w14:textId="0C6BE5F7" w:rsidR="000146B8" w:rsidRPr="00AB03F9" w:rsidRDefault="009F49AC" w:rsidP="009F49AC">
      <w:pPr>
        <w:pStyle w:val="Para1"/>
        <w:numPr>
          <w:ilvl w:val="0"/>
          <w:numId w:val="0"/>
        </w:numPr>
        <w:suppressLineNumbers/>
        <w:suppressAutoHyphens/>
        <w:kinsoku w:val="0"/>
        <w:overflowPunct w:val="0"/>
        <w:autoSpaceDE w:val="0"/>
        <w:autoSpaceDN w:val="0"/>
        <w:rPr>
          <w:kern w:val="22"/>
        </w:rPr>
      </w:pPr>
      <w:r>
        <w:t>14.</w:t>
      </w:r>
      <w:r>
        <w:tab/>
        <w:t>La Mesa de la Conferencia de las Partes en el Convenio también oficia de Mesa de la reunión de las Partes en el Protocolo de Nagoya. Por consiguiente, el Sr. Runqiu Huang también presidirá la cuarta reunión de las Partes en el Protocolo de Nagoya.</w:t>
      </w:r>
    </w:p>
    <w:p w14:paraId="53D3AB22" w14:textId="7BE2071A" w:rsidR="00F52AC0" w:rsidRPr="00AB03F9" w:rsidRDefault="009F49AC" w:rsidP="009F49AC">
      <w:pPr>
        <w:pStyle w:val="Para1"/>
        <w:numPr>
          <w:ilvl w:val="0"/>
          <w:numId w:val="0"/>
        </w:numPr>
        <w:suppressLineNumbers/>
        <w:suppressAutoHyphens/>
        <w:kinsoku w:val="0"/>
        <w:overflowPunct w:val="0"/>
        <w:autoSpaceDE w:val="0"/>
        <w:autoSpaceDN w:val="0"/>
        <w:rPr>
          <w:kern w:val="22"/>
        </w:rPr>
      </w:pPr>
      <w:r>
        <w:t>15.</w:t>
      </w:r>
      <w:r>
        <w:tab/>
        <w:t xml:space="preserve">Con arreglo al párrafo 3 del artículo 26 del Protocolo de Nagoya, los miembros de la Mesa de la Conferencia de las Partes que representen a Partes en el Convenio que, </w:t>
      </w:r>
      <w:r w:rsidR="005B7A63">
        <w:t>al momento de la reunión</w:t>
      </w:r>
      <w:r>
        <w:t>, no sean Partes en dicho Protocolo, serán reemplazados por miembros que serán elegidos por las Partes y de entre las mismas.</w:t>
      </w:r>
    </w:p>
    <w:p w14:paraId="7A592112" w14:textId="37D719AC" w:rsidR="00F52AC0" w:rsidRPr="00AB03F9" w:rsidRDefault="009F49AC" w:rsidP="009F49AC">
      <w:pPr>
        <w:pStyle w:val="Para1"/>
        <w:numPr>
          <w:ilvl w:val="0"/>
          <w:numId w:val="0"/>
        </w:numPr>
        <w:suppressLineNumbers/>
        <w:suppressAutoHyphens/>
        <w:kinsoku w:val="0"/>
        <w:overflowPunct w:val="0"/>
        <w:autoSpaceDE w:val="0"/>
        <w:autoSpaceDN w:val="0"/>
        <w:spacing w:after="60"/>
        <w:rPr>
          <w:kern w:val="22"/>
        </w:rPr>
      </w:pPr>
      <w:r>
        <w:t>16.</w:t>
      </w:r>
      <w:r>
        <w:tab/>
        <w:t>La Conferencia de las Partes, en su 14</w:t>
      </w:r>
      <w:r>
        <w:rPr>
          <w:vertAlign w:val="superscript"/>
        </w:rPr>
        <w:t>a</w:t>
      </w:r>
      <w:r>
        <w:t xml:space="preserve"> reunión, eligió diez miembros de la Mesa por un mandato que comenzaría al clausurarse la 14</w:t>
      </w:r>
      <w:r>
        <w:rPr>
          <w:vertAlign w:val="superscript"/>
        </w:rPr>
        <w:t>a</w:t>
      </w:r>
      <w:r>
        <w:t xml:space="preserve"> reunión y finalizaría al clausurarse la 15</w:t>
      </w:r>
      <w:r>
        <w:rPr>
          <w:vertAlign w:val="superscript"/>
        </w:rPr>
        <w:t>a</w:t>
      </w:r>
      <w:r>
        <w:t xml:space="preserve"> reunión. Posteriormente, la tercera reunión de las Partes en el Protocolo de Nagoya eligió miembros sustitutos de la Mesa para las regiones en que el miembro de la Mesa estuviera representando a una Parte en el Convenio que no fuera una Parte en el Protocolo de Nagoya. Por lo tanto, la Mesa de la cuarta reunión de las Partes en el Protocolo de Nagoya está compuesta por los siguientes integrantes, además de su Presidente:</w:t>
      </w:r>
    </w:p>
    <w:p w14:paraId="4856BB0E" w14:textId="3BB7A055" w:rsidR="00F52AC0" w:rsidRPr="00B122DA" w:rsidRDefault="004C5DB2" w:rsidP="009F49AC">
      <w:pPr>
        <w:pStyle w:val="Para1"/>
        <w:numPr>
          <w:ilvl w:val="0"/>
          <w:numId w:val="0"/>
        </w:numPr>
        <w:suppressLineNumbers/>
        <w:suppressAutoHyphens/>
        <w:kinsoku w:val="0"/>
        <w:overflowPunct w:val="0"/>
        <w:autoSpaceDE w:val="0"/>
        <w:autoSpaceDN w:val="0"/>
        <w:spacing w:before="0" w:after="60"/>
        <w:ind w:left="2132"/>
        <w:rPr>
          <w:kern w:val="22"/>
          <w:lang w:val="en-US"/>
        </w:rPr>
      </w:pPr>
      <w:r w:rsidRPr="00B122DA">
        <w:rPr>
          <w:lang w:val="en-US"/>
        </w:rPr>
        <w:t>Sr. Melesse Maryo (Etiopía)</w:t>
      </w:r>
    </w:p>
    <w:p w14:paraId="4252EA51" w14:textId="5BCA4535" w:rsidR="00F52AC0" w:rsidRPr="00B122DA" w:rsidRDefault="004C5DB2" w:rsidP="009F49AC">
      <w:pPr>
        <w:pStyle w:val="Para1"/>
        <w:numPr>
          <w:ilvl w:val="0"/>
          <w:numId w:val="0"/>
        </w:numPr>
        <w:suppressLineNumbers/>
        <w:suppressAutoHyphens/>
        <w:kinsoku w:val="0"/>
        <w:overflowPunct w:val="0"/>
        <w:autoSpaceDE w:val="0"/>
        <w:autoSpaceDN w:val="0"/>
        <w:spacing w:before="60" w:after="60"/>
        <w:ind w:left="2132"/>
        <w:rPr>
          <w:kern w:val="22"/>
          <w:lang w:val="en-US"/>
        </w:rPr>
      </w:pPr>
      <w:r w:rsidRPr="00B122DA">
        <w:rPr>
          <w:lang w:val="en-US"/>
        </w:rPr>
        <w:t>Sr. Eric Okoree (Ghana)</w:t>
      </w:r>
    </w:p>
    <w:p w14:paraId="6940FD5D" w14:textId="77777777" w:rsidR="00362AB8" w:rsidRDefault="00F30E98" w:rsidP="009F49AC">
      <w:pPr>
        <w:pStyle w:val="Para1"/>
        <w:numPr>
          <w:ilvl w:val="0"/>
          <w:numId w:val="0"/>
        </w:numPr>
        <w:suppressLineNumbers/>
        <w:suppressAutoHyphens/>
        <w:kinsoku w:val="0"/>
        <w:overflowPunct w:val="0"/>
        <w:autoSpaceDE w:val="0"/>
        <w:autoSpaceDN w:val="0"/>
        <w:spacing w:before="60" w:after="60"/>
        <w:ind w:left="2132"/>
        <w:rPr>
          <w:rFonts w:asciiTheme="majorBidi" w:hAnsiTheme="majorBidi" w:cstheme="majorBidi"/>
          <w:szCs w:val="22"/>
        </w:rPr>
      </w:pPr>
      <w:r>
        <w:rPr>
          <w:rFonts w:asciiTheme="majorBidi" w:hAnsiTheme="majorBidi"/>
        </w:rPr>
        <w:t>Sr. Naresh Pal Gangwar (India)</w:t>
      </w:r>
      <w:r w:rsidRPr="0022298D">
        <w:rPr>
          <w:rStyle w:val="FootnoteReference"/>
          <w:rFonts w:asciiTheme="majorBidi" w:hAnsiTheme="majorBidi" w:cstheme="majorBidi"/>
          <w:szCs w:val="22"/>
        </w:rPr>
        <w:footnoteReference w:id="2"/>
      </w:r>
    </w:p>
    <w:p w14:paraId="09553CB7" w14:textId="4B1E6CCE" w:rsidR="00F52AC0" w:rsidRPr="003714AC" w:rsidRDefault="004C5DB2" w:rsidP="009F49AC">
      <w:pPr>
        <w:pStyle w:val="Para1"/>
        <w:numPr>
          <w:ilvl w:val="0"/>
          <w:numId w:val="0"/>
        </w:numPr>
        <w:suppressLineNumbers/>
        <w:suppressAutoHyphens/>
        <w:kinsoku w:val="0"/>
        <w:overflowPunct w:val="0"/>
        <w:autoSpaceDE w:val="0"/>
        <w:autoSpaceDN w:val="0"/>
        <w:spacing w:before="60" w:after="60"/>
        <w:ind w:left="2132"/>
        <w:rPr>
          <w:kern w:val="22"/>
        </w:rPr>
      </w:pPr>
      <w:r>
        <w:t>Sra. Leina El-Awadhi (Kuwait)</w:t>
      </w:r>
    </w:p>
    <w:p w14:paraId="2606E3F1" w14:textId="6706E640" w:rsidR="00F52AC0" w:rsidRPr="00F4402F" w:rsidRDefault="004C5DB2" w:rsidP="009F49AC">
      <w:pPr>
        <w:pStyle w:val="Para1"/>
        <w:numPr>
          <w:ilvl w:val="0"/>
          <w:numId w:val="0"/>
        </w:numPr>
        <w:suppressLineNumbers/>
        <w:suppressAutoHyphens/>
        <w:kinsoku w:val="0"/>
        <w:overflowPunct w:val="0"/>
        <w:autoSpaceDE w:val="0"/>
        <w:autoSpaceDN w:val="0"/>
        <w:spacing w:before="60" w:after="60"/>
        <w:ind w:left="2132"/>
        <w:rPr>
          <w:kern w:val="22"/>
        </w:rPr>
      </w:pPr>
      <w:r>
        <w:t>Sr. Dilovarsho Dustov (Tayikistán)</w:t>
      </w:r>
    </w:p>
    <w:p w14:paraId="71636C81" w14:textId="78084A81" w:rsidR="00F52AC0" w:rsidRPr="00F4402F" w:rsidRDefault="004C5DB2" w:rsidP="009F49AC">
      <w:pPr>
        <w:pStyle w:val="Para1"/>
        <w:numPr>
          <w:ilvl w:val="0"/>
          <w:numId w:val="0"/>
        </w:numPr>
        <w:suppressLineNumbers/>
        <w:suppressAutoHyphens/>
        <w:kinsoku w:val="0"/>
        <w:overflowPunct w:val="0"/>
        <w:autoSpaceDE w:val="0"/>
        <w:autoSpaceDN w:val="0"/>
        <w:spacing w:before="60" w:after="60"/>
        <w:ind w:left="2132"/>
        <w:rPr>
          <w:kern w:val="22"/>
        </w:rPr>
      </w:pPr>
      <w:r>
        <w:lastRenderedPageBreak/>
        <w:t>Sra. Elvana Ramaj (Albania)</w:t>
      </w:r>
    </w:p>
    <w:p w14:paraId="0E468B43" w14:textId="0EBC0323" w:rsidR="00F52AC0" w:rsidRPr="00F4402F" w:rsidRDefault="004C5DB2" w:rsidP="009F49AC">
      <w:pPr>
        <w:pStyle w:val="Para1"/>
        <w:numPr>
          <w:ilvl w:val="0"/>
          <w:numId w:val="0"/>
        </w:numPr>
        <w:suppressLineNumbers/>
        <w:suppressAutoHyphens/>
        <w:kinsoku w:val="0"/>
        <w:overflowPunct w:val="0"/>
        <w:autoSpaceDE w:val="0"/>
        <w:autoSpaceDN w:val="0"/>
        <w:spacing w:before="60" w:after="60"/>
        <w:ind w:left="2132"/>
        <w:rPr>
          <w:kern w:val="22"/>
        </w:rPr>
      </w:pPr>
      <w:r>
        <w:t>Sr. Joaquín Salzberg (Argentina)</w:t>
      </w:r>
    </w:p>
    <w:p w14:paraId="435944E8" w14:textId="33074C45" w:rsidR="00F52AC0" w:rsidRPr="00F4402F" w:rsidRDefault="004C5DB2" w:rsidP="009F49AC">
      <w:pPr>
        <w:pStyle w:val="Para1"/>
        <w:numPr>
          <w:ilvl w:val="0"/>
          <w:numId w:val="0"/>
        </w:numPr>
        <w:suppressLineNumbers/>
        <w:suppressAutoHyphens/>
        <w:kinsoku w:val="0"/>
        <w:overflowPunct w:val="0"/>
        <w:autoSpaceDE w:val="0"/>
        <w:autoSpaceDN w:val="0"/>
        <w:spacing w:before="60" w:after="60"/>
        <w:ind w:left="2132"/>
        <w:rPr>
          <w:kern w:val="22"/>
        </w:rPr>
      </w:pPr>
      <w:r>
        <w:t xml:space="preserve">Dra. Helena Jeffery Brown (Antigua y Barbuda) </w:t>
      </w:r>
    </w:p>
    <w:p w14:paraId="52B561A1" w14:textId="173BE2F8" w:rsidR="00F52AC0" w:rsidRPr="00C535AF" w:rsidRDefault="004C5DB2" w:rsidP="009F49AC">
      <w:pPr>
        <w:pStyle w:val="Para1"/>
        <w:numPr>
          <w:ilvl w:val="0"/>
          <w:numId w:val="0"/>
        </w:numPr>
        <w:suppressLineNumbers/>
        <w:suppressAutoHyphens/>
        <w:kinsoku w:val="0"/>
        <w:overflowPunct w:val="0"/>
        <w:autoSpaceDE w:val="0"/>
        <w:autoSpaceDN w:val="0"/>
        <w:spacing w:before="60" w:after="60"/>
        <w:ind w:left="2132"/>
        <w:rPr>
          <w:kern w:val="22"/>
        </w:rPr>
      </w:pPr>
      <w:r>
        <w:t>Sra. Gabriele Obermayr (Austria)</w:t>
      </w:r>
    </w:p>
    <w:p w14:paraId="136F462B" w14:textId="14F2BB24" w:rsidR="00F52AC0" w:rsidRPr="00C535AF" w:rsidRDefault="004C5DB2" w:rsidP="009F49AC">
      <w:pPr>
        <w:pStyle w:val="Para1"/>
        <w:numPr>
          <w:ilvl w:val="0"/>
          <w:numId w:val="0"/>
        </w:numPr>
        <w:suppressLineNumbers/>
        <w:suppressAutoHyphens/>
        <w:kinsoku w:val="0"/>
        <w:overflowPunct w:val="0"/>
        <w:autoSpaceDE w:val="0"/>
        <w:autoSpaceDN w:val="0"/>
        <w:spacing w:before="60" w:after="0"/>
        <w:ind w:left="2132"/>
        <w:rPr>
          <w:kern w:val="22"/>
        </w:rPr>
      </w:pPr>
      <w:r>
        <w:t>Sra. Marie Haraldstad (Noruega)</w:t>
      </w:r>
    </w:p>
    <w:p w14:paraId="2EE38995" w14:textId="5420F351" w:rsidR="00F52AC0" w:rsidRPr="00C535AF" w:rsidRDefault="002C29C8" w:rsidP="009F49AC">
      <w:pPr>
        <w:pStyle w:val="Para1"/>
        <w:numPr>
          <w:ilvl w:val="0"/>
          <w:numId w:val="0"/>
        </w:numPr>
        <w:suppressLineNumbers/>
        <w:suppressAutoHyphens/>
        <w:kinsoku w:val="0"/>
        <w:overflowPunct w:val="0"/>
        <w:autoSpaceDE w:val="0"/>
        <w:autoSpaceDN w:val="0"/>
        <w:rPr>
          <w:kern w:val="22"/>
        </w:rPr>
      </w:pPr>
      <w:r>
        <w:t>17.</w:t>
      </w:r>
      <w:r>
        <w:tab/>
        <w:t>En la segunda parte de su 15ª reunión, la Conferencia de las Partes en el Convenio elegirá a los miembros de la Mesa que comenzarán a ejercer sus funciones al clausurarse la reunión (artículo 21 del reglamento). En caso de que uno o más de los integrantes de la Mesa elegidos de entre las Partes en el Convenio no sean Partes en el Protocolo de Nagoya, la reunión de las Partes en el Protocolo de Nagoya elegirá miembros sustitutos.</w:t>
      </w:r>
    </w:p>
    <w:p w14:paraId="6A21E82D" w14:textId="264429FC" w:rsidR="00F52AC0" w:rsidRPr="00841625" w:rsidRDefault="00F52AC0" w:rsidP="009F49AC">
      <w:pPr>
        <w:pStyle w:val="Heading3"/>
        <w:suppressLineNumbers/>
        <w:suppressAutoHyphens/>
        <w:kinsoku w:val="0"/>
        <w:overflowPunct w:val="0"/>
        <w:autoSpaceDE w:val="0"/>
        <w:autoSpaceDN w:val="0"/>
        <w:jc w:val="both"/>
        <w:rPr>
          <w:iCs w:val="0"/>
          <w:snapToGrid w:val="0"/>
          <w:kern w:val="22"/>
          <w:szCs w:val="22"/>
        </w:rPr>
      </w:pPr>
      <w:r>
        <w:rPr>
          <w:snapToGrid w:val="0"/>
        </w:rPr>
        <w:t>Adopción del programa</w:t>
      </w:r>
    </w:p>
    <w:p w14:paraId="5249D956" w14:textId="6A78FCBC" w:rsidR="00F52AC0" w:rsidRPr="002548BF" w:rsidRDefault="005A2079" w:rsidP="009F49AC">
      <w:pPr>
        <w:pStyle w:val="Para1"/>
        <w:numPr>
          <w:ilvl w:val="0"/>
          <w:numId w:val="0"/>
        </w:numPr>
        <w:suppressLineNumbers/>
        <w:suppressAutoHyphens/>
        <w:kinsoku w:val="0"/>
        <w:overflowPunct w:val="0"/>
        <w:autoSpaceDE w:val="0"/>
        <w:autoSpaceDN w:val="0"/>
        <w:rPr>
          <w:kern w:val="22"/>
          <w:szCs w:val="22"/>
        </w:rPr>
      </w:pPr>
      <w:r>
        <w:t>18.</w:t>
      </w:r>
      <w:r>
        <w:tab/>
        <w:t>El programa provisional (CBD/NP/MOP/4/1/Rev.1) fue adoptado durante la primera parte de la reunión.</w:t>
      </w:r>
    </w:p>
    <w:p w14:paraId="76239D3E" w14:textId="5D969812" w:rsidR="00F52AC0" w:rsidRPr="00841625" w:rsidRDefault="00F52AC0" w:rsidP="009F49AC">
      <w:pPr>
        <w:pStyle w:val="Heading3"/>
        <w:suppressLineNumbers/>
        <w:suppressAutoHyphens/>
        <w:kinsoku w:val="0"/>
        <w:overflowPunct w:val="0"/>
        <w:autoSpaceDE w:val="0"/>
        <w:autoSpaceDN w:val="0"/>
        <w:jc w:val="both"/>
        <w:rPr>
          <w:i w:val="0"/>
          <w:snapToGrid w:val="0"/>
          <w:kern w:val="22"/>
          <w:szCs w:val="22"/>
        </w:rPr>
      </w:pPr>
      <w:r>
        <w:rPr>
          <w:snapToGrid w:val="0"/>
        </w:rPr>
        <w:t>Organización del trabajo</w:t>
      </w:r>
    </w:p>
    <w:p w14:paraId="4F544E08" w14:textId="3B30FEE7" w:rsidR="00F52AC0" w:rsidRPr="00C535AF" w:rsidRDefault="005A2079" w:rsidP="009F49AC">
      <w:pPr>
        <w:pStyle w:val="Para1"/>
        <w:numPr>
          <w:ilvl w:val="0"/>
          <w:numId w:val="0"/>
        </w:numPr>
        <w:suppressLineNumbers/>
        <w:suppressAutoHyphens/>
        <w:kinsoku w:val="0"/>
        <w:overflowPunct w:val="0"/>
        <w:autoSpaceDE w:val="0"/>
        <w:autoSpaceDN w:val="0"/>
        <w:snapToGrid w:val="0"/>
        <w:rPr>
          <w:kern w:val="22"/>
          <w:szCs w:val="22"/>
        </w:rPr>
      </w:pPr>
      <w:r>
        <w:t>19.</w:t>
      </w:r>
      <w:r>
        <w:tab/>
        <w:t xml:space="preserve">En la decisión </w:t>
      </w:r>
      <w:hyperlink r:id="rId22" w:history="1">
        <w:r>
          <w:rPr>
            <w:rStyle w:val="Hyperlink"/>
            <w:sz w:val="22"/>
          </w:rPr>
          <w:t>NP-1/12</w:t>
        </w:r>
      </w:hyperlink>
      <w:r>
        <w:t xml:space="preserve">, párrafo 1 (y como también se refleja en las decisiones </w:t>
      </w:r>
      <w:hyperlink r:id="rId23" w:history="1">
        <w:r>
          <w:rPr>
            <w:rStyle w:val="Hyperlink"/>
            <w:sz w:val="22"/>
          </w:rPr>
          <w:t>XII/27</w:t>
        </w:r>
      </w:hyperlink>
      <w:r>
        <w:t xml:space="preserve">, párrafo 3, y </w:t>
      </w:r>
      <w:hyperlink r:id="rId24" w:history="1">
        <w:r>
          <w:rPr>
            <w:rStyle w:val="Hyperlink"/>
            <w:sz w:val="22"/>
          </w:rPr>
          <w:t>BS-VII/9</w:t>
        </w:r>
      </w:hyperlink>
      <w:r>
        <w:t>, párrafo 1), las Partes en el Protocolo de Nagoya decidieron celebrar sus reuniones ordinarias futuras en forma concurrente con las reuniones de la Conferencia de las Partes en el Convenio y las reuniones de la Conferencia de las Partes que actúa como reunión de las Partes en el Protocolo de Cartagena en un período de dos semanas.</w:t>
      </w:r>
    </w:p>
    <w:p w14:paraId="70426225" w14:textId="198938F2" w:rsidR="00F52AC0" w:rsidRPr="00C535AF" w:rsidRDefault="005A2079" w:rsidP="009F49AC">
      <w:pPr>
        <w:pStyle w:val="Para1"/>
        <w:numPr>
          <w:ilvl w:val="0"/>
          <w:numId w:val="0"/>
        </w:numPr>
        <w:suppressLineNumbers/>
        <w:suppressAutoHyphens/>
        <w:kinsoku w:val="0"/>
        <w:overflowPunct w:val="0"/>
        <w:autoSpaceDE w:val="0"/>
        <w:autoSpaceDN w:val="0"/>
        <w:snapToGrid w:val="0"/>
        <w:rPr>
          <w:kern w:val="22"/>
          <w:szCs w:val="22"/>
        </w:rPr>
      </w:pPr>
      <w:r>
        <w:t>20.</w:t>
      </w:r>
      <w:r>
        <w:tab/>
        <w:t>Por consiguiente, se invitará a la reunión de las Partes a examinar y aprobar la propuesta para la organización de sus trabajos durante la segunda parte de la reunión (CBD/NP/MOP/4/1/Add.4). La organización de los trabajos propuesta prevé sesiones plenarias y dos grupos de trabajo. En el documento se propone una distribución de responsabilidades entre el plenario y los dos grupos de trabajo y también se incluye el calendario propuesto para la 15ª reunión de la Conferencia de las Partes en el Convenio y la décima reunión de la Conferencia de las Partes que actúa como reunión de las Partes en el Protocolo de Cartagena.</w:t>
      </w:r>
    </w:p>
    <w:p w14:paraId="3DBC0C18" w14:textId="1FDB0682" w:rsidR="00F52AC0" w:rsidRPr="00C535AF" w:rsidRDefault="005A2079" w:rsidP="009F49AC">
      <w:pPr>
        <w:pStyle w:val="Para1"/>
        <w:numPr>
          <w:ilvl w:val="0"/>
          <w:numId w:val="0"/>
        </w:numPr>
        <w:suppressLineNumbers/>
        <w:suppressAutoHyphens/>
        <w:kinsoku w:val="0"/>
        <w:overflowPunct w:val="0"/>
        <w:autoSpaceDE w:val="0"/>
        <w:autoSpaceDN w:val="0"/>
        <w:snapToGrid w:val="0"/>
        <w:rPr>
          <w:kern w:val="22"/>
          <w:szCs w:val="22"/>
        </w:rPr>
      </w:pPr>
      <w:r>
        <w:t>21.</w:t>
      </w:r>
      <w:r>
        <w:tab/>
        <w:t>La organización de los trabajos se ha preparado teniendo en cuenta la experiencia adquirida en la celebración de las reuniones en forma concurrente de la Conferencia de las Partes en el Convenio y las reuniones de las Partes en los Protocolos de Cartagena y Nagoya en diciembre de 2016 y noviembre de 2018.</w:t>
      </w:r>
    </w:p>
    <w:p w14:paraId="7228C8DC" w14:textId="1D656E75" w:rsidR="00F52AC0" w:rsidRPr="00C535AF" w:rsidRDefault="005A2079" w:rsidP="009F49AC">
      <w:pPr>
        <w:pStyle w:val="Para1"/>
        <w:numPr>
          <w:ilvl w:val="0"/>
          <w:numId w:val="0"/>
        </w:numPr>
        <w:suppressLineNumbers/>
        <w:suppressAutoHyphens/>
        <w:kinsoku w:val="0"/>
        <w:overflowPunct w:val="0"/>
        <w:autoSpaceDE w:val="0"/>
        <w:autoSpaceDN w:val="0"/>
        <w:snapToGrid w:val="0"/>
        <w:rPr>
          <w:kern w:val="22"/>
          <w:szCs w:val="22"/>
        </w:rPr>
      </w:pPr>
      <w:r>
        <w:t>22.</w:t>
      </w:r>
      <w:r>
        <w:tab/>
        <w:t xml:space="preserve">En las sesiones plenarias y en las sesiones de los grupos de trabajo por la mañana y por la tarde habrá servicio de interpretación. </w:t>
      </w:r>
    </w:p>
    <w:p w14:paraId="21AE9F74" w14:textId="214343D9" w:rsidR="00F52AC0" w:rsidRPr="00C535AF" w:rsidRDefault="005A2079" w:rsidP="009F49AC">
      <w:pPr>
        <w:pStyle w:val="Para1"/>
        <w:numPr>
          <w:ilvl w:val="0"/>
          <w:numId w:val="0"/>
        </w:numPr>
        <w:suppressLineNumbers/>
        <w:suppressAutoHyphens/>
        <w:kinsoku w:val="0"/>
        <w:overflowPunct w:val="0"/>
        <w:autoSpaceDE w:val="0"/>
        <w:autoSpaceDN w:val="0"/>
        <w:snapToGrid w:val="0"/>
        <w:rPr>
          <w:kern w:val="22"/>
          <w:szCs w:val="22"/>
        </w:rPr>
      </w:pPr>
      <w:r>
        <w:t>23.</w:t>
      </w:r>
      <w:r>
        <w:tab/>
        <w:t>El anexo del presente documento contiene una lista de los documentos de trabajo y una lista preliminar de los documentos de información emitidos para la reunión.</w:t>
      </w:r>
    </w:p>
    <w:p w14:paraId="4327DE9C" w14:textId="6D4E7860" w:rsidR="00F52AC0" w:rsidRPr="00C535AF" w:rsidRDefault="00F52AC0" w:rsidP="00465610">
      <w:pPr>
        <w:pStyle w:val="Heading2longmultiline"/>
        <w:suppressLineNumbers/>
        <w:suppressAutoHyphens/>
        <w:kinsoku w:val="0"/>
        <w:overflowPunct w:val="0"/>
        <w:autoSpaceDE w:val="0"/>
        <w:autoSpaceDN w:val="0"/>
        <w:spacing w:before="240"/>
        <w:rPr>
          <w:i w:val="0"/>
          <w:snapToGrid w:val="0"/>
          <w:kern w:val="22"/>
          <w:szCs w:val="22"/>
        </w:rPr>
      </w:pPr>
      <w:r>
        <w:rPr>
          <w:i w:val="0"/>
          <w:snapToGrid w:val="0"/>
        </w:rPr>
        <w:t>TEMA 3.</w:t>
      </w:r>
      <w:r>
        <w:rPr>
          <w:i w:val="0"/>
          <w:snapToGrid w:val="0"/>
        </w:rPr>
        <w:tab/>
        <w:t>INFORME SOBRE LAS CREDENCIALES DE LOS REPRESENTANTES QUE PARTICIPAN EN LA CUARTA REUNIÓN DE LA CONFERENCIA DE LAS PARTES QUE ACTÚA COMO REUNIÓN DE LAS PARTES EN EL PROTOCOLO DE NAGOYA</w:t>
      </w:r>
    </w:p>
    <w:p w14:paraId="53155402" w14:textId="71E90A0A" w:rsidR="004F738A" w:rsidRPr="00BC2AA0" w:rsidRDefault="00C416F6" w:rsidP="00C416F6">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24.</w:t>
      </w:r>
      <w:r>
        <w:rPr>
          <w:snapToGrid w:val="0"/>
        </w:rPr>
        <w:tab/>
        <w:t>El artículo 18 del reglamento de la Conferencia de las Partes en el Convenio establece que:</w:t>
      </w:r>
    </w:p>
    <w:p w14:paraId="7444A6AB" w14:textId="77777777" w:rsidR="004F738A" w:rsidRPr="00DB5BD2" w:rsidRDefault="004F738A" w:rsidP="00C416F6">
      <w:pPr>
        <w:suppressLineNumbers/>
        <w:suppressAutoHyphens/>
        <w:kinsoku w:val="0"/>
        <w:overflowPunct w:val="0"/>
        <w:autoSpaceDE w:val="0"/>
        <w:autoSpaceDN w:val="0"/>
        <w:adjustRightInd w:val="0"/>
        <w:snapToGrid w:val="0"/>
        <w:spacing w:before="120" w:after="120"/>
        <w:ind w:left="720" w:right="-36"/>
        <w:rPr>
          <w:snapToGrid w:val="0"/>
          <w:kern w:val="22"/>
          <w:szCs w:val="22"/>
        </w:rPr>
      </w:pPr>
      <w:r>
        <w:rPr>
          <w:snapToGrid w:val="0"/>
        </w:rPr>
        <w:t>“Las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en el caso de una organización de integración económica regional, por la autoridad competente de dicha organización”.</w:t>
      </w:r>
    </w:p>
    <w:p w14:paraId="36EB1B4F" w14:textId="77672590" w:rsidR="00A352F5" w:rsidRPr="00362AB8" w:rsidRDefault="00C416F6" w:rsidP="00C416F6">
      <w:pPr>
        <w:suppressLineNumbers/>
        <w:suppressAutoHyphens/>
        <w:kinsoku w:val="0"/>
        <w:overflowPunct w:val="0"/>
        <w:autoSpaceDE w:val="0"/>
        <w:autoSpaceDN w:val="0"/>
        <w:snapToGrid w:val="0"/>
        <w:spacing w:before="120" w:after="120"/>
        <w:rPr>
          <w:snapToGrid w:val="0"/>
          <w:kern w:val="22"/>
          <w:szCs w:val="22"/>
        </w:rPr>
      </w:pPr>
      <w:r>
        <w:rPr>
          <w:snapToGrid w:val="0"/>
        </w:rPr>
        <w:lastRenderedPageBreak/>
        <w:t>25.</w:t>
      </w:r>
      <w:r>
        <w:rPr>
          <w:snapToGrid w:val="0"/>
        </w:rPr>
        <w:tab/>
        <w:t xml:space="preserve">En el artículo 19, se establece que “la Mesa de la reunión examinará las credenciales y presentará a la Conferencia de las Partes un informe para que esta adopte una decisión al respecto”. El reglamento se aplica, </w:t>
      </w:r>
      <w:r>
        <w:rPr>
          <w:i/>
          <w:iCs/>
          <w:snapToGrid w:val="0"/>
        </w:rPr>
        <w:t>mutatis mutandis,</w:t>
      </w:r>
      <w:r>
        <w:rPr>
          <w:snapToGrid w:val="0"/>
        </w:rPr>
        <w:t xml:space="preserve"> a las reuniones de las Partes en el Protocolo de Nagoya.</w:t>
      </w:r>
    </w:p>
    <w:p w14:paraId="24ED5E2F" w14:textId="4A498948" w:rsidR="00F52AC0" w:rsidRPr="00C535AF" w:rsidRDefault="00C416F6" w:rsidP="00C416F6">
      <w:pPr>
        <w:suppressLineNumbers/>
        <w:suppressAutoHyphens/>
        <w:kinsoku w:val="0"/>
        <w:overflowPunct w:val="0"/>
        <w:autoSpaceDE w:val="0"/>
        <w:autoSpaceDN w:val="0"/>
        <w:snapToGrid w:val="0"/>
        <w:spacing w:before="120" w:after="120"/>
        <w:rPr>
          <w:snapToGrid w:val="0"/>
          <w:kern w:val="22"/>
          <w:szCs w:val="22"/>
        </w:rPr>
      </w:pPr>
      <w:r>
        <w:rPr>
          <w:snapToGrid w:val="0"/>
        </w:rPr>
        <w:t>26.</w:t>
      </w:r>
      <w:r>
        <w:rPr>
          <w:snapToGrid w:val="0"/>
        </w:rPr>
        <w:tab/>
        <w:t>Con el fin de ayudar a las Partes a cumplir con los requisitos del artículo 18, la Secretaria Ejecutiva emitió una notificación</w:t>
      </w:r>
      <w:r w:rsidR="00755510" w:rsidRPr="003714AC">
        <w:rPr>
          <w:rStyle w:val="FootnoteReference"/>
          <w:snapToGrid w:val="0"/>
          <w:kern w:val="22"/>
          <w:szCs w:val="22"/>
          <w:u w:val="none"/>
          <w:vertAlign w:val="superscript"/>
          <w:lang w:val="en-CA" w:eastAsia="en-CA"/>
        </w:rPr>
        <w:footnoteReference w:id="3"/>
      </w:r>
      <w:r>
        <w:t xml:space="preserve"> que </w:t>
      </w:r>
      <w:r>
        <w:rPr>
          <w:snapToGrid w:val="0"/>
        </w:rPr>
        <w:t xml:space="preserve">incluía información sobre los requisitos para las credenciales y un enlace donde se pueden encontrar modelos de credenciales apropiadas. De conformidad con la práctica establecida, los representantes de las Partes en el Convenio que también son Partes en el Protocolo de Cartagena y en el Protocolo de Nagoya pueden presentar un único conjunto de credenciales para la 15ª reunión de la Conferencia de las Partes en el Convenio, la décima reunión de las Partes en el Protocolo de Cartagena y la </w:t>
      </w:r>
      <w:bookmarkStart w:id="1" w:name="_Hlk5187881"/>
      <w:r>
        <w:rPr>
          <w:snapToGrid w:val="0"/>
          <w:color w:val="000000"/>
        </w:rPr>
        <w:t>cuarta reunión de las Partes en el Protocolo de Nagoya</w:t>
      </w:r>
      <w:bookmarkEnd w:id="1"/>
      <w:r>
        <w:rPr>
          <w:snapToGrid w:val="0"/>
          <w:color w:val="000000"/>
        </w:rPr>
        <w:t>.</w:t>
      </w:r>
    </w:p>
    <w:p w14:paraId="4142F6FC" w14:textId="4526C697" w:rsidR="00F52AC0" w:rsidRPr="00C535AF" w:rsidRDefault="00C416F6" w:rsidP="00C416F6">
      <w:pPr>
        <w:suppressLineNumbers/>
        <w:suppressAutoHyphens/>
        <w:kinsoku w:val="0"/>
        <w:overflowPunct w:val="0"/>
        <w:autoSpaceDE w:val="0"/>
        <w:autoSpaceDN w:val="0"/>
        <w:snapToGrid w:val="0"/>
        <w:spacing w:before="120" w:after="120"/>
        <w:rPr>
          <w:snapToGrid w:val="0"/>
          <w:kern w:val="22"/>
          <w:szCs w:val="22"/>
        </w:rPr>
      </w:pPr>
      <w:r>
        <w:rPr>
          <w:snapToGrid w:val="0"/>
        </w:rPr>
        <w:t>27.</w:t>
      </w:r>
      <w:r>
        <w:rPr>
          <w:snapToGrid w:val="0"/>
        </w:rPr>
        <w:tab/>
        <w:t>Se invitará a la Reunión de las Partes en el Protocolo de Nagoya a examinar y adoptar el informe sobre las credenciales que le presente la Mesa.</w:t>
      </w:r>
    </w:p>
    <w:p w14:paraId="4109E715" w14:textId="77777777" w:rsidR="00F52AC0" w:rsidRPr="00C535AF" w:rsidRDefault="00F52AC0" w:rsidP="00465610">
      <w:pPr>
        <w:pStyle w:val="Heading2"/>
        <w:suppressLineNumbers/>
        <w:tabs>
          <w:tab w:val="left" w:pos="1080"/>
        </w:tabs>
        <w:suppressAutoHyphens/>
        <w:kinsoku w:val="0"/>
        <w:overflowPunct w:val="0"/>
        <w:autoSpaceDE w:val="0"/>
        <w:autoSpaceDN w:val="0"/>
        <w:spacing w:before="240"/>
        <w:rPr>
          <w:rFonts w:ascii="Times New Roman Bold" w:hAnsi="Times New Roman Bold" w:cs="Times New Roman Bold"/>
          <w:bCs w:val="0"/>
          <w:i w:val="0"/>
          <w:snapToGrid w:val="0"/>
          <w:kern w:val="22"/>
          <w:szCs w:val="22"/>
        </w:rPr>
      </w:pPr>
      <w:r>
        <w:rPr>
          <w:rFonts w:ascii="Times New Roman Bold" w:hAnsi="Times New Roman Bold"/>
          <w:i w:val="0"/>
          <w:snapToGrid w:val="0"/>
        </w:rPr>
        <w:t>TEMA 4.</w:t>
      </w:r>
      <w:r>
        <w:rPr>
          <w:rFonts w:ascii="Times New Roman Bold" w:hAnsi="Times New Roman Bold"/>
          <w:i w:val="0"/>
          <w:snapToGrid w:val="0"/>
        </w:rPr>
        <w:tab/>
      </w:r>
      <w:r>
        <w:rPr>
          <w:i w:val="0"/>
          <w:snapToGrid w:val="0"/>
        </w:rPr>
        <w:t>INFORMES DE LOS ÓRGANOS SUBSIDIARIOS</w:t>
      </w:r>
    </w:p>
    <w:p w14:paraId="33F2D9AF" w14:textId="465B2D57" w:rsidR="00F52AC0" w:rsidRPr="00C535AF" w:rsidRDefault="00F15C29" w:rsidP="00F15C29">
      <w:pPr>
        <w:suppressLineNumbers/>
        <w:suppressAutoHyphens/>
        <w:kinsoku w:val="0"/>
        <w:overflowPunct w:val="0"/>
        <w:autoSpaceDE w:val="0"/>
        <w:autoSpaceDN w:val="0"/>
        <w:snapToGrid w:val="0"/>
        <w:spacing w:before="120" w:after="120"/>
        <w:rPr>
          <w:snapToGrid w:val="0"/>
          <w:kern w:val="22"/>
          <w:szCs w:val="22"/>
        </w:rPr>
      </w:pPr>
      <w:r>
        <w:rPr>
          <w:snapToGrid w:val="0"/>
        </w:rPr>
        <w:t>28.</w:t>
      </w:r>
      <w:r>
        <w:rPr>
          <w:snapToGrid w:val="0"/>
        </w:rPr>
        <w:tab/>
        <w:t>El párrafo 1 del artículo 27 del Protocolo de Nagoya dispone que “cualquier órgano subsidiario establecido por el Convenio o en virtud de este podrá prestar servicios a este Protocolo, incluso mediante una decisión de la Conferencia de las Partes que actúa como reunión de las Partes en el presente Protocolo. Toda decisión a este respecto especificará las tareas que habrán de llevarse a cabo”.</w:t>
      </w:r>
    </w:p>
    <w:p w14:paraId="4F02DF57" w14:textId="0F6A8065" w:rsidR="001C39C4" w:rsidRDefault="00F15C29" w:rsidP="00F15C29">
      <w:pPr>
        <w:suppressLineNumbers/>
        <w:suppressAutoHyphens/>
        <w:kinsoku w:val="0"/>
        <w:overflowPunct w:val="0"/>
        <w:autoSpaceDE w:val="0"/>
        <w:autoSpaceDN w:val="0"/>
        <w:snapToGrid w:val="0"/>
        <w:spacing w:before="120" w:after="120"/>
        <w:rPr>
          <w:snapToGrid w:val="0"/>
          <w:kern w:val="22"/>
          <w:szCs w:val="22"/>
        </w:rPr>
      </w:pPr>
      <w:r>
        <w:rPr>
          <w:snapToGrid w:val="0"/>
        </w:rPr>
        <w:t>29.</w:t>
      </w:r>
      <w:r>
        <w:rPr>
          <w:snapToGrid w:val="0"/>
        </w:rPr>
        <w:tab/>
        <w:t xml:space="preserve">En relación con este tema, la Presidencia informará a la Conferencia de las Partes que actúa como reunión de las Partes en el Protocolo de Nagoya de las reuniones de los órganos subsidiarios celebradas durante el período entre sesiones y los informes correspondientes, en el entendido de que los temas sustantivos que surjan de estas se abordarán en relación con el tema del programa correspondiente. </w:t>
      </w:r>
    </w:p>
    <w:p w14:paraId="794189C7" w14:textId="4625C5AA" w:rsidR="00741CB2" w:rsidRPr="008B319D" w:rsidRDefault="00F15C29" w:rsidP="00F15C29">
      <w:pPr>
        <w:pStyle w:val="Para1"/>
        <w:numPr>
          <w:ilvl w:val="0"/>
          <w:numId w:val="0"/>
        </w:numPr>
        <w:rPr>
          <w:rFonts w:asciiTheme="majorBidi" w:eastAsiaTheme="minorEastAsia" w:hAnsiTheme="majorBidi" w:cstheme="majorBidi"/>
          <w:color w:val="000000" w:themeColor="text1"/>
          <w:szCs w:val="22"/>
        </w:rPr>
      </w:pPr>
      <w:r>
        <w:rPr>
          <w:rFonts w:asciiTheme="majorBidi" w:hAnsiTheme="majorBidi"/>
        </w:rPr>
        <w:t>30.</w:t>
      </w:r>
      <w:r>
        <w:rPr>
          <w:rFonts w:asciiTheme="majorBidi" w:hAnsiTheme="majorBidi"/>
        </w:rPr>
        <w:tab/>
        <w:t>Los siguientes informes fueron presentados a la Conferencia de las Partes que actúa como reunión de las Partes en el Protocolo en la primera parte de su cuarta reunión:</w:t>
      </w:r>
    </w:p>
    <w:p w14:paraId="27036EE0" w14:textId="4F0618B7" w:rsidR="002C0D97" w:rsidRPr="00F15C29" w:rsidRDefault="00F15C29" w:rsidP="00F15C29">
      <w:pPr>
        <w:suppressLineNumbers/>
        <w:tabs>
          <w:tab w:val="left" w:pos="450"/>
          <w:tab w:val="left" w:pos="720"/>
        </w:tabs>
        <w:suppressAutoHyphens/>
        <w:kinsoku w:val="0"/>
        <w:overflowPunct w:val="0"/>
        <w:autoSpaceDE w:val="0"/>
        <w:autoSpaceDN w:val="0"/>
        <w:adjustRightInd w:val="0"/>
        <w:snapToGrid w:val="0"/>
        <w:spacing w:before="120" w:after="120"/>
        <w:ind w:left="851"/>
        <w:rPr>
          <w:snapToGrid w:val="0"/>
          <w:kern w:val="22"/>
          <w:szCs w:val="22"/>
        </w:rPr>
      </w:pPr>
      <w:r>
        <w:rPr>
          <w:snapToGrid w:val="0"/>
        </w:rPr>
        <w:t>a)</w:t>
      </w:r>
      <w:r>
        <w:rPr>
          <w:snapToGrid w:val="0"/>
        </w:rPr>
        <w:tab/>
        <w:t>El informe del Órgano Subsidiario sobre la Aplicación sobre la primera parte de esta tercera reunión (CBD/SBI/3/20);</w:t>
      </w:r>
    </w:p>
    <w:p w14:paraId="2778CD40" w14:textId="700F9DB8" w:rsidR="00091942" w:rsidRPr="00F15C29" w:rsidRDefault="00F15C29" w:rsidP="00F15C29">
      <w:pPr>
        <w:suppressLineNumbers/>
        <w:tabs>
          <w:tab w:val="left" w:pos="450"/>
          <w:tab w:val="left" w:pos="720"/>
        </w:tabs>
        <w:suppressAutoHyphens/>
        <w:kinsoku w:val="0"/>
        <w:overflowPunct w:val="0"/>
        <w:autoSpaceDE w:val="0"/>
        <w:autoSpaceDN w:val="0"/>
        <w:adjustRightInd w:val="0"/>
        <w:snapToGrid w:val="0"/>
        <w:spacing w:before="120" w:after="120"/>
        <w:ind w:left="851"/>
        <w:rPr>
          <w:snapToGrid w:val="0"/>
          <w:kern w:val="22"/>
          <w:szCs w:val="22"/>
        </w:rPr>
      </w:pPr>
      <w:r>
        <w:rPr>
          <w:snapToGrid w:val="0"/>
        </w:rPr>
        <w:t>b)</w:t>
      </w:r>
      <w:r>
        <w:rPr>
          <w:snapToGrid w:val="0"/>
        </w:rPr>
        <w:tab/>
        <w:t xml:space="preserve">Los informes de las reuniones primera, segunda y primera parte de la tercera del Grupo de Trabajo de Composición Abierta sobre el Marco Mundial de la Diversidad Biológica posterior a 2020 (CBD/WG2020/1/5; CBD/WG2020/2/4 y CBD/WG2020/3/5). </w:t>
      </w:r>
    </w:p>
    <w:p w14:paraId="5B7CE9DE" w14:textId="56B5C06D" w:rsidR="0046660A" w:rsidRDefault="00F15C29" w:rsidP="00F15C29">
      <w:pPr>
        <w:pStyle w:val="Para1"/>
        <w:numPr>
          <w:ilvl w:val="0"/>
          <w:numId w:val="0"/>
        </w:numPr>
        <w:rPr>
          <w:kern w:val="22"/>
          <w:szCs w:val="22"/>
        </w:rPr>
      </w:pPr>
      <w:r>
        <w:rPr>
          <w:rFonts w:asciiTheme="majorBidi" w:hAnsiTheme="majorBidi"/>
        </w:rPr>
        <w:t>31.</w:t>
      </w:r>
      <w:r>
        <w:rPr>
          <w:rFonts w:asciiTheme="majorBidi" w:hAnsiTheme="majorBidi"/>
        </w:rPr>
        <w:tab/>
        <w:t>Los informes que se presentarán en la segunda parte de la décima reunión incluyen lo siguiente:</w:t>
      </w:r>
    </w:p>
    <w:p w14:paraId="1D11CDA5" w14:textId="6AC2AA54" w:rsidR="00091942" w:rsidRPr="00E64D99" w:rsidRDefault="00F15C29" w:rsidP="00F15C29">
      <w:pPr>
        <w:suppressLineNumbers/>
        <w:suppressAutoHyphens/>
        <w:kinsoku w:val="0"/>
        <w:overflowPunct w:val="0"/>
        <w:autoSpaceDE w:val="0"/>
        <w:autoSpaceDN w:val="0"/>
        <w:adjustRightInd w:val="0"/>
        <w:snapToGrid w:val="0"/>
        <w:spacing w:before="120" w:after="120"/>
        <w:ind w:left="720"/>
        <w:rPr>
          <w:snapToGrid w:val="0"/>
          <w:kern w:val="22"/>
          <w:szCs w:val="22"/>
        </w:rPr>
      </w:pPr>
      <w:r>
        <w:rPr>
          <w:snapToGrid w:val="0"/>
        </w:rPr>
        <w:t>a)</w:t>
      </w:r>
      <w:r>
        <w:rPr>
          <w:snapToGrid w:val="0"/>
        </w:rPr>
        <w:tab/>
        <w:t>El informe del Órgano Subsidiario de Asesoramiento Científico, Técnico y Tecnológico sobre su 24</w:t>
      </w:r>
      <w:r>
        <w:rPr>
          <w:snapToGrid w:val="0"/>
          <w:vertAlign w:val="superscript"/>
        </w:rPr>
        <w:t>a</w:t>
      </w:r>
      <w:r>
        <w:rPr>
          <w:snapToGrid w:val="0"/>
        </w:rPr>
        <w:t xml:space="preserve"> reunión (CBD/SBSTTA/24/12);</w:t>
      </w:r>
    </w:p>
    <w:p w14:paraId="4B457169" w14:textId="2A0850DF" w:rsidR="001C39C4" w:rsidRPr="00DB5BD2" w:rsidRDefault="00F15C29" w:rsidP="00F15C29">
      <w:pPr>
        <w:suppressLineNumbers/>
        <w:suppressAutoHyphens/>
        <w:kinsoku w:val="0"/>
        <w:overflowPunct w:val="0"/>
        <w:autoSpaceDE w:val="0"/>
        <w:autoSpaceDN w:val="0"/>
        <w:adjustRightInd w:val="0"/>
        <w:snapToGrid w:val="0"/>
        <w:spacing w:before="120" w:after="120"/>
        <w:ind w:left="720"/>
        <w:rPr>
          <w:snapToGrid w:val="0"/>
          <w:kern w:val="22"/>
          <w:szCs w:val="22"/>
        </w:rPr>
      </w:pPr>
      <w:r>
        <w:rPr>
          <w:snapToGrid w:val="0"/>
        </w:rPr>
        <w:t>b)</w:t>
      </w:r>
      <w:r>
        <w:rPr>
          <w:snapToGrid w:val="0"/>
        </w:rPr>
        <w:tab/>
        <w:t>El informe del Órgano Subsidiario sobre la Aplicación sobre su tercera reunión (CBD/SBI/3/21);</w:t>
      </w:r>
    </w:p>
    <w:p w14:paraId="0695EC3D" w14:textId="28351AA3" w:rsidR="00F52AC0" w:rsidRPr="0058211B" w:rsidRDefault="00F15C29" w:rsidP="00F15C29">
      <w:pPr>
        <w:suppressLineNumbers/>
        <w:suppressAutoHyphens/>
        <w:kinsoku w:val="0"/>
        <w:overflowPunct w:val="0"/>
        <w:autoSpaceDE w:val="0"/>
        <w:autoSpaceDN w:val="0"/>
        <w:adjustRightInd w:val="0"/>
        <w:snapToGrid w:val="0"/>
        <w:spacing w:before="120" w:after="120"/>
        <w:ind w:left="720"/>
        <w:rPr>
          <w:snapToGrid w:val="0"/>
          <w:kern w:val="22"/>
          <w:szCs w:val="22"/>
        </w:rPr>
      </w:pPr>
      <w:r>
        <w:rPr>
          <w:snapToGrid w:val="0"/>
        </w:rPr>
        <w:t>c)</w:t>
      </w:r>
      <w:r>
        <w:rPr>
          <w:snapToGrid w:val="0"/>
        </w:rPr>
        <w:tab/>
        <w:t>Los informes del Grupo de Trabajo de Composición Abierta sobre el Marco Mundial de la Diversidad Biológica posterior a 2020 sobre las reuniones tercera (</w:t>
      </w:r>
      <w:r>
        <w:rPr>
          <w:rStyle w:val="ng-binding"/>
          <w:snapToGrid w:val="0"/>
        </w:rPr>
        <w:t xml:space="preserve">CBD/WG2020/3/7), </w:t>
      </w:r>
      <w:r>
        <w:rPr>
          <w:snapToGrid w:val="0"/>
        </w:rPr>
        <w:t xml:space="preserve">cuarta </w:t>
      </w:r>
      <w:r>
        <w:rPr>
          <w:rStyle w:val="ng-binding"/>
          <w:snapToGrid w:val="0"/>
        </w:rPr>
        <w:t>CBD/WG2020/4/4) y quinta (CBD/WG2020/5/-)</w:t>
      </w:r>
      <w:r>
        <w:rPr>
          <w:snapToGrid w:val="0"/>
        </w:rPr>
        <w:t>.</w:t>
      </w:r>
    </w:p>
    <w:p w14:paraId="443F9003" w14:textId="7D43455E" w:rsidR="00F52AC0" w:rsidRPr="00465610" w:rsidRDefault="00F52AC0" w:rsidP="00465610">
      <w:pPr>
        <w:pStyle w:val="Heading2"/>
        <w:suppressLineNumbers/>
        <w:tabs>
          <w:tab w:val="left" w:pos="1080"/>
        </w:tabs>
        <w:suppressAutoHyphens/>
        <w:kinsoku w:val="0"/>
        <w:overflowPunct w:val="0"/>
        <w:autoSpaceDE w:val="0"/>
        <w:autoSpaceDN w:val="0"/>
        <w:spacing w:before="240"/>
        <w:rPr>
          <w:i w:val="0"/>
          <w:iCs w:val="0"/>
          <w:snapToGrid w:val="0"/>
          <w:kern w:val="22"/>
          <w:szCs w:val="22"/>
        </w:rPr>
      </w:pPr>
      <w:r>
        <w:rPr>
          <w:i w:val="0"/>
          <w:snapToGrid w:val="0"/>
        </w:rPr>
        <w:t>TEMA 5.</w:t>
      </w:r>
      <w:r>
        <w:rPr>
          <w:i w:val="0"/>
          <w:snapToGrid w:val="0"/>
        </w:rPr>
        <w:tab/>
        <w:t>INFORME DEL COMITÉ DE CUMPLIMIENTO (ARTÍCULO 30)</w:t>
      </w:r>
    </w:p>
    <w:p w14:paraId="5B295428" w14:textId="5994E63F" w:rsidR="00E03231" w:rsidRDefault="00F73707" w:rsidP="00F73707">
      <w:pPr>
        <w:suppressLineNumbers/>
        <w:suppressAutoHyphens/>
        <w:kinsoku w:val="0"/>
        <w:overflowPunct w:val="0"/>
        <w:autoSpaceDE w:val="0"/>
        <w:autoSpaceDN w:val="0"/>
        <w:snapToGrid w:val="0"/>
        <w:spacing w:before="120" w:after="120"/>
        <w:rPr>
          <w:snapToGrid w:val="0"/>
          <w:kern w:val="22"/>
          <w:szCs w:val="22"/>
        </w:rPr>
      </w:pPr>
      <w:r>
        <w:rPr>
          <w:snapToGrid w:val="0"/>
        </w:rPr>
        <w:t>32.</w:t>
      </w:r>
      <w:r>
        <w:rPr>
          <w:snapToGrid w:val="0"/>
        </w:rPr>
        <w:tab/>
        <w:t xml:space="preserve">El Comité de Cumplimiento establecido en el marco del Protocolo de Nagoya debe informar y presentar sus recomendaciones a la Conferencia de las Partes que actúa como reunión de las Partes en el Protocolo. El Comité de Cumplimiento celebró su tercera reunión en forma virtual del 21 al 23 de abril de 2020 y presentó el informe sobre su reunión a la primera parte de la cuarta reunión de las Partes en el Protocolo (CBD/NP/MOP/4/2). </w:t>
      </w:r>
    </w:p>
    <w:p w14:paraId="241CFB16" w14:textId="63A6370C" w:rsidR="002C0D97" w:rsidRDefault="00F73707" w:rsidP="00F73707">
      <w:pPr>
        <w:suppressLineNumbers/>
        <w:suppressAutoHyphens/>
        <w:kinsoku w:val="0"/>
        <w:overflowPunct w:val="0"/>
        <w:autoSpaceDE w:val="0"/>
        <w:autoSpaceDN w:val="0"/>
        <w:snapToGrid w:val="0"/>
        <w:spacing w:before="120" w:after="120"/>
        <w:rPr>
          <w:snapToGrid w:val="0"/>
          <w:kern w:val="22"/>
          <w:szCs w:val="22"/>
        </w:rPr>
      </w:pPr>
      <w:r>
        <w:rPr>
          <w:rFonts w:asciiTheme="majorBidi" w:hAnsiTheme="majorBidi"/>
        </w:rPr>
        <w:lastRenderedPageBreak/>
        <w:t>33.</w:t>
      </w:r>
      <w:r>
        <w:rPr>
          <w:rFonts w:asciiTheme="majorBidi" w:hAnsiTheme="majorBidi"/>
        </w:rPr>
        <w:tab/>
        <w:t>Durante la primera parte de la reunión, la Conferencia de las Partes que actúa como reunión de las Partes en el Protocolo de Nagoya tomó nota del informe de la Presidenta del Comité de Cumplimiento y decidió diferir el examen de las recomendaciones y la elección de nuevos miembros del Comité hasta la segunda parte de la reunión.</w:t>
      </w:r>
      <w:r>
        <w:rPr>
          <w:snapToGrid w:val="0"/>
        </w:rPr>
        <w:t xml:space="preserve"> </w:t>
      </w:r>
    </w:p>
    <w:p w14:paraId="55849B0E" w14:textId="684F0AAA" w:rsidR="00F52AC0" w:rsidRPr="00C535AF" w:rsidRDefault="00F73707" w:rsidP="00F73707">
      <w:pPr>
        <w:suppressLineNumbers/>
        <w:suppressAutoHyphens/>
        <w:kinsoku w:val="0"/>
        <w:overflowPunct w:val="0"/>
        <w:autoSpaceDE w:val="0"/>
        <w:autoSpaceDN w:val="0"/>
        <w:snapToGrid w:val="0"/>
        <w:spacing w:before="120" w:after="120"/>
        <w:rPr>
          <w:snapToGrid w:val="0"/>
          <w:kern w:val="22"/>
        </w:rPr>
      </w:pPr>
      <w:r>
        <w:t>34.</w:t>
      </w:r>
      <w:r>
        <w:tab/>
        <w:t xml:space="preserve">En la segunda parte de su cuarta reunión, se invitará a la Conferencia de las Partes que actúa como reunión de las Partes en el Protocolo de Nagoya </w:t>
      </w:r>
      <w:r>
        <w:rPr>
          <w:snapToGrid w:val="0"/>
        </w:rPr>
        <w:t>a considerar el informe y las recomendaciones del Comité y a adoptar las medidas que correspondan. Se prevé que las recomendaciones del Comité sean consideradas en el tema del programa al que más claramente correspondan.</w:t>
      </w:r>
    </w:p>
    <w:p w14:paraId="5B3D4B5D" w14:textId="64565DBB" w:rsidR="00F52AC0" w:rsidRPr="00AF61C2" w:rsidRDefault="00F73707" w:rsidP="00F73707">
      <w:pPr>
        <w:suppressLineNumbers/>
        <w:suppressAutoHyphens/>
        <w:kinsoku w:val="0"/>
        <w:overflowPunct w:val="0"/>
        <w:autoSpaceDE w:val="0"/>
        <w:autoSpaceDN w:val="0"/>
        <w:snapToGrid w:val="0"/>
        <w:spacing w:before="120" w:after="120"/>
        <w:rPr>
          <w:snapToGrid w:val="0"/>
          <w:kern w:val="22"/>
        </w:rPr>
      </w:pPr>
      <w:r>
        <w:rPr>
          <w:snapToGrid w:val="0"/>
        </w:rPr>
        <w:t>35.</w:t>
      </w:r>
      <w:r>
        <w:rPr>
          <w:snapToGrid w:val="0"/>
        </w:rPr>
        <w:tab/>
        <w:t>También se invitará a la Conferencia de las Partes que actúa como reunión de las Partes en el Protocolo de Nagoya a elegir a los miembros del Comité de Cumplimiento y a los observadores de los pueblos indígenas y las comunidades locales durante la segunda parte de la reunión. La Secretaría emitió una notificación con más información sobre este tema</w:t>
      </w:r>
      <w:r w:rsidR="00755510" w:rsidRPr="003714AC">
        <w:rPr>
          <w:rStyle w:val="FootnoteReference"/>
          <w:snapToGrid w:val="0"/>
          <w:kern w:val="22"/>
          <w:u w:val="none"/>
          <w:vertAlign w:val="superscript"/>
          <w:lang w:val="en-CA" w:eastAsia="en-CA"/>
        </w:rPr>
        <w:footnoteReference w:id="4"/>
      </w:r>
      <w:r>
        <w:rPr>
          <w:snapToGrid w:val="0"/>
        </w:rPr>
        <w:t>.</w:t>
      </w:r>
    </w:p>
    <w:p w14:paraId="542B1FAB" w14:textId="1BDAC924" w:rsidR="40F05122" w:rsidRDefault="00F52AC0" w:rsidP="00465610">
      <w:pPr>
        <w:pStyle w:val="Heading2longmultiline"/>
        <w:suppressLineNumbers/>
        <w:suppressAutoHyphens/>
        <w:kinsoku w:val="0"/>
        <w:overflowPunct w:val="0"/>
        <w:autoSpaceDE w:val="0"/>
        <w:autoSpaceDN w:val="0"/>
        <w:spacing w:before="240"/>
        <w:ind w:left="2160" w:right="1009" w:hanging="1298"/>
        <w:rPr>
          <w:bCs/>
          <w:szCs w:val="22"/>
          <w:highlight w:val="green"/>
        </w:rPr>
      </w:pPr>
      <w:r>
        <w:rPr>
          <w:i w:val="0"/>
          <w:snapToGrid w:val="0"/>
        </w:rPr>
        <w:t>TEMA 6.</w:t>
      </w:r>
      <w:r>
        <w:rPr>
          <w:i w:val="0"/>
          <w:snapToGrid w:val="0"/>
        </w:rPr>
        <w:tab/>
        <w:t>ADMINISTRACIÓN DEL PROTOCOLO Y PRESUPUESTO PARA LOS FONDOS FIDUCIARIOS</w:t>
      </w:r>
      <w:r>
        <w:rPr>
          <w:highlight w:val="green"/>
        </w:rPr>
        <w:t xml:space="preserve"> </w:t>
      </w:r>
    </w:p>
    <w:p w14:paraId="3C885490" w14:textId="2916FA11" w:rsidR="00814E6E" w:rsidRDefault="005245C9" w:rsidP="005245C9">
      <w:pPr>
        <w:pStyle w:val="Para1"/>
        <w:numPr>
          <w:ilvl w:val="0"/>
          <w:numId w:val="0"/>
        </w:numPr>
        <w:suppressLineNumbers/>
        <w:suppressAutoHyphens/>
        <w:kinsoku w:val="0"/>
        <w:overflowPunct w:val="0"/>
        <w:autoSpaceDE w:val="0"/>
        <w:autoSpaceDN w:val="0"/>
        <w:snapToGrid w:val="0"/>
        <w:rPr>
          <w:kern w:val="22"/>
          <w:szCs w:val="22"/>
        </w:rPr>
      </w:pPr>
      <w:r>
        <w:t>36.</w:t>
      </w:r>
      <w:r>
        <w:tab/>
        <w:t>El informe de la Secretaria Ejecutiva sobre la administración del Convenio sobre la Diversidad Biológica, con inclusión del presupuesto de los fondos fiduciarios del Convenio (CBD/COP/15/6), se pondrá a consideración de la Conferencia de las Partes que actúa como reunión de las Partes en el Protocolo de Nagoya. Se invitará a la reunión de las Partes a tomar nota del informe.</w:t>
      </w:r>
    </w:p>
    <w:p w14:paraId="1C40258E" w14:textId="6E514F8C" w:rsidR="00F74493" w:rsidRPr="0022298D" w:rsidRDefault="005245C9" w:rsidP="005245C9">
      <w:pPr>
        <w:pStyle w:val="Para1"/>
        <w:numPr>
          <w:ilvl w:val="0"/>
          <w:numId w:val="0"/>
        </w:numPr>
        <w:suppressLineNumbers/>
        <w:suppressAutoHyphens/>
        <w:kinsoku w:val="0"/>
        <w:overflowPunct w:val="0"/>
        <w:autoSpaceDE w:val="0"/>
        <w:autoSpaceDN w:val="0"/>
        <w:rPr>
          <w:rFonts w:asciiTheme="majorBidi" w:eastAsiaTheme="minorEastAsia" w:hAnsiTheme="majorBidi" w:cstheme="majorBidi"/>
          <w:color w:val="000000" w:themeColor="text1"/>
          <w:kern w:val="22"/>
          <w:szCs w:val="22"/>
        </w:rPr>
      </w:pPr>
      <w:r>
        <w:rPr>
          <w:rFonts w:asciiTheme="majorBidi" w:hAnsiTheme="majorBidi"/>
        </w:rPr>
        <w:t>37.</w:t>
      </w:r>
      <w:r>
        <w:rPr>
          <w:rFonts w:asciiTheme="majorBidi" w:hAnsiTheme="majorBidi"/>
        </w:rPr>
        <w:tab/>
        <w:t>En atención a la postergación de la cuarta reunión de las Partes en el Protocolo de Nagoya, la 15</w:t>
      </w:r>
      <w:r>
        <w:rPr>
          <w:rFonts w:asciiTheme="majorBidi" w:hAnsiTheme="majorBidi"/>
          <w:vertAlign w:val="superscript"/>
        </w:rPr>
        <w:t>a</w:t>
      </w:r>
      <w:r>
        <w:rPr>
          <w:rFonts w:asciiTheme="majorBidi" w:hAnsiTheme="majorBidi"/>
        </w:rPr>
        <w:t xml:space="preserve"> reunión de las Partes en el Convenio y la décima reunión de las Partes en el Protocolo de Cartagena, se aprobó un presupuesto provisional para 2021 en reuniones extraordinarias celebradas en noviembre de 2020 (ver decisión NP-EM-1/1), así como un presupuesto provisional para 2022 en la primera parte de esta reunión en octubre de 2021 (ver decisión NP-4/1). En la decisión NP-4/1 (así como en las decisiones 15/1 y CP-10/1) se solicita a la Secretaria Ejecutiva la elaboración de propuestas para el presupuesto del bienio 2023-2024.</w:t>
      </w:r>
    </w:p>
    <w:p w14:paraId="1D96334A" w14:textId="26F08F0C" w:rsidR="007C51F6" w:rsidRPr="00461806" w:rsidRDefault="005245C9" w:rsidP="005245C9">
      <w:pPr>
        <w:pStyle w:val="Para1"/>
        <w:numPr>
          <w:ilvl w:val="0"/>
          <w:numId w:val="0"/>
        </w:numPr>
        <w:suppressLineNumbers/>
        <w:suppressAutoHyphens/>
        <w:kinsoku w:val="0"/>
        <w:overflowPunct w:val="0"/>
        <w:autoSpaceDE w:val="0"/>
        <w:autoSpaceDN w:val="0"/>
        <w:snapToGrid w:val="0"/>
        <w:rPr>
          <w:kern w:val="22"/>
        </w:rPr>
      </w:pPr>
      <w:r>
        <w:t>38.</w:t>
      </w:r>
      <w:r>
        <w:tab/>
        <w:t xml:space="preserve">En relación con este tema, se prevé que la Conferencia de las Partes, así como la reunión de las Partes en el Protocolo, adopten un presupuesto por programas para el bienio 2023-2024 con base en una propuesta elaborada por la Secretaria Ejecutiva (CBD/COP/15/7 y CBD/COP/15/7/Add.1), con arreglo a las decisiones 14/37 y 5/1. Asimismo, se proporcionará más información sobre los requisitos para el Fondo fiduciario para las contribuciones voluntarias adicionales en apoyo de actividades aprobadas, con inclusión de un resumen de las consecuencias financieras de los proyectos de decisión (CBD/COP/15/7/Add.2). Con arreglo a la decisión 14/37, la reunión de las Partes también analizará, en este tema del programa, cuestiones relacionadas con la financiación de los participantes de países en desarrollo (CBD/COP/15/7/Add.3). La Secretaria Ejecutiva elaboró elementos de un proyecto de decisión, que figuran en la </w:t>
      </w:r>
      <w:r w:rsidR="004773D7">
        <w:t>recopilación</w:t>
      </w:r>
      <w:r>
        <w:t xml:space="preserve"> de los proyectos de decisión (</w:t>
      </w:r>
      <w:r>
        <w:rPr>
          <w:color w:val="000000"/>
        </w:rPr>
        <w:t>CBD/NP/MOP/4/1/Add.5).</w:t>
      </w:r>
    </w:p>
    <w:p w14:paraId="1A85D53C" w14:textId="47B9F81A" w:rsidR="00F52AC0" w:rsidRPr="0037496E" w:rsidRDefault="005245C9" w:rsidP="005245C9">
      <w:pPr>
        <w:pStyle w:val="Para1"/>
        <w:numPr>
          <w:ilvl w:val="0"/>
          <w:numId w:val="0"/>
        </w:numPr>
        <w:suppressLineNumbers/>
        <w:suppressAutoHyphens/>
        <w:kinsoku w:val="0"/>
        <w:overflowPunct w:val="0"/>
        <w:autoSpaceDE w:val="0"/>
        <w:autoSpaceDN w:val="0"/>
        <w:snapToGrid w:val="0"/>
        <w:rPr>
          <w:kern w:val="22"/>
        </w:rPr>
      </w:pPr>
      <w:r>
        <w:t>39.</w:t>
      </w:r>
      <w:r>
        <w:tab/>
        <w:t>Se prevé que la Conferencia de las Partes en el Convenio en su 15</w:t>
      </w:r>
      <w:r>
        <w:rPr>
          <w:vertAlign w:val="superscript"/>
        </w:rPr>
        <w:t>a</w:t>
      </w:r>
      <w:r>
        <w:t xml:space="preserve"> reunión establezca un grupo de contacto sobre el presupuesto para abordar el tema correspondiente en su programa. La Conferencia de las Partes que actúa como reunión de las Partes en el Protocolo de Nagoya en su cuarta reunión podría estimar oportuno remitir el presupuesto de su programa de trabajo a este grupo de contacto para su consideración.</w:t>
      </w:r>
    </w:p>
    <w:p w14:paraId="0D48C1CC" w14:textId="6C9AE380" w:rsidR="00F52AC0" w:rsidRPr="00286B06" w:rsidRDefault="00F52AC0" w:rsidP="003872B5">
      <w:pPr>
        <w:pStyle w:val="Heading2multiline"/>
        <w:suppressLineNumbers/>
        <w:tabs>
          <w:tab w:val="left" w:pos="1080"/>
        </w:tabs>
        <w:suppressAutoHyphens/>
        <w:kinsoku w:val="0"/>
        <w:overflowPunct w:val="0"/>
        <w:autoSpaceDE w:val="0"/>
        <w:autoSpaceDN w:val="0"/>
        <w:spacing w:before="240"/>
        <w:ind w:left="0" w:right="0" w:firstLine="0"/>
        <w:jc w:val="center"/>
        <w:rPr>
          <w:bCs/>
          <w:i w:val="0"/>
          <w:snapToGrid w:val="0"/>
          <w:kern w:val="22"/>
          <w:szCs w:val="22"/>
        </w:rPr>
      </w:pPr>
      <w:r>
        <w:rPr>
          <w:i w:val="0"/>
          <w:snapToGrid w:val="0"/>
        </w:rPr>
        <w:t>TEMA 7.</w:t>
      </w:r>
      <w:r>
        <w:rPr>
          <w:i w:val="0"/>
          <w:snapToGrid w:val="0"/>
        </w:rPr>
        <w:tab/>
      </w:r>
      <w:proofErr w:type="gramStart"/>
      <w:r>
        <w:rPr>
          <w:i w:val="0"/>
          <w:snapToGrid w:val="0"/>
        </w:rPr>
        <w:t>MECANISMO FINANCIERO Y RECURSOS FINANCIEROS</w:t>
      </w:r>
      <w:proofErr w:type="gramEnd"/>
      <w:r>
        <w:rPr>
          <w:i w:val="0"/>
          <w:snapToGrid w:val="0"/>
        </w:rPr>
        <w:t xml:space="preserve"> (ARTÍCULO 25)</w:t>
      </w:r>
    </w:p>
    <w:p w14:paraId="34339F5C" w14:textId="0DE1FB08" w:rsidR="00323B18" w:rsidRDefault="006D366D" w:rsidP="006D366D">
      <w:pPr>
        <w:overflowPunct w:val="0"/>
        <w:autoSpaceDE w:val="0"/>
        <w:autoSpaceDN w:val="0"/>
        <w:snapToGrid w:val="0"/>
        <w:spacing w:before="120" w:after="120"/>
        <w:rPr>
          <w:rFonts w:eastAsia="DengXian"/>
          <w:snapToGrid w:val="0"/>
        </w:rPr>
      </w:pPr>
      <w:r>
        <w:rPr>
          <w:snapToGrid w:val="0"/>
        </w:rPr>
        <w:t>40.</w:t>
      </w:r>
      <w:r>
        <w:rPr>
          <w:snapToGrid w:val="0"/>
        </w:rPr>
        <w:tab/>
        <w:t xml:space="preserve">En la decisión </w:t>
      </w:r>
      <w:hyperlink r:id="rId25" w:history="1">
        <w:r>
          <w:rPr>
            <w:rStyle w:val="Hyperlink"/>
            <w:snapToGrid w:val="0"/>
            <w:sz w:val="22"/>
          </w:rPr>
          <w:t>14/23</w:t>
        </w:r>
      </w:hyperlink>
      <w:r>
        <w:rPr>
          <w:rStyle w:val="Hyperlink"/>
          <w:snapToGrid w:val="0"/>
          <w:sz w:val="22"/>
          <w:u w:val="none"/>
        </w:rPr>
        <w:t>,</w:t>
      </w:r>
      <w:r>
        <w:rPr>
          <w:snapToGrid w:val="0"/>
        </w:rPr>
        <w:t xml:space="preserve"> la Conferencia de las Partes pide al Órgano Subsidiario sobre la Aplicación que, en su tercera reunión, elabore propuestas destinadas al Convenio y sus Protocolos para un marco cuatrienal de prioridades programáticas orientado a la obtención de resultados para el octavo período de reposición (desde julio de 2022 hasta junio de 2026) del Fondo Fiduciario del Fondo para el Medio Ambiente Mundial, en consonancia con el proyecto del marco mundial de la diversidad biológica posterior a 2020, para que sean examinadas por la Conferencia de las Partes en su 15ª reunión (párrafo 17). También se solicita al Órgano Subsidiario sobre la Aplicación que examine las necesidades estimadas de financiación e inversión </w:t>
      </w:r>
      <w:r>
        <w:rPr>
          <w:snapToGrid w:val="0"/>
        </w:rPr>
        <w:lastRenderedPageBreak/>
        <w:t>para la aplicación del Convenio y sus Protocolos en el octavo período de reposición del Fondo para el Medio Ambiente Mundial con el fin de aportar información para el trabajo de la Conferencia de las Partes en su 15</w:t>
      </w:r>
      <w:r>
        <w:rPr>
          <w:snapToGrid w:val="0"/>
          <w:vertAlign w:val="superscript"/>
        </w:rPr>
        <w:t>a</w:t>
      </w:r>
      <w:r>
        <w:rPr>
          <w:snapToGrid w:val="0"/>
        </w:rPr>
        <w:t xml:space="preserve"> reunión (párrafo 16).</w:t>
      </w:r>
    </w:p>
    <w:p w14:paraId="4B305E7A" w14:textId="04CA9EA2" w:rsidR="00145C7C" w:rsidRPr="009D2BA6" w:rsidRDefault="006D366D" w:rsidP="006D366D">
      <w:pPr>
        <w:overflowPunct w:val="0"/>
        <w:autoSpaceDE w:val="0"/>
        <w:autoSpaceDN w:val="0"/>
        <w:snapToGrid w:val="0"/>
        <w:spacing w:before="120" w:after="120"/>
        <w:rPr>
          <w:rFonts w:eastAsia="DengXian"/>
          <w:snapToGrid w:val="0"/>
        </w:rPr>
      </w:pPr>
      <w:r>
        <w:rPr>
          <w:snapToGrid w:val="0"/>
        </w:rPr>
        <w:t>41.</w:t>
      </w:r>
      <w:r>
        <w:rPr>
          <w:snapToGrid w:val="0"/>
        </w:rPr>
        <w:tab/>
        <w:t>Por consiguiente, y auxiliado por la nota de la Secretaria Ejecutiva (CBD/SBI/3/6) y sus adiciones, con inclusión de un informe preliminar del Consejo del Fondo para el Medio Ambiente Mundial, el Órgano Subsidiario sobre la Aplicación preparó una recomendación para la Conferencia de las Partes que aborda estos elementos, así como el mandato para el examen de la eficacia del mecanismo financiero (recomendación 3/7 del Órgano Subsidiario sobre la Aplicación).</w:t>
      </w:r>
    </w:p>
    <w:p w14:paraId="724DE0F9" w14:textId="69B6304C" w:rsidR="00853136" w:rsidRPr="009D2BA6" w:rsidRDefault="006D366D" w:rsidP="006D366D">
      <w:pPr>
        <w:overflowPunct w:val="0"/>
        <w:autoSpaceDE w:val="0"/>
        <w:autoSpaceDN w:val="0"/>
        <w:snapToGrid w:val="0"/>
        <w:spacing w:before="120" w:after="120"/>
        <w:rPr>
          <w:rFonts w:asciiTheme="majorBidi" w:eastAsia="MS Mincho" w:hAnsiTheme="majorBidi" w:cstheme="majorBidi"/>
          <w:color w:val="000000"/>
          <w:kern w:val="22"/>
        </w:rPr>
      </w:pPr>
      <w:r>
        <w:t>42.</w:t>
      </w:r>
      <w:r>
        <w:tab/>
        <w:t xml:space="preserve">La </w:t>
      </w:r>
      <w:r>
        <w:rPr>
          <w:snapToGrid w:val="0"/>
        </w:rPr>
        <w:t>Conferencia</w:t>
      </w:r>
      <w:r>
        <w:t xml:space="preserve"> de las Partes que actúa como reunión de las Partes en el Protocolo tendrá ante sí para su consideración una nota de la Secretaria Ejecutiva que resume la información pertinente sobre la aplicación del artículo 25, con inclusión del apoyo del Fondo para el Medio Ambiente Mundial al acceso y la participación en los beneficios (CBD/NP/MOP/4/10). De acuerdo con la decisión NP-1/6 (párrafo 2), la reunión de las Partes también tendrá ante sí el informe del Consejo del Fondo para el Medio Ambiente Mundial a la 15</w:t>
      </w:r>
      <w:r>
        <w:rPr>
          <w:vertAlign w:val="superscript"/>
        </w:rPr>
        <w:t>a</w:t>
      </w:r>
      <w:r>
        <w:t xml:space="preserve"> reunión de la Conferencia de las Partes (CBD/COP/15/8).</w:t>
      </w:r>
      <w:r>
        <w:rPr>
          <w:rFonts w:asciiTheme="majorBidi" w:hAnsiTheme="majorBidi"/>
          <w:color w:val="000000"/>
        </w:rPr>
        <w:t xml:space="preserve"> Asimismo, también resulta pertinente a las deliberaciones de la Conferencia de las Partes una nota de la Secretaria Ejecutiva dirigida a aquella sobre el mecanismo financiero y la orientación al Fondo para el Medio Ambiente Mundial (CBD/COP/15/10).</w:t>
      </w:r>
    </w:p>
    <w:p w14:paraId="7C0BEED3" w14:textId="792D8ED1" w:rsidR="00A24E2C" w:rsidRPr="009D2BA6" w:rsidRDefault="006D366D" w:rsidP="006D366D">
      <w:pPr>
        <w:overflowPunct w:val="0"/>
        <w:autoSpaceDE w:val="0"/>
        <w:autoSpaceDN w:val="0"/>
        <w:snapToGrid w:val="0"/>
        <w:spacing w:before="120" w:after="120"/>
        <w:rPr>
          <w:rFonts w:asciiTheme="majorBidi" w:eastAsia="MS Mincho" w:hAnsiTheme="majorBidi" w:cstheme="majorBidi"/>
          <w:snapToGrid w:val="0"/>
          <w:color w:val="000000"/>
          <w:kern w:val="22"/>
          <w:szCs w:val="18"/>
        </w:rPr>
      </w:pPr>
      <w:r>
        <w:rPr>
          <w:rFonts w:asciiTheme="majorBidi" w:hAnsiTheme="majorBidi"/>
          <w:color w:val="000000"/>
        </w:rPr>
        <w:t>43.</w:t>
      </w:r>
      <w:r>
        <w:rPr>
          <w:rFonts w:asciiTheme="majorBidi" w:hAnsiTheme="majorBidi"/>
          <w:color w:val="000000"/>
        </w:rPr>
        <w:tab/>
      </w:r>
      <w:r>
        <w:t>Se espera que la reunión de</w:t>
      </w:r>
      <w:r>
        <w:rPr>
          <w:rFonts w:asciiTheme="majorBidi" w:hAnsiTheme="majorBidi"/>
          <w:color w:val="000000"/>
        </w:rPr>
        <w:t xml:space="preserve"> </w:t>
      </w:r>
      <w:r>
        <w:rPr>
          <w:snapToGrid w:val="0"/>
        </w:rPr>
        <w:t>las</w:t>
      </w:r>
      <w:r>
        <w:rPr>
          <w:rFonts w:asciiTheme="majorBidi" w:hAnsiTheme="majorBidi"/>
          <w:color w:val="000000"/>
        </w:rPr>
        <w:t xml:space="preserve"> Partes en el Protocolo de Nagoya examine los elementos de un proyecto de decisión contenido en el documento CBD/NP/MOP/4/10, reproducido en la </w:t>
      </w:r>
      <w:r w:rsidR="004773D7">
        <w:rPr>
          <w:rFonts w:asciiTheme="majorBidi" w:hAnsiTheme="majorBidi"/>
          <w:color w:val="000000"/>
        </w:rPr>
        <w:t>recopilación</w:t>
      </w:r>
      <w:r>
        <w:rPr>
          <w:rFonts w:asciiTheme="majorBidi" w:hAnsiTheme="majorBidi"/>
          <w:color w:val="000000"/>
        </w:rPr>
        <w:t xml:space="preserve"> de los proyectos de decisión </w:t>
      </w:r>
      <w:r>
        <w:rPr>
          <w:rFonts w:asciiTheme="majorBidi" w:hAnsiTheme="majorBidi"/>
          <w:color w:val="000000" w:themeColor="text1"/>
        </w:rPr>
        <w:t>(CBD/NP/MOP/4/1/Add.5),</w:t>
      </w:r>
      <w:r>
        <w:rPr>
          <w:rFonts w:asciiTheme="majorBidi" w:hAnsiTheme="majorBidi"/>
          <w:color w:val="000000"/>
        </w:rPr>
        <w:t xml:space="preserve"> y que adopte una decisión sobre este asunto. </w:t>
      </w:r>
      <w:r>
        <w:rPr>
          <w:rFonts w:asciiTheme="majorBidi" w:hAnsiTheme="majorBidi"/>
          <w:snapToGrid w:val="0"/>
          <w:color w:val="000000"/>
        </w:rPr>
        <w:t>Asimismo, se espera que la reunión de las Partes examine la recomendación del Órgano Subsidiario sobre la Aplicación a la Conferencia de las Partes (recomendación 3/7 del Órgano Subsidiario sobre la Aplicación)</w:t>
      </w:r>
      <w:r>
        <w:rPr>
          <w:rFonts w:asciiTheme="majorBidi" w:hAnsiTheme="majorBidi"/>
          <w:color w:val="000000"/>
        </w:rPr>
        <w:t xml:space="preserve"> y los aspectos relacionados del documento CBD/COP/15/10, así como el informe del Consejo del Fondo para el Medio Ambiente Mundial (CBD/COP/15/8), y que incluya en su decisión una recomendación a la Conferencia de las Partes respecto de la orientación al Fondo para el Medio Ambiente Mundial, según proceda.</w:t>
      </w:r>
    </w:p>
    <w:p w14:paraId="3A561E09" w14:textId="47404E83" w:rsidR="00F52AC0" w:rsidRDefault="00F52AC0"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rPr>
      </w:pPr>
      <w:r>
        <w:rPr>
          <w:rFonts w:ascii="Times New Roman Bold" w:hAnsi="Times New Roman Bold"/>
          <w:i w:val="0"/>
          <w:snapToGrid w:val="0"/>
        </w:rPr>
        <w:t>TEMA 8.</w:t>
      </w:r>
      <w:r>
        <w:rPr>
          <w:rFonts w:ascii="Times New Roman Bold" w:hAnsi="Times New Roman Bold"/>
          <w:i w:val="0"/>
          <w:snapToGrid w:val="0"/>
        </w:rPr>
        <w:tab/>
        <w:t>8.</w:t>
      </w:r>
      <w:r w:rsidR="00331CA8">
        <w:rPr>
          <w:rFonts w:ascii="Times New Roman Bold" w:hAnsi="Times New Roman Bold"/>
          <w:i w:val="0"/>
          <w:snapToGrid w:val="0"/>
        </w:rPr>
        <w:t xml:space="preserve"> </w:t>
      </w:r>
      <w:r>
        <w:rPr>
          <w:rFonts w:ascii="Times New Roman Bold" w:hAnsi="Times New Roman Bold"/>
          <w:i w:val="0"/>
          <w:snapToGrid w:val="0"/>
        </w:rPr>
        <w:t>MEDIDAS PARA BRINDAR ASISTENCIA PARA LA CREACIÓN DE CAPACIDADES Y EL DESARROLLO DE CAPACIDADES (ARTÍCULO 22) Y MEDIDAS PARA AUMENTAR LA CONCIENCIACIÓN ACERCA DE LA IMPORTANCIA DE LOS RECURSOS GENÉTICOS Y LOS CONOCIMIENTOS TRADICIONALES ASOCIADOS (ARTÍCULO 21)</w:t>
      </w:r>
    </w:p>
    <w:p w14:paraId="0345B83B" w14:textId="1EEA5D04" w:rsidR="000C48F8" w:rsidRDefault="00D42339" w:rsidP="00D42339">
      <w:pPr>
        <w:suppressLineNumbers/>
        <w:suppressAutoHyphens/>
        <w:kinsoku w:val="0"/>
        <w:overflowPunct w:val="0"/>
        <w:autoSpaceDE w:val="0"/>
        <w:autoSpaceDN w:val="0"/>
        <w:snapToGrid w:val="0"/>
        <w:spacing w:before="120" w:after="120"/>
        <w:rPr>
          <w:snapToGrid w:val="0"/>
          <w:kern w:val="22"/>
        </w:rPr>
      </w:pPr>
      <w:r>
        <w:rPr>
          <w:snapToGrid w:val="0"/>
        </w:rPr>
        <w:t>44.</w:t>
      </w:r>
      <w:r>
        <w:rPr>
          <w:snapToGrid w:val="0"/>
        </w:rPr>
        <w:tab/>
        <w:t xml:space="preserve">En la decisión </w:t>
      </w:r>
      <w:hyperlink r:id="rId26" w:history="1">
        <w:r>
          <w:rPr>
            <w:rStyle w:val="Hyperlink"/>
            <w:snapToGrid w:val="0"/>
            <w:sz w:val="22"/>
          </w:rPr>
          <w:t>NP-1/8</w:t>
        </w:r>
      </w:hyperlink>
      <w:r>
        <w:rPr>
          <w:snapToGrid w:val="0"/>
        </w:rPr>
        <w:t>, las Partes en el Protocolo de Nagoya adoptaron un marco estratégico para la creación y el desarrollo de capacidad en apoyo de la aplicación efectiva del Protocolo (</w:t>
      </w:r>
      <w:r w:rsidR="007806F6">
        <w:rPr>
          <w:snapToGrid w:val="0"/>
        </w:rPr>
        <w:t>anexo</w:t>
      </w:r>
      <w:r>
        <w:rPr>
          <w:snapToGrid w:val="0"/>
        </w:rPr>
        <w:t xml:space="preserve"> I a la decisión). De conformidad con la decisión </w:t>
      </w:r>
      <w:hyperlink r:id="rId27" w:history="1">
        <w:r>
          <w:rPr>
            <w:rStyle w:val="Hyperlink"/>
            <w:snapToGrid w:val="0"/>
            <w:sz w:val="22"/>
          </w:rPr>
          <w:t>NP-3/5</w:t>
        </w:r>
      </w:hyperlink>
      <w:r>
        <w:rPr>
          <w:snapToGrid w:val="0"/>
        </w:rPr>
        <w:t xml:space="preserve">, las Partes en el Protocolo pidieron a la Secretaria Ejecutiva que preparara una evaluación del marco estratégico de conformidad con la decisión NP-1/8, párrafo 9 f) y presentara el informe de esa evaluación al Órgano Subsidiario sobre la Aplicación para que lo examinara en su tercera reunión, con miras a lograr un enfoque eficaz para la creación de capacidad en el marco del Protocolo de Nagoya en consonancia con el marco mundial de la diversidad biológica posterior a 2020 (párrafo 7 b)). </w:t>
      </w:r>
    </w:p>
    <w:p w14:paraId="633BE2B7" w14:textId="1BDFBA46" w:rsidR="00A5307F" w:rsidRDefault="00D42339" w:rsidP="00D42339">
      <w:pPr>
        <w:suppressLineNumbers/>
        <w:suppressAutoHyphens/>
        <w:kinsoku w:val="0"/>
        <w:overflowPunct w:val="0"/>
        <w:autoSpaceDE w:val="0"/>
        <w:autoSpaceDN w:val="0"/>
        <w:snapToGrid w:val="0"/>
        <w:spacing w:before="120" w:after="120"/>
        <w:rPr>
          <w:snapToGrid w:val="0"/>
          <w:kern w:val="22"/>
        </w:rPr>
      </w:pPr>
      <w:r>
        <w:rPr>
          <w:snapToGrid w:val="0"/>
        </w:rPr>
        <w:t>45.</w:t>
      </w:r>
      <w:r>
        <w:rPr>
          <w:snapToGrid w:val="0"/>
        </w:rPr>
        <w:tab/>
        <w:t xml:space="preserve">En la decisión </w:t>
      </w:r>
      <w:hyperlink r:id="rId28" w:history="1">
        <w:r>
          <w:rPr>
            <w:rStyle w:val="Hyperlink"/>
            <w:snapToGrid w:val="0"/>
            <w:sz w:val="22"/>
          </w:rPr>
          <w:t>14/24</w:t>
        </w:r>
      </w:hyperlink>
      <w:r>
        <w:rPr>
          <w:snapToGrid w:val="0"/>
        </w:rPr>
        <w:t>, las Partes en el Convenio pidieron a la Secretaria Ejecutiva que presentara un proyecto de marco estratégico a largo plazo para la creación de capacidad después de 2020 armonizado con el proyecto de marco de la diversidad biológica posterior a 2020 y la Agenda 2030 para el Desarrollo Sostenible , para que fuera examinado por el Órgano Subsidiario sobre la Aplicación en su 3ª reunión (párrafo 1 d)). En la decisión NP-3/5, las Partes en el Protocolo pidieron a la Secretaria Ejecutiva que presentara un proyecto de marco estratégico a largo plazo para la creación de capacidad después de 2020 para que fuera examinado por la Conferencia de las Partes que actúa como reunión de las Partes en el Protocolo en su cuarta reunión.</w:t>
      </w:r>
    </w:p>
    <w:p w14:paraId="6ABBC505" w14:textId="25CB5943" w:rsidR="00384C76" w:rsidRPr="00283A42" w:rsidRDefault="00D42339" w:rsidP="00D42339">
      <w:pPr>
        <w:suppressLineNumbers/>
        <w:suppressAutoHyphens/>
        <w:kinsoku w:val="0"/>
        <w:overflowPunct w:val="0"/>
        <w:autoSpaceDE w:val="0"/>
        <w:autoSpaceDN w:val="0"/>
        <w:snapToGrid w:val="0"/>
        <w:spacing w:before="120" w:after="120"/>
        <w:rPr>
          <w:snapToGrid w:val="0"/>
          <w:kern w:val="22"/>
        </w:rPr>
      </w:pPr>
      <w:r>
        <w:rPr>
          <w:snapToGrid w:val="0"/>
        </w:rPr>
        <w:t>46.</w:t>
      </w:r>
      <w:r>
        <w:rPr>
          <w:snapToGrid w:val="0"/>
        </w:rPr>
        <w:tab/>
        <w:t xml:space="preserve">Las Partes en el Protocolo pidieron al Comité Asesor Oficioso sobre Creación de Capacidad para la Aplicación del Protocolo de Nagoya que hiciera aportaciones a la evaluación del marco estratégico y que </w:t>
      </w:r>
      <w:r>
        <w:rPr>
          <w:snapToGrid w:val="0"/>
        </w:rPr>
        <w:lastRenderedPageBreak/>
        <w:t>contribuyera a la elaboración del proyecto de marco estratégico a largo plazo para la creación de capacidad después de 2020 (decisión NP-3/5, párrafos 4 y 5). La cuarta reunión del Comité Asesor Oficioso se celebró en Montreal (Canadá) del 29 al 31 de octubre de 2019. El informe completo está disponible como documento de información CBD/NP/CB-IAC/2019/1/4.</w:t>
      </w:r>
    </w:p>
    <w:p w14:paraId="20EB8BBD" w14:textId="4B23B2C0" w:rsidR="00AC1A60" w:rsidRDefault="00243DF5" w:rsidP="00D42339">
      <w:pPr>
        <w:suppressLineNumbers/>
        <w:suppressAutoHyphens/>
        <w:kinsoku w:val="0"/>
        <w:overflowPunct w:val="0"/>
        <w:autoSpaceDE w:val="0"/>
        <w:autoSpaceDN w:val="0"/>
        <w:snapToGrid w:val="0"/>
        <w:spacing w:before="120" w:after="120"/>
        <w:rPr>
          <w:snapToGrid w:val="0"/>
          <w:kern w:val="22"/>
        </w:rPr>
      </w:pPr>
      <w:r>
        <w:rPr>
          <w:snapToGrid w:val="0"/>
        </w:rPr>
        <w:t>47.</w:t>
      </w:r>
      <w:r>
        <w:rPr>
          <w:snapToGrid w:val="0"/>
        </w:rPr>
        <w:tab/>
        <w:t>El Órgano Subsidiario sobre la Aplicación, en su tercera reunión, examinó una nota de la Secretaria Ejecutiva sobre la evaluación del marco estratégico para la creación y el desarrollo de capacidad en apoyo de la aplicación efectiva del Protocolo, y aceptó la recomendación 3/9, que contiene una decisión para que sea examinada por la reunión de las Partes en el Protocolo de Nagoya. En su tercera reunión, el Órgano Subsidiario sobre la Aplicación también examinó el proyecto de marco estratégico a largo plazo para el desarrollo de capacidad en apoyo de la aplicación del marco mundial de la diversidad biológica posterior a 2020, y aceptó la recomendación 3/8.</w:t>
      </w:r>
    </w:p>
    <w:p w14:paraId="26EB2F86" w14:textId="22BDC2EF" w:rsidR="00DB391C" w:rsidRDefault="00243DF5" w:rsidP="00D42339">
      <w:pPr>
        <w:suppressLineNumbers/>
        <w:suppressAutoHyphens/>
        <w:kinsoku w:val="0"/>
        <w:overflowPunct w:val="0"/>
        <w:autoSpaceDE w:val="0"/>
        <w:autoSpaceDN w:val="0"/>
        <w:snapToGrid w:val="0"/>
        <w:spacing w:before="120" w:after="120"/>
        <w:rPr>
          <w:snapToGrid w:val="0"/>
          <w:kern w:val="22"/>
        </w:rPr>
      </w:pPr>
      <w:r>
        <w:rPr>
          <w:snapToGrid w:val="0"/>
        </w:rPr>
        <w:t>48.</w:t>
      </w:r>
      <w:r>
        <w:rPr>
          <w:snapToGrid w:val="0"/>
        </w:rPr>
        <w:tab/>
        <w:t xml:space="preserve">Asimismo, en su primera reunión, las Partes en el Protocolo de Nagoya adoptaron una estrategia de aumento de la concienciación para asistir a las Partes en la aplicación del artículo 21 del Protocolo de Nagoya (decisión </w:t>
      </w:r>
      <w:hyperlink r:id="rId29" w:history="1">
        <w:r>
          <w:rPr>
            <w:rStyle w:val="Hyperlink"/>
            <w:snapToGrid w:val="0"/>
            <w:sz w:val="22"/>
          </w:rPr>
          <w:t>NP-1/9</w:t>
        </w:r>
      </w:hyperlink>
      <w:r>
        <w:rPr>
          <w:snapToGrid w:val="0"/>
        </w:rPr>
        <w:t xml:space="preserve">). En la decisión </w:t>
      </w:r>
      <w:hyperlink r:id="rId30" w:history="1">
        <w:r>
          <w:rPr>
            <w:rStyle w:val="Hyperlink"/>
            <w:snapToGrid w:val="0"/>
            <w:sz w:val="22"/>
          </w:rPr>
          <w:t>NP-3/6</w:t>
        </w:r>
      </w:hyperlink>
      <w:r>
        <w:rPr>
          <w:snapToGrid w:val="0"/>
        </w:rPr>
        <w:t xml:space="preserve"> sobre el aumento de concienciación, las Partes en el Protocolo pidieron a la Secretaria Ejecutiva que continuara apoyando la aplicación de la estrategia de aumento de la concienciación y que proporcionara información actualizada sobre los progresos realizados en la mencionada aplicación para su consideración por las Partes en el Protocolo en su cuarta reunión.</w:t>
      </w:r>
    </w:p>
    <w:p w14:paraId="75FE2547" w14:textId="30B7A477" w:rsidR="004309FF" w:rsidRPr="007B3AC0" w:rsidRDefault="00243DF5" w:rsidP="00D42339">
      <w:pPr>
        <w:suppressLineNumbers/>
        <w:suppressAutoHyphens/>
        <w:kinsoku w:val="0"/>
        <w:overflowPunct w:val="0"/>
        <w:autoSpaceDE w:val="0"/>
        <w:autoSpaceDN w:val="0"/>
        <w:snapToGrid w:val="0"/>
        <w:spacing w:before="120" w:after="120"/>
        <w:rPr>
          <w:snapToGrid w:val="0"/>
          <w:kern w:val="22"/>
        </w:rPr>
      </w:pPr>
      <w:r>
        <w:rPr>
          <w:snapToGrid w:val="0"/>
        </w:rPr>
        <w:t>49.</w:t>
      </w:r>
      <w:r>
        <w:rPr>
          <w:snapToGrid w:val="0"/>
        </w:rPr>
        <w:tab/>
        <w:t xml:space="preserve">Se invitará a la Conferencia de las Partes que actúa como reunión de las Partes en el Protocolo a examinar este tema con base en una nota de la Secretaria Ejecutiva (CBD/NP/MOP/4/5) que resume los progresos realizados con respecto a las medidas para brindar asistencia para aumentar la concienciación (artículo 21) y para la creación de capacidades y el desarrollo de capacidades (artículo 22), incluidas también las relativas al marco estratégico a largo plazo para el desarrollo de capacidad. Se invitará a la reunión a adoptar una decisión con inclusión, entre otros, de los elementos de la recomendación 3/9 del Órgano Subsidiario de la Aplicación, así como de los elementos contenidos en el documento CBD/NP/MOP/4/5 (véase la </w:t>
      </w:r>
      <w:r w:rsidR="00505945">
        <w:rPr>
          <w:snapToGrid w:val="0"/>
        </w:rPr>
        <w:t>reco</w:t>
      </w:r>
      <w:r>
        <w:rPr>
          <w:snapToGrid w:val="0"/>
        </w:rPr>
        <w:t>pilación de los proyectos de decisión en CBD/NP/MOP/4/1/Add.5).</w:t>
      </w:r>
    </w:p>
    <w:p w14:paraId="064E5B4D" w14:textId="7718B6C2" w:rsidR="00CE33D4" w:rsidRPr="00C535AF" w:rsidRDefault="00F52AC0" w:rsidP="003872B5">
      <w:pPr>
        <w:pStyle w:val="Heading2longmultiline"/>
        <w:suppressLineNumbers/>
        <w:suppressAutoHyphens/>
        <w:kinsoku w:val="0"/>
        <w:overflowPunct w:val="0"/>
        <w:autoSpaceDE w:val="0"/>
        <w:autoSpaceDN w:val="0"/>
        <w:spacing w:before="240"/>
        <w:ind w:left="2160" w:right="1009" w:hanging="1298"/>
        <w:rPr>
          <w:bCs/>
          <w:i w:val="0"/>
          <w:snapToGrid w:val="0"/>
          <w:kern w:val="22"/>
          <w:szCs w:val="22"/>
        </w:rPr>
      </w:pPr>
      <w:r>
        <w:rPr>
          <w:i w:val="0"/>
          <w:snapToGrid w:val="0"/>
        </w:rPr>
        <w:t>TEMA 9.</w:t>
      </w:r>
      <w:r>
        <w:rPr>
          <w:i w:val="0"/>
          <w:snapToGrid w:val="0"/>
        </w:rPr>
        <w:tab/>
        <w:t>EL CENTRO DE INTERCAMBIO DE INFORMACIÓN SOBRE ACCESO Y PARTICIPACIÓN EN LOS BENEFICIOS E INTERCAMBIO DE INFORMACIÓN (ARTÍCULO 14)</w:t>
      </w:r>
    </w:p>
    <w:p w14:paraId="477479F2" w14:textId="416D4FFD" w:rsidR="00F404B8" w:rsidRPr="00F404B8" w:rsidRDefault="00884B42" w:rsidP="00884B42">
      <w:pPr>
        <w:suppressLineNumbers/>
        <w:suppressAutoHyphens/>
        <w:kinsoku w:val="0"/>
        <w:overflowPunct w:val="0"/>
        <w:autoSpaceDE w:val="0"/>
        <w:autoSpaceDN w:val="0"/>
        <w:snapToGrid w:val="0"/>
        <w:spacing w:before="60" w:after="80"/>
        <w:rPr>
          <w:snapToGrid w:val="0"/>
          <w:color w:val="000000"/>
          <w:kern w:val="22"/>
        </w:rPr>
      </w:pPr>
      <w:r>
        <w:rPr>
          <w:snapToGrid w:val="0"/>
        </w:rPr>
        <w:t>50.</w:t>
      </w:r>
      <w:r>
        <w:rPr>
          <w:snapToGrid w:val="0"/>
        </w:rPr>
        <w:tab/>
        <w:t xml:space="preserve">La Conferencia de las Partes que actúa como reunión de las Partes en el Protocolo de Nagoya, en su tercera reunión, adoptó la decisión </w:t>
      </w:r>
      <w:hyperlink r:id="rId31" w:history="1">
        <w:r>
          <w:rPr>
            <w:rStyle w:val="Hyperlink"/>
            <w:snapToGrid w:val="0"/>
            <w:sz w:val="22"/>
          </w:rPr>
          <w:t>NP-3/3</w:t>
        </w:r>
      </w:hyperlink>
      <w:r>
        <w:rPr>
          <w:snapToGrid w:val="0"/>
        </w:rPr>
        <w:t>, y pidió a la Secretaria Ejecutiva que continúe con la puesta en marcha y la administración del Centro de Intercambio de Información sobre Acceso y Participación en los Beneficios siguiendo los objetivos y prioridades para avanzar en la puesta en marcha y la administración que figuran en el anexo de la decisión, de conformidad con las modalidades de funcionamiento y las sugerencias aportadas, en particular por las Partes y el Comité Asesor Oficioso del Centro de Intercambio de Información sobre Acceso y Participación en los Beneficios (párrafo 12).</w:t>
      </w:r>
    </w:p>
    <w:p w14:paraId="2381FA06" w14:textId="15791473" w:rsidR="00F404B8" w:rsidRPr="00C53BF5" w:rsidRDefault="00884B42" w:rsidP="00884B42">
      <w:pPr>
        <w:suppressLineNumbers/>
        <w:suppressAutoHyphens/>
        <w:kinsoku w:val="0"/>
        <w:overflowPunct w:val="0"/>
        <w:autoSpaceDE w:val="0"/>
        <w:autoSpaceDN w:val="0"/>
        <w:snapToGrid w:val="0"/>
        <w:spacing w:before="120" w:after="120"/>
        <w:rPr>
          <w:snapToGrid w:val="0"/>
          <w:color w:val="000000"/>
          <w:kern w:val="22"/>
        </w:rPr>
      </w:pPr>
      <w:r>
        <w:rPr>
          <w:snapToGrid w:val="0"/>
        </w:rPr>
        <w:t>51.</w:t>
      </w:r>
      <w:r>
        <w:rPr>
          <w:snapToGrid w:val="0"/>
        </w:rPr>
        <w:tab/>
        <w:t xml:space="preserve">En este contexto, se invitará a la reunión a examinar un </w:t>
      </w:r>
      <w:r>
        <w:t xml:space="preserve">informe </w:t>
      </w:r>
      <w:r>
        <w:rPr>
          <w:snapToGrid w:val="0"/>
        </w:rPr>
        <w:t>de la Secretaria Ejecutiva (</w:t>
      </w:r>
      <w:r>
        <w:t>CBD/NP/MOP/4/6</w:t>
      </w:r>
      <w:r>
        <w:rPr>
          <w:snapToGrid w:val="0"/>
        </w:rPr>
        <w:t xml:space="preserve">) que contiene el progreso realizado en relación con la puesta en marcha y el funcionamiento del Centro de Intercambio de Información sobre Acceso y Participación en los Beneficios, y a </w:t>
      </w:r>
      <w:r>
        <w:rPr>
          <w:color w:val="000000" w:themeColor="text1"/>
        </w:rPr>
        <w:t>adoptar</w:t>
      </w:r>
      <w:r>
        <w:rPr>
          <w:snapToGrid w:val="0"/>
          <w:color w:val="000000"/>
        </w:rPr>
        <w:t xml:space="preserve"> una decisión sobre la manera de avanzar (</w:t>
      </w:r>
      <w:r>
        <w:rPr>
          <w:rFonts w:asciiTheme="majorBidi" w:hAnsiTheme="majorBidi"/>
          <w:color w:val="000000"/>
        </w:rPr>
        <w:t xml:space="preserve">que se reproduce en la </w:t>
      </w:r>
      <w:r w:rsidR="0040187F">
        <w:rPr>
          <w:rFonts w:asciiTheme="majorBidi" w:hAnsiTheme="majorBidi"/>
          <w:color w:val="000000"/>
        </w:rPr>
        <w:t>reco</w:t>
      </w:r>
      <w:r>
        <w:rPr>
          <w:rFonts w:asciiTheme="majorBidi" w:hAnsiTheme="majorBidi"/>
          <w:color w:val="000000"/>
        </w:rPr>
        <w:t xml:space="preserve">pilación de proyectos de decisión </w:t>
      </w:r>
      <w:r>
        <w:rPr>
          <w:rFonts w:asciiTheme="majorBidi" w:hAnsiTheme="majorBidi"/>
          <w:color w:val="000000" w:themeColor="text1"/>
        </w:rPr>
        <w:t>(CBD/NP/MOP/4/1/Add.5)</w:t>
      </w:r>
      <w:r>
        <w:rPr>
          <w:snapToGrid w:val="0"/>
          <w:color w:val="000000"/>
        </w:rPr>
        <w:t>).</w:t>
      </w:r>
      <w:r>
        <w:rPr>
          <w:snapToGrid w:val="0"/>
        </w:rPr>
        <w:t xml:space="preserve"> </w:t>
      </w:r>
    </w:p>
    <w:p w14:paraId="07E06AF9" w14:textId="5AE8862A" w:rsidR="00F404B8" w:rsidRDefault="00884B42" w:rsidP="00884B42">
      <w:pPr>
        <w:suppressLineNumbers/>
        <w:suppressAutoHyphens/>
        <w:kinsoku w:val="0"/>
        <w:overflowPunct w:val="0"/>
        <w:autoSpaceDE w:val="0"/>
        <w:autoSpaceDN w:val="0"/>
        <w:snapToGrid w:val="0"/>
        <w:spacing w:before="120" w:after="120"/>
        <w:rPr>
          <w:snapToGrid w:val="0"/>
          <w:kern w:val="22"/>
        </w:rPr>
      </w:pPr>
      <w:r>
        <w:rPr>
          <w:snapToGrid w:val="0"/>
          <w:color w:val="000000"/>
        </w:rPr>
        <w:t>52.</w:t>
      </w:r>
      <w:r>
        <w:rPr>
          <w:snapToGrid w:val="0"/>
          <w:color w:val="000000"/>
        </w:rPr>
        <w:tab/>
        <w:t xml:space="preserve">El informe de la cuarta reunión del Comité Asesor Oficioso del Centro de Intercambio de Información sobre Acceso y Participación en los Beneficios (CBD/NP/ABSCH-IAC/2019/1/3) está disponible para su consulta por parte de la reunión de las Partes en el Protocolo. </w:t>
      </w:r>
    </w:p>
    <w:p w14:paraId="71CA75DF" w14:textId="2C4546B9" w:rsidR="00F52AC0" w:rsidRDefault="00F52AC0" w:rsidP="003872B5">
      <w:pPr>
        <w:pStyle w:val="Heading2"/>
        <w:suppressLineNumbers/>
        <w:tabs>
          <w:tab w:val="left" w:pos="1080"/>
        </w:tabs>
        <w:suppressAutoHyphens/>
        <w:kinsoku w:val="0"/>
        <w:overflowPunct w:val="0"/>
        <w:autoSpaceDE w:val="0"/>
        <w:autoSpaceDN w:val="0"/>
        <w:spacing w:before="240"/>
        <w:rPr>
          <w:bCs w:val="0"/>
          <w:i w:val="0"/>
          <w:snapToGrid w:val="0"/>
          <w:kern w:val="22"/>
          <w:szCs w:val="22"/>
        </w:rPr>
      </w:pPr>
      <w:r>
        <w:rPr>
          <w:i w:val="0"/>
          <w:snapToGrid w:val="0"/>
        </w:rPr>
        <w:t>TEMA 10.</w:t>
      </w:r>
      <w:r>
        <w:rPr>
          <w:i w:val="0"/>
          <w:snapToGrid w:val="0"/>
        </w:rPr>
        <w:tab/>
        <w:t>VIGILANCIA Y PRESENTACIÓN DE INFORMES (ARTÍCULO 29)</w:t>
      </w:r>
    </w:p>
    <w:p w14:paraId="7F18F1C1" w14:textId="77C52BBB" w:rsidR="00F52AC0" w:rsidRPr="00C535AF" w:rsidRDefault="00B00FA3" w:rsidP="00B00FA3">
      <w:pPr>
        <w:suppressLineNumbers/>
        <w:suppressAutoHyphens/>
        <w:kinsoku w:val="0"/>
        <w:overflowPunct w:val="0"/>
        <w:autoSpaceDE w:val="0"/>
        <w:autoSpaceDN w:val="0"/>
        <w:snapToGrid w:val="0"/>
        <w:spacing w:before="120" w:after="120"/>
        <w:rPr>
          <w:snapToGrid w:val="0"/>
          <w:kern w:val="22"/>
        </w:rPr>
      </w:pPr>
      <w:r>
        <w:rPr>
          <w:snapToGrid w:val="0"/>
        </w:rPr>
        <w:t>53.</w:t>
      </w:r>
      <w:r>
        <w:rPr>
          <w:snapToGrid w:val="0"/>
        </w:rPr>
        <w:tab/>
      </w:r>
      <w:r>
        <w:t xml:space="preserve">El </w:t>
      </w:r>
      <w:r>
        <w:rPr>
          <w:snapToGrid w:val="0"/>
        </w:rPr>
        <w:t xml:space="preserve">artículo 29 </w:t>
      </w:r>
      <w:r>
        <w:t xml:space="preserve">del Protocolo de Nagoya requiere que cada Parte </w:t>
      </w:r>
      <w:r>
        <w:rPr>
          <w:snapToGrid w:val="0"/>
        </w:rPr>
        <w:t>vigile el cumplimiento de sus obligaciones e informe a la Conferencia de las Partes que actúa como reunión de las Partes en el Protocolo acerca de las medidas que hubiere adoptado para la aplicación del Protocolo.</w:t>
      </w:r>
    </w:p>
    <w:p w14:paraId="37311AEA" w14:textId="17D3BED1" w:rsidR="00F52AC0" w:rsidRDefault="00B00FA3" w:rsidP="00B00FA3">
      <w:pPr>
        <w:suppressLineNumbers/>
        <w:suppressAutoHyphens/>
        <w:kinsoku w:val="0"/>
        <w:overflowPunct w:val="0"/>
        <w:autoSpaceDE w:val="0"/>
        <w:autoSpaceDN w:val="0"/>
        <w:snapToGrid w:val="0"/>
        <w:spacing w:before="120" w:after="120"/>
        <w:rPr>
          <w:snapToGrid w:val="0"/>
          <w:kern w:val="22"/>
          <w:szCs w:val="22"/>
        </w:rPr>
      </w:pPr>
      <w:r>
        <w:rPr>
          <w:snapToGrid w:val="0"/>
        </w:rPr>
        <w:lastRenderedPageBreak/>
        <w:t>54.</w:t>
      </w:r>
      <w:r>
        <w:rPr>
          <w:snapToGrid w:val="0"/>
        </w:rPr>
        <w:tab/>
        <w:t>En la decisión</w:t>
      </w:r>
      <w:r w:rsidR="00B763A7">
        <w:rPr>
          <w:snapToGrid w:val="0"/>
        </w:rPr>
        <w:t xml:space="preserve"> </w:t>
      </w:r>
      <w:hyperlink r:id="rId32" w:history="1">
        <w:r>
          <w:rPr>
            <w:rStyle w:val="Hyperlink"/>
            <w:snapToGrid w:val="0"/>
            <w:sz w:val="22"/>
          </w:rPr>
          <w:t>NP-3/4</w:t>
        </w:r>
      </w:hyperlink>
      <w:r>
        <w:rPr>
          <w:snapToGrid w:val="0"/>
        </w:rPr>
        <w:t xml:space="preserve">, párrafo 8, las Partes pidieron a la Secretaria Ejecutiva que revisara el formato de presentación de informes para someterlo a la consideración de la Conferencia de las Partes que actúa como reunión de las Partes en el Protocolo en su cuarta reunión, teniendo en cuenta las observaciones recibidas, los aportes del Comité de Cumplimiento, el marco de indicadores que consta en el </w:t>
      </w:r>
      <w:r w:rsidR="007806F6">
        <w:rPr>
          <w:snapToGrid w:val="0"/>
        </w:rPr>
        <w:t>anexo</w:t>
      </w:r>
      <w:r>
        <w:rPr>
          <w:snapToGrid w:val="0"/>
        </w:rPr>
        <w:t xml:space="preserve"> a la decisión </w:t>
      </w:r>
      <w:hyperlink r:id="rId33" w:history="1">
        <w:r>
          <w:rPr>
            <w:rStyle w:val="Hyperlink"/>
            <w:snapToGrid w:val="0"/>
            <w:sz w:val="22"/>
          </w:rPr>
          <w:t>NP-3/1</w:t>
        </w:r>
      </w:hyperlink>
      <w:r>
        <w:rPr>
          <w:snapToGrid w:val="0"/>
        </w:rPr>
        <w:t xml:space="preserve">, el Marco Mundial para la Diversidad Biológica posterior a 2020 y la armonización de los informes nacionales con arreglo al Convenio y sus Protocolos, teniendo presente la necesidad de una continuidad en el formato para determinar los progresos en la aplicación. </w:t>
      </w:r>
    </w:p>
    <w:p w14:paraId="7562482A" w14:textId="46F20BBC" w:rsidR="00DC3128" w:rsidRPr="00DC3128" w:rsidRDefault="00B00FA3" w:rsidP="00B00FA3">
      <w:pPr>
        <w:suppressLineNumbers/>
        <w:suppressAutoHyphens/>
        <w:kinsoku w:val="0"/>
        <w:overflowPunct w:val="0"/>
        <w:autoSpaceDE w:val="0"/>
        <w:autoSpaceDN w:val="0"/>
        <w:snapToGrid w:val="0"/>
        <w:spacing w:before="60" w:after="80"/>
        <w:rPr>
          <w:snapToGrid w:val="0"/>
          <w:color w:val="000000"/>
          <w:kern w:val="22"/>
        </w:rPr>
      </w:pPr>
      <w:r>
        <w:rPr>
          <w:snapToGrid w:val="0"/>
          <w:color w:val="000000"/>
        </w:rPr>
        <w:t>55.</w:t>
      </w:r>
      <w:r>
        <w:rPr>
          <w:snapToGrid w:val="0"/>
          <w:color w:val="000000"/>
        </w:rPr>
        <w:tab/>
      </w:r>
      <w:r>
        <w:rPr>
          <w:snapToGrid w:val="0"/>
        </w:rPr>
        <w:t>Se invitará a las Partes en el Protocolo a examinar una nota de la Secretaria Ejecutiva (</w:t>
      </w:r>
      <w:r>
        <w:t>CBD/NP/MOP/4/7</w:t>
      </w:r>
      <w:r>
        <w:rPr>
          <w:snapToGrid w:val="0"/>
        </w:rPr>
        <w:t xml:space="preserve">), con inclusión de un formato revisado de presentación de informes </w:t>
      </w:r>
      <w:r>
        <w:rPr>
          <w:snapToGrid w:val="0"/>
          <w:color w:val="000000"/>
        </w:rPr>
        <w:t>del primer informe nacional sobre la aplicación del Protocolo de Nagoya, y a adoptar una decisión en est</w:t>
      </w:r>
      <w:r w:rsidR="00945C20">
        <w:rPr>
          <w:snapToGrid w:val="0"/>
          <w:color w:val="000000"/>
        </w:rPr>
        <w:t>a</w:t>
      </w:r>
      <w:r>
        <w:rPr>
          <w:snapToGrid w:val="0"/>
          <w:color w:val="000000"/>
        </w:rPr>
        <w:t xml:space="preserve"> materia</w:t>
      </w:r>
      <w:r>
        <w:rPr>
          <w:rFonts w:asciiTheme="majorBidi" w:hAnsiTheme="majorBidi"/>
        </w:rPr>
        <w:t>,</w:t>
      </w:r>
      <w:r>
        <w:rPr>
          <w:rFonts w:asciiTheme="majorBidi" w:hAnsiTheme="majorBidi"/>
          <w:color w:val="000000"/>
        </w:rPr>
        <w:t xml:space="preserve"> que se reproduce en la </w:t>
      </w:r>
      <w:r w:rsidR="004773D7">
        <w:rPr>
          <w:rFonts w:asciiTheme="majorBidi" w:hAnsiTheme="majorBidi"/>
          <w:color w:val="000000"/>
        </w:rPr>
        <w:t>recopilación</w:t>
      </w:r>
      <w:r>
        <w:rPr>
          <w:rFonts w:asciiTheme="majorBidi" w:hAnsiTheme="majorBidi"/>
          <w:color w:val="000000"/>
        </w:rPr>
        <w:t xml:space="preserve"> de proyectos de decisión </w:t>
      </w:r>
      <w:r>
        <w:rPr>
          <w:rFonts w:asciiTheme="majorBidi" w:hAnsiTheme="majorBidi"/>
          <w:color w:val="000000" w:themeColor="text1"/>
        </w:rPr>
        <w:t>(CBD/NP/MOP/4/1/Add.5)</w:t>
      </w:r>
      <w:r>
        <w:rPr>
          <w:snapToGrid w:val="0"/>
          <w:color w:val="000000"/>
        </w:rPr>
        <w:t xml:space="preserve">). </w:t>
      </w:r>
    </w:p>
    <w:p w14:paraId="0475E987" w14:textId="3C912D06" w:rsidR="00F52AC0" w:rsidRDefault="00F52AC0" w:rsidP="00F94DFD">
      <w:pPr>
        <w:pStyle w:val="Heading2"/>
        <w:suppressLineNumbers/>
        <w:tabs>
          <w:tab w:val="clear" w:pos="720"/>
        </w:tabs>
        <w:suppressAutoHyphens/>
        <w:kinsoku w:val="0"/>
        <w:overflowPunct w:val="0"/>
        <w:autoSpaceDE w:val="0"/>
        <w:autoSpaceDN w:val="0"/>
        <w:spacing w:before="240"/>
        <w:ind w:left="1701" w:hanging="1134"/>
        <w:jc w:val="left"/>
        <w:rPr>
          <w:i w:val="0"/>
          <w:snapToGrid w:val="0"/>
          <w:kern w:val="22"/>
          <w:szCs w:val="22"/>
        </w:rPr>
      </w:pPr>
      <w:r>
        <w:rPr>
          <w:i w:val="0"/>
          <w:snapToGrid w:val="0"/>
        </w:rPr>
        <w:t>TEMA 11.</w:t>
      </w:r>
      <w:r>
        <w:rPr>
          <w:i w:val="0"/>
          <w:snapToGrid w:val="0"/>
        </w:rPr>
        <w:tab/>
        <w:t>COOPERACIÓN CON OTROS CONVENIOS, ORGANIZACIONES E INICIATIVAS INTERNACIONALES</w:t>
      </w:r>
    </w:p>
    <w:p w14:paraId="3A8C9C96" w14:textId="24362BA5" w:rsidR="00F52AC0" w:rsidRPr="00C535AF" w:rsidRDefault="00187ECD" w:rsidP="00187ECD">
      <w:pPr>
        <w:suppressLineNumbers/>
        <w:suppressAutoHyphens/>
        <w:kinsoku w:val="0"/>
        <w:overflowPunct w:val="0"/>
        <w:autoSpaceDE w:val="0"/>
        <w:autoSpaceDN w:val="0"/>
        <w:snapToGrid w:val="0"/>
        <w:spacing w:before="120" w:after="120"/>
        <w:rPr>
          <w:snapToGrid w:val="0"/>
          <w:kern w:val="22"/>
        </w:rPr>
      </w:pPr>
      <w:r>
        <w:rPr>
          <w:snapToGrid w:val="0"/>
        </w:rPr>
        <w:t>56.</w:t>
      </w:r>
      <w:r>
        <w:rPr>
          <w:snapToGrid w:val="0"/>
        </w:rPr>
        <w:tab/>
        <w:t>Para llevar a cabo las actividades relacionadas con el Protocolo de Nagoya, la Secretaría coopera con una serie de otras organizaciones, convenios e iniciativas internacionales. Con arreglo a la decisión NP-3/7, la reunión de las Partes tendrá ante sí una nota de la Secretaria Ejecutiva que contiene información actualizada sobre actividades de cooperación entre la Secretaría y otros convenios, organizaciones internacionales e iniciativas pertinentes al acceso y la participación en los beneficios y el Protocolo de Nagoya (</w:t>
      </w:r>
      <w:r>
        <w:t>CBD/NP/MOP/4/8</w:t>
      </w:r>
      <w:r>
        <w:rPr>
          <w:snapToGrid w:val="0"/>
        </w:rPr>
        <w:t>). En la nota, se incluirá un panorama de las principales novedades con arreglo a los acuerdos e instrumentos internacionales de importancia para la aplicación del Protocolo de Nagoya.</w:t>
      </w:r>
    </w:p>
    <w:p w14:paraId="5FA09E11" w14:textId="440D0CDC" w:rsidR="00F52AC0" w:rsidRPr="00C535AF" w:rsidRDefault="00187ECD" w:rsidP="00187ECD">
      <w:pPr>
        <w:suppressLineNumbers/>
        <w:suppressAutoHyphens/>
        <w:kinsoku w:val="0"/>
        <w:overflowPunct w:val="0"/>
        <w:autoSpaceDE w:val="0"/>
        <w:autoSpaceDN w:val="0"/>
        <w:snapToGrid w:val="0"/>
        <w:spacing w:before="120" w:after="120"/>
        <w:rPr>
          <w:snapToGrid w:val="0"/>
          <w:kern w:val="22"/>
        </w:rPr>
      </w:pPr>
      <w:r>
        <w:rPr>
          <w:snapToGrid w:val="0"/>
        </w:rPr>
        <w:t>57.</w:t>
      </w:r>
      <w:r>
        <w:rPr>
          <w:snapToGrid w:val="0"/>
        </w:rPr>
        <w:tab/>
        <w:t xml:space="preserve">Se invitará a la reunión de las Partes a tomar nota de la información. </w:t>
      </w:r>
      <w:r>
        <w:t xml:space="preserve"> </w:t>
      </w:r>
    </w:p>
    <w:p w14:paraId="2FDCEDBC" w14:textId="335A345F" w:rsidR="00F52AC0" w:rsidRDefault="00F52AC0" w:rsidP="003872B5">
      <w:pPr>
        <w:pStyle w:val="Heading2"/>
        <w:suppressLineNumbers/>
        <w:tabs>
          <w:tab w:val="left" w:pos="1080"/>
        </w:tabs>
        <w:suppressAutoHyphens/>
        <w:kinsoku w:val="0"/>
        <w:overflowPunct w:val="0"/>
        <w:autoSpaceDE w:val="0"/>
        <w:autoSpaceDN w:val="0"/>
        <w:spacing w:before="240"/>
        <w:rPr>
          <w:i w:val="0"/>
          <w:snapToGrid w:val="0"/>
          <w:kern w:val="22"/>
          <w:szCs w:val="22"/>
        </w:rPr>
      </w:pPr>
      <w:r>
        <w:rPr>
          <w:i w:val="0"/>
          <w:snapToGrid w:val="0"/>
        </w:rPr>
        <w:t>TEMA 12.</w:t>
      </w:r>
      <w:r>
        <w:rPr>
          <w:i w:val="0"/>
          <w:snapToGrid w:val="0"/>
        </w:rPr>
        <w:tab/>
        <w:t>REVISIÓN DE LA EFICACIA DE LAS ESTRUCTURAS Y LOS PROCESOS</w:t>
      </w:r>
    </w:p>
    <w:p w14:paraId="76473DE6" w14:textId="5155A454" w:rsidR="00A01D67" w:rsidRDefault="00DA6A31" w:rsidP="00DA6A31">
      <w:pPr>
        <w:suppressLineNumbers/>
        <w:suppressAutoHyphens/>
        <w:kinsoku w:val="0"/>
        <w:overflowPunct w:val="0"/>
        <w:autoSpaceDE w:val="0"/>
        <w:autoSpaceDN w:val="0"/>
        <w:snapToGrid w:val="0"/>
        <w:spacing w:before="120" w:after="120"/>
        <w:rPr>
          <w:snapToGrid w:val="0"/>
          <w:kern w:val="22"/>
          <w:szCs w:val="22"/>
        </w:rPr>
      </w:pPr>
      <w:r>
        <w:rPr>
          <w:snapToGrid w:val="0"/>
        </w:rPr>
        <w:t>58.</w:t>
      </w:r>
      <w:r>
        <w:rPr>
          <w:snapToGrid w:val="0"/>
        </w:rPr>
        <w:tab/>
        <w:t>En la decisión NP-1/12 de su primera reunión, las Partes en el Protocolo de Nagoya decidieron celebrar sus reuniones ordinarias futuras en forma concurrente con las reuniones de la Conferencia de las Partes en el Convenio y las reuniones de la Conferencia de las Partes que actúa como reunión de las Partes en el Protocolo de Cartagena sobre Seguridad de la Biotecnología en un período de dos semanas. Las Partes en el Protocolo decidieron revisar, en sus reuniones tercera y cuarta, la experiencia referente a la celebración de reuniones concurrentes, sobre la base de los criterios acordados en la decisión</w:t>
      </w:r>
      <w:r w:rsidR="008755FB">
        <w:rPr>
          <w:snapToGrid w:val="0"/>
        </w:rPr>
        <w:t xml:space="preserve"> </w:t>
      </w:r>
      <w:hyperlink r:id="rId34" w:history="1">
        <w:r>
          <w:rPr>
            <w:rStyle w:val="Hyperlink"/>
            <w:snapToGrid w:val="0"/>
            <w:sz w:val="22"/>
          </w:rPr>
          <w:t>NP</w:t>
        </w:r>
        <w:r>
          <w:rPr>
            <w:rStyle w:val="Hyperlink"/>
            <w:snapToGrid w:val="0"/>
            <w:sz w:val="22"/>
          </w:rPr>
          <w:noBreakHyphen/>
          <w:t>2/12</w:t>
        </w:r>
      </w:hyperlink>
      <w:r>
        <w:rPr>
          <w:snapToGrid w:val="0"/>
        </w:rPr>
        <w:t xml:space="preserve">. </w:t>
      </w:r>
      <w:r>
        <w:rPr>
          <w:snapToGrid w:val="0"/>
          <w:color w:val="FF0000"/>
          <w:shd w:val="clear" w:color="auto" w:fill="E6E6E6"/>
        </w:rPr>
        <w:t xml:space="preserve"> </w:t>
      </w:r>
    </w:p>
    <w:p w14:paraId="55644F30" w14:textId="1F1AF4B4" w:rsidR="00DC3128" w:rsidRPr="004F1B66" w:rsidRDefault="00DA6A31" w:rsidP="00DA6A31">
      <w:pPr>
        <w:suppressLineNumbers/>
        <w:suppressAutoHyphens/>
        <w:kinsoku w:val="0"/>
        <w:overflowPunct w:val="0"/>
        <w:autoSpaceDE w:val="0"/>
        <w:autoSpaceDN w:val="0"/>
        <w:snapToGrid w:val="0"/>
        <w:spacing w:before="120" w:after="120"/>
        <w:rPr>
          <w:snapToGrid w:val="0"/>
          <w:kern w:val="22"/>
        </w:rPr>
      </w:pPr>
      <w:r>
        <w:rPr>
          <w:snapToGrid w:val="0"/>
        </w:rPr>
        <w:t>59.</w:t>
      </w:r>
      <w:r>
        <w:rPr>
          <w:snapToGrid w:val="0"/>
        </w:rPr>
        <w:tab/>
        <w:t xml:space="preserve">Las Partes en el Protocolo de Nagoya, en su tercera reunión, examinaron la experiencia en la celebración de reuniones concurrentes y, en la decisión </w:t>
      </w:r>
      <w:hyperlink r:id="rId35" w:history="1">
        <w:r>
          <w:rPr>
            <w:rStyle w:val="Hyperlink"/>
            <w:snapToGrid w:val="0"/>
            <w:sz w:val="22"/>
          </w:rPr>
          <w:t>NP-3/10</w:t>
        </w:r>
      </w:hyperlink>
      <w:r>
        <w:rPr>
          <w:snapToGrid w:val="0"/>
          <w:color w:val="000000"/>
        </w:rPr>
        <w:t>, pidieron a la Secretaria Ejecutiva que continuara desarrollando el examen preliminar de la experiencia sobre la base de la experiencia adquirida en la celebración de reuniones concurrentes en Sharm El-Sheikh, Egipto, para su consideración por el Órgano Subsidiario sobre la Aplicación en su tercera reunión.</w:t>
      </w:r>
    </w:p>
    <w:p w14:paraId="4CC32FD0" w14:textId="05A900A4" w:rsidR="00C547C2" w:rsidRPr="00DA6A31" w:rsidRDefault="00DA6A31" w:rsidP="00DA6A31">
      <w:pPr>
        <w:spacing w:before="120" w:after="120"/>
        <w:rPr>
          <w:snapToGrid w:val="0"/>
          <w:kern w:val="22"/>
        </w:rPr>
      </w:pPr>
      <w:r>
        <w:t>60.</w:t>
      </w:r>
      <w:r>
        <w:tab/>
        <w:t>El Órgano Subsidiario sobre la Aplicación, en su tercera reunión, examinó la segunda y última revisión preparada por la Secretaria Ejecutiva. Habida cuenta de las circunstancias derivadas de la pandemia de COVID-19, el Órgano Subsidiario también examinó los desafíos y oportunidades de realizar reuniones mediante modalidades en línea</w:t>
      </w:r>
      <w:r>
        <w:rPr>
          <w:snapToGrid w:val="0"/>
          <w:color w:val="000000"/>
        </w:rPr>
        <w:t xml:space="preserve">. La reunión aprobó la recomendación 3/13, que contiene un proyecto de decisión para su consideración por la Conferencia de las Partes en el Convenio, así como por cada una de las reuniones de las Partes en el Protocolo. </w:t>
      </w:r>
    </w:p>
    <w:p w14:paraId="12E70E04" w14:textId="6C109084" w:rsidR="00F52AC0" w:rsidRPr="00C535AF" w:rsidRDefault="00DA6A31" w:rsidP="00DA6A31">
      <w:pPr>
        <w:suppressLineNumbers/>
        <w:suppressAutoHyphens/>
        <w:kinsoku w:val="0"/>
        <w:overflowPunct w:val="0"/>
        <w:autoSpaceDE w:val="0"/>
        <w:autoSpaceDN w:val="0"/>
        <w:snapToGrid w:val="0"/>
        <w:spacing w:before="120" w:after="120"/>
        <w:rPr>
          <w:snapToGrid w:val="0"/>
          <w:kern w:val="22"/>
        </w:rPr>
      </w:pPr>
      <w:r>
        <w:rPr>
          <w:snapToGrid w:val="0"/>
        </w:rPr>
        <w:t>61.</w:t>
      </w:r>
      <w:r>
        <w:rPr>
          <w:snapToGrid w:val="0"/>
        </w:rPr>
        <w:tab/>
        <w:t xml:space="preserve">En el marco de este tema, se invitará a la reunión de las Partes en el Protocolo a examinar la recomendación 3/13 del Órgano Subsidiario de Aplicación (contenida también en la </w:t>
      </w:r>
      <w:r w:rsidR="00811A38">
        <w:rPr>
          <w:snapToGrid w:val="0"/>
        </w:rPr>
        <w:t>reco</w:t>
      </w:r>
      <w:r>
        <w:rPr>
          <w:snapToGrid w:val="0"/>
        </w:rPr>
        <w:t xml:space="preserve">pilación de proyectos de decisión en el documento CBD/NP/MOP/4/1/Add.5), </w:t>
      </w:r>
      <w:proofErr w:type="gramStart"/>
      <w:r>
        <w:rPr>
          <w:snapToGrid w:val="0"/>
        </w:rPr>
        <w:t>conjuntamente con</w:t>
      </w:r>
      <w:proofErr w:type="gramEnd"/>
      <w:r>
        <w:rPr>
          <w:snapToGrid w:val="0"/>
        </w:rPr>
        <w:t xml:space="preserve"> el tema correspondiente del programa de la Conferencia de las Partes y la reunión de las Partes en el Protocolo de Cartagena.</w:t>
      </w:r>
    </w:p>
    <w:p w14:paraId="46B3FA24" w14:textId="312ACD25" w:rsidR="00F52AC0" w:rsidRDefault="00F52AC0" w:rsidP="003872B5">
      <w:pPr>
        <w:pStyle w:val="Heading2"/>
        <w:suppressLineNumbers/>
        <w:tabs>
          <w:tab w:val="left" w:pos="1080"/>
        </w:tabs>
        <w:suppressAutoHyphens/>
        <w:kinsoku w:val="0"/>
        <w:overflowPunct w:val="0"/>
        <w:autoSpaceDE w:val="0"/>
        <w:autoSpaceDN w:val="0"/>
        <w:spacing w:before="240"/>
        <w:rPr>
          <w:rFonts w:ascii="Times New Roman Bold" w:hAnsi="Times New Roman Bold"/>
          <w:i w:val="0"/>
          <w:caps/>
          <w:snapToGrid w:val="0"/>
          <w:kern w:val="22"/>
          <w:szCs w:val="22"/>
        </w:rPr>
      </w:pPr>
      <w:r>
        <w:rPr>
          <w:i w:val="0"/>
          <w:snapToGrid w:val="0"/>
        </w:rPr>
        <w:t>TEMA 13.</w:t>
      </w:r>
      <w:r>
        <w:rPr>
          <w:i w:val="0"/>
          <w:snapToGrid w:val="0"/>
        </w:rPr>
        <w:tab/>
      </w:r>
      <w:r w:rsidR="008113F4">
        <w:rPr>
          <w:i w:val="0"/>
          <w:snapToGrid w:val="0"/>
        </w:rPr>
        <w:t>MARCO MUNDIAL DE LA DIVERSIDAD BIOLÓGICA POSTERIOR A 2020</w:t>
      </w:r>
    </w:p>
    <w:p w14:paraId="7294149C" w14:textId="54DE6478" w:rsidR="00FC3E87" w:rsidRDefault="00DA6A31" w:rsidP="00DA6A31">
      <w:pPr>
        <w:pStyle w:val="Para1"/>
        <w:numPr>
          <w:ilvl w:val="0"/>
          <w:numId w:val="0"/>
        </w:numPr>
        <w:suppressLineNumbers/>
        <w:suppressAutoHyphens/>
        <w:kinsoku w:val="0"/>
        <w:overflowPunct w:val="0"/>
        <w:autoSpaceDE w:val="0"/>
        <w:autoSpaceDN w:val="0"/>
        <w:adjustRightInd w:val="0"/>
        <w:snapToGrid w:val="0"/>
        <w:rPr>
          <w:kern w:val="22"/>
          <w:szCs w:val="22"/>
        </w:rPr>
      </w:pPr>
      <w:r>
        <w:t>62.</w:t>
      </w:r>
      <w:r>
        <w:tab/>
        <w:t>La Conferencia de las Partes adoptó la decisión</w:t>
      </w:r>
      <w:r>
        <w:rPr>
          <w:color w:val="000000"/>
        </w:rPr>
        <w:t xml:space="preserve"> </w:t>
      </w:r>
      <w:hyperlink r:id="rId36" w:history="1">
        <w:r>
          <w:rPr>
            <w:rStyle w:val="Hyperlink"/>
            <w:sz w:val="22"/>
          </w:rPr>
          <w:t>14/34</w:t>
        </w:r>
      </w:hyperlink>
      <w:r>
        <w:rPr>
          <w:color w:val="000000"/>
        </w:rPr>
        <w:t xml:space="preserve"> sobre un proceso exhaustivo y participativo para la preparación del marco mundial de la diversidad biológica posterior a 2020. </w:t>
      </w:r>
      <w:r>
        <w:t xml:space="preserve">Asimismo, la Conferencia </w:t>
      </w:r>
      <w:r>
        <w:lastRenderedPageBreak/>
        <w:t xml:space="preserve">de las Partes, en la </w:t>
      </w:r>
      <w:hyperlink r:id="rId37" w:history="1">
        <w:r>
          <w:rPr>
            <w:rStyle w:val="Hyperlink"/>
            <w:color w:val="auto"/>
            <w:sz w:val="22"/>
            <w:u w:val="none"/>
          </w:rPr>
          <w:t xml:space="preserve">decisión </w:t>
        </w:r>
        <w:r>
          <w:rPr>
            <w:rStyle w:val="Hyperlink"/>
            <w:sz w:val="22"/>
          </w:rPr>
          <w:t>14/31</w:t>
        </w:r>
      </w:hyperlink>
      <w:r>
        <w:t>, alentó a las Partes a considerar más a fondo la integración del acceso y la participación en los beneficios en otras esferas de trabajo del Convenio como parte de las deliberaciones sobre el marco mundial de la diversidad biológica posterior a 2020 (párrafo 12).</w:t>
      </w:r>
    </w:p>
    <w:p w14:paraId="6EBC001E" w14:textId="5028FE9C" w:rsidR="00971C46" w:rsidRPr="00C03C72" w:rsidDel="00E0476F" w:rsidRDefault="00DA6A31" w:rsidP="00DA6A31">
      <w:pPr>
        <w:suppressLineNumbers/>
        <w:suppressAutoHyphens/>
        <w:kinsoku w:val="0"/>
        <w:overflowPunct w:val="0"/>
        <w:autoSpaceDE w:val="0"/>
        <w:autoSpaceDN w:val="0"/>
        <w:snapToGrid w:val="0"/>
        <w:spacing w:before="120" w:after="120"/>
        <w:rPr>
          <w:snapToGrid w:val="0"/>
          <w:kern w:val="22"/>
        </w:rPr>
      </w:pPr>
      <w:r>
        <w:rPr>
          <w:snapToGrid w:val="0"/>
          <w:color w:val="000000"/>
        </w:rPr>
        <w:t>63.</w:t>
      </w:r>
      <w:r>
        <w:rPr>
          <w:snapToGrid w:val="0"/>
          <w:color w:val="000000"/>
        </w:rPr>
        <w:tab/>
        <w:t xml:space="preserve">La reunión de las Partes en el Protocolo de Nagoya, en la decisión </w:t>
      </w:r>
      <w:hyperlink r:id="rId38" w:history="1">
        <w:r>
          <w:rPr>
            <w:rStyle w:val="Hyperlink"/>
            <w:snapToGrid w:val="0"/>
            <w:sz w:val="22"/>
          </w:rPr>
          <w:t>NP-3/15</w:t>
        </w:r>
      </w:hyperlink>
      <w:r>
        <w:rPr>
          <w:snapToGrid w:val="0"/>
          <w:color w:val="000000"/>
        </w:rPr>
        <w:t xml:space="preserve">, acogió con satisfacción la decisión </w:t>
      </w:r>
      <w:r>
        <w:rPr>
          <w:color w:val="000000" w:themeColor="text1"/>
        </w:rPr>
        <w:t xml:space="preserve">14/34 </w:t>
      </w:r>
      <w:r>
        <w:rPr>
          <w:snapToGrid w:val="0"/>
          <w:color w:val="000000"/>
        </w:rPr>
        <w:t>de la Conferencia de las Partes y alentó a las Partes en el Protocolo a adoptar medidas para mejorar la aplicación del Protocolo de Nagoya, en el contexto del marco mundial de la diversidad biológica posterior a 2020 (párrafo 2).</w:t>
      </w:r>
    </w:p>
    <w:p w14:paraId="703BAE12" w14:textId="2C00F623" w:rsidR="00971C46" w:rsidRPr="003714AC" w:rsidRDefault="00DA6A31" w:rsidP="00DA6A31">
      <w:pPr>
        <w:suppressLineNumbers/>
        <w:suppressAutoHyphens/>
        <w:kinsoku w:val="0"/>
        <w:overflowPunct w:val="0"/>
        <w:autoSpaceDE w:val="0"/>
        <w:autoSpaceDN w:val="0"/>
        <w:snapToGrid w:val="0"/>
        <w:spacing w:before="120" w:after="120"/>
        <w:rPr>
          <w:snapToGrid w:val="0"/>
          <w:color w:val="000000"/>
          <w:kern w:val="22"/>
        </w:rPr>
      </w:pPr>
      <w:r>
        <w:rPr>
          <w:snapToGrid w:val="0"/>
        </w:rPr>
        <w:t>64.</w:t>
      </w:r>
      <w:r>
        <w:rPr>
          <w:snapToGrid w:val="0"/>
        </w:rPr>
        <w:tab/>
        <w:t>En este contexto, la reunión tendrá ante sí una nota</w:t>
      </w:r>
      <w:r>
        <w:t xml:space="preserve"> </w:t>
      </w:r>
      <w:r>
        <w:rPr>
          <w:snapToGrid w:val="0"/>
        </w:rPr>
        <w:t>de la Secretaria Ejecutiva (</w:t>
      </w:r>
      <w:bookmarkStart w:id="2" w:name="_Hlk116471000"/>
      <w:r>
        <w:t>CBD/NP/MOP/4/9</w:t>
      </w:r>
      <w:bookmarkEnd w:id="2"/>
      <w:r>
        <w:t xml:space="preserve">) </w:t>
      </w:r>
      <w:r>
        <w:rPr>
          <w:snapToGrid w:val="0"/>
        </w:rPr>
        <w:t xml:space="preserve">con información actualizada sobre la marcha de la aplicación del Protocolo y un resumen de los vínculos entre el Protocolo y los proyectos de decisión sobre el marco mundial de la diversidad biológica posterior a 2020. Se invitará a la reunión a examinar un proyecto de decisión </w:t>
      </w:r>
      <w:r>
        <w:t xml:space="preserve">(que también se reproduce en la </w:t>
      </w:r>
      <w:r w:rsidR="004773D7">
        <w:t>recopilación</w:t>
      </w:r>
      <w:r>
        <w:t xml:space="preserve"> de proyectos de decisión </w:t>
      </w:r>
      <w:r>
        <w:rPr>
          <w:rFonts w:asciiTheme="majorBidi" w:hAnsiTheme="majorBidi"/>
          <w:color w:val="000000" w:themeColor="text1"/>
        </w:rPr>
        <w:t>CBD/NP/MOP/4/1/Add.5)</w:t>
      </w:r>
      <w:r>
        <w:rPr>
          <w:snapToGrid w:val="0"/>
          <w:color w:val="000000"/>
        </w:rPr>
        <w:t xml:space="preserve">. </w:t>
      </w:r>
    </w:p>
    <w:p w14:paraId="32C308E3" w14:textId="07B79D60" w:rsidR="00F52AC0" w:rsidRDefault="00F52AC0" w:rsidP="003872B5">
      <w:pPr>
        <w:pStyle w:val="Heading2"/>
        <w:suppressLineNumbers/>
        <w:tabs>
          <w:tab w:val="left" w:pos="1080"/>
        </w:tabs>
        <w:suppressAutoHyphens/>
        <w:kinsoku w:val="0"/>
        <w:overflowPunct w:val="0"/>
        <w:autoSpaceDE w:val="0"/>
        <w:autoSpaceDN w:val="0"/>
        <w:spacing w:before="240"/>
        <w:rPr>
          <w:i w:val="0"/>
          <w:iCs w:val="0"/>
          <w:snapToGrid w:val="0"/>
          <w:kern w:val="22"/>
        </w:rPr>
      </w:pPr>
      <w:r>
        <w:rPr>
          <w:i w:val="0"/>
          <w:snapToGrid w:val="0"/>
        </w:rPr>
        <w:t>TEMA 14.</w:t>
      </w:r>
      <w:r>
        <w:rPr>
          <w:i w:val="0"/>
          <w:snapToGrid w:val="0"/>
        </w:rPr>
        <w:tab/>
        <w:t>INFORMACIÓN DIGITAL SOBRE SECUENCIAS DE RECURSOS GENÉTICOS</w:t>
      </w:r>
    </w:p>
    <w:p w14:paraId="440A731C" w14:textId="0E05F863" w:rsidR="002C3CA5" w:rsidRPr="005C74CC" w:rsidRDefault="007B419C" w:rsidP="007B419C">
      <w:pPr>
        <w:suppressLineNumbers/>
        <w:suppressAutoHyphens/>
        <w:kinsoku w:val="0"/>
        <w:overflowPunct w:val="0"/>
        <w:autoSpaceDE w:val="0"/>
        <w:autoSpaceDN w:val="0"/>
        <w:snapToGrid w:val="0"/>
        <w:spacing w:before="120" w:after="120"/>
        <w:rPr>
          <w:snapToGrid w:val="0"/>
          <w:kern w:val="22"/>
        </w:rPr>
      </w:pPr>
      <w:r>
        <w:rPr>
          <w:snapToGrid w:val="0"/>
        </w:rPr>
        <w:t>65.</w:t>
      </w:r>
      <w:r>
        <w:rPr>
          <w:snapToGrid w:val="0"/>
        </w:rPr>
        <w:tab/>
        <w:t xml:space="preserve">La Conferencia de las Partes en el Convenio sobre la Diversidad Biológica, en su 14ª reunión, adoptó la decisión </w:t>
      </w:r>
      <w:hyperlink r:id="rId39" w:history="1">
        <w:r>
          <w:rPr>
            <w:rStyle w:val="Hyperlink"/>
            <w:sz w:val="22"/>
          </w:rPr>
          <w:t>14/20</w:t>
        </w:r>
      </w:hyperlink>
      <w:r>
        <w:t xml:space="preserve"> </w:t>
      </w:r>
      <w:r>
        <w:rPr>
          <w:rStyle w:val="Hyperlink"/>
          <w:snapToGrid w:val="0"/>
          <w:color w:val="auto"/>
          <w:sz w:val="22"/>
          <w:u w:val="none"/>
        </w:rPr>
        <w:t>acerca de la información digital sobre secuencias de recursos genéticos. Entre otras cosas, la decisión estableció un Grupo Especial de Expertos Técnicos que debía presentar su informe al Grupo de Trabajo de Composición Abierta sobre el Marco Mundial de la Diversidad Biológica posterior a 2020.</w:t>
      </w:r>
    </w:p>
    <w:p w14:paraId="39DD979E" w14:textId="189B08B0" w:rsidR="006F5989" w:rsidRPr="001D065F" w:rsidRDefault="007B419C" w:rsidP="007B419C">
      <w:pPr>
        <w:suppressLineNumbers/>
        <w:suppressAutoHyphens/>
        <w:kinsoku w:val="0"/>
        <w:overflowPunct w:val="0"/>
        <w:autoSpaceDE w:val="0"/>
        <w:autoSpaceDN w:val="0"/>
        <w:snapToGrid w:val="0"/>
        <w:spacing w:before="120" w:after="120"/>
        <w:rPr>
          <w:snapToGrid w:val="0"/>
          <w:kern w:val="22"/>
        </w:rPr>
      </w:pPr>
      <w:r>
        <w:rPr>
          <w:snapToGrid w:val="0"/>
        </w:rPr>
        <w:t>66.</w:t>
      </w:r>
      <w:r>
        <w:rPr>
          <w:snapToGrid w:val="0"/>
        </w:rPr>
        <w:tab/>
        <w:t xml:space="preserve">La reunión de las Partes en el Protocolo de Nagoya, en la decisión </w:t>
      </w:r>
      <w:hyperlink r:id="rId40" w:history="1">
        <w:r>
          <w:rPr>
            <w:rStyle w:val="Hyperlink"/>
            <w:snapToGrid w:val="0"/>
            <w:sz w:val="22"/>
          </w:rPr>
          <w:t>NP-3/12</w:t>
        </w:r>
      </w:hyperlink>
      <w:r>
        <w:rPr>
          <w:snapToGrid w:val="0"/>
        </w:rPr>
        <w:t xml:space="preserve">, acogió con beneplácito las decisiones </w:t>
      </w:r>
      <w:hyperlink r:id="rId41" w:history="1">
        <w:r>
          <w:rPr>
            <w:rStyle w:val="Hyperlink"/>
            <w:snapToGrid w:val="0"/>
            <w:sz w:val="22"/>
          </w:rPr>
          <w:t>14/34</w:t>
        </w:r>
      </w:hyperlink>
      <w:r>
        <w:rPr>
          <w:snapToGrid w:val="0"/>
        </w:rPr>
        <w:t xml:space="preserve"> y </w:t>
      </w:r>
      <w:hyperlink r:id="rId42" w:history="1">
        <w:r>
          <w:rPr>
            <w:rStyle w:val="Hyperlink"/>
            <w:snapToGrid w:val="0"/>
            <w:sz w:val="22"/>
          </w:rPr>
          <w:t>14/20</w:t>
        </w:r>
      </w:hyperlink>
      <w:r>
        <w:rPr>
          <w:snapToGrid w:val="0"/>
        </w:rPr>
        <w:t xml:space="preserve"> de la Conferencia de las Partes en el Convenio. Reconoció que el Grupo de Trabajo de Composición Abierta sobre el marco mundial de la diversidad biológica posterior a 2020</w:t>
      </w:r>
      <w:r>
        <w:t xml:space="preserve"> tendría en cuenta los resultados de las deliberaciones del Grupo Especial de Expertos Técnicos establecido por la Conferencia de las Partes en la decisión </w:t>
      </w:r>
      <w:r w:rsidRPr="00EC4077">
        <w:rPr>
          <w:snapToGrid w:val="0"/>
        </w:rPr>
        <w:t>14/20</w:t>
      </w:r>
      <w:r>
        <w:rPr>
          <w:snapToGrid w:val="0"/>
        </w:rPr>
        <w:t>, y pidió al Grupo de Trabajo de Composición Abierta que presentara el resultado de sus deliberaciones a la cuarta reunión de las Partes en el Protocolo para su examen.</w:t>
      </w:r>
    </w:p>
    <w:p w14:paraId="1BE269F6" w14:textId="15097C5D" w:rsidR="00AB1816" w:rsidRPr="004F1B66" w:rsidRDefault="007B419C" w:rsidP="007B419C">
      <w:pPr>
        <w:suppressLineNumbers/>
        <w:suppressAutoHyphens/>
        <w:kinsoku w:val="0"/>
        <w:overflowPunct w:val="0"/>
        <w:autoSpaceDE w:val="0"/>
        <w:autoSpaceDN w:val="0"/>
        <w:snapToGrid w:val="0"/>
        <w:spacing w:before="120" w:after="120"/>
        <w:rPr>
          <w:rStyle w:val="normaltextrun"/>
          <w:snapToGrid w:val="0"/>
          <w:kern w:val="22"/>
        </w:rPr>
      </w:pPr>
      <w:r>
        <w:rPr>
          <w:snapToGrid w:val="0"/>
        </w:rPr>
        <w:t>67.</w:t>
      </w:r>
      <w:r>
        <w:rPr>
          <w:snapToGrid w:val="0"/>
        </w:rPr>
        <w:tab/>
        <w:t xml:space="preserve">El Grupo Especial de Expertos Técnicos se reunió en forma virtual en marzo de 2020, y su resultado fue considerado por el Grupo de Trabajo de Composición Abierta sobre el marco mundial de la diversidad biológica posterior a 2020 en las partes primera y segunda de su tercera reunión. </w:t>
      </w:r>
      <w:r>
        <w:rPr>
          <w:rStyle w:val="normaltextrun"/>
        </w:rPr>
        <w:t xml:space="preserve">El Grupo de Trabajo de Composición Abierta sobre el marco mundial de la diversidad biológica posterior a 2020, en la segunda parte de su tercera reunión, adoptó la recomendación 3/2 respecto de la </w:t>
      </w:r>
      <w:r w:rsidR="00B04DE9">
        <w:rPr>
          <w:rStyle w:val="normaltextrun"/>
        </w:rPr>
        <w:t>“</w:t>
      </w:r>
      <w:r>
        <w:rPr>
          <w:rStyle w:val="normaltextrun"/>
        </w:rPr>
        <w:t>información digital sobre secuencias de recursos genéticos</w:t>
      </w:r>
      <w:r w:rsidR="0011397F">
        <w:rPr>
          <w:rStyle w:val="normaltextrun"/>
        </w:rPr>
        <w:t>”</w:t>
      </w:r>
      <w:r>
        <w:rPr>
          <w:rStyle w:val="normaltextrun"/>
        </w:rPr>
        <w:t>. Entre otras cosas, la recomendación contenía un proyecto de decisión para su examen por la Conferencia de las Partes en su 15</w:t>
      </w:r>
      <w:r>
        <w:rPr>
          <w:rStyle w:val="normaltextrun"/>
          <w:vertAlign w:val="superscript"/>
        </w:rPr>
        <w:t>a</w:t>
      </w:r>
      <w:r>
        <w:rPr>
          <w:rStyle w:val="normaltextrun"/>
        </w:rPr>
        <w:t xml:space="preserve"> reunión. En el párrafo 5, el Grupo de Trabajo recomendó a la reunión de las Partes en el Protocolo de Nagoya que en su cuarta reunión considerara la recomendación 3/2 del Grupo de Trabajo de Composición Abierta sobre el marco mundial de la diversidad biológica posterior a 2020, así como las decisiones que preparase la Conferencia de las Partes en su 15ª reunión.</w:t>
      </w:r>
    </w:p>
    <w:p w14:paraId="13892B6C" w14:textId="38E99161" w:rsidR="0070636A" w:rsidRPr="00FE472E" w:rsidRDefault="007B419C" w:rsidP="007B419C">
      <w:pPr>
        <w:suppressLineNumbers/>
        <w:suppressAutoHyphens/>
        <w:kinsoku w:val="0"/>
        <w:overflowPunct w:val="0"/>
        <w:autoSpaceDE w:val="0"/>
        <w:autoSpaceDN w:val="0"/>
        <w:snapToGrid w:val="0"/>
        <w:spacing w:before="120" w:after="120"/>
        <w:rPr>
          <w:snapToGrid w:val="0"/>
          <w:kern w:val="22"/>
        </w:rPr>
      </w:pPr>
      <w:r>
        <w:rPr>
          <w:snapToGrid w:val="0"/>
        </w:rPr>
        <w:t>68.</w:t>
      </w:r>
      <w:r>
        <w:rPr>
          <w:snapToGrid w:val="0"/>
        </w:rPr>
        <w:tab/>
        <w:t>El Grupo de Trabajo de Composición Abierta sobre el marco mundial de la diversidad biológica posterior a 2020, en su cuarta reunión, examinó más en profundidad la cuestión de la información digital sobre secuencias de recursos genéticos, tal como se aconsejó en la recomendación 3/3 de dicho Grupo de Trabajo. El tema será analizado más a fondo por el Grupo de Trabajo en su quinta reunión, que se celebrará en diciembre de 2022.</w:t>
      </w:r>
    </w:p>
    <w:p w14:paraId="4907AC57" w14:textId="16E006B9" w:rsidR="00DD734E" w:rsidRPr="00B70501" w:rsidRDefault="007B419C" w:rsidP="007B419C">
      <w:pPr>
        <w:suppressLineNumbers/>
        <w:suppressAutoHyphens/>
        <w:kinsoku w:val="0"/>
        <w:overflowPunct w:val="0"/>
        <w:autoSpaceDE w:val="0"/>
        <w:autoSpaceDN w:val="0"/>
        <w:snapToGrid w:val="0"/>
        <w:spacing w:before="120" w:after="120"/>
        <w:rPr>
          <w:snapToGrid w:val="0"/>
          <w:kern w:val="22"/>
        </w:rPr>
      </w:pPr>
      <w:r>
        <w:rPr>
          <w:snapToGrid w:val="0"/>
        </w:rPr>
        <w:t>69.</w:t>
      </w:r>
      <w:r>
        <w:rPr>
          <w:snapToGrid w:val="0"/>
        </w:rPr>
        <w:tab/>
        <w:t xml:space="preserve">Se invitará a la reunión de las Partes en el Protocolo de Nagoya a examinar este tema del programa </w:t>
      </w:r>
      <w:proofErr w:type="gramStart"/>
      <w:r>
        <w:rPr>
          <w:snapToGrid w:val="0"/>
        </w:rPr>
        <w:t>conjuntamente con</w:t>
      </w:r>
      <w:proofErr w:type="gramEnd"/>
      <w:r>
        <w:rPr>
          <w:snapToGrid w:val="0"/>
        </w:rPr>
        <w:t xml:space="preserve"> el tema correspondiente del programa de la Conferencia de las Partes.</w:t>
      </w:r>
    </w:p>
    <w:p w14:paraId="4504EB3C" w14:textId="5F47562B" w:rsidR="00F52AC0"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rPr>
      </w:pPr>
      <w:r>
        <w:rPr>
          <w:i w:val="0"/>
          <w:snapToGrid w:val="0"/>
        </w:rPr>
        <w:t>TEMA 15.</w:t>
      </w:r>
      <w:r>
        <w:rPr>
          <w:i w:val="0"/>
          <w:snapToGrid w:val="0"/>
        </w:rPr>
        <w:tab/>
        <w:t xml:space="preserve">INSTRUMENTOS INTERNACIONALES ESPECIALIZADOS DE ACCESO Y PARTICIPACIÓN EN LOS BENEFICIOS EN </w:t>
      </w:r>
      <w:r>
        <w:rPr>
          <w:i w:val="0"/>
          <w:snapToGrid w:val="0"/>
        </w:rPr>
        <w:lastRenderedPageBreak/>
        <w:t xml:space="preserve">EL CONTEXTO DEL ARTÍCULO 4, PÁRRAFO 4, DEL PROTOCOLO DE NAGOYA </w:t>
      </w:r>
    </w:p>
    <w:p w14:paraId="3A849F4A" w14:textId="086D8E36" w:rsidR="0054522C" w:rsidRPr="0054522C" w:rsidRDefault="00843249" w:rsidP="00843249">
      <w:pPr>
        <w:suppressLineNumbers/>
        <w:suppressAutoHyphens/>
        <w:kinsoku w:val="0"/>
        <w:overflowPunct w:val="0"/>
        <w:autoSpaceDE w:val="0"/>
        <w:autoSpaceDN w:val="0"/>
        <w:snapToGrid w:val="0"/>
        <w:spacing w:before="120" w:after="120"/>
        <w:rPr>
          <w:snapToGrid w:val="0"/>
          <w:kern w:val="22"/>
        </w:rPr>
      </w:pPr>
      <w:r>
        <w:rPr>
          <w:snapToGrid w:val="0"/>
        </w:rPr>
        <w:t>70.</w:t>
      </w:r>
      <w:r>
        <w:rPr>
          <w:snapToGrid w:val="0"/>
        </w:rPr>
        <w:tab/>
      </w:r>
      <w:r>
        <w:t xml:space="preserve">La reunión de las Partes en el Protocolo, </w:t>
      </w:r>
      <w:r>
        <w:rPr>
          <w:snapToGrid w:val="0"/>
        </w:rPr>
        <w:t xml:space="preserve">en la decisión </w:t>
      </w:r>
      <w:hyperlink r:id="rId43" w:history="1">
        <w:r>
          <w:rPr>
            <w:rStyle w:val="Hyperlink"/>
            <w:snapToGrid w:val="0"/>
            <w:sz w:val="22"/>
          </w:rPr>
          <w:t>NP-3/14</w:t>
        </w:r>
      </w:hyperlink>
      <w:r>
        <w:rPr>
          <w:snapToGrid w:val="0"/>
        </w:rPr>
        <w:t>, párrafo 1, tomó nota del estudio</w:t>
      </w:r>
      <w:r w:rsidR="0054522C" w:rsidRPr="00A74E4A">
        <w:rPr>
          <w:rStyle w:val="FootnoteReference"/>
          <w:snapToGrid w:val="0"/>
          <w:kern w:val="22"/>
          <w:u w:val="none"/>
          <w:vertAlign w:val="superscript"/>
          <w:lang w:val="en-CA" w:eastAsia="en-CA"/>
        </w:rPr>
        <w:footnoteReference w:id="5"/>
      </w:r>
      <w:r>
        <w:rPr>
          <w:snapToGrid w:val="0"/>
        </w:rPr>
        <w:t xml:space="preserve"> y los posibles criterios para instrumentos internacionales especializados de acceso y participación en los beneficios en el contexto del artículo 4, párrafo 4, del Protocolo de Nagoya, que se resumen en este anexo, y acordó volver a examinar estos posibles criterios en su cuarta reunión. </w:t>
      </w:r>
    </w:p>
    <w:p w14:paraId="2B3C1EB9" w14:textId="1ACB3E94" w:rsidR="0054522C" w:rsidRPr="00C535AF" w:rsidRDefault="00843249" w:rsidP="00843249">
      <w:pPr>
        <w:suppressLineNumbers/>
        <w:suppressAutoHyphens/>
        <w:kinsoku w:val="0"/>
        <w:overflowPunct w:val="0"/>
        <w:autoSpaceDE w:val="0"/>
        <w:autoSpaceDN w:val="0"/>
        <w:snapToGrid w:val="0"/>
        <w:spacing w:before="120" w:after="120"/>
        <w:rPr>
          <w:snapToGrid w:val="0"/>
          <w:kern w:val="22"/>
        </w:rPr>
      </w:pPr>
      <w:r>
        <w:rPr>
          <w:snapToGrid w:val="0"/>
        </w:rPr>
        <w:t>71.</w:t>
      </w:r>
      <w:r>
        <w:rPr>
          <w:snapToGrid w:val="0"/>
        </w:rPr>
        <w:tab/>
        <w:t>El Órgano Subsidiario sobre la Aplicación, en su tercera reunión, examinó</w:t>
      </w:r>
      <w:r w:rsidR="004E4608">
        <w:rPr>
          <w:snapToGrid w:val="0"/>
        </w:rPr>
        <w:t xml:space="preserve"> </w:t>
      </w:r>
      <w:r>
        <w:t xml:space="preserve">una nota de la Secretaria Ejecutiva que contenía </w:t>
      </w:r>
      <w:r>
        <w:rPr>
          <w:snapToGrid w:val="0"/>
          <w:color w:val="000000"/>
        </w:rPr>
        <w:t>una síntesis de información brindada por las Partes y otros Gobiernos sobre la manera en que se abordan los instrumentos internacionales especializados de acceso y participación en los beneficios en sus medidas internas y opiniones sobre los posibles criterios incluidos en el estudio. La nota también contenía información sobre novedades de foros internacionales pertinentes.</w:t>
      </w:r>
      <w:r>
        <w:rPr>
          <w:snapToGrid w:val="0"/>
        </w:rPr>
        <w:t xml:space="preserve"> </w:t>
      </w:r>
    </w:p>
    <w:p w14:paraId="63040B5B" w14:textId="6A95EEEC" w:rsidR="0054522C" w:rsidRDefault="00843249" w:rsidP="00843249">
      <w:pPr>
        <w:suppressLineNumbers/>
        <w:suppressAutoHyphens/>
        <w:kinsoku w:val="0"/>
        <w:overflowPunct w:val="0"/>
        <w:autoSpaceDE w:val="0"/>
        <w:autoSpaceDN w:val="0"/>
        <w:snapToGrid w:val="0"/>
        <w:spacing w:before="120" w:after="120"/>
        <w:rPr>
          <w:snapToGrid w:val="0"/>
          <w:kern w:val="22"/>
        </w:rPr>
      </w:pPr>
      <w:r>
        <w:rPr>
          <w:snapToGrid w:val="0"/>
        </w:rPr>
        <w:t>72.</w:t>
      </w:r>
      <w:r>
        <w:rPr>
          <w:snapToGrid w:val="0"/>
        </w:rPr>
        <w:tab/>
        <w:t xml:space="preserve">Se invitará a las Partes en el Protocolo de Nagoya, en su cuarta reunión, a examinar </w:t>
      </w:r>
      <w:r>
        <w:rPr>
          <w:snapToGrid w:val="0"/>
          <w:color w:val="000000"/>
        </w:rPr>
        <w:t xml:space="preserve">esta cuestión sobre la base de una recomendación del </w:t>
      </w:r>
      <w:r>
        <w:rPr>
          <w:snapToGrid w:val="0"/>
        </w:rPr>
        <w:t xml:space="preserve">Órgano Subsidiario sobre la Aplicación (recomendación 3/16 del Órgano Subsidiario sobre la Aplicación, que también se reproduce en la </w:t>
      </w:r>
      <w:r w:rsidR="004773D7">
        <w:rPr>
          <w:snapToGrid w:val="0"/>
        </w:rPr>
        <w:t>recopilación</w:t>
      </w:r>
      <w:r>
        <w:rPr>
          <w:snapToGrid w:val="0"/>
        </w:rPr>
        <w:t xml:space="preserve"> de proyectos de decisión CBD/NP/MOP/4/1/Add.5).</w:t>
      </w:r>
    </w:p>
    <w:p w14:paraId="35AB5192" w14:textId="7848BD01" w:rsidR="00D85BBB" w:rsidRPr="00370749" w:rsidRDefault="00F52AC0" w:rsidP="003872B5">
      <w:pPr>
        <w:pStyle w:val="Heading2longmultiline"/>
        <w:suppressLineNumbers/>
        <w:suppressAutoHyphens/>
        <w:kinsoku w:val="0"/>
        <w:overflowPunct w:val="0"/>
        <w:autoSpaceDE w:val="0"/>
        <w:autoSpaceDN w:val="0"/>
        <w:ind w:left="2160" w:right="1009" w:hanging="1298"/>
        <w:rPr>
          <w:i w:val="0"/>
          <w:snapToGrid w:val="0"/>
          <w:kern w:val="22"/>
          <w:szCs w:val="22"/>
        </w:rPr>
      </w:pPr>
      <w:r>
        <w:rPr>
          <w:i w:val="0"/>
          <w:snapToGrid w:val="0"/>
        </w:rPr>
        <w:t>TEMA 16.</w:t>
      </w:r>
      <w:r>
        <w:rPr>
          <w:i w:val="0"/>
          <w:snapToGrid w:val="0"/>
        </w:rPr>
        <w:tab/>
        <w:t>MECANISMO MUNDIAL MULTILATERAL DE PARTICIPACIÓN EN LOS BENEFICIOS (ARTÍCULO 10)</w:t>
      </w:r>
    </w:p>
    <w:p w14:paraId="793A5B46" w14:textId="337ED263" w:rsidR="00AC62E1" w:rsidRPr="00AC62E1" w:rsidRDefault="000E1864" w:rsidP="000E1864">
      <w:pPr>
        <w:suppressLineNumbers/>
        <w:suppressAutoHyphens/>
        <w:kinsoku w:val="0"/>
        <w:overflowPunct w:val="0"/>
        <w:autoSpaceDE w:val="0"/>
        <w:autoSpaceDN w:val="0"/>
        <w:snapToGrid w:val="0"/>
        <w:spacing w:before="120" w:after="120"/>
        <w:rPr>
          <w:snapToGrid w:val="0"/>
          <w:kern w:val="22"/>
        </w:rPr>
      </w:pPr>
      <w:r>
        <w:rPr>
          <w:snapToGrid w:val="0"/>
        </w:rPr>
        <w:t>73.</w:t>
      </w:r>
      <w:r>
        <w:rPr>
          <w:snapToGrid w:val="0"/>
        </w:rPr>
        <w:tab/>
      </w:r>
      <w:r>
        <w:t xml:space="preserve">La Conferencia de las Partes que actúa como reunión de las Partes en el Protocolo de Nagoya, </w:t>
      </w:r>
      <w:r>
        <w:rPr>
          <w:snapToGrid w:val="0"/>
        </w:rPr>
        <w:t xml:space="preserve">en la decisión </w:t>
      </w:r>
      <w:hyperlink r:id="rId44" w:history="1">
        <w:r>
          <w:rPr>
            <w:rStyle w:val="Hyperlink"/>
            <w:snapToGrid w:val="0"/>
            <w:sz w:val="22"/>
          </w:rPr>
          <w:t>NP-3/1</w:t>
        </w:r>
      </w:hyperlink>
      <w:r>
        <w:rPr>
          <w:rStyle w:val="Hyperlink"/>
          <w:snapToGrid w:val="0"/>
          <w:sz w:val="22"/>
        </w:rPr>
        <w:t>3</w:t>
      </w:r>
      <w:r>
        <w:rPr>
          <w:snapToGrid w:val="0"/>
        </w:rPr>
        <w:t xml:space="preserve">, </w:t>
      </w:r>
      <w:r>
        <w:rPr>
          <w:snapToGrid w:val="0"/>
          <w:color w:val="000000"/>
        </w:rPr>
        <w:t>consideró que contar con más información sobre casos específicos de recursos genéticos y conocimientos tradicionales asociados a recursos genéticos que se presentan en situaciones transfronterizas o para los que no es posible otorgar u obtener consentimiento fundamentado previo, acompañada de una explicación sobre por qué en tales casos no se puede aplicar el enfoque bilateral del Protocolo de Nagoya, así como opciones para tratar esos casos, incluido a través de un de mecanismo mundial multilateral de participación en los beneficios, resultaría útil para la consideración del artículo 10.</w:t>
      </w:r>
    </w:p>
    <w:p w14:paraId="503A95FE" w14:textId="7D0297C3" w:rsidR="00AC62E1" w:rsidRDefault="000E1864" w:rsidP="000E1864">
      <w:pPr>
        <w:suppressLineNumbers/>
        <w:suppressAutoHyphens/>
        <w:kinsoku w:val="0"/>
        <w:overflowPunct w:val="0"/>
        <w:autoSpaceDE w:val="0"/>
        <w:autoSpaceDN w:val="0"/>
        <w:snapToGrid w:val="0"/>
        <w:spacing w:before="60" w:after="80"/>
        <w:rPr>
          <w:snapToGrid w:val="0"/>
          <w:color w:val="000000"/>
          <w:kern w:val="22"/>
        </w:rPr>
      </w:pPr>
      <w:r>
        <w:rPr>
          <w:snapToGrid w:val="0"/>
        </w:rPr>
        <w:t>74.</w:t>
      </w:r>
      <w:r>
        <w:rPr>
          <w:snapToGrid w:val="0"/>
        </w:rPr>
        <w:tab/>
        <w:t>En la misma decisión, se pidió a la Secretaria Ejecutiva que encargara un estudio revisado por pares dirigido a detectar casos específicos de recursos genéticos y conocimientos tradicionales asociados a recursos genéticos que se producen en situaciones transfronterizas o para los que no es posible otorgar u obtener consentimiento fundamentado previo, y que sintetice la información presentada por las Partes y otros acerca de información sobre casos específicos, acompañada de una explicación sobre por qué en tales casos no se puede aplicar el enfoque bilateral del Protocolo de Nagoya</w:t>
      </w:r>
      <w:r>
        <w:t>, así como opciones de posibles modalidades para tratar esos casos, incluido a través de un de mecanismo mundial multilateral de participación en los beneficios</w:t>
      </w:r>
      <w:r>
        <w:rPr>
          <w:snapToGrid w:val="0"/>
          <w:color w:val="000000"/>
        </w:rPr>
        <w:t>.</w:t>
      </w:r>
    </w:p>
    <w:p w14:paraId="729914B3" w14:textId="2307A69C" w:rsidR="00AC62E1" w:rsidRPr="00AC62E1" w:rsidRDefault="000E1864" w:rsidP="000E1864">
      <w:pPr>
        <w:suppressLineNumbers/>
        <w:suppressAutoHyphens/>
        <w:kinsoku w:val="0"/>
        <w:overflowPunct w:val="0"/>
        <w:autoSpaceDE w:val="0"/>
        <w:autoSpaceDN w:val="0"/>
        <w:snapToGrid w:val="0"/>
        <w:spacing w:before="60" w:after="80"/>
        <w:rPr>
          <w:snapToGrid w:val="0"/>
          <w:color w:val="000000"/>
          <w:kern w:val="22"/>
        </w:rPr>
      </w:pPr>
      <w:r>
        <w:rPr>
          <w:snapToGrid w:val="0"/>
        </w:rPr>
        <w:t>75.</w:t>
      </w:r>
      <w:r>
        <w:rPr>
          <w:snapToGrid w:val="0"/>
        </w:rPr>
        <w:tab/>
        <w:t xml:space="preserve">El Órgano Subsidiario sobre la Aplicación, en su tercera reunión, </w:t>
      </w:r>
      <w:r>
        <w:rPr>
          <w:snapToGrid w:val="0"/>
          <w:color w:val="000000"/>
        </w:rPr>
        <w:t>consider</w:t>
      </w:r>
      <w:r>
        <w:rPr>
          <w:color w:val="000000" w:themeColor="text1"/>
        </w:rPr>
        <w:t>ó</w:t>
      </w:r>
      <w:r>
        <w:rPr>
          <w:snapToGrid w:val="0"/>
          <w:color w:val="000000"/>
        </w:rPr>
        <w:t xml:space="preserve"> el estudio y </w:t>
      </w:r>
      <w:r>
        <w:t>un</w:t>
      </w:r>
      <w:r>
        <w:rPr>
          <w:color w:val="000000" w:themeColor="text1"/>
        </w:rPr>
        <w:t xml:space="preserve">a </w:t>
      </w:r>
      <w:r>
        <w:rPr>
          <w:snapToGrid w:val="0"/>
          <w:color w:val="000000"/>
        </w:rPr>
        <w:t xml:space="preserve">síntesis </w:t>
      </w:r>
      <w:r>
        <w:rPr>
          <w:color w:val="000000" w:themeColor="text1"/>
        </w:rPr>
        <w:t xml:space="preserve">de las opiniones e información descritas anteriormente, </w:t>
      </w:r>
      <w:r>
        <w:rPr>
          <w:snapToGrid w:val="0"/>
          <w:color w:val="000000"/>
        </w:rPr>
        <w:t>con miras a detectar casos específicos</w:t>
      </w:r>
      <w:r>
        <w:rPr>
          <w:color w:val="000000" w:themeColor="text1"/>
        </w:rPr>
        <w:t>, de haberlos, que no es posible abordar mediante la aplicación del enfoque bilateral,</w:t>
      </w:r>
      <w:r>
        <w:rPr>
          <w:snapToGrid w:val="0"/>
          <w:color w:val="000000"/>
        </w:rPr>
        <w:t xml:space="preserve"> y, en caso de ser detectados, opciones para abordar estos casos, con inclusión de un posible mecanismo mundial multilateral de participación en los beneficios. </w:t>
      </w:r>
    </w:p>
    <w:p w14:paraId="4EEDF4F0" w14:textId="0D15F76A" w:rsidR="00AC62E1" w:rsidRPr="00AC62E1" w:rsidRDefault="000E1864" w:rsidP="000E1864">
      <w:pPr>
        <w:suppressLineNumbers/>
        <w:suppressAutoHyphens/>
        <w:kinsoku w:val="0"/>
        <w:overflowPunct w:val="0"/>
        <w:autoSpaceDE w:val="0"/>
        <w:autoSpaceDN w:val="0"/>
        <w:snapToGrid w:val="0"/>
        <w:spacing w:before="120" w:after="120"/>
        <w:rPr>
          <w:snapToGrid w:val="0"/>
          <w:kern w:val="22"/>
        </w:rPr>
      </w:pPr>
      <w:r>
        <w:rPr>
          <w:snapToGrid w:val="0"/>
        </w:rPr>
        <w:t>76.</w:t>
      </w:r>
      <w:r>
        <w:rPr>
          <w:snapToGrid w:val="0"/>
        </w:rPr>
        <w:tab/>
        <w:t xml:space="preserve">Se invitará a las Partes en el Protocolo de Nagoya, en su cuarta reunión, a examinar </w:t>
      </w:r>
      <w:r>
        <w:rPr>
          <w:snapToGrid w:val="0"/>
          <w:color w:val="000000"/>
        </w:rPr>
        <w:t xml:space="preserve">esta cuestión sobre la base de una recomendación del </w:t>
      </w:r>
      <w:r>
        <w:rPr>
          <w:snapToGrid w:val="0"/>
        </w:rPr>
        <w:t>Órgano Subsidiario sobre la Aplicación (recomendación 3/17 del Órgano Subsidiario sobre la Aplicación, que también se reproduce en la compilación de proyectos de decisión CBD/NP/MOP/4/1/Add.5).</w:t>
      </w:r>
    </w:p>
    <w:p w14:paraId="1C18C568" w14:textId="5AED6848" w:rsidR="00F52AC0" w:rsidRPr="00C535AF" w:rsidRDefault="00F52AC0" w:rsidP="003872B5">
      <w:pPr>
        <w:pStyle w:val="Heading2"/>
        <w:suppressLineNumbers/>
        <w:tabs>
          <w:tab w:val="left" w:pos="1080"/>
        </w:tabs>
        <w:suppressAutoHyphens/>
        <w:kinsoku w:val="0"/>
        <w:overflowPunct w:val="0"/>
        <w:autoSpaceDE w:val="0"/>
        <w:autoSpaceDN w:val="0"/>
        <w:spacing w:before="240"/>
        <w:rPr>
          <w:i w:val="0"/>
          <w:snapToGrid w:val="0"/>
          <w:kern w:val="22"/>
          <w:szCs w:val="22"/>
        </w:rPr>
      </w:pPr>
      <w:r>
        <w:rPr>
          <w:i w:val="0"/>
          <w:snapToGrid w:val="0"/>
        </w:rPr>
        <w:t>TEMA 17.</w:t>
      </w:r>
      <w:r>
        <w:rPr>
          <w:i w:val="0"/>
          <w:snapToGrid w:val="0"/>
        </w:rPr>
        <w:tab/>
        <w:t>OTROS ASUNTOS</w:t>
      </w:r>
    </w:p>
    <w:p w14:paraId="7D59D815" w14:textId="0560917F" w:rsidR="00F52AC0" w:rsidRDefault="005525A2" w:rsidP="005525A2">
      <w:pPr>
        <w:suppressLineNumbers/>
        <w:tabs>
          <w:tab w:val="left" w:pos="720"/>
        </w:tabs>
        <w:suppressAutoHyphens/>
        <w:kinsoku w:val="0"/>
        <w:overflowPunct w:val="0"/>
        <w:autoSpaceDE w:val="0"/>
        <w:autoSpaceDN w:val="0"/>
        <w:snapToGrid w:val="0"/>
        <w:spacing w:before="120" w:after="120"/>
        <w:rPr>
          <w:snapToGrid w:val="0"/>
          <w:kern w:val="22"/>
        </w:rPr>
      </w:pPr>
      <w:r>
        <w:rPr>
          <w:snapToGrid w:val="0"/>
        </w:rPr>
        <w:t>77.</w:t>
      </w:r>
      <w:r>
        <w:rPr>
          <w:snapToGrid w:val="0"/>
        </w:rPr>
        <w:tab/>
        <w:t>Las Partes en el Protocolo de Nagoya podrían estimar oportuno examinar otros asuntos que se planteen y acepten para su deliberación con arreglo al reglamento.</w:t>
      </w:r>
    </w:p>
    <w:p w14:paraId="44067357" w14:textId="66CF1D98" w:rsidR="008201AE" w:rsidRPr="00C535AF" w:rsidRDefault="005525A2" w:rsidP="005525A2">
      <w:pPr>
        <w:suppressLineNumbers/>
        <w:tabs>
          <w:tab w:val="left" w:pos="720"/>
        </w:tabs>
        <w:suppressAutoHyphens/>
        <w:kinsoku w:val="0"/>
        <w:overflowPunct w:val="0"/>
        <w:autoSpaceDE w:val="0"/>
        <w:autoSpaceDN w:val="0"/>
        <w:snapToGrid w:val="0"/>
        <w:spacing w:before="120" w:after="120"/>
        <w:rPr>
          <w:snapToGrid w:val="0"/>
          <w:kern w:val="22"/>
        </w:rPr>
      </w:pPr>
      <w:r>
        <w:rPr>
          <w:snapToGrid w:val="0"/>
        </w:rPr>
        <w:lastRenderedPageBreak/>
        <w:t>78.</w:t>
      </w:r>
      <w:r>
        <w:rPr>
          <w:snapToGrid w:val="0"/>
        </w:rPr>
        <w:tab/>
        <w:t>En este tema del programa, se espera que el Presidente informe al plenario sobre los resultados de la serie de sesiones de alto nivel que se celebrarán del 15 al 17 de diciembre de 2022.</w:t>
      </w:r>
    </w:p>
    <w:p w14:paraId="7AC396E6" w14:textId="342DE71A" w:rsidR="00F52AC0" w:rsidRPr="00C535AF" w:rsidRDefault="00F52AC0" w:rsidP="003872B5">
      <w:pPr>
        <w:pStyle w:val="Heading2"/>
        <w:suppressLineNumbers/>
        <w:tabs>
          <w:tab w:val="left" w:pos="1080"/>
        </w:tabs>
        <w:suppressAutoHyphens/>
        <w:kinsoku w:val="0"/>
        <w:overflowPunct w:val="0"/>
        <w:autoSpaceDE w:val="0"/>
        <w:autoSpaceDN w:val="0"/>
        <w:spacing w:before="240"/>
        <w:rPr>
          <w:i w:val="0"/>
          <w:snapToGrid w:val="0"/>
          <w:kern w:val="22"/>
          <w:szCs w:val="22"/>
        </w:rPr>
      </w:pPr>
      <w:r>
        <w:rPr>
          <w:i w:val="0"/>
          <w:snapToGrid w:val="0"/>
        </w:rPr>
        <w:t>TEMA 18.</w:t>
      </w:r>
      <w:r>
        <w:rPr>
          <w:i w:val="0"/>
          <w:snapToGrid w:val="0"/>
        </w:rPr>
        <w:tab/>
        <w:t>ADOPCIÓN DEL INFORME</w:t>
      </w:r>
    </w:p>
    <w:p w14:paraId="2E6B85DC" w14:textId="6F43B454" w:rsidR="00184531" w:rsidRDefault="008F1FC4" w:rsidP="008F1FC4">
      <w:pPr>
        <w:suppressLineNumbers/>
        <w:tabs>
          <w:tab w:val="left" w:pos="720"/>
        </w:tabs>
        <w:suppressAutoHyphens/>
        <w:kinsoku w:val="0"/>
        <w:overflowPunct w:val="0"/>
        <w:autoSpaceDE w:val="0"/>
        <w:autoSpaceDN w:val="0"/>
        <w:snapToGrid w:val="0"/>
        <w:spacing w:before="120" w:after="120"/>
        <w:rPr>
          <w:snapToGrid w:val="0"/>
          <w:kern w:val="22"/>
        </w:rPr>
      </w:pPr>
      <w:r>
        <w:rPr>
          <w:snapToGrid w:val="0"/>
        </w:rPr>
        <w:t>79.</w:t>
      </w:r>
      <w:r>
        <w:rPr>
          <w:snapToGrid w:val="0"/>
        </w:rPr>
        <w:tab/>
        <w:t>Se invitará a la Conferencia de las Partes que actúa como reunión de las Partes en el Protocolo de Nagoya a que examine y apruebe el informe sobre el trabajo de la segunda parte de su cuarta reunión sobre la base del proyecto de informe preparado por el Relator.</w:t>
      </w:r>
    </w:p>
    <w:p w14:paraId="569086A4" w14:textId="2483D9B0" w:rsidR="00A10301" w:rsidRDefault="008F1FC4" w:rsidP="008F1FC4">
      <w:pPr>
        <w:suppressLineNumbers/>
        <w:tabs>
          <w:tab w:val="left" w:pos="720"/>
        </w:tabs>
        <w:suppressAutoHyphens/>
        <w:kinsoku w:val="0"/>
        <w:overflowPunct w:val="0"/>
        <w:autoSpaceDE w:val="0"/>
        <w:autoSpaceDN w:val="0"/>
        <w:snapToGrid w:val="0"/>
        <w:spacing w:before="120" w:after="120"/>
        <w:rPr>
          <w:snapToGrid w:val="0"/>
          <w:kern w:val="22"/>
        </w:rPr>
      </w:pPr>
      <w:r>
        <w:rPr>
          <w:snapToGrid w:val="0"/>
        </w:rPr>
        <w:t>80.</w:t>
      </w:r>
      <w:r>
        <w:rPr>
          <w:snapToGrid w:val="0"/>
        </w:rPr>
        <w:tab/>
        <w:t>Los informes de las partes primera (CBD/NP/MOP/4/4) y segunda constituirán en conjunto las deliberaciones de la cuarta reunión de la Conferencia de las Partes que actúa como reunión de las Partes en el Protocolo.</w:t>
      </w:r>
    </w:p>
    <w:p w14:paraId="3C80E220" w14:textId="14CA3953" w:rsidR="00F52AC0" w:rsidRPr="00C535AF" w:rsidRDefault="008F1FC4" w:rsidP="008F1FC4">
      <w:pPr>
        <w:suppressLineNumbers/>
        <w:tabs>
          <w:tab w:val="left" w:pos="720"/>
        </w:tabs>
        <w:suppressAutoHyphens/>
        <w:kinsoku w:val="0"/>
        <w:overflowPunct w:val="0"/>
        <w:autoSpaceDE w:val="0"/>
        <w:autoSpaceDN w:val="0"/>
        <w:snapToGrid w:val="0"/>
        <w:spacing w:before="120" w:after="120"/>
        <w:rPr>
          <w:snapToGrid w:val="0"/>
          <w:kern w:val="22"/>
        </w:rPr>
      </w:pPr>
      <w:r>
        <w:rPr>
          <w:snapToGrid w:val="0"/>
        </w:rPr>
        <w:t>81.</w:t>
      </w:r>
      <w:r>
        <w:rPr>
          <w:snapToGrid w:val="0"/>
        </w:rPr>
        <w:tab/>
        <w:t>De conformidad con la práctica establecida, se invitará a las Partes a autorizar al Relator a que complete el informe final después de la reunión, con la orientación de la Presidencia y la asistencia de la Secretaría.</w:t>
      </w:r>
    </w:p>
    <w:p w14:paraId="376FC71C" w14:textId="1728A5BB" w:rsidR="00F52AC0" w:rsidRPr="00C535AF" w:rsidRDefault="00F52AC0" w:rsidP="003872B5">
      <w:pPr>
        <w:pStyle w:val="Heading2"/>
        <w:suppressLineNumbers/>
        <w:tabs>
          <w:tab w:val="left" w:pos="1080"/>
        </w:tabs>
        <w:suppressAutoHyphens/>
        <w:kinsoku w:val="0"/>
        <w:overflowPunct w:val="0"/>
        <w:autoSpaceDE w:val="0"/>
        <w:autoSpaceDN w:val="0"/>
        <w:spacing w:before="240"/>
        <w:rPr>
          <w:snapToGrid w:val="0"/>
          <w:kern w:val="22"/>
        </w:rPr>
      </w:pPr>
      <w:r>
        <w:rPr>
          <w:i w:val="0"/>
          <w:snapToGrid w:val="0"/>
        </w:rPr>
        <w:t>TEMA 19.</w:t>
      </w:r>
      <w:r>
        <w:rPr>
          <w:i w:val="0"/>
          <w:snapToGrid w:val="0"/>
        </w:rPr>
        <w:tab/>
        <w:t>CLAUSURA DE LA REUNIÓN</w:t>
      </w:r>
    </w:p>
    <w:p w14:paraId="56363CB6" w14:textId="4B5B0E8B" w:rsidR="00F52AC0" w:rsidRPr="00370749" w:rsidRDefault="00992150" w:rsidP="00992150">
      <w:pPr>
        <w:suppressLineNumbers/>
        <w:tabs>
          <w:tab w:val="left" w:pos="720"/>
        </w:tabs>
        <w:suppressAutoHyphens/>
        <w:kinsoku w:val="0"/>
        <w:overflowPunct w:val="0"/>
        <w:autoSpaceDE w:val="0"/>
        <w:autoSpaceDN w:val="0"/>
        <w:snapToGrid w:val="0"/>
        <w:spacing w:before="120" w:after="120"/>
        <w:rPr>
          <w:snapToGrid w:val="0"/>
          <w:kern w:val="22"/>
        </w:rPr>
      </w:pPr>
      <w:r>
        <w:rPr>
          <w:snapToGrid w:val="0"/>
        </w:rPr>
        <w:t>82.</w:t>
      </w:r>
      <w:r>
        <w:rPr>
          <w:snapToGrid w:val="0"/>
        </w:rPr>
        <w:tab/>
        <w:t xml:space="preserve">Se prevé que la clausura de la cuarta reunión de la Conferencia de las Partes que actúa como la reunión de las Partes en el Protocolo de Nagoya tenga lugar el </w:t>
      </w:r>
      <w:r>
        <w:t xml:space="preserve">lunes 19 de diciembre de </w:t>
      </w:r>
      <w:r>
        <w:rPr>
          <w:snapToGrid w:val="0"/>
        </w:rPr>
        <w:t>202</w:t>
      </w:r>
      <w:r>
        <w:t>2</w:t>
      </w:r>
      <w:r>
        <w:rPr>
          <w:snapToGrid w:val="0"/>
        </w:rPr>
        <w:t>, aproximadamente a las 18:00 horas.</w:t>
      </w:r>
    </w:p>
    <w:p w14:paraId="79C3ED27" w14:textId="77777777" w:rsidR="00F52AC0" w:rsidRPr="00B122DA" w:rsidRDefault="00F52AC0" w:rsidP="00F52AC0">
      <w:pPr>
        <w:pStyle w:val="Para1"/>
        <w:suppressLineNumbers/>
        <w:tabs>
          <w:tab w:val="num" w:pos="720"/>
        </w:tabs>
        <w:suppressAutoHyphens/>
        <w:kinsoku w:val="0"/>
        <w:overflowPunct w:val="0"/>
        <w:autoSpaceDE w:val="0"/>
        <w:autoSpaceDN w:val="0"/>
        <w:rPr>
          <w:kern w:val="22"/>
          <w:szCs w:val="22"/>
          <w:lang w:val="es-UY"/>
        </w:rPr>
        <w:sectPr w:rsidR="00F52AC0" w:rsidRPr="00B122DA" w:rsidSect="00DA31B6">
          <w:headerReference w:type="even" r:id="rId45"/>
          <w:type w:val="continuous"/>
          <w:pgSz w:w="12242" w:h="15842" w:code="1"/>
          <w:pgMar w:top="1021" w:right="1389" w:bottom="1021" w:left="1389" w:header="459" w:footer="720" w:gutter="0"/>
          <w:cols w:space="720"/>
          <w:docGrid w:linePitch="299"/>
        </w:sectPr>
      </w:pPr>
    </w:p>
    <w:p w14:paraId="6C6DE59B" w14:textId="2F3733B2" w:rsidR="00F52AC0" w:rsidRPr="00C535AF" w:rsidRDefault="00F52AC0" w:rsidP="00F52AC0">
      <w:pPr>
        <w:pStyle w:val="Heading3"/>
        <w:suppressLineNumbers/>
        <w:suppressAutoHyphens/>
        <w:kinsoku w:val="0"/>
        <w:overflowPunct w:val="0"/>
        <w:autoSpaceDE w:val="0"/>
        <w:autoSpaceDN w:val="0"/>
        <w:spacing w:before="0"/>
        <w:rPr>
          <w:snapToGrid w:val="0"/>
          <w:kern w:val="22"/>
          <w:szCs w:val="22"/>
        </w:rPr>
      </w:pPr>
      <w:r>
        <w:rPr>
          <w:snapToGrid w:val="0"/>
        </w:rPr>
        <w:lastRenderedPageBreak/>
        <w:t>Anexo</w:t>
      </w:r>
    </w:p>
    <w:p w14:paraId="4F0E4FA3" w14:textId="5F8C4E05" w:rsidR="00F52AC0" w:rsidRPr="00C535AF" w:rsidRDefault="00F52AC0" w:rsidP="00F52AC0">
      <w:pPr>
        <w:pStyle w:val="HEADINGNOTFORTOC"/>
        <w:suppressLineNumbers/>
        <w:suppressAutoHyphens/>
        <w:kinsoku w:val="0"/>
        <w:overflowPunct w:val="0"/>
        <w:autoSpaceDE w:val="0"/>
        <w:autoSpaceDN w:val="0"/>
        <w:spacing w:before="120"/>
        <w:rPr>
          <w:snapToGrid w:val="0"/>
          <w:kern w:val="22"/>
          <w:szCs w:val="22"/>
        </w:rPr>
      </w:pPr>
      <w:r>
        <w:rPr>
          <w:snapToGrid w:val="0"/>
        </w:rPr>
        <w:t>LISTA PROVISIONAL DE DOCUMENTOS</w:t>
      </w:r>
    </w:p>
    <w:p w14:paraId="79ABCE79" w14:textId="3E2E4EE3" w:rsidR="22510821" w:rsidRPr="00914191" w:rsidRDefault="00F52AC0" w:rsidP="00DC63A8">
      <w:pPr>
        <w:pStyle w:val="Heading-plainbold"/>
        <w:keepNext/>
        <w:numPr>
          <w:ilvl w:val="2"/>
          <w:numId w:val="13"/>
        </w:numPr>
        <w:suppressLineNumbers/>
        <w:suppressAutoHyphens/>
        <w:kinsoku w:val="0"/>
        <w:overflowPunct w:val="0"/>
        <w:autoSpaceDE w:val="0"/>
        <w:autoSpaceDN w:val="0"/>
        <w:ind w:left="0" w:hanging="6"/>
        <w:rPr>
          <w:i w:val="0"/>
          <w:iCs/>
          <w:snapToGrid w:val="0"/>
          <w:kern w:val="22"/>
          <w:szCs w:val="22"/>
        </w:rPr>
      </w:pPr>
      <w:r>
        <w:rPr>
          <w:i w:val="0"/>
          <w:snapToGrid w:val="0"/>
        </w:rPr>
        <w:t xml:space="preserve">Documentos de trabajo </w:t>
      </w:r>
      <w:r>
        <w:rPr>
          <w:i w:val="0"/>
          <w:highlight w:val="yellow"/>
        </w:rPr>
        <w:t xml:space="preserve"> </w:t>
      </w:r>
    </w:p>
    <w:tbl>
      <w:tblPr>
        <w:tblW w:w="0" w:type="auto"/>
        <w:jc w:val="center"/>
        <w:tblLook w:val="04A0" w:firstRow="1" w:lastRow="0" w:firstColumn="1" w:lastColumn="0" w:noHBand="0" w:noVBand="1"/>
      </w:tblPr>
      <w:tblGrid>
        <w:gridCol w:w="2496"/>
        <w:gridCol w:w="5656"/>
        <w:gridCol w:w="1310"/>
      </w:tblGrid>
      <w:tr w:rsidR="00F52AC0" w:rsidRPr="00C535AF" w14:paraId="2948233D" w14:textId="77777777" w:rsidTr="00DC63A8">
        <w:trPr>
          <w:cantSplit/>
          <w:jc w:val="center"/>
        </w:trPr>
        <w:tc>
          <w:tcPr>
            <w:tcW w:w="0" w:type="auto"/>
            <w:shd w:val="clear" w:color="auto" w:fill="auto"/>
          </w:tcPr>
          <w:p w14:paraId="14F4AE47" w14:textId="77777777" w:rsidR="00F52AC0" w:rsidRPr="00C535AF" w:rsidRDefault="00F52AC0" w:rsidP="00914191">
            <w:pPr>
              <w:suppressLineNumbers/>
              <w:suppressAutoHyphens/>
              <w:kinsoku w:val="0"/>
              <w:overflowPunct w:val="0"/>
              <w:autoSpaceDE w:val="0"/>
              <w:autoSpaceDN w:val="0"/>
              <w:spacing w:before="120" w:after="40"/>
              <w:jc w:val="center"/>
              <w:rPr>
                <w:i/>
                <w:snapToGrid w:val="0"/>
                <w:kern w:val="22"/>
                <w:szCs w:val="22"/>
              </w:rPr>
            </w:pPr>
            <w:r>
              <w:rPr>
                <w:i/>
                <w:snapToGrid w:val="0"/>
              </w:rPr>
              <w:t>Signatura</w:t>
            </w:r>
          </w:p>
        </w:tc>
        <w:tc>
          <w:tcPr>
            <w:tcW w:w="0" w:type="auto"/>
            <w:shd w:val="clear" w:color="auto" w:fill="auto"/>
          </w:tcPr>
          <w:p w14:paraId="09CE8BC6" w14:textId="77777777" w:rsidR="00F52AC0" w:rsidRPr="00C535AF" w:rsidRDefault="00F52AC0" w:rsidP="00914191">
            <w:pPr>
              <w:suppressLineNumbers/>
              <w:suppressAutoHyphens/>
              <w:kinsoku w:val="0"/>
              <w:overflowPunct w:val="0"/>
              <w:autoSpaceDE w:val="0"/>
              <w:autoSpaceDN w:val="0"/>
              <w:spacing w:before="120" w:after="40"/>
              <w:jc w:val="center"/>
              <w:rPr>
                <w:i/>
                <w:snapToGrid w:val="0"/>
                <w:kern w:val="22"/>
                <w:szCs w:val="22"/>
              </w:rPr>
            </w:pPr>
            <w:r>
              <w:rPr>
                <w:i/>
                <w:snapToGrid w:val="0"/>
              </w:rPr>
              <w:t>Título</w:t>
            </w:r>
          </w:p>
        </w:tc>
        <w:tc>
          <w:tcPr>
            <w:tcW w:w="1310" w:type="dxa"/>
            <w:shd w:val="clear" w:color="auto" w:fill="auto"/>
          </w:tcPr>
          <w:p w14:paraId="53D4E453" w14:textId="77777777" w:rsidR="00F52AC0" w:rsidRPr="00C535AF" w:rsidRDefault="00F52AC0" w:rsidP="00914191">
            <w:pPr>
              <w:suppressLineNumbers/>
              <w:suppressAutoHyphens/>
              <w:kinsoku w:val="0"/>
              <w:overflowPunct w:val="0"/>
              <w:autoSpaceDE w:val="0"/>
              <w:autoSpaceDN w:val="0"/>
              <w:spacing w:before="120" w:after="40"/>
              <w:jc w:val="right"/>
              <w:rPr>
                <w:i/>
                <w:snapToGrid w:val="0"/>
                <w:kern w:val="22"/>
                <w:szCs w:val="22"/>
              </w:rPr>
            </w:pPr>
            <w:r>
              <w:rPr>
                <w:i/>
                <w:snapToGrid w:val="0"/>
              </w:rPr>
              <w:t>Tema(s) del programa</w:t>
            </w:r>
          </w:p>
        </w:tc>
      </w:tr>
      <w:tr w:rsidR="00F52AC0" w:rsidRPr="00C535AF" w14:paraId="3700E10C" w14:textId="77777777" w:rsidTr="00914191">
        <w:trPr>
          <w:cantSplit/>
          <w:jc w:val="center"/>
        </w:trPr>
        <w:tc>
          <w:tcPr>
            <w:tcW w:w="0" w:type="auto"/>
            <w:shd w:val="clear" w:color="auto" w:fill="auto"/>
          </w:tcPr>
          <w:p w14:paraId="4F7CA1E4" w14:textId="2FEB81CB"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CBD/NP/MOP/4/1/Rev.1</w:t>
            </w:r>
          </w:p>
        </w:tc>
        <w:tc>
          <w:tcPr>
            <w:tcW w:w="0" w:type="auto"/>
            <w:shd w:val="clear" w:color="auto" w:fill="auto"/>
          </w:tcPr>
          <w:p w14:paraId="7B5B93A6" w14:textId="77777777" w:rsidR="00F52AC0" w:rsidRPr="00C535AF" w:rsidRDefault="00F52AC0" w:rsidP="00914191">
            <w:pPr>
              <w:suppressLineNumbers/>
              <w:tabs>
                <w:tab w:val="left" w:pos="3305"/>
              </w:tabs>
              <w:suppressAutoHyphens/>
              <w:kinsoku w:val="0"/>
              <w:overflowPunct w:val="0"/>
              <w:autoSpaceDE w:val="0"/>
              <w:autoSpaceDN w:val="0"/>
              <w:spacing w:before="120" w:after="40"/>
              <w:jc w:val="left"/>
              <w:rPr>
                <w:snapToGrid w:val="0"/>
                <w:kern w:val="22"/>
                <w:szCs w:val="22"/>
              </w:rPr>
            </w:pPr>
            <w:r>
              <w:rPr>
                <w:snapToGrid w:val="0"/>
              </w:rPr>
              <w:t>Programa provisional</w:t>
            </w:r>
          </w:p>
        </w:tc>
        <w:tc>
          <w:tcPr>
            <w:tcW w:w="1310" w:type="dxa"/>
            <w:shd w:val="clear" w:color="auto" w:fill="auto"/>
          </w:tcPr>
          <w:p w14:paraId="033C2FC2" w14:textId="77777777" w:rsidR="00F52AC0" w:rsidRPr="00C535AF" w:rsidRDefault="00F52AC0" w:rsidP="00914191">
            <w:pPr>
              <w:suppressLineNumbers/>
              <w:suppressAutoHyphens/>
              <w:kinsoku w:val="0"/>
              <w:overflowPunct w:val="0"/>
              <w:autoSpaceDE w:val="0"/>
              <w:autoSpaceDN w:val="0"/>
              <w:spacing w:before="120" w:after="40"/>
              <w:jc w:val="right"/>
              <w:rPr>
                <w:snapToGrid w:val="0"/>
                <w:kern w:val="22"/>
                <w:szCs w:val="22"/>
              </w:rPr>
            </w:pPr>
            <w:r>
              <w:rPr>
                <w:snapToGrid w:val="0"/>
              </w:rPr>
              <w:t>2</w:t>
            </w:r>
          </w:p>
        </w:tc>
      </w:tr>
      <w:tr w:rsidR="00F52AC0" w:rsidRPr="00C535AF" w14:paraId="621B722F" w14:textId="77777777" w:rsidTr="00914191">
        <w:trPr>
          <w:cantSplit/>
          <w:jc w:val="center"/>
        </w:trPr>
        <w:tc>
          <w:tcPr>
            <w:tcW w:w="0" w:type="auto"/>
            <w:shd w:val="clear" w:color="auto" w:fill="auto"/>
          </w:tcPr>
          <w:p w14:paraId="37C64C59" w14:textId="267B2A96"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CBD/NP/MOP/4/1/Add.1</w:t>
            </w:r>
          </w:p>
        </w:tc>
        <w:tc>
          <w:tcPr>
            <w:tcW w:w="0" w:type="auto"/>
            <w:shd w:val="clear" w:color="auto" w:fill="auto"/>
          </w:tcPr>
          <w:p w14:paraId="4D6BCBA5" w14:textId="7CA83597" w:rsidR="00F52AC0" w:rsidRPr="00C535AF" w:rsidRDefault="00CB3AFF" w:rsidP="00914191">
            <w:pPr>
              <w:suppressLineNumbers/>
              <w:suppressAutoHyphens/>
              <w:kinsoku w:val="0"/>
              <w:overflowPunct w:val="0"/>
              <w:autoSpaceDE w:val="0"/>
              <w:autoSpaceDN w:val="0"/>
              <w:spacing w:before="120" w:after="40"/>
              <w:jc w:val="left"/>
              <w:rPr>
                <w:snapToGrid w:val="0"/>
                <w:kern w:val="22"/>
                <w:szCs w:val="22"/>
              </w:rPr>
            </w:pPr>
            <w:r>
              <w:rPr>
                <w:snapToGrid w:val="0"/>
              </w:rPr>
              <w:t>Programa provisional anotado (parte I)</w:t>
            </w:r>
          </w:p>
        </w:tc>
        <w:tc>
          <w:tcPr>
            <w:tcW w:w="1310" w:type="dxa"/>
            <w:shd w:val="clear" w:color="auto" w:fill="auto"/>
          </w:tcPr>
          <w:p w14:paraId="3B706690" w14:textId="77777777" w:rsidR="00F52AC0" w:rsidRPr="00C535AF" w:rsidRDefault="00F52AC0" w:rsidP="00914191">
            <w:pPr>
              <w:suppressLineNumbers/>
              <w:suppressAutoHyphens/>
              <w:kinsoku w:val="0"/>
              <w:overflowPunct w:val="0"/>
              <w:autoSpaceDE w:val="0"/>
              <w:autoSpaceDN w:val="0"/>
              <w:spacing w:before="120" w:after="40"/>
              <w:jc w:val="right"/>
              <w:rPr>
                <w:snapToGrid w:val="0"/>
                <w:kern w:val="22"/>
                <w:szCs w:val="22"/>
              </w:rPr>
            </w:pPr>
            <w:r>
              <w:rPr>
                <w:snapToGrid w:val="0"/>
              </w:rPr>
              <w:t>2</w:t>
            </w:r>
          </w:p>
        </w:tc>
      </w:tr>
      <w:tr w:rsidR="00F52AC0" w:rsidRPr="00C535AF" w14:paraId="16887777" w14:textId="77777777" w:rsidTr="00914191">
        <w:trPr>
          <w:cantSplit/>
          <w:jc w:val="center"/>
        </w:trPr>
        <w:tc>
          <w:tcPr>
            <w:tcW w:w="0" w:type="auto"/>
            <w:shd w:val="clear" w:color="auto" w:fill="auto"/>
          </w:tcPr>
          <w:p w14:paraId="51F8670A" w14:textId="5E1D7523"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CBD/NP/MOP/4/1/Add.2</w:t>
            </w:r>
          </w:p>
        </w:tc>
        <w:tc>
          <w:tcPr>
            <w:tcW w:w="0" w:type="auto"/>
            <w:shd w:val="clear" w:color="auto" w:fill="auto"/>
          </w:tcPr>
          <w:p w14:paraId="4195CF09" w14:textId="3A71BABD" w:rsidR="00F52AC0" w:rsidRPr="00C535AF" w:rsidRDefault="00491AA2" w:rsidP="00914191">
            <w:pPr>
              <w:suppressLineNumbers/>
              <w:suppressAutoHyphens/>
              <w:kinsoku w:val="0"/>
              <w:overflowPunct w:val="0"/>
              <w:autoSpaceDE w:val="0"/>
              <w:autoSpaceDN w:val="0"/>
              <w:spacing w:before="120" w:after="40"/>
              <w:jc w:val="left"/>
              <w:rPr>
                <w:snapToGrid w:val="0"/>
                <w:kern w:val="22"/>
                <w:szCs w:val="22"/>
              </w:rPr>
            </w:pPr>
            <w:r>
              <w:rPr>
                <w:snapToGrid w:val="0"/>
              </w:rPr>
              <w:t>Propuesta de organización de los trabajos (parte I)</w:t>
            </w:r>
          </w:p>
        </w:tc>
        <w:tc>
          <w:tcPr>
            <w:tcW w:w="1310" w:type="dxa"/>
            <w:shd w:val="clear" w:color="auto" w:fill="auto"/>
          </w:tcPr>
          <w:p w14:paraId="2B347565" w14:textId="623227ED" w:rsidR="00F52AC0" w:rsidRPr="00C535AF" w:rsidRDefault="00A54144" w:rsidP="00914191">
            <w:pPr>
              <w:suppressLineNumbers/>
              <w:suppressAutoHyphens/>
              <w:kinsoku w:val="0"/>
              <w:overflowPunct w:val="0"/>
              <w:autoSpaceDE w:val="0"/>
              <w:autoSpaceDN w:val="0"/>
              <w:spacing w:before="120" w:after="40"/>
              <w:jc w:val="right"/>
              <w:rPr>
                <w:snapToGrid w:val="0"/>
                <w:kern w:val="22"/>
                <w:szCs w:val="22"/>
              </w:rPr>
            </w:pPr>
            <w:r>
              <w:rPr>
                <w:snapToGrid w:val="0"/>
              </w:rPr>
              <w:t>2</w:t>
            </w:r>
          </w:p>
        </w:tc>
      </w:tr>
      <w:tr w:rsidR="00F52AC0" w:rsidRPr="00C535AF" w14:paraId="0C605DD8" w14:textId="77777777" w:rsidTr="00914191">
        <w:trPr>
          <w:cantSplit/>
          <w:jc w:val="center"/>
        </w:trPr>
        <w:tc>
          <w:tcPr>
            <w:tcW w:w="0" w:type="auto"/>
            <w:shd w:val="clear" w:color="auto" w:fill="auto"/>
          </w:tcPr>
          <w:p w14:paraId="0C5BC68F" w14:textId="26E900D5" w:rsidR="00F52AC0" w:rsidRPr="00C535AF" w:rsidRDefault="00A54144"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CBD/NP/MOP/4/1/Add.3</w:t>
            </w:r>
          </w:p>
        </w:tc>
        <w:tc>
          <w:tcPr>
            <w:tcW w:w="0" w:type="auto"/>
            <w:shd w:val="clear" w:color="auto" w:fill="auto"/>
          </w:tcPr>
          <w:p w14:paraId="37DD0383" w14:textId="0F11A3D2" w:rsidR="00F52AC0" w:rsidRPr="00C535AF" w:rsidRDefault="00CB3AFF" w:rsidP="00914191">
            <w:pPr>
              <w:suppressLineNumbers/>
              <w:suppressAutoHyphens/>
              <w:kinsoku w:val="0"/>
              <w:overflowPunct w:val="0"/>
              <w:autoSpaceDE w:val="0"/>
              <w:autoSpaceDN w:val="0"/>
              <w:spacing w:before="120" w:after="40"/>
              <w:jc w:val="left"/>
              <w:rPr>
                <w:snapToGrid w:val="0"/>
                <w:kern w:val="22"/>
                <w:szCs w:val="22"/>
              </w:rPr>
            </w:pPr>
            <w:r>
              <w:rPr>
                <w:snapToGrid w:val="0"/>
              </w:rPr>
              <w:t>Anotaciones al programa (parte II)</w:t>
            </w:r>
          </w:p>
        </w:tc>
        <w:tc>
          <w:tcPr>
            <w:tcW w:w="1310" w:type="dxa"/>
            <w:shd w:val="clear" w:color="auto" w:fill="auto"/>
          </w:tcPr>
          <w:p w14:paraId="34DC8ED5" w14:textId="393295D3" w:rsidR="00F52AC0" w:rsidRPr="00C535AF" w:rsidRDefault="00A54144" w:rsidP="00914191">
            <w:pPr>
              <w:suppressLineNumbers/>
              <w:suppressAutoHyphens/>
              <w:kinsoku w:val="0"/>
              <w:overflowPunct w:val="0"/>
              <w:autoSpaceDE w:val="0"/>
              <w:autoSpaceDN w:val="0"/>
              <w:spacing w:before="120" w:after="40"/>
              <w:jc w:val="right"/>
              <w:rPr>
                <w:snapToGrid w:val="0"/>
                <w:kern w:val="22"/>
                <w:szCs w:val="22"/>
              </w:rPr>
            </w:pPr>
            <w:r>
              <w:rPr>
                <w:snapToGrid w:val="0"/>
              </w:rPr>
              <w:t>2</w:t>
            </w:r>
          </w:p>
        </w:tc>
      </w:tr>
      <w:tr w:rsidR="00F52AC0" w:rsidRPr="00C535AF" w14:paraId="2AAFC168" w14:textId="77777777" w:rsidTr="00914191">
        <w:trPr>
          <w:cantSplit/>
          <w:jc w:val="center"/>
        </w:trPr>
        <w:tc>
          <w:tcPr>
            <w:tcW w:w="0" w:type="auto"/>
            <w:shd w:val="clear" w:color="auto" w:fill="auto"/>
          </w:tcPr>
          <w:p w14:paraId="67FCE07D" w14:textId="0685C3C1" w:rsidR="00F52AC0" w:rsidRPr="00C535AF" w:rsidRDefault="00A54144"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CBD/NP/MOP/4/1/Add.4</w:t>
            </w:r>
          </w:p>
        </w:tc>
        <w:tc>
          <w:tcPr>
            <w:tcW w:w="0" w:type="auto"/>
            <w:shd w:val="clear" w:color="auto" w:fill="auto"/>
          </w:tcPr>
          <w:p w14:paraId="6B3CFE03" w14:textId="3920E7B4" w:rsidR="00F52AC0" w:rsidRPr="00C535AF" w:rsidRDefault="005826E1" w:rsidP="00914191">
            <w:pPr>
              <w:suppressLineNumbers/>
              <w:suppressAutoHyphens/>
              <w:kinsoku w:val="0"/>
              <w:overflowPunct w:val="0"/>
              <w:autoSpaceDE w:val="0"/>
              <w:autoSpaceDN w:val="0"/>
              <w:spacing w:before="120" w:after="40"/>
              <w:jc w:val="left"/>
              <w:rPr>
                <w:snapToGrid w:val="0"/>
                <w:kern w:val="22"/>
                <w:szCs w:val="22"/>
              </w:rPr>
            </w:pPr>
            <w:r>
              <w:rPr>
                <w:snapToGrid w:val="0"/>
              </w:rPr>
              <w:t>Propuesta de organización de los trabajos (parte II)</w:t>
            </w:r>
          </w:p>
        </w:tc>
        <w:tc>
          <w:tcPr>
            <w:tcW w:w="1310" w:type="dxa"/>
            <w:shd w:val="clear" w:color="auto" w:fill="auto"/>
          </w:tcPr>
          <w:p w14:paraId="1DE9BACB" w14:textId="5EEE5BEB" w:rsidR="00F52AC0" w:rsidRPr="00C535AF" w:rsidRDefault="00F52AC0" w:rsidP="00914191">
            <w:pPr>
              <w:suppressLineNumbers/>
              <w:suppressAutoHyphens/>
              <w:kinsoku w:val="0"/>
              <w:overflowPunct w:val="0"/>
              <w:autoSpaceDE w:val="0"/>
              <w:autoSpaceDN w:val="0"/>
              <w:spacing w:before="120" w:after="40"/>
              <w:jc w:val="right"/>
              <w:rPr>
                <w:snapToGrid w:val="0"/>
                <w:kern w:val="22"/>
                <w:szCs w:val="22"/>
              </w:rPr>
            </w:pPr>
            <w:r>
              <w:rPr>
                <w:snapToGrid w:val="0"/>
              </w:rPr>
              <w:t>2</w:t>
            </w:r>
          </w:p>
        </w:tc>
      </w:tr>
      <w:tr w:rsidR="00412C14" w:rsidRPr="00C535AF" w14:paraId="0A51B89B" w14:textId="77777777" w:rsidTr="00914191">
        <w:trPr>
          <w:cantSplit/>
          <w:jc w:val="center"/>
        </w:trPr>
        <w:tc>
          <w:tcPr>
            <w:tcW w:w="0" w:type="auto"/>
            <w:shd w:val="clear" w:color="auto" w:fill="auto"/>
          </w:tcPr>
          <w:p w14:paraId="55286304" w14:textId="7BFC08CB" w:rsidR="00412C14" w:rsidRPr="00C535AF" w:rsidRDefault="00412C14" w:rsidP="00914191">
            <w:pPr>
              <w:suppressLineNumbers/>
              <w:suppressAutoHyphens/>
              <w:kinsoku w:val="0"/>
              <w:overflowPunct w:val="0"/>
              <w:autoSpaceDE w:val="0"/>
              <w:autoSpaceDN w:val="0"/>
              <w:spacing w:before="120" w:after="40"/>
              <w:jc w:val="left"/>
              <w:rPr>
                <w:snapToGrid w:val="0"/>
                <w:color w:val="000000"/>
                <w:kern w:val="22"/>
              </w:rPr>
            </w:pPr>
            <w:r>
              <w:rPr>
                <w:snapToGrid w:val="0"/>
              </w:rPr>
              <w:t>CBD/NP/MOP/4/1/Add.5</w:t>
            </w:r>
          </w:p>
        </w:tc>
        <w:tc>
          <w:tcPr>
            <w:tcW w:w="0" w:type="auto"/>
            <w:shd w:val="clear" w:color="auto" w:fill="auto"/>
          </w:tcPr>
          <w:p w14:paraId="096B6D4B" w14:textId="70A06856" w:rsidR="00412C14" w:rsidRPr="00C535AF" w:rsidRDefault="00B05C70" w:rsidP="00914191">
            <w:pPr>
              <w:suppressLineNumbers/>
              <w:suppressAutoHyphens/>
              <w:kinsoku w:val="0"/>
              <w:overflowPunct w:val="0"/>
              <w:autoSpaceDE w:val="0"/>
              <w:autoSpaceDN w:val="0"/>
              <w:spacing w:before="120" w:after="40"/>
              <w:jc w:val="left"/>
              <w:rPr>
                <w:snapToGrid w:val="0"/>
                <w:color w:val="000000"/>
                <w:kern w:val="22"/>
              </w:rPr>
            </w:pPr>
            <w:r>
              <w:rPr>
                <w:snapToGrid w:val="0"/>
              </w:rPr>
              <w:t>Reco</w:t>
            </w:r>
            <w:r w:rsidR="00412C14">
              <w:rPr>
                <w:snapToGrid w:val="0"/>
              </w:rPr>
              <w:t>pilación de proyectos de decisión</w:t>
            </w:r>
          </w:p>
        </w:tc>
        <w:tc>
          <w:tcPr>
            <w:tcW w:w="1310" w:type="dxa"/>
            <w:shd w:val="clear" w:color="auto" w:fill="auto"/>
          </w:tcPr>
          <w:p w14:paraId="794C9735" w14:textId="77777777" w:rsidR="00412C14" w:rsidRPr="00B122DA" w:rsidRDefault="00412C14" w:rsidP="00914191">
            <w:pPr>
              <w:suppressLineNumbers/>
              <w:suppressAutoHyphens/>
              <w:kinsoku w:val="0"/>
              <w:overflowPunct w:val="0"/>
              <w:autoSpaceDE w:val="0"/>
              <w:autoSpaceDN w:val="0"/>
              <w:spacing w:before="120" w:after="40"/>
              <w:jc w:val="right"/>
              <w:rPr>
                <w:snapToGrid w:val="0"/>
                <w:color w:val="000000"/>
                <w:kern w:val="22"/>
                <w:lang w:val="es-UY"/>
              </w:rPr>
            </w:pPr>
          </w:p>
        </w:tc>
      </w:tr>
      <w:tr w:rsidR="00F52AC0" w:rsidRPr="00C535AF" w14:paraId="199645A0" w14:textId="77777777" w:rsidTr="00914191">
        <w:trPr>
          <w:cantSplit/>
          <w:jc w:val="center"/>
        </w:trPr>
        <w:tc>
          <w:tcPr>
            <w:tcW w:w="0" w:type="auto"/>
            <w:shd w:val="clear" w:color="auto" w:fill="auto"/>
          </w:tcPr>
          <w:p w14:paraId="6C2F56A3" w14:textId="049CC7BD"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color w:val="000000"/>
              </w:rPr>
              <w:t>CBD/WG2020/1/5</w:t>
            </w:r>
          </w:p>
        </w:tc>
        <w:tc>
          <w:tcPr>
            <w:tcW w:w="0" w:type="auto"/>
            <w:shd w:val="clear" w:color="auto" w:fill="auto"/>
          </w:tcPr>
          <w:p w14:paraId="6F1BA80B" w14:textId="2EF7C739" w:rsidR="00F52AC0" w:rsidRPr="00C535AF" w:rsidRDefault="00F52AC0" w:rsidP="00914191">
            <w:pPr>
              <w:suppressLineNumbers/>
              <w:suppressAutoHyphens/>
              <w:kinsoku w:val="0"/>
              <w:overflowPunct w:val="0"/>
              <w:autoSpaceDE w:val="0"/>
              <w:autoSpaceDN w:val="0"/>
              <w:spacing w:before="120" w:after="40"/>
              <w:jc w:val="left"/>
              <w:rPr>
                <w:snapToGrid w:val="0"/>
                <w:kern w:val="22"/>
                <w:szCs w:val="22"/>
              </w:rPr>
            </w:pPr>
            <w:r>
              <w:rPr>
                <w:snapToGrid w:val="0"/>
                <w:color w:val="000000"/>
              </w:rPr>
              <w:t xml:space="preserve">Informe </w:t>
            </w:r>
            <w:r w:rsidR="00586D42">
              <w:rPr>
                <w:snapToGrid w:val="0"/>
                <w:color w:val="000000"/>
              </w:rPr>
              <w:t xml:space="preserve">de la primera reunión </w:t>
            </w:r>
            <w:r>
              <w:rPr>
                <w:snapToGrid w:val="0"/>
                <w:color w:val="000000"/>
              </w:rPr>
              <w:t>del Grupo de Trabajo de Composición Abierta sobre el marco mundial de la diversidad biológica posterior a 2020</w:t>
            </w:r>
          </w:p>
        </w:tc>
        <w:tc>
          <w:tcPr>
            <w:tcW w:w="1310" w:type="dxa"/>
            <w:shd w:val="clear" w:color="auto" w:fill="auto"/>
          </w:tcPr>
          <w:p w14:paraId="130A9F84" w14:textId="4BBFE6C3" w:rsidR="00F52AC0" w:rsidRPr="00C535AF" w:rsidRDefault="00BA6A08" w:rsidP="00914191">
            <w:pPr>
              <w:suppressLineNumbers/>
              <w:suppressAutoHyphens/>
              <w:kinsoku w:val="0"/>
              <w:overflowPunct w:val="0"/>
              <w:autoSpaceDE w:val="0"/>
              <w:autoSpaceDN w:val="0"/>
              <w:spacing w:before="120" w:after="40"/>
              <w:jc w:val="right"/>
              <w:rPr>
                <w:snapToGrid w:val="0"/>
                <w:kern w:val="22"/>
                <w:szCs w:val="22"/>
              </w:rPr>
            </w:pPr>
            <w:r>
              <w:rPr>
                <w:snapToGrid w:val="0"/>
              </w:rPr>
              <w:t>4 &amp; 13</w:t>
            </w:r>
          </w:p>
        </w:tc>
      </w:tr>
      <w:tr w:rsidR="00DB627C" w:rsidRPr="00C535AF" w14:paraId="60245E13" w14:textId="77777777" w:rsidTr="00914191">
        <w:trPr>
          <w:cantSplit/>
          <w:jc w:val="center"/>
        </w:trPr>
        <w:tc>
          <w:tcPr>
            <w:tcW w:w="0" w:type="auto"/>
            <w:shd w:val="clear" w:color="auto" w:fill="auto"/>
          </w:tcPr>
          <w:p w14:paraId="0AC41173" w14:textId="6F1CB2FC" w:rsidR="00DB627C" w:rsidRPr="00C535AF" w:rsidRDefault="00DB627C"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CBD/WG2020/2/4</w:t>
            </w:r>
          </w:p>
        </w:tc>
        <w:tc>
          <w:tcPr>
            <w:tcW w:w="0" w:type="auto"/>
            <w:shd w:val="clear" w:color="auto" w:fill="auto"/>
          </w:tcPr>
          <w:p w14:paraId="1EDE3163" w14:textId="1ED22C29" w:rsidR="00DB627C" w:rsidRPr="00C535AF" w:rsidRDefault="003D02E0"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Informe de la segunda reunión del Grupo de Trabajo de Composición Abierta sobre el marco mundial de la diversidad biológica posterior a 2020</w:t>
            </w:r>
          </w:p>
        </w:tc>
        <w:tc>
          <w:tcPr>
            <w:tcW w:w="1310" w:type="dxa"/>
            <w:shd w:val="clear" w:color="auto" w:fill="auto"/>
          </w:tcPr>
          <w:p w14:paraId="4D1956D1" w14:textId="4CE61151" w:rsidR="00DB627C" w:rsidRDefault="00A45F7C" w:rsidP="00914191">
            <w:pPr>
              <w:suppressLineNumbers/>
              <w:suppressAutoHyphens/>
              <w:kinsoku w:val="0"/>
              <w:overflowPunct w:val="0"/>
              <w:autoSpaceDE w:val="0"/>
              <w:autoSpaceDN w:val="0"/>
              <w:spacing w:before="120" w:after="40"/>
              <w:jc w:val="right"/>
              <w:rPr>
                <w:snapToGrid w:val="0"/>
                <w:color w:val="000000"/>
                <w:kern w:val="22"/>
              </w:rPr>
            </w:pPr>
            <w:r>
              <w:rPr>
                <w:snapToGrid w:val="0"/>
              </w:rPr>
              <w:t>4 &amp; 13</w:t>
            </w:r>
          </w:p>
        </w:tc>
      </w:tr>
      <w:tr w:rsidR="002E25B9" w:rsidRPr="00C535AF" w14:paraId="01D8AB50" w14:textId="77777777" w:rsidTr="00914191">
        <w:trPr>
          <w:cantSplit/>
          <w:jc w:val="center"/>
        </w:trPr>
        <w:tc>
          <w:tcPr>
            <w:tcW w:w="0" w:type="auto"/>
            <w:shd w:val="clear" w:color="auto" w:fill="auto"/>
          </w:tcPr>
          <w:p w14:paraId="5162F818" w14:textId="6A2DAC39" w:rsidR="002E25B9" w:rsidRDefault="00391C88"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CBD/WG2020/3/5</w:t>
            </w:r>
          </w:p>
        </w:tc>
        <w:tc>
          <w:tcPr>
            <w:tcW w:w="0" w:type="auto"/>
            <w:shd w:val="clear" w:color="auto" w:fill="auto"/>
          </w:tcPr>
          <w:p w14:paraId="5CD48C81" w14:textId="2BE6C767" w:rsidR="002E25B9" w:rsidRPr="00C535AF" w:rsidRDefault="00FD32A8" w:rsidP="00FD32A8">
            <w:pPr>
              <w:suppressLineNumbers/>
              <w:suppressAutoHyphens/>
              <w:kinsoku w:val="0"/>
              <w:overflowPunct w:val="0"/>
              <w:autoSpaceDE w:val="0"/>
              <w:autoSpaceDN w:val="0"/>
              <w:spacing w:before="120" w:after="40"/>
              <w:rPr>
                <w:snapToGrid w:val="0"/>
                <w:color w:val="000000"/>
                <w:kern w:val="22"/>
              </w:rPr>
            </w:pPr>
            <w:r>
              <w:rPr>
                <w:snapToGrid w:val="0"/>
                <w:color w:val="000000"/>
              </w:rPr>
              <w:t>Informe de la primera parte de la tercera reunión del Grupo de Trabajo de Composición Abierta sobre el marco mundial de la diversidad biológica posterior a 2020</w:t>
            </w:r>
          </w:p>
        </w:tc>
        <w:tc>
          <w:tcPr>
            <w:tcW w:w="1310" w:type="dxa"/>
            <w:shd w:val="clear" w:color="auto" w:fill="auto"/>
          </w:tcPr>
          <w:p w14:paraId="611F1E42" w14:textId="77777777" w:rsidR="002E25B9" w:rsidRPr="00B122DA" w:rsidRDefault="002E25B9" w:rsidP="00914191">
            <w:pPr>
              <w:suppressLineNumbers/>
              <w:suppressAutoHyphens/>
              <w:kinsoku w:val="0"/>
              <w:overflowPunct w:val="0"/>
              <w:autoSpaceDE w:val="0"/>
              <w:autoSpaceDN w:val="0"/>
              <w:spacing w:before="120" w:after="40"/>
              <w:jc w:val="right"/>
              <w:rPr>
                <w:snapToGrid w:val="0"/>
                <w:kern w:val="22"/>
                <w:szCs w:val="22"/>
                <w:lang w:val="es-UY"/>
              </w:rPr>
            </w:pPr>
          </w:p>
        </w:tc>
      </w:tr>
      <w:tr w:rsidR="00DD4202" w:rsidRPr="00C535AF" w14:paraId="33EF09E4" w14:textId="77777777" w:rsidTr="00914191">
        <w:trPr>
          <w:cantSplit/>
          <w:jc w:val="center"/>
        </w:trPr>
        <w:tc>
          <w:tcPr>
            <w:tcW w:w="0" w:type="auto"/>
            <w:shd w:val="clear" w:color="auto" w:fill="auto"/>
          </w:tcPr>
          <w:p w14:paraId="26274F0B" w14:textId="4A1D198B" w:rsidR="00DD4202" w:rsidRPr="00391C88" w:rsidRDefault="00DD4202"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CBD/WG2020/3/7</w:t>
            </w:r>
          </w:p>
        </w:tc>
        <w:tc>
          <w:tcPr>
            <w:tcW w:w="0" w:type="auto"/>
            <w:shd w:val="clear" w:color="auto" w:fill="auto"/>
          </w:tcPr>
          <w:p w14:paraId="4D102473" w14:textId="02A53EF6" w:rsidR="00DD4202" w:rsidRPr="00FD32A8" w:rsidRDefault="00DD4202" w:rsidP="00DD4202">
            <w:pPr>
              <w:suppressLineNumbers/>
              <w:suppressAutoHyphens/>
              <w:kinsoku w:val="0"/>
              <w:overflowPunct w:val="0"/>
              <w:autoSpaceDE w:val="0"/>
              <w:autoSpaceDN w:val="0"/>
              <w:spacing w:before="120" w:after="40"/>
              <w:rPr>
                <w:snapToGrid w:val="0"/>
                <w:color w:val="000000"/>
                <w:kern w:val="22"/>
              </w:rPr>
            </w:pPr>
            <w:r>
              <w:rPr>
                <w:snapToGrid w:val="0"/>
                <w:color w:val="000000"/>
              </w:rPr>
              <w:t>Informe de la tercera reunión del Grupo de Trabajo de Composición Abierta sobre el marco mundial de la diversidad biológica posterior a 2020</w:t>
            </w:r>
          </w:p>
        </w:tc>
        <w:tc>
          <w:tcPr>
            <w:tcW w:w="1310" w:type="dxa"/>
            <w:shd w:val="clear" w:color="auto" w:fill="auto"/>
          </w:tcPr>
          <w:p w14:paraId="7F53263E" w14:textId="77777777" w:rsidR="00DD4202" w:rsidRPr="00B122DA" w:rsidRDefault="00DD4202" w:rsidP="00914191">
            <w:pPr>
              <w:suppressLineNumbers/>
              <w:suppressAutoHyphens/>
              <w:kinsoku w:val="0"/>
              <w:overflowPunct w:val="0"/>
              <w:autoSpaceDE w:val="0"/>
              <w:autoSpaceDN w:val="0"/>
              <w:spacing w:before="120" w:after="40"/>
              <w:jc w:val="right"/>
              <w:rPr>
                <w:snapToGrid w:val="0"/>
                <w:kern w:val="22"/>
                <w:szCs w:val="22"/>
                <w:lang w:val="es-UY"/>
              </w:rPr>
            </w:pPr>
          </w:p>
        </w:tc>
      </w:tr>
      <w:tr w:rsidR="00586E61" w:rsidRPr="00C535AF" w14:paraId="322147C1" w14:textId="77777777" w:rsidTr="00914191">
        <w:trPr>
          <w:cantSplit/>
          <w:jc w:val="center"/>
        </w:trPr>
        <w:tc>
          <w:tcPr>
            <w:tcW w:w="0" w:type="auto"/>
            <w:shd w:val="clear" w:color="auto" w:fill="auto"/>
          </w:tcPr>
          <w:p w14:paraId="4071D252" w14:textId="46749C84" w:rsidR="00586E61" w:rsidRPr="00DD4202" w:rsidRDefault="00186EBA"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CBD/WG2020/4/4</w:t>
            </w:r>
          </w:p>
        </w:tc>
        <w:tc>
          <w:tcPr>
            <w:tcW w:w="0" w:type="auto"/>
            <w:shd w:val="clear" w:color="auto" w:fill="auto"/>
          </w:tcPr>
          <w:p w14:paraId="699E6EAD" w14:textId="2F3A2999" w:rsidR="00586E61" w:rsidRPr="00DD4202" w:rsidRDefault="00186EBA" w:rsidP="00186EBA">
            <w:pPr>
              <w:suppressLineNumbers/>
              <w:suppressAutoHyphens/>
              <w:kinsoku w:val="0"/>
              <w:overflowPunct w:val="0"/>
              <w:autoSpaceDE w:val="0"/>
              <w:autoSpaceDN w:val="0"/>
              <w:spacing w:before="120" w:after="40"/>
              <w:rPr>
                <w:snapToGrid w:val="0"/>
                <w:color w:val="000000"/>
                <w:kern w:val="22"/>
              </w:rPr>
            </w:pPr>
            <w:r>
              <w:rPr>
                <w:snapToGrid w:val="0"/>
                <w:color w:val="000000"/>
              </w:rPr>
              <w:t>Informe de la cuarta reunión del Grupo de Trabajo de Composición Abierta sobre el marco mundial de la diversidad biológica posterior a 2020</w:t>
            </w:r>
          </w:p>
        </w:tc>
        <w:tc>
          <w:tcPr>
            <w:tcW w:w="1310" w:type="dxa"/>
            <w:shd w:val="clear" w:color="auto" w:fill="auto"/>
          </w:tcPr>
          <w:p w14:paraId="7E08C959" w14:textId="77777777" w:rsidR="00586E61" w:rsidRPr="00B122DA" w:rsidRDefault="00586E61" w:rsidP="00914191">
            <w:pPr>
              <w:suppressLineNumbers/>
              <w:suppressAutoHyphens/>
              <w:kinsoku w:val="0"/>
              <w:overflowPunct w:val="0"/>
              <w:autoSpaceDE w:val="0"/>
              <w:autoSpaceDN w:val="0"/>
              <w:spacing w:before="120" w:after="40"/>
              <w:jc w:val="right"/>
              <w:rPr>
                <w:snapToGrid w:val="0"/>
                <w:kern w:val="22"/>
                <w:szCs w:val="22"/>
                <w:lang w:val="es-UY"/>
              </w:rPr>
            </w:pPr>
          </w:p>
        </w:tc>
      </w:tr>
      <w:tr w:rsidR="004C2271" w:rsidRPr="00C535AF" w14:paraId="7A078741" w14:textId="77777777" w:rsidTr="00914191">
        <w:trPr>
          <w:cantSplit/>
          <w:jc w:val="center"/>
        </w:trPr>
        <w:tc>
          <w:tcPr>
            <w:tcW w:w="0" w:type="auto"/>
            <w:shd w:val="clear" w:color="auto" w:fill="auto"/>
          </w:tcPr>
          <w:p w14:paraId="55A283C0" w14:textId="2D389557" w:rsidR="004C2271" w:rsidRPr="00186EBA" w:rsidRDefault="004C2271"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CBD/SBSTTA/24/12</w:t>
            </w:r>
          </w:p>
        </w:tc>
        <w:tc>
          <w:tcPr>
            <w:tcW w:w="0" w:type="auto"/>
            <w:shd w:val="clear" w:color="auto" w:fill="auto"/>
          </w:tcPr>
          <w:p w14:paraId="56A55010" w14:textId="018702C0" w:rsidR="004C2271" w:rsidRPr="00186EBA" w:rsidRDefault="004C2271" w:rsidP="004C2271">
            <w:pPr>
              <w:suppressLineNumbers/>
              <w:suppressAutoHyphens/>
              <w:kinsoku w:val="0"/>
              <w:overflowPunct w:val="0"/>
              <w:autoSpaceDE w:val="0"/>
              <w:autoSpaceDN w:val="0"/>
              <w:spacing w:before="120" w:after="40"/>
              <w:rPr>
                <w:snapToGrid w:val="0"/>
                <w:color w:val="000000"/>
                <w:kern w:val="22"/>
              </w:rPr>
            </w:pPr>
            <w:r>
              <w:rPr>
                <w:snapToGrid w:val="0"/>
                <w:color w:val="000000"/>
              </w:rPr>
              <w:t>Informe</w:t>
            </w:r>
            <w:r w:rsidR="000F38AF">
              <w:rPr>
                <w:snapToGrid w:val="0"/>
                <w:color w:val="000000"/>
              </w:rPr>
              <w:t xml:space="preserve"> de la 24ª reunión</w:t>
            </w:r>
            <w:r>
              <w:rPr>
                <w:snapToGrid w:val="0"/>
                <w:color w:val="000000"/>
              </w:rPr>
              <w:t xml:space="preserve"> del Órgano Subsidiario de Asesoramiento Científico, Técnico y Tecnológico</w:t>
            </w:r>
          </w:p>
        </w:tc>
        <w:tc>
          <w:tcPr>
            <w:tcW w:w="1310" w:type="dxa"/>
            <w:shd w:val="clear" w:color="auto" w:fill="auto"/>
          </w:tcPr>
          <w:p w14:paraId="1EFD648F" w14:textId="77777777" w:rsidR="004C2271" w:rsidRPr="00B122DA" w:rsidRDefault="004C2271" w:rsidP="00914191">
            <w:pPr>
              <w:suppressLineNumbers/>
              <w:suppressAutoHyphens/>
              <w:kinsoku w:val="0"/>
              <w:overflowPunct w:val="0"/>
              <w:autoSpaceDE w:val="0"/>
              <w:autoSpaceDN w:val="0"/>
              <w:spacing w:before="120" w:after="40"/>
              <w:jc w:val="right"/>
              <w:rPr>
                <w:snapToGrid w:val="0"/>
                <w:kern w:val="22"/>
                <w:szCs w:val="22"/>
                <w:lang w:val="es-UY"/>
              </w:rPr>
            </w:pPr>
          </w:p>
        </w:tc>
      </w:tr>
      <w:tr w:rsidR="00051784" w:rsidRPr="00C535AF" w14:paraId="50AB70C4" w14:textId="77777777" w:rsidTr="00914191">
        <w:trPr>
          <w:cantSplit/>
          <w:jc w:val="center"/>
        </w:trPr>
        <w:tc>
          <w:tcPr>
            <w:tcW w:w="0" w:type="auto"/>
            <w:shd w:val="clear" w:color="auto" w:fill="auto"/>
          </w:tcPr>
          <w:p w14:paraId="5E5985B6" w14:textId="7BD5B53E" w:rsidR="00051784" w:rsidRPr="004C2271" w:rsidRDefault="00051784" w:rsidP="00914191">
            <w:pPr>
              <w:suppressLineNumbers/>
              <w:suppressAutoHyphens/>
              <w:kinsoku w:val="0"/>
              <w:overflowPunct w:val="0"/>
              <w:autoSpaceDE w:val="0"/>
              <w:autoSpaceDN w:val="0"/>
              <w:spacing w:before="120" w:after="40"/>
              <w:jc w:val="left"/>
              <w:rPr>
                <w:snapToGrid w:val="0"/>
                <w:color w:val="000000"/>
                <w:kern w:val="22"/>
              </w:rPr>
            </w:pPr>
            <w:r>
              <w:rPr>
                <w:snapToGrid w:val="0"/>
                <w:color w:val="000000"/>
              </w:rPr>
              <w:t>CBD/SBI/3/21</w:t>
            </w:r>
          </w:p>
        </w:tc>
        <w:tc>
          <w:tcPr>
            <w:tcW w:w="0" w:type="auto"/>
            <w:shd w:val="clear" w:color="auto" w:fill="auto"/>
          </w:tcPr>
          <w:p w14:paraId="2B6B8C02" w14:textId="16C5CF21" w:rsidR="00051784" w:rsidRPr="004C2271" w:rsidRDefault="00051784" w:rsidP="00051784">
            <w:pPr>
              <w:suppressLineNumbers/>
              <w:suppressAutoHyphens/>
              <w:kinsoku w:val="0"/>
              <w:overflowPunct w:val="0"/>
              <w:autoSpaceDE w:val="0"/>
              <w:autoSpaceDN w:val="0"/>
              <w:spacing w:before="120" w:after="40"/>
              <w:rPr>
                <w:snapToGrid w:val="0"/>
                <w:color w:val="000000"/>
                <w:kern w:val="22"/>
              </w:rPr>
            </w:pPr>
            <w:r>
              <w:rPr>
                <w:snapToGrid w:val="0"/>
                <w:color w:val="000000"/>
              </w:rPr>
              <w:t>Informe de la tercera reunión del Órgano Subsidiario sobre la Aplicación</w:t>
            </w:r>
          </w:p>
        </w:tc>
        <w:tc>
          <w:tcPr>
            <w:tcW w:w="1310" w:type="dxa"/>
            <w:shd w:val="clear" w:color="auto" w:fill="auto"/>
          </w:tcPr>
          <w:p w14:paraId="57E6E9FD" w14:textId="77777777" w:rsidR="00051784" w:rsidRPr="00B122DA" w:rsidRDefault="00051784" w:rsidP="00914191">
            <w:pPr>
              <w:suppressLineNumbers/>
              <w:suppressAutoHyphens/>
              <w:kinsoku w:val="0"/>
              <w:overflowPunct w:val="0"/>
              <w:autoSpaceDE w:val="0"/>
              <w:autoSpaceDN w:val="0"/>
              <w:spacing w:before="120" w:after="40"/>
              <w:jc w:val="right"/>
              <w:rPr>
                <w:snapToGrid w:val="0"/>
                <w:kern w:val="22"/>
                <w:szCs w:val="22"/>
                <w:lang w:val="es-UY"/>
              </w:rPr>
            </w:pPr>
          </w:p>
        </w:tc>
      </w:tr>
      <w:tr w:rsidR="000F00F0" w:rsidRPr="00C535AF" w14:paraId="70EE64B9" w14:textId="77777777" w:rsidTr="00914191">
        <w:trPr>
          <w:cantSplit/>
          <w:jc w:val="center"/>
        </w:trPr>
        <w:tc>
          <w:tcPr>
            <w:tcW w:w="0" w:type="auto"/>
            <w:shd w:val="clear" w:color="auto" w:fill="auto"/>
          </w:tcPr>
          <w:p w14:paraId="2A31CF2F" w14:textId="025FB013" w:rsidR="000F00F0" w:rsidRPr="00C535AF" w:rsidRDefault="000F00F0"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CBD/NP/MOP/4/2</w:t>
            </w:r>
          </w:p>
        </w:tc>
        <w:tc>
          <w:tcPr>
            <w:tcW w:w="0" w:type="auto"/>
            <w:shd w:val="clear" w:color="auto" w:fill="auto"/>
          </w:tcPr>
          <w:p w14:paraId="53E61883" w14:textId="34FA8D44" w:rsidR="000F00F0" w:rsidRPr="00C535AF" w:rsidRDefault="000F00F0" w:rsidP="00914191">
            <w:pPr>
              <w:suppressLineNumbers/>
              <w:suppressAutoHyphens/>
              <w:kinsoku w:val="0"/>
              <w:overflowPunct w:val="0"/>
              <w:autoSpaceDE w:val="0"/>
              <w:autoSpaceDN w:val="0"/>
              <w:spacing w:before="120" w:after="40"/>
              <w:jc w:val="left"/>
              <w:rPr>
                <w:snapToGrid w:val="0"/>
                <w:kern w:val="22"/>
                <w:szCs w:val="22"/>
              </w:rPr>
            </w:pPr>
            <w:r>
              <w:rPr>
                <w:snapToGrid w:val="0"/>
              </w:rPr>
              <w:t>Informe</w:t>
            </w:r>
            <w:r w:rsidR="00FB28D5">
              <w:rPr>
                <w:snapToGrid w:val="0"/>
              </w:rPr>
              <w:t xml:space="preserve"> de la tercera reunión</w:t>
            </w:r>
            <w:r>
              <w:rPr>
                <w:snapToGrid w:val="0"/>
              </w:rPr>
              <w:t xml:space="preserve"> del Comité de Cumplimiento con arreglo al Protocolo de Nagoya sobre Acceso a los Recursos Genéticos y Participación Justa y Equitativa en los Beneficios que se Deriven de su Utilización</w:t>
            </w:r>
          </w:p>
        </w:tc>
        <w:tc>
          <w:tcPr>
            <w:tcW w:w="1310" w:type="dxa"/>
            <w:shd w:val="clear" w:color="auto" w:fill="auto"/>
          </w:tcPr>
          <w:p w14:paraId="3D473CA5" w14:textId="320C2430" w:rsidR="000F00F0" w:rsidRPr="00C535AF" w:rsidRDefault="000F00F0" w:rsidP="00914191">
            <w:pPr>
              <w:suppressLineNumbers/>
              <w:suppressAutoHyphens/>
              <w:kinsoku w:val="0"/>
              <w:overflowPunct w:val="0"/>
              <w:autoSpaceDE w:val="0"/>
              <w:autoSpaceDN w:val="0"/>
              <w:spacing w:before="120" w:after="40"/>
              <w:jc w:val="right"/>
              <w:rPr>
                <w:snapToGrid w:val="0"/>
                <w:kern w:val="22"/>
                <w:szCs w:val="22"/>
              </w:rPr>
            </w:pPr>
            <w:r>
              <w:rPr>
                <w:snapToGrid w:val="0"/>
              </w:rPr>
              <w:t>5</w:t>
            </w:r>
          </w:p>
        </w:tc>
      </w:tr>
      <w:tr w:rsidR="006D5999" w:rsidRPr="00C535AF" w14:paraId="5F3EFE32" w14:textId="77777777" w:rsidTr="00914191">
        <w:trPr>
          <w:cantSplit/>
          <w:jc w:val="center"/>
        </w:trPr>
        <w:tc>
          <w:tcPr>
            <w:tcW w:w="0" w:type="auto"/>
            <w:shd w:val="clear" w:color="auto" w:fill="auto"/>
          </w:tcPr>
          <w:p w14:paraId="401813AB" w14:textId="184382B4" w:rsidR="006D5999" w:rsidRPr="00C535AF" w:rsidRDefault="006D5999"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CBD/NP/MOP/4/3</w:t>
            </w:r>
          </w:p>
        </w:tc>
        <w:tc>
          <w:tcPr>
            <w:tcW w:w="0" w:type="auto"/>
            <w:shd w:val="clear" w:color="auto" w:fill="auto"/>
          </w:tcPr>
          <w:p w14:paraId="76B74DB3" w14:textId="0B9533A6" w:rsidR="006D5999" w:rsidRPr="00C535AF" w:rsidRDefault="003F50EB" w:rsidP="00914191">
            <w:pPr>
              <w:suppressLineNumbers/>
              <w:suppressAutoHyphens/>
              <w:kinsoku w:val="0"/>
              <w:overflowPunct w:val="0"/>
              <w:autoSpaceDE w:val="0"/>
              <w:autoSpaceDN w:val="0"/>
              <w:spacing w:before="120" w:after="40"/>
              <w:jc w:val="left"/>
              <w:rPr>
                <w:snapToGrid w:val="0"/>
                <w:kern w:val="22"/>
                <w:szCs w:val="22"/>
              </w:rPr>
            </w:pPr>
            <w:r>
              <w:rPr>
                <w:snapToGrid w:val="0"/>
              </w:rPr>
              <w:t>Presupuesto provisional propuesto para el programa de trabajo del Convenio sobre la Diversidad Biológica, el Protocolo de Cartagena sobre Seguridad de la Biotecnología y el Protocolo de Nagoya sobre Acceso y Participación en los Beneficios para el año 2022</w:t>
            </w:r>
          </w:p>
        </w:tc>
        <w:tc>
          <w:tcPr>
            <w:tcW w:w="1310" w:type="dxa"/>
            <w:shd w:val="clear" w:color="auto" w:fill="auto"/>
          </w:tcPr>
          <w:p w14:paraId="712CD046" w14:textId="54F8E125" w:rsidR="006D5999" w:rsidRPr="00C535AF" w:rsidRDefault="009511B9" w:rsidP="00914191">
            <w:pPr>
              <w:suppressLineNumbers/>
              <w:suppressAutoHyphens/>
              <w:kinsoku w:val="0"/>
              <w:overflowPunct w:val="0"/>
              <w:autoSpaceDE w:val="0"/>
              <w:autoSpaceDN w:val="0"/>
              <w:spacing w:before="120" w:after="40"/>
              <w:jc w:val="right"/>
              <w:rPr>
                <w:snapToGrid w:val="0"/>
                <w:kern w:val="22"/>
                <w:szCs w:val="22"/>
              </w:rPr>
            </w:pPr>
            <w:r>
              <w:rPr>
                <w:snapToGrid w:val="0"/>
              </w:rPr>
              <w:t>6</w:t>
            </w:r>
          </w:p>
        </w:tc>
      </w:tr>
      <w:tr w:rsidR="00827E6C" w:rsidRPr="00C535AF" w14:paraId="0BF848E1" w14:textId="77777777" w:rsidTr="00914191">
        <w:trPr>
          <w:cantSplit/>
          <w:jc w:val="center"/>
        </w:trPr>
        <w:tc>
          <w:tcPr>
            <w:tcW w:w="0" w:type="auto"/>
            <w:shd w:val="clear" w:color="auto" w:fill="auto"/>
          </w:tcPr>
          <w:p w14:paraId="5332CE06" w14:textId="70F9ECEF"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rPr>
              <w:lastRenderedPageBreak/>
              <w:t>CBD/NP/MOP/4/4</w:t>
            </w:r>
          </w:p>
        </w:tc>
        <w:tc>
          <w:tcPr>
            <w:tcW w:w="0" w:type="auto"/>
            <w:shd w:val="clear" w:color="auto" w:fill="auto"/>
          </w:tcPr>
          <w:p w14:paraId="5F16B0B1" w14:textId="77B34662" w:rsidR="00827E6C" w:rsidRPr="00C535AF" w:rsidRDefault="00747876" w:rsidP="00914191">
            <w:pPr>
              <w:suppressLineNumbers/>
              <w:suppressAutoHyphens/>
              <w:kinsoku w:val="0"/>
              <w:overflowPunct w:val="0"/>
              <w:autoSpaceDE w:val="0"/>
              <w:autoSpaceDN w:val="0"/>
              <w:spacing w:before="120" w:after="40"/>
              <w:jc w:val="left"/>
              <w:rPr>
                <w:snapToGrid w:val="0"/>
                <w:kern w:val="22"/>
                <w:szCs w:val="22"/>
              </w:rPr>
            </w:pPr>
            <w:r>
              <w:t>Informe de la cuarta reunión (parte I) de la Conferencia de las Partes en el Convenio sobre la Diversidad Biológica que actúa como reunión de las partes en el Protocolo de Nagoya sobre Acceso a los Recursos Genéticos y Participación Justa y Equitativa en los Beneficios que se Deriven de su Utilización</w:t>
            </w:r>
          </w:p>
        </w:tc>
        <w:tc>
          <w:tcPr>
            <w:tcW w:w="1310" w:type="dxa"/>
            <w:shd w:val="clear" w:color="auto" w:fill="auto"/>
          </w:tcPr>
          <w:p w14:paraId="04856174" w14:textId="3A329DB7" w:rsidR="00827E6C" w:rsidRPr="00C535AF" w:rsidRDefault="0084642B" w:rsidP="00914191">
            <w:pPr>
              <w:suppressLineNumbers/>
              <w:suppressAutoHyphens/>
              <w:kinsoku w:val="0"/>
              <w:overflowPunct w:val="0"/>
              <w:autoSpaceDE w:val="0"/>
              <w:autoSpaceDN w:val="0"/>
              <w:spacing w:before="120" w:after="40"/>
              <w:jc w:val="right"/>
              <w:rPr>
                <w:snapToGrid w:val="0"/>
                <w:kern w:val="22"/>
                <w:szCs w:val="22"/>
              </w:rPr>
            </w:pPr>
            <w:r>
              <w:rPr>
                <w:snapToGrid w:val="0"/>
              </w:rPr>
              <w:t>18</w:t>
            </w:r>
          </w:p>
        </w:tc>
      </w:tr>
      <w:tr w:rsidR="00827E6C" w:rsidRPr="00C535AF" w14:paraId="2A184FA0" w14:textId="77777777" w:rsidTr="00914191">
        <w:trPr>
          <w:cantSplit/>
          <w:jc w:val="center"/>
        </w:trPr>
        <w:tc>
          <w:tcPr>
            <w:tcW w:w="0" w:type="auto"/>
            <w:shd w:val="clear" w:color="auto" w:fill="auto"/>
          </w:tcPr>
          <w:p w14:paraId="2CB68D51" w14:textId="3F0379D8"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CBD/NP/MOP/4/5</w:t>
            </w:r>
          </w:p>
        </w:tc>
        <w:tc>
          <w:tcPr>
            <w:tcW w:w="0" w:type="auto"/>
            <w:shd w:val="clear" w:color="auto" w:fill="auto"/>
          </w:tcPr>
          <w:p w14:paraId="72581CB6" w14:textId="105F89FB" w:rsidR="00827E6C" w:rsidRPr="00C535AF" w:rsidRDefault="00D21AE1" w:rsidP="00914191">
            <w:pPr>
              <w:suppressLineNumbers/>
              <w:suppressAutoHyphens/>
              <w:kinsoku w:val="0"/>
              <w:overflowPunct w:val="0"/>
              <w:autoSpaceDE w:val="0"/>
              <w:autoSpaceDN w:val="0"/>
              <w:spacing w:before="120" w:after="40"/>
              <w:jc w:val="left"/>
              <w:rPr>
                <w:snapToGrid w:val="0"/>
                <w:kern w:val="22"/>
                <w:szCs w:val="22"/>
              </w:rPr>
            </w:pPr>
            <w:r>
              <w:rPr>
                <w:snapToGrid w:val="0"/>
              </w:rPr>
              <w:t>Informe sobre los progresos alcanzados en las medidas para brindar asistencia para la creación de capacidad y el desarrollo de capacidad (artículo 22) y medidas para aumentar la concienciación (artículo 21)</w:t>
            </w:r>
          </w:p>
        </w:tc>
        <w:tc>
          <w:tcPr>
            <w:tcW w:w="1310" w:type="dxa"/>
            <w:shd w:val="clear" w:color="auto" w:fill="auto"/>
          </w:tcPr>
          <w:p w14:paraId="39526C7A" w14:textId="3F07D101" w:rsidR="00827E6C" w:rsidRPr="00C535AF" w:rsidRDefault="00D21AE1" w:rsidP="00914191">
            <w:pPr>
              <w:suppressLineNumbers/>
              <w:suppressAutoHyphens/>
              <w:kinsoku w:val="0"/>
              <w:overflowPunct w:val="0"/>
              <w:autoSpaceDE w:val="0"/>
              <w:autoSpaceDN w:val="0"/>
              <w:spacing w:before="120" w:after="40"/>
              <w:jc w:val="right"/>
              <w:rPr>
                <w:snapToGrid w:val="0"/>
                <w:kern w:val="22"/>
                <w:szCs w:val="22"/>
              </w:rPr>
            </w:pPr>
            <w:r>
              <w:rPr>
                <w:snapToGrid w:val="0"/>
              </w:rPr>
              <w:t>8</w:t>
            </w:r>
          </w:p>
        </w:tc>
      </w:tr>
      <w:tr w:rsidR="00827E6C" w:rsidRPr="00C535AF" w14:paraId="14D41F9B" w14:textId="77777777" w:rsidTr="00914191">
        <w:trPr>
          <w:cantSplit/>
          <w:jc w:val="center"/>
        </w:trPr>
        <w:tc>
          <w:tcPr>
            <w:tcW w:w="0" w:type="auto"/>
            <w:shd w:val="clear" w:color="auto" w:fill="auto"/>
          </w:tcPr>
          <w:p w14:paraId="49E30169" w14:textId="03663867"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CBD/NP/MOP/4/6</w:t>
            </w:r>
          </w:p>
        </w:tc>
        <w:tc>
          <w:tcPr>
            <w:tcW w:w="0" w:type="auto"/>
            <w:shd w:val="clear" w:color="auto" w:fill="auto"/>
          </w:tcPr>
          <w:p w14:paraId="24B9E8CC" w14:textId="0E9464A6" w:rsidR="00A87C47" w:rsidRPr="00C535AF" w:rsidRDefault="00622D38" w:rsidP="00914191">
            <w:pPr>
              <w:suppressLineNumbers/>
              <w:suppressAutoHyphens/>
              <w:kinsoku w:val="0"/>
              <w:overflowPunct w:val="0"/>
              <w:autoSpaceDE w:val="0"/>
              <w:autoSpaceDN w:val="0"/>
              <w:spacing w:before="120" w:after="40"/>
              <w:jc w:val="left"/>
              <w:rPr>
                <w:snapToGrid w:val="0"/>
                <w:kern w:val="22"/>
                <w:szCs w:val="22"/>
              </w:rPr>
            </w:pPr>
            <w:r>
              <w:rPr>
                <w:snapToGrid w:val="0"/>
              </w:rPr>
              <w:t>Informe sobre el progreso en el funcionamiento del centro de intercambio de información sobre acceso y participación en los beneficios</w:t>
            </w:r>
          </w:p>
        </w:tc>
        <w:tc>
          <w:tcPr>
            <w:tcW w:w="1310" w:type="dxa"/>
            <w:shd w:val="clear" w:color="auto" w:fill="auto"/>
          </w:tcPr>
          <w:p w14:paraId="0B2490D0" w14:textId="1A9535E8" w:rsidR="00827E6C" w:rsidRPr="00C535AF" w:rsidRDefault="00622D38" w:rsidP="00914191">
            <w:pPr>
              <w:suppressLineNumbers/>
              <w:suppressAutoHyphens/>
              <w:kinsoku w:val="0"/>
              <w:overflowPunct w:val="0"/>
              <w:autoSpaceDE w:val="0"/>
              <w:autoSpaceDN w:val="0"/>
              <w:spacing w:before="120" w:after="40"/>
              <w:jc w:val="right"/>
              <w:rPr>
                <w:snapToGrid w:val="0"/>
                <w:kern w:val="22"/>
                <w:szCs w:val="22"/>
              </w:rPr>
            </w:pPr>
            <w:r>
              <w:rPr>
                <w:snapToGrid w:val="0"/>
              </w:rPr>
              <w:t>9</w:t>
            </w:r>
          </w:p>
        </w:tc>
      </w:tr>
      <w:tr w:rsidR="00A621FF" w:rsidRPr="007D770B" w14:paraId="56C54D97" w14:textId="77777777" w:rsidTr="00914191">
        <w:trPr>
          <w:cantSplit/>
          <w:jc w:val="center"/>
        </w:trPr>
        <w:tc>
          <w:tcPr>
            <w:tcW w:w="0" w:type="auto"/>
            <w:shd w:val="clear" w:color="auto" w:fill="auto"/>
          </w:tcPr>
          <w:p w14:paraId="512C280D" w14:textId="038E6E3C" w:rsidR="00A621FF" w:rsidRPr="00C535AF" w:rsidRDefault="00A621FF"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CBD/NP/MOP/4/7</w:t>
            </w:r>
          </w:p>
        </w:tc>
        <w:tc>
          <w:tcPr>
            <w:tcW w:w="0" w:type="auto"/>
            <w:shd w:val="clear" w:color="auto" w:fill="auto"/>
          </w:tcPr>
          <w:p w14:paraId="26094F52" w14:textId="5F580167" w:rsidR="00A621FF" w:rsidRPr="00C535AF" w:rsidRDefault="00654C92" w:rsidP="00914191">
            <w:pPr>
              <w:suppressLineNumbers/>
              <w:suppressAutoHyphens/>
              <w:kinsoku w:val="0"/>
              <w:overflowPunct w:val="0"/>
              <w:autoSpaceDE w:val="0"/>
              <w:autoSpaceDN w:val="0"/>
              <w:spacing w:before="120" w:after="40"/>
              <w:jc w:val="left"/>
              <w:rPr>
                <w:snapToGrid w:val="0"/>
                <w:kern w:val="22"/>
                <w:szCs w:val="22"/>
              </w:rPr>
            </w:pPr>
            <w:r>
              <w:rPr>
                <w:snapToGrid w:val="0"/>
              </w:rPr>
              <w:t>Vigilancia y presentación de informes (artículo 29)</w:t>
            </w:r>
          </w:p>
        </w:tc>
        <w:tc>
          <w:tcPr>
            <w:tcW w:w="1310" w:type="dxa"/>
            <w:shd w:val="clear" w:color="auto" w:fill="auto"/>
          </w:tcPr>
          <w:p w14:paraId="4E34B309" w14:textId="12EE4B47" w:rsidR="00A621FF" w:rsidRPr="007D770B" w:rsidRDefault="00770BB2" w:rsidP="00914191">
            <w:pPr>
              <w:suppressLineNumbers/>
              <w:suppressAutoHyphens/>
              <w:kinsoku w:val="0"/>
              <w:overflowPunct w:val="0"/>
              <w:autoSpaceDE w:val="0"/>
              <w:autoSpaceDN w:val="0"/>
              <w:spacing w:before="120" w:after="40"/>
              <w:jc w:val="right"/>
              <w:rPr>
                <w:snapToGrid w:val="0"/>
                <w:kern w:val="22"/>
                <w:szCs w:val="22"/>
                <w:highlight w:val="green"/>
              </w:rPr>
            </w:pPr>
            <w:r>
              <w:rPr>
                <w:snapToGrid w:val="0"/>
              </w:rPr>
              <w:t>10</w:t>
            </w:r>
          </w:p>
        </w:tc>
      </w:tr>
      <w:tr w:rsidR="002A2280" w:rsidRPr="007D770B" w14:paraId="756F9C7E" w14:textId="77777777" w:rsidTr="00914191">
        <w:trPr>
          <w:cantSplit/>
          <w:jc w:val="center"/>
        </w:trPr>
        <w:tc>
          <w:tcPr>
            <w:tcW w:w="0" w:type="auto"/>
            <w:shd w:val="clear" w:color="auto" w:fill="auto"/>
          </w:tcPr>
          <w:p w14:paraId="574081A6" w14:textId="1EFA1822" w:rsidR="002A2280" w:rsidRPr="00C535AF" w:rsidRDefault="00013380"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CBD/NP/MOP/4/8</w:t>
            </w:r>
          </w:p>
        </w:tc>
        <w:tc>
          <w:tcPr>
            <w:tcW w:w="0" w:type="auto"/>
            <w:shd w:val="clear" w:color="auto" w:fill="auto"/>
          </w:tcPr>
          <w:p w14:paraId="60BAA5D4" w14:textId="5149CA71" w:rsidR="002A2280" w:rsidRDefault="00273F05" w:rsidP="00914191">
            <w:pPr>
              <w:suppressLineNumbers/>
              <w:suppressAutoHyphens/>
              <w:kinsoku w:val="0"/>
              <w:overflowPunct w:val="0"/>
              <w:autoSpaceDE w:val="0"/>
              <w:autoSpaceDN w:val="0"/>
              <w:spacing w:before="120" w:after="40"/>
              <w:jc w:val="left"/>
              <w:rPr>
                <w:snapToGrid w:val="0"/>
                <w:kern w:val="22"/>
                <w:szCs w:val="22"/>
              </w:rPr>
            </w:pPr>
            <w:r>
              <w:t>Cooperación con otros convenios, organizaciones e iniciativas internacionales</w:t>
            </w:r>
          </w:p>
        </w:tc>
        <w:tc>
          <w:tcPr>
            <w:tcW w:w="1310" w:type="dxa"/>
            <w:shd w:val="clear" w:color="auto" w:fill="auto"/>
          </w:tcPr>
          <w:p w14:paraId="73789EC3" w14:textId="3A62AAE4" w:rsidR="002A2280" w:rsidRPr="00510B02" w:rsidRDefault="00273F05" w:rsidP="00914191">
            <w:pPr>
              <w:suppressLineNumbers/>
              <w:suppressAutoHyphens/>
              <w:kinsoku w:val="0"/>
              <w:overflowPunct w:val="0"/>
              <w:autoSpaceDE w:val="0"/>
              <w:autoSpaceDN w:val="0"/>
              <w:spacing w:before="120" w:after="40"/>
              <w:jc w:val="right"/>
              <w:rPr>
                <w:snapToGrid w:val="0"/>
                <w:kern w:val="22"/>
                <w:szCs w:val="22"/>
              </w:rPr>
            </w:pPr>
            <w:r>
              <w:rPr>
                <w:snapToGrid w:val="0"/>
              </w:rPr>
              <w:t>11</w:t>
            </w:r>
          </w:p>
        </w:tc>
      </w:tr>
      <w:tr w:rsidR="00273F05" w:rsidRPr="007D770B" w14:paraId="5EA8E888" w14:textId="77777777" w:rsidTr="00914191">
        <w:trPr>
          <w:cantSplit/>
          <w:jc w:val="center"/>
        </w:trPr>
        <w:tc>
          <w:tcPr>
            <w:tcW w:w="0" w:type="auto"/>
            <w:shd w:val="clear" w:color="auto" w:fill="auto"/>
          </w:tcPr>
          <w:p w14:paraId="2D3722E2" w14:textId="5A6C6B93" w:rsidR="00273F05" w:rsidRPr="003714AC" w:rsidRDefault="00273F05"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CBD/NP/MOP/4/9</w:t>
            </w:r>
          </w:p>
        </w:tc>
        <w:tc>
          <w:tcPr>
            <w:tcW w:w="0" w:type="auto"/>
            <w:shd w:val="clear" w:color="auto" w:fill="auto"/>
          </w:tcPr>
          <w:p w14:paraId="374211A4" w14:textId="709AA64E" w:rsidR="00273F05" w:rsidRPr="003714AC" w:rsidRDefault="00FB78B6" w:rsidP="00914191">
            <w:pPr>
              <w:suppressLineNumbers/>
              <w:suppressAutoHyphens/>
              <w:kinsoku w:val="0"/>
              <w:overflowPunct w:val="0"/>
              <w:autoSpaceDE w:val="0"/>
              <w:autoSpaceDN w:val="0"/>
              <w:spacing w:before="120" w:after="40"/>
              <w:jc w:val="left"/>
            </w:pPr>
            <w:r>
              <w:t>Mejora de la aplicación del Protocolo de Nagoya en el contexto del marco mundial de la diversidad biológica posterior a 2020</w:t>
            </w:r>
          </w:p>
        </w:tc>
        <w:tc>
          <w:tcPr>
            <w:tcW w:w="1310" w:type="dxa"/>
            <w:shd w:val="clear" w:color="auto" w:fill="auto"/>
          </w:tcPr>
          <w:p w14:paraId="7CAB9CBD" w14:textId="76F6DF9F" w:rsidR="00273F05" w:rsidRPr="003714AC" w:rsidRDefault="00FB78B6" w:rsidP="00914191">
            <w:pPr>
              <w:suppressLineNumbers/>
              <w:suppressAutoHyphens/>
              <w:kinsoku w:val="0"/>
              <w:overflowPunct w:val="0"/>
              <w:autoSpaceDE w:val="0"/>
              <w:autoSpaceDN w:val="0"/>
              <w:spacing w:before="120" w:after="40"/>
              <w:jc w:val="right"/>
              <w:rPr>
                <w:snapToGrid w:val="0"/>
                <w:kern w:val="22"/>
                <w:szCs w:val="22"/>
              </w:rPr>
            </w:pPr>
            <w:r>
              <w:rPr>
                <w:snapToGrid w:val="0"/>
              </w:rPr>
              <w:t>13</w:t>
            </w:r>
          </w:p>
        </w:tc>
      </w:tr>
      <w:tr w:rsidR="00B24284" w:rsidRPr="007D770B" w14:paraId="2A6AC111" w14:textId="77777777" w:rsidTr="00914191">
        <w:trPr>
          <w:cantSplit/>
          <w:jc w:val="center"/>
        </w:trPr>
        <w:tc>
          <w:tcPr>
            <w:tcW w:w="0" w:type="auto"/>
            <w:shd w:val="clear" w:color="auto" w:fill="auto"/>
          </w:tcPr>
          <w:p w14:paraId="46E4EC0C" w14:textId="5AFB8E68" w:rsidR="00B24284" w:rsidRPr="00C535AF" w:rsidRDefault="00013380" w:rsidP="00914191">
            <w:pPr>
              <w:suppressLineNumbers/>
              <w:suppressAutoHyphens/>
              <w:kinsoku w:val="0"/>
              <w:overflowPunct w:val="0"/>
              <w:autoSpaceDE w:val="0"/>
              <w:autoSpaceDN w:val="0"/>
              <w:spacing w:before="120" w:after="40"/>
              <w:jc w:val="left"/>
              <w:rPr>
                <w:snapToGrid w:val="0"/>
                <w:kern w:val="22"/>
                <w:szCs w:val="22"/>
              </w:rPr>
            </w:pPr>
            <w:r>
              <w:rPr>
                <w:snapToGrid w:val="0"/>
              </w:rPr>
              <w:t>CBD/NP/MOP/4/10</w:t>
            </w:r>
          </w:p>
        </w:tc>
        <w:tc>
          <w:tcPr>
            <w:tcW w:w="0" w:type="auto"/>
            <w:shd w:val="clear" w:color="auto" w:fill="auto"/>
          </w:tcPr>
          <w:p w14:paraId="574071DB" w14:textId="6C362E06" w:rsidR="00B24284" w:rsidRDefault="00654C92" w:rsidP="00914191">
            <w:pPr>
              <w:suppressLineNumbers/>
              <w:suppressAutoHyphens/>
              <w:kinsoku w:val="0"/>
              <w:overflowPunct w:val="0"/>
              <w:autoSpaceDE w:val="0"/>
              <w:autoSpaceDN w:val="0"/>
              <w:spacing w:before="120" w:after="40"/>
              <w:jc w:val="left"/>
              <w:rPr>
                <w:snapToGrid w:val="0"/>
                <w:kern w:val="22"/>
                <w:szCs w:val="22"/>
              </w:rPr>
            </w:pPr>
            <w:proofErr w:type="gramStart"/>
            <w:r>
              <w:rPr>
                <w:snapToGrid w:val="0"/>
              </w:rPr>
              <w:t>Mecanismo financiero y recursos financieros</w:t>
            </w:r>
            <w:proofErr w:type="gramEnd"/>
            <w:r>
              <w:rPr>
                <w:snapToGrid w:val="0"/>
              </w:rPr>
              <w:t xml:space="preserve"> (artículo 25)</w:t>
            </w:r>
          </w:p>
        </w:tc>
        <w:tc>
          <w:tcPr>
            <w:tcW w:w="1310" w:type="dxa"/>
            <w:shd w:val="clear" w:color="auto" w:fill="auto"/>
          </w:tcPr>
          <w:p w14:paraId="5E5CD52B" w14:textId="1D5DE649" w:rsidR="00B24284" w:rsidRPr="00510B02" w:rsidRDefault="00654C92" w:rsidP="00914191">
            <w:pPr>
              <w:suppressLineNumbers/>
              <w:suppressAutoHyphens/>
              <w:kinsoku w:val="0"/>
              <w:overflowPunct w:val="0"/>
              <w:autoSpaceDE w:val="0"/>
              <w:autoSpaceDN w:val="0"/>
              <w:spacing w:before="120" w:after="40"/>
              <w:jc w:val="right"/>
              <w:rPr>
                <w:snapToGrid w:val="0"/>
                <w:kern w:val="22"/>
                <w:szCs w:val="22"/>
              </w:rPr>
            </w:pPr>
            <w:r>
              <w:rPr>
                <w:snapToGrid w:val="0"/>
              </w:rPr>
              <w:t>7</w:t>
            </w:r>
          </w:p>
        </w:tc>
      </w:tr>
      <w:tr w:rsidR="00827E6C" w:rsidRPr="00C535AF" w14:paraId="014E6DDA" w14:textId="77777777" w:rsidTr="00914191">
        <w:trPr>
          <w:cantSplit/>
          <w:jc w:val="center"/>
        </w:trPr>
        <w:tc>
          <w:tcPr>
            <w:tcW w:w="0" w:type="auto"/>
            <w:shd w:val="clear" w:color="auto" w:fill="auto"/>
          </w:tcPr>
          <w:p w14:paraId="28CD3EF3" w14:textId="1F35A31C" w:rsidR="00827E6C" w:rsidRPr="00722073"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rPr>
              <w:t>CBD/COP/15/6</w:t>
            </w:r>
          </w:p>
        </w:tc>
        <w:tc>
          <w:tcPr>
            <w:tcW w:w="0" w:type="auto"/>
            <w:shd w:val="clear" w:color="auto" w:fill="auto"/>
          </w:tcPr>
          <w:p w14:paraId="64F4A83F" w14:textId="2AD7712D"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rPr>
              <w:t xml:space="preserve">Informe de la Secretaría Ejecutiva sobre la administración del Convenio sobre la Diversidad Biológica, el Protocolo de Cartagena sobre Seguridad de la Biotecnología y el Protocolo de Nagoya sobre Acceso y Participación en los Beneficios para el período 2019-2022, con inclusión del presupuesto de los fondos fiduciarios </w:t>
            </w:r>
          </w:p>
        </w:tc>
        <w:tc>
          <w:tcPr>
            <w:tcW w:w="1310" w:type="dxa"/>
            <w:shd w:val="clear" w:color="auto" w:fill="auto"/>
          </w:tcPr>
          <w:p w14:paraId="18E76D07" w14:textId="77777777" w:rsidR="00827E6C" w:rsidRPr="00C535AF" w:rsidRDefault="00827E6C" w:rsidP="00914191">
            <w:pPr>
              <w:suppressLineNumbers/>
              <w:suppressAutoHyphens/>
              <w:kinsoku w:val="0"/>
              <w:overflowPunct w:val="0"/>
              <w:autoSpaceDE w:val="0"/>
              <w:autoSpaceDN w:val="0"/>
              <w:spacing w:before="120" w:after="40"/>
              <w:jc w:val="right"/>
              <w:rPr>
                <w:snapToGrid w:val="0"/>
                <w:kern w:val="22"/>
                <w:szCs w:val="22"/>
              </w:rPr>
            </w:pPr>
            <w:r>
              <w:rPr>
                <w:snapToGrid w:val="0"/>
              </w:rPr>
              <w:t>6</w:t>
            </w:r>
          </w:p>
        </w:tc>
      </w:tr>
      <w:tr w:rsidR="00827E6C" w:rsidRPr="00C535AF" w14:paraId="069DABA7" w14:textId="77777777" w:rsidTr="00914191">
        <w:trPr>
          <w:cantSplit/>
          <w:jc w:val="center"/>
        </w:trPr>
        <w:tc>
          <w:tcPr>
            <w:tcW w:w="0" w:type="auto"/>
            <w:shd w:val="clear" w:color="auto" w:fill="auto"/>
          </w:tcPr>
          <w:p w14:paraId="38D90289" w14:textId="261D8C63" w:rsidR="00827E6C" w:rsidRPr="00722073"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rPr>
              <w:t>CBD/COP/15/7</w:t>
            </w:r>
          </w:p>
        </w:tc>
        <w:tc>
          <w:tcPr>
            <w:tcW w:w="0" w:type="auto"/>
            <w:shd w:val="clear" w:color="auto" w:fill="auto"/>
          </w:tcPr>
          <w:p w14:paraId="78432067" w14:textId="60B3426C" w:rsidR="00827E6C" w:rsidRPr="00C535AF" w:rsidRDefault="00827E6C" w:rsidP="00914191">
            <w:pPr>
              <w:suppressLineNumbers/>
              <w:suppressAutoHyphens/>
              <w:kinsoku w:val="0"/>
              <w:overflowPunct w:val="0"/>
              <w:autoSpaceDE w:val="0"/>
              <w:autoSpaceDN w:val="0"/>
              <w:spacing w:before="120" w:after="40"/>
              <w:jc w:val="left"/>
              <w:rPr>
                <w:snapToGrid w:val="0"/>
                <w:kern w:val="22"/>
                <w:szCs w:val="22"/>
              </w:rPr>
            </w:pPr>
            <w:r>
              <w:rPr>
                <w:snapToGrid w:val="0"/>
                <w:shd w:val="clear" w:color="auto" w:fill="FFFFFF"/>
              </w:rPr>
              <w:t>Proyecto de presupuesto para los programas de trabajo del Convenio sobre la Diversidad Biológica, el Protocolo de Cartagena sobre Seguridad de la Biotecnología y el Protocolo de Nagoya sobre Acceso y Participación en los Beneficios para el bienio 2023-2024</w:t>
            </w:r>
          </w:p>
        </w:tc>
        <w:tc>
          <w:tcPr>
            <w:tcW w:w="1310" w:type="dxa"/>
            <w:shd w:val="clear" w:color="auto" w:fill="auto"/>
          </w:tcPr>
          <w:p w14:paraId="423F0488" w14:textId="77777777" w:rsidR="00827E6C" w:rsidRPr="00C535AF" w:rsidRDefault="00827E6C" w:rsidP="00914191">
            <w:pPr>
              <w:suppressLineNumbers/>
              <w:suppressAutoHyphens/>
              <w:kinsoku w:val="0"/>
              <w:overflowPunct w:val="0"/>
              <w:autoSpaceDE w:val="0"/>
              <w:autoSpaceDN w:val="0"/>
              <w:spacing w:before="120" w:after="40"/>
              <w:jc w:val="right"/>
              <w:rPr>
                <w:snapToGrid w:val="0"/>
                <w:kern w:val="22"/>
                <w:szCs w:val="22"/>
              </w:rPr>
            </w:pPr>
            <w:r>
              <w:rPr>
                <w:snapToGrid w:val="0"/>
              </w:rPr>
              <w:t>6</w:t>
            </w:r>
          </w:p>
        </w:tc>
      </w:tr>
      <w:tr w:rsidR="00FB26F8" w:rsidRPr="00C535AF" w14:paraId="7D4E9A7F" w14:textId="77777777" w:rsidTr="00914191">
        <w:trPr>
          <w:cantSplit/>
          <w:jc w:val="center"/>
        </w:trPr>
        <w:tc>
          <w:tcPr>
            <w:tcW w:w="0" w:type="auto"/>
            <w:shd w:val="clear" w:color="auto" w:fill="auto"/>
          </w:tcPr>
          <w:p w14:paraId="00377DCC" w14:textId="4B14711C" w:rsidR="00FB26F8" w:rsidRPr="00722073" w:rsidRDefault="00FB26F8" w:rsidP="00914191">
            <w:pPr>
              <w:suppressLineNumbers/>
              <w:suppressAutoHyphens/>
              <w:kinsoku w:val="0"/>
              <w:overflowPunct w:val="0"/>
              <w:autoSpaceDE w:val="0"/>
              <w:autoSpaceDN w:val="0"/>
              <w:spacing w:before="120" w:after="40"/>
              <w:jc w:val="left"/>
              <w:rPr>
                <w:snapToGrid w:val="0"/>
                <w:kern w:val="22"/>
                <w:szCs w:val="22"/>
              </w:rPr>
            </w:pPr>
            <w:r>
              <w:rPr>
                <w:snapToGrid w:val="0"/>
              </w:rPr>
              <w:t>CBD/COP/15/7/Add.1</w:t>
            </w:r>
          </w:p>
        </w:tc>
        <w:tc>
          <w:tcPr>
            <w:tcW w:w="0" w:type="auto"/>
            <w:shd w:val="clear" w:color="auto" w:fill="auto"/>
          </w:tcPr>
          <w:p w14:paraId="6BE1AC43" w14:textId="4AA4B164" w:rsidR="00FB26F8" w:rsidRPr="001256C9" w:rsidRDefault="00012DB9" w:rsidP="00914191">
            <w:pPr>
              <w:suppressLineNumbers/>
              <w:suppressAutoHyphens/>
              <w:kinsoku w:val="0"/>
              <w:overflowPunct w:val="0"/>
              <w:autoSpaceDE w:val="0"/>
              <w:autoSpaceDN w:val="0"/>
              <w:spacing w:before="120" w:after="40"/>
              <w:jc w:val="left"/>
              <w:rPr>
                <w:snapToGrid w:val="0"/>
                <w:kern w:val="22"/>
                <w:szCs w:val="22"/>
                <w:highlight w:val="yellow"/>
                <w:shd w:val="clear" w:color="auto" w:fill="FFFFFF"/>
              </w:rPr>
            </w:pPr>
            <w:r>
              <w:t>Adición al proyecto de presupuesto para los programas de trabajo del Convenio sobre la Diversidad Biológica, el Protocolo de Cartagena sobre Seguridad de la Biotecnología y el Protocolo de Nagoya sobre Acceso y Participación en los Beneficios para el bienio 2023-2024</w:t>
            </w:r>
          </w:p>
        </w:tc>
        <w:tc>
          <w:tcPr>
            <w:tcW w:w="1310" w:type="dxa"/>
            <w:shd w:val="clear" w:color="auto" w:fill="auto"/>
          </w:tcPr>
          <w:p w14:paraId="4B9A662D" w14:textId="2FEB23FB" w:rsidR="00FB26F8" w:rsidRPr="00C535AF" w:rsidRDefault="001256C9" w:rsidP="00914191">
            <w:pPr>
              <w:suppressLineNumbers/>
              <w:suppressAutoHyphens/>
              <w:kinsoku w:val="0"/>
              <w:overflowPunct w:val="0"/>
              <w:autoSpaceDE w:val="0"/>
              <w:autoSpaceDN w:val="0"/>
              <w:spacing w:before="120" w:after="40"/>
              <w:jc w:val="right"/>
              <w:rPr>
                <w:snapToGrid w:val="0"/>
                <w:kern w:val="22"/>
                <w:szCs w:val="22"/>
              </w:rPr>
            </w:pPr>
            <w:r>
              <w:rPr>
                <w:snapToGrid w:val="0"/>
              </w:rPr>
              <w:t>6</w:t>
            </w:r>
          </w:p>
        </w:tc>
      </w:tr>
      <w:tr w:rsidR="00FB26F8" w:rsidRPr="00C535AF" w14:paraId="7201A17B" w14:textId="77777777" w:rsidTr="00914191">
        <w:trPr>
          <w:cantSplit/>
          <w:jc w:val="center"/>
        </w:trPr>
        <w:tc>
          <w:tcPr>
            <w:tcW w:w="0" w:type="auto"/>
            <w:shd w:val="clear" w:color="auto" w:fill="auto"/>
          </w:tcPr>
          <w:p w14:paraId="0AA5931D" w14:textId="38A7A9BF" w:rsidR="00FB26F8" w:rsidRPr="00722073" w:rsidRDefault="00FB26F8" w:rsidP="00914191">
            <w:pPr>
              <w:suppressLineNumbers/>
              <w:suppressAutoHyphens/>
              <w:kinsoku w:val="0"/>
              <w:overflowPunct w:val="0"/>
              <w:autoSpaceDE w:val="0"/>
              <w:autoSpaceDN w:val="0"/>
              <w:spacing w:before="120" w:after="40"/>
              <w:jc w:val="left"/>
              <w:rPr>
                <w:snapToGrid w:val="0"/>
                <w:kern w:val="22"/>
                <w:szCs w:val="22"/>
              </w:rPr>
            </w:pPr>
            <w:r>
              <w:rPr>
                <w:snapToGrid w:val="0"/>
              </w:rPr>
              <w:t>CBD/COP/15/7/Add.2</w:t>
            </w:r>
          </w:p>
        </w:tc>
        <w:tc>
          <w:tcPr>
            <w:tcW w:w="0" w:type="auto"/>
            <w:shd w:val="clear" w:color="auto" w:fill="auto"/>
          </w:tcPr>
          <w:p w14:paraId="0D097DCE" w14:textId="01B27611" w:rsidR="00FB26F8" w:rsidRPr="001256C9" w:rsidRDefault="00174956" w:rsidP="00914191">
            <w:pPr>
              <w:suppressLineNumbers/>
              <w:suppressAutoHyphens/>
              <w:kinsoku w:val="0"/>
              <w:overflowPunct w:val="0"/>
              <w:autoSpaceDE w:val="0"/>
              <w:autoSpaceDN w:val="0"/>
              <w:spacing w:before="120" w:after="40"/>
              <w:jc w:val="left"/>
              <w:rPr>
                <w:snapToGrid w:val="0"/>
                <w:kern w:val="22"/>
                <w:szCs w:val="22"/>
                <w:highlight w:val="yellow"/>
                <w:shd w:val="clear" w:color="auto" w:fill="FFFFFF"/>
              </w:rPr>
            </w:pPr>
            <w:r>
              <w:t>Información adicional sobre los requisitos para el Fondo fiduciario para las contribuciones voluntarias adicionales en apoyo de actividades aprobadas</w:t>
            </w:r>
          </w:p>
        </w:tc>
        <w:tc>
          <w:tcPr>
            <w:tcW w:w="1310" w:type="dxa"/>
            <w:shd w:val="clear" w:color="auto" w:fill="auto"/>
          </w:tcPr>
          <w:p w14:paraId="402BF924" w14:textId="2D54F942" w:rsidR="00FB26F8" w:rsidRPr="00C535AF" w:rsidRDefault="001256C9" w:rsidP="00914191">
            <w:pPr>
              <w:suppressLineNumbers/>
              <w:suppressAutoHyphens/>
              <w:kinsoku w:val="0"/>
              <w:overflowPunct w:val="0"/>
              <w:autoSpaceDE w:val="0"/>
              <w:autoSpaceDN w:val="0"/>
              <w:spacing w:before="120" w:after="40"/>
              <w:jc w:val="right"/>
              <w:rPr>
                <w:snapToGrid w:val="0"/>
                <w:kern w:val="22"/>
                <w:szCs w:val="22"/>
              </w:rPr>
            </w:pPr>
            <w:r>
              <w:rPr>
                <w:snapToGrid w:val="0"/>
              </w:rPr>
              <w:t>6</w:t>
            </w:r>
          </w:p>
        </w:tc>
      </w:tr>
      <w:tr w:rsidR="00EF7F74" w:rsidRPr="00C535AF" w14:paraId="2DE4C999" w14:textId="77777777" w:rsidTr="00914191">
        <w:trPr>
          <w:cantSplit/>
          <w:jc w:val="center"/>
        </w:trPr>
        <w:tc>
          <w:tcPr>
            <w:tcW w:w="0" w:type="auto"/>
            <w:shd w:val="clear" w:color="auto" w:fill="auto"/>
          </w:tcPr>
          <w:p w14:paraId="1C4AD481" w14:textId="3F95CBFA" w:rsidR="00EF7F74" w:rsidRPr="00722073" w:rsidRDefault="00EF7F74" w:rsidP="00914191">
            <w:pPr>
              <w:suppressLineNumbers/>
              <w:suppressAutoHyphens/>
              <w:kinsoku w:val="0"/>
              <w:overflowPunct w:val="0"/>
              <w:autoSpaceDE w:val="0"/>
              <w:autoSpaceDN w:val="0"/>
              <w:spacing w:before="120" w:after="40"/>
              <w:jc w:val="left"/>
              <w:rPr>
                <w:snapToGrid w:val="0"/>
                <w:kern w:val="22"/>
                <w:szCs w:val="22"/>
              </w:rPr>
            </w:pPr>
            <w:r>
              <w:rPr>
                <w:snapToGrid w:val="0"/>
              </w:rPr>
              <w:t>CBD/COP/15/7/Add.3</w:t>
            </w:r>
          </w:p>
        </w:tc>
        <w:tc>
          <w:tcPr>
            <w:tcW w:w="0" w:type="auto"/>
            <w:shd w:val="clear" w:color="auto" w:fill="auto"/>
          </w:tcPr>
          <w:p w14:paraId="7DC71913" w14:textId="0EB61F8D" w:rsidR="00EF7F74" w:rsidRPr="00C535AF" w:rsidRDefault="00465211" w:rsidP="00914191">
            <w:pPr>
              <w:suppressLineNumbers/>
              <w:suppressAutoHyphens/>
              <w:kinsoku w:val="0"/>
              <w:overflowPunct w:val="0"/>
              <w:autoSpaceDE w:val="0"/>
              <w:autoSpaceDN w:val="0"/>
              <w:spacing w:before="120" w:after="40"/>
              <w:rPr>
                <w:snapToGrid w:val="0"/>
                <w:kern w:val="22"/>
                <w:szCs w:val="22"/>
                <w:shd w:val="clear" w:color="auto" w:fill="FFFFFF"/>
              </w:rPr>
            </w:pPr>
            <w:r>
              <w:t>Asuntos relacionados con el Fondo fiduciario voluntario especial para facilitar la participación de las Partes que son países en desarrollo en el proceso del Convenio sobre la Diversidad Biológica</w:t>
            </w:r>
          </w:p>
        </w:tc>
        <w:tc>
          <w:tcPr>
            <w:tcW w:w="1310" w:type="dxa"/>
            <w:shd w:val="clear" w:color="auto" w:fill="auto"/>
          </w:tcPr>
          <w:p w14:paraId="5A19E14A" w14:textId="002A0013" w:rsidR="00EF7F74" w:rsidRPr="00C535AF" w:rsidRDefault="00AB2E87" w:rsidP="00914191">
            <w:pPr>
              <w:suppressLineNumbers/>
              <w:suppressAutoHyphens/>
              <w:kinsoku w:val="0"/>
              <w:overflowPunct w:val="0"/>
              <w:autoSpaceDE w:val="0"/>
              <w:autoSpaceDN w:val="0"/>
              <w:spacing w:before="120" w:after="40"/>
              <w:jc w:val="right"/>
              <w:rPr>
                <w:snapToGrid w:val="0"/>
                <w:kern w:val="22"/>
                <w:szCs w:val="22"/>
              </w:rPr>
            </w:pPr>
            <w:r>
              <w:rPr>
                <w:snapToGrid w:val="0"/>
              </w:rPr>
              <w:t>6</w:t>
            </w:r>
          </w:p>
        </w:tc>
      </w:tr>
      <w:tr w:rsidR="00274468" w:rsidRPr="00C535AF" w14:paraId="2090D79E" w14:textId="77777777" w:rsidTr="00914191">
        <w:trPr>
          <w:cantSplit/>
          <w:jc w:val="center"/>
        </w:trPr>
        <w:tc>
          <w:tcPr>
            <w:tcW w:w="0" w:type="auto"/>
            <w:shd w:val="clear" w:color="auto" w:fill="auto"/>
          </w:tcPr>
          <w:p w14:paraId="5465F7BB" w14:textId="77777777" w:rsidR="00274468" w:rsidRPr="00B82D31" w:rsidRDefault="00274468" w:rsidP="00914191">
            <w:pPr>
              <w:suppressLineNumbers/>
              <w:suppressAutoHyphens/>
              <w:kinsoku w:val="0"/>
              <w:overflowPunct w:val="0"/>
              <w:autoSpaceDE w:val="0"/>
              <w:autoSpaceDN w:val="0"/>
              <w:spacing w:before="120" w:after="40"/>
              <w:jc w:val="left"/>
              <w:rPr>
                <w:snapToGrid w:val="0"/>
                <w:kern w:val="22"/>
                <w:szCs w:val="22"/>
              </w:rPr>
            </w:pPr>
            <w:r>
              <w:rPr>
                <w:snapToGrid w:val="0"/>
              </w:rPr>
              <w:lastRenderedPageBreak/>
              <w:t>CBD/COP/15/10</w:t>
            </w:r>
          </w:p>
        </w:tc>
        <w:tc>
          <w:tcPr>
            <w:tcW w:w="0" w:type="auto"/>
            <w:shd w:val="clear" w:color="auto" w:fill="auto"/>
          </w:tcPr>
          <w:p w14:paraId="66DD9886" w14:textId="77777777" w:rsidR="00274468" w:rsidRPr="00B82D31" w:rsidRDefault="00274468" w:rsidP="00914191">
            <w:pPr>
              <w:suppressLineNumbers/>
              <w:suppressAutoHyphens/>
              <w:kinsoku w:val="0"/>
              <w:overflowPunct w:val="0"/>
              <w:autoSpaceDE w:val="0"/>
              <w:autoSpaceDN w:val="0"/>
              <w:spacing w:before="120" w:after="40"/>
              <w:jc w:val="left"/>
              <w:rPr>
                <w:snapToGrid w:val="0"/>
                <w:kern w:val="22"/>
                <w:szCs w:val="22"/>
                <w:shd w:val="clear" w:color="auto" w:fill="FFFFFF"/>
              </w:rPr>
            </w:pPr>
            <w:r>
              <w:t>El mecanismo financiero: asuntos relacionados con la orientación al Fondo para el Medio Ambiente Mundial, con inclusión de la consolidación de la orientación</w:t>
            </w:r>
          </w:p>
        </w:tc>
        <w:tc>
          <w:tcPr>
            <w:tcW w:w="1310" w:type="dxa"/>
            <w:shd w:val="clear" w:color="auto" w:fill="auto"/>
          </w:tcPr>
          <w:p w14:paraId="5E31337B" w14:textId="77777777" w:rsidR="00274468" w:rsidRPr="00C535AF" w:rsidRDefault="00274468" w:rsidP="00914191">
            <w:pPr>
              <w:suppressLineNumbers/>
              <w:suppressAutoHyphens/>
              <w:kinsoku w:val="0"/>
              <w:overflowPunct w:val="0"/>
              <w:autoSpaceDE w:val="0"/>
              <w:autoSpaceDN w:val="0"/>
              <w:spacing w:before="120" w:after="40"/>
              <w:jc w:val="right"/>
              <w:rPr>
                <w:snapToGrid w:val="0"/>
                <w:kern w:val="22"/>
                <w:szCs w:val="22"/>
              </w:rPr>
            </w:pPr>
            <w:r>
              <w:rPr>
                <w:snapToGrid w:val="0"/>
              </w:rPr>
              <w:t>7</w:t>
            </w:r>
          </w:p>
        </w:tc>
      </w:tr>
    </w:tbl>
    <w:p w14:paraId="429C06E8" w14:textId="77777777" w:rsidR="00827E6C" w:rsidRDefault="00827E6C" w:rsidP="00F52AC0">
      <w:pPr>
        <w:pStyle w:val="Heading-plainbold"/>
        <w:keepNext/>
        <w:suppressLineNumbers/>
        <w:suppressAutoHyphens/>
        <w:kinsoku w:val="0"/>
        <w:overflowPunct w:val="0"/>
        <w:autoSpaceDE w:val="0"/>
        <w:autoSpaceDN w:val="0"/>
        <w:rPr>
          <w:i w:val="0"/>
          <w:iCs/>
          <w:snapToGrid w:val="0"/>
          <w:kern w:val="22"/>
          <w:szCs w:val="22"/>
          <w:lang w:val="en-CA"/>
        </w:rPr>
      </w:pPr>
    </w:p>
    <w:p w14:paraId="69CEDBC4" w14:textId="5447E556" w:rsidR="00F52AC0" w:rsidRPr="003714AC" w:rsidRDefault="00F52AC0" w:rsidP="00DC63A8">
      <w:pPr>
        <w:pStyle w:val="Heading-plainbold"/>
        <w:keepNext/>
        <w:numPr>
          <w:ilvl w:val="2"/>
          <w:numId w:val="13"/>
        </w:numPr>
        <w:suppressLineNumbers/>
        <w:suppressAutoHyphens/>
        <w:kinsoku w:val="0"/>
        <w:overflowPunct w:val="0"/>
        <w:autoSpaceDE w:val="0"/>
        <w:autoSpaceDN w:val="0"/>
        <w:ind w:left="0" w:hanging="6"/>
        <w:rPr>
          <w:iCs/>
          <w:snapToGrid w:val="0"/>
          <w:kern w:val="22"/>
          <w:szCs w:val="22"/>
        </w:rPr>
      </w:pPr>
      <w:r>
        <w:rPr>
          <w:i w:val="0"/>
          <w:snapToGrid w:val="0"/>
        </w:rPr>
        <w:t>Documentos de información (lista preliminar)</w:t>
      </w:r>
    </w:p>
    <w:tbl>
      <w:tblPr>
        <w:tblW w:w="0" w:type="auto"/>
        <w:jc w:val="center"/>
        <w:tblLook w:val="04A0" w:firstRow="1" w:lastRow="0" w:firstColumn="1" w:lastColumn="0" w:noHBand="0" w:noVBand="1"/>
      </w:tblPr>
      <w:tblGrid>
        <w:gridCol w:w="2800"/>
        <w:gridCol w:w="5366"/>
        <w:gridCol w:w="1296"/>
      </w:tblGrid>
      <w:tr w:rsidR="00F52AC0" w:rsidRPr="003714AC" w14:paraId="52AEEAE5" w14:textId="77777777" w:rsidTr="00F02FBC">
        <w:trPr>
          <w:jc w:val="center"/>
        </w:trPr>
        <w:tc>
          <w:tcPr>
            <w:tcW w:w="0" w:type="auto"/>
            <w:shd w:val="clear" w:color="auto" w:fill="auto"/>
          </w:tcPr>
          <w:p w14:paraId="3FD1CD96" w14:textId="77777777" w:rsidR="00F52AC0" w:rsidRPr="003714AC" w:rsidRDefault="00F52AC0" w:rsidP="00E03231">
            <w:pPr>
              <w:keepNext/>
              <w:suppressLineNumbers/>
              <w:suppressAutoHyphens/>
              <w:kinsoku w:val="0"/>
              <w:overflowPunct w:val="0"/>
              <w:autoSpaceDE w:val="0"/>
              <w:autoSpaceDN w:val="0"/>
              <w:spacing w:before="60" w:after="60"/>
              <w:jc w:val="center"/>
              <w:rPr>
                <w:i/>
                <w:snapToGrid w:val="0"/>
                <w:kern w:val="22"/>
              </w:rPr>
            </w:pPr>
            <w:r>
              <w:rPr>
                <w:i/>
                <w:snapToGrid w:val="0"/>
              </w:rPr>
              <w:t>Signatura</w:t>
            </w:r>
          </w:p>
        </w:tc>
        <w:tc>
          <w:tcPr>
            <w:tcW w:w="0" w:type="auto"/>
            <w:shd w:val="clear" w:color="auto" w:fill="auto"/>
          </w:tcPr>
          <w:p w14:paraId="6EC8D618" w14:textId="77777777" w:rsidR="00F52AC0" w:rsidRPr="003714AC" w:rsidRDefault="00F52AC0" w:rsidP="00E03231">
            <w:pPr>
              <w:keepNext/>
              <w:suppressLineNumbers/>
              <w:suppressAutoHyphens/>
              <w:kinsoku w:val="0"/>
              <w:overflowPunct w:val="0"/>
              <w:autoSpaceDE w:val="0"/>
              <w:autoSpaceDN w:val="0"/>
              <w:spacing w:before="60" w:after="60"/>
              <w:jc w:val="center"/>
              <w:rPr>
                <w:i/>
                <w:snapToGrid w:val="0"/>
                <w:kern w:val="22"/>
              </w:rPr>
            </w:pPr>
            <w:r>
              <w:rPr>
                <w:i/>
                <w:snapToGrid w:val="0"/>
              </w:rPr>
              <w:t>Título</w:t>
            </w:r>
          </w:p>
        </w:tc>
        <w:tc>
          <w:tcPr>
            <w:tcW w:w="0" w:type="auto"/>
          </w:tcPr>
          <w:p w14:paraId="29CA586C" w14:textId="77777777" w:rsidR="00F52AC0" w:rsidRPr="003714AC" w:rsidRDefault="00F52AC0" w:rsidP="00F02FBC">
            <w:pPr>
              <w:keepNext/>
              <w:suppressLineNumbers/>
              <w:suppressAutoHyphens/>
              <w:kinsoku w:val="0"/>
              <w:overflowPunct w:val="0"/>
              <w:autoSpaceDE w:val="0"/>
              <w:autoSpaceDN w:val="0"/>
              <w:spacing w:before="60" w:after="60"/>
              <w:jc w:val="right"/>
              <w:rPr>
                <w:i/>
                <w:snapToGrid w:val="0"/>
                <w:kern w:val="22"/>
              </w:rPr>
            </w:pPr>
            <w:r>
              <w:rPr>
                <w:i/>
                <w:snapToGrid w:val="0"/>
              </w:rPr>
              <w:t>Tema(s) del programa</w:t>
            </w:r>
          </w:p>
        </w:tc>
      </w:tr>
      <w:tr w:rsidR="007D3622" w:rsidRPr="003714AC" w14:paraId="60A85DE1" w14:textId="77777777" w:rsidTr="00F02FBC">
        <w:trPr>
          <w:jc w:val="center"/>
        </w:trPr>
        <w:tc>
          <w:tcPr>
            <w:tcW w:w="0" w:type="auto"/>
            <w:shd w:val="clear" w:color="auto" w:fill="auto"/>
          </w:tcPr>
          <w:p w14:paraId="4304081F" w14:textId="2436F4F5"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rPr>
              <w:t>CBD/NB/CB-IAC/2019/1/4</w:t>
            </w:r>
          </w:p>
        </w:tc>
        <w:tc>
          <w:tcPr>
            <w:tcW w:w="0" w:type="auto"/>
            <w:shd w:val="clear" w:color="auto" w:fill="auto"/>
          </w:tcPr>
          <w:p w14:paraId="0CB8727F" w14:textId="033EAB13"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rPr>
              <w:t>Informe del Comité Asesor Oficioso sobre Creación de Capacidad para la Aplicación del Protocolo de Nagoya</w:t>
            </w:r>
          </w:p>
        </w:tc>
        <w:tc>
          <w:tcPr>
            <w:tcW w:w="0" w:type="auto"/>
          </w:tcPr>
          <w:p w14:paraId="1B0D19ED" w14:textId="10591F99" w:rsidR="007D3622" w:rsidRPr="003714AC" w:rsidRDefault="00827E6C" w:rsidP="00F02FBC">
            <w:pPr>
              <w:suppressLineNumbers/>
              <w:suppressAutoHyphens/>
              <w:kinsoku w:val="0"/>
              <w:overflowPunct w:val="0"/>
              <w:autoSpaceDE w:val="0"/>
              <w:autoSpaceDN w:val="0"/>
              <w:spacing w:before="60" w:after="60"/>
              <w:jc w:val="right"/>
              <w:rPr>
                <w:snapToGrid w:val="0"/>
                <w:kern w:val="22"/>
              </w:rPr>
            </w:pPr>
            <w:r>
              <w:rPr>
                <w:snapToGrid w:val="0"/>
              </w:rPr>
              <w:t>8</w:t>
            </w:r>
          </w:p>
        </w:tc>
      </w:tr>
      <w:tr w:rsidR="007D3622" w:rsidRPr="003714AC" w14:paraId="518184A7" w14:textId="77777777" w:rsidTr="00F02FBC">
        <w:trPr>
          <w:jc w:val="center"/>
        </w:trPr>
        <w:tc>
          <w:tcPr>
            <w:tcW w:w="0" w:type="auto"/>
            <w:shd w:val="clear" w:color="auto" w:fill="auto"/>
          </w:tcPr>
          <w:p w14:paraId="65172D74" w14:textId="2960EF50"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rPr>
              <w:t>CBD/SBI/3/9</w:t>
            </w:r>
          </w:p>
        </w:tc>
        <w:tc>
          <w:tcPr>
            <w:tcW w:w="0" w:type="auto"/>
            <w:shd w:val="clear" w:color="auto" w:fill="auto"/>
          </w:tcPr>
          <w:p w14:paraId="4537968E" w14:textId="3D1F1413" w:rsidR="007D3622" w:rsidRPr="003714AC" w:rsidRDefault="00F610D7" w:rsidP="00F610D7">
            <w:pPr>
              <w:suppressLineNumbers/>
              <w:suppressAutoHyphens/>
              <w:kinsoku w:val="0"/>
              <w:overflowPunct w:val="0"/>
              <w:autoSpaceDE w:val="0"/>
              <w:autoSpaceDN w:val="0"/>
              <w:spacing w:before="60" w:after="60"/>
              <w:jc w:val="left"/>
              <w:rPr>
                <w:snapToGrid w:val="0"/>
                <w:kern w:val="22"/>
              </w:rPr>
            </w:pPr>
            <w:r>
              <w:rPr>
                <w:snapToGrid w:val="0"/>
              </w:rPr>
              <w:t xml:space="preserve">Evaluación del marco estratégico para la creación y el desarrollo de capacidad en apoyo a la aplicación efectiva del Protocolo de Nagoya </w:t>
            </w:r>
          </w:p>
        </w:tc>
        <w:tc>
          <w:tcPr>
            <w:tcW w:w="0" w:type="auto"/>
          </w:tcPr>
          <w:p w14:paraId="00979025" w14:textId="2CFE3A90" w:rsidR="007D3622" w:rsidRPr="003714AC" w:rsidRDefault="007D3622" w:rsidP="00F02FBC">
            <w:pPr>
              <w:suppressLineNumbers/>
              <w:suppressAutoHyphens/>
              <w:kinsoku w:val="0"/>
              <w:overflowPunct w:val="0"/>
              <w:autoSpaceDE w:val="0"/>
              <w:autoSpaceDN w:val="0"/>
              <w:spacing w:before="60" w:after="60"/>
              <w:jc w:val="right"/>
              <w:rPr>
                <w:snapToGrid w:val="0"/>
                <w:kern w:val="22"/>
              </w:rPr>
            </w:pPr>
            <w:r>
              <w:rPr>
                <w:snapToGrid w:val="0"/>
              </w:rPr>
              <w:t>8</w:t>
            </w:r>
          </w:p>
        </w:tc>
      </w:tr>
      <w:tr w:rsidR="007D3622" w:rsidRPr="003714AC" w14:paraId="6354D78A" w14:textId="77777777" w:rsidTr="00F02FBC">
        <w:trPr>
          <w:jc w:val="center"/>
        </w:trPr>
        <w:tc>
          <w:tcPr>
            <w:tcW w:w="0" w:type="auto"/>
            <w:shd w:val="clear" w:color="auto" w:fill="auto"/>
          </w:tcPr>
          <w:p w14:paraId="10F57654" w14:textId="1A4E31D2"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rPr>
              <w:t>CBD/NP/MOP/4/INF/1</w:t>
            </w:r>
          </w:p>
        </w:tc>
        <w:tc>
          <w:tcPr>
            <w:tcW w:w="0" w:type="auto"/>
            <w:shd w:val="clear" w:color="auto" w:fill="auto"/>
          </w:tcPr>
          <w:p w14:paraId="33C92D50" w14:textId="77777777" w:rsidR="007D3622" w:rsidRPr="003714AC" w:rsidDel="00E64FCC" w:rsidRDefault="007D3622" w:rsidP="007D3622">
            <w:pPr>
              <w:suppressLineNumbers/>
              <w:suppressAutoHyphens/>
              <w:kinsoku w:val="0"/>
              <w:overflowPunct w:val="0"/>
              <w:autoSpaceDE w:val="0"/>
              <w:autoSpaceDN w:val="0"/>
              <w:spacing w:before="60"/>
              <w:jc w:val="left"/>
              <w:rPr>
                <w:snapToGrid w:val="0"/>
                <w:kern w:val="22"/>
              </w:rPr>
            </w:pPr>
            <w:r>
              <w:rPr>
                <w:snapToGrid w:val="0"/>
              </w:rPr>
              <w:t>Panorama de las iniciativas de creación y desarrollo de capacidad que brindan apoyo directo a los países para la aplicación del Protocolo de Nagoya</w:t>
            </w:r>
          </w:p>
        </w:tc>
        <w:tc>
          <w:tcPr>
            <w:tcW w:w="0" w:type="auto"/>
          </w:tcPr>
          <w:p w14:paraId="47DC23C3" w14:textId="0CC74E7B" w:rsidR="007D3622" w:rsidRPr="003714AC" w:rsidRDefault="007D3622" w:rsidP="00F02FBC">
            <w:pPr>
              <w:suppressLineNumbers/>
              <w:suppressAutoHyphens/>
              <w:kinsoku w:val="0"/>
              <w:overflowPunct w:val="0"/>
              <w:autoSpaceDE w:val="0"/>
              <w:autoSpaceDN w:val="0"/>
              <w:spacing w:before="60" w:after="60"/>
              <w:jc w:val="right"/>
              <w:rPr>
                <w:snapToGrid w:val="0"/>
                <w:kern w:val="22"/>
              </w:rPr>
            </w:pPr>
            <w:r>
              <w:rPr>
                <w:snapToGrid w:val="0"/>
              </w:rPr>
              <w:t>8</w:t>
            </w:r>
          </w:p>
        </w:tc>
      </w:tr>
      <w:tr w:rsidR="007D3622" w:rsidRPr="003714AC" w14:paraId="7CAD9B17" w14:textId="77777777" w:rsidTr="00F02FBC">
        <w:trPr>
          <w:jc w:val="center"/>
        </w:trPr>
        <w:tc>
          <w:tcPr>
            <w:tcW w:w="0" w:type="auto"/>
            <w:shd w:val="clear" w:color="auto" w:fill="auto"/>
          </w:tcPr>
          <w:p w14:paraId="48DDB1F5" w14:textId="2BEC75E4" w:rsidR="007D3622" w:rsidRPr="003714AC" w:rsidRDefault="007D3622" w:rsidP="007D3622">
            <w:pPr>
              <w:suppressLineNumbers/>
              <w:suppressAutoHyphens/>
              <w:kinsoku w:val="0"/>
              <w:overflowPunct w:val="0"/>
              <w:autoSpaceDE w:val="0"/>
              <w:autoSpaceDN w:val="0"/>
              <w:spacing w:before="60" w:after="60"/>
              <w:jc w:val="left"/>
              <w:rPr>
                <w:snapToGrid w:val="0"/>
                <w:kern w:val="22"/>
              </w:rPr>
            </w:pPr>
            <w:r>
              <w:rPr>
                <w:snapToGrid w:val="0"/>
              </w:rPr>
              <w:t>CBD/NP/MOP/4/INF/2</w:t>
            </w:r>
          </w:p>
        </w:tc>
        <w:tc>
          <w:tcPr>
            <w:tcW w:w="0" w:type="auto"/>
            <w:shd w:val="clear" w:color="auto" w:fill="auto"/>
          </w:tcPr>
          <w:p w14:paraId="7C00E243" w14:textId="77777777" w:rsidR="007D3622" w:rsidRPr="003714AC" w:rsidDel="00E64FCC" w:rsidRDefault="007D3622" w:rsidP="007D3622">
            <w:pPr>
              <w:suppressLineNumbers/>
              <w:suppressAutoHyphens/>
              <w:kinsoku w:val="0"/>
              <w:overflowPunct w:val="0"/>
              <w:autoSpaceDE w:val="0"/>
              <w:autoSpaceDN w:val="0"/>
              <w:spacing w:before="60"/>
              <w:jc w:val="left"/>
              <w:rPr>
                <w:snapToGrid w:val="0"/>
                <w:kern w:val="22"/>
              </w:rPr>
            </w:pPr>
            <w:r>
              <w:rPr>
                <w:snapToGrid w:val="0"/>
              </w:rPr>
              <w:t>Panorama de las herramientas y recursos para el acceso y la participación en los beneficios y la creación de capacidad</w:t>
            </w:r>
          </w:p>
        </w:tc>
        <w:tc>
          <w:tcPr>
            <w:tcW w:w="0" w:type="auto"/>
          </w:tcPr>
          <w:p w14:paraId="48F51183" w14:textId="72B477BF" w:rsidR="007D3622" w:rsidRPr="003714AC" w:rsidRDefault="007D3622" w:rsidP="00F02FBC">
            <w:pPr>
              <w:suppressLineNumbers/>
              <w:suppressAutoHyphens/>
              <w:kinsoku w:val="0"/>
              <w:overflowPunct w:val="0"/>
              <w:autoSpaceDE w:val="0"/>
              <w:autoSpaceDN w:val="0"/>
              <w:spacing w:before="60" w:after="60"/>
              <w:jc w:val="right"/>
              <w:rPr>
                <w:snapToGrid w:val="0"/>
                <w:kern w:val="22"/>
              </w:rPr>
            </w:pPr>
            <w:r>
              <w:rPr>
                <w:snapToGrid w:val="0"/>
              </w:rPr>
              <w:t>8</w:t>
            </w:r>
          </w:p>
        </w:tc>
      </w:tr>
      <w:tr w:rsidR="00827E6C" w:rsidRPr="003714AC" w14:paraId="108B1C13" w14:textId="77777777" w:rsidTr="00F02FBC">
        <w:trPr>
          <w:jc w:val="center"/>
        </w:trPr>
        <w:tc>
          <w:tcPr>
            <w:tcW w:w="0" w:type="auto"/>
            <w:shd w:val="clear" w:color="auto" w:fill="auto"/>
          </w:tcPr>
          <w:p w14:paraId="31E8FEF5" w14:textId="144618DF" w:rsidR="00827E6C" w:rsidRPr="003714AC" w:rsidRDefault="00827E6C" w:rsidP="0036627F">
            <w:pPr>
              <w:suppressLineNumbers/>
              <w:suppressAutoHyphens/>
              <w:kinsoku w:val="0"/>
              <w:overflowPunct w:val="0"/>
              <w:autoSpaceDE w:val="0"/>
              <w:autoSpaceDN w:val="0"/>
              <w:spacing w:before="60" w:after="60"/>
              <w:jc w:val="left"/>
              <w:rPr>
                <w:snapToGrid w:val="0"/>
                <w:kern w:val="22"/>
              </w:rPr>
            </w:pPr>
            <w:r>
              <w:rPr>
                <w:snapToGrid w:val="0"/>
              </w:rPr>
              <w:t>CBD/NP/ABSCH-IAC/2019/1/3</w:t>
            </w:r>
          </w:p>
        </w:tc>
        <w:tc>
          <w:tcPr>
            <w:tcW w:w="0" w:type="auto"/>
            <w:shd w:val="clear" w:color="auto" w:fill="auto"/>
          </w:tcPr>
          <w:p w14:paraId="5289CAC7" w14:textId="32F165ED" w:rsidR="00827E6C" w:rsidRPr="003714AC" w:rsidRDefault="00827E6C" w:rsidP="0036627F">
            <w:pPr>
              <w:suppressLineNumbers/>
              <w:suppressAutoHyphens/>
              <w:kinsoku w:val="0"/>
              <w:overflowPunct w:val="0"/>
              <w:autoSpaceDE w:val="0"/>
              <w:autoSpaceDN w:val="0"/>
              <w:spacing w:before="60" w:after="60"/>
              <w:jc w:val="left"/>
              <w:rPr>
                <w:snapToGrid w:val="0"/>
                <w:kern w:val="22"/>
              </w:rPr>
            </w:pPr>
            <w:r>
              <w:rPr>
                <w:snapToGrid w:val="0"/>
              </w:rPr>
              <w:t>Informe del Comité Asesor Oficioso sobre el Centro de Intercambio de Información sobre Acceso y Participación en los Beneficios</w:t>
            </w:r>
          </w:p>
        </w:tc>
        <w:tc>
          <w:tcPr>
            <w:tcW w:w="0" w:type="auto"/>
          </w:tcPr>
          <w:p w14:paraId="0B3522F7" w14:textId="38CFCB36" w:rsidR="00827E6C" w:rsidRPr="003714AC" w:rsidRDefault="00827E6C" w:rsidP="00F02FBC">
            <w:pPr>
              <w:suppressLineNumbers/>
              <w:suppressAutoHyphens/>
              <w:kinsoku w:val="0"/>
              <w:overflowPunct w:val="0"/>
              <w:autoSpaceDE w:val="0"/>
              <w:autoSpaceDN w:val="0"/>
              <w:spacing w:before="60" w:after="60"/>
              <w:jc w:val="right"/>
              <w:rPr>
                <w:snapToGrid w:val="0"/>
                <w:kern w:val="22"/>
              </w:rPr>
            </w:pPr>
            <w:r>
              <w:rPr>
                <w:snapToGrid w:val="0"/>
              </w:rPr>
              <w:t>9</w:t>
            </w:r>
          </w:p>
        </w:tc>
      </w:tr>
      <w:tr w:rsidR="00E53AB2" w:rsidRPr="003714AC" w14:paraId="1C4C4182" w14:textId="77777777" w:rsidTr="00F02FBC">
        <w:trPr>
          <w:jc w:val="center"/>
        </w:trPr>
        <w:tc>
          <w:tcPr>
            <w:tcW w:w="0" w:type="auto"/>
            <w:shd w:val="clear" w:color="auto" w:fill="auto"/>
          </w:tcPr>
          <w:p w14:paraId="77E261FA" w14:textId="6125722D" w:rsidR="00E53AB2" w:rsidRPr="003714AC" w:rsidRDefault="00B735A1" w:rsidP="0036627F">
            <w:pPr>
              <w:suppressLineNumbers/>
              <w:suppressAutoHyphens/>
              <w:kinsoku w:val="0"/>
              <w:overflowPunct w:val="0"/>
              <w:autoSpaceDE w:val="0"/>
              <w:autoSpaceDN w:val="0"/>
              <w:spacing w:before="60" w:after="60"/>
              <w:jc w:val="left"/>
              <w:rPr>
                <w:snapToGrid w:val="0"/>
                <w:kern w:val="22"/>
              </w:rPr>
            </w:pPr>
            <w:r>
              <w:rPr>
                <w:snapToGrid w:val="0"/>
              </w:rPr>
              <w:t>CBD/NP/CB-WS/2019/1/2</w:t>
            </w:r>
          </w:p>
        </w:tc>
        <w:tc>
          <w:tcPr>
            <w:tcW w:w="0" w:type="auto"/>
            <w:shd w:val="clear" w:color="auto" w:fill="auto"/>
          </w:tcPr>
          <w:p w14:paraId="42D599F3" w14:textId="7EDA594D" w:rsidR="00E53AB2" w:rsidRPr="003714AC" w:rsidRDefault="00E74BD6" w:rsidP="0036627F">
            <w:pPr>
              <w:suppressLineNumbers/>
              <w:suppressAutoHyphens/>
              <w:kinsoku w:val="0"/>
              <w:overflowPunct w:val="0"/>
              <w:autoSpaceDE w:val="0"/>
              <w:autoSpaceDN w:val="0"/>
              <w:spacing w:before="60" w:after="60"/>
              <w:jc w:val="left"/>
              <w:rPr>
                <w:snapToGrid w:val="0"/>
                <w:kern w:val="22"/>
              </w:rPr>
            </w:pPr>
            <w:r>
              <w:rPr>
                <w:snapToGrid w:val="0"/>
              </w:rPr>
              <w:t>Informe sobre el Taller mundial de creación de capacidad para la vigilancia de la utilización de recursos genéticos con arreglo al Protocolo de Nagoya</w:t>
            </w:r>
          </w:p>
        </w:tc>
        <w:tc>
          <w:tcPr>
            <w:tcW w:w="0" w:type="auto"/>
          </w:tcPr>
          <w:p w14:paraId="177FC8EF" w14:textId="6570EEF4" w:rsidR="00E53AB2" w:rsidRPr="00B122DA" w:rsidRDefault="00E53AB2" w:rsidP="00F02FBC">
            <w:pPr>
              <w:suppressLineNumbers/>
              <w:suppressAutoHyphens/>
              <w:kinsoku w:val="0"/>
              <w:overflowPunct w:val="0"/>
              <w:autoSpaceDE w:val="0"/>
              <w:autoSpaceDN w:val="0"/>
              <w:spacing w:before="60" w:after="60"/>
              <w:jc w:val="right"/>
              <w:rPr>
                <w:snapToGrid w:val="0"/>
                <w:kern w:val="22"/>
                <w:lang w:val="es-UY"/>
              </w:rPr>
            </w:pPr>
          </w:p>
        </w:tc>
      </w:tr>
      <w:tr w:rsidR="00DA15BE" w:rsidRPr="003714AC" w14:paraId="114DA840" w14:textId="77777777" w:rsidTr="00F02FBC">
        <w:trPr>
          <w:jc w:val="center"/>
        </w:trPr>
        <w:tc>
          <w:tcPr>
            <w:tcW w:w="0" w:type="auto"/>
            <w:shd w:val="clear" w:color="auto" w:fill="auto"/>
          </w:tcPr>
          <w:p w14:paraId="64BE8DEB" w14:textId="0E456C63" w:rsidR="00DA15BE" w:rsidRPr="003714AC" w:rsidRDefault="0036627F" w:rsidP="007D3622">
            <w:pPr>
              <w:suppressLineNumbers/>
              <w:suppressAutoHyphens/>
              <w:kinsoku w:val="0"/>
              <w:overflowPunct w:val="0"/>
              <w:autoSpaceDE w:val="0"/>
              <w:autoSpaceDN w:val="0"/>
              <w:spacing w:before="60" w:after="60"/>
              <w:jc w:val="left"/>
              <w:rPr>
                <w:snapToGrid w:val="0"/>
                <w:kern w:val="22"/>
              </w:rPr>
            </w:pPr>
            <w:r>
              <w:rPr>
                <w:snapToGrid w:val="0"/>
              </w:rPr>
              <w:t>CBD/SBI/3/14</w:t>
            </w:r>
          </w:p>
        </w:tc>
        <w:tc>
          <w:tcPr>
            <w:tcW w:w="0" w:type="auto"/>
            <w:shd w:val="clear" w:color="auto" w:fill="auto"/>
          </w:tcPr>
          <w:p w14:paraId="7D57573F" w14:textId="609AFDC9" w:rsidR="00DA15BE" w:rsidRPr="003714AC" w:rsidRDefault="0036627F" w:rsidP="0036627F">
            <w:pPr>
              <w:suppressLineNumbers/>
              <w:suppressAutoHyphens/>
              <w:kinsoku w:val="0"/>
              <w:overflowPunct w:val="0"/>
              <w:autoSpaceDE w:val="0"/>
              <w:autoSpaceDN w:val="0"/>
              <w:spacing w:before="60"/>
              <w:jc w:val="left"/>
              <w:rPr>
                <w:kern w:val="22"/>
              </w:rPr>
            </w:pPr>
            <w:r>
              <w:rPr>
                <w:snapToGrid w:val="0"/>
                <w:color w:val="000000"/>
              </w:rPr>
              <w:t xml:space="preserve">Instrumentos internacionales especializados de acceso y participación en los beneficios en el contexto del artículo 4, párrafo 4, del Protocolo de Nagoya </w:t>
            </w:r>
          </w:p>
        </w:tc>
        <w:tc>
          <w:tcPr>
            <w:tcW w:w="0" w:type="auto"/>
          </w:tcPr>
          <w:p w14:paraId="1ABAF4CA" w14:textId="379ACE25" w:rsidR="00DA15BE" w:rsidRPr="003714AC" w:rsidRDefault="0036627F" w:rsidP="00F02FBC">
            <w:pPr>
              <w:suppressLineNumbers/>
              <w:suppressAutoHyphens/>
              <w:kinsoku w:val="0"/>
              <w:overflowPunct w:val="0"/>
              <w:autoSpaceDE w:val="0"/>
              <w:autoSpaceDN w:val="0"/>
              <w:spacing w:before="60" w:after="60"/>
              <w:jc w:val="right"/>
              <w:rPr>
                <w:snapToGrid w:val="0"/>
                <w:kern w:val="22"/>
              </w:rPr>
            </w:pPr>
            <w:r>
              <w:rPr>
                <w:snapToGrid w:val="0"/>
              </w:rPr>
              <w:t>15</w:t>
            </w:r>
          </w:p>
        </w:tc>
      </w:tr>
      <w:tr w:rsidR="00AB205D" w:rsidRPr="003714AC" w14:paraId="16ADF91E" w14:textId="77777777" w:rsidTr="00F02FBC">
        <w:trPr>
          <w:jc w:val="center"/>
        </w:trPr>
        <w:tc>
          <w:tcPr>
            <w:tcW w:w="0" w:type="auto"/>
            <w:shd w:val="clear" w:color="auto" w:fill="auto"/>
          </w:tcPr>
          <w:p w14:paraId="44F6FCC1" w14:textId="77777777" w:rsidR="00AB205D" w:rsidRPr="003714AC" w:rsidRDefault="00AB205D" w:rsidP="00573F75">
            <w:pPr>
              <w:suppressLineNumbers/>
              <w:suppressAutoHyphens/>
              <w:kinsoku w:val="0"/>
              <w:overflowPunct w:val="0"/>
              <w:autoSpaceDE w:val="0"/>
              <w:autoSpaceDN w:val="0"/>
              <w:spacing w:before="60" w:after="60"/>
              <w:jc w:val="left"/>
              <w:rPr>
                <w:snapToGrid w:val="0"/>
                <w:kern w:val="22"/>
              </w:rPr>
            </w:pPr>
            <w:r>
              <w:rPr>
                <w:snapToGrid w:val="0"/>
              </w:rPr>
              <w:t>CBD/SBI/3/17</w:t>
            </w:r>
          </w:p>
        </w:tc>
        <w:tc>
          <w:tcPr>
            <w:tcW w:w="0" w:type="auto"/>
            <w:shd w:val="clear" w:color="auto" w:fill="auto"/>
          </w:tcPr>
          <w:p w14:paraId="524B5FE3" w14:textId="77777777" w:rsidR="00AB205D" w:rsidRPr="003714AC" w:rsidRDefault="00AB205D" w:rsidP="00573F75">
            <w:pPr>
              <w:suppressLineNumbers/>
              <w:suppressAutoHyphens/>
              <w:kinsoku w:val="0"/>
              <w:overflowPunct w:val="0"/>
              <w:autoSpaceDE w:val="0"/>
              <w:autoSpaceDN w:val="0"/>
              <w:spacing w:before="60"/>
              <w:jc w:val="left"/>
              <w:rPr>
                <w:kern w:val="22"/>
              </w:rPr>
            </w:pPr>
            <w:r>
              <w:t>Mecanismo mundial multilateral de participación en los beneficios (artículo 10) del Protocolo de Nagoya</w:t>
            </w:r>
          </w:p>
        </w:tc>
        <w:tc>
          <w:tcPr>
            <w:tcW w:w="0" w:type="auto"/>
          </w:tcPr>
          <w:p w14:paraId="30AA7742" w14:textId="77777777" w:rsidR="00AB205D" w:rsidRPr="003714AC" w:rsidRDefault="00AB205D" w:rsidP="00F02FBC">
            <w:pPr>
              <w:suppressLineNumbers/>
              <w:suppressAutoHyphens/>
              <w:kinsoku w:val="0"/>
              <w:overflowPunct w:val="0"/>
              <w:autoSpaceDE w:val="0"/>
              <w:autoSpaceDN w:val="0"/>
              <w:spacing w:before="60" w:after="60"/>
              <w:jc w:val="right"/>
              <w:rPr>
                <w:snapToGrid w:val="0"/>
                <w:kern w:val="22"/>
              </w:rPr>
            </w:pPr>
            <w:r>
              <w:rPr>
                <w:snapToGrid w:val="0"/>
              </w:rPr>
              <w:t>16</w:t>
            </w:r>
          </w:p>
        </w:tc>
      </w:tr>
      <w:tr w:rsidR="00DA15BE" w:rsidRPr="003714AC" w14:paraId="67B4237D" w14:textId="77777777" w:rsidTr="00F02FBC">
        <w:trPr>
          <w:jc w:val="center"/>
        </w:trPr>
        <w:tc>
          <w:tcPr>
            <w:tcW w:w="0" w:type="auto"/>
            <w:shd w:val="clear" w:color="auto" w:fill="auto"/>
          </w:tcPr>
          <w:p w14:paraId="0E55D927" w14:textId="07B102A2" w:rsidR="00DA15BE" w:rsidRPr="003714AC" w:rsidRDefault="0036627F" w:rsidP="007D3622">
            <w:pPr>
              <w:suppressLineNumbers/>
              <w:suppressAutoHyphens/>
              <w:kinsoku w:val="0"/>
              <w:overflowPunct w:val="0"/>
              <w:autoSpaceDE w:val="0"/>
              <w:autoSpaceDN w:val="0"/>
              <w:spacing w:before="60" w:after="60"/>
              <w:jc w:val="left"/>
              <w:rPr>
                <w:snapToGrid w:val="0"/>
                <w:kern w:val="22"/>
              </w:rPr>
            </w:pPr>
            <w:r>
              <w:rPr>
                <w:snapToGrid w:val="0"/>
              </w:rPr>
              <w:t>CBD/SBI/3/15/Add.1</w:t>
            </w:r>
          </w:p>
        </w:tc>
        <w:tc>
          <w:tcPr>
            <w:tcW w:w="0" w:type="auto"/>
            <w:shd w:val="clear" w:color="auto" w:fill="auto"/>
          </w:tcPr>
          <w:p w14:paraId="0E786358" w14:textId="3098195E" w:rsidR="00DA15BE" w:rsidRPr="003714AC" w:rsidRDefault="0036627F" w:rsidP="007D3622">
            <w:pPr>
              <w:suppressLineNumbers/>
              <w:suppressAutoHyphens/>
              <w:kinsoku w:val="0"/>
              <w:overflowPunct w:val="0"/>
              <w:autoSpaceDE w:val="0"/>
              <w:autoSpaceDN w:val="0"/>
              <w:spacing w:before="60"/>
              <w:jc w:val="left"/>
              <w:rPr>
                <w:kern w:val="22"/>
              </w:rPr>
            </w:pPr>
            <w:r>
              <w:t>Estudio para identificar casos específicos de recursos genéticos y conocimientos tradicionales asociados a recursos genéticos que se producen en situaciones transfronterizas o para los que no es posible otorgar ni obtener consentimiento informado previo</w:t>
            </w:r>
          </w:p>
        </w:tc>
        <w:tc>
          <w:tcPr>
            <w:tcW w:w="0" w:type="auto"/>
          </w:tcPr>
          <w:p w14:paraId="3B87E6F5" w14:textId="15DEA4E2" w:rsidR="00DA15BE" w:rsidRPr="003714AC" w:rsidRDefault="0036627F" w:rsidP="00F02FBC">
            <w:pPr>
              <w:suppressLineNumbers/>
              <w:suppressAutoHyphens/>
              <w:kinsoku w:val="0"/>
              <w:overflowPunct w:val="0"/>
              <w:autoSpaceDE w:val="0"/>
              <w:autoSpaceDN w:val="0"/>
              <w:spacing w:before="60" w:after="60"/>
              <w:jc w:val="right"/>
              <w:rPr>
                <w:snapToGrid w:val="0"/>
                <w:kern w:val="22"/>
              </w:rPr>
            </w:pPr>
            <w:r>
              <w:rPr>
                <w:snapToGrid w:val="0"/>
              </w:rPr>
              <w:t>16</w:t>
            </w:r>
          </w:p>
        </w:tc>
      </w:tr>
      <w:tr w:rsidR="002B7274" w:rsidRPr="00C535AF" w14:paraId="158F466A" w14:textId="77777777" w:rsidTr="00F02FBC">
        <w:trPr>
          <w:jc w:val="center"/>
        </w:trPr>
        <w:tc>
          <w:tcPr>
            <w:tcW w:w="0" w:type="auto"/>
            <w:shd w:val="clear" w:color="auto" w:fill="auto"/>
          </w:tcPr>
          <w:p w14:paraId="6E0CE423" w14:textId="156136C0" w:rsidR="002B7274" w:rsidRPr="003714AC" w:rsidRDefault="005D1436" w:rsidP="002B7274">
            <w:pPr>
              <w:suppressLineNumbers/>
              <w:suppressAutoHyphens/>
              <w:kinsoku w:val="0"/>
              <w:overflowPunct w:val="0"/>
              <w:autoSpaceDE w:val="0"/>
              <w:autoSpaceDN w:val="0"/>
              <w:spacing w:before="60" w:after="60"/>
              <w:jc w:val="left"/>
              <w:rPr>
                <w:snapToGrid w:val="0"/>
                <w:kern w:val="22"/>
              </w:rPr>
            </w:pPr>
            <w:r>
              <w:rPr>
                <w:rStyle w:val="ng-binding"/>
              </w:rPr>
              <w:t>CBD/DSI/AHTEG/2020/1/7</w:t>
            </w:r>
          </w:p>
        </w:tc>
        <w:tc>
          <w:tcPr>
            <w:tcW w:w="0" w:type="auto"/>
            <w:shd w:val="clear" w:color="auto" w:fill="auto"/>
          </w:tcPr>
          <w:p w14:paraId="3F79608A" w14:textId="4D7E1607" w:rsidR="002B7274" w:rsidRPr="003714AC" w:rsidRDefault="000F5457" w:rsidP="385428FA">
            <w:pPr>
              <w:suppressLineNumbers/>
              <w:suppressAutoHyphens/>
              <w:kinsoku w:val="0"/>
              <w:overflowPunct w:val="0"/>
              <w:autoSpaceDE w:val="0"/>
              <w:autoSpaceDN w:val="0"/>
              <w:spacing w:before="60"/>
              <w:jc w:val="left"/>
            </w:pPr>
            <w:r>
              <w:t>Informe del Grupo Especial de Expertos Técnicos sobre Información Digital sobre Secuencias de Recursos Genéticos</w:t>
            </w:r>
          </w:p>
          <w:p w14:paraId="7F98FA30" w14:textId="497F349D" w:rsidR="002B7274" w:rsidRPr="00B122DA" w:rsidRDefault="002B7274" w:rsidP="002B7274">
            <w:pPr>
              <w:suppressLineNumbers/>
              <w:suppressAutoHyphens/>
              <w:kinsoku w:val="0"/>
              <w:overflowPunct w:val="0"/>
              <w:autoSpaceDE w:val="0"/>
              <w:autoSpaceDN w:val="0"/>
              <w:spacing w:before="60"/>
              <w:jc w:val="left"/>
              <w:rPr>
                <w:snapToGrid w:val="0"/>
                <w:kern w:val="22"/>
                <w:szCs w:val="22"/>
                <w:lang w:val="es-UY"/>
              </w:rPr>
            </w:pPr>
          </w:p>
        </w:tc>
        <w:tc>
          <w:tcPr>
            <w:tcW w:w="0" w:type="auto"/>
          </w:tcPr>
          <w:p w14:paraId="2AC2FDCC" w14:textId="27B9696F" w:rsidR="002B7274" w:rsidRPr="00C535AF" w:rsidRDefault="002B7274" w:rsidP="00F02FBC">
            <w:pPr>
              <w:suppressLineNumbers/>
              <w:suppressAutoHyphens/>
              <w:kinsoku w:val="0"/>
              <w:overflowPunct w:val="0"/>
              <w:autoSpaceDE w:val="0"/>
              <w:autoSpaceDN w:val="0"/>
              <w:spacing w:before="60" w:after="60"/>
              <w:jc w:val="right"/>
              <w:rPr>
                <w:snapToGrid w:val="0"/>
                <w:kern w:val="22"/>
              </w:rPr>
            </w:pPr>
            <w:r>
              <w:rPr>
                <w:snapToGrid w:val="0"/>
              </w:rPr>
              <w:t>14</w:t>
            </w:r>
          </w:p>
        </w:tc>
      </w:tr>
    </w:tbl>
    <w:p w14:paraId="079B1B2C" w14:textId="06E88318" w:rsidR="00E2202D" w:rsidRDefault="00E2202D" w:rsidP="00B4473F">
      <w:pPr>
        <w:jc w:val="left"/>
        <w:rPr>
          <w:snapToGrid w:val="0"/>
          <w:kern w:val="22"/>
          <w:szCs w:val="22"/>
          <w:lang w:val="en-CA"/>
        </w:rPr>
      </w:pPr>
    </w:p>
    <w:p w14:paraId="71F3B044" w14:textId="77777777" w:rsidR="00E2202D" w:rsidRDefault="00E2202D" w:rsidP="00C535AF">
      <w:pPr>
        <w:suppressLineNumbers/>
        <w:suppressAutoHyphens/>
        <w:kinsoku w:val="0"/>
        <w:overflowPunct w:val="0"/>
        <w:autoSpaceDE w:val="0"/>
        <w:autoSpaceDN w:val="0"/>
        <w:jc w:val="center"/>
        <w:rPr>
          <w:snapToGrid w:val="0"/>
          <w:kern w:val="22"/>
          <w:szCs w:val="22"/>
          <w:lang w:val="en-CA"/>
        </w:rPr>
      </w:pPr>
    </w:p>
    <w:p w14:paraId="0618E56E" w14:textId="646E2E50" w:rsidR="00F52AC0" w:rsidRPr="00C535AF" w:rsidRDefault="00F52AC0" w:rsidP="00C535AF">
      <w:pPr>
        <w:suppressLineNumbers/>
        <w:suppressAutoHyphens/>
        <w:kinsoku w:val="0"/>
        <w:overflowPunct w:val="0"/>
        <w:autoSpaceDE w:val="0"/>
        <w:autoSpaceDN w:val="0"/>
        <w:jc w:val="center"/>
        <w:rPr>
          <w:snapToGrid w:val="0"/>
          <w:kern w:val="22"/>
          <w:szCs w:val="22"/>
        </w:rPr>
      </w:pPr>
      <w:r>
        <w:rPr>
          <w:snapToGrid w:val="0"/>
        </w:rPr>
        <w:t>__________</w:t>
      </w:r>
    </w:p>
    <w:sectPr w:rsidR="00F52AC0" w:rsidRPr="00C535AF" w:rsidSect="00DC7DA5">
      <w:headerReference w:type="even" r:id="rId46"/>
      <w:headerReference w:type="default" r:id="rId47"/>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D7880" w14:textId="77777777" w:rsidR="00443D42" w:rsidRDefault="00443D42" w:rsidP="00CF1848">
      <w:r>
        <w:separator/>
      </w:r>
    </w:p>
  </w:endnote>
  <w:endnote w:type="continuationSeparator" w:id="0">
    <w:p w14:paraId="2ADE07A3" w14:textId="77777777" w:rsidR="00443D42" w:rsidRDefault="00443D42" w:rsidP="00CF1848">
      <w:r>
        <w:continuationSeparator/>
      </w:r>
    </w:p>
  </w:endnote>
  <w:endnote w:type="continuationNotice" w:id="1">
    <w:p w14:paraId="4BADDFC0" w14:textId="77777777" w:rsidR="00443D42" w:rsidRDefault="00443D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8802" w14:textId="77777777" w:rsidR="0036627F" w:rsidRDefault="0036627F" w:rsidP="00E03231">
    <w:pPr>
      <w:pStyle w:val="Footer"/>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373B" w14:textId="77777777" w:rsidR="0036627F" w:rsidRDefault="0036627F" w:rsidP="00E03231">
    <w:pPr>
      <w:pStyle w:val="Footer"/>
      <w:tabs>
        <w:tab w:val="clear" w:pos="4320"/>
        <w:tab w:val="clear" w:pos="8640"/>
      </w:tabs>
      <w:kinsoku w:val="0"/>
      <w:overflowPunct w:val="0"/>
      <w:autoSpaceDE w:val="0"/>
      <w:autoSpaceDN w:val="0"/>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28520" w14:textId="77777777" w:rsidR="006D30E4" w:rsidRDefault="006D3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07443" w14:textId="77777777" w:rsidR="00443D42" w:rsidRDefault="00443D42" w:rsidP="00CF1848">
      <w:r>
        <w:separator/>
      </w:r>
    </w:p>
  </w:footnote>
  <w:footnote w:type="continuationSeparator" w:id="0">
    <w:p w14:paraId="03111183" w14:textId="77777777" w:rsidR="00443D42" w:rsidRDefault="00443D42" w:rsidP="00CF1848">
      <w:r>
        <w:continuationSeparator/>
      </w:r>
    </w:p>
  </w:footnote>
  <w:footnote w:type="continuationNotice" w:id="1">
    <w:p w14:paraId="71B90ADC" w14:textId="77777777" w:rsidR="00443D42" w:rsidRDefault="00443D42"/>
  </w:footnote>
  <w:footnote w:id="2">
    <w:p w14:paraId="1D5CF20A" w14:textId="56E0E1A2" w:rsidR="00F30E98" w:rsidRPr="00A90A9F" w:rsidRDefault="00F30E98" w:rsidP="00F30E98">
      <w:pPr>
        <w:pStyle w:val="FootnoteText"/>
        <w:ind w:firstLine="0"/>
      </w:pPr>
      <w:r>
        <w:rPr>
          <w:rStyle w:val="FootnoteReference"/>
          <w:u w:val="none"/>
          <w:vertAlign w:val="superscript"/>
        </w:rPr>
        <w:footnoteRef/>
      </w:r>
      <w:r>
        <w:t xml:space="preserve"> La Sra. Sujata Arora (India) fue elegida en la 14ª reunión de la Conferencia de las Partes, </w:t>
      </w:r>
      <w:r w:rsidR="00C0257E">
        <w:t xml:space="preserve">y </w:t>
      </w:r>
      <w:r>
        <w:t>sustituida más adelante por Vinod Mathur y posteriormente por el Sr. Naresh Pal Gangwar.</w:t>
      </w:r>
    </w:p>
  </w:footnote>
  <w:footnote w:id="3">
    <w:p w14:paraId="120A3521" w14:textId="5E4F4EDF" w:rsidR="00755510" w:rsidRPr="00755510" w:rsidRDefault="00755510" w:rsidP="00755510">
      <w:pPr>
        <w:pStyle w:val="FootnoteText"/>
        <w:ind w:firstLine="0"/>
      </w:pPr>
    </w:p>
    <w:p w14:paraId="5B497D19" w14:textId="79CB3D9A" w:rsidR="00755510" w:rsidRPr="00755510" w:rsidRDefault="00755510" w:rsidP="003714AC">
      <w:pPr>
        <w:pStyle w:val="FootnoteText"/>
        <w:ind w:firstLine="0"/>
      </w:pPr>
      <w:r>
        <w:t xml:space="preserve"> Notificación </w:t>
      </w:r>
      <w:r>
        <w:rPr>
          <w:sz w:val="22"/>
        </w:rPr>
        <w:t>2022-45</w:t>
      </w:r>
      <w:r>
        <w:rPr>
          <w:color w:val="000000"/>
        </w:rPr>
        <w:t xml:space="preserve"> con fecha 25 de julio de 2022.</w:t>
      </w:r>
    </w:p>
  </w:footnote>
  <w:footnote w:id="4">
    <w:p w14:paraId="4494EF9C" w14:textId="6612B002" w:rsidR="00755510" w:rsidRPr="003714AC" w:rsidRDefault="00755510" w:rsidP="003714AC">
      <w:pPr>
        <w:pStyle w:val="FootnoteText"/>
        <w:ind w:firstLine="0"/>
        <w:rPr>
          <w:szCs w:val="18"/>
        </w:rPr>
      </w:pPr>
      <w:r>
        <w:rPr>
          <w:rStyle w:val="FootnoteReference"/>
          <w:szCs w:val="18"/>
          <w:u w:val="none"/>
          <w:vertAlign w:val="superscript"/>
        </w:rPr>
        <w:footnoteRef/>
      </w:r>
      <w:r>
        <w:t xml:space="preserve"> Notificación </w:t>
      </w:r>
      <w:r>
        <w:rPr>
          <w:snapToGrid w:val="0"/>
        </w:rPr>
        <w:t xml:space="preserve">2022-054, </w:t>
      </w:r>
      <w:r w:rsidR="00FD0144">
        <w:rPr>
          <w:snapToGrid w:val="0"/>
        </w:rPr>
        <w:t>con fecha</w:t>
      </w:r>
      <w:r>
        <w:rPr>
          <w:snapToGrid w:val="0"/>
        </w:rPr>
        <w:t xml:space="preserve"> 1 de septiembre de 2022.</w:t>
      </w:r>
    </w:p>
  </w:footnote>
  <w:footnote w:id="5">
    <w:p w14:paraId="0CDFA364" w14:textId="69AFDD57" w:rsidR="0036627F" w:rsidRPr="0054522C" w:rsidRDefault="0036627F" w:rsidP="0054522C">
      <w:pPr>
        <w:pStyle w:val="FootnoteText"/>
        <w:ind w:firstLine="0"/>
      </w:pPr>
      <w:r>
        <w:rPr>
          <w:rStyle w:val="FootnoteReference"/>
          <w:u w:val="none"/>
          <w:vertAlign w:val="superscript"/>
        </w:rPr>
        <w:footnoteRef/>
      </w:r>
      <w:r w:rsidR="004E4608">
        <w:t xml:space="preserve"> </w:t>
      </w:r>
      <w:r>
        <w:t>“Estudio de los criterios para identificar un instrumento internacional especializado de acceso y participación en los beneficios, y un posible proceso para su reconocimiento” (CBD/SBI/2/INF/17).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1210189832"/>
      <w:placeholder>
        <w:docPart w:val="1A186D5F9C114DDC9F7AE268BC8DA001"/>
      </w:placeholder>
      <w:dataBinding w:prefixMappings="xmlns:ns0='http://purl.org/dc/elements/1.1/' xmlns:ns1='http://schemas.openxmlformats.org/package/2006/metadata/core-properties' " w:xpath="/ns1:coreProperties[1]/ns0:subject[1]" w:storeItemID="{6C3C8BC8-F283-45AE-878A-BAB7291924A1}"/>
      <w:text/>
    </w:sdtPr>
    <w:sdtEndPr/>
    <w:sdtContent>
      <w:p w14:paraId="5C881742" w14:textId="6F8CDB79" w:rsidR="0036627F" w:rsidRPr="00DA00DE" w:rsidRDefault="00DC46EA" w:rsidP="00E03231">
        <w:pPr>
          <w:kinsoku w:val="0"/>
          <w:overflowPunct w:val="0"/>
          <w:autoSpaceDE w:val="0"/>
          <w:autoSpaceDN w:val="0"/>
          <w:adjustRightInd w:val="0"/>
          <w:snapToGrid w:val="0"/>
          <w:jc w:val="left"/>
          <w:rPr>
            <w:noProof/>
            <w:snapToGrid w:val="0"/>
            <w:kern w:val="22"/>
            <w:szCs w:val="22"/>
          </w:rPr>
        </w:pPr>
        <w:r>
          <w:rPr>
            <w:noProof/>
            <w:snapToGrid w:val="0"/>
            <w:kern w:val="22"/>
            <w:szCs w:val="22"/>
          </w:rPr>
          <w:t>CBD/NP/MOP/4/1/Add.3</w:t>
        </w:r>
      </w:p>
    </w:sdtContent>
  </w:sdt>
  <w:p w14:paraId="6BF11478" w14:textId="77777777" w:rsidR="0036627F" w:rsidRPr="005C78D8" w:rsidRDefault="0036627F" w:rsidP="00E03231">
    <w:pPr>
      <w:pStyle w:val="Header"/>
      <w:tabs>
        <w:tab w:val="clear" w:pos="4320"/>
        <w:tab w:val="clear" w:pos="8640"/>
      </w:tabs>
      <w:kinsoku w:val="0"/>
      <w:snapToGrid w:val="0"/>
      <w:rPr>
        <w:noProof/>
        <w:snapToGrid w:val="0"/>
        <w:kern w:val="22"/>
        <w:szCs w:val="22"/>
      </w:rPr>
    </w:pPr>
    <w:r>
      <w:rPr>
        <w:snapToGrid w:val="0"/>
      </w:rPr>
      <w:t xml:space="preserve">Página </w:t>
    </w:r>
    <w:r w:rsidRPr="006D30E4">
      <w:rPr>
        <w:noProof/>
        <w:snapToGrid w:val="0"/>
        <w:kern w:val="22"/>
        <w:szCs w:val="22"/>
      </w:rPr>
      <w:fldChar w:fldCharType="begin"/>
    </w:r>
    <w:r w:rsidRPr="006D30E4">
      <w:rPr>
        <w:noProof/>
        <w:snapToGrid w:val="0"/>
        <w:kern w:val="22"/>
        <w:szCs w:val="22"/>
      </w:rPr>
      <w:instrText xml:space="preserve"> PAGE   \* MERGEFORMAT </w:instrText>
    </w:r>
    <w:r w:rsidRPr="006D30E4">
      <w:rPr>
        <w:noProof/>
        <w:snapToGrid w:val="0"/>
        <w:kern w:val="22"/>
        <w:szCs w:val="22"/>
      </w:rPr>
      <w:fldChar w:fldCharType="separate"/>
    </w:r>
    <w:r w:rsidR="00561C27" w:rsidRPr="006D30E4">
      <w:rPr>
        <w:noProof/>
        <w:snapToGrid w:val="0"/>
        <w:kern w:val="22"/>
        <w:szCs w:val="22"/>
      </w:rPr>
      <w:t>8</w:t>
    </w:r>
    <w:r w:rsidRPr="006D30E4">
      <w:rPr>
        <w:noProof/>
        <w:snapToGrid w:val="0"/>
        <w:kern w:val="22"/>
        <w:szCs w:val="22"/>
      </w:rPr>
      <w:fldChar w:fldCharType="end"/>
    </w:r>
  </w:p>
  <w:p w14:paraId="1AAB231A" w14:textId="77777777" w:rsidR="0036627F" w:rsidRPr="005C78D8" w:rsidRDefault="0036627F" w:rsidP="00E03231">
    <w:pPr>
      <w:pStyle w:val="Header"/>
      <w:tabs>
        <w:tab w:val="clear" w:pos="4320"/>
        <w:tab w:val="clear" w:pos="8640"/>
      </w:tabs>
      <w:kinsoku w:val="0"/>
      <w:snapToGrid w:val="0"/>
      <w:rPr>
        <w:noProof/>
        <w:snapToGrid w:val="0"/>
        <w:kern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2126685180"/>
      <w:dataBinding w:prefixMappings="xmlns:ns0='http://purl.org/dc/elements/1.1/' xmlns:ns1='http://schemas.openxmlformats.org/package/2006/metadata/core-properties' " w:xpath="/ns1:coreProperties[1]/ns0:subject[1]" w:storeItemID="{6C3C8BC8-F283-45AE-878A-BAB7291924A1}"/>
      <w:text/>
    </w:sdtPr>
    <w:sdtEndPr/>
    <w:sdtContent>
      <w:p w14:paraId="4E3ED3EC" w14:textId="0D1CBEFD" w:rsidR="0036627F" w:rsidRPr="00F96C40" w:rsidRDefault="00DC46EA" w:rsidP="00E03231">
        <w:pPr>
          <w:kinsoku w:val="0"/>
          <w:overflowPunct w:val="0"/>
          <w:autoSpaceDE w:val="0"/>
          <w:autoSpaceDN w:val="0"/>
          <w:adjustRightInd w:val="0"/>
          <w:jc w:val="right"/>
          <w:rPr>
            <w:noProof/>
            <w:snapToGrid w:val="0"/>
            <w:kern w:val="22"/>
            <w:szCs w:val="22"/>
          </w:rPr>
        </w:pPr>
        <w:r>
          <w:rPr>
            <w:noProof/>
            <w:snapToGrid w:val="0"/>
            <w:kern w:val="22"/>
            <w:szCs w:val="22"/>
          </w:rPr>
          <w:t>CBD/NP/MOP/4/1/Add.3</w:t>
        </w:r>
      </w:p>
    </w:sdtContent>
  </w:sdt>
  <w:p w14:paraId="61AC41EB" w14:textId="52C8D1CE" w:rsidR="0036627F" w:rsidRPr="00F62C54" w:rsidRDefault="0036627F" w:rsidP="00F62C54">
    <w:pPr>
      <w:pStyle w:val="Header"/>
      <w:tabs>
        <w:tab w:val="clear" w:pos="4320"/>
        <w:tab w:val="clear" w:pos="8640"/>
      </w:tabs>
      <w:kinsoku w:val="0"/>
      <w:spacing w:after="240"/>
      <w:jc w:val="right"/>
      <w:rPr>
        <w:noProof/>
        <w:snapToGrid w:val="0"/>
        <w:kern w:val="22"/>
        <w:szCs w:val="22"/>
      </w:rPr>
    </w:pPr>
    <w:r w:rsidRPr="001C491F">
      <w:rPr>
        <w:noProof/>
        <w:snapToGrid w:val="0"/>
        <w:kern w:val="22"/>
        <w:szCs w:val="22"/>
      </w:rPr>
      <w:t xml:space="preserve">Página  </w:t>
    </w:r>
    <w:r w:rsidRPr="001C491F">
      <w:rPr>
        <w:noProof/>
        <w:snapToGrid w:val="0"/>
        <w:kern w:val="22"/>
        <w:szCs w:val="22"/>
      </w:rPr>
      <w:fldChar w:fldCharType="begin"/>
    </w:r>
    <w:r w:rsidRPr="001C491F">
      <w:rPr>
        <w:noProof/>
        <w:snapToGrid w:val="0"/>
        <w:kern w:val="22"/>
        <w:szCs w:val="22"/>
      </w:rPr>
      <w:instrText xml:space="preserve"> PAGE   \* MERGEFORMAT </w:instrText>
    </w:r>
    <w:r w:rsidRPr="001C491F">
      <w:rPr>
        <w:noProof/>
        <w:snapToGrid w:val="0"/>
        <w:kern w:val="22"/>
        <w:szCs w:val="22"/>
      </w:rPr>
      <w:fldChar w:fldCharType="separate"/>
    </w:r>
    <w:r w:rsidR="00561C27" w:rsidRPr="001C491F">
      <w:rPr>
        <w:noProof/>
        <w:snapToGrid w:val="0"/>
        <w:kern w:val="22"/>
        <w:szCs w:val="22"/>
      </w:rPr>
      <w:t>7</w:t>
    </w:r>
    <w:r w:rsidRPr="001C491F">
      <w:rPr>
        <w:noProof/>
        <w:snapToGrid w:val="0"/>
        <w:kern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1AD11" w14:textId="77777777" w:rsidR="006D30E4" w:rsidRDefault="006D30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1190414804"/>
      <w:placeholder>
        <w:docPart w:val="2F95B9AE7A754D9A9B5DF3F2E6064FE8"/>
      </w:placeholder>
      <w:dataBinding w:prefixMappings="xmlns:ns0='http://purl.org/dc/elements/1.1/' xmlns:ns1='http://schemas.openxmlformats.org/package/2006/metadata/core-properties' " w:xpath="/ns1:coreProperties[1]/ns0:subject[1]" w:storeItemID="{6C3C8BC8-F283-45AE-878A-BAB7291924A1}"/>
      <w:text/>
    </w:sdtPr>
    <w:sdtEndPr/>
    <w:sdtContent>
      <w:p w14:paraId="4EB43E1D" w14:textId="77777777" w:rsidR="00F62C54" w:rsidRPr="00DA00DE" w:rsidRDefault="00F62C54" w:rsidP="00E03231">
        <w:pPr>
          <w:kinsoku w:val="0"/>
          <w:overflowPunct w:val="0"/>
          <w:autoSpaceDE w:val="0"/>
          <w:autoSpaceDN w:val="0"/>
          <w:adjustRightInd w:val="0"/>
          <w:snapToGrid w:val="0"/>
          <w:jc w:val="left"/>
          <w:rPr>
            <w:noProof/>
            <w:snapToGrid w:val="0"/>
            <w:kern w:val="22"/>
            <w:szCs w:val="22"/>
          </w:rPr>
        </w:pPr>
        <w:r>
          <w:rPr>
            <w:noProof/>
            <w:snapToGrid w:val="0"/>
            <w:kern w:val="22"/>
            <w:szCs w:val="22"/>
          </w:rPr>
          <w:t>CBD/NP/MOP/4/1/Add.3</w:t>
        </w:r>
      </w:p>
    </w:sdtContent>
  </w:sdt>
  <w:p w14:paraId="209D63AF" w14:textId="7812D6D7" w:rsidR="00F62C54" w:rsidRPr="005C78D8" w:rsidRDefault="00F62C54" w:rsidP="00F62C54">
    <w:pPr>
      <w:pStyle w:val="Header"/>
      <w:tabs>
        <w:tab w:val="clear" w:pos="4320"/>
        <w:tab w:val="clear" w:pos="8640"/>
      </w:tabs>
      <w:kinsoku w:val="0"/>
      <w:snapToGrid w:val="0"/>
      <w:spacing w:after="240"/>
      <w:rPr>
        <w:noProof/>
        <w:snapToGrid w:val="0"/>
        <w:kern w:val="22"/>
        <w:szCs w:val="22"/>
      </w:rPr>
    </w:pPr>
    <w:r w:rsidRPr="00A8788A">
      <w:rPr>
        <w:noProof/>
        <w:snapToGrid w:val="0"/>
        <w:kern w:val="22"/>
        <w:szCs w:val="22"/>
      </w:rPr>
      <w:t xml:space="preserve">Página </w:t>
    </w:r>
    <w:r w:rsidRPr="00A8788A">
      <w:rPr>
        <w:noProof/>
        <w:snapToGrid w:val="0"/>
        <w:kern w:val="22"/>
        <w:szCs w:val="22"/>
      </w:rPr>
      <w:fldChar w:fldCharType="begin"/>
    </w:r>
    <w:r w:rsidRPr="00A8788A">
      <w:rPr>
        <w:noProof/>
        <w:snapToGrid w:val="0"/>
        <w:kern w:val="22"/>
        <w:szCs w:val="22"/>
      </w:rPr>
      <w:instrText xml:space="preserve"> PAGE   \* MERGEFORMAT </w:instrText>
    </w:r>
    <w:r w:rsidRPr="00A8788A">
      <w:rPr>
        <w:noProof/>
        <w:snapToGrid w:val="0"/>
        <w:kern w:val="22"/>
        <w:szCs w:val="22"/>
      </w:rPr>
      <w:fldChar w:fldCharType="separate"/>
    </w:r>
    <w:r w:rsidRPr="00A8788A">
      <w:rPr>
        <w:noProof/>
        <w:snapToGrid w:val="0"/>
        <w:kern w:val="22"/>
        <w:szCs w:val="22"/>
      </w:rPr>
      <w:t>8</w:t>
    </w:r>
    <w:r w:rsidRPr="00A8788A">
      <w:rPr>
        <w:noProof/>
        <w:snapToGrid w:val="0"/>
        <w:kern w:val="22"/>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napToGrid w:val="0"/>
        <w:kern w:val="22"/>
        <w:szCs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22D7AF00" w:rsidR="0036627F" w:rsidRPr="001C491F" w:rsidRDefault="00DC46EA" w:rsidP="00534681">
        <w:pPr>
          <w:pStyle w:val="Header"/>
          <w:rPr>
            <w:noProof/>
            <w:snapToGrid w:val="0"/>
            <w:kern w:val="22"/>
            <w:szCs w:val="22"/>
          </w:rPr>
        </w:pPr>
        <w:r w:rsidRPr="001C491F">
          <w:rPr>
            <w:noProof/>
            <w:snapToGrid w:val="0"/>
            <w:kern w:val="22"/>
            <w:szCs w:val="22"/>
          </w:rPr>
          <w:t>CBD/NP/MOP/4/1/Add.3</w:t>
        </w:r>
      </w:p>
    </w:sdtContent>
  </w:sdt>
  <w:p w14:paraId="7D22AEBD" w14:textId="77777777" w:rsidR="0036627F" w:rsidRPr="001C491F" w:rsidRDefault="0036627F" w:rsidP="00534681">
    <w:pPr>
      <w:pStyle w:val="Header"/>
      <w:rPr>
        <w:noProof/>
        <w:snapToGrid w:val="0"/>
        <w:kern w:val="22"/>
        <w:szCs w:val="22"/>
      </w:rPr>
    </w:pPr>
    <w:r w:rsidRPr="001C491F">
      <w:rPr>
        <w:noProof/>
        <w:snapToGrid w:val="0"/>
        <w:kern w:val="22"/>
        <w:szCs w:val="22"/>
      </w:rPr>
      <w:t xml:space="preserve">Página </w:t>
    </w:r>
    <w:r w:rsidRPr="001C491F">
      <w:rPr>
        <w:noProof/>
        <w:snapToGrid w:val="0"/>
        <w:kern w:val="22"/>
        <w:szCs w:val="22"/>
      </w:rPr>
      <w:fldChar w:fldCharType="begin"/>
    </w:r>
    <w:r w:rsidRPr="001C491F">
      <w:rPr>
        <w:noProof/>
        <w:snapToGrid w:val="0"/>
        <w:kern w:val="22"/>
        <w:szCs w:val="22"/>
      </w:rPr>
      <w:instrText xml:space="preserve"> PAGE   \* MERGEFORMAT </w:instrText>
    </w:r>
    <w:r w:rsidRPr="001C491F">
      <w:rPr>
        <w:noProof/>
        <w:snapToGrid w:val="0"/>
        <w:kern w:val="22"/>
        <w:szCs w:val="22"/>
      </w:rPr>
      <w:fldChar w:fldCharType="separate"/>
    </w:r>
    <w:r w:rsidR="00E11CE3" w:rsidRPr="001C491F">
      <w:rPr>
        <w:noProof/>
        <w:snapToGrid w:val="0"/>
        <w:kern w:val="22"/>
        <w:szCs w:val="22"/>
      </w:rPr>
      <w:t>12</w:t>
    </w:r>
    <w:r w:rsidRPr="001C491F">
      <w:rPr>
        <w:noProof/>
        <w:snapToGrid w:val="0"/>
        <w:kern w:val="22"/>
        <w:szCs w:val="22"/>
      </w:rPr>
      <w:fldChar w:fldCharType="end"/>
    </w:r>
  </w:p>
  <w:p w14:paraId="36967708" w14:textId="77777777" w:rsidR="0036627F" w:rsidRDefault="0036627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47616A97" w:rsidR="0036627F" w:rsidRDefault="00DC46EA" w:rsidP="009505C9">
        <w:pPr>
          <w:pStyle w:val="Header"/>
          <w:jc w:val="right"/>
        </w:pPr>
        <w:r>
          <w:t>CBD/NP/MOP/4/1/Add.3</w:t>
        </w:r>
      </w:p>
    </w:sdtContent>
  </w:sdt>
  <w:p w14:paraId="0985698D" w14:textId="77777777" w:rsidR="0036627F" w:rsidRPr="001C491F" w:rsidRDefault="0036627F" w:rsidP="009505C9">
    <w:pPr>
      <w:pStyle w:val="Header"/>
      <w:jc w:val="right"/>
      <w:rPr>
        <w:noProof/>
        <w:snapToGrid w:val="0"/>
        <w:kern w:val="22"/>
        <w:szCs w:val="22"/>
      </w:rPr>
    </w:pPr>
    <w:r w:rsidRPr="001C491F">
      <w:rPr>
        <w:noProof/>
        <w:snapToGrid w:val="0"/>
        <w:kern w:val="22"/>
        <w:szCs w:val="22"/>
      </w:rPr>
      <w:t xml:space="preserve">Página </w:t>
    </w:r>
    <w:r w:rsidRPr="001C491F">
      <w:rPr>
        <w:noProof/>
        <w:snapToGrid w:val="0"/>
        <w:kern w:val="22"/>
        <w:szCs w:val="22"/>
      </w:rPr>
      <w:fldChar w:fldCharType="begin"/>
    </w:r>
    <w:r w:rsidRPr="001C491F">
      <w:rPr>
        <w:noProof/>
        <w:snapToGrid w:val="0"/>
        <w:kern w:val="22"/>
        <w:szCs w:val="22"/>
      </w:rPr>
      <w:instrText xml:space="preserve"> PAGE   \* MERGEFORMAT </w:instrText>
    </w:r>
    <w:r w:rsidRPr="001C491F">
      <w:rPr>
        <w:noProof/>
        <w:snapToGrid w:val="0"/>
        <w:kern w:val="22"/>
        <w:szCs w:val="22"/>
      </w:rPr>
      <w:fldChar w:fldCharType="separate"/>
    </w:r>
    <w:r w:rsidR="00E11CE3" w:rsidRPr="001C491F">
      <w:rPr>
        <w:noProof/>
        <w:snapToGrid w:val="0"/>
        <w:kern w:val="22"/>
        <w:szCs w:val="22"/>
      </w:rPr>
      <w:t>11</w:t>
    </w:r>
    <w:r w:rsidRPr="001C491F">
      <w:rPr>
        <w:noProof/>
        <w:snapToGrid w:val="0"/>
        <w:kern w:val="22"/>
        <w:szCs w:val="22"/>
      </w:rPr>
      <w:fldChar w:fldCharType="end"/>
    </w:r>
  </w:p>
  <w:p w14:paraId="5E2F0C81" w14:textId="77777777" w:rsidR="0036627F" w:rsidRDefault="00366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13" w15:restartNumberingAfterBreak="0">
    <w:nsid w:val="7B1527D0"/>
    <w:multiLevelType w:val="hybridMultilevel"/>
    <w:tmpl w:val="B10E010A"/>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num w:numId="1">
    <w:abstractNumId w:val="2"/>
  </w:num>
  <w:num w:numId="2">
    <w:abstractNumId w:val="7"/>
  </w:num>
  <w:num w:numId="3">
    <w:abstractNumId w:val="5"/>
  </w:num>
  <w:num w:numId="4">
    <w:abstractNumId w:val="11"/>
  </w:num>
  <w:num w:numId="5">
    <w:abstractNumId w:val="1"/>
  </w:num>
  <w:num w:numId="6">
    <w:abstractNumId w:val="4"/>
  </w:num>
  <w:num w:numId="7">
    <w:abstractNumId w:val="3"/>
  </w:num>
  <w:num w:numId="8">
    <w:abstractNumId w:val="12"/>
  </w:num>
  <w:num w:numId="9">
    <w:abstractNumId w:val="8"/>
  </w:num>
  <w:num w:numId="10">
    <w:abstractNumId w:val="10"/>
  </w:num>
  <w:num w:numId="11">
    <w:abstractNumId w:val="6"/>
  </w:num>
  <w:num w:numId="12">
    <w:abstractNumId w:val="0"/>
  </w:num>
  <w:num w:numId="13">
    <w:abstractNumId w:val="9"/>
  </w:num>
  <w:num w:numId="14">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2A05"/>
    <w:rsid w:val="000066C4"/>
    <w:rsid w:val="00007DBC"/>
    <w:rsid w:val="0000BEB1"/>
    <w:rsid w:val="00012C23"/>
    <w:rsid w:val="00012DB9"/>
    <w:rsid w:val="00013380"/>
    <w:rsid w:val="000146B8"/>
    <w:rsid w:val="0001479E"/>
    <w:rsid w:val="00014A0A"/>
    <w:rsid w:val="00015E71"/>
    <w:rsid w:val="00017DAA"/>
    <w:rsid w:val="000204C8"/>
    <w:rsid w:val="000205AA"/>
    <w:rsid w:val="000211A5"/>
    <w:rsid w:val="00022E83"/>
    <w:rsid w:val="00024141"/>
    <w:rsid w:val="00024CD4"/>
    <w:rsid w:val="00024F9C"/>
    <w:rsid w:val="00026B4A"/>
    <w:rsid w:val="00027ED0"/>
    <w:rsid w:val="00030867"/>
    <w:rsid w:val="00031DD4"/>
    <w:rsid w:val="00032996"/>
    <w:rsid w:val="00037AFD"/>
    <w:rsid w:val="00040B3A"/>
    <w:rsid w:val="000412D6"/>
    <w:rsid w:val="00042727"/>
    <w:rsid w:val="00042955"/>
    <w:rsid w:val="00042F4C"/>
    <w:rsid w:val="000430F1"/>
    <w:rsid w:val="00044B1B"/>
    <w:rsid w:val="00045E13"/>
    <w:rsid w:val="0004E54F"/>
    <w:rsid w:val="00050A73"/>
    <w:rsid w:val="00050D2E"/>
    <w:rsid w:val="00051784"/>
    <w:rsid w:val="000523F0"/>
    <w:rsid w:val="000531ED"/>
    <w:rsid w:val="00054DBF"/>
    <w:rsid w:val="00055C83"/>
    <w:rsid w:val="00055FE0"/>
    <w:rsid w:val="00057601"/>
    <w:rsid w:val="00060219"/>
    <w:rsid w:val="00061068"/>
    <w:rsid w:val="00061859"/>
    <w:rsid w:val="00063ADE"/>
    <w:rsid w:val="00063D63"/>
    <w:rsid w:val="000653A5"/>
    <w:rsid w:val="00066FBE"/>
    <w:rsid w:val="000678A5"/>
    <w:rsid w:val="00067EC7"/>
    <w:rsid w:val="00071C04"/>
    <w:rsid w:val="00074457"/>
    <w:rsid w:val="00075360"/>
    <w:rsid w:val="000756A9"/>
    <w:rsid w:val="00075CBE"/>
    <w:rsid w:val="00076FF7"/>
    <w:rsid w:val="00080922"/>
    <w:rsid w:val="00080B1E"/>
    <w:rsid w:val="00080E4D"/>
    <w:rsid w:val="00081041"/>
    <w:rsid w:val="0008184C"/>
    <w:rsid w:val="000846B0"/>
    <w:rsid w:val="0008479B"/>
    <w:rsid w:val="00085DDB"/>
    <w:rsid w:val="00086456"/>
    <w:rsid w:val="0008655D"/>
    <w:rsid w:val="00090A6D"/>
    <w:rsid w:val="00091942"/>
    <w:rsid w:val="00094AC0"/>
    <w:rsid w:val="00095145"/>
    <w:rsid w:val="00096A6B"/>
    <w:rsid w:val="000A03BF"/>
    <w:rsid w:val="000A105B"/>
    <w:rsid w:val="000A1F7E"/>
    <w:rsid w:val="000A294E"/>
    <w:rsid w:val="000A43F7"/>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040B"/>
    <w:rsid w:val="000C1521"/>
    <w:rsid w:val="000C48F8"/>
    <w:rsid w:val="000C510B"/>
    <w:rsid w:val="000C741C"/>
    <w:rsid w:val="000D2FFB"/>
    <w:rsid w:val="000D3C48"/>
    <w:rsid w:val="000D43DF"/>
    <w:rsid w:val="000D5135"/>
    <w:rsid w:val="000D5F7F"/>
    <w:rsid w:val="000D637E"/>
    <w:rsid w:val="000D6A74"/>
    <w:rsid w:val="000D6FAA"/>
    <w:rsid w:val="000D7193"/>
    <w:rsid w:val="000D7719"/>
    <w:rsid w:val="000E032A"/>
    <w:rsid w:val="000E1864"/>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8AF"/>
    <w:rsid w:val="000F3FD6"/>
    <w:rsid w:val="000F5307"/>
    <w:rsid w:val="000F5457"/>
    <w:rsid w:val="000F599E"/>
    <w:rsid w:val="000F5CE8"/>
    <w:rsid w:val="000F74F5"/>
    <w:rsid w:val="00100502"/>
    <w:rsid w:val="00101BD2"/>
    <w:rsid w:val="001049A1"/>
    <w:rsid w:val="00104EC9"/>
    <w:rsid w:val="00105372"/>
    <w:rsid w:val="00105875"/>
    <w:rsid w:val="00106A88"/>
    <w:rsid w:val="001111E7"/>
    <w:rsid w:val="00112598"/>
    <w:rsid w:val="00112ADD"/>
    <w:rsid w:val="001132F2"/>
    <w:rsid w:val="0011397F"/>
    <w:rsid w:val="0011587D"/>
    <w:rsid w:val="001163AD"/>
    <w:rsid w:val="00116CB1"/>
    <w:rsid w:val="00117916"/>
    <w:rsid w:val="00120B75"/>
    <w:rsid w:val="00122969"/>
    <w:rsid w:val="00123AC2"/>
    <w:rsid w:val="00124D28"/>
    <w:rsid w:val="00125567"/>
    <w:rsid w:val="001256C9"/>
    <w:rsid w:val="00126654"/>
    <w:rsid w:val="001274A0"/>
    <w:rsid w:val="00130592"/>
    <w:rsid w:val="00130BB1"/>
    <w:rsid w:val="00131E7A"/>
    <w:rsid w:val="0013251B"/>
    <w:rsid w:val="00133315"/>
    <w:rsid w:val="00133A4B"/>
    <w:rsid w:val="00133CDD"/>
    <w:rsid w:val="001351AC"/>
    <w:rsid w:val="001353D4"/>
    <w:rsid w:val="00135438"/>
    <w:rsid w:val="001361BA"/>
    <w:rsid w:val="00136A7A"/>
    <w:rsid w:val="00136DE9"/>
    <w:rsid w:val="00141751"/>
    <w:rsid w:val="001420DC"/>
    <w:rsid w:val="00142FB4"/>
    <w:rsid w:val="00145C7C"/>
    <w:rsid w:val="001463A6"/>
    <w:rsid w:val="0015016B"/>
    <w:rsid w:val="0015034C"/>
    <w:rsid w:val="00150B1F"/>
    <w:rsid w:val="001552D6"/>
    <w:rsid w:val="00155D21"/>
    <w:rsid w:val="001560B5"/>
    <w:rsid w:val="00156A0F"/>
    <w:rsid w:val="00157DAC"/>
    <w:rsid w:val="0016219E"/>
    <w:rsid w:val="00162FF1"/>
    <w:rsid w:val="0016474A"/>
    <w:rsid w:val="00165B2A"/>
    <w:rsid w:val="00165CE2"/>
    <w:rsid w:val="00166A3B"/>
    <w:rsid w:val="00171FD3"/>
    <w:rsid w:val="001723E2"/>
    <w:rsid w:val="00172AF6"/>
    <w:rsid w:val="00173F5D"/>
    <w:rsid w:val="00174956"/>
    <w:rsid w:val="00174B4C"/>
    <w:rsid w:val="001754E0"/>
    <w:rsid w:val="00176CEE"/>
    <w:rsid w:val="0017770F"/>
    <w:rsid w:val="0018068D"/>
    <w:rsid w:val="001808A5"/>
    <w:rsid w:val="00180CC3"/>
    <w:rsid w:val="00184531"/>
    <w:rsid w:val="00184823"/>
    <w:rsid w:val="00186EBA"/>
    <w:rsid w:val="001877EB"/>
    <w:rsid w:val="00187ECD"/>
    <w:rsid w:val="00190763"/>
    <w:rsid w:val="00192FAE"/>
    <w:rsid w:val="00193611"/>
    <w:rsid w:val="00193706"/>
    <w:rsid w:val="001977FE"/>
    <w:rsid w:val="00197A89"/>
    <w:rsid w:val="001A029B"/>
    <w:rsid w:val="001A0436"/>
    <w:rsid w:val="001A04CC"/>
    <w:rsid w:val="001A08C5"/>
    <w:rsid w:val="001A0B31"/>
    <w:rsid w:val="001A2201"/>
    <w:rsid w:val="001A3C2F"/>
    <w:rsid w:val="001A3E44"/>
    <w:rsid w:val="001A7BE1"/>
    <w:rsid w:val="001A7C02"/>
    <w:rsid w:val="001B0BC9"/>
    <w:rsid w:val="001B1683"/>
    <w:rsid w:val="001B462C"/>
    <w:rsid w:val="001B53C7"/>
    <w:rsid w:val="001B5A12"/>
    <w:rsid w:val="001B5B62"/>
    <w:rsid w:val="001B5EE5"/>
    <w:rsid w:val="001C1D48"/>
    <w:rsid w:val="001C2E50"/>
    <w:rsid w:val="001C312A"/>
    <w:rsid w:val="001C39C4"/>
    <w:rsid w:val="001C3C78"/>
    <w:rsid w:val="001C491F"/>
    <w:rsid w:val="001C595B"/>
    <w:rsid w:val="001C667A"/>
    <w:rsid w:val="001C6B8B"/>
    <w:rsid w:val="001C7D22"/>
    <w:rsid w:val="001D065F"/>
    <w:rsid w:val="001D2159"/>
    <w:rsid w:val="001D219B"/>
    <w:rsid w:val="001D39ED"/>
    <w:rsid w:val="001D503C"/>
    <w:rsid w:val="001D5070"/>
    <w:rsid w:val="001D5E08"/>
    <w:rsid w:val="001D6200"/>
    <w:rsid w:val="001D69F0"/>
    <w:rsid w:val="001D70B4"/>
    <w:rsid w:val="001D75CF"/>
    <w:rsid w:val="001E3B5D"/>
    <w:rsid w:val="001E581F"/>
    <w:rsid w:val="001E58AE"/>
    <w:rsid w:val="001E5A99"/>
    <w:rsid w:val="001E633D"/>
    <w:rsid w:val="001F2EB0"/>
    <w:rsid w:val="001F323C"/>
    <w:rsid w:val="001F3695"/>
    <w:rsid w:val="001F423A"/>
    <w:rsid w:val="001F6A8F"/>
    <w:rsid w:val="001F7D72"/>
    <w:rsid w:val="002002EE"/>
    <w:rsid w:val="00201B46"/>
    <w:rsid w:val="00203433"/>
    <w:rsid w:val="00204CF2"/>
    <w:rsid w:val="0020544B"/>
    <w:rsid w:val="00206DEE"/>
    <w:rsid w:val="002105A5"/>
    <w:rsid w:val="00210944"/>
    <w:rsid w:val="00211B33"/>
    <w:rsid w:val="00213138"/>
    <w:rsid w:val="00214DA1"/>
    <w:rsid w:val="00215C4F"/>
    <w:rsid w:val="00216256"/>
    <w:rsid w:val="002164DF"/>
    <w:rsid w:val="00216AFA"/>
    <w:rsid w:val="00217935"/>
    <w:rsid w:val="00220CB9"/>
    <w:rsid w:val="00220E29"/>
    <w:rsid w:val="0022298D"/>
    <w:rsid w:val="00222D7B"/>
    <w:rsid w:val="00224A4B"/>
    <w:rsid w:val="0022529E"/>
    <w:rsid w:val="0022539A"/>
    <w:rsid w:val="002263C1"/>
    <w:rsid w:val="00226F27"/>
    <w:rsid w:val="00232613"/>
    <w:rsid w:val="00232A53"/>
    <w:rsid w:val="00232AB9"/>
    <w:rsid w:val="002331A4"/>
    <w:rsid w:val="002336B4"/>
    <w:rsid w:val="00234BEB"/>
    <w:rsid w:val="002356E6"/>
    <w:rsid w:val="00235A6E"/>
    <w:rsid w:val="002360EF"/>
    <w:rsid w:val="0024187E"/>
    <w:rsid w:val="0024382E"/>
    <w:rsid w:val="00243DF5"/>
    <w:rsid w:val="00243EB3"/>
    <w:rsid w:val="00244214"/>
    <w:rsid w:val="00247119"/>
    <w:rsid w:val="002509C8"/>
    <w:rsid w:val="00251F23"/>
    <w:rsid w:val="0025436C"/>
    <w:rsid w:val="002548BF"/>
    <w:rsid w:val="0025510D"/>
    <w:rsid w:val="002555ED"/>
    <w:rsid w:val="00256159"/>
    <w:rsid w:val="002562DB"/>
    <w:rsid w:val="00257E87"/>
    <w:rsid w:val="0026269B"/>
    <w:rsid w:val="002632EB"/>
    <w:rsid w:val="00263D1F"/>
    <w:rsid w:val="002643A2"/>
    <w:rsid w:val="002644D6"/>
    <w:rsid w:val="00267B47"/>
    <w:rsid w:val="00267B5C"/>
    <w:rsid w:val="002707B4"/>
    <w:rsid w:val="002711D1"/>
    <w:rsid w:val="00271B29"/>
    <w:rsid w:val="002739E3"/>
    <w:rsid w:val="00273ECA"/>
    <w:rsid w:val="00273F05"/>
    <w:rsid w:val="00274468"/>
    <w:rsid w:val="002744A2"/>
    <w:rsid w:val="002765CD"/>
    <w:rsid w:val="00282C26"/>
    <w:rsid w:val="00282CE0"/>
    <w:rsid w:val="00283A42"/>
    <w:rsid w:val="00283B3E"/>
    <w:rsid w:val="0028623A"/>
    <w:rsid w:val="00286B06"/>
    <w:rsid w:val="00286C7B"/>
    <w:rsid w:val="00290FFF"/>
    <w:rsid w:val="002910B0"/>
    <w:rsid w:val="002912B5"/>
    <w:rsid w:val="002916AC"/>
    <w:rsid w:val="00293002"/>
    <w:rsid w:val="00294B95"/>
    <w:rsid w:val="00296D4E"/>
    <w:rsid w:val="002A1839"/>
    <w:rsid w:val="002A2280"/>
    <w:rsid w:val="002A3691"/>
    <w:rsid w:val="002A3C86"/>
    <w:rsid w:val="002A584E"/>
    <w:rsid w:val="002A585B"/>
    <w:rsid w:val="002A5D1A"/>
    <w:rsid w:val="002A5F07"/>
    <w:rsid w:val="002B0BF6"/>
    <w:rsid w:val="002B10ED"/>
    <w:rsid w:val="002B1585"/>
    <w:rsid w:val="002B3914"/>
    <w:rsid w:val="002B53AC"/>
    <w:rsid w:val="002B6E41"/>
    <w:rsid w:val="002B7274"/>
    <w:rsid w:val="002C0D97"/>
    <w:rsid w:val="002C29C8"/>
    <w:rsid w:val="002C2B8E"/>
    <w:rsid w:val="002C3CA5"/>
    <w:rsid w:val="002C4438"/>
    <w:rsid w:val="002C5121"/>
    <w:rsid w:val="002C61E1"/>
    <w:rsid w:val="002C7411"/>
    <w:rsid w:val="002C7529"/>
    <w:rsid w:val="002D22DB"/>
    <w:rsid w:val="002D244B"/>
    <w:rsid w:val="002D53CF"/>
    <w:rsid w:val="002D6624"/>
    <w:rsid w:val="002D7DBD"/>
    <w:rsid w:val="002E0083"/>
    <w:rsid w:val="002E04BE"/>
    <w:rsid w:val="002E07C2"/>
    <w:rsid w:val="002E0EAC"/>
    <w:rsid w:val="002E17F4"/>
    <w:rsid w:val="002E1C55"/>
    <w:rsid w:val="002E25B9"/>
    <w:rsid w:val="002E2CF5"/>
    <w:rsid w:val="002E3CCF"/>
    <w:rsid w:val="002E4768"/>
    <w:rsid w:val="002E4D1C"/>
    <w:rsid w:val="002E51FB"/>
    <w:rsid w:val="002E5DC3"/>
    <w:rsid w:val="002F0E63"/>
    <w:rsid w:val="002F0F91"/>
    <w:rsid w:val="002F22A7"/>
    <w:rsid w:val="002F22DE"/>
    <w:rsid w:val="002F39F0"/>
    <w:rsid w:val="002F3E83"/>
    <w:rsid w:val="002F4644"/>
    <w:rsid w:val="002F4B72"/>
    <w:rsid w:val="002F533F"/>
    <w:rsid w:val="003000EE"/>
    <w:rsid w:val="00301C6B"/>
    <w:rsid w:val="0030253E"/>
    <w:rsid w:val="00303BFC"/>
    <w:rsid w:val="00303E7C"/>
    <w:rsid w:val="003043A1"/>
    <w:rsid w:val="003050F7"/>
    <w:rsid w:val="0030604A"/>
    <w:rsid w:val="0031074D"/>
    <w:rsid w:val="00311657"/>
    <w:rsid w:val="0031169A"/>
    <w:rsid w:val="003127F6"/>
    <w:rsid w:val="00313C79"/>
    <w:rsid w:val="0031466D"/>
    <w:rsid w:val="00317E05"/>
    <w:rsid w:val="00320C21"/>
    <w:rsid w:val="00320EB1"/>
    <w:rsid w:val="0032129B"/>
    <w:rsid w:val="00322545"/>
    <w:rsid w:val="00323B18"/>
    <w:rsid w:val="00324B5D"/>
    <w:rsid w:val="003253D5"/>
    <w:rsid w:val="00327A0C"/>
    <w:rsid w:val="00331CA8"/>
    <w:rsid w:val="003356A4"/>
    <w:rsid w:val="00335D1A"/>
    <w:rsid w:val="003362FB"/>
    <w:rsid w:val="003368C5"/>
    <w:rsid w:val="003435E9"/>
    <w:rsid w:val="003436FF"/>
    <w:rsid w:val="00343A1E"/>
    <w:rsid w:val="00343CB9"/>
    <w:rsid w:val="00346CC2"/>
    <w:rsid w:val="00347069"/>
    <w:rsid w:val="0034799E"/>
    <w:rsid w:val="00347B48"/>
    <w:rsid w:val="00350DDB"/>
    <w:rsid w:val="00354A59"/>
    <w:rsid w:val="00355610"/>
    <w:rsid w:val="00355928"/>
    <w:rsid w:val="00357879"/>
    <w:rsid w:val="003600B1"/>
    <w:rsid w:val="003602DF"/>
    <w:rsid w:val="00360D1C"/>
    <w:rsid w:val="00361D1C"/>
    <w:rsid w:val="00362775"/>
    <w:rsid w:val="00362AB8"/>
    <w:rsid w:val="0036448A"/>
    <w:rsid w:val="003655E3"/>
    <w:rsid w:val="0036627F"/>
    <w:rsid w:val="0037013F"/>
    <w:rsid w:val="00370234"/>
    <w:rsid w:val="00370685"/>
    <w:rsid w:val="00370749"/>
    <w:rsid w:val="003712FB"/>
    <w:rsid w:val="003714AC"/>
    <w:rsid w:val="00371A50"/>
    <w:rsid w:val="00372F74"/>
    <w:rsid w:val="00373CA3"/>
    <w:rsid w:val="0037496E"/>
    <w:rsid w:val="003752E2"/>
    <w:rsid w:val="003757AA"/>
    <w:rsid w:val="00376CC7"/>
    <w:rsid w:val="00377D82"/>
    <w:rsid w:val="003808A8"/>
    <w:rsid w:val="003809D9"/>
    <w:rsid w:val="00380C8F"/>
    <w:rsid w:val="0038167C"/>
    <w:rsid w:val="00381FD7"/>
    <w:rsid w:val="00381FF2"/>
    <w:rsid w:val="00383719"/>
    <w:rsid w:val="003845B2"/>
    <w:rsid w:val="00384C76"/>
    <w:rsid w:val="003859E8"/>
    <w:rsid w:val="003864FC"/>
    <w:rsid w:val="003872B5"/>
    <w:rsid w:val="0039198A"/>
    <w:rsid w:val="00391C88"/>
    <w:rsid w:val="00391DF6"/>
    <w:rsid w:val="00392557"/>
    <w:rsid w:val="003927A4"/>
    <w:rsid w:val="00392FF1"/>
    <w:rsid w:val="00395589"/>
    <w:rsid w:val="00395FE5"/>
    <w:rsid w:val="003968D3"/>
    <w:rsid w:val="00397F92"/>
    <w:rsid w:val="003A0D0D"/>
    <w:rsid w:val="003A46B9"/>
    <w:rsid w:val="003A5A27"/>
    <w:rsid w:val="003A78B3"/>
    <w:rsid w:val="003B072E"/>
    <w:rsid w:val="003B0D3B"/>
    <w:rsid w:val="003B1817"/>
    <w:rsid w:val="003B2DE4"/>
    <w:rsid w:val="003B2EBF"/>
    <w:rsid w:val="003B3275"/>
    <w:rsid w:val="003B6BC0"/>
    <w:rsid w:val="003B7ED9"/>
    <w:rsid w:val="003B7FA3"/>
    <w:rsid w:val="003C05C0"/>
    <w:rsid w:val="003C3335"/>
    <w:rsid w:val="003C4A1D"/>
    <w:rsid w:val="003C5115"/>
    <w:rsid w:val="003C6286"/>
    <w:rsid w:val="003C6935"/>
    <w:rsid w:val="003D02E0"/>
    <w:rsid w:val="003D2292"/>
    <w:rsid w:val="003D4F8F"/>
    <w:rsid w:val="003D4FCE"/>
    <w:rsid w:val="003D5E09"/>
    <w:rsid w:val="003D605B"/>
    <w:rsid w:val="003D6765"/>
    <w:rsid w:val="003E09FA"/>
    <w:rsid w:val="003E32F0"/>
    <w:rsid w:val="003E389D"/>
    <w:rsid w:val="003E7119"/>
    <w:rsid w:val="003E7438"/>
    <w:rsid w:val="003F0BB5"/>
    <w:rsid w:val="003F113D"/>
    <w:rsid w:val="003F3B44"/>
    <w:rsid w:val="003F4D80"/>
    <w:rsid w:val="003F50EB"/>
    <w:rsid w:val="003F7EA3"/>
    <w:rsid w:val="0040077D"/>
    <w:rsid w:val="00401758"/>
    <w:rsid w:val="0040187F"/>
    <w:rsid w:val="0040456B"/>
    <w:rsid w:val="00405465"/>
    <w:rsid w:val="00406417"/>
    <w:rsid w:val="004073F4"/>
    <w:rsid w:val="00407F20"/>
    <w:rsid w:val="004107C9"/>
    <w:rsid w:val="0041098B"/>
    <w:rsid w:val="004117D5"/>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69F4"/>
    <w:rsid w:val="004309FF"/>
    <w:rsid w:val="00431BC3"/>
    <w:rsid w:val="00433E9A"/>
    <w:rsid w:val="00433EB7"/>
    <w:rsid w:val="00434BE4"/>
    <w:rsid w:val="004355E2"/>
    <w:rsid w:val="00435B09"/>
    <w:rsid w:val="0043602B"/>
    <w:rsid w:val="004362E3"/>
    <w:rsid w:val="00436E74"/>
    <w:rsid w:val="00437DCE"/>
    <w:rsid w:val="00437F84"/>
    <w:rsid w:val="00440F17"/>
    <w:rsid w:val="00440F53"/>
    <w:rsid w:val="00441B39"/>
    <w:rsid w:val="00441EB6"/>
    <w:rsid w:val="004421AC"/>
    <w:rsid w:val="00443D42"/>
    <w:rsid w:val="004446E9"/>
    <w:rsid w:val="00444759"/>
    <w:rsid w:val="0044538A"/>
    <w:rsid w:val="00445C3C"/>
    <w:rsid w:val="004460F9"/>
    <w:rsid w:val="00450F33"/>
    <w:rsid w:val="00453BE5"/>
    <w:rsid w:val="00454438"/>
    <w:rsid w:val="004544B7"/>
    <w:rsid w:val="00455091"/>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0E8E"/>
    <w:rsid w:val="00471785"/>
    <w:rsid w:val="004729EF"/>
    <w:rsid w:val="00472E8D"/>
    <w:rsid w:val="00475C8D"/>
    <w:rsid w:val="00476A33"/>
    <w:rsid w:val="004773D7"/>
    <w:rsid w:val="0047772A"/>
    <w:rsid w:val="00477E3B"/>
    <w:rsid w:val="00480D90"/>
    <w:rsid w:val="004814BF"/>
    <w:rsid w:val="00482062"/>
    <w:rsid w:val="004826FF"/>
    <w:rsid w:val="00484DAE"/>
    <w:rsid w:val="004854D8"/>
    <w:rsid w:val="00490039"/>
    <w:rsid w:val="00490F2B"/>
    <w:rsid w:val="00491AA2"/>
    <w:rsid w:val="0049319D"/>
    <w:rsid w:val="004935D5"/>
    <w:rsid w:val="004935F9"/>
    <w:rsid w:val="004945AD"/>
    <w:rsid w:val="00495C3C"/>
    <w:rsid w:val="0049645C"/>
    <w:rsid w:val="00497E8C"/>
    <w:rsid w:val="004A1E49"/>
    <w:rsid w:val="004A2FDA"/>
    <w:rsid w:val="004A4163"/>
    <w:rsid w:val="004A5311"/>
    <w:rsid w:val="004A577F"/>
    <w:rsid w:val="004A62F4"/>
    <w:rsid w:val="004A75EA"/>
    <w:rsid w:val="004A7713"/>
    <w:rsid w:val="004A7AB5"/>
    <w:rsid w:val="004A7E2D"/>
    <w:rsid w:val="004B139B"/>
    <w:rsid w:val="004B2420"/>
    <w:rsid w:val="004B323C"/>
    <w:rsid w:val="004B3FA8"/>
    <w:rsid w:val="004B5404"/>
    <w:rsid w:val="004B7AE0"/>
    <w:rsid w:val="004C000A"/>
    <w:rsid w:val="004C0704"/>
    <w:rsid w:val="004C2271"/>
    <w:rsid w:val="004C2E97"/>
    <w:rsid w:val="004C3C07"/>
    <w:rsid w:val="004C54FE"/>
    <w:rsid w:val="004C5DB2"/>
    <w:rsid w:val="004C70A2"/>
    <w:rsid w:val="004D1FC3"/>
    <w:rsid w:val="004D2B8D"/>
    <w:rsid w:val="004D31D5"/>
    <w:rsid w:val="004D44D5"/>
    <w:rsid w:val="004D452F"/>
    <w:rsid w:val="004D4EB6"/>
    <w:rsid w:val="004D640C"/>
    <w:rsid w:val="004D692C"/>
    <w:rsid w:val="004D7216"/>
    <w:rsid w:val="004D727C"/>
    <w:rsid w:val="004E1FB5"/>
    <w:rsid w:val="004E4608"/>
    <w:rsid w:val="004E5E95"/>
    <w:rsid w:val="004E6742"/>
    <w:rsid w:val="004E7953"/>
    <w:rsid w:val="004F1B66"/>
    <w:rsid w:val="004F1DB3"/>
    <w:rsid w:val="004F206E"/>
    <w:rsid w:val="004F22DC"/>
    <w:rsid w:val="004F3C75"/>
    <w:rsid w:val="004F5599"/>
    <w:rsid w:val="004F5E78"/>
    <w:rsid w:val="004F738A"/>
    <w:rsid w:val="005017EB"/>
    <w:rsid w:val="0050265A"/>
    <w:rsid w:val="00502B3F"/>
    <w:rsid w:val="00505945"/>
    <w:rsid w:val="0050767E"/>
    <w:rsid w:val="005077E8"/>
    <w:rsid w:val="00507EA6"/>
    <w:rsid w:val="00510B02"/>
    <w:rsid w:val="00511336"/>
    <w:rsid w:val="00512AC7"/>
    <w:rsid w:val="0051472E"/>
    <w:rsid w:val="00516445"/>
    <w:rsid w:val="00517EA5"/>
    <w:rsid w:val="00520912"/>
    <w:rsid w:val="00520CD7"/>
    <w:rsid w:val="005223CC"/>
    <w:rsid w:val="005236B9"/>
    <w:rsid w:val="00524197"/>
    <w:rsid w:val="00524316"/>
    <w:rsid w:val="0052438A"/>
    <w:rsid w:val="005245C9"/>
    <w:rsid w:val="00524DEF"/>
    <w:rsid w:val="005272A5"/>
    <w:rsid w:val="00527694"/>
    <w:rsid w:val="00530081"/>
    <w:rsid w:val="00530D5A"/>
    <w:rsid w:val="00531AE4"/>
    <w:rsid w:val="00532603"/>
    <w:rsid w:val="0053437C"/>
    <w:rsid w:val="00534681"/>
    <w:rsid w:val="00536FC2"/>
    <w:rsid w:val="005371BA"/>
    <w:rsid w:val="00537D57"/>
    <w:rsid w:val="005404C3"/>
    <w:rsid w:val="005428BB"/>
    <w:rsid w:val="00542D9D"/>
    <w:rsid w:val="005442A5"/>
    <w:rsid w:val="00544686"/>
    <w:rsid w:val="005447DF"/>
    <w:rsid w:val="0054522C"/>
    <w:rsid w:val="00547396"/>
    <w:rsid w:val="005476F2"/>
    <w:rsid w:val="00547D17"/>
    <w:rsid w:val="005525A2"/>
    <w:rsid w:val="0055303E"/>
    <w:rsid w:val="00553C0F"/>
    <w:rsid w:val="0055462B"/>
    <w:rsid w:val="00556467"/>
    <w:rsid w:val="00557BB5"/>
    <w:rsid w:val="0056040A"/>
    <w:rsid w:val="00561882"/>
    <w:rsid w:val="00561C27"/>
    <w:rsid w:val="0056275D"/>
    <w:rsid w:val="005637AD"/>
    <w:rsid w:val="005641E4"/>
    <w:rsid w:val="005655A1"/>
    <w:rsid w:val="00565BC9"/>
    <w:rsid w:val="00570FCD"/>
    <w:rsid w:val="00573F75"/>
    <w:rsid w:val="005743F8"/>
    <w:rsid w:val="00574B74"/>
    <w:rsid w:val="0057581E"/>
    <w:rsid w:val="00575F6F"/>
    <w:rsid w:val="00575FC7"/>
    <w:rsid w:val="005776C0"/>
    <w:rsid w:val="00577996"/>
    <w:rsid w:val="0058211B"/>
    <w:rsid w:val="00582527"/>
    <w:rsid w:val="005826E1"/>
    <w:rsid w:val="005837B4"/>
    <w:rsid w:val="00586D42"/>
    <w:rsid w:val="00586E61"/>
    <w:rsid w:val="005872A9"/>
    <w:rsid w:val="00592C10"/>
    <w:rsid w:val="00594FDE"/>
    <w:rsid w:val="005A003E"/>
    <w:rsid w:val="005A04F6"/>
    <w:rsid w:val="005A2079"/>
    <w:rsid w:val="005A4749"/>
    <w:rsid w:val="005A505E"/>
    <w:rsid w:val="005A50C7"/>
    <w:rsid w:val="005A58AD"/>
    <w:rsid w:val="005A619C"/>
    <w:rsid w:val="005B11D9"/>
    <w:rsid w:val="005B2937"/>
    <w:rsid w:val="005B32BB"/>
    <w:rsid w:val="005B648C"/>
    <w:rsid w:val="005B7332"/>
    <w:rsid w:val="005B7A63"/>
    <w:rsid w:val="005C0C1A"/>
    <w:rsid w:val="005C3676"/>
    <w:rsid w:val="005C3D01"/>
    <w:rsid w:val="005C590B"/>
    <w:rsid w:val="005C6BA7"/>
    <w:rsid w:val="005C74CC"/>
    <w:rsid w:val="005D1436"/>
    <w:rsid w:val="005D2FE1"/>
    <w:rsid w:val="005D37DA"/>
    <w:rsid w:val="005D3B85"/>
    <w:rsid w:val="005D57A6"/>
    <w:rsid w:val="005D5892"/>
    <w:rsid w:val="005D59D8"/>
    <w:rsid w:val="005D6D27"/>
    <w:rsid w:val="005D6F67"/>
    <w:rsid w:val="005E09EA"/>
    <w:rsid w:val="005E1C08"/>
    <w:rsid w:val="005E2F63"/>
    <w:rsid w:val="005E5840"/>
    <w:rsid w:val="005E62DD"/>
    <w:rsid w:val="005E65BE"/>
    <w:rsid w:val="005E686C"/>
    <w:rsid w:val="005F0B73"/>
    <w:rsid w:val="005F1AC2"/>
    <w:rsid w:val="005F21A1"/>
    <w:rsid w:val="005F26F5"/>
    <w:rsid w:val="005F32A1"/>
    <w:rsid w:val="005F5605"/>
    <w:rsid w:val="005F56CD"/>
    <w:rsid w:val="005F6A4A"/>
    <w:rsid w:val="00602765"/>
    <w:rsid w:val="00602993"/>
    <w:rsid w:val="00603BC2"/>
    <w:rsid w:val="00605927"/>
    <w:rsid w:val="00605CA5"/>
    <w:rsid w:val="006078D2"/>
    <w:rsid w:val="006101A7"/>
    <w:rsid w:val="00610899"/>
    <w:rsid w:val="006115BC"/>
    <w:rsid w:val="00611DD3"/>
    <w:rsid w:val="00613135"/>
    <w:rsid w:val="00614A91"/>
    <w:rsid w:val="006156B8"/>
    <w:rsid w:val="00615DA3"/>
    <w:rsid w:val="0061651B"/>
    <w:rsid w:val="006215DB"/>
    <w:rsid w:val="00622CE0"/>
    <w:rsid w:val="00622D38"/>
    <w:rsid w:val="00624FA1"/>
    <w:rsid w:val="006255E6"/>
    <w:rsid w:val="00627220"/>
    <w:rsid w:val="00631203"/>
    <w:rsid w:val="00633F34"/>
    <w:rsid w:val="006343DE"/>
    <w:rsid w:val="00635063"/>
    <w:rsid w:val="006355D3"/>
    <w:rsid w:val="00637B97"/>
    <w:rsid w:val="00650200"/>
    <w:rsid w:val="006515A7"/>
    <w:rsid w:val="00651611"/>
    <w:rsid w:val="00651DEE"/>
    <w:rsid w:val="00651E66"/>
    <w:rsid w:val="006525F7"/>
    <w:rsid w:val="00653311"/>
    <w:rsid w:val="00654217"/>
    <w:rsid w:val="00654C92"/>
    <w:rsid w:val="0065513D"/>
    <w:rsid w:val="00655663"/>
    <w:rsid w:val="00657908"/>
    <w:rsid w:val="00660534"/>
    <w:rsid w:val="00660A15"/>
    <w:rsid w:val="00660CD1"/>
    <w:rsid w:val="006615F4"/>
    <w:rsid w:val="0066322E"/>
    <w:rsid w:val="0066501F"/>
    <w:rsid w:val="006656B9"/>
    <w:rsid w:val="00666594"/>
    <w:rsid w:val="006705E9"/>
    <w:rsid w:val="00672662"/>
    <w:rsid w:val="006738D4"/>
    <w:rsid w:val="00674BAB"/>
    <w:rsid w:val="00677430"/>
    <w:rsid w:val="006815F0"/>
    <w:rsid w:val="00682DFB"/>
    <w:rsid w:val="00686628"/>
    <w:rsid w:val="00690360"/>
    <w:rsid w:val="00690CB8"/>
    <w:rsid w:val="00691708"/>
    <w:rsid w:val="00692FFD"/>
    <w:rsid w:val="00693760"/>
    <w:rsid w:val="00693E99"/>
    <w:rsid w:val="006958A1"/>
    <w:rsid w:val="00695B52"/>
    <w:rsid w:val="0069634A"/>
    <w:rsid w:val="00696B76"/>
    <w:rsid w:val="006A125C"/>
    <w:rsid w:val="006A1F6F"/>
    <w:rsid w:val="006A2160"/>
    <w:rsid w:val="006A29E1"/>
    <w:rsid w:val="006A519B"/>
    <w:rsid w:val="006A61F5"/>
    <w:rsid w:val="006B2290"/>
    <w:rsid w:val="006B23D0"/>
    <w:rsid w:val="006B2BB8"/>
    <w:rsid w:val="006B3AF3"/>
    <w:rsid w:val="006B40E7"/>
    <w:rsid w:val="006B413C"/>
    <w:rsid w:val="006B7ED2"/>
    <w:rsid w:val="006C0F83"/>
    <w:rsid w:val="006C1401"/>
    <w:rsid w:val="006C1AA4"/>
    <w:rsid w:val="006C1E1E"/>
    <w:rsid w:val="006C2285"/>
    <w:rsid w:val="006C41E2"/>
    <w:rsid w:val="006C4BF2"/>
    <w:rsid w:val="006C59FC"/>
    <w:rsid w:val="006D0F8B"/>
    <w:rsid w:val="006D2C62"/>
    <w:rsid w:val="006D30E4"/>
    <w:rsid w:val="006D319F"/>
    <w:rsid w:val="006D366D"/>
    <w:rsid w:val="006D3D8E"/>
    <w:rsid w:val="006D596B"/>
    <w:rsid w:val="006D5999"/>
    <w:rsid w:val="006D6C39"/>
    <w:rsid w:val="006E2847"/>
    <w:rsid w:val="006E5FAB"/>
    <w:rsid w:val="006F0AE2"/>
    <w:rsid w:val="006F243C"/>
    <w:rsid w:val="006F2AF1"/>
    <w:rsid w:val="006F2F7A"/>
    <w:rsid w:val="006F3EAB"/>
    <w:rsid w:val="006F4EAE"/>
    <w:rsid w:val="006F509A"/>
    <w:rsid w:val="006F5989"/>
    <w:rsid w:val="006F5A5E"/>
    <w:rsid w:val="006F67E7"/>
    <w:rsid w:val="00700F54"/>
    <w:rsid w:val="007053D9"/>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4C97"/>
    <w:rsid w:val="00726098"/>
    <w:rsid w:val="007274A9"/>
    <w:rsid w:val="00727946"/>
    <w:rsid w:val="00733A1C"/>
    <w:rsid w:val="00734506"/>
    <w:rsid w:val="00734BDD"/>
    <w:rsid w:val="007358D5"/>
    <w:rsid w:val="007360D0"/>
    <w:rsid w:val="00737101"/>
    <w:rsid w:val="007379F7"/>
    <w:rsid w:val="00741CB2"/>
    <w:rsid w:val="00743887"/>
    <w:rsid w:val="00744F91"/>
    <w:rsid w:val="00746ED5"/>
    <w:rsid w:val="007472CA"/>
    <w:rsid w:val="00747876"/>
    <w:rsid w:val="00747E03"/>
    <w:rsid w:val="00751BB9"/>
    <w:rsid w:val="007528E5"/>
    <w:rsid w:val="007546A3"/>
    <w:rsid w:val="00755120"/>
    <w:rsid w:val="00755510"/>
    <w:rsid w:val="0075552B"/>
    <w:rsid w:val="0075600C"/>
    <w:rsid w:val="00756EEC"/>
    <w:rsid w:val="007573A8"/>
    <w:rsid w:val="007647AC"/>
    <w:rsid w:val="00765695"/>
    <w:rsid w:val="00766B43"/>
    <w:rsid w:val="00770BB2"/>
    <w:rsid w:val="00771893"/>
    <w:rsid w:val="00772821"/>
    <w:rsid w:val="007730ED"/>
    <w:rsid w:val="007746A6"/>
    <w:rsid w:val="00776111"/>
    <w:rsid w:val="0077696F"/>
    <w:rsid w:val="00777B8D"/>
    <w:rsid w:val="007806F6"/>
    <w:rsid w:val="00780C58"/>
    <w:rsid w:val="0078187A"/>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7A6A"/>
    <w:rsid w:val="007B02A3"/>
    <w:rsid w:val="007B3AC0"/>
    <w:rsid w:val="007B3DB9"/>
    <w:rsid w:val="007B419C"/>
    <w:rsid w:val="007B62F0"/>
    <w:rsid w:val="007B6C09"/>
    <w:rsid w:val="007B6EF4"/>
    <w:rsid w:val="007B7071"/>
    <w:rsid w:val="007C0833"/>
    <w:rsid w:val="007C343F"/>
    <w:rsid w:val="007C4E3F"/>
    <w:rsid w:val="007C51F6"/>
    <w:rsid w:val="007C5DFC"/>
    <w:rsid w:val="007C6728"/>
    <w:rsid w:val="007C7125"/>
    <w:rsid w:val="007C7E16"/>
    <w:rsid w:val="007C7EE2"/>
    <w:rsid w:val="007D1882"/>
    <w:rsid w:val="007D2787"/>
    <w:rsid w:val="007D2992"/>
    <w:rsid w:val="007D3503"/>
    <w:rsid w:val="007D3622"/>
    <w:rsid w:val="007D4333"/>
    <w:rsid w:val="007D49D5"/>
    <w:rsid w:val="007D5036"/>
    <w:rsid w:val="007D554E"/>
    <w:rsid w:val="007D67D6"/>
    <w:rsid w:val="007D6CB0"/>
    <w:rsid w:val="007D770B"/>
    <w:rsid w:val="007E01B5"/>
    <w:rsid w:val="007E0825"/>
    <w:rsid w:val="007E09DA"/>
    <w:rsid w:val="007E2AD0"/>
    <w:rsid w:val="007E5E03"/>
    <w:rsid w:val="007E6437"/>
    <w:rsid w:val="007E6C54"/>
    <w:rsid w:val="007E7794"/>
    <w:rsid w:val="007F1F9D"/>
    <w:rsid w:val="007F2849"/>
    <w:rsid w:val="007F2D0E"/>
    <w:rsid w:val="007F30D8"/>
    <w:rsid w:val="007F3F42"/>
    <w:rsid w:val="007F45C6"/>
    <w:rsid w:val="007F5DAD"/>
    <w:rsid w:val="007F5EC4"/>
    <w:rsid w:val="008005D2"/>
    <w:rsid w:val="008030E5"/>
    <w:rsid w:val="00804864"/>
    <w:rsid w:val="00805948"/>
    <w:rsid w:val="00805D1E"/>
    <w:rsid w:val="00806587"/>
    <w:rsid w:val="00806816"/>
    <w:rsid w:val="008071BA"/>
    <w:rsid w:val="00810A55"/>
    <w:rsid w:val="008113F4"/>
    <w:rsid w:val="0081189C"/>
    <w:rsid w:val="00811A38"/>
    <w:rsid w:val="0081446B"/>
    <w:rsid w:val="00814E6E"/>
    <w:rsid w:val="008150F5"/>
    <w:rsid w:val="00816291"/>
    <w:rsid w:val="00816F03"/>
    <w:rsid w:val="008178B6"/>
    <w:rsid w:val="00817CC2"/>
    <w:rsid w:val="00820056"/>
    <w:rsid w:val="008201AE"/>
    <w:rsid w:val="008242B8"/>
    <w:rsid w:val="008276A8"/>
    <w:rsid w:val="00827D09"/>
    <w:rsid w:val="00827E6C"/>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3249"/>
    <w:rsid w:val="00844353"/>
    <w:rsid w:val="008452DC"/>
    <w:rsid w:val="0084642B"/>
    <w:rsid w:val="008464C3"/>
    <w:rsid w:val="008512FB"/>
    <w:rsid w:val="008516C4"/>
    <w:rsid w:val="008518C1"/>
    <w:rsid w:val="00852F75"/>
    <w:rsid w:val="00853136"/>
    <w:rsid w:val="00853E54"/>
    <w:rsid w:val="00854C17"/>
    <w:rsid w:val="00856FF8"/>
    <w:rsid w:val="0086032C"/>
    <w:rsid w:val="00860C4B"/>
    <w:rsid w:val="008635C3"/>
    <w:rsid w:val="00865B74"/>
    <w:rsid w:val="00866E18"/>
    <w:rsid w:val="00867846"/>
    <w:rsid w:val="00871037"/>
    <w:rsid w:val="008714E5"/>
    <w:rsid w:val="00871599"/>
    <w:rsid w:val="00871C0B"/>
    <w:rsid w:val="00871C2D"/>
    <w:rsid w:val="00872A85"/>
    <w:rsid w:val="00872CBF"/>
    <w:rsid w:val="008732DD"/>
    <w:rsid w:val="00874803"/>
    <w:rsid w:val="00874E6A"/>
    <w:rsid w:val="008755FB"/>
    <w:rsid w:val="00875880"/>
    <w:rsid w:val="00875998"/>
    <w:rsid w:val="00875D36"/>
    <w:rsid w:val="00880BF5"/>
    <w:rsid w:val="00881EF7"/>
    <w:rsid w:val="008828AB"/>
    <w:rsid w:val="00882D78"/>
    <w:rsid w:val="008836CB"/>
    <w:rsid w:val="00884298"/>
    <w:rsid w:val="00884B42"/>
    <w:rsid w:val="00886EE8"/>
    <w:rsid w:val="00887DE2"/>
    <w:rsid w:val="0089326E"/>
    <w:rsid w:val="008A0B2D"/>
    <w:rsid w:val="008A1245"/>
    <w:rsid w:val="008A2567"/>
    <w:rsid w:val="008A37A7"/>
    <w:rsid w:val="008A4299"/>
    <w:rsid w:val="008A5F42"/>
    <w:rsid w:val="008A6307"/>
    <w:rsid w:val="008A6368"/>
    <w:rsid w:val="008A75AF"/>
    <w:rsid w:val="008B141A"/>
    <w:rsid w:val="008B2989"/>
    <w:rsid w:val="008B2EBC"/>
    <w:rsid w:val="008B419B"/>
    <w:rsid w:val="008B49CF"/>
    <w:rsid w:val="008B680A"/>
    <w:rsid w:val="008C07B4"/>
    <w:rsid w:val="008C115E"/>
    <w:rsid w:val="008C11BC"/>
    <w:rsid w:val="008C2F5E"/>
    <w:rsid w:val="008C2F88"/>
    <w:rsid w:val="008C52D2"/>
    <w:rsid w:val="008C584A"/>
    <w:rsid w:val="008C72AB"/>
    <w:rsid w:val="008D00D9"/>
    <w:rsid w:val="008D1BD1"/>
    <w:rsid w:val="008D2626"/>
    <w:rsid w:val="008D3DEC"/>
    <w:rsid w:val="008D5DE9"/>
    <w:rsid w:val="008D6256"/>
    <w:rsid w:val="008D79BA"/>
    <w:rsid w:val="008E1B8A"/>
    <w:rsid w:val="008E38F5"/>
    <w:rsid w:val="008E757D"/>
    <w:rsid w:val="008F061D"/>
    <w:rsid w:val="008F1FC4"/>
    <w:rsid w:val="008F37E9"/>
    <w:rsid w:val="008F3868"/>
    <w:rsid w:val="008F47E2"/>
    <w:rsid w:val="008F62BF"/>
    <w:rsid w:val="008F6FA9"/>
    <w:rsid w:val="008F79D9"/>
    <w:rsid w:val="008F7B2A"/>
    <w:rsid w:val="00900D41"/>
    <w:rsid w:val="0090115D"/>
    <w:rsid w:val="00901224"/>
    <w:rsid w:val="00901C76"/>
    <w:rsid w:val="00901D06"/>
    <w:rsid w:val="00901FDF"/>
    <w:rsid w:val="00902602"/>
    <w:rsid w:val="009027ED"/>
    <w:rsid w:val="00903E58"/>
    <w:rsid w:val="0090401D"/>
    <w:rsid w:val="00904428"/>
    <w:rsid w:val="0090477A"/>
    <w:rsid w:val="009079A5"/>
    <w:rsid w:val="009107AA"/>
    <w:rsid w:val="00910DA8"/>
    <w:rsid w:val="00911341"/>
    <w:rsid w:val="00911DF2"/>
    <w:rsid w:val="00913611"/>
    <w:rsid w:val="00913A42"/>
    <w:rsid w:val="00914191"/>
    <w:rsid w:val="00915B3F"/>
    <w:rsid w:val="00916E67"/>
    <w:rsid w:val="00923474"/>
    <w:rsid w:val="00923A85"/>
    <w:rsid w:val="00931CF5"/>
    <w:rsid w:val="009328FE"/>
    <w:rsid w:val="00933BBA"/>
    <w:rsid w:val="00933FC4"/>
    <w:rsid w:val="00940485"/>
    <w:rsid w:val="0094109C"/>
    <w:rsid w:val="0094126F"/>
    <w:rsid w:val="00942060"/>
    <w:rsid w:val="0094360D"/>
    <w:rsid w:val="00943AAE"/>
    <w:rsid w:val="00943B7C"/>
    <w:rsid w:val="009441FD"/>
    <w:rsid w:val="00944261"/>
    <w:rsid w:val="00944465"/>
    <w:rsid w:val="00944B03"/>
    <w:rsid w:val="00944ECC"/>
    <w:rsid w:val="00944EF5"/>
    <w:rsid w:val="00944F3A"/>
    <w:rsid w:val="00945C20"/>
    <w:rsid w:val="009505C9"/>
    <w:rsid w:val="009511B9"/>
    <w:rsid w:val="0095205B"/>
    <w:rsid w:val="00953A73"/>
    <w:rsid w:val="00954539"/>
    <w:rsid w:val="00954C0B"/>
    <w:rsid w:val="00957755"/>
    <w:rsid w:val="00960B37"/>
    <w:rsid w:val="00960C05"/>
    <w:rsid w:val="00961516"/>
    <w:rsid w:val="009625D9"/>
    <w:rsid w:val="00962BFF"/>
    <w:rsid w:val="00962EA8"/>
    <w:rsid w:val="00963537"/>
    <w:rsid w:val="00963E44"/>
    <w:rsid w:val="00964C05"/>
    <w:rsid w:val="009673E2"/>
    <w:rsid w:val="00970171"/>
    <w:rsid w:val="00971036"/>
    <w:rsid w:val="00971C46"/>
    <w:rsid w:val="00972700"/>
    <w:rsid w:val="009732E0"/>
    <w:rsid w:val="009738D0"/>
    <w:rsid w:val="00974D12"/>
    <w:rsid w:val="00975231"/>
    <w:rsid w:val="009756C6"/>
    <w:rsid w:val="00977167"/>
    <w:rsid w:val="00984557"/>
    <w:rsid w:val="00984F98"/>
    <w:rsid w:val="009855FB"/>
    <w:rsid w:val="00985F46"/>
    <w:rsid w:val="009869A4"/>
    <w:rsid w:val="00987122"/>
    <w:rsid w:val="009877CB"/>
    <w:rsid w:val="009878C9"/>
    <w:rsid w:val="009908E2"/>
    <w:rsid w:val="00990F7A"/>
    <w:rsid w:val="00992150"/>
    <w:rsid w:val="00992BED"/>
    <w:rsid w:val="00993C92"/>
    <w:rsid w:val="00994E2F"/>
    <w:rsid w:val="009A00E6"/>
    <w:rsid w:val="009A12C7"/>
    <w:rsid w:val="009A178A"/>
    <w:rsid w:val="009A2168"/>
    <w:rsid w:val="009A25C5"/>
    <w:rsid w:val="009A5385"/>
    <w:rsid w:val="009A5C95"/>
    <w:rsid w:val="009A6149"/>
    <w:rsid w:val="009A6C23"/>
    <w:rsid w:val="009A6C58"/>
    <w:rsid w:val="009A7E9E"/>
    <w:rsid w:val="009B18AB"/>
    <w:rsid w:val="009B2A28"/>
    <w:rsid w:val="009B2D6A"/>
    <w:rsid w:val="009B2D81"/>
    <w:rsid w:val="009B3653"/>
    <w:rsid w:val="009B38D7"/>
    <w:rsid w:val="009B695B"/>
    <w:rsid w:val="009C0302"/>
    <w:rsid w:val="009C038C"/>
    <w:rsid w:val="009C22E9"/>
    <w:rsid w:val="009C563E"/>
    <w:rsid w:val="009C7745"/>
    <w:rsid w:val="009D07A3"/>
    <w:rsid w:val="009D1A2A"/>
    <w:rsid w:val="009D2940"/>
    <w:rsid w:val="009D2BA6"/>
    <w:rsid w:val="009D4766"/>
    <w:rsid w:val="009D62FA"/>
    <w:rsid w:val="009D6D56"/>
    <w:rsid w:val="009E30F4"/>
    <w:rsid w:val="009E39CD"/>
    <w:rsid w:val="009E70BE"/>
    <w:rsid w:val="009E725B"/>
    <w:rsid w:val="009E7305"/>
    <w:rsid w:val="009E7FA0"/>
    <w:rsid w:val="009F13AE"/>
    <w:rsid w:val="009F1765"/>
    <w:rsid w:val="009F1B2D"/>
    <w:rsid w:val="009F1DC4"/>
    <w:rsid w:val="009F2300"/>
    <w:rsid w:val="009F332A"/>
    <w:rsid w:val="009F365D"/>
    <w:rsid w:val="009F38F6"/>
    <w:rsid w:val="009F49AC"/>
    <w:rsid w:val="009F5AAF"/>
    <w:rsid w:val="009F7B4B"/>
    <w:rsid w:val="009F7E3D"/>
    <w:rsid w:val="00A009AC"/>
    <w:rsid w:val="00A00A63"/>
    <w:rsid w:val="00A00E0A"/>
    <w:rsid w:val="00A016F1"/>
    <w:rsid w:val="00A01D67"/>
    <w:rsid w:val="00A02453"/>
    <w:rsid w:val="00A054C6"/>
    <w:rsid w:val="00A06527"/>
    <w:rsid w:val="00A075E7"/>
    <w:rsid w:val="00A07D7D"/>
    <w:rsid w:val="00A10301"/>
    <w:rsid w:val="00A10C40"/>
    <w:rsid w:val="00A12CBF"/>
    <w:rsid w:val="00A140B1"/>
    <w:rsid w:val="00A15894"/>
    <w:rsid w:val="00A16C84"/>
    <w:rsid w:val="00A2090D"/>
    <w:rsid w:val="00A217E4"/>
    <w:rsid w:val="00A21F8B"/>
    <w:rsid w:val="00A221A6"/>
    <w:rsid w:val="00A22E30"/>
    <w:rsid w:val="00A243C4"/>
    <w:rsid w:val="00A24690"/>
    <w:rsid w:val="00A24E2C"/>
    <w:rsid w:val="00A25D98"/>
    <w:rsid w:val="00A31816"/>
    <w:rsid w:val="00A326BA"/>
    <w:rsid w:val="00A33C36"/>
    <w:rsid w:val="00A34E73"/>
    <w:rsid w:val="00A352F5"/>
    <w:rsid w:val="00A35501"/>
    <w:rsid w:val="00A36220"/>
    <w:rsid w:val="00A3667E"/>
    <w:rsid w:val="00A36CE5"/>
    <w:rsid w:val="00A37A50"/>
    <w:rsid w:val="00A37C2C"/>
    <w:rsid w:val="00A40452"/>
    <w:rsid w:val="00A41FEA"/>
    <w:rsid w:val="00A449E3"/>
    <w:rsid w:val="00A44E47"/>
    <w:rsid w:val="00A45B0F"/>
    <w:rsid w:val="00A45F7C"/>
    <w:rsid w:val="00A520A2"/>
    <w:rsid w:val="00A5307F"/>
    <w:rsid w:val="00A5364A"/>
    <w:rsid w:val="00A54144"/>
    <w:rsid w:val="00A54697"/>
    <w:rsid w:val="00A56A01"/>
    <w:rsid w:val="00A56DF4"/>
    <w:rsid w:val="00A56F1B"/>
    <w:rsid w:val="00A621FF"/>
    <w:rsid w:val="00A655D6"/>
    <w:rsid w:val="00A65A06"/>
    <w:rsid w:val="00A65E67"/>
    <w:rsid w:val="00A66F87"/>
    <w:rsid w:val="00A675CF"/>
    <w:rsid w:val="00A67B6B"/>
    <w:rsid w:val="00A67D3F"/>
    <w:rsid w:val="00A71662"/>
    <w:rsid w:val="00A72A3A"/>
    <w:rsid w:val="00A7370E"/>
    <w:rsid w:val="00A74B65"/>
    <w:rsid w:val="00A74CC0"/>
    <w:rsid w:val="00A74E4A"/>
    <w:rsid w:val="00A75774"/>
    <w:rsid w:val="00A83423"/>
    <w:rsid w:val="00A863A3"/>
    <w:rsid w:val="00A8788A"/>
    <w:rsid w:val="00A87C47"/>
    <w:rsid w:val="00A938E6"/>
    <w:rsid w:val="00A94FC4"/>
    <w:rsid w:val="00A95073"/>
    <w:rsid w:val="00AA082C"/>
    <w:rsid w:val="00AA4341"/>
    <w:rsid w:val="00AA45CF"/>
    <w:rsid w:val="00AA47BB"/>
    <w:rsid w:val="00AA6AB7"/>
    <w:rsid w:val="00AB03F9"/>
    <w:rsid w:val="00AB0CAD"/>
    <w:rsid w:val="00AB1816"/>
    <w:rsid w:val="00AB205D"/>
    <w:rsid w:val="00AB2D43"/>
    <w:rsid w:val="00AB2E87"/>
    <w:rsid w:val="00AB4A4D"/>
    <w:rsid w:val="00AB565D"/>
    <w:rsid w:val="00AB56A7"/>
    <w:rsid w:val="00AB58D7"/>
    <w:rsid w:val="00AB5C7B"/>
    <w:rsid w:val="00AC049C"/>
    <w:rsid w:val="00AC05F2"/>
    <w:rsid w:val="00AC0CA9"/>
    <w:rsid w:val="00AC11EA"/>
    <w:rsid w:val="00AC1A60"/>
    <w:rsid w:val="00AC1DCC"/>
    <w:rsid w:val="00AC20C6"/>
    <w:rsid w:val="00AC27C6"/>
    <w:rsid w:val="00AC317F"/>
    <w:rsid w:val="00AC4AD1"/>
    <w:rsid w:val="00AC535B"/>
    <w:rsid w:val="00AC5E6C"/>
    <w:rsid w:val="00AC60DA"/>
    <w:rsid w:val="00AC62E1"/>
    <w:rsid w:val="00AC7B8A"/>
    <w:rsid w:val="00AD3A6F"/>
    <w:rsid w:val="00AD3E4C"/>
    <w:rsid w:val="00AD41B1"/>
    <w:rsid w:val="00AD41D2"/>
    <w:rsid w:val="00AD6086"/>
    <w:rsid w:val="00AD6966"/>
    <w:rsid w:val="00AE0318"/>
    <w:rsid w:val="00AE0758"/>
    <w:rsid w:val="00AE3827"/>
    <w:rsid w:val="00AE3E51"/>
    <w:rsid w:val="00AE45CD"/>
    <w:rsid w:val="00AE4EBB"/>
    <w:rsid w:val="00AE6599"/>
    <w:rsid w:val="00AE6A05"/>
    <w:rsid w:val="00AF03D3"/>
    <w:rsid w:val="00AF0C42"/>
    <w:rsid w:val="00AF3ADF"/>
    <w:rsid w:val="00AF4EEA"/>
    <w:rsid w:val="00AF61C2"/>
    <w:rsid w:val="00B005DA"/>
    <w:rsid w:val="00B00943"/>
    <w:rsid w:val="00B00FA3"/>
    <w:rsid w:val="00B02633"/>
    <w:rsid w:val="00B037B6"/>
    <w:rsid w:val="00B037E6"/>
    <w:rsid w:val="00B04404"/>
    <w:rsid w:val="00B04DE9"/>
    <w:rsid w:val="00B0523D"/>
    <w:rsid w:val="00B05C70"/>
    <w:rsid w:val="00B063A6"/>
    <w:rsid w:val="00B0663B"/>
    <w:rsid w:val="00B07373"/>
    <w:rsid w:val="00B122DA"/>
    <w:rsid w:val="00B13689"/>
    <w:rsid w:val="00B13824"/>
    <w:rsid w:val="00B138B7"/>
    <w:rsid w:val="00B14099"/>
    <w:rsid w:val="00B1503B"/>
    <w:rsid w:val="00B155BE"/>
    <w:rsid w:val="00B156A0"/>
    <w:rsid w:val="00B15B43"/>
    <w:rsid w:val="00B15B92"/>
    <w:rsid w:val="00B15DC6"/>
    <w:rsid w:val="00B16E1D"/>
    <w:rsid w:val="00B17BDE"/>
    <w:rsid w:val="00B202CC"/>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1068"/>
    <w:rsid w:val="00B32FC0"/>
    <w:rsid w:val="00B3369F"/>
    <w:rsid w:val="00B33C73"/>
    <w:rsid w:val="00B34F77"/>
    <w:rsid w:val="00B36477"/>
    <w:rsid w:val="00B3751A"/>
    <w:rsid w:val="00B3781A"/>
    <w:rsid w:val="00B41089"/>
    <w:rsid w:val="00B4473F"/>
    <w:rsid w:val="00B45D17"/>
    <w:rsid w:val="00B462EF"/>
    <w:rsid w:val="00B463C1"/>
    <w:rsid w:val="00B4677B"/>
    <w:rsid w:val="00B47DF9"/>
    <w:rsid w:val="00B50DB0"/>
    <w:rsid w:val="00B52ED4"/>
    <w:rsid w:val="00B5313C"/>
    <w:rsid w:val="00B54170"/>
    <w:rsid w:val="00B548D7"/>
    <w:rsid w:val="00B6012F"/>
    <w:rsid w:val="00B60D31"/>
    <w:rsid w:val="00B62598"/>
    <w:rsid w:val="00B6315F"/>
    <w:rsid w:val="00B634E2"/>
    <w:rsid w:val="00B651D2"/>
    <w:rsid w:val="00B65D83"/>
    <w:rsid w:val="00B6769A"/>
    <w:rsid w:val="00B70501"/>
    <w:rsid w:val="00B71EF3"/>
    <w:rsid w:val="00B73578"/>
    <w:rsid w:val="00B735A1"/>
    <w:rsid w:val="00B73950"/>
    <w:rsid w:val="00B746E4"/>
    <w:rsid w:val="00B75B61"/>
    <w:rsid w:val="00B763A7"/>
    <w:rsid w:val="00B766BD"/>
    <w:rsid w:val="00B76AFD"/>
    <w:rsid w:val="00B7725E"/>
    <w:rsid w:val="00B80349"/>
    <w:rsid w:val="00B8190A"/>
    <w:rsid w:val="00B81C12"/>
    <w:rsid w:val="00B824E2"/>
    <w:rsid w:val="00B82D31"/>
    <w:rsid w:val="00B83E9D"/>
    <w:rsid w:val="00B87BC7"/>
    <w:rsid w:val="00B90B12"/>
    <w:rsid w:val="00B95699"/>
    <w:rsid w:val="00B974BE"/>
    <w:rsid w:val="00B97AEF"/>
    <w:rsid w:val="00B97AFD"/>
    <w:rsid w:val="00BA0BD5"/>
    <w:rsid w:val="00BA1996"/>
    <w:rsid w:val="00BA1A1D"/>
    <w:rsid w:val="00BA4376"/>
    <w:rsid w:val="00BA4B13"/>
    <w:rsid w:val="00BA529E"/>
    <w:rsid w:val="00BA6A08"/>
    <w:rsid w:val="00BA749E"/>
    <w:rsid w:val="00BB103E"/>
    <w:rsid w:val="00BB300E"/>
    <w:rsid w:val="00BB3AC8"/>
    <w:rsid w:val="00BB40B2"/>
    <w:rsid w:val="00BB5F82"/>
    <w:rsid w:val="00BB6276"/>
    <w:rsid w:val="00BB7416"/>
    <w:rsid w:val="00BC2AA0"/>
    <w:rsid w:val="00BC33A9"/>
    <w:rsid w:val="00BC35DF"/>
    <w:rsid w:val="00BD0544"/>
    <w:rsid w:val="00BD1E4D"/>
    <w:rsid w:val="00BD1EA3"/>
    <w:rsid w:val="00BD78DC"/>
    <w:rsid w:val="00BE2094"/>
    <w:rsid w:val="00BE33AD"/>
    <w:rsid w:val="00BE3A58"/>
    <w:rsid w:val="00BE3EC7"/>
    <w:rsid w:val="00BE4E76"/>
    <w:rsid w:val="00BE5F7A"/>
    <w:rsid w:val="00BE60AF"/>
    <w:rsid w:val="00BE613F"/>
    <w:rsid w:val="00BE69FC"/>
    <w:rsid w:val="00BE78BA"/>
    <w:rsid w:val="00BF054D"/>
    <w:rsid w:val="00BF28B0"/>
    <w:rsid w:val="00BF40F7"/>
    <w:rsid w:val="00BF4C30"/>
    <w:rsid w:val="00BF7858"/>
    <w:rsid w:val="00BF78D1"/>
    <w:rsid w:val="00C0002B"/>
    <w:rsid w:val="00C0257E"/>
    <w:rsid w:val="00C03601"/>
    <w:rsid w:val="00C03AD2"/>
    <w:rsid w:val="00C03BE0"/>
    <w:rsid w:val="00C03C72"/>
    <w:rsid w:val="00C041FD"/>
    <w:rsid w:val="00C05D2D"/>
    <w:rsid w:val="00C064E2"/>
    <w:rsid w:val="00C07216"/>
    <w:rsid w:val="00C07DE2"/>
    <w:rsid w:val="00C10B60"/>
    <w:rsid w:val="00C10E2F"/>
    <w:rsid w:val="00C10E3F"/>
    <w:rsid w:val="00C11601"/>
    <w:rsid w:val="00C1270F"/>
    <w:rsid w:val="00C13C6B"/>
    <w:rsid w:val="00C15A52"/>
    <w:rsid w:val="00C17046"/>
    <w:rsid w:val="00C20D12"/>
    <w:rsid w:val="00C21D59"/>
    <w:rsid w:val="00C2206D"/>
    <w:rsid w:val="00C22B33"/>
    <w:rsid w:val="00C22C9B"/>
    <w:rsid w:val="00C302AF"/>
    <w:rsid w:val="00C30343"/>
    <w:rsid w:val="00C30F01"/>
    <w:rsid w:val="00C32AD7"/>
    <w:rsid w:val="00C332A8"/>
    <w:rsid w:val="00C338A1"/>
    <w:rsid w:val="00C35B11"/>
    <w:rsid w:val="00C36099"/>
    <w:rsid w:val="00C36498"/>
    <w:rsid w:val="00C36FAD"/>
    <w:rsid w:val="00C37D41"/>
    <w:rsid w:val="00C40CD2"/>
    <w:rsid w:val="00C40D48"/>
    <w:rsid w:val="00C416F6"/>
    <w:rsid w:val="00C4184A"/>
    <w:rsid w:val="00C43580"/>
    <w:rsid w:val="00C4370D"/>
    <w:rsid w:val="00C455EA"/>
    <w:rsid w:val="00C4611B"/>
    <w:rsid w:val="00C46A90"/>
    <w:rsid w:val="00C46CD9"/>
    <w:rsid w:val="00C46FBB"/>
    <w:rsid w:val="00C4784A"/>
    <w:rsid w:val="00C50DC2"/>
    <w:rsid w:val="00C52074"/>
    <w:rsid w:val="00C52AB4"/>
    <w:rsid w:val="00C52DA5"/>
    <w:rsid w:val="00C53048"/>
    <w:rsid w:val="00C535AF"/>
    <w:rsid w:val="00C53BF5"/>
    <w:rsid w:val="00C54566"/>
    <w:rsid w:val="00C547C2"/>
    <w:rsid w:val="00C5637F"/>
    <w:rsid w:val="00C602D1"/>
    <w:rsid w:val="00C6074D"/>
    <w:rsid w:val="00C61B86"/>
    <w:rsid w:val="00C61B99"/>
    <w:rsid w:val="00C625FD"/>
    <w:rsid w:val="00C62FCB"/>
    <w:rsid w:val="00C641A3"/>
    <w:rsid w:val="00C66294"/>
    <w:rsid w:val="00C71E6E"/>
    <w:rsid w:val="00C720E1"/>
    <w:rsid w:val="00C729F3"/>
    <w:rsid w:val="00C74300"/>
    <w:rsid w:val="00C748D4"/>
    <w:rsid w:val="00C748D5"/>
    <w:rsid w:val="00C803B2"/>
    <w:rsid w:val="00C81F00"/>
    <w:rsid w:val="00C820E6"/>
    <w:rsid w:val="00C83E00"/>
    <w:rsid w:val="00C856FE"/>
    <w:rsid w:val="00C85758"/>
    <w:rsid w:val="00C869FC"/>
    <w:rsid w:val="00C86DD0"/>
    <w:rsid w:val="00C902EB"/>
    <w:rsid w:val="00C90B2A"/>
    <w:rsid w:val="00C90D27"/>
    <w:rsid w:val="00C910C1"/>
    <w:rsid w:val="00C9161D"/>
    <w:rsid w:val="00C95561"/>
    <w:rsid w:val="00C961DC"/>
    <w:rsid w:val="00C96772"/>
    <w:rsid w:val="00C96C93"/>
    <w:rsid w:val="00CA0206"/>
    <w:rsid w:val="00CA1006"/>
    <w:rsid w:val="00CA1A2E"/>
    <w:rsid w:val="00CA2A98"/>
    <w:rsid w:val="00CA52F6"/>
    <w:rsid w:val="00CA532B"/>
    <w:rsid w:val="00CA6E15"/>
    <w:rsid w:val="00CA72C4"/>
    <w:rsid w:val="00CA7F80"/>
    <w:rsid w:val="00CB069E"/>
    <w:rsid w:val="00CB0932"/>
    <w:rsid w:val="00CB0A28"/>
    <w:rsid w:val="00CB0EE6"/>
    <w:rsid w:val="00CB1DAD"/>
    <w:rsid w:val="00CB2B9B"/>
    <w:rsid w:val="00CB37ED"/>
    <w:rsid w:val="00CB3AFF"/>
    <w:rsid w:val="00CB797C"/>
    <w:rsid w:val="00CC0BC4"/>
    <w:rsid w:val="00CC12CD"/>
    <w:rsid w:val="00CC14F5"/>
    <w:rsid w:val="00CC1E7D"/>
    <w:rsid w:val="00CC469F"/>
    <w:rsid w:val="00CC4FB9"/>
    <w:rsid w:val="00CC6D94"/>
    <w:rsid w:val="00CD115A"/>
    <w:rsid w:val="00CD19CC"/>
    <w:rsid w:val="00CD1DD7"/>
    <w:rsid w:val="00CD26D8"/>
    <w:rsid w:val="00CD5502"/>
    <w:rsid w:val="00CD56FA"/>
    <w:rsid w:val="00CD63D8"/>
    <w:rsid w:val="00CD7173"/>
    <w:rsid w:val="00CE0FDB"/>
    <w:rsid w:val="00CE33D4"/>
    <w:rsid w:val="00CE4E29"/>
    <w:rsid w:val="00CE5CA2"/>
    <w:rsid w:val="00CE6D89"/>
    <w:rsid w:val="00CE7B32"/>
    <w:rsid w:val="00CF1848"/>
    <w:rsid w:val="00CF3FC7"/>
    <w:rsid w:val="00CF6852"/>
    <w:rsid w:val="00CF75CE"/>
    <w:rsid w:val="00D02EBC"/>
    <w:rsid w:val="00D048EC"/>
    <w:rsid w:val="00D06C13"/>
    <w:rsid w:val="00D10CAB"/>
    <w:rsid w:val="00D1130B"/>
    <w:rsid w:val="00D119D0"/>
    <w:rsid w:val="00D12927"/>
    <w:rsid w:val="00D14483"/>
    <w:rsid w:val="00D14D87"/>
    <w:rsid w:val="00D176D1"/>
    <w:rsid w:val="00D20A2B"/>
    <w:rsid w:val="00D20B68"/>
    <w:rsid w:val="00D20C61"/>
    <w:rsid w:val="00D21AE1"/>
    <w:rsid w:val="00D228D5"/>
    <w:rsid w:val="00D23F0E"/>
    <w:rsid w:val="00D24492"/>
    <w:rsid w:val="00D24C2B"/>
    <w:rsid w:val="00D30493"/>
    <w:rsid w:val="00D30A10"/>
    <w:rsid w:val="00D31193"/>
    <w:rsid w:val="00D31BB6"/>
    <w:rsid w:val="00D32FAC"/>
    <w:rsid w:val="00D35B24"/>
    <w:rsid w:val="00D36D91"/>
    <w:rsid w:val="00D42339"/>
    <w:rsid w:val="00D42A86"/>
    <w:rsid w:val="00D43223"/>
    <w:rsid w:val="00D46C5E"/>
    <w:rsid w:val="00D50144"/>
    <w:rsid w:val="00D512E1"/>
    <w:rsid w:val="00D519D7"/>
    <w:rsid w:val="00D51D48"/>
    <w:rsid w:val="00D529DE"/>
    <w:rsid w:val="00D55317"/>
    <w:rsid w:val="00D55395"/>
    <w:rsid w:val="00D57241"/>
    <w:rsid w:val="00D6267D"/>
    <w:rsid w:val="00D63FCE"/>
    <w:rsid w:val="00D64149"/>
    <w:rsid w:val="00D6453D"/>
    <w:rsid w:val="00D6636E"/>
    <w:rsid w:val="00D66C10"/>
    <w:rsid w:val="00D701C1"/>
    <w:rsid w:val="00D7097F"/>
    <w:rsid w:val="00D710E2"/>
    <w:rsid w:val="00D71B55"/>
    <w:rsid w:val="00D72366"/>
    <w:rsid w:val="00D730C0"/>
    <w:rsid w:val="00D74A63"/>
    <w:rsid w:val="00D75E58"/>
    <w:rsid w:val="00D75F0D"/>
    <w:rsid w:val="00D768BB"/>
    <w:rsid w:val="00D76A18"/>
    <w:rsid w:val="00D772EA"/>
    <w:rsid w:val="00D77F88"/>
    <w:rsid w:val="00D806FA"/>
    <w:rsid w:val="00D81390"/>
    <w:rsid w:val="00D82515"/>
    <w:rsid w:val="00D85BBB"/>
    <w:rsid w:val="00D9202F"/>
    <w:rsid w:val="00D9406E"/>
    <w:rsid w:val="00D946F2"/>
    <w:rsid w:val="00DA081B"/>
    <w:rsid w:val="00DA0A09"/>
    <w:rsid w:val="00DA140E"/>
    <w:rsid w:val="00DA15BE"/>
    <w:rsid w:val="00DA1F71"/>
    <w:rsid w:val="00DA31B6"/>
    <w:rsid w:val="00DA3B72"/>
    <w:rsid w:val="00DA52DE"/>
    <w:rsid w:val="00DA6A31"/>
    <w:rsid w:val="00DB2B2C"/>
    <w:rsid w:val="00DB391C"/>
    <w:rsid w:val="00DB4CEB"/>
    <w:rsid w:val="00DB4D85"/>
    <w:rsid w:val="00DB5DC2"/>
    <w:rsid w:val="00DB627C"/>
    <w:rsid w:val="00DB7F4A"/>
    <w:rsid w:val="00DC2C1A"/>
    <w:rsid w:val="00DC3128"/>
    <w:rsid w:val="00DC46EA"/>
    <w:rsid w:val="00DC4928"/>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55B6"/>
    <w:rsid w:val="00DE6F77"/>
    <w:rsid w:val="00DE78A3"/>
    <w:rsid w:val="00DE7E62"/>
    <w:rsid w:val="00DF0193"/>
    <w:rsid w:val="00DF0382"/>
    <w:rsid w:val="00DF1939"/>
    <w:rsid w:val="00DF3E09"/>
    <w:rsid w:val="00DF45EA"/>
    <w:rsid w:val="00DF4639"/>
    <w:rsid w:val="00DF464B"/>
    <w:rsid w:val="00DF5EAB"/>
    <w:rsid w:val="00DF6DBA"/>
    <w:rsid w:val="00DF77B1"/>
    <w:rsid w:val="00E00180"/>
    <w:rsid w:val="00E00B6D"/>
    <w:rsid w:val="00E0186A"/>
    <w:rsid w:val="00E0267A"/>
    <w:rsid w:val="00E02891"/>
    <w:rsid w:val="00E03231"/>
    <w:rsid w:val="00E0476F"/>
    <w:rsid w:val="00E06134"/>
    <w:rsid w:val="00E073EF"/>
    <w:rsid w:val="00E07922"/>
    <w:rsid w:val="00E118B6"/>
    <w:rsid w:val="00E11CE3"/>
    <w:rsid w:val="00E1224E"/>
    <w:rsid w:val="00E128DA"/>
    <w:rsid w:val="00E1318B"/>
    <w:rsid w:val="00E15463"/>
    <w:rsid w:val="00E15AAC"/>
    <w:rsid w:val="00E15EFB"/>
    <w:rsid w:val="00E1741C"/>
    <w:rsid w:val="00E2202D"/>
    <w:rsid w:val="00E2227F"/>
    <w:rsid w:val="00E22791"/>
    <w:rsid w:val="00E239E0"/>
    <w:rsid w:val="00E24B2A"/>
    <w:rsid w:val="00E253C4"/>
    <w:rsid w:val="00E25CDC"/>
    <w:rsid w:val="00E26A28"/>
    <w:rsid w:val="00E26DAE"/>
    <w:rsid w:val="00E272EE"/>
    <w:rsid w:val="00E32DB7"/>
    <w:rsid w:val="00E35035"/>
    <w:rsid w:val="00E36BF4"/>
    <w:rsid w:val="00E40FCA"/>
    <w:rsid w:val="00E4124A"/>
    <w:rsid w:val="00E41482"/>
    <w:rsid w:val="00E41A28"/>
    <w:rsid w:val="00E4264A"/>
    <w:rsid w:val="00E43B90"/>
    <w:rsid w:val="00E441AB"/>
    <w:rsid w:val="00E46150"/>
    <w:rsid w:val="00E51B96"/>
    <w:rsid w:val="00E51D7D"/>
    <w:rsid w:val="00E53577"/>
    <w:rsid w:val="00E53957"/>
    <w:rsid w:val="00E53AB2"/>
    <w:rsid w:val="00E5424D"/>
    <w:rsid w:val="00E554F1"/>
    <w:rsid w:val="00E568AD"/>
    <w:rsid w:val="00E57667"/>
    <w:rsid w:val="00E618A7"/>
    <w:rsid w:val="00E61C28"/>
    <w:rsid w:val="00E62D5D"/>
    <w:rsid w:val="00E64D99"/>
    <w:rsid w:val="00E64EA3"/>
    <w:rsid w:val="00E651E1"/>
    <w:rsid w:val="00E65B25"/>
    <w:rsid w:val="00E65B9E"/>
    <w:rsid w:val="00E66235"/>
    <w:rsid w:val="00E67800"/>
    <w:rsid w:val="00E70674"/>
    <w:rsid w:val="00E74BD6"/>
    <w:rsid w:val="00E7610C"/>
    <w:rsid w:val="00E7796C"/>
    <w:rsid w:val="00E830D2"/>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42EF"/>
    <w:rsid w:val="00EB4FCB"/>
    <w:rsid w:val="00EB65BB"/>
    <w:rsid w:val="00EB7619"/>
    <w:rsid w:val="00EC1703"/>
    <w:rsid w:val="00EC23B6"/>
    <w:rsid w:val="00EC2DBC"/>
    <w:rsid w:val="00EC31A8"/>
    <w:rsid w:val="00EC4077"/>
    <w:rsid w:val="00EC6206"/>
    <w:rsid w:val="00ED05E6"/>
    <w:rsid w:val="00ED2EF6"/>
    <w:rsid w:val="00ED3AE9"/>
    <w:rsid w:val="00ED3F4E"/>
    <w:rsid w:val="00ED5BA7"/>
    <w:rsid w:val="00ED5BFB"/>
    <w:rsid w:val="00ED7AA8"/>
    <w:rsid w:val="00EE0514"/>
    <w:rsid w:val="00EE102D"/>
    <w:rsid w:val="00EE1EC5"/>
    <w:rsid w:val="00EE305A"/>
    <w:rsid w:val="00EE4500"/>
    <w:rsid w:val="00EE4996"/>
    <w:rsid w:val="00EF091F"/>
    <w:rsid w:val="00EF2EE8"/>
    <w:rsid w:val="00EF3368"/>
    <w:rsid w:val="00EF457D"/>
    <w:rsid w:val="00EF4D93"/>
    <w:rsid w:val="00EF6448"/>
    <w:rsid w:val="00EF7F74"/>
    <w:rsid w:val="00F00F4D"/>
    <w:rsid w:val="00F02FBC"/>
    <w:rsid w:val="00F03DFB"/>
    <w:rsid w:val="00F05753"/>
    <w:rsid w:val="00F11BF4"/>
    <w:rsid w:val="00F138B1"/>
    <w:rsid w:val="00F14C44"/>
    <w:rsid w:val="00F15C29"/>
    <w:rsid w:val="00F15E0A"/>
    <w:rsid w:val="00F15F45"/>
    <w:rsid w:val="00F16183"/>
    <w:rsid w:val="00F1648A"/>
    <w:rsid w:val="00F250C0"/>
    <w:rsid w:val="00F277C6"/>
    <w:rsid w:val="00F27B6D"/>
    <w:rsid w:val="00F27C49"/>
    <w:rsid w:val="00F307CA"/>
    <w:rsid w:val="00F30E98"/>
    <w:rsid w:val="00F31B9D"/>
    <w:rsid w:val="00F31E1D"/>
    <w:rsid w:val="00F34A05"/>
    <w:rsid w:val="00F34B35"/>
    <w:rsid w:val="00F34E0B"/>
    <w:rsid w:val="00F36448"/>
    <w:rsid w:val="00F37894"/>
    <w:rsid w:val="00F37C6F"/>
    <w:rsid w:val="00F37D38"/>
    <w:rsid w:val="00F404B8"/>
    <w:rsid w:val="00F42A18"/>
    <w:rsid w:val="00F4402F"/>
    <w:rsid w:val="00F44D01"/>
    <w:rsid w:val="00F45004"/>
    <w:rsid w:val="00F458F8"/>
    <w:rsid w:val="00F47EBB"/>
    <w:rsid w:val="00F50666"/>
    <w:rsid w:val="00F51BD3"/>
    <w:rsid w:val="00F51C61"/>
    <w:rsid w:val="00F52AA5"/>
    <w:rsid w:val="00F52AC0"/>
    <w:rsid w:val="00F52DC1"/>
    <w:rsid w:val="00F54817"/>
    <w:rsid w:val="00F55E33"/>
    <w:rsid w:val="00F55EDF"/>
    <w:rsid w:val="00F57F38"/>
    <w:rsid w:val="00F610D7"/>
    <w:rsid w:val="00F61390"/>
    <w:rsid w:val="00F616B2"/>
    <w:rsid w:val="00F61A84"/>
    <w:rsid w:val="00F62580"/>
    <w:rsid w:val="00F62C54"/>
    <w:rsid w:val="00F64D79"/>
    <w:rsid w:val="00F66572"/>
    <w:rsid w:val="00F6689D"/>
    <w:rsid w:val="00F674D3"/>
    <w:rsid w:val="00F67742"/>
    <w:rsid w:val="00F67C55"/>
    <w:rsid w:val="00F70701"/>
    <w:rsid w:val="00F7337F"/>
    <w:rsid w:val="00F73707"/>
    <w:rsid w:val="00F74493"/>
    <w:rsid w:val="00F77B4E"/>
    <w:rsid w:val="00F77DC8"/>
    <w:rsid w:val="00F8015B"/>
    <w:rsid w:val="00F81674"/>
    <w:rsid w:val="00F83907"/>
    <w:rsid w:val="00F83F7A"/>
    <w:rsid w:val="00F86D5B"/>
    <w:rsid w:val="00F86D89"/>
    <w:rsid w:val="00F879CE"/>
    <w:rsid w:val="00F9045E"/>
    <w:rsid w:val="00F9068F"/>
    <w:rsid w:val="00F92D21"/>
    <w:rsid w:val="00F93331"/>
    <w:rsid w:val="00F944DB"/>
    <w:rsid w:val="00F94774"/>
    <w:rsid w:val="00F94DFD"/>
    <w:rsid w:val="00F95759"/>
    <w:rsid w:val="00FA022F"/>
    <w:rsid w:val="00FA122C"/>
    <w:rsid w:val="00FA1DCB"/>
    <w:rsid w:val="00FA2722"/>
    <w:rsid w:val="00FA282D"/>
    <w:rsid w:val="00FA2AEA"/>
    <w:rsid w:val="00FA3DA1"/>
    <w:rsid w:val="00FA512B"/>
    <w:rsid w:val="00FA58D0"/>
    <w:rsid w:val="00FA67B9"/>
    <w:rsid w:val="00FA697D"/>
    <w:rsid w:val="00FB0507"/>
    <w:rsid w:val="00FB1E40"/>
    <w:rsid w:val="00FB25C0"/>
    <w:rsid w:val="00FB26F8"/>
    <w:rsid w:val="00FB28D5"/>
    <w:rsid w:val="00FB3487"/>
    <w:rsid w:val="00FB3E4D"/>
    <w:rsid w:val="00FB4B3F"/>
    <w:rsid w:val="00FB5083"/>
    <w:rsid w:val="00FB78B6"/>
    <w:rsid w:val="00FB7DD4"/>
    <w:rsid w:val="00FC3AE1"/>
    <w:rsid w:val="00FC3E87"/>
    <w:rsid w:val="00FC5030"/>
    <w:rsid w:val="00FC53DB"/>
    <w:rsid w:val="00FC7194"/>
    <w:rsid w:val="00FC7CCE"/>
    <w:rsid w:val="00FD0144"/>
    <w:rsid w:val="00FD32A8"/>
    <w:rsid w:val="00FD442D"/>
    <w:rsid w:val="00FD50AC"/>
    <w:rsid w:val="00FD6638"/>
    <w:rsid w:val="00FD71DD"/>
    <w:rsid w:val="00FE1661"/>
    <w:rsid w:val="00FE1C42"/>
    <w:rsid w:val="00FE2C3A"/>
    <w:rsid w:val="00FE472E"/>
    <w:rsid w:val="00FE5B5A"/>
    <w:rsid w:val="00FE5D74"/>
    <w:rsid w:val="00FF047E"/>
    <w:rsid w:val="00FF08B4"/>
    <w:rsid w:val="00FF310E"/>
    <w:rsid w:val="00FF3D1D"/>
    <w:rsid w:val="00FF5543"/>
    <w:rsid w:val="00FF5F4D"/>
    <w:rsid w:val="00FF64C5"/>
    <w:rsid w:val="00FF7103"/>
    <w:rsid w:val="00FF764D"/>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ES"/>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ES"/>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s-ES"/>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s-ES"/>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s-ES"/>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s-ES"/>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F52AC0"/>
    <w:pPr>
      <w:spacing w:before="100" w:beforeAutospacing="1" w:after="100" w:afterAutospacing="1"/>
      <w:jc w:val="left"/>
    </w:pPr>
    <w:rPr>
      <w:rFonts w:ascii="Arial Unicode MS" w:eastAsia="Arial Unicode MS" w:hAnsi="Arial Unicode MS" w:cs="Arial Unicode MS"/>
      <w:sz w:val="24"/>
    </w:r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s-ES"/>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s-ES" w:eastAsia="en-US"/>
    </w:rPr>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s-ES"/>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s-ES"/>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cs="Angsana New"/>
      <w:snapToGrid w:val="0"/>
      <w:sz w:val="22"/>
      <w:szCs w:val="18"/>
      <w:lang w:val="es-ES"/>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30E98"/>
    <w:pPr>
      <w:spacing w:after="160" w:line="240" w:lineRule="exact"/>
    </w:pPr>
    <w:rPr>
      <w:rFonts w:asciiTheme="minorHAnsi" w:eastAsiaTheme="minorEastAsia" w:hAnsiTheme="minorHAnsi" w:cstheme="minorBidi"/>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www.cbd.int/doc/decisions/np-mop-01/np-mop-01-dec-08-es.pdf" TargetMode="External"/><Relationship Id="rId39" Type="http://schemas.openxmlformats.org/officeDocument/2006/relationships/hyperlink" Target="https://www.cbd.int/doc/decisions/cop-14/cop-14-dec-20-es.pdf"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www.cbd.int/doc/decisions/np-mop-02/np-mop-02-dec-12-es.pdf" TargetMode="External"/><Relationship Id="rId42" Type="http://schemas.openxmlformats.org/officeDocument/2006/relationships/hyperlink" Target="https://www.cbd.int/doc/decisions/cop-14/cop-14-dec-20-es.pdf" TargetMode="External"/><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5" Type="http://schemas.openxmlformats.org/officeDocument/2006/relationships/hyperlink" Target="https://www.cbd.int/doc/decisions/cop-14/cop-14-dec-23-es.pdf" TargetMode="External"/><Relationship Id="rId33" Type="http://schemas.openxmlformats.org/officeDocument/2006/relationships/hyperlink" Target="https://www.cbd.int/doc/decisions/np-mop-03/np-mop-03-dec-01-es.pdf" TargetMode="External"/><Relationship Id="rId38" Type="http://schemas.openxmlformats.org/officeDocument/2006/relationships/hyperlink" Target="https://www.cbd.int/doc/decisions/np-mop-03/np-mop-03-dec-15-es.pdf" TargetMode="External"/><Relationship Id="rId46"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cbd.int/doc/decisions/np-mop-01/np-mop-01-dec-09-es.pdf" TargetMode="External"/><Relationship Id="rId41" Type="http://schemas.openxmlformats.org/officeDocument/2006/relationships/hyperlink" Target="https://www.cbd.int/doc/decisions/cop-14/cop-14-dec-34-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mop-07/mop-07-dec-09-es.pdf" TargetMode="External"/><Relationship Id="rId32" Type="http://schemas.openxmlformats.org/officeDocument/2006/relationships/hyperlink" Target="https://www.cbd.int/doc/decisions/np-mop-03/np-mop-03-dec-04-es.pdf" TargetMode="External"/><Relationship Id="rId37" Type="http://schemas.openxmlformats.org/officeDocument/2006/relationships/hyperlink" Target="https://www.cbd.int/doc/decisions/cop-14/cop-14-dec-31-es.pdf" TargetMode="External"/><Relationship Id="rId40" Type="http://schemas.openxmlformats.org/officeDocument/2006/relationships/hyperlink" Target="https://www.cbd.int/doc/decisions/np-mop-03/np-mop-03-dec-12-es.pdf" TargetMode="External"/><Relationship Id="rId45"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https://www.cbd.int/doc/decisions/cop-13/cop-13-dec-33-es.pdf" TargetMode="External"/><Relationship Id="rId23" Type="http://schemas.openxmlformats.org/officeDocument/2006/relationships/hyperlink" Target="https://www.cbd.int/doc/decisions/cop-12/cop-12-dec-27-es.pdf" TargetMode="External"/><Relationship Id="rId28" Type="http://schemas.openxmlformats.org/officeDocument/2006/relationships/hyperlink" Target="https://www.cbd.int/doc/decisions/cop-14/cop-14-dec-24-es.pdf" TargetMode="External"/><Relationship Id="rId36" Type="http://schemas.openxmlformats.org/officeDocument/2006/relationships/hyperlink" Target="https://www.cbd.int/doc/decisions/cop-14/cop-14-dec-34-es.pdf" TargetMode="Externa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www.cbd.int/doc/decisions/np-mop-03/np-mop-03-dec-03-es.pdf" TargetMode="External"/><Relationship Id="rId44" Type="http://schemas.openxmlformats.org/officeDocument/2006/relationships/hyperlink" Target="https://www.cbd.int/doc/decisions/np-mop-03/np-mop-03-dec-13-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1/np-mop-01-dec-12-es.pdf" TargetMode="External"/><Relationship Id="rId27" Type="http://schemas.openxmlformats.org/officeDocument/2006/relationships/hyperlink" Target="https://www.cbd.int/doc/decisions/np-mop-03/np-mop-03-dec-05-es.pdf" TargetMode="External"/><Relationship Id="rId30" Type="http://schemas.openxmlformats.org/officeDocument/2006/relationships/hyperlink" Target="https://www.cbd.int/doc/decisions/np-mop-03/np-mop-03-dec-06-es.pdf" TargetMode="External"/><Relationship Id="rId35" Type="http://schemas.openxmlformats.org/officeDocument/2006/relationships/hyperlink" Target="https://www.cbd.int/doc/decisions/np-mop-03/np-mop-03-dec-10-es.pdf" TargetMode="External"/><Relationship Id="rId43" Type="http://schemas.openxmlformats.org/officeDocument/2006/relationships/hyperlink" Target="https://www.cbd.int/doc/decisions/np-mop-03/np-mop-03-dec-14-es.pdf" TargetMode="External"/><Relationship Id="rId48" Type="http://schemas.openxmlformats.org/officeDocument/2006/relationships/fontTable" Target="fontTable.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
      <w:docPartPr>
        <w:name w:val="1A186D5F9C114DDC9F7AE268BC8DA001"/>
        <w:category>
          <w:name w:val="General"/>
          <w:gallery w:val="placeholder"/>
        </w:category>
        <w:types>
          <w:type w:val="bbPlcHdr"/>
        </w:types>
        <w:behaviors>
          <w:behavior w:val="content"/>
        </w:behaviors>
        <w:guid w:val="{988105D1-D806-404B-BB11-FCD66778F2B8}"/>
      </w:docPartPr>
      <w:docPartBody>
        <w:p w:rsidR="00374558" w:rsidRDefault="00810A55">
          <w:pPr>
            <w:pStyle w:val="1A186D5F9C114DDC9F7AE268BC8DA001"/>
          </w:pPr>
          <w:r w:rsidRPr="007E02EB">
            <w:rPr>
              <w:rStyle w:val="PlaceholderText"/>
            </w:rPr>
            <w:t>[Subject]</w:t>
          </w:r>
        </w:p>
      </w:docPartBody>
    </w:docPart>
    <w:docPart>
      <w:docPartPr>
        <w:name w:val="2F1EE5B77ABA4675A28BB6F9F84FAC74"/>
        <w:category>
          <w:name w:val="General"/>
          <w:gallery w:val="placeholder"/>
        </w:category>
        <w:types>
          <w:type w:val="bbPlcHdr"/>
        </w:types>
        <w:behaviors>
          <w:behavior w:val="content"/>
        </w:behaviors>
        <w:guid w:val="{8716F7B8-2C0D-4A91-8D17-83E283F92B1A}"/>
      </w:docPartPr>
      <w:docPartBody>
        <w:p w:rsidR="00804380" w:rsidRDefault="008C0606">
          <w:r w:rsidRPr="005F1D10">
            <w:rPr>
              <w:rStyle w:val="PlaceholderText"/>
            </w:rPr>
            <w:t>[Title]</w:t>
          </w:r>
        </w:p>
      </w:docPartBody>
    </w:docPart>
    <w:docPart>
      <w:docPartPr>
        <w:name w:val="2F95B9AE7A754D9A9B5DF3F2E6064FE8"/>
        <w:category>
          <w:name w:val="General"/>
          <w:gallery w:val="placeholder"/>
        </w:category>
        <w:types>
          <w:type w:val="bbPlcHdr"/>
        </w:types>
        <w:behaviors>
          <w:behavior w:val="content"/>
        </w:behaviors>
        <w:guid w:val="{B17E8D19-3A0F-4D79-8C1A-8D4553923D3E}"/>
      </w:docPartPr>
      <w:docPartBody>
        <w:p w:rsidR="00804380" w:rsidRDefault="008C0606" w:rsidP="008C0606">
          <w:pPr>
            <w:pStyle w:val="2F95B9AE7A754D9A9B5DF3F2E6064FE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87151"/>
    <w:rsid w:val="00147602"/>
    <w:rsid w:val="001601CF"/>
    <w:rsid w:val="0016199A"/>
    <w:rsid w:val="001B56FB"/>
    <w:rsid w:val="002816DD"/>
    <w:rsid w:val="0029702C"/>
    <w:rsid w:val="002E172D"/>
    <w:rsid w:val="00374558"/>
    <w:rsid w:val="0042500D"/>
    <w:rsid w:val="004449B3"/>
    <w:rsid w:val="004C77B2"/>
    <w:rsid w:val="00500A2B"/>
    <w:rsid w:val="00540614"/>
    <w:rsid w:val="00574224"/>
    <w:rsid w:val="005801C4"/>
    <w:rsid w:val="0058288D"/>
    <w:rsid w:val="005D5038"/>
    <w:rsid w:val="006052FB"/>
    <w:rsid w:val="00661E64"/>
    <w:rsid w:val="00667196"/>
    <w:rsid w:val="006801B3"/>
    <w:rsid w:val="00715B0A"/>
    <w:rsid w:val="007517A5"/>
    <w:rsid w:val="00797301"/>
    <w:rsid w:val="007A3E77"/>
    <w:rsid w:val="007C2E34"/>
    <w:rsid w:val="00804380"/>
    <w:rsid w:val="00810A55"/>
    <w:rsid w:val="00835861"/>
    <w:rsid w:val="008C0606"/>
    <w:rsid w:val="008C6619"/>
    <w:rsid w:val="008D420E"/>
    <w:rsid w:val="00903084"/>
    <w:rsid w:val="00907176"/>
    <w:rsid w:val="00914D63"/>
    <w:rsid w:val="0098642F"/>
    <w:rsid w:val="009E6107"/>
    <w:rsid w:val="00A94F46"/>
    <w:rsid w:val="00AA4C5C"/>
    <w:rsid w:val="00AA647E"/>
    <w:rsid w:val="00AC0871"/>
    <w:rsid w:val="00B21D04"/>
    <w:rsid w:val="00B24D62"/>
    <w:rsid w:val="00B35A37"/>
    <w:rsid w:val="00B571F3"/>
    <w:rsid w:val="00B6321A"/>
    <w:rsid w:val="00BE5E53"/>
    <w:rsid w:val="00C63F11"/>
    <w:rsid w:val="00C73345"/>
    <w:rsid w:val="00C90816"/>
    <w:rsid w:val="00CE56A7"/>
    <w:rsid w:val="00CF38E7"/>
    <w:rsid w:val="00D109EC"/>
    <w:rsid w:val="00DB4C23"/>
    <w:rsid w:val="00E1591B"/>
    <w:rsid w:val="00E47C61"/>
    <w:rsid w:val="00EB347C"/>
    <w:rsid w:val="00EC0875"/>
    <w:rsid w:val="00F02A0A"/>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 w:type="paragraph" w:customStyle="1" w:styleId="1A186D5F9C114DDC9F7AE268BC8DA001">
    <w:name w:val="1A186D5F9C114DDC9F7AE268BC8DA001"/>
    <w:pPr>
      <w:spacing w:after="160" w:line="259" w:lineRule="auto"/>
    </w:pPr>
    <w:rPr>
      <w:lang w:val="en-CA" w:eastAsia="en-CA"/>
    </w:rPr>
  </w:style>
  <w:style w:type="paragraph" w:customStyle="1" w:styleId="2F95B9AE7A754D9A9B5DF3F2E6064FE8">
    <w:name w:val="2F95B9AE7A754D9A9B5DF3F2E6064FE8"/>
    <w:rsid w:val="008C0606"/>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3.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4.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14</Pages>
  <Words>7110</Words>
  <Characters>40527</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ANNOTATIONS TO THE AGENDA FOR THE SECOND PART OF THE MEETING</vt:lpstr>
    </vt:vector>
  </TitlesOfParts>
  <Company>SCBD</Company>
  <LinksUpToDate>false</LinksUpToDate>
  <CharactersWithSpaces>47542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(PartE II)</dc:title>
  <dc:subject>CBD/NP/MOP/4/1/Add.3</dc:subject>
  <dc:creator>SCBD</dc:creator>
  <cp:keywords/>
  <cp:lastModifiedBy>Xue He Yan</cp:lastModifiedBy>
  <cp:revision>50</cp:revision>
  <cp:lastPrinted>2018-03-02T18:44:00Z</cp:lastPrinted>
  <dcterms:created xsi:type="dcterms:W3CDTF">2022-10-20T20:45:00Z</dcterms:created>
  <dcterms:modified xsi:type="dcterms:W3CDTF">2022-10-21T13:28:00Z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