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BD290D" w:rsidRPr="007759F9" w14:paraId="13AD0747" w14:textId="77777777" w:rsidTr="002909B2">
        <w:trPr>
          <w:trHeight w:val="850"/>
        </w:trPr>
        <w:tc>
          <w:tcPr>
            <w:tcW w:w="975" w:type="dxa"/>
            <w:vAlign w:val="bottom"/>
          </w:tcPr>
          <w:p w14:paraId="0C3A15EA" w14:textId="77777777" w:rsidR="00BD290D" w:rsidRPr="00A7145F" w:rsidRDefault="00BD290D" w:rsidP="00D356F4">
            <w:pPr>
              <w:pStyle w:val="AASmallLogo"/>
              <w:tabs>
                <w:tab w:val="clear" w:pos="567"/>
                <w:tab w:val="clear" w:pos="1134"/>
                <w:tab w:val="clear" w:pos="1701"/>
                <w:tab w:val="clear" w:pos="2268"/>
              </w:tabs>
              <w:overflowPunct w:val="0"/>
              <w:rPr>
                <w:lang w:eastAsia="zh-CN"/>
              </w:rPr>
            </w:pPr>
            <w:r w:rsidRPr="00A7145F">
              <w:rPr>
                <w:rFonts w:hint="eastAsia"/>
                <w:noProof/>
                <w:lang w:eastAsia="zh-CN"/>
              </w:rPr>
              <w:drawing>
                <wp:inline distT="0" distB="0" distL="0" distR="0" wp14:anchorId="618A3F37" wp14:editId="0FA818B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A7145F">
              <w:rPr>
                <w:rFonts w:hint="eastAsia"/>
                <w:lang w:eastAsia="zh-CN"/>
              </w:rPr>
              <w:t xml:space="preserve"> </w:t>
            </w:r>
          </w:p>
          <w:p w14:paraId="2B676782" w14:textId="77777777" w:rsidR="00BD290D" w:rsidRPr="00A7145F" w:rsidRDefault="00BD290D" w:rsidP="00D356F4">
            <w:pPr>
              <w:pStyle w:val="AASmallLogo"/>
              <w:tabs>
                <w:tab w:val="clear" w:pos="567"/>
                <w:tab w:val="clear" w:pos="1134"/>
                <w:tab w:val="clear" w:pos="1701"/>
                <w:tab w:val="clear" w:pos="2268"/>
              </w:tabs>
              <w:overflowPunct w:val="0"/>
              <w:rPr>
                <w:lang w:eastAsia="zh-CN"/>
              </w:rPr>
            </w:pPr>
          </w:p>
        </w:tc>
        <w:tc>
          <w:tcPr>
            <w:tcW w:w="1434" w:type="dxa"/>
            <w:noWrap/>
            <w:vAlign w:val="bottom"/>
          </w:tcPr>
          <w:p w14:paraId="38FAB43A" w14:textId="77777777" w:rsidR="00BD290D" w:rsidRPr="00375D37" w:rsidRDefault="00BD290D" w:rsidP="00D356F4">
            <w:pPr>
              <w:tabs>
                <w:tab w:val="clear" w:pos="567"/>
                <w:tab w:val="clear" w:pos="1134"/>
                <w:tab w:val="clear" w:pos="1701"/>
                <w:tab w:val="clear" w:pos="2268"/>
              </w:tabs>
              <w:overflowPunct w:val="0"/>
              <w:spacing w:before="60"/>
              <w:rPr>
                <w:rFonts w:eastAsia="SimHei"/>
                <w:sz w:val="24"/>
                <w:lang w:eastAsia="zh-CN"/>
              </w:rPr>
            </w:pPr>
            <w:r w:rsidRPr="00375D37">
              <w:rPr>
                <w:rFonts w:eastAsia="SimHei" w:hint="eastAsia"/>
                <w:noProof/>
                <w:lang w:eastAsia="zh-CN"/>
              </w:rPr>
              <w:drawing>
                <wp:anchor distT="0" distB="0" distL="114300" distR="114300" simplePos="0" relativeHeight="251661312" behindDoc="0" locked="0" layoutInCell="1" allowOverlap="1" wp14:anchorId="3EC9085C" wp14:editId="41529022">
                  <wp:simplePos x="0" y="0"/>
                  <wp:positionH relativeFrom="column">
                    <wp:posOffset>465176</wp:posOffset>
                  </wp:positionH>
                  <wp:positionV relativeFrom="paragraph">
                    <wp:posOffset>43367</wp:posOffset>
                  </wp:positionV>
                  <wp:extent cx="181069" cy="191492"/>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04E0F249" w14:textId="77777777" w:rsidR="00BD290D" w:rsidRPr="00A7145F" w:rsidRDefault="00BD290D" w:rsidP="00D356F4">
            <w:pPr>
              <w:pStyle w:val="AASmallLogo"/>
              <w:tabs>
                <w:tab w:val="clear" w:pos="567"/>
                <w:tab w:val="clear" w:pos="1134"/>
                <w:tab w:val="clear" w:pos="1701"/>
                <w:tab w:val="clear" w:pos="2268"/>
              </w:tabs>
              <w:overflowPunct w:val="0"/>
              <w:rPr>
                <w:lang w:eastAsia="zh-CN"/>
              </w:rPr>
            </w:pPr>
            <w:r w:rsidRPr="00375D37">
              <w:rPr>
                <w:rFonts w:eastAsia="SimHei" w:hint="eastAsia"/>
                <w:sz w:val="24"/>
                <w:lang w:eastAsia="zh-CN"/>
              </w:rPr>
              <w:t>环境规划署</w:t>
            </w:r>
          </w:p>
          <w:p w14:paraId="44BB8C7F" w14:textId="77777777" w:rsidR="00BD290D" w:rsidRPr="00A7145F" w:rsidRDefault="00BD290D" w:rsidP="00D356F4">
            <w:pPr>
              <w:pStyle w:val="AASmallLogo"/>
              <w:tabs>
                <w:tab w:val="clear" w:pos="567"/>
                <w:tab w:val="clear" w:pos="1134"/>
                <w:tab w:val="clear" w:pos="1701"/>
                <w:tab w:val="clear" w:pos="2268"/>
              </w:tabs>
              <w:overflowPunct w:val="0"/>
              <w:rPr>
                <w:lang w:eastAsia="zh-CN"/>
              </w:rPr>
            </w:pPr>
          </w:p>
        </w:tc>
        <w:tc>
          <w:tcPr>
            <w:tcW w:w="8073" w:type="dxa"/>
            <w:vAlign w:val="bottom"/>
          </w:tcPr>
          <w:p w14:paraId="6A09C3E5" w14:textId="1997EC02" w:rsidR="00BD290D" w:rsidRPr="00A7145F" w:rsidRDefault="00BD290D" w:rsidP="00D356F4">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overflowPunct w:val="0"/>
              <w:rPr>
                <w:lang w:eastAsia="zh-CN"/>
              </w:rPr>
            </w:pPr>
            <w:r w:rsidRPr="008923D4">
              <w:rPr>
                <w:rFonts w:hint="eastAsia"/>
                <w:sz w:val="40"/>
                <w:lang w:eastAsia="zh-CN"/>
              </w:rPr>
              <w:t>CBD</w:t>
            </w:r>
            <w:r w:rsidRPr="00EF1C2D">
              <w:rPr>
                <w:rFonts w:hint="eastAsia"/>
                <w:sz w:val="22"/>
                <w:szCs w:val="22"/>
                <w:lang w:eastAsia="zh-CN"/>
              </w:rPr>
              <w:t>/COP/17/6</w:t>
            </w:r>
          </w:p>
        </w:tc>
      </w:tr>
    </w:tbl>
    <w:p w14:paraId="6FFCF586" w14:textId="77777777" w:rsidR="00BD290D" w:rsidRPr="00A7145F" w:rsidRDefault="00BD290D" w:rsidP="00D356F4">
      <w:pPr>
        <w:pStyle w:val="AISpacer"/>
        <w:overflowPunct w:val="0"/>
        <w:rPr>
          <w:lang w:eastAsia="zh-CN"/>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BD290D" w:rsidRPr="007759F9" w14:paraId="6624E435" w14:textId="77777777" w:rsidTr="002909B2">
        <w:trPr>
          <w:trHeight w:val="2016"/>
        </w:trPr>
        <w:tc>
          <w:tcPr>
            <w:tcW w:w="7370" w:type="dxa"/>
          </w:tcPr>
          <w:p w14:paraId="56640180" w14:textId="77777777" w:rsidR="00BD290D" w:rsidRPr="00A7145F" w:rsidRDefault="00BD290D" w:rsidP="00D356F4">
            <w:pPr>
              <w:pStyle w:val="ACLargeLogo"/>
              <w:tabs>
                <w:tab w:val="clear" w:pos="567"/>
                <w:tab w:val="clear" w:pos="1134"/>
                <w:tab w:val="clear" w:pos="1701"/>
                <w:tab w:val="clear" w:pos="2268"/>
              </w:tabs>
              <w:overflowPunct w:val="0"/>
              <w:rPr>
                <w:lang w:eastAsia="zh-CN"/>
              </w:rPr>
            </w:pPr>
            <w:r w:rsidRPr="00375D37">
              <w:rPr>
                <w:rFonts w:hint="eastAsia"/>
                <w:b/>
                <w:noProof/>
                <w:sz w:val="24"/>
                <w:lang w:val="en-US" w:eastAsia="zh-CN"/>
              </w:rPr>
              <w:drawing>
                <wp:inline distT="0" distB="0" distL="0" distR="0" wp14:anchorId="1770329C" wp14:editId="46523E5F">
                  <wp:extent cx="2982802" cy="1077392"/>
                  <wp:effectExtent l="0" t="0" r="8255" b="8890"/>
                  <wp:docPr id="4"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9" w:type="dxa"/>
          </w:tcPr>
          <w:p w14:paraId="3BD2A98F" w14:textId="77777777" w:rsidR="00BD290D" w:rsidRPr="00993840" w:rsidRDefault="00BD290D" w:rsidP="00D356F4">
            <w:pPr>
              <w:pStyle w:val="AEDistrNormal6pt"/>
              <w:tabs>
                <w:tab w:val="clear" w:pos="567"/>
                <w:tab w:val="clear" w:pos="1134"/>
                <w:tab w:val="clear" w:pos="1701"/>
                <w:tab w:val="clear" w:pos="2268"/>
              </w:tabs>
              <w:overflowPunct w:val="0"/>
              <w:spacing w:before="0"/>
              <w:rPr>
                <w:rFonts w:eastAsia="Times New Roman"/>
                <w:sz w:val="24"/>
                <w:lang w:eastAsia="zh-CN"/>
              </w:rPr>
            </w:pPr>
            <w:r w:rsidRPr="00993840">
              <w:rPr>
                <w:rFonts w:eastAsia="Times New Roman" w:hint="eastAsia"/>
                <w:sz w:val="24"/>
                <w:lang w:eastAsia="zh-CN"/>
              </w:rPr>
              <w:t>Distr.: General</w:t>
            </w:r>
          </w:p>
          <w:p w14:paraId="1BBF97A9" w14:textId="77777777" w:rsidR="00BD290D" w:rsidRPr="00993840" w:rsidRDefault="00BD290D" w:rsidP="00D356F4">
            <w:pPr>
              <w:pStyle w:val="AEDistrNormal6pt"/>
              <w:tabs>
                <w:tab w:val="clear" w:pos="567"/>
                <w:tab w:val="clear" w:pos="1134"/>
                <w:tab w:val="clear" w:pos="1701"/>
                <w:tab w:val="clear" w:pos="2268"/>
              </w:tabs>
              <w:overflowPunct w:val="0"/>
              <w:spacing w:before="0"/>
              <w:rPr>
                <w:sz w:val="24"/>
                <w:lang w:eastAsia="zh-CN"/>
              </w:rPr>
            </w:pPr>
            <w:r>
              <w:rPr>
                <w:rFonts w:hint="eastAsia"/>
                <w:sz w:val="24"/>
                <w:lang w:val="en-US" w:eastAsia="zh-CN"/>
              </w:rPr>
              <w:t>1</w:t>
            </w:r>
            <w:r w:rsidRPr="00993840">
              <w:rPr>
                <w:rFonts w:hint="eastAsia"/>
                <w:sz w:val="24"/>
                <w:lang w:val="en-US" w:eastAsia="zh-CN"/>
              </w:rPr>
              <w:t>4 September</w:t>
            </w:r>
            <w:r w:rsidRPr="00993840">
              <w:rPr>
                <w:rFonts w:eastAsia="Times New Roman" w:hint="eastAsia"/>
                <w:sz w:val="24"/>
                <w:lang w:val="en-US" w:eastAsia="zh-CN"/>
              </w:rPr>
              <w:t xml:space="preserve"> 202</w:t>
            </w:r>
            <w:r w:rsidRPr="00993840">
              <w:rPr>
                <w:rFonts w:hint="eastAsia"/>
                <w:sz w:val="24"/>
                <w:lang w:val="en-US" w:eastAsia="zh-CN"/>
              </w:rPr>
              <w:t>6</w:t>
            </w:r>
          </w:p>
          <w:p w14:paraId="7D97BFA6" w14:textId="77777777" w:rsidR="00411AD7" w:rsidRDefault="00411AD7" w:rsidP="00D356F4">
            <w:pPr>
              <w:pStyle w:val="AEDistrNormal6pt"/>
              <w:tabs>
                <w:tab w:val="clear" w:pos="567"/>
                <w:tab w:val="clear" w:pos="1134"/>
                <w:tab w:val="clear" w:pos="1701"/>
                <w:tab w:val="clear" w:pos="2268"/>
              </w:tabs>
              <w:overflowPunct w:val="0"/>
              <w:spacing w:before="0"/>
              <w:rPr>
                <w:rFonts w:eastAsiaTheme="minorEastAsia"/>
                <w:sz w:val="24"/>
                <w:lang w:eastAsia="zh-CN"/>
              </w:rPr>
            </w:pPr>
          </w:p>
          <w:p w14:paraId="2029F787" w14:textId="5C888D0B" w:rsidR="00BD290D" w:rsidRPr="00993840" w:rsidRDefault="00BD290D" w:rsidP="00D356F4">
            <w:pPr>
              <w:pStyle w:val="AEDistrNormal6pt"/>
              <w:tabs>
                <w:tab w:val="clear" w:pos="567"/>
                <w:tab w:val="clear" w:pos="1134"/>
                <w:tab w:val="clear" w:pos="1701"/>
                <w:tab w:val="clear" w:pos="2268"/>
              </w:tabs>
              <w:overflowPunct w:val="0"/>
              <w:spacing w:before="0"/>
              <w:rPr>
                <w:rFonts w:eastAsia="Times New Roman"/>
                <w:sz w:val="24"/>
                <w:lang w:eastAsia="zh-CN"/>
              </w:rPr>
            </w:pPr>
            <w:r w:rsidRPr="00993840">
              <w:rPr>
                <w:rFonts w:eastAsia="Times New Roman" w:hint="eastAsia"/>
                <w:sz w:val="24"/>
                <w:lang w:eastAsia="zh-CN"/>
              </w:rPr>
              <w:t>Chinese</w:t>
            </w:r>
          </w:p>
          <w:p w14:paraId="427F960B" w14:textId="0509B450" w:rsidR="00BD290D" w:rsidRPr="007759F9" w:rsidRDefault="00BD290D" w:rsidP="00D356F4">
            <w:pPr>
              <w:pStyle w:val="AEDistrNormal6pt"/>
              <w:tabs>
                <w:tab w:val="clear" w:pos="567"/>
                <w:tab w:val="clear" w:pos="1134"/>
                <w:tab w:val="clear" w:pos="1701"/>
                <w:tab w:val="clear" w:pos="2268"/>
              </w:tabs>
              <w:overflowPunct w:val="0"/>
              <w:spacing w:before="0"/>
              <w:rPr>
                <w:sz w:val="24"/>
                <w:lang w:eastAsia="zh-CN"/>
              </w:rPr>
            </w:pPr>
            <w:r w:rsidRPr="00993840">
              <w:rPr>
                <w:rFonts w:eastAsia="Times New Roman" w:hint="eastAsia"/>
                <w:sz w:val="24"/>
                <w:lang w:eastAsia="zh-CN"/>
              </w:rPr>
              <w:t>Original: English</w:t>
            </w:r>
          </w:p>
          <w:p w14:paraId="33ABF00D" w14:textId="77777777" w:rsidR="00BD290D" w:rsidRPr="007759F9" w:rsidRDefault="00BD290D" w:rsidP="00D356F4">
            <w:pPr>
              <w:pStyle w:val="AEDistrNormal6pt"/>
              <w:tabs>
                <w:tab w:val="clear" w:pos="567"/>
                <w:tab w:val="clear" w:pos="1134"/>
                <w:tab w:val="clear" w:pos="1701"/>
                <w:tab w:val="clear" w:pos="2268"/>
              </w:tabs>
              <w:overflowPunct w:val="0"/>
              <w:rPr>
                <w:sz w:val="24"/>
                <w:lang w:eastAsia="zh-CN"/>
              </w:rPr>
            </w:pPr>
          </w:p>
        </w:tc>
      </w:tr>
    </w:tbl>
    <w:p w14:paraId="3053BC04" w14:textId="77777777" w:rsidR="00BD290D" w:rsidRPr="00A7145F" w:rsidRDefault="00BD290D" w:rsidP="00D356F4">
      <w:pPr>
        <w:pStyle w:val="AISpacer"/>
        <w:overflowPunct w:val="0"/>
        <w:rPr>
          <w:lang w:eastAsia="zh-CN"/>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D290D" w:rsidRPr="007759F9" w14:paraId="371FFF19" w14:textId="77777777" w:rsidTr="002909B2">
        <w:trPr>
          <w:trHeight w:val="57"/>
        </w:trPr>
        <w:tc>
          <w:tcPr>
            <w:tcW w:w="6094" w:type="dxa"/>
          </w:tcPr>
          <w:p w14:paraId="27EE93E3" w14:textId="77777777" w:rsidR="00DD08D0" w:rsidRDefault="00DD08D0" w:rsidP="00D356F4">
            <w:pPr>
              <w:pStyle w:val="AFCorN12Bold"/>
              <w:tabs>
                <w:tab w:val="clear" w:pos="567"/>
                <w:tab w:val="clear" w:pos="1134"/>
                <w:tab w:val="clear" w:pos="1701"/>
                <w:tab w:val="clear" w:pos="2268"/>
              </w:tabs>
              <w:overflowPunct w:val="0"/>
              <w:rPr>
                <w:lang w:eastAsia="zh-CN"/>
              </w:rPr>
            </w:pPr>
            <w:r>
              <w:rPr>
                <w:rFonts w:hint="eastAsia"/>
                <w:lang w:eastAsia="zh-CN"/>
              </w:rPr>
              <w:t>生物多样性公约缔约方大会</w:t>
            </w:r>
          </w:p>
          <w:p w14:paraId="06AC2730" w14:textId="77777777" w:rsidR="00DD08D0" w:rsidRPr="00556C42" w:rsidRDefault="00DD08D0" w:rsidP="00D356F4">
            <w:pPr>
              <w:pStyle w:val="AFCorN12Bold"/>
              <w:overflowPunct w:val="0"/>
              <w:rPr>
                <w:lang w:eastAsia="zh-CN"/>
              </w:rPr>
            </w:pPr>
            <w:r>
              <w:rPr>
                <w:rFonts w:hint="eastAsia"/>
                <w:lang w:eastAsia="zh-CN"/>
              </w:rPr>
              <w:t>第十七届会议</w:t>
            </w:r>
          </w:p>
          <w:p w14:paraId="15680700" w14:textId="77777777" w:rsidR="00DD08D0" w:rsidRPr="0005709C" w:rsidRDefault="00DD08D0" w:rsidP="00D356F4">
            <w:pPr>
              <w:pStyle w:val="AFCorNNormal"/>
              <w:tabs>
                <w:tab w:val="clear" w:pos="567"/>
                <w:tab w:val="clear" w:pos="1134"/>
                <w:tab w:val="clear" w:pos="1701"/>
                <w:tab w:val="clear" w:pos="2268"/>
              </w:tabs>
              <w:overflowPunct w:val="0"/>
              <w:rPr>
                <w:sz w:val="24"/>
                <w:lang w:eastAsia="zh-CN"/>
              </w:rPr>
            </w:pPr>
            <w:r w:rsidRPr="0005709C">
              <w:rPr>
                <w:rFonts w:hint="eastAsia"/>
                <w:color w:val="000000"/>
                <w:sz w:val="24"/>
                <w:lang w:val="zh-CN" w:eastAsia="zh-CN"/>
              </w:rPr>
              <w:t>2026</w:t>
            </w:r>
            <w:r w:rsidRPr="0005709C">
              <w:rPr>
                <w:rFonts w:hint="eastAsia"/>
                <w:color w:val="000000"/>
                <w:sz w:val="24"/>
                <w:lang w:val="zh-CN" w:eastAsia="zh-CN"/>
              </w:rPr>
              <w:t>年</w:t>
            </w:r>
            <w:r w:rsidRPr="0005709C">
              <w:rPr>
                <w:rFonts w:hint="eastAsia"/>
                <w:color w:val="000000"/>
                <w:sz w:val="24"/>
                <w:lang w:val="zh-CN" w:eastAsia="zh-CN"/>
              </w:rPr>
              <w:t>10</w:t>
            </w:r>
            <w:r w:rsidRPr="0005709C">
              <w:rPr>
                <w:rFonts w:hint="eastAsia"/>
                <w:color w:val="000000"/>
                <w:sz w:val="24"/>
                <w:lang w:val="zh-CN" w:eastAsia="zh-CN"/>
              </w:rPr>
              <w:t>月</w:t>
            </w:r>
            <w:r w:rsidRPr="0005709C">
              <w:rPr>
                <w:rFonts w:hint="eastAsia"/>
                <w:color w:val="000000"/>
                <w:sz w:val="24"/>
                <w:lang w:val="zh-CN" w:eastAsia="zh-CN"/>
              </w:rPr>
              <w:t>19</w:t>
            </w:r>
            <w:r w:rsidRPr="0005709C">
              <w:rPr>
                <w:rFonts w:hint="eastAsia"/>
                <w:color w:val="000000"/>
                <w:sz w:val="24"/>
                <w:lang w:val="zh-CN" w:eastAsia="zh-CN"/>
              </w:rPr>
              <w:t>日至</w:t>
            </w:r>
            <w:r w:rsidRPr="0005709C">
              <w:rPr>
                <w:rFonts w:hint="eastAsia"/>
                <w:color w:val="000000"/>
                <w:sz w:val="24"/>
                <w:lang w:val="zh-CN" w:eastAsia="zh-CN"/>
              </w:rPr>
              <w:t>30</w:t>
            </w:r>
            <w:r w:rsidRPr="0005709C">
              <w:rPr>
                <w:rFonts w:hint="eastAsia"/>
                <w:color w:val="000000"/>
                <w:sz w:val="24"/>
                <w:lang w:val="zh-CN" w:eastAsia="zh-CN"/>
              </w:rPr>
              <w:t>日，埃里温</w:t>
            </w:r>
          </w:p>
          <w:p w14:paraId="52E14512" w14:textId="77777777" w:rsidR="00DD08D0" w:rsidRPr="0005709C" w:rsidRDefault="00DD08D0" w:rsidP="00D356F4">
            <w:pPr>
              <w:pStyle w:val="AFCorNNormal"/>
              <w:overflowPunct w:val="0"/>
              <w:rPr>
                <w:sz w:val="24"/>
                <w:lang w:eastAsia="zh-CN"/>
              </w:rPr>
            </w:pPr>
            <w:r w:rsidRPr="0005709C">
              <w:rPr>
                <w:rFonts w:hint="eastAsia"/>
                <w:color w:val="000000"/>
                <w:sz w:val="24"/>
                <w:lang w:val="zh-CN" w:eastAsia="zh-CN"/>
              </w:rPr>
              <w:t>临时议程</w:t>
            </w:r>
            <w:r w:rsidRPr="0005709C">
              <w:rPr>
                <w:rStyle w:val="FootnoteReference"/>
                <w:rFonts w:hint="eastAsia"/>
                <w:color w:val="000000"/>
                <w:sz w:val="24"/>
                <w:lang w:val="zh-CN" w:eastAsia="zh-CN"/>
              </w:rPr>
              <w:footnoteReference w:customMarkFollows="1" w:id="2"/>
              <w:t>*</w:t>
            </w:r>
            <w:r w:rsidRPr="0005709C">
              <w:rPr>
                <w:rFonts w:hint="eastAsia"/>
                <w:color w:val="000000"/>
                <w:sz w:val="24"/>
                <w:lang w:val="zh-CN" w:eastAsia="zh-CN"/>
              </w:rPr>
              <w:t>项目</w:t>
            </w:r>
            <w:r w:rsidRPr="0005709C">
              <w:rPr>
                <w:rFonts w:hint="eastAsia"/>
                <w:color w:val="000000"/>
                <w:sz w:val="24"/>
                <w:lang w:val="zh-CN" w:eastAsia="zh-CN"/>
              </w:rPr>
              <w:t>11</w:t>
            </w:r>
          </w:p>
          <w:p w14:paraId="68227FD9" w14:textId="2723949D" w:rsidR="00BD290D" w:rsidRPr="00A7145F" w:rsidRDefault="00DD08D0" w:rsidP="00D356F4">
            <w:pPr>
              <w:pStyle w:val="AFCorNBold"/>
              <w:tabs>
                <w:tab w:val="clear" w:pos="567"/>
                <w:tab w:val="clear" w:pos="1134"/>
                <w:tab w:val="clear" w:pos="1701"/>
                <w:tab w:val="clear" w:pos="2268"/>
              </w:tabs>
              <w:overflowPunct w:val="0"/>
              <w:rPr>
                <w:lang w:eastAsia="zh-CN"/>
              </w:rPr>
            </w:pPr>
            <w:r w:rsidRPr="0005709C">
              <w:rPr>
                <w:rFonts w:hint="eastAsia"/>
                <w:bCs/>
                <w:color w:val="000000"/>
                <w:sz w:val="24"/>
                <w:lang w:val="zh-CN" w:eastAsia="zh-CN"/>
              </w:rPr>
              <w:t>遗传资源数字序列信息</w:t>
            </w:r>
          </w:p>
        </w:tc>
        <w:tc>
          <w:tcPr>
            <w:tcW w:w="4388" w:type="dxa"/>
          </w:tcPr>
          <w:p w14:paraId="0E8FA0FF" w14:textId="77777777" w:rsidR="00BD290D" w:rsidRPr="007759F9" w:rsidRDefault="00BD290D" w:rsidP="00D356F4">
            <w:pPr>
              <w:pStyle w:val="CBDNormal"/>
              <w:tabs>
                <w:tab w:val="clear" w:pos="567"/>
                <w:tab w:val="clear" w:pos="1134"/>
                <w:tab w:val="clear" w:pos="1701"/>
                <w:tab w:val="clear" w:pos="2268"/>
                <w:tab w:val="clear" w:pos="2835"/>
                <w:tab w:val="clear" w:pos="3402"/>
              </w:tabs>
              <w:overflowPunct w:val="0"/>
              <w:jc w:val="left"/>
              <w:rPr>
                <w:sz w:val="24"/>
                <w:lang w:eastAsia="zh-CN"/>
              </w:rPr>
            </w:pPr>
          </w:p>
        </w:tc>
      </w:tr>
    </w:tbl>
    <w:p w14:paraId="09872250" w14:textId="77777777" w:rsidR="00D060D3" w:rsidRPr="00A6743B" w:rsidRDefault="00D060D3" w:rsidP="00D356F4">
      <w:pPr>
        <w:pStyle w:val="CBDTitle"/>
        <w:tabs>
          <w:tab w:val="clear" w:pos="567"/>
          <w:tab w:val="clear" w:pos="1134"/>
          <w:tab w:val="clear" w:pos="1701"/>
          <w:tab w:val="clear" w:pos="2268"/>
          <w:tab w:val="clear" w:pos="2835"/>
          <w:tab w:val="clear" w:pos="3402"/>
        </w:tabs>
        <w:overflowPunct w:val="0"/>
        <w:rPr>
          <w:rFonts w:ascii="SimHei" w:eastAsia="SimHei" w:hAnsi="SimHei"/>
          <w:b w:val="0"/>
          <w:lang w:eastAsia="zh-CN"/>
        </w:rPr>
      </w:pPr>
      <w:r w:rsidRPr="00A6743B">
        <w:rPr>
          <w:rFonts w:ascii="SimHei" w:eastAsia="SimHei" w:hAnsi="SimHei" w:hint="eastAsia"/>
          <w:b w:val="0"/>
          <w:lang w:eastAsia="zh-CN"/>
        </w:rPr>
        <w:t>遗传资源数字序列信息</w:t>
      </w:r>
    </w:p>
    <w:p w14:paraId="203C1A20" w14:textId="77777777" w:rsidR="00D060D3" w:rsidRPr="0005709C" w:rsidRDefault="00D060D3" w:rsidP="00D356F4">
      <w:pPr>
        <w:pStyle w:val="CBDSubTitle"/>
        <w:overflowPunct w:val="0"/>
        <w:rPr>
          <w:sz w:val="24"/>
          <w:lang w:eastAsia="zh-CN"/>
        </w:rPr>
      </w:pPr>
      <w:r w:rsidRPr="0005709C">
        <w:rPr>
          <w:rFonts w:hint="eastAsia"/>
          <w:bCs/>
          <w:sz w:val="24"/>
          <w:lang w:val="zh-CN" w:eastAsia="zh-CN"/>
        </w:rPr>
        <w:t>秘书处的说明</w:t>
      </w:r>
    </w:p>
    <w:p w14:paraId="3CC306E8" w14:textId="77777777" w:rsidR="00D060D3" w:rsidRPr="00556C42" w:rsidRDefault="00D060D3" w:rsidP="00D356F4">
      <w:pPr>
        <w:pStyle w:val="CBDH1"/>
        <w:overflowPunct w:val="0"/>
        <w:rPr>
          <w:lang w:eastAsia="zh-CN"/>
        </w:rPr>
      </w:pPr>
      <w:r>
        <w:rPr>
          <w:rFonts w:hint="eastAsia"/>
          <w:bCs/>
          <w:lang w:val="zh-CN" w:eastAsia="zh-CN"/>
        </w:rPr>
        <w:t>一</w:t>
      </w:r>
      <w:r>
        <w:rPr>
          <w:rFonts w:hint="eastAsia"/>
          <w:bCs/>
          <w:lang w:val="zh-CN" w:eastAsia="zh-CN"/>
        </w:rPr>
        <w:t>.</w:t>
      </w:r>
      <w:r>
        <w:rPr>
          <w:rFonts w:hint="eastAsia"/>
          <w:lang w:val="zh-CN" w:eastAsia="zh-CN"/>
        </w:rPr>
        <w:tab/>
      </w:r>
      <w:r>
        <w:rPr>
          <w:rFonts w:hint="eastAsia"/>
          <w:bCs/>
          <w:lang w:val="zh-CN" w:eastAsia="zh-CN"/>
        </w:rPr>
        <w:t>导言</w:t>
      </w:r>
    </w:p>
    <w:p w14:paraId="20ECBE7C" w14:textId="5F106A1A" w:rsidR="00D060D3" w:rsidRPr="00D256BE" w:rsidRDefault="00D060D3" w:rsidP="00D356F4">
      <w:pPr>
        <w:pStyle w:val="CBDNormalNumber"/>
        <w:overflowPunct w:val="0"/>
        <w:rPr>
          <w:sz w:val="24"/>
          <w:szCs w:val="24"/>
          <w:lang w:eastAsia="zh-CN"/>
        </w:rPr>
      </w:pPr>
      <w:r w:rsidRPr="00D256BE">
        <w:rPr>
          <w:rFonts w:hint="eastAsia"/>
          <w:sz w:val="24"/>
          <w:szCs w:val="24"/>
          <w:lang w:val="zh-CN" w:eastAsia="zh-CN"/>
        </w:rPr>
        <w:t>缔约方大会第十六届会议在其第</w:t>
      </w:r>
      <w:hyperlink r:id="rId14" w:history="1">
        <w:r w:rsidRPr="00D256BE">
          <w:rPr>
            <w:rStyle w:val="Hyperlink"/>
            <w:rFonts w:hint="eastAsia"/>
            <w:sz w:val="24"/>
            <w:szCs w:val="24"/>
            <w:lang w:val="zh-CN" w:eastAsia="zh-CN"/>
          </w:rPr>
          <w:t>16/2</w:t>
        </w:r>
      </w:hyperlink>
      <w:r w:rsidRPr="00D256BE">
        <w:rPr>
          <w:rFonts w:hint="eastAsia"/>
          <w:sz w:val="24"/>
          <w:szCs w:val="24"/>
          <w:lang w:val="zh-CN" w:eastAsia="zh-CN"/>
        </w:rPr>
        <w:t>号决定中通过了公正和公平分享利用遗传资源数字序列信息所产生惠益的多边机制</w:t>
      </w:r>
      <w:r w:rsidR="001E3D6D" w:rsidRPr="00D256BE">
        <w:rPr>
          <w:rFonts w:hint="eastAsia"/>
          <w:sz w:val="24"/>
          <w:szCs w:val="24"/>
          <w:lang w:val="zh-CN" w:eastAsia="zh-CN"/>
        </w:rPr>
        <w:t>（</w:t>
      </w:r>
      <w:r w:rsidRPr="00D256BE">
        <w:rPr>
          <w:rFonts w:hint="eastAsia"/>
          <w:sz w:val="24"/>
          <w:szCs w:val="24"/>
          <w:lang w:val="zh-CN" w:eastAsia="zh-CN"/>
        </w:rPr>
        <w:t>包括卡利基金</w:t>
      </w:r>
      <w:r w:rsidR="001E3D6D" w:rsidRPr="00D256BE">
        <w:rPr>
          <w:rFonts w:hint="eastAsia"/>
          <w:sz w:val="24"/>
          <w:szCs w:val="24"/>
          <w:lang w:val="zh-CN" w:eastAsia="zh-CN"/>
        </w:rPr>
        <w:t>）</w:t>
      </w:r>
      <w:r w:rsidRPr="00D256BE">
        <w:rPr>
          <w:rFonts w:hint="eastAsia"/>
          <w:sz w:val="24"/>
          <w:szCs w:val="24"/>
          <w:lang w:val="zh-CN" w:eastAsia="zh-CN"/>
        </w:rPr>
        <w:t>的运作模式，该模式载于该决定</w:t>
      </w:r>
      <w:r w:rsidR="00411AD7">
        <w:rPr>
          <w:rFonts w:hint="eastAsia"/>
          <w:sz w:val="24"/>
          <w:szCs w:val="24"/>
          <w:lang w:val="zh-CN" w:eastAsia="zh-CN"/>
        </w:rPr>
        <w:t>的</w:t>
      </w:r>
      <w:r w:rsidRPr="00D256BE">
        <w:rPr>
          <w:rFonts w:hint="eastAsia"/>
          <w:sz w:val="24"/>
          <w:szCs w:val="24"/>
          <w:lang w:val="zh-CN" w:eastAsia="zh-CN"/>
        </w:rPr>
        <w:t>附件。</w:t>
      </w:r>
      <w:r>
        <w:fldChar w:fldCharType="begin"/>
      </w:r>
      <w:r>
        <w:rPr>
          <w:lang w:eastAsia="zh-CN"/>
        </w:rPr>
        <w:instrText>HYPERLINK "https://www.cbd.int/decisions/cop/?m=cop-16"</w:instrText>
      </w:r>
      <w:r>
        <w:fldChar w:fldCharType="separate"/>
      </w:r>
      <w:r>
        <w:fldChar w:fldCharType="end"/>
      </w:r>
    </w:p>
    <w:p w14:paraId="35546A79" w14:textId="7C51F293" w:rsidR="00D060D3" w:rsidRPr="00D256BE" w:rsidRDefault="00D060D3" w:rsidP="00D356F4">
      <w:pPr>
        <w:pStyle w:val="CBDNormalNumber"/>
        <w:overflowPunct w:val="0"/>
        <w:rPr>
          <w:sz w:val="24"/>
          <w:szCs w:val="24"/>
          <w:lang w:eastAsia="zh-CN"/>
        </w:rPr>
      </w:pPr>
      <w:r w:rsidRPr="00D256BE">
        <w:rPr>
          <w:rFonts w:hint="eastAsia"/>
          <w:sz w:val="24"/>
          <w:szCs w:val="24"/>
          <w:lang w:val="zh-CN" w:eastAsia="zh-CN"/>
        </w:rPr>
        <w:t>同一决定规定，若干与遗传资源数字序列信息有关的任务应在缔约方大会本届会议之前完成。执行问题附属机构第七次会议审议了秘书处编写的文件中所载若干任务的成果。</w:t>
      </w:r>
      <w:r w:rsidRPr="00D256BE">
        <w:rPr>
          <w:rFonts w:eastAsia="Times New Roman" w:hint="eastAsia"/>
          <w:sz w:val="24"/>
          <w:szCs w:val="24"/>
          <w:vertAlign w:val="superscript"/>
          <w:lang w:val="zh-CN" w:eastAsia="zh-CN"/>
        </w:rPr>
        <w:footnoteReference w:id="3"/>
      </w:r>
      <w:r w:rsidRPr="00D256BE">
        <w:rPr>
          <w:rFonts w:hint="eastAsia"/>
          <w:sz w:val="24"/>
          <w:szCs w:val="24"/>
          <w:lang w:val="zh-CN" w:eastAsia="zh-CN"/>
        </w:rPr>
        <w:t>随后，</w:t>
      </w:r>
      <w:r w:rsidR="00F5416B" w:rsidRPr="00D256BE">
        <w:rPr>
          <w:rFonts w:hint="eastAsia"/>
          <w:sz w:val="24"/>
          <w:szCs w:val="24"/>
          <w:lang w:val="zh-CN" w:eastAsia="zh-CN"/>
        </w:rPr>
        <w:t>执行问题</w:t>
      </w:r>
      <w:r w:rsidRPr="00D256BE">
        <w:rPr>
          <w:rFonts w:hint="eastAsia"/>
          <w:sz w:val="24"/>
          <w:szCs w:val="24"/>
          <w:lang w:val="zh-CN" w:eastAsia="zh-CN"/>
        </w:rPr>
        <w:t>附属机构通过了第</w:t>
      </w:r>
      <w:hyperlink r:id="rId15" w:history="1">
        <w:r w:rsidRPr="00D256BE">
          <w:rPr>
            <w:rStyle w:val="Hyperlink"/>
            <w:rFonts w:hint="eastAsia"/>
            <w:sz w:val="24"/>
            <w:szCs w:val="24"/>
            <w:lang w:val="zh-CN" w:eastAsia="zh-CN"/>
          </w:rPr>
          <w:t>7/4</w:t>
        </w:r>
      </w:hyperlink>
      <w:r w:rsidRPr="00D256BE">
        <w:rPr>
          <w:rFonts w:hint="eastAsia"/>
          <w:sz w:val="24"/>
          <w:szCs w:val="24"/>
          <w:lang w:val="zh-CN" w:eastAsia="zh-CN"/>
        </w:rPr>
        <w:t>号建议，其中包括一项决定草案的内容，供缔约方大会本届会议进一步审议。</w:t>
      </w:r>
      <w:r>
        <w:fldChar w:fldCharType="begin"/>
      </w:r>
      <w:r>
        <w:rPr>
          <w:lang w:eastAsia="zh-CN"/>
        </w:rPr>
        <w:instrText>HYPERLINK "https://www.cbd.int/recommendations/sbi/?m=sbi-07"</w:instrText>
      </w:r>
      <w:r>
        <w:fldChar w:fldCharType="separate"/>
      </w:r>
      <w:r>
        <w:fldChar w:fldCharType="end"/>
      </w:r>
    </w:p>
    <w:p w14:paraId="02856C1E" w14:textId="48BA8D88" w:rsidR="00D060D3" w:rsidRPr="00D256BE" w:rsidRDefault="00D060D3" w:rsidP="00D356F4">
      <w:pPr>
        <w:pStyle w:val="CBDNormalNumber"/>
        <w:overflowPunct w:val="0"/>
        <w:rPr>
          <w:sz w:val="24"/>
          <w:szCs w:val="24"/>
          <w:lang w:eastAsia="zh-CN"/>
        </w:rPr>
      </w:pPr>
      <w:r w:rsidRPr="00D256BE">
        <w:rPr>
          <w:rFonts w:hint="eastAsia"/>
          <w:sz w:val="24"/>
          <w:szCs w:val="24"/>
          <w:lang w:val="zh-CN" w:eastAsia="zh-CN"/>
        </w:rPr>
        <w:t>本说明侧重于成果由缔约方大会本届会议审议、无需先经</w:t>
      </w:r>
      <w:r w:rsidR="00A54D38" w:rsidRPr="00D256BE">
        <w:rPr>
          <w:rFonts w:hint="eastAsia"/>
          <w:sz w:val="24"/>
          <w:szCs w:val="24"/>
          <w:lang w:val="zh-CN" w:eastAsia="zh-CN"/>
        </w:rPr>
        <w:t>执行问题</w:t>
      </w:r>
      <w:r w:rsidRPr="00D256BE">
        <w:rPr>
          <w:rFonts w:hint="eastAsia"/>
          <w:sz w:val="24"/>
          <w:szCs w:val="24"/>
          <w:lang w:val="zh-CN" w:eastAsia="zh-CN"/>
        </w:rPr>
        <w:t>附属机构审议的任务。这些任务总结如下。</w:t>
      </w:r>
    </w:p>
    <w:p w14:paraId="53916B4D" w14:textId="1A3136B1" w:rsidR="00D060D3" w:rsidRPr="00D256BE" w:rsidRDefault="00D060D3" w:rsidP="00D356F4">
      <w:pPr>
        <w:pStyle w:val="CBDNormalNumber"/>
        <w:keepNext/>
        <w:overflowPunct w:val="0"/>
        <w:rPr>
          <w:sz w:val="24"/>
          <w:szCs w:val="24"/>
          <w:lang w:eastAsia="zh-CN"/>
        </w:rPr>
      </w:pPr>
      <w:r w:rsidRPr="00D256BE">
        <w:rPr>
          <w:rFonts w:hint="eastAsia"/>
          <w:sz w:val="24"/>
          <w:szCs w:val="24"/>
          <w:lang w:val="zh-CN" w:eastAsia="zh-CN"/>
        </w:rPr>
        <w:t>缔约方大会在第</w:t>
      </w:r>
      <w:hyperlink r:id="rId16" w:history="1">
        <w:r w:rsidR="003E5FA4" w:rsidRPr="00D256BE">
          <w:rPr>
            <w:rStyle w:val="Hyperlink"/>
            <w:rFonts w:hint="eastAsia"/>
            <w:sz w:val="24"/>
            <w:szCs w:val="24"/>
            <w:lang w:val="zh-CN" w:eastAsia="zh-CN"/>
          </w:rPr>
          <w:t>16/2</w:t>
        </w:r>
      </w:hyperlink>
      <w:r w:rsidRPr="00D256BE">
        <w:rPr>
          <w:rFonts w:hint="eastAsia"/>
          <w:sz w:val="24"/>
          <w:szCs w:val="24"/>
          <w:lang w:val="zh-CN" w:eastAsia="zh-CN"/>
        </w:rPr>
        <w:t>号决定第</w:t>
      </w:r>
      <w:r w:rsidRPr="00D256BE">
        <w:rPr>
          <w:rFonts w:hint="eastAsia"/>
          <w:sz w:val="24"/>
          <w:szCs w:val="24"/>
          <w:lang w:val="zh-CN" w:eastAsia="zh-CN"/>
        </w:rPr>
        <w:t>6</w:t>
      </w:r>
      <w:r w:rsidRPr="00D256BE">
        <w:rPr>
          <w:rFonts w:hint="eastAsia"/>
          <w:sz w:val="24"/>
          <w:szCs w:val="24"/>
          <w:lang w:val="zh-CN" w:eastAsia="zh-CN"/>
        </w:rPr>
        <w:t>段中请执行秘书在资源允许的情况下：</w:t>
      </w:r>
      <w:r>
        <w:fldChar w:fldCharType="begin"/>
      </w:r>
      <w:r>
        <w:rPr>
          <w:lang w:eastAsia="zh-CN"/>
        </w:rPr>
        <w:instrText>HYPERLINK "https://www.cbd.int/decisions/cop/?m=cop-16"</w:instrText>
      </w:r>
      <w:r>
        <w:fldChar w:fldCharType="separate"/>
      </w:r>
      <w:r>
        <w:fldChar w:fldCharType="end"/>
      </w:r>
    </w:p>
    <w:p w14:paraId="0CCE4FDB" w14:textId="3F9A1ACA" w:rsidR="00D060D3" w:rsidRPr="00D256BE" w:rsidRDefault="00D060D3" w:rsidP="00D356F4">
      <w:pPr>
        <w:pStyle w:val="CBDNormalNumber"/>
        <w:numPr>
          <w:ilvl w:val="1"/>
          <w:numId w:val="2"/>
        </w:numPr>
        <w:overflowPunct w:val="0"/>
        <w:rPr>
          <w:sz w:val="24"/>
          <w:szCs w:val="24"/>
          <w:lang w:eastAsia="zh-CN"/>
        </w:rPr>
      </w:pPr>
      <w:r w:rsidRPr="00D256BE">
        <w:rPr>
          <w:rFonts w:hint="eastAsia"/>
          <w:sz w:val="24"/>
          <w:szCs w:val="24"/>
          <w:lang w:val="zh-CN" w:eastAsia="zh-CN"/>
        </w:rPr>
        <w:t>编写一份关于附件所载多边机制（包括卡利基金）运作模式第</w:t>
      </w:r>
      <w:r w:rsidRPr="00D256BE">
        <w:rPr>
          <w:rFonts w:hint="eastAsia"/>
          <w:sz w:val="24"/>
          <w:szCs w:val="24"/>
          <w:lang w:val="zh-CN" w:eastAsia="zh-CN"/>
        </w:rPr>
        <w:t>3</w:t>
      </w:r>
      <w:r w:rsidRPr="00D256BE">
        <w:rPr>
          <w:rFonts w:hint="eastAsia"/>
          <w:sz w:val="24"/>
          <w:szCs w:val="24"/>
          <w:lang w:val="zh-CN" w:eastAsia="zh-CN"/>
        </w:rPr>
        <w:t>段所述</w:t>
      </w:r>
      <w:r w:rsidR="00114321" w:rsidRPr="00D256BE">
        <w:rPr>
          <w:rFonts w:hint="eastAsia"/>
          <w:sz w:val="24"/>
          <w:szCs w:val="24"/>
          <w:lang w:val="zh-CN" w:eastAsia="zh-CN"/>
        </w:rPr>
        <w:t>关于确定</w:t>
      </w:r>
      <w:r w:rsidRPr="00D256BE">
        <w:rPr>
          <w:rFonts w:hint="eastAsia"/>
          <w:sz w:val="24"/>
          <w:szCs w:val="24"/>
          <w:lang w:val="zh-CN" w:eastAsia="zh-CN"/>
        </w:rPr>
        <w:t>大、中、小型实体的国家和国际标准的研究报告，该运作模式规定了向卡利基金</w:t>
      </w:r>
      <w:r w:rsidR="00057A1E">
        <w:rPr>
          <w:rFonts w:hint="eastAsia"/>
          <w:sz w:val="24"/>
          <w:szCs w:val="24"/>
          <w:lang w:val="zh-CN" w:eastAsia="zh-CN"/>
        </w:rPr>
        <w:t>缴款</w:t>
      </w:r>
      <w:r w:rsidRPr="00D256BE">
        <w:rPr>
          <w:rFonts w:hint="eastAsia"/>
          <w:sz w:val="24"/>
          <w:szCs w:val="24"/>
          <w:lang w:val="zh-CN" w:eastAsia="zh-CN"/>
        </w:rPr>
        <w:t>的数额</w:t>
      </w:r>
      <w:r w:rsidR="00A742C5" w:rsidRPr="00D256BE">
        <w:rPr>
          <w:rFonts w:hint="eastAsia"/>
          <w:sz w:val="24"/>
          <w:szCs w:val="24"/>
          <w:lang w:val="zh-CN" w:eastAsia="zh-CN"/>
        </w:rPr>
        <w:t>大小</w:t>
      </w:r>
      <w:r w:rsidRPr="00D256BE">
        <w:rPr>
          <w:rFonts w:hint="eastAsia"/>
          <w:sz w:val="24"/>
          <w:szCs w:val="24"/>
          <w:lang w:val="zh-CN" w:eastAsia="zh-CN"/>
        </w:rPr>
        <w:t>（第</w:t>
      </w:r>
      <w:r w:rsidRPr="00D256BE">
        <w:rPr>
          <w:rFonts w:hint="eastAsia"/>
          <w:sz w:val="24"/>
          <w:szCs w:val="24"/>
          <w:lang w:val="zh-CN" w:eastAsia="zh-CN"/>
        </w:rPr>
        <w:t>6(d)</w:t>
      </w:r>
      <w:r w:rsidR="00A742C5" w:rsidRPr="00D256BE">
        <w:rPr>
          <w:rFonts w:hint="eastAsia"/>
          <w:sz w:val="24"/>
          <w:szCs w:val="24"/>
          <w:lang w:val="zh-CN" w:eastAsia="zh-CN"/>
        </w:rPr>
        <w:t>分</w:t>
      </w:r>
      <w:r w:rsidRPr="00D256BE">
        <w:rPr>
          <w:rFonts w:hint="eastAsia"/>
          <w:sz w:val="24"/>
          <w:szCs w:val="24"/>
          <w:lang w:val="zh-CN" w:eastAsia="zh-CN"/>
        </w:rPr>
        <w:t>段）；</w:t>
      </w:r>
    </w:p>
    <w:p w14:paraId="61DA37BC" w14:textId="7A3C9861" w:rsidR="00D060D3" w:rsidRPr="00D256BE" w:rsidRDefault="00D060D3" w:rsidP="00D356F4">
      <w:pPr>
        <w:pStyle w:val="CBDNormalNumber"/>
        <w:numPr>
          <w:ilvl w:val="1"/>
          <w:numId w:val="2"/>
        </w:numPr>
        <w:overflowPunct w:val="0"/>
        <w:rPr>
          <w:sz w:val="24"/>
          <w:szCs w:val="24"/>
          <w:lang w:eastAsia="zh-CN"/>
        </w:rPr>
      </w:pPr>
      <w:r w:rsidRPr="00D256BE">
        <w:rPr>
          <w:rFonts w:hint="eastAsia"/>
          <w:sz w:val="24"/>
          <w:szCs w:val="24"/>
          <w:lang w:val="zh-CN" w:eastAsia="zh-CN"/>
        </w:rPr>
        <w:t>委托进行一项关于</w:t>
      </w:r>
      <w:r w:rsidR="00057A1E">
        <w:rPr>
          <w:rFonts w:hint="eastAsia"/>
          <w:sz w:val="24"/>
          <w:szCs w:val="24"/>
          <w:lang w:val="zh-CN" w:eastAsia="zh-CN"/>
        </w:rPr>
        <w:t>缴款</w:t>
      </w:r>
      <w:r w:rsidRPr="00D256BE">
        <w:rPr>
          <w:rFonts w:hint="eastAsia"/>
          <w:sz w:val="24"/>
          <w:szCs w:val="24"/>
          <w:lang w:val="zh-CN" w:eastAsia="zh-CN"/>
        </w:rPr>
        <w:t>率包括对创收和经济竞争力的影响的研究（第</w:t>
      </w:r>
      <w:r w:rsidRPr="00D256BE">
        <w:rPr>
          <w:rFonts w:hint="eastAsia"/>
          <w:sz w:val="24"/>
          <w:szCs w:val="24"/>
          <w:lang w:val="zh-CN" w:eastAsia="zh-CN"/>
        </w:rPr>
        <w:t>6(e)</w:t>
      </w:r>
      <w:r w:rsidR="00F548B0" w:rsidRPr="00D256BE">
        <w:rPr>
          <w:rFonts w:hint="eastAsia"/>
          <w:sz w:val="24"/>
          <w:szCs w:val="24"/>
          <w:lang w:val="zh-CN" w:eastAsia="zh-CN"/>
        </w:rPr>
        <w:t>分</w:t>
      </w:r>
      <w:r w:rsidRPr="00D256BE">
        <w:rPr>
          <w:rFonts w:hint="eastAsia"/>
          <w:sz w:val="24"/>
          <w:szCs w:val="24"/>
          <w:lang w:val="zh-CN" w:eastAsia="zh-CN"/>
        </w:rPr>
        <w:t>段）。</w:t>
      </w:r>
    </w:p>
    <w:p w14:paraId="0B990376" w14:textId="1DBAEBC9" w:rsidR="00D060D3" w:rsidRPr="00D256BE" w:rsidRDefault="00D060D3" w:rsidP="00D356F4">
      <w:pPr>
        <w:pStyle w:val="CBDNormalNumber"/>
        <w:overflowPunct w:val="0"/>
        <w:rPr>
          <w:sz w:val="24"/>
          <w:szCs w:val="24"/>
          <w:lang w:eastAsia="zh-CN"/>
        </w:rPr>
      </w:pPr>
      <w:r w:rsidRPr="00D256BE">
        <w:rPr>
          <w:rFonts w:hint="eastAsia"/>
          <w:sz w:val="24"/>
          <w:szCs w:val="24"/>
          <w:lang w:val="zh-CN" w:eastAsia="zh-CN"/>
        </w:rPr>
        <w:t>在第</w:t>
      </w:r>
      <w:hyperlink r:id="rId17" w:history="1">
        <w:r w:rsidR="003E5FA4" w:rsidRPr="00D256BE">
          <w:rPr>
            <w:rStyle w:val="Hyperlink"/>
            <w:rFonts w:hint="eastAsia"/>
            <w:sz w:val="24"/>
            <w:szCs w:val="24"/>
            <w:lang w:val="zh-CN" w:eastAsia="zh-CN"/>
          </w:rPr>
          <w:t>16/2</w:t>
        </w:r>
      </w:hyperlink>
      <w:r w:rsidRPr="00D256BE">
        <w:rPr>
          <w:rFonts w:hint="eastAsia"/>
          <w:sz w:val="24"/>
          <w:szCs w:val="24"/>
          <w:lang w:val="zh-CN" w:eastAsia="zh-CN"/>
        </w:rPr>
        <w:t>号决定附件所载运作模式第</w:t>
      </w:r>
      <w:r w:rsidRPr="00D256BE">
        <w:rPr>
          <w:rFonts w:hint="eastAsia"/>
          <w:sz w:val="24"/>
          <w:szCs w:val="24"/>
          <w:lang w:val="zh-CN" w:eastAsia="zh-CN"/>
        </w:rPr>
        <w:t>19</w:t>
      </w:r>
      <w:r w:rsidRPr="00D256BE">
        <w:rPr>
          <w:rFonts w:hint="eastAsia"/>
          <w:sz w:val="24"/>
          <w:szCs w:val="24"/>
          <w:lang w:val="zh-CN" w:eastAsia="zh-CN"/>
        </w:rPr>
        <w:t>段中，</w:t>
      </w:r>
      <w:r w:rsidR="005D150C" w:rsidRPr="00D256BE">
        <w:rPr>
          <w:rFonts w:hint="eastAsia"/>
          <w:sz w:val="24"/>
          <w:szCs w:val="24"/>
          <w:lang w:val="zh-CN" w:eastAsia="zh-CN"/>
        </w:rPr>
        <w:t>缔约方大会</w:t>
      </w:r>
      <w:r w:rsidRPr="00D256BE">
        <w:rPr>
          <w:rFonts w:hint="eastAsia"/>
          <w:sz w:val="24"/>
          <w:szCs w:val="24"/>
          <w:lang w:val="zh-CN" w:eastAsia="zh-CN"/>
        </w:rPr>
        <w:t>设立了分配方法问题特设技术专家组，其职权范围载于该附件附文三。根据该职权范围，专家组负责根据该附件附文二所确定</w:t>
      </w:r>
      <w:r w:rsidR="0043236B" w:rsidRPr="00D256BE">
        <w:rPr>
          <w:rFonts w:hint="eastAsia"/>
          <w:sz w:val="24"/>
          <w:szCs w:val="24"/>
          <w:lang w:val="zh-CN" w:eastAsia="zh-CN"/>
        </w:rPr>
        <w:t>的</w:t>
      </w:r>
      <w:r w:rsidRPr="00D256BE">
        <w:rPr>
          <w:rFonts w:hint="eastAsia"/>
          <w:sz w:val="24"/>
          <w:szCs w:val="24"/>
          <w:lang w:val="zh-CN" w:eastAsia="zh-CN"/>
        </w:rPr>
        <w:t>标准，拟定用于</w:t>
      </w:r>
      <w:r w:rsidR="005A1378" w:rsidRPr="00D256BE">
        <w:rPr>
          <w:rFonts w:hint="eastAsia"/>
          <w:sz w:val="24"/>
          <w:szCs w:val="24"/>
          <w:lang w:val="zh-CN" w:eastAsia="zh-CN"/>
        </w:rPr>
        <w:t>发放</w:t>
      </w:r>
      <w:r w:rsidRPr="00D256BE">
        <w:rPr>
          <w:rFonts w:hint="eastAsia"/>
          <w:sz w:val="24"/>
          <w:szCs w:val="24"/>
          <w:lang w:val="zh-CN" w:eastAsia="zh-CN"/>
        </w:rPr>
        <w:t>卡利基金资金的分配方法，并就与</w:t>
      </w:r>
      <w:r w:rsidRPr="00D256BE">
        <w:rPr>
          <w:rFonts w:hint="eastAsia"/>
          <w:sz w:val="24"/>
          <w:szCs w:val="24"/>
          <w:lang w:val="zh-CN" w:eastAsia="zh-CN"/>
        </w:rPr>
        <w:lastRenderedPageBreak/>
        <w:t>资金发放有关的剩余和未决问题提供技术咨询和指导。根据运作模式第</w:t>
      </w:r>
      <w:r w:rsidRPr="00D256BE">
        <w:rPr>
          <w:rFonts w:hint="eastAsia"/>
          <w:sz w:val="24"/>
          <w:szCs w:val="24"/>
          <w:lang w:val="zh-CN" w:eastAsia="zh-CN"/>
        </w:rPr>
        <w:t>19</w:t>
      </w:r>
      <w:r w:rsidR="00661FFA" w:rsidRPr="00D256BE">
        <w:rPr>
          <w:rFonts w:hint="eastAsia"/>
          <w:sz w:val="24"/>
          <w:szCs w:val="24"/>
          <w:lang w:val="zh-CN" w:eastAsia="zh-CN"/>
        </w:rPr>
        <w:t>段，缔约方大会将在本届会议上根据专家组的工作</w:t>
      </w:r>
      <w:r w:rsidRPr="00D256BE">
        <w:rPr>
          <w:rFonts w:hint="eastAsia"/>
          <w:sz w:val="24"/>
          <w:szCs w:val="24"/>
          <w:lang w:val="zh-CN" w:eastAsia="zh-CN"/>
        </w:rPr>
        <w:t>确定分配公式</w:t>
      </w:r>
      <w:r w:rsidR="003137A9" w:rsidRPr="00D256BE">
        <w:rPr>
          <w:rFonts w:hint="eastAsia"/>
          <w:sz w:val="24"/>
          <w:szCs w:val="24"/>
          <w:lang w:val="zh-CN" w:eastAsia="zh-CN"/>
        </w:rPr>
        <w:t>。</w:t>
      </w:r>
      <w:hyperlink r:id="rId18" w:history="1"/>
    </w:p>
    <w:p w14:paraId="08268962" w14:textId="261A0043" w:rsidR="00D060D3" w:rsidRPr="00D256BE" w:rsidRDefault="00D060D3" w:rsidP="00D356F4">
      <w:pPr>
        <w:pStyle w:val="CBDNormalNumber"/>
        <w:overflowPunct w:val="0"/>
        <w:rPr>
          <w:sz w:val="24"/>
          <w:szCs w:val="24"/>
          <w:lang w:eastAsia="zh-CN"/>
        </w:rPr>
      </w:pPr>
      <w:r w:rsidRPr="00D256BE">
        <w:rPr>
          <w:rFonts w:hint="eastAsia"/>
          <w:sz w:val="24"/>
          <w:szCs w:val="24"/>
          <w:lang w:val="zh-CN" w:eastAsia="zh-CN"/>
        </w:rPr>
        <w:t>根据运作模式第</w:t>
      </w:r>
      <w:r w:rsidRPr="00D256BE">
        <w:rPr>
          <w:rFonts w:hint="eastAsia"/>
          <w:sz w:val="24"/>
          <w:szCs w:val="24"/>
          <w:lang w:val="zh-CN" w:eastAsia="zh-CN"/>
        </w:rPr>
        <w:t>28</w:t>
      </w:r>
      <w:r w:rsidRPr="00D256BE">
        <w:rPr>
          <w:rFonts w:hint="eastAsia"/>
          <w:sz w:val="24"/>
          <w:szCs w:val="24"/>
          <w:lang w:val="zh-CN" w:eastAsia="zh-CN"/>
        </w:rPr>
        <w:t>段，</w:t>
      </w:r>
      <w:r w:rsidR="00D13E21" w:rsidRPr="00D256BE">
        <w:rPr>
          <w:rFonts w:hint="eastAsia"/>
          <w:sz w:val="24"/>
          <w:szCs w:val="24"/>
          <w:lang w:val="zh-CN" w:eastAsia="zh-CN"/>
        </w:rPr>
        <w:t>设立了包括卡利基金在内的多边机制指导委员会</w:t>
      </w:r>
      <w:r w:rsidRPr="00D256BE">
        <w:rPr>
          <w:rFonts w:hint="eastAsia"/>
          <w:sz w:val="24"/>
          <w:szCs w:val="24"/>
          <w:lang w:val="zh-CN" w:eastAsia="zh-CN"/>
        </w:rPr>
        <w:t>，其构成和职权范围载于该附件附文四。根据职权范围第</w:t>
      </w:r>
      <w:r w:rsidRPr="00D256BE">
        <w:rPr>
          <w:rFonts w:hint="eastAsia"/>
          <w:sz w:val="24"/>
          <w:szCs w:val="24"/>
          <w:lang w:val="zh-CN" w:eastAsia="zh-CN"/>
        </w:rPr>
        <w:t>1(c)</w:t>
      </w:r>
      <w:r w:rsidR="00661FFA" w:rsidRPr="00D256BE">
        <w:rPr>
          <w:rFonts w:hint="eastAsia"/>
          <w:sz w:val="24"/>
          <w:szCs w:val="24"/>
          <w:lang w:val="zh-CN" w:eastAsia="zh-CN"/>
        </w:rPr>
        <w:t>分</w:t>
      </w:r>
      <w:r w:rsidRPr="00D256BE">
        <w:rPr>
          <w:rFonts w:hint="eastAsia"/>
          <w:sz w:val="24"/>
          <w:szCs w:val="24"/>
          <w:lang w:val="zh-CN" w:eastAsia="zh-CN"/>
        </w:rPr>
        <w:t>段，指导委员会应向缔约方大会提交报告并提供咨询意见。</w:t>
      </w:r>
    </w:p>
    <w:p w14:paraId="49711AF7" w14:textId="77777777" w:rsidR="00D060D3" w:rsidRPr="00D256BE" w:rsidRDefault="00D060D3" w:rsidP="00D356F4">
      <w:pPr>
        <w:pStyle w:val="CBDNormalNumber"/>
        <w:overflowPunct w:val="0"/>
        <w:rPr>
          <w:sz w:val="24"/>
          <w:szCs w:val="24"/>
          <w:lang w:eastAsia="zh-CN"/>
        </w:rPr>
      </w:pPr>
      <w:r w:rsidRPr="00D256BE">
        <w:rPr>
          <w:rFonts w:hint="eastAsia"/>
          <w:sz w:val="24"/>
          <w:szCs w:val="24"/>
          <w:lang w:val="zh-CN" w:eastAsia="zh-CN"/>
        </w:rPr>
        <w:t>本说明总结了根据上文第</w:t>
      </w:r>
      <w:r w:rsidRPr="00D256BE">
        <w:rPr>
          <w:rFonts w:hint="eastAsia"/>
          <w:sz w:val="24"/>
          <w:szCs w:val="24"/>
          <w:lang w:val="zh-CN" w:eastAsia="zh-CN"/>
        </w:rPr>
        <w:t>4</w:t>
      </w:r>
      <w:r w:rsidRPr="00D256BE">
        <w:rPr>
          <w:rFonts w:hint="eastAsia"/>
          <w:sz w:val="24"/>
          <w:szCs w:val="24"/>
          <w:lang w:val="zh-CN" w:eastAsia="zh-CN"/>
        </w:rPr>
        <w:t>至第</w:t>
      </w:r>
      <w:r w:rsidRPr="00D256BE">
        <w:rPr>
          <w:rFonts w:hint="eastAsia"/>
          <w:sz w:val="24"/>
          <w:szCs w:val="24"/>
          <w:lang w:val="zh-CN" w:eastAsia="zh-CN"/>
        </w:rPr>
        <w:t>6</w:t>
      </w:r>
      <w:r w:rsidRPr="00D256BE">
        <w:rPr>
          <w:rFonts w:hint="eastAsia"/>
          <w:sz w:val="24"/>
          <w:szCs w:val="24"/>
          <w:lang w:val="zh-CN" w:eastAsia="zh-CN"/>
        </w:rPr>
        <w:t>段所述任务所开展工作的成果，并包括一项决定草案的内容，以补充执行问题附属机构第七次会议拟订并列入其第</w:t>
      </w:r>
      <w:r w:rsidRPr="00D256BE">
        <w:rPr>
          <w:rFonts w:hint="eastAsia"/>
          <w:sz w:val="24"/>
          <w:szCs w:val="24"/>
          <w:lang w:val="zh-CN" w:eastAsia="zh-CN"/>
        </w:rPr>
        <w:t>7/4</w:t>
      </w:r>
      <w:r w:rsidRPr="00D256BE">
        <w:rPr>
          <w:rFonts w:hint="eastAsia"/>
          <w:sz w:val="24"/>
          <w:szCs w:val="24"/>
          <w:lang w:val="zh-CN" w:eastAsia="zh-CN"/>
        </w:rPr>
        <w:t>号建议的内容。决定草案的综合内容载于</w:t>
      </w:r>
      <w:r w:rsidRPr="00D256BE">
        <w:rPr>
          <w:rFonts w:hint="eastAsia"/>
          <w:sz w:val="24"/>
          <w:szCs w:val="24"/>
          <w:lang w:val="zh-CN" w:eastAsia="zh-CN"/>
        </w:rPr>
        <w:t>CBD/COP/17/2</w:t>
      </w:r>
      <w:r w:rsidRPr="00D256BE">
        <w:rPr>
          <w:rFonts w:hint="eastAsia"/>
          <w:sz w:val="24"/>
          <w:szCs w:val="24"/>
          <w:lang w:val="zh-CN" w:eastAsia="zh-CN"/>
        </w:rPr>
        <w:t>号文件所载决定草案汇编。</w:t>
      </w:r>
    </w:p>
    <w:p w14:paraId="13244F93" w14:textId="25154245" w:rsidR="00D060D3" w:rsidRPr="00556C42" w:rsidRDefault="00D060D3" w:rsidP="00D356F4">
      <w:pPr>
        <w:pStyle w:val="CBDH1"/>
        <w:overflowPunct w:val="0"/>
        <w:rPr>
          <w:lang w:eastAsia="zh-CN"/>
        </w:rPr>
      </w:pPr>
      <w:r>
        <w:rPr>
          <w:rFonts w:hint="eastAsia"/>
          <w:bCs/>
          <w:lang w:val="zh-CN" w:eastAsia="zh-CN"/>
        </w:rPr>
        <w:t>二</w:t>
      </w:r>
      <w:r>
        <w:rPr>
          <w:rFonts w:hint="eastAsia"/>
          <w:bCs/>
          <w:lang w:val="zh-CN" w:eastAsia="zh-CN"/>
        </w:rPr>
        <w:t>.</w:t>
      </w:r>
      <w:r>
        <w:rPr>
          <w:rFonts w:hint="eastAsia"/>
          <w:lang w:val="zh-CN" w:eastAsia="zh-CN"/>
        </w:rPr>
        <w:tab/>
      </w:r>
      <w:r>
        <w:rPr>
          <w:rFonts w:hint="eastAsia"/>
          <w:bCs/>
          <w:lang w:val="zh-CN" w:eastAsia="zh-CN"/>
        </w:rPr>
        <w:t>关于卡利基金</w:t>
      </w:r>
      <w:r w:rsidR="00057A1E">
        <w:rPr>
          <w:rFonts w:hint="eastAsia"/>
          <w:bCs/>
          <w:lang w:val="zh-CN" w:eastAsia="zh-CN"/>
        </w:rPr>
        <w:t>缴款</w:t>
      </w:r>
      <w:r>
        <w:rPr>
          <w:rFonts w:hint="eastAsia"/>
          <w:bCs/>
          <w:lang w:val="zh-CN" w:eastAsia="zh-CN"/>
        </w:rPr>
        <w:t>率以及</w:t>
      </w:r>
      <w:r w:rsidR="00862992">
        <w:rPr>
          <w:rFonts w:hint="eastAsia"/>
          <w:bCs/>
          <w:lang w:val="zh-CN" w:eastAsia="zh-CN"/>
        </w:rPr>
        <w:t>关于确定</w:t>
      </w:r>
      <w:r>
        <w:rPr>
          <w:rFonts w:hint="eastAsia"/>
          <w:bCs/>
          <w:lang w:val="zh-CN" w:eastAsia="zh-CN"/>
        </w:rPr>
        <w:t>大、中、小型实体的国家和国际标准的研究</w:t>
      </w:r>
    </w:p>
    <w:p w14:paraId="730D65B5" w14:textId="6E107285" w:rsidR="00D060D3" w:rsidRPr="00FA1E96" w:rsidRDefault="00D060D3" w:rsidP="00D356F4">
      <w:pPr>
        <w:pStyle w:val="CBDNormalNumber"/>
        <w:overflowPunct w:val="0"/>
        <w:rPr>
          <w:sz w:val="24"/>
          <w:szCs w:val="24"/>
          <w:lang w:eastAsia="zh-CN"/>
        </w:rPr>
      </w:pPr>
      <w:r w:rsidRPr="00FA1E96">
        <w:rPr>
          <w:rFonts w:hint="eastAsia"/>
          <w:sz w:val="24"/>
          <w:szCs w:val="24"/>
          <w:lang w:val="zh-CN" w:eastAsia="zh-CN"/>
        </w:rPr>
        <w:t>由于资源有限且研究主题之间存在关联，第</w:t>
      </w:r>
      <w:hyperlink r:id="rId19" w:history="1">
        <w:r w:rsidR="003E5FA4" w:rsidRPr="00FA1E96">
          <w:rPr>
            <w:rStyle w:val="Hyperlink"/>
            <w:rFonts w:hint="eastAsia"/>
            <w:sz w:val="24"/>
            <w:szCs w:val="24"/>
            <w:lang w:val="zh-CN" w:eastAsia="zh-CN"/>
          </w:rPr>
          <w:t>16/2</w:t>
        </w:r>
      </w:hyperlink>
      <w:r w:rsidRPr="00FA1E96">
        <w:rPr>
          <w:rFonts w:hint="eastAsia"/>
          <w:sz w:val="24"/>
          <w:szCs w:val="24"/>
          <w:lang w:val="zh-CN" w:eastAsia="zh-CN"/>
        </w:rPr>
        <w:t>号决定第</w:t>
      </w:r>
      <w:r w:rsidRPr="00FA1E96">
        <w:rPr>
          <w:rFonts w:hint="eastAsia"/>
          <w:sz w:val="24"/>
          <w:szCs w:val="24"/>
          <w:lang w:val="zh-CN" w:eastAsia="zh-CN"/>
        </w:rPr>
        <w:t>6(d)</w:t>
      </w:r>
      <w:r w:rsidRPr="00FA1E96">
        <w:rPr>
          <w:rFonts w:hint="eastAsia"/>
          <w:sz w:val="24"/>
          <w:szCs w:val="24"/>
          <w:lang w:val="zh-CN" w:eastAsia="zh-CN"/>
        </w:rPr>
        <w:t>和</w:t>
      </w:r>
      <w:r w:rsidRPr="00FA1E96">
        <w:rPr>
          <w:rFonts w:hint="eastAsia"/>
          <w:sz w:val="24"/>
          <w:szCs w:val="24"/>
          <w:lang w:val="zh-CN" w:eastAsia="zh-CN"/>
        </w:rPr>
        <w:t>(e)</w:t>
      </w:r>
      <w:r w:rsidR="004302F3" w:rsidRPr="00FA1E96">
        <w:rPr>
          <w:rFonts w:hint="eastAsia"/>
          <w:sz w:val="24"/>
          <w:szCs w:val="24"/>
          <w:lang w:val="zh-CN" w:eastAsia="zh-CN"/>
        </w:rPr>
        <w:t>分</w:t>
      </w:r>
      <w:r w:rsidRPr="00FA1E96">
        <w:rPr>
          <w:rFonts w:hint="eastAsia"/>
          <w:sz w:val="24"/>
          <w:szCs w:val="24"/>
          <w:lang w:val="zh-CN" w:eastAsia="zh-CN"/>
        </w:rPr>
        <w:t>段提及的两项与卡利基金</w:t>
      </w:r>
      <w:r w:rsidR="00057A1E">
        <w:rPr>
          <w:rFonts w:hint="eastAsia"/>
          <w:sz w:val="24"/>
          <w:szCs w:val="24"/>
          <w:lang w:val="zh-CN" w:eastAsia="zh-CN"/>
        </w:rPr>
        <w:t>缴款</w:t>
      </w:r>
      <w:r w:rsidR="004302F3" w:rsidRPr="00FA1E96">
        <w:rPr>
          <w:rFonts w:hint="eastAsia"/>
          <w:sz w:val="24"/>
          <w:szCs w:val="24"/>
          <w:lang w:val="zh-CN" w:eastAsia="zh-CN"/>
        </w:rPr>
        <w:t>方面</w:t>
      </w:r>
      <w:r w:rsidRPr="00FA1E96">
        <w:rPr>
          <w:rFonts w:hint="eastAsia"/>
          <w:sz w:val="24"/>
          <w:szCs w:val="24"/>
          <w:lang w:val="zh-CN" w:eastAsia="zh-CN"/>
        </w:rPr>
        <w:t>有关的研究将合并进行。根据第</w:t>
      </w:r>
      <w:r w:rsidR="003E5FA4">
        <w:fldChar w:fldCharType="begin"/>
      </w:r>
      <w:r w:rsidR="003E5FA4">
        <w:rPr>
          <w:lang w:eastAsia="zh-CN"/>
        </w:rPr>
        <w:instrText>HYPERLINK "https://www.cbd.int/notifications/2024-116"</w:instrText>
      </w:r>
      <w:r w:rsidR="003E5FA4">
        <w:fldChar w:fldCharType="separate"/>
      </w:r>
      <w:r w:rsidR="003E5FA4" w:rsidRPr="00FA1E96">
        <w:rPr>
          <w:rStyle w:val="Hyperlink0"/>
          <w:rFonts w:eastAsia="Arial Unicode MS" w:hint="eastAsia"/>
          <w:sz w:val="24"/>
          <w:szCs w:val="24"/>
          <w:lang w:eastAsia="zh-CN"/>
        </w:rPr>
        <w:t>2024-116</w:t>
      </w:r>
      <w:r w:rsidR="003E5FA4">
        <w:fldChar w:fldCharType="end"/>
      </w:r>
      <w:r w:rsidRPr="00FA1E96">
        <w:rPr>
          <w:rFonts w:hint="eastAsia"/>
          <w:sz w:val="24"/>
          <w:szCs w:val="24"/>
          <w:lang w:val="zh-CN" w:eastAsia="zh-CN"/>
        </w:rPr>
        <w:t>号通知，邀请各缔约方、其他各</w:t>
      </w:r>
      <w:r w:rsidR="004302F3" w:rsidRPr="00FA1E96">
        <w:rPr>
          <w:rFonts w:hint="eastAsia"/>
          <w:sz w:val="24"/>
          <w:szCs w:val="24"/>
          <w:lang w:val="zh-CN" w:eastAsia="zh-CN"/>
        </w:rPr>
        <w:t>国</w:t>
      </w:r>
      <w:r w:rsidRPr="00FA1E96">
        <w:rPr>
          <w:rFonts w:hint="eastAsia"/>
          <w:sz w:val="24"/>
          <w:szCs w:val="24"/>
          <w:lang w:val="zh-CN" w:eastAsia="zh-CN"/>
        </w:rPr>
        <w:t>政府、土著人民和地方社区以及相关组织就确定大、中、小型实体</w:t>
      </w:r>
      <w:r w:rsidR="00387E82" w:rsidRPr="00FA1E96">
        <w:rPr>
          <w:rFonts w:hint="eastAsia"/>
          <w:sz w:val="24"/>
          <w:szCs w:val="24"/>
          <w:lang w:val="zh-CN" w:eastAsia="zh-CN"/>
        </w:rPr>
        <w:t>门槛</w:t>
      </w:r>
      <w:r w:rsidRPr="00FA1E96">
        <w:rPr>
          <w:rFonts w:hint="eastAsia"/>
          <w:sz w:val="24"/>
          <w:szCs w:val="24"/>
          <w:lang w:val="zh-CN" w:eastAsia="zh-CN"/>
        </w:rPr>
        <w:t>的国家、区域或国际标准提交</w:t>
      </w:r>
      <w:r w:rsidR="00A10CA2" w:rsidRPr="00FA1E96">
        <w:rPr>
          <w:rFonts w:hint="eastAsia"/>
          <w:sz w:val="24"/>
          <w:szCs w:val="24"/>
          <w:lang w:val="zh-CN" w:eastAsia="zh-CN"/>
        </w:rPr>
        <w:t>资料</w:t>
      </w:r>
      <w:r w:rsidRPr="00FA1E96">
        <w:rPr>
          <w:rFonts w:hint="eastAsia"/>
          <w:sz w:val="24"/>
          <w:szCs w:val="24"/>
          <w:lang w:val="zh-CN" w:eastAsia="zh-CN"/>
        </w:rPr>
        <w:t>。收到的呈件可在该通知网页上查阅，并在编写研究报告时予以考虑。此外，根据第</w:t>
      </w:r>
      <w:hyperlink r:id="rId20" w:history="1">
        <w:r w:rsidR="003E5FA4" w:rsidRPr="00FA1E96">
          <w:rPr>
            <w:rStyle w:val="Hyperlink0"/>
            <w:rFonts w:eastAsia="Arial Unicode MS" w:hint="eastAsia"/>
            <w:sz w:val="24"/>
            <w:szCs w:val="24"/>
            <w:lang w:eastAsia="zh-CN"/>
          </w:rPr>
          <w:t>2026-050</w:t>
        </w:r>
      </w:hyperlink>
      <w:r w:rsidRPr="00FA1E96">
        <w:rPr>
          <w:rFonts w:hint="eastAsia"/>
          <w:sz w:val="24"/>
          <w:szCs w:val="24"/>
          <w:lang w:val="zh-CN" w:eastAsia="zh-CN"/>
        </w:rPr>
        <w:t>号通知，邀请</w:t>
      </w:r>
      <w:r w:rsidR="00F0796F" w:rsidRPr="00FA1E96">
        <w:rPr>
          <w:rFonts w:hint="eastAsia"/>
          <w:sz w:val="24"/>
          <w:szCs w:val="24"/>
          <w:lang w:val="zh-CN" w:eastAsia="zh-CN"/>
        </w:rPr>
        <w:t>各</w:t>
      </w:r>
      <w:r w:rsidRPr="00FA1E96">
        <w:rPr>
          <w:rFonts w:hint="eastAsia"/>
          <w:sz w:val="24"/>
          <w:szCs w:val="24"/>
          <w:lang w:val="zh-CN" w:eastAsia="zh-CN"/>
        </w:rPr>
        <w:t>缔约方、其他各</w:t>
      </w:r>
      <w:r w:rsidR="00AF3570" w:rsidRPr="00FA1E96">
        <w:rPr>
          <w:rFonts w:hint="eastAsia"/>
          <w:sz w:val="24"/>
          <w:szCs w:val="24"/>
          <w:lang w:val="zh-CN" w:eastAsia="zh-CN"/>
        </w:rPr>
        <w:t>国</w:t>
      </w:r>
      <w:r w:rsidRPr="00FA1E96">
        <w:rPr>
          <w:rFonts w:hint="eastAsia"/>
          <w:sz w:val="24"/>
          <w:szCs w:val="24"/>
          <w:lang w:val="zh-CN" w:eastAsia="zh-CN"/>
        </w:rPr>
        <w:t>政府、土著人民和地方社区以及相关组织参加研究报告初稿的同行评议，并在</w:t>
      </w:r>
      <w:r w:rsidRPr="00FA1E96">
        <w:rPr>
          <w:rFonts w:hint="eastAsia"/>
          <w:sz w:val="24"/>
          <w:szCs w:val="24"/>
          <w:lang w:val="zh-CN" w:eastAsia="zh-CN"/>
        </w:rPr>
        <w:t>2026</w:t>
      </w:r>
      <w:r w:rsidRPr="00FA1E96">
        <w:rPr>
          <w:rFonts w:hint="eastAsia"/>
          <w:sz w:val="24"/>
          <w:szCs w:val="24"/>
          <w:lang w:val="zh-CN" w:eastAsia="zh-CN"/>
        </w:rPr>
        <w:t>年</w:t>
      </w:r>
      <w:r w:rsidRPr="00FA1E96">
        <w:rPr>
          <w:rFonts w:hint="eastAsia"/>
          <w:sz w:val="24"/>
          <w:szCs w:val="24"/>
          <w:lang w:val="zh-CN" w:eastAsia="zh-CN"/>
        </w:rPr>
        <w:t>7</w:t>
      </w:r>
      <w:r w:rsidRPr="00FA1E96">
        <w:rPr>
          <w:rFonts w:hint="eastAsia"/>
          <w:sz w:val="24"/>
          <w:szCs w:val="24"/>
          <w:lang w:val="zh-CN" w:eastAsia="zh-CN"/>
        </w:rPr>
        <w:t>月</w:t>
      </w:r>
      <w:r w:rsidRPr="00FA1E96">
        <w:rPr>
          <w:rFonts w:hint="eastAsia"/>
          <w:sz w:val="24"/>
          <w:szCs w:val="24"/>
          <w:lang w:val="zh-CN" w:eastAsia="zh-CN"/>
        </w:rPr>
        <w:t>6</w:t>
      </w:r>
      <w:r w:rsidRPr="00FA1E96">
        <w:rPr>
          <w:rFonts w:hint="eastAsia"/>
          <w:sz w:val="24"/>
          <w:szCs w:val="24"/>
          <w:lang w:val="zh-CN" w:eastAsia="zh-CN"/>
        </w:rPr>
        <w:t>日前提交评论。</w:t>
      </w:r>
      <w:hyperlink r:id="rId21" w:history="1"/>
      <w:hyperlink r:id="rId22" w:history="1"/>
      <w:hyperlink r:id="rId23" w:history="1"/>
    </w:p>
    <w:p w14:paraId="6403D081" w14:textId="017BAF78" w:rsidR="00D060D3" w:rsidRPr="00FA1E96" w:rsidRDefault="00D060D3" w:rsidP="00D356F4">
      <w:pPr>
        <w:pStyle w:val="CBDNormalNumber"/>
        <w:keepNext/>
        <w:overflowPunct w:val="0"/>
        <w:rPr>
          <w:sz w:val="24"/>
          <w:szCs w:val="24"/>
          <w:lang w:eastAsia="zh-CN"/>
        </w:rPr>
      </w:pPr>
      <w:r w:rsidRPr="00FA1E96">
        <w:rPr>
          <w:rFonts w:hint="eastAsia"/>
          <w:sz w:val="24"/>
          <w:szCs w:val="24"/>
          <w:lang w:val="zh-CN" w:eastAsia="zh-CN"/>
        </w:rPr>
        <w:t>研究报告中提出的估计数是</w:t>
      </w:r>
      <w:r w:rsidR="003D1873" w:rsidRPr="00FA1E96">
        <w:rPr>
          <w:rFonts w:hint="eastAsia"/>
          <w:sz w:val="24"/>
          <w:szCs w:val="24"/>
          <w:lang w:val="zh-CN" w:eastAsia="zh-CN"/>
        </w:rPr>
        <w:t>说明</w:t>
      </w:r>
      <w:r w:rsidRPr="00FA1E96">
        <w:rPr>
          <w:rFonts w:hint="eastAsia"/>
          <w:sz w:val="24"/>
          <w:szCs w:val="24"/>
          <w:lang w:val="zh-CN" w:eastAsia="zh-CN"/>
        </w:rPr>
        <w:t>性分析情景</w:t>
      </w:r>
      <w:r w:rsidR="003D1873" w:rsidRPr="00FA1E96">
        <w:rPr>
          <w:rFonts w:hint="eastAsia"/>
          <w:sz w:val="24"/>
          <w:szCs w:val="24"/>
          <w:lang w:val="zh-CN" w:eastAsia="zh-CN"/>
        </w:rPr>
        <w:t>设想</w:t>
      </w:r>
      <w:r w:rsidRPr="00FA1E96">
        <w:rPr>
          <w:rFonts w:hint="eastAsia"/>
          <w:sz w:val="24"/>
          <w:szCs w:val="24"/>
          <w:lang w:val="zh-CN" w:eastAsia="zh-CN"/>
        </w:rPr>
        <w:t>，不应视为预测。已确定的局限</w:t>
      </w:r>
      <w:r w:rsidR="003D1873" w:rsidRPr="00FA1E96">
        <w:rPr>
          <w:rFonts w:hint="eastAsia"/>
          <w:sz w:val="24"/>
          <w:szCs w:val="24"/>
          <w:lang w:val="zh-CN" w:eastAsia="zh-CN"/>
        </w:rPr>
        <w:t>性</w:t>
      </w:r>
      <w:r w:rsidRPr="00FA1E96">
        <w:rPr>
          <w:rFonts w:hint="eastAsia"/>
          <w:sz w:val="24"/>
          <w:szCs w:val="24"/>
          <w:lang w:val="zh-CN" w:eastAsia="zh-CN"/>
        </w:rPr>
        <w:t>包括：</w:t>
      </w:r>
    </w:p>
    <w:p w14:paraId="0162D988" w14:textId="77777777" w:rsidR="00D060D3" w:rsidRPr="004A3E33" w:rsidRDefault="00D060D3" w:rsidP="00D356F4">
      <w:pPr>
        <w:pStyle w:val="CBDNormalNumber"/>
        <w:numPr>
          <w:ilvl w:val="1"/>
          <w:numId w:val="6"/>
        </w:numPr>
        <w:overflowPunct w:val="0"/>
        <w:rPr>
          <w:sz w:val="24"/>
          <w:szCs w:val="24"/>
          <w:lang w:eastAsia="zh-CN"/>
        </w:rPr>
      </w:pPr>
      <w:r w:rsidRPr="004A3E33">
        <w:rPr>
          <w:rFonts w:hint="eastAsia"/>
          <w:sz w:val="24"/>
          <w:szCs w:val="24"/>
          <w:lang w:val="zh-CN" w:eastAsia="zh-CN"/>
        </w:rPr>
        <w:t>全球层面商业敏感数据有限，这可能是各国数据覆盖面和整合方式存在差异所致；</w:t>
      </w:r>
    </w:p>
    <w:p w14:paraId="483FE2C3" w14:textId="145CDFB0" w:rsidR="00D060D3" w:rsidRPr="00FA1E96" w:rsidRDefault="005A451E" w:rsidP="00D356F4">
      <w:pPr>
        <w:pStyle w:val="CBDNormalNumber"/>
        <w:numPr>
          <w:ilvl w:val="1"/>
          <w:numId w:val="6"/>
        </w:numPr>
        <w:overflowPunct w:val="0"/>
        <w:rPr>
          <w:spacing w:val="-4"/>
          <w:sz w:val="24"/>
          <w:szCs w:val="24"/>
          <w:lang w:eastAsia="zh-CN"/>
        </w:rPr>
      </w:pPr>
      <w:r w:rsidRPr="00FA1E96">
        <w:rPr>
          <w:rFonts w:ascii="Arial" w:hAnsi="Arial" w:cs="Arial" w:hint="eastAsia"/>
          <w:color w:val="000000"/>
          <w:spacing w:val="-4"/>
          <w:sz w:val="24"/>
          <w:szCs w:val="24"/>
          <w:shd w:val="clear" w:color="auto" w:fill="FFFFFF"/>
          <w:lang w:eastAsia="zh-CN"/>
        </w:rPr>
        <w:t>行业</w:t>
      </w:r>
      <w:r w:rsidR="00BF2BDC" w:rsidRPr="00FA1E96">
        <w:rPr>
          <w:rFonts w:ascii="Arial" w:hAnsi="Arial" w:cs="Arial" w:hint="eastAsia"/>
          <w:color w:val="000000"/>
          <w:spacing w:val="-4"/>
          <w:sz w:val="24"/>
          <w:szCs w:val="24"/>
          <w:shd w:val="clear" w:color="auto" w:fill="FFFFFF"/>
          <w:lang w:eastAsia="zh-CN"/>
        </w:rPr>
        <w:t>层面的分析未必与各具体</w:t>
      </w:r>
      <w:r w:rsidRPr="00FA1E96">
        <w:rPr>
          <w:rFonts w:ascii="Arial" w:hAnsi="Arial" w:cs="Arial" w:hint="eastAsia"/>
          <w:color w:val="000000"/>
          <w:spacing w:val="-4"/>
          <w:sz w:val="24"/>
          <w:szCs w:val="24"/>
          <w:shd w:val="clear" w:color="auto" w:fill="FFFFFF"/>
          <w:lang w:eastAsia="zh-CN"/>
        </w:rPr>
        <w:t>行业</w:t>
      </w:r>
      <w:r w:rsidR="00BF2BDC" w:rsidRPr="00FA1E96">
        <w:rPr>
          <w:rFonts w:ascii="Arial" w:hAnsi="Arial" w:cs="Arial" w:hint="eastAsia"/>
          <w:color w:val="000000"/>
          <w:spacing w:val="-4"/>
          <w:sz w:val="24"/>
          <w:szCs w:val="24"/>
          <w:shd w:val="clear" w:color="auto" w:fill="FFFFFF"/>
          <w:lang w:eastAsia="zh-CN"/>
        </w:rPr>
        <w:t>及其相应大型公司对遗传资源数字序列信息的使用强度相关，</w:t>
      </w:r>
      <w:r w:rsidR="00F87C9C" w:rsidRPr="00FA1E96">
        <w:rPr>
          <w:rFonts w:hint="eastAsia"/>
          <w:spacing w:val="-4"/>
          <w:sz w:val="24"/>
          <w:szCs w:val="24"/>
          <w:lang w:val="zh-CN" w:eastAsia="zh-CN"/>
        </w:rPr>
        <w:t>且可能无法与用于收集数据的标准行业分类代码很好地对应</w:t>
      </w:r>
      <w:r w:rsidR="00874A52" w:rsidRPr="00FA1E96">
        <w:rPr>
          <w:rFonts w:ascii="Arial" w:hAnsi="Arial" w:cs="Arial" w:hint="eastAsia"/>
          <w:color w:val="000000"/>
          <w:spacing w:val="-4"/>
          <w:sz w:val="24"/>
          <w:szCs w:val="24"/>
          <w:shd w:val="clear" w:color="auto" w:fill="FFFFFF"/>
          <w:lang w:eastAsia="zh-CN"/>
        </w:rPr>
        <w:t>；</w:t>
      </w:r>
    </w:p>
    <w:p w14:paraId="55EB410F" w14:textId="087D32FB" w:rsidR="00D060D3" w:rsidRPr="00FA1E96" w:rsidRDefault="00D060D3" w:rsidP="00D356F4">
      <w:pPr>
        <w:pStyle w:val="CBDNormalNumber"/>
        <w:numPr>
          <w:ilvl w:val="1"/>
          <w:numId w:val="6"/>
        </w:numPr>
        <w:overflowPunct w:val="0"/>
        <w:rPr>
          <w:sz w:val="24"/>
          <w:szCs w:val="24"/>
          <w:lang w:eastAsia="zh-CN"/>
        </w:rPr>
      </w:pPr>
      <w:r w:rsidRPr="00FA1E96">
        <w:rPr>
          <w:rFonts w:hint="eastAsia"/>
          <w:sz w:val="24"/>
          <w:szCs w:val="24"/>
          <w:lang w:val="zh-CN" w:eastAsia="zh-CN"/>
        </w:rPr>
        <w:t>由于卡利基金尚处于初期实施阶段，缺乏直接观察到的参与行为</w:t>
      </w:r>
      <w:r w:rsidR="0012532C" w:rsidRPr="00FA1E96">
        <w:rPr>
          <w:rFonts w:hint="eastAsia"/>
          <w:sz w:val="24"/>
          <w:szCs w:val="24"/>
          <w:lang w:val="zh-CN" w:eastAsia="zh-CN"/>
        </w:rPr>
        <w:t>数据</w:t>
      </w:r>
      <w:r w:rsidRPr="00FA1E96">
        <w:rPr>
          <w:rFonts w:hint="eastAsia"/>
          <w:sz w:val="24"/>
          <w:szCs w:val="24"/>
          <w:lang w:val="zh-CN" w:eastAsia="zh-CN"/>
        </w:rPr>
        <w:t>，且对咨询人问卷的答复数量不足</w:t>
      </w:r>
      <w:r w:rsidR="00287AC8" w:rsidRPr="00FA1E96">
        <w:rPr>
          <w:rFonts w:hint="eastAsia"/>
          <w:sz w:val="24"/>
          <w:szCs w:val="24"/>
          <w:lang w:val="zh-CN" w:eastAsia="zh-CN"/>
        </w:rPr>
        <w:t>，无法支撑</w:t>
      </w:r>
      <w:r w:rsidRPr="00FA1E96">
        <w:rPr>
          <w:rFonts w:hint="eastAsia"/>
          <w:sz w:val="24"/>
          <w:szCs w:val="24"/>
          <w:lang w:val="zh-CN" w:eastAsia="zh-CN"/>
        </w:rPr>
        <w:t>进行具有统计意义的分析。</w:t>
      </w:r>
    </w:p>
    <w:p w14:paraId="3D2BC92C" w14:textId="6970DEAF" w:rsidR="00D060D3" w:rsidRPr="00FA1E96" w:rsidRDefault="00D060D3" w:rsidP="00D356F4">
      <w:pPr>
        <w:pStyle w:val="CBDNormalNumber"/>
        <w:overflowPunct w:val="0"/>
        <w:rPr>
          <w:sz w:val="24"/>
          <w:szCs w:val="24"/>
          <w:lang w:eastAsia="zh-CN"/>
        </w:rPr>
      </w:pPr>
      <w:r w:rsidRPr="00FA1E96">
        <w:rPr>
          <w:rFonts w:hint="eastAsia"/>
          <w:sz w:val="24"/>
          <w:szCs w:val="24"/>
          <w:lang w:val="zh-CN" w:eastAsia="zh-CN"/>
        </w:rPr>
        <w:t>关于确定预期向基金</w:t>
      </w:r>
      <w:r w:rsidR="00057A1E">
        <w:rPr>
          <w:rFonts w:hint="eastAsia"/>
          <w:sz w:val="24"/>
          <w:szCs w:val="24"/>
          <w:lang w:val="zh-CN" w:eastAsia="zh-CN"/>
        </w:rPr>
        <w:t>缴款</w:t>
      </w:r>
      <w:r w:rsidRPr="00FA1E96">
        <w:rPr>
          <w:rFonts w:hint="eastAsia"/>
          <w:sz w:val="24"/>
          <w:szCs w:val="24"/>
          <w:lang w:val="zh-CN" w:eastAsia="zh-CN"/>
        </w:rPr>
        <w:t>的公司的资格</w:t>
      </w:r>
      <w:r w:rsidR="00012FC1" w:rsidRPr="00FA1E96">
        <w:rPr>
          <w:rFonts w:hint="eastAsia"/>
          <w:sz w:val="24"/>
          <w:szCs w:val="24"/>
          <w:lang w:val="zh-CN" w:eastAsia="zh-CN"/>
        </w:rPr>
        <w:t>条件</w:t>
      </w:r>
      <w:r w:rsidRPr="00FA1E96">
        <w:rPr>
          <w:rFonts w:hint="eastAsia"/>
          <w:sz w:val="24"/>
          <w:szCs w:val="24"/>
          <w:lang w:val="zh-CN" w:eastAsia="zh-CN"/>
        </w:rPr>
        <w:t>和</w:t>
      </w:r>
      <w:r w:rsidR="00387E82" w:rsidRPr="00FA1E96">
        <w:rPr>
          <w:rFonts w:hint="eastAsia"/>
          <w:sz w:val="24"/>
          <w:szCs w:val="24"/>
          <w:lang w:val="zh-CN" w:eastAsia="zh-CN"/>
        </w:rPr>
        <w:t>门槛</w:t>
      </w:r>
      <w:r w:rsidRPr="00FA1E96">
        <w:rPr>
          <w:rFonts w:hint="eastAsia"/>
          <w:sz w:val="24"/>
          <w:szCs w:val="24"/>
          <w:lang w:val="zh-CN" w:eastAsia="zh-CN"/>
        </w:rPr>
        <w:t>，审议了与</w:t>
      </w:r>
      <w:r w:rsidR="00057A1E">
        <w:rPr>
          <w:rFonts w:hint="eastAsia"/>
          <w:sz w:val="24"/>
          <w:szCs w:val="24"/>
          <w:lang w:val="zh-CN" w:eastAsia="zh-CN"/>
        </w:rPr>
        <w:t>缴款</w:t>
      </w:r>
      <w:r w:rsidRPr="00FA1E96">
        <w:rPr>
          <w:rFonts w:hint="eastAsia"/>
          <w:sz w:val="24"/>
          <w:szCs w:val="24"/>
          <w:lang w:val="zh-CN" w:eastAsia="zh-CN"/>
        </w:rPr>
        <w:t>层级、利润标准、行业差异以及引入雇员人数</w:t>
      </w:r>
      <w:r w:rsidR="007C72B8" w:rsidRPr="00FA1E96">
        <w:rPr>
          <w:rFonts w:hint="eastAsia"/>
          <w:sz w:val="24"/>
          <w:szCs w:val="24"/>
          <w:lang w:val="zh-CN" w:eastAsia="zh-CN"/>
        </w:rPr>
        <w:t>评判</w:t>
      </w:r>
      <w:r w:rsidRPr="00FA1E96">
        <w:rPr>
          <w:rFonts w:hint="eastAsia"/>
          <w:sz w:val="24"/>
          <w:szCs w:val="24"/>
          <w:lang w:val="zh-CN" w:eastAsia="zh-CN"/>
        </w:rPr>
        <w:t>标准有关的七个</w:t>
      </w:r>
      <w:r w:rsidR="00A52C62" w:rsidRPr="00FA1E96">
        <w:rPr>
          <w:rFonts w:hint="eastAsia"/>
          <w:sz w:val="24"/>
          <w:szCs w:val="24"/>
          <w:lang w:val="zh-CN" w:eastAsia="zh-CN"/>
        </w:rPr>
        <w:t>选项</w:t>
      </w:r>
      <w:r w:rsidRPr="00FA1E96">
        <w:rPr>
          <w:rFonts w:hint="eastAsia"/>
          <w:sz w:val="24"/>
          <w:szCs w:val="24"/>
          <w:lang w:val="zh-CN" w:eastAsia="zh-CN"/>
        </w:rPr>
        <w:t>。</w:t>
      </w:r>
      <w:r w:rsidR="00A52C62" w:rsidRPr="00FA1E96">
        <w:rPr>
          <w:rFonts w:hint="eastAsia"/>
          <w:sz w:val="24"/>
          <w:szCs w:val="24"/>
          <w:lang w:val="zh-CN" w:eastAsia="zh-CN"/>
        </w:rPr>
        <w:t>然而，据观察，</w:t>
      </w:r>
      <w:r w:rsidRPr="00FA1E96">
        <w:rPr>
          <w:rFonts w:hint="eastAsia"/>
          <w:sz w:val="24"/>
          <w:szCs w:val="24"/>
          <w:lang w:val="zh-CN" w:eastAsia="zh-CN"/>
        </w:rPr>
        <w:t>各国</w:t>
      </w:r>
      <w:r w:rsidR="00A52C62" w:rsidRPr="00FA1E96">
        <w:rPr>
          <w:rFonts w:hint="eastAsia"/>
          <w:sz w:val="24"/>
          <w:szCs w:val="24"/>
          <w:lang w:val="zh-CN" w:eastAsia="zh-CN"/>
        </w:rPr>
        <w:t>管辖区</w:t>
      </w:r>
      <w:r w:rsidRPr="00FA1E96">
        <w:rPr>
          <w:rFonts w:hint="eastAsia"/>
          <w:sz w:val="24"/>
          <w:szCs w:val="24"/>
          <w:lang w:val="zh-CN" w:eastAsia="zh-CN"/>
        </w:rPr>
        <w:t>在此类</w:t>
      </w:r>
      <w:r w:rsidR="00387E82" w:rsidRPr="00FA1E96">
        <w:rPr>
          <w:rFonts w:hint="eastAsia"/>
          <w:sz w:val="24"/>
          <w:szCs w:val="24"/>
          <w:lang w:val="zh-CN" w:eastAsia="zh-CN"/>
        </w:rPr>
        <w:t>门槛</w:t>
      </w:r>
      <w:r w:rsidRPr="00FA1E96">
        <w:rPr>
          <w:rFonts w:hint="eastAsia"/>
          <w:sz w:val="24"/>
          <w:szCs w:val="24"/>
          <w:lang w:val="zh-CN" w:eastAsia="zh-CN"/>
        </w:rPr>
        <w:t>方面存在差异，有时差异很大，这些</w:t>
      </w:r>
      <w:r w:rsidR="00387E82" w:rsidRPr="00FA1E96">
        <w:rPr>
          <w:rFonts w:hint="eastAsia"/>
          <w:sz w:val="24"/>
          <w:szCs w:val="24"/>
          <w:lang w:val="zh-CN" w:eastAsia="zh-CN"/>
        </w:rPr>
        <w:t>门槛</w:t>
      </w:r>
      <w:r w:rsidRPr="00FA1E96">
        <w:rPr>
          <w:rFonts w:hint="eastAsia"/>
          <w:sz w:val="24"/>
          <w:szCs w:val="24"/>
          <w:lang w:val="zh-CN" w:eastAsia="zh-CN"/>
        </w:rPr>
        <w:t>与各国国情及相应的中小型企业保护方式密切相关。</w:t>
      </w:r>
      <w:r w:rsidR="0075625F" w:rsidRPr="00FA1E96">
        <w:rPr>
          <w:rFonts w:hint="eastAsia"/>
          <w:sz w:val="24"/>
          <w:szCs w:val="24"/>
          <w:lang w:val="zh-CN" w:eastAsia="zh-CN"/>
        </w:rPr>
        <w:t>该</w:t>
      </w:r>
      <w:r w:rsidRPr="00FA1E96">
        <w:rPr>
          <w:rFonts w:hint="eastAsia"/>
          <w:sz w:val="24"/>
          <w:szCs w:val="24"/>
          <w:lang w:val="zh-CN" w:eastAsia="zh-CN"/>
        </w:rPr>
        <w:t>决定草案反映了这些观察结果</w:t>
      </w:r>
      <w:r w:rsidR="003137A9" w:rsidRPr="00FA1E96">
        <w:rPr>
          <w:rFonts w:hint="eastAsia"/>
          <w:sz w:val="24"/>
          <w:szCs w:val="24"/>
          <w:lang w:val="zh-CN" w:eastAsia="zh-CN"/>
        </w:rPr>
        <w:t>。</w:t>
      </w:r>
    </w:p>
    <w:p w14:paraId="53D165F7" w14:textId="7196D5F0" w:rsidR="00D060D3" w:rsidRPr="00FA1E96" w:rsidRDefault="00D060D3" w:rsidP="00D356F4">
      <w:pPr>
        <w:pStyle w:val="CBDNormalNumber"/>
        <w:overflowPunct w:val="0"/>
        <w:rPr>
          <w:sz w:val="24"/>
          <w:szCs w:val="24"/>
          <w:lang w:eastAsia="zh-CN"/>
        </w:rPr>
      </w:pPr>
      <w:r w:rsidRPr="00FA1E96">
        <w:rPr>
          <w:rFonts w:hint="eastAsia"/>
          <w:sz w:val="24"/>
          <w:szCs w:val="24"/>
          <w:lang w:val="zh-CN" w:eastAsia="zh-CN"/>
        </w:rPr>
        <w:t>根据该研究报告，所有已确定的公司若完全遵守，每年将</w:t>
      </w:r>
      <w:r w:rsidR="00EA2701" w:rsidRPr="00FA1E96">
        <w:rPr>
          <w:rFonts w:hint="eastAsia"/>
          <w:sz w:val="24"/>
          <w:szCs w:val="24"/>
          <w:lang w:val="zh-CN" w:eastAsia="zh-CN"/>
        </w:rPr>
        <w:t>带来</w:t>
      </w:r>
      <w:r w:rsidRPr="00FA1E96">
        <w:rPr>
          <w:rFonts w:hint="eastAsia"/>
          <w:sz w:val="24"/>
          <w:szCs w:val="24"/>
          <w:lang w:val="zh-CN" w:eastAsia="zh-CN"/>
        </w:rPr>
        <w:t>36.5</w:t>
      </w:r>
      <w:r w:rsidRPr="00FA1E96">
        <w:rPr>
          <w:rFonts w:hint="eastAsia"/>
          <w:sz w:val="24"/>
          <w:szCs w:val="24"/>
          <w:lang w:val="zh-CN" w:eastAsia="zh-CN"/>
        </w:rPr>
        <w:t>亿美元。对</w:t>
      </w:r>
      <w:r w:rsidR="005A451E" w:rsidRPr="00FA1E96">
        <w:rPr>
          <w:rFonts w:hint="eastAsia"/>
          <w:sz w:val="24"/>
          <w:szCs w:val="24"/>
          <w:lang w:val="zh-CN" w:eastAsia="zh-CN"/>
        </w:rPr>
        <w:t>行业</w:t>
      </w:r>
      <w:r w:rsidRPr="00FA1E96">
        <w:rPr>
          <w:rFonts w:hint="eastAsia"/>
          <w:sz w:val="24"/>
          <w:szCs w:val="24"/>
          <w:lang w:val="zh-CN" w:eastAsia="zh-CN"/>
        </w:rPr>
        <w:t>层面的参与情况、公司所有权结构以及遗传资源数字序列信息利用强度进行调整后（模拟基于产品的</w:t>
      </w:r>
      <w:r w:rsidR="00057A1E">
        <w:rPr>
          <w:rFonts w:hint="eastAsia"/>
          <w:sz w:val="24"/>
          <w:szCs w:val="24"/>
          <w:lang w:val="zh-CN" w:eastAsia="zh-CN"/>
        </w:rPr>
        <w:t>缴款</w:t>
      </w:r>
      <w:r w:rsidRPr="00FA1E96">
        <w:rPr>
          <w:rFonts w:hint="eastAsia"/>
          <w:sz w:val="24"/>
          <w:szCs w:val="24"/>
          <w:lang w:val="zh-CN" w:eastAsia="zh-CN"/>
        </w:rPr>
        <w:t>计算），得出的核心估计数为每年</w:t>
      </w:r>
      <w:r w:rsidRPr="00FA1E96">
        <w:rPr>
          <w:rFonts w:hint="eastAsia"/>
          <w:sz w:val="24"/>
          <w:szCs w:val="24"/>
          <w:lang w:val="zh-CN" w:eastAsia="zh-CN"/>
        </w:rPr>
        <w:t>9.29</w:t>
      </w:r>
      <w:r w:rsidRPr="00FA1E96">
        <w:rPr>
          <w:rFonts w:hint="eastAsia"/>
          <w:sz w:val="24"/>
          <w:szCs w:val="24"/>
          <w:lang w:val="zh-CN" w:eastAsia="zh-CN"/>
        </w:rPr>
        <w:t>亿美元。此外，若参与率达到与卡利基金最相似的财务机制——</w:t>
      </w:r>
      <w:r w:rsidR="004B008C" w:rsidRPr="00FA1E96">
        <w:rPr>
          <w:rFonts w:hint="eastAsia"/>
          <w:sz w:val="24"/>
          <w:szCs w:val="24"/>
          <w:lang w:val="zh-CN" w:eastAsia="zh-CN"/>
        </w:rPr>
        <w:t>《</w:t>
      </w:r>
      <w:r w:rsidRPr="00FA1E96">
        <w:rPr>
          <w:rFonts w:hint="eastAsia"/>
          <w:sz w:val="24"/>
          <w:szCs w:val="24"/>
          <w:lang w:val="zh-CN" w:eastAsia="zh-CN"/>
        </w:rPr>
        <w:t>粮食和农业植物遗传资源国际条约</w:t>
      </w:r>
      <w:r w:rsidR="004B008C" w:rsidRPr="00FA1E96">
        <w:rPr>
          <w:rFonts w:hint="eastAsia"/>
          <w:sz w:val="24"/>
          <w:szCs w:val="24"/>
          <w:lang w:val="zh-CN" w:eastAsia="zh-CN"/>
        </w:rPr>
        <w:t>》</w:t>
      </w:r>
      <w:r w:rsidRPr="00FA1E96">
        <w:rPr>
          <w:rFonts w:hint="eastAsia"/>
          <w:sz w:val="24"/>
          <w:szCs w:val="24"/>
          <w:lang w:val="zh-CN" w:eastAsia="zh-CN"/>
        </w:rPr>
        <w:t>获取和惠益分享多边系统——所观察到的水平，则每年将</w:t>
      </w:r>
      <w:r w:rsidR="0089225A" w:rsidRPr="00FA1E96">
        <w:rPr>
          <w:rFonts w:hint="eastAsia"/>
          <w:sz w:val="24"/>
          <w:szCs w:val="24"/>
          <w:lang w:val="zh-CN" w:eastAsia="zh-CN"/>
        </w:rPr>
        <w:t>带来</w:t>
      </w:r>
      <w:r w:rsidRPr="00FA1E96">
        <w:rPr>
          <w:rFonts w:hint="eastAsia"/>
          <w:sz w:val="24"/>
          <w:szCs w:val="24"/>
          <w:lang w:val="zh-CN" w:eastAsia="zh-CN"/>
        </w:rPr>
        <w:t>500</w:t>
      </w:r>
      <w:r w:rsidRPr="00FA1E96">
        <w:rPr>
          <w:rFonts w:hint="eastAsia"/>
          <w:sz w:val="24"/>
          <w:szCs w:val="24"/>
          <w:lang w:val="zh-CN" w:eastAsia="zh-CN"/>
        </w:rPr>
        <w:t>万美元的</w:t>
      </w:r>
      <w:r w:rsidR="00057A1E">
        <w:rPr>
          <w:rFonts w:hint="eastAsia"/>
          <w:sz w:val="24"/>
          <w:szCs w:val="24"/>
          <w:lang w:val="zh-CN" w:eastAsia="zh-CN"/>
        </w:rPr>
        <w:t>缴款</w:t>
      </w:r>
      <w:r w:rsidRPr="00FA1E96">
        <w:rPr>
          <w:rFonts w:hint="eastAsia"/>
          <w:sz w:val="24"/>
          <w:szCs w:val="24"/>
          <w:lang w:val="zh-CN" w:eastAsia="zh-CN"/>
        </w:rPr>
        <w:t>，这表明与</w:t>
      </w:r>
      <w:r w:rsidR="00057A1E">
        <w:rPr>
          <w:rFonts w:hint="eastAsia"/>
          <w:sz w:val="24"/>
          <w:szCs w:val="24"/>
          <w:lang w:val="zh-CN" w:eastAsia="zh-CN"/>
        </w:rPr>
        <w:t>缴款</w:t>
      </w:r>
      <w:r w:rsidRPr="00FA1E96">
        <w:rPr>
          <w:rFonts w:hint="eastAsia"/>
          <w:sz w:val="24"/>
          <w:szCs w:val="24"/>
          <w:lang w:val="zh-CN" w:eastAsia="zh-CN"/>
        </w:rPr>
        <w:t>率相比，参与对于推动卡利基金的收入潜力具有重要作用。研究报告中指出，参与不仅可能受到</w:t>
      </w:r>
      <w:r w:rsidR="00057A1E">
        <w:rPr>
          <w:rFonts w:hint="eastAsia"/>
          <w:sz w:val="24"/>
          <w:szCs w:val="24"/>
          <w:lang w:val="zh-CN" w:eastAsia="zh-CN"/>
        </w:rPr>
        <w:t>缴款</w:t>
      </w:r>
      <w:r w:rsidRPr="00FA1E96">
        <w:rPr>
          <w:rFonts w:hint="eastAsia"/>
          <w:sz w:val="24"/>
          <w:szCs w:val="24"/>
          <w:lang w:val="zh-CN" w:eastAsia="zh-CN"/>
        </w:rPr>
        <w:t>率的影响，还可能受到卡利基金</w:t>
      </w:r>
      <w:r w:rsidR="00B82ED3" w:rsidRPr="00FA1E96">
        <w:rPr>
          <w:rFonts w:hint="eastAsia"/>
          <w:sz w:val="24"/>
          <w:szCs w:val="24"/>
          <w:lang w:val="zh-CN" w:eastAsia="zh-CN"/>
        </w:rPr>
        <w:t>未</w:t>
      </w:r>
      <w:r w:rsidR="00305533" w:rsidRPr="00FA1E96">
        <w:rPr>
          <w:rFonts w:hint="eastAsia"/>
          <w:sz w:val="24"/>
          <w:szCs w:val="24"/>
          <w:lang w:val="zh-CN" w:eastAsia="zh-CN"/>
        </w:rPr>
        <w:t>解</w:t>
      </w:r>
      <w:r w:rsidR="00B82ED3" w:rsidRPr="00FA1E96">
        <w:rPr>
          <w:rFonts w:hint="eastAsia"/>
          <w:sz w:val="24"/>
          <w:szCs w:val="24"/>
          <w:lang w:val="zh-CN" w:eastAsia="zh-CN"/>
        </w:rPr>
        <w:t>决</w:t>
      </w:r>
      <w:r w:rsidRPr="00FA1E96">
        <w:rPr>
          <w:rFonts w:hint="eastAsia"/>
          <w:sz w:val="24"/>
          <w:szCs w:val="24"/>
          <w:lang w:val="zh-CN" w:eastAsia="zh-CN"/>
        </w:rPr>
        <w:t>的设计特征的影响，例如卡利基金证书的法律效力、围绕遗传资源数字序列信息利用的信</w:t>
      </w:r>
      <w:r w:rsidRPr="00FA1E96">
        <w:rPr>
          <w:rFonts w:hint="eastAsia"/>
          <w:sz w:val="24"/>
          <w:szCs w:val="24"/>
          <w:lang w:val="zh-CN" w:eastAsia="zh-CN"/>
        </w:rPr>
        <w:lastRenderedPageBreak/>
        <w:t>息不对称以及</w:t>
      </w:r>
      <w:r w:rsidR="00057A1E">
        <w:rPr>
          <w:rFonts w:hint="eastAsia"/>
          <w:sz w:val="24"/>
          <w:szCs w:val="24"/>
          <w:lang w:val="zh-CN" w:eastAsia="zh-CN"/>
        </w:rPr>
        <w:t>缴款</w:t>
      </w:r>
      <w:r w:rsidRPr="00FA1E96">
        <w:rPr>
          <w:rFonts w:hint="eastAsia"/>
          <w:sz w:val="24"/>
          <w:szCs w:val="24"/>
          <w:lang w:val="zh-CN" w:eastAsia="zh-CN"/>
        </w:rPr>
        <w:t>范围的明确性。研究报告强调，</w:t>
      </w:r>
      <w:r w:rsidR="00387E82" w:rsidRPr="00FA1E96">
        <w:rPr>
          <w:rFonts w:hint="eastAsia"/>
          <w:sz w:val="24"/>
          <w:szCs w:val="24"/>
          <w:lang w:val="zh-CN" w:eastAsia="zh-CN"/>
        </w:rPr>
        <w:t>门槛</w:t>
      </w:r>
      <w:r w:rsidRPr="00FA1E96">
        <w:rPr>
          <w:rFonts w:hint="eastAsia"/>
          <w:sz w:val="24"/>
          <w:szCs w:val="24"/>
          <w:lang w:val="zh-CN" w:eastAsia="zh-CN"/>
        </w:rPr>
        <w:t>的变化对总体收入的影响可能有限，凸显出</w:t>
      </w:r>
      <w:r w:rsidR="00387E82" w:rsidRPr="00FA1E96">
        <w:rPr>
          <w:rFonts w:hint="eastAsia"/>
          <w:sz w:val="24"/>
          <w:szCs w:val="24"/>
          <w:lang w:val="zh-CN" w:eastAsia="zh-CN"/>
        </w:rPr>
        <w:t>门槛</w:t>
      </w:r>
      <w:r w:rsidRPr="00FA1E96">
        <w:rPr>
          <w:rFonts w:hint="eastAsia"/>
          <w:sz w:val="24"/>
          <w:szCs w:val="24"/>
          <w:lang w:val="zh-CN" w:eastAsia="zh-CN"/>
        </w:rPr>
        <w:t>与治理设计的相关性大于与财务成果的相关性。</w:t>
      </w:r>
    </w:p>
    <w:p w14:paraId="23418B6D" w14:textId="373D9A7E" w:rsidR="00D060D3" w:rsidRPr="00FA1E96" w:rsidRDefault="00D060D3" w:rsidP="00D356F4">
      <w:pPr>
        <w:pStyle w:val="CBDNormalNumber"/>
        <w:overflowPunct w:val="0"/>
        <w:rPr>
          <w:sz w:val="24"/>
          <w:szCs w:val="24"/>
          <w:lang w:eastAsia="zh-CN"/>
        </w:rPr>
      </w:pPr>
      <w:r w:rsidRPr="00FA1E96">
        <w:rPr>
          <w:rFonts w:hint="eastAsia"/>
          <w:sz w:val="24"/>
          <w:szCs w:val="24"/>
          <w:lang w:val="zh-CN" w:eastAsia="zh-CN"/>
        </w:rPr>
        <w:t>此外，研究报告表明，制药行业和少数管辖范围的参与显著影响了</w:t>
      </w:r>
      <w:r w:rsidR="00057A1E">
        <w:rPr>
          <w:rFonts w:hint="eastAsia"/>
          <w:sz w:val="24"/>
          <w:szCs w:val="24"/>
          <w:lang w:val="zh-CN" w:eastAsia="zh-CN"/>
        </w:rPr>
        <w:t>缴款</w:t>
      </w:r>
      <w:r w:rsidRPr="00FA1E96">
        <w:rPr>
          <w:rFonts w:hint="eastAsia"/>
          <w:sz w:val="24"/>
          <w:szCs w:val="24"/>
          <w:lang w:val="zh-CN" w:eastAsia="zh-CN"/>
        </w:rPr>
        <w:t>的可预测性。因此，可以考虑在</w:t>
      </w:r>
      <w:r w:rsidR="006C56C0" w:rsidRPr="00FA1E96">
        <w:rPr>
          <w:rFonts w:hint="eastAsia"/>
          <w:sz w:val="24"/>
          <w:szCs w:val="24"/>
          <w:lang w:val="zh-CN" w:eastAsia="zh-CN"/>
        </w:rPr>
        <w:t>卡利</w:t>
      </w:r>
      <w:r w:rsidRPr="00FA1E96">
        <w:rPr>
          <w:rFonts w:hint="eastAsia"/>
          <w:sz w:val="24"/>
          <w:szCs w:val="24"/>
          <w:lang w:val="zh-CN" w:eastAsia="zh-CN"/>
        </w:rPr>
        <w:t>基金实施的初期阶段采取有针对性的资本化战略。</w:t>
      </w:r>
    </w:p>
    <w:p w14:paraId="1C90FAE4" w14:textId="02AE7C43" w:rsidR="00074DB2" w:rsidRPr="00FA1E96" w:rsidRDefault="00D060D3" w:rsidP="00D356F4">
      <w:pPr>
        <w:pStyle w:val="CBDNormalNumber"/>
        <w:overflowPunct w:val="0"/>
        <w:rPr>
          <w:sz w:val="24"/>
          <w:szCs w:val="24"/>
          <w:lang w:val="zh-CN" w:eastAsia="zh-CN"/>
        </w:rPr>
      </w:pPr>
      <w:r w:rsidRPr="00FA1E96">
        <w:rPr>
          <w:rFonts w:hint="eastAsia"/>
          <w:sz w:val="24"/>
          <w:szCs w:val="24"/>
          <w:lang w:val="zh-CN" w:eastAsia="zh-CN"/>
        </w:rPr>
        <w:t>最后，对于第</w:t>
      </w:r>
      <w:hyperlink r:id="rId24" w:history="1">
        <w:r w:rsidR="003E5FA4" w:rsidRPr="00FA1E96">
          <w:rPr>
            <w:rStyle w:val="Hyperlink"/>
            <w:rFonts w:hint="eastAsia"/>
            <w:sz w:val="24"/>
            <w:szCs w:val="24"/>
            <w:lang w:val="zh-CN" w:eastAsia="zh-CN"/>
          </w:rPr>
          <w:t>16/2</w:t>
        </w:r>
      </w:hyperlink>
      <w:r w:rsidRPr="00FA1E96">
        <w:rPr>
          <w:rFonts w:hint="eastAsia"/>
          <w:sz w:val="24"/>
          <w:szCs w:val="24"/>
          <w:lang w:val="zh-CN" w:eastAsia="zh-CN"/>
        </w:rPr>
        <w:t>号决定附件附文一所列七个行业中的五个，特别是那些与信息和人工智能有关、在全球范围分布且属于研究密集型的行业，向卡利基金</w:t>
      </w:r>
      <w:r w:rsidR="00057A1E">
        <w:rPr>
          <w:rFonts w:hint="eastAsia"/>
          <w:sz w:val="24"/>
          <w:szCs w:val="24"/>
          <w:lang w:val="zh-CN" w:eastAsia="zh-CN"/>
        </w:rPr>
        <w:t>缴款</w:t>
      </w:r>
      <w:r w:rsidRPr="00FA1E96">
        <w:rPr>
          <w:rFonts w:hint="eastAsia"/>
          <w:sz w:val="24"/>
          <w:szCs w:val="24"/>
          <w:lang w:val="zh-CN" w:eastAsia="zh-CN"/>
        </w:rPr>
        <w:t>对实体竞争力的影响，主要</w:t>
      </w:r>
      <w:r w:rsidR="00E36844" w:rsidRPr="00FA1E96">
        <w:rPr>
          <w:rFonts w:hint="eastAsia"/>
          <w:sz w:val="24"/>
          <w:szCs w:val="24"/>
          <w:lang w:val="zh-CN" w:eastAsia="zh-CN"/>
        </w:rPr>
        <w:t>源于</w:t>
      </w:r>
      <w:r w:rsidRPr="00FA1E96">
        <w:rPr>
          <w:rFonts w:hint="eastAsia"/>
          <w:sz w:val="24"/>
          <w:szCs w:val="24"/>
          <w:lang w:val="zh-CN" w:eastAsia="zh-CN"/>
        </w:rPr>
        <w:t>总部设在缔约方的公司与总部设在非缔约方的公司之间的不对称</w:t>
      </w:r>
      <w:r w:rsidR="001C72A4" w:rsidRPr="00FA1E96">
        <w:rPr>
          <w:rFonts w:hint="eastAsia"/>
          <w:sz w:val="24"/>
          <w:szCs w:val="24"/>
          <w:lang w:val="zh-CN" w:eastAsia="zh-CN"/>
        </w:rPr>
        <w:t>性</w:t>
      </w:r>
      <w:r w:rsidRPr="00FA1E96">
        <w:rPr>
          <w:rFonts w:hint="eastAsia"/>
          <w:sz w:val="24"/>
          <w:szCs w:val="24"/>
          <w:lang w:val="zh-CN" w:eastAsia="zh-CN"/>
        </w:rPr>
        <w:t>以及对其</w:t>
      </w:r>
      <w:r w:rsidR="00DA1C10" w:rsidRPr="00FA1E96">
        <w:rPr>
          <w:rFonts w:hint="eastAsia"/>
          <w:sz w:val="24"/>
          <w:szCs w:val="24"/>
          <w:lang w:val="zh-CN" w:eastAsia="zh-CN"/>
        </w:rPr>
        <w:t>向该基金</w:t>
      </w:r>
      <w:r w:rsidR="00057A1E">
        <w:rPr>
          <w:rFonts w:hint="eastAsia"/>
          <w:sz w:val="24"/>
          <w:szCs w:val="24"/>
          <w:lang w:val="zh-CN" w:eastAsia="zh-CN"/>
        </w:rPr>
        <w:t>缴款</w:t>
      </w:r>
      <w:r w:rsidRPr="00FA1E96">
        <w:rPr>
          <w:rFonts w:hint="eastAsia"/>
          <w:sz w:val="24"/>
          <w:szCs w:val="24"/>
          <w:lang w:val="zh-CN" w:eastAsia="zh-CN"/>
        </w:rPr>
        <w:t>的不同预期。</w:t>
      </w:r>
    </w:p>
    <w:p w14:paraId="0BEFE81A" w14:textId="79E67949" w:rsidR="00D060D3" w:rsidRPr="00FA1E96" w:rsidRDefault="00D060D3" w:rsidP="00D356F4">
      <w:pPr>
        <w:pStyle w:val="CBDNormalNumber"/>
        <w:overflowPunct w:val="0"/>
        <w:rPr>
          <w:sz w:val="24"/>
          <w:szCs w:val="24"/>
          <w:lang w:eastAsia="zh-CN"/>
        </w:rPr>
      </w:pPr>
      <w:r w:rsidRPr="00FA1E96">
        <w:rPr>
          <w:rFonts w:hint="eastAsia"/>
          <w:sz w:val="24"/>
          <w:szCs w:val="24"/>
          <w:lang w:val="zh-CN" w:eastAsia="zh-CN"/>
        </w:rPr>
        <w:t>该研究报告的一项总体发现是，可通过</w:t>
      </w:r>
      <w:r w:rsidR="002B7E86" w:rsidRPr="00FA1E96">
        <w:rPr>
          <w:rFonts w:hint="eastAsia"/>
          <w:sz w:val="24"/>
          <w:szCs w:val="24"/>
          <w:lang w:val="zh-CN" w:eastAsia="zh-CN"/>
        </w:rPr>
        <w:t>多种方式切实鼓励实体参与卡利基金并向该基金</w:t>
      </w:r>
      <w:r w:rsidR="00057A1E">
        <w:rPr>
          <w:rFonts w:hint="eastAsia"/>
          <w:sz w:val="24"/>
          <w:szCs w:val="24"/>
          <w:lang w:val="zh-CN" w:eastAsia="zh-CN"/>
        </w:rPr>
        <w:t>缴款</w:t>
      </w:r>
      <w:r w:rsidR="002B7E86" w:rsidRPr="00FA1E96">
        <w:rPr>
          <w:rFonts w:hint="eastAsia"/>
          <w:sz w:val="24"/>
          <w:szCs w:val="24"/>
          <w:lang w:val="zh-CN" w:eastAsia="zh-CN"/>
        </w:rPr>
        <w:t>，除其他外，包括</w:t>
      </w:r>
      <w:r w:rsidRPr="00FA1E96">
        <w:rPr>
          <w:rFonts w:hint="eastAsia"/>
          <w:sz w:val="24"/>
          <w:szCs w:val="24"/>
          <w:lang w:val="zh-CN" w:eastAsia="zh-CN"/>
        </w:rPr>
        <w:t>确保卡利基金证书的法律价值、与其他国际论坛协作以避免</w:t>
      </w:r>
      <w:r w:rsidR="00057A1E">
        <w:rPr>
          <w:rFonts w:hint="eastAsia"/>
          <w:sz w:val="24"/>
          <w:szCs w:val="24"/>
          <w:lang w:val="zh-CN" w:eastAsia="zh-CN"/>
        </w:rPr>
        <w:t>缴款</w:t>
      </w:r>
      <w:r w:rsidR="00EF02D1" w:rsidRPr="00FA1E96">
        <w:rPr>
          <w:rFonts w:ascii="Arial" w:hAnsi="Arial" w:cs="Arial" w:hint="eastAsia"/>
          <w:color w:val="000000"/>
          <w:sz w:val="24"/>
          <w:szCs w:val="24"/>
          <w:shd w:val="clear" w:color="auto" w:fill="FFFFFF"/>
          <w:lang w:eastAsia="zh-CN"/>
        </w:rPr>
        <w:t>重复出资</w:t>
      </w:r>
      <w:r w:rsidRPr="00FA1E96">
        <w:rPr>
          <w:rFonts w:hint="eastAsia"/>
          <w:sz w:val="24"/>
          <w:szCs w:val="24"/>
          <w:lang w:val="zh-CN" w:eastAsia="zh-CN"/>
        </w:rPr>
        <w:t>、明确遗传资源数字序列信息直接和间接利用的含义</w:t>
      </w:r>
      <w:r w:rsidR="007C5A0D" w:rsidRPr="00FA1E96">
        <w:rPr>
          <w:rFonts w:hint="eastAsia"/>
          <w:sz w:val="24"/>
          <w:szCs w:val="24"/>
          <w:lang w:val="zh-CN" w:eastAsia="zh-CN"/>
        </w:rPr>
        <w:t>，</w:t>
      </w:r>
      <w:r w:rsidRPr="00FA1E96">
        <w:rPr>
          <w:rFonts w:hint="eastAsia"/>
          <w:sz w:val="24"/>
          <w:szCs w:val="24"/>
          <w:lang w:val="zh-CN" w:eastAsia="zh-CN"/>
        </w:rPr>
        <w:t>以及对初创企业逐步适用</w:t>
      </w:r>
      <w:r w:rsidR="00057A1E">
        <w:rPr>
          <w:rFonts w:hint="eastAsia"/>
          <w:sz w:val="24"/>
          <w:szCs w:val="24"/>
          <w:lang w:val="zh-CN" w:eastAsia="zh-CN"/>
        </w:rPr>
        <w:t>缴款</w:t>
      </w:r>
      <w:r w:rsidRPr="00FA1E96">
        <w:rPr>
          <w:rFonts w:hint="eastAsia"/>
          <w:sz w:val="24"/>
          <w:szCs w:val="24"/>
          <w:lang w:val="zh-CN" w:eastAsia="zh-CN"/>
        </w:rPr>
        <w:t>率等。</w:t>
      </w:r>
      <w:r w:rsidR="008D4292" w:rsidRPr="00FA1E96">
        <w:rPr>
          <w:rFonts w:hint="eastAsia"/>
          <w:sz w:val="24"/>
          <w:szCs w:val="24"/>
          <w:lang w:val="zh-CN" w:eastAsia="zh-CN"/>
        </w:rPr>
        <w:t>该研究</w:t>
      </w:r>
      <w:r w:rsidRPr="00FA1E96">
        <w:rPr>
          <w:rFonts w:hint="eastAsia"/>
          <w:sz w:val="24"/>
          <w:szCs w:val="24"/>
          <w:lang w:val="zh-CN" w:eastAsia="zh-CN"/>
        </w:rPr>
        <w:t>发现已反映在决定草案中。</w:t>
      </w:r>
    </w:p>
    <w:p w14:paraId="69B95B71" w14:textId="77777777" w:rsidR="00141250" w:rsidRPr="00FA1E96" w:rsidRDefault="00D060D3" w:rsidP="00D356F4">
      <w:pPr>
        <w:pStyle w:val="CBDNormalNumber"/>
        <w:overflowPunct w:val="0"/>
        <w:rPr>
          <w:sz w:val="24"/>
          <w:szCs w:val="24"/>
          <w:lang w:eastAsia="zh-CN"/>
        </w:rPr>
      </w:pPr>
      <w:r w:rsidRPr="00FA1E96">
        <w:rPr>
          <w:rFonts w:hint="eastAsia"/>
          <w:sz w:val="24"/>
          <w:szCs w:val="24"/>
          <w:lang w:val="zh-CN" w:eastAsia="zh-CN"/>
        </w:rPr>
        <w:t>合并研究的综合成果见</w:t>
      </w:r>
      <w:hyperlink r:id="rId25" w:history="1">
        <w:r w:rsidR="003E5FA4" w:rsidRPr="00FA1E96">
          <w:rPr>
            <w:rStyle w:val="Hyperlink"/>
            <w:rFonts w:hint="eastAsia"/>
            <w:sz w:val="24"/>
            <w:szCs w:val="24"/>
            <w:lang w:eastAsia="zh-CN"/>
          </w:rPr>
          <w:t>CBD/COP/17/6/Add.3</w:t>
        </w:r>
      </w:hyperlink>
      <w:r w:rsidRPr="00FA1E96">
        <w:rPr>
          <w:rFonts w:hint="eastAsia"/>
          <w:sz w:val="24"/>
          <w:szCs w:val="24"/>
          <w:lang w:val="zh-CN" w:eastAsia="zh-CN"/>
        </w:rPr>
        <w:t>号文件，完整研究报告载于一份资料文件中。</w:t>
      </w:r>
    </w:p>
    <w:p w14:paraId="35C4D5BC" w14:textId="248A1EBB" w:rsidR="007C1C87" w:rsidRPr="00556C42" w:rsidRDefault="007C1C87" w:rsidP="00D356F4">
      <w:pPr>
        <w:pStyle w:val="CBDH1"/>
        <w:overflowPunct w:val="0"/>
        <w:rPr>
          <w:lang w:eastAsia="zh-CN"/>
        </w:rPr>
      </w:pPr>
      <w:r>
        <w:rPr>
          <w:rFonts w:hint="eastAsia"/>
          <w:lang w:eastAsia="zh-CN"/>
        </w:rPr>
        <w:t>三</w:t>
      </w:r>
      <w:r w:rsidR="00D269E7">
        <w:rPr>
          <w:rFonts w:hint="eastAsia"/>
          <w:lang w:eastAsia="zh-CN"/>
        </w:rPr>
        <w:t>.</w:t>
      </w:r>
      <w:r w:rsidR="00404C01">
        <w:rPr>
          <w:rFonts w:hint="eastAsia"/>
          <w:lang w:eastAsia="zh-CN"/>
        </w:rPr>
        <w:tab/>
      </w:r>
      <w:r>
        <w:rPr>
          <w:rFonts w:hint="eastAsia"/>
          <w:lang w:eastAsia="zh-CN"/>
        </w:rPr>
        <w:t>分配方法</w:t>
      </w:r>
    </w:p>
    <w:p w14:paraId="5B486317" w14:textId="77777777" w:rsidR="007C1C87" w:rsidRPr="00FA1E96" w:rsidRDefault="007C1C87" w:rsidP="00D356F4">
      <w:pPr>
        <w:pStyle w:val="CBDNormalNumber"/>
        <w:overflowPunct w:val="0"/>
        <w:rPr>
          <w:sz w:val="24"/>
          <w:szCs w:val="24"/>
          <w:lang w:eastAsia="zh-CN"/>
        </w:rPr>
      </w:pPr>
      <w:r w:rsidRPr="00FA1E96">
        <w:rPr>
          <w:rFonts w:hint="eastAsia"/>
          <w:sz w:val="24"/>
          <w:szCs w:val="24"/>
          <w:lang w:eastAsia="zh-CN"/>
        </w:rPr>
        <w:t>分配方法问题特设技术专家组拟定的卡利基金分配方法侧重于向缔约方分配资金，但也可考虑利用此分配方法向土著人民和地方社区分配资金。</w:t>
      </w:r>
    </w:p>
    <w:p w14:paraId="030E4260" w14:textId="77777777" w:rsidR="007C1C87" w:rsidRPr="00FA1E96" w:rsidRDefault="007C1C87" w:rsidP="00D356F4">
      <w:pPr>
        <w:pStyle w:val="CBDNormalNumber"/>
        <w:keepNext/>
        <w:overflowPunct w:val="0"/>
        <w:rPr>
          <w:sz w:val="24"/>
          <w:szCs w:val="24"/>
          <w:lang w:eastAsia="zh-CN"/>
        </w:rPr>
      </w:pPr>
      <w:r w:rsidRPr="00FA1E96">
        <w:rPr>
          <w:rFonts w:hint="eastAsia"/>
          <w:sz w:val="24"/>
          <w:szCs w:val="24"/>
          <w:lang w:eastAsia="zh-CN"/>
        </w:rPr>
        <w:t>专家组商定了以下分配方法设计原则，以期奠定其工作基础，并为今后可能开展的分配公式修订工作提供参考：</w:t>
      </w:r>
    </w:p>
    <w:p w14:paraId="55150842" w14:textId="77777777" w:rsidR="007C1C87" w:rsidRPr="00FA1E96" w:rsidRDefault="007C1C87" w:rsidP="00D356F4">
      <w:pPr>
        <w:pStyle w:val="CBDNormalNumber"/>
        <w:numPr>
          <w:ilvl w:val="1"/>
          <w:numId w:val="6"/>
        </w:numPr>
        <w:overflowPunct w:val="0"/>
        <w:rPr>
          <w:sz w:val="24"/>
          <w:szCs w:val="24"/>
          <w:lang w:eastAsia="zh-CN"/>
        </w:rPr>
      </w:pPr>
      <w:r w:rsidRPr="00FA1E96">
        <w:rPr>
          <w:rFonts w:hint="eastAsia"/>
          <w:sz w:val="24"/>
          <w:szCs w:val="24"/>
          <w:lang w:eastAsia="zh-CN"/>
        </w:rPr>
        <w:t>公正、公平和影响力，以确保发展中国家缔约方，特别是最不发达国家、小岛屿发展中国家和经济转型国家缔约方，以及土著人民和地方社区，包括这些社区中的妇女和青年，获得公平和公正的分配结果；</w:t>
      </w:r>
    </w:p>
    <w:p w14:paraId="22EAAC57" w14:textId="77777777" w:rsidR="007C1C87" w:rsidRPr="00FA1E96" w:rsidRDefault="007C1C87" w:rsidP="00D356F4">
      <w:pPr>
        <w:pStyle w:val="CBDNormalNumber"/>
        <w:numPr>
          <w:ilvl w:val="1"/>
          <w:numId w:val="6"/>
        </w:numPr>
        <w:overflowPunct w:val="0"/>
        <w:rPr>
          <w:sz w:val="24"/>
          <w:szCs w:val="24"/>
          <w:lang w:eastAsia="zh-CN"/>
        </w:rPr>
      </w:pPr>
      <w:r w:rsidRPr="00FA1E96">
        <w:rPr>
          <w:rFonts w:hint="eastAsia"/>
          <w:sz w:val="24"/>
          <w:szCs w:val="24"/>
          <w:lang w:eastAsia="zh-CN"/>
        </w:rPr>
        <w:t>效率，使用现有的数据集和指标，特别是缔约方大会已经通过的数据集和指标，同时适当顾及可持续性和保管责任；</w:t>
      </w:r>
    </w:p>
    <w:p w14:paraId="1FE2405A" w14:textId="77777777" w:rsidR="007C1C87" w:rsidRPr="00FA1E96" w:rsidRDefault="007C1C87" w:rsidP="00D356F4">
      <w:pPr>
        <w:pStyle w:val="CBDNormalNumber"/>
        <w:numPr>
          <w:ilvl w:val="1"/>
          <w:numId w:val="6"/>
        </w:numPr>
        <w:overflowPunct w:val="0"/>
        <w:rPr>
          <w:sz w:val="24"/>
          <w:szCs w:val="24"/>
          <w:lang w:eastAsia="zh-CN"/>
        </w:rPr>
      </w:pPr>
      <w:r w:rsidRPr="00FA1E96">
        <w:rPr>
          <w:rFonts w:hint="eastAsia"/>
          <w:sz w:val="24"/>
          <w:szCs w:val="24"/>
          <w:lang w:eastAsia="zh-CN"/>
        </w:rPr>
        <w:t>透明度和信心，以确保数据开放，并使分配方法易于向各方说明；</w:t>
      </w:r>
    </w:p>
    <w:p w14:paraId="45CB7FC2" w14:textId="77777777" w:rsidR="007C1C87" w:rsidRPr="00FA1E96" w:rsidRDefault="007C1C87" w:rsidP="00D356F4">
      <w:pPr>
        <w:pStyle w:val="CBDNormalNumber"/>
        <w:numPr>
          <w:ilvl w:val="1"/>
          <w:numId w:val="6"/>
        </w:numPr>
        <w:overflowPunct w:val="0"/>
        <w:rPr>
          <w:sz w:val="24"/>
          <w:szCs w:val="24"/>
          <w:lang w:eastAsia="zh-CN"/>
        </w:rPr>
      </w:pPr>
      <w:r w:rsidRPr="00FA1E96">
        <w:rPr>
          <w:rFonts w:hint="eastAsia"/>
          <w:sz w:val="24"/>
          <w:szCs w:val="24"/>
          <w:lang w:eastAsia="zh-CN"/>
        </w:rPr>
        <w:t>可扩展性和长期</w:t>
      </w:r>
      <w:r w:rsidRPr="00FA1E96">
        <w:rPr>
          <w:rFonts w:hint="eastAsia"/>
          <w:sz w:val="24"/>
          <w:szCs w:val="24"/>
          <w:lang w:val="en-US" w:eastAsia="zh-CN"/>
        </w:rPr>
        <w:t>适</w:t>
      </w:r>
      <w:r w:rsidRPr="00FA1E96">
        <w:rPr>
          <w:rFonts w:hint="eastAsia"/>
          <w:sz w:val="24"/>
          <w:szCs w:val="24"/>
          <w:lang w:eastAsia="zh-CN"/>
        </w:rPr>
        <w:t>用性，以便在今后修订和调整分配方法时，将基金的发展和变化考虑在内。</w:t>
      </w:r>
    </w:p>
    <w:p w14:paraId="2AF0FEC2" w14:textId="6A3F80C4" w:rsidR="007C1C87" w:rsidRPr="00FA1E96" w:rsidRDefault="007C1C87" w:rsidP="00D356F4">
      <w:pPr>
        <w:pStyle w:val="CBDNormalNumber"/>
        <w:overflowPunct w:val="0"/>
        <w:rPr>
          <w:sz w:val="24"/>
          <w:szCs w:val="24"/>
          <w:lang w:eastAsia="zh-CN"/>
        </w:rPr>
      </w:pPr>
      <w:r w:rsidRPr="00FA1E96">
        <w:rPr>
          <w:rFonts w:hint="eastAsia"/>
          <w:sz w:val="24"/>
          <w:szCs w:val="24"/>
          <w:lang w:eastAsia="zh-CN"/>
        </w:rPr>
        <w:t>分配方法本身以第</w:t>
      </w:r>
      <w:hyperlink r:id="rId26" w:history="1">
        <w:r w:rsidRPr="00FA1E96">
          <w:rPr>
            <w:rStyle w:val="Hyperlink"/>
            <w:rFonts w:hint="eastAsia"/>
            <w:sz w:val="24"/>
            <w:szCs w:val="24"/>
            <w:lang w:eastAsia="zh-CN"/>
          </w:rPr>
          <w:t>16/2</w:t>
        </w:r>
      </w:hyperlink>
      <w:r w:rsidRPr="00FA1E96">
        <w:rPr>
          <w:rFonts w:hint="eastAsia"/>
          <w:sz w:val="24"/>
          <w:szCs w:val="24"/>
          <w:lang w:eastAsia="zh-CN"/>
        </w:rPr>
        <w:t>号决定附件附文二所列的三项标准为基础。专家组增列了一项</w:t>
      </w:r>
      <w:r w:rsidR="007C72B8" w:rsidRPr="00FA1E96">
        <w:rPr>
          <w:rFonts w:hint="eastAsia"/>
          <w:sz w:val="24"/>
          <w:szCs w:val="24"/>
          <w:lang w:eastAsia="zh-CN"/>
        </w:rPr>
        <w:t>评判</w:t>
      </w:r>
      <w:r w:rsidRPr="00FA1E96">
        <w:rPr>
          <w:rFonts w:hint="eastAsia"/>
          <w:sz w:val="24"/>
          <w:szCs w:val="24"/>
          <w:lang w:eastAsia="zh-CN"/>
        </w:rPr>
        <w:t>标准，以承认传统知识以及土著人民和地方社区对生物多样性保护和可持续利用作出的贡献。这一做法旨在适当考虑该决定附件第</w:t>
      </w:r>
      <w:r w:rsidRPr="00FA1E96">
        <w:rPr>
          <w:rFonts w:hint="eastAsia"/>
          <w:sz w:val="24"/>
          <w:szCs w:val="24"/>
          <w:lang w:eastAsia="zh-CN"/>
        </w:rPr>
        <w:t>18</w:t>
      </w:r>
      <w:r w:rsidRPr="00FA1E96">
        <w:rPr>
          <w:rFonts w:hint="eastAsia"/>
          <w:sz w:val="24"/>
          <w:szCs w:val="24"/>
          <w:lang w:eastAsia="zh-CN"/>
        </w:rPr>
        <w:t>段所述的供资目的，以及利用分配方法向土著人民和地方社区分配资金的可能性。公式第一步增加了一个公平基数，将面向缔约方的资金流中一半的可用资金平均分配给所有受援国政府，再对其余一半资金适用基于标准的分配公式</w:t>
      </w:r>
      <w:r w:rsidRPr="00FA1E96">
        <w:rPr>
          <w:rFonts w:ascii="SimSun" w:hAnsi="SimSun" w:cs="SimSun" w:hint="eastAsia"/>
          <w:sz w:val="24"/>
          <w:szCs w:val="24"/>
          <w:lang w:eastAsia="zh-CN"/>
        </w:rPr>
        <w:t>。</w:t>
      </w:r>
      <w:r w:rsidRPr="00FA1E96">
        <w:rPr>
          <w:rFonts w:hint="eastAsia"/>
          <w:sz w:val="24"/>
          <w:szCs w:val="24"/>
          <w:lang w:eastAsia="zh-CN"/>
        </w:rPr>
        <w:t>专家组确定的四项标准是：</w:t>
      </w:r>
      <w:r w:rsidRPr="00FA1E96">
        <w:rPr>
          <w:rFonts w:hint="eastAsia"/>
          <w:sz w:val="24"/>
          <w:szCs w:val="24"/>
          <w:lang w:eastAsia="zh-CN"/>
        </w:rPr>
        <w:t>(a)</w:t>
      </w:r>
      <w:r w:rsidRPr="00FA1E96">
        <w:rPr>
          <w:rFonts w:hint="eastAsia"/>
          <w:sz w:val="24"/>
          <w:szCs w:val="24"/>
          <w:lang w:eastAsia="zh-CN"/>
        </w:rPr>
        <w:t>生物多样性的丰富性；</w:t>
      </w:r>
      <w:r w:rsidRPr="00FA1E96">
        <w:rPr>
          <w:rFonts w:hint="eastAsia"/>
          <w:sz w:val="24"/>
          <w:szCs w:val="24"/>
          <w:lang w:eastAsia="zh-CN"/>
        </w:rPr>
        <w:t>(b)</w:t>
      </w:r>
      <w:r w:rsidRPr="00FA1E96">
        <w:rPr>
          <w:rFonts w:hint="eastAsia"/>
          <w:sz w:val="24"/>
          <w:szCs w:val="24"/>
          <w:lang w:eastAsia="zh-CN"/>
        </w:rPr>
        <w:t>公共数据库中遗传资源的地理来源；</w:t>
      </w:r>
      <w:r w:rsidRPr="00FA1E96">
        <w:rPr>
          <w:rFonts w:hint="eastAsia"/>
          <w:sz w:val="24"/>
          <w:szCs w:val="24"/>
          <w:lang w:eastAsia="zh-CN"/>
        </w:rPr>
        <w:t>(c)</w:t>
      </w:r>
      <w:r w:rsidRPr="00FA1E96">
        <w:rPr>
          <w:rFonts w:hint="eastAsia"/>
          <w:sz w:val="24"/>
          <w:szCs w:val="24"/>
          <w:lang w:eastAsia="zh-CN"/>
        </w:rPr>
        <w:t>保护和可持续利用生物多样性的能力需求；和</w:t>
      </w:r>
      <w:r w:rsidRPr="00FA1E96">
        <w:rPr>
          <w:rFonts w:hint="eastAsia"/>
          <w:sz w:val="24"/>
          <w:szCs w:val="24"/>
          <w:lang w:eastAsia="zh-CN"/>
        </w:rPr>
        <w:t>(d)</w:t>
      </w:r>
      <w:r w:rsidRPr="00FA1E96">
        <w:rPr>
          <w:rFonts w:hint="eastAsia"/>
          <w:sz w:val="24"/>
          <w:szCs w:val="24"/>
          <w:lang w:eastAsia="zh-CN"/>
        </w:rPr>
        <w:t>与传统知识以及土著人民和地方社区有关的措施。除</w:t>
      </w:r>
      <w:r w:rsidR="00E84950" w:rsidRPr="00FA1E96">
        <w:rPr>
          <w:rFonts w:hint="eastAsia"/>
          <w:sz w:val="24"/>
          <w:szCs w:val="24"/>
          <w:lang w:eastAsia="zh-CN"/>
        </w:rPr>
        <w:t>评判</w:t>
      </w:r>
      <w:r w:rsidRPr="00FA1E96">
        <w:rPr>
          <w:rFonts w:hint="eastAsia"/>
          <w:sz w:val="24"/>
          <w:szCs w:val="24"/>
          <w:lang w:eastAsia="zh-CN"/>
        </w:rPr>
        <w:t>标准</w:t>
      </w:r>
      <w:r w:rsidRPr="00FA1E96">
        <w:rPr>
          <w:rFonts w:hint="eastAsia"/>
          <w:sz w:val="24"/>
          <w:szCs w:val="24"/>
          <w:lang w:eastAsia="zh-CN"/>
        </w:rPr>
        <w:t>(b)</w:t>
      </w:r>
      <w:r w:rsidRPr="00FA1E96">
        <w:rPr>
          <w:rFonts w:hint="eastAsia"/>
          <w:sz w:val="24"/>
          <w:szCs w:val="24"/>
          <w:lang w:eastAsia="zh-CN"/>
        </w:rPr>
        <w:t>外，各项标准至少有部分数据源易于在全球一级获得。一些数据源尚不可使用，因此在公式中插入了占位符，将来这些数据一旦可用，即会纳入公式。此外，</w:t>
      </w:r>
      <w:r w:rsidR="00E84950" w:rsidRPr="00FA1E96">
        <w:rPr>
          <w:rFonts w:hint="eastAsia"/>
          <w:sz w:val="24"/>
          <w:szCs w:val="24"/>
          <w:lang w:eastAsia="zh-CN"/>
        </w:rPr>
        <w:t>评判</w:t>
      </w:r>
      <w:r w:rsidRPr="00FA1E96">
        <w:rPr>
          <w:rFonts w:hint="eastAsia"/>
          <w:sz w:val="24"/>
          <w:szCs w:val="24"/>
          <w:lang w:eastAsia="zh-CN"/>
        </w:rPr>
        <w:t>标准</w:t>
      </w:r>
      <w:r w:rsidRPr="00FA1E96">
        <w:rPr>
          <w:rFonts w:hint="eastAsia"/>
          <w:sz w:val="24"/>
          <w:szCs w:val="24"/>
          <w:lang w:eastAsia="zh-CN"/>
        </w:rPr>
        <w:t>(c)</w:t>
      </w:r>
      <w:r w:rsidRPr="00FA1E96">
        <w:rPr>
          <w:rFonts w:hint="eastAsia"/>
          <w:sz w:val="24"/>
          <w:szCs w:val="24"/>
          <w:lang w:eastAsia="zh-CN"/>
        </w:rPr>
        <w:t>有两个不同的选项：选项</w:t>
      </w:r>
      <w:r w:rsidRPr="00FA1E96">
        <w:rPr>
          <w:rFonts w:hint="eastAsia"/>
          <w:sz w:val="24"/>
          <w:szCs w:val="24"/>
          <w:lang w:eastAsia="zh-CN"/>
        </w:rPr>
        <w:t>1</w:t>
      </w:r>
      <w:r w:rsidRPr="00FA1E96">
        <w:rPr>
          <w:rFonts w:hint="eastAsia"/>
          <w:sz w:val="24"/>
          <w:szCs w:val="24"/>
          <w:lang w:eastAsia="zh-CN"/>
        </w:rPr>
        <w:t>，采用以倒置的人均国民总收入为基础</w:t>
      </w:r>
      <w:r w:rsidRPr="00FA1E96">
        <w:rPr>
          <w:rFonts w:hint="eastAsia"/>
          <w:sz w:val="24"/>
          <w:szCs w:val="24"/>
          <w:lang w:val="en-US" w:eastAsia="zh-CN"/>
        </w:rPr>
        <w:lastRenderedPageBreak/>
        <w:t>的指标</w:t>
      </w:r>
      <w:r w:rsidRPr="00FA1E96">
        <w:rPr>
          <w:rFonts w:hint="eastAsia"/>
          <w:sz w:val="24"/>
          <w:szCs w:val="24"/>
          <w:lang w:eastAsia="zh-CN"/>
        </w:rPr>
        <w:t>，并对小岛屿发展中国家和最不发达国家的均等基线作出调整；选项</w:t>
      </w:r>
      <w:r w:rsidRPr="00FA1E96">
        <w:rPr>
          <w:rFonts w:hint="eastAsia"/>
          <w:sz w:val="24"/>
          <w:szCs w:val="24"/>
          <w:lang w:eastAsia="zh-CN"/>
        </w:rPr>
        <w:t>2</w:t>
      </w:r>
      <w:r w:rsidRPr="00FA1E96">
        <w:rPr>
          <w:rFonts w:hint="eastAsia"/>
          <w:sz w:val="24"/>
          <w:szCs w:val="24"/>
          <w:lang w:eastAsia="zh-CN"/>
        </w:rPr>
        <w:t>，将各国按照倒置的联合国分摊比额表划分为六个档次，</w:t>
      </w:r>
      <w:r w:rsidRPr="00FA1E96">
        <w:rPr>
          <w:rStyle w:val="FootnoteReference"/>
          <w:rFonts w:hint="eastAsia"/>
          <w:sz w:val="24"/>
          <w:szCs w:val="24"/>
          <w:lang w:eastAsia="zh-CN"/>
        </w:rPr>
        <w:footnoteReference w:id="4"/>
      </w:r>
      <w:r w:rsidRPr="00FA1E96">
        <w:rPr>
          <w:rFonts w:hint="eastAsia"/>
          <w:sz w:val="24"/>
          <w:szCs w:val="24"/>
          <w:lang w:eastAsia="zh-CN"/>
        </w:rPr>
        <w:t>并为每个档次赋予权重，以缩小结果与倒置后总体平均值的偏差。与选项</w:t>
      </w:r>
      <w:r w:rsidRPr="00FA1E96">
        <w:rPr>
          <w:rFonts w:hint="eastAsia"/>
          <w:sz w:val="24"/>
          <w:szCs w:val="24"/>
          <w:lang w:eastAsia="zh-CN"/>
        </w:rPr>
        <w:t>1</w:t>
      </w:r>
      <w:r w:rsidRPr="00FA1E96">
        <w:rPr>
          <w:rFonts w:hint="eastAsia"/>
          <w:sz w:val="24"/>
          <w:szCs w:val="24"/>
          <w:lang w:eastAsia="zh-CN"/>
        </w:rPr>
        <w:t>相比，选项</w:t>
      </w:r>
      <w:r w:rsidRPr="00FA1E96">
        <w:rPr>
          <w:rFonts w:hint="eastAsia"/>
          <w:sz w:val="24"/>
          <w:szCs w:val="24"/>
          <w:lang w:eastAsia="zh-CN"/>
        </w:rPr>
        <w:t>2</w:t>
      </w:r>
      <w:r w:rsidRPr="00FA1E96">
        <w:rPr>
          <w:rFonts w:hint="eastAsia"/>
          <w:sz w:val="24"/>
          <w:szCs w:val="24"/>
          <w:lang w:eastAsia="zh-CN"/>
        </w:rPr>
        <w:t>造成的各国政府之间资金分配的差异较小。</w:t>
      </w:r>
    </w:p>
    <w:p w14:paraId="7A6A24AD" w14:textId="77777777" w:rsidR="007C1C87" w:rsidRPr="00FA1E96" w:rsidRDefault="007C1C87" w:rsidP="00D356F4">
      <w:pPr>
        <w:pStyle w:val="CBDNormalNumber"/>
        <w:keepNext/>
        <w:overflowPunct w:val="0"/>
        <w:rPr>
          <w:spacing w:val="4"/>
          <w:sz w:val="24"/>
          <w:szCs w:val="24"/>
          <w:lang w:eastAsia="zh-CN"/>
        </w:rPr>
      </w:pPr>
      <w:r w:rsidRPr="00FA1E96">
        <w:rPr>
          <w:rFonts w:hint="eastAsia"/>
          <w:spacing w:val="4"/>
          <w:sz w:val="24"/>
          <w:szCs w:val="24"/>
          <w:lang w:eastAsia="zh-CN"/>
        </w:rPr>
        <w:t>为在今后进一步完善当前的分配办法，专家组还提出了若干工作建议，具体如下：</w:t>
      </w:r>
    </w:p>
    <w:p w14:paraId="550DF6A2" w14:textId="1D986100" w:rsidR="007C1C87" w:rsidRPr="00FA1E96" w:rsidRDefault="007C1C87" w:rsidP="00D356F4">
      <w:pPr>
        <w:pStyle w:val="CBDNormalNumber"/>
        <w:numPr>
          <w:ilvl w:val="1"/>
          <w:numId w:val="6"/>
        </w:numPr>
        <w:overflowPunct w:val="0"/>
        <w:rPr>
          <w:sz w:val="24"/>
          <w:szCs w:val="24"/>
          <w:lang w:eastAsia="zh-CN"/>
        </w:rPr>
      </w:pPr>
      <w:r w:rsidRPr="00FA1E96">
        <w:rPr>
          <w:rFonts w:hint="eastAsia"/>
          <w:sz w:val="24"/>
          <w:szCs w:val="24"/>
          <w:lang w:eastAsia="zh-CN"/>
        </w:rPr>
        <w:t>短期而言：数据源一旦可用，应立即更新；应制定一个工作方案，为</w:t>
      </w:r>
      <w:r w:rsidR="00791401" w:rsidRPr="00FA1E96">
        <w:rPr>
          <w:rFonts w:hint="eastAsia"/>
          <w:sz w:val="24"/>
          <w:szCs w:val="24"/>
          <w:lang w:eastAsia="zh-CN"/>
        </w:rPr>
        <w:t>评判</w:t>
      </w:r>
      <w:r w:rsidRPr="00FA1E96">
        <w:rPr>
          <w:rFonts w:hint="eastAsia"/>
          <w:sz w:val="24"/>
          <w:szCs w:val="24"/>
          <w:lang w:eastAsia="zh-CN"/>
        </w:rPr>
        <w:t>标准</w:t>
      </w:r>
      <w:r w:rsidRPr="00FA1E96">
        <w:rPr>
          <w:rFonts w:hint="eastAsia"/>
          <w:sz w:val="24"/>
          <w:szCs w:val="24"/>
          <w:lang w:eastAsia="zh-CN"/>
        </w:rPr>
        <w:t>(b)</w:t>
      </w:r>
      <w:r w:rsidRPr="00FA1E96">
        <w:rPr>
          <w:rFonts w:hint="eastAsia"/>
          <w:sz w:val="24"/>
          <w:szCs w:val="24"/>
          <w:lang w:eastAsia="zh-CN"/>
        </w:rPr>
        <w:t>设定指标；还应探索将国家生物多样性战略和</w:t>
      </w:r>
      <w:bookmarkStart w:id="0" w:name="OLE_LINK37"/>
      <w:bookmarkStart w:id="1" w:name="OLE_LINK38"/>
      <w:r w:rsidRPr="00FA1E96">
        <w:rPr>
          <w:rFonts w:hint="eastAsia"/>
          <w:sz w:val="24"/>
          <w:szCs w:val="24"/>
          <w:lang w:eastAsia="zh-CN"/>
        </w:rPr>
        <w:t>行动计划</w:t>
      </w:r>
      <w:bookmarkEnd w:id="0"/>
      <w:bookmarkEnd w:id="1"/>
      <w:r w:rsidRPr="00FA1E96">
        <w:rPr>
          <w:rFonts w:hint="eastAsia"/>
          <w:sz w:val="24"/>
          <w:szCs w:val="24"/>
          <w:lang w:eastAsia="zh-CN"/>
        </w:rPr>
        <w:t>以及国家能力发展计划用作某些标准的数据源的可能性；</w:t>
      </w:r>
    </w:p>
    <w:p w14:paraId="13BB9360" w14:textId="6B167707" w:rsidR="007C1C87" w:rsidRPr="00FA1E96" w:rsidRDefault="007C1C87" w:rsidP="00D356F4">
      <w:pPr>
        <w:pStyle w:val="CBDNormalNumber"/>
        <w:numPr>
          <w:ilvl w:val="1"/>
          <w:numId w:val="6"/>
        </w:numPr>
        <w:overflowPunct w:val="0"/>
        <w:rPr>
          <w:sz w:val="24"/>
          <w:szCs w:val="24"/>
          <w:lang w:eastAsia="zh-CN"/>
        </w:rPr>
      </w:pPr>
      <w:r w:rsidRPr="00FA1E96">
        <w:rPr>
          <w:rFonts w:hint="eastAsia"/>
          <w:sz w:val="24"/>
          <w:szCs w:val="24"/>
          <w:lang w:eastAsia="zh-CN"/>
        </w:rPr>
        <w:t>长期而言：一旦有新的数据或经更新的数据可用，应立即审查各项标准的权重；应制定标准，用于评估所有评判</w:t>
      </w:r>
      <w:r w:rsidR="00932778" w:rsidRPr="00FA1E96">
        <w:rPr>
          <w:rFonts w:hint="eastAsia"/>
          <w:sz w:val="24"/>
          <w:szCs w:val="24"/>
          <w:lang w:eastAsia="zh-CN"/>
        </w:rPr>
        <w:t>标准</w:t>
      </w:r>
      <w:r w:rsidRPr="00FA1E96">
        <w:rPr>
          <w:rFonts w:hint="eastAsia"/>
          <w:sz w:val="24"/>
          <w:szCs w:val="24"/>
          <w:lang w:eastAsia="zh-CN"/>
        </w:rPr>
        <w:t>的可靠性；应对分配公式进行敏感性分析；应考虑数据治理和保管问题；还应开发一个涵盖所有评判</w:t>
      </w:r>
      <w:r w:rsidR="00932778" w:rsidRPr="00FA1E96">
        <w:rPr>
          <w:rFonts w:hint="eastAsia"/>
          <w:sz w:val="24"/>
          <w:szCs w:val="24"/>
          <w:lang w:eastAsia="zh-CN"/>
        </w:rPr>
        <w:t>标准</w:t>
      </w:r>
      <w:r w:rsidRPr="00FA1E96">
        <w:rPr>
          <w:rFonts w:hint="eastAsia"/>
          <w:sz w:val="24"/>
          <w:szCs w:val="24"/>
          <w:lang w:eastAsia="zh-CN"/>
        </w:rPr>
        <w:t>的生物多样性管护指数。</w:t>
      </w:r>
    </w:p>
    <w:p w14:paraId="1E117A48" w14:textId="77777777" w:rsidR="007C1C87" w:rsidRPr="009F575B" w:rsidRDefault="007C1C87" w:rsidP="00D356F4">
      <w:pPr>
        <w:pStyle w:val="CBDNormalNumber"/>
        <w:overflowPunct w:val="0"/>
        <w:rPr>
          <w:spacing w:val="-4"/>
          <w:sz w:val="24"/>
          <w:szCs w:val="24"/>
          <w:lang w:eastAsia="zh-CN"/>
        </w:rPr>
      </w:pPr>
      <w:r w:rsidRPr="009F575B">
        <w:rPr>
          <w:rFonts w:hint="eastAsia"/>
          <w:spacing w:val="-4"/>
          <w:sz w:val="24"/>
          <w:szCs w:val="24"/>
          <w:lang w:eastAsia="zh-CN"/>
        </w:rPr>
        <w:t>专家组拟定的分配方法载于</w:t>
      </w:r>
      <w:hyperlink r:id="rId27" w:history="1">
        <w:r w:rsidRPr="009F575B">
          <w:rPr>
            <w:rStyle w:val="Hyperlink"/>
            <w:rFonts w:hint="eastAsia"/>
            <w:spacing w:val="-4"/>
            <w:sz w:val="24"/>
            <w:szCs w:val="24"/>
            <w:lang w:eastAsia="zh-CN"/>
          </w:rPr>
          <w:t>CBD/COP/17/6/Add.2</w:t>
        </w:r>
      </w:hyperlink>
      <w:r w:rsidRPr="009F575B">
        <w:rPr>
          <w:rFonts w:hint="eastAsia"/>
          <w:spacing w:val="-4"/>
          <w:sz w:val="24"/>
          <w:szCs w:val="24"/>
          <w:lang w:eastAsia="zh-CN"/>
        </w:rPr>
        <w:t>号文件，供缔约方大会审议。</w:t>
      </w:r>
    </w:p>
    <w:p w14:paraId="1F8CDCAC" w14:textId="77777777" w:rsidR="007C1C87" w:rsidRPr="00556C42" w:rsidRDefault="007C1C87" w:rsidP="00D356F4">
      <w:pPr>
        <w:pStyle w:val="CBDH1"/>
        <w:overflowPunct w:val="0"/>
        <w:rPr>
          <w:lang w:eastAsia="zh-CN"/>
        </w:rPr>
      </w:pPr>
      <w:r>
        <w:rPr>
          <w:rFonts w:hint="eastAsia"/>
          <w:lang w:eastAsia="zh-CN"/>
        </w:rPr>
        <w:t>四</w:t>
      </w:r>
      <w:r>
        <w:rPr>
          <w:rFonts w:hint="eastAsia"/>
          <w:lang w:eastAsia="zh-CN"/>
        </w:rPr>
        <w:t>.</w:t>
      </w:r>
      <w:r>
        <w:rPr>
          <w:rFonts w:hint="eastAsia"/>
          <w:lang w:eastAsia="zh-CN"/>
        </w:rPr>
        <w:tab/>
      </w:r>
      <w:r w:rsidRPr="00283939">
        <w:rPr>
          <w:rFonts w:hint="eastAsia"/>
          <w:lang w:eastAsia="zh-CN"/>
        </w:rPr>
        <w:t>指导委员会的报告</w:t>
      </w:r>
    </w:p>
    <w:p w14:paraId="79FA7504" w14:textId="77777777" w:rsidR="007C1C87" w:rsidRPr="001F6FBE" w:rsidRDefault="007C1C87" w:rsidP="00D356F4">
      <w:pPr>
        <w:pStyle w:val="CBDNormalNumber"/>
        <w:overflowPunct w:val="0"/>
        <w:rPr>
          <w:sz w:val="24"/>
          <w:szCs w:val="24"/>
          <w:lang w:eastAsia="zh-CN"/>
        </w:rPr>
      </w:pPr>
      <w:r w:rsidRPr="001F6FBE">
        <w:rPr>
          <w:rFonts w:hint="eastAsia"/>
          <w:sz w:val="24"/>
          <w:szCs w:val="24"/>
          <w:lang w:eastAsia="zh-CN"/>
        </w:rPr>
        <w:t>在执行秘书通过第</w:t>
      </w:r>
      <w:hyperlink r:id="rId28" w:history="1">
        <w:r w:rsidRPr="001F6FBE">
          <w:rPr>
            <w:rStyle w:val="Hyperlink0"/>
            <w:rFonts w:eastAsia="Arial Unicode MS" w:hint="eastAsia"/>
            <w:sz w:val="24"/>
            <w:szCs w:val="24"/>
            <w:lang w:eastAsia="zh-CN"/>
          </w:rPr>
          <w:t>2024-113</w:t>
        </w:r>
      </w:hyperlink>
      <w:r w:rsidRPr="001F6FBE">
        <w:rPr>
          <w:rFonts w:hint="eastAsia"/>
          <w:sz w:val="24"/>
          <w:szCs w:val="24"/>
          <w:lang w:eastAsia="zh-CN"/>
        </w:rPr>
        <w:t>号通知启动成员提名程序后，包括卡利基金在内的多边机制指导委员会投入运作。所选的候选人经缔约方大会主席团核准，指导委员会的构成则通过第</w:t>
      </w:r>
      <w:hyperlink r:id="rId29" w:history="1">
        <w:r w:rsidRPr="001F6FBE">
          <w:rPr>
            <w:rStyle w:val="Hyperlink0"/>
            <w:rFonts w:eastAsia="Arial Unicode MS" w:hint="eastAsia"/>
            <w:sz w:val="24"/>
            <w:szCs w:val="24"/>
            <w:lang w:eastAsia="zh-CN"/>
          </w:rPr>
          <w:t>2025-043</w:t>
        </w:r>
      </w:hyperlink>
      <w:r w:rsidRPr="001F6FBE">
        <w:rPr>
          <w:rFonts w:hint="eastAsia"/>
          <w:sz w:val="24"/>
          <w:szCs w:val="24"/>
          <w:lang w:eastAsia="zh-CN"/>
        </w:rPr>
        <w:t>号和第</w:t>
      </w:r>
      <w:hyperlink r:id="rId30" w:history="1">
        <w:r w:rsidRPr="001F6FBE">
          <w:rPr>
            <w:rStyle w:val="Hyperlink0"/>
            <w:rFonts w:eastAsia="Arial Unicode MS" w:hint="eastAsia"/>
            <w:sz w:val="24"/>
            <w:szCs w:val="24"/>
            <w:lang w:eastAsia="zh-CN"/>
          </w:rPr>
          <w:t>2025-091</w:t>
        </w:r>
      </w:hyperlink>
      <w:r w:rsidRPr="001F6FBE">
        <w:rPr>
          <w:rFonts w:hint="eastAsia"/>
          <w:sz w:val="24"/>
          <w:szCs w:val="24"/>
          <w:lang w:eastAsia="zh-CN"/>
        </w:rPr>
        <w:t>号通知公布。指导委员会已举行了四次会议：</w:t>
      </w:r>
      <w:r w:rsidRPr="001F6FBE">
        <w:rPr>
          <w:rFonts w:hint="eastAsia"/>
          <w:sz w:val="24"/>
          <w:szCs w:val="24"/>
          <w:lang w:eastAsia="zh-CN"/>
        </w:rPr>
        <w:t>2025</w:t>
      </w:r>
      <w:r w:rsidRPr="001F6FBE">
        <w:rPr>
          <w:rFonts w:hint="eastAsia"/>
          <w:sz w:val="24"/>
          <w:szCs w:val="24"/>
          <w:lang w:eastAsia="zh-CN"/>
        </w:rPr>
        <w:t>年</w:t>
      </w:r>
      <w:r w:rsidRPr="001F6FBE">
        <w:rPr>
          <w:rFonts w:hint="eastAsia"/>
          <w:sz w:val="24"/>
          <w:szCs w:val="24"/>
          <w:lang w:eastAsia="zh-CN"/>
        </w:rPr>
        <w:t>6</w:t>
      </w:r>
      <w:r w:rsidRPr="001F6FBE">
        <w:rPr>
          <w:rFonts w:hint="eastAsia"/>
          <w:sz w:val="24"/>
          <w:szCs w:val="24"/>
          <w:lang w:eastAsia="zh-CN"/>
        </w:rPr>
        <w:t>月</w:t>
      </w:r>
      <w:r w:rsidRPr="001F6FBE">
        <w:rPr>
          <w:rFonts w:hint="eastAsia"/>
          <w:sz w:val="24"/>
          <w:szCs w:val="24"/>
          <w:lang w:eastAsia="zh-CN"/>
        </w:rPr>
        <w:t>16</w:t>
      </w:r>
      <w:r w:rsidRPr="001F6FBE">
        <w:rPr>
          <w:rFonts w:hint="eastAsia"/>
          <w:sz w:val="24"/>
          <w:szCs w:val="24"/>
          <w:lang w:eastAsia="zh-CN"/>
        </w:rPr>
        <w:t>日至</w:t>
      </w:r>
      <w:r w:rsidRPr="001F6FBE">
        <w:rPr>
          <w:rFonts w:hint="eastAsia"/>
          <w:sz w:val="24"/>
          <w:szCs w:val="24"/>
          <w:lang w:eastAsia="zh-CN"/>
        </w:rPr>
        <w:t>18</w:t>
      </w:r>
      <w:r w:rsidRPr="001F6FBE">
        <w:rPr>
          <w:rFonts w:hint="eastAsia"/>
          <w:sz w:val="24"/>
          <w:szCs w:val="24"/>
          <w:lang w:eastAsia="zh-CN"/>
        </w:rPr>
        <w:t>日（线上）、</w:t>
      </w:r>
      <w:r w:rsidRPr="001F6FBE">
        <w:rPr>
          <w:rFonts w:hint="eastAsia"/>
          <w:sz w:val="24"/>
          <w:szCs w:val="24"/>
          <w:lang w:eastAsia="zh-CN"/>
        </w:rPr>
        <w:t>2025</w:t>
      </w:r>
      <w:r w:rsidRPr="001F6FBE">
        <w:rPr>
          <w:rFonts w:hint="eastAsia"/>
          <w:sz w:val="24"/>
          <w:szCs w:val="24"/>
          <w:lang w:eastAsia="zh-CN"/>
        </w:rPr>
        <w:t>年</w:t>
      </w:r>
      <w:r w:rsidRPr="001F6FBE">
        <w:rPr>
          <w:rFonts w:hint="eastAsia"/>
          <w:sz w:val="24"/>
          <w:szCs w:val="24"/>
          <w:lang w:eastAsia="zh-CN"/>
        </w:rPr>
        <w:t>9</w:t>
      </w:r>
      <w:r w:rsidRPr="001F6FBE">
        <w:rPr>
          <w:rFonts w:hint="eastAsia"/>
          <w:sz w:val="24"/>
          <w:szCs w:val="24"/>
          <w:lang w:eastAsia="zh-CN"/>
        </w:rPr>
        <w:t>月</w:t>
      </w:r>
      <w:r w:rsidRPr="001F6FBE">
        <w:rPr>
          <w:rFonts w:hint="eastAsia"/>
          <w:sz w:val="24"/>
          <w:szCs w:val="24"/>
          <w:lang w:eastAsia="zh-CN"/>
        </w:rPr>
        <w:t>3</w:t>
      </w:r>
      <w:r w:rsidRPr="001F6FBE">
        <w:rPr>
          <w:rFonts w:hint="eastAsia"/>
          <w:sz w:val="24"/>
          <w:szCs w:val="24"/>
          <w:lang w:eastAsia="zh-CN"/>
        </w:rPr>
        <w:t>日至</w:t>
      </w:r>
      <w:r w:rsidRPr="001F6FBE">
        <w:rPr>
          <w:rFonts w:hint="eastAsia"/>
          <w:sz w:val="24"/>
          <w:szCs w:val="24"/>
          <w:lang w:eastAsia="zh-CN"/>
        </w:rPr>
        <w:t>6</w:t>
      </w:r>
      <w:r w:rsidRPr="001F6FBE">
        <w:rPr>
          <w:rFonts w:hint="eastAsia"/>
          <w:sz w:val="24"/>
          <w:szCs w:val="24"/>
          <w:lang w:eastAsia="zh-CN"/>
        </w:rPr>
        <w:t>日（德国波恩）、</w:t>
      </w:r>
      <w:r w:rsidRPr="001F6FBE">
        <w:rPr>
          <w:rFonts w:hint="eastAsia"/>
          <w:sz w:val="24"/>
          <w:szCs w:val="24"/>
          <w:lang w:eastAsia="zh-CN"/>
        </w:rPr>
        <w:t>2026</w:t>
      </w:r>
      <w:r w:rsidRPr="001F6FBE">
        <w:rPr>
          <w:rFonts w:hint="eastAsia"/>
          <w:sz w:val="24"/>
          <w:szCs w:val="24"/>
          <w:lang w:eastAsia="zh-CN"/>
        </w:rPr>
        <w:t>年</w:t>
      </w:r>
      <w:r w:rsidRPr="001F6FBE">
        <w:rPr>
          <w:rFonts w:hint="eastAsia"/>
          <w:sz w:val="24"/>
          <w:szCs w:val="24"/>
          <w:lang w:eastAsia="zh-CN"/>
        </w:rPr>
        <w:t>4</w:t>
      </w:r>
      <w:r w:rsidRPr="001F6FBE">
        <w:rPr>
          <w:rFonts w:hint="eastAsia"/>
          <w:sz w:val="24"/>
          <w:szCs w:val="24"/>
          <w:lang w:eastAsia="zh-CN"/>
        </w:rPr>
        <w:t>月</w:t>
      </w:r>
      <w:r w:rsidRPr="001F6FBE">
        <w:rPr>
          <w:rFonts w:hint="eastAsia"/>
          <w:sz w:val="24"/>
          <w:szCs w:val="24"/>
          <w:lang w:eastAsia="zh-CN"/>
        </w:rPr>
        <w:t>7</w:t>
      </w:r>
      <w:r w:rsidRPr="001F6FBE">
        <w:rPr>
          <w:rFonts w:hint="eastAsia"/>
          <w:sz w:val="24"/>
          <w:szCs w:val="24"/>
          <w:lang w:eastAsia="zh-CN"/>
        </w:rPr>
        <w:t>日至</w:t>
      </w:r>
      <w:r w:rsidRPr="001F6FBE">
        <w:rPr>
          <w:rFonts w:hint="eastAsia"/>
          <w:sz w:val="24"/>
          <w:szCs w:val="24"/>
          <w:lang w:eastAsia="zh-CN"/>
        </w:rPr>
        <w:t>9</w:t>
      </w:r>
      <w:r w:rsidRPr="001F6FBE">
        <w:rPr>
          <w:rFonts w:hint="eastAsia"/>
          <w:sz w:val="24"/>
          <w:szCs w:val="24"/>
          <w:lang w:eastAsia="zh-CN"/>
        </w:rPr>
        <w:t>日（南非开普敦）以及</w:t>
      </w:r>
      <w:r w:rsidRPr="001F6FBE">
        <w:rPr>
          <w:rFonts w:hint="eastAsia"/>
          <w:sz w:val="24"/>
          <w:szCs w:val="24"/>
          <w:lang w:eastAsia="zh-CN"/>
        </w:rPr>
        <w:t>2026</w:t>
      </w:r>
      <w:r w:rsidRPr="001F6FBE">
        <w:rPr>
          <w:rFonts w:hint="eastAsia"/>
          <w:sz w:val="24"/>
          <w:szCs w:val="24"/>
          <w:lang w:eastAsia="zh-CN"/>
        </w:rPr>
        <w:t>年</w:t>
      </w:r>
      <w:r w:rsidRPr="001F6FBE">
        <w:rPr>
          <w:rFonts w:hint="eastAsia"/>
          <w:sz w:val="24"/>
          <w:szCs w:val="24"/>
          <w:lang w:eastAsia="zh-CN"/>
        </w:rPr>
        <w:t>8</w:t>
      </w:r>
      <w:r w:rsidRPr="001F6FBE">
        <w:rPr>
          <w:rFonts w:hint="eastAsia"/>
          <w:sz w:val="24"/>
          <w:szCs w:val="24"/>
          <w:lang w:eastAsia="zh-CN"/>
        </w:rPr>
        <w:t>月</w:t>
      </w:r>
      <w:r w:rsidRPr="001F6FBE">
        <w:rPr>
          <w:rFonts w:hint="eastAsia"/>
          <w:sz w:val="24"/>
          <w:szCs w:val="24"/>
          <w:lang w:eastAsia="zh-CN"/>
        </w:rPr>
        <w:t>31</w:t>
      </w:r>
      <w:r w:rsidRPr="001F6FBE">
        <w:rPr>
          <w:rFonts w:hint="eastAsia"/>
          <w:sz w:val="24"/>
          <w:szCs w:val="24"/>
          <w:lang w:eastAsia="zh-CN"/>
        </w:rPr>
        <w:t>日至</w:t>
      </w:r>
      <w:r w:rsidRPr="001F6FBE">
        <w:rPr>
          <w:rFonts w:hint="eastAsia"/>
          <w:sz w:val="24"/>
          <w:szCs w:val="24"/>
          <w:lang w:eastAsia="zh-CN"/>
        </w:rPr>
        <w:t>9</w:t>
      </w:r>
      <w:r w:rsidRPr="001F6FBE">
        <w:rPr>
          <w:rFonts w:hint="eastAsia"/>
          <w:sz w:val="24"/>
          <w:szCs w:val="24"/>
          <w:lang w:eastAsia="zh-CN"/>
        </w:rPr>
        <w:t>月</w:t>
      </w:r>
      <w:r w:rsidRPr="001F6FBE">
        <w:rPr>
          <w:rFonts w:hint="eastAsia"/>
          <w:sz w:val="24"/>
          <w:szCs w:val="24"/>
          <w:lang w:eastAsia="zh-CN"/>
        </w:rPr>
        <w:t>1</w:t>
      </w:r>
      <w:r w:rsidRPr="001F6FBE">
        <w:rPr>
          <w:rFonts w:hint="eastAsia"/>
          <w:sz w:val="24"/>
          <w:szCs w:val="24"/>
          <w:lang w:eastAsia="zh-CN"/>
        </w:rPr>
        <w:t>日（线上）。所有会议均由缔约方成员中的</w:t>
      </w:r>
      <w:r w:rsidRPr="001F6FBE">
        <w:rPr>
          <w:rFonts w:hint="eastAsia"/>
          <w:sz w:val="24"/>
          <w:szCs w:val="24"/>
          <w:lang w:eastAsia="zh-CN"/>
        </w:rPr>
        <w:t>Nneka Nicholas</w:t>
      </w:r>
      <w:r w:rsidRPr="001F6FBE">
        <w:rPr>
          <w:rFonts w:hint="eastAsia"/>
          <w:sz w:val="24"/>
          <w:szCs w:val="24"/>
          <w:lang w:eastAsia="zh-CN"/>
        </w:rPr>
        <w:t>和联合国合作伙伴中的</w:t>
      </w:r>
      <w:r w:rsidRPr="001F6FBE">
        <w:rPr>
          <w:rFonts w:hint="eastAsia"/>
          <w:sz w:val="24"/>
          <w:szCs w:val="24"/>
          <w:lang w:eastAsia="zh-CN"/>
        </w:rPr>
        <w:t>Astrid Schomaker</w:t>
      </w:r>
      <w:r w:rsidRPr="001F6FBE">
        <w:rPr>
          <w:rFonts w:hint="eastAsia"/>
          <w:sz w:val="24"/>
          <w:szCs w:val="24"/>
          <w:lang w:eastAsia="zh-CN"/>
        </w:rPr>
        <w:t>主持。所有议程和会议记录均可在</w:t>
      </w:r>
      <w:r w:rsidRPr="001F6FBE">
        <w:rPr>
          <w:rFonts w:ascii="SimSun" w:hAnsi="SimSun" w:hint="eastAsia"/>
          <w:sz w:val="24"/>
          <w:szCs w:val="24"/>
          <w:u w:color="0000FF"/>
          <w:lang w:eastAsia="zh-CN"/>
        </w:rPr>
        <w:t>秘书处网站的专设栏目</w:t>
      </w:r>
      <w:r w:rsidRPr="001F6FBE">
        <w:rPr>
          <w:rFonts w:hint="eastAsia"/>
          <w:sz w:val="24"/>
          <w:szCs w:val="24"/>
          <w:lang w:eastAsia="zh-CN"/>
        </w:rPr>
        <w:t>查阅。</w:t>
      </w:r>
      <w:r w:rsidRPr="001F6FBE">
        <w:rPr>
          <w:rStyle w:val="FootnoteReference"/>
          <w:rFonts w:hint="eastAsia"/>
          <w:sz w:val="24"/>
          <w:szCs w:val="24"/>
          <w:lang w:eastAsia="zh-CN"/>
        </w:rPr>
        <w:footnoteReference w:id="5"/>
      </w:r>
    </w:p>
    <w:p w14:paraId="1868260C" w14:textId="77777777" w:rsidR="007C1C87" w:rsidRPr="001F6FBE" w:rsidRDefault="007C1C87" w:rsidP="00D356F4">
      <w:pPr>
        <w:pStyle w:val="CBDNormalNumber"/>
        <w:overflowPunct w:val="0"/>
        <w:rPr>
          <w:sz w:val="24"/>
          <w:szCs w:val="24"/>
          <w:lang w:eastAsia="zh-CN"/>
        </w:rPr>
      </w:pPr>
      <w:r w:rsidRPr="001F6FBE">
        <w:rPr>
          <w:rFonts w:hint="eastAsia"/>
          <w:sz w:val="24"/>
          <w:szCs w:val="24"/>
          <w:lang w:eastAsia="zh-CN"/>
        </w:rPr>
        <w:t>指导委员会的报告载于</w:t>
      </w:r>
      <w:hyperlink r:id="rId31" w:history="1">
        <w:r w:rsidRPr="001F6FBE">
          <w:rPr>
            <w:rStyle w:val="Hyperlink"/>
            <w:rFonts w:hint="eastAsia"/>
            <w:sz w:val="24"/>
            <w:szCs w:val="24"/>
            <w:lang w:eastAsia="zh-CN"/>
          </w:rPr>
          <w:t>CBD/COP/17/6/Add.1</w:t>
        </w:r>
      </w:hyperlink>
      <w:r w:rsidRPr="001F6FBE">
        <w:rPr>
          <w:rFonts w:hint="eastAsia"/>
          <w:sz w:val="24"/>
          <w:szCs w:val="24"/>
          <w:lang w:eastAsia="zh-CN"/>
        </w:rPr>
        <w:t>号文件。</w:t>
      </w:r>
    </w:p>
    <w:p w14:paraId="6E885D1E" w14:textId="77777777" w:rsidR="007C1C87" w:rsidRPr="001F6FBE" w:rsidRDefault="007C1C87" w:rsidP="00D356F4">
      <w:pPr>
        <w:pStyle w:val="CBDNormalNumber"/>
        <w:overflowPunct w:val="0"/>
        <w:rPr>
          <w:sz w:val="24"/>
          <w:szCs w:val="24"/>
          <w:lang w:eastAsia="zh-CN"/>
        </w:rPr>
      </w:pPr>
      <w:r w:rsidRPr="001F6FBE">
        <w:rPr>
          <w:rFonts w:hint="eastAsia"/>
          <w:sz w:val="24"/>
          <w:szCs w:val="24"/>
          <w:lang w:eastAsia="zh-CN"/>
        </w:rPr>
        <w:t>报告第二节介绍了指导委员会和多边机制秘书处的安排，并对两者各自的职责作出了说明，尤其是在目前正在确定多边机制战略方向和各项进程的阶段。本节提供了有关启动卡利基金的信息，并介绍了缔约方大会决定将包括卡利基金在内的多边机制投入运作后，文件拟订和签署、治理安排以及作出决定的相应先后顺序。此外，本节还载有指导委员会会议的详细情况，包括相关资源和签证方面的困难，并概述了卡利基金的缴款和资金发放活动。</w:t>
      </w:r>
    </w:p>
    <w:p w14:paraId="00694209" w14:textId="77777777" w:rsidR="007C1C87" w:rsidRPr="001F6FBE" w:rsidRDefault="007C1C87" w:rsidP="00D356F4">
      <w:pPr>
        <w:pStyle w:val="CBDNormalNumber"/>
        <w:keepNext/>
        <w:overflowPunct w:val="0"/>
        <w:rPr>
          <w:sz w:val="24"/>
          <w:szCs w:val="24"/>
          <w:lang w:eastAsia="zh-CN"/>
        </w:rPr>
      </w:pPr>
      <w:r w:rsidRPr="001F6FBE">
        <w:rPr>
          <w:rFonts w:hint="eastAsia"/>
          <w:sz w:val="24"/>
          <w:szCs w:val="24"/>
          <w:lang w:eastAsia="zh-CN"/>
        </w:rPr>
        <w:t>报告第三节涉及指导委员会的活动，包括：</w:t>
      </w:r>
    </w:p>
    <w:p w14:paraId="611709BE" w14:textId="62A69215" w:rsidR="007C1C87" w:rsidRPr="001F6FBE" w:rsidRDefault="007C1C87" w:rsidP="00D356F4">
      <w:pPr>
        <w:pStyle w:val="CBDNormalNumber"/>
        <w:numPr>
          <w:ilvl w:val="1"/>
          <w:numId w:val="6"/>
        </w:numPr>
        <w:overflowPunct w:val="0"/>
        <w:rPr>
          <w:sz w:val="24"/>
          <w:szCs w:val="24"/>
          <w:lang w:eastAsia="zh-CN"/>
        </w:rPr>
      </w:pPr>
      <w:r w:rsidRPr="001F6FBE">
        <w:rPr>
          <w:rFonts w:hint="eastAsia"/>
          <w:sz w:val="24"/>
          <w:szCs w:val="24"/>
          <w:lang w:eastAsia="zh-CN"/>
        </w:rPr>
        <w:t>监督基金托管方的运作，包括指导委员会的议事规则和组成、包括卡利基金在内的多边机制秘书处的方案文件及其职能、指导委员会修订卡利基金职权范围的工作、处理向卡利基金</w:t>
      </w:r>
      <w:r w:rsidR="00057A1E">
        <w:rPr>
          <w:rFonts w:hint="eastAsia"/>
          <w:sz w:val="24"/>
          <w:szCs w:val="24"/>
          <w:lang w:eastAsia="zh-CN"/>
        </w:rPr>
        <w:t>缴款</w:t>
      </w:r>
      <w:r w:rsidRPr="001F6FBE">
        <w:rPr>
          <w:rFonts w:hint="eastAsia"/>
          <w:sz w:val="24"/>
          <w:szCs w:val="24"/>
          <w:lang w:eastAsia="zh-CN"/>
        </w:rPr>
        <w:t>的程序、就资金发放采取</w:t>
      </w:r>
      <w:r w:rsidR="001847AE" w:rsidRPr="001F6FBE">
        <w:rPr>
          <w:rFonts w:hint="eastAsia"/>
          <w:sz w:val="24"/>
          <w:szCs w:val="24"/>
          <w:lang w:eastAsia="zh-CN"/>
        </w:rPr>
        <w:t>分</w:t>
      </w:r>
      <w:r w:rsidRPr="001F6FBE">
        <w:rPr>
          <w:rFonts w:hint="eastAsia"/>
          <w:sz w:val="24"/>
          <w:szCs w:val="24"/>
          <w:lang w:eastAsia="zh-CN"/>
        </w:rPr>
        <w:t>次付款方法的协议、正在开展的操作手册相关工作，以及加强有关活动对外沟通的需求；</w:t>
      </w:r>
    </w:p>
    <w:p w14:paraId="4BDD99E3" w14:textId="77777777" w:rsidR="007C1C87" w:rsidRPr="001F6FBE" w:rsidRDefault="007C1C87" w:rsidP="00D356F4">
      <w:pPr>
        <w:pStyle w:val="CBDNormalNumber"/>
        <w:numPr>
          <w:ilvl w:val="1"/>
          <w:numId w:val="6"/>
        </w:numPr>
        <w:overflowPunct w:val="0"/>
        <w:rPr>
          <w:sz w:val="24"/>
          <w:szCs w:val="24"/>
          <w:lang w:eastAsia="zh-CN"/>
        </w:rPr>
      </w:pPr>
      <w:r w:rsidRPr="001F6FBE">
        <w:rPr>
          <w:rFonts w:hint="eastAsia"/>
          <w:sz w:val="24"/>
          <w:szCs w:val="24"/>
          <w:lang w:eastAsia="zh-CN"/>
        </w:rPr>
        <w:lastRenderedPageBreak/>
        <w:t>指导委员会关于资本化战略的工作，以及对临时秘书处产生影响的资金和人员配置限制，包括建议在相关预算讨论中审议秘书处的资源需求；</w:t>
      </w:r>
      <w:r w:rsidRPr="001F6FBE">
        <w:rPr>
          <w:rStyle w:val="FootnoteReference"/>
          <w:rFonts w:hint="eastAsia"/>
          <w:sz w:val="24"/>
          <w:szCs w:val="24"/>
          <w:lang w:eastAsia="zh-CN"/>
        </w:rPr>
        <w:footnoteReference w:id="6"/>
      </w:r>
    </w:p>
    <w:p w14:paraId="0F6575DB" w14:textId="77777777" w:rsidR="007C1C87" w:rsidRPr="001F6FBE" w:rsidRDefault="007C1C87" w:rsidP="00D356F4">
      <w:pPr>
        <w:pStyle w:val="CBDNormalNumber"/>
        <w:numPr>
          <w:ilvl w:val="1"/>
          <w:numId w:val="6"/>
        </w:numPr>
        <w:overflowPunct w:val="0"/>
        <w:rPr>
          <w:sz w:val="24"/>
          <w:szCs w:val="24"/>
          <w:lang w:eastAsia="zh-CN"/>
        </w:rPr>
      </w:pPr>
      <w:r w:rsidRPr="001F6FBE">
        <w:rPr>
          <w:rFonts w:hint="eastAsia"/>
          <w:sz w:val="24"/>
          <w:szCs w:val="24"/>
          <w:lang w:eastAsia="zh-CN"/>
        </w:rPr>
        <w:t>指导委员会关于资金发放、向土著人民和地方社区（包括这些社区中的妇女和青年）直接拨款、机密资料准则、传播战略、卡利基金证书、非货币惠益以及卡利基金扶持性条件的工作，并就此向缔约方大会提出若干相关建议和请求；</w:t>
      </w:r>
    </w:p>
    <w:p w14:paraId="29900C82" w14:textId="4267049C" w:rsidR="00141250" w:rsidRPr="001F6FBE" w:rsidRDefault="007C1C87" w:rsidP="00D356F4">
      <w:pPr>
        <w:pStyle w:val="CBDNormalNumber"/>
        <w:numPr>
          <w:ilvl w:val="1"/>
          <w:numId w:val="6"/>
        </w:numPr>
        <w:overflowPunct w:val="0"/>
        <w:rPr>
          <w:sz w:val="24"/>
          <w:szCs w:val="24"/>
          <w:lang w:eastAsia="zh-CN"/>
        </w:rPr>
      </w:pPr>
      <w:r w:rsidRPr="001F6FBE">
        <w:rPr>
          <w:rFonts w:hint="eastAsia"/>
          <w:sz w:val="24"/>
          <w:szCs w:val="24"/>
          <w:lang w:eastAsia="zh-CN"/>
        </w:rPr>
        <w:t>执行问题附属机构已审议的多边机制审查方法，</w:t>
      </w:r>
      <w:r w:rsidRPr="001F6FBE">
        <w:rPr>
          <w:rFonts w:hint="eastAsia"/>
          <w:sz w:val="24"/>
          <w:szCs w:val="24"/>
          <w:vertAlign w:val="superscript"/>
          <w:lang w:eastAsia="zh-CN"/>
        </w:rPr>
        <w:footnoteReference w:id="7"/>
      </w:r>
      <w:r w:rsidRPr="001F6FBE">
        <w:rPr>
          <w:rFonts w:hint="eastAsia"/>
          <w:sz w:val="24"/>
          <w:szCs w:val="24"/>
          <w:lang w:eastAsia="zh-CN"/>
        </w:rPr>
        <w:t>以及指导委员会关于制定结构化办法，对包括卡利基金在内的多边机制的执行情况、学习情况和成效开展审查的工作，并附有给缔约方大会的意见。</w:t>
      </w:r>
    </w:p>
    <w:p w14:paraId="24EA6230" w14:textId="77777777" w:rsidR="0032305E" w:rsidRPr="002B023B" w:rsidRDefault="0032305E" w:rsidP="00D356F4">
      <w:pPr>
        <w:pStyle w:val="CBDH1"/>
        <w:overflowPunct w:val="0"/>
        <w:rPr>
          <w:lang w:eastAsia="zh-CN"/>
        </w:rPr>
      </w:pPr>
      <w:hyperlink r:id="rId32" w:history="1"/>
      <w:r w:rsidRPr="002B023B">
        <w:rPr>
          <w:rFonts w:hint="eastAsia"/>
          <w:lang w:eastAsia="zh-CN"/>
        </w:rPr>
        <w:t>五</w:t>
      </w:r>
      <w:r w:rsidRPr="002B023B">
        <w:rPr>
          <w:rFonts w:hint="eastAsia"/>
          <w:lang w:eastAsia="zh-CN"/>
        </w:rPr>
        <w:t>.</w:t>
      </w:r>
      <w:r w:rsidRPr="002B023B">
        <w:rPr>
          <w:rFonts w:hint="eastAsia"/>
          <w:lang w:eastAsia="zh-CN"/>
        </w:rPr>
        <w:tab/>
      </w:r>
      <w:r w:rsidRPr="002B023B">
        <w:rPr>
          <w:rFonts w:hint="eastAsia"/>
          <w:lang w:eastAsia="zh-CN"/>
        </w:rPr>
        <w:t>决定草案的内容</w:t>
      </w:r>
    </w:p>
    <w:p w14:paraId="4EC59085" w14:textId="3030F00A" w:rsidR="0032305E" w:rsidRPr="001F6FBE" w:rsidRDefault="0032305E" w:rsidP="00D356F4">
      <w:pPr>
        <w:pStyle w:val="CBDNormalNumber"/>
        <w:numPr>
          <w:ilvl w:val="0"/>
          <w:numId w:val="9"/>
        </w:numPr>
        <w:overflowPunct w:val="0"/>
        <w:rPr>
          <w:sz w:val="24"/>
          <w:szCs w:val="24"/>
          <w:lang w:eastAsia="zh-CN"/>
        </w:rPr>
      </w:pPr>
      <w:r w:rsidRPr="001F6FBE">
        <w:rPr>
          <w:rFonts w:hint="eastAsia"/>
          <w:sz w:val="24"/>
          <w:szCs w:val="24"/>
          <w:lang w:eastAsia="zh-CN"/>
        </w:rPr>
        <w:t>缔约方大会</w:t>
      </w:r>
      <w:r w:rsidR="00C85163">
        <w:rPr>
          <w:rFonts w:hint="eastAsia"/>
          <w:sz w:val="24"/>
          <w:szCs w:val="24"/>
          <w:lang w:eastAsia="zh-CN"/>
        </w:rPr>
        <w:t>不妨</w:t>
      </w:r>
      <w:r w:rsidRPr="001F6FBE">
        <w:rPr>
          <w:rFonts w:hint="eastAsia"/>
          <w:sz w:val="24"/>
          <w:szCs w:val="24"/>
          <w:lang w:val="en-US" w:eastAsia="zh-CN"/>
        </w:rPr>
        <w:t>考虑</w:t>
      </w:r>
      <w:r w:rsidRPr="001F6FBE">
        <w:rPr>
          <w:rFonts w:hint="eastAsia"/>
          <w:sz w:val="24"/>
          <w:szCs w:val="24"/>
          <w:lang w:eastAsia="zh-CN"/>
        </w:rPr>
        <w:t>在执行问题附属机构第</w:t>
      </w:r>
      <w:hyperlink r:id="rId33" w:history="1">
        <w:r w:rsidRPr="001F6FBE">
          <w:rPr>
            <w:rStyle w:val="Hyperlink"/>
            <w:rFonts w:hint="eastAsia"/>
            <w:sz w:val="24"/>
            <w:szCs w:val="24"/>
            <w:lang w:eastAsia="zh-CN"/>
          </w:rPr>
          <w:t>7/4</w:t>
        </w:r>
      </w:hyperlink>
      <w:r w:rsidRPr="001F6FBE">
        <w:rPr>
          <w:rFonts w:hint="eastAsia"/>
          <w:sz w:val="24"/>
          <w:szCs w:val="24"/>
          <w:lang w:eastAsia="zh-CN"/>
        </w:rPr>
        <w:t>号建议所载决定草案的内容</w:t>
      </w:r>
      <w:r w:rsidR="00C85163">
        <w:rPr>
          <w:rFonts w:hint="eastAsia"/>
          <w:sz w:val="24"/>
          <w:szCs w:val="24"/>
          <w:lang w:eastAsia="zh-CN"/>
        </w:rPr>
        <w:t>和</w:t>
      </w:r>
      <w:hyperlink r:id="rId34" w:history="1">
        <w:r w:rsidRPr="001F6FBE">
          <w:rPr>
            <w:rStyle w:val="Hyperlink"/>
            <w:rFonts w:hint="eastAsia"/>
            <w:sz w:val="24"/>
            <w:szCs w:val="24"/>
            <w:lang w:eastAsia="zh-CN"/>
          </w:rPr>
          <w:t>CBD/COP/17/6/Add.2</w:t>
        </w:r>
      </w:hyperlink>
      <w:r w:rsidR="00890D8C" w:rsidRPr="001F6FBE">
        <w:rPr>
          <w:rFonts w:hint="eastAsia"/>
          <w:sz w:val="24"/>
          <w:szCs w:val="24"/>
          <w:lang w:eastAsia="zh-CN"/>
        </w:rPr>
        <w:t>号文件</w:t>
      </w:r>
      <w:r w:rsidRPr="001F6FBE">
        <w:rPr>
          <w:rFonts w:hint="eastAsia"/>
          <w:sz w:val="24"/>
          <w:szCs w:val="24"/>
          <w:lang w:eastAsia="zh-CN"/>
        </w:rPr>
        <w:t>附件第二节所载分配方法的基础上，补充纳入以下内容：</w:t>
      </w:r>
    </w:p>
    <w:p w14:paraId="0C462A4B" w14:textId="60757D08" w:rsidR="0032305E" w:rsidRPr="001F6FBE" w:rsidRDefault="0032305E" w:rsidP="00D356F4">
      <w:pPr>
        <w:pStyle w:val="CBDNormalNoNumber"/>
        <w:keepNext/>
        <w:overflowPunct w:val="0"/>
        <w:ind w:firstLine="567"/>
        <w:rPr>
          <w:i/>
          <w:iCs/>
          <w:sz w:val="24"/>
          <w:szCs w:val="24"/>
          <w:lang w:eastAsia="zh-CN"/>
        </w:rPr>
      </w:pPr>
      <w:r w:rsidRPr="001F6FBE">
        <w:rPr>
          <w:rFonts w:ascii="KaiTi_GB2312" w:eastAsia="KaiTi" w:hint="eastAsia"/>
          <w:iCs/>
          <w:sz w:val="24"/>
          <w:szCs w:val="24"/>
          <w:lang w:eastAsia="zh-CN"/>
        </w:rPr>
        <w:t>缔约方大会</w:t>
      </w:r>
      <w:r w:rsidR="00C85163">
        <w:rPr>
          <w:rFonts w:ascii="KaiTi_GB2312" w:eastAsia="KaiTi" w:hint="eastAsia"/>
          <w:iCs/>
          <w:sz w:val="24"/>
          <w:szCs w:val="24"/>
          <w:lang w:eastAsia="zh-CN"/>
        </w:rPr>
        <w:t>，</w:t>
      </w:r>
    </w:p>
    <w:p w14:paraId="7AD128E7" w14:textId="453A2807"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w:t>
      </w:r>
      <w:r w:rsidRPr="001F6FBE">
        <w:rPr>
          <w:rFonts w:hint="eastAsia"/>
          <w:sz w:val="24"/>
          <w:szCs w:val="24"/>
          <w:lang w:eastAsia="zh-CN"/>
        </w:rPr>
        <w:tab/>
      </w:r>
      <w:r w:rsidRPr="001F6FBE">
        <w:rPr>
          <w:rFonts w:ascii="KaiTi_GB2312" w:eastAsia="KaiTi" w:hint="eastAsia"/>
          <w:sz w:val="24"/>
          <w:szCs w:val="24"/>
          <w:lang w:eastAsia="zh-CN"/>
        </w:rPr>
        <w:t>感谢</w:t>
      </w:r>
      <w:r w:rsidRPr="001F6FBE">
        <w:rPr>
          <w:rFonts w:hint="eastAsia"/>
          <w:sz w:val="24"/>
          <w:szCs w:val="24"/>
          <w:lang w:eastAsia="zh-CN"/>
        </w:rPr>
        <w:t>德国政府、挪威政府</w:t>
      </w:r>
      <w:r w:rsidR="00C85163">
        <w:rPr>
          <w:rFonts w:hint="eastAsia"/>
          <w:sz w:val="24"/>
          <w:szCs w:val="24"/>
          <w:lang w:eastAsia="zh-CN"/>
        </w:rPr>
        <w:t>和</w:t>
      </w:r>
      <w:r w:rsidRPr="001F6FBE">
        <w:rPr>
          <w:rFonts w:hint="eastAsia"/>
          <w:sz w:val="24"/>
          <w:szCs w:val="24"/>
          <w:lang w:eastAsia="zh-CN"/>
        </w:rPr>
        <w:t>大不列颠及北爱尔兰联合王国政府以及欧洲联盟为与公正和公平分享利用遗传资源数字序列信息所产生惠益的多边机制（包括卡利基金）</w:t>
      </w:r>
      <w:r w:rsidRPr="001F6FBE">
        <w:rPr>
          <w:rFonts w:hint="eastAsia"/>
          <w:sz w:val="24"/>
          <w:szCs w:val="24"/>
          <w:lang w:val="en-US" w:eastAsia="zh-CN"/>
        </w:rPr>
        <w:t>的运作</w:t>
      </w:r>
      <w:r w:rsidRPr="001F6FBE">
        <w:rPr>
          <w:rFonts w:hint="eastAsia"/>
          <w:sz w:val="24"/>
          <w:szCs w:val="24"/>
          <w:lang w:eastAsia="zh-CN"/>
        </w:rPr>
        <w:t>相关的活动提供的慷慨资金支持，并</w:t>
      </w:r>
      <w:r w:rsidRPr="001F6FBE">
        <w:rPr>
          <w:rFonts w:ascii="KaiTi_GB2312" w:eastAsia="KaiTi" w:hint="eastAsia"/>
          <w:sz w:val="24"/>
          <w:szCs w:val="24"/>
          <w:lang w:eastAsia="zh-CN"/>
        </w:rPr>
        <w:t>感谢</w:t>
      </w:r>
      <w:r w:rsidRPr="001F6FBE">
        <w:rPr>
          <w:rFonts w:hint="eastAsia"/>
          <w:sz w:val="24"/>
          <w:szCs w:val="24"/>
          <w:lang w:eastAsia="zh-CN"/>
        </w:rPr>
        <w:t>德国政府和南非政府分别主办指导委员会第二次和第三次会议；</w:t>
      </w:r>
    </w:p>
    <w:p w14:paraId="451B25D2" w14:textId="2D01CAC4" w:rsidR="0032305E" w:rsidRPr="001F6FBE" w:rsidRDefault="0032305E" w:rsidP="00D356F4">
      <w:pPr>
        <w:pStyle w:val="CBDH4"/>
        <w:overflowPunct w:val="0"/>
        <w:ind w:firstLine="0"/>
        <w:rPr>
          <w:sz w:val="24"/>
          <w:szCs w:val="24"/>
          <w:lang w:eastAsia="zh-CN"/>
        </w:rPr>
      </w:pPr>
      <w:r w:rsidRPr="001F6FBE">
        <w:rPr>
          <w:rFonts w:hint="eastAsia"/>
          <w:sz w:val="24"/>
          <w:szCs w:val="24"/>
          <w:lang w:eastAsia="zh-CN"/>
        </w:rPr>
        <w:t>一</w:t>
      </w:r>
      <w:r w:rsidRPr="001F6FBE">
        <w:rPr>
          <w:rFonts w:hint="eastAsia"/>
          <w:sz w:val="24"/>
          <w:szCs w:val="24"/>
          <w:lang w:eastAsia="zh-CN"/>
        </w:rPr>
        <w:br/>
      </w:r>
      <w:r w:rsidRPr="001F6FBE">
        <w:rPr>
          <w:rFonts w:hint="eastAsia"/>
          <w:sz w:val="24"/>
          <w:szCs w:val="24"/>
          <w:lang w:eastAsia="zh-CN"/>
        </w:rPr>
        <w:t>卡利基金门槛和</w:t>
      </w:r>
      <w:r w:rsidR="00057A1E">
        <w:rPr>
          <w:rFonts w:hint="eastAsia"/>
          <w:sz w:val="24"/>
          <w:szCs w:val="24"/>
          <w:lang w:eastAsia="zh-CN"/>
        </w:rPr>
        <w:t>缴款</w:t>
      </w:r>
      <w:r w:rsidRPr="001F6FBE">
        <w:rPr>
          <w:rFonts w:hint="eastAsia"/>
          <w:sz w:val="24"/>
          <w:szCs w:val="24"/>
          <w:lang w:eastAsia="zh-CN"/>
        </w:rPr>
        <w:t>率</w:t>
      </w:r>
    </w:p>
    <w:p w14:paraId="3D86C587" w14:textId="006701AD"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2.</w:t>
      </w:r>
      <w:r w:rsidRPr="001F6FBE">
        <w:rPr>
          <w:rFonts w:hint="eastAsia"/>
          <w:sz w:val="24"/>
          <w:szCs w:val="24"/>
          <w:lang w:eastAsia="zh-CN"/>
        </w:rPr>
        <w:tab/>
      </w:r>
      <w:r w:rsidRPr="001F6FBE">
        <w:rPr>
          <w:rFonts w:ascii="KaiTi_GB2312" w:eastAsia="KaiTi" w:hint="eastAsia"/>
          <w:sz w:val="24"/>
          <w:szCs w:val="24"/>
          <w:lang w:eastAsia="zh-CN"/>
        </w:rPr>
        <w:t>认识到</w:t>
      </w:r>
      <w:r w:rsidRPr="001F6FBE">
        <w:rPr>
          <w:rFonts w:hint="eastAsia"/>
          <w:sz w:val="24"/>
          <w:szCs w:val="24"/>
          <w:lang w:eastAsia="zh-CN"/>
        </w:rPr>
        <w:t>由于各国国情不同，各管辖区的门槛有所不同，并申明在其国家管辖区内被归类为中小企业的实体无需向卡利基金</w:t>
      </w:r>
      <w:r w:rsidR="00057A1E">
        <w:rPr>
          <w:rFonts w:hint="eastAsia"/>
          <w:sz w:val="24"/>
          <w:szCs w:val="24"/>
          <w:lang w:eastAsia="zh-CN"/>
        </w:rPr>
        <w:t>缴款</w:t>
      </w:r>
      <w:r w:rsidRPr="001F6FBE">
        <w:rPr>
          <w:rFonts w:hint="eastAsia"/>
          <w:sz w:val="24"/>
          <w:szCs w:val="24"/>
          <w:lang w:eastAsia="zh-CN"/>
        </w:rPr>
        <w:t>，但鼓励其</w:t>
      </w:r>
      <w:r w:rsidR="00057A1E">
        <w:rPr>
          <w:rFonts w:hint="eastAsia"/>
          <w:sz w:val="24"/>
          <w:szCs w:val="24"/>
          <w:lang w:eastAsia="zh-CN"/>
        </w:rPr>
        <w:t>缴款</w:t>
      </w:r>
      <w:r w:rsidRPr="001F6FBE">
        <w:rPr>
          <w:rFonts w:hint="eastAsia"/>
          <w:sz w:val="24"/>
          <w:szCs w:val="24"/>
          <w:lang w:eastAsia="zh-CN"/>
        </w:rPr>
        <w:t>；</w:t>
      </w:r>
    </w:p>
    <w:p w14:paraId="76549685" w14:textId="4F9529CA"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3.</w:t>
      </w:r>
      <w:r w:rsidRPr="001F6FBE">
        <w:rPr>
          <w:rFonts w:hint="eastAsia"/>
          <w:sz w:val="24"/>
          <w:szCs w:val="24"/>
          <w:lang w:eastAsia="zh-CN"/>
        </w:rPr>
        <w:tab/>
      </w:r>
      <w:r w:rsidRPr="001F6FBE">
        <w:rPr>
          <w:rFonts w:ascii="KaiTi_GB2312" w:eastAsia="KaiTi" w:hint="eastAsia"/>
          <w:sz w:val="24"/>
          <w:szCs w:val="24"/>
          <w:lang w:eastAsia="zh-CN"/>
        </w:rPr>
        <w:t>重申</w:t>
      </w:r>
      <w:r w:rsidRPr="001F6FBE">
        <w:rPr>
          <w:rFonts w:hint="eastAsia"/>
          <w:sz w:val="24"/>
          <w:szCs w:val="24"/>
          <w:lang w:eastAsia="zh-CN"/>
        </w:rPr>
        <w:t>私营实体的预期</w:t>
      </w:r>
      <w:r w:rsidR="00057A1E">
        <w:rPr>
          <w:rFonts w:hint="eastAsia"/>
          <w:sz w:val="24"/>
          <w:szCs w:val="24"/>
          <w:lang w:eastAsia="zh-CN"/>
        </w:rPr>
        <w:t>缴款</w:t>
      </w:r>
      <w:r w:rsidRPr="001F6FBE">
        <w:rPr>
          <w:rFonts w:hint="eastAsia"/>
          <w:sz w:val="24"/>
          <w:szCs w:val="24"/>
          <w:lang w:eastAsia="zh-CN"/>
        </w:rPr>
        <w:t>率为利润的</w:t>
      </w:r>
      <w:r w:rsidRPr="001F6FBE">
        <w:rPr>
          <w:rFonts w:hint="eastAsia"/>
          <w:sz w:val="24"/>
          <w:szCs w:val="24"/>
          <w:lang w:eastAsia="zh-CN"/>
        </w:rPr>
        <w:t>1%</w:t>
      </w:r>
      <w:r w:rsidRPr="001F6FBE">
        <w:rPr>
          <w:rFonts w:hint="eastAsia"/>
          <w:sz w:val="24"/>
          <w:szCs w:val="24"/>
          <w:lang w:eastAsia="zh-CN"/>
        </w:rPr>
        <w:t>或收入的</w:t>
      </w:r>
      <w:r w:rsidRPr="001F6FBE">
        <w:rPr>
          <w:rFonts w:hint="eastAsia"/>
          <w:sz w:val="24"/>
          <w:szCs w:val="24"/>
          <w:lang w:eastAsia="zh-CN"/>
        </w:rPr>
        <w:t>0.1%</w:t>
      </w:r>
      <w:r w:rsidRPr="001F6FBE">
        <w:rPr>
          <w:rFonts w:hint="eastAsia"/>
          <w:sz w:val="24"/>
          <w:szCs w:val="24"/>
          <w:lang w:eastAsia="zh-CN"/>
        </w:rPr>
        <w:t>，该比率</w:t>
      </w:r>
      <w:r w:rsidRPr="001F6FBE">
        <w:rPr>
          <w:rFonts w:hint="eastAsia"/>
          <w:sz w:val="24"/>
          <w:szCs w:val="24"/>
          <w:lang w:val="en-US" w:eastAsia="zh-CN"/>
        </w:rPr>
        <w:t>为</w:t>
      </w:r>
      <w:r w:rsidRPr="001F6FBE">
        <w:rPr>
          <w:rFonts w:hint="eastAsia"/>
          <w:sz w:val="24"/>
          <w:szCs w:val="24"/>
          <w:lang w:eastAsia="zh-CN"/>
        </w:rPr>
        <w:t>指示性比率；</w:t>
      </w:r>
    </w:p>
    <w:p w14:paraId="261F5B4A" w14:textId="15A11301"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4.</w:t>
      </w:r>
      <w:r w:rsidRPr="001F6FBE">
        <w:rPr>
          <w:rFonts w:hint="eastAsia"/>
          <w:sz w:val="24"/>
          <w:szCs w:val="24"/>
          <w:lang w:eastAsia="zh-CN"/>
        </w:rPr>
        <w:tab/>
      </w:r>
      <w:r w:rsidRPr="001F6FBE">
        <w:rPr>
          <w:rFonts w:ascii="KaiTi_GB2312" w:eastAsia="KaiTi" w:hint="eastAsia"/>
          <w:sz w:val="24"/>
          <w:szCs w:val="24"/>
          <w:lang w:eastAsia="zh-CN"/>
        </w:rPr>
        <w:t>敦促</w:t>
      </w:r>
      <w:r w:rsidRPr="001F6FBE">
        <w:rPr>
          <w:rFonts w:hint="eastAsia"/>
          <w:sz w:val="24"/>
          <w:szCs w:val="24"/>
          <w:lang w:eastAsia="zh-CN"/>
        </w:rPr>
        <w:t>依赖公开可获取的遗传资源数字序列信息的私营实体，通过向卡利基金</w:t>
      </w:r>
      <w:r w:rsidR="00057A1E">
        <w:rPr>
          <w:rFonts w:hint="eastAsia"/>
          <w:sz w:val="24"/>
          <w:szCs w:val="24"/>
          <w:lang w:eastAsia="zh-CN"/>
        </w:rPr>
        <w:t>缴款</w:t>
      </w:r>
      <w:r w:rsidRPr="001F6FBE">
        <w:rPr>
          <w:rFonts w:hint="eastAsia"/>
          <w:sz w:val="24"/>
          <w:szCs w:val="24"/>
          <w:lang w:eastAsia="zh-CN"/>
        </w:rPr>
        <w:t>，分享其利用遗传资源数字序列信息所产生的惠益；</w:t>
      </w:r>
    </w:p>
    <w:p w14:paraId="1BFDD9D0" w14:textId="6BCEBB4A"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5.</w:t>
      </w:r>
      <w:r w:rsidRPr="001F6FBE">
        <w:rPr>
          <w:rFonts w:hint="eastAsia"/>
          <w:sz w:val="24"/>
          <w:szCs w:val="24"/>
          <w:lang w:eastAsia="zh-CN"/>
        </w:rPr>
        <w:tab/>
      </w:r>
      <w:r w:rsidRPr="001F6FBE">
        <w:rPr>
          <w:rFonts w:ascii="KaiTi_GB2312" w:eastAsia="KaiTi" w:hint="eastAsia"/>
          <w:sz w:val="24"/>
          <w:szCs w:val="24"/>
          <w:lang w:eastAsia="zh-CN"/>
        </w:rPr>
        <w:t>重申</w:t>
      </w:r>
      <w:r w:rsidRPr="001F6FBE">
        <w:rPr>
          <w:rFonts w:hint="eastAsia"/>
          <w:sz w:val="24"/>
          <w:szCs w:val="24"/>
          <w:lang w:eastAsia="zh-CN"/>
        </w:rPr>
        <w:t>按上文第</w:t>
      </w:r>
      <w:r w:rsidRPr="001F6FBE">
        <w:rPr>
          <w:rFonts w:hint="eastAsia"/>
          <w:sz w:val="24"/>
          <w:szCs w:val="24"/>
          <w:lang w:eastAsia="zh-CN"/>
        </w:rPr>
        <w:t>3</w:t>
      </w:r>
      <w:r w:rsidRPr="001F6FBE">
        <w:rPr>
          <w:rFonts w:hint="eastAsia"/>
          <w:sz w:val="24"/>
          <w:szCs w:val="24"/>
          <w:lang w:eastAsia="zh-CN"/>
        </w:rPr>
        <w:t>段所述水平</w:t>
      </w:r>
      <w:r w:rsidR="00057A1E">
        <w:rPr>
          <w:rFonts w:hint="eastAsia"/>
          <w:sz w:val="24"/>
          <w:szCs w:val="24"/>
          <w:lang w:eastAsia="zh-CN"/>
        </w:rPr>
        <w:t>缴款</w:t>
      </w:r>
      <w:r w:rsidRPr="001F6FBE">
        <w:rPr>
          <w:rFonts w:hint="eastAsia"/>
          <w:sz w:val="24"/>
          <w:szCs w:val="24"/>
          <w:lang w:val="en-US" w:eastAsia="zh-CN"/>
        </w:rPr>
        <w:t>的实体</w:t>
      </w:r>
      <w:r w:rsidRPr="001F6FBE">
        <w:rPr>
          <w:rFonts w:hint="eastAsia"/>
          <w:sz w:val="24"/>
          <w:szCs w:val="24"/>
          <w:lang w:eastAsia="zh-CN"/>
        </w:rPr>
        <w:t>将获得卡利基金证书；</w:t>
      </w:r>
    </w:p>
    <w:p w14:paraId="7499AF51" w14:textId="758EEF54"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6.</w:t>
      </w:r>
      <w:r w:rsidRPr="001F6FBE">
        <w:rPr>
          <w:rFonts w:hint="eastAsia"/>
          <w:sz w:val="24"/>
          <w:szCs w:val="24"/>
          <w:lang w:eastAsia="zh-CN"/>
        </w:rPr>
        <w:tab/>
      </w:r>
      <w:r w:rsidRPr="001F6FBE">
        <w:rPr>
          <w:rFonts w:ascii="KaiTi_GB2312" w:eastAsia="KaiTi" w:hint="eastAsia"/>
          <w:sz w:val="24"/>
          <w:szCs w:val="24"/>
          <w:lang w:eastAsia="zh-CN"/>
        </w:rPr>
        <w:t>提醒</w:t>
      </w:r>
      <w:r w:rsidRPr="001F6FBE">
        <w:rPr>
          <w:rFonts w:hint="eastAsia"/>
          <w:sz w:val="24"/>
          <w:szCs w:val="24"/>
          <w:lang w:eastAsia="zh-CN"/>
        </w:rPr>
        <w:t>缔约方和其他国家政府，鉴于关于</w:t>
      </w:r>
      <w:r w:rsidR="00057A1E">
        <w:rPr>
          <w:rFonts w:hint="eastAsia"/>
          <w:sz w:val="24"/>
          <w:szCs w:val="24"/>
          <w:lang w:eastAsia="zh-CN"/>
        </w:rPr>
        <w:t>缴款</w:t>
      </w:r>
      <w:r w:rsidRPr="001F6FBE">
        <w:rPr>
          <w:rFonts w:hint="eastAsia"/>
          <w:sz w:val="24"/>
          <w:szCs w:val="24"/>
          <w:lang w:eastAsia="zh-CN"/>
        </w:rPr>
        <w:t>率、门槛和竞争力的研究表明了激励的重要性，根据本国国情酌情采取行政、政策或立法措施，激励其管辖范围内的用户按照包括卡利基金在内的多边机制的运作模式向全球基金</w:t>
      </w:r>
      <w:r w:rsidR="00057A1E">
        <w:rPr>
          <w:rFonts w:hint="eastAsia"/>
          <w:sz w:val="24"/>
          <w:szCs w:val="24"/>
          <w:lang w:eastAsia="zh-CN"/>
        </w:rPr>
        <w:t>缴款</w:t>
      </w:r>
      <w:r w:rsidRPr="001F6FBE">
        <w:rPr>
          <w:rFonts w:hint="eastAsia"/>
          <w:sz w:val="24"/>
          <w:szCs w:val="24"/>
          <w:lang w:eastAsia="zh-CN"/>
        </w:rPr>
        <w:t>；</w:t>
      </w:r>
    </w:p>
    <w:p w14:paraId="46E79D74" w14:textId="3F08CCA1"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7.</w:t>
      </w:r>
      <w:r w:rsidRPr="001F6FBE">
        <w:rPr>
          <w:rFonts w:hint="eastAsia"/>
          <w:sz w:val="24"/>
          <w:szCs w:val="24"/>
          <w:lang w:eastAsia="zh-CN"/>
        </w:rPr>
        <w:tab/>
      </w:r>
      <w:r w:rsidRPr="001F6FBE">
        <w:rPr>
          <w:rFonts w:ascii="KaiTi_GB2312" w:eastAsia="KaiTi" w:hint="eastAsia"/>
          <w:sz w:val="24"/>
          <w:szCs w:val="24"/>
          <w:lang w:eastAsia="zh-CN"/>
        </w:rPr>
        <w:t>请</w:t>
      </w:r>
      <w:r w:rsidRPr="001F6FBE">
        <w:rPr>
          <w:rFonts w:hint="eastAsia"/>
          <w:sz w:val="24"/>
          <w:szCs w:val="24"/>
          <w:lang w:eastAsia="zh-CN"/>
        </w:rPr>
        <w:t>执行秘书在资源允许的情况下，委托开展一项研究，</w:t>
      </w:r>
      <w:proofErr w:type="gramStart"/>
      <w:r w:rsidRPr="001F6FBE">
        <w:rPr>
          <w:rFonts w:hint="eastAsia"/>
          <w:sz w:val="24"/>
          <w:szCs w:val="24"/>
          <w:lang w:eastAsia="zh-CN"/>
        </w:rPr>
        <w:t>探讨在包括卡利基金在内的多边机制运作背景下“遗传资源数字序列信息的直接和间接利用”</w:t>
      </w:r>
      <w:r w:rsidRPr="001F6FBE">
        <w:rPr>
          <w:rFonts w:hint="eastAsia"/>
          <w:sz w:val="24"/>
          <w:szCs w:val="24"/>
          <w:lang w:val="en-US" w:eastAsia="zh-CN"/>
        </w:rPr>
        <w:t>这一术语</w:t>
      </w:r>
      <w:r w:rsidRPr="001F6FBE">
        <w:rPr>
          <w:rFonts w:hint="eastAsia"/>
          <w:sz w:val="24"/>
          <w:szCs w:val="24"/>
          <w:lang w:eastAsia="zh-CN"/>
        </w:rPr>
        <w:t>的范围和定义</w:t>
      </w:r>
      <w:proofErr w:type="gramEnd"/>
      <w:r w:rsidRPr="001F6FBE">
        <w:rPr>
          <w:rFonts w:hint="eastAsia"/>
          <w:sz w:val="24"/>
          <w:szCs w:val="24"/>
          <w:lang w:eastAsia="zh-CN"/>
        </w:rPr>
        <w:t>，特别是针对私营部门活动，供执行问题附属机构在缔约方大会第十八届会议之前举行的</w:t>
      </w:r>
      <w:r w:rsidR="00F300FF">
        <w:rPr>
          <w:rFonts w:hint="eastAsia"/>
          <w:sz w:val="24"/>
          <w:szCs w:val="24"/>
          <w:lang w:eastAsia="zh-CN"/>
        </w:rPr>
        <w:t>一次</w:t>
      </w:r>
      <w:r w:rsidRPr="001F6FBE">
        <w:rPr>
          <w:rFonts w:hint="eastAsia"/>
          <w:sz w:val="24"/>
          <w:szCs w:val="24"/>
          <w:lang w:eastAsia="zh-CN"/>
        </w:rPr>
        <w:t>会议审议；</w:t>
      </w:r>
    </w:p>
    <w:p w14:paraId="3E903BB0" w14:textId="320FB38E" w:rsidR="0032305E" w:rsidRPr="001F6FBE" w:rsidRDefault="0032305E" w:rsidP="00C85163">
      <w:pPr>
        <w:pStyle w:val="CBDNormalNoNumber"/>
        <w:widowControl w:val="0"/>
        <w:overflowPunct w:val="0"/>
        <w:ind w:left="562" w:firstLine="562"/>
        <w:rPr>
          <w:sz w:val="24"/>
          <w:szCs w:val="24"/>
          <w:lang w:eastAsia="zh-CN"/>
        </w:rPr>
      </w:pPr>
      <w:r w:rsidRPr="001F6FBE">
        <w:rPr>
          <w:rFonts w:hint="eastAsia"/>
          <w:sz w:val="24"/>
          <w:szCs w:val="24"/>
          <w:lang w:eastAsia="zh-CN"/>
        </w:rPr>
        <w:t>8.</w:t>
      </w:r>
      <w:r w:rsidRPr="001F6FBE">
        <w:rPr>
          <w:rFonts w:hint="eastAsia"/>
          <w:sz w:val="24"/>
          <w:szCs w:val="24"/>
          <w:lang w:eastAsia="zh-CN"/>
        </w:rPr>
        <w:tab/>
      </w:r>
      <w:r w:rsidRPr="001F6FBE">
        <w:rPr>
          <w:rFonts w:ascii="KaiTi_GB2312" w:eastAsia="KaiTi" w:hint="eastAsia"/>
          <w:sz w:val="24"/>
          <w:szCs w:val="24"/>
          <w:lang w:eastAsia="zh-CN"/>
        </w:rPr>
        <w:t>请</w:t>
      </w:r>
      <w:r w:rsidRPr="001F6FBE">
        <w:rPr>
          <w:rFonts w:hint="eastAsia"/>
          <w:sz w:val="24"/>
          <w:szCs w:val="24"/>
          <w:lang w:eastAsia="zh-CN"/>
        </w:rPr>
        <w:t>执行</w:t>
      </w:r>
      <w:r w:rsidRPr="001F6FBE">
        <w:rPr>
          <w:rFonts w:hint="eastAsia"/>
          <w:sz w:val="24"/>
          <w:szCs w:val="24"/>
          <w:lang w:val="en-US" w:eastAsia="zh-CN"/>
        </w:rPr>
        <w:t>问题</w:t>
      </w:r>
      <w:r w:rsidRPr="001F6FBE">
        <w:rPr>
          <w:rFonts w:hint="eastAsia"/>
          <w:sz w:val="24"/>
          <w:szCs w:val="24"/>
          <w:lang w:eastAsia="zh-CN"/>
        </w:rPr>
        <w:t>附属机构在缔约方大会第十八届会议之前举行的</w:t>
      </w:r>
      <w:r w:rsidR="00C85163">
        <w:rPr>
          <w:rFonts w:hint="eastAsia"/>
          <w:sz w:val="24"/>
          <w:szCs w:val="24"/>
          <w:lang w:eastAsia="zh-CN"/>
        </w:rPr>
        <w:t>一次</w:t>
      </w:r>
      <w:r w:rsidRPr="001F6FBE">
        <w:rPr>
          <w:rFonts w:hint="eastAsia"/>
          <w:sz w:val="24"/>
          <w:szCs w:val="24"/>
          <w:lang w:eastAsia="zh-CN"/>
        </w:rPr>
        <w:t>会议上</w:t>
      </w:r>
      <w:r w:rsidRPr="001F6FBE">
        <w:rPr>
          <w:rFonts w:hint="eastAsia"/>
          <w:sz w:val="24"/>
          <w:szCs w:val="24"/>
          <w:lang w:eastAsia="zh-CN"/>
        </w:rPr>
        <w:lastRenderedPageBreak/>
        <w:t>审议上文第</w:t>
      </w:r>
      <w:r w:rsidRPr="001F6FBE">
        <w:rPr>
          <w:rFonts w:hint="eastAsia"/>
          <w:sz w:val="24"/>
          <w:szCs w:val="24"/>
          <w:lang w:eastAsia="zh-CN"/>
        </w:rPr>
        <w:t>7</w:t>
      </w:r>
      <w:r w:rsidRPr="001F6FBE">
        <w:rPr>
          <w:rFonts w:hint="eastAsia"/>
          <w:sz w:val="24"/>
          <w:szCs w:val="24"/>
          <w:lang w:eastAsia="zh-CN"/>
        </w:rPr>
        <w:t>段所述工作的成果，</w:t>
      </w:r>
      <w:proofErr w:type="gramStart"/>
      <w:r w:rsidRPr="001F6FBE">
        <w:rPr>
          <w:rFonts w:hint="eastAsia"/>
          <w:sz w:val="24"/>
          <w:szCs w:val="24"/>
          <w:lang w:eastAsia="zh-CN"/>
        </w:rPr>
        <w:t>并就包括卡利基金在内的多边机制运作背景下“遗传资源数字序列信息的直接和间接利用”</w:t>
      </w:r>
      <w:r w:rsidRPr="001F6FBE">
        <w:rPr>
          <w:rFonts w:hint="eastAsia"/>
          <w:sz w:val="24"/>
          <w:szCs w:val="24"/>
          <w:lang w:val="en-US" w:eastAsia="zh-CN"/>
        </w:rPr>
        <w:t>这一术语</w:t>
      </w:r>
      <w:r w:rsidRPr="001F6FBE">
        <w:rPr>
          <w:rFonts w:hint="eastAsia"/>
          <w:sz w:val="24"/>
          <w:szCs w:val="24"/>
          <w:lang w:eastAsia="zh-CN"/>
        </w:rPr>
        <w:t>的范围和定义</w:t>
      </w:r>
      <w:proofErr w:type="gramEnd"/>
      <w:r w:rsidRPr="001F6FBE">
        <w:rPr>
          <w:rFonts w:hint="eastAsia"/>
          <w:sz w:val="24"/>
          <w:szCs w:val="24"/>
          <w:lang w:eastAsia="zh-CN"/>
        </w:rPr>
        <w:t>，特别是针对私营部门活动，向缔约方大会第十八届会议提出建议；</w:t>
      </w:r>
    </w:p>
    <w:p w14:paraId="3E4EB2E4" w14:textId="77777777" w:rsidR="0032305E" w:rsidRPr="001F6FBE" w:rsidRDefault="0032305E" w:rsidP="00D356F4">
      <w:pPr>
        <w:pStyle w:val="CBDH4"/>
        <w:overflowPunct w:val="0"/>
        <w:ind w:firstLine="0"/>
        <w:rPr>
          <w:sz w:val="24"/>
          <w:szCs w:val="24"/>
          <w:lang w:eastAsia="zh-CN"/>
        </w:rPr>
      </w:pPr>
      <w:r w:rsidRPr="001F6FBE">
        <w:rPr>
          <w:rFonts w:hint="eastAsia"/>
          <w:sz w:val="24"/>
          <w:szCs w:val="24"/>
          <w:lang w:eastAsia="zh-CN"/>
        </w:rPr>
        <w:t>二</w:t>
      </w:r>
      <w:r w:rsidRPr="001F6FBE">
        <w:rPr>
          <w:rFonts w:hint="eastAsia"/>
          <w:sz w:val="24"/>
          <w:szCs w:val="24"/>
          <w:lang w:eastAsia="zh-CN"/>
        </w:rPr>
        <w:br/>
      </w:r>
      <w:r w:rsidRPr="001F6FBE">
        <w:rPr>
          <w:rFonts w:hint="eastAsia"/>
          <w:sz w:val="24"/>
          <w:szCs w:val="24"/>
          <w:lang w:eastAsia="zh-CN"/>
        </w:rPr>
        <w:t>证书</w:t>
      </w:r>
    </w:p>
    <w:p w14:paraId="6C31BA81" w14:textId="61D52713"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9.</w:t>
      </w:r>
      <w:r w:rsidRPr="001F6FBE">
        <w:rPr>
          <w:rFonts w:hint="eastAsia"/>
          <w:sz w:val="24"/>
          <w:szCs w:val="24"/>
          <w:lang w:eastAsia="zh-CN"/>
        </w:rPr>
        <w:tab/>
      </w:r>
      <w:r w:rsidRPr="001F6FBE">
        <w:rPr>
          <w:rFonts w:ascii="KaiTi_GB2312" w:eastAsia="KaiTi" w:hAnsi="SimSun" w:hint="eastAsia"/>
          <w:sz w:val="24"/>
          <w:szCs w:val="24"/>
          <w:lang w:eastAsia="zh-CN"/>
        </w:rPr>
        <w:t>认识到</w:t>
      </w:r>
      <w:r w:rsidRPr="001F6FBE">
        <w:rPr>
          <w:rFonts w:hint="eastAsia"/>
          <w:sz w:val="24"/>
          <w:szCs w:val="24"/>
          <w:lang w:eastAsia="zh-CN"/>
        </w:rPr>
        <w:t>卡利基金证书是鼓励用户按照包括卡利基金在内的多边机制的模式向全球基金</w:t>
      </w:r>
      <w:r w:rsidR="00057A1E">
        <w:rPr>
          <w:rFonts w:hint="eastAsia"/>
          <w:sz w:val="24"/>
          <w:szCs w:val="24"/>
          <w:lang w:eastAsia="zh-CN"/>
        </w:rPr>
        <w:t>缴款</w:t>
      </w:r>
      <w:r w:rsidRPr="001F6FBE">
        <w:rPr>
          <w:rFonts w:hint="eastAsia"/>
          <w:sz w:val="24"/>
          <w:szCs w:val="24"/>
          <w:lang w:eastAsia="zh-CN"/>
        </w:rPr>
        <w:t>的重要手段；</w:t>
      </w:r>
    </w:p>
    <w:p w14:paraId="4ACCD35C" w14:textId="647D1884"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10.</w:t>
      </w:r>
      <w:r w:rsidRPr="001F6FBE">
        <w:rPr>
          <w:rFonts w:hint="eastAsia"/>
          <w:sz w:val="24"/>
          <w:szCs w:val="24"/>
          <w:lang w:eastAsia="zh-CN"/>
        </w:rPr>
        <w:tab/>
      </w:r>
      <w:r w:rsidRPr="001F6FBE">
        <w:rPr>
          <w:rFonts w:ascii="KaiTi_GB2312" w:eastAsia="KaiTi" w:hint="eastAsia"/>
          <w:sz w:val="24"/>
          <w:szCs w:val="24"/>
          <w:lang w:eastAsia="zh-CN"/>
        </w:rPr>
        <w:t>欢迎</w:t>
      </w:r>
      <w:r w:rsidRPr="001F6FBE">
        <w:rPr>
          <w:rFonts w:hint="eastAsia"/>
          <w:sz w:val="24"/>
          <w:szCs w:val="24"/>
          <w:lang w:eastAsia="zh-CN"/>
        </w:rPr>
        <w:t>指导委员会在证书方面开展的工作，特别是与</w:t>
      </w:r>
      <w:r w:rsidRPr="001F6FBE">
        <w:rPr>
          <w:rFonts w:hint="eastAsia"/>
          <w:sz w:val="24"/>
          <w:szCs w:val="24"/>
          <w:lang w:eastAsia="zh-CN"/>
        </w:rPr>
        <w:t>2024</w:t>
      </w:r>
      <w:r w:rsidRPr="001F6FBE">
        <w:rPr>
          <w:rFonts w:hint="eastAsia"/>
          <w:sz w:val="24"/>
          <w:szCs w:val="24"/>
          <w:lang w:eastAsia="zh-CN"/>
        </w:rPr>
        <w:t>年</w:t>
      </w:r>
      <w:r w:rsidRPr="001F6FBE">
        <w:rPr>
          <w:rFonts w:hint="eastAsia"/>
          <w:sz w:val="24"/>
          <w:szCs w:val="24"/>
          <w:lang w:eastAsia="zh-CN"/>
        </w:rPr>
        <w:t>11</w:t>
      </w:r>
      <w:r w:rsidRPr="001F6FBE">
        <w:rPr>
          <w:rFonts w:hint="eastAsia"/>
          <w:sz w:val="24"/>
          <w:szCs w:val="24"/>
          <w:lang w:eastAsia="zh-CN"/>
        </w:rPr>
        <w:t>月</w:t>
      </w:r>
      <w:r w:rsidRPr="001F6FBE">
        <w:rPr>
          <w:rFonts w:hint="eastAsia"/>
          <w:sz w:val="24"/>
          <w:szCs w:val="24"/>
          <w:lang w:eastAsia="zh-CN"/>
        </w:rPr>
        <w:t>1</w:t>
      </w:r>
      <w:r w:rsidRPr="001F6FBE">
        <w:rPr>
          <w:rFonts w:hint="eastAsia"/>
          <w:sz w:val="24"/>
          <w:szCs w:val="24"/>
          <w:lang w:eastAsia="zh-CN"/>
        </w:rPr>
        <w:t>日第</w:t>
      </w:r>
      <w:hyperlink r:id="rId35" w:history="1">
        <w:r w:rsidRPr="001F6FBE">
          <w:rPr>
            <w:rStyle w:val="Hyperlink"/>
            <w:rFonts w:hint="eastAsia"/>
            <w:sz w:val="24"/>
            <w:szCs w:val="24"/>
            <w:lang w:eastAsia="zh-CN"/>
          </w:rPr>
          <w:t>16/2</w:t>
        </w:r>
      </w:hyperlink>
      <w:r w:rsidRPr="001F6FBE">
        <w:rPr>
          <w:rFonts w:hint="eastAsia"/>
          <w:sz w:val="24"/>
          <w:szCs w:val="24"/>
          <w:lang w:eastAsia="zh-CN"/>
        </w:rPr>
        <w:t>号决定附件第</w:t>
      </w:r>
      <w:r w:rsidRPr="001F6FBE">
        <w:rPr>
          <w:rFonts w:hint="eastAsia"/>
          <w:sz w:val="24"/>
          <w:szCs w:val="24"/>
          <w:lang w:eastAsia="zh-CN"/>
        </w:rPr>
        <w:t>15</w:t>
      </w:r>
      <w:r w:rsidRPr="001F6FBE">
        <w:rPr>
          <w:rFonts w:hint="eastAsia"/>
          <w:sz w:val="24"/>
          <w:szCs w:val="24"/>
          <w:lang w:eastAsia="zh-CN"/>
        </w:rPr>
        <w:t>段和第</w:t>
      </w:r>
      <w:r w:rsidRPr="001F6FBE">
        <w:rPr>
          <w:rFonts w:hint="eastAsia"/>
          <w:sz w:val="24"/>
          <w:szCs w:val="24"/>
          <w:lang w:eastAsia="zh-CN"/>
        </w:rPr>
        <w:t>26</w:t>
      </w:r>
      <w:r w:rsidRPr="001F6FBE">
        <w:rPr>
          <w:rFonts w:hint="eastAsia"/>
          <w:sz w:val="24"/>
          <w:szCs w:val="24"/>
          <w:lang w:eastAsia="zh-CN"/>
        </w:rPr>
        <w:t>段有关的工作，并邀请指导委员会在其秘书处的支持下进一步开展相关工作，重点关注证书的签发、法律效力和范围，同时考虑到</w:t>
      </w:r>
      <w:r w:rsidRPr="001F6FBE">
        <w:rPr>
          <w:rFonts w:hint="eastAsia"/>
          <w:sz w:val="24"/>
          <w:szCs w:val="24"/>
          <w:lang w:eastAsia="zh-CN"/>
        </w:rPr>
        <w:t>2022</w:t>
      </w:r>
      <w:r w:rsidRPr="001F6FBE">
        <w:rPr>
          <w:rFonts w:hint="eastAsia"/>
          <w:sz w:val="24"/>
          <w:szCs w:val="24"/>
          <w:lang w:eastAsia="zh-CN"/>
        </w:rPr>
        <w:t>年</w:t>
      </w:r>
      <w:r w:rsidRPr="001F6FBE">
        <w:rPr>
          <w:rFonts w:hint="eastAsia"/>
          <w:sz w:val="24"/>
          <w:szCs w:val="24"/>
          <w:lang w:eastAsia="zh-CN"/>
        </w:rPr>
        <w:t>12</w:t>
      </w:r>
      <w:r w:rsidRPr="001F6FBE">
        <w:rPr>
          <w:rFonts w:hint="eastAsia"/>
          <w:sz w:val="24"/>
          <w:szCs w:val="24"/>
          <w:lang w:eastAsia="zh-CN"/>
        </w:rPr>
        <w:t>月</w:t>
      </w:r>
      <w:r w:rsidRPr="001F6FBE">
        <w:rPr>
          <w:rFonts w:hint="eastAsia"/>
          <w:sz w:val="24"/>
          <w:szCs w:val="24"/>
          <w:lang w:eastAsia="zh-CN"/>
        </w:rPr>
        <w:t>19</w:t>
      </w:r>
      <w:r w:rsidRPr="001F6FBE">
        <w:rPr>
          <w:rFonts w:hint="eastAsia"/>
          <w:sz w:val="24"/>
          <w:szCs w:val="24"/>
          <w:lang w:eastAsia="zh-CN"/>
        </w:rPr>
        <w:t>日第</w:t>
      </w:r>
      <w:hyperlink r:id="rId36" w:history="1">
        <w:r w:rsidRPr="001F6FBE">
          <w:rPr>
            <w:rStyle w:val="Hyperlink"/>
            <w:rFonts w:hint="eastAsia"/>
            <w:sz w:val="24"/>
            <w:szCs w:val="24"/>
            <w:lang w:eastAsia="zh-CN"/>
          </w:rPr>
          <w:t>15/9</w:t>
        </w:r>
      </w:hyperlink>
      <w:r w:rsidRPr="001F6FBE">
        <w:rPr>
          <w:rFonts w:hint="eastAsia"/>
          <w:sz w:val="24"/>
          <w:szCs w:val="24"/>
          <w:lang w:eastAsia="zh-CN"/>
        </w:rPr>
        <w:t>号决定第</w:t>
      </w:r>
      <w:r w:rsidRPr="001F6FBE">
        <w:rPr>
          <w:rFonts w:hint="eastAsia"/>
          <w:sz w:val="24"/>
          <w:szCs w:val="24"/>
          <w:lang w:eastAsia="zh-CN"/>
        </w:rPr>
        <w:t>9</w:t>
      </w:r>
      <w:r w:rsidRPr="001F6FBE">
        <w:rPr>
          <w:rFonts w:hint="eastAsia"/>
          <w:sz w:val="24"/>
          <w:szCs w:val="24"/>
          <w:lang w:eastAsia="zh-CN"/>
        </w:rPr>
        <w:t>段和第</w:t>
      </w:r>
      <w:r w:rsidRPr="001F6FBE">
        <w:rPr>
          <w:rFonts w:hint="eastAsia"/>
          <w:sz w:val="24"/>
          <w:szCs w:val="24"/>
          <w:lang w:eastAsia="zh-CN"/>
        </w:rPr>
        <w:t>10</w:t>
      </w:r>
      <w:r w:rsidRPr="001F6FBE">
        <w:rPr>
          <w:rFonts w:hint="eastAsia"/>
          <w:sz w:val="24"/>
          <w:szCs w:val="24"/>
          <w:lang w:eastAsia="zh-CN"/>
        </w:rPr>
        <w:t>段中的评判</w:t>
      </w:r>
      <w:r w:rsidR="00932778" w:rsidRPr="001F6FBE">
        <w:rPr>
          <w:rFonts w:hint="eastAsia"/>
          <w:sz w:val="24"/>
          <w:szCs w:val="24"/>
          <w:lang w:eastAsia="zh-CN"/>
        </w:rPr>
        <w:t>标准</w:t>
      </w:r>
      <w:r w:rsidRPr="001F6FBE">
        <w:rPr>
          <w:rFonts w:hint="eastAsia"/>
          <w:sz w:val="24"/>
          <w:szCs w:val="24"/>
          <w:lang w:eastAsia="zh-CN"/>
        </w:rPr>
        <w:t>；</w:t>
      </w:r>
    </w:p>
    <w:p w14:paraId="2ED54ADD" w14:textId="77777777"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11.</w:t>
      </w:r>
      <w:r w:rsidRPr="001F6FBE">
        <w:rPr>
          <w:rFonts w:hint="eastAsia"/>
          <w:i/>
          <w:iCs/>
          <w:sz w:val="24"/>
          <w:szCs w:val="24"/>
          <w:lang w:eastAsia="zh-CN"/>
        </w:rPr>
        <w:tab/>
      </w:r>
      <w:r w:rsidRPr="001F6FBE">
        <w:rPr>
          <w:rFonts w:ascii="KaiTi_GB2312" w:eastAsia="KaiTi" w:hint="eastAsia"/>
          <w:sz w:val="24"/>
          <w:szCs w:val="24"/>
          <w:lang w:eastAsia="zh-CN"/>
        </w:rPr>
        <w:t>鼓励</w:t>
      </w:r>
      <w:r w:rsidRPr="001F6FBE">
        <w:rPr>
          <w:rFonts w:hint="eastAsia"/>
          <w:sz w:val="24"/>
          <w:szCs w:val="24"/>
          <w:lang w:eastAsia="zh-CN"/>
        </w:rPr>
        <w:t>缔约方和非缔约方根据本国法律，紧急创造必要的扶持性条件，以确保长期、稳定和可预测的货币惠益分享，包括确认卡利基金证书持有人在该证书所涉年份内无需在多边机制范围内再分享从利用此种信息所获得的货币惠益；</w:t>
      </w:r>
    </w:p>
    <w:p w14:paraId="47A5BCFA" w14:textId="2E226E79"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12.</w:t>
      </w:r>
      <w:r w:rsidRPr="001F6FBE">
        <w:rPr>
          <w:rFonts w:hint="eastAsia"/>
          <w:sz w:val="24"/>
          <w:szCs w:val="24"/>
          <w:lang w:eastAsia="zh-CN"/>
        </w:rPr>
        <w:tab/>
      </w:r>
      <w:r w:rsidRPr="001F6FBE">
        <w:rPr>
          <w:rFonts w:ascii="KaiTi_GB2312" w:eastAsia="KaiTi" w:hint="eastAsia"/>
          <w:sz w:val="24"/>
          <w:szCs w:val="24"/>
          <w:lang w:eastAsia="zh-CN"/>
        </w:rPr>
        <w:t>邀请</w:t>
      </w:r>
      <w:r w:rsidRPr="001F6FBE">
        <w:rPr>
          <w:rFonts w:hint="eastAsia"/>
          <w:sz w:val="24"/>
          <w:szCs w:val="24"/>
          <w:lang w:eastAsia="zh-CN"/>
        </w:rPr>
        <w:t>缔约方向多边机制临时秘书处提供意见，说明卡利基金证书为落实第</w:t>
      </w:r>
      <w:hyperlink r:id="rId37" w:history="1">
        <w:r w:rsidRPr="001F6FBE">
          <w:rPr>
            <w:rStyle w:val="Hyperlink"/>
            <w:rFonts w:hint="eastAsia"/>
            <w:sz w:val="24"/>
            <w:szCs w:val="24"/>
            <w:lang w:eastAsia="zh-CN"/>
          </w:rPr>
          <w:t>16/2</w:t>
        </w:r>
      </w:hyperlink>
      <w:r w:rsidRPr="001F6FBE">
        <w:rPr>
          <w:rFonts w:hint="eastAsia"/>
          <w:sz w:val="24"/>
          <w:szCs w:val="24"/>
          <w:lang w:eastAsia="zh-CN"/>
        </w:rPr>
        <w:t>号决定附件第</w:t>
      </w:r>
      <w:r w:rsidRPr="001F6FBE">
        <w:rPr>
          <w:rFonts w:hint="eastAsia"/>
          <w:sz w:val="24"/>
          <w:szCs w:val="24"/>
          <w:lang w:eastAsia="zh-CN"/>
        </w:rPr>
        <w:t>15</w:t>
      </w:r>
      <w:r w:rsidRPr="001F6FBE">
        <w:rPr>
          <w:rFonts w:hint="eastAsia"/>
          <w:sz w:val="24"/>
          <w:szCs w:val="24"/>
          <w:lang w:eastAsia="zh-CN"/>
        </w:rPr>
        <w:t>段所需的特征和要素，以及为确认此类证书或赋予其法律效力而可能需要在国家一级</w:t>
      </w:r>
      <w:r w:rsidR="00155602" w:rsidRPr="001F6FBE">
        <w:rPr>
          <w:rFonts w:hint="eastAsia"/>
          <w:sz w:val="24"/>
          <w:szCs w:val="24"/>
          <w:lang w:eastAsia="zh-CN"/>
        </w:rPr>
        <w:t>推进</w:t>
      </w:r>
      <w:r w:rsidRPr="001F6FBE">
        <w:rPr>
          <w:rFonts w:hint="eastAsia"/>
          <w:sz w:val="24"/>
          <w:szCs w:val="24"/>
          <w:lang w:eastAsia="zh-CN"/>
        </w:rPr>
        <w:t>的进程，同时考虑到任何相关的国家立法；</w:t>
      </w:r>
    </w:p>
    <w:p w14:paraId="3C4FA19B" w14:textId="77777777"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13.</w:t>
      </w:r>
      <w:r w:rsidRPr="001F6FBE">
        <w:rPr>
          <w:rFonts w:hint="eastAsia"/>
          <w:sz w:val="24"/>
          <w:szCs w:val="24"/>
          <w:lang w:eastAsia="zh-CN"/>
        </w:rPr>
        <w:tab/>
      </w:r>
      <w:r w:rsidRPr="001F6FBE">
        <w:rPr>
          <w:rFonts w:ascii="KaiTi_GB2312" w:eastAsia="KaiTi" w:hint="eastAsia"/>
          <w:sz w:val="24"/>
          <w:szCs w:val="24"/>
          <w:lang w:eastAsia="zh-CN"/>
        </w:rPr>
        <w:t>请</w:t>
      </w:r>
      <w:r w:rsidRPr="001F6FBE">
        <w:rPr>
          <w:rFonts w:hint="eastAsia"/>
          <w:sz w:val="24"/>
          <w:szCs w:val="24"/>
          <w:lang w:eastAsia="zh-CN"/>
        </w:rPr>
        <w:t>执行秘书汇编根据上文第</w:t>
      </w:r>
      <w:r w:rsidRPr="001F6FBE">
        <w:rPr>
          <w:rFonts w:hint="eastAsia"/>
          <w:sz w:val="24"/>
          <w:szCs w:val="24"/>
          <w:lang w:eastAsia="zh-CN"/>
        </w:rPr>
        <w:t>12</w:t>
      </w:r>
      <w:r w:rsidRPr="001F6FBE">
        <w:rPr>
          <w:rFonts w:hint="eastAsia"/>
          <w:sz w:val="24"/>
          <w:szCs w:val="24"/>
          <w:lang w:eastAsia="zh-CN"/>
        </w:rPr>
        <w:t>段提交的信息，并将其提供给指导委员会供其参考，以便委员会在提交缔约方大会第十八届会议的报告中特别加以考虑；</w:t>
      </w:r>
    </w:p>
    <w:p w14:paraId="55F78888" w14:textId="77777777" w:rsidR="0032305E" w:rsidRPr="001F6FBE" w:rsidRDefault="0032305E" w:rsidP="00D356F4">
      <w:pPr>
        <w:pStyle w:val="CBDH4"/>
        <w:overflowPunct w:val="0"/>
        <w:rPr>
          <w:sz w:val="24"/>
          <w:szCs w:val="24"/>
          <w:lang w:eastAsia="zh-CN"/>
        </w:rPr>
      </w:pPr>
      <w:r w:rsidRPr="001F6FBE">
        <w:rPr>
          <w:rFonts w:hint="eastAsia"/>
          <w:sz w:val="24"/>
          <w:szCs w:val="24"/>
          <w:lang w:eastAsia="zh-CN"/>
        </w:rPr>
        <w:tab/>
      </w:r>
      <w:r w:rsidRPr="001F6FBE">
        <w:rPr>
          <w:rFonts w:hint="eastAsia"/>
          <w:sz w:val="24"/>
          <w:szCs w:val="24"/>
          <w:lang w:eastAsia="zh-CN"/>
        </w:rPr>
        <w:t>三</w:t>
      </w:r>
      <w:r w:rsidRPr="001F6FBE">
        <w:rPr>
          <w:rFonts w:hint="eastAsia"/>
          <w:sz w:val="24"/>
          <w:szCs w:val="24"/>
          <w:lang w:eastAsia="zh-CN"/>
        </w:rPr>
        <w:br/>
      </w:r>
      <w:r w:rsidRPr="001F6FBE">
        <w:rPr>
          <w:rFonts w:hint="eastAsia"/>
          <w:sz w:val="24"/>
          <w:szCs w:val="24"/>
          <w:lang w:eastAsia="zh-CN"/>
        </w:rPr>
        <w:t>分配方法</w:t>
      </w:r>
    </w:p>
    <w:p w14:paraId="143D9F5A" w14:textId="7452E90E" w:rsidR="0032305E" w:rsidRPr="00AD6CBE" w:rsidRDefault="0032305E" w:rsidP="00D356F4">
      <w:pPr>
        <w:pStyle w:val="CBDNormalNoNumber"/>
        <w:tabs>
          <w:tab w:val="clear" w:pos="2268"/>
          <w:tab w:val="left" w:pos="1785"/>
        </w:tabs>
        <w:overflowPunct w:val="0"/>
        <w:ind w:firstLine="567"/>
        <w:rPr>
          <w:sz w:val="24"/>
          <w:szCs w:val="24"/>
          <w:lang w:eastAsia="zh-CN"/>
        </w:rPr>
      </w:pPr>
      <w:r w:rsidRPr="001F6FBE">
        <w:rPr>
          <w:rFonts w:hint="eastAsia"/>
          <w:sz w:val="24"/>
          <w:szCs w:val="24"/>
          <w:lang w:eastAsia="zh-CN"/>
        </w:rPr>
        <w:t>14.</w:t>
      </w:r>
      <w:r w:rsidRPr="001F6FBE">
        <w:rPr>
          <w:rFonts w:hint="eastAsia"/>
          <w:sz w:val="24"/>
          <w:szCs w:val="24"/>
          <w:lang w:eastAsia="zh-CN"/>
        </w:rPr>
        <w:tab/>
      </w:r>
      <w:r w:rsidRPr="00AD6CBE">
        <w:rPr>
          <w:rFonts w:ascii="KaiTi_GB2312" w:eastAsia="KaiTi" w:hint="eastAsia"/>
          <w:sz w:val="24"/>
          <w:szCs w:val="24"/>
          <w:lang w:eastAsia="zh-CN"/>
        </w:rPr>
        <w:t>赞赏地欢迎</w:t>
      </w:r>
      <w:r w:rsidRPr="00AD6CBE">
        <w:rPr>
          <w:rFonts w:hint="eastAsia"/>
          <w:sz w:val="24"/>
          <w:szCs w:val="24"/>
          <w:lang w:eastAsia="zh-CN"/>
        </w:rPr>
        <w:t>分配方法</w:t>
      </w:r>
      <w:r w:rsidR="00103D37" w:rsidRPr="00AD6CBE">
        <w:rPr>
          <w:rFonts w:hint="eastAsia"/>
          <w:sz w:val="24"/>
          <w:szCs w:val="24"/>
          <w:lang w:eastAsia="zh-CN"/>
        </w:rPr>
        <w:t>问题</w:t>
      </w:r>
      <w:bookmarkStart w:id="2" w:name="OLE_LINK2"/>
      <w:r w:rsidRPr="00AD6CBE">
        <w:rPr>
          <w:rFonts w:hint="eastAsia"/>
          <w:sz w:val="24"/>
          <w:szCs w:val="24"/>
          <w:lang w:eastAsia="zh-CN"/>
        </w:rPr>
        <w:t>特设技术专家组</w:t>
      </w:r>
      <w:bookmarkEnd w:id="2"/>
      <w:r w:rsidRPr="00AD6CBE">
        <w:rPr>
          <w:rFonts w:hint="eastAsia"/>
          <w:sz w:val="24"/>
          <w:szCs w:val="24"/>
          <w:lang w:eastAsia="zh-CN"/>
        </w:rPr>
        <w:t>关于卡利基金资金发放的工作成果；</w:t>
      </w:r>
      <w:r w:rsidRPr="00AD6CBE">
        <w:rPr>
          <w:rStyle w:val="FootnoteReference"/>
          <w:rFonts w:hint="eastAsia"/>
          <w:sz w:val="24"/>
          <w:szCs w:val="24"/>
          <w:lang w:eastAsia="zh-CN"/>
        </w:rPr>
        <w:footnoteReference w:id="8"/>
      </w:r>
    </w:p>
    <w:p w14:paraId="1B170049" w14:textId="77777777"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15.</w:t>
      </w:r>
      <w:r w:rsidRPr="001F6FBE">
        <w:rPr>
          <w:rFonts w:hint="eastAsia"/>
          <w:sz w:val="24"/>
          <w:szCs w:val="24"/>
          <w:lang w:eastAsia="zh-CN"/>
        </w:rPr>
        <w:tab/>
      </w:r>
      <w:r w:rsidRPr="001F6FBE">
        <w:rPr>
          <w:rFonts w:ascii="KaiTi_GB2312" w:eastAsia="KaiTi" w:hint="eastAsia"/>
          <w:sz w:val="24"/>
          <w:szCs w:val="24"/>
          <w:lang w:eastAsia="zh-CN"/>
        </w:rPr>
        <w:t>表示注意到</w:t>
      </w:r>
      <w:r w:rsidRPr="001F6FBE">
        <w:rPr>
          <w:rFonts w:hint="eastAsia"/>
          <w:sz w:val="24"/>
          <w:szCs w:val="24"/>
          <w:lang w:eastAsia="zh-CN"/>
        </w:rPr>
        <w:t>分配公式及其今后修订工作的设计原则，即公平、公正和影响力；效率；透明度和信任；以及可扩展性和长期适用性；</w:t>
      </w:r>
    </w:p>
    <w:p w14:paraId="5C72BA06" w14:textId="77777777"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16.</w:t>
      </w:r>
      <w:r w:rsidRPr="001F6FBE">
        <w:rPr>
          <w:rFonts w:hint="eastAsia"/>
          <w:sz w:val="24"/>
          <w:szCs w:val="24"/>
          <w:lang w:eastAsia="zh-CN"/>
        </w:rPr>
        <w:tab/>
      </w:r>
      <w:r w:rsidRPr="001F6FBE">
        <w:rPr>
          <w:rFonts w:ascii="KaiTi_GB2312" w:eastAsia="KaiTi" w:hint="eastAsia"/>
          <w:sz w:val="24"/>
          <w:szCs w:val="24"/>
          <w:lang w:eastAsia="zh-CN"/>
        </w:rPr>
        <w:t>通过</w:t>
      </w:r>
      <w:r w:rsidRPr="001F6FBE">
        <w:rPr>
          <w:rFonts w:hint="eastAsia"/>
          <w:sz w:val="24"/>
          <w:szCs w:val="24"/>
          <w:lang w:eastAsia="zh-CN"/>
        </w:rPr>
        <w:t>附件一所载的卡利基金资金拨付分配方法，</w:t>
      </w:r>
      <w:r w:rsidRPr="001F6FBE">
        <w:rPr>
          <w:rStyle w:val="FootnoteReference"/>
          <w:rFonts w:hint="eastAsia"/>
          <w:sz w:val="24"/>
          <w:szCs w:val="24"/>
          <w:lang w:eastAsia="zh-CN"/>
        </w:rPr>
        <w:footnoteReference w:id="9"/>
      </w:r>
      <w:r w:rsidRPr="001F6FBE">
        <w:rPr>
          <w:rFonts w:hint="eastAsia"/>
          <w:sz w:val="24"/>
          <w:szCs w:val="24"/>
          <w:lang w:eastAsia="zh-CN"/>
        </w:rPr>
        <w:t>用于计算向各国政府分配的资金；</w:t>
      </w:r>
    </w:p>
    <w:p w14:paraId="3857594A" w14:textId="77777777"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17.</w:t>
      </w:r>
      <w:r w:rsidRPr="001F6FBE">
        <w:rPr>
          <w:rFonts w:hint="eastAsia"/>
          <w:sz w:val="24"/>
          <w:szCs w:val="24"/>
          <w:lang w:eastAsia="zh-CN"/>
        </w:rPr>
        <w:tab/>
      </w:r>
      <w:r w:rsidRPr="001F6FBE">
        <w:rPr>
          <w:rFonts w:ascii="KaiTi_GB2312" w:eastAsia="KaiTi" w:hint="eastAsia"/>
          <w:sz w:val="24"/>
          <w:szCs w:val="24"/>
          <w:lang w:eastAsia="zh-CN"/>
        </w:rPr>
        <w:t>还通过</w:t>
      </w:r>
      <w:r w:rsidRPr="001F6FBE">
        <w:rPr>
          <w:rFonts w:hint="eastAsia"/>
          <w:sz w:val="24"/>
          <w:szCs w:val="24"/>
          <w:lang w:eastAsia="zh-CN"/>
        </w:rPr>
        <w:t>临时采用同一方法计算向土著人民和地方社区分配的资金，此举遵循包括卡利基金在内的多边机制指导委员会的建议；</w:t>
      </w:r>
    </w:p>
    <w:p w14:paraId="0A092EF2" w14:textId="77777777" w:rsidR="0032305E" w:rsidRPr="001F6FBE" w:rsidRDefault="0032305E" w:rsidP="00D356F4">
      <w:pPr>
        <w:pStyle w:val="CBDNormalNoNumber"/>
        <w:keepNext/>
        <w:overflowPunct w:val="0"/>
        <w:ind w:firstLine="567"/>
        <w:rPr>
          <w:sz w:val="24"/>
          <w:szCs w:val="24"/>
          <w:lang w:eastAsia="zh-CN"/>
        </w:rPr>
      </w:pPr>
      <w:r w:rsidRPr="001F6FBE">
        <w:rPr>
          <w:rFonts w:hint="eastAsia"/>
          <w:sz w:val="24"/>
          <w:szCs w:val="24"/>
          <w:lang w:eastAsia="zh-CN"/>
        </w:rPr>
        <w:t>18.</w:t>
      </w:r>
      <w:r w:rsidRPr="001F6FBE">
        <w:rPr>
          <w:rFonts w:hint="eastAsia"/>
          <w:sz w:val="24"/>
          <w:szCs w:val="24"/>
          <w:lang w:eastAsia="zh-CN"/>
        </w:rPr>
        <w:tab/>
      </w:r>
      <w:r w:rsidRPr="001F6FBE">
        <w:rPr>
          <w:rFonts w:ascii="KaiTi_GB2312" w:eastAsia="KaiTi" w:hint="eastAsia"/>
          <w:sz w:val="24"/>
          <w:szCs w:val="24"/>
          <w:lang w:eastAsia="zh-CN"/>
        </w:rPr>
        <w:t>邀请</w:t>
      </w:r>
      <w:r w:rsidRPr="001F6FBE">
        <w:rPr>
          <w:rFonts w:hint="eastAsia"/>
          <w:sz w:val="24"/>
          <w:szCs w:val="24"/>
          <w:lang w:eastAsia="zh-CN"/>
        </w:rPr>
        <w:t>指导委员会：</w:t>
      </w:r>
    </w:p>
    <w:p w14:paraId="1D5AC332" w14:textId="41A04FA5"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(a)</w:t>
      </w:r>
      <w:r w:rsidRPr="001F6FBE">
        <w:rPr>
          <w:rFonts w:hint="eastAsia"/>
          <w:sz w:val="24"/>
          <w:szCs w:val="24"/>
          <w:lang w:eastAsia="zh-CN"/>
        </w:rPr>
        <w:tab/>
      </w:r>
      <w:r w:rsidRPr="001F6FBE">
        <w:rPr>
          <w:rFonts w:hint="eastAsia"/>
          <w:sz w:val="24"/>
          <w:szCs w:val="24"/>
          <w:lang w:eastAsia="zh-CN"/>
        </w:rPr>
        <w:t>随时了解新的或更新的数据，特别是用作《昆明</w:t>
      </w:r>
      <w:r w:rsidRPr="001F6FBE">
        <w:rPr>
          <w:rFonts w:hint="eastAsia"/>
          <w:sz w:val="24"/>
          <w:szCs w:val="24"/>
          <w:lang w:eastAsia="zh-CN"/>
        </w:rPr>
        <w:t>-</w:t>
      </w:r>
      <w:r w:rsidRPr="001F6FBE">
        <w:rPr>
          <w:rFonts w:hint="eastAsia"/>
          <w:sz w:val="24"/>
          <w:szCs w:val="24"/>
          <w:lang w:eastAsia="zh-CN"/>
        </w:rPr>
        <w:t>蒙特利尔全球生物多样性框架》指标的数据，</w:t>
      </w:r>
      <w:r w:rsidRPr="001F6FBE">
        <w:rPr>
          <w:rStyle w:val="FootnoteReference"/>
          <w:rFonts w:hint="eastAsia"/>
          <w:sz w:val="24"/>
          <w:szCs w:val="24"/>
          <w:lang w:eastAsia="zh-CN"/>
        </w:rPr>
        <w:footnoteReference w:id="10"/>
      </w:r>
      <w:r w:rsidRPr="001F6FBE">
        <w:rPr>
          <w:rFonts w:hint="eastAsia"/>
          <w:sz w:val="24"/>
          <w:szCs w:val="24"/>
          <w:lang w:eastAsia="zh-CN"/>
        </w:rPr>
        <w:t>以便应用该分配方法；</w:t>
      </w:r>
    </w:p>
    <w:p w14:paraId="3DFF215E" w14:textId="77777777"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(b)</w:t>
      </w:r>
      <w:r w:rsidRPr="001F6FBE">
        <w:rPr>
          <w:rFonts w:hint="eastAsia"/>
          <w:sz w:val="24"/>
          <w:szCs w:val="24"/>
          <w:lang w:eastAsia="zh-CN"/>
        </w:rPr>
        <w:tab/>
      </w:r>
      <w:r w:rsidRPr="001F6FBE">
        <w:rPr>
          <w:rFonts w:hint="eastAsia"/>
          <w:sz w:val="24"/>
          <w:szCs w:val="24"/>
          <w:lang w:eastAsia="zh-CN"/>
        </w:rPr>
        <w:t>继续开展工作，完善用于计算向土著人民和地方社区分配资金的方法；</w:t>
      </w:r>
    </w:p>
    <w:p w14:paraId="7FAFE292" w14:textId="79F4EEB9"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lastRenderedPageBreak/>
        <w:t>(c)</w:t>
      </w:r>
      <w:r w:rsidRPr="001F6FBE">
        <w:rPr>
          <w:rFonts w:hint="eastAsia"/>
          <w:sz w:val="24"/>
          <w:szCs w:val="24"/>
          <w:lang w:eastAsia="zh-CN"/>
        </w:rPr>
        <w:tab/>
      </w:r>
      <w:r w:rsidRPr="001F6FBE">
        <w:rPr>
          <w:rFonts w:hint="eastAsia"/>
          <w:sz w:val="24"/>
          <w:szCs w:val="24"/>
          <w:lang w:eastAsia="zh-CN"/>
        </w:rPr>
        <w:t>在提交缔约方大会第十八届会议的报告中列入</w:t>
      </w:r>
      <w:r w:rsidRPr="001F6FBE">
        <w:rPr>
          <w:rFonts w:hint="eastAsia"/>
          <w:sz w:val="24"/>
          <w:szCs w:val="24"/>
          <w:lang w:val="en-US" w:eastAsia="zh-CN"/>
        </w:rPr>
        <w:t>其开展</w:t>
      </w:r>
      <w:r w:rsidRPr="001F6FBE">
        <w:rPr>
          <w:rFonts w:hint="eastAsia"/>
          <w:sz w:val="24"/>
          <w:szCs w:val="24"/>
          <w:lang w:eastAsia="zh-CN"/>
        </w:rPr>
        <w:t>上文第</w:t>
      </w:r>
      <w:r w:rsidRPr="001F6FBE">
        <w:rPr>
          <w:rFonts w:hint="eastAsia"/>
          <w:sz w:val="24"/>
          <w:szCs w:val="24"/>
          <w:lang w:eastAsia="zh-CN"/>
        </w:rPr>
        <w:t>18(a)</w:t>
      </w:r>
      <w:r w:rsidRPr="001F6FBE">
        <w:rPr>
          <w:rFonts w:hint="eastAsia"/>
          <w:sz w:val="24"/>
          <w:szCs w:val="24"/>
          <w:lang w:eastAsia="zh-CN"/>
        </w:rPr>
        <w:t>和</w:t>
      </w:r>
      <w:r w:rsidRPr="001F6FBE">
        <w:rPr>
          <w:rFonts w:hint="eastAsia"/>
          <w:sz w:val="24"/>
          <w:szCs w:val="24"/>
          <w:lang w:eastAsia="zh-CN"/>
        </w:rPr>
        <w:t>(b)</w:t>
      </w:r>
      <w:r w:rsidRPr="001F6FBE">
        <w:rPr>
          <w:rFonts w:hint="eastAsia"/>
          <w:sz w:val="24"/>
          <w:szCs w:val="24"/>
          <w:lang w:eastAsia="zh-CN"/>
        </w:rPr>
        <w:t>分段相关工作的情况；</w:t>
      </w:r>
    </w:p>
    <w:p w14:paraId="1993E990" w14:textId="4F9F2251"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19.</w:t>
      </w:r>
      <w:r w:rsidRPr="001F6FBE">
        <w:rPr>
          <w:rFonts w:hint="eastAsia"/>
          <w:sz w:val="24"/>
          <w:szCs w:val="24"/>
          <w:lang w:eastAsia="zh-CN"/>
        </w:rPr>
        <w:tab/>
      </w:r>
      <w:r w:rsidRPr="001F6FBE">
        <w:rPr>
          <w:rFonts w:ascii="KaiTi_GB2312" w:eastAsia="KaiTi" w:hint="eastAsia"/>
          <w:sz w:val="24"/>
          <w:szCs w:val="24"/>
          <w:lang w:eastAsia="zh-CN"/>
        </w:rPr>
        <w:t>请</w:t>
      </w:r>
      <w:r w:rsidRPr="001F6FBE">
        <w:rPr>
          <w:rFonts w:hint="eastAsia"/>
          <w:sz w:val="24"/>
          <w:szCs w:val="24"/>
          <w:lang w:eastAsia="zh-CN"/>
        </w:rPr>
        <w:t>执行秘书在资源允许的情况下，委托编写一份报告，说明卡利基金分配方法标准</w:t>
      </w:r>
      <w:r w:rsidRPr="001F6FBE">
        <w:rPr>
          <w:rFonts w:hint="eastAsia"/>
          <w:sz w:val="24"/>
          <w:szCs w:val="24"/>
          <w:lang w:eastAsia="zh-CN"/>
        </w:rPr>
        <w:t>(b)</w:t>
      </w:r>
      <w:r w:rsidRPr="001F6FBE">
        <w:rPr>
          <w:rFonts w:hint="eastAsia"/>
          <w:sz w:val="24"/>
          <w:szCs w:val="24"/>
          <w:lang w:eastAsia="zh-CN"/>
        </w:rPr>
        <w:t>指标的可能数据源，即数据库中遗传资源数字序列信息所源自的遗传资源的地理来源，或其最佳等效来源，以及该指标的保管方，以便在分配方法中使用该指标，同时考虑到其与公式中其他标准的潜在联系，供执行问题附属机构在缔约方大会第十八届会议之前举行的</w:t>
      </w:r>
      <w:r w:rsidR="00C85163">
        <w:rPr>
          <w:rFonts w:hint="eastAsia"/>
          <w:sz w:val="24"/>
          <w:szCs w:val="24"/>
          <w:lang w:eastAsia="zh-CN"/>
        </w:rPr>
        <w:t>一次</w:t>
      </w:r>
      <w:r w:rsidRPr="001F6FBE">
        <w:rPr>
          <w:rFonts w:hint="eastAsia"/>
          <w:sz w:val="24"/>
          <w:szCs w:val="24"/>
          <w:lang w:eastAsia="zh-CN"/>
        </w:rPr>
        <w:t>会议审议；</w:t>
      </w:r>
    </w:p>
    <w:p w14:paraId="5A73E9CA" w14:textId="11094B50" w:rsidR="0032305E" w:rsidRPr="001F6FBE" w:rsidRDefault="0032305E" w:rsidP="00D356F4">
      <w:pPr>
        <w:pStyle w:val="CBDNormalNoNumber"/>
        <w:overflowPunct w:val="0"/>
        <w:ind w:firstLine="567"/>
        <w:rPr>
          <w:sz w:val="24"/>
          <w:szCs w:val="24"/>
          <w:lang w:eastAsia="zh-CN"/>
        </w:rPr>
      </w:pPr>
      <w:r w:rsidRPr="001F6FBE">
        <w:rPr>
          <w:rFonts w:hint="eastAsia"/>
          <w:sz w:val="24"/>
          <w:szCs w:val="24"/>
          <w:lang w:eastAsia="zh-CN"/>
        </w:rPr>
        <w:t>20.</w:t>
      </w:r>
      <w:r w:rsidRPr="001F6FBE">
        <w:rPr>
          <w:rFonts w:hint="eastAsia"/>
          <w:i/>
          <w:iCs/>
          <w:sz w:val="24"/>
          <w:szCs w:val="24"/>
          <w:lang w:eastAsia="zh-CN"/>
        </w:rPr>
        <w:tab/>
      </w:r>
      <w:r w:rsidRPr="001F6FBE">
        <w:rPr>
          <w:rFonts w:ascii="KaiTi_GB2312" w:eastAsia="KaiTi" w:hint="eastAsia"/>
          <w:sz w:val="24"/>
          <w:szCs w:val="24"/>
          <w:lang w:eastAsia="zh-CN"/>
        </w:rPr>
        <w:t>请</w:t>
      </w:r>
      <w:r w:rsidRPr="001F6FBE">
        <w:rPr>
          <w:rFonts w:hint="eastAsia"/>
          <w:sz w:val="24"/>
          <w:szCs w:val="24"/>
          <w:lang w:eastAsia="zh-CN"/>
        </w:rPr>
        <w:t>执行问题附属机构在缔约方大会第十八届会议之前举行的</w:t>
      </w:r>
      <w:r w:rsidR="00C85163">
        <w:rPr>
          <w:rFonts w:hint="eastAsia"/>
          <w:sz w:val="24"/>
          <w:szCs w:val="24"/>
          <w:lang w:eastAsia="zh-CN"/>
        </w:rPr>
        <w:t>一次</w:t>
      </w:r>
      <w:r w:rsidRPr="001F6FBE">
        <w:rPr>
          <w:rFonts w:hint="eastAsia"/>
          <w:sz w:val="24"/>
          <w:szCs w:val="24"/>
          <w:lang w:eastAsia="zh-CN"/>
        </w:rPr>
        <w:t>会议上审议上文第</w:t>
      </w:r>
      <w:r w:rsidRPr="001F6FBE">
        <w:rPr>
          <w:rFonts w:hint="eastAsia"/>
          <w:sz w:val="24"/>
          <w:szCs w:val="24"/>
          <w:lang w:eastAsia="zh-CN"/>
        </w:rPr>
        <w:t>19</w:t>
      </w:r>
      <w:r w:rsidRPr="001F6FBE">
        <w:rPr>
          <w:rFonts w:hint="eastAsia"/>
          <w:sz w:val="24"/>
          <w:szCs w:val="24"/>
          <w:lang w:eastAsia="zh-CN"/>
        </w:rPr>
        <w:t>段所述工作的成果，并就分配方法</w:t>
      </w:r>
      <w:r w:rsidR="00703A3A" w:rsidRPr="001F6FBE">
        <w:rPr>
          <w:rFonts w:hint="eastAsia"/>
          <w:sz w:val="24"/>
          <w:szCs w:val="24"/>
          <w:lang w:eastAsia="zh-CN"/>
        </w:rPr>
        <w:t>评判</w:t>
      </w:r>
      <w:r w:rsidRPr="001F6FBE">
        <w:rPr>
          <w:rFonts w:hint="eastAsia"/>
          <w:sz w:val="24"/>
          <w:szCs w:val="24"/>
          <w:lang w:eastAsia="zh-CN"/>
        </w:rPr>
        <w:t>标准</w:t>
      </w:r>
      <w:r w:rsidRPr="001F6FBE">
        <w:rPr>
          <w:rFonts w:hint="eastAsia"/>
          <w:sz w:val="24"/>
          <w:szCs w:val="24"/>
          <w:lang w:eastAsia="zh-CN"/>
        </w:rPr>
        <w:t>(b)</w:t>
      </w:r>
      <w:r w:rsidRPr="001F6FBE">
        <w:rPr>
          <w:rFonts w:hint="eastAsia"/>
          <w:sz w:val="24"/>
          <w:szCs w:val="24"/>
          <w:lang w:eastAsia="zh-CN"/>
        </w:rPr>
        <w:t>的数据源选项向缔约方大会第十八届会议提出建议；</w:t>
      </w:r>
    </w:p>
    <w:p w14:paraId="24E8608F" w14:textId="77777777" w:rsidR="00544C3C" w:rsidRDefault="0032305E" w:rsidP="00544C3C">
      <w:pPr>
        <w:pStyle w:val="CBDH4"/>
        <w:overflowPunct w:val="0"/>
        <w:spacing w:after="0"/>
        <w:ind w:firstLine="0"/>
        <w:rPr>
          <w:sz w:val="24"/>
          <w:szCs w:val="24"/>
          <w:lang w:eastAsia="zh-CN"/>
        </w:rPr>
      </w:pPr>
      <w:r w:rsidRPr="001F6FBE">
        <w:rPr>
          <w:rFonts w:hint="eastAsia"/>
          <w:sz w:val="24"/>
          <w:szCs w:val="24"/>
          <w:lang w:eastAsia="zh-CN"/>
        </w:rPr>
        <w:t>四</w:t>
      </w:r>
    </w:p>
    <w:p w14:paraId="2BDCD83B" w14:textId="3228CB67" w:rsidR="0032305E" w:rsidRPr="001F6FBE" w:rsidRDefault="0032305E" w:rsidP="00544C3C">
      <w:pPr>
        <w:pStyle w:val="CBDH4"/>
        <w:overflowPunct w:val="0"/>
        <w:spacing w:before="0"/>
        <w:ind w:firstLine="0"/>
        <w:rPr>
          <w:sz w:val="24"/>
          <w:szCs w:val="24"/>
          <w:lang w:eastAsia="zh-CN"/>
        </w:rPr>
      </w:pPr>
      <w:r w:rsidRPr="001F6FBE">
        <w:rPr>
          <w:rFonts w:hint="eastAsia"/>
          <w:sz w:val="24"/>
          <w:szCs w:val="24"/>
          <w:lang w:eastAsia="zh-CN"/>
        </w:rPr>
        <w:t>包括卡利基金在内的多边机制指导委员会</w:t>
      </w:r>
    </w:p>
    <w:p w14:paraId="52600DD9" w14:textId="77777777" w:rsidR="0032305E" w:rsidRPr="001F6FBE" w:rsidRDefault="0032305E" w:rsidP="00992F88">
      <w:pPr>
        <w:pStyle w:val="CBDNormalNoNumber"/>
        <w:overflowPunct w:val="0"/>
        <w:ind w:firstLine="567"/>
        <w:rPr>
          <w:sz w:val="24"/>
          <w:szCs w:val="24"/>
          <w:lang w:eastAsia="zh-CN"/>
        </w:rPr>
      </w:pPr>
      <w:r w:rsidRPr="001F6FBE">
        <w:rPr>
          <w:rFonts w:hint="eastAsia"/>
          <w:sz w:val="24"/>
          <w:szCs w:val="24"/>
          <w:lang w:eastAsia="zh-CN"/>
        </w:rPr>
        <w:t>21.</w:t>
      </w:r>
      <w:r w:rsidRPr="001F6FBE">
        <w:rPr>
          <w:rFonts w:hint="eastAsia"/>
          <w:sz w:val="24"/>
          <w:szCs w:val="24"/>
          <w:lang w:eastAsia="zh-CN"/>
        </w:rPr>
        <w:tab/>
      </w:r>
      <w:r w:rsidRPr="001F6FBE">
        <w:rPr>
          <w:rFonts w:ascii="KaiTi_GB2312" w:eastAsia="KaiTi" w:hint="eastAsia"/>
          <w:sz w:val="24"/>
          <w:szCs w:val="24"/>
          <w:lang w:eastAsia="zh-CN"/>
        </w:rPr>
        <w:t>表示赞赏地注意到</w:t>
      </w:r>
      <w:r w:rsidRPr="001F6FBE">
        <w:rPr>
          <w:rFonts w:hint="eastAsia"/>
          <w:sz w:val="24"/>
          <w:szCs w:val="24"/>
          <w:lang w:eastAsia="zh-CN"/>
        </w:rPr>
        <w:t>公正和公平分享利用遗传资源数字序列信息所产生惠益的多边机制（包括卡利基金）指导委员会的报告；</w:t>
      </w:r>
      <w:r w:rsidRPr="001F6FBE">
        <w:rPr>
          <w:rStyle w:val="FootnoteReference"/>
          <w:rFonts w:hint="eastAsia"/>
          <w:sz w:val="24"/>
          <w:szCs w:val="24"/>
          <w:lang w:eastAsia="zh-CN"/>
        </w:rPr>
        <w:footnoteReference w:id="11"/>
      </w:r>
    </w:p>
    <w:p w14:paraId="4A00236F" w14:textId="4268FB74" w:rsidR="0032305E" w:rsidRPr="001F6FBE" w:rsidRDefault="0032305E" w:rsidP="00992F88">
      <w:pPr>
        <w:pStyle w:val="CBDNormalNoNumber"/>
        <w:overflowPunct w:val="0"/>
        <w:ind w:firstLine="567"/>
        <w:rPr>
          <w:sz w:val="24"/>
          <w:szCs w:val="24"/>
          <w:lang w:eastAsia="zh-CN"/>
        </w:rPr>
      </w:pPr>
      <w:r w:rsidRPr="001F6FBE">
        <w:rPr>
          <w:rFonts w:hint="eastAsia"/>
          <w:sz w:val="24"/>
          <w:szCs w:val="24"/>
          <w:lang w:eastAsia="zh-CN"/>
        </w:rPr>
        <w:t>22.</w:t>
      </w:r>
      <w:r w:rsidRPr="001F6FBE">
        <w:rPr>
          <w:rFonts w:hint="eastAsia"/>
          <w:sz w:val="24"/>
          <w:szCs w:val="24"/>
          <w:lang w:eastAsia="zh-CN"/>
        </w:rPr>
        <w:tab/>
      </w:r>
      <w:r w:rsidRPr="001F6FBE">
        <w:rPr>
          <w:rFonts w:ascii="KaiTi_GB2312" w:eastAsia="KaiTi" w:hint="eastAsia"/>
          <w:sz w:val="24"/>
          <w:szCs w:val="24"/>
          <w:lang w:eastAsia="zh-CN"/>
        </w:rPr>
        <w:t>核准</w:t>
      </w:r>
      <w:r w:rsidRPr="001F6FBE">
        <w:rPr>
          <w:rFonts w:hint="eastAsia"/>
          <w:sz w:val="24"/>
          <w:szCs w:val="24"/>
          <w:lang w:eastAsia="zh-CN"/>
        </w:rPr>
        <w:t>附件二所载包括卡利基金在内的多边机制指导委员会议事规则</w:t>
      </w:r>
      <w:r w:rsidRPr="001F6FBE">
        <w:rPr>
          <w:rFonts w:hint="eastAsia"/>
          <w:sz w:val="24"/>
          <w:szCs w:val="24"/>
          <w:lang w:val="en-US" w:eastAsia="zh-CN"/>
        </w:rPr>
        <w:t>第</w:t>
      </w:r>
      <w:r w:rsidRPr="001F6FBE">
        <w:rPr>
          <w:rFonts w:hint="eastAsia"/>
          <w:sz w:val="24"/>
          <w:szCs w:val="24"/>
          <w:lang w:val="en-US" w:eastAsia="zh-CN"/>
        </w:rPr>
        <w:t>11</w:t>
      </w:r>
      <w:r w:rsidRPr="001F6FBE">
        <w:rPr>
          <w:rFonts w:hint="eastAsia"/>
          <w:sz w:val="24"/>
          <w:szCs w:val="24"/>
          <w:lang w:val="en-US" w:eastAsia="zh-CN"/>
        </w:rPr>
        <w:t>条</w:t>
      </w:r>
      <w:r w:rsidRPr="001F6FBE">
        <w:rPr>
          <w:rFonts w:hint="eastAsia"/>
          <w:sz w:val="24"/>
          <w:szCs w:val="24"/>
          <w:lang w:eastAsia="zh-CN"/>
        </w:rPr>
        <w:t>关于成员和替补成员的规定；</w:t>
      </w:r>
    </w:p>
    <w:p w14:paraId="025C3EDB" w14:textId="77777777" w:rsidR="0032305E" w:rsidRPr="001F6FBE" w:rsidRDefault="0032305E" w:rsidP="00992F88">
      <w:pPr>
        <w:pStyle w:val="CBDNormalNoNumber"/>
        <w:overflowPunct w:val="0"/>
        <w:ind w:firstLine="567"/>
        <w:rPr>
          <w:sz w:val="24"/>
          <w:szCs w:val="24"/>
          <w:lang w:eastAsia="zh-CN"/>
        </w:rPr>
      </w:pPr>
      <w:r w:rsidRPr="001F6FBE">
        <w:rPr>
          <w:rFonts w:hint="eastAsia"/>
          <w:sz w:val="24"/>
          <w:szCs w:val="24"/>
          <w:lang w:eastAsia="zh-CN"/>
        </w:rPr>
        <w:t>23.</w:t>
      </w:r>
      <w:r w:rsidRPr="001F6FBE">
        <w:rPr>
          <w:rFonts w:hint="eastAsia"/>
          <w:sz w:val="24"/>
          <w:szCs w:val="24"/>
          <w:lang w:eastAsia="zh-CN"/>
        </w:rPr>
        <w:tab/>
      </w:r>
      <w:r w:rsidRPr="001F6FBE">
        <w:rPr>
          <w:rFonts w:ascii="KaiTi_GB2312" w:eastAsia="KaiTi" w:hint="eastAsia"/>
          <w:sz w:val="24"/>
          <w:szCs w:val="24"/>
          <w:lang w:eastAsia="zh-CN"/>
        </w:rPr>
        <w:t>欢迎</w:t>
      </w:r>
      <w:r w:rsidRPr="001F6FBE">
        <w:rPr>
          <w:rFonts w:hint="eastAsia"/>
          <w:sz w:val="24"/>
          <w:szCs w:val="24"/>
          <w:lang w:eastAsia="zh-CN"/>
        </w:rPr>
        <w:t>指导委员会就执行活动采取结构化方法所开展的工作，并邀请其继续开展工作，为多边机制第一次审查提供证据，包括结构化方法的结果、结论和从中汲取的经验教训，并将相关成果纳入指导委员会提交缔约方大会第十八届会议的报告和建议；</w:t>
      </w:r>
    </w:p>
    <w:p w14:paraId="27E40FC2" w14:textId="77777777" w:rsidR="0032305E" w:rsidRPr="001F6FBE" w:rsidRDefault="0032305E" w:rsidP="00992F88">
      <w:pPr>
        <w:pStyle w:val="CBDNormalNoNumber"/>
        <w:keepNext/>
        <w:overflowPunct w:val="0"/>
        <w:ind w:firstLine="567"/>
        <w:rPr>
          <w:sz w:val="24"/>
          <w:szCs w:val="24"/>
          <w:lang w:eastAsia="zh-CN"/>
        </w:rPr>
      </w:pPr>
      <w:r w:rsidRPr="001F6FBE">
        <w:rPr>
          <w:rFonts w:hint="eastAsia"/>
          <w:sz w:val="24"/>
          <w:szCs w:val="24"/>
          <w:lang w:eastAsia="zh-CN"/>
        </w:rPr>
        <w:t>24.</w:t>
      </w:r>
      <w:r w:rsidRPr="001F6FBE">
        <w:rPr>
          <w:rFonts w:hint="eastAsia"/>
          <w:sz w:val="24"/>
          <w:szCs w:val="24"/>
          <w:lang w:eastAsia="zh-CN"/>
        </w:rPr>
        <w:tab/>
      </w:r>
      <w:r w:rsidRPr="001F6FBE">
        <w:rPr>
          <w:rFonts w:ascii="KaiTi_GB2312" w:eastAsia="KaiTi" w:hAnsi="SimSun" w:hint="eastAsia"/>
          <w:sz w:val="24"/>
          <w:szCs w:val="24"/>
          <w:lang w:eastAsia="zh-CN"/>
        </w:rPr>
        <w:t>请</w:t>
      </w:r>
      <w:r w:rsidRPr="001F6FBE">
        <w:rPr>
          <w:rFonts w:hint="eastAsia"/>
          <w:sz w:val="24"/>
          <w:szCs w:val="24"/>
          <w:lang w:eastAsia="zh-CN"/>
        </w:rPr>
        <w:t>执行秘书在资源允许的情况下：</w:t>
      </w:r>
    </w:p>
    <w:p w14:paraId="733D41CB" w14:textId="67228AB1" w:rsidR="0032305E" w:rsidRPr="000144C0" w:rsidRDefault="0032305E" w:rsidP="00992F88">
      <w:pPr>
        <w:pStyle w:val="CBDNormalNoNumber"/>
        <w:overflowPunct w:val="0"/>
        <w:ind w:firstLine="567"/>
        <w:rPr>
          <w:spacing w:val="-2"/>
          <w:sz w:val="24"/>
          <w:szCs w:val="24"/>
          <w:lang w:eastAsia="zh-CN"/>
        </w:rPr>
      </w:pPr>
      <w:r w:rsidRPr="001F6FBE">
        <w:rPr>
          <w:rFonts w:hint="eastAsia"/>
          <w:sz w:val="24"/>
          <w:szCs w:val="24"/>
          <w:lang w:eastAsia="zh-CN"/>
        </w:rPr>
        <w:t>(a)</w:t>
      </w:r>
      <w:r w:rsidRPr="001F6FBE">
        <w:rPr>
          <w:rFonts w:hint="eastAsia"/>
          <w:sz w:val="24"/>
          <w:szCs w:val="24"/>
          <w:lang w:eastAsia="zh-CN"/>
        </w:rPr>
        <w:tab/>
      </w:r>
      <w:r w:rsidRPr="000144C0">
        <w:rPr>
          <w:rFonts w:hint="eastAsia"/>
          <w:spacing w:val="-2"/>
          <w:sz w:val="24"/>
          <w:szCs w:val="24"/>
          <w:lang w:eastAsia="zh-CN"/>
        </w:rPr>
        <w:t>在指导委员会的指导下，委托开展一项关于遗传资源数字序列信息所有用户当前的非货币惠益分享情况的研究，以便特别确定：获取、使用和生成此类数字序列信息方面的能力差距；能力需求自我评估的路径；用以监测和报告非货币惠益的方法；成功提供有针对性的非货币惠益的实例，包括通过区域和次区域科技合作支持中心网络提供；将多边机制的非货币惠益贡献纳入报告</w:t>
      </w:r>
      <w:r w:rsidR="00B3530D" w:rsidRPr="000144C0">
        <w:rPr>
          <w:rFonts w:hint="eastAsia"/>
          <w:spacing w:val="-2"/>
          <w:sz w:val="24"/>
          <w:szCs w:val="24"/>
          <w:lang w:eastAsia="zh-CN"/>
        </w:rPr>
        <w:t>并</w:t>
      </w:r>
      <w:r w:rsidRPr="000144C0">
        <w:rPr>
          <w:rFonts w:hint="eastAsia"/>
          <w:spacing w:val="-2"/>
          <w:sz w:val="24"/>
          <w:szCs w:val="24"/>
          <w:lang w:eastAsia="zh-CN"/>
        </w:rPr>
        <w:t>将其作为《昆明</w:t>
      </w:r>
      <w:r w:rsidRPr="000144C0">
        <w:rPr>
          <w:rFonts w:hint="eastAsia"/>
          <w:spacing w:val="-2"/>
          <w:sz w:val="24"/>
          <w:szCs w:val="24"/>
          <w:lang w:eastAsia="zh-CN"/>
        </w:rPr>
        <w:t>-</w:t>
      </w:r>
      <w:r w:rsidRPr="000144C0">
        <w:rPr>
          <w:rFonts w:hint="eastAsia"/>
          <w:spacing w:val="-2"/>
          <w:sz w:val="24"/>
          <w:szCs w:val="24"/>
          <w:lang w:eastAsia="zh-CN"/>
        </w:rPr>
        <w:t>蒙特利尔全球生物多样性框架》监测框架的一部分的方式；第</w:t>
      </w:r>
      <w:hyperlink r:id="rId38" w:history="1">
        <w:r w:rsidRPr="000144C0">
          <w:rPr>
            <w:rStyle w:val="Hyperlink"/>
            <w:rFonts w:hint="eastAsia"/>
            <w:spacing w:val="-2"/>
            <w:sz w:val="24"/>
            <w:szCs w:val="24"/>
            <w:lang w:eastAsia="zh-CN"/>
          </w:rPr>
          <w:t>16/2</w:t>
        </w:r>
      </w:hyperlink>
      <w:r w:rsidRPr="000144C0">
        <w:rPr>
          <w:rFonts w:hint="eastAsia"/>
          <w:spacing w:val="-2"/>
          <w:sz w:val="24"/>
          <w:szCs w:val="24"/>
          <w:lang w:eastAsia="zh-CN"/>
        </w:rPr>
        <w:t>号决定附件第</w:t>
      </w:r>
      <w:r w:rsidRPr="000144C0">
        <w:rPr>
          <w:rFonts w:hint="eastAsia"/>
          <w:spacing w:val="-2"/>
          <w:sz w:val="24"/>
          <w:szCs w:val="24"/>
          <w:lang w:eastAsia="zh-CN"/>
        </w:rPr>
        <w:t>8</w:t>
      </w:r>
      <w:r w:rsidRPr="000144C0">
        <w:rPr>
          <w:rFonts w:hint="eastAsia"/>
          <w:spacing w:val="-2"/>
          <w:sz w:val="24"/>
          <w:szCs w:val="24"/>
          <w:lang w:eastAsia="zh-CN"/>
        </w:rPr>
        <w:t>段所规定的多边机制信息交换所；以及为进一步实施多边机制向指导委员会提出建议；</w:t>
      </w:r>
    </w:p>
    <w:p w14:paraId="1012020F" w14:textId="77777777" w:rsidR="0032305E" w:rsidRPr="001F6FBE" w:rsidRDefault="0032305E" w:rsidP="00992F88">
      <w:pPr>
        <w:pStyle w:val="CBDNormalNumber"/>
        <w:numPr>
          <w:ilvl w:val="0"/>
          <w:numId w:val="0"/>
        </w:numPr>
        <w:overflowPunct w:val="0"/>
        <w:ind w:left="567" w:firstLine="567"/>
        <w:rPr>
          <w:sz w:val="24"/>
          <w:szCs w:val="24"/>
          <w:lang w:eastAsia="zh-CN"/>
        </w:rPr>
      </w:pPr>
      <w:r w:rsidRPr="001F6FBE">
        <w:rPr>
          <w:rFonts w:hint="eastAsia"/>
          <w:sz w:val="24"/>
          <w:szCs w:val="24"/>
          <w:lang w:eastAsia="zh-CN"/>
        </w:rPr>
        <w:t>(b)</w:t>
      </w:r>
      <w:r w:rsidRPr="001F6FBE">
        <w:rPr>
          <w:rFonts w:hint="eastAsia"/>
          <w:sz w:val="24"/>
          <w:szCs w:val="24"/>
          <w:lang w:eastAsia="zh-CN"/>
        </w:rPr>
        <w:tab/>
      </w:r>
      <w:r w:rsidRPr="001F6FBE">
        <w:rPr>
          <w:rFonts w:hint="eastAsia"/>
          <w:sz w:val="24"/>
          <w:szCs w:val="24"/>
          <w:lang w:eastAsia="zh-CN"/>
        </w:rPr>
        <w:t>将上文第</w:t>
      </w:r>
      <w:r w:rsidRPr="001F6FBE">
        <w:rPr>
          <w:rFonts w:hint="eastAsia"/>
          <w:sz w:val="24"/>
          <w:szCs w:val="24"/>
          <w:lang w:eastAsia="zh-CN"/>
        </w:rPr>
        <w:t>24(a)</w:t>
      </w:r>
      <w:r w:rsidRPr="001F6FBE">
        <w:rPr>
          <w:rFonts w:hint="eastAsia"/>
          <w:sz w:val="24"/>
          <w:szCs w:val="24"/>
          <w:lang w:eastAsia="zh-CN"/>
        </w:rPr>
        <w:t>分段所述工作的成果提供给指导委员会，供其参考，以便指导委员会在其提交缔约方大会第十八届会议的报告中加以考虑。</w:t>
      </w:r>
    </w:p>
    <w:p w14:paraId="1DE5AFED" w14:textId="77777777" w:rsidR="0032305E" w:rsidRPr="001F6FBE" w:rsidRDefault="0032305E" w:rsidP="00C85163">
      <w:pPr>
        <w:pStyle w:val="CBDDesicionAnnex"/>
        <w:keepNext w:val="0"/>
        <w:keepLines w:val="0"/>
        <w:widowControl w:val="0"/>
        <w:overflowPunct w:val="0"/>
        <w:spacing w:before="120"/>
        <w:ind w:left="562"/>
        <w:rPr>
          <w:b w:val="0"/>
          <w:szCs w:val="24"/>
          <w:lang w:eastAsia="zh-CN"/>
        </w:rPr>
      </w:pPr>
      <w:r w:rsidRPr="001F6FBE">
        <w:rPr>
          <w:rFonts w:hint="eastAsia"/>
          <w:b w:val="0"/>
          <w:bCs w:val="0"/>
          <w:szCs w:val="24"/>
          <w:lang w:eastAsia="zh-CN"/>
        </w:rPr>
        <w:t>……</w:t>
      </w:r>
    </w:p>
    <w:p w14:paraId="0F9ACC9A" w14:textId="3302692E" w:rsidR="0032305E" w:rsidRPr="001F6FBE" w:rsidRDefault="0032305E" w:rsidP="00C85163">
      <w:pPr>
        <w:pStyle w:val="CBDDesicionAnnex"/>
        <w:keepNext w:val="0"/>
        <w:keepLines w:val="0"/>
        <w:widowControl w:val="0"/>
        <w:overflowPunct w:val="0"/>
        <w:ind w:left="562"/>
        <w:rPr>
          <w:szCs w:val="24"/>
          <w:lang w:eastAsia="zh-CN"/>
        </w:rPr>
      </w:pPr>
      <w:r w:rsidRPr="001F6FBE">
        <w:rPr>
          <w:rFonts w:hint="eastAsia"/>
          <w:szCs w:val="24"/>
          <w:lang w:eastAsia="zh-CN"/>
        </w:rPr>
        <w:t>附件二</w:t>
      </w:r>
      <w:r w:rsidRPr="001F6FBE">
        <w:rPr>
          <w:rFonts w:hint="eastAsia"/>
          <w:szCs w:val="24"/>
          <w:lang w:eastAsia="zh-CN"/>
        </w:rPr>
        <w:br/>
      </w:r>
      <w:r w:rsidRPr="001F6FBE">
        <w:rPr>
          <w:rFonts w:hint="eastAsia"/>
          <w:szCs w:val="24"/>
          <w:lang w:eastAsia="zh-CN"/>
        </w:rPr>
        <w:t>公正和公平分享利用遗传资源数字序列信息所产生惠益的多边机制（包括卡利基金）指导委员会议事规则关于成员和替补成员的第</w:t>
      </w:r>
      <w:r w:rsidRPr="001F6FBE">
        <w:rPr>
          <w:rFonts w:hint="eastAsia"/>
          <w:szCs w:val="24"/>
          <w:lang w:eastAsia="zh-CN"/>
        </w:rPr>
        <w:t>11</w:t>
      </w:r>
      <w:r w:rsidRPr="001F6FBE">
        <w:rPr>
          <w:rFonts w:hint="eastAsia"/>
          <w:szCs w:val="24"/>
          <w:lang w:eastAsia="zh-CN"/>
        </w:rPr>
        <w:t>条</w:t>
      </w:r>
    </w:p>
    <w:p w14:paraId="40A7D795" w14:textId="77777777" w:rsidR="0032305E" w:rsidRPr="001F6FBE" w:rsidRDefault="0032305E" w:rsidP="00C85163">
      <w:pPr>
        <w:pStyle w:val="CBDNormalNoNumber"/>
        <w:widowControl w:val="0"/>
        <w:overflowPunct w:val="0"/>
        <w:ind w:left="562"/>
        <w:rPr>
          <w:sz w:val="24"/>
          <w:szCs w:val="24"/>
          <w:lang w:eastAsia="zh-CN"/>
        </w:rPr>
      </w:pPr>
      <w:r w:rsidRPr="001F6FBE">
        <w:rPr>
          <w:rFonts w:hint="eastAsia"/>
          <w:sz w:val="24"/>
          <w:szCs w:val="24"/>
          <w:lang w:eastAsia="zh-CN"/>
        </w:rPr>
        <w:t>1.</w:t>
      </w:r>
      <w:r w:rsidRPr="001F6FBE">
        <w:rPr>
          <w:rFonts w:hint="eastAsia"/>
          <w:sz w:val="24"/>
          <w:szCs w:val="24"/>
          <w:lang w:eastAsia="zh-CN"/>
        </w:rPr>
        <w:tab/>
      </w:r>
      <w:r w:rsidRPr="001F6FBE">
        <w:rPr>
          <w:rFonts w:hint="eastAsia"/>
          <w:sz w:val="24"/>
          <w:szCs w:val="24"/>
          <w:lang w:eastAsia="zh-CN"/>
        </w:rPr>
        <w:t>在最初的两年任期结束之后，成员、观察员和替补成员将任职四年，此为一个完整任期。缔约方大会第十七届会议之后：</w:t>
      </w:r>
    </w:p>
    <w:p w14:paraId="02064C58" w14:textId="77777777" w:rsidR="0032305E" w:rsidRPr="001F6FBE" w:rsidRDefault="0032305E" w:rsidP="00C85163">
      <w:pPr>
        <w:pStyle w:val="CBDNormalNoNumber"/>
        <w:widowControl w:val="0"/>
        <w:overflowPunct w:val="0"/>
        <w:ind w:left="562" w:firstLine="567"/>
        <w:rPr>
          <w:sz w:val="24"/>
          <w:szCs w:val="24"/>
          <w:lang w:eastAsia="zh-CN"/>
        </w:rPr>
      </w:pPr>
      <w:r w:rsidRPr="001F6FBE">
        <w:rPr>
          <w:rFonts w:hint="eastAsia"/>
          <w:sz w:val="24"/>
          <w:szCs w:val="24"/>
          <w:lang w:eastAsia="zh-CN"/>
        </w:rPr>
        <w:lastRenderedPageBreak/>
        <w:t>(a)</w:t>
      </w:r>
      <w:r w:rsidRPr="001F6FBE">
        <w:rPr>
          <w:rFonts w:hint="eastAsia"/>
          <w:sz w:val="24"/>
          <w:szCs w:val="24"/>
          <w:lang w:eastAsia="zh-CN"/>
        </w:rPr>
        <w:tab/>
      </w:r>
      <w:r w:rsidRPr="001F6FBE">
        <w:rPr>
          <w:rFonts w:hint="eastAsia"/>
          <w:sz w:val="24"/>
          <w:szCs w:val="24"/>
          <w:lang w:eastAsia="zh-CN"/>
        </w:rPr>
        <w:t>将从缔约方中选出五名成员，每个区域一名，任职半个任期；并将从缔约方中选出十名成员，任职一个完整任期；</w:t>
      </w:r>
    </w:p>
    <w:p w14:paraId="46AB7DF2" w14:textId="77777777" w:rsidR="0032305E" w:rsidRPr="001F6FBE" w:rsidRDefault="0032305E" w:rsidP="00E67532">
      <w:pPr>
        <w:pStyle w:val="CBDNormalNoNumber"/>
        <w:overflowPunct w:val="0"/>
        <w:ind w:firstLine="567"/>
        <w:rPr>
          <w:sz w:val="24"/>
          <w:szCs w:val="24"/>
          <w:lang w:eastAsia="zh-CN"/>
        </w:rPr>
      </w:pPr>
      <w:r w:rsidRPr="001F6FBE">
        <w:rPr>
          <w:rFonts w:hint="eastAsia"/>
          <w:sz w:val="24"/>
          <w:szCs w:val="24"/>
          <w:lang w:eastAsia="zh-CN"/>
        </w:rPr>
        <w:t>(b)</w:t>
      </w:r>
      <w:r w:rsidRPr="001F6FBE">
        <w:rPr>
          <w:rFonts w:hint="eastAsia"/>
          <w:sz w:val="24"/>
          <w:szCs w:val="24"/>
          <w:lang w:eastAsia="zh-CN"/>
        </w:rPr>
        <w:tab/>
      </w:r>
      <w:r w:rsidRPr="001F6FBE">
        <w:rPr>
          <w:rFonts w:hint="eastAsia"/>
          <w:sz w:val="24"/>
          <w:szCs w:val="24"/>
          <w:lang w:eastAsia="zh-CN"/>
        </w:rPr>
        <w:t>将从土著人民和地方社区中选出三名成员，任职半个任期；并将从土著人民和地方社区中选出四名成员，任职一个完整任期；</w:t>
      </w:r>
    </w:p>
    <w:p w14:paraId="3C0B8CAD" w14:textId="783FF6B8" w:rsidR="0032305E" w:rsidRPr="001F6FBE" w:rsidRDefault="0032305E" w:rsidP="00E67532">
      <w:pPr>
        <w:pStyle w:val="CBDNormalNoNumber"/>
        <w:overflowPunct w:val="0"/>
        <w:ind w:firstLine="567"/>
        <w:rPr>
          <w:sz w:val="24"/>
          <w:szCs w:val="24"/>
          <w:lang w:eastAsia="zh-CN"/>
        </w:rPr>
      </w:pPr>
      <w:r w:rsidRPr="001F6FBE">
        <w:rPr>
          <w:rFonts w:hint="eastAsia"/>
          <w:sz w:val="24"/>
          <w:szCs w:val="24"/>
          <w:lang w:eastAsia="zh-CN"/>
        </w:rPr>
        <w:t>(c)</w:t>
      </w:r>
      <w:r w:rsidRPr="001F6FBE">
        <w:rPr>
          <w:rFonts w:hint="eastAsia"/>
          <w:sz w:val="24"/>
          <w:szCs w:val="24"/>
          <w:lang w:eastAsia="zh-CN"/>
        </w:rPr>
        <w:tab/>
      </w:r>
      <w:r w:rsidRPr="001F6FBE">
        <w:rPr>
          <w:rFonts w:hint="eastAsia"/>
          <w:sz w:val="24"/>
          <w:szCs w:val="24"/>
          <w:lang w:eastAsia="zh-CN"/>
        </w:rPr>
        <w:t>将从</w:t>
      </w:r>
      <w:r w:rsidRPr="001F6FBE">
        <w:rPr>
          <w:rFonts w:hint="eastAsia"/>
          <w:sz w:val="24"/>
          <w:szCs w:val="24"/>
          <w:lang w:eastAsia="zh-CN"/>
        </w:rPr>
        <w:t>2024</w:t>
      </w:r>
      <w:r w:rsidRPr="001F6FBE">
        <w:rPr>
          <w:rFonts w:hint="eastAsia"/>
          <w:sz w:val="24"/>
          <w:szCs w:val="24"/>
          <w:lang w:eastAsia="zh-CN"/>
        </w:rPr>
        <w:t>年</w:t>
      </w:r>
      <w:r w:rsidRPr="001F6FBE">
        <w:rPr>
          <w:rFonts w:hint="eastAsia"/>
          <w:sz w:val="24"/>
          <w:szCs w:val="24"/>
          <w:lang w:eastAsia="zh-CN"/>
        </w:rPr>
        <w:t>11</w:t>
      </w:r>
      <w:r w:rsidRPr="001F6FBE">
        <w:rPr>
          <w:rFonts w:hint="eastAsia"/>
          <w:sz w:val="24"/>
          <w:szCs w:val="24"/>
          <w:lang w:eastAsia="zh-CN"/>
        </w:rPr>
        <w:t>月</w:t>
      </w:r>
      <w:r w:rsidRPr="001F6FBE">
        <w:rPr>
          <w:rFonts w:hint="eastAsia"/>
          <w:sz w:val="24"/>
          <w:szCs w:val="24"/>
          <w:lang w:eastAsia="zh-CN"/>
        </w:rPr>
        <w:t>1</w:t>
      </w:r>
      <w:r w:rsidRPr="001F6FBE">
        <w:rPr>
          <w:rFonts w:hint="eastAsia"/>
          <w:sz w:val="24"/>
          <w:szCs w:val="24"/>
          <w:lang w:eastAsia="zh-CN"/>
        </w:rPr>
        <w:t>日第</w:t>
      </w:r>
      <w:hyperlink r:id="rId39" w:history="1">
        <w:r w:rsidRPr="001F6FBE">
          <w:rPr>
            <w:rStyle w:val="Hyperlink"/>
            <w:rFonts w:hint="eastAsia"/>
            <w:sz w:val="24"/>
            <w:szCs w:val="24"/>
            <w:lang w:eastAsia="zh-CN"/>
          </w:rPr>
          <w:t>16/2</w:t>
        </w:r>
      </w:hyperlink>
      <w:r w:rsidRPr="001F6FBE">
        <w:rPr>
          <w:rFonts w:hint="eastAsia"/>
          <w:sz w:val="24"/>
          <w:szCs w:val="24"/>
          <w:lang w:eastAsia="zh-CN"/>
        </w:rPr>
        <w:t>号决定附件附文四第</w:t>
      </w:r>
      <w:r w:rsidRPr="001F6FBE">
        <w:rPr>
          <w:rFonts w:hint="eastAsia"/>
          <w:sz w:val="24"/>
          <w:szCs w:val="24"/>
          <w:lang w:eastAsia="zh-CN"/>
        </w:rPr>
        <w:t>5(b)</w:t>
      </w:r>
      <w:r w:rsidRPr="001F6FBE">
        <w:rPr>
          <w:rFonts w:hint="eastAsia"/>
          <w:sz w:val="24"/>
          <w:szCs w:val="24"/>
          <w:lang w:eastAsia="zh-CN"/>
        </w:rPr>
        <w:t>段规定的每个类别中各选出一名观察员，共三名，任职半个任期；并将选出三名观察员，任职一个完整任期。此后每次选任时，成员和观察员均将任职一个完整任期。</w:t>
      </w:r>
    </w:p>
    <w:p w14:paraId="22209893" w14:textId="77777777" w:rsidR="0032305E" w:rsidRPr="001F6FBE" w:rsidRDefault="0032305E" w:rsidP="00E67532">
      <w:pPr>
        <w:pStyle w:val="CBDNormalNumber"/>
        <w:numPr>
          <w:ilvl w:val="0"/>
          <w:numId w:val="10"/>
        </w:numPr>
        <w:overflowPunct w:val="0"/>
        <w:rPr>
          <w:sz w:val="24"/>
          <w:szCs w:val="24"/>
          <w:lang w:eastAsia="zh-CN"/>
        </w:rPr>
      </w:pPr>
      <w:r w:rsidRPr="001F6FBE">
        <w:rPr>
          <w:rFonts w:hint="eastAsia"/>
          <w:sz w:val="24"/>
          <w:szCs w:val="24"/>
          <w:lang w:eastAsia="zh-CN"/>
        </w:rPr>
        <w:t>2.</w:t>
      </w:r>
      <w:r w:rsidRPr="001F6FBE">
        <w:rPr>
          <w:rFonts w:hint="eastAsia"/>
          <w:sz w:val="24"/>
          <w:szCs w:val="24"/>
          <w:lang w:eastAsia="zh-CN"/>
        </w:rPr>
        <w:tab/>
      </w:r>
      <w:r w:rsidRPr="001F6FBE">
        <w:rPr>
          <w:rFonts w:hint="eastAsia"/>
          <w:sz w:val="24"/>
          <w:szCs w:val="24"/>
          <w:lang w:eastAsia="zh-CN"/>
        </w:rPr>
        <w:t>任期应自缔约方大会常会举行次年的</w:t>
      </w:r>
      <w:r w:rsidRPr="001F6FBE">
        <w:rPr>
          <w:rFonts w:hint="eastAsia"/>
          <w:sz w:val="24"/>
          <w:szCs w:val="24"/>
          <w:lang w:eastAsia="zh-CN"/>
        </w:rPr>
        <w:t>4</w:t>
      </w:r>
      <w:r w:rsidRPr="001F6FBE">
        <w:rPr>
          <w:rFonts w:hint="eastAsia"/>
          <w:sz w:val="24"/>
          <w:szCs w:val="24"/>
          <w:lang w:eastAsia="zh-CN"/>
        </w:rPr>
        <w:t>月</w:t>
      </w:r>
      <w:r w:rsidRPr="001F6FBE">
        <w:rPr>
          <w:rFonts w:hint="eastAsia"/>
          <w:sz w:val="24"/>
          <w:szCs w:val="24"/>
          <w:lang w:eastAsia="zh-CN"/>
        </w:rPr>
        <w:t>1</w:t>
      </w:r>
      <w:r w:rsidRPr="001F6FBE">
        <w:rPr>
          <w:rFonts w:hint="eastAsia"/>
          <w:sz w:val="24"/>
          <w:szCs w:val="24"/>
          <w:lang w:eastAsia="zh-CN"/>
        </w:rPr>
        <w:t>日开始，并视情况于两年或四年后的</w:t>
      </w:r>
      <w:r w:rsidRPr="001F6FBE">
        <w:rPr>
          <w:rFonts w:hint="eastAsia"/>
          <w:sz w:val="24"/>
          <w:szCs w:val="24"/>
          <w:lang w:eastAsia="zh-CN"/>
        </w:rPr>
        <w:t>3</w:t>
      </w:r>
      <w:r w:rsidRPr="001F6FBE">
        <w:rPr>
          <w:rFonts w:hint="eastAsia"/>
          <w:sz w:val="24"/>
          <w:szCs w:val="24"/>
          <w:lang w:eastAsia="zh-CN"/>
        </w:rPr>
        <w:t>月</w:t>
      </w:r>
      <w:r w:rsidRPr="001F6FBE">
        <w:rPr>
          <w:rFonts w:hint="eastAsia"/>
          <w:sz w:val="24"/>
          <w:szCs w:val="24"/>
          <w:lang w:eastAsia="zh-CN"/>
        </w:rPr>
        <w:t>31</w:t>
      </w:r>
      <w:r w:rsidRPr="001F6FBE">
        <w:rPr>
          <w:rFonts w:hint="eastAsia"/>
          <w:sz w:val="24"/>
          <w:szCs w:val="24"/>
          <w:lang w:eastAsia="zh-CN"/>
        </w:rPr>
        <w:t>日结束。</w:t>
      </w:r>
    </w:p>
    <w:p w14:paraId="5789FD11" w14:textId="77777777" w:rsidR="0032305E" w:rsidRPr="001F6FBE" w:rsidRDefault="0032305E" w:rsidP="00E67532">
      <w:pPr>
        <w:pStyle w:val="CBDNormalNumber"/>
        <w:numPr>
          <w:ilvl w:val="0"/>
          <w:numId w:val="10"/>
        </w:numPr>
        <w:overflowPunct w:val="0"/>
        <w:rPr>
          <w:sz w:val="24"/>
          <w:szCs w:val="24"/>
          <w:lang w:eastAsia="zh-CN"/>
        </w:rPr>
      </w:pPr>
      <w:r w:rsidRPr="001F6FBE">
        <w:rPr>
          <w:rFonts w:hint="eastAsia"/>
          <w:sz w:val="24"/>
          <w:szCs w:val="24"/>
          <w:lang w:eastAsia="zh-CN"/>
        </w:rPr>
        <w:t>3.</w:t>
      </w:r>
      <w:r w:rsidRPr="001F6FBE">
        <w:rPr>
          <w:rFonts w:hint="eastAsia"/>
          <w:sz w:val="24"/>
          <w:szCs w:val="24"/>
          <w:lang w:eastAsia="zh-CN"/>
        </w:rPr>
        <w:tab/>
      </w:r>
      <w:r w:rsidRPr="001F6FBE">
        <w:rPr>
          <w:rFonts w:hint="eastAsia"/>
          <w:sz w:val="24"/>
          <w:szCs w:val="24"/>
          <w:lang w:eastAsia="zh-CN"/>
        </w:rPr>
        <w:t>当成员、观察员或替补成员无法完成所任任期时，应推举一名来自同一缔约方或同一组的代表，作为该成员、观察员或替补成员剩余任期的潜在替代人选。该替代人选应酌情与其区域组或组织协商后予以考虑，并可由该区域组或组织选为替代成员或替补成员，同时考虑到候选人的性别平衡和相关技术专长。</w:t>
      </w:r>
    </w:p>
    <w:p w14:paraId="63BE61D2" w14:textId="77777777" w:rsidR="0032305E" w:rsidRPr="001F6FBE" w:rsidRDefault="0032305E" w:rsidP="00E67532">
      <w:pPr>
        <w:pStyle w:val="CBDNormalNumber"/>
        <w:numPr>
          <w:ilvl w:val="0"/>
          <w:numId w:val="10"/>
        </w:numPr>
        <w:overflowPunct w:val="0"/>
        <w:rPr>
          <w:sz w:val="24"/>
          <w:szCs w:val="24"/>
          <w:lang w:eastAsia="zh-CN"/>
        </w:rPr>
      </w:pPr>
      <w:r w:rsidRPr="001F6FBE">
        <w:rPr>
          <w:rFonts w:hint="eastAsia"/>
          <w:sz w:val="24"/>
          <w:szCs w:val="24"/>
          <w:lang w:eastAsia="zh-CN"/>
        </w:rPr>
        <w:t>4.</w:t>
      </w:r>
      <w:r w:rsidRPr="001F6FBE">
        <w:rPr>
          <w:rFonts w:hint="eastAsia"/>
          <w:sz w:val="24"/>
          <w:szCs w:val="24"/>
          <w:lang w:eastAsia="zh-CN"/>
        </w:rPr>
        <w:tab/>
      </w:r>
      <w:r w:rsidRPr="001F6FBE">
        <w:rPr>
          <w:rFonts w:hint="eastAsia"/>
          <w:sz w:val="24"/>
          <w:szCs w:val="24"/>
          <w:lang w:eastAsia="zh-CN"/>
        </w:rPr>
        <w:t>任何成员、观察员或替补成员连续任职不得超过两个任期。</w:t>
      </w:r>
    </w:p>
    <w:p w14:paraId="19BB9DAB" w14:textId="77777777" w:rsidR="0032305E" w:rsidRPr="007B12F9" w:rsidRDefault="0032305E" w:rsidP="00D356F4">
      <w:pPr>
        <w:pStyle w:val="Para1"/>
        <w:tabs>
          <w:tab w:val="left" w:pos="360"/>
        </w:tabs>
        <w:overflowPunct w:val="0"/>
        <w:ind w:left="567" w:firstLine="0"/>
        <w:jc w:val="center"/>
        <w:rPr>
          <w:sz w:val="24"/>
          <w:szCs w:val="24"/>
          <w:lang w:eastAsia="zh-CN"/>
        </w:rPr>
      </w:pPr>
      <w:r w:rsidRPr="007B12F9">
        <w:rPr>
          <w:rFonts w:hint="eastAsia"/>
          <w:sz w:val="24"/>
          <w:szCs w:val="24"/>
          <w:lang w:eastAsia="zh-CN"/>
        </w:rPr>
        <w:t>__________</w:t>
      </w:r>
    </w:p>
    <w:p w14:paraId="52D0F768" w14:textId="4D9C5D92" w:rsidR="008466F2" w:rsidRPr="0005709C" w:rsidRDefault="008466F2" w:rsidP="00D356F4">
      <w:pPr>
        <w:pStyle w:val="CBDNormalNumber"/>
        <w:numPr>
          <w:ilvl w:val="0"/>
          <w:numId w:val="0"/>
        </w:numPr>
        <w:overflowPunct w:val="0"/>
        <w:ind w:left="567"/>
        <w:rPr>
          <w:sz w:val="24"/>
          <w:lang w:eastAsia="zh-CN"/>
        </w:rPr>
      </w:pPr>
    </w:p>
    <w:sectPr w:rsidR="008466F2" w:rsidRPr="0005709C" w:rsidSect="004E5670">
      <w:headerReference w:type="even" r:id="rId40"/>
      <w:headerReference w:type="default" r:id="rId41"/>
      <w:footerReference w:type="even" r:id="rId42"/>
      <w:footerReference w:type="default" r:id="rId43"/>
      <w:pgSz w:w="12240" w:h="15840"/>
      <w:pgMar w:top="567" w:right="1440" w:bottom="1134"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76436" w14:textId="77777777" w:rsidR="003A005A" w:rsidRPr="00556C42" w:rsidRDefault="003A005A">
      <w:r w:rsidRPr="00556C42">
        <w:separator/>
      </w:r>
    </w:p>
  </w:endnote>
  <w:endnote w:type="continuationSeparator" w:id="0">
    <w:p w14:paraId="4EFAC17B" w14:textId="77777777" w:rsidR="003A005A" w:rsidRPr="00556C42" w:rsidRDefault="003A005A">
      <w:r w:rsidRPr="00556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Helvetica Neue">
    <w:altName w:val="Arial"/>
    <w:panose1 w:val="00000000000000000000"/>
    <w:charset w:val="00"/>
    <w:family w:val="roman"/>
    <w:notTrueType/>
    <w:pitch w:val="default"/>
  </w:font>
  <w:font w:name="Arial Unicode MS">
    <w:panose1 w:val="020B0604020202020204"/>
    <w:charset w:val="00"/>
    <w:family w:val="roman"/>
    <w:pitch w:val="default"/>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KaiTi_GB2312">
    <w:altName w:val="Microsoft YaHei"/>
    <w:charset w:val="86"/>
    <w:family w:val="modern"/>
    <w:pitch w:val="fixed"/>
    <w:sig w:usb0="00000001" w:usb1="080E0000" w:usb2="00000010" w:usb3="00000000" w:csb0="00040000"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28750"/>
      <w:docPartObj>
        <w:docPartGallery w:val="Page Numbers (Top of Page)"/>
        <w:docPartUnique/>
      </w:docPartObj>
    </w:sdtPr>
    <w:sdtContent>
      <w:p w14:paraId="4B08A165" w14:textId="3AE56D5C" w:rsidR="00AB3026" w:rsidRDefault="00AB3026">
        <w:pPr>
          <w:pStyle w:val="Footer"/>
        </w:pPr>
        <w:r w:rsidRPr="00240408">
          <w:rPr>
            <w:szCs w:val="20"/>
          </w:rPr>
          <w:fldChar w:fldCharType="begin"/>
        </w:r>
        <w:r w:rsidRPr="00240408">
          <w:rPr>
            <w:szCs w:val="20"/>
          </w:rPr>
          <w:instrText xml:space="preserve"> PAGE </w:instrText>
        </w:r>
        <w:r w:rsidRPr="00240408">
          <w:rPr>
            <w:szCs w:val="20"/>
          </w:rPr>
          <w:fldChar w:fldCharType="separate"/>
        </w:r>
        <w:r w:rsidR="00254941">
          <w:rPr>
            <w:noProof/>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00254941">
          <w:rPr>
            <w:noProof/>
            <w:szCs w:val="20"/>
          </w:rPr>
          <w:t>3</w:t>
        </w:r>
        <w:r w:rsidRPr="00240408">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05AFED0E" w14:textId="3CC05CDF" w:rsidR="00AB3026" w:rsidRDefault="00AB3026" w:rsidP="00AB3026">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00254941">
          <w:rPr>
            <w:noProof/>
            <w:szCs w:val="20"/>
          </w:rPr>
          <w:t>3</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00254941">
          <w:rPr>
            <w:noProof/>
            <w:szCs w:val="20"/>
          </w:rPr>
          <w:t>3</w:t>
        </w:r>
        <w:r w:rsidRPr="0024040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E2042" w14:textId="77777777" w:rsidR="003A005A" w:rsidRPr="00556C42" w:rsidRDefault="003A005A">
      <w:r w:rsidRPr="00556C42">
        <w:separator/>
      </w:r>
    </w:p>
  </w:footnote>
  <w:footnote w:type="continuationSeparator" w:id="0">
    <w:p w14:paraId="02BCB149" w14:textId="77777777" w:rsidR="003A005A" w:rsidRPr="00556C42" w:rsidRDefault="003A005A">
      <w:r w:rsidRPr="00556C42">
        <w:continuationSeparator/>
      </w:r>
    </w:p>
  </w:footnote>
  <w:footnote w:type="continuationNotice" w:id="1">
    <w:p w14:paraId="79E04C06" w14:textId="77777777" w:rsidR="003A005A" w:rsidRPr="00556C42" w:rsidRDefault="003A005A"/>
  </w:footnote>
  <w:footnote w:id="2">
    <w:p w14:paraId="1B09130B" w14:textId="77777777" w:rsidR="00DD08D0" w:rsidRPr="00DF0026" w:rsidRDefault="00DD08D0" w:rsidP="00DD08D0">
      <w:pPr>
        <w:pStyle w:val="FootnoteText"/>
        <w:rPr>
          <w:sz w:val="20"/>
        </w:rPr>
      </w:pPr>
      <w:r w:rsidRPr="00DF0026">
        <w:rPr>
          <w:sz w:val="20"/>
          <w:lang w:val="en-US"/>
        </w:rPr>
        <w:t xml:space="preserve">* </w:t>
      </w:r>
      <w:hyperlink r:id="rId1" w:history="1">
        <w:r w:rsidRPr="00DF0026">
          <w:rPr>
            <w:rStyle w:val="Hyperlink"/>
            <w:sz w:val="20"/>
            <w:lang w:val="en-US"/>
          </w:rPr>
          <w:t>CBD/COP/17/1/Rev.1</w:t>
        </w:r>
      </w:hyperlink>
      <w:r w:rsidRPr="00DF0026">
        <w:rPr>
          <w:sz w:val="20"/>
          <w:lang w:val="zh-CN"/>
        </w:rPr>
        <w:t>。</w:t>
      </w:r>
      <w:hyperlink r:id="rId2" w:history="1"/>
    </w:p>
  </w:footnote>
  <w:footnote w:id="3">
    <w:p w14:paraId="7E131C64" w14:textId="4C660C36" w:rsidR="00D060D3" w:rsidRPr="00DF0026" w:rsidRDefault="00D060D3" w:rsidP="00D060D3">
      <w:pPr>
        <w:pStyle w:val="FootnoteText"/>
        <w:rPr>
          <w:sz w:val="20"/>
          <w:lang w:eastAsia="zh-CN"/>
        </w:rPr>
      </w:pPr>
      <w:r w:rsidRPr="00DF0026">
        <w:rPr>
          <w:sz w:val="20"/>
          <w:vertAlign w:val="superscript"/>
          <w:lang w:val="zh-CN"/>
        </w:rPr>
        <w:footnoteRef/>
      </w:r>
      <w:r w:rsidRPr="00DF0026">
        <w:rPr>
          <w:sz w:val="20"/>
          <w:lang w:val="zh-CN" w:eastAsia="zh-CN"/>
        </w:rPr>
        <w:t xml:space="preserve"> </w:t>
      </w:r>
      <w:r w:rsidRPr="00DF0026">
        <w:rPr>
          <w:sz w:val="20"/>
          <w:lang w:val="zh-CN" w:eastAsia="zh-CN"/>
        </w:rPr>
        <w:t>详见</w:t>
      </w:r>
      <w:hyperlink r:id="rId3" w:history="1">
        <w:r w:rsidRPr="00DF0026">
          <w:rPr>
            <w:rStyle w:val="Hyperlink"/>
            <w:sz w:val="20"/>
            <w:lang w:val="zh-CN" w:eastAsia="zh-CN"/>
          </w:rPr>
          <w:t>CBD/SBI/7/5</w:t>
        </w:r>
      </w:hyperlink>
      <w:r w:rsidRPr="00DF0026">
        <w:rPr>
          <w:sz w:val="20"/>
          <w:lang w:val="zh-CN" w:eastAsia="zh-CN"/>
        </w:rPr>
        <w:t>号文件及其增编。</w:t>
      </w:r>
      <w:hyperlink r:id="rId4" w:history="1"/>
    </w:p>
  </w:footnote>
  <w:footnote w:id="4">
    <w:p w14:paraId="45A86DEC" w14:textId="77777777" w:rsidR="007C1C87" w:rsidRPr="00DF0026" w:rsidRDefault="007C1C87" w:rsidP="007C1C87">
      <w:pPr>
        <w:pStyle w:val="FootnoteText"/>
        <w:rPr>
          <w:sz w:val="20"/>
          <w:lang w:eastAsia="zh-CN"/>
        </w:rPr>
      </w:pPr>
      <w:r w:rsidRPr="00DF0026">
        <w:rPr>
          <w:rStyle w:val="FootnoteReference"/>
          <w:sz w:val="20"/>
        </w:rPr>
        <w:footnoteRef/>
      </w:r>
      <w:r w:rsidRPr="00DF0026">
        <w:rPr>
          <w:rFonts w:hint="eastAsia"/>
          <w:sz w:val="20"/>
          <w:lang w:eastAsia="zh-CN"/>
        </w:rPr>
        <w:t xml:space="preserve"> </w:t>
      </w:r>
      <w:r w:rsidRPr="00DF0026">
        <w:rPr>
          <w:sz w:val="20"/>
          <w:lang w:eastAsia="zh-CN"/>
        </w:rPr>
        <w:t>更多信息</w:t>
      </w:r>
      <w:r w:rsidRPr="00DF0026">
        <w:rPr>
          <w:rFonts w:hint="eastAsia"/>
          <w:sz w:val="20"/>
          <w:lang w:eastAsia="zh-CN"/>
        </w:rPr>
        <w:t>见：</w:t>
      </w:r>
      <w:r w:rsidRPr="00DF0026">
        <w:rPr>
          <w:sz w:val="20"/>
          <w:lang w:eastAsia="zh-CN"/>
        </w:rPr>
        <w:t>Paul Oldham</w:t>
      </w:r>
      <w:r w:rsidRPr="00DF0026">
        <w:rPr>
          <w:rFonts w:hint="eastAsia"/>
          <w:sz w:val="20"/>
          <w:lang w:eastAsia="zh-CN"/>
        </w:rPr>
        <w:t>，“倒置的联合国分摊比额表公式（</w:t>
      </w:r>
      <w:r w:rsidRPr="00DF0026">
        <w:rPr>
          <w:sz w:val="20"/>
          <w:lang w:eastAsia="zh-CN"/>
        </w:rPr>
        <w:t>IUSAF</w:t>
      </w:r>
      <w:r w:rsidRPr="00DF0026">
        <w:rPr>
          <w:rFonts w:hint="eastAsia"/>
          <w:sz w:val="20"/>
          <w:lang w:eastAsia="zh-CN"/>
        </w:rPr>
        <w:t>）：选项</w:t>
      </w:r>
      <w:r w:rsidRPr="00DF0026">
        <w:rPr>
          <w:sz w:val="20"/>
          <w:lang w:eastAsia="zh-CN"/>
        </w:rPr>
        <w:t>A</w:t>
      </w:r>
      <w:r w:rsidRPr="00DF0026">
        <w:rPr>
          <w:rFonts w:hint="eastAsia"/>
          <w:sz w:val="20"/>
          <w:lang w:eastAsia="zh-CN"/>
        </w:rPr>
        <w:t>工作文件”，</w:t>
      </w:r>
      <w:r w:rsidRPr="00DF0026">
        <w:rPr>
          <w:i/>
          <w:iCs/>
          <w:sz w:val="20"/>
          <w:lang w:eastAsia="zh-CN"/>
        </w:rPr>
        <w:t>SSRN</w:t>
      </w:r>
      <w:r w:rsidRPr="00DF0026">
        <w:rPr>
          <w:rFonts w:hint="eastAsia"/>
          <w:sz w:val="20"/>
          <w:lang w:eastAsia="zh-CN"/>
        </w:rPr>
        <w:t>，</w:t>
      </w:r>
      <w:r w:rsidRPr="00DF0026">
        <w:rPr>
          <w:sz w:val="20"/>
          <w:lang w:eastAsia="zh-CN"/>
        </w:rPr>
        <w:t>2026</w:t>
      </w:r>
      <w:r w:rsidRPr="00DF0026">
        <w:rPr>
          <w:sz w:val="20"/>
          <w:lang w:eastAsia="zh-CN"/>
        </w:rPr>
        <w:t>年</w:t>
      </w:r>
      <w:r w:rsidRPr="00DF0026">
        <w:rPr>
          <w:sz w:val="20"/>
          <w:lang w:eastAsia="zh-CN"/>
        </w:rPr>
        <w:t>5</w:t>
      </w:r>
      <w:r w:rsidRPr="00DF0026">
        <w:rPr>
          <w:sz w:val="20"/>
          <w:lang w:eastAsia="zh-CN"/>
        </w:rPr>
        <w:t>月</w:t>
      </w:r>
      <w:r w:rsidRPr="00DF0026">
        <w:rPr>
          <w:sz w:val="20"/>
          <w:lang w:eastAsia="zh-CN"/>
        </w:rPr>
        <w:t>7</w:t>
      </w:r>
      <w:r w:rsidRPr="00DF0026">
        <w:rPr>
          <w:sz w:val="20"/>
          <w:lang w:eastAsia="zh-CN"/>
        </w:rPr>
        <w:t>日</w:t>
      </w:r>
      <w:r w:rsidRPr="00DF0026">
        <w:rPr>
          <w:rFonts w:hint="eastAsia"/>
          <w:sz w:val="20"/>
          <w:lang w:eastAsia="zh-CN"/>
        </w:rPr>
        <w:t>。</w:t>
      </w:r>
    </w:p>
  </w:footnote>
  <w:footnote w:id="5">
    <w:p w14:paraId="698DDF08" w14:textId="77777777" w:rsidR="007C1C87" w:rsidRPr="00DF0026" w:rsidRDefault="007C1C87" w:rsidP="007C1C87">
      <w:pPr>
        <w:pStyle w:val="FootnoteText"/>
        <w:rPr>
          <w:sz w:val="20"/>
          <w:lang w:eastAsia="zh-CN"/>
        </w:rPr>
      </w:pPr>
      <w:r w:rsidRPr="00DF0026">
        <w:rPr>
          <w:rStyle w:val="FootnoteReference"/>
          <w:sz w:val="20"/>
        </w:rPr>
        <w:footnoteRef/>
      </w:r>
      <w:r w:rsidRPr="00DF0026">
        <w:rPr>
          <w:sz w:val="20"/>
        </w:rPr>
        <w:t xml:space="preserve"> </w:t>
      </w:r>
      <w:hyperlink r:id="rId5" w:history="1">
        <w:r w:rsidRPr="00DF0026">
          <w:rPr>
            <w:rStyle w:val="Hyperlink"/>
            <w:sz w:val="20"/>
          </w:rPr>
          <w:t>www.cbd.int/conferences/dsi-sc</w:t>
        </w:r>
      </w:hyperlink>
      <w:r w:rsidRPr="00DF0026">
        <w:rPr>
          <w:rFonts w:hint="eastAsia"/>
          <w:sz w:val="20"/>
          <w:lang w:eastAsia="zh-CN"/>
        </w:rPr>
        <w:t>。</w:t>
      </w:r>
    </w:p>
  </w:footnote>
  <w:footnote w:id="6">
    <w:p w14:paraId="02B2301E" w14:textId="77777777" w:rsidR="007C1C87" w:rsidRPr="00DF0026" w:rsidRDefault="007C1C87" w:rsidP="007C1C87">
      <w:pPr>
        <w:pStyle w:val="FootnoteText"/>
        <w:rPr>
          <w:sz w:val="20"/>
          <w:lang w:eastAsia="zh-CN"/>
        </w:rPr>
      </w:pPr>
      <w:r w:rsidRPr="00DF0026">
        <w:rPr>
          <w:rStyle w:val="FootnoteReference"/>
          <w:sz w:val="20"/>
        </w:rPr>
        <w:footnoteRef/>
      </w:r>
      <w:r w:rsidRPr="00DF0026">
        <w:rPr>
          <w:sz w:val="20"/>
          <w:lang w:eastAsia="zh-CN"/>
        </w:rPr>
        <w:t xml:space="preserve"> </w:t>
      </w:r>
      <w:r w:rsidRPr="00DF0026">
        <w:rPr>
          <w:rFonts w:hint="eastAsia"/>
          <w:sz w:val="20"/>
          <w:lang w:eastAsia="zh-CN"/>
        </w:rPr>
        <w:t>秘书处的资源需求见</w:t>
      </w:r>
      <w:r w:rsidRPr="00DF0026">
        <w:rPr>
          <w:sz w:val="20"/>
          <w:lang w:eastAsia="zh-CN"/>
        </w:rPr>
        <w:t>CBD/COP/17/4/Add.2</w:t>
      </w:r>
      <w:r w:rsidRPr="00DF0026">
        <w:rPr>
          <w:rFonts w:hint="eastAsia"/>
          <w:sz w:val="20"/>
          <w:lang w:eastAsia="zh-CN"/>
        </w:rPr>
        <w:t>号文件。</w:t>
      </w:r>
    </w:p>
  </w:footnote>
  <w:footnote w:id="7">
    <w:p w14:paraId="08ECAC32" w14:textId="77777777" w:rsidR="007C1C87" w:rsidRPr="00DF0026" w:rsidRDefault="007C1C87" w:rsidP="007C1C87">
      <w:pPr>
        <w:pStyle w:val="CBDFootnoteText"/>
        <w:rPr>
          <w:sz w:val="20"/>
          <w:szCs w:val="20"/>
          <w:lang w:eastAsia="zh-CN"/>
        </w:rPr>
      </w:pPr>
      <w:r w:rsidRPr="00DF0026">
        <w:rPr>
          <w:sz w:val="20"/>
          <w:szCs w:val="20"/>
          <w:vertAlign w:val="superscript"/>
        </w:rPr>
        <w:footnoteRef/>
      </w:r>
      <w:r w:rsidRPr="00DF0026">
        <w:rPr>
          <w:sz w:val="20"/>
          <w:szCs w:val="20"/>
          <w:lang w:eastAsia="zh-CN"/>
        </w:rPr>
        <w:t xml:space="preserve"> </w:t>
      </w:r>
      <w:r w:rsidRPr="00DF0026">
        <w:rPr>
          <w:rFonts w:hint="eastAsia"/>
          <w:sz w:val="20"/>
          <w:szCs w:val="20"/>
          <w:lang w:eastAsia="zh-CN"/>
        </w:rPr>
        <w:t>见执行问题附属机构第</w:t>
      </w:r>
      <w:hyperlink r:id="rId6" w:history="1">
        <w:r w:rsidRPr="00DF0026">
          <w:rPr>
            <w:rStyle w:val="Hyperlink"/>
            <w:sz w:val="20"/>
            <w:szCs w:val="20"/>
            <w:lang w:eastAsia="zh-CN"/>
          </w:rPr>
          <w:t>7/4</w:t>
        </w:r>
      </w:hyperlink>
      <w:r w:rsidRPr="00DF0026">
        <w:rPr>
          <w:rFonts w:hint="eastAsia"/>
          <w:sz w:val="20"/>
          <w:szCs w:val="20"/>
          <w:lang w:eastAsia="zh-CN"/>
        </w:rPr>
        <w:t>号建议。</w:t>
      </w:r>
    </w:p>
  </w:footnote>
  <w:footnote w:id="8">
    <w:p w14:paraId="02BE8994" w14:textId="77777777" w:rsidR="0032305E" w:rsidRPr="00DF0026" w:rsidRDefault="0032305E" w:rsidP="0032305E">
      <w:pPr>
        <w:pStyle w:val="FootnoteText"/>
        <w:rPr>
          <w:sz w:val="20"/>
        </w:rPr>
      </w:pPr>
      <w:r w:rsidRPr="00DF0026">
        <w:rPr>
          <w:rStyle w:val="FootnoteReference"/>
          <w:sz w:val="20"/>
        </w:rPr>
        <w:footnoteRef/>
      </w:r>
      <w:r w:rsidRPr="00DF0026">
        <w:rPr>
          <w:sz w:val="20"/>
        </w:rPr>
        <w:t xml:space="preserve"> </w:t>
      </w:r>
      <w:hyperlink r:id="rId7" w:history="1">
        <w:r w:rsidRPr="00DF0026">
          <w:rPr>
            <w:rStyle w:val="Hyperlink"/>
            <w:sz w:val="20"/>
          </w:rPr>
          <w:t>CBD/COP/17/6/Add.2</w:t>
        </w:r>
      </w:hyperlink>
      <w:r w:rsidRPr="00DF0026">
        <w:rPr>
          <w:rFonts w:hint="eastAsia"/>
          <w:sz w:val="20"/>
          <w:lang w:eastAsia="zh-CN"/>
        </w:rPr>
        <w:t>。</w:t>
      </w:r>
    </w:p>
  </w:footnote>
  <w:footnote w:id="9">
    <w:p w14:paraId="62B09694" w14:textId="77777777" w:rsidR="0032305E" w:rsidRPr="00DF0026" w:rsidRDefault="0032305E" w:rsidP="0032305E">
      <w:pPr>
        <w:pStyle w:val="FootnoteText"/>
        <w:rPr>
          <w:sz w:val="20"/>
          <w:lang w:val="en-US" w:eastAsia="zh-CN"/>
        </w:rPr>
      </w:pPr>
      <w:r w:rsidRPr="00DF0026">
        <w:rPr>
          <w:rStyle w:val="FootnoteReference"/>
          <w:sz w:val="20"/>
        </w:rPr>
        <w:footnoteRef/>
      </w:r>
      <w:r w:rsidRPr="00DF0026">
        <w:rPr>
          <w:sz w:val="20"/>
          <w:lang w:eastAsia="zh-CN"/>
        </w:rPr>
        <w:t xml:space="preserve"> </w:t>
      </w:r>
      <w:r w:rsidRPr="00DF0026">
        <w:rPr>
          <w:rFonts w:hint="eastAsia"/>
          <w:sz w:val="20"/>
          <w:lang w:eastAsia="zh-CN"/>
        </w:rPr>
        <w:t>见</w:t>
      </w:r>
      <w:hyperlink r:id="rId8" w:history="1">
        <w:r w:rsidRPr="00DF0026">
          <w:rPr>
            <w:rStyle w:val="Hyperlink"/>
            <w:sz w:val="20"/>
            <w:lang w:eastAsia="zh-CN"/>
          </w:rPr>
          <w:t>COP/17/6/Add.2</w:t>
        </w:r>
      </w:hyperlink>
      <w:r w:rsidRPr="00DF0026">
        <w:rPr>
          <w:rFonts w:hint="eastAsia"/>
          <w:sz w:val="20"/>
          <w:lang w:eastAsia="zh-CN"/>
        </w:rPr>
        <w:t>，附件，第二节。决定草案汇编（</w:t>
      </w:r>
      <w:r w:rsidRPr="00DF0026">
        <w:rPr>
          <w:rFonts w:hint="eastAsia"/>
          <w:sz w:val="20"/>
          <w:lang w:eastAsia="zh-CN"/>
        </w:rPr>
        <w:t>CBD/COP/17/2</w:t>
      </w:r>
      <w:r w:rsidRPr="00DF0026">
        <w:rPr>
          <w:rFonts w:hint="eastAsia"/>
          <w:sz w:val="20"/>
          <w:lang w:eastAsia="zh-CN"/>
        </w:rPr>
        <w:t>）中所载的决定草案将包含本决定草案全文，包括方法草案。</w:t>
      </w:r>
    </w:p>
  </w:footnote>
  <w:footnote w:id="10">
    <w:p w14:paraId="2B8DA53A" w14:textId="77777777" w:rsidR="0032305E" w:rsidRPr="00DF0026" w:rsidRDefault="0032305E" w:rsidP="0032305E">
      <w:pPr>
        <w:pStyle w:val="FootnoteText"/>
        <w:rPr>
          <w:sz w:val="20"/>
        </w:rPr>
      </w:pPr>
      <w:r w:rsidRPr="00DF0026">
        <w:rPr>
          <w:rStyle w:val="FootnoteReference"/>
          <w:sz w:val="20"/>
        </w:rPr>
        <w:footnoteRef/>
      </w:r>
      <w:r w:rsidRPr="00DF0026">
        <w:rPr>
          <w:sz w:val="20"/>
        </w:rPr>
        <w:t xml:space="preserve"> </w:t>
      </w:r>
      <w:r w:rsidRPr="00DF0026">
        <w:rPr>
          <w:rFonts w:hint="eastAsia"/>
          <w:sz w:val="20"/>
          <w:lang w:eastAsia="zh-CN"/>
        </w:rPr>
        <w:t>第</w:t>
      </w:r>
      <w:hyperlink r:id="rId9" w:history="1">
        <w:r w:rsidRPr="00DF0026">
          <w:rPr>
            <w:rStyle w:val="Hyperlink"/>
            <w:sz w:val="20"/>
          </w:rPr>
          <w:t>15/4</w:t>
        </w:r>
      </w:hyperlink>
      <w:r w:rsidRPr="00DF0026">
        <w:rPr>
          <w:rFonts w:hint="eastAsia"/>
          <w:sz w:val="20"/>
          <w:lang w:eastAsia="zh-CN"/>
        </w:rPr>
        <w:t>号决定，附件。</w:t>
      </w:r>
    </w:p>
  </w:footnote>
  <w:footnote w:id="11">
    <w:p w14:paraId="74087D68" w14:textId="77777777" w:rsidR="0032305E" w:rsidRPr="00DF0026" w:rsidRDefault="0032305E" w:rsidP="0032305E">
      <w:pPr>
        <w:pStyle w:val="FootnoteText"/>
        <w:rPr>
          <w:sz w:val="20"/>
        </w:rPr>
      </w:pPr>
      <w:r w:rsidRPr="00DF0026">
        <w:rPr>
          <w:rStyle w:val="FootnoteReference"/>
          <w:sz w:val="20"/>
        </w:rPr>
        <w:footnoteRef/>
      </w:r>
      <w:r w:rsidRPr="00DF0026">
        <w:rPr>
          <w:sz w:val="20"/>
        </w:rPr>
        <w:t xml:space="preserve"> </w:t>
      </w:r>
      <w:hyperlink r:id="rId10" w:history="1">
        <w:r w:rsidRPr="00DF0026">
          <w:rPr>
            <w:rStyle w:val="Hyperlink"/>
            <w:sz w:val="20"/>
          </w:rPr>
          <w:t>CBD/COP/17/6/Add.1</w:t>
        </w:r>
      </w:hyperlink>
      <w:r w:rsidRPr="00DF0026">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48AA" w14:textId="59BE44FD" w:rsidR="008466F2" w:rsidRPr="004E5670" w:rsidRDefault="00AF63C8" w:rsidP="004E5670">
    <w:pPr>
      <w:pStyle w:val="CBDHeader"/>
      <w:spacing w:after="240"/>
      <w:rPr>
        <w:lang w:val="en-US"/>
      </w:rPr>
    </w:pPr>
    <w:r>
      <w:rPr>
        <w:lang w:val="en-US"/>
      </w:rPr>
      <w:t>CBD/COP/17/6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66E7" w14:textId="7F2ED27D" w:rsidR="008466F2" w:rsidRPr="004E5670" w:rsidRDefault="00AF63C8" w:rsidP="004E5670">
    <w:pPr>
      <w:pStyle w:val="CBDHeader"/>
      <w:spacing w:after="240"/>
      <w:jc w:val="right"/>
      <w:rPr>
        <w:lang w:val="en-US"/>
      </w:rPr>
    </w:pPr>
    <w:r>
      <w:rPr>
        <w:lang w:val="en-US"/>
      </w:rPr>
      <w:t>CBD/COP/17/6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222A08B4"/>
    <w:lvl w:ilvl="0">
      <w:start w:val="1"/>
      <w:numFmt w:val="decimal"/>
      <w:pStyle w:val="Heading1"/>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233C6654"/>
    <w:multiLevelType w:val="hybridMultilevel"/>
    <w:tmpl w:val="222A08B4"/>
    <w:numStyleLink w:val="ListCBD"/>
  </w:abstractNum>
  <w:abstractNum w:abstractNumId="2" w15:restartNumberingAfterBreak="0">
    <w:nsid w:val="42A44168"/>
    <w:multiLevelType w:val="hybridMultilevel"/>
    <w:tmpl w:val="EDD6DF7E"/>
    <w:styleLink w:val="ImportedStyle2"/>
    <w:lvl w:ilvl="0" w:tplc="A0BE24D0">
      <w:start w:val="1"/>
      <w:numFmt w:val="decimal"/>
      <w:lvlText w:val="%1."/>
      <w:lvlJc w:val="left"/>
      <w:pPr>
        <w:tabs>
          <w:tab w:val="left" w:pos="360"/>
          <w:tab w:val="left" w:pos="567"/>
          <w:tab w:val="num" w:pos="1134"/>
          <w:tab w:val="left" w:pos="1701"/>
          <w:tab w:val="left" w:pos="2268"/>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94834DE">
      <w:start w:val="1"/>
      <w:numFmt w:val="lowerLetter"/>
      <w:suff w:val="nothing"/>
      <w:lvlText w:val="(%2)"/>
      <w:lvlJc w:val="left"/>
      <w:pPr>
        <w:tabs>
          <w:tab w:val="left" w:pos="360"/>
          <w:tab w:val="left" w:pos="567"/>
          <w:tab w:val="left" w:pos="1134"/>
          <w:tab w:val="left" w:pos="1701"/>
          <w:tab w:val="left" w:pos="2268"/>
        </w:tabs>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8800F42">
      <w:start w:val="1"/>
      <w:numFmt w:val="lowerRoman"/>
      <w:suff w:val="nothing"/>
      <w:lvlText w:val="(%3)"/>
      <w:lvlJc w:val="left"/>
      <w:pPr>
        <w:tabs>
          <w:tab w:val="left" w:pos="360"/>
          <w:tab w:val="left" w:pos="567"/>
          <w:tab w:val="left" w:pos="1134"/>
          <w:tab w:val="left" w:pos="1701"/>
          <w:tab w:val="left" w:pos="2268"/>
        </w:tabs>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E60B6D4">
      <w:start w:val="1"/>
      <w:numFmt w:val="lowerRoman"/>
      <w:suff w:val="nothing"/>
      <w:lvlText w:val="(%4)"/>
      <w:lvlJc w:val="left"/>
      <w:pPr>
        <w:tabs>
          <w:tab w:val="left" w:pos="360"/>
          <w:tab w:val="left" w:pos="567"/>
          <w:tab w:val="left" w:pos="1134"/>
          <w:tab w:val="left" w:pos="1701"/>
          <w:tab w:val="left" w:pos="2268"/>
        </w:tabs>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9367A20">
      <w:start w:val="1"/>
      <w:numFmt w:val="lowerLetter"/>
      <w:lvlText w:val="(%5)"/>
      <w:lvlJc w:val="left"/>
      <w:pPr>
        <w:tabs>
          <w:tab w:val="left" w:pos="360"/>
          <w:tab w:val="left" w:pos="567"/>
          <w:tab w:val="left" w:pos="1134"/>
          <w:tab w:val="left" w:pos="1701"/>
          <w:tab w:val="left" w:pos="2268"/>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A022100">
      <w:start w:val="1"/>
      <w:numFmt w:val="lowerRoman"/>
      <w:lvlText w:val="(%6)"/>
      <w:lvlJc w:val="left"/>
      <w:pPr>
        <w:tabs>
          <w:tab w:val="left" w:pos="360"/>
          <w:tab w:val="left" w:pos="567"/>
          <w:tab w:val="left" w:pos="1134"/>
          <w:tab w:val="left" w:pos="1701"/>
          <w:tab w:val="left" w:pos="2268"/>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E66375A">
      <w:start w:val="1"/>
      <w:numFmt w:val="decimal"/>
      <w:lvlText w:val="%7."/>
      <w:lvlJc w:val="left"/>
      <w:pPr>
        <w:tabs>
          <w:tab w:val="left" w:pos="360"/>
          <w:tab w:val="left" w:pos="567"/>
          <w:tab w:val="left" w:pos="1134"/>
          <w:tab w:val="left" w:pos="1701"/>
          <w:tab w:val="left" w:pos="2268"/>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FD4242E">
      <w:start w:val="1"/>
      <w:numFmt w:val="lowerLetter"/>
      <w:lvlText w:val="%8."/>
      <w:lvlJc w:val="left"/>
      <w:pPr>
        <w:tabs>
          <w:tab w:val="left" w:pos="360"/>
          <w:tab w:val="left" w:pos="567"/>
          <w:tab w:val="left" w:pos="1134"/>
          <w:tab w:val="left" w:pos="1701"/>
          <w:tab w:val="left" w:pos="2268"/>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9FAF4A2">
      <w:start w:val="1"/>
      <w:numFmt w:val="lowerRoman"/>
      <w:lvlText w:val="%9."/>
      <w:lvlJc w:val="left"/>
      <w:pPr>
        <w:tabs>
          <w:tab w:val="left" w:pos="360"/>
          <w:tab w:val="left" w:pos="567"/>
          <w:tab w:val="left" w:pos="1134"/>
          <w:tab w:val="left" w:pos="1701"/>
          <w:tab w:val="left" w:pos="2268"/>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D943BEE"/>
    <w:multiLevelType w:val="multilevel"/>
    <w:tmpl w:val="222A08B4"/>
    <w:numStyleLink w:val="ListCBD"/>
  </w:abstractNum>
  <w:abstractNum w:abstractNumId="4" w15:restartNumberingAfterBreak="0">
    <w:nsid w:val="62940689"/>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7C252FA"/>
    <w:multiLevelType w:val="hybridMultilevel"/>
    <w:tmpl w:val="07D269C8"/>
    <w:numStyleLink w:val="CBDHeadings"/>
  </w:abstractNum>
  <w:abstractNum w:abstractNumId="6"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21A24CF"/>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1583446656">
    <w:abstractNumId w:val="8"/>
  </w:num>
  <w:num w:numId="2" w16cid:durableId="338237032">
    <w:abstractNumId w:val="1"/>
    <w:lvlOverride w:ilvl="1">
      <w:lvl w:ilvl="1" w:tplc="8F9E40CC">
        <w:start w:val="1"/>
        <w:numFmt w:val="lowerLetter"/>
        <w:lvlText w:val="(%2)"/>
        <w:lvlJc w:val="left"/>
        <w:pPr>
          <w:ind w:left="567" w:firstLine="567"/>
        </w:pPr>
        <w:rPr>
          <w:rFonts w:ascii="Times New Roman" w:hAnsi="Times New Roman" w:hint="default"/>
          <w:b w:val="0"/>
          <w:i w:val="0"/>
          <w:sz w:val="24"/>
          <w:szCs w:val="24"/>
        </w:rPr>
      </w:lvl>
    </w:lvlOverride>
  </w:num>
  <w:num w:numId="3" w16cid:durableId="1663507840">
    <w:abstractNumId w:val="4"/>
  </w:num>
  <w:num w:numId="4" w16cid:durableId="1635023343">
    <w:abstractNumId w:val="2"/>
  </w:num>
  <w:num w:numId="5" w16cid:durableId="491874456">
    <w:abstractNumId w:val="7"/>
  </w:num>
  <w:num w:numId="6" w16cid:durableId="208896167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7" w16cid:durableId="2025744565">
    <w:abstractNumId w:val="0"/>
  </w:num>
  <w:num w:numId="8" w16cid:durableId="1322543659">
    <w:abstractNumId w:val="5"/>
    <w:lvlOverride w:ilvl="0">
      <w:startOverride w:val="2"/>
    </w:lvlOverride>
  </w:num>
  <w:num w:numId="9" w16cid:durableId="1555695308">
    <w:abstractNumId w:val="3"/>
  </w:num>
  <w:num w:numId="10" w16cid:durableId="113888584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bordersDoNotSurroundHeader/>
  <w:bordersDoNotSurroundFooter/>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6F2"/>
    <w:rsid w:val="0000533A"/>
    <w:rsid w:val="00006309"/>
    <w:rsid w:val="000109AA"/>
    <w:rsid w:val="000129B7"/>
    <w:rsid w:val="00012FC1"/>
    <w:rsid w:val="000131F3"/>
    <w:rsid w:val="000144C0"/>
    <w:rsid w:val="000159FB"/>
    <w:rsid w:val="00020378"/>
    <w:rsid w:val="000205C2"/>
    <w:rsid w:val="00022962"/>
    <w:rsid w:val="00023017"/>
    <w:rsid w:val="0002507F"/>
    <w:rsid w:val="000267DE"/>
    <w:rsid w:val="00026856"/>
    <w:rsid w:val="00026943"/>
    <w:rsid w:val="00030664"/>
    <w:rsid w:val="00031CB7"/>
    <w:rsid w:val="00033BFF"/>
    <w:rsid w:val="00035B2C"/>
    <w:rsid w:val="0003611F"/>
    <w:rsid w:val="000369E6"/>
    <w:rsid w:val="00040636"/>
    <w:rsid w:val="00041B03"/>
    <w:rsid w:val="00042A6A"/>
    <w:rsid w:val="0004759F"/>
    <w:rsid w:val="000516AF"/>
    <w:rsid w:val="00054570"/>
    <w:rsid w:val="00054CAC"/>
    <w:rsid w:val="00054E52"/>
    <w:rsid w:val="00055D7A"/>
    <w:rsid w:val="00055F9D"/>
    <w:rsid w:val="0005709C"/>
    <w:rsid w:val="00057A1E"/>
    <w:rsid w:val="000621FF"/>
    <w:rsid w:val="00062C2E"/>
    <w:rsid w:val="0006636A"/>
    <w:rsid w:val="00066F36"/>
    <w:rsid w:val="00072D4C"/>
    <w:rsid w:val="000736EE"/>
    <w:rsid w:val="000745FB"/>
    <w:rsid w:val="00074DB2"/>
    <w:rsid w:val="00077F42"/>
    <w:rsid w:val="00077F95"/>
    <w:rsid w:val="000802B4"/>
    <w:rsid w:val="00082C28"/>
    <w:rsid w:val="00083546"/>
    <w:rsid w:val="00087433"/>
    <w:rsid w:val="00087983"/>
    <w:rsid w:val="000902EA"/>
    <w:rsid w:val="00097250"/>
    <w:rsid w:val="000978BF"/>
    <w:rsid w:val="000A1DEF"/>
    <w:rsid w:val="000A3266"/>
    <w:rsid w:val="000A4FB4"/>
    <w:rsid w:val="000A558D"/>
    <w:rsid w:val="000A7BFC"/>
    <w:rsid w:val="000B033F"/>
    <w:rsid w:val="000B26FC"/>
    <w:rsid w:val="000B64B3"/>
    <w:rsid w:val="000B69C1"/>
    <w:rsid w:val="000C4286"/>
    <w:rsid w:val="000C55C9"/>
    <w:rsid w:val="000D051E"/>
    <w:rsid w:val="000D33BB"/>
    <w:rsid w:val="000D3CFF"/>
    <w:rsid w:val="000D4562"/>
    <w:rsid w:val="000D599C"/>
    <w:rsid w:val="000D79F0"/>
    <w:rsid w:val="000E0097"/>
    <w:rsid w:val="000E0417"/>
    <w:rsid w:val="000E0BAA"/>
    <w:rsid w:val="000E6CA2"/>
    <w:rsid w:val="000F0011"/>
    <w:rsid w:val="000F1BE8"/>
    <w:rsid w:val="000F73CF"/>
    <w:rsid w:val="00103D37"/>
    <w:rsid w:val="00104B44"/>
    <w:rsid w:val="00105E1B"/>
    <w:rsid w:val="00107216"/>
    <w:rsid w:val="001138EC"/>
    <w:rsid w:val="00114321"/>
    <w:rsid w:val="00115A7C"/>
    <w:rsid w:val="00115D6B"/>
    <w:rsid w:val="00115DE8"/>
    <w:rsid w:val="0012148B"/>
    <w:rsid w:val="00121EA9"/>
    <w:rsid w:val="00122142"/>
    <w:rsid w:val="0012220E"/>
    <w:rsid w:val="0012227C"/>
    <w:rsid w:val="0012532C"/>
    <w:rsid w:val="00126002"/>
    <w:rsid w:val="00130D30"/>
    <w:rsid w:val="0013465E"/>
    <w:rsid w:val="001357EB"/>
    <w:rsid w:val="00137D0F"/>
    <w:rsid w:val="00141250"/>
    <w:rsid w:val="0014161A"/>
    <w:rsid w:val="00144019"/>
    <w:rsid w:val="0014589C"/>
    <w:rsid w:val="00145C64"/>
    <w:rsid w:val="0014621B"/>
    <w:rsid w:val="00146540"/>
    <w:rsid w:val="00150E12"/>
    <w:rsid w:val="001533B3"/>
    <w:rsid w:val="00155602"/>
    <w:rsid w:val="00155A68"/>
    <w:rsid w:val="00156467"/>
    <w:rsid w:val="00156AA2"/>
    <w:rsid w:val="00163E49"/>
    <w:rsid w:val="00165136"/>
    <w:rsid w:val="0016709D"/>
    <w:rsid w:val="001707A9"/>
    <w:rsid w:val="00170B44"/>
    <w:rsid w:val="00170D85"/>
    <w:rsid w:val="00172283"/>
    <w:rsid w:val="00173F64"/>
    <w:rsid w:val="001755A6"/>
    <w:rsid w:val="0018085C"/>
    <w:rsid w:val="001847AE"/>
    <w:rsid w:val="00195FD7"/>
    <w:rsid w:val="001A4D91"/>
    <w:rsid w:val="001A51A1"/>
    <w:rsid w:val="001B015D"/>
    <w:rsid w:val="001B0C9A"/>
    <w:rsid w:val="001B2227"/>
    <w:rsid w:val="001B2761"/>
    <w:rsid w:val="001B36A9"/>
    <w:rsid w:val="001B3922"/>
    <w:rsid w:val="001B3AC7"/>
    <w:rsid w:val="001B435C"/>
    <w:rsid w:val="001B66C0"/>
    <w:rsid w:val="001B6F41"/>
    <w:rsid w:val="001B6F6F"/>
    <w:rsid w:val="001C1B52"/>
    <w:rsid w:val="001C23F3"/>
    <w:rsid w:val="001C275F"/>
    <w:rsid w:val="001C4466"/>
    <w:rsid w:val="001C6C0E"/>
    <w:rsid w:val="001C72A4"/>
    <w:rsid w:val="001D02D9"/>
    <w:rsid w:val="001D0BA7"/>
    <w:rsid w:val="001D0C63"/>
    <w:rsid w:val="001D1721"/>
    <w:rsid w:val="001D1998"/>
    <w:rsid w:val="001D3CEF"/>
    <w:rsid w:val="001D6674"/>
    <w:rsid w:val="001D7D5A"/>
    <w:rsid w:val="001E3D6D"/>
    <w:rsid w:val="001E5C23"/>
    <w:rsid w:val="001E60A5"/>
    <w:rsid w:val="001F6813"/>
    <w:rsid w:val="001F6FBE"/>
    <w:rsid w:val="001F7648"/>
    <w:rsid w:val="001F7ED1"/>
    <w:rsid w:val="002002F3"/>
    <w:rsid w:val="0020045B"/>
    <w:rsid w:val="00201FFE"/>
    <w:rsid w:val="00203021"/>
    <w:rsid w:val="002045B0"/>
    <w:rsid w:val="002146D7"/>
    <w:rsid w:val="0021522D"/>
    <w:rsid w:val="00220BF2"/>
    <w:rsid w:val="002245F1"/>
    <w:rsid w:val="0022543F"/>
    <w:rsid w:val="0022767F"/>
    <w:rsid w:val="0023240F"/>
    <w:rsid w:val="002338A7"/>
    <w:rsid w:val="00236969"/>
    <w:rsid w:val="00237375"/>
    <w:rsid w:val="002419E3"/>
    <w:rsid w:val="00242333"/>
    <w:rsid w:val="00242644"/>
    <w:rsid w:val="00246AB1"/>
    <w:rsid w:val="00247535"/>
    <w:rsid w:val="00251659"/>
    <w:rsid w:val="00251DA0"/>
    <w:rsid w:val="00254941"/>
    <w:rsid w:val="00254BAA"/>
    <w:rsid w:val="002571AF"/>
    <w:rsid w:val="002613C3"/>
    <w:rsid w:val="00273028"/>
    <w:rsid w:val="002749C3"/>
    <w:rsid w:val="00274BBC"/>
    <w:rsid w:val="0028322A"/>
    <w:rsid w:val="0028520A"/>
    <w:rsid w:val="00287AC8"/>
    <w:rsid w:val="00290856"/>
    <w:rsid w:val="00292702"/>
    <w:rsid w:val="002945F3"/>
    <w:rsid w:val="00296936"/>
    <w:rsid w:val="002A0EC5"/>
    <w:rsid w:val="002A18F1"/>
    <w:rsid w:val="002A4B3F"/>
    <w:rsid w:val="002A6464"/>
    <w:rsid w:val="002A7D66"/>
    <w:rsid w:val="002A7DD7"/>
    <w:rsid w:val="002B023B"/>
    <w:rsid w:val="002B3951"/>
    <w:rsid w:val="002B50FD"/>
    <w:rsid w:val="002B7E86"/>
    <w:rsid w:val="002C1A93"/>
    <w:rsid w:val="002C1EB8"/>
    <w:rsid w:val="002C28FB"/>
    <w:rsid w:val="002C2CE9"/>
    <w:rsid w:val="002C3F73"/>
    <w:rsid w:val="002C6A9A"/>
    <w:rsid w:val="002C740F"/>
    <w:rsid w:val="002C7CAC"/>
    <w:rsid w:val="002D045B"/>
    <w:rsid w:val="002D20BC"/>
    <w:rsid w:val="002D249B"/>
    <w:rsid w:val="002D2E5D"/>
    <w:rsid w:val="002D6DF0"/>
    <w:rsid w:val="002D7A28"/>
    <w:rsid w:val="002D7C12"/>
    <w:rsid w:val="002E1129"/>
    <w:rsid w:val="002E4DCF"/>
    <w:rsid w:val="002E5111"/>
    <w:rsid w:val="002E5CE8"/>
    <w:rsid w:val="002F11DB"/>
    <w:rsid w:val="002F21FA"/>
    <w:rsid w:val="002F31A0"/>
    <w:rsid w:val="002F405E"/>
    <w:rsid w:val="002F5A9D"/>
    <w:rsid w:val="002F5D99"/>
    <w:rsid w:val="002F6A92"/>
    <w:rsid w:val="002F6EB9"/>
    <w:rsid w:val="002F749C"/>
    <w:rsid w:val="002F7F4A"/>
    <w:rsid w:val="00305533"/>
    <w:rsid w:val="0031291A"/>
    <w:rsid w:val="00312F2F"/>
    <w:rsid w:val="003137A9"/>
    <w:rsid w:val="00316BA4"/>
    <w:rsid w:val="00317125"/>
    <w:rsid w:val="00317B36"/>
    <w:rsid w:val="003206D3"/>
    <w:rsid w:val="00321958"/>
    <w:rsid w:val="0032305E"/>
    <w:rsid w:val="00323844"/>
    <w:rsid w:val="00324D04"/>
    <w:rsid w:val="00325468"/>
    <w:rsid w:val="003311E8"/>
    <w:rsid w:val="0033328B"/>
    <w:rsid w:val="003334AC"/>
    <w:rsid w:val="00333550"/>
    <w:rsid w:val="00335E41"/>
    <w:rsid w:val="00341544"/>
    <w:rsid w:val="003420FF"/>
    <w:rsid w:val="00342AA6"/>
    <w:rsid w:val="003430D2"/>
    <w:rsid w:val="00345AA1"/>
    <w:rsid w:val="00346607"/>
    <w:rsid w:val="00346FED"/>
    <w:rsid w:val="003503FC"/>
    <w:rsid w:val="0035078A"/>
    <w:rsid w:val="00350DC7"/>
    <w:rsid w:val="00355F43"/>
    <w:rsid w:val="003561DF"/>
    <w:rsid w:val="00357E33"/>
    <w:rsid w:val="00360097"/>
    <w:rsid w:val="00360CEF"/>
    <w:rsid w:val="003634B7"/>
    <w:rsid w:val="003641B9"/>
    <w:rsid w:val="00364864"/>
    <w:rsid w:val="00365FBB"/>
    <w:rsid w:val="003709ED"/>
    <w:rsid w:val="003725A9"/>
    <w:rsid w:val="00372F0D"/>
    <w:rsid w:val="00376A97"/>
    <w:rsid w:val="00380357"/>
    <w:rsid w:val="00380945"/>
    <w:rsid w:val="003813F6"/>
    <w:rsid w:val="003832F2"/>
    <w:rsid w:val="00384174"/>
    <w:rsid w:val="0038543C"/>
    <w:rsid w:val="0038658D"/>
    <w:rsid w:val="00387E82"/>
    <w:rsid w:val="00393923"/>
    <w:rsid w:val="0039613F"/>
    <w:rsid w:val="003A005A"/>
    <w:rsid w:val="003A01F2"/>
    <w:rsid w:val="003A1343"/>
    <w:rsid w:val="003A3ECE"/>
    <w:rsid w:val="003A6B3C"/>
    <w:rsid w:val="003B19A6"/>
    <w:rsid w:val="003B23F0"/>
    <w:rsid w:val="003B5F80"/>
    <w:rsid w:val="003B7007"/>
    <w:rsid w:val="003C0BC5"/>
    <w:rsid w:val="003C17BB"/>
    <w:rsid w:val="003C1AD7"/>
    <w:rsid w:val="003C3324"/>
    <w:rsid w:val="003C5DBA"/>
    <w:rsid w:val="003C6B67"/>
    <w:rsid w:val="003D0920"/>
    <w:rsid w:val="003D103A"/>
    <w:rsid w:val="003D140E"/>
    <w:rsid w:val="003D1873"/>
    <w:rsid w:val="003D3B9B"/>
    <w:rsid w:val="003D4551"/>
    <w:rsid w:val="003D5B2A"/>
    <w:rsid w:val="003D6651"/>
    <w:rsid w:val="003E16B3"/>
    <w:rsid w:val="003E2BE8"/>
    <w:rsid w:val="003E2D9A"/>
    <w:rsid w:val="003E3A2F"/>
    <w:rsid w:val="003E3BD3"/>
    <w:rsid w:val="003E4798"/>
    <w:rsid w:val="003E5FA4"/>
    <w:rsid w:val="003E692F"/>
    <w:rsid w:val="003E778C"/>
    <w:rsid w:val="003E7FDF"/>
    <w:rsid w:val="003F061B"/>
    <w:rsid w:val="003F3813"/>
    <w:rsid w:val="003F6628"/>
    <w:rsid w:val="00401536"/>
    <w:rsid w:val="00401B31"/>
    <w:rsid w:val="00401D70"/>
    <w:rsid w:val="00402634"/>
    <w:rsid w:val="00403819"/>
    <w:rsid w:val="0040421F"/>
    <w:rsid w:val="0040494C"/>
    <w:rsid w:val="00404C01"/>
    <w:rsid w:val="00404E37"/>
    <w:rsid w:val="00410866"/>
    <w:rsid w:val="00411AD7"/>
    <w:rsid w:val="00413580"/>
    <w:rsid w:val="00413D26"/>
    <w:rsid w:val="00413EA5"/>
    <w:rsid w:val="00421B24"/>
    <w:rsid w:val="004235A6"/>
    <w:rsid w:val="00423899"/>
    <w:rsid w:val="00424088"/>
    <w:rsid w:val="00424E18"/>
    <w:rsid w:val="004302F3"/>
    <w:rsid w:val="0043236B"/>
    <w:rsid w:val="00433BD9"/>
    <w:rsid w:val="004343EE"/>
    <w:rsid w:val="00436BBB"/>
    <w:rsid w:val="0043750A"/>
    <w:rsid w:val="00440FBD"/>
    <w:rsid w:val="00441C31"/>
    <w:rsid w:val="00454153"/>
    <w:rsid w:val="00454F94"/>
    <w:rsid w:val="00455FC4"/>
    <w:rsid w:val="0045615E"/>
    <w:rsid w:val="00457864"/>
    <w:rsid w:val="00460F9E"/>
    <w:rsid w:val="00461165"/>
    <w:rsid w:val="00461F0B"/>
    <w:rsid w:val="004650A6"/>
    <w:rsid w:val="00465309"/>
    <w:rsid w:val="00465AF9"/>
    <w:rsid w:val="00474237"/>
    <w:rsid w:val="00474903"/>
    <w:rsid w:val="00476F4C"/>
    <w:rsid w:val="00477608"/>
    <w:rsid w:val="004776DA"/>
    <w:rsid w:val="0048089C"/>
    <w:rsid w:val="00484ADE"/>
    <w:rsid w:val="00486799"/>
    <w:rsid w:val="00492B8A"/>
    <w:rsid w:val="00493800"/>
    <w:rsid w:val="00493861"/>
    <w:rsid w:val="00493F01"/>
    <w:rsid w:val="004957E4"/>
    <w:rsid w:val="00495CF4"/>
    <w:rsid w:val="0049636C"/>
    <w:rsid w:val="00497549"/>
    <w:rsid w:val="004A0C3B"/>
    <w:rsid w:val="004A1A92"/>
    <w:rsid w:val="004A28B2"/>
    <w:rsid w:val="004A3E33"/>
    <w:rsid w:val="004A419D"/>
    <w:rsid w:val="004A4DAE"/>
    <w:rsid w:val="004A5790"/>
    <w:rsid w:val="004A5AE4"/>
    <w:rsid w:val="004B008C"/>
    <w:rsid w:val="004B3214"/>
    <w:rsid w:val="004B3264"/>
    <w:rsid w:val="004B4FC6"/>
    <w:rsid w:val="004B5DEE"/>
    <w:rsid w:val="004B6A89"/>
    <w:rsid w:val="004C40D5"/>
    <w:rsid w:val="004D27F5"/>
    <w:rsid w:val="004D2ED2"/>
    <w:rsid w:val="004D38D7"/>
    <w:rsid w:val="004D5543"/>
    <w:rsid w:val="004D6167"/>
    <w:rsid w:val="004D7AF3"/>
    <w:rsid w:val="004E26B9"/>
    <w:rsid w:val="004E298D"/>
    <w:rsid w:val="004E5670"/>
    <w:rsid w:val="004F1CE2"/>
    <w:rsid w:val="004F3C2C"/>
    <w:rsid w:val="00501AD7"/>
    <w:rsid w:val="005055A8"/>
    <w:rsid w:val="005076A2"/>
    <w:rsid w:val="005077D3"/>
    <w:rsid w:val="00507DC3"/>
    <w:rsid w:val="005134E3"/>
    <w:rsid w:val="005166D7"/>
    <w:rsid w:val="0051705D"/>
    <w:rsid w:val="0051724F"/>
    <w:rsid w:val="00520B62"/>
    <w:rsid w:val="00521BFC"/>
    <w:rsid w:val="005222CB"/>
    <w:rsid w:val="00525734"/>
    <w:rsid w:val="0053037B"/>
    <w:rsid w:val="00530BD4"/>
    <w:rsid w:val="00531EC7"/>
    <w:rsid w:val="005352BB"/>
    <w:rsid w:val="0054314D"/>
    <w:rsid w:val="00544C3C"/>
    <w:rsid w:val="00545E31"/>
    <w:rsid w:val="0054657C"/>
    <w:rsid w:val="005465C2"/>
    <w:rsid w:val="00550E56"/>
    <w:rsid w:val="00552EFE"/>
    <w:rsid w:val="005534B7"/>
    <w:rsid w:val="00553B6E"/>
    <w:rsid w:val="00556C42"/>
    <w:rsid w:val="0055764C"/>
    <w:rsid w:val="00561CB8"/>
    <w:rsid w:val="005621E5"/>
    <w:rsid w:val="00562D62"/>
    <w:rsid w:val="0056721F"/>
    <w:rsid w:val="0056765C"/>
    <w:rsid w:val="00570A84"/>
    <w:rsid w:val="00570B0B"/>
    <w:rsid w:val="00574064"/>
    <w:rsid w:val="00574081"/>
    <w:rsid w:val="00576188"/>
    <w:rsid w:val="00577647"/>
    <w:rsid w:val="0058036D"/>
    <w:rsid w:val="00580DD3"/>
    <w:rsid w:val="00581BE0"/>
    <w:rsid w:val="00582DCD"/>
    <w:rsid w:val="00582F1A"/>
    <w:rsid w:val="0058337F"/>
    <w:rsid w:val="00583FCE"/>
    <w:rsid w:val="005904DD"/>
    <w:rsid w:val="00591EF2"/>
    <w:rsid w:val="00594662"/>
    <w:rsid w:val="00594D11"/>
    <w:rsid w:val="00595CBB"/>
    <w:rsid w:val="00595F0C"/>
    <w:rsid w:val="005A1378"/>
    <w:rsid w:val="005A4216"/>
    <w:rsid w:val="005A451E"/>
    <w:rsid w:val="005A47BC"/>
    <w:rsid w:val="005A61C8"/>
    <w:rsid w:val="005A7D23"/>
    <w:rsid w:val="005B0781"/>
    <w:rsid w:val="005C0F2C"/>
    <w:rsid w:val="005C3F51"/>
    <w:rsid w:val="005C557F"/>
    <w:rsid w:val="005C6986"/>
    <w:rsid w:val="005D150C"/>
    <w:rsid w:val="005D180C"/>
    <w:rsid w:val="005D51A3"/>
    <w:rsid w:val="005E0A5C"/>
    <w:rsid w:val="005E5CBA"/>
    <w:rsid w:val="005E63DF"/>
    <w:rsid w:val="005F01BB"/>
    <w:rsid w:val="005F6477"/>
    <w:rsid w:val="005F67C9"/>
    <w:rsid w:val="005F7BCF"/>
    <w:rsid w:val="0060641D"/>
    <w:rsid w:val="006133D0"/>
    <w:rsid w:val="00613E2D"/>
    <w:rsid w:val="00616CBC"/>
    <w:rsid w:val="0062173B"/>
    <w:rsid w:val="006243EE"/>
    <w:rsid w:val="006259DB"/>
    <w:rsid w:val="006310E3"/>
    <w:rsid w:val="006313B6"/>
    <w:rsid w:val="00632CE5"/>
    <w:rsid w:val="006338CC"/>
    <w:rsid w:val="0063558E"/>
    <w:rsid w:val="006404D1"/>
    <w:rsid w:val="00644926"/>
    <w:rsid w:val="00646818"/>
    <w:rsid w:val="00652AFB"/>
    <w:rsid w:val="00652DBE"/>
    <w:rsid w:val="00655F4F"/>
    <w:rsid w:val="00657203"/>
    <w:rsid w:val="006575A3"/>
    <w:rsid w:val="00661FFA"/>
    <w:rsid w:val="00663BDE"/>
    <w:rsid w:val="00666F0A"/>
    <w:rsid w:val="0067047B"/>
    <w:rsid w:val="0067110E"/>
    <w:rsid w:val="00677948"/>
    <w:rsid w:val="0068389A"/>
    <w:rsid w:val="0068500A"/>
    <w:rsid w:val="00686CE5"/>
    <w:rsid w:val="006908AD"/>
    <w:rsid w:val="0069210A"/>
    <w:rsid w:val="006930D5"/>
    <w:rsid w:val="00694B4F"/>
    <w:rsid w:val="00694EDC"/>
    <w:rsid w:val="006959CC"/>
    <w:rsid w:val="006A42AE"/>
    <w:rsid w:val="006B05A3"/>
    <w:rsid w:val="006B21A4"/>
    <w:rsid w:val="006C0B44"/>
    <w:rsid w:val="006C2BD3"/>
    <w:rsid w:val="006C2CAB"/>
    <w:rsid w:val="006C56C0"/>
    <w:rsid w:val="006D0129"/>
    <w:rsid w:val="006D1500"/>
    <w:rsid w:val="006D1CEB"/>
    <w:rsid w:val="006D2533"/>
    <w:rsid w:val="006D328E"/>
    <w:rsid w:val="006D46F5"/>
    <w:rsid w:val="006D74FB"/>
    <w:rsid w:val="006E0E90"/>
    <w:rsid w:val="006E1C25"/>
    <w:rsid w:val="006E3F4D"/>
    <w:rsid w:val="006E4E39"/>
    <w:rsid w:val="006E74AF"/>
    <w:rsid w:val="006E7AB5"/>
    <w:rsid w:val="006F4914"/>
    <w:rsid w:val="006F55C8"/>
    <w:rsid w:val="006F5A54"/>
    <w:rsid w:val="0070088B"/>
    <w:rsid w:val="00700B2B"/>
    <w:rsid w:val="00701008"/>
    <w:rsid w:val="007011B7"/>
    <w:rsid w:val="00703A3A"/>
    <w:rsid w:val="007078EA"/>
    <w:rsid w:val="0071098B"/>
    <w:rsid w:val="0071140A"/>
    <w:rsid w:val="00714E06"/>
    <w:rsid w:val="00720BFD"/>
    <w:rsid w:val="00721B0D"/>
    <w:rsid w:val="007227FD"/>
    <w:rsid w:val="007236AC"/>
    <w:rsid w:val="0072413F"/>
    <w:rsid w:val="00724B2A"/>
    <w:rsid w:val="00727EDF"/>
    <w:rsid w:val="00731E57"/>
    <w:rsid w:val="007333C1"/>
    <w:rsid w:val="00736CF7"/>
    <w:rsid w:val="007405DE"/>
    <w:rsid w:val="00740FD8"/>
    <w:rsid w:val="0074108E"/>
    <w:rsid w:val="0074241F"/>
    <w:rsid w:val="007437D0"/>
    <w:rsid w:val="00745240"/>
    <w:rsid w:val="00745440"/>
    <w:rsid w:val="00746E02"/>
    <w:rsid w:val="00747365"/>
    <w:rsid w:val="00750614"/>
    <w:rsid w:val="00750FD8"/>
    <w:rsid w:val="007511DE"/>
    <w:rsid w:val="00751988"/>
    <w:rsid w:val="00751E07"/>
    <w:rsid w:val="00752765"/>
    <w:rsid w:val="0075625F"/>
    <w:rsid w:val="00756AE3"/>
    <w:rsid w:val="007578CA"/>
    <w:rsid w:val="007616AD"/>
    <w:rsid w:val="00762BB7"/>
    <w:rsid w:val="00764477"/>
    <w:rsid w:val="007860FE"/>
    <w:rsid w:val="0078692C"/>
    <w:rsid w:val="00790614"/>
    <w:rsid w:val="00791401"/>
    <w:rsid w:val="00791F62"/>
    <w:rsid w:val="00792F8A"/>
    <w:rsid w:val="007935A1"/>
    <w:rsid w:val="007936B0"/>
    <w:rsid w:val="00794F3B"/>
    <w:rsid w:val="007A04BC"/>
    <w:rsid w:val="007A3640"/>
    <w:rsid w:val="007A399B"/>
    <w:rsid w:val="007A46C2"/>
    <w:rsid w:val="007A5149"/>
    <w:rsid w:val="007A5E66"/>
    <w:rsid w:val="007A66F9"/>
    <w:rsid w:val="007B0A95"/>
    <w:rsid w:val="007B4BBD"/>
    <w:rsid w:val="007C0A51"/>
    <w:rsid w:val="007C1A68"/>
    <w:rsid w:val="007C1C87"/>
    <w:rsid w:val="007C455D"/>
    <w:rsid w:val="007C5A0D"/>
    <w:rsid w:val="007C72B8"/>
    <w:rsid w:val="007D2364"/>
    <w:rsid w:val="007D606D"/>
    <w:rsid w:val="007D6899"/>
    <w:rsid w:val="007E082D"/>
    <w:rsid w:val="007E4711"/>
    <w:rsid w:val="007E5D0C"/>
    <w:rsid w:val="007E69EE"/>
    <w:rsid w:val="007F31DF"/>
    <w:rsid w:val="007F4F69"/>
    <w:rsid w:val="007F654A"/>
    <w:rsid w:val="007F6BA9"/>
    <w:rsid w:val="007F6F33"/>
    <w:rsid w:val="00802B29"/>
    <w:rsid w:val="00804AE4"/>
    <w:rsid w:val="008051F1"/>
    <w:rsid w:val="00806469"/>
    <w:rsid w:val="00811466"/>
    <w:rsid w:val="008269B6"/>
    <w:rsid w:val="00826BB2"/>
    <w:rsid w:val="00830A62"/>
    <w:rsid w:val="00830F84"/>
    <w:rsid w:val="008336BA"/>
    <w:rsid w:val="008336BD"/>
    <w:rsid w:val="00834E03"/>
    <w:rsid w:val="00842A9A"/>
    <w:rsid w:val="0084404F"/>
    <w:rsid w:val="00845631"/>
    <w:rsid w:val="008466F2"/>
    <w:rsid w:val="008468DB"/>
    <w:rsid w:val="008469DC"/>
    <w:rsid w:val="0085026B"/>
    <w:rsid w:val="008508BE"/>
    <w:rsid w:val="00853AF1"/>
    <w:rsid w:val="008540D5"/>
    <w:rsid w:val="00854576"/>
    <w:rsid w:val="008559F8"/>
    <w:rsid w:val="00857C88"/>
    <w:rsid w:val="00862590"/>
    <w:rsid w:val="00862664"/>
    <w:rsid w:val="00862974"/>
    <w:rsid w:val="00862984"/>
    <w:rsid w:val="00862992"/>
    <w:rsid w:val="00864429"/>
    <w:rsid w:val="00865C19"/>
    <w:rsid w:val="00870254"/>
    <w:rsid w:val="00870BC5"/>
    <w:rsid w:val="00874A52"/>
    <w:rsid w:val="0088751B"/>
    <w:rsid w:val="00890D8C"/>
    <w:rsid w:val="0089225A"/>
    <w:rsid w:val="008923D4"/>
    <w:rsid w:val="008925FD"/>
    <w:rsid w:val="00892700"/>
    <w:rsid w:val="0089525B"/>
    <w:rsid w:val="00897C36"/>
    <w:rsid w:val="008A47D1"/>
    <w:rsid w:val="008A5A1F"/>
    <w:rsid w:val="008A76CD"/>
    <w:rsid w:val="008B0A80"/>
    <w:rsid w:val="008B7A2F"/>
    <w:rsid w:val="008B7D10"/>
    <w:rsid w:val="008C0352"/>
    <w:rsid w:val="008C1A43"/>
    <w:rsid w:val="008C327C"/>
    <w:rsid w:val="008C664B"/>
    <w:rsid w:val="008C68F9"/>
    <w:rsid w:val="008D1D1E"/>
    <w:rsid w:val="008D3D11"/>
    <w:rsid w:val="008D4292"/>
    <w:rsid w:val="008D55C4"/>
    <w:rsid w:val="008D6B26"/>
    <w:rsid w:val="008D7E48"/>
    <w:rsid w:val="008E055F"/>
    <w:rsid w:val="008E1959"/>
    <w:rsid w:val="008E271C"/>
    <w:rsid w:val="008E7314"/>
    <w:rsid w:val="008F0BB1"/>
    <w:rsid w:val="008F1FFD"/>
    <w:rsid w:val="008F22B7"/>
    <w:rsid w:val="008F2AE9"/>
    <w:rsid w:val="008F6676"/>
    <w:rsid w:val="008F6F1F"/>
    <w:rsid w:val="00901D3A"/>
    <w:rsid w:val="00902FE1"/>
    <w:rsid w:val="00904B32"/>
    <w:rsid w:val="00904E2B"/>
    <w:rsid w:val="0090516E"/>
    <w:rsid w:val="00907AF0"/>
    <w:rsid w:val="00907C52"/>
    <w:rsid w:val="009107A5"/>
    <w:rsid w:val="00915E86"/>
    <w:rsid w:val="00916E55"/>
    <w:rsid w:val="00922925"/>
    <w:rsid w:val="00923C80"/>
    <w:rsid w:val="009275EB"/>
    <w:rsid w:val="00930BA2"/>
    <w:rsid w:val="00931EA9"/>
    <w:rsid w:val="00932778"/>
    <w:rsid w:val="00934B1A"/>
    <w:rsid w:val="00934E2C"/>
    <w:rsid w:val="00936475"/>
    <w:rsid w:val="00941934"/>
    <w:rsid w:val="00941CF3"/>
    <w:rsid w:val="00942440"/>
    <w:rsid w:val="00942EFC"/>
    <w:rsid w:val="00943B8B"/>
    <w:rsid w:val="009457C3"/>
    <w:rsid w:val="009462BB"/>
    <w:rsid w:val="00946EAC"/>
    <w:rsid w:val="0094773E"/>
    <w:rsid w:val="00947C89"/>
    <w:rsid w:val="00947DE7"/>
    <w:rsid w:val="00950DA6"/>
    <w:rsid w:val="009517AE"/>
    <w:rsid w:val="00956790"/>
    <w:rsid w:val="00962274"/>
    <w:rsid w:val="00962832"/>
    <w:rsid w:val="00965267"/>
    <w:rsid w:val="00966197"/>
    <w:rsid w:val="009736D2"/>
    <w:rsid w:val="00974609"/>
    <w:rsid w:val="00977A69"/>
    <w:rsid w:val="0098086A"/>
    <w:rsid w:val="00982ACD"/>
    <w:rsid w:val="009831A0"/>
    <w:rsid w:val="00985DFA"/>
    <w:rsid w:val="009866CF"/>
    <w:rsid w:val="00992F88"/>
    <w:rsid w:val="009934C9"/>
    <w:rsid w:val="00993764"/>
    <w:rsid w:val="00993840"/>
    <w:rsid w:val="00996B62"/>
    <w:rsid w:val="00996B68"/>
    <w:rsid w:val="009A36DD"/>
    <w:rsid w:val="009B0F77"/>
    <w:rsid w:val="009B35D9"/>
    <w:rsid w:val="009B44D3"/>
    <w:rsid w:val="009B547F"/>
    <w:rsid w:val="009B664F"/>
    <w:rsid w:val="009B7DB9"/>
    <w:rsid w:val="009C0B6B"/>
    <w:rsid w:val="009C37B7"/>
    <w:rsid w:val="009C3C1F"/>
    <w:rsid w:val="009D2C2E"/>
    <w:rsid w:val="009D30E8"/>
    <w:rsid w:val="009D5012"/>
    <w:rsid w:val="009D7A7A"/>
    <w:rsid w:val="009E1580"/>
    <w:rsid w:val="009E3CAD"/>
    <w:rsid w:val="009E4B17"/>
    <w:rsid w:val="009E5202"/>
    <w:rsid w:val="009E6414"/>
    <w:rsid w:val="009E7BB5"/>
    <w:rsid w:val="009F0A0E"/>
    <w:rsid w:val="009F260F"/>
    <w:rsid w:val="009F472E"/>
    <w:rsid w:val="009F4D21"/>
    <w:rsid w:val="009F575B"/>
    <w:rsid w:val="009F5844"/>
    <w:rsid w:val="009F6F2D"/>
    <w:rsid w:val="00A00D46"/>
    <w:rsid w:val="00A0102D"/>
    <w:rsid w:val="00A017B1"/>
    <w:rsid w:val="00A03588"/>
    <w:rsid w:val="00A0611F"/>
    <w:rsid w:val="00A07716"/>
    <w:rsid w:val="00A10CA2"/>
    <w:rsid w:val="00A164BA"/>
    <w:rsid w:val="00A16F45"/>
    <w:rsid w:val="00A17193"/>
    <w:rsid w:val="00A200BE"/>
    <w:rsid w:val="00A2025D"/>
    <w:rsid w:val="00A20324"/>
    <w:rsid w:val="00A2045A"/>
    <w:rsid w:val="00A21525"/>
    <w:rsid w:val="00A33724"/>
    <w:rsid w:val="00A34760"/>
    <w:rsid w:val="00A35B35"/>
    <w:rsid w:val="00A40C40"/>
    <w:rsid w:val="00A40C98"/>
    <w:rsid w:val="00A414C5"/>
    <w:rsid w:val="00A41AC0"/>
    <w:rsid w:val="00A41B7E"/>
    <w:rsid w:val="00A426DC"/>
    <w:rsid w:val="00A42BBD"/>
    <w:rsid w:val="00A430F5"/>
    <w:rsid w:val="00A43401"/>
    <w:rsid w:val="00A436C9"/>
    <w:rsid w:val="00A43AD3"/>
    <w:rsid w:val="00A4535C"/>
    <w:rsid w:val="00A453FB"/>
    <w:rsid w:val="00A46EA5"/>
    <w:rsid w:val="00A472E0"/>
    <w:rsid w:val="00A52C62"/>
    <w:rsid w:val="00A540B3"/>
    <w:rsid w:val="00A54D38"/>
    <w:rsid w:val="00A62E49"/>
    <w:rsid w:val="00A62EC6"/>
    <w:rsid w:val="00A6669B"/>
    <w:rsid w:val="00A6743B"/>
    <w:rsid w:val="00A717A5"/>
    <w:rsid w:val="00A742C5"/>
    <w:rsid w:val="00A75C93"/>
    <w:rsid w:val="00A76292"/>
    <w:rsid w:val="00A76470"/>
    <w:rsid w:val="00A80622"/>
    <w:rsid w:val="00A81123"/>
    <w:rsid w:val="00A81345"/>
    <w:rsid w:val="00A82719"/>
    <w:rsid w:val="00A8625B"/>
    <w:rsid w:val="00A87BBC"/>
    <w:rsid w:val="00A96C04"/>
    <w:rsid w:val="00AA3B31"/>
    <w:rsid w:val="00AB3026"/>
    <w:rsid w:val="00AC0EC4"/>
    <w:rsid w:val="00AC3D33"/>
    <w:rsid w:val="00AC410A"/>
    <w:rsid w:val="00AC4D87"/>
    <w:rsid w:val="00AD028F"/>
    <w:rsid w:val="00AD099F"/>
    <w:rsid w:val="00AD11D3"/>
    <w:rsid w:val="00AD2B1A"/>
    <w:rsid w:val="00AD2E90"/>
    <w:rsid w:val="00AD4D4A"/>
    <w:rsid w:val="00AD6CBE"/>
    <w:rsid w:val="00AE27EF"/>
    <w:rsid w:val="00AE3B0A"/>
    <w:rsid w:val="00AF339A"/>
    <w:rsid w:val="00AF3570"/>
    <w:rsid w:val="00AF5C09"/>
    <w:rsid w:val="00AF5F8C"/>
    <w:rsid w:val="00AF63C8"/>
    <w:rsid w:val="00B0111D"/>
    <w:rsid w:val="00B01521"/>
    <w:rsid w:val="00B01E73"/>
    <w:rsid w:val="00B0281E"/>
    <w:rsid w:val="00B05839"/>
    <w:rsid w:val="00B05BCB"/>
    <w:rsid w:val="00B06755"/>
    <w:rsid w:val="00B07CA4"/>
    <w:rsid w:val="00B10B66"/>
    <w:rsid w:val="00B11B97"/>
    <w:rsid w:val="00B120C0"/>
    <w:rsid w:val="00B1236D"/>
    <w:rsid w:val="00B13301"/>
    <w:rsid w:val="00B203C2"/>
    <w:rsid w:val="00B20778"/>
    <w:rsid w:val="00B22459"/>
    <w:rsid w:val="00B23E95"/>
    <w:rsid w:val="00B25E92"/>
    <w:rsid w:val="00B3530D"/>
    <w:rsid w:val="00B43A33"/>
    <w:rsid w:val="00B45CEF"/>
    <w:rsid w:val="00B51162"/>
    <w:rsid w:val="00B53048"/>
    <w:rsid w:val="00B55A5A"/>
    <w:rsid w:val="00B57731"/>
    <w:rsid w:val="00B5792B"/>
    <w:rsid w:val="00B63A0D"/>
    <w:rsid w:val="00B66205"/>
    <w:rsid w:val="00B70FA0"/>
    <w:rsid w:val="00B760BE"/>
    <w:rsid w:val="00B76AC3"/>
    <w:rsid w:val="00B80E60"/>
    <w:rsid w:val="00B816C0"/>
    <w:rsid w:val="00B82ED3"/>
    <w:rsid w:val="00B82ED4"/>
    <w:rsid w:val="00B876C8"/>
    <w:rsid w:val="00B90515"/>
    <w:rsid w:val="00B92C33"/>
    <w:rsid w:val="00B93935"/>
    <w:rsid w:val="00B93D94"/>
    <w:rsid w:val="00B964AA"/>
    <w:rsid w:val="00BA1966"/>
    <w:rsid w:val="00BA6452"/>
    <w:rsid w:val="00BB5EAC"/>
    <w:rsid w:val="00BC4093"/>
    <w:rsid w:val="00BC4C6F"/>
    <w:rsid w:val="00BC630D"/>
    <w:rsid w:val="00BC6CD2"/>
    <w:rsid w:val="00BC70D2"/>
    <w:rsid w:val="00BD04E8"/>
    <w:rsid w:val="00BD0628"/>
    <w:rsid w:val="00BD1CE1"/>
    <w:rsid w:val="00BD25CB"/>
    <w:rsid w:val="00BD290D"/>
    <w:rsid w:val="00BD48A0"/>
    <w:rsid w:val="00BE2DD1"/>
    <w:rsid w:val="00BE49A0"/>
    <w:rsid w:val="00BE5688"/>
    <w:rsid w:val="00BF26C8"/>
    <w:rsid w:val="00BF2BDC"/>
    <w:rsid w:val="00BF3139"/>
    <w:rsid w:val="00BF3BAA"/>
    <w:rsid w:val="00BF3D0A"/>
    <w:rsid w:val="00BF4BE5"/>
    <w:rsid w:val="00BF67CA"/>
    <w:rsid w:val="00C00F95"/>
    <w:rsid w:val="00C0114E"/>
    <w:rsid w:val="00C066FA"/>
    <w:rsid w:val="00C121DE"/>
    <w:rsid w:val="00C13E23"/>
    <w:rsid w:val="00C16A1D"/>
    <w:rsid w:val="00C1734B"/>
    <w:rsid w:val="00C21B73"/>
    <w:rsid w:val="00C22781"/>
    <w:rsid w:val="00C24993"/>
    <w:rsid w:val="00C26601"/>
    <w:rsid w:val="00C269B5"/>
    <w:rsid w:val="00C27340"/>
    <w:rsid w:val="00C30937"/>
    <w:rsid w:val="00C341C7"/>
    <w:rsid w:val="00C35EB1"/>
    <w:rsid w:val="00C36441"/>
    <w:rsid w:val="00C41C0D"/>
    <w:rsid w:val="00C43B7B"/>
    <w:rsid w:val="00C44508"/>
    <w:rsid w:val="00C473F7"/>
    <w:rsid w:val="00C51988"/>
    <w:rsid w:val="00C54723"/>
    <w:rsid w:val="00C56015"/>
    <w:rsid w:val="00C618AF"/>
    <w:rsid w:val="00C62263"/>
    <w:rsid w:val="00C64B63"/>
    <w:rsid w:val="00C65114"/>
    <w:rsid w:val="00C700FA"/>
    <w:rsid w:val="00C70813"/>
    <w:rsid w:val="00C74579"/>
    <w:rsid w:val="00C7460E"/>
    <w:rsid w:val="00C81268"/>
    <w:rsid w:val="00C820A4"/>
    <w:rsid w:val="00C82402"/>
    <w:rsid w:val="00C85163"/>
    <w:rsid w:val="00C87F9E"/>
    <w:rsid w:val="00C91E24"/>
    <w:rsid w:val="00C95A93"/>
    <w:rsid w:val="00C95AF7"/>
    <w:rsid w:val="00C96A12"/>
    <w:rsid w:val="00CA2AD3"/>
    <w:rsid w:val="00CA6488"/>
    <w:rsid w:val="00CB05AE"/>
    <w:rsid w:val="00CB4065"/>
    <w:rsid w:val="00CB5CFD"/>
    <w:rsid w:val="00CB713E"/>
    <w:rsid w:val="00CC1112"/>
    <w:rsid w:val="00CC4589"/>
    <w:rsid w:val="00CC48DA"/>
    <w:rsid w:val="00CD00E8"/>
    <w:rsid w:val="00CD1F0A"/>
    <w:rsid w:val="00CD5181"/>
    <w:rsid w:val="00CD5547"/>
    <w:rsid w:val="00CD588E"/>
    <w:rsid w:val="00CE2AE0"/>
    <w:rsid w:val="00CE390D"/>
    <w:rsid w:val="00CE6D59"/>
    <w:rsid w:val="00CE78EB"/>
    <w:rsid w:val="00CF16DC"/>
    <w:rsid w:val="00CF2A6D"/>
    <w:rsid w:val="00CF3871"/>
    <w:rsid w:val="00CF3BEB"/>
    <w:rsid w:val="00CF3D9C"/>
    <w:rsid w:val="00D01CCA"/>
    <w:rsid w:val="00D029F7"/>
    <w:rsid w:val="00D060D3"/>
    <w:rsid w:val="00D0659D"/>
    <w:rsid w:val="00D12432"/>
    <w:rsid w:val="00D13008"/>
    <w:rsid w:val="00D132F1"/>
    <w:rsid w:val="00D13E21"/>
    <w:rsid w:val="00D17DF9"/>
    <w:rsid w:val="00D2018B"/>
    <w:rsid w:val="00D21A96"/>
    <w:rsid w:val="00D23308"/>
    <w:rsid w:val="00D24E75"/>
    <w:rsid w:val="00D253FB"/>
    <w:rsid w:val="00D256BE"/>
    <w:rsid w:val="00D269E7"/>
    <w:rsid w:val="00D31197"/>
    <w:rsid w:val="00D31A06"/>
    <w:rsid w:val="00D31F11"/>
    <w:rsid w:val="00D356F4"/>
    <w:rsid w:val="00D44CBD"/>
    <w:rsid w:val="00D45084"/>
    <w:rsid w:val="00D47022"/>
    <w:rsid w:val="00D5348D"/>
    <w:rsid w:val="00D64406"/>
    <w:rsid w:val="00D64C2C"/>
    <w:rsid w:val="00D665CB"/>
    <w:rsid w:val="00D66815"/>
    <w:rsid w:val="00D673D0"/>
    <w:rsid w:val="00D67B4D"/>
    <w:rsid w:val="00D72306"/>
    <w:rsid w:val="00D74C49"/>
    <w:rsid w:val="00D76A02"/>
    <w:rsid w:val="00D77B46"/>
    <w:rsid w:val="00D80A62"/>
    <w:rsid w:val="00D81DDD"/>
    <w:rsid w:val="00D822BE"/>
    <w:rsid w:val="00D84291"/>
    <w:rsid w:val="00D84546"/>
    <w:rsid w:val="00D85E6B"/>
    <w:rsid w:val="00D87A63"/>
    <w:rsid w:val="00D9344E"/>
    <w:rsid w:val="00DA0E42"/>
    <w:rsid w:val="00DA1868"/>
    <w:rsid w:val="00DA1C10"/>
    <w:rsid w:val="00DB2258"/>
    <w:rsid w:val="00DB395E"/>
    <w:rsid w:val="00DB3A29"/>
    <w:rsid w:val="00DB40AE"/>
    <w:rsid w:val="00DB6D74"/>
    <w:rsid w:val="00DC1A57"/>
    <w:rsid w:val="00DC27C2"/>
    <w:rsid w:val="00DD08D0"/>
    <w:rsid w:val="00DD09EC"/>
    <w:rsid w:val="00DD1CC9"/>
    <w:rsid w:val="00DD59F0"/>
    <w:rsid w:val="00DE35AB"/>
    <w:rsid w:val="00DE455A"/>
    <w:rsid w:val="00DF0026"/>
    <w:rsid w:val="00DF115D"/>
    <w:rsid w:val="00DF11BE"/>
    <w:rsid w:val="00DF11E0"/>
    <w:rsid w:val="00DF22ED"/>
    <w:rsid w:val="00DF3EC4"/>
    <w:rsid w:val="00E00052"/>
    <w:rsid w:val="00E00CA1"/>
    <w:rsid w:val="00E013E5"/>
    <w:rsid w:val="00E027A0"/>
    <w:rsid w:val="00E146B6"/>
    <w:rsid w:val="00E1777C"/>
    <w:rsid w:val="00E23203"/>
    <w:rsid w:val="00E2358B"/>
    <w:rsid w:val="00E253B1"/>
    <w:rsid w:val="00E255C1"/>
    <w:rsid w:val="00E33347"/>
    <w:rsid w:val="00E36844"/>
    <w:rsid w:val="00E42836"/>
    <w:rsid w:val="00E45091"/>
    <w:rsid w:val="00E50EF5"/>
    <w:rsid w:val="00E533CB"/>
    <w:rsid w:val="00E54110"/>
    <w:rsid w:val="00E5481D"/>
    <w:rsid w:val="00E54869"/>
    <w:rsid w:val="00E566E9"/>
    <w:rsid w:val="00E56CFA"/>
    <w:rsid w:val="00E57214"/>
    <w:rsid w:val="00E64523"/>
    <w:rsid w:val="00E67532"/>
    <w:rsid w:val="00E73831"/>
    <w:rsid w:val="00E779E8"/>
    <w:rsid w:val="00E84950"/>
    <w:rsid w:val="00E900E1"/>
    <w:rsid w:val="00E920DD"/>
    <w:rsid w:val="00E960B4"/>
    <w:rsid w:val="00EA2701"/>
    <w:rsid w:val="00EA2EF6"/>
    <w:rsid w:val="00EA7619"/>
    <w:rsid w:val="00EB0411"/>
    <w:rsid w:val="00EB12D9"/>
    <w:rsid w:val="00EB2A8C"/>
    <w:rsid w:val="00EB523C"/>
    <w:rsid w:val="00EB5726"/>
    <w:rsid w:val="00EB6AB9"/>
    <w:rsid w:val="00EB6DB9"/>
    <w:rsid w:val="00EC290F"/>
    <w:rsid w:val="00EC32FF"/>
    <w:rsid w:val="00EC3B2C"/>
    <w:rsid w:val="00EC3C2D"/>
    <w:rsid w:val="00EC3E1F"/>
    <w:rsid w:val="00EC788E"/>
    <w:rsid w:val="00ED226D"/>
    <w:rsid w:val="00ED268F"/>
    <w:rsid w:val="00ED384A"/>
    <w:rsid w:val="00ED46B3"/>
    <w:rsid w:val="00ED6F9E"/>
    <w:rsid w:val="00EE38AF"/>
    <w:rsid w:val="00EE4C33"/>
    <w:rsid w:val="00EE55AE"/>
    <w:rsid w:val="00EE5DE9"/>
    <w:rsid w:val="00EE6314"/>
    <w:rsid w:val="00EF02D1"/>
    <w:rsid w:val="00EF1C2D"/>
    <w:rsid w:val="00EF5A71"/>
    <w:rsid w:val="00F0177C"/>
    <w:rsid w:val="00F06DA3"/>
    <w:rsid w:val="00F0796F"/>
    <w:rsid w:val="00F11257"/>
    <w:rsid w:val="00F15CF4"/>
    <w:rsid w:val="00F2058A"/>
    <w:rsid w:val="00F21D4B"/>
    <w:rsid w:val="00F22142"/>
    <w:rsid w:val="00F25463"/>
    <w:rsid w:val="00F268D6"/>
    <w:rsid w:val="00F271DE"/>
    <w:rsid w:val="00F300FF"/>
    <w:rsid w:val="00F304AA"/>
    <w:rsid w:val="00F31F94"/>
    <w:rsid w:val="00F326C5"/>
    <w:rsid w:val="00F33E88"/>
    <w:rsid w:val="00F33F83"/>
    <w:rsid w:val="00F40342"/>
    <w:rsid w:val="00F4430C"/>
    <w:rsid w:val="00F4448E"/>
    <w:rsid w:val="00F45B91"/>
    <w:rsid w:val="00F47CE0"/>
    <w:rsid w:val="00F5129E"/>
    <w:rsid w:val="00F5416B"/>
    <w:rsid w:val="00F548B0"/>
    <w:rsid w:val="00F56A35"/>
    <w:rsid w:val="00F56C8A"/>
    <w:rsid w:val="00F60160"/>
    <w:rsid w:val="00F60ACC"/>
    <w:rsid w:val="00F64E60"/>
    <w:rsid w:val="00F654F9"/>
    <w:rsid w:val="00F65584"/>
    <w:rsid w:val="00F66E8A"/>
    <w:rsid w:val="00F6789B"/>
    <w:rsid w:val="00F72B3F"/>
    <w:rsid w:val="00F752AA"/>
    <w:rsid w:val="00F87C9C"/>
    <w:rsid w:val="00F9129E"/>
    <w:rsid w:val="00F93DFA"/>
    <w:rsid w:val="00FA1E96"/>
    <w:rsid w:val="00FA1FB1"/>
    <w:rsid w:val="00FA2758"/>
    <w:rsid w:val="00FA3D48"/>
    <w:rsid w:val="00FA4AF9"/>
    <w:rsid w:val="00FA4DEB"/>
    <w:rsid w:val="00FA69D2"/>
    <w:rsid w:val="00FB2729"/>
    <w:rsid w:val="00FB3472"/>
    <w:rsid w:val="00FB3D09"/>
    <w:rsid w:val="00FB518C"/>
    <w:rsid w:val="00FB6EF6"/>
    <w:rsid w:val="00FC06E0"/>
    <w:rsid w:val="00FC19DC"/>
    <w:rsid w:val="00FC2DA8"/>
    <w:rsid w:val="00FC5490"/>
    <w:rsid w:val="00FD33E1"/>
    <w:rsid w:val="00FD45C2"/>
    <w:rsid w:val="00FD52ED"/>
    <w:rsid w:val="00FE192B"/>
    <w:rsid w:val="00FE4B2D"/>
    <w:rsid w:val="00FE4FC9"/>
    <w:rsid w:val="00FE690A"/>
    <w:rsid w:val="00FF2C73"/>
    <w:rsid w:val="00FF53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6E1FF"/>
  <w15:docId w15:val="{D5C1E332-C110-4BC0-B14D-9FAFF364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C4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rPr>
  </w:style>
  <w:style w:type="paragraph" w:styleId="Heading1">
    <w:name w:val="heading 1"/>
    <w:basedOn w:val="Normal"/>
    <w:next w:val="Heading2"/>
    <w:link w:val="Heading1Char"/>
    <w:uiPriority w:val="9"/>
    <w:qFormat/>
    <w:rsid w:val="00556C42"/>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56C42"/>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56C42"/>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556C42"/>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556C42"/>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556C42"/>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56C42"/>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56C42"/>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56C42"/>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6C42"/>
    <w:rPr>
      <w:rFonts w:ascii="Times New Roman" w:hAnsi="Times New Roman"/>
      <w:color w:val="0000FF" w:themeColor="hyperlink"/>
      <w:u w:val="single"/>
      <w:lang w:val="en-GB"/>
    </w:rPr>
  </w:style>
  <w:style w:type="paragraph" w:styleId="Header">
    <w:name w:val="header"/>
    <w:basedOn w:val="Normal"/>
    <w:link w:val="HeaderChar"/>
    <w:rsid w:val="00556C42"/>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556C42"/>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556C42"/>
    <w:pPr>
      <w:spacing w:before="40"/>
    </w:pPr>
    <w:rPr>
      <w:sz w:val="4"/>
    </w:rPr>
  </w:style>
  <w:style w:type="paragraph" w:customStyle="1" w:styleId="ABSymbol">
    <w:name w:val="AB_Symbol"/>
    <w:basedOn w:val="Normal"/>
    <w:qFormat/>
    <w:rsid w:val="00556C4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rPr>
  </w:style>
  <w:style w:type="paragraph" w:customStyle="1" w:styleId="ACLargeLogo">
    <w:name w:val="AC_LargeLogo"/>
    <w:basedOn w:val="AFCorNNormal"/>
    <w:next w:val="AISpacer"/>
    <w:unhideWhenUsed/>
    <w:rsid w:val="00556C42"/>
    <w:pPr>
      <w:spacing w:before="120"/>
      <w:contextualSpacing/>
    </w:pPr>
    <w:rPr>
      <w:sz w:val="8"/>
    </w:rPr>
  </w:style>
  <w:style w:type="paragraph" w:customStyle="1" w:styleId="AEDistrNormal">
    <w:name w:val="AE_DistrNormal"/>
    <w:basedOn w:val="Normal"/>
    <w:unhideWhenUsed/>
    <w:rsid w:val="00556C42"/>
    <w:pPr>
      <w:jc w:val="left"/>
    </w:pPr>
  </w:style>
  <w:style w:type="paragraph" w:customStyle="1" w:styleId="AEDistrNormal6pt">
    <w:name w:val="AE_DistrNormal6pt"/>
    <w:basedOn w:val="AEDistrNormal"/>
    <w:next w:val="AFCorNNormal"/>
    <w:unhideWhenUsed/>
    <w:qFormat/>
    <w:rsid w:val="00556C42"/>
    <w:pPr>
      <w:spacing w:before="120"/>
    </w:pPr>
  </w:style>
  <w:style w:type="paragraph" w:customStyle="1" w:styleId="AFCorNNormal">
    <w:name w:val="AF_CorNNormal"/>
    <w:basedOn w:val="Normal"/>
    <w:unhideWhenUsed/>
    <w:rsid w:val="00556C42"/>
    <w:pPr>
      <w:jc w:val="left"/>
    </w:pPr>
  </w:style>
  <w:style w:type="paragraph" w:customStyle="1" w:styleId="AFCorN12Bold">
    <w:name w:val="AF_CorN12Bold"/>
    <w:basedOn w:val="AFCorNNormal"/>
    <w:next w:val="AFCorNNormal"/>
    <w:unhideWhenUsed/>
    <w:qFormat/>
    <w:rsid w:val="00556C42"/>
    <w:rPr>
      <w:b/>
      <w:sz w:val="24"/>
    </w:rPr>
  </w:style>
  <w:style w:type="paragraph" w:customStyle="1" w:styleId="AFCorNBold">
    <w:name w:val="AF_CorNBold"/>
    <w:basedOn w:val="AFCorNNormal"/>
    <w:next w:val="AFCorNNormal"/>
    <w:unhideWhenUsed/>
    <w:qFormat/>
    <w:rsid w:val="00556C42"/>
    <w:rPr>
      <w:b/>
    </w:rPr>
  </w:style>
  <w:style w:type="paragraph" w:customStyle="1" w:styleId="CBDTitle">
    <w:name w:val="CBD_Title"/>
    <w:basedOn w:val="CBDNormal"/>
    <w:next w:val="CBDSubTitle"/>
    <w:qFormat/>
    <w:rsid w:val="00556C42"/>
    <w:pPr>
      <w:keepNext/>
      <w:keepLines/>
      <w:spacing w:before="240" w:after="240"/>
      <w:ind w:left="567"/>
      <w:jc w:val="left"/>
    </w:pPr>
    <w:rPr>
      <w:b/>
      <w:sz w:val="28"/>
    </w:rPr>
  </w:style>
  <w:style w:type="paragraph" w:customStyle="1" w:styleId="CBDSubTitle">
    <w:name w:val="CBD_SubTitle"/>
    <w:basedOn w:val="CBDNormal"/>
    <w:qFormat/>
    <w:rsid w:val="00556C42"/>
    <w:pPr>
      <w:keepNext/>
      <w:keepLines/>
      <w:spacing w:before="240" w:after="240"/>
      <w:ind w:left="567"/>
      <w:jc w:val="left"/>
    </w:pPr>
    <w:rPr>
      <w:b/>
    </w:rPr>
  </w:style>
  <w:style w:type="paragraph" w:customStyle="1" w:styleId="CBDH1">
    <w:name w:val="CBD_H1"/>
    <w:basedOn w:val="CBDNormal"/>
    <w:qFormat/>
    <w:rsid w:val="00556C42"/>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556C42"/>
    <w:pPr>
      <w:numPr>
        <w:numId w:val="6"/>
      </w:numPr>
      <w:tabs>
        <w:tab w:val="left" w:pos="3969"/>
      </w:tabs>
      <w:spacing w:before="120" w:after="120"/>
    </w:pPr>
  </w:style>
  <w:style w:type="numbering" w:customStyle="1" w:styleId="ListCBD">
    <w:name w:val="ListCBD"/>
    <w:basedOn w:val="NoList"/>
    <w:uiPriority w:val="99"/>
    <w:rsid w:val="00556C42"/>
    <w:pPr>
      <w:numPr>
        <w:numId w:val="1"/>
      </w:numPr>
    </w:pPr>
  </w:style>
  <w:style w:type="character" w:customStyle="1" w:styleId="Hyperlink0">
    <w:name w:val="Hyperlink.0"/>
    <w:basedOn w:val="Hyperlink"/>
    <w:rPr>
      <w:rFonts w:ascii="Times New Roman" w:eastAsia="Times New Roman" w:hAnsi="Times New Roman" w:cs="Times New Roman"/>
      <w:b w:val="0"/>
      <w:bCs w:val="0"/>
      <w:i w:val="0"/>
      <w:iCs w:val="0"/>
      <w:outline w:val="0"/>
      <w:color w:val="0000FF"/>
      <w:u w:val="single" w:color="0000FF"/>
      <w:lang w:val="en-GB"/>
    </w:rPr>
  </w:style>
  <w:style w:type="paragraph" w:styleId="FootnoteText">
    <w:name w:val="footnote text"/>
    <w:basedOn w:val="Normal"/>
    <w:link w:val="FootnoteTextChar"/>
    <w:unhideWhenUsed/>
    <w:rsid w:val="00556C42"/>
    <w:pPr>
      <w:jc w:val="left"/>
    </w:pPr>
    <w:rPr>
      <w:sz w:val="18"/>
      <w:szCs w:val="20"/>
    </w:r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Heading">
    <w:name w:val="Heading"/>
    <w:next w:val="Heading2"/>
    <w:pPr>
      <w:keepNext/>
      <w:keepLines/>
      <w:tabs>
        <w:tab w:val="left" w:pos="567"/>
        <w:tab w:val="left" w:pos="1134"/>
        <w:tab w:val="left" w:pos="1701"/>
        <w:tab w:val="left" w:pos="2268"/>
      </w:tabs>
      <w:spacing w:before="240" w:after="120"/>
      <w:outlineLvl w:val="2"/>
    </w:pPr>
    <w:rPr>
      <w:rFonts w:cs="Arial Unicode MS"/>
      <w:b/>
      <w:bCs/>
      <w:color w:val="000000"/>
      <w:kern w:val="2"/>
      <w:sz w:val="28"/>
      <w:szCs w:val="28"/>
      <w:u w:color="000000"/>
      <w:lang w:val="en-GB"/>
      <w14:textOutline w14:w="0" w14:cap="flat" w14:cmpd="sng" w14:algn="ctr">
        <w14:noFill/>
        <w14:prstDash w14:val="solid"/>
        <w14:bevel/>
      </w14:textOutline>
    </w:rPr>
  </w:style>
  <w:style w:type="numbering" w:customStyle="1" w:styleId="CBDHeadings">
    <w:name w:val="CBD_Headings"/>
    <w:basedOn w:val="ListCBD"/>
    <w:uiPriority w:val="99"/>
    <w:rsid w:val="00556C42"/>
    <w:pPr>
      <w:numPr>
        <w:numId w:val="3"/>
      </w:numPr>
    </w:pPr>
  </w:style>
  <w:style w:type="character" w:customStyle="1" w:styleId="Hyperlink1">
    <w:name w:val="Hyperlink.1"/>
    <w:basedOn w:val="Hyperlink0"/>
    <w:rPr>
      <w:rFonts w:ascii="Times New Roman" w:eastAsia="Times New Roman" w:hAnsi="Times New Roman" w:cs="Times New Roman"/>
      <w:b w:val="0"/>
      <w:bCs w:val="0"/>
      <w:i w:val="0"/>
      <w:iCs w:val="0"/>
      <w:outline w:val="0"/>
      <w:color w:val="000000"/>
      <w:u w:val="single" w:color="000000"/>
      <w:lang w:val="en-GB"/>
    </w:rPr>
  </w:style>
  <w:style w:type="paragraph" w:customStyle="1" w:styleId="CBDAnnex">
    <w:name w:val="CBD_Annex"/>
    <w:basedOn w:val="CBDNormal"/>
    <w:next w:val="CBDTitle"/>
    <w:qFormat/>
    <w:rsid w:val="00556C42"/>
    <w:pPr>
      <w:keepNext/>
      <w:keepLines/>
      <w:spacing w:after="240"/>
      <w:jc w:val="left"/>
    </w:pPr>
    <w:rPr>
      <w:b/>
      <w:sz w:val="28"/>
      <w:lang w:bidi="ar-SY"/>
    </w:rPr>
  </w:style>
  <w:style w:type="paragraph" w:customStyle="1" w:styleId="Para1">
    <w:name w:val="Para1"/>
    <w:pPr>
      <w:tabs>
        <w:tab w:val="left" w:pos="567"/>
        <w:tab w:val="left" w:pos="1134"/>
        <w:tab w:val="left" w:pos="1701"/>
        <w:tab w:val="left" w:pos="2268"/>
      </w:tabs>
      <w:spacing w:before="120" w:after="120"/>
      <w:ind w:firstLine="567"/>
      <w:jc w:val="both"/>
    </w:pPr>
    <w:rPr>
      <w:rFonts w:cs="Arial Unicode MS"/>
      <w:color w:val="000000"/>
      <w:sz w:val="22"/>
      <w:szCs w:val="22"/>
      <w:u w:color="000000"/>
      <w:lang w:val="en-GB"/>
    </w:rPr>
  </w:style>
  <w:style w:type="paragraph" w:customStyle="1" w:styleId="CBDTableNormal">
    <w:name w:val="CBD_TableNormal"/>
    <w:basedOn w:val="CBDNormal"/>
    <w:qFormat/>
    <w:rsid w:val="00556C42"/>
    <w:pPr>
      <w:spacing w:before="40" w:after="80"/>
      <w:jc w:val="left"/>
    </w:pPr>
    <w:rPr>
      <w:sz w:val="20"/>
    </w:rPr>
  </w:style>
  <w:style w:type="paragraph" w:customStyle="1" w:styleId="CBDTableTitle">
    <w:name w:val="CBD_TableTitle"/>
    <w:basedOn w:val="CBDNormal"/>
    <w:qFormat/>
    <w:rsid w:val="00556C42"/>
    <w:pPr>
      <w:keepNext/>
      <w:keepLines/>
      <w:spacing w:before="120" w:after="60"/>
      <w:ind w:left="567"/>
      <w:jc w:val="left"/>
    </w:pPr>
    <w:rPr>
      <w:b/>
    </w:rPr>
  </w:style>
  <w:style w:type="numbering" w:customStyle="1" w:styleId="ImportedStyle2">
    <w:name w:val="Imported Style 2"/>
    <w:pPr>
      <w:numPr>
        <w:numId w:val="4"/>
      </w:numPr>
    </w:pPr>
  </w:style>
  <w:style w:type="paragraph" w:customStyle="1" w:styleId="CBDFootnoteText">
    <w:name w:val="CBD_Footnote_Text"/>
    <w:basedOn w:val="CBDNormal"/>
    <w:qFormat/>
    <w:rsid w:val="00556C42"/>
    <w:pPr>
      <w:jc w:val="left"/>
    </w:pPr>
    <w:rPr>
      <w:sz w:val="18"/>
    </w:rPr>
  </w:style>
  <w:style w:type="paragraph" w:customStyle="1" w:styleId="CBDNormalNoNumber">
    <w:name w:val="CBD_Normal_NoNumber"/>
    <w:basedOn w:val="CBDNormal"/>
    <w:qFormat/>
    <w:rsid w:val="00556C42"/>
    <w:pPr>
      <w:spacing w:after="120"/>
      <w:ind w:left="567"/>
    </w:pPr>
  </w:style>
  <w:style w:type="paragraph" w:styleId="CommentText">
    <w:name w:val="annotation text"/>
    <w:basedOn w:val="Normal"/>
    <w:link w:val="CommentTextChar"/>
    <w:uiPriority w:val="99"/>
    <w:rsid w:val="00556C42"/>
    <w:rPr>
      <w:sz w:val="20"/>
      <w:szCs w:val="20"/>
    </w:rPr>
  </w:style>
  <w:style w:type="character" w:customStyle="1" w:styleId="CommentTextChar">
    <w:name w:val="Comment Text Char"/>
    <w:basedOn w:val="DefaultParagraphFont"/>
    <w:link w:val="CommentText"/>
    <w:uiPriority w:val="99"/>
    <w:rsid w:val="00556C42"/>
    <w:rPr>
      <w:rFonts w:eastAsia="SimSun"/>
      <w:bdr w:val="none" w:sz="0" w:space="0" w:color="auto"/>
      <w:lang w:val="en-GB"/>
    </w:rPr>
  </w:style>
  <w:style w:type="character" w:styleId="CommentReference">
    <w:name w:val="annotation reference"/>
    <w:basedOn w:val="DefaultParagraphFont"/>
    <w:uiPriority w:val="99"/>
    <w:semiHidden/>
    <w:unhideWhenUsed/>
    <w:rsid w:val="00556C42"/>
    <w:rPr>
      <w:sz w:val="16"/>
      <w:szCs w:val="16"/>
      <w:lang w:val="en-GB"/>
    </w:rPr>
  </w:style>
  <w:style w:type="paragraph" w:styleId="Revision">
    <w:name w:val="Revision"/>
    <w:hidden/>
    <w:uiPriority w:val="99"/>
    <w:semiHidden/>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556C42"/>
    <w:rPr>
      <w:b/>
      <w:bCs/>
    </w:rPr>
  </w:style>
  <w:style w:type="character" w:customStyle="1" w:styleId="CommentSubjectChar">
    <w:name w:val="Comment Subject Char"/>
    <w:basedOn w:val="CommentTextChar"/>
    <w:link w:val="CommentSubject"/>
    <w:uiPriority w:val="99"/>
    <w:semiHidden/>
    <w:rsid w:val="00556C42"/>
    <w:rPr>
      <w:rFonts w:eastAsia="SimSun"/>
      <w:b/>
      <w:bCs/>
      <w:bdr w:val="none" w:sz="0" w:space="0" w:color="auto"/>
      <w:lang w:val="en-GB"/>
    </w:rPr>
  </w:style>
  <w:style w:type="character" w:customStyle="1" w:styleId="1">
    <w:name w:val="未处理的提及1"/>
    <w:basedOn w:val="DefaultParagraphFont"/>
    <w:uiPriority w:val="99"/>
    <w:semiHidden/>
    <w:unhideWhenUsed/>
    <w:rsid w:val="007A3640"/>
    <w:rPr>
      <w:color w:val="605E5C"/>
      <w:shd w:val="clear" w:color="auto" w:fill="E1DFDD"/>
      <w:lang w:val="en-GB"/>
    </w:rPr>
  </w:style>
  <w:style w:type="character" w:styleId="FootnoteReference">
    <w:name w:val="footnote reference"/>
    <w:basedOn w:val="DefaultParagraphFont"/>
    <w:uiPriority w:val="99"/>
    <w:semiHidden/>
    <w:unhideWhenUsed/>
    <w:rsid w:val="00556C42"/>
    <w:rPr>
      <w:vertAlign w:val="superscript"/>
      <w:lang w:val="en-GB"/>
    </w:rPr>
  </w:style>
  <w:style w:type="character" w:customStyle="1" w:styleId="Heading1Char">
    <w:name w:val="Heading 1 Char"/>
    <w:basedOn w:val="DefaultParagraphFont"/>
    <w:link w:val="Heading1"/>
    <w:uiPriority w:val="9"/>
    <w:rsid w:val="00556C42"/>
    <w:rPr>
      <w:rFonts w:eastAsiaTheme="majorEastAsia" w:cstheme="majorBidi"/>
      <w:b/>
      <w:bCs/>
      <w:kern w:val="2"/>
      <w:sz w:val="28"/>
      <w:szCs w:val="32"/>
      <w:bdr w:val="none" w:sz="0" w:space="0" w:color="auto"/>
      <w:lang w:val="en-GB"/>
      <w14:ligatures w14:val="standardContextual"/>
    </w:rPr>
  </w:style>
  <w:style w:type="character" w:customStyle="1" w:styleId="Heading3Char">
    <w:name w:val="Heading 3 Char"/>
    <w:basedOn w:val="DefaultParagraphFont"/>
    <w:link w:val="Heading3"/>
    <w:uiPriority w:val="9"/>
    <w:rsid w:val="00556C42"/>
    <w:rPr>
      <w:rFonts w:eastAsiaTheme="majorEastAsia"/>
      <w:b/>
      <w:bCs/>
      <w:sz w:val="22"/>
      <w:szCs w:val="22"/>
      <w:bdr w:val="none" w:sz="0" w:space="0" w:color="auto"/>
      <w:lang w:val="en-GB"/>
    </w:rPr>
  </w:style>
  <w:style w:type="character" w:customStyle="1" w:styleId="Heading4Char">
    <w:name w:val="Heading 4 Char"/>
    <w:basedOn w:val="DefaultParagraphFont"/>
    <w:link w:val="Heading4"/>
    <w:uiPriority w:val="9"/>
    <w:rsid w:val="00556C42"/>
    <w:rPr>
      <w:rFonts w:eastAsiaTheme="majorEastAsia"/>
      <w:b/>
      <w:bCs/>
      <w:sz w:val="22"/>
      <w:szCs w:val="22"/>
      <w:bdr w:val="none" w:sz="0" w:space="0" w:color="auto"/>
      <w:lang w:val="en-GB"/>
    </w:rPr>
  </w:style>
  <w:style w:type="character" w:customStyle="1" w:styleId="Heading5Char">
    <w:name w:val="Heading 5 Char"/>
    <w:basedOn w:val="DefaultParagraphFont"/>
    <w:link w:val="Heading5"/>
    <w:uiPriority w:val="9"/>
    <w:rsid w:val="00556C42"/>
    <w:rPr>
      <w:rFonts w:eastAsiaTheme="majorEastAsia"/>
      <w:i/>
      <w:iCs/>
      <w:sz w:val="22"/>
      <w:szCs w:val="22"/>
      <w:bdr w:val="none" w:sz="0" w:space="0" w:color="auto"/>
      <w:lang w:val="en-GB"/>
    </w:rPr>
  </w:style>
  <w:style w:type="character" w:customStyle="1" w:styleId="Heading6Char">
    <w:name w:val="Heading 6 Char"/>
    <w:basedOn w:val="DefaultParagraphFont"/>
    <w:link w:val="Heading6"/>
    <w:semiHidden/>
    <w:rsid w:val="00556C42"/>
    <w:rPr>
      <w:rFonts w:eastAsia="SimSun"/>
      <w:bCs/>
      <w:sz w:val="24"/>
      <w:szCs w:val="22"/>
      <w:bdr w:val="none" w:sz="0" w:space="0" w:color="auto"/>
      <w:lang w:val="en-GB"/>
    </w:rPr>
  </w:style>
  <w:style w:type="character" w:customStyle="1" w:styleId="Heading7Char">
    <w:name w:val="Heading 7 Char"/>
    <w:basedOn w:val="DefaultParagraphFont"/>
    <w:link w:val="Heading7"/>
    <w:semiHidden/>
    <w:rsid w:val="00556C42"/>
    <w:rPr>
      <w:rFonts w:eastAsia="SimSun"/>
      <w:b/>
      <w:snapToGrid w:val="0"/>
      <w:sz w:val="22"/>
      <w:szCs w:val="22"/>
      <w:u w:val="single"/>
      <w:bdr w:val="none" w:sz="0" w:space="0" w:color="auto"/>
      <w:lang w:val="en-GB"/>
    </w:rPr>
  </w:style>
  <w:style w:type="character" w:customStyle="1" w:styleId="Heading8Char">
    <w:name w:val="Heading 8 Char"/>
    <w:basedOn w:val="DefaultParagraphFont"/>
    <w:link w:val="Heading8"/>
    <w:semiHidden/>
    <w:rsid w:val="00556C42"/>
    <w:rPr>
      <w:rFonts w:eastAsia="SimSun"/>
      <w:b/>
      <w:snapToGrid w:val="0"/>
      <w:sz w:val="22"/>
      <w:szCs w:val="22"/>
      <w:u w:val="single"/>
      <w:bdr w:val="none" w:sz="0" w:space="0" w:color="auto"/>
      <w:lang w:val="en-GB"/>
    </w:rPr>
  </w:style>
  <w:style w:type="character" w:customStyle="1" w:styleId="Heading9Char">
    <w:name w:val="Heading 9 Char"/>
    <w:basedOn w:val="DefaultParagraphFont"/>
    <w:link w:val="Heading9"/>
    <w:semiHidden/>
    <w:rsid w:val="00556C42"/>
    <w:rPr>
      <w:rFonts w:eastAsia="SimSun"/>
      <w:snapToGrid w:val="0"/>
      <w:sz w:val="22"/>
      <w:szCs w:val="22"/>
      <w:u w:val="single"/>
      <w:bdr w:val="none" w:sz="0" w:space="0" w:color="auto"/>
      <w:lang w:val="en-GB"/>
    </w:rPr>
  </w:style>
  <w:style w:type="character" w:customStyle="1" w:styleId="Heading2Char">
    <w:name w:val="Heading 2 Char"/>
    <w:basedOn w:val="DefaultParagraphFont"/>
    <w:link w:val="Heading2"/>
    <w:uiPriority w:val="9"/>
    <w:rsid w:val="00556C42"/>
    <w:rPr>
      <w:rFonts w:ascii="Times New Roman Bold" w:eastAsiaTheme="majorEastAsia" w:hAnsi="Times New Roman Bold" w:cstheme="majorBidi"/>
      <w:b/>
      <w:sz w:val="24"/>
      <w:szCs w:val="26"/>
      <w:bdr w:val="none" w:sz="0" w:space="0" w:color="auto"/>
      <w:lang w:val="en-GB"/>
    </w:rPr>
  </w:style>
  <w:style w:type="paragraph" w:customStyle="1" w:styleId="DarkList-Accent31">
    <w:name w:val="Dark List - Accent 31"/>
    <w:hidden/>
    <w:uiPriority w:val="99"/>
    <w:semiHidden/>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Footnote">
    <w:name w:val="Footnote"/>
    <w:basedOn w:val="FootnoteText"/>
    <w:semiHidden/>
    <w:qFormat/>
    <w:rsid w:val="00556C42"/>
    <w:rPr>
      <w:szCs w:val="18"/>
    </w:rPr>
  </w:style>
  <w:style w:type="character" w:customStyle="1" w:styleId="HeaderChar">
    <w:name w:val="Header Char"/>
    <w:basedOn w:val="DefaultParagraphFont"/>
    <w:link w:val="Header"/>
    <w:rsid w:val="00556C42"/>
    <w:rPr>
      <w:rFonts w:eastAsia="SimSun"/>
      <w:szCs w:val="22"/>
      <w:bdr w:val="none" w:sz="0" w:space="0" w:color="auto"/>
      <w:lang w:val="en-GB"/>
    </w:rPr>
  </w:style>
  <w:style w:type="character" w:customStyle="1" w:styleId="FooterChar">
    <w:name w:val="Footer Char"/>
    <w:basedOn w:val="DefaultParagraphFont"/>
    <w:link w:val="Footer"/>
    <w:uiPriority w:val="99"/>
    <w:rsid w:val="00556C42"/>
    <w:rPr>
      <w:rFonts w:eastAsia="SimSun"/>
      <w:szCs w:val="22"/>
      <w:bdr w:val="none" w:sz="0" w:space="0" w:color="auto"/>
      <w:lang w:val="en-GB"/>
    </w:rPr>
  </w:style>
  <w:style w:type="paragraph" w:customStyle="1" w:styleId="Annex">
    <w:name w:val="Annex"/>
    <w:basedOn w:val="Normal"/>
    <w:semiHidden/>
    <w:qFormat/>
    <w:rsid w:val="00556C42"/>
    <w:pPr>
      <w:spacing w:after="240"/>
    </w:pPr>
    <w:rPr>
      <w:b/>
      <w:sz w:val="28"/>
    </w:rPr>
  </w:style>
  <w:style w:type="character" w:customStyle="1" w:styleId="FootnoteTextChar">
    <w:name w:val="Footnote Text Char"/>
    <w:basedOn w:val="DefaultParagraphFont"/>
    <w:link w:val="FootnoteText"/>
    <w:rsid w:val="00556C42"/>
    <w:rPr>
      <w:rFonts w:eastAsia="SimSun"/>
      <w:sz w:val="18"/>
      <w:bdr w:val="none" w:sz="0" w:space="0" w:color="auto"/>
      <w:lang w:val="en-GB"/>
    </w:rPr>
  </w:style>
  <w:style w:type="paragraph" w:styleId="BodyText">
    <w:name w:val="Body Text"/>
    <w:basedOn w:val="Normal"/>
    <w:link w:val="BodyTextChar"/>
    <w:uiPriority w:val="99"/>
    <w:semiHidden/>
    <w:unhideWhenUsed/>
    <w:rsid w:val="00556C4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556C42"/>
    <w:rPr>
      <w:rFonts w:asciiTheme="minorHAnsi" w:eastAsiaTheme="minorHAnsi" w:hAnsiTheme="minorHAnsi" w:cstheme="minorBidi"/>
      <w:kern w:val="2"/>
      <w:sz w:val="22"/>
      <w:szCs w:val="22"/>
      <w:bdr w:val="none" w:sz="0" w:space="0" w:color="auto"/>
      <w:lang w:val="en-GB"/>
      <w14:ligatures w14:val="standardContextual"/>
    </w:rPr>
  </w:style>
  <w:style w:type="paragraph" w:customStyle="1" w:styleId="Item">
    <w:name w:val="Item"/>
    <w:basedOn w:val="Normal"/>
    <w:semiHidden/>
    <w:qFormat/>
    <w:rsid w:val="00556C4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56C4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rPr>
  </w:style>
  <w:style w:type="paragraph" w:styleId="List">
    <w:name w:val="List"/>
    <w:basedOn w:val="Normal"/>
    <w:semiHidden/>
    <w:rsid w:val="00556C42"/>
    <w:pPr>
      <w:contextualSpacing/>
    </w:pPr>
  </w:style>
  <w:style w:type="paragraph" w:styleId="ListParagraph">
    <w:name w:val="List Paragraph"/>
    <w:basedOn w:val="Normal"/>
    <w:uiPriority w:val="34"/>
    <w:qFormat/>
    <w:rsid w:val="00556C42"/>
    <w:pPr>
      <w:ind w:left="720"/>
      <w:contextualSpacing/>
    </w:pPr>
  </w:style>
  <w:style w:type="paragraph" w:customStyle="1" w:styleId="CBDAgendaItemReport">
    <w:name w:val="CBD_AgendaItem_Report"/>
    <w:basedOn w:val="Normal"/>
    <w:qFormat/>
    <w:rsid w:val="00556C42"/>
    <w:pPr>
      <w:keepNext/>
      <w:keepLines/>
      <w:spacing w:before="240" w:after="120"/>
      <w:jc w:val="left"/>
    </w:pPr>
    <w:rPr>
      <w:b/>
      <w:sz w:val="24"/>
    </w:rPr>
  </w:style>
  <w:style w:type="paragraph" w:customStyle="1" w:styleId="CBDDesicionText">
    <w:name w:val="CBD_DesicionText"/>
    <w:basedOn w:val="CBDNormal"/>
    <w:qFormat/>
    <w:rsid w:val="00556C42"/>
    <w:pPr>
      <w:spacing w:after="120"/>
      <w:ind w:left="1134" w:firstLine="567"/>
    </w:pPr>
  </w:style>
  <w:style w:type="paragraph" w:customStyle="1" w:styleId="CBDDesicionAnnex">
    <w:name w:val="CBD_DesicionAnnex"/>
    <w:basedOn w:val="CBDNormal"/>
    <w:next w:val="CBDDesicionText"/>
    <w:qFormat/>
    <w:rsid w:val="00556C4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AENormal">
    <w:name w:val="AE_Normal"/>
    <w:basedOn w:val="Normal"/>
    <w:rsid w:val="00556C42"/>
  </w:style>
  <w:style w:type="paragraph" w:customStyle="1" w:styleId="CBDH2">
    <w:name w:val="CBD_H2"/>
    <w:basedOn w:val="CBDNormal"/>
    <w:qFormat/>
    <w:rsid w:val="00556C42"/>
    <w:pPr>
      <w:keepNext/>
      <w:keepLines/>
      <w:ind w:left="567" w:hanging="567"/>
    </w:pPr>
    <w:rPr>
      <w:b/>
      <w:sz w:val="24"/>
    </w:rPr>
  </w:style>
  <w:style w:type="paragraph" w:customStyle="1" w:styleId="CBDFooter">
    <w:name w:val="CBD_Footer"/>
    <w:basedOn w:val="CBDNormal"/>
    <w:qFormat/>
    <w:rsid w:val="00556C42"/>
    <w:rPr>
      <w:sz w:val="20"/>
    </w:rPr>
  </w:style>
  <w:style w:type="paragraph" w:customStyle="1" w:styleId="CBDHeader">
    <w:name w:val="CBD_Header"/>
    <w:basedOn w:val="CBDNormal"/>
    <w:next w:val="CBDFooter"/>
    <w:qFormat/>
    <w:rsid w:val="00556C4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56C42"/>
    <w:pPr>
      <w:keepNext/>
      <w:keepLines/>
      <w:spacing w:before="120" w:after="120"/>
      <w:ind w:left="567" w:hanging="567"/>
      <w:jc w:val="left"/>
    </w:pPr>
    <w:rPr>
      <w:b/>
    </w:rPr>
  </w:style>
  <w:style w:type="paragraph" w:customStyle="1" w:styleId="CBDH4">
    <w:name w:val="CBD_H4"/>
    <w:basedOn w:val="CBDNormal"/>
    <w:rsid w:val="00556C42"/>
    <w:pPr>
      <w:keepNext/>
      <w:keepLines/>
      <w:spacing w:before="120" w:after="120"/>
      <w:ind w:left="567" w:hanging="567"/>
      <w:jc w:val="left"/>
    </w:pPr>
    <w:rPr>
      <w:b/>
    </w:rPr>
  </w:style>
  <w:style w:type="paragraph" w:customStyle="1" w:styleId="CBDH5">
    <w:name w:val="CBD_H5"/>
    <w:basedOn w:val="CBDNormal"/>
    <w:qFormat/>
    <w:rsid w:val="00556C42"/>
    <w:pPr>
      <w:keepNext/>
      <w:keepLines/>
      <w:spacing w:before="120" w:after="120"/>
      <w:ind w:left="567" w:hanging="567"/>
      <w:jc w:val="left"/>
    </w:pPr>
    <w:rPr>
      <w:i/>
    </w:rPr>
  </w:style>
  <w:style w:type="paragraph" w:customStyle="1" w:styleId="CBDFigureTitle">
    <w:name w:val="CBD_FigureTitle"/>
    <w:basedOn w:val="CBDNormal"/>
    <w:next w:val="CBDNormalNoNumber"/>
    <w:qFormat/>
    <w:rsid w:val="00556C42"/>
    <w:pPr>
      <w:keepNext/>
      <w:keepLines/>
      <w:spacing w:before="120" w:after="60"/>
      <w:ind w:left="567"/>
      <w:jc w:val="left"/>
    </w:pPr>
    <w:rPr>
      <w:b/>
    </w:rPr>
  </w:style>
  <w:style w:type="paragraph" w:styleId="TOC1">
    <w:name w:val="toc 1"/>
    <w:basedOn w:val="CBDNormal"/>
    <w:next w:val="Normal"/>
    <w:autoRedefine/>
    <w:uiPriority w:val="39"/>
    <w:unhideWhenUsed/>
    <w:rsid w:val="00556C4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56C4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56C4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56C4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556C42"/>
  </w:style>
  <w:style w:type="paragraph" w:customStyle="1" w:styleId="CBDpara-item">
    <w:name w:val="CBD_para-item"/>
    <w:basedOn w:val="Normal"/>
    <w:qFormat/>
    <w:rsid w:val="00556C42"/>
    <w:pPr>
      <w:tabs>
        <w:tab w:val="clear" w:pos="567"/>
      </w:tabs>
      <w:spacing w:before="120" w:after="120"/>
      <w:ind w:left="1134" w:hanging="567"/>
      <w:jc w:val="left"/>
    </w:pPr>
  </w:style>
  <w:style w:type="paragraph" w:customStyle="1" w:styleId="CBDsubpara-item">
    <w:name w:val="CBD_subpara-item"/>
    <w:basedOn w:val="CBDpara-item"/>
    <w:qFormat/>
    <w:rsid w:val="00556C42"/>
    <w:pPr>
      <w:tabs>
        <w:tab w:val="clear" w:pos="1134"/>
      </w:tabs>
      <w:ind w:left="1701"/>
    </w:pPr>
  </w:style>
  <w:style w:type="paragraph" w:customStyle="1" w:styleId="CBDRecommendText">
    <w:name w:val="CBD_RecommendText"/>
    <w:basedOn w:val="Normal"/>
    <w:qFormat/>
    <w:rsid w:val="00556C42"/>
    <w:pPr>
      <w:spacing w:after="120"/>
      <w:ind w:left="567"/>
    </w:pPr>
  </w:style>
  <w:style w:type="paragraph" w:customStyle="1" w:styleId="CBDAgendaItem-1">
    <w:name w:val="CBD_AgendaItem-1"/>
    <w:basedOn w:val="Normal"/>
    <w:qFormat/>
    <w:rsid w:val="00556C4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56C42"/>
    <w:pPr>
      <w:ind w:left="567" w:hanging="567"/>
    </w:pPr>
    <w:rPr>
      <w:sz w:val="22"/>
    </w:rPr>
  </w:style>
  <w:style w:type="paragraph" w:customStyle="1" w:styleId="CBDAgendaItem-3">
    <w:name w:val="CBD_AgendaItem-3"/>
    <w:basedOn w:val="CBDAgendaItem-1"/>
    <w:qFormat/>
    <w:rsid w:val="00556C42"/>
    <w:pPr>
      <w:ind w:left="567" w:hanging="567"/>
    </w:pPr>
    <w:rPr>
      <w:sz w:val="20"/>
    </w:rPr>
  </w:style>
  <w:style w:type="paragraph" w:styleId="BalloonText">
    <w:name w:val="Balloon Text"/>
    <w:basedOn w:val="Normal"/>
    <w:link w:val="BalloonTextChar"/>
    <w:uiPriority w:val="99"/>
    <w:semiHidden/>
    <w:unhideWhenUsed/>
    <w:rsid w:val="004A0C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C3B"/>
    <w:rPr>
      <w:rFonts w:ascii="Segoe UI" w:eastAsia="SimSun" w:hAnsi="Segoe UI" w:cs="Segoe UI"/>
      <w:sz w:val="18"/>
      <w:szCs w:val="18"/>
      <w:bdr w:val="none" w:sz="0" w:space="0" w:color="auto"/>
      <w:lang w:val="en-GB"/>
    </w:rPr>
  </w:style>
  <w:style w:type="paragraph" w:styleId="Bibliography">
    <w:name w:val="Bibliography"/>
    <w:basedOn w:val="Normal"/>
    <w:next w:val="Normal"/>
    <w:uiPriority w:val="37"/>
    <w:semiHidden/>
    <w:unhideWhenUsed/>
    <w:rsid w:val="004A0C3B"/>
  </w:style>
  <w:style w:type="paragraph" w:styleId="BlockText">
    <w:name w:val="Block Text"/>
    <w:basedOn w:val="Normal"/>
    <w:uiPriority w:val="99"/>
    <w:semiHidden/>
    <w:unhideWhenUsed/>
    <w:rsid w:val="004A0C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4A0C3B"/>
    <w:pPr>
      <w:spacing w:after="120" w:line="480" w:lineRule="auto"/>
    </w:pPr>
  </w:style>
  <w:style w:type="character" w:customStyle="1" w:styleId="BodyText2Char">
    <w:name w:val="Body Text 2 Char"/>
    <w:basedOn w:val="DefaultParagraphFont"/>
    <w:link w:val="BodyText2"/>
    <w:uiPriority w:val="99"/>
    <w:semiHidden/>
    <w:rsid w:val="004A0C3B"/>
    <w:rPr>
      <w:rFonts w:eastAsia="SimSun"/>
      <w:sz w:val="22"/>
      <w:szCs w:val="22"/>
      <w:bdr w:val="none" w:sz="0" w:space="0" w:color="auto"/>
      <w:lang w:val="en-GB"/>
    </w:rPr>
  </w:style>
  <w:style w:type="paragraph" w:styleId="BodyText3">
    <w:name w:val="Body Text 3"/>
    <w:basedOn w:val="Normal"/>
    <w:link w:val="BodyText3Char"/>
    <w:uiPriority w:val="99"/>
    <w:semiHidden/>
    <w:unhideWhenUsed/>
    <w:rsid w:val="004A0C3B"/>
    <w:pPr>
      <w:spacing w:after="120"/>
    </w:pPr>
    <w:rPr>
      <w:sz w:val="16"/>
      <w:szCs w:val="16"/>
    </w:rPr>
  </w:style>
  <w:style w:type="character" w:customStyle="1" w:styleId="BodyText3Char">
    <w:name w:val="Body Text 3 Char"/>
    <w:basedOn w:val="DefaultParagraphFont"/>
    <w:link w:val="BodyText3"/>
    <w:uiPriority w:val="99"/>
    <w:semiHidden/>
    <w:rsid w:val="004A0C3B"/>
    <w:rPr>
      <w:rFonts w:eastAsia="SimSun"/>
      <w:sz w:val="16"/>
      <w:szCs w:val="16"/>
      <w:bdr w:val="none" w:sz="0" w:space="0" w:color="auto"/>
      <w:lang w:val="en-GB"/>
    </w:rPr>
  </w:style>
  <w:style w:type="paragraph" w:styleId="BodyTextFirstIndent">
    <w:name w:val="Body Text First Indent"/>
    <w:basedOn w:val="BodyText"/>
    <w:link w:val="BodyTextFirstIndentChar"/>
    <w:uiPriority w:val="99"/>
    <w:semiHidden/>
    <w:unhideWhenUsed/>
    <w:rsid w:val="004A0C3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A0C3B"/>
    <w:rPr>
      <w:rFonts w:asciiTheme="minorHAnsi" w:eastAsia="SimSun" w:hAnsiTheme="minorHAnsi" w:cstheme="minorBidi"/>
      <w:kern w:val="2"/>
      <w:sz w:val="22"/>
      <w:szCs w:val="22"/>
      <w:bdr w:val="none" w:sz="0" w:space="0" w:color="auto"/>
      <w:lang w:val="en-GB"/>
      <w14:ligatures w14:val="standardContextual"/>
    </w:rPr>
  </w:style>
  <w:style w:type="paragraph" w:styleId="BodyTextIndent">
    <w:name w:val="Body Text Indent"/>
    <w:basedOn w:val="Normal"/>
    <w:link w:val="BodyTextIndentChar"/>
    <w:uiPriority w:val="99"/>
    <w:semiHidden/>
    <w:unhideWhenUsed/>
    <w:rsid w:val="004A0C3B"/>
    <w:pPr>
      <w:spacing w:after="120"/>
      <w:ind w:left="360"/>
    </w:pPr>
  </w:style>
  <w:style w:type="character" w:customStyle="1" w:styleId="BodyTextIndentChar">
    <w:name w:val="Body Text Indent Char"/>
    <w:basedOn w:val="DefaultParagraphFont"/>
    <w:link w:val="BodyTextIndent"/>
    <w:uiPriority w:val="99"/>
    <w:semiHidden/>
    <w:rsid w:val="004A0C3B"/>
    <w:rPr>
      <w:rFonts w:eastAsia="SimSun"/>
      <w:sz w:val="22"/>
      <w:szCs w:val="22"/>
      <w:bdr w:val="none" w:sz="0" w:space="0" w:color="auto"/>
      <w:lang w:val="en-GB"/>
    </w:rPr>
  </w:style>
  <w:style w:type="paragraph" w:styleId="BodyTextFirstIndent2">
    <w:name w:val="Body Text First Indent 2"/>
    <w:basedOn w:val="BodyTextIndent"/>
    <w:link w:val="BodyTextFirstIndent2Char"/>
    <w:uiPriority w:val="99"/>
    <w:semiHidden/>
    <w:unhideWhenUsed/>
    <w:rsid w:val="004A0C3B"/>
    <w:pPr>
      <w:spacing w:after="0"/>
      <w:ind w:firstLine="360"/>
    </w:pPr>
  </w:style>
  <w:style w:type="character" w:customStyle="1" w:styleId="BodyTextFirstIndent2Char">
    <w:name w:val="Body Text First Indent 2 Char"/>
    <w:basedOn w:val="BodyTextIndentChar"/>
    <w:link w:val="BodyTextFirstIndent2"/>
    <w:uiPriority w:val="99"/>
    <w:semiHidden/>
    <w:rsid w:val="004A0C3B"/>
    <w:rPr>
      <w:rFonts w:eastAsia="SimSun"/>
      <w:sz w:val="22"/>
      <w:szCs w:val="22"/>
      <w:bdr w:val="none" w:sz="0" w:space="0" w:color="auto"/>
      <w:lang w:val="en-GB"/>
    </w:rPr>
  </w:style>
  <w:style w:type="paragraph" w:styleId="BodyTextIndent2">
    <w:name w:val="Body Text Indent 2"/>
    <w:basedOn w:val="Normal"/>
    <w:link w:val="BodyTextIndent2Char"/>
    <w:uiPriority w:val="99"/>
    <w:semiHidden/>
    <w:unhideWhenUsed/>
    <w:rsid w:val="004A0C3B"/>
    <w:pPr>
      <w:spacing w:after="120" w:line="480" w:lineRule="auto"/>
      <w:ind w:left="360"/>
    </w:pPr>
  </w:style>
  <w:style w:type="character" w:customStyle="1" w:styleId="BodyTextIndent2Char">
    <w:name w:val="Body Text Indent 2 Char"/>
    <w:basedOn w:val="DefaultParagraphFont"/>
    <w:link w:val="BodyTextIndent2"/>
    <w:uiPriority w:val="99"/>
    <w:semiHidden/>
    <w:rsid w:val="004A0C3B"/>
    <w:rPr>
      <w:rFonts w:eastAsia="SimSun"/>
      <w:sz w:val="22"/>
      <w:szCs w:val="22"/>
      <w:bdr w:val="none" w:sz="0" w:space="0" w:color="auto"/>
      <w:lang w:val="en-GB"/>
    </w:rPr>
  </w:style>
  <w:style w:type="paragraph" w:styleId="BodyTextIndent3">
    <w:name w:val="Body Text Indent 3"/>
    <w:basedOn w:val="Normal"/>
    <w:link w:val="BodyTextIndent3Char"/>
    <w:uiPriority w:val="99"/>
    <w:semiHidden/>
    <w:unhideWhenUsed/>
    <w:rsid w:val="004A0C3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A0C3B"/>
    <w:rPr>
      <w:rFonts w:eastAsia="SimSun"/>
      <w:sz w:val="16"/>
      <w:szCs w:val="16"/>
      <w:bdr w:val="none" w:sz="0" w:space="0" w:color="auto"/>
      <w:lang w:val="en-GB"/>
    </w:rPr>
  </w:style>
  <w:style w:type="character" w:styleId="BookTitle">
    <w:name w:val="Book Title"/>
    <w:basedOn w:val="DefaultParagraphFont"/>
    <w:uiPriority w:val="33"/>
    <w:qFormat/>
    <w:rsid w:val="004A0C3B"/>
    <w:rPr>
      <w:b/>
      <w:bCs/>
      <w:i/>
      <w:iCs/>
      <w:spacing w:val="5"/>
      <w:lang w:val="en-GB"/>
    </w:rPr>
  </w:style>
  <w:style w:type="paragraph" w:styleId="Caption">
    <w:name w:val="caption"/>
    <w:basedOn w:val="Normal"/>
    <w:next w:val="Normal"/>
    <w:uiPriority w:val="35"/>
    <w:semiHidden/>
    <w:unhideWhenUsed/>
    <w:qFormat/>
    <w:rsid w:val="004A0C3B"/>
    <w:pPr>
      <w:spacing w:after="200"/>
    </w:pPr>
    <w:rPr>
      <w:i/>
      <w:iCs/>
      <w:color w:val="A7A7A7" w:themeColor="text2"/>
      <w:sz w:val="18"/>
      <w:szCs w:val="18"/>
    </w:rPr>
  </w:style>
  <w:style w:type="paragraph" w:styleId="Closing">
    <w:name w:val="Closing"/>
    <w:basedOn w:val="Normal"/>
    <w:link w:val="ClosingChar"/>
    <w:uiPriority w:val="99"/>
    <w:semiHidden/>
    <w:unhideWhenUsed/>
    <w:rsid w:val="004A0C3B"/>
    <w:pPr>
      <w:ind w:left="4320"/>
    </w:pPr>
  </w:style>
  <w:style w:type="character" w:customStyle="1" w:styleId="ClosingChar">
    <w:name w:val="Closing Char"/>
    <w:basedOn w:val="DefaultParagraphFont"/>
    <w:link w:val="Closing"/>
    <w:uiPriority w:val="99"/>
    <w:semiHidden/>
    <w:rsid w:val="004A0C3B"/>
    <w:rPr>
      <w:rFonts w:eastAsia="SimSun"/>
      <w:sz w:val="22"/>
      <w:szCs w:val="22"/>
      <w:bdr w:val="none" w:sz="0" w:space="0" w:color="auto"/>
      <w:lang w:val="en-GB"/>
    </w:rPr>
  </w:style>
  <w:style w:type="table" w:styleId="ColorfulGrid">
    <w:name w:val="Colorful Grid"/>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A0C3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A0C3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A0C3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A0C3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A0C3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A0C3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A0C3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A0C3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A0C3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A0C3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A0C3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A0C3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A0C3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A0C3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A0C3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A0C3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A0C3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A0C3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A0C3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A0C3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A0C3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4A0C3B"/>
  </w:style>
  <w:style w:type="character" w:customStyle="1" w:styleId="DateChar">
    <w:name w:val="Date Char"/>
    <w:basedOn w:val="DefaultParagraphFont"/>
    <w:link w:val="Date"/>
    <w:uiPriority w:val="99"/>
    <w:semiHidden/>
    <w:rsid w:val="004A0C3B"/>
    <w:rPr>
      <w:rFonts w:eastAsia="SimSun"/>
      <w:sz w:val="22"/>
      <w:szCs w:val="22"/>
      <w:bdr w:val="none" w:sz="0" w:space="0" w:color="auto"/>
      <w:lang w:val="en-GB"/>
    </w:rPr>
  </w:style>
  <w:style w:type="paragraph" w:styleId="DocumentMap">
    <w:name w:val="Document Map"/>
    <w:basedOn w:val="Normal"/>
    <w:link w:val="DocumentMapChar"/>
    <w:uiPriority w:val="99"/>
    <w:semiHidden/>
    <w:unhideWhenUsed/>
    <w:rsid w:val="004A0C3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A0C3B"/>
    <w:rPr>
      <w:rFonts w:ascii="Segoe UI" w:eastAsia="SimSun" w:hAnsi="Segoe UI" w:cs="Segoe UI"/>
      <w:sz w:val="16"/>
      <w:szCs w:val="16"/>
      <w:bdr w:val="none" w:sz="0" w:space="0" w:color="auto"/>
      <w:lang w:val="en-GB"/>
    </w:rPr>
  </w:style>
  <w:style w:type="paragraph" w:styleId="E-mailSignature">
    <w:name w:val="E-mail Signature"/>
    <w:basedOn w:val="Normal"/>
    <w:link w:val="E-mailSignatureChar"/>
    <w:uiPriority w:val="99"/>
    <w:semiHidden/>
    <w:unhideWhenUsed/>
    <w:rsid w:val="004A0C3B"/>
  </w:style>
  <w:style w:type="character" w:customStyle="1" w:styleId="E-mailSignatureChar">
    <w:name w:val="E-mail Signature Char"/>
    <w:basedOn w:val="DefaultParagraphFont"/>
    <w:link w:val="E-mailSignature"/>
    <w:uiPriority w:val="99"/>
    <w:semiHidden/>
    <w:rsid w:val="004A0C3B"/>
    <w:rPr>
      <w:rFonts w:eastAsia="SimSun"/>
      <w:sz w:val="22"/>
      <w:szCs w:val="22"/>
      <w:bdr w:val="none" w:sz="0" w:space="0" w:color="auto"/>
      <w:lang w:val="en-GB"/>
    </w:rPr>
  </w:style>
  <w:style w:type="character" w:styleId="Emphasis">
    <w:name w:val="Emphasis"/>
    <w:basedOn w:val="DefaultParagraphFont"/>
    <w:uiPriority w:val="20"/>
    <w:qFormat/>
    <w:rsid w:val="004A0C3B"/>
    <w:rPr>
      <w:i/>
      <w:iCs/>
      <w:lang w:val="en-GB"/>
    </w:rPr>
  </w:style>
  <w:style w:type="character" w:styleId="EndnoteReference">
    <w:name w:val="endnote reference"/>
    <w:basedOn w:val="DefaultParagraphFont"/>
    <w:uiPriority w:val="99"/>
    <w:semiHidden/>
    <w:unhideWhenUsed/>
    <w:rsid w:val="004A0C3B"/>
    <w:rPr>
      <w:vertAlign w:val="superscript"/>
      <w:lang w:val="en-GB"/>
    </w:rPr>
  </w:style>
  <w:style w:type="paragraph" w:styleId="EndnoteText">
    <w:name w:val="endnote text"/>
    <w:basedOn w:val="Normal"/>
    <w:link w:val="EndnoteTextChar"/>
    <w:uiPriority w:val="99"/>
    <w:semiHidden/>
    <w:unhideWhenUsed/>
    <w:rsid w:val="004A0C3B"/>
    <w:rPr>
      <w:sz w:val="20"/>
      <w:szCs w:val="20"/>
    </w:rPr>
  </w:style>
  <w:style w:type="character" w:customStyle="1" w:styleId="EndnoteTextChar">
    <w:name w:val="Endnote Text Char"/>
    <w:basedOn w:val="DefaultParagraphFont"/>
    <w:link w:val="EndnoteText"/>
    <w:uiPriority w:val="99"/>
    <w:semiHidden/>
    <w:rsid w:val="004A0C3B"/>
    <w:rPr>
      <w:rFonts w:eastAsia="SimSun"/>
      <w:bdr w:val="none" w:sz="0" w:space="0" w:color="auto"/>
      <w:lang w:val="en-GB"/>
    </w:rPr>
  </w:style>
  <w:style w:type="paragraph" w:styleId="EnvelopeAddress">
    <w:name w:val="envelope address"/>
    <w:basedOn w:val="Normal"/>
    <w:uiPriority w:val="99"/>
    <w:semiHidden/>
    <w:unhideWhenUsed/>
    <w:rsid w:val="004A0C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A0C3B"/>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A0C3B"/>
    <w:rPr>
      <w:color w:val="FF00FF" w:themeColor="followedHyperlink"/>
      <w:u w:val="single"/>
      <w:lang w:val="en-GB"/>
    </w:rPr>
  </w:style>
  <w:style w:type="table" w:styleId="GridTable1Light">
    <w:name w:val="Grid Table 1 Light"/>
    <w:basedOn w:val="TableNormal"/>
    <w:uiPriority w:val="46"/>
    <w:rsid w:val="004A0C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A0C3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A0C3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A0C3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A0C3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A0C3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A0C3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A0C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A0C3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A0C3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A0C3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A0C3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A0C3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A0C3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A0C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A0C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A0C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A0C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A0C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A0C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A0C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A0C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A0C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A0C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A0C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A0C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A0C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A0C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A0C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A0C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A0C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A0C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A0C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A0C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A0C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A0C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A0C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A0C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A0C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A0C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A0C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A0C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10">
    <w:name w:val="井号标签1"/>
    <w:basedOn w:val="DefaultParagraphFont"/>
    <w:uiPriority w:val="99"/>
    <w:semiHidden/>
    <w:unhideWhenUsed/>
    <w:rsid w:val="004A0C3B"/>
    <w:rPr>
      <w:color w:val="2B579A"/>
      <w:shd w:val="clear" w:color="auto" w:fill="E1DFDD"/>
      <w:lang w:val="en-GB"/>
    </w:rPr>
  </w:style>
  <w:style w:type="character" w:styleId="HTMLAcronym">
    <w:name w:val="HTML Acronym"/>
    <w:basedOn w:val="DefaultParagraphFont"/>
    <w:uiPriority w:val="99"/>
    <w:semiHidden/>
    <w:unhideWhenUsed/>
    <w:rsid w:val="004A0C3B"/>
    <w:rPr>
      <w:lang w:val="en-GB"/>
    </w:rPr>
  </w:style>
  <w:style w:type="paragraph" w:styleId="HTMLAddress">
    <w:name w:val="HTML Address"/>
    <w:basedOn w:val="Normal"/>
    <w:link w:val="HTMLAddressChar"/>
    <w:uiPriority w:val="99"/>
    <w:semiHidden/>
    <w:unhideWhenUsed/>
    <w:rsid w:val="004A0C3B"/>
    <w:rPr>
      <w:i/>
      <w:iCs/>
    </w:rPr>
  </w:style>
  <w:style w:type="character" w:customStyle="1" w:styleId="HTMLAddressChar">
    <w:name w:val="HTML Address Char"/>
    <w:basedOn w:val="DefaultParagraphFont"/>
    <w:link w:val="HTMLAddress"/>
    <w:uiPriority w:val="99"/>
    <w:semiHidden/>
    <w:rsid w:val="004A0C3B"/>
    <w:rPr>
      <w:rFonts w:eastAsia="SimSun"/>
      <w:i/>
      <w:iCs/>
      <w:sz w:val="22"/>
      <w:szCs w:val="22"/>
      <w:bdr w:val="none" w:sz="0" w:space="0" w:color="auto"/>
      <w:lang w:val="en-GB"/>
    </w:rPr>
  </w:style>
  <w:style w:type="character" w:styleId="HTMLCite">
    <w:name w:val="HTML Cite"/>
    <w:basedOn w:val="DefaultParagraphFont"/>
    <w:uiPriority w:val="99"/>
    <w:semiHidden/>
    <w:unhideWhenUsed/>
    <w:rsid w:val="004A0C3B"/>
    <w:rPr>
      <w:i/>
      <w:iCs/>
      <w:lang w:val="en-GB"/>
    </w:rPr>
  </w:style>
  <w:style w:type="character" w:styleId="HTMLCode">
    <w:name w:val="HTML Code"/>
    <w:basedOn w:val="DefaultParagraphFont"/>
    <w:uiPriority w:val="99"/>
    <w:semiHidden/>
    <w:unhideWhenUsed/>
    <w:rsid w:val="004A0C3B"/>
    <w:rPr>
      <w:rFonts w:ascii="Consolas" w:hAnsi="Consolas"/>
      <w:sz w:val="20"/>
      <w:szCs w:val="20"/>
      <w:lang w:val="en-GB"/>
    </w:rPr>
  </w:style>
  <w:style w:type="character" w:styleId="HTMLDefinition">
    <w:name w:val="HTML Definition"/>
    <w:basedOn w:val="DefaultParagraphFont"/>
    <w:uiPriority w:val="99"/>
    <w:semiHidden/>
    <w:unhideWhenUsed/>
    <w:rsid w:val="004A0C3B"/>
    <w:rPr>
      <w:i/>
      <w:iCs/>
      <w:lang w:val="en-GB"/>
    </w:rPr>
  </w:style>
  <w:style w:type="character" w:styleId="HTMLKeyboard">
    <w:name w:val="HTML Keyboard"/>
    <w:basedOn w:val="DefaultParagraphFont"/>
    <w:uiPriority w:val="99"/>
    <w:semiHidden/>
    <w:unhideWhenUsed/>
    <w:rsid w:val="004A0C3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A0C3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A0C3B"/>
    <w:rPr>
      <w:rFonts w:ascii="Consolas" w:eastAsia="SimSun" w:hAnsi="Consolas"/>
      <w:bdr w:val="none" w:sz="0" w:space="0" w:color="auto"/>
      <w:lang w:val="en-GB"/>
    </w:rPr>
  </w:style>
  <w:style w:type="character" w:styleId="HTMLSample">
    <w:name w:val="HTML Sample"/>
    <w:basedOn w:val="DefaultParagraphFont"/>
    <w:uiPriority w:val="99"/>
    <w:semiHidden/>
    <w:unhideWhenUsed/>
    <w:rsid w:val="004A0C3B"/>
    <w:rPr>
      <w:rFonts w:ascii="Consolas" w:hAnsi="Consolas"/>
      <w:sz w:val="24"/>
      <w:szCs w:val="24"/>
      <w:lang w:val="en-GB"/>
    </w:rPr>
  </w:style>
  <w:style w:type="character" w:styleId="HTMLTypewriter">
    <w:name w:val="HTML Typewriter"/>
    <w:basedOn w:val="DefaultParagraphFont"/>
    <w:uiPriority w:val="99"/>
    <w:semiHidden/>
    <w:unhideWhenUsed/>
    <w:rsid w:val="004A0C3B"/>
    <w:rPr>
      <w:rFonts w:ascii="Consolas" w:hAnsi="Consolas"/>
      <w:sz w:val="20"/>
      <w:szCs w:val="20"/>
      <w:lang w:val="en-GB"/>
    </w:rPr>
  </w:style>
  <w:style w:type="character" w:styleId="HTMLVariable">
    <w:name w:val="HTML Variable"/>
    <w:basedOn w:val="DefaultParagraphFont"/>
    <w:uiPriority w:val="99"/>
    <w:semiHidden/>
    <w:unhideWhenUsed/>
    <w:rsid w:val="004A0C3B"/>
    <w:rPr>
      <w:i/>
      <w:iCs/>
      <w:lang w:val="en-GB"/>
    </w:rPr>
  </w:style>
  <w:style w:type="paragraph" w:styleId="Index1">
    <w:name w:val="index 1"/>
    <w:basedOn w:val="Normal"/>
    <w:next w:val="Normal"/>
    <w:autoRedefine/>
    <w:uiPriority w:val="99"/>
    <w:semiHidden/>
    <w:unhideWhenUsed/>
    <w:rsid w:val="004A0C3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A0C3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A0C3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A0C3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A0C3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A0C3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A0C3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A0C3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A0C3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A0C3B"/>
    <w:rPr>
      <w:rFonts w:asciiTheme="majorHAnsi" w:eastAsiaTheme="majorEastAsia" w:hAnsiTheme="majorHAnsi" w:cstheme="majorBidi"/>
      <w:b/>
      <w:bCs/>
    </w:rPr>
  </w:style>
  <w:style w:type="character" w:styleId="IntenseEmphasis">
    <w:name w:val="Intense Emphasis"/>
    <w:basedOn w:val="DefaultParagraphFont"/>
    <w:uiPriority w:val="21"/>
    <w:qFormat/>
    <w:rsid w:val="004A0C3B"/>
    <w:rPr>
      <w:i/>
      <w:iCs/>
      <w:color w:val="4F81BD" w:themeColor="accent1"/>
      <w:lang w:val="en-GB"/>
    </w:rPr>
  </w:style>
  <w:style w:type="paragraph" w:styleId="IntenseQuote">
    <w:name w:val="Intense Quote"/>
    <w:basedOn w:val="Normal"/>
    <w:next w:val="Normal"/>
    <w:link w:val="IntenseQuoteChar"/>
    <w:uiPriority w:val="30"/>
    <w:qFormat/>
    <w:rsid w:val="004A0C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A0C3B"/>
    <w:rPr>
      <w:rFonts w:eastAsia="SimSun"/>
      <w:i/>
      <w:iCs/>
      <w:color w:val="4F81BD" w:themeColor="accent1"/>
      <w:sz w:val="22"/>
      <w:szCs w:val="22"/>
      <w:bdr w:val="none" w:sz="0" w:space="0" w:color="auto"/>
      <w:lang w:val="en-GB"/>
    </w:rPr>
  </w:style>
  <w:style w:type="character" w:styleId="IntenseReference">
    <w:name w:val="Intense Reference"/>
    <w:basedOn w:val="DefaultParagraphFont"/>
    <w:uiPriority w:val="32"/>
    <w:qFormat/>
    <w:rsid w:val="004A0C3B"/>
    <w:rPr>
      <w:b/>
      <w:bCs/>
      <w:smallCaps/>
      <w:color w:val="4F81BD" w:themeColor="accent1"/>
      <w:spacing w:val="5"/>
      <w:lang w:val="en-GB"/>
    </w:rPr>
  </w:style>
  <w:style w:type="table" w:styleId="LightGrid">
    <w:name w:val="Light Grid"/>
    <w:basedOn w:val="TableNormal"/>
    <w:uiPriority w:val="62"/>
    <w:semiHidden/>
    <w:unhideWhenUsed/>
    <w:rsid w:val="004A0C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A0C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A0C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A0C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A0C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A0C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A0C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A0C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A0C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A0C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A0C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A0C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A0C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A0C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A0C3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A0C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A0C3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A0C3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A0C3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A0C3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A0C3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4A0C3B"/>
    <w:rPr>
      <w:lang w:val="en-GB"/>
    </w:rPr>
  </w:style>
  <w:style w:type="paragraph" w:styleId="List2">
    <w:name w:val="List 2"/>
    <w:basedOn w:val="Normal"/>
    <w:uiPriority w:val="99"/>
    <w:semiHidden/>
    <w:unhideWhenUsed/>
    <w:rsid w:val="004A0C3B"/>
    <w:pPr>
      <w:ind w:left="720" w:hanging="360"/>
      <w:contextualSpacing/>
    </w:pPr>
  </w:style>
  <w:style w:type="paragraph" w:styleId="List3">
    <w:name w:val="List 3"/>
    <w:basedOn w:val="Normal"/>
    <w:uiPriority w:val="99"/>
    <w:semiHidden/>
    <w:unhideWhenUsed/>
    <w:rsid w:val="004A0C3B"/>
    <w:pPr>
      <w:ind w:left="1080" w:hanging="360"/>
      <w:contextualSpacing/>
    </w:pPr>
  </w:style>
  <w:style w:type="paragraph" w:styleId="List4">
    <w:name w:val="List 4"/>
    <w:basedOn w:val="Normal"/>
    <w:uiPriority w:val="99"/>
    <w:semiHidden/>
    <w:unhideWhenUsed/>
    <w:rsid w:val="004A0C3B"/>
    <w:pPr>
      <w:ind w:left="1440" w:hanging="360"/>
      <w:contextualSpacing/>
    </w:pPr>
  </w:style>
  <w:style w:type="paragraph" w:styleId="List5">
    <w:name w:val="List 5"/>
    <w:basedOn w:val="Normal"/>
    <w:uiPriority w:val="99"/>
    <w:semiHidden/>
    <w:unhideWhenUsed/>
    <w:rsid w:val="004A0C3B"/>
    <w:pPr>
      <w:ind w:left="1800" w:hanging="360"/>
      <w:contextualSpacing/>
    </w:pPr>
  </w:style>
  <w:style w:type="paragraph" w:styleId="ListBullet">
    <w:name w:val="List Bullet"/>
    <w:basedOn w:val="Normal"/>
    <w:uiPriority w:val="99"/>
    <w:semiHidden/>
    <w:unhideWhenUsed/>
    <w:rsid w:val="004A0C3B"/>
    <w:pPr>
      <w:tabs>
        <w:tab w:val="num" w:pos="360"/>
      </w:tabs>
      <w:ind w:left="360" w:hanging="360"/>
      <w:contextualSpacing/>
    </w:pPr>
  </w:style>
  <w:style w:type="paragraph" w:styleId="ListBullet2">
    <w:name w:val="List Bullet 2"/>
    <w:basedOn w:val="Normal"/>
    <w:uiPriority w:val="99"/>
    <w:semiHidden/>
    <w:unhideWhenUsed/>
    <w:rsid w:val="004A0C3B"/>
    <w:pPr>
      <w:tabs>
        <w:tab w:val="num" w:pos="643"/>
      </w:tabs>
      <w:ind w:left="643" w:hanging="360"/>
      <w:contextualSpacing/>
    </w:pPr>
  </w:style>
  <w:style w:type="paragraph" w:styleId="ListBullet3">
    <w:name w:val="List Bullet 3"/>
    <w:basedOn w:val="Normal"/>
    <w:uiPriority w:val="99"/>
    <w:semiHidden/>
    <w:unhideWhenUsed/>
    <w:rsid w:val="004A0C3B"/>
    <w:pPr>
      <w:tabs>
        <w:tab w:val="num" w:pos="926"/>
      </w:tabs>
      <w:ind w:left="926" w:hanging="360"/>
      <w:contextualSpacing/>
    </w:pPr>
  </w:style>
  <w:style w:type="paragraph" w:styleId="ListBullet4">
    <w:name w:val="List Bullet 4"/>
    <w:basedOn w:val="Normal"/>
    <w:uiPriority w:val="99"/>
    <w:semiHidden/>
    <w:unhideWhenUsed/>
    <w:rsid w:val="004A0C3B"/>
    <w:pPr>
      <w:tabs>
        <w:tab w:val="num" w:pos="1209"/>
      </w:tabs>
      <w:ind w:left="1209" w:hanging="360"/>
      <w:contextualSpacing/>
    </w:pPr>
  </w:style>
  <w:style w:type="paragraph" w:styleId="ListBullet5">
    <w:name w:val="List Bullet 5"/>
    <w:basedOn w:val="Normal"/>
    <w:uiPriority w:val="99"/>
    <w:semiHidden/>
    <w:unhideWhenUsed/>
    <w:rsid w:val="004A0C3B"/>
    <w:pPr>
      <w:tabs>
        <w:tab w:val="num" w:pos="1492"/>
      </w:tabs>
      <w:ind w:left="1492" w:hanging="360"/>
      <w:contextualSpacing/>
    </w:pPr>
  </w:style>
  <w:style w:type="paragraph" w:styleId="ListContinue">
    <w:name w:val="List Continue"/>
    <w:basedOn w:val="Normal"/>
    <w:uiPriority w:val="99"/>
    <w:semiHidden/>
    <w:unhideWhenUsed/>
    <w:rsid w:val="004A0C3B"/>
    <w:pPr>
      <w:spacing w:after="120"/>
      <w:ind w:left="360"/>
      <w:contextualSpacing/>
    </w:pPr>
  </w:style>
  <w:style w:type="paragraph" w:styleId="ListContinue2">
    <w:name w:val="List Continue 2"/>
    <w:basedOn w:val="Normal"/>
    <w:uiPriority w:val="99"/>
    <w:semiHidden/>
    <w:unhideWhenUsed/>
    <w:rsid w:val="004A0C3B"/>
    <w:pPr>
      <w:spacing w:after="120"/>
      <w:ind w:left="720"/>
      <w:contextualSpacing/>
    </w:pPr>
  </w:style>
  <w:style w:type="paragraph" w:styleId="ListContinue3">
    <w:name w:val="List Continue 3"/>
    <w:basedOn w:val="Normal"/>
    <w:uiPriority w:val="99"/>
    <w:semiHidden/>
    <w:unhideWhenUsed/>
    <w:rsid w:val="004A0C3B"/>
    <w:pPr>
      <w:spacing w:after="120"/>
      <w:ind w:left="1080"/>
      <w:contextualSpacing/>
    </w:pPr>
  </w:style>
  <w:style w:type="paragraph" w:styleId="ListContinue4">
    <w:name w:val="List Continue 4"/>
    <w:basedOn w:val="Normal"/>
    <w:uiPriority w:val="99"/>
    <w:semiHidden/>
    <w:unhideWhenUsed/>
    <w:rsid w:val="004A0C3B"/>
    <w:pPr>
      <w:spacing w:after="120"/>
      <w:ind w:left="1440"/>
      <w:contextualSpacing/>
    </w:pPr>
  </w:style>
  <w:style w:type="paragraph" w:styleId="ListContinue5">
    <w:name w:val="List Continue 5"/>
    <w:basedOn w:val="Normal"/>
    <w:uiPriority w:val="99"/>
    <w:semiHidden/>
    <w:unhideWhenUsed/>
    <w:rsid w:val="004A0C3B"/>
    <w:pPr>
      <w:spacing w:after="120"/>
      <w:ind w:left="1800"/>
      <w:contextualSpacing/>
    </w:pPr>
  </w:style>
  <w:style w:type="paragraph" w:styleId="ListNumber">
    <w:name w:val="List Number"/>
    <w:basedOn w:val="Normal"/>
    <w:uiPriority w:val="99"/>
    <w:semiHidden/>
    <w:unhideWhenUsed/>
    <w:rsid w:val="004A0C3B"/>
    <w:pPr>
      <w:tabs>
        <w:tab w:val="num" w:pos="360"/>
      </w:tabs>
      <w:ind w:left="360" w:hanging="360"/>
      <w:contextualSpacing/>
    </w:pPr>
  </w:style>
  <w:style w:type="paragraph" w:styleId="ListNumber2">
    <w:name w:val="List Number 2"/>
    <w:basedOn w:val="Normal"/>
    <w:uiPriority w:val="99"/>
    <w:semiHidden/>
    <w:unhideWhenUsed/>
    <w:rsid w:val="004A0C3B"/>
    <w:pPr>
      <w:tabs>
        <w:tab w:val="num" w:pos="643"/>
      </w:tabs>
      <w:ind w:left="643" w:hanging="360"/>
      <w:contextualSpacing/>
    </w:pPr>
  </w:style>
  <w:style w:type="paragraph" w:styleId="ListNumber3">
    <w:name w:val="List Number 3"/>
    <w:basedOn w:val="Normal"/>
    <w:uiPriority w:val="99"/>
    <w:semiHidden/>
    <w:unhideWhenUsed/>
    <w:rsid w:val="004A0C3B"/>
    <w:pPr>
      <w:tabs>
        <w:tab w:val="num" w:pos="926"/>
      </w:tabs>
      <w:ind w:left="926" w:hanging="360"/>
      <w:contextualSpacing/>
    </w:pPr>
  </w:style>
  <w:style w:type="paragraph" w:styleId="ListNumber4">
    <w:name w:val="List Number 4"/>
    <w:basedOn w:val="Normal"/>
    <w:uiPriority w:val="99"/>
    <w:semiHidden/>
    <w:unhideWhenUsed/>
    <w:rsid w:val="004A0C3B"/>
    <w:pPr>
      <w:tabs>
        <w:tab w:val="num" w:pos="1209"/>
      </w:tabs>
      <w:ind w:left="1209" w:hanging="360"/>
      <w:contextualSpacing/>
    </w:pPr>
  </w:style>
  <w:style w:type="paragraph" w:styleId="ListNumber5">
    <w:name w:val="List Number 5"/>
    <w:basedOn w:val="Normal"/>
    <w:uiPriority w:val="99"/>
    <w:semiHidden/>
    <w:unhideWhenUsed/>
    <w:rsid w:val="004A0C3B"/>
    <w:pPr>
      <w:tabs>
        <w:tab w:val="num" w:pos="1800"/>
      </w:tabs>
      <w:ind w:left="1800" w:hanging="360"/>
      <w:contextualSpacing/>
    </w:pPr>
  </w:style>
  <w:style w:type="table" w:styleId="ListTable1Light">
    <w:name w:val="List Table 1 Light"/>
    <w:basedOn w:val="TableNormal"/>
    <w:uiPriority w:val="46"/>
    <w:rsid w:val="004A0C3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A0C3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A0C3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A0C3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A0C3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A0C3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A0C3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A0C3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A0C3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A0C3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A0C3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A0C3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A0C3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A0C3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A0C3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A0C3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A0C3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A0C3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A0C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A0C3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A0C3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A0C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A0C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A0C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A0C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A0C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A0C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A0C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A0C3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A0C3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A0C3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A0C3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A0C3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A0C3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A0C3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A0C3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A0C3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A0C3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A0C3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A0C3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A0C3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A0C3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A0C3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A0C3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A0C3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A0C3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A0C3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A0C3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A0C3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rPr>
  </w:style>
  <w:style w:type="character" w:customStyle="1" w:styleId="MacroTextChar">
    <w:name w:val="Macro Text Char"/>
    <w:basedOn w:val="DefaultParagraphFont"/>
    <w:link w:val="MacroText"/>
    <w:uiPriority w:val="99"/>
    <w:semiHidden/>
    <w:rsid w:val="004A0C3B"/>
    <w:rPr>
      <w:rFonts w:ascii="Consolas" w:eastAsia="SimSun" w:hAnsi="Consolas"/>
      <w:bdr w:val="none" w:sz="0" w:space="0" w:color="auto"/>
      <w:lang w:val="en-GB"/>
    </w:rPr>
  </w:style>
  <w:style w:type="table" w:styleId="MediumGrid1">
    <w:name w:val="Medium Grid 1"/>
    <w:basedOn w:val="TableNormal"/>
    <w:uiPriority w:val="67"/>
    <w:semiHidden/>
    <w:unhideWhenUsed/>
    <w:rsid w:val="004A0C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A0C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A0C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A0C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A0C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A0C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A0C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A0C3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A0C3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A7A7A7"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A0C3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A7A7A7"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A0C3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A7A7A7"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A0C3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A7A7A7"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A0C3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A7A7A7"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A0C3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A7A7A7"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A0C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A0C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A0C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A0C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A0C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A0C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A0C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1">
    <w:name w:val="@他1"/>
    <w:basedOn w:val="DefaultParagraphFont"/>
    <w:uiPriority w:val="99"/>
    <w:unhideWhenUsed/>
    <w:rsid w:val="004A0C3B"/>
    <w:rPr>
      <w:color w:val="2B579A"/>
      <w:shd w:val="clear" w:color="auto" w:fill="E1DFDD"/>
      <w:lang w:val="en-GB"/>
    </w:rPr>
  </w:style>
  <w:style w:type="paragraph" w:styleId="MessageHeader">
    <w:name w:val="Message Header"/>
    <w:basedOn w:val="Normal"/>
    <w:link w:val="MessageHeaderChar"/>
    <w:uiPriority w:val="99"/>
    <w:semiHidden/>
    <w:unhideWhenUsed/>
    <w:rsid w:val="004A0C3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A0C3B"/>
    <w:rPr>
      <w:rFonts w:asciiTheme="majorHAnsi" w:eastAsiaTheme="majorEastAsia" w:hAnsiTheme="majorHAnsi" w:cstheme="majorBidi"/>
      <w:sz w:val="24"/>
      <w:szCs w:val="24"/>
      <w:bdr w:val="none" w:sz="0" w:space="0" w:color="auto"/>
      <w:shd w:val="pct20" w:color="auto" w:fill="auto"/>
      <w:lang w:val="en-GB"/>
    </w:rPr>
  </w:style>
  <w:style w:type="paragraph" w:styleId="NoSpacing">
    <w:name w:val="No Spacing"/>
    <w:uiPriority w:val="1"/>
    <w:qFormat/>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rPr>
  </w:style>
  <w:style w:type="paragraph" w:styleId="NormalWeb">
    <w:name w:val="Normal (Web)"/>
    <w:basedOn w:val="Normal"/>
    <w:uiPriority w:val="99"/>
    <w:semiHidden/>
    <w:unhideWhenUsed/>
    <w:rsid w:val="004A0C3B"/>
    <w:rPr>
      <w:sz w:val="24"/>
      <w:szCs w:val="24"/>
    </w:rPr>
  </w:style>
  <w:style w:type="paragraph" w:styleId="NormalIndent">
    <w:name w:val="Normal Indent"/>
    <w:basedOn w:val="Normal"/>
    <w:uiPriority w:val="99"/>
    <w:semiHidden/>
    <w:unhideWhenUsed/>
    <w:rsid w:val="004A0C3B"/>
    <w:pPr>
      <w:ind w:left="720"/>
    </w:pPr>
  </w:style>
  <w:style w:type="paragraph" w:styleId="NoteHeading">
    <w:name w:val="Note Heading"/>
    <w:basedOn w:val="Normal"/>
    <w:next w:val="Normal"/>
    <w:link w:val="NoteHeadingChar"/>
    <w:uiPriority w:val="99"/>
    <w:semiHidden/>
    <w:unhideWhenUsed/>
    <w:rsid w:val="004A0C3B"/>
  </w:style>
  <w:style w:type="character" w:customStyle="1" w:styleId="NoteHeadingChar">
    <w:name w:val="Note Heading Char"/>
    <w:basedOn w:val="DefaultParagraphFont"/>
    <w:link w:val="NoteHeading"/>
    <w:uiPriority w:val="99"/>
    <w:semiHidden/>
    <w:rsid w:val="004A0C3B"/>
    <w:rPr>
      <w:rFonts w:eastAsia="SimSun"/>
      <w:sz w:val="22"/>
      <w:szCs w:val="22"/>
      <w:bdr w:val="none" w:sz="0" w:space="0" w:color="auto"/>
      <w:lang w:val="en-GB"/>
    </w:rPr>
  </w:style>
  <w:style w:type="character" w:styleId="PageNumber">
    <w:name w:val="page number"/>
    <w:basedOn w:val="DefaultParagraphFont"/>
    <w:uiPriority w:val="99"/>
    <w:semiHidden/>
    <w:unhideWhenUsed/>
    <w:rsid w:val="004A0C3B"/>
    <w:rPr>
      <w:lang w:val="en-GB"/>
    </w:rPr>
  </w:style>
  <w:style w:type="character" w:styleId="PlaceholderText">
    <w:name w:val="Placeholder Text"/>
    <w:basedOn w:val="DefaultParagraphFont"/>
    <w:uiPriority w:val="99"/>
    <w:semiHidden/>
    <w:rsid w:val="004A0C3B"/>
    <w:rPr>
      <w:color w:val="666666"/>
      <w:lang w:val="en-GB"/>
    </w:rPr>
  </w:style>
  <w:style w:type="table" w:styleId="PlainTable1">
    <w:name w:val="Plain Table 1"/>
    <w:basedOn w:val="TableNormal"/>
    <w:uiPriority w:val="41"/>
    <w:rsid w:val="004A0C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A0C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A0C3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A0C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A0C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A0C3B"/>
    <w:rPr>
      <w:rFonts w:ascii="Consolas" w:hAnsi="Consolas"/>
      <w:sz w:val="21"/>
      <w:szCs w:val="21"/>
    </w:rPr>
  </w:style>
  <w:style w:type="character" w:customStyle="1" w:styleId="PlainTextChar">
    <w:name w:val="Plain Text Char"/>
    <w:basedOn w:val="DefaultParagraphFont"/>
    <w:link w:val="PlainText"/>
    <w:uiPriority w:val="99"/>
    <w:semiHidden/>
    <w:rsid w:val="004A0C3B"/>
    <w:rPr>
      <w:rFonts w:ascii="Consolas" w:eastAsia="SimSun" w:hAnsi="Consolas"/>
      <w:sz w:val="21"/>
      <w:szCs w:val="21"/>
      <w:bdr w:val="none" w:sz="0" w:space="0" w:color="auto"/>
      <w:lang w:val="en-GB"/>
    </w:rPr>
  </w:style>
  <w:style w:type="paragraph" w:styleId="Quote">
    <w:name w:val="Quote"/>
    <w:basedOn w:val="Normal"/>
    <w:next w:val="Normal"/>
    <w:link w:val="QuoteChar"/>
    <w:uiPriority w:val="29"/>
    <w:qFormat/>
    <w:rsid w:val="004A0C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A0C3B"/>
    <w:rPr>
      <w:rFonts w:eastAsia="SimSun"/>
      <w:i/>
      <w:iCs/>
      <w:color w:val="404040" w:themeColor="text1" w:themeTint="BF"/>
      <w:sz w:val="22"/>
      <w:szCs w:val="22"/>
      <w:bdr w:val="none" w:sz="0" w:space="0" w:color="auto"/>
      <w:lang w:val="en-GB"/>
    </w:rPr>
  </w:style>
  <w:style w:type="paragraph" w:styleId="Salutation">
    <w:name w:val="Salutation"/>
    <w:basedOn w:val="Normal"/>
    <w:next w:val="Normal"/>
    <w:link w:val="SalutationChar"/>
    <w:uiPriority w:val="99"/>
    <w:semiHidden/>
    <w:unhideWhenUsed/>
    <w:rsid w:val="004A0C3B"/>
  </w:style>
  <w:style w:type="character" w:customStyle="1" w:styleId="SalutationChar">
    <w:name w:val="Salutation Char"/>
    <w:basedOn w:val="DefaultParagraphFont"/>
    <w:link w:val="Salutation"/>
    <w:uiPriority w:val="99"/>
    <w:semiHidden/>
    <w:rsid w:val="004A0C3B"/>
    <w:rPr>
      <w:rFonts w:eastAsia="SimSun"/>
      <w:sz w:val="22"/>
      <w:szCs w:val="22"/>
      <w:bdr w:val="none" w:sz="0" w:space="0" w:color="auto"/>
      <w:lang w:val="en-GB"/>
    </w:rPr>
  </w:style>
  <w:style w:type="paragraph" w:styleId="Signature">
    <w:name w:val="Signature"/>
    <w:basedOn w:val="Normal"/>
    <w:link w:val="SignatureChar"/>
    <w:uiPriority w:val="99"/>
    <w:semiHidden/>
    <w:unhideWhenUsed/>
    <w:rsid w:val="004A0C3B"/>
    <w:pPr>
      <w:ind w:left="4320"/>
    </w:pPr>
  </w:style>
  <w:style w:type="character" w:customStyle="1" w:styleId="SignatureChar">
    <w:name w:val="Signature Char"/>
    <w:basedOn w:val="DefaultParagraphFont"/>
    <w:link w:val="Signature"/>
    <w:uiPriority w:val="99"/>
    <w:semiHidden/>
    <w:rsid w:val="004A0C3B"/>
    <w:rPr>
      <w:rFonts w:eastAsia="SimSun"/>
      <w:sz w:val="22"/>
      <w:szCs w:val="22"/>
      <w:bdr w:val="none" w:sz="0" w:space="0" w:color="auto"/>
      <w:lang w:val="en-GB"/>
    </w:rPr>
  </w:style>
  <w:style w:type="character" w:customStyle="1" w:styleId="12">
    <w:name w:val="智能超链接1"/>
    <w:basedOn w:val="DefaultParagraphFont"/>
    <w:uiPriority w:val="99"/>
    <w:semiHidden/>
    <w:unhideWhenUsed/>
    <w:rsid w:val="004A0C3B"/>
    <w:rPr>
      <w:u w:val="dotted"/>
      <w:lang w:val="en-GB"/>
    </w:rPr>
  </w:style>
  <w:style w:type="character" w:customStyle="1" w:styleId="13">
    <w:name w:val="智能链接1"/>
    <w:basedOn w:val="DefaultParagraphFont"/>
    <w:uiPriority w:val="99"/>
    <w:semiHidden/>
    <w:unhideWhenUsed/>
    <w:rsid w:val="004A0C3B"/>
    <w:rPr>
      <w:color w:val="0000FF"/>
      <w:u w:val="single"/>
      <w:shd w:val="clear" w:color="auto" w:fill="F3F2F1"/>
      <w:lang w:val="en-GB"/>
    </w:rPr>
  </w:style>
  <w:style w:type="character" w:styleId="Strong">
    <w:name w:val="Strong"/>
    <w:basedOn w:val="DefaultParagraphFont"/>
    <w:uiPriority w:val="22"/>
    <w:qFormat/>
    <w:rsid w:val="004A0C3B"/>
    <w:rPr>
      <w:b/>
      <w:bCs/>
      <w:lang w:val="en-GB"/>
    </w:rPr>
  </w:style>
  <w:style w:type="paragraph" w:styleId="Subtitle">
    <w:name w:val="Subtitle"/>
    <w:basedOn w:val="Normal"/>
    <w:next w:val="Normal"/>
    <w:link w:val="SubtitleChar"/>
    <w:uiPriority w:val="11"/>
    <w:qFormat/>
    <w:rsid w:val="004A0C3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A0C3B"/>
    <w:rPr>
      <w:rFonts w:asciiTheme="minorHAnsi" w:eastAsiaTheme="minorEastAsia" w:hAnsiTheme="minorHAnsi" w:cstheme="minorBidi"/>
      <w:color w:val="5A5A5A" w:themeColor="text1" w:themeTint="A5"/>
      <w:spacing w:val="15"/>
      <w:sz w:val="22"/>
      <w:szCs w:val="22"/>
      <w:bdr w:val="none" w:sz="0" w:space="0" w:color="auto"/>
      <w:lang w:val="en-GB"/>
    </w:rPr>
  </w:style>
  <w:style w:type="character" w:styleId="SubtleEmphasis">
    <w:name w:val="Subtle Emphasis"/>
    <w:basedOn w:val="DefaultParagraphFont"/>
    <w:uiPriority w:val="19"/>
    <w:qFormat/>
    <w:rsid w:val="004A0C3B"/>
    <w:rPr>
      <w:i/>
      <w:iCs/>
      <w:color w:val="404040" w:themeColor="text1" w:themeTint="BF"/>
      <w:lang w:val="en-GB"/>
    </w:rPr>
  </w:style>
  <w:style w:type="character" w:styleId="SubtleReference">
    <w:name w:val="Subtle Reference"/>
    <w:basedOn w:val="DefaultParagraphFont"/>
    <w:uiPriority w:val="31"/>
    <w:qFormat/>
    <w:rsid w:val="004A0C3B"/>
    <w:rPr>
      <w:smallCaps/>
      <w:color w:val="5A5A5A" w:themeColor="text1" w:themeTint="A5"/>
      <w:lang w:val="en-GB"/>
    </w:rPr>
  </w:style>
  <w:style w:type="table" w:styleId="Table3Deffects1">
    <w:name w:val="Table 3D effects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A0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A0C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A0C3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A0C3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A0C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C3B"/>
    <w:rPr>
      <w:rFonts w:asciiTheme="majorHAnsi" w:eastAsiaTheme="majorEastAsia" w:hAnsiTheme="majorHAnsi" w:cstheme="majorBidi"/>
      <w:spacing w:val="-10"/>
      <w:kern w:val="28"/>
      <w:sz w:val="56"/>
      <w:szCs w:val="56"/>
      <w:bdr w:val="none" w:sz="0" w:space="0" w:color="auto"/>
      <w:lang w:val="en-GB"/>
    </w:rPr>
  </w:style>
  <w:style w:type="paragraph" w:styleId="TOAHeading">
    <w:name w:val="toa heading"/>
    <w:basedOn w:val="Normal"/>
    <w:next w:val="Normal"/>
    <w:uiPriority w:val="99"/>
    <w:semiHidden/>
    <w:unhideWhenUsed/>
    <w:rsid w:val="004A0C3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A0C3B"/>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table" w:customStyle="1" w:styleId="TableGrid10">
    <w:name w:val="Table Grid1"/>
    <w:basedOn w:val="TableNormal"/>
    <w:next w:val="TableGrid"/>
    <w:uiPriority w:val="59"/>
    <w:rsid w:val="00993840"/>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DengXian" w:hAnsi="Calibri" w:cs="Arial"/>
      <w:bdr w:val="none" w:sz="0" w:space="0" w:color="auto"/>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074DB2"/>
    <w:pPr>
      <w:tabs>
        <w:tab w:val="clear" w:pos="567"/>
        <w:tab w:val="clear" w:pos="1134"/>
        <w:tab w:val="clear" w:pos="1701"/>
        <w:tab w:val="clear" w:pos="2268"/>
      </w:tabs>
      <w:spacing w:before="100" w:beforeAutospacing="1" w:after="100" w:afterAutospacing="1"/>
      <w:jc w:val="left"/>
    </w:pPr>
    <w:rPr>
      <w:rFonts w:ascii="SimSun" w:hAnsi="SimSun" w:cs="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57003">
      <w:bodyDiv w:val="1"/>
      <w:marLeft w:val="0"/>
      <w:marRight w:val="0"/>
      <w:marTop w:val="0"/>
      <w:marBottom w:val="0"/>
      <w:divBdr>
        <w:top w:val="none" w:sz="0" w:space="0" w:color="auto"/>
        <w:left w:val="none" w:sz="0" w:space="0" w:color="auto"/>
        <w:bottom w:val="none" w:sz="0" w:space="0" w:color="auto"/>
        <w:right w:val="none" w:sz="0" w:space="0" w:color="auto"/>
      </w:divBdr>
    </w:div>
    <w:div w:id="996375081">
      <w:bodyDiv w:val="1"/>
      <w:marLeft w:val="0"/>
      <w:marRight w:val="0"/>
      <w:marTop w:val="0"/>
      <w:marBottom w:val="0"/>
      <w:divBdr>
        <w:top w:val="none" w:sz="0" w:space="0" w:color="auto"/>
        <w:left w:val="none" w:sz="0" w:space="0" w:color="auto"/>
        <w:bottom w:val="none" w:sz="0" w:space="0" w:color="auto"/>
        <w:right w:val="none" w:sz="0" w:space="0" w:color="auto"/>
      </w:divBdr>
    </w:div>
    <w:div w:id="1449010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6/cop-16-dec-02-zh.pdf" TargetMode="External"/><Relationship Id="rId39" Type="http://schemas.openxmlformats.org/officeDocument/2006/relationships/hyperlink" Target="https://www.cbd.int/doc/decisions/cop-16/cop-16-dec-02-zh.pdf"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meetings/COP-17"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6/cop-16-dec-02-zh.pdf" TargetMode="External"/><Relationship Id="rId29" Type="http://schemas.openxmlformats.org/officeDocument/2006/relationships/hyperlink" Target="https://www.cbd.int/notifications/2025-04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6/cop-16-dec-02-zh.pdf" TargetMode="External"/><Relationship Id="rId32" Type="http://schemas.openxmlformats.org/officeDocument/2006/relationships/hyperlink" Target="https://www.cbd.int/documents/CBD/COP/17/6/ADD3" TargetMode="External"/><Relationship Id="rId37" Type="http://schemas.openxmlformats.org/officeDocument/2006/relationships/hyperlink" Target="https://www.cbd.int/doc/decisions/cop-16/cop-16-dec-02-zh.pdf"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recommendations/sbi-07/sbi-07-rec-04-zh.pdf" TargetMode="External"/><Relationship Id="rId23" Type="http://schemas.openxmlformats.org/officeDocument/2006/relationships/hyperlink" Target="https://www.cbd.int/notifications/2026-050" TargetMode="External"/><Relationship Id="rId28" Type="http://schemas.openxmlformats.org/officeDocument/2006/relationships/hyperlink" Target="https://www.cbd.int/notifications/2024-113" TargetMode="External"/><Relationship Id="rId36" Type="http://schemas.openxmlformats.org/officeDocument/2006/relationships/hyperlink" Target="file:///C:\Users\zhanghaiying\AppData\Local\Temp\cop-15-dec-09-zh.docx" TargetMode="External"/><Relationship Id="rId10" Type="http://schemas.openxmlformats.org/officeDocument/2006/relationships/endnotes" Target="endnotes.xml"/><Relationship Id="rId19" Type="http://schemas.openxmlformats.org/officeDocument/2006/relationships/hyperlink" Target="https://www.cbd.int/doc/decisions/cop-16/cop-16-dec-02-zh.pdf" TargetMode="External"/><Relationship Id="rId31" Type="http://schemas.openxmlformats.org/officeDocument/2006/relationships/hyperlink" Target="https://www.cbd.int/documents/CBD/COP/17/6/ADD1"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2-zh.pdf" TargetMode="External"/><Relationship Id="rId22" Type="http://schemas.openxmlformats.org/officeDocument/2006/relationships/hyperlink" Target="https://www.cbd.int/notifications/2024-116" TargetMode="External"/><Relationship Id="rId27" Type="http://schemas.openxmlformats.org/officeDocument/2006/relationships/hyperlink" Target="https://www.cbd.int/documents/CBD/COP/17/6/ADD2" TargetMode="External"/><Relationship Id="rId30" Type="http://schemas.openxmlformats.org/officeDocument/2006/relationships/hyperlink" Target="https://www.cbd.int/notifications/2025-091" TargetMode="External"/><Relationship Id="rId35" Type="http://schemas.openxmlformats.org/officeDocument/2006/relationships/hyperlink" Target="https://www.cbd.int/doc/decisions/cop-16/cop-16-dec-02-zh.pdf"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6/cop-16-dec-02-zh.pdf" TargetMode="External"/><Relationship Id="rId25" Type="http://schemas.openxmlformats.org/officeDocument/2006/relationships/hyperlink" Target="https://www.cbd.int/documents/CBD/COP/17/6/ADD3" TargetMode="External"/><Relationship Id="rId33" Type="http://schemas.openxmlformats.org/officeDocument/2006/relationships/hyperlink" Target="https://www.cbd.int/recommendations/sbi?m=sbi-07" TargetMode="External"/><Relationship Id="rId38" Type="http://schemas.openxmlformats.org/officeDocument/2006/relationships/hyperlink" Target="https://www.cbd.int/doc/decisions/cop-16/cop-16-dec-02-zh.pdf" TargetMode="External"/><Relationship Id="rId20" Type="http://schemas.openxmlformats.org/officeDocument/2006/relationships/hyperlink" Target="https://www.cbd.int/notifications/2026-050"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6/ADD2" TargetMode="External"/><Relationship Id="rId3" Type="http://schemas.openxmlformats.org/officeDocument/2006/relationships/hyperlink" Target="https://www.cbd.int/doc/c/762e/bd84/27e6fee195c5a2c410c5220d/sbi-07-05-zh.pdf" TargetMode="External"/><Relationship Id="rId7" Type="http://schemas.openxmlformats.org/officeDocument/2006/relationships/hyperlink" Target="https://www.cbd.int/documents/CBD/COP/17/6/ADD2"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c/8ee9/0f34/86724a41d22053e020a3f244/cop-17-01-rev1-zh.pdf" TargetMode="External"/><Relationship Id="rId6" Type="http://schemas.openxmlformats.org/officeDocument/2006/relationships/hyperlink" Target="https://www.cbd.int/recommendations/sbi/?m=sbi-07" TargetMode="External"/><Relationship Id="rId5" Type="http://schemas.openxmlformats.org/officeDocument/2006/relationships/hyperlink" Target="https://www.cbd.int/conferences/dsi-sc" TargetMode="External"/><Relationship Id="rId10" Type="http://schemas.openxmlformats.org/officeDocument/2006/relationships/hyperlink" Target="https://www.cbd.int/documents/CBD/COP/17/6/ADD1" TargetMode="External"/><Relationship Id="rId4" Type="http://schemas.openxmlformats.org/officeDocument/2006/relationships/hyperlink" Target="https://www.cbd.int/documents/CBD/SBI/7/5" TargetMode="External"/><Relationship Id="rId9" Type="http://schemas.openxmlformats.org/officeDocument/2006/relationships/hyperlink" Target="file:///C:\Users\zhanghaiying\AppData\Local\Temp\cop-15-dec-04-zh.doc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黑体"/>
        <a:cs typeface="Helvetica Neue"/>
      </a:majorFont>
      <a:minorFont>
        <a:latin typeface="Helvetica Neue"/>
        <a:ea typeface="宋体"/>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05323-86CD-4236-A613-41116BE612C6}">
  <ds:schemaRefs>
    <ds:schemaRef ds:uri="http://schemas.openxmlformats.org/officeDocument/2006/bibliography"/>
  </ds:schemaRefs>
</ds:datastoreItem>
</file>

<file path=customXml/itemProps2.xml><?xml version="1.0" encoding="utf-8"?>
<ds:datastoreItem xmlns:ds="http://schemas.openxmlformats.org/officeDocument/2006/customXml" ds:itemID="{124BD48F-4154-4881-B6ED-541995D0D369}">
  <ds:schemaRefs>
    <ds:schemaRef ds:uri="http://schemas.microsoft.com/sharepoint/v3/contenttype/forms"/>
  </ds:schemaRefs>
</ds:datastoreItem>
</file>

<file path=customXml/itemProps3.xml><?xml version="1.0" encoding="utf-8"?>
<ds:datastoreItem xmlns:ds="http://schemas.openxmlformats.org/officeDocument/2006/customXml" ds:itemID="{1735F8B3-3650-45DE-AAA7-2AEC6A93BD4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6BB4324-4CB1-47EA-9ECE-1B458F631154}"/>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267</TotalTime>
  <Pages>1</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Links>
    <vt:vector size="216" baseType="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8061038</vt:i4>
      </vt:variant>
      <vt:variant>
        <vt:i4>51</vt:i4>
      </vt:variant>
      <vt:variant>
        <vt:i4>0</vt:i4>
      </vt:variant>
      <vt:variant>
        <vt:i4>5</vt:i4>
      </vt:variant>
      <vt:variant>
        <vt:lpwstr>https://www.cbd.int/decisions/cop?m=cop-15</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1900562</vt:i4>
      </vt:variant>
      <vt:variant>
        <vt:i4>45</vt:i4>
      </vt:variant>
      <vt:variant>
        <vt:i4>0</vt:i4>
      </vt:variant>
      <vt:variant>
        <vt:i4>5</vt:i4>
      </vt:variant>
      <vt:variant>
        <vt:lpwstr>https://www.cbd.int/recommendations/sbi?m=sbi-07</vt:lpwstr>
      </vt:variant>
      <vt:variant>
        <vt:lpwstr/>
      </vt:variant>
      <vt:variant>
        <vt:i4>6750265</vt:i4>
      </vt:variant>
      <vt:variant>
        <vt:i4>42</vt:i4>
      </vt:variant>
      <vt:variant>
        <vt:i4>0</vt:i4>
      </vt:variant>
      <vt:variant>
        <vt:i4>5</vt:i4>
      </vt:variant>
      <vt:variant>
        <vt:lpwstr>https://www.cbd.int/notifications/2025-091</vt:lpwstr>
      </vt:variant>
      <vt:variant>
        <vt:lpwstr/>
      </vt:variant>
      <vt:variant>
        <vt:i4>6619188</vt:i4>
      </vt:variant>
      <vt:variant>
        <vt:i4>39</vt:i4>
      </vt:variant>
      <vt:variant>
        <vt:i4>0</vt:i4>
      </vt:variant>
      <vt:variant>
        <vt:i4>5</vt:i4>
      </vt:variant>
      <vt:variant>
        <vt:lpwstr>https://www.cbd.int/notifications/2025-043</vt:lpwstr>
      </vt:variant>
      <vt:variant>
        <vt:lpwstr/>
      </vt:variant>
      <vt:variant>
        <vt:i4>6619185</vt:i4>
      </vt:variant>
      <vt:variant>
        <vt:i4>36</vt:i4>
      </vt:variant>
      <vt:variant>
        <vt:i4>0</vt:i4>
      </vt:variant>
      <vt:variant>
        <vt:i4>5</vt:i4>
      </vt:variant>
      <vt:variant>
        <vt:lpwstr>https://www.cbd.int/notifications/2024-113</vt:lpwstr>
      </vt:variant>
      <vt:variant>
        <vt:lpwstr/>
      </vt:variant>
      <vt:variant>
        <vt:i4>6815852</vt:i4>
      </vt:variant>
      <vt:variant>
        <vt:i4>33</vt:i4>
      </vt:variant>
      <vt:variant>
        <vt:i4>0</vt:i4>
      </vt:variant>
      <vt:variant>
        <vt:i4>5</vt:i4>
      </vt:variant>
      <vt:variant>
        <vt:lpwstr>https://www.cbd.int/documents/CBD/COP/17/6/ADD2</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6815852</vt:i4>
      </vt:variant>
      <vt:variant>
        <vt:i4>27</vt:i4>
      </vt:variant>
      <vt:variant>
        <vt:i4>0</vt:i4>
      </vt:variant>
      <vt:variant>
        <vt:i4>5</vt:i4>
      </vt:variant>
      <vt:variant>
        <vt:lpwstr>https://www.cbd.int/documents/CBD/COP/17/6/ADD3</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6619189</vt:i4>
      </vt:variant>
      <vt:variant>
        <vt:i4>21</vt:i4>
      </vt:variant>
      <vt:variant>
        <vt:i4>0</vt:i4>
      </vt:variant>
      <vt:variant>
        <vt:i4>5</vt:i4>
      </vt:variant>
      <vt:variant>
        <vt:lpwstr>https://www.cbd.int/notifications/2026-050</vt:lpwstr>
      </vt:variant>
      <vt:variant>
        <vt:lpwstr/>
      </vt:variant>
      <vt:variant>
        <vt:i4>6291505</vt:i4>
      </vt:variant>
      <vt:variant>
        <vt:i4>18</vt:i4>
      </vt:variant>
      <vt:variant>
        <vt:i4>0</vt:i4>
      </vt:variant>
      <vt:variant>
        <vt:i4>5</vt:i4>
      </vt:variant>
      <vt:variant>
        <vt:lpwstr>https://www.cbd.int/notifications/2024-116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2555961</vt:i4>
      </vt:variant>
      <vt:variant>
        <vt:i4>6</vt:i4>
      </vt:variant>
      <vt:variant>
        <vt:i4>0</vt:i4>
      </vt:variant>
      <vt:variant>
        <vt:i4>5</vt:i4>
      </vt:variant>
      <vt:variant>
        <vt:lpwstr>https://www.cbd.int/conferences/dsi-sc</vt:lpwstr>
      </vt:variant>
      <vt:variant>
        <vt:lpwstr/>
      </vt:variant>
      <vt:variant>
        <vt:i4>5111815</vt:i4>
      </vt:variant>
      <vt:variant>
        <vt:i4>3</vt:i4>
      </vt:variant>
      <vt:variant>
        <vt:i4>0</vt:i4>
      </vt:variant>
      <vt:variant>
        <vt:i4>5</vt:i4>
      </vt:variant>
      <vt:variant>
        <vt:lpwstr>https://www.cbd.int/documents/CBD/SBI/7/5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ariant>
        <vt:i4>5570645</vt:i4>
      </vt:variant>
      <vt:variant>
        <vt:i4>30</vt:i4>
      </vt:variant>
      <vt:variant>
        <vt:i4>0</vt:i4>
      </vt:variant>
      <vt:variant>
        <vt:i4>5</vt:i4>
      </vt:variant>
      <vt:variant>
        <vt:lpwstr>https://www.cbd.int/documents/CBD/DSI/AHTEG/2026/2/3</vt:lpwstr>
      </vt:variant>
      <vt:variant>
        <vt:lpwstr/>
      </vt:variant>
      <vt:variant>
        <vt:i4>4653182</vt:i4>
      </vt:variant>
      <vt:variant>
        <vt:i4>27</vt:i4>
      </vt:variant>
      <vt:variant>
        <vt:i4>0</vt:i4>
      </vt:variant>
      <vt:variant>
        <vt:i4>5</vt:i4>
      </vt:variant>
      <vt:variant>
        <vt:lpwstr>mailto:charlotte.germain-aubrey@un.org</vt:lpwstr>
      </vt:variant>
      <vt:variant>
        <vt:lpwstr/>
      </vt:variant>
      <vt:variant>
        <vt:i4>4653182</vt:i4>
      </vt:variant>
      <vt:variant>
        <vt:i4>24</vt:i4>
      </vt:variant>
      <vt:variant>
        <vt:i4>0</vt:i4>
      </vt:variant>
      <vt:variant>
        <vt:i4>5</vt:i4>
      </vt:variant>
      <vt:variant>
        <vt:lpwstr>mailto:charlotte.germain-aubrey@un.org</vt:lpwstr>
      </vt:variant>
      <vt:variant>
        <vt:lpwstr/>
      </vt:variant>
      <vt:variant>
        <vt:i4>4653182</vt:i4>
      </vt:variant>
      <vt:variant>
        <vt:i4>21</vt:i4>
      </vt:variant>
      <vt:variant>
        <vt:i4>0</vt:i4>
      </vt:variant>
      <vt:variant>
        <vt:i4>5</vt:i4>
      </vt:variant>
      <vt:variant>
        <vt:lpwstr>mailto:charlotte.germain-aubrey@un.org</vt:lpwstr>
      </vt:variant>
      <vt:variant>
        <vt:lpwstr/>
      </vt:variant>
      <vt:variant>
        <vt:i4>4653182</vt:i4>
      </vt:variant>
      <vt:variant>
        <vt:i4>18</vt:i4>
      </vt:variant>
      <vt:variant>
        <vt:i4>0</vt:i4>
      </vt:variant>
      <vt:variant>
        <vt:i4>5</vt:i4>
      </vt:variant>
      <vt:variant>
        <vt:lpwstr>mailto:charlotte.germain-aubrey@un.org</vt:lpwstr>
      </vt:variant>
      <vt:variant>
        <vt:lpwstr/>
      </vt:variant>
      <vt:variant>
        <vt:i4>4653182</vt:i4>
      </vt:variant>
      <vt:variant>
        <vt:i4>15</vt:i4>
      </vt:variant>
      <vt:variant>
        <vt:i4>0</vt:i4>
      </vt:variant>
      <vt:variant>
        <vt:i4>5</vt:i4>
      </vt:variant>
      <vt:variant>
        <vt:lpwstr>mailto:charlotte.germain-aubrey@un.org</vt:lpwstr>
      </vt:variant>
      <vt:variant>
        <vt:lpwstr/>
      </vt:variant>
      <vt:variant>
        <vt:i4>4653182</vt:i4>
      </vt:variant>
      <vt:variant>
        <vt:i4>12</vt:i4>
      </vt:variant>
      <vt:variant>
        <vt:i4>0</vt:i4>
      </vt:variant>
      <vt:variant>
        <vt:i4>5</vt:i4>
      </vt:variant>
      <vt:variant>
        <vt:lpwstr>mailto:charlotte.germain-aubrey@un.org</vt:lpwstr>
      </vt:variant>
      <vt:variant>
        <vt:lpwstr/>
      </vt:variant>
      <vt:variant>
        <vt:i4>4653182</vt:i4>
      </vt:variant>
      <vt:variant>
        <vt:i4>9</vt:i4>
      </vt:variant>
      <vt:variant>
        <vt:i4>0</vt:i4>
      </vt:variant>
      <vt:variant>
        <vt:i4>5</vt:i4>
      </vt:variant>
      <vt:variant>
        <vt:lpwstr>mailto:charlotte.germain-aubrey@un.org</vt:lpwstr>
      </vt:variant>
      <vt:variant>
        <vt:lpwstr/>
      </vt:variant>
      <vt:variant>
        <vt:i4>6094853</vt:i4>
      </vt:variant>
      <vt:variant>
        <vt:i4>6</vt:i4>
      </vt:variant>
      <vt:variant>
        <vt:i4>0</vt:i4>
      </vt:variant>
      <vt:variant>
        <vt:i4>5</vt:i4>
      </vt:variant>
      <vt:variant>
        <vt:lpwstr>https://faolex.fao.org/treaty/docs/tre000005E.pdf</vt:lpwstr>
      </vt:variant>
      <vt:variant>
        <vt:lpwstr/>
      </vt:variant>
      <vt:variant>
        <vt:i4>2556011</vt:i4>
      </vt:variant>
      <vt:variant>
        <vt:i4>3</vt:i4>
      </vt:variant>
      <vt:variant>
        <vt:i4>0</vt:i4>
      </vt:variant>
      <vt:variant>
        <vt:i4>5</vt:i4>
      </vt:variant>
      <vt:variant>
        <vt:lpwstr>https://www.fao.org/plant-treaty/areas-of-work/the-multilateral-system/overview/en/</vt:lpwstr>
      </vt:variant>
      <vt:variant>
        <vt:lpwstr/>
      </vt:variant>
      <vt:variant>
        <vt:i4>1048648</vt:i4>
      </vt:variant>
      <vt:variant>
        <vt:i4>0</vt:i4>
      </vt:variant>
      <vt:variant>
        <vt:i4>0</vt:i4>
      </vt:variant>
      <vt:variant>
        <vt:i4>5</vt:i4>
      </vt:variant>
      <vt:variant>
        <vt:lpwstr>https://conferences.unite.un.org/unterm/display/record/UNTERM/NA/BF476637CDC1604E8525766500769018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cp:lastModifiedBy>Chuansheng Li</cp:lastModifiedBy>
  <cp:revision>123</cp:revision>
  <cp:lastPrinted>2026-09-24T13:12:00Z</cp:lastPrinted>
  <dcterms:created xsi:type="dcterms:W3CDTF">2026-09-24T03:44:00Z</dcterms:created>
  <dcterms:modified xsi:type="dcterms:W3CDTF">2026-09-28T01:25:00Z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0x0101007A328EB00E67F346B6174BE96D327B2B</vt:lpwstr>
  </property>
  <property fmtid="{D5CDD505-2E9C-101B-9397-08002B2CF9AE}" pid="6" name="MediaServiceImageTags">
    <vt:lpwstr/>
  </property>
</Properties>
</file>