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F0383" w:rsidRPr="00447583" w14:paraId="75064F95" w14:textId="77777777" w:rsidTr="00CE0912">
        <w:trPr>
          <w:trHeight w:val="709"/>
        </w:trPr>
        <w:tc>
          <w:tcPr>
            <w:tcW w:w="976" w:type="dxa"/>
            <w:tcBorders>
              <w:bottom w:val="single" w:sz="12" w:space="0" w:color="auto"/>
            </w:tcBorders>
          </w:tcPr>
          <w:p w14:paraId="342B7172" w14:textId="4F407074" w:rsidR="007F0383" w:rsidRPr="00447583" w:rsidRDefault="007F0383" w:rsidP="008E0FCD">
            <w:pPr>
              <w:suppressLineNumbers/>
              <w:suppressAutoHyphens/>
              <w:kinsoku w:val="0"/>
              <w:overflowPunct w:val="0"/>
              <w:autoSpaceDE w:val="0"/>
              <w:autoSpaceDN w:val="0"/>
              <w:rPr>
                <w:snapToGrid w:val="0"/>
                <w:kern w:val="22"/>
              </w:rPr>
            </w:pPr>
            <w:bookmarkStart w:id="0" w:name="_Hlk505247837"/>
            <w:r w:rsidRPr="00447583">
              <w:rPr>
                <w:noProof/>
                <w:snapToGrid w:val="0"/>
                <w:kern w:val="22"/>
              </w:rPr>
              <w:drawing>
                <wp:inline distT="0" distB="0" distL="0" distR="0" wp14:anchorId="4A530106" wp14:editId="6D5B27E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1AC0147" w14:textId="5673B454" w:rsidR="007F0383" w:rsidRPr="00447583" w:rsidRDefault="0096600C" w:rsidP="008E0FCD">
            <w:pPr>
              <w:suppressLineNumbers/>
              <w:suppressAutoHyphens/>
              <w:kinsoku w:val="0"/>
              <w:overflowPunct w:val="0"/>
              <w:autoSpaceDE w:val="0"/>
              <w:autoSpaceDN w:val="0"/>
              <w:rPr>
                <w:snapToGrid w:val="0"/>
                <w:kern w:val="22"/>
              </w:rPr>
            </w:pPr>
            <w:r w:rsidRPr="00447583">
              <w:rPr>
                <w:noProof/>
                <w:snapToGrid w:val="0"/>
                <w:kern w:val="22"/>
              </w:rPr>
              <w:drawing>
                <wp:inline distT="0" distB="0" distL="0" distR="0" wp14:anchorId="51DA2BBD" wp14:editId="39CCDEAE">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3EB9B29F" w14:textId="77777777" w:rsidR="007F0383" w:rsidRPr="00447583" w:rsidRDefault="007F0383" w:rsidP="008E0FCD">
            <w:pPr>
              <w:suppressLineNumbers/>
              <w:suppressAutoHyphens/>
              <w:kinsoku w:val="0"/>
              <w:overflowPunct w:val="0"/>
              <w:autoSpaceDE w:val="0"/>
              <w:autoSpaceDN w:val="0"/>
              <w:jc w:val="right"/>
              <w:rPr>
                <w:rFonts w:ascii="Arial" w:hAnsi="Arial" w:cs="Arial"/>
                <w:b/>
                <w:snapToGrid w:val="0"/>
                <w:kern w:val="22"/>
                <w:sz w:val="32"/>
                <w:szCs w:val="32"/>
              </w:rPr>
            </w:pPr>
            <w:r w:rsidRPr="00447583">
              <w:rPr>
                <w:rFonts w:ascii="Arial" w:hAnsi="Arial" w:cs="Arial"/>
                <w:b/>
                <w:snapToGrid w:val="0"/>
                <w:kern w:val="22"/>
                <w:sz w:val="32"/>
                <w:szCs w:val="32"/>
              </w:rPr>
              <w:t>CBD</w:t>
            </w:r>
          </w:p>
        </w:tc>
      </w:tr>
      <w:bookmarkEnd w:id="0"/>
      <w:tr w:rsidR="007F0383" w:rsidRPr="00447583" w14:paraId="49AE34E4" w14:textId="77777777" w:rsidTr="00CE0912">
        <w:tc>
          <w:tcPr>
            <w:tcW w:w="6117" w:type="dxa"/>
            <w:gridSpan w:val="2"/>
            <w:tcBorders>
              <w:top w:val="single" w:sz="12" w:space="0" w:color="auto"/>
              <w:bottom w:val="single" w:sz="36" w:space="0" w:color="auto"/>
            </w:tcBorders>
            <w:vAlign w:val="center"/>
          </w:tcPr>
          <w:p w14:paraId="0E280576" w14:textId="6A9392CE" w:rsidR="007F0383" w:rsidRPr="00447583" w:rsidRDefault="007F0383" w:rsidP="008E0FCD">
            <w:pPr>
              <w:suppressLineNumbers/>
              <w:suppressAutoHyphens/>
              <w:kinsoku w:val="0"/>
              <w:overflowPunct w:val="0"/>
              <w:autoSpaceDE w:val="0"/>
              <w:autoSpaceDN w:val="0"/>
              <w:rPr>
                <w:snapToGrid w:val="0"/>
                <w:kern w:val="22"/>
              </w:rPr>
            </w:pPr>
            <w:r w:rsidRPr="00447583">
              <w:rPr>
                <w:noProof/>
                <w:snapToGrid w:val="0"/>
                <w:kern w:val="22"/>
              </w:rPr>
              <w:drawing>
                <wp:inline distT="0" distB="0" distL="0" distR="0" wp14:anchorId="2CFC01F9" wp14:editId="5AE4692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0663CEF" w14:textId="77777777" w:rsidR="007F0383" w:rsidRPr="00447583" w:rsidRDefault="007F0383" w:rsidP="008E0FCD">
            <w:pPr>
              <w:suppressLineNumbers/>
              <w:suppressAutoHyphens/>
              <w:kinsoku w:val="0"/>
              <w:overflowPunct w:val="0"/>
              <w:autoSpaceDE w:val="0"/>
              <w:autoSpaceDN w:val="0"/>
              <w:ind w:left="1215"/>
              <w:rPr>
                <w:rFonts w:ascii="Times New Roman" w:hAnsi="Times New Roman" w:cs="Times New Roman"/>
                <w:snapToGrid w:val="0"/>
                <w:kern w:val="22"/>
                <w:szCs w:val="22"/>
              </w:rPr>
            </w:pPr>
            <w:r w:rsidRPr="00447583">
              <w:rPr>
                <w:rFonts w:ascii="Times New Roman" w:hAnsi="Times New Roman" w:cs="Times New Roman"/>
                <w:snapToGrid w:val="0"/>
                <w:kern w:val="22"/>
                <w:szCs w:val="22"/>
              </w:rPr>
              <w:t>Distr.</w:t>
            </w:r>
          </w:p>
          <w:p w14:paraId="5D3C7816" w14:textId="77777777" w:rsidR="007F0383" w:rsidRPr="00447583" w:rsidRDefault="007F0383" w:rsidP="008E0FCD">
            <w:pPr>
              <w:suppressLineNumbers/>
              <w:suppressAutoHyphens/>
              <w:kinsoku w:val="0"/>
              <w:overflowPunct w:val="0"/>
              <w:autoSpaceDE w:val="0"/>
              <w:autoSpaceDN w:val="0"/>
              <w:ind w:left="1215"/>
              <w:rPr>
                <w:rFonts w:ascii="Times New Roman" w:hAnsi="Times New Roman" w:cs="Times New Roman"/>
                <w:snapToGrid w:val="0"/>
                <w:kern w:val="22"/>
                <w:szCs w:val="22"/>
              </w:rPr>
            </w:pPr>
            <w:r w:rsidRPr="00447583">
              <w:rPr>
                <w:rFonts w:ascii="Times New Roman" w:hAnsi="Times New Roman" w:cs="Times New Roman"/>
                <w:snapToGrid w:val="0"/>
                <w:kern w:val="22"/>
                <w:szCs w:val="22"/>
              </w:rPr>
              <w:t>GENERAL</w:t>
            </w:r>
          </w:p>
          <w:p w14:paraId="73D7C6F8" w14:textId="77777777" w:rsidR="007F0383" w:rsidRPr="00447583" w:rsidRDefault="007F0383" w:rsidP="008E0FCD">
            <w:pPr>
              <w:suppressLineNumbers/>
              <w:suppressAutoHyphens/>
              <w:kinsoku w:val="0"/>
              <w:overflowPunct w:val="0"/>
              <w:autoSpaceDE w:val="0"/>
              <w:autoSpaceDN w:val="0"/>
              <w:ind w:left="1215"/>
              <w:rPr>
                <w:rFonts w:ascii="Times New Roman" w:hAnsi="Times New Roman" w:cs="Times New Roman"/>
                <w:snapToGrid w:val="0"/>
                <w:kern w:val="22"/>
                <w:szCs w:val="22"/>
              </w:rPr>
            </w:pPr>
          </w:p>
          <w:p w14:paraId="6F87CD85" w14:textId="03098F4A" w:rsidR="00261973" w:rsidRPr="00447583" w:rsidRDefault="00E914DF" w:rsidP="0089310C">
            <w:pPr>
              <w:suppressLineNumbers/>
              <w:suppressAutoHyphens/>
              <w:ind w:left="1215"/>
              <w:rPr>
                <w:rFonts w:ascii="Times New Roman" w:hAnsi="Times New Roman" w:cs="Times New Roman"/>
                <w:snapToGrid w:val="0"/>
                <w:kern w:val="22"/>
                <w:szCs w:val="22"/>
              </w:rPr>
            </w:pPr>
            <w:sdt>
              <w:sdtPr>
                <w:rPr>
                  <w:snapToGrid w:val="0"/>
                  <w:kern w:val="22"/>
                </w:rPr>
                <w:alias w:val="Subject"/>
                <w:tag w:val=""/>
                <w:id w:val="2137136483"/>
                <w:placeholder>
                  <w:docPart w:val="1B170A61554D4C17A883F491EC9262B1"/>
                </w:placeholder>
                <w:dataBinding w:prefixMappings="xmlns:ns0='http://purl.org/dc/elements/1.1/' xmlns:ns1='http://schemas.openxmlformats.org/package/2006/metadata/core-properties' " w:xpath="/ns1:coreProperties[1]/ns0:subject[1]" w:storeItemID="{6C3C8BC8-F283-45AE-878A-BAB7291924A1}"/>
                <w:text/>
              </w:sdtPr>
              <w:sdtEndPr/>
              <w:sdtContent>
                <w:r w:rsidR="003B2475" w:rsidRPr="00447583">
                  <w:rPr>
                    <w:rFonts w:ascii="Times New Roman" w:hAnsi="Times New Roman" w:cs="Times New Roman"/>
                    <w:snapToGrid w:val="0"/>
                    <w:kern w:val="22"/>
                  </w:rPr>
                  <w:t>CBD/SBI/3/11/Add.2</w:t>
                </w:r>
              </w:sdtContent>
            </w:sdt>
          </w:p>
          <w:p w14:paraId="69D850C5" w14:textId="03BE3ABD" w:rsidR="007F0383" w:rsidRPr="00447583" w:rsidRDefault="00886EE8" w:rsidP="008E0FCD">
            <w:pPr>
              <w:suppressLineNumbers/>
              <w:suppressAutoHyphens/>
              <w:kinsoku w:val="0"/>
              <w:overflowPunct w:val="0"/>
              <w:autoSpaceDE w:val="0"/>
              <w:autoSpaceDN w:val="0"/>
              <w:ind w:left="1215"/>
              <w:rPr>
                <w:rFonts w:ascii="Times New Roman" w:hAnsi="Times New Roman" w:cs="Times New Roman"/>
                <w:snapToGrid w:val="0"/>
                <w:kern w:val="22"/>
                <w:szCs w:val="22"/>
              </w:rPr>
            </w:pPr>
            <w:r w:rsidRPr="00447583">
              <w:rPr>
                <w:rFonts w:ascii="Times New Roman" w:hAnsi="Times New Roman" w:cs="Times New Roman"/>
                <w:bCs/>
                <w:snapToGrid w:val="0"/>
                <w:kern w:val="22"/>
                <w:szCs w:val="22"/>
              </w:rPr>
              <w:t>5 November</w:t>
            </w:r>
            <w:r w:rsidR="008C078D" w:rsidRPr="00447583">
              <w:rPr>
                <w:rFonts w:ascii="Times New Roman" w:hAnsi="Times New Roman" w:cs="Times New Roman"/>
                <w:bCs/>
                <w:snapToGrid w:val="0"/>
                <w:kern w:val="22"/>
                <w:szCs w:val="22"/>
              </w:rPr>
              <w:t xml:space="preserve"> 2020</w:t>
            </w:r>
            <w:r w:rsidR="00543C96" w:rsidRPr="00447583">
              <w:rPr>
                <w:rFonts w:ascii="Times New Roman" w:hAnsi="Times New Roman" w:cs="Times New Roman"/>
                <w:bCs/>
                <w:snapToGrid w:val="0"/>
                <w:kern w:val="22"/>
                <w:szCs w:val="22"/>
              </w:rPr>
              <w:t xml:space="preserve"> </w:t>
            </w:r>
          </w:p>
          <w:p w14:paraId="2A9F9180" w14:textId="77777777" w:rsidR="00BF11D8" w:rsidRPr="00447583" w:rsidRDefault="00BF11D8" w:rsidP="008E0FCD">
            <w:pPr>
              <w:suppressLineNumbers/>
              <w:suppressAutoHyphens/>
              <w:kinsoku w:val="0"/>
              <w:overflowPunct w:val="0"/>
              <w:autoSpaceDE w:val="0"/>
              <w:autoSpaceDN w:val="0"/>
              <w:ind w:left="1215"/>
              <w:rPr>
                <w:rFonts w:ascii="Times New Roman" w:hAnsi="Times New Roman" w:cs="Times New Roman"/>
                <w:snapToGrid w:val="0"/>
                <w:kern w:val="22"/>
                <w:szCs w:val="22"/>
              </w:rPr>
            </w:pPr>
          </w:p>
          <w:p w14:paraId="469D9F9C" w14:textId="77777777" w:rsidR="007F0383" w:rsidRPr="00447583" w:rsidRDefault="007F0383" w:rsidP="008E0FCD">
            <w:pPr>
              <w:suppressLineNumbers/>
              <w:suppressAutoHyphens/>
              <w:kinsoku w:val="0"/>
              <w:overflowPunct w:val="0"/>
              <w:autoSpaceDE w:val="0"/>
              <w:autoSpaceDN w:val="0"/>
              <w:ind w:left="1215"/>
              <w:rPr>
                <w:rFonts w:ascii="Times New Roman" w:hAnsi="Times New Roman" w:cs="Times New Roman"/>
                <w:snapToGrid w:val="0"/>
                <w:kern w:val="22"/>
                <w:szCs w:val="22"/>
              </w:rPr>
            </w:pPr>
            <w:r w:rsidRPr="00447583">
              <w:rPr>
                <w:rFonts w:ascii="Times New Roman" w:hAnsi="Times New Roman" w:cs="Times New Roman"/>
                <w:snapToGrid w:val="0"/>
                <w:kern w:val="22"/>
                <w:szCs w:val="22"/>
              </w:rPr>
              <w:t>ORIGINAL: ENGLISH</w:t>
            </w:r>
          </w:p>
          <w:p w14:paraId="280101C9" w14:textId="77777777" w:rsidR="007F0383" w:rsidRPr="00447583" w:rsidRDefault="007F0383" w:rsidP="008E0FCD">
            <w:pPr>
              <w:suppressLineNumbers/>
              <w:suppressAutoHyphens/>
              <w:kinsoku w:val="0"/>
              <w:overflowPunct w:val="0"/>
              <w:autoSpaceDE w:val="0"/>
              <w:autoSpaceDN w:val="0"/>
              <w:rPr>
                <w:rFonts w:ascii="Times New Roman" w:hAnsi="Times New Roman" w:cs="Times New Roman"/>
                <w:snapToGrid w:val="0"/>
                <w:kern w:val="22"/>
              </w:rPr>
            </w:pPr>
          </w:p>
        </w:tc>
      </w:tr>
    </w:tbl>
    <w:p w14:paraId="64281D5B" w14:textId="3CF17BE3" w:rsidR="00261973" w:rsidRPr="00447583" w:rsidRDefault="00261973" w:rsidP="00ED212A">
      <w:pPr>
        <w:pStyle w:val="meetingname"/>
        <w:suppressLineNumbers/>
        <w:suppressAutoHyphens/>
        <w:ind w:left="0" w:right="4392" w:firstLine="0"/>
        <w:rPr>
          <w:kern w:val="22"/>
          <w:szCs w:val="22"/>
        </w:rPr>
      </w:pPr>
      <w:bookmarkStart w:id="1" w:name="Meeting"/>
      <w:r w:rsidRPr="00447583">
        <w:rPr>
          <w:kern w:val="22"/>
          <w:szCs w:val="22"/>
        </w:rPr>
        <w:t>SUBSIDIARY BODY ON IMPLEMENTATION</w:t>
      </w:r>
      <w:bookmarkEnd w:id="1"/>
    </w:p>
    <w:p w14:paraId="71FB242A" w14:textId="77777777" w:rsidR="00261973" w:rsidRPr="00447583" w:rsidRDefault="00261973" w:rsidP="00261973">
      <w:pPr>
        <w:suppressLineNumbers/>
        <w:suppressAutoHyphens/>
        <w:rPr>
          <w:snapToGrid w:val="0"/>
          <w:kern w:val="22"/>
          <w:szCs w:val="22"/>
          <w:lang w:eastAsia="nb-NO"/>
        </w:rPr>
      </w:pPr>
      <w:r w:rsidRPr="00447583">
        <w:rPr>
          <w:snapToGrid w:val="0"/>
          <w:kern w:val="22"/>
          <w:szCs w:val="22"/>
          <w:lang w:eastAsia="nb-NO"/>
        </w:rPr>
        <w:t>Third meeting</w:t>
      </w:r>
    </w:p>
    <w:p w14:paraId="386AC22D" w14:textId="1D64BD60" w:rsidR="00D47CE9" w:rsidRPr="00447583" w:rsidRDefault="00D47CE9" w:rsidP="00D47CE9">
      <w:pPr>
        <w:suppressLineNumbers/>
        <w:suppressAutoHyphens/>
        <w:jc w:val="left"/>
        <w:rPr>
          <w:snapToGrid w:val="0"/>
          <w:kern w:val="22"/>
          <w:szCs w:val="22"/>
          <w:lang w:eastAsia="nb-NO"/>
        </w:rPr>
      </w:pPr>
      <w:r w:rsidRPr="00447583">
        <w:rPr>
          <w:snapToGrid w:val="0"/>
          <w:kern w:val="22"/>
          <w:szCs w:val="22"/>
          <w:lang w:eastAsia="nb-NO"/>
        </w:rPr>
        <w:t xml:space="preserve">Venue </w:t>
      </w:r>
      <w:r w:rsidR="00B079C7" w:rsidRPr="00447583">
        <w:rPr>
          <w:snapToGrid w:val="0"/>
          <w:kern w:val="22"/>
          <w:szCs w:val="22"/>
          <w:lang w:eastAsia="nb-NO"/>
        </w:rPr>
        <w:t xml:space="preserve">and dates </w:t>
      </w:r>
      <w:r w:rsidRPr="00447583">
        <w:rPr>
          <w:snapToGrid w:val="0"/>
          <w:kern w:val="22"/>
          <w:szCs w:val="22"/>
          <w:lang w:eastAsia="nb-NO"/>
        </w:rPr>
        <w:t>to be determined</w:t>
      </w:r>
    </w:p>
    <w:p w14:paraId="13001871" w14:textId="3244EA57" w:rsidR="00261973" w:rsidRPr="00447583" w:rsidRDefault="00261973" w:rsidP="00D47CE9">
      <w:pPr>
        <w:suppressLineNumbers/>
        <w:suppressAutoHyphens/>
        <w:rPr>
          <w:snapToGrid w:val="0"/>
          <w:kern w:val="22"/>
          <w:szCs w:val="22"/>
          <w:lang w:eastAsia="nb-NO"/>
        </w:rPr>
      </w:pPr>
      <w:r w:rsidRPr="00447583">
        <w:rPr>
          <w:snapToGrid w:val="0"/>
          <w:kern w:val="22"/>
          <w:szCs w:val="22"/>
          <w:lang w:eastAsia="nb-NO"/>
        </w:rPr>
        <w:t xml:space="preserve">Item </w:t>
      </w:r>
      <w:r w:rsidR="00D47CE9" w:rsidRPr="00447583">
        <w:rPr>
          <w:snapToGrid w:val="0"/>
          <w:kern w:val="22"/>
          <w:szCs w:val="22"/>
          <w:lang w:eastAsia="nb-NO"/>
        </w:rPr>
        <w:t>9</w:t>
      </w:r>
      <w:r w:rsidRPr="00447583">
        <w:rPr>
          <w:snapToGrid w:val="0"/>
          <w:kern w:val="22"/>
          <w:szCs w:val="22"/>
          <w:lang w:eastAsia="nb-NO"/>
        </w:rPr>
        <w:t xml:space="preserve"> of the provisional agenda</w:t>
      </w:r>
      <w:r w:rsidRPr="00447583">
        <w:rPr>
          <w:snapToGrid w:val="0"/>
          <w:kern w:val="22"/>
          <w:lang w:eastAsia="nb-NO"/>
        </w:rPr>
        <w:footnoteReference w:customMarkFollows="1" w:id="2"/>
        <w:t>*</w:t>
      </w:r>
    </w:p>
    <w:p w14:paraId="62F9F71F" w14:textId="7EC80D43" w:rsidR="00D274FD" w:rsidRPr="00447583" w:rsidRDefault="00E914DF" w:rsidP="002E1638">
      <w:pPr>
        <w:keepNext/>
        <w:spacing w:before="240" w:after="120"/>
        <w:jc w:val="center"/>
        <w:rPr>
          <w:rFonts w:ascii="Times New Roman Bold" w:hAnsi="Times New Roman Bold"/>
          <w:b/>
          <w:caps/>
          <w:snapToGrid w:val="0"/>
          <w:kern w:val="22"/>
        </w:rPr>
      </w:pPr>
      <w:sdt>
        <w:sdtPr>
          <w:rPr>
            <w:rStyle w:val="Heading2Char"/>
            <w:rFonts w:ascii="Times New Roman Bold" w:hAnsi="Times New Roman Bold"/>
            <w:caps/>
            <w:snapToGrid w:val="0"/>
            <w:kern w:val="22"/>
          </w:rPr>
          <w:alias w:val="Title"/>
          <w:tag w:val=""/>
          <w:id w:val="772832786"/>
          <w:placeholder>
            <w:docPart w:val="D160AC7C651748D2AD104BBEB66E7186"/>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3B2475" w:rsidRPr="00447583">
            <w:rPr>
              <w:rStyle w:val="Heading2Char"/>
              <w:rFonts w:ascii="Times New Roman Bold" w:hAnsi="Times New Roman Bold"/>
              <w:caps/>
              <w:snapToGrid w:val="0"/>
              <w:kern w:val="22"/>
            </w:rPr>
            <w:t>Options for enhancing synergies on national reporting among biodiversity-related conventions and Rio conventions</w:t>
          </w:r>
        </w:sdtContent>
      </w:sdt>
    </w:p>
    <w:p w14:paraId="633DE6C4" w14:textId="77777777" w:rsidR="00D56CCE" w:rsidRPr="00ED212A" w:rsidRDefault="00292F67" w:rsidP="00ED212A">
      <w:pPr>
        <w:pStyle w:val="Style1"/>
        <w:outlineLvl w:val="9"/>
        <w:rPr>
          <w:b w:val="0"/>
          <w:i w:val="0"/>
          <w:snapToGrid w:val="0"/>
          <w:kern w:val="22"/>
        </w:rPr>
      </w:pPr>
      <w:r w:rsidRPr="00ED212A">
        <w:rPr>
          <w:b w:val="0"/>
          <w:snapToGrid w:val="0"/>
          <w:kern w:val="22"/>
        </w:rPr>
        <w:t>Note by the Executive Secretary</w:t>
      </w:r>
    </w:p>
    <w:p w14:paraId="4510B72E" w14:textId="5027441D" w:rsidR="00D274FD" w:rsidRPr="00447583" w:rsidRDefault="002730E5" w:rsidP="006039C7">
      <w:pPr>
        <w:pStyle w:val="Heading1"/>
        <w:numPr>
          <w:ilvl w:val="0"/>
          <w:numId w:val="12"/>
        </w:numPr>
        <w:suppressLineNumbers/>
        <w:tabs>
          <w:tab w:val="clear" w:pos="720"/>
          <w:tab w:val="left" w:pos="284"/>
        </w:tabs>
        <w:suppressAutoHyphens/>
        <w:kinsoku w:val="0"/>
        <w:overflowPunct w:val="0"/>
        <w:autoSpaceDE w:val="0"/>
        <w:autoSpaceDN w:val="0"/>
        <w:adjustRightInd w:val="0"/>
        <w:snapToGrid w:val="0"/>
        <w:spacing w:before="120"/>
        <w:ind w:left="0" w:firstLine="0"/>
        <w:rPr>
          <w:snapToGrid w:val="0"/>
          <w:kern w:val="22"/>
          <w:szCs w:val="22"/>
        </w:rPr>
      </w:pPr>
      <w:bookmarkStart w:id="2" w:name="_Toc33649261"/>
      <w:r w:rsidRPr="00447583">
        <w:rPr>
          <w:snapToGrid w:val="0"/>
          <w:kern w:val="22"/>
          <w:szCs w:val="22"/>
        </w:rPr>
        <w:t>Background</w:t>
      </w:r>
      <w:bookmarkEnd w:id="2"/>
    </w:p>
    <w:p w14:paraId="2D5026F8" w14:textId="55E11DF8"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 xml:space="preserve">In </w:t>
      </w:r>
      <w:r w:rsidRPr="00C13A51">
        <w:rPr>
          <w:snapToGrid w:val="0"/>
          <w:kern w:val="22"/>
          <w:szCs w:val="22"/>
        </w:rPr>
        <w:t xml:space="preserve">decision </w:t>
      </w:r>
      <w:hyperlink r:id="rId14" w:history="1">
        <w:r w:rsidRPr="00C13A51">
          <w:rPr>
            <w:rStyle w:val="Hyperlink"/>
            <w:snapToGrid w:val="0"/>
            <w:kern w:val="22"/>
            <w:szCs w:val="22"/>
          </w:rPr>
          <w:t>14/27</w:t>
        </w:r>
      </w:hyperlink>
      <w:r w:rsidR="00C13A51" w:rsidRPr="00C13A51">
        <w:rPr>
          <w:rStyle w:val="Hyperlink"/>
          <w:snapToGrid w:val="0"/>
          <w:color w:val="auto"/>
          <w:kern w:val="22"/>
          <w:szCs w:val="22"/>
          <w:u w:val="none"/>
        </w:rPr>
        <w:t>,</w:t>
      </w:r>
      <w:r w:rsidR="00BE3BB3" w:rsidRPr="00447583">
        <w:rPr>
          <w:snapToGrid w:val="0"/>
          <w:kern w:val="22"/>
          <w:szCs w:val="22"/>
        </w:rPr>
        <w:t xml:space="preserve"> paragraph 3 (e)</w:t>
      </w:r>
      <w:r w:rsidRPr="00447583">
        <w:rPr>
          <w:snapToGrid w:val="0"/>
          <w:kern w:val="22"/>
          <w:szCs w:val="22"/>
        </w:rPr>
        <w:t>, the Conference of the Parties to the Convention on Biological Diversity requested the Executive Secretary to identify, in consultati</w:t>
      </w:r>
      <w:bookmarkStart w:id="3" w:name="_GoBack"/>
      <w:bookmarkEnd w:id="3"/>
      <w:r w:rsidRPr="00447583">
        <w:rPr>
          <w:snapToGrid w:val="0"/>
          <w:kern w:val="22"/>
          <w:szCs w:val="22"/>
        </w:rPr>
        <w:t>on with members of the Liaison Group of Biodiversity-related Conventions and the Joint Liaison Group of the Rio Conventions, and on the basis of suggestions from the informal advisory group on synergies among the biodiversity-related conventions,</w:t>
      </w:r>
      <w:r w:rsidRPr="00447583">
        <w:rPr>
          <w:rStyle w:val="FootnoteReference"/>
          <w:snapToGrid w:val="0"/>
          <w:kern w:val="22"/>
          <w:sz w:val="22"/>
          <w:szCs w:val="22"/>
          <w:u w:val="none"/>
          <w:vertAlign w:val="superscript"/>
        </w:rPr>
        <w:footnoteReference w:id="3"/>
      </w:r>
      <w:r w:rsidRPr="00447583">
        <w:rPr>
          <w:snapToGrid w:val="0"/>
          <w:kern w:val="22"/>
          <w:szCs w:val="22"/>
        </w:rPr>
        <w:t xml:space="preserve"> concrete actions to advance synergies on reporting, inter alia, through:</w:t>
      </w:r>
    </w:p>
    <w:p w14:paraId="76F3C7F7" w14:textId="32CB77A3" w:rsidR="00D274FD" w:rsidRPr="00447583" w:rsidRDefault="00D442A8" w:rsidP="00ED212A">
      <w:pPr>
        <w:pStyle w:val="ListParagraph"/>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447583">
        <w:rPr>
          <w:snapToGrid w:val="0"/>
          <w:kern w:val="22"/>
          <w:szCs w:val="22"/>
        </w:rPr>
        <w:t>C</w:t>
      </w:r>
      <w:r w:rsidR="00D274FD" w:rsidRPr="00447583">
        <w:rPr>
          <w:snapToGrid w:val="0"/>
          <w:kern w:val="22"/>
          <w:szCs w:val="22"/>
        </w:rPr>
        <w:t>ommon indicators, where appropriate;</w:t>
      </w:r>
    </w:p>
    <w:p w14:paraId="014B40B3" w14:textId="42B98068" w:rsidR="00D274FD" w:rsidRPr="00447583" w:rsidRDefault="00D442A8" w:rsidP="00ED212A">
      <w:pPr>
        <w:pStyle w:val="ListParagraph"/>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447583">
        <w:rPr>
          <w:snapToGrid w:val="0"/>
          <w:kern w:val="22"/>
          <w:szCs w:val="22"/>
        </w:rPr>
        <w:t>R</w:t>
      </w:r>
      <w:r w:rsidR="00D274FD" w:rsidRPr="00447583">
        <w:rPr>
          <w:snapToGrid w:val="0"/>
          <w:kern w:val="22"/>
          <w:szCs w:val="22"/>
        </w:rPr>
        <w:t>eporting modules on shared issues;</w:t>
      </w:r>
    </w:p>
    <w:p w14:paraId="3EFDD125" w14:textId="617FE79A" w:rsidR="00D274FD" w:rsidRPr="00447583" w:rsidRDefault="00D442A8" w:rsidP="00ED212A">
      <w:pPr>
        <w:pStyle w:val="ListParagraph"/>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447583">
        <w:rPr>
          <w:snapToGrid w:val="0"/>
          <w:kern w:val="22"/>
          <w:szCs w:val="22"/>
        </w:rPr>
        <w:t>I</w:t>
      </w:r>
      <w:r w:rsidR="00D274FD" w:rsidRPr="00447583">
        <w:rPr>
          <w:snapToGrid w:val="0"/>
          <w:kern w:val="22"/>
          <w:szCs w:val="22"/>
        </w:rPr>
        <w:t>nteroperability of information management and reporting systems;</w:t>
      </w:r>
    </w:p>
    <w:p w14:paraId="2A4D422C" w14:textId="2262D16A" w:rsidR="00D274FD" w:rsidRPr="00447583" w:rsidRDefault="00D442A8" w:rsidP="00ED212A">
      <w:pPr>
        <w:pStyle w:val="ListParagraph"/>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447583">
        <w:rPr>
          <w:snapToGrid w:val="0"/>
          <w:kern w:val="22"/>
          <w:szCs w:val="22"/>
        </w:rPr>
        <w:t>O</w:t>
      </w:r>
      <w:r w:rsidR="00D274FD" w:rsidRPr="00447583">
        <w:rPr>
          <w:snapToGrid w:val="0"/>
          <w:kern w:val="22"/>
          <w:szCs w:val="22"/>
        </w:rPr>
        <w:t>ther options for increasing synergies in national reporting among the biodiversity-related conventions and the Rio conventions</w:t>
      </w:r>
      <w:r w:rsidR="00EC4AAE" w:rsidRPr="00447583">
        <w:rPr>
          <w:snapToGrid w:val="0"/>
          <w:kern w:val="22"/>
          <w:szCs w:val="22"/>
        </w:rPr>
        <w:t>.</w:t>
      </w:r>
    </w:p>
    <w:p w14:paraId="70F06D18" w14:textId="44089C03" w:rsidR="00D274FD" w:rsidRPr="00447583" w:rsidRDefault="00EC4AAE" w:rsidP="00ED212A">
      <w:pPr>
        <w:suppressLineNumbers/>
        <w:suppressAutoHyphens/>
        <w:kinsoku w:val="0"/>
        <w:overflowPunct w:val="0"/>
        <w:autoSpaceDE w:val="0"/>
        <w:autoSpaceDN w:val="0"/>
        <w:adjustRightInd w:val="0"/>
        <w:snapToGrid w:val="0"/>
        <w:spacing w:before="120" w:after="120"/>
        <w:rPr>
          <w:snapToGrid w:val="0"/>
          <w:kern w:val="22"/>
          <w:szCs w:val="22"/>
        </w:rPr>
      </w:pPr>
      <w:r w:rsidRPr="00447583">
        <w:rPr>
          <w:snapToGrid w:val="0"/>
          <w:kern w:val="22"/>
          <w:szCs w:val="22"/>
        </w:rPr>
        <w:t>T</w:t>
      </w:r>
      <w:r w:rsidR="00B83813" w:rsidRPr="00447583">
        <w:rPr>
          <w:snapToGrid w:val="0"/>
          <w:kern w:val="22"/>
          <w:szCs w:val="22"/>
        </w:rPr>
        <w:t xml:space="preserve">he Executive Secretary </w:t>
      </w:r>
      <w:r w:rsidRPr="00447583">
        <w:rPr>
          <w:snapToGrid w:val="0"/>
          <w:kern w:val="22"/>
          <w:szCs w:val="22"/>
        </w:rPr>
        <w:t xml:space="preserve">was also requested to </w:t>
      </w:r>
      <w:r w:rsidR="00D274FD" w:rsidRPr="00447583">
        <w:rPr>
          <w:snapToGrid w:val="0"/>
          <w:kern w:val="22"/>
          <w:szCs w:val="22"/>
        </w:rPr>
        <w:t>assess financial implications of such actions.</w:t>
      </w:r>
    </w:p>
    <w:p w14:paraId="045EF3A5" w14:textId="22624AAF" w:rsidR="00DB49AB" w:rsidRPr="00447583" w:rsidRDefault="00D274FD" w:rsidP="006039C7">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In paragraph 3</w:t>
      </w:r>
      <w:r w:rsidR="00BB2392" w:rsidRPr="00447583">
        <w:rPr>
          <w:snapToGrid w:val="0"/>
          <w:kern w:val="22"/>
          <w:szCs w:val="22"/>
        </w:rPr>
        <w:t> </w:t>
      </w:r>
      <w:r w:rsidRPr="00447583">
        <w:rPr>
          <w:snapToGrid w:val="0"/>
          <w:kern w:val="22"/>
          <w:szCs w:val="22"/>
        </w:rPr>
        <w:t>(f)</w:t>
      </w:r>
      <w:r w:rsidR="004A4B29" w:rsidRPr="00447583">
        <w:rPr>
          <w:snapToGrid w:val="0"/>
          <w:kern w:val="22"/>
          <w:szCs w:val="22"/>
        </w:rPr>
        <w:t xml:space="preserve"> of the same decision</w:t>
      </w:r>
      <w:r w:rsidRPr="00447583">
        <w:rPr>
          <w:snapToGrid w:val="0"/>
          <w:kern w:val="22"/>
          <w:szCs w:val="22"/>
        </w:rPr>
        <w:t>, the Executive Secretary was requested to continue to contribute to the monitoring process for the 2030 Agenda for Sustainable Development</w:t>
      </w:r>
      <w:r w:rsidRPr="00447583">
        <w:rPr>
          <w:rStyle w:val="FootnoteReference"/>
          <w:snapToGrid w:val="0"/>
          <w:kern w:val="22"/>
          <w:sz w:val="22"/>
          <w:szCs w:val="22"/>
          <w:u w:val="none"/>
          <w:vertAlign w:val="superscript"/>
        </w:rPr>
        <w:footnoteReference w:id="4"/>
      </w:r>
      <w:r w:rsidRPr="00447583">
        <w:rPr>
          <w:snapToGrid w:val="0"/>
          <w:kern w:val="22"/>
          <w:szCs w:val="22"/>
        </w:rPr>
        <w:t xml:space="preserve"> and to explore synergies with the related reporting systems and tools for the Sustainable Development Goals, including with regard to methodological approaches. </w:t>
      </w:r>
      <w:r w:rsidR="004A4B29" w:rsidRPr="00447583">
        <w:rPr>
          <w:snapToGrid w:val="0"/>
          <w:kern w:val="22"/>
          <w:szCs w:val="22"/>
        </w:rPr>
        <w:t xml:space="preserve">In </w:t>
      </w:r>
      <w:r w:rsidR="008C078D" w:rsidRPr="00447583">
        <w:rPr>
          <w:snapToGrid w:val="0"/>
          <w:kern w:val="22"/>
          <w:szCs w:val="22"/>
        </w:rPr>
        <w:t>p</w:t>
      </w:r>
      <w:r w:rsidRPr="00447583">
        <w:rPr>
          <w:snapToGrid w:val="0"/>
          <w:kern w:val="22"/>
          <w:szCs w:val="22"/>
        </w:rPr>
        <w:t>aragraph 3</w:t>
      </w:r>
      <w:r w:rsidR="007276F2" w:rsidRPr="00447583">
        <w:rPr>
          <w:snapToGrid w:val="0"/>
          <w:kern w:val="22"/>
          <w:szCs w:val="22"/>
        </w:rPr>
        <w:t> </w:t>
      </w:r>
      <w:r w:rsidR="008C078D" w:rsidRPr="00447583">
        <w:rPr>
          <w:snapToGrid w:val="0"/>
          <w:kern w:val="22"/>
          <w:szCs w:val="22"/>
        </w:rPr>
        <w:t>(</w:t>
      </w:r>
      <w:r w:rsidRPr="00447583">
        <w:rPr>
          <w:snapToGrid w:val="0"/>
          <w:kern w:val="22"/>
          <w:szCs w:val="22"/>
        </w:rPr>
        <w:t>g</w:t>
      </w:r>
      <w:r w:rsidR="008C078D" w:rsidRPr="00447583">
        <w:rPr>
          <w:snapToGrid w:val="0"/>
          <w:kern w:val="22"/>
          <w:szCs w:val="22"/>
        </w:rPr>
        <w:t xml:space="preserve">), </w:t>
      </w:r>
      <w:r w:rsidRPr="00447583">
        <w:rPr>
          <w:snapToGrid w:val="0"/>
          <w:kern w:val="22"/>
          <w:szCs w:val="22"/>
        </w:rPr>
        <w:t xml:space="preserve">the Executive Secretary </w:t>
      </w:r>
      <w:r w:rsidR="008C078D" w:rsidRPr="00447583">
        <w:rPr>
          <w:snapToGrid w:val="0"/>
          <w:kern w:val="22"/>
          <w:szCs w:val="22"/>
        </w:rPr>
        <w:t xml:space="preserve">was </w:t>
      </w:r>
      <w:r w:rsidR="004A4B29" w:rsidRPr="00447583">
        <w:rPr>
          <w:snapToGrid w:val="0"/>
          <w:kern w:val="22"/>
          <w:szCs w:val="22"/>
        </w:rPr>
        <w:t xml:space="preserve">also </w:t>
      </w:r>
      <w:r w:rsidR="008C078D" w:rsidRPr="00447583">
        <w:rPr>
          <w:snapToGrid w:val="0"/>
          <w:kern w:val="22"/>
          <w:szCs w:val="22"/>
        </w:rPr>
        <w:t xml:space="preserve">requested </w:t>
      </w:r>
      <w:r w:rsidRPr="00447583">
        <w:rPr>
          <w:snapToGrid w:val="0"/>
          <w:kern w:val="22"/>
          <w:szCs w:val="22"/>
        </w:rPr>
        <w:t>to contribute to the development, testing and promotion of the Data and Reporting Tool (</w:t>
      </w:r>
      <w:proofErr w:type="spellStart"/>
      <w:r w:rsidRPr="00447583">
        <w:rPr>
          <w:snapToGrid w:val="0"/>
          <w:kern w:val="22"/>
          <w:szCs w:val="22"/>
        </w:rPr>
        <w:t>DaRT</w:t>
      </w:r>
      <w:proofErr w:type="spellEnd"/>
      <w:r w:rsidRPr="00447583">
        <w:rPr>
          <w:snapToGrid w:val="0"/>
          <w:kern w:val="22"/>
          <w:szCs w:val="22"/>
        </w:rPr>
        <w:t xml:space="preserve">), in collaboration with the </w:t>
      </w:r>
      <w:proofErr w:type="spellStart"/>
      <w:r w:rsidRPr="00447583">
        <w:rPr>
          <w:snapToGrid w:val="0"/>
          <w:kern w:val="22"/>
          <w:szCs w:val="22"/>
        </w:rPr>
        <w:t>InforMEA</w:t>
      </w:r>
      <w:proofErr w:type="spellEnd"/>
      <w:r w:rsidRPr="00447583">
        <w:rPr>
          <w:snapToGrid w:val="0"/>
          <w:kern w:val="22"/>
          <w:szCs w:val="22"/>
        </w:rPr>
        <w:t xml:space="preserve"> Initiative, taking into account the experience</w:t>
      </w:r>
      <w:r w:rsidR="00536B31" w:rsidRPr="00447583">
        <w:rPr>
          <w:snapToGrid w:val="0"/>
          <w:kern w:val="22"/>
          <w:szCs w:val="22"/>
        </w:rPr>
        <w:t>s</w:t>
      </w:r>
      <w:r w:rsidRPr="00447583">
        <w:rPr>
          <w:snapToGrid w:val="0"/>
          <w:kern w:val="22"/>
          <w:szCs w:val="22"/>
        </w:rPr>
        <w:t xml:space="preserve"> of Parties in preparing their sixth national reports, with a view to facilitating the use of the tool across the biodiversity-related conventions.</w:t>
      </w:r>
    </w:p>
    <w:p w14:paraId="664E04C2" w14:textId="026DD02F" w:rsidR="00D274FD" w:rsidRPr="00447583" w:rsidRDefault="006925EB"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The present</w:t>
      </w:r>
      <w:r w:rsidR="00D274FD" w:rsidRPr="00447583">
        <w:rPr>
          <w:snapToGrid w:val="0"/>
          <w:kern w:val="22"/>
          <w:szCs w:val="22"/>
        </w:rPr>
        <w:t xml:space="preserve"> document </w:t>
      </w:r>
      <w:r w:rsidR="00443464" w:rsidRPr="00447583">
        <w:rPr>
          <w:snapToGrid w:val="0"/>
          <w:kern w:val="22"/>
          <w:szCs w:val="22"/>
        </w:rPr>
        <w:t>was</w:t>
      </w:r>
      <w:r w:rsidR="007A372E" w:rsidRPr="00447583">
        <w:rPr>
          <w:snapToGrid w:val="0"/>
          <w:kern w:val="22"/>
          <w:szCs w:val="22"/>
        </w:rPr>
        <w:t xml:space="preserve"> </w:t>
      </w:r>
      <w:r w:rsidR="00D274FD" w:rsidRPr="00447583">
        <w:rPr>
          <w:snapToGrid w:val="0"/>
          <w:kern w:val="22"/>
          <w:szCs w:val="22"/>
        </w:rPr>
        <w:t xml:space="preserve">prepared </w:t>
      </w:r>
      <w:r w:rsidR="007A372E" w:rsidRPr="00447583">
        <w:rPr>
          <w:snapToGrid w:val="0"/>
          <w:kern w:val="22"/>
          <w:szCs w:val="22"/>
        </w:rPr>
        <w:t xml:space="preserve">with the support of </w:t>
      </w:r>
      <w:r w:rsidR="00637C26" w:rsidRPr="00447583">
        <w:rPr>
          <w:snapToGrid w:val="0"/>
          <w:kern w:val="22"/>
          <w:szCs w:val="22"/>
        </w:rPr>
        <w:t xml:space="preserve">the </w:t>
      </w:r>
      <w:r w:rsidR="00A64DA0" w:rsidRPr="00447583">
        <w:rPr>
          <w:snapToGrid w:val="0"/>
          <w:kern w:val="22"/>
          <w:szCs w:val="22"/>
        </w:rPr>
        <w:t>United Nations Environment Programme World Conservation Monitoring Centre (</w:t>
      </w:r>
      <w:r w:rsidR="00D274FD" w:rsidRPr="00447583">
        <w:rPr>
          <w:snapToGrid w:val="0"/>
          <w:kern w:val="22"/>
          <w:szCs w:val="22"/>
        </w:rPr>
        <w:t>UNEP-WCMC</w:t>
      </w:r>
      <w:r w:rsidR="00A64DA0" w:rsidRPr="00447583">
        <w:rPr>
          <w:snapToGrid w:val="0"/>
          <w:kern w:val="22"/>
          <w:szCs w:val="22"/>
        </w:rPr>
        <w:t>)</w:t>
      </w:r>
      <w:r w:rsidR="007A372E" w:rsidRPr="00447583">
        <w:rPr>
          <w:snapToGrid w:val="0"/>
          <w:kern w:val="22"/>
          <w:szCs w:val="22"/>
        </w:rPr>
        <w:t xml:space="preserve"> and </w:t>
      </w:r>
      <w:r w:rsidR="00D274FD" w:rsidRPr="00447583">
        <w:rPr>
          <w:snapToGrid w:val="0"/>
          <w:kern w:val="22"/>
          <w:szCs w:val="22"/>
        </w:rPr>
        <w:t>in consultation with relevant convention secretariats</w:t>
      </w:r>
      <w:r w:rsidR="00824583" w:rsidRPr="00447583">
        <w:rPr>
          <w:snapToGrid w:val="0"/>
          <w:kern w:val="22"/>
          <w:szCs w:val="22"/>
        </w:rPr>
        <w:t xml:space="preserve">, and taking into account the </w:t>
      </w:r>
      <w:r w:rsidR="00BA3949" w:rsidRPr="00447583">
        <w:rPr>
          <w:snapToGrid w:val="0"/>
          <w:kern w:val="22"/>
          <w:szCs w:val="22"/>
        </w:rPr>
        <w:t>document on national reporting prepared for the second meeting of the Subsidiary Body on Implementation (</w:t>
      </w:r>
      <w:hyperlink r:id="rId15" w:history="1">
        <w:r w:rsidR="00BA3949" w:rsidRPr="00447583">
          <w:rPr>
            <w:rStyle w:val="Hyperlink"/>
            <w:snapToGrid w:val="0"/>
            <w:kern w:val="22"/>
            <w:szCs w:val="22"/>
          </w:rPr>
          <w:t>CBD/SBI/2/12</w:t>
        </w:r>
      </w:hyperlink>
      <w:r w:rsidR="00BA3949" w:rsidRPr="00447583">
        <w:rPr>
          <w:snapToGrid w:val="0"/>
          <w:kern w:val="22"/>
          <w:szCs w:val="22"/>
        </w:rPr>
        <w:t>)</w:t>
      </w:r>
      <w:r w:rsidR="00D274FD" w:rsidRPr="00447583">
        <w:rPr>
          <w:snapToGrid w:val="0"/>
          <w:kern w:val="22"/>
          <w:szCs w:val="22"/>
        </w:rPr>
        <w:t>. Section</w:t>
      </w:r>
      <w:r w:rsidR="0071531B" w:rsidRPr="00447583">
        <w:rPr>
          <w:snapToGrid w:val="0"/>
          <w:kern w:val="22"/>
          <w:szCs w:val="22"/>
        </w:rPr>
        <w:t> </w:t>
      </w:r>
      <w:r w:rsidR="00D274FD" w:rsidRPr="00447583">
        <w:rPr>
          <w:snapToGrid w:val="0"/>
          <w:kern w:val="22"/>
          <w:szCs w:val="22"/>
        </w:rPr>
        <w:t>II capture</w:t>
      </w:r>
      <w:r w:rsidR="00637C26" w:rsidRPr="00447583">
        <w:rPr>
          <w:snapToGrid w:val="0"/>
          <w:kern w:val="22"/>
          <w:szCs w:val="22"/>
        </w:rPr>
        <w:t>s</w:t>
      </w:r>
      <w:r w:rsidR="00D274FD" w:rsidRPr="00447583">
        <w:rPr>
          <w:snapToGrid w:val="0"/>
          <w:kern w:val="22"/>
          <w:szCs w:val="22"/>
        </w:rPr>
        <w:t xml:space="preserve"> suggestions from the informal advisory group on synergies among the biodiversity-related conventions, </w:t>
      </w:r>
      <w:r w:rsidR="00443464" w:rsidRPr="00447583">
        <w:rPr>
          <w:snapToGrid w:val="0"/>
          <w:kern w:val="22"/>
          <w:szCs w:val="22"/>
        </w:rPr>
        <w:lastRenderedPageBreak/>
        <w:t xml:space="preserve">notes </w:t>
      </w:r>
      <w:r w:rsidR="00D274FD" w:rsidRPr="00447583">
        <w:rPr>
          <w:snapToGrid w:val="0"/>
          <w:kern w:val="22"/>
          <w:szCs w:val="22"/>
        </w:rPr>
        <w:t xml:space="preserve">consultations </w:t>
      </w:r>
      <w:r w:rsidR="00443464" w:rsidRPr="00447583">
        <w:rPr>
          <w:snapToGrid w:val="0"/>
          <w:kern w:val="22"/>
          <w:szCs w:val="22"/>
        </w:rPr>
        <w:t xml:space="preserve">held </w:t>
      </w:r>
      <w:r w:rsidR="00D274FD" w:rsidRPr="00447583">
        <w:rPr>
          <w:snapToGrid w:val="0"/>
          <w:kern w:val="22"/>
          <w:szCs w:val="22"/>
        </w:rPr>
        <w:t>with related convention secretariats</w:t>
      </w:r>
      <w:r w:rsidR="00770669" w:rsidRPr="00447583">
        <w:rPr>
          <w:snapToGrid w:val="0"/>
          <w:kern w:val="22"/>
          <w:szCs w:val="22"/>
        </w:rPr>
        <w:t>,</w:t>
      </w:r>
      <w:r w:rsidR="00D274FD" w:rsidRPr="00447583">
        <w:rPr>
          <w:snapToGrid w:val="0"/>
          <w:kern w:val="22"/>
          <w:szCs w:val="22"/>
        </w:rPr>
        <w:t xml:space="preserve"> and </w:t>
      </w:r>
      <w:r w:rsidR="00B61F19" w:rsidRPr="00447583">
        <w:rPr>
          <w:snapToGrid w:val="0"/>
          <w:kern w:val="22"/>
          <w:szCs w:val="22"/>
        </w:rPr>
        <w:t xml:space="preserve">provides </w:t>
      </w:r>
      <w:r w:rsidR="00D274FD" w:rsidRPr="00447583">
        <w:rPr>
          <w:snapToGrid w:val="0"/>
          <w:kern w:val="22"/>
          <w:szCs w:val="22"/>
        </w:rPr>
        <w:t>an overview of related suggestions</w:t>
      </w:r>
      <w:r w:rsidR="00B61F19" w:rsidRPr="00447583">
        <w:rPr>
          <w:snapToGrid w:val="0"/>
          <w:kern w:val="22"/>
          <w:szCs w:val="22"/>
        </w:rPr>
        <w:t xml:space="preserve"> and </w:t>
      </w:r>
      <w:r w:rsidR="00D274FD" w:rsidRPr="00447583">
        <w:rPr>
          <w:snapToGrid w:val="0"/>
          <w:kern w:val="22"/>
          <w:szCs w:val="22"/>
        </w:rPr>
        <w:t>views from the process</w:t>
      </w:r>
      <w:r w:rsidR="008C078D" w:rsidRPr="00447583">
        <w:rPr>
          <w:snapToGrid w:val="0"/>
          <w:kern w:val="22"/>
          <w:szCs w:val="22"/>
        </w:rPr>
        <w:t xml:space="preserve"> of develop</w:t>
      </w:r>
      <w:r w:rsidR="005C580D" w:rsidRPr="00447583">
        <w:rPr>
          <w:snapToGrid w:val="0"/>
          <w:kern w:val="22"/>
          <w:szCs w:val="22"/>
        </w:rPr>
        <w:t>ing</w:t>
      </w:r>
      <w:r w:rsidR="008C078D" w:rsidRPr="00447583">
        <w:rPr>
          <w:snapToGrid w:val="0"/>
          <w:kern w:val="22"/>
          <w:szCs w:val="22"/>
        </w:rPr>
        <w:t xml:space="preserve"> the post-2020 </w:t>
      </w:r>
      <w:r w:rsidR="00BB2392" w:rsidRPr="00447583">
        <w:rPr>
          <w:snapToGrid w:val="0"/>
          <w:kern w:val="22"/>
          <w:szCs w:val="22"/>
        </w:rPr>
        <w:t>g</w:t>
      </w:r>
      <w:r w:rsidR="008C078D" w:rsidRPr="00447583">
        <w:rPr>
          <w:snapToGrid w:val="0"/>
          <w:kern w:val="22"/>
          <w:szCs w:val="22"/>
        </w:rPr>
        <w:t xml:space="preserve">lobal </w:t>
      </w:r>
      <w:r w:rsidR="00BB2392" w:rsidRPr="00447583">
        <w:rPr>
          <w:snapToGrid w:val="0"/>
          <w:kern w:val="22"/>
          <w:szCs w:val="22"/>
        </w:rPr>
        <w:t>b</w:t>
      </w:r>
      <w:r w:rsidR="008C078D" w:rsidRPr="00447583">
        <w:rPr>
          <w:snapToGrid w:val="0"/>
          <w:kern w:val="22"/>
          <w:szCs w:val="22"/>
        </w:rPr>
        <w:t xml:space="preserve">iodiversity </w:t>
      </w:r>
      <w:r w:rsidR="00BB2392" w:rsidRPr="00447583">
        <w:rPr>
          <w:snapToGrid w:val="0"/>
          <w:kern w:val="22"/>
          <w:szCs w:val="22"/>
        </w:rPr>
        <w:t>f</w:t>
      </w:r>
      <w:r w:rsidR="008C078D" w:rsidRPr="00447583">
        <w:rPr>
          <w:snapToGrid w:val="0"/>
          <w:kern w:val="22"/>
          <w:szCs w:val="22"/>
        </w:rPr>
        <w:t>ramework</w:t>
      </w:r>
      <w:r w:rsidR="00D274FD" w:rsidRPr="00447583">
        <w:rPr>
          <w:snapToGrid w:val="0"/>
          <w:kern w:val="22"/>
          <w:szCs w:val="22"/>
        </w:rPr>
        <w:t xml:space="preserve">. </w:t>
      </w:r>
      <w:r w:rsidR="00291A3A" w:rsidRPr="00447583">
        <w:rPr>
          <w:snapToGrid w:val="0"/>
          <w:kern w:val="22"/>
          <w:szCs w:val="22"/>
        </w:rPr>
        <w:t>A</w:t>
      </w:r>
      <w:r w:rsidR="00D274FD" w:rsidRPr="00447583">
        <w:rPr>
          <w:snapToGrid w:val="0"/>
          <w:kern w:val="22"/>
          <w:szCs w:val="22"/>
        </w:rPr>
        <w:t>ll these suggestions and views provide</w:t>
      </w:r>
      <w:r w:rsidR="00BA3949" w:rsidRPr="00447583">
        <w:rPr>
          <w:snapToGrid w:val="0"/>
          <w:kern w:val="22"/>
          <w:szCs w:val="22"/>
        </w:rPr>
        <w:t>d</w:t>
      </w:r>
      <w:r w:rsidR="00D274FD" w:rsidRPr="00447583">
        <w:rPr>
          <w:snapToGrid w:val="0"/>
          <w:kern w:val="22"/>
          <w:szCs w:val="22"/>
        </w:rPr>
        <w:t xml:space="preserve"> a basis for proposing options in the following section. Section</w:t>
      </w:r>
      <w:r w:rsidR="0071531B" w:rsidRPr="00447583">
        <w:rPr>
          <w:snapToGrid w:val="0"/>
          <w:kern w:val="22"/>
          <w:szCs w:val="22"/>
        </w:rPr>
        <w:t> </w:t>
      </w:r>
      <w:r w:rsidR="00D274FD" w:rsidRPr="00447583">
        <w:rPr>
          <w:snapToGrid w:val="0"/>
          <w:kern w:val="22"/>
          <w:szCs w:val="22"/>
        </w:rPr>
        <w:t>III present</w:t>
      </w:r>
      <w:r w:rsidR="00D67AAA" w:rsidRPr="00447583">
        <w:rPr>
          <w:snapToGrid w:val="0"/>
          <w:kern w:val="22"/>
          <w:szCs w:val="22"/>
        </w:rPr>
        <w:t>s</w:t>
      </w:r>
      <w:r w:rsidR="00D274FD" w:rsidRPr="00447583">
        <w:rPr>
          <w:snapToGrid w:val="0"/>
          <w:kern w:val="22"/>
          <w:szCs w:val="22"/>
        </w:rPr>
        <w:t xml:space="preserve"> options for concrete actions to advance synergies in reporting</w:t>
      </w:r>
      <w:r w:rsidR="00F22D26" w:rsidRPr="00447583">
        <w:rPr>
          <w:snapToGrid w:val="0"/>
          <w:kern w:val="22"/>
          <w:szCs w:val="22"/>
        </w:rPr>
        <w:t>. S</w:t>
      </w:r>
      <w:r w:rsidR="00F51EBD" w:rsidRPr="00447583">
        <w:rPr>
          <w:snapToGrid w:val="0"/>
          <w:kern w:val="22"/>
          <w:szCs w:val="22"/>
        </w:rPr>
        <w:t>ection</w:t>
      </w:r>
      <w:r w:rsidR="00D0717B" w:rsidRPr="00447583">
        <w:rPr>
          <w:snapToGrid w:val="0"/>
          <w:kern w:val="22"/>
          <w:szCs w:val="22"/>
        </w:rPr>
        <w:t> </w:t>
      </w:r>
      <w:r w:rsidR="00F51EBD" w:rsidRPr="00447583">
        <w:rPr>
          <w:snapToGrid w:val="0"/>
          <w:kern w:val="22"/>
          <w:szCs w:val="22"/>
        </w:rPr>
        <w:t xml:space="preserve">IV provides </w:t>
      </w:r>
      <w:r w:rsidR="00D274FD" w:rsidRPr="00447583">
        <w:rPr>
          <w:snapToGrid w:val="0"/>
          <w:kern w:val="22"/>
          <w:szCs w:val="22"/>
        </w:rPr>
        <w:t>a brief analysis of resource implications if all these actions are taken.</w:t>
      </w:r>
    </w:p>
    <w:p w14:paraId="5A19620A" w14:textId="74D79B52" w:rsidR="00D274FD" w:rsidRPr="00447583" w:rsidRDefault="00D274FD" w:rsidP="00912900">
      <w:pPr>
        <w:pStyle w:val="Heading1"/>
        <w:suppressLineNumbers/>
        <w:tabs>
          <w:tab w:val="clear" w:pos="720"/>
          <w:tab w:val="left" w:pos="426"/>
        </w:tabs>
        <w:suppressAutoHyphens/>
        <w:kinsoku w:val="0"/>
        <w:overflowPunct w:val="0"/>
        <w:autoSpaceDE w:val="0"/>
        <w:autoSpaceDN w:val="0"/>
        <w:adjustRightInd w:val="0"/>
        <w:snapToGrid w:val="0"/>
        <w:spacing w:before="120"/>
        <w:rPr>
          <w:rFonts w:ascii="Times New Roman Bold" w:hAnsi="Times New Roman Bold" w:cs="Times New Roman Bold"/>
          <w:snapToGrid w:val="0"/>
          <w:kern w:val="22"/>
          <w:szCs w:val="22"/>
        </w:rPr>
      </w:pPr>
      <w:bookmarkStart w:id="4" w:name="_Toc33649268"/>
      <w:r w:rsidRPr="00447583">
        <w:rPr>
          <w:rFonts w:ascii="Times New Roman Bold" w:hAnsi="Times New Roman Bold" w:cs="Times New Roman Bold"/>
          <w:snapToGrid w:val="0"/>
          <w:kern w:val="22"/>
          <w:szCs w:val="22"/>
        </w:rPr>
        <w:t xml:space="preserve">II. </w:t>
      </w:r>
      <w:r w:rsidR="00F04603" w:rsidRPr="00447583">
        <w:rPr>
          <w:rFonts w:ascii="Times New Roman Bold" w:hAnsi="Times New Roman Bold" w:cs="Times New Roman Bold"/>
          <w:snapToGrid w:val="0"/>
          <w:kern w:val="22"/>
          <w:szCs w:val="22"/>
        </w:rPr>
        <w:tab/>
      </w:r>
      <w:r w:rsidR="002730E5" w:rsidRPr="00447583">
        <w:rPr>
          <w:rFonts w:ascii="Times New Roman Bold" w:hAnsi="Times New Roman Bold" w:cs="Times New Roman Bold"/>
          <w:snapToGrid w:val="0"/>
          <w:kern w:val="22"/>
          <w:szCs w:val="22"/>
        </w:rPr>
        <w:t>Summary of relevant suggestions and views</w:t>
      </w:r>
    </w:p>
    <w:p w14:paraId="1AD2F220" w14:textId="5EB72A1F" w:rsidR="00D274FD" w:rsidRPr="00447583" w:rsidRDefault="00D274FD" w:rsidP="00ED212A">
      <w:pPr>
        <w:pStyle w:val="Heading2"/>
        <w:numPr>
          <w:ilvl w:val="0"/>
          <w:numId w:val="9"/>
        </w:numPr>
        <w:suppressLineNumbers/>
        <w:tabs>
          <w:tab w:val="clear" w:pos="720"/>
        </w:tabs>
        <w:suppressAutoHyphens/>
        <w:kinsoku w:val="0"/>
        <w:overflowPunct w:val="0"/>
        <w:autoSpaceDE w:val="0"/>
        <w:autoSpaceDN w:val="0"/>
        <w:adjustRightInd w:val="0"/>
        <w:snapToGrid w:val="0"/>
        <w:ind w:left="360"/>
        <w:rPr>
          <w:rFonts w:ascii="Times New Roman Bold" w:hAnsi="Times New Roman Bold" w:cs="Times New Roman Bold"/>
          <w:snapToGrid w:val="0"/>
          <w:kern w:val="22"/>
          <w:szCs w:val="22"/>
        </w:rPr>
      </w:pPr>
      <w:r w:rsidRPr="00447583">
        <w:rPr>
          <w:rFonts w:ascii="Times New Roman Bold" w:hAnsi="Times New Roman Bold" w:cs="Times New Roman Bold"/>
          <w:snapToGrid w:val="0"/>
          <w:kern w:val="22"/>
          <w:szCs w:val="22"/>
        </w:rPr>
        <w:t>Advice of the informal advisory group</w:t>
      </w:r>
      <w:bookmarkEnd w:id="4"/>
    </w:p>
    <w:p w14:paraId="299F7CF5" w14:textId="348B1474"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 xml:space="preserve">In its report to the Subsidiary Body on Implementation </w:t>
      </w:r>
      <w:r w:rsidR="00912900" w:rsidRPr="00447583">
        <w:rPr>
          <w:snapToGrid w:val="0"/>
          <w:kern w:val="22"/>
          <w:szCs w:val="22"/>
        </w:rPr>
        <w:t xml:space="preserve">at its second meeting </w:t>
      </w:r>
      <w:r w:rsidRPr="00447583">
        <w:rPr>
          <w:snapToGrid w:val="0"/>
          <w:kern w:val="22"/>
          <w:szCs w:val="22"/>
        </w:rPr>
        <w:t>and the Conference of the Parties</w:t>
      </w:r>
      <w:r w:rsidR="007032BB" w:rsidRPr="00447583">
        <w:rPr>
          <w:snapToGrid w:val="0"/>
          <w:kern w:val="22"/>
          <w:szCs w:val="22"/>
        </w:rPr>
        <w:t xml:space="preserve"> at its fourteenth meeting</w:t>
      </w:r>
      <w:r w:rsidR="00A41A0A" w:rsidRPr="00447583">
        <w:rPr>
          <w:snapToGrid w:val="0"/>
          <w:kern w:val="22"/>
          <w:szCs w:val="22"/>
        </w:rPr>
        <w:t xml:space="preserve"> (</w:t>
      </w:r>
      <w:hyperlink r:id="rId16" w:history="1">
        <w:r w:rsidR="00A41A0A" w:rsidRPr="00447583">
          <w:rPr>
            <w:rStyle w:val="Hyperlink"/>
            <w:snapToGrid w:val="0"/>
            <w:kern w:val="22"/>
            <w:szCs w:val="22"/>
          </w:rPr>
          <w:t>CBD/SBI/2/INF/14</w:t>
        </w:r>
      </w:hyperlink>
      <w:r w:rsidR="00A41A0A" w:rsidRPr="00447583">
        <w:rPr>
          <w:snapToGrid w:val="0"/>
          <w:kern w:val="22"/>
          <w:szCs w:val="22"/>
        </w:rPr>
        <w:t>)</w:t>
      </w:r>
      <w:r w:rsidRPr="00447583">
        <w:rPr>
          <w:snapToGrid w:val="0"/>
          <w:kern w:val="22"/>
          <w:szCs w:val="22"/>
        </w:rPr>
        <w:t xml:space="preserve">, the informal advisory group </w:t>
      </w:r>
      <w:bookmarkStart w:id="5" w:name="_Hlk61293396"/>
      <w:r w:rsidRPr="00447583">
        <w:rPr>
          <w:snapToGrid w:val="0"/>
          <w:kern w:val="22"/>
          <w:szCs w:val="22"/>
        </w:rPr>
        <w:t>on synergies among the biodiversity-related conventions</w:t>
      </w:r>
      <w:bookmarkEnd w:id="5"/>
      <w:r w:rsidRPr="00447583">
        <w:rPr>
          <w:snapToGrid w:val="0"/>
          <w:kern w:val="22"/>
          <w:szCs w:val="22"/>
        </w:rPr>
        <w:t xml:space="preserve"> provided advice relating to this issue</w:t>
      </w:r>
      <w:r w:rsidR="00D22416" w:rsidRPr="00447583">
        <w:rPr>
          <w:snapToGrid w:val="0"/>
          <w:kern w:val="22"/>
          <w:szCs w:val="22"/>
        </w:rPr>
        <w:t xml:space="preserve"> (</w:t>
      </w:r>
      <w:r w:rsidRPr="00447583">
        <w:rPr>
          <w:snapToGrid w:val="0"/>
          <w:kern w:val="22"/>
          <w:szCs w:val="22"/>
        </w:rPr>
        <w:t xml:space="preserve">although responding primarily to </w:t>
      </w:r>
      <w:r w:rsidRPr="00E12EE9">
        <w:rPr>
          <w:snapToGrid w:val="0"/>
          <w:kern w:val="22"/>
          <w:szCs w:val="22"/>
        </w:rPr>
        <w:t xml:space="preserve">decision </w:t>
      </w:r>
      <w:hyperlink r:id="rId17" w:history="1">
        <w:r w:rsidRPr="005335D3">
          <w:rPr>
            <w:rStyle w:val="Hyperlink"/>
            <w:snapToGrid w:val="0"/>
            <w:kern w:val="22"/>
            <w:szCs w:val="22"/>
          </w:rPr>
          <w:t>XIII/24</w:t>
        </w:r>
      </w:hyperlink>
      <w:r w:rsidR="00D22416" w:rsidRPr="00447583">
        <w:rPr>
          <w:snapToGrid w:val="0"/>
          <w:kern w:val="22"/>
          <w:szCs w:val="22"/>
        </w:rPr>
        <w:t>)</w:t>
      </w:r>
      <w:r w:rsidRPr="00447583">
        <w:rPr>
          <w:snapToGrid w:val="0"/>
          <w:kern w:val="22"/>
          <w:szCs w:val="22"/>
        </w:rPr>
        <w:t>. The relevant advice is as follows:</w:t>
      </w:r>
    </w:p>
    <w:p w14:paraId="668999D8" w14:textId="7534F6E7" w:rsidR="00D274FD" w:rsidRPr="00447583" w:rsidRDefault="00D274FD" w:rsidP="00ED212A">
      <w:pPr>
        <w:pStyle w:val="ListParagraph"/>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447583">
        <w:rPr>
          <w:snapToGrid w:val="0"/>
          <w:kern w:val="22"/>
          <w:szCs w:val="22"/>
        </w:rPr>
        <w:t>Taking into consideration work already done and under way on synergies relating to reporting, the Executive Secretary and members of the Liaison Group of Biodiversity-related Conventions should seek direction from convention governing bodies to enable implementation of the key action in decision XIII/24 on keeping under review opportunities for cooperation in reporting under conventions, and for ensuring interoperability between reporting systems or platforms</w:t>
      </w:r>
      <w:r w:rsidR="00D442A8" w:rsidRPr="00447583">
        <w:rPr>
          <w:snapToGrid w:val="0"/>
          <w:kern w:val="22"/>
          <w:szCs w:val="22"/>
        </w:rPr>
        <w:t>;</w:t>
      </w:r>
    </w:p>
    <w:p w14:paraId="47DFE150" w14:textId="11068549" w:rsidR="00D274FD" w:rsidRPr="00447583" w:rsidRDefault="00D274FD" w:rsidP="00ED212A">
      <w:pPr>
        <w:pStyle w:val="ListParagraph"/>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447583">
        <w:rPr>
          <w:snapToGrid w:val="0"/>
          <w:kern w:val="22"/>
          <w:szCs w:val="22"/>
        </w:rPr>
        <w:t xml:space="preserve">The informal advisory group could provide advice </w:t>
      </w:r>
      <w:proofErr w:type="gramStart"/>
      <w:r w:rsidRPr="00447583">
        <w:rPr>
          <w:snapToGrid w:val="0"/>
          <w:kern w:val="22"/>
          <w:szCs w:val="22"/>
        </w:rPr>
        <w:t>with regard to</w:t>
      </w:r>
      <w:proofErr w:type="gramEnd"/>
      <w:r w:rsidRPr="00447583">
        <w:rPr>
          <w:snapToGrid w:val="0"/>
          <w:kern w:val="22"/>
          <w:szCs w:val="22"/>
        </w:rPr>
        <w:t xml:space="preserve"> ensuring a synergetic approach towards the post-2020 global biodiversity framework, including options for enhancing synergy on national reporting, including with regard to common sets of indicators and modular approaches to reporting. The</w:t>
      </w:r>
      <w:r w:rsidR="009706D9" w:rsidRPr="00447583">
        <w:rPr>
          <w:snapToGrid w:val="0"/>
          <w:kern w:val="22"/>
          <w:szCs w:val="22"/>
        </w:rPr>
        <w:t xml:space="preserve"> advisory group </w:t>
      </w:r>
      <w:r w:rsidRPr="00447583">
        <w:rPr>
          <w:snapToGrid w:val="0"/>
          <w:kern w:val="22"/>
          <w:szCs w:val="22"/>
        </w:rPr>
        <w:t>also note</w:t>
      </w:r>
      <w:r w:rsidR="009706D9" w:rsidRPr="00447583">
        <w:rPr>
          <w:snapToGrid w:val="0"/>
          <w:kern w:val="22"/>
          <w:szCs w:val="22"/>
        </w:rPr>
        <w:t>d</w:t>
      </w:r>
      <w:r w:rsidRPr="00447583">
        <w:rPr>
          <w:snapToGrid w:val="0"/>
          <w:kern w:val="22"/>
          <w:szCs w:val="22"/>
        </w:rPr>
        <w:t xml:space="preserve"> that</w:t>
      </w:r>
      <w:r w:rsidR="00C03B2B" w:rsidRPr="00447583">
        <w:rPr>
          <w:snapToGrid w:val="0"/>
          <w:kern w:val="22"/>
          <w:szCs w:val="22"/>
        </w:rPr>
        <w:t>,</w:t>
      </w:r>
      <w:r w:rsidRPr="00447583">
        <w:rPr>
          <w:snapToGrid w:val="0"/>
          <w:kern w:val="22"/>
          <w:szCs w:val="22"/>
        </w:rPr>
        <w:t xml:space="preserve"> during development of the post-2020 global biodiversity framework, work need</w:t>
      </w:r>
      <w:r w:rsidR="009706D9" w:rsidRPr="00447583">
        <w:rPr>
          <w:snapToGrid w:val="0"/>
          <w:kern w:val="22"/>
          <w:szCs w:val="22"/>
        </w:rPr>
        <w:t>ed</w:t>
      </w:r>
      <w:r w:rsidRPr="00447583">
        <w:rPr>
          <w:snapToGrid w:val="0"/>
          <w:kern w:val="22"/>
          <w:szCs w:val="22"/>
        </w:rPr>
        <w:t xml:space="preserve"> to progress in parallel on indicator and reporting processes</w:t>
      </w:r>
      <w:r w:rsidR="00D442A8" w:rsidRPr="00447583">
        <w:rPr>
          <w:snapToGrid w:val="0"/>
          <w:kern w:val="22"/>
          <w:szCs w:val="22"/>
        </w:rPr>
        <w:t>;</w:t>
      </w:r>
    </w:p>
    <w:p w14:paraId="72D39ED7" w14:textId="42F936EC" w:rsidR="00D274FD" w:rsidRPr="00447583" w:rsidRDefault="00D274FD" w:rsidP="00ED212A">
      <w:pPr>
        <w:pStyle w:val="ListParagraph"/>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447583">
        <w:rPr>
          <w:snapToGrid w:val="0"/>
          <w:kern w:val="22"/>
          <w:szCs w:val="22"/>
        </w:rPr>
        <w:t>Additional activities identified</w:t>
      </w:r>
      <w:r w:rsidR="00A425D8" w:rsidRPr="00447583">
        <w:rPr>
          <w:snapToGrid w:val="0"/>
          <w:kern w:val="22"/>
          <w:szCs w:val="22"/>
        </w:rPr>
        <w:t>,</w:t>
      </w:r>
      <w:r w:rsidRPr="00447583">
        <w:rPr>
          <w:snapToGrid w:val="0"/>
          <w:kern w:val="22"/>
          <w:szCs w:val="22"/>
        </w:rPr>
        <w:t xml:space="preserve"> relating to avoiding duplication with respect to reporting, information management and indicators, </w:t>
      </w:r>
      <w:r w:rsidR="00073C1B" w:rsidRPr="00447583">
        <w:rPr>
          <w:snapToGrid w:val="0"/>
          <w:kern w:val="22"/>
          <w:szCs w:val="22"/>
        </w:rPr>
        <w:t xml:space="preserve">among other things, </w:t>
      </w:r>
      <w:r w:rsidRPr="00447583">
        <w:rPr>
          <w:snapToGrid w:val="0"/>
          <w:kern w:val="22"/>
          <w:szCs w:val="22"/>
        </w:rPr>
        <w:t>included involving Parties in developing templates for modular reporting</w:t>
      </w:r>
      <w:r w:rsidR="00882477" w:rsidRPr="00447583">
        <w:rPr>
          <w:snapToGrid w:val="0"/>
          <w:kern w:val="22"/>
          <w:szCs w:val="22"/>
        </w:rPr>
        <w:t>,</w:t>
      </w:r>
      <w:r w:rsidRPr="00447583">
        <w:rPr>
          <w:snapToGrid w:val="0"/>
          <w:kern w:val="22"/>
          <w:szCs w:val="22"/>
        </w:rPr>
        <w:t xml:space="preserve"> and identifying where further guidance is needed relating to data management systems in the context of synergies.</w:t>
      </w:r>
    </w:p>
    <w:p w14:paraId="3B8183B5" w14:textId="6DBCD3B3"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The report of the informal advisory group also made a number of references to the value of tools for supporting national reporting and associated processes (including data collection, management and use) at the national level, for increasing access to necessary data</w:t>
      </w:r>
      <w:r w:rsidR="004D0426" w:rsidRPr="00447583">
        <w:rPr>
          <w:snapToGrid w:val="0"/>
          <w:kern w:val="22"/>
          <w:szCs w:val="22"/>
        </w:rPr>
        <w:t> </w:t>
      </w:r>
      <w:r w:rsidRPr="00447583">
        <w:rPr>
          <w:snapToGrid w:val="0"/>
          <w:kern w:val="22"/>
          <w:szCs w:val="22"/>
        </w:rPr>
        <w:t xml:space="preserve">sets, and for </w:t>
      </w:r>
      <w:r w:rsidR="00E51B5C" w:rsidRPr="00447583">
        <w:rPr>
          <w:snapToGrid w:val="0"/>
          <w:kern w:val="22"/>
          <w:szCs w:val="22"/>
        </w:rPr>
        <w:t xml:space="preserve">the </w:t>
      </w:r>
      <w:r w:rsidRPr="00447583">
        <w:rPr>
          <w:snapToGrid w:val="0"/>
          <w:kern w:val="22"/>
          <w:szCs w:val="22"/>
        </w:rPr>
        <w:t>sharing of information and data arising from national reporting processes.</w:t>
      </w:r>
    </w:p>
    <w:p w14:paraId="72A69C47" w14:textId="5FE30613" w:rsidR="00D274FD" w:rsidRPr="00447583" w:rsidRDefault="00D274FD" w:rsidP="006039C7">
      <w:pPr>
        <w:pStyle w:val="Heading2"/>
        <w:numPr>
          <w:ilvl w:val="0"/>
          <w:numId w:val="9"/>
        </w:numPr>
        <w:suppressLineNumbers/>
        <w:tabs>
          <w:tab w:val="clear" w:pos="720"/>
        </w:tabs>
        <w:suppressAutoHyphens/>
        <w:kinsoku w:val="0"/>
        <w:overflowPunct w:val="0"/>
        <w:autoSpaceDE w:val="0"/>
        <w:autoSpaceDN w:val="0"/>
        <w:adjustRightInd w:val="0"/>
        <w:snapToGrid w:val="0"/>
        <w:ind w:left="357" w:hanging="357"/>
        <w:rPr>
          <w:snapToGrid w:val="0"/>
          <w:kern w:val="22"/>
          <w:szCs w:val="22"/>
        </w:rPr>
      </w:pPr>
      <w:bookmarkStart w:id="6" w:name="_Toc33649269"/>
      <w:r w:rsidRPr="00447583">
        <w:rPr>
          <w:snapToGrid w:val="0"/>
          <w:kern w:val="22"/>
          <w:szCs w:val="22"/>
        </w:rPr>
        <w:t>Consultation with other conventions</w:t>
      </w:r>
      <w:bookmarkEnd w:id="6"/>
    </w:p>
    <w:p w14:paraId="5FACD34F" w14:textId="0123FFE2"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 xml:space="preserve">The </w:t>
      </w:r>
      <w:r w:rsidR="006925EB" w:rsidRPr="00447583">
        <w:rPr>
          <w:snapToGrid w:val="0"/>
          <w:kern w:val="22"/>
          <w:szCs w:val="22"/>
        </w:rPr>
        <w:t>present</w:t>
      </w:r>
      <w:r w:rsidRPr="00447583">
        <w:rPr>
          <w:snapToGrid w:val="0"/>
          <w:kern w:val="22"/>
          <w:szCs w:val="22"/>
        </w:rPr>
        <w:t xml:space="preserve"> document </w:t>
      </w:r>
      <w:r w:rsidR="00084042" w:rsidRPr="00447583">
        <w:rPr>
          <w:snapToGrid w:val="0"/>
          <w:kern w:val="22"/>
          <w:szCs w:val="22"/>
        </w:rPr>
        <w:t>reflects</w:t>
      </w:r>
      <w:r w:rsidRPr="00447583">
        <w:rPr>
          <w:snapToGrid w:val="0"/>
          <w:kern w:val="22"/>
          <w:szCs w:val="22"/>
        </w:rPr>
        <w:t xml:space="preserve"> the verbal and written comments received during consultations</w:t>
      </w:r>
      <w:r w:rsidR="00637C26" w:rsidRPr="00447583">
        <w:rPr>
          <w:snapToGrid w:val="0"/>
          <w:kern w:val="22"/>
          <w:szCs w:val="22"/>
        </w:rPr>
        <w:t xml:space="preserve"> with members of the Liaison Group of Biodiversity-related Conventions and the Joint Liaison Group of the Rio Conventions in teleconferences held on 30 January 2020 and 4 February 2020</w:t>
      </w:r>
      <w:r w:rsidR="00BC0839" w:rsidRPr="00447583">
        <w:rPr>
          <w:snapToGrid w:val="0"/>
          <w:kern w:val="22"/>
          <w:szCs w:val="22"/>
        </w:rPr>
        <w:t>,</w:t>
      </w:r>
      <w:r w:rsidR="00637C26" w:rsidRPr="00447583">
        <w:rPr>
          <w:snapToGrid w:val="0"/>
          <w:kern w:val="22"/>
          <w:szCs w:val="22"/>
        </w:rPr>
        <w:t xml:space="preserve"> respectively</w:t>
      </w:r>
      <w:r w:rsidRPr="00447583">
        <w:rPr>
          <w:snapToGrid w:val="0"/>
          <w:kern w:val="22"/>
          <w:szCs w:val="22"/>
        </w:rPr>
        <w:t xml:space="preserve">. </w:t>
      </w:r>
      <w:r w:rsidR="00435931" w:rsidRPr="00447583">
        <w:rPr>
          <w:snapToGrid w:val="0"/>
          <w:kern w:val="22"/>
          <w:szCs w:val="22"/>
        </w:rPr>
        <w:t>I</w:t>
      </w:r>
      <w:r w:rsidRPr="00447583">
        <w:rPr>
          <w:snapToGrid w:val="0"/>
          <w:kern w:val="22"/>
          <w:szCs w:val="22"/>
        </w:rPr>
        <w:t xml:space="preserve">t is based on the mandate provided by the Conference of the Parties to the Convention on Biological Diversity in its </w:t>
      </w:r>
      <w:r w:rsidR="00D828E0" w:rsidRPr="00447583">
        <w:rPr>
          <w:snapToGrid w:val="0"/>
          <w:kern w:val="22"/>
          <w:szCs w:val="22"/>
        </w:rPr>
        <w:t>decision 14/27</w:t>
      </w:r>
      <w:r w:rsidRPr="00447583">
        <w:rPr>
          <w:snapToGrid w:val="0"/>
          <w:kern w:val="22"/>
          <w:szCs w:val="22"/>
        </w:rPr>
        <w:t xml:space="preserve">. </w:t>
      </w:r>
      <w:r w:rsidR="00E3141C" w:rsidRPr="00447583">
        <w:rPr>
          <w:snapToGrid w:val="0"/>
          <w:kern w:val="22"/>
          <w:szCs w:val="22"/>
        </w:rPr>
        <w:t>It should be noted, w</w:t>
      </w:r>
      <w:r w:rsidR="002204E7" w:rsidRPr="00447583">
        <w:rPr>
          <w:snapToGrid w:val="0"/>
          <w:kern w:val="22"/>
          <w:szCs w:val="22"/>
        </w:rPr>
        <w:t xml:space="preserve">hen considering the options set out below for further developing collaboration and opportunities for synergies, </w:t>
      </w:r>
      <w:r w:rsidR="00B32550" w:rsidRPr="00447583">
        <w:rPr>
          <w:snapToGrid w:val="0"/>
          <w:kern w:val="22"/>
          <w:szCs w:val="22"/>
        </w:rPr>
        <w:t>that e</w:t>
      </w:r>
      <w:r w:rsidRPr="00447583">
        <w:rPr>
          <w:snapToGrid w:val="0"/>
          <w:kern w:val="22"/>
          <w:szCs w:val="22"/>
        </w:rPr>
        <w:t xml:space="preserve">ach of the other biodiversity-related conventions and Rio conventions </w:t>
      </w:r>
      <w:r w:rsidR="00170E38" w:rsidRPr="00447583">
        <w:rPr>
          <w:snapToGrid w:val="0"/>
          <w:kern w:val="22"/>
          <w:szCs w:val="22"/>
        </w:rPr>
        <w:t>has its</w:t>
      </w:r>
      <w:r w:rsidRPr="00447583">
        <w:rPr>
          <w:snapToGrid w:val="0"/>
          <w:kern w:val="22"/>
          <w:szCs w:val="22"/>
        </w:rPr>
        <w:t xml:space="preserve"> own mandates and processes which need to be followed.</w:t>
      </w:r>
    </w:p>
    <w:p w14:paraId="04336E05" w14:textId="5D1C26A4" w:rsidR="00D274FD" w:rsidRPr="00ED212A" w:rsidRDefault="00D274FD" w:rsidP="00ED212A">
      <w:pPr>
        <w:pStyle w:val="Heading2"/>
        <w:numPr>
          <w:ilvl w:val="0"/>
          <w:numId w:val="9"/>
        </w:numPr>
        <w:suppressLineNumbers/>
        <w:tabs>
          <w:tab w:val="clear" w:pos="720"/>
        </w:tabs>
        <w:suppressAutoHyphens/>
        <w:kinsoku w:val="0"/>
        <w:overflowPunct w:val="0"/>
        <w:autoSpaceDE w:val="0"/>
        <w:autoSpaceDN w:val="0"/>
        <w:adjustRightInd w:val="0"/>
        <w:snapToGrid w:val="0"/>
        <w:ind w:left="1559" w:hanging="567"/>
        <w:jc w:val="left"/>
        <w:rPr>
          <w:caps/>
          <w:snapToGrid w:val="0"/>
          <w:kern w:val="22"/>
          <w:szCs w:val="22"/>
        </w:rPr>
      </w:pPr>
      <w:bookmarkStart w:id="7" w:name="_Toc33649270"/>
      <w:r w:rsidRPr="00447583">
        <w:rPr>
          <w:snapToGrid w:val="0"/>
          <w:kern w:val="22"/>
          <w:szCs w:val="22"/>
        </w:rPr>
        <w:t>Brief</w:t>
      </w:r>
      <w:bookmarkEnd w:id="7"/>
      <w:r w:rsidRPr="00447583">
        <w:rPr>
          <w:snapToGrid w:val="0"/>
          <w:kern w:val="22"/>
          <w:szCs w:val="22"/>
        </w:rPr>
        <w:t xml:space="preserve"> </w:t>
      </w:r>
      <w:bookmarkStart w:id="8" w:name="_Toc33623313"/>
      <w:bookmarkStart w:id="9" w:name="_Toc33628434"/>
      <w:bookmarkStart w:id="10" w:name="_Toc33649272"/>
      <w:bookmarkEnd w:id="8"/>
      <w:bookmarkEnd w:id="9"/>
      <w:r w:rsidRPr="00ED212A">
        <w:rPr>
          <w:snapToGrid w:val="0"/>
          <w:kern w:val="22"/>
          <w:szCs w:val="22"/>
        </w:rPr>
        <w:t xml:space="preserve">synthesis of relevant views from the </w:t>
      </w:r>
      <w:r w:rsidR="00970154" w:rsidRPr="00ED212A">
        <w:rPr>
          <w:snapToGrid w:val="0"/>
          <w:kern w:val="22"/>
          <w:szCs w:val="22"/>
        </w:rPr>
        <w:t>process</w:t>
      </w:r>
      <w:r w:rsidR="00970154" w:rsidRPr="00447583">
        <w:rPr>
          <w:snapToGrid w:val="0"/>
          <w:kern w:val="22"/>
          <w:szCs w:val="22"/>
        </w:rPr>
        <w:t xml:space="preserve"> of developing the post-2020 global biodiversity framework</w:t>
      </w:r>
      <w:bookmarkEnd w:id="10"/>
    </w:p>
    <w:p w14:paraId="44107402" w14:textId="0693975F" w:rsidR="00D274FD" w:rsidRPr="00447583" w:rsidRDefault="00E4278F"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 xml:space="preserve">In </w:t>
      </w:r>
      <w:r w:rsidRPr="008C6A3E">
        <w:rPr>
          <w:snapToGrid w:val="0"/>
          <w:kern w:val="22"/>
          <w:szCs w:val="22"/>
        </w:rPr>
        <w:t>d</w:t>
      </w:r>
      <w:r w:rsidR="00D274FD" w:rsidRPr="008C6A3E">
        <w:rPr>
          <w:snapToGrid w:val="0"/>
          <w:kern w:val="22"/>
          <w:szCs w:val="22"/>
        </w:rPr>
        <w:t>ecision</w:t>
      </w:r>
      <w:r w:rsidR="00D274FD" w:rsidRPr="008C6A3E">
        <w:rPr>
          <w:snapToGrid w:val="0"/>
          <w:kern w:val="22"/>
          <w:szCs w:val="22"/>
        </w:rPr>
        <w:t xml:space="preserve"> </w:t>
      </w:r>
      <w:r w:rsidR="008C6A3E">
        <w:rPr>
          <w:snapToGrid w:val="0"/>
          <w:kern w:val="22"/>
          <w:szCs w:val="22"/>
        </w:rPr>
        <w:fldChar w:fldCharType="begin"/>
      </w:r>
      <w:r w:rsidR="008C6A3E">
        <w:rPr>
          <w:snapToGrid w:val="0"/>
          <w:kern w:val="22"/>
          <w:szCs w:val="22"/>
        </w:rPr>
        <w:instrText xml:space="preserve"> HYPERLINK "https://www.cbd.int/doc/decisions/cop-14/cop-14-dec-34-en.pdf" </w:instrText>
      </w:r>
      <w:r w:rsidR="008C6A3E">
        <w:rPr>
          <w:snapToGrid w:val="0"/>
          <w:kern w:val="22"/>
          <w:szCs w:val="22"/>
        </w:rPr>
      </w:r>
      <w:r w:rsidR="008C6A3E">
        <w:rPr>
          <w:snapToGrid w:val="0"/>
          <w:kern w:val="22"/>
          <w:szCs w:val="22"/>
        </w:rPr>
        <w:fldChar w:fldCharType="separate"/>
      </w:r>
      <w:r w:rsidR="00D274FD" w:rsidRPr="008C6A3E">
        <w:rPr>
          <w:rStyle w:val="Hyperlink"/>
          <w:snapToGrid w:val="0"/>
          <w:kern w:val="22"/>
          <w:szCs w:val="22"/>
        </w:rPr>
        <w:t>14/34</w:t>
      </w:r>
      <w:r w:rsidR="008C6A3E">
        <w:rPr>
          <w:snapToGrid w:val="0"/>
          <w:kern w:val="22"/>
          <w:szCs w:val="22"/>
        </w:rPr>
        <w:fldChar w:fldCharType="end"/>
      </w:r>
      <w:r w:rsidR="004B5F62" w:rsidRPr="008C6A3E">
        <w:rPr>
          <w:rStyle w:val="Hyperlink"/>
          <w:snapToGrid w:val="0"/>
          <w:color w:val="auto"/>
          <w:kern w:val="22"/>
          <w:szCs w:val="22"/>
          <w:u w:val="none"/>
        </w:rPr>
        <w:t>,</w:t>
      </w:r>
      <w:r w:rsidR="00D274FD" w:rsidRPr="00447583">
        <w:rPr>
          <w:snapToGrid w:val="0"/>
          <w:kern w:val="22"/>
          <w:szCs w:val="22"/>
        </w:rPr>
        <w:t xml:space="preserve"> on the process for developing the post-2020 global biodiversity framework</w:t>
      </w:r>
      <w:r w:rsidR="004B5F62" w:rsidRPr="00447583">
        <w:rPr>
          <w:snapToGrid w:val="0"/>
          <w:kern w:val="22"/>
          <w:szCs w:val="22"/>
        </w:rPr>
        <w:t>,</w:t>
      </w:r>
      <w:r w:rsidR="00D274FD" w:rsidRPr="00447583">
        <w:rPr>
          <w:snapToGrid w:val="0"/>
          <w:kern w:val="22"/>
          <w:szCs w:val="22"/>
        </w:rPr>
        <w:t xml:space="preserve"> </w:t>
      </w:r>
      <w:r w:rsidRPr="00447583">
        <w:rPr>
          <w:snapToGrid w:val="0"/>
          <w:kern w:val="22"/>
          <w:szCs w:val="22"/>
        </w:rPr>
        <w:t xml:space="preserve">the Conference of the Parties </w:t>
      </w:r>
      <w:r w:rsidR="00D274FD" w:rsidRPr="00447583">
        <w:rPr>
          <w:snapToGrid w:val="0"/>
          <w:kern w:val="22"/>
          <w:szCs w:val="22"/>
        </w:rPr>
        <w:t>recogni</w:t>
      </w:r>
      <w:r w:rsidR="001C1BA6" w:rsidRPr="00447583">
        <w:rPr>
          <w:snapToGrid w:val="0"/>
          <w:kern w:val="22"/>
          <w:szCs w:val="22"/>
        </w:rPr>
        <w:t>z</w:t>
      </w:r>
      <w:r w:rsidR="00D274FD" w:rsidRPr="00447583">
        <w:rPr>
          <w:snapToGrid w:val="0"/>
          <w:kern w:val="22"/>
          <w:szCs w:val="22"/>
        </w:rPr>
        <w:t>e</w:t>
      </w:r>
      <w:r w:rsidR="00F34F41" w:rsidRPr="00447583">
        <w:rPr>
          <w:snapToGrid w:val="0"/>
          <w:kern w:val="22"/>
          <w:szCs w:val="22"/>
        </w:rPr>
        <w:t>d</w:t>
      </w:r>
      <w:r w:rsidR="00D274FD" w:rsidRPr="00447583">
        <w:rPr>
          <w:snapToGrid w:val="0"/>
          <w:kern w:val="22"/>
          <w:szCs w:val="22"/>
        </w:rPr>
        <w:t xml:space="preserve"> that discussion </w:t>
      </w:r>
      <w:r w:rsidR="00F34F41" w:rsidRPr="00447583">
        <w:rPr>
          <w:snapToGrid w:val="0"/>
          <w:kern w:val="22"/>
          <w:szCs w:val="22"/>
        </w:rPr>
        <w:t>would</w:t>
      </w:r>
      <w:r w:rsidR="00D274FD" w:rsidRPr="00447583">
        <w:rPr>
          <w:snapToGrid w:val="0"/>
          <w:kern w:val="22"/>
          <w:szCs w:val="22"/>
        </w:rPr>
        <w:t xml:space="preserve"> need to address </w:t>
      </w:r>
      <w:r w:rsidR="00D274FD" w:rsidRPr="00ED212A">
        <w:rPr>
          <w:snapToGrid w:val="0"/>
          <w:kern w:val="22"/>
          <w:szCs w:val="22"/>
        </w:rPr>
        <w:t>“mechanisms for monitoring and reviewing implementation, including through the use of indicators and the alignment of national reporting under the Convention and its Protocols”</w:t>
      </w:r>
      <w:r w:rsidR="00D274FD" w:rsidRPr="00447583">
        <w:rPr>
          <w:snapToGrid w:val="0"/>
          <w:kern w:val="22"/>
          <w:szCs w:val="22"/>
        </w:rPr>
        <w:t xml:space="preserve">, and also </w:t>
      </w:r>
      <w:r w:rsidR="00D274FD" w:rsidRPr="00ED212A">
        <w:rPr>
          <w:snapToGrid w:val="0"/>
          <w:kern w:val="22"/>
          <w:szCs w:val="22"/>
        </w:rPr>
        <w:t xml:space="preserve">“means </w:t>
      </w:r>
      <w:r w:rsidR="00E46B65" w:rsidRPr="00447583">
        <w:rPr>
          <w:snapToGrid w:val="0"/>
          <w:kern w:val="22"/>
          <w:szCs w:val="22"/>
        </w:rPr>
        <w:t>of</w:t>
      </w:r>
      <w:r w:rsidR="00D274FD" w:rsidRPr="00ED212A">
        <w:rPr>
          <w:snapToGrid w:val="0"/>
          <w:kern w:val="22"/>
          <w:szCs w:val="22"/>
        </w:rPr>
        <w:t xml:space="preserve"> enhancing coherence and cooperation among the biodiversity-related conventions, including options for enhancing synergies on national reporting among the biodiversity-related conventions, Rio conventions and Sustainable Development Goals” </w:t>
      </w:r>
      <w:r w:rsidR="00D274FD" w:rsidRPr="00447583">
        <w:rPr>
          <w:snapToGrid w:val="0"/>
          <w:kern w:val="22"/>
          <w:szCs w:val="22"/>
        </w:rPr>
        <w:t>(</w:t>
      </w:r>
      <w:r w:rsidR="00BB35FB" w:rsidRPr="00447583">
        <w:rPr>
          <w:snapToGrid w:val="0"/>
          <w:kern w:val="22"/>
          <w:szCs w:val="22"/>
        </w:rPr>
        <w:t xml:space="preserve">annex, </w:t>
      </w:r>
      <w:r w:rsidR="00D274FD" w:rsidRPr="00447583">
        <w:rPr>
          <w:snapToGrid w:val="0"/>
          <w:kern w:val="22"/>
          <w:szCs w:val="22"/>
        </w:rPr>
        <w:t>paragraph 12</w:t>
      </w:r>
      <w:r w:rsidR="00635F9A" w:rsidRPr="00447583">
        <w:rPr>
          <w:snapToGrid w:val="0"/>
          <w:kern w:val="22"/>
          <w:szCs w:val="22"/>
        </w:rPr>
        <w:t xml:space="preserve"> </w:t>
      </w:r>
      <w:r w:rsidR="00A23B7D" w:rsidRPr="00447583">
        <w:rPr>
          <w:snapToGrid w:val="0"/>
          <w:kern w:val="22"/>
          <w:szCs w:val="22"/>
        </w:rPr>
        <w:t>(</w:t>
      </w:r>
      <w:r w:rsidR="00D274FD" w:rsidRPr="00447583">
        <w:rPr>
          <w:snapToGrid w:val="0"/>
          <w:kern w:val="22"/>
          <w:szCs w:val="22"/>
        </w:rPr>
        <w:t>c</w:t>
      </w:r>
      <w:r w:rsidR="00A23B7D" w:rsidRPr="00447583">
        <w:rPr>
          <w:snapToGrid w:val="0"/>
          <w:kern w:val="22"/>
          <w:szCs w:val="22"/>
        </w:rPr>
        <w:t>)</w:t>
      </w:r>
      <w:r w:rsidR="00D274FD" w:rsidRPr="00447583">
        <w:rPr>
          <w:snapToGrid w:val="0"/>
          <w:kern w:val="22"/>
          <w:szCs w:val="22"/>
        </w:rPr>
        <w:t xml:space="preserve"> and </w:t>
      </w:r>
      <w:r w:rsidR="00A23B7D" w:rsidRPr="00447583">
        <w:rPr>
          <w:snapToGrid w:val="0"/>
          <w:kern w:val="22"/>
          <w:szCs w:val="22"/>
        </w:rPr>
        <w:t>(</w:t>
      </w:r>
      <w:r w:rsidR="00D274FD" w:rsidRPr="00447583">
        <w:rPr>
          <w:snapToGrid w:val="0"/>
          <w:kern w:val="22"/>
          <w:szCs w:val="22"/>
        </w:rPr>
        <w:t>k</w:t>
      </w:r>
      <w:r w:rsidR="00A23B7D" w:rsidRPr="00447583">
        <w:rPr>
          <w:snapToGrid w:val="0"/>
          <w:kern w:val="22"/>
          <w:szCs w:val="22"/>
        </w:rPr>
        <w:t>)</w:t>
      </w:r>
      <w:r w:rsidR="00D274FD" w:rsidRPr="00447583">
        <w:rPr>
          <w:snapToGrid w:val="0"/>
          <w:kern w:val="22"/>
          <w:szCs w:val="22"/>
        </w:rPr>
        <w:t>).</w:t>
      </w:r>
    </w:p>
    <w:p w14:paraId="463F416D" w14:textId="6EDFD6FA"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lastRenderedPageBreak/>
        <w:t xml:space="preserve">The following </w:t>
      </w:r>
      <w:r w:rsidR="009E0235" w:rsidRPr="00447583">
        <w:rPr>
          <w:snapToGrid w:val="0"/>
          <w:kern w:val="22"/>
          <w:szCs w:val="22"/>
        </w:rPr>
        <w:t xml:space="preserve">are views and suggestions that </w:t>
      </w:r>
      <w:r w:rsidRPr="00447583">
        <w:rPr>
          <w:snapToGrid w:val="0"/>
          <w:kern w:val="22"/>
          <w:szCs w:val="22"/>
        </w:rPr>
        <w:t xml:space="preserve">draw on relevant discussions </w:t>
      </w:r>
      <w:r w:rsidR="00067A8E" w:rsidRPr="00447583">
        <w:rPr>
          <w:snapToGrid w:val="0"/>
          <w:kern w:val="22"/>
          <w:szCs w:val="22"/>
        </w:rPr>
        <w:t xml:space="preserve">held </w:t>
      </w:r>
      <w:r w:rsidRPr="00447583">
        <w:rPr>
          <w:snapToGrid w:val="0"/>
          <w:kern w:val="22"/>
          <w:szCs w:val="22"/>
        </w:rPr>
        <w:t xml:space="preserve">during the </w:t>
      </w:r>
      <w:r w:rsidR="00BE77DC" w:rsidRPr="00447583">
        <w:rPr>
          <w:snapToGrid w:val="0"/>
          <w:kern w:val="22"/>
          <w:szCs w:val="22"/>
        </w:rPr>
        <w:t>twenty-third</w:t>
      </w:r>
      <w:r w:rsidRPr="00447583">
        <w:rPr>
          <w:snapToGrid w:val="0"/>
          <w:kern w:val="22"/>
          <w:szCs w:val="22"/>
        </w:rPr>
        <w:t xml:space="preserve"> meeting of the Subsidiary Body on Scientific, Technical and Technological Advice, the </w:t>
      </w:r>
      <w:r w:rsidR="00BB2392" w:rsidRPr="00447583">
        <w:rPr>
          <w:snapToGrid w:val="0"/>
          <w:kern w:val="22"/>
          <w:szCs w:val="22"/>
        </w:rPr>
        <w:t>first and second</w:t>
      </w:r>
      <w:r w:rsidRPr="00447583">
        <w:rPr>
          <w:snapToGrid w:val="0"/>
          <w:kern w:val="22"/>
          <w:szCs w:val="22"/>
        </w:rPr>
        <w:t xml:space="preserve"> meetings of the Open-ended Working Group on the Post-2020 Global Biodiversity Framework, and regional and relevant thematic consultations organized by the Secretariat, including in particular the </w:t>
      </w:r>
      <w:r w:rsidR="00CC1EEF" w:rsidRPr="00447583">
        <w:rPr>
          <w:snapToGrid w:val="0"/>
          <w:kern w:val="22"/>
          <w:szCs w:val="22"/>
        </w:rPr>
        <w:t>T</w:t>
      </w:r>
      <w:r w:rsidRPr="00447583">
        <w:rPr>
          <w:snapToGrid w:val="0"/>
          <w:kern w:val="22"/>
          <w:szCs w:val="22"/>
        </w:rPr>
        <w:t xml:space="preserve">hematic </w:t>
      </w:r>
      <w:r w:rsidR="00CC1EEF" w:rsidRPr="00447583">
        <w:rPr>
          <w:snapToGrid w:val="0"/>
          <w:kern w:val="22"/>
          <w:szCs w:val="22"/>
        </w:rPr>
        <w:t>C</w:t>
      </w:r>
      <w:r w:rsidRPr="00447583">
        <w:rPr>
          <w:snapToGrid w:val="0"/>
          <w:kern w:val="22"/>
          <w:szCs w:val="22"/>
        </w:rPr>
        <w:t xml:space="preserve">onsultation on </w:t>
      </w:r>
      <w:r w:rsidR="00CC1EEF" w:rsidRPr="00447583">
        <w:rPr>
          <w:snapToGrid w:val="0"/>
          <w:kern w:val="22"/>
          <w:szCs w:val="22"/>
        </w:rPr>
        <w:t>T</w:t>
      </w:r>
      <w:r w:rsidRPr="00447583">
        <w:rPr>
          <w:snapToGrid w:val="0"/>
          <w:kern w:val="22"/>
          <w:szCs w:val="22"/>
        </w:rPr>
        <w:t xml:space="preserve">ransparent </w:t>
      </w:r>
      <w:r w:rsidR="00CC1EEF" w:rsidRPr="00447583">
        <w:rPr>
          <w:snapToGrid w:val="0"/>
          <w:kern w:val="22"/>
          <w:szCs w:val="22"/>
        </w:rPr>
        <w:t>I</w:t>
      </w:r>
      <w:r w:rsidRPr="00447583">
        <w:rPr>
          <w:snapToGrid w:val="0"/>
          <w:kern w:val="22"/>
          <w:szCs w:val="22"/>
        </w:rPr>
        <w:t xml:space="preserve">mplementation, </w:t>
      </w:r>
      <w:r w:rsidR="00CC1EEF" w:rsidRPr="00447583">
        <w:rPr>
          <w:snapToGrid w:val="0"/>
          <w:kern w:val="22"/>
          <w:szCs w:val="22"/>
        </w:rPr>
        <w:t>M</w:t>
      </w:r>
      <w:r w:rsidRPr="00447583">
        <w:rPr>
          <w:snapToGrid w:val="0"/>
          <w:kern w:val="22"/>
          <w:szCs w:val="22"/>
        </w:rPr>
        <w:t xml:space="preserve">onitoring, </w:t>
      </w:r>
      <w:r w:rsidR="00CC1EEF" w:rsidRPr="00447583">
        <w:rPr>
          <w:snapToGrid w:val="0"/>
          <w:kern w:val="22"/>
          <w:szCs w:val="22"/>
        </w:rPr>
        <w:t>R</w:t>
      </w:r>
      <w:r w:rsidRPr="00447583">
        <w:rPr>
          <w:snapToGrid w:val="0"/>
          <w:kern w:val="22"/>
          <w:szCs w:val="22"/>
        </w:rPr>
        <w:t xml:space="preserve">eporting and </w:t>
      </w:r>
      <w:r w:rsidR="00CC1EEF" w:rsidRPr="00447583">
        <w:rPr>
          <w:snapToGrid w:val="0"/>
          <w:kern w:val="22"/>
          <w:szCs w:val="22"/>
        </w:rPr>
        <w:t>R</w:t>
      </w:r>
      <w:r w:rsidRPr="00447583">
        <w:rPr>
          <w:snapToGrid w:val="0"/>
          <w:kern w:val="22"/>
          <w:szCs w:val="22"/>
        </w:rPr>
        <w:t>eview</w:t>
      </w:r>
      <w:r w:rsidR="00B951C2" w:rsidRPr="00447583">
        <w:rPr>
          <w:snapToGrid w:val="0"/>
          <w:kern w:val="22"/>
          <w:szCs w:val="22"/>
        </w:rPr>
        <w:t xml:space="preserve"> for the Post-2020 Global Biodiversity Framework</w:t>
      </w:r>
      <w:r w:rsidRPr="00447583">
        <w:rPr>
          <w:snapToGrid w:val="0"/>
          <w:kern w:val="22"/>
          <w:szCs w:val="22"/>
        </w:rPr>
        <w:t>.</w:t>
      </w:r>
      <w:r w:rsidRPr="00447583">
        <w:rPr>
          <w:rStyle w:val="FootnoteReference"/>
          <w:snapToGrid w:val="0"/>
          <w:kern w:val="22"/>
          <w:sz w:val="22"/>
          <w:szCs w:val="22"/>
          <w:u w:val="none"/>
          <w:vertAlign w:val="superscript"/>
        </w:rPr>
        <w:footnoteReference w:id="5"/>
      </w:r>
      <w:r w:rsidRPr="00447583">
        <w:rPr>
          <w:snapToGrid w:val="0"/>
          <w:kern w:val="22"/>
          <w:szCs w:val="22"/>
        </w:rPr>
        <w:t xml:space="preserve"> They </w:t>
      </w:r>
      <w:r w:rsidR="00F809D3" w:rsidRPr="00447583">
        <w:rPr>
          <w:snapToGrid w:val="0"/>
          <w:kern w:val="22"/>
          <w:szCs w:val="22"/>
        </w:rPr>
        <w:t>also</w:t>
      </w:r>
      <w:r w:rsidRPr="00447583">
        <w:rPr>
          <w:snapToGrid w:val="0"/>
          <w:kern w:val="22"/>
          <w:szCs w:val="22"/>
        </w:rPr>
        <w:t xml:space="preserve"> draw on views expressed during the </w:t>
      </w:r>
      <w:r w:rsidR="0018636F" w:rsidRPr="00447583">
        <w:rPr>
          <w:snapToGrid w:val="0"/>
          <w:kern w:val="22"/>
          <w:szCs w:val="22"/>
        </w:rPr>
        <w:t>first</w:t>
      </w:r>
      <w:r w:rsidRPr="00447583">
        <w:rPr>
          <w:snapToGrid w:val="0"/>
          <w:kern w:val="22"/>
          <w:szCs w:val="22"/>
        </w:rPr>
        <w:t xml:space="preserve"> </w:t>
      </w:r>
      <w:r w:rsidR="00B271F4" w:rsidRPr="00447583">
        <w:rPr>
          <w:snapToGrid w:val="0"/>
          <w:kern w:val="22"/>
          <w:szCs w:val="22"/>
        </w:rPr>
        <w:t>c</w:t>
      </w:r>
      <w:r w:rsidRPr="00447583">
        <w:rPr>
          <w:snapToGrid w:val="0"/>
          <w:kern w:val="22"/>
          <w:szCs w:val="22"/>
        </w:rPr>
        <w:t xml:space="preserve">onsultation </w:t>
      </w:r>
      <w:r w:rsidR="00B271F4" w:rsidRPr="00447583">
        <w:rPr>
          <w:snapToGrid w:val="0"/>
          <w:kern w:val="22"/>
          <w:szCs w:val="22"/>
        </w:rPr>
        <w:t>w</w:t>
      </w:r>
      <w:r w:rsidRPr="00447583">
        <w:rPr>
          <w:snapToGrid w:val="0"/>
          <w:kern w:val="22"/>
          <w:szCs w:val="22"/>
        </w:rPr>
        <w:t xml:space="preserve">orkshop of </w:t>
      </w:r>
      <w:r w:rsidR="00B271F4" w:rsidRPr="00447583">
        <w:rPr>
          <w:snapToGrid w:val="0"/>
          <w:kern w:val="22"/>
          <w:szCs w:val="22"/>
        </w:rPr>
        <w:t>b</w:t>
      </w:r>
      <w:r w:rsidRPr="00447583">
        <w:rPr>
          <w:snapToGrid w:val="0"/>
          <w:kern w:val="22"/>
          <w:szCs w:val="22"/>
        </w:rPr>
        <w:t xml:space="preserve">iodiversity-related </w:t>
      </w:r>
      <w:r w:rsidR="00B271F4" w:rsidRPr="00447583">
        <w:rPr>
          <w:snapToGrid w:val="0"/>
          <w:kern w:val="22"/>
          <w:szCs w:val="22"/>
        </w:rPr>
        <w:t>c</w:t>
      </w:r>
      <w:r w:rsidRPr="00447583">
        <w:rPr>
          <w:snapToGrid w:val="0"/>
          <w:kern w:val="22"/>
          <w:szCs w:val="22"/>
        </w:rPr>
        <w:t xml:space="preserve">onventions on the </w:t>
      </w:r>
      <w:r w:rsidR="00B271F4" w:rsidRPr="00447583">
        <w:rPr>
          <w:snapToGrid w:val="0"/>
          <w:kern w:val="22"/>
          <w:szCs w:val="22"/>
        </w:rPr>
        <w:t>p</w:t>
      </w:r>
      <w:r w:rsidRPr="00447583">
        <w:rPr>
          <w:snapToGrid w:val="0"/>
          <w:kern w:val="22"/>
          <w:szCs w:val="22"/>
        </w:rPr>
        <w:t xml:space="preserve">ost-2020 </w:t>
      </w:r>
      <w:r w:rsidR="00B271F4" w:rsidRPr="00447583">
        <w:rPr>
          <w:snapToGrid w:val="0"/>
          <w:kern w:val="22"/>
          <w:szCs w:val="22"/>
        </w:rPr>
        <w:t>g</w:t>
      </w:r>
      <w:r w:rsidRPr="00447583">
        <w:rPr>
          <w:snapToGrid w:val="0"/>
          <w:kern w:val="22"/>
          <w:szCs w:val="22"/>
        </w:rPr>
        <w:t xml:space="preserve">lobal </w:t>
      </w:r>
      <w:r w:rsidR="00B271F4" w:rsidRPr="00447583">
        <w:rPr>
          <w:snapToGrid w:val="0"/>
          <w:kern w:val="22"/>
          <w:szCs w:val="22"/>
        </w:rPr>
        <w:t>b</w:t>
      </w:r>
      <w:r w:rsidRPr="00447583">
        <w:rPr>
          <w:snapToGrid w:val="0"/>
          <w:kern w:val="22"/>
          <w:szCs w:val="22"/>
        </w:rPr>
        <w:t xml:space="preserve">iodiversity </w:t>
      </w:r>
      <w:r w:rsidR="00B271F4" w:rsidRPr="00447583">
        <w:rPr>
          <w:snapToGrid w:val="0"/>
          <w:kern w:val="22"/>
          <w:szCs w:val="22"/>
        </w:rPr>
        <w:t>f</w:t>
      </w:r>
      <w:r w:rsidRPr="00447583">
        <w:rPr>
          <w:snapToGrid w:val="0"/>
          <w:kern w:val="22"/>
          <w:szCs w:val="22"/>
        </w:rPr>
        <w:t>ramework</w:t>
      </w:r>
      <w:r w:rsidR="00D571D7" w:rsidRPr="00447583">
        <w:rPr>
          <w:snapToGrid w:val="0"/>
          <w:kern w:val="22"/>
          <w:szCs w:val="22"/>
        </w:rPr>
        <w:t>, held in Bern from 10 to 12 June 2019</w:t>
      </w:r>
      <w:r w:rsidRPr="00447583">
        <w:rPr>
          <w:snapToGrid w:val="0"/>
          <w:kern w:val="22"/>
          <w:szCs w:val="22"/>
        </w:rPr>
        <w:t>,</w:t>
      </w:r>
      <w:r w:rsidRPr="00447583">
        <w:rPr>
          <w:rStyle w:val="FootnoteReference"/>
          <w:snapToGrid w:val="0"/>
          <w:kern w:val="22"/>
          <w:sz w:val="22"/>
          <w:szCs w:val="22"/>
          <w:u w:val="none"/>
          <w:vertAlign w:val="superscript"/>
        </w:rPr>
        <w:footnoteReference w:id="6"/>
      </w:r>
      <w:r w:rsidRPr="00447583">
        <w:rPr>
          <w:snapToGrid w:val="0"/>
          <w:kern w:val="22"/>
          <w:szCs w:val="22"/>
        </w:rPr>
        <w:t xml:space="preserve"> as well as on views expressed in submissions.</w:t>
      </w:r>
      <w:r w:rsidRPr="00447583">
        <w:rPr>
          <w:rStyle w:val="FootnoteReference"/>
          <w:snapToGrid w:val="0"/>
          <w:kern w:val="22"/>
          <w:sz w:val="22"/>
          <w:szCs w:val="22"/>
          <w:u w:val="none"/>
          <w:vertAlign w:val="superscript"/>
        </w:rPr>
        <w:footnoteReference w:id="7"/>
      </w:r>
    </w:p>
    <w:p w14:paraId="03BDBE21" w14:textId="1B5BDAB4"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 xml:space="preserve">One of the proposals </w:t>
      </w:r>
      <w:r w:rsidR="006C429E" w:rsidRPr="00447583">
        <w:rPr>
          <w:snapToGrid w:val="0"/>
          <w:kern w:val="22"/>
          <w:szCs w:val="22"/>
        </w:rPr>
        <w:t xml:space="preserve">made </w:t>
      </w:r>
      <w:r w:rsidRPr="00447583">
        <w:rPr>
          <w:snapToGrid w:val="0"/>
          <w:kern w:val="22"/>
          <w:szCs w:val="22"/>
        </w:rPr>
        <w:t xml:space="preserve">during the </w:t>
      </w:r>
      <w:r w:rsidR="00BB2392" w:rsidRPr="00447583">
        <w:rPr>
          <w:snapToGrid w:val="0"/>
          <w:kern w:val="22"/>
          <w:szCs w:val="22"/>
        </w:rPr>
        <w:t>second</w:t>
      </w:r>
      <w:r w:rsidRPr="00447583">
        <w:rPr>
          <w:snapToGrid w:val="0"/>
          <w:kern w:val="22"/>
          <w:szCs w:val="22"/>
        </w:rPr>
        <w:t xml:space="preserve"> meeting of the </w:t>
      </w:r>
      <w:r w:rsidR="00BB2392" w:rsidRPr="00447583">
        <w:rPr>
          <w:snapToGrid w:val="0"/>
          <w:kern w:val="22"/>
          <w:szCs w:val="22"/>
        </w:rPr>
        <w:t>O</w:t>
      </w:r>
      <w:r w:rsidRPr="00447583">
        <w:rPr>
          <w:snapToGrid w:val="0"/>
          <w:kern w:val="22"/>
          <w:szCs w:val="22"/>
        </w:rPr>
        <w:t xml:space="preserve">pen-ended </w:t>
      </w:r>
      <w:r w:rsidR="00BB2392" w:rsidRPr="00447583">
        <w:rPr>
          <w:snapToGrid w:val="0"/>
          <w:kern w:val="22"/>
          <w:szCs w:val="22"/>
        </w:rPr>
        <w:t>W</w:t>
      </w:r>
      <w:r w:rsidRPr="00447583">
        <w:rPr>
          <w:snapToGrid w:val="0"/>
          <w:kern w:val="22"/>
          <w:szCs w:val="22"/>
        </w:rPr>
        <w:t xml:space="preserve">orking </w:t>
      </w:r>
      <w:r w:rsidR="00BB2392" w:rsidRPr="00447583">
        <w:rPr>
          <w:snapToGrid w:val="0"/>
          <w:kern w:val="22"/>
          <w:szCs w:val="22"/>
        </w:rPr>
        <w:t>G</w:t>
      </w:r>
      <w:r w:rsidRPr="00447583">
        <w:rPr>
          <w:snapToGrid w:val="0"/>
          <w:kern w:val="22"/>
          <w:szCs w:val="22"/>
        </w:rPr>
        <w:t xml:space="preserve">roup was </w:t>
      </w:r>
      <w:r w:rsidR="00CC4B07" w:rsidRPr="00447583">
        <w:rPr>
          <w:snapToGrid w:val="0"/>
          <w:kern w:val="22"/>
          <w:szCs w:val="22"/>
        </w:rPr>
        <w:t xml:space="preserve">that </w:t>
      </w:r>
      <w:r w:rsidRPr="00447583">
        <w:rPr>
          <w:snapToGrid w:val="0"/>
          <w:kern w:val="22"/>
          <w:szCs w:val="22"/>
        </w:rPr>
        <w:t xml:space="preserve">explicit reference </w:t>
      </w:r>
      <w:r w:rsidR="00CC4B07" w:rsidRPr="00447583">
        <w:rPr>
          <w:snapToGrid w:val="0"/>
          <w:kern w:val="22"/>
          <w:szCs w:val="22"/>
        </w:rPr>
        <w:t xml:space="preserve">be made </w:t>
      </w:r>
      <w:r w:rsidRPr="00447583">
        <w:rPr>
          <w:snapToGrid w:val="0"/>
          <w:kern w:val="22"/>
          <w:szCs w:val="22"/>
        </w:rPr>
        <w:t xml:space="preserve">in the framework to further enhancing coherence and synergies of reporting systems under related multilateral environmental agreements. </w:t>
      </w:r>
      <w:r w:rsidR="006229A4" w:rsidRPr="00447583">
        <w:rPr>
          <w:snapToGrid w:val="0"/>
          <w:kern w:val="22"/>
          <w:szCs w:val="22"/>
        </w:rPr>
        <w:t>A</w:t>
      </w:r>
      <w:r w:rsidR="00CC4B07" w:rsidRPr="00447583">
        <w:rPr>
          <w:snapToGrid w:val="0"/>
          <w:kern w:val="22"/>
          <w:szCs w:val="22"/>
        </w:rPr>
        <w:t xml:space="preserve"> </w:t>
      </w:r>
      <w:r w:rsidRPr="00447583">
        <w:rPr>
          <w:snapToGrid w:val="0"/>
          <w:kern w:val="22"/>
          <w:szCs w:val="22"/>
        </w:rPr>
        <w:t xml:space="preserve">view </w:t>
      </w:r>
      <w:r w:rsidR="006229A4" w:rsidRPr="00447583">
        <w:rPr>
          <w:snapToGrid w:val="0"/>
          <w:kern w:val="22"/>
          <w:szCs w:val="22"/>
        </w:rPr>
        <w:t xml:space="preserve">had also been </w:t>
      </w:r>
      <w:r w:rsidRPr="00447583">
        <w:rPr>
          <w:snapToGrid w:val="0"/>
          <w:kern w:val="22"/>
          <w:szCs w:val="22"/>
        </w:rPr>
        <w:t xml:space="preserve">expressed at the </w:t>
      </w:r>
      <w:r w:rsidR="006229A4" w:rsidRPr="00447583">
        <w:rPr>
          <w:snapToGrid w:val="0"/>
          <w:kern w:val="22"/>
          <w:szCs w:val="22"/>
        </w:rPr>
        <w:t xml:space="preserve">June 2019 </w:t>
      </w:r>
      <w:r w:rsidR="0085073A" w:rsidRPr="00447583">
        <w:rPr>
          <w:snapToGrid w:val="0"/>
          <w:kern w:val="22"/>
          <w:szCs w:val="22"/>
        </w:rPr>
        <w:t>c</w:t>
      </w:r>
      <w:r w:rsidR="00746855" w:rsidRPr="00447583">
        <w:rPr>
          <w:snapToGrid w:val="0"/>
          <w:kern w:val="22"/>
          <w:szCs w:val="22"/>
        </w:rPr>
        <w:t xml:space="preserve">onsultation </w:t>
      </w:r>
      <w:r w:rsidR="0085073A" w:rsidRPr="00447583">
        <w:rPr>
          <w:snapToGrid w:val="0"/>
          <w:kern w:val="22"/>
          <w:szCs w:val="22"/>
        </w:rPr>
        <w:t>w</w:t>
      </w:r>
      <w:r w:rsidRPr="00447583">
        <w:rPr>
          <w:snapToGrid w:val="0"/>
          <w:kern w:val="22"/>
          <w:szCs w:val="22"/>
        </w:rPr>
        <w:t xml:space="preserve">orkshop of </w:t>
      </w:r>
      <w:r w:rsidR="0085073A" w:rsidRPr="00447583">
        <w:rPr>
          <w:snapToGrid w:val="0"/>
          <w:kern w:val="22"/>
          <w:szCs w:val="22"/>
        </w:rPr>
        <w:t>b</w:t>
      </w:r>
      <w:r w:rsidRPr="00447583">
        <w:rPr>
          <w:snapToGrid w:val="0"/>
          <w:kern w:val="22"/>
          <w:szCs w:val="22"/>
        </w:rPr>
        <w:t xml:space="preserve">iodiversity-related </w:t>
      </w:r>
      <w:r w:rsidR="0085073A" w:rsidRPr="00447583">
        <w:rPr>
          <w:snapToGrid w:val="0"/>
          <w:kern w:val="22"/>
          <w:szCs w:val="22"/>
        </w:rPr>
        <w:t>c</w:t>
      </w:r>
      <w:r w:rsidRPr="00447583">
        <w:rPr>
          <w:snapToGrid w:val="0"/>
          <w:kern w:val="22"/>
          <w:szCs w:val="22"/>
        </w:rPr>
        <w:t xml:space="preserve">onventions that </w:t>
      </w:r>
      <w:r w:rsidR="00522323" w:rsidRPr="00447583">
        <w:rPr>
          <w:snapToGrid w:val="0"/>
          <w:kern w:val="22"/>
          <w:szCs w:val="22"/>
        </w:rPr>
        <w:t>the post-2020 global biodiversity framework should include an accountability framework</w:t>
      </w:r>
      <w:r w:rsidRPr="00447583">
        <w:rPr>
          <w:snapToGrid w:val="0"/>
          <w:kern w:val="22"/>
          <w:szCs w:val="22"/>
        </w:rPr>
        <w:t xml:space="preserve"> that enable</w:t>
      </w:r>
      <w:r w:rsidR="003F2F28" w:rsidRPr="00447583">
        <w:rPr>
          <w:snapToGrid w:val="0"/>
          <w:kern w:val="22"/>
          <w:szCs w:val="22"/>
        </w:rPr>
        <w:t>d</w:t>
      </w:r>
      <w:r w:rsidRPr="00447583">
        <w:rPr>
          <w:snapToGrid w:val="0"/>
          <w:kern w:val="22"/>
          <w:szCs w:val="22"/>
        </w:rPr>
        <w:t xml:space="preserve"> coordination among assessments, indicators and national reporting under the various conventions; include</w:t>
      </w:r>
      <w:r w:rsidR="003F2F28" w:rsidRPr="00447583">
        <w:rPr>
          <w:snapToGrid w:val="0"/>
          <w:kern w:val="22"/>
          <w:szCs w:val="22"/>
        </w:rPr>
        <w:t>d</w:t>
      </w:r>
      <w:r w:rsidRPr="00447583">
        <w:rPr>
          <w:snapToGrid w:val="0"/>
          <w:kern w:val="22"/>
          <w:szCs w:val="22"/>
        </w:rPr>
        <w:t xml:space="preserve"> the potential for harmonization of data management and reporting; </w:t>
      </w:r>
      <w:r w:rsidR="003F2F28" w:rsidRPr="00447583">
        <w:rPr>
          <w:snapToGrid w:val="0"/>
          <w:kern w:val="22"/>
          <w:szCs w:val="22"/>
        </w:rPr>
        <w:t>took</w:t>
      </w:r>
      <w:r w:rsidRPr="00447583">
        <w:rPr>
          <w:snapToGrid w:val="0"/>
          <w:kern w:val="22"/>
          <w:szCs w:val="22"/>
        </w:rPr>
        <w:t xml:space="preserve"> into account </w:t>
      </w:r>
      <w:r w:rsidR="00A23B7D" w:rsidRPr="00447583">
        <w:rPr>
          <w:snapToGrid w:val="0"/>
          <w:kern w:val="22"/>
          <w:szCs w:val="22"/>
        </w:rPr>
        <w:t>monitoring, reporting and reviewing or transparency mechanisms</w:t>
      </w:r>
      <w:r w:rsidRPr="00447583">
        <w:rPr>
          <w:snapToGrid w:val="0"/>
          <w:kern w:val="22"/>
          <w:szCs w:val="22"/>
        </w:rPr>
        <w:t xml:space="preserve"> established under related conventions and their systems for monitoring; and enable</w:t>
      </w:r>
      <w:r w:rsidR="00DF25CF" w:rsidRPr="00447583">
        <w:rPr>
          <w:snapToGrid w:val="0"/>
          <w:kern w:val="22"/>
          <w:szCs w:val="22"/>
        </w:rPr>
        <w:t>d</w:t>
      </w:r>
      <w:r w:rsidRPr="00447583">
        <w:rPr>
          <w:snapToGrid w:val="0"/>
          <w:kern w:val="22"/>
          <w:szCs w:val="22"/>
        </w:rPr>
        <w:t xml:space="preserve"> a relevant involvement of non-Party stakeholders.</w:t>
      </w:r>
    </w:p>
    <w:p w14:paraId="2133AF10" w14:textId="3ED86E8A" w:rsidR="00D274FD" w:rsidRPr="00447583" w:rsidRDefault="00C7258B"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 xml:space="preserve">With respect to indicators, </w:t>
      </w:r>
      <w:r w:rsidR="00D274FD" w:rsidRPr="00447583">
        <w:rPr>
          <w:snapToGrid w:val="0"/>
          <w:kern w:val="22"/>
          <w:szCs w:val="22"/>
        </w:rPr>
        <w:t>views expressed to date include the following:</w:t>
      </w:r>
    </w:p>
    <w:p w14:paraId="56CFBFB2" w14:textId="1E9D632D" w:rsidR="00D274FD" w:rsidRPr="00447583" w:rsidRDefault="00D274FD" w:rsidP="00ED212A">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447583">
        <w:rPr>
          <w:snapToGrid w:val="0"/>
          <w:kern w:val="22"/>
          <w:szCs w:val="22"/>
        </w:rPr>
        <w:t xml:space="preserve">As a starting point the existing indicators identified in </w:t>
      </w:r>
      <w:r w:rsidRPr="00210F4B">
        <w:rPr>
          <w:snapToGrid w:val="0"/>
          <w:kern w:val="22"/>
          <w:szCs w:val="22"/>
        </w:rPr>
        <w:t xml:space="preserve">decision </w:t>
      </w:r>
      <w:hyperlink r:id="rId18" w:history="1">
        <w:r w:rsidRPr="00210F4B">
          <w:rPr>
            <w:rStyle w:val="Hyperlink"/>
            <w:snapToGrid w:val="0"/>
            <w:kern w:val="22"/>
            <w:szCs w:val="22"/>
          </w:rPr>
          <w:t>XIII/28</w:t>
        </w:r>
      </w:hyperlink>
      <w:r w:rsidRPr="00447583">
        <w:rPr>
          <w:snapToGrid w:val="0"/>
          <w:kern w:val="22"/>
          <w:szCs w:val="22"/>
        </w:rPr>
        <w:t xml:space="preserve"> should be considered, but these would be supplemented by</w:t>
      </w:r>
      <w:r w:rsidR="006662FD" w:rsidRPr="00447583">
        <w:rPr>
          <w:snapToGrid w:val="0"/>
          <w:kern w:val="22"/>
          <w:szCs w:val="22"/>
        </w:rPr>
        <w:t>, among other things,</w:t>
      </w:r>
      <w:r w:rsidRPr="00447583">
        <w:rPr>
          <w:snapToGrid w:val="0"/>
          <w:kern w:val="22"/>
          <w:szCs w:val="22"/>
        </w:rPr>
        <w:t xml:space="preserve"> </w:t>
      </w:r>
      <w:r w:rsidR="005346D2" w:rsidRPr="00447583">
        <w:rPr>
          <w:snapToGrid w:val="0"/>
          <w:kern w:val="22"/>
          <w:szCs w:val="22"/>
        </w:rPr>
        <w:t xml:space="preserve">the indicators </w:t>
      </w:r>
      <w:r w:rsidRPr="00447583">
        <w:rPr>
          <w:snapToGrid w:val="0"/>
          <w:kern w:val="22"/>
          <w:szCs w:val="22"/>
        </w:rPr>
        <w:t>used for tracking achievement of the Sustainable Development Goals, and those used by other relevant conventions and processes</w:t>
      </w:r>
      <w:r w:rsidR="00D442A8" w:rsidRPr="00447583">
        <w:rPr>
          <w:snapToGrid w:val="0"/>
          <w:kern w:val="22"/>
          <w:szCs w:val="22"/>
        </w:rPr>
        <w:t>;</w:t>
      </w:r>
    </w:p>
    <w:p w14:paraId="7AF9E30E" w14:textId="4CC97266" w:rsidR="00D274FD" w:rsidRPr="00447583" w:rsidRDefault="00D274FD" w:rsidP="00ED212A">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447583">
        <w:rPr>
          <w:snapToGrid w:val="0"/>
          <w:kern w:val="22"/>
          <w:szCs w:val="22"/>
        </w:rPr>
        <w:t xml:space="preserve">An improved implementation mechanism could include among its key features some </w:t>
      </w:r>
      <w:r w:rsidR="007E1C9D" w:rsidRPr="00447583">
        <w:rPr>
          <w:snapToGrid w:val="0"/>
          <w:kern w:val="22"/>
          <w:szCs w:val="22"/>
        </w:rPr>
        <w:t xml:space="preserve">indicators </w:t>
      </w:r>
      <w:r w:rsidRPr="00447583">
        <w:rPr>
          <w:snapToGrid w:val="0"/>
          <w:kern w:val="22"/>
          <w:szCs w:val="22"/>
        </w:rPr>
        <w:t xml:space="preserve">common </w:t>
      </w:r>
      <w:r w:rsidR="00461314" w:rsidRPr="00447583">
        <w:rPr>
          <w:snapToGrid w:val="0"/>
          <w:kern w:val="22"/>
          <w:szCs w:val="22"/>
        </w:rPr>
        <w:t>across</w:t>
      </w:r>
      <w:r w:rsidRPr="00447583">
        <w:rPr>
          <w:snapToGrid w:val="0"/>
          <w:kern w:val="22"/>
          <w:szCs w:val="22"/>
        </w:rPr>
        <w:t xml:space="preserve"> conventions.</w:t>
      </w:r>
    </w:p>
    <w:p w14:paraId="5F8896A8" w14:textId="67369C2D" w:rsidR="00D274FD" w:rsidRPr="00447583" w:rsidRDefault="000E3C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 xml:space="preserve">With respect to national reporting as part of an integrated process of transparent implementation, monitoring, reporting, and reviewing, </w:t>
      </w:r>
      <w:r w:rsidR="00D274FD" w:rsidRPr="00447583">
        <w:rPr>
          <w:snapToGrid w:val="0"/>
          <w:kern w:val="22"/>
          <w:szCs w:val="22"/>
        </w:rPr>
        <w:t xml:space="preserve">views expressed </w:t>
      </w:r>
      <w:r w:rsidR="00C7258B" w:rsidRPr="00447583">
        <w:rPr>
          <w:snapToGrid w:val="0"/>
          <w:kern w:val="22"/>
          <w:szCs w:val="22"/>
        </w:rPr>
        <w:t xml:space="preserve">to date </w:t>
      </w:r>
      <w:r w:rsidR="00D274FD" w:rsidRPr="00447583">
        <w:rPr>
          <w:snapToGrid w:val="0"/>
          <w:kern w:val="22"/>
          <w:szCs w:val="22"/>
        </w:rPr>
        <w:t>include the following:</w:t>
      </w:r>
    </w:p>
    <w:p w14:paraId="16088D91" w14:textId="75DFCD6F" w:rsidR="00D274FD" w:rsidRPr="00447583" w:rsidRDefault="00D274FD" w:rsidP="00ED212A">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447583">
        <w:rPr>
          <w:snapToGrid w:val="0"/>
          <w:kern w:val="22"/>
          <w:szCs w:val="22"/>
        </w:rPr>
        <w:t xml:space="preserve">There is potential to improve consistency and synergy across reporting processes both within and outside the Convention, including </w:t>
      </w:r>
      <w:r w:rsidR="000E3CFD" w:rsidRPr="00447583">
        <w:rPr>
          <w:snapToGrid w:val="0"/>
          <w:kern w:val="22"/>
          <w:szCs w:val="22"/>
        </w:rPr>
        <w:t xml:space="preserve">through </w:t>
      </w:r>
      <w:r w:rsidRPr="00447583">
        <w:rPr>
          <w:snapToGrid w:val="0"/>
          <w:kern w:val="22"/>
          <w:szCs w:val="22"/>
        </w:rPr>
        <w:t xml:space="preserve">improved collaboration among </w:t>
      </w:r>
      <w:r w:rsidR="00DE111C" w:rsidRPr="00447583">
        <w:rPr>
          <w:snapToGrid w:val="0"/>
          <w:kern w:val="22"/>
          <w:szCs w:val="22"/>
        </w:rPr>
        <w:t xml:space="preserve">related </w:t>
      </w:r>
      <w:r w:rsidRPr="00447583">
        <w:rPr>
          <w:snapToGrid w:val="0"/>
          <w:kern w:val="22"/>
          <w:szCs w:val="22"/>
        </w:rPr>
        <w:t>conventions for alignment of the timing of reporting, for the development of common reporting frameworks, and modular reporting systems (recogni</w:t>
      </w:r>
      <w:r w:rsidR="005E1C25" w:rsidRPr="00447583">
        <w:rPr>
          <w:snapToGrid w:val="0"/>
          <w:kern w:val="22"/>
          <w:szCs w:val="22"/>
        </w:rPr>
        <w:t>z</w:t>
      </w:r>
      <w:r w:rsidRPr="00447583">
        <w:rPr>
          <w:snapToGrid w:val="0"/>
          <w:kern w:val="22"/>
          <w:szCs w:val="22"/>
        </w:rPr>
        <w:t>ing that any efforts to address opportunities for reporting processes to be integrated must also recogni</w:t>
      </w:r>
      <w:r w:rsidR="001C1BA6" w:rsidRPr="00447583">
        <w:rPr>
          <w:snapToGrid w:val="0"/>
          <w:kern w:val="22"/>
          <w:szCs w:val="22"/>
        </w:rPr>
        <w:t>z</w:t>
      </w:r>
      <w:r w:rsidRPr="00447583">
        <w:rPr>
          <w:snapToGrid w:val="0"/>
          <w:kern w:val="22"/>
          <w:szCs w:val="22"/>
        </w:rPr>
        <w:t>e the usefulness of each system for its parent convention)</w:t>
      </w:r>
      <w:r w:rsidR="00D442A8" w:rsidRPr="00447583">
        <w:rPr>
          <w:snapToGrid w:val="0"/>
          <w:kern w:val="22"/>
          <w:szCs w:val="22"/>
        </w:rPr>
        <w:t>;</w:t>
      </w:r>
    </w:p>
    <w:p w14:paraId="612BA1AE" w14:textId="1477E200" w:rsidR="00D274FD" w:rsidRPr="00447583" w:rsidRDefault="00D274FD" w:rsidP="00ED212A">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447583">
        <w:rPr>
          <w:snapToGrid w:val="0"/>
          <w:kern w:val="22"/>
          <w:szCs w:val="22"/>
        </w:rPr>
        <w:t xml:space="preserve">There is potential for improved collaboration on developing and using a common reporting framework and an integrated reporting system among the biodiversity-related conventions (for example the Data Reporting Tool – </w:t>
      </w:r>
      <w:proofErr w:type="spellStart"/>
      <w:r w:rsidRPr="00447583">
        <w:rPr>
          <w:snapToGrid w:val="0"/>
          <w:kern w:val="22"/>
          <w:szCs w:val="22"/>
        </w:rPr>
        <w:t>DaRT</w:t>
      </w:r>
      <w:proofErr w:type="spellEnd"/>
      <w:r w:rsidRPr="00447583">
        <w:rPr>
          <w:snapToGrid w:val="0"/>
          <w:kern w:val="22"/>
          <w:szCs w:val="22"/>
        </w:rPr>
        <w:t>) in order to make data available for use under various processes, including the Sustainable Development Goals</w:t>
      </w:r>
      <w:r w:rsidR="00D442A8" w:rsidRPr="00447583">
        <w:rPr>
          <w:snapToGrid w:val="0"/>
          <w:kern w:val="22"/>
          <w:szCs w:val="22"/>
        </w:rPr>
        <w:t>;</w:t>
      </w:r>
    </w:p>
    <w:p w14:paraId="61E67E47" w14:textId="47C7E0D8" w:rsidR="00D274FD" w:rsidRPr="00447583" w:rsidRDefault="00D274FD" w:rsidP="00ED212A">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447583">
        <w:rPr>
          <w:snapToGrid w:val="0"/>
          <w:kern w:val="22"/>
          <w:szCs w:val="22"/>
        </w:rPr>
        <w:t>In assessing progress in implementing the post-2020 global biodiversity framework there is opportunity to supplement national reports with information from other sources. This might include a global stocktak</w:t>
      </w:r>
      <w:r w:rsidR="007527EA" w:rsidRPr="00447583">
        <w:rPr>
          <w:snapToGrid w:val="0"/>
          <w:kern w:val="22"/>
          <w:szCs w:val="22"/>
        </w:rPr>
        <w:t>ing</w:t>
      </w:r>
      <w:r w:rsidRPr="00447583">
        <w:rPr>
          <w:snapToGrid w:val="0"/>
          <w:kern w:val="22"/>
          <w:szCs w:val="22"/>
        </w:rPr>
        <w:t xml:space="preserve"> of level of commitment and associated implementation, the timing of which could potentially be aligned with the timing of national commitments and global stocktak</w:t>
      </w:r>
      <w:r w:rsidR="00232D16" w:rsidRPr="00447583">
        <w:rPr>
          <w:snapToGrid w:val="0"/>
          <w:kern w:val="22"/>
          <w:szCs w:val="22"/>
        </w:rPr>
        <w:t>ing</w:t>
      </w:r>
      <w:r w:rsidRPr="00447583">
        <w:rPr>
          <w:snapToGrid w:val="0"/>
          <w:kern w:val="22"/>
          <w:szCs w:val="22"/>
        </w:rPr>
        <w:t xml:space="preserve"> under the United Nations Framework Convention on Climate Change</w:t>
      </w:r>
      <w:r w:rsidR="00D442A8" w:rsidRPr="00447583">
        <w:rPr>
          <w:snapToGrid w:val="0"/>
          <w:kern w:val="22"/>
          <w:szCs w:val="22"/>
        </w:rPr>
        <w:t>;</w:t>
      </w:r>
    </w:p>
    <w:p w14:paraId="6287637A" w14:textId="3EE28354" w:rsidR="00D274FD" w:rsidRPr="00447583" w:rsidRDefault="00D274FD" w:rsidP="00ED212A">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bookmarkStart w:id="11" w:name="_Toc33623316"/>
      <w:bookmarkStart w:id="12" w:name="_Toc33628437"/>
      <w:bookmarkEnd w:id="11"/>
      <w:bookmarkEnd w:id="12"/>
      <w:r w:rsidRPr="00447583">
        <w:rPr>
          <w:snapToGrid w:val="0"/>
          <w:kern w:val="22"/>
          <w:szCs w:val="22"/>
        </w:rPr>
        <w:lastRenderedPageBreak/>
        <w:t>Strengthening national reporting should include clearer targets and indicators, and conventions and other processes could audit the inclusiveness of implementation and reporting and improve their reporting templates</w:t>
      </w:r>
      <w:r w:rsidR="00D442A8" w:rsidRPr="00447583">
        <w:rPr>
          <w:snapToGrid w:val="0"/>
          <w:kern w:val="22"/>
          <w:szCs w:val="22"/>
        </w:rPr>
        <w:t>;</w:t>
      </w:r>
    </w:p>
    <w:p w14:paraId="7F00188E" w14:textId="77777777" w:rsidR="00D274FD" w:rsidRPr="00447583" w:rsidRDefault="00D274FD" w:rsidP="00ED212A">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447583">
        <w:rPr>
          <w:snapToGrid w:val="0"/>
          <w:kern w:val="22"/>
          <w:szCs w:val="22"/>
        </w:rPr>
        <w:t>At the national level, capacity-building should be provided, with public discussion of the role and process of reporting to the conventions and other intergovernmental processes, which would strengthen the role of national reports.</w:t>
      </w:r>
    </w:p>
    <w:p w14:paraId="41BB0C9A" w14:textId="12D50B41"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Also relevant are some of the views expressed on national biodiversity strategies and actions plans (NBSAPs), particularly when taken together. These included the need for NBSAPs that reflect the full scope of the targets under the new framework, the possibility for NBSAPs to become broader</w:t>
      </w:r>
      <w:r w:rsidR="00DE111C" w:rsidRPr="00447583">
        <w:rPr>
          <w:snapToGrid w:val="0"/>
          <w:kern w:val="22"/>
          <w:szCs w:val="22"/>
        </w:rPr>
        <w:t xml:space="preserve"> whole-of-government </w:t>
      </w:r>
      <w:r w:rsidRPr="00447583">
        <w:rPr>
          <w:snapToGrid w:val="0"/>
          <w:kern w:val="22"/>
          <w:szCs w:val="22"/>
        </w:rPr>
        <w:t>instruments, the need for synergies with the Rio conventions and biodiversity-related conventions, and the need for stronger alignment of NBSAPs with national reporting.</w:t>
      </w:r>
    </w:p>
    <w:p w14:paraId="3FDF4417" w14:textId="0FB804A4"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 xml:space="preserve">While some feel that there is a need to streamline and synergize national reporting across all biodiversity-related conventions, the Rio </w:t>
      </w:r>
      <w:r w:rsidR="00812889" w:rsidRPr="00447583">
        <w:rPr>
          <w:snapToGrid w:val="0"/>
          <w:kern w:val="22"/>
          <w:szCs w:val="22"/>
        </w:rPr>
        <w:t>c</w:t>
      </w:r>
      <w:r w:rsidRPr="00447583">
        <w:rPr>
          <w:snapToGrid w:val="0"/>
          <w:kern w:val="22"/>
          <w:szCs w:val="22"/>
        </w:rPr>
        <w:t>onventions, and the monitoring process for the Sustainable Development Goals, there is no shared view on how the national reporting process under the Convention might be redesigned, or on the legal implications of cross-referencing the reports of other processes. However</w:t>
      </w:r>
      <w:r w:rsidR="005A41BB" w:rsidRPr="00447583">
        <w:rPr>
          <w:snapToGrid w:val="0"/>
          <w:kern w:val="22"/>
          <w:szCs w:val="22"/>
        </w:rPr>
        <w:t>,</w:t>
      </w:r>
      <w:r w:rsidRPr="00447583">
        <w:rPr>
          <w:snapToGrid w:val="0"/>
          <w:kern w:val="22"/>
          <w:szCs w:val="22"/>
        </w:rPr>
        <w:t xml:space="preserve"> there has been discussion of the potential to learn lessons from other processes on reporting, </w:t>
      </w:r>
      <w:r w:rsidR="00D74159" w:rsidRPr="00447583">
        <w:rPr>
          <w:snapToGrid w:val="0"/>
          <w:kern w:val="22"/>
          <w:szCs w:val="22"/>
        </w:rPr>
        <w:t>reviewing, transparency and responsibility</w:t>
      </w:r>
      <w:r w:rsidRPr="00447583">
        <w:rPr>
          <w:snapToGrid w:val="0"/>
          <w:kern w:val="22"/>
          <w:szCs w:val="22"/>
        </w:rPr>
        <w:t>.</w:t>
      </w:r>
    </w:p>
    <w:p w14:paraId="7343FF84" w14:textId="5D63CF4C"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 xml:space="preserve">The suggestion was made during the </w:t>
      </w:r>
      <w:r w:rsidR="00BB2392" w:rsidRPr="00447583">
        <w:rPr>
          <w:snapToGrid w:val="0"/>
          <w:kern w:val="22"/>
          <w:szCs w:val="22"/>
        </w:rPr>
        <w:t>second</w:t>
      </w:r>
      <w:r w:rsidRPr="00447583">
        <w:rPr>
          <w:snapToGrid w:val="0"/>
          <w:kern w:val="22"/>
          <w:szCs w:val="22"/>
        </w:rPr>
        <w:t xml:space="preserve"> meeting of the </w:t>
      </w:r>
      <w:r w:rsidR="00BB2392" w:rsidRPr="00447583">
        <w:rPr>
          <w:snapToGrid w:val="0"/>
          <w:kern w:val="22"/>
          <w:szCs w:val="22"/>
        </w:rPr>
        <w:t>O</w:t>
      </w:r>
      <w:r w:rsidRPr="00447583">
        <w:rPr>
          <w:snapToGrid w:val="0"/>
          <w:kern w:val="22"/>
          <w:szCs w:val="22"/>
        </w:rPr>
        <w:t xml:space="preserve">pen-ended </w:t>
      </w:r>
      <w:r w:rsidR="00BB2392" w:rsidRPr="00447583">
        <w:rPr>
          <w:snapToGrid w:val="0"/>
          <w:kern w:val="22"/>
          <w:szCs w:val="22"/>
        </w:rPr>
        <w:t>W</w:t>
      </w:r>
      <w:r w:rsidRPr="00447583">
        <w:rPr>
          <w:snapToGrid w:val="0"/>
          <w:kern w:val="22"/>
          <w:szCs w:val="22"/>
        </w:rPr>
        <w:t xml:space="preserve">orking </w:t>
      </w:r>
      <w:r w:rsidR="00BB2392" w:rsidRPr="00447583">
        <w:rPr>
          <w:snapToGrid w:val="0"/>
          <w:kern w:val="22"/>
          <w:szCs w:val="22"/>
        </w:rPr>
        <w:t>G</w:t>
      </w:r>
      <w:r w:rsidRPr="00447583">
        <w:rPr>
          <w:snapToGrid w:val="0"/>
          <w:kern w:val="22"/>
          <w:szCs w:val="22"/>
        </w:rPr>
        <w:t xml:space="preserve">roup that the section of the framework on responsibility and transparency should </w:t>
      </w:r>
      <w:proofErr w:type="gramStart"/>
      <w:r w:rsidRPr="00447583">
        <w:rPr>
          <w:snapToGrid w:val="0"/>
          <w:kern w:val="22"/>
          <w:szCs w:val="22"/>
        </w:rPr>
        <w:t>make reference</w:t>
      </w:r>
      <w:proofErr w:type="gramEnd"/>
      <w:r w:rsidRPr="00447583">
        <w:rPr>
          <w:snapToGrid w:val="0"/>
          <w:kern w:val="22"/>
          <w:szCs w:val="22"/>
        </w:rPr>
        <w:t xml:space="preserve"> to standardized guidelines and tools for consistency in reporting progress and gaps in the implementation of the framework. This was supplemented by a suggestion from the </w:t>
      </w:r>
      <w:r w:rsidR="00A875B8" w:rsidRPr="00447583">
        <w:rPr>
          <w:snapToGrid w:val="0"/>
          <w:kern w:val="22"/>
          <w:szCs w:val="22"/>
        </w:rPr>
        <w:t>T</w:t>
      </w:r>
      <w:r w:rsidRPr="00447583">
        <w:rPr>
          <w:snapToGrid w:val="0"/>
          <w:kern w:val="22"/>
          <w:szCs w:val="22"/>
        </w:rPr>
        <w:t xml:space="preserve">hematic </w:t>
      </w:r>
      <w:r w:rsidR="00A875B8" w:rsidRPr="00447583">
        <w:rPr>
          <w:snapToGrid w:val="0"/>
          <w:kern w:val="22"/>
          <w:szCs w:val="22"/>
        </w:rPr>
        <w:t>C</w:t>
      </w:r>
      <w:r w:rsidRPr="00447583">
        <w:rPr>
          <w:snapToGrid w:val="0"/>
          <w:kern w:val="22"/>
          <w:szCs w:val="22"/>
        </w:rPr>
        <w:t xml:space="preserve">onsultation on </w:t>
      </w:r>
      <w:r w:rsidR="00A875B8" w:rsidRPr="00447583">
        <w:rPr>
          <w:snapToGrid w:val="0"/>
          <w:kern w:val="22"/>
          <w:szCs w:val="22"/>
        </w:rPr>
        <w:t>T</w:t>
      </w:r>
      <w:r w:rsidRPr="00447583">
        <w:rPr>
          <w:snapToGrid w:val="0"/>
          <w:kern w:val="22"/>
          <w:szCs w:val="22"/>
        </w:rPr>
        <w:t xml:space="preserve">ransparent </w:t>
      </w:r>
      <w:r w:rsidR="00A875B8" w:rsidRPr="00447583">
        <w:rPr>
          <w:snapToGrid w:val="0"/>
          <w:kern w:val="22"/>
          <w:szCs w:val="22"/>
        </w:rPr>
        <w:t>I</w:t>
      </w:r>
      <w:r w:rsidRPr="00447583">
        <w:rPr>
          <w:snapToGrid w:val="0"/>
          <w:kern w:val="22"/>
          <w:szCs w:val="22"/>
        </w:rPr>
        <w:t xml:space="preserve">mplementation, </w:t>
      </w:r>
      <w:r w:rsidR="00A875B8" w:rsidRPr="00447583">
        <w:rPr>
          <w:snapToGrid w:val="0"/>
          <w:kern w:val="22"/>
          <w:szCs w:val="22"/>
        </w:rPr>
        <w:t>M</w:t>
      </w:r>
      <w:r w:rsidRPr="00447583">
        <w:rPr>
          <w:snapToGrid w:val="0"/>
          <w:kern w:val="22"/>
          <w:szCs w:val="22"/>
        </w:rPr>
        <w:t xml:space="preserve">onitoring, </w:t>
      </w:r>
      <w:r w:rsidR="00A875B8" w:rsidRPr="00447583">
        <w:rPr>
          <w:snapToGrid w:val="0"/>
          <w:kern w:val="22"/>
          <w:szCs w:val="22"/>
        </w:rPr>
        <w:t>R</w:t>
      </w:r>
      <w:r w:rsidRPr="00447583">
        <w:rPr>
          <w:snapToGrid w:val="0"/>
          <w:kern w:val="22"/>
          <w:szCs w:val="22"/>
        </w:rPr>
        <w:t xml:space="preserve">eporting and </w:t>
      </w:r>
      <w:r w:rsidR="00A875B8" w:rsidRPr="00447583">
        <w:rPr>
          <w:snapToGrid w:val="0"/>
          <w:kern w:val="22"/>
          <w:szCs w:val="22"/>
        </w:rPr>
        <w:t>R</w:t>
      </w:r>
      <w:r w:rsidRPr="00447583">
        <w:rPr>
          <w:snapToGrid w:val="0"/>
          <w:kern w:val="22"/>
          <w:szCs w:val="22"/>
        </w:rPr>
        <w:t>eview</w:t>
      </w:r>
      <w:r w:rsidR="00F269FC" w:rsidRPr="00447583">
        <w:rPr>
          <w:snapToGrid w:val="0"/>
          <w:kern w:val="22"/>
        </w:rPr>
        <w:t xml:space="preserve"> </w:t>
      </w:r>
      <w:r w:rsidR="00F269FC" w:rsidRPr="00447583">
        <w:rPr>
          <w:snapToGrid w:val="0"/>
          <w:kern w:val="22"/>
          <w:szCs w:val="22"/>
        </w:rPr>
        <w:t>for the Post-2020 Global Biodiversity Framework</w:t>
      </w:r>
      <w:r w:rsidR="00461314" w:rsidRPr="00447583">
        <w:rPr>
          <w:snapToGrid w:val="0"/>
          <w:kern w:val="22"/>
          <w:szCs w:val="22"/>
        </w:rPr>
        <w:t xml:space="preserve"> (Rome, 20-22 February 2020)</w:t>
      </w:r>
      <w:r w:rsidRPr="00447583">
        <w:rPr>
          <w:snapToGrid w:val="0"/>
          <w:kern w:val="22"/>
          <w:szCs w:val="22"/>
        </w:rPr>
        <w:t xml:space="preserve"> on the need to build/strengthen platforms to enable interoperability of data from various source</w:t>
      </w:r>
      <w:r w:rsidR="00D74159" w:rsidRPr="00447583">
        <w:rPr>
          <w:snapToGrid w:val="0"/>
          <w:kern w:val="22"/>
          <w:szCs w:val="22"/>
        </w:rPr>
        <w:t>s</w:t>
      </w:r>
      <w:r w:rsidRPr="00447583">
        <w:rPr>
          <w:snapToGrid w:val="0"/>
          <w:kern w:val="22"/>
          <w:szCs w:val="22"/>
        </w:rPr>
        <w:t>/processes.</w:t>
      </w:r>
    </w:p>
    <w:p w14:paraId="12AE7101" w14:textId="5914808F" w:rsidR="00D274FD" w:rsidRPr="00447583" w:rsidRDefault="00D274FD" w:rsidP="00ED212A">
      <w:pPr>
        <w:pStyle w:val="Heading1"/>
        <w:suppressLineNumbers/>
        <w:tabs>
          <w:tab w:val="clear" w:pos="720"/>
          <w:tab w:val="left" w:pos="426"/>
        </w:tabs>
        <w:suppressAutoHyphens/>
        <w:kinsoku w:val="0"/>
        <w:overflowPunct w:val="0"/>
        <w:autoSpaceDE w:val="0"/>
        <w:autoSpaceDN w:val="0"/>
        <w:adjustRightInd w:val="0"/>
        <w:snapToGrid w:val="0"/>
        <w:spacing w:before="120"/>
        <w:rPr>
          <w:rFonts w:ascii="Times New Roman Bold" w:hAnsi="Times New Roman Bold" w:cs="Times New Roman Bold"/>
          <w:b w:val="0"/>
          <w:caps w:val="0"/>
          <w:snapToGrid w:val="0"/>
          <w:spacing w:val="-2"/>
          <w:kern w:val="22"/>
          <w:szCs w:val="22"/>
        </w:rPr>
      </w:pPr>
      <w:bookmarkStart w:id="13" w:name="_Toc33649279"/>
      <w:bookmarkStart w:id="14" w:name="_Toc33649280"/>
      <w:bookmarkStart w:id="15" w:name="_Toc33649288"/>
      <w:bookmarkStart w:id="16" w:name="_Toc33649289"/>
      <w:bookmarkStart w:id="17" w:name="_Toc33649290"/>
      <w:bookmarkEnd w:id="13"/>
      <w:bookmarkEnd w:id="14"/>
      <w:bookmarkEnd w:id="15"/>
      <w:bookmarkEnd w:id="16"/>
      <w:r w:rsidRPr="00447583">
        <w:rPr>
          <w:rFonts w:ascii="Times New Roman Bold" w:hAnsi="Times New Roman Bold" w:cs="Times New Roman Bold"/>
          <w:snapToGrid w:val="0"/>
          <w:spacing w:val="-2"/>
          <w:kern w:val="22"/>
          <w:szCs w:val="22"/>
        </w:rPr>
        <w:t>III.</w:t>
      </w:r>
      <w:r w:rsidR="00F04603" w:rsidRPr="00447583">
        <w:rPr>
          <w:rFonts w:ascii="Times New Roman Bold" w:hAnsi="Times New Roman Bold" w:cs="Times New Roman Bold"/>
          <w:snapToGrid w:val="0"/>
          <w:spacing w:val="-2"/>
          <w:kern w:val="22"/>
          <w:szCs w:val="22"/>
        </w:rPr>
        <w:tab/>
      </w:r>
      <w:r w:rsidRPr="00447583">
        <w:rPr>
          <w:rFonts w:ascii="Times New Roman Bold" w:hAnsi="Times New Roman Bold" w:cs="Times New Roman Bold"/>
          <w:snapToGrid w:val="0"/>
          <w:spacing w:val="-2"/>
          <w:kern w:val="22"/>
          <w:szCs w:val="22"/>
        </w:rPr>
        <w:t>Options for concrete actions to advance synergies on reporting</w:t>
      </w:r>
      <w:bookmarkEnd w:id="17"/>
    </w:p>
    <w:p w14:paraId="4931E531" w14:textId="40C721DC"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In paragraph 3</w:t>
      </w:r>
      <w:r w:rsidR="00AB5B29" w:rsidRPr="00447583">
        <w:rPr>
          <w:snapToGrid w:val="0"/>
          <w:kern w:val="22"/>
          <w:szCs w:val="22"/>
        </w:rPr>
        <w:t xml:space="preserve"> </w:t>
      </w:r>
      <w:r w:rsidR="00D74159" w:rsidRPr="00447583">
        <w:rPr>
          <w:snapToGrid w:val="0"/>
          <w:kern w:val="22"/>
          <w:szCs w:val="22"/>
        </w:rPr>
        <w:t>(</w:t>
      </w:r>
      <w:r w:rsidRPr="00447583">
        <w:rPr>
          <w:snapToGrid w:val="0"/>
          <w:kern w:val="22"/>
          <w:szCs w:val="22"/>
        </w:rPr>
        <w:t>e</w:t>
      </w:r>
      <w:r w:rsidR="00D74159" w:rsidRPr="00447583">
        <w:rPr>
          <w:snapToGrid w:val="0"/>
          <w:kern w:val="22"/>
          <w:szCs w:val="22"/>
        </w:rPr>
        <w:t>)</w:t>
      </w:r>
      <w:r w:rsidRPr="00447583">
        <w:rPr>
          <w:snapToGrid w:val="0"/>
          <w:kern w:val="22"/>
          <w:szCs w:val="22"/>
        </w:rPr>
        <w:t xml:space="preserve"> of </w:t>
      </w:r>
      <w:r w:rsidRPr="00EF1AF7">
        <w:rPr>
          <w:snapToGrid w:val="0"/>
          <w:kern w:val="22"/>
          <w:szCs w:val="22"/>
        </w:rPr>
        <w:t xml:space="preserve">decision </w:t>
      </w:r>
      <w:hyperlink r:id="rId19" w:history="1">
        <w:r w:rsidRPr="00EF1AF7">
          <w:rPr>
            <w:rStyle w:val="Hyperlink"/>
            <w:snapToGrid w:val="0"/>
            <w:kern w:val="22"/>
            <w:szCs w:val="22"/>
          </w:rPr>
          <w:t>14/27</w:t>
        </w:r>
      </w:hyperlink>
      <w:r w:rsidRPr="00447583">
        <w:rPr>
          <w:snapToGrid w:val="0"/>
          <w:kern w:val="22"/>
          <w:szCs w:val="22"/>
        </w:rPr>
        <w:t>, the Conference of the Parties request</w:t>
      </w:r>
      <w:r w:rsidR="00D74159" w:rsidRPr="00447583">
        <w:rPr>
          <w:snapToGrid w:val="0"/>
          <w:kern w:val="22"/>
          <w:szCs w:val="22"/>
        </w:rPr>
        <w:t>ed</w:t>
      </w:r>
      <w:r w:rsidRPr="00447583">
        <w:rPr>
          <w:snapToGrid w:val="0"/>
          <w:kern w:val="22"/>
          <w:szCs w:val="22"/>
        </w:rPr>
        <w:t xml:space="preserve"> the Executive Secretary to focus on actions relating to common indicators, reporting modules on shared issues, interoperability of information management and reporting systems, and other options for increasing synergies in national reporting among the biodiversity-related conventions and the Rio conventions. These issues </w:t>
      </w:r>
      <w:r w:rsidR="00461314" w:rsidRPr="00447583">
        <w:rPr>
          <w:snapToGrid w:val="0"/>
          <w:kern w:val="22"/>
          <w:szCs w:val="22"/>
        </w:rPr>
        <w:t>had</w:t>
      </w:r>
      <w:r w:rsidRPr="00447583">
        <w:rPr>
          <w:snapToGrid w:val="0"/>
          <w:kern w:val="22"/>
          <w:szCs w:val="22"/>
        </w:rPr>
        <w:t xml:space="preserve"> already been addressed at least in part in </w:t>
      </w:r>
      <w:r w:rsidR="00081888" w:rsidRPr="00447583">
        <w:rPr>
          <w:snapToGrid w:val="0"/>
          <w:kern w:val="22"/>
          <w:szCs w:val="22"/>
        </w:rPr>
        <w:t xml:space="preserve">the note by the Executive Secretary </w:t>
      </w:r>
      <w:r w:rsidRPr="00447583">
        <w:rPr>
          <w:snapToGrid w:val="0"/>
          <w:kern w:val="22"/>
          <w:szCs w:val="22"/>
        </w:rPr>
        <w:t>on national reporting under the Convention and its Protocols</w:t>
      </w:r>
      <w:r w:rsidR="00081888" w:rsidRPr="00447583">
        <w:rPr>
          <w:snapToGrid w:val="0"/>
          <w:kern w:val="22"/>
          <w:szCs w:val="22"/>
        </w:rPr>
        <w:t xml:space="preserve"> (</w:t>
      </w:r>
      <w:r w:rsidR="00E36A21" w:rsidRPr="00447583">
        <w:rPr>
          <w:snapToGrid w:val="0"/>
          <w:kern w:val="22"/>
          <w:szCs w:val="22"/>
        </w:rPr>
        <w:t>CBD/SBI/2/12</w:t>
      </w:r>
      <w:r w:rsidR="00081888" w:rsidRPr="00447583">
        <w:rPr>
          <w:snapToGrid w:val="0"/>
          <w:kern w:val="22"/>
          <w:szCs w:val="22"/>
        </w:rPr>
        <w:t>)</w:t>
      </w:r>
      <w:r w:rsidRPr="00447583">
        <w:rPr>
          <w:snapToGrid w:val="0"/>
          <w:kern w:val="22"/>
          <w:szCs w:val="22"/>
        </w:rPr>
        <w:t>. The following therefore draws on that document, considering its content in the light of (a)</w:t>
      </w:r>
      <w:r w:rsidR="0053276F" w:rsidRPr="00447583">
        <w:rPr>
          <w:snapToGrid w:val="0"/>
          <w:kern w:val="22"/>
          <w:szCs w:val="22"/>
        </w:rPr>
        <w:t> </w:t>
      </w:r>
      <w:r w:rsidRPr="00447583">
        <w:rPr>
          <w:snapToGrid w:val="0"/>
          <w:kern w:val="22"/>
          <w:szCs w:val="22"/>
        </w:rPr>
        <w:t>advice from secretariats of the biodiversity-related and Rio conventions during the consultations; (</w:t>
      </w:r>
      <w:r w:rsidR="00D74159" w:rsidRPr="00447583">
        <w:rPr>
          <w:snapToGrid w:val="0"/>
          <w:kern w:val="22"/>
          <w:szCs w:val="22"/>
        </w:rPr>
        <w:t>b</w:t>
      </w:r>
      <w:r w:rsidRPr="00447583">
        <w:rPr>
          <w:snapToGrid w:val="0"/>
          <w:kern w:val="22"/>
          <w:szCs w:val="22"/>
        </w:rPr>
        <w:t>)</w:t>
      </w:r>
      <w:r w:rsidR="002730E5" w:rsidRPr="00447583">
        <w:rPr>
          <w:snapToGrid w:val="0"/>
          <w:kern w:val="22"/>
          <w:szCs w:val="22"/>
        </w:rPr>
        <w:t> </w:t>
      </w:r>
      <w:r w:rsidRPr="00447583">
        <w:rPr>
          <w:snapToGrid w:val="0"/>
          <w:kern w:val="22"/>
          <w:szCs w:val="22"/>
        </w:rPr>
        <w:t>advice from the informal advisory group on synergies; (</w:t>
      </w:r>
      <w:r w:rsidR="00D74159" w:rsidRPr="00447583">
        <w:rPr>
          <w:snapToGrid w:val="0"/>
          <w:kern w:val="22"/>
          <w:szCs w:val="22"/>
        </w:rPr>
        <w:t>c</w:t>
      </w:r>
      <w:r w:rsidRPr="00447583">
        <w:rPr>
          <w:snapToGrid w:val="0"/>
          <w:kern w:val="22"/>
          <w:szCs w:val="22"/>
        </w:rPr>
        <w:t>)</w:t>
      </w:r>
      <w:r w:rsidR="00812889" w:rsidRPr="00447583">
        <w:rPr>
          <w:snapToGrid w:val="0"/>
          <w:kern w:val="22"/>
          <w:szCs w:val="22"/>
        </w:rPr>
        <w:t> </w:t>
      </w:r>
      <w:r w:rsidRPr="00447583">
        <w:rPr>
          <w:snapToGrid w:val="0"/>
          <w:kern w:val="22"/>
          <w:szCs w:val="22"/>
        </w:rPr>
        <w:t>views expressed during consultations on the post-2020 global biodiversity framework</w:t>
      </w:r>
      <w:r w:rsidR="00D74159" w:rsidRPr="00447583">
        <w:rPr>
          <w:snapToGrid w:val="0"/>
          <w:kern w:val="22"/>
          <w:szCs w:val="22"/>
        </w:rPr>
        <w:t>, and (d)</w:t>
      </w:r>
      <w:r w:rsidR="0053276F" w:rsidRPr="00447583">
        <w:rPr>
          <w:snapToGrid w:val="0"/>
          <w:kern w:val="22"/>
          <w:szCs w:val="22"/>
        </w:rPr>
        <w:t> </w:t>
      </w:r>
      <w:r w:rsidR="00D74159" w:rsidRPr="00447583">
        <w:rPr>
          <w:snapToGrid w:val="0"/>
          <w:kern w:val="22"/>
          <w:szCs w:val="22"/>
        </w:rPr>
        <w:t>related submissions from Parties</w:t>
      </w:r>
      <w:r w:rsidRPr="00447583">
        <w:rPr>
          <w:snapToGrid w:val="0"/>
          <w:kern w:val="22"/>
          <w:szCs w:val="22"/>
        </w:rPr>
        <w:t>.</w:t>
      </w:r>
    </w:p>
    <w:p w14:paraId="1A325AA0" w14:textId="7C81EFE9"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In considering the options</w:t>
      </w:r>
      <w:r w:rsidR="005919E7" w:rsidRPr="00447583">
        <w:rPr>
          <w:snapToGrid w:val="0"/>
          <w:kern w:val="22"/>
          <w:szCs w:val="22"/>
        </w:rPr>
        <w:t xml:space="preserve"> identified below</w:t>
      </w:r>
      <w:r w:rsidRPr="00447583">
        <w:rPr>
          <w:snapToGrid w:val="0"/>
          <w:kern w:val="22"/>
          <w:szCs w:val="22"/>
        </w:rPr>
        <w:t>, it is important to recogni</w:t>
      </w:r>
      <w:r w:rsidR="001C1BA6" w:rsidRPr="00447583">
        <w:rPr>
          <w:snapToGrid w:val="0"/>
          <w:kern w:val="22"/>
          <w:szCs w:val="22"/>
        </w:rPr>
        <w:t>z</w:t>
      </w:r>
      <w:r w:rsidRPr="00447583">
        <w:rPr>
          <w:snapToGrid w:val="0"/>
          <w:kern w:val="22"/>
          <w:szCs w:val="22"/>
        </w:rPr>
        <w:t>e the potential value of a widely recogni</w:t>
      </w:r>
      <w:r w:rsidR="001C1BA6" w:rsidRPr="00447583">
        <w:rPr>
          <w:snapToGrid w:val="0"/>
          <w:kern w:val="22"/>
          <w:szCs w:val="22"/>
        </w:rPr>
        <w:t>z</w:t>
      </w:r>
      <w:r w:rsidRPr="00447583">
        <w:rPr>
          <w:snapToGrid w:val="0"/>
          <w:kern w:val="22"/>
          <w:szCs w:val="22"/>
        </w:rPr>
        <w:t>ed and widely owned post</w:t>
      </w:r>
      <w:r w:rsidRPr="00447583">
        <w:rPr>
          <w:snapToGrid w:val="0"/>
          <w:kern w:val="22"/>
          <w:szCs w:val="22"/>
        </w:rPr>
        <w:noBreakHyphen/>
        <w:t xml:space="preserve">2020 global biodiversity framework in </w:t>
      </w:r>
      <w:r w:rsidR="005A41BB" w:rsidRPr="00447583">
        <w:rPr>
          <w:snapToGrid w:val="0"/>
          <w:kern w:val="22"/>
          <w:szCs w:val="22"/>
        </w:rPr>
        <w:t>“</w:t>
      </w:r>
      <w:r w:rsidRPr="00447583">
        <w:rPr>
          <w:snapToGrid w:val="0"/>
          <w:kern w:val="22"/>
          <w:szCs w:val="22"/>
        </w:rPr>
        <w:t>driving</w:t>
      </w:r>
      <w:r w:rsidR="005A41BB" w:rsidRPr="00447583">
        <w:rPr>
          <w:snapToGrid w:val="0"/>
          <w:kern w:val="22"/>
          <w:szCs w:val="22"/>
        </w:rPr>
        <w:t>”</w:t>
      </w:r>
      <w:r w:rsidRPr="00447583">
        <w:rPr>
          <w:snapToGrid w:val="0"/>
          <w:kern w:val="22"/>
          <w:szCs w:val="22"/>
        </w:rPr>
        <w:t xml:space="preserve"> synergies. A common framework for action also provides a common framework for </w:t>
      </w:r>
      <w:r w:rsidR="00616FAE" w:rsidRPr="00447583">
        <w:rPr>
          <w:snapToGrid w:val="0"/>
          <w:kern w:val="22"/>
          <w:szCs w:val="22"/>
        </w:rPr>
        <w:t xml:space="preserve">responsibility and </w:t>
      </w:r>
      <w:r w:rsidR="00D74159" w:rsidRPr="00447583">
        <w:rPr>
          <w:snapToGrid w:val="0"/>
          <w:kern w:val="22"/>
          <w:szCs w:val="22"/>
        </w:rPr>
        <w:t>transparency</w:t>
      </w:r>
      <w:r w:rsidRPr="00447583">
        <w:rPr>
          <w:snapToGrid w:val="0"/>
          <w:kern w:val="22"/>
          <w:szCs w:val="22"/>
        </w:rPr>
        <w:t>. In this regard, with support from the Government of Finland, UNEP-WCMC undertook a review in 2015 that mapped the articles, decisions and guidance of the biodiversity-related conventions against the Aichi Biodiversity Targets, identifying ways in which the conventions related one to another in supporting delivery of the targets,</w:t>
      </w:r>
      <w:r w:rsidRPr="00447583">
        <w:rPr>
          <w:rStyle w:val="FootnoteReference"/>
          <w:snapToGrid w:val="0"/>
          <w:kern w:val="22"/>
          <w:sz w:val="22"/>
          <w:szCs w:val="22"/>
          <w:u w:val="none"/>
          <w:vertAlign w:val="superscript"/>
        </w:rPr>
        <w:footnoteReference w:id="8"/>
      </w:r>
      <w:r w:rsidRPr="00447583">
        <w:rPr>
          <w:snapToGrid w:val="0"/>
          <w:kern w:val="22"/>
          <w:szCs w:val="22"/>
        </w:rPr>
        <w:t xml:space="preserve"> demonstrating the breadth of the potential contribution.</w:t>
      </w:r>
    </w:p>
    <w:p w14:paraId="18CB6D17" w14:textId="77777777"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The first possible action to consider is therefore the following:</w:t>
      </w:r>
    </w:p>
    <w:p w14:paraId="4F24D157" w14:textId="69E9AC70" w:rsidR="00D274FD" w:rsidRPr="00447583" w:rsidRDefault="00D274FD" w:rsidP="00ED212A">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ED212A">
        <w:rPr>
          <w:bCs/>
          <w:i/>
          <w:iCs/>
          <w:snapToGrid w:val="0"/>
          <w:kern w:val="22"/>
          <w:szCs w:val="22"/>
        </w:rPr>
        <w:t>Action 1 - Alignment of goals and targets</w:t>
      </w:r>
      <w:r w:rsidRPr="00447583">
        <w:rPr>
          <w:bCs/>
          <w:snapToGrid w:val="0"/>
          <w:kern w:val="22"/>
          <w:szCs w:val="22"/>
        </w:rPr>
        <w:t>:</w:t>
      </w:r>
      <w:r w:rsidRPr="00447583">
        <w:rPr>
          <w:snapToGrid w:val="0"/>
          <w:kern w:val="22"/>
          <w:szCs w:val="22"/>
        </w:rPr>
        <w:t xml:space="preserve"> The greatest leverage and impact for enhancing synergies in reporting under the biodiversity-related conventions is at the level of alignment of goals and </w:t>
      </w:r>
      <w:r w:rsidRPr="00447583">
        <w:rPr>
          <w:snapToGrid w:val="0"/>
          <w:kern w:val="22"/>
          <w:szCs w:val="22"/>
        </w:rPr>
        <w:lastRenderedPageBreak/>
        <w:t xml:space="preserve">targets. Adoption of a post-2020 global biodiversity framework that is relevant to the mandates of other intergovernmental agreements and processes provides an opportunity for facilitating the alignment </w:t>
      </w:r>
      <w:r w:rsidR="007F4561" w:rsidRPr="00447583">
        <w:rPr>
          <w:snapToGrid w:val="0"/>
          <w:kern w:val="22"/>
          <w:szCs w:val="22"/>
        </w:rPr>
        <w:t>of</w:t>
      </w:r>
      <w:r w:rsidR="002E2179" w:rsidRPr="00447583">
        <w:rPr>
          <w:snapToGrid w:val="0"/>
          <w:kern w:val="22"/>
          <w:szCs w:val="22"/>
        </w:rPr>
        <w:t xml:space="preserve"> </w:t>
      </w:r>
      <w:r w:rsidR="001E7265" w:rsidRPr="00447583">
        <w:rPr>
          <w:snapToGrid w:val="0"/>
          <w:kern w:val="22"/>
          <w:szCs w:val="22"/>
        </w:rPr>
        <w:t>activities</w:t>
      </w:r>
      <w:r w:rsidRPr="00447583">
        <w:rPr>
          <w:snapToGrid w:val="0"/>
          <w:kern w:val="22"/>
          <w:szCs w:val="22"/>
        </w:rPr>
        <w:t xml:space="preserve"> that </w:t>
      </w:r>
      <w:r w:rsidR="001E7265" w:rsidRPr="00447583">
        <w:rPr>
          <w:snapToGrid w:val="0"/>
          <w:kern w:val="22"/>
          <w:szCs w:val="22"/>
        </w:rPr>
        <w:t>respond to</w:t>
      </w:r>
      <w:r w:rsidRPr="00447583">
        <w:rPr>
          <w:snapToGrid w:val="0"/>
          <w:kern w:val="22"/>
          <w:szCs w:val="22"/>
        </w:rPr>
        <w:t xml:space="preserve"> these agreements and processes, and therefore also of their associated reporting. This will necessitate consideration of how actions in support of each of the intergovernmental agreements and processes support implementation of the post-2020 global biodiversity framework, and </w:t>
      </w:r>
      <w:r w:rsidRPr="00ED212A">
        <w:rPr>
          <w:snapToGrid w:val="0"/>
          <w:kern w:val="22"/>
          <w:szCs w:val="22"/>
        </w:rPr>
        <w:t>vice versa</w:t>
      </w:r>
      <w:r w:rsidRPr="00447583">
        <w:rPr>
          <w:snapToGrid w:val="0"/>
          <w:kern w:val="22"/>
          <w:szCs w:val="22"/>
        </w:rPr>
        <w:t>.</w:t>
      </w:r>
    </w:p>
    <w:p w14:paraId="527FC31B" w14:textId="0E453744"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 xml:space="preserve">While </w:t>
      </w:r>
      <w:r w:rsidR="00F55521" w:rsidRPr="00447583">
        <w:rPr>
          <w:snapToGrid w:val="0"/>
          <w:kern w:val="22"/>
          <w:szCs w:val="22"/>
        </w:rPr>
        <w:t>an</w:t>
      </w:r>
      <w:r w:rsidRPr="00447583">
        <w:rPr>
          <w:snapToGrid w:val="0"/>
          <w:kern w:val="22"/>
          <w:szCs w:val="22"/>
        </w:rPr>
        <w:t xml:space="preserve"> analysis could be done by an independent body identifying how the strategies and actions of all relevant conventions and processes relate to the post-2020 global biodiversity framework, it </w:t>
      </w:r>
      <w:r w:rsidR="00D95F3B" w:rsidRPr="00447583">
        <w:rPr>
          <w:snapToGrid w:val="0"/>
          <w:kern w:val="22"/>
          <w:szCs w:val="22"/>
        </w:rPr>
        <w:t xml:space="preserve">would be </w:t>
      </w:r>
      <w:r w:rsidRPr="00447583">
        <w:rPr>
          <w:snapToGrid w:val="0"/>
          <w:kern w:val="22"/>
          <w:szCs w:val="22"/>
        </w:rPr>
        <w:t xml:space="preserve">far more effective if </w:t>
      </w:r>
      <w:r w:rsidR="00D95F3B" w:rsidRPr="00447583">
        <w:rPr>
          <w:snapToGrid w:val="0"/>
          <w:kern w:val="22"/>
          <w:szCs w:val="22"/>
        </w:rPr>
        <w:t xml:space="preserve">synergies and alignments were identified </w:t>
      </w:r>
      <w:r w:rsidRPr="00447583">
        <w:rPr>
          <w:snapToGrid w:val="0"/>
          <w:kern w:val="22"/>
          <w:szCs w:val="22"/>
        </w:rPr>
        <w:t>by each of the conventions and processes through their own advisory and governance processes</w:t>
      </w:r>
      <w:r w:rsidR="00D432EA" w:rsidRPr="00447583">
        <w:rPr>
          <w:snapToGrid w:val="0"/>
          <w:kern w:val="22"/>
          <w:szCs w:val="22"/>
        </w:rPr>
        <w:t>, as was done in some cases with respect to the Aichi B</w:t>
      </w:r>
      <w:r w:rsidR="00B271F4" w:rsidRPr="00447583">
        <w:rPr>
          <w:snapToGrid w:val="0"/>
          <w:kern w:val="22"/>
          <w:szCs w:val="22"/>
        </w:rPr>
        <w:t>iodiversity</w:t>
      </w:r>
      <w:r w:rsidR="00D432EA" w:rsidRPr="00447583">
        <w:rPr>
          <w:snapToGrid w:val="0"/>
          <w:kern w:val="22"/>
          <w:szCs w:val="22"/>
        </w:rPr>
        <w:t xml:space="preserve"> Targets</w:t>
      </w:r>
      <w:r w:rsidRPr="00447583">
        <w:rPr>
          <w:snapToGrid w:val="0"/>
          <w:kern w:val="22"/>
          <w:szCs w:val="22"/>
        </w:rPr>
        <w:t>. For example:</w:t>
      </w:r>
    </w:p>
    <w:p w14:paraId="0A6CCE1C" w14:textId="1065D272" w:rsidR="00D274FD" w:rsidRPr="00447583" w:rsidRDefault="00D274FD" w:rsidP="00ED212A">
      <w:pPr>
        <w:pStyle w:val="ListParagraph"/>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447583">
        <w:rPr>
          <w:snapToGrid w:val="0"/>
          <w:kern w:val="22"/>
          <w:szCs w:val="22"/>
        </w:rPr>
        <w:t xml:space="preserve">Following adoption of the </w:t>
      </w:r>
      <w:r w:rsidRPr="00ED212A">
        <w:rPr>
          <w:snapToGrid w:val="0"/>
          <w:kern w:val="22"/>
          <w:szCs w:val="22"/>
        </w:rPr>
        <w:t>Strategic Plan for Biodiversity 2011-2020</w:t>
      </w:r>
      <w:r w:rsidRPr="00447583">
        <w:rPr>
          <w:snapToGrid w:val="0"/>
          <w:kern w:val="22"/>
          <w:szCs w:val="22"/>
        </w:rPr>
        <w:t xml:space="preserve">, the Conference of the Parties to the Convention on Wetlands (Ramsar Convention) in 2012 adopted resolution XI.3 which included an appendix illustrating how implementation of the strategies in the Ramsar Strategic Plan 2009-2015 contributed to the Aichi Biodiversity Targets, and then when the </w:t>
      </w:r>
      <w:r w:rsidRPr="00ED212A">
        <w:rPr>
          <w:snapToGrid w:val="0"/>
          <w:kern w:val="22"/>
          <w:szCs w:val="22"/>
        </w:rPr>
        <w:t>Ramsar Strategic Plan 2016-2024</w:t>
      </w:r>
      <w:r w:rsidRPr="00447583">
        <w:rPr>
          <w:snapToGrid w:val="0"/>
          <w:kern w:val="22"/>
          <w:szCs w:val="22"/>
        </w:rPr>
        <w:t xml:space="preserve"> was adopted through resolution XII.2 a table was included showing synergies between the Aichi Biodiversity Targets and Ramsar Targets</w:t>
      </w:r>
      <w:r w:rsidR="00D442A8" w:rsidRPr="00447583">
        <w:rPr>
          <w:snapToGrid w:val="0"/>
          <w:kern w:val="22"/>
          <w:szCs w:val="22"/>
        </w:rPr>
        <w:t>;</w:t>
      </w:r>
    </w:p>
    <w:p w14:paraId="0B2BBFD9" w14:textId="2D470F5F" w:rsidR="00D274FD" w:rsidRPr="00447583" w:rsidRDefault="00D274FD" w:rsidP="00ED212A">
      <w:pPr>
        <w:pStyle w:val="ListParagraph"/>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447583">
        <w:rPr>
          <w:snapToGrid w:val="0"/>
          <w:kern w:val="22"/>
          <w:szCs w:val="22"/>
        </w:rPr>
        <w:t xml:space="preserve">Following adoption of the </w:t>
      </w:r>
      <w:r w:rsidRPr="00ED212A">
        <w:rPr>
          <w:snapToGrid w:val="0"/>
          <w:kern w:val="22"/>
          <w:szCs w:val="22"/>
        </w:rPr>
        <w:t>Strategic Plan for Biodiversity 2011-2020</w:t>
      </w:r>
      <w:r w:rsidRPr="00447583">
        <w:rPr>
          <w:snapToGrid w:val="0"/>
          <w:kern w:val="22"/>
          <w:szCs w:val="22"/>
        </w:rPr>
        <w:t>, the 7</w:t>
      </w:r>
      <w:r w:rsidRPr="00ED212A">
        <w:rPr>
          <w:snapToGrid w:val="0"/>
          <w:kern w:val="22"/>
          <w:szCs w:val="22"/>
        </w:rPr>
        <w:t>th</w:t>
      </w:r>
      <w:r w:rsidRPr="00447583">
        <w:rPr>
          <w:snapToGrid w:val="0"/>
          <w:kern w:val="22"/>
          <w:szCs w:val="22"/>
        </w:rPr>
        <w:t xml:space="preserve"> session of the Meeting of the Parties to the Agreement on the Conservation of African-Eurasian </w:t>
      </w:r>
      <w:r w:rsidR="00213B2F" w:rsidRPr="00447583">
        <w:rPr>
          <w:snapToGrid w:val="0"/>
          <w:kern w:val="22"/>
          <w:szCs w:val="22"/>
        </w:rPr>
        <w:t xml:space="preserve">Migratory </w:t>
      </w:r>
      <w:proofErr w:type="spellStart"/>
      <w:r w:rsidRPr="00447583">
        <w:rPr>
          <w:snapToGrid w:val="0"/>
          <w:kern w:val="22"/>
          <w:szCs w:val="22"/>
        </w:rPr>
        <w:t>Waterbirds</w:t>
      </w:r>
      <w:proofErr w:type="spellEnd"/>
      <w:r w:rsidRPr="00447583">
        <w:rPr>
          <w:snapToGrid w:val="0"/>
          <w:kern w:val="22"/>
          <w:szCs w:val="22"/>
        </w:rPr>
        <w:t xml:space="preserve"> (AEWA) adopted resolution 7.2 which sets out their contribution to delivering the Aichi Biodiversity Targets. The AEWA Strategic Plan 2019-2027 adopted through resolution 7.1 also identifies how it supports their delivery. Resolution 7.2 also requests the Technical Committee to prepare a final assessment of AEWA’s contributions to the </w:t>
      </w:r>
      <w:r w:rsidRPr="00ED212A">
        <w:rPr>
          <w:snapToGrid w:val="0"/>
          <w:kern w:val="22"/>
          <w:szCs w:val="22"/>
        </w:rPr>
        <w:t xml:space="preserve">Strategic Plan for Biodiversity 2011-2020 </w:t>
      </w:r>
      <w:r w:rsidRPr="00447583">
        <w:rPr>
          <w:snapToGrid w:val="0"/>
          <w:kern w:val="22"/>
          <w:szCs w:val="22"/>
        </w:rPr>
        <w:t>for consideration at the 8</w:t>
      </w:r>
      <w:r w:rsidRPr="00ED212A">
        <w:rPr>
          <w:snapToGrid w:val="0"/>
          <w:kern w:val="22"/>
          <w:szCs w:val="22"/>
        </w:rPr>
        <w:t>th</w:t>
      </w:r>
      <w:r w:rsidRPr="00447583">
        <w:rPr>
          <w:snapToGrid w:val="0"/>
          <w:kern w:val="22"/>
          <w:szCs w:val="22"/>
        </w:rPr>
        <w:t xml:space="preserve"> session of the Meeting of the Parties</w:t>
      </w:r>
      <w:r w:rsidR="00D442A8" w:rsidRPr="00447583">
        <w:rPr>
          <w:snapToGrid w:val="0"/>
          <w:kern w:val="22"/>
          <w:szCs w:val="22"/>
        </w:rPr>
        <w:t>;</w:t>
      </w:r>
    </w:p>
    <w:p w14:paraId="286B99BC" w14:textId="413A73CF" w:rsidR="00D274FD" w:rsidRPr="00447583" w:rsidRDefault="00D274FD" w:rsidP="00ED212A">
      <w:pPr>
        <w:pStyle w:val="ListParagraph"/>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spacing w:val="-1"/>
          <w:kern w:val="22"/>
          <w:szCs w:val="22"/>
        </w:rPr>
      </w:pPr>
      <w:r w:rsidRPr="00447583">
        <w:rPr>
          <w:snapToGrid w:val="0"/>
          <w:spacing w:val="-1"/>
          <w:kern w:val="22"/>
          <w:szCs w:val="22"/>
        </w:rPr>
        <w:t xml:space="preserve">The Conference of the Parties to the Convention on Migratory Species </w:t>
      </w:r>
      <w:r w:rsidR="00E505B8" w:rsidRPr="00447583">
        <w:rPr>
          <w:snapToGrid w:val="0"/>
          <w:spacing w:val="-1"/>
          <w:kern w:val="22"/>
          <w:szCs w:val="22"/>
        </w:rPr>
        <w:t xml:space="preserve">(CMS) </w:t>
      </w:r>
      <w:r w:rsidRPr="00447583">
        <w:rPr>
          <w:snapToGrid w:val="0"/>
          <w:spacing w:val="-1"/>
          <w:kern w:val="22"/>
          <w:szCs w:val="22"/>
        </w:rPr>
        <w:t xml:space="preserve">adopted the </w:t>
      </w:r>
      <w:r w:rsidRPr="00ED212A">
        <w:rPr>
          <w:snapToGrid w:val="0"/>
          <w:spacing w:val="-1"/>
          <w:kern w:val="22"/>
          <w:szCs w:val="22"/>
        </w:rPr>
        <w:t>Strategic Plan for Migratory Species 2015-2023</w:t>
      </w:r>
      <w:r w:rsidRPr="00447583">
        <w:rPr>
          <w:snapToGrid w:val="0"/>
          <w:spacing w:val="-1"/>
          <w:kern w:val="22"/>
          <w:szCs w:val="22"/>
        </w:rPr>
        <w:t xml:space="preserve"> through resolution 11.2. The working group established to develop the strategic plan actively considered relationships to the Aichi Biodiversity Targets, using the </w:t>
      </w:r>
      <w:r w:rsidRPr="00ED212A">
        <w:rPr>
          <w:snapToGrid w:val="0"/>
          <w:spacing w:val="-1"/>
          <w:kern w:val="22"/>
          <w:szCs w:val="22"/>
        </w:rPr>
        <w:t>Strategic Plan for Biodiversity 2011-2020</w:t>
      </w:r>
      <w:r w:rsidRPr="00447583">
        <w:rPr>
          <w:snapToGrid w:val="0"/>
          <w:spacing w:val="-1"/>
          <w:kern w:val="22"/>
          <w:szCs w:val="22"/>
        </w:rPr>
        <w:t xml:space="preserve"> as a framework. In addition, Annex A to the </w:t>
      </w:r>
      <w:r w:rsidR="005843CA" w:rsidRPr="00447583">
        <w:rPr>
          <w:snapToGrid w:val="0"/>
          <w:spacing w:val="-1"/>
          <w:kern w:val="22"/>
          <w:szCs w:val="22"/>
        </w:rPr>
        <w:t xml:space="preserve">CMS </w:t>
      </w:r>
      <w:r w:rsidRPr="00447583">
        <w:rPr>
          <w:snapToGrid w:val="0"/>
          <w:spacing w:val="-1"/>
          <w:kern w:val="22"/>
          <w:szCs w:val="22"/>
        </w:rPr>
        <w:t>strategic plan identifies the relationship between the CMS targets and the Aichi Biodiversity Targets.</w:t>
      </w:r>
    </w:p>
    <w:p w14:paraId="42F59A16" w14:textId="6E7110B9" w:rsidR="00D274FD" w:rsidRPr="00447583" w:rsidRDefault="00D274FD" w:rsidP="00E321AC">
      <w:pPr>
        <w:pStyle w:val="Heading2"/>
        <w:numPr>
          <w:ilvl w:val="0"/>
          <w:numId w:val="10"/>
        </w:numPr>
        <w:suppressLineNumbers/>
        <w:tabs>
          <w:tab w:val="clear" w:pos="720"/>
        </w:tabs>
        <w:suppressAutoHyphens/>
        <w:kinsoku w:val="0"/>
        <w:overflowPunct w:val="0"/>
        <w:autoSpaceDE w:val="0"/>
        <w:autoSpaceDN w:val="0"/>
        <w:adjustRightInd w:val="0"/>
        <w:snapToGrid w:val="0"/>
        <w:ind w:left="357" w:hanging="357"/>
        <w:rPr>
          <w:snapToGrid w:val="0"/>
          <w:kern w:val="22"/>
          <w:szCs w:val="22"/>
        </w:rPr>
      </w:pPr>
      <w:bookmarkStart w:id="18" w:name="_Toc33649291"/>
      <w:r w:rsidRPr="00447583">
        <w:rPr>
          <w:snapToGrid w:val="0"/>
          <w:kern w:val="22"/>
          <w:szCs w:val="22"/>
        </w:rPr>
        <w:t>Indicators</w:t>
      </w:r>
      <w:bookmarkEnd w:id="18"/>
    </w:p>
    <w:p w14:paraId="63252132" w14:textId="1C8DC483"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Increased consistency in use of indicators is addressed in paragraphs 27</w:t>
      </w:r>
      <w:r w:rsidR="00C64FE6" w:rsidRPr="00447583">
        <w:rPr>
          <w:snapToGrid w:val="0"/>
          <w:kern w:val="22"/>
          <w:szCs w:val="22"/>
        </w:rPr>
        <w:t xml:space="preserve"> to </w:t>
      </w:r>
      <w:r w:rsidRPr="00447583">
        <w:rPr>
          <w:snapToGrid w:val="0"/>
          <w:kern w:val="22"/>
          <w:szCs w:val="22"/>
        </w:rPr>
        <w:t xml:space="preserve">36 of document </w:t>
      </w:r>
      <w:hyperlink r:id="rId20" w:history="1">
        <w:r w:rsidRPr="00447583">
          <w:rPr>
            <w:rStyle w:val="Hyperlink"/>
            <w:snapToGrid w:val="0"/>
            <w:kern w:val="22"/>
            <w:szCs w:val="22"/>
          </w:rPr>
          <w:t>CBD/SBI/2/12</w:t>
        </w:r>
      </w:hyperlink>
      <w:r w:rsidRPr="00447583">
        <w:rPr>
          <w:snapToGrid w:val="0"/>
          <w:kern w:val="22"/>
          <w:szCs w:val="22"/>
        </w:rPr>
        <w:t>, which reiterated that</w:t>
      </w:r>
      <w:r w:rsidR="00E53898" w:rsidRPr="00447583">
        <w:rPr>
          <w:snapToGrid w:val="0"/>
          <w:kern w:val="22"/>
          <w:szCs w:val="22"/>
        </w:rPr>
        <w:t>,</w:t>
      </w:r>
      <w:r w:rsidRPr="00447583">
        <w:rPr>
          <w:snapToGrid w:val="0"/>
          <w:kern w:val="22"/>
          <w:szCs w:val="22"/>
        </w:rPr>
        <w:t xml:space="preserve"> in </w:t>
      </w:r>
      <w:r w:rsidRPr="004C1DC8">
        <w:rPr>
          <w:snapToGrid w:val="0"/>
          <w:kern w:val="22"/>
          <w:szCs w:val="22"/>
        </w:rPr>
        <w:t>decision XIII/28</w:t>
      </w:r>
      <w:r w:rsidR="00E53898" w:rsidRPr="004C1DC8">
        <w:rPr>
          <w:rStyle w:val="Hyperlink"/>
          <w:snapToGrid w:val="0"/>
          <w:color w:val="auto"/>
          <w:kern w:val="22"/>
          <w:szCs w:val="22"/>
          <w:u w:val="none"/>
        </w:rPr>
        <w:t>,</w:t>
      </w:r>
      <w:r w:rsidRPr="00447583">
        <w:rPr>
          <w:snapToGrid w:val="0"/>
          <w:kern w:val="22"/>
          <w:szCs w:val="22"/>
        </w:rPr>
        <w:t xml:space="preserve"> the Conference of the Parties ha</w:t>
      </w:r>
      <w:r w:rsidR="005A41BB" w:rsidRPr="00447583">
        <w:rPr>
          <w:snapToGrid w:val="0"/>
          <w:kern w:val="22"/>
          <w:szCs w:val="22"/>
        </w:rPr>
        <w:t>d</w:t>
      </w:r>
      <w:r w:rsidRPr="00447583">
        <w:rPr>
          <w:snapToGrid w:val="0"/>
          <w:kern w:val="22"/>
          <w:szCs w:val="22"/>
        </w:rPr>
        <w:t xml:space="preserve"> already recogni</w:t>
      </w:r>
      <w:r w:rsidR="001C1BA6" w:rsidRPr="00447583">
        <w:rPr>
          <w:snapToGrid w:val="0"/>
          <w:kern w:val="22"/>
          <w:szCs w:val="22"/>
        </w:rPr>
        <w:t>z</w:t>
      </w:r>
      <w:r w:rsidRPr="00447583">
        <w:rPr>
          <w:snapToGrid w:val="0"/>
          <w:kern w:val="22"/>
          <w:szCs w:val="22"/>
        </w:rPr>
        <w:t>ed t</w:t>
      </w:r>
      <w:r w:rsidRPr="00447583">
        <w:rPr>
          <w:iCs/>
          <w:snapToGrid w:val="0"/>
          <w:kern w:val="22"/>
          <w:szCs w:val="22"/>
        </w:rPr>
        <w:t xml:space="preserve">he advantages of aligning the indicators for the </w:t>
      </w:r>
      <w:r w:rsidRPr="00ED212A">
        <w:rPr>
          <w:snapToGrid w:val="0"/>
          <w:kern w:val="22"/>
          <w:szCs w:val="22"/>
        </w:rPr>
        <w:t>Strategic Plan for Biodiversity 2011-2020</w:t>
      </w:r>
      <w:r w:rsidRPr="00447583">
        <w:rPr>
          <w:iCs/>
          <w:snapToGrid w:val="0"/>
          <w:kern w:val="22"/>
          <w:szCs w:val="22"/>
        </w:rPr>
        <w:t xml:space="preserve"> and those of the Sustainable Development Goals and other relevant processes (</w:t>
      </w:r>
      <w:r w:rsidR="00D95F3B" w:rsidRPr="00447583">
        <w:rPr>
          <w:iCs/>
          <w:snapToGrid w:val="0"/>
          <w:kern w:val="22"/>
          <w:szCs w:val="22"/>
        </w:rPr>
        <w:t xml:space="preserve">as </w:t>
      </w:r>
      <w:r w:rsidRPr="00447583">
        <w:rPr>
          <w:iCs/>
          <w:snapToGrid w:val="0"/>
          <w:kern w:val="22"/>
          <w:szCs w:val="22"/>
        </w:rPr>
        <w:t xml:space="preserve">appropriate). </w:t>
      </w:r>
      <w:r w:rsidR="009873E7" w:rsidRPr="00447583">
        <w:rPr>
          <w:iCs/>
          <w:snapToGrid w:val="0"/>
          <w:kern w:val="22"/>
          <w:szCs w:val="22"/>
        </w:rPr>
        <w:t xml:space="preserve">Stated advantages included further supporting </w:t>
      </w:r>
      <w:r w:rsidR="00B27565" w:rsidRPr="00447583">
        <w:rPr>
          <w:iCs/>
          <w:snapToGrid w:val="0"/>
          <w:kern w:val="22"/>
          <w:szCs w:val="22"/>
        </w:rPr>
        <w:t xml:space="preserve">the </w:t>
      </w:r>
      <w:r w:rsidR="009873E7" w:rsidRPr="00447583">
        <w:rPr>
          <w:iCs/>
          <w:snapToGrid w:val="0"/>
          <w:kern w:val="22"/>
          <w:szCs w:val="22"/>
        </w:rPr>
        <w:t>achievement of the three objectives of the Convention and avoiding duplication of data sets and approaches. I</w:t>
      </w:r>
      <w:r w:rsidRPr="00447583">
        <w:rPr>
          <w:iCs/>
          <w:snapToGrid w:val="0"/>
          <w:kern w:val="22"/>
          <w:szCs w:val="22"/>
        </w:rPr>
        <w:t xml:space="preserve">t is safe to assume that </w:t>
      </w:r>
      <w:r w:rsidR="009873E7" w:rsidRPr="00447583">
        <w:rPr>
          <w:iCs/>
          <w:snapToGrid w:val="0"/>
          <w:kern w:val="22"/>
          <w:szCs w:val="22"/>
        </w:rPr>
        <w:t xml:space="preserve">benefits include </w:t>
      </w:r>
      <w:r w:rsidRPr="00447583">
        <w:rPr>
          <w:iCs/>
          <w:snapToGrid w:val="0"/>
          <w:kern w:val="22"/>
          <w:szCs w:val="22"/>
        </w:rPr>
        <w:t>cost</w:t>
      </w:r>
      <w:r w:rsidR="00AF62D5" w:rsidRPr="00447583">
        <w:rPr>
          <w:iCs/>
          <w:snapToGrid w:val="0"/>
          <w:kern w:val="22"/>
          <w:szCs w:val="22"/>
        </w:rPr>
        <w:t>-</w:t>
      </w:r>
      <w:r w:rsidRPr="00447583">
        <w:rPr>
          <w:iCs/>
          <w:snapToGrid w:val="0"/>
          <w:kern w:val="22"/>
          <w:szCs w:val="22"/>
        </w:rPr>
        <w:t>effectiveness, consistency of messaging and building a shared understanding of biodiversity values in the context of multiple agendas.</w:t>
      </w:r>
    </w:p>
    <w:p w14:paraId="227767E3" w14:textId="55B632C8"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iCs/>
          <w:snapToGrid w:val="0"/>
          <w:kern w:val="22"/>
          <w:szCs w:val="22"/>
        </w:rPr>
        <w:t xml:space="preserve">The annex </w:t>
      </w:r>
      <w:r w:rsidRPr="00447583">
        <w:rPr>
          <w:snapToGrid w:val="0"/>
          <w:kern w:val="22"/>
          <w:szCs w:val="22"/>
        </w:rPr>
        <w:t>to</w:t>
      </w:r>
      <w:r w:rsidRPr="00447583">
        <w:rPr>
          <w:iCs/>
          <w:snapToGrid w:val="0"/>
          <w:kern w:val="22"/>
          <w:szCs w:val="22"/>
        </w:rPr>
        <w:t xml:space="preserve"> decision XIII/28 already identifies which of the listed indicators are also indicators for the Sustainable Development Goals, and the Biodiversity Indicators partnership (BIP) website</w:t>
      </w:r>
      <w:r w:rsidRPr="00447583">
        <w:rPr>
          <w:rStyle w:val="FootnoteReference"/>
          <w:iCs/>
          <w:snapToGrid w:val="0"/>
          <w:kern w:val="22"/>
          <w:sz w:val="22"/>
          <w:szCs w:val="22"/>
          <w:u w:val="none"/>
          <w:vertAlign w:val="superscript"/>
        </w:rPr>
        <w:footnoteReference w:id="9"/>
      </w:r>
      <w:r w:rsidRPr="00447583">
        <w:rPr>
          <w:iCs/>
          <w:snapToGrid w:val="0"/>
          <w:kern w:val="22"/>
          <w:szCs w:val="22"/>
        </w:rPr>
        <w:t xml:space="preserve"> also provides a cross-mapping of indicators to both the Aichi Biodiversity Targets and Sustainable Development Goals.</w:t>
      </w:r>
      <w:r w:rsidRPr="00447583">
        <w:rPr>
          <w:rStyle w:val="FootnoteReference"/>
          <w:iCs/>
          <w:snapToGrid w:val="0"/>
          <w:kern w:val="22"/>
          <w:sz w:val="22"/>
          <w:szCs w:val="22"/>
          <w:u w:val="none"/>
          <w:vertAlign w:val="superscript"/>
        </w:rPr>
        <w:footnoteReference w:id="10"/>
      </w:r>
      <w:r w:rsidRPr="00447583">
        <w:rPr>
          <w:iCs/>
          <w:snapToGrid w:val="0"/>
          <w:kern w:val="22"/>
          <w:szCs w:val="22"/>
        </w:rPr>
        <w:t xml:space="preserve"> In November 2018, UNEP-WCMC published a mapping of current and potential use of biodiversity indicators across intergovernmental processes</w:t>
      </w:r>
      <w:r w:rsidR="009073EF" w:rsidRPr="00447583">
        <w:rPr>
          <w:iCs/>
          <w:snapToGrid w:val="0"/>
          <w:kern w:val="22"/>
          <w:szCs w:val="22"/>
        </w:rPr>
        <w:t>,</w:t>
      </w:r>
      <w:r w:rsidRPr="00447583">
        <w:rPr>
          <w:iCs/>
          <w:snapToGrid w:val="0"/>
          <w:kern w:val="22"/>
          <w:szCs w:val="22"/>
        </w:rPr>
        <w:t xml:space="preserve"> with the support of the Government of Finland.</w:t>
      </w:r>
      <w:r w:rsidRPr="00447583">
        <w:rPr>
          <w:rStyle w:val="FootnoteReference"/>
          <w:iCs/>
          <w:snapToGrid w:val="0"/>
          <w:kern w:val="22"/>
          <w:sz w:val="22"/>
          <w:szCs w:val="22"/>
          <w:u w:val="none"/>
          <w:vertAlign w:val="superscript"/>
        </w:rPr>
        <w:footnoteReference w:id="11"/>
      </w:r>
      <w:r w:rsidRPr="00447583">
        <w:rPr>
          <w:iCs/>
          <w:snapToGrid w:val="0"/>
          <w:kern w:val="22"/>
          <w:szCs w:val="22"/>
        </w:rPr>
        <w:t xml:space="preserve"> This addressed Aichi Biodiversity Targets, targets under the Sustainable Development Goals, targets in the strategic plans of the Convention on Migratory Species and the Ramsar Convention, and the </w:t>
      </w:r>
      <w:r w:rsidRPr="00447583">
        <w:rPr>
          <w:iCs/>
          <w:snapToGrid w:val="0"/>
          <w:kern w:val="22"/>
          <w:szCs w:val="22"/>
        </w:rPr>
        <w:lastRenderedPageBreak/>
        <w:t xml:space="preserve">objectives of the Strategic Vision of the Convention on International Trade in Endangered Species of Wild Fauna and Flora, as well as identifying the relationship to Biodiversity Indicator Partnership indicators and </w:t>
      </w:r>
      <w:r w:rsidR="00801BDC" w:rsidRPr="00447583">
        <w:rPr>
          <w:iCs/>
          <w:snapToGrid w:val="0"/>
          <w:kern w:val="22"/>
          <w:szCs w:val="22"/>
        </w:rPr>
        <w:t xml:space="preserve">the </w:t>
      </w:r>
      <w:r w:rsidRPr="00447583">
        <w:rPr>
          <w:iCs/>
          <w:snapToGrid w:val="0"/>
          <w:kern w:val="22"/>
          <w:szCs w:val="22"/>
        </w:rPr>
        <w:t xml:space="preserve">indicators used by </w:t>
      </w:r>
      <w:r w:rsidR="007146F9" w:rsidRPr="00447583">
        <w:rPr>
          <w:iCs/>
          <w:snapToGrid w:val="0"/>
          <w:kern w:val="22"/>
          <w:szCs w:val="22"/>
        </w:rPr>
        <w:t xml:space="preserve">the </w:t>
      </w:r>
      <w:r w:rsidRPr="00447583">
        <w:rPr>
          <w:snapToGrid w:val="0"/>
          <w:kern w:val="22"/>
          <w:szCs w:val="22"/>
        </w:rPr>
        <w:t>Intergovernmental Science-Policy Platform on Biodiversity and Ecosystem Services</w:t>
      </w:r>
      <w:r w:rsidRPr="00447583">
        <w:rPr>
          <w:iCs/>
          <w:snapToGrid w:val="0"/>
          <w:kern w:val="22"/>
          <w:szCs w:val="22"/>
        </w:rPr>
        <w:t xml:space="preserve">. Official indicators </w:t>
      </w:r>
      <w:r w:rsidR="00866BA3" w:rsidRPr="00447583">
        <w:rPr>
          <w:iCs/>
          <w:snapToGrid w:val="0"/>
          <w:kern w:val="22"/>
          <w:szCs w:val="22"/>
        </w:rPr>
        <w:t>we</w:t>
      </w:r>
      <w:r w:rsidRPr="00447583">
        <w:rPr>
          <w:iCs/>
          <w:snapToGrid w:val="0"/>
          <w:kern w:val="22"/>
          <w:szCs w:val="22"/>
        </w:rPr>
        <w:t xml:space="preserve">re identified, </w:t>
      </w:r>
      <w:proofErr w:type="gramStart"/>
      <w:r w:rsidRPr="00447583">
        <w:rPr>
          <w:iCs/>
          <w:snapToGrid w:val="0"/>
          <w:kern w:val="22"/>
          <w:szCs w:val="22"/>
        </w:rPr>
        <w:t>and also</w:t>
      </w:r>
      <w:proofErr w:type="gramEnd"/>
      <w:r w:rsidRPr="00447583">
        <w:rPr>
          <w:iCs/>
          <w:snapToGrid w:val="0"/>
          <w:kern w:val="22"/>
          <w:szCs w:val="22"/>
        </w:rPr>
        <w:t xml:space="preserve"> those with potential for future use. Other similar initiatives include that led by the Collaborative Partnership on Forests to develop a core set of forest-related indicators.</w:t>
      </w:r>
      <w:r w:rsidRPr="00447583">
        <w:rPr>
          <w:rStyle w:val="FootnoteReference"/>
          <w:iCs/>
          <w:snapToGrid w:val="0"/>
          <w:kern w:val="22"/>
          <w:sz w:val="22"/>
          <w:szCs w:val="22"/>
          <w:u w:val="none"/>
          <w:vertAlign w:val="superscript"/>
        </w:rPr>
        <w:footnoteReference w:id="12"/>
      </w:r>
    </w:p>
    <w:p w14:paraId="59D93872" w14:textId="1335A570"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iCs/>
          <w:snapToGrid w:val="0"/>
          <w:kern w:val="22"/>
          <w:szCs w:val="22"/>
        </w:rPr>
        <w:t xml:space="preserve">The </w:t>
      </w:r>
      <w:r w:rsidRPr="00447583">
        <w:rPr>
          <w:snapToGrid w:val="0"/>
          <w:kern w:val="22"/>
          <w:szCs w:val="22"/>
        </w:rPr>
        <w:t>Conference</w:t>
      </w:r>
      <w:r w:rsidRPr="00447583">
        <w:rPr>
          <w:iCs/>
          <w:snapToGrid w:val="0"/>
          <w:kern w:val="22"/>
          <w:szCs w:val="22"/>
        </w:rPr>
        <w:t xml:space="preserve"> of the Parties has already strongly implied the need to consider indicators at the same time as developing targets (</w:t>
      </w:r>
      <w:r w:rsidRPr="004C1DC8">
        <w:rPr>
          <w:iCs/>
          <w:snapToGrid w:val="0"/>
          <w:kern w:val="22"/>
          <w:szCs w:val="22"/>
        </w:rPr>
        <w:t>decision 14/34</w:t>
      </w:r>
      <w:r w:rsidRPr="00447583">
        <w:rPr>
          <w:iCs/>
          <w:snapToGrid w:val="0"/>
          <w:kern w:val="22"/>
          <w:szCs w:val="22"/>
        </w:rPr>
        <w:t xml:space="preserve">), and the importance of this has also been stressed during the consultations and during the </w:t>
      </w:r>
      <w:r w:rsidR="00BE77DC" w:rsidRPr="00447583">
        <w:rPr>
          <w:iCs/>
          <w:snapToGrid w:val="0"/>
          <w:kern w:val="22"/>
          <w:szCs w:val="22"/>
        </w:rPr>
        <w:t>twenty-third</w:t>
      </w:r>
      <w:r w:rsidRPr="00447583">
        <w:rPr>
          <w:iCs/>
          <w:snapToGrid w:val="0"/>
          <w:kern w:val="22"/>
          <w:szCs w:val="22"/>
        </w:rPr>
        <w:t xml:space="preserve"> meeting of the Subsidiary Body for Scientific, Technical and Technological Advice. The concern is to draw on the experience of using indicators to help in design of effective targets,</w:t>
      </w:r>
      <w:r w:rsidRPr="00447583">
        <w:rPr>
          <w:rStyle w:val="FootnoteReference"/>
          <w:iCs/>
          <w:snapToGrid w:val="0"/>
          <w:kern w:val="22"/>
          <w:sz w:val="22"/>
          <w:szCs w:val="22"/>
          <w:u w:val="none"/>
          <w:vertAlign w:val="superscript"/>
        </w:rPr>
        <w:footnoteReference w:id="13"/>
      </w:r>
      <w:r w:rsidRPr="00447583">
        <w:rPr>
          <w:iCs/>
          <w:snapToGrid w:val="0"/>
          <w:kern w:val="22"/>
          <w:szCs w:val="22"/>
        </w:rPr>
        <w:t xml:space="preserve"> while at the same time ensuring that agreed indicators are available when implementation starts (there was a six</w:t>
      </w:r>
      <w:r w:rsidR="005A41BB" w:rsidRPr="00447583">
        <w:rPr>
          <w:iCs/>
          <w:snapToGrid w:val="0"/>
          <w:kern w:val="22"/>
          <w:szCs w:val="22"/>
        </w:rPr>
        <w:t>-</w:t>
      </w:r>
      <w:r w:rsidRPr="00447583">
        <w:rPr>
          <w:iCs/>
          <w:snapToGrid w:val="0"/>
          <w:kern w:val="22"/>
          <w:szCs w:val="22"/>
        </w:rPr>
        <w:t xml:space="preserve">year gap between adoption of the </w:t>
      </w:r>
      <w:r w:rsidRPr="00ED212A">
        <w:rPr>
          <w:snapToGrid w:val="0"/>
          <w:kern w:val="22"/>
          <w:szCs w:val="22"/>
        </w:rPr>
        <w:t xml:space="preserve">Strategic Plan for Biodiversity 2011-2020 </w:t>
      </w:r>
      <w:r w:rsidRPr="00447583">
        <w:rPr>
          <w:snapToGrid w:val="0"/>
          <w:kern w:val="22"/>
          <w:szCs w:val="22"/>
        </w:rPr>
        <w:t>and agreement</w:t>
      </w:r>
      <w:r w:rsidRPr="00447583">
        <w:rPr>
          <w:iCs/>
          <w:snapToGrid w:val="0"/>
          <w:kern w:val="22"/>
          <w:szCs w:val="22"/>
        </w:rPr>
        <w:t xml:space="preserve"> on the indicators for assessing progress).</w:t>
      </w:r>
    </w:p>
    <w:p w14:paraId="7D57441A" w14:textId="7F5B5805"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iCs/>
          <w:snapToGrid w:val="0"/>
          <w:kern w:val="22"/>
          <w:szCs w:val="22"/>
        </w:rPr>
        <w:t>Possible actions to consider</w:t>
      </w:r>
      <w:r w:rsidR="007103EC" w:rsidRPr="00447583">
        <w:rPr>
          <w:iCs/>
          <w:snapToGrid w:val="0"/>
          <w:kern w:val="22"/>
          <w:szCs w:val="22"/>
        </w:rPr>
        <w:t xml:space="preserve"> are the following</w:t>
      </w:r>
      <w:r w:rsidRPr="00447583">
        <w:rPr>
          <w:iCs/>
          <w:snapToGrid w:val="0"/>
          <w:kern w:val="22"/>
          <w:szCs w:val="22"/>
        </w:rPr>
        <w:t>:</w:t>
      </w:r>
    </w:p>
    <w:p w14:paraId="17DC9FB8" w14:textId="69A39921" w:rsidR="00D274FD" w:rsidRPr="00447583" w:rsidRDefault="00D274FD" w:rsidP="00ED212A">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ED212A">
        <w:rPr>
          <w:bCs/>
          <w:i/>
          <w:iCs/>
          <w:snapToGrid w:val="0"/>
          <w:kern w:val="22"/>
          <w:szCs w:val="22"/>
        </w:rPr>
        <w:t xml:space="preserve">Action 2 </w:t>
      </w:r>
      <w:r w:rsidR="00FE7B58" w:rsidRPr="00ED212A">
        <w:rPr>
          <w:bCs/>
          <w:i/>
          <w:iCs/>
          <w:snapToGrid w:val="0"/>
          <w:kern w:val="22"/>
          <w:szCs w:val="22"/>
        </w:rPr>
        <w:t>–</w:t>
      </w:r>
      <w:r w:rsidRPr="00ED212A">
        <w:rPr>
          <w:bCs/>
          <w:i/>
          <w:iCs/>
          <w:snapToGrid w:val="0"/>
          <w:kern w:val="22"/>
          <w:szCs w:val="22"/>
        </w:rPr>
        <w:t xml:space="preserve"> Identify</w:t>
      </w:r>
      <w:r w:rsidR="00FE7B58" w:rsidRPr="00ED212A">
        <w:rPr>
          <w:bCs/>
          <w:i/>
          <w:iCs/>
          <w:snapToGrid w:val="0"/>
          <w:kern w:val="22"/>
          <w:szCs w:val="22"/>
        </w:rPr>
        <w:t xml:space="preserve"> </w:t>
      </w:r>
      <w:r w:rsidRPr="00ED212A">
        <w:rPr>
          <w:bCs/>
          <w:i/>
          <w:iCs/>
          <w:snapToGrid w:val="0"/>
          <w:kern w:val="22"/>
          <w:szCs w:val="22"/>
        </w:rPr>
        <w:t>and facilitate use of indicators for the post-2020 global biodiversity framework</w:t>
      </w:r>
      <w:r w:rsidRPr="00447583">
        <w:rPr>
          <w:bCs/>
          <w:iCs/>
          <w:snapToGrid w:val="0"/>
          <w:kern w:val="22"/>
          <w:szCs w:val="22"/>
        </w:rPr>
        <w:t>:</w:t>
      </w:r>
      <w:r w:rsidRPr="00447583">
        <w:rPr>
          <w:iCs/>
          <w:snapToGrid w:val="0"/>
          <w:kern w:val="22"/>
          <w:szCs w:val="22"/>
        </w:rPr>
        <w:t xml:space="preserve"> It is clear that Parties wish to identify and review available baselines and indicators as the post-2020 global biodiversity framework is developed, drawing on the indicators identified in decision XIII/28 and supplementing these</w:t>
      </w:r>
      <w:r w:rsidR="00AA6D86" w:rsidRPr="00447583">
        <w:rPr>
          <w:iCs/>
          <w:snapToGrid w:val="0"/>
          <w:kern w:val="22"/>
          <w:szCs w:val="22"/>
        </w:rPr>
        <w:t>,</w:t>
      </w:r>
      <w:r w:rsidRPr="00447583">
        <w:rPr>
          <w:iCs/>
          <w:snapToGrid w:val="0"/>
          <w:kern w:val="22"/>
          <w:szCs w:val="22"/>
        </w:rPr>
        <w:t xml:space="preserve"> as appropriate</w:t>
      </w:r>
      <w:r w:rsidR="00AA6D86" w:rsidRPr="00447583">
        <w:rPr>
          <w:iCs/>
          <w:snapToGrid w:val="0"/>
          <w:kern w:val="22"/>
          <w:szCs w:val="22"/>
        </w:rPr>
        <w:t>,</w:t>
      </w:r>
      <w:r w:rsidRPr="00447583">
        <w:rPr>
          <w:iCs/>
          <w:snapToGrid w:val="0"/>
          <w:kern w:val="22"/>
          <w:szCs w:val="22"/>
        </w:rPr>
        <w:t xml:space="preserve"> with indicators used by the </w:t>
      </w:r>
      <w:r w:rsidRPr="00447583">
        <w:rPr>
          <w:snapToGrid w:val="0"/>
          <w:kern w:val="22"/>
          <w:szCs w:val="22"/>
        </w:rPr>
        <w:t>Intergovernmental Science-Policy Platform on Biodiversity and Ecosystem Services</w:t>
      </w:r>
      <w:r w:rsidRPr="00447583">
        <w:rPr>
          <w:iCs/>
          <w:snapToGrid w:val="0"/>
          <w:kern w:val="22"/>
          <w:szCs w:val="22"/>
        </w:rPr>
        <w:t xml:space="preserve"> and by other intergovernmental processes in particular. This will inform development of the post-2020 global biodiversity framework, and hopefully the monitoring framework including indicators will be published at the same time as the post-2020 global biodiversity framework is adopted. However, development of further guidance for use of these indicators at all appropriate levels is likely to be necessary, and for further work will almost certainly need to be done to address gaps, or areas where current indicators are inadequate</w:t>
      </w:r>
      <w:r w:rsidRPr="00447583">
        <w:rPr>
          <w:snapToGrid w:val="0"/>
          <w:kern w:val="22"/>
          <w:szCs w:val="22"/>
        </w:rPr>
        <w:t>. Consistent with decision XIII/28, this list of indicators should also be kept under review, which will also require ongoing action</w:t>
      </w:r>
      <w:r w:rsidR="00EF7EE2" w:rsidRPr="00447583">
        <w:rPr>
          <w:snapToGrid w:val="0"/>
          <w:kern w:val="22"/>
          <w:szCs w:val="22"/>
        </w:rPr>
        <w:t>;</w:t>
      </w:r>
    </w:p>
    <w:p w14:paraId="05E81C81" w14:textId="6595E7C8" w:rsidR="00D274FD" w:rsidRPr="00447583" w:rsidRDefault="00D274FD" w:rsidP="00ED212A">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ED212A">
        <w:rPr>
          <w:bCs/>
          <w:i/>
          <w:snapToGrid w:val="0"/>
          <w:kern w:val="22"/>
          <w:szCs w:val="22"/>
        </w:rPr>
        <w:t xml:space="preserve">Action 3 </w:t>
      </w:r>
      <w:r w:rsidR="00FE7B58" w:rsidRPr="00ED212A">
        <w:rPr>
          <w:bCs/>
          <w:i/>
          <w:snapToGrid w:val="0"/>
          <w:kern w:val="22"/>
          <w:szCs w:val="22"/>
        </w:rPr>
        <w:t>–</w:t>
      </w:r>
      <w:r w:rsidRPr="00ED212A">
        <w:rPr>
          <w:bCs/>
          <w:i/>
          <w:snapToGrid w:val="0"/>
          <w:kern w:val="22"/>
          <w:szCs w:val="22"/>
        </w:rPr>
        <w:t xml:space="preserve"> Cross-map indicators used by related conventions and processes</w:t>
      </w:r>
      <w:r w:rsidRPr="00447583">
        <w:rPr>
          <w:bCs/>
          <w:snapToGrid w:val="0"/>
          <w:kern w:val="22"/>
          <w:szCs w:val="22"/>
        </w:rPr>
        <w:t>:</w:t>
      </w:r>
      <w:r w:rsidRPr="00447583">
        <w:rPr>
          <w:snapToGrid w:val="0"/>
          <w:kern w:val="22"/>
          <w:szCs w:val="22"/>
        </w:rPr>
        <w:t xml:space="preserve"> Develop a cross-mapping of the indicators used and being considered by all biodiversity-relevant conventions and processes, including all members of the Liaison Group of Biodiversity-related Conventions and the Joint Liaison Group, the Sustainable Development Goals, forest-related indicators, regional seas conventions and programmes, </w:t>
      </w:r>
      <w:r w:rsidR="007146F9" w:rsidRPr="00447583">
        <w:rPr>
          <w:snapToGrid w:val="0"/>
          <w:kern w:val="22"/>
          <w:szCs w:val="22"/>
        </w:rPr>
        <w:t xml:space="preserve">the </w:t>
      </w:r>
      <w:r w:rsidRPr="00447583">
        <w:rPr>
          <w:snapToGrid w:val="0"/>
          <w:kern w:val="22"/>
          <w:szCs w:val="22"/>
        </w:rPr>
        <w:t xml:space="preserve">Intergovernmental Science-Policy Platform on Biodiversity and Ecosystem Services, etc. Identify how the indicators relate one to another and to the post-2020 global biodiversity framework, and how they might more effectively be used to convey common messages. This might also include looking more closely at what each convention and process is monitoring with the use of indicators, to see how this can be built upon. Maintain this resource as new indicators are developed, and make it available to all bodies </w:t>
      </w:r>
      <w:r w:rsidR="000A291D" w:rsidRPr="00447583">
        <w:rPr>
          <w:snapToGrid w:val="0"/>
          <w:kern w:val="22"/>
          <w:szCs w:val="22"/>
        </w:rPr>
        <w:t>for use to</w:t>
      </w:r>
      <w:r w:rsidRPr="00447583">
        <w:rPr>
          <w:snapToGrid w:val="0"/>
          <w:kern w:val="22"/>
          <w:szCs w:val="22"/>
        </w:rPr>
        <w:t xml:space="preserve"> track biodiversity-related issues</w:t>
      </w:r>
      <w:r w:rsidR="00EF7EE2" w:rsidRPr="00447583">
        <w:rPr>
          <w:snapToGrid w:val="0"/>
          <w:kern w:val="22"/>
          <w:szCs w:val="22"/>
        </w:rPr>
        <w:t>;</w:t>
      </w:r>
    </w:p>
    <w:p w14:paraId="349A3F5B" w14:textId="409FD75A" w:rsidR="00D274FD" w:rsidRPr="00447583" w:rsidRDefault="00D274FD" w:rsidP="00ED212A">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ED212A">
        <w:rPr>
          <w:bCs/>
          <w:i/>
          <w:snapToGrid w:val="0"/>
          <w:kern w:val="22"/>
          <w:szCs w:val="22"/>
        </w:rPr>
        <w:t xml:space="preserve">Action 4 </w:t>
      </w:r>
      <w:r w:rsidR="00FE7B58" w:rsidRPr="00ED212A">
        <w:rPr>
          <w:bCs/>
          <w:i/>
          <w:snapToGrid w:val="0"/>
          <w:kern w:val="22"/>
          <w:szCs w:val="22"/>
        </w:rPr>
        <w:t>–</w:t>
      </w:r>
      <w:r w:rsidRPr="00ED212A">
        <w:rPr>
          <w:bCs/>
          <w:i/>
          <w:snapToGrid w:val="0"/>
          <w:kern w:val="22"/>
          <w:szCs w:val="22"/>
        </w:rPr>
        <w:t xml:space="preserve"> Review existing indicators and related processes to identify gaps</w:t>
      </w:r>
      <w:r w:rsidRPr="00447583">
        <w:rPr>
          <w:bCs/>
          <w:iCs/>
          <w:snapToGrid w:val="0"/>
          <w:kern w:val="22"/>
          <w:szCs w:val="22"/>
        </w:rPr>
        <w:t>:</w:t>
      </w:r>
      <w:r w:rsidRPr="00447583">
        <w:rPr>
          <w:iCs/>
          <w:snapToGrid w:val="0"/>
          <w:kern w:val="22"/>
          <w:szCs w:val="22"/>
        </w:rPr>
        <w:t xml:space="preserve"> </w:t>
      </w:r>
      <w:r w:rsidRPr="00447583">
        <w:rPr>
          <w:snapToGrid w:val="0"/>
          <w:kern w:val="22"/>
          <w:szCs w:val="22"/>
        </w:rPr>
        <w:t>Carry out a review of the indicators used by biodiversity relevant conventions and processes (including the Sustainable Development Goals) to identify gaps and further opportunities. This would include reviewing and communicating gaps identified by the different processes and identifying possible options for addressing the gaps, identifying those indicators where extrapolation is possible (or potentially possible), and identify</w:t>
      </w:r>
      <w:r w:rsidR="00260974" w:rsidRPr="00447583">
        <w:rPr>
          <w:snapToGrid w:val="0"/>
          <w:kern w:val="22"/>
          <w:szCs w:val="22"/>
        </w:rPr>
        <w:t>ing</w:t>
      </w:r>
      <w:r w:rsidRPr="00447583">
        <w:rPr>
          <w:snapToGrid w:val="0"/>
          <w:kern w:val="22"/>
          <w:szCs w:val="22"/>
        </w:rPr>
        <w:t xml:space="preserve"> those indicators that can be disaggregated for use at different levels. It would also identify any processes under way to address gaps and opportunities identified. Each of these actions will help to increase the use and usefulness of indicators, in the context of the overall package of indicators</w:t>
      </w:r>
      <w:r w:rsidR="00EF7EE2" w:rsidRPr="00447583">
        <w:rPr>
          <w:snapToGrid w:val="0"/>
          <w:kern w:val="22"/>
          <w:szCs w:val="22"/>
        </w:rPr>
        <w:t>;</w:t>
      </w:r>
    </w:p>
    <w:p w14:paraId="1C7D4C45" w14:textId="02C5DC8F" w:rsidR="00D274FD" w:rsidRPr="00447583" w:rsidRDefault="00D274FD" w:rsidP="00ED212A">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ED212A">
        <w:rPr>
          <w:bCs/>
          <w:i/>
          <w:iCs/>
          <w:snapToGrid w:val="0"/>
          <w:kern w:val="22"/>
          <w:szCs w:val="22"/>
        </w:rPr>
        <w:t xml:space="preserve">Action 5 </w:t>
      </w:r>
      <w:r w:rsidR="00FE7B58" w:rsidRPr="00ED212A">
        <w:rPr>
          <w:bCs/>
          <w:i/>
          <w:iCs/>
          <w:snapToGrid w:val="0"/>
          <w:kern w:val="22"/>
          <w:szCs w:val="22"/>
        </w:rPr>
        <w:t>–</w:t>
      </w:r>
      <w:r w:rsidRPr="00ED212A">
        <w:rPr>
          <w:bCs/>
          <w:i/>
          <w:iCs/>
          <w:snapToGrid w:val="0"/>
          <w:kern w:val="22"/>
          <w:szCs w:val="22"/>
        </w:rPr>
        <w:t xml:space="preserve"> Increase the use of biodiversity-related indicators at the national level</w:t>
      </w:r>
      <w:r w:rsidRPr="00447583">
        <w:rPr>
          <w:bCs/>
          <w:snapToGrid w:val="0"/>
          <w:kern w:val="22"/>
          <w:szCs w:val="22"/>
        </w:rPr>
        <w:t>:</w:t>
      </w:r>
      <w:r w:rsidRPr="00447583">
        <w:rPr>
          <w:snapToGrid w:val="0"/>
          <w:kern w:val="22"/>
          <w:szCs w:val="22"/>
        </w:rPr>
        <w:t xml:space="preserve"> Investigate opportunities for further improving the use of biodiversity-related indicators at the national level in an integrated manner, where this is necessary and appropriate, and for more effectively embedding </w:t>
      </w:r>
      <w:r w:rsidRPr="00447583">
        <w:rPr>
          <w:snapToGrid w:val="0"/>
          <w:kern w:val="22"/>
          <w:szCs w:val="22"/>
        </w:rPr>
        <w:lastRenderedPageBreak/>
        <w:t xml:space="preserve">biodiversity-related indicators and metrics into the suites of indicators and metrics managed by national statistics offices and programmes. This might include review of the ways that indicators are referenced and used in national plans, commitments and reports relating to the implementation of a range of </w:t>
      </w:r>
      <w:r w:rsidR="00112039" w:rsidRPr="00447583">
        <w:rPr>
          <w:snapToGrid w:val="0"/>
          <w:kern w:val="22"/>
          <w:szCs w:val="22"/>
        </w:rPr>
        <w:t xml:space="preserve">related </w:t>
      </w:r>
      <w:r w:rsidRPr="00447583">
        <w:rPr>
          <w:snapToGrid w:val="0"/>
          <w:kern w:val="22"/>
          <w:szCs w:val="22"/>
        </w:rPr>
        <w:t>intergovernmental agreements and processes.</w:t>
      </w:r>
    </w:p>
    <w:p w14:paraId="0DE3AE1D" w14:textId="31B45974"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iCs/>
          <w:snapToGrid w:val="0"/>
          <w:kern w:val="22"/>
          <w:szCs w:val="22"/>
        </w:rPr>
      </w:pPr>
      <w:r w:rsidRPr="00447583">
        <w:rPr>
          <w:iCs/>
          <w:snapToGrid w:val="0"/>
          <w:kern w:val="22"/>
          <w:szCs w:val="22"/>
        </w:rPr>
        <w:t>Key partners in carrying out and supporting this work would include UNEP-WCMC and members of the Biodiversity Indicators Partnership, the Organization for Economic Cooperation and Development, the Consultative Partnership on Forests, and the Statistics Division of the U</w:t>
      </w:r>
      <w:r w:rsidR="00783651" w:rsidRPr="00447583">
        <w:rPr>
          <w:iCs/>
          <w:snapToGrid w:val="0"/>
          <w:kern w:val="22"/>
          <w:szCs w:val="22"/>
        </w:rPr>
        <w:t xml:space="preserve">nited </w:t>
      </w:r>
      <w:r w:rsidRPr="00447583">
        <w:rPr>
          <w:iCs/>
          <w:snapToGrid w:val="0"/>
          <w:kern w:val="22"/>
          <w:szCs w:val="22"/>
        </w:rPr>
        <w:t>N</w:t>
      </w:r>
      <w:r w:rsidR="00783651" w:rsidRPr="00447583">
        <w:rPr>
          <w:iCs/>
          <w:snapToGrid w:val="0"/>
          <w:kern w:val="22"/>
          <w:szCs w:val="22"/>
        </w:rPr>
        <w:t>ations</w:t>
      </w:r>
      <w:r w:rsidRPr="00447583">
        <w:rPr>
          <w:iCs/>
          <w:snapToGrid w:val="0"/>
          <w:kern w:val="22"/>
          <w:szCs w:val="22"/>
        </w:rPr>
        <w:t xml:space="preserve"> Department </w:t>
      </w:r>
      <w:r w:rsidR="00D442A8" w:rsidRPr="00447583">
        <w:rPr>
          <w:iCs/>
          <w:snapToGrid w:val="0"/>
          <w:kern w:val="22"/>
          <w:szCs w:val="22"/>
        </w:rPr>
        <w:t>of</w:t>
      </w:r>
      <w:r w:rsidRPr="00447583">
        <w:rPr>
          <w:iCs/>
          <w:snapToGrid w:val="0"/>
          <w:kern w:val="22"/>
          <w:szCs w:val="22"/>
        </w:rPr>
        <w:t xml:space="preserve"> Economic and Social Affairs. As appropriate</w:t>
      </w:r>
      <w:r w:rsidR="00DF400F" w:rsidRPr="00447583">
        <w:rPr>
          <w:iCs/>
          <w:snapToGrid w:val="0"/>
          <w:kern w:val="22"/>
          <w:szCs w:val="22"/>
        </w:rPr>
        <w:t>,</w:t>
      </w:r>
      <w:r w:rsidRPr="00447583">
        <w:rPr>
          <w:iCs/>
          <w:snapToGrid w:val="0"/>
          <w:kern w:val="22"/>
          <w:szCs w:val="22"/>
        </w:rPr>
        <w:t xml:space="preserve"> this might also include liaison with the Inter-agency and Expert Group on SDG Indicators, the secretariat for which is provided by the U</w:t>
      </w:r>
      <w:r w:rsidR="00197607" w:rsidRPr="00447583">
        <w:rPr>
          <w:iCs/>
          <w:snapToGrid w:val="0"/>
          <w:kern w:val="22"/>
          <w:szCs w:val="22"/>
        </w:rPr>
        <w:t xml:space="preserve">nited </w:t>
      </w:r>
      <w:r w:rsidRPr="00447583">
        <w:rPr>
          <w:iCs/>
          <w:snapToGrid w:val="0"/>
          <w:kern w:val="22"/>
          <w:szCs w:val="22"/>
        </w:rPr>
        <w:t>N</w:t>
      </w:r>
      <w:r w:rsidR="00197607" w:rsidRPr="00447583">
        <w:rPr>
          <w:iCs/>
          <w:snapToGrid w:val="0"/>
          <w:kern w:val="22"/>
          <w:szCs w:val="22"/>
        </w:rPr>
        <w:t>ations</w:t>
      </w:r>
      <w:r w:rsidRPr="00447583">
        <w:rPr>
          <w:iCs/>
          <w:snapToGrid w:val="0"/>
          <w:kern w:val="22"/>
          <w:szCs w:val="22"/>
        </w:rPr>
        <w:t xml:space="preserve"> Statistics Division.</w:t>
      </w:r>
    </w:p>
    <w:p w14:paraId="729B471A" w14:textId="25512F1E" w:rsidR="00D274FD" w:rsidRPr="00447583" w:rsidRDefault="00D274FD" w:rsidP="00ED212A">
      <w:pPr>
        <w:pStyle w:val="Heading2"/>
        <w:numPr>
          <w:ilvl w:val="0"/>
          <w:numId w:val="10"/>
        </w:numPr>
        <w:suppressLineNumbers/>
        <w:tabs>
          <w:tab w:val="clear" w:pos="720"/>
        </w:tabs>
        <w:suppressAutoHyphens/>
        <w:kinsoku w:val="0"/>
        <w:overflowPunct w:val="0"/>
        <w:autoSpaceDE w:val="0"/>
        <w:autoSpaceDN w:val="0"/>
        <w:adjustRightInd w:val="0"/>
        <w:snapToGrid w:val="0"/>
        <w:ind w:left="357" w:hanging="357"/>
        <w:rPr>
          <w:snapToGrid w:val="0"/>
          <w:kern w:val="22"/>
          <w:szCs w:val="22"/>
        </w:rPr>
      </w:pPr>
      <w:bookmarkStart w:id="19" w:name="_Toc33649292"/>
      <w:r w:rsidRPr="00447583">
        <w:rPr>
          <w:snapToGrid w:val="0"/>
          <w:kern w:val="22"/>
          <w:szCs w:val="22"/>
        </w:rPr>
        <w:t>Reporting modules on shared issues</w:t>
      </w:r>
      <w:bookmarkEnd w:id="19"/>
    </w:p>
    <w:p w14:paraId="4A03B5F8" w14:textId="6ED87434"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The issue of modular reporting on shared issues is addressed in paragraphs 37</w:t>
      </w:r>
      <w:r w:rsidR="00857266" w:rsidRPr="00447583">
        <w:rPr>
          <w:snapToGrid w:val="0"/>
          <w:kern w:val="22"/>
          <w:szCs w:val="22"/>
        </w:rPr>
        <w:t xml:space="preserve"> to </w:t>
      </w:r>
      <w:r w:rsidRPr="00447583">
        <w:rPr>
          <w:snapToGrid w:val="0"/>
          <w:kern w:val="22"/>
          <w:szCs w:val="22"/>
        </w:rPr>
        <w:t xml:space="preserve">41 of document </w:t>
      </w:r>
      <w:hyperlink r:id="rId21" w:history="1">
        <w:r w:rsidRPr="00447583">
          <w:rPr>
            <w:rStyle w:val="Hyperlink"/>
            <w:snapToGrid w:val="0"/>
            <w:kern w:val="22"/>
            <w:szCs w:val="22"/>
          </w:rPr>
          <w:t>CBD/SBI/2/12</w:t>
        </w:r>
      </w:hyperlink>
      <w:r w:rsidRPr="00447583">
        <w:rPr>
          <w:snapToGrid w:val="0"/>
          <w:kern w:val="22"/>
          <w:szCs w:val="22"/>
        </w:rPr>
        <w:t>, which identified the purpose of exploring options for addressing the issue as being to obviate multiple reporting by countries on the same information. However</w:t>
      </w:r>
      <w:r w:rsidR="007144A6" w:rsidRPr="00447583">
        <w:rPr>
          <w:snapToGrid w:val="0"/>
          <w:kern w:val="22"/>
          <w:szCs w:val="22"/>
        </w:rPr>
        <w:t>,</w:t>
      </w:r>
      <w:r w:rsidRPr="00447583">
        <w:rPr>
          <w:snapToGrid w:val="0"/>
          <w:kern w:val="22"/>
          <w:szCs w:val="22"/>
        </w:rPr>
        <w:t xml:space="preserve"> the real value goes further, as a common approach to reporting on shared issues also serves to further highlight where issues may be relevant to multiple agendas, thereby also potentially highlighting the value of more coherent approaches to implementation and associated information management and reporting.</w:t>
      </w:r>
    </w:p>
    <w:p w14:paraId="0B68B8F3" w14:textId="6C4911A8"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The potential for modular reporting among the biodiversity-related conventions has been discussed numerous times over the past 20 years, in particular in workshops led by the U</w:t>
      </w:r>
      <w:r w:rsidR="005A41BB" w:rsidRPr="00447583">
        <w:rPr>
          <w:snapToGrid w:val="0"/>
          <w:kern w:val="22"/>
          <w:szCs w:val="22"/>
        </w:rPr>
        <w:t xml:space="preserve">nited </w:t>
      </w:r>
      <w:r w:rsidRPr="00447583">
        <w:rPr>
          <w:snapToGrid w:val="0"/>
          <w:kern w:val="22"/>
          <w:szCs w:val="22"/>
        </w:rPr>
        <w:t>N</w:t>
      </w:r>
      <w:r w:rsidR="005A41BB" w:rsidRPr="00447583">
        <w:rPr>
          <w:snapToGrid w:val="0"/>
          <w:kern w:val="22"/>
          <w:szCs w:val="22"/>
        </w:rPr>
        <w:t>ations</w:t>
      </w:r>
      <w:r w:rsidRPr="00447583">
        <w:rPr>
          <w:snapToGrid w:val="0"/>
          <w:kern w:val="22"/>
          <w:szCs w:val="22"/>
        </w:rPr>
        <w:t xml:space="preserve"> Environment Programme </w:t>
      </w:r>
      <w:r w:rsidR="005A41BB" w:rsidRPr="00447583">
        <w:rPr>
          <w:snapToGrid w:val="0"/>
          <w:kern w:val="22"/>
          <w:szCs w:val="22"/>
        </w:rPr>
        <w:t xml:space="preserve">(UNEP) </w:t>
      </w:r>
      <w:r w:rsidRPr="00447583">
        <w:rPr>
          <w:snapToGrid w:val="0"/>
          <w:kern w:val="22"/>
          <w:szCs w:val="22"/>
        </w:rPr>
        <w:t>and UNEP-WCMC,</w:t>
      </w:r>
      <w:r w:rsidRPr="00447583">
        <w:rPr>
          <w:rStyle w:val="FootnoteReference"/>
          <w:snapToGrid w:val="0"/>
          <w:kern w:val="22"/>
          <w:sz w:val="22"/>
          <w:szCs w:val="22"/>
          <w:u w:val="none"/>
          <w:vertAlign w:val="superscript"/>
        </w:rPr>
        <w:footnoteReference w:id="14"/>
      </w:r>
      <w:r w:rsidRPr="00447583">
        <w:rPr>
          <w:snapToGrid w:val="0"/>
          <w:kern w:val="22"/>
          <w:szCs w:val="22"/>
        </w:rPr>
        <w:t xml:space="preserve"> and most recently in the </w:t>
      </w:r>
      <w:r w:rsidR="002B5073" w:rsidRPr="00447583">
        <w:rPr>
          <w:snapToGrid w:val="0"/>
          <w:kern w:val="22"/>
          <w:szCs w:val="22"/>
        </w:rPr>
        <w:t>w</w:t>
      </w:r>
      <w:r w:rsidRPr="00447583">
        <w:rPr>
          <w:snapToGrid w:val="0"/>
          <w:kern w:val="22"/>
          <w:szCs w:val="22"/>
        </w:rPr>
        <w:t xml:space="preserve">orkshop on </w:t>
      </w:r>
      <w:r w:rsidR="002B5073" w:rsidRPr="00447583">
        <w:rPr>
          <w:snapToGrid w:val="0"/>
          <w:kern w:val="22"/>
          <w:szCs w:val="22"/>
        </w:rPr>
        <w:t>s</w:t>
      </w:r>
      <w:r w:rsidRPr="00447583">
        <w:rPr>
          <w:snapToGrid w:val="0"/>
          <w:kern w:val="22"/>
          <w:szCs w:val="22"/>
        </w:rPr>
        <w:t xml:space="preserve">ynergies among the </w:t>
      </w:r>
      <w:r w:rsidR="002B5073" w:rsidRPr="00447583">
        <w:rPr>
          <w:snapToGrid w:val="0"/>
          <w:kern w:val="22"/>
          <w:szCs w:val="22"/>
        </w:rPr>
        <w:t>b</w:t>
      </w:r>
      <w:r w:rsidRPr="00447583">
        <w:rPr>
          <w:snapToGrid w:val="0"/>
          <w:kern w:val="22"/>
          <w:szCs w:val="22"/>
        </w:rPr>
        <w:t xml:space="preserve">iodiversity-related </w:t>
      </w:r>
      <w:r w:rsidR="002B5073" w:rsidRPr="00447583">
        <w:rPr>
          <w:snapToGrid w:val="0"/>
          <w:kern w:val="22"/>
          <w:szCs w:val="22"/>
        </w:rPr>
        <w:t>c</w:t>
      </w:r>
      <w:r w:rsidRPr="00447583">
        <w:rPr>
          <w:snapToGrid w:val="0"/>
          <w:kern w:val="22"/>
          <w:szCs w:val="22"/>
        </w:rPr>
        <w:t>onventions convened in Geneva in February 2016 by the Secretariat of the Convention on Biological Diversity.</w:t>
      </w:r>
      <w:r w:rsidRPr="00447583">
        <w:rPr>
          <w:snapToGrid w:val="0"/>
          <w:kern w:val="22"/>
          <w:szCs w:val="22"/>
          <w:vertAlign w:val="superscript"/>
        </w:rPr>
        <w:footnoteReference w:id="15"/>
      </w:r>
      <w:r w:rsidRPr="00447583">
        <w:rPr>
          <w:snapToGrid w:val="0"/>
          <w:kern w:val="22"/>
          <w:szCs w:val="22"/>
        </w:rPr>
        <w:t xml:space="preserve"> In parallel, discussions have also taken place on streamlining forest-related reporting, undertaken by the Collaborative Partnership on Forests.</w:t>
      </w:r>
      <w:r w:rsidRPr="00447583">
        <w:rPr>
          <w:rStyle w:val="FootnoteReference"/>
          <w:snapToGrid w:val="0"/>
          <w:kern w:val="22"/>
          <w:sz w:val="22"/>
          <w:szCs w:val="22"/>
          <w:u w:val="none"/>
          <w:vertAlign w:val="superscript"/>
        </w:rPr>
        <w:footnoteReference w:id="16"/>
      </w:r>
      <w:r w:rsidRPr="00447583">
        <w:rPr>
          <w:snapToGrid w:val="0"/>
          <w:kern w:val="22"/>
          <w:szCs w:val="22"/>
        </w:rPr>
        <w:t xml:space="preserve"> This latter example serves to underline the point that the conventions and process</w:t>
      </w:r>
      <w:r w:rsidR="005A41BB" w:rsidRPr="00447583">
        <w:rPr>
          <w:snapToGrid w:val="0"/>
          <w:kern w:val="22"/>
          <w:szCs w:val="22"/>
        </w:rPr>
        <w:t>es</w:t>
      </w:r>
      <w:r w:rsidRPr="00447583">
        <w:rPr>
          <w:snapToGrid w:val="0"/>
          <w:kern w:val="22"/>
          <w:szCs w:val="22"/>
        </w:rPr>
        <w:t xml:space="preserve"> that might choose to be involved would vary depending on the topic being addressed.</w:t>
      </w:r>
    </w:p>
    <w:p w14:paraId="4B8BEB30" w14:textId="26BFF645"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 xml:space="preserve">UNEP-WCMC and </w:t>
      </w:r>
      <w:proofErr w:type="spellStart"/>
      <w:r w:rsidRPr="00447583">
        <w:rPr>
          <w:snapToGrid w:val="0"/>
          <w:kern w:val="22"/>
          <w:szCs w:val="22"/>
        </w:rPr>
        <w:t>NatureConsult</w:t>
      </w:r>
      <w:proofErr w:type="spellEnd"/>
      <w:r w:rsidRPr="00447583">
        <w:rPr>
          <w:snapToGrid w:val="0"/>
          <w:kern w:val="22"/>
          <w:szCs w:val="22"/>
        </w:rPr>
        <w:t>, with support from the Government of Switzerland, carried out a review of “elements for a modular reporting against the Aichi Biodiversity Targets”.</w:t>
      </w:r>
      <w:bookmarkStart w:id="20" w:name="_Ref17479374"/>
      <w:r w:rsidRPr="00447583">
        <w:rPr>
          <w:rStyle w:val="FootnoteReference"/>
          <w:snapToGrid w:val="0"/>
          <w:kern w:val="22"/>
          <w:sz w:val="22"/>
          <w:szCs w:val="22"/>
          <w:u w:val="none"/>
          <w:vertAlign w:val="superscript"/>
        </w:rPr>
        <w:footnoteReference w:id="17"/>
      </w:r>
      <w:bookmarkEnd w:id="20"/>
      <w:r w:rsidRPr="00447583">
        <w:rPr>
          <w:snapToGrid w:val="0"/>
          <w:kern w:val="22"/>
          <w:szCs w:val="22"/>
        </w:rPr>
        <w:t xml:space="preserve"> The study found that a modular approach to reporting could foster synergies at </w:t>
      </w:r>
      <w:r w:rsidR="005A41BB" w:rsidRPr="00447583">
        <w:rPr>
          <w:snapToGrid w:val="0"/>
          <w:kern w:val="22"/>
          <w:szCs w:val="22"/>
        </w:rPr>
        <w:t xml:space="preserve">the </w:t>
      </w:r>
      <w:r w:rsidRPr="00447583">
        <w:rPr>
          <w:snapToGrid w:val="0"/>
          <w:kern w:val="22"/>
          <w:szCs w:val="22"/>
        </w:rPr>
        <w:t>national, regional and global levels by highlighting interlinkages among different processes, taking advantage of similarities and overlaps in the information submitted through separate reporting processes, and by organizing the activities and information required, into a series of modules of relevance to several processes, so as to avoid having to reproduce the same information in several reports. Following a detailed review of the reporting processes and guidelines/formats of all the biodiversity-related conventions, the study noted that national reports of all the biodiversity-related conventions would contribute information to assessment of progress towards the Aichi Biodiversity Targets.</w:t>
      </w:r>
    </w:p>
    <w:p w14:paraId="51CA7105" w14:textId="4A373C1D"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In the past, Parties have been asked to provide voluntary thematic reports on specific issues in order to inform in</w:t>
      </w:r>
      <w:r w:rsidR="005A41BB" w:rsidRPr="00447583">
        <w:rPr>
          <w:snapToGrid w:val="0"/>
          <w:kern w:val="22"/>
          <w:szCs w:val="22"/>
        </w:rPr>
        <w:t>-</w:t>
      </w:r>
      <w:r w:rsidRPr="00447583">
        <w:rPr>
          <w:snapToGrid w:val="0"/>
          <w:kern w:val="22"/>
          <w:szCs w:val="22"/>
        </w:rPr>
        <w:t>depth discussion of those issues.</w:t>
      </w:r>
      <w:r w:rsidRPr="00447583">
        <w:rPr>
          <w:rStyle w:val="FootnoteReference"/>
          <w:snapToGrid w:val="0"/>
          <w:kern w:val="22"/>
          <w:sz w:val="22"/>
          <w:szCs w:val="22"/>
          <w:u w:val="none"/>
          <w:vertAlign w:val="superscript"/>
        </w:rPr>
        <w:footnoteReference w:id="18"/>
      </w:r>
    </w:p>
    <w:p w14:paraId="5E5EABD3" w14:textId="77777777"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Possible actions to consider:</w:t>
      </w:r>
    </w:p>
    <w:p w14:paraId="70F2A3C7" w14:textId="4D1D49CF" w:rsidR="00D274FD" w:rsidRPr="00447583" w:rsidRDefault="00D274FD" w:rsidP="00ED212A">
      <w:pPr>
        <w:pStyle w:val="ListParagraph"/>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ED212A">
        <w:rPr>
          <w:bCs/>
          <w:i/>
          <w:iCs/>
          <w:snapToGrid w:val="0"/>
          <w:kern w:val="22"/>
          <w:szCs w:val="22"/>
        </w:rPr>
        <w:t xml:space="preserve">Action 6 </w:t>
      </w:r>
      <w:r w:rsidR="00FE7B58" w:rsidRPr="00ED212A">
        <w:rPr>
          <w:bCs/>
          <w:i/>
          <w:iCs/>
          <w:snapToGrid w:val="0"/>
          <w:kern w:val="22"/>
          <w:szCs w:val="22"/>
        </w:rPr>
        <w:t>–</w:t>
      </w:r>
      <w:r w:rsidRPr="00ED212A">
        <w:rPr>
          <w:bCs/>
          <w:i/>
          <w:iCs/>
          <w:snapToGrid w:val="0"/>
          <w:kern w:val="22"/>
          <w:szCs w:val="22"/>
        </w:rPr>
        <w:t xml:space="preserve"> Identify thematic areas or issues of common interest to a number of conventions and processes</w:t>
      </w:r>
      <w:r w:rsidRPr="00447583">
        <w:rPr>
          <w:bCs/>
          <w:snapToGrid w:val="0"/>
          <w:kern w:val="22"/>
          <w:szCs w:val="22"/>
        </w:rPr>
        <w:t>:</w:t>
      </w:r>
      <w:r w:rsidRPr="00447583">
        <w:rPr>
          <w:snapToGrid w:val="0"/>
          <w:kern w:val="22"/>
          <w:szCs w:val="22"/>
        </w:rPr>
        <w:t xml:space="preserve"> Review how different international agreements and processes and their reporting frameworks relate to the post-2020 global biodiversity framework and its implementation, with the aim of identifying </w:t>
      </w:r>
      <w:r w:rsidRPr="00447583">
        <w:rPr>
          <w:snapToGrid w:val="0"/>
          <w:kern w:val="22"/>
          <w:szCs w:val="22"/>
        </w:rPr>
        <w:lastRenderedPageBreak/>
        <w:t>where there is reporting on thematic areas or issues of common interest, and therefore where common guidance, approaches and definitions might prove effective and increase efficiency, and potentially lead in the future to a more integrated approach to information management and reporting. This may also have a value in identifying areas where increased coherence may be beneficial at the national level, leading to possible synergies in implementation</w:t>
      </w:r>
      <w:r w:rsidR="00FB590E" w:rsidRPr="00447583">
        <w:rPr>
          <w:snapToGrid w:val="0"/>
          <w:kern w:val="22"/>
          <w:szCs w:val="22"/>
        </w:rPr>
        <w:t>;</w:t>
      </w:r>
    </w:p>
    <w:p w14:paraId="2781F93D" w14:textId="1FB255AF" w:rsidR="00D274FD" w:rsidRPr="00447583" w:rsidRDefault="00D274FD" w:rsidP="00ED212A">
      <w:pPr>
        <w:pStyle w:val="ListParagraph"/>
        <w:suppressLineNumbers/>
        <w:tabs>
          <w:tab w:val="left" w:pos="426"/>
        </w:tabs>
        <w:suppressAutoHyphens/>
        <w:kinsoku w:val="0"/>
        <w:overflowPunct w:val="0"/>
        <w:autoSpaceDE w:val="0"/>
        <w:autoSpaceDN w:val="0"/>
        <w:adjustRightInd w:val="0"/>
        <w:snapToGrid w:val="0"/>
        <w:spacing w:after="120"/>
        <w:ind w:left="0" w:firstLine="720"/>
        <w:contextualSpacing w:val="0"/>
        <w:rPr>
          <w:iCs/>
          <w:snapToGrid w:val="0"/>
          <w:spacing w:val="-1"/>
          <w:kern w:val="22"/>
          <w:szCs w:val="22"/>
        </w:rPr>
      </w:pPr>
      <w:r w:rsidRPr="00ED212A">
        <w:rPr>
          <w:bCs/>
          <w:i/>
          <w:snapToGrid w:val="0"/>
          <w:spacing w:val="-1"/>
          <w:kern w:val="22"/>
          <w:szCs w:val="22"/>
        </w:rPr>
        <w:t xml:space="preserve">Action 7 </w:t>
      </w:r>
      <w:r w:rsidR="00FE7B58" w:rsidRPr="00ED212A">
        <w:rPr>
          <w:bCs/>
          <w:i/>
          <w:snapToGrid w:val="0"/>
          <w:spacing w:val="-1"/>
          <w:kern w:val="22"/>
          <w:szCs w:val="22"/>
        </w:rPr>
        <w:t>–</w:t>
      </w:r>
      <w:r w:rsidRPr="00ED212A">
        <w:rPr>
          <w:bCs/>
          <w:i/>
          <w:snapToGrid w:val="0"/>
          <w:spacing w:val="-1"/>
          <w:kern w:val="22"/>
          <w:szCs w:val="22"/>
        </w:rPr>
        <w:t xml:space="preserve"> Pilot test a modular reporting approach on one or more identified issues</w:t>
      </w:r>
      <w:r w:rsidRPr="00447583">
        <w:rPr>
          <w:bCs/>
          <w:iCs/>
          <w:snapToGrid w:val="0"/>
          <w:spacing w:val="-1"/>
          <w:kern w:val="22"/>
          <w:szCs w:val="22"/>
        </w:rPr>
        <w:t xml:space="preserve">: </w:t>
      </w:r>
      <w:r w:rsidRPr="00447583">
        <w:rPr>
          <w:iCs/>
          <w:snapToGrid w:val="0"/>
          <w:spacing w:val="-1"/>
          <w:kern w:val="22"/>
          <w:szCs w:val="22"/>
        </w:rPr>
        <w:t xml:space="preserve">There are some issues that are of interest across multiple conventions and processes. As a result, there is potential for developing common reporting formats whereby a single report can be made that is relevant to all these </w:t>
      </w:r>
      <w:r w:rsidRPr="00447583">
        <w:rPr>
          <w:bCs/>
          <w:snapToGrid w:val="0"/>
          <w:spacing w:val="-1"/>
          <w:kern w:val="22"/>
          <w:szCs w:val="22"/>
        </w:rPr>
        <w:t>conventions</w:t>
      </w:r>
      <w:r w:rsidRPr="00447583">
        <w:rPr>
          <w:iCs/>
          <w:snapToGrid w:val="0"/>
          <w:spacing w:val="-1"/>
          <w:kern w:val="22"/>
          <w:szCs w:val="22"/>
        </w:rPr>
        <w:t xml:space="preserve"> and processes. This may also then contribute to more integrated information management and reporting procedures with respect to those issues at national and international levels, and hopefully also more integrated approaches to implementation and action. Examples might include forests, inland waters and so on. One or more themes could be identified, with subsequent collaboration among interested organizations and </w:t>
      </w:r>
      <w:r w:rsidR="005A41BB" w:rsidRPr="00447583">
        <w:rPr>
          <w:iCs/>
          <w:snapToGrid w:val="0"/>
          <w:spacing w:val="-1"/>
          <w:kern w:val="22"/>
          <w:szCs w:val="22"/>
        </w:rPr>
        <w:t>P</w:t>
      </w:r>
      <w:r w:rsidRPr="00447583">
        <w:rPr>
          <w:iCs/>
          <w:snapToGrid w:val="0"/>
          <w:spacing w:val="-1"/>
          <w:kern w:val="22"/>
          <w:szCs w:val="22"/>
        </w:rPr>
        <w:t>arties (to the various conventions) to develop report formats, and to trial them.</w:t>
      </w:r>
    </w:p>
    <w:p w14:paraId="40435B06" w14:textId="01A096C4"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iCs/>
          <w:snapToGrid w:val="0"/>
          <w:kern w:val="22"/>
          <w:szCs w:val="22"/>
        </w:rPr>
      </w:pPr>
      <w:r w:rsidRPr="00447583">
        <w:rPr>
          <w:iCs/>
          <w:snapToGrid w:val="0"/>
          <w:kern w:val="22"/>
          <w:szCs w:val="22"/>
        </w:rPr>
        <w:t xml:space="preserve">Key </w:t>
      </w:r>
      <w:r w:rsidRPr="00447583">
        <w:rPr>
          <w:snapToGrid w:val="0"/>
          <w:kern w:val="22"/>
          <w:szCs w:val="22"/>
        </w:rPr>
        <w:t>partners</w:t>
      </w:r>
      <w:r w:rsidRPr="00447583">
        <w:rPr>
          <w:iCs/>
          <w:snapToGrid w:val="0"/>
          <w:kern w:val="22"/>
          <w:szCs w:val="22"/>
        </w:rPr>
        <w:t xml:space="preserve"> in carrying out and supporting this work would include UNEP-WCMC, and organizations working on specific themes such as members of the Consultative Partnership on Forests and the </w:t>
      </w:r>
      <w:bookmarkStart w:id="21" w:name="_Hlk60752425"/>
      <w:r w:rsidRPr="00447583">
        <w:rPr>
          <w:iCs/>
          <w:snapToGrid w:val="0"/>
          <w:kern w:val="22"/>
          <w:szCs w:val="22"/>
        </w:rPr>
        <w:t>Consultative Partnership on Sustainable</w:t>
      </w:r>
      <w:bookmarkEnd w:id="21"/>
      <w:r w:rsidRPr="00447583">
        <w:rPr>
          <w:iCs/>
          <w:snapToGrid w:val="0"/>
          <w:kern w:val="22"/>
          <w:szCs w:val="22"/>
        </w:rPr>
        <w:t xml:space="preserve"> </w:t>
      </w:r>
      <w:r w:rsidR="005A41BB" w:rsidRPr="00447583">
        <w:rPr>
          <w:iCs/>
          <w:snapToGrid w:val="0"/>
          <w:kern w:val="22"/>
          <w:szCs w:val="22"/>
        </w:rPr>
        <w:t xml:space="preserve">Wildlife Management </w:t>
      </w:r>
      <w:r w:rsidRPr="00447583">
        <w:rPr>
          <w:iCs/>
          <w:snapToGrid w:val="0"/>
          <w:kern w:val="22"/>
          <w:szCs w:val="22"/>
        </w:rPr>
        <w:t>for their respective themes</w:t>
      </w:r>
      <w:r w:rsidR="005A41BB" w:rsidRPr="00447583">
        <w:rPr>
          <w:iCs/>
          <w:snapToGrid w:val="0"/>
          <w:kern w:val="22"/>
          <w:szCs w:val="22"/>
        </w:rPr>
        <w:t>;</w:t>
      </w:r>
      <w:r w:rsidRPr="00447583">
        <w:rPr>
          <w:iCs/>
          <w:snapToGrid w:val="0"/>
          <w:kern w:val="22"/>
          <w:szCs w:val="22"/>
        </w:rPr>
        <w:t xml:space="preserve"> the International Treaty on Plant Genetic Resources</w:t>
      </w:r>
      <w:r w:rsidR="005A41BB" w:rsidRPr="00447583">
        <w:rPr>
          <w:iCs/>
          <w:snapToGrid w:val="0"/>
          <w:kern w:val="22"/>
          <w:szCs w:val="22"/>
        </w:rPr>
        <w:t xml:space="preserve"> for Food and Agriculture</w:t>
      </w:r>
      <w:r w:rsidRPr="00447583">
        <w:rPr>
          <w:iCs/>
          <w:snapToGrid w:val="0"/>
          <w:kern w:val="22"/>
          <w:szCs w:val="22"/>
        </w:rPr>
        <w:t>, the Nagoya Protocol, the Food and Agriculture Organization of the United Nations and CGIAR Research Centres for genetic resources</w:t>
      </w:r>
      <w:r w:rsidR="005A41BB" w:rsidRPr="00447583">
        <w:rPr>
          <w:iCs/>
          <w:snapToGrid w:val="0"/>
          <w:kern w:val="22"/>
          <w:szCs w:val="22"/>
        </w:rPr>
        <w:t>;</w:t>
      </w:r>
      <w:r w:rsidRPr="00447583">
        <w:rPr>
          <w:iCs/>
          <w:snapToGrid w:val="0"/>
          <w:kern w:val="22"/>
          <w:szCs w:val="22"/>
        </w:rPr>
        <w:t xml:space="preserve"> the Ramsar Convention and Wetlands International for inland waters, and so on. </w:t>
      </w:r>
    </w:p>
    <w:p w14:paraId="7307C20E" w14:textId="2DB18C0E" w:rsidR="00D274FD" w:rsidRPr="00447583" w:rsidRDefault="00D274FD" w:rsidP="00ED212A">
      <w:pPr>
        <w:pStyle w:val="Heading2"/>
        <w:numPr>
          <w:ilvl w:val="0"/>
          <w:numId w:val="10"/>
        </w:numPr>
        <w:suppressLineNumbers/>
        <w:tabs>
          <w:tab w:val="clear" w:pos="720"/>
        </w:tabs>
        <w:suppressAutoHyphens/>
        <w:kinsoku w:val="0"/>
        <w:overflowPunct w:val="0"/>
        <w:autoSpaceDE w:val="0"/>
        <w:autoSpaceDN w:val="0"/>
        <w:adjustRightInd w:val="0"/>
        <w:snapToGrid w:val="0"/>
        <w:ind w:left="357" w:hanging="357"/>
        <w:rPr>
          <w:snapToGrid w:val="0"/>
          <w:kern w:val="22"/>
          <w:szCs w:val="22"/>
        </w:rPr>
      </w:pPr>
      <w:bookmarkStart w:id="22" w:name="_Toc33649293"/>
      <w:r w:rsidRPr="00447583">
        <w:rPr>
          <w:snapToGrid w:val="0"/>
          <w:kern w:val="22"/>
          <w:szCs w:val="22"/>
        </w:rPr>
        <w:t>Interoperability of information management and reporting systems</w:t>
      </w:r>
      <w:bookmarkEnd w:id="22"/>
    </w:p>
    <w:p w14:paraId="0BAC7ADD" w14:textId="5B5F51E5"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 xml:space="preserve">This issue is </w:t>
      </w:r>
      <w:r w:rsidRPr="00447583">
        <w:rPr>
          <w:iCs/>
          <w:snapToGrid w:val="0"/>
          <w:kern w:val="22"/>
          <w:szCs w:val="22"/>
        </w:rPr>
        <w:t>addressed</w:t>
      </w:r>
      <w:r w:rsidRPr="00447583">
        <w:rPr>
          <w:snapToGrid w:val="0"/>
          <w:kern w:val="22"/>
          <w:szCs w:val="22"/>
        </w:rPr>
        <w:t xml:space="preserve"> in </w:t>
      </w:r>
      <w:r w:rsidR="007E452F" w:rsidRPr="00447583">
        <w:rPr>
          <w:snapToGrid w:val="0"/>
          <w:kern w:val="22"/>
          <w:szCs w:val="22"/>
        </w:rPr>
        <w:t xml:space="preserve">document </w:t>
      </w:r>
      <w:hyperlink r:id="rId22" w:history="1">
        <w:r w:rsidR="007E452F" w:rsidRPr="00447583">
          <w:rPr>
            <w:rStyle w:val="Hyperlink"/>
            <w:snapToGrid w:val="0"/>
            <w:kern w:val="22"/>
            <w:szCs w:val="22"/>
          </w:rPr>
          <w:t>CBD/SBI/2/12</w:t>
        </w:r>
      </w:hyperlink>
      <w:r w:rsidR="007E452F" w:rsidRPr="00447583">
        <w:rPr>
          <w:rStyle w:val="Hyperlink"/>
          <w:snapToGrid w:val="0"/>
          <w:kern w:val="22"/>
          <w:szCs w:val="22"/>
        </w:rPr>
        <w:t xml:space="preserve">, </w:t>
      </w:r>
      <w:r w:rsidRPr="00447583">
        <w:rPr>
          <w:snapToGrid w:val="0"/>
          <w:kern w:val="22"/>
          <w:szCs w:val="22"/>
        </w:rPr>
        <w:t>paragraphs 42</w:t>
      </w:r>
      <w:r w:rsidR="0019370F" w:rsidRPr="00447583">
        <w:rPr>
          <w:snapToGrid w:val="0"/>
          <w:kern w:val="22"/>
          <w:szCs w:val="22"/>
        </w:rPr>
        <w:t xml:space="preserve"> to </w:t>
      </w:r>
      <w:r w:rsidRPr="00447583">
        <w:rPr>
          <w:snapToGrid w:val="0"/>
          <w:kern w:val="22"/>
          <w:szCs w:val="22"/>
        </w:rPr>
        <w:t xml:space="preserve">47, </w:t>
      </w:r>
      <w:r w:rsidR="00AA5019" w:rsidRPr="00447583">
        <w:rPr>
          <w:snapToGrid w:val="0"/>
          <w:kern w:val="22"/>
          <w:szCs w:val="22"/>
        </w:rPr>
        <w:t xml:space="preserve">in </w:t>
      </w:r>
      <w:r w:rsidRPr="00447583">
        <w:rPr>
          <w:snapToGrid w:val="0"/>
          <w:kern w:val="22"/>
          <w:szCs w:val="22"/>
        </w:rPr>
        <w:t xml:space="preserve">which the purpose of promoting interoperability of data sets and reporting systems </w:t>
      </w:r>
      <w:r w:rsidR="00AA5019" w:rsidRPr="00447583">
        <w:rPr>
          <w:snapToGrid w:val="0"/>
          <w:kern w:val="22"/>
          <w:szCs w:val="22"/>
        </w:rPr>
        <w:t xml:space="preserve">is identified </w:t>
      </w:r>
      <w:r w:rsidRPr="00447583">
        <w:rPr>
          <w:snapToGrid w:val="0"/>
          <w:kern w:val="22"/>
          <w:szCs w:val="22"/>
        </w:rPr>
        <w:t>as being to facilitate the reuse of information entered in one place. Increasing interoperability of data and information concerns the steps taken in order to ensure that the data and information can be readily shared, including through its ready integration into other information systems. At both national and international levels, increased focus on interoperability has the potential to lead to the more effective management and use of information, streamlining of reporting processes, and increased opportunity to draw on reported information. It also justifies investing in more complex analytical tools that combine information from multiple sources. Interoperable reporting systems, shared indicators, and increased opportunity to access data and information also have the potential to facilitate review of progress.</w:t>
      </w:r>
    </w:p>
    <w:p w14:paraId="72F239C9" w14:textId="08081324"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spacing w:val="-1"/>
          <w:kern w:val="22"/>
          <w:szCs w:val="22"/>
        </w:rPr>
      </w:pPr>
      <w:proofErr w:type="spellStart"/>
      <w:r w:rsidRPr="00447583">
        <w:rPr>
          <w:snapToGrid w:val="0"/>
          <w:spacing w:val="-1"/>
          <w:kern w:val="22"/>
          <w:szCs w:val="22"/>
        </w:rPr>
        <w:t>InforMEA</w:t>
      </w:r>
      <w:proofErr w:type="spellEnd"/>
      <w:r w:rsidRPr="00447583">
        <w:rPr>
          <w:snapToGrid w:val="0"/>
          <w:spacing w:val="-1"/>
          <w:kern w:val="22"/>
          <w:szCs w:val="22"/>
        </w:rPr>
        <w:t xml:space="preserve"> (</w:t>
      </w:r>
      <w:hyperlink r:id="rId23" w:history="1">
        <w:r w:rsidRPr="00447583">
          <w:rPr>
            <w:rStyle w:val="Hyperlink"/>
            <w:snapToGrid w:val="0"/>
            <w:spacing w:val="-1"/>
            <w:kern w:val="22"/>
            <w:szCs w:val="22"/>
          </w:rPr>
          <w:t>www.informea.org</w:t>
        </w:r>
      </w:hyperlink>
      <w:r w:rsidRPr="00447583">
        <w:rPr>
          <w:snapToGrid w:val="0"/>
          <w:spacing w:val="-1"/>
          <w:kern w:val="22"/>
          <w:szCs w:val="22"/>
        </w:rPr>
        <w:t xml:space="preserve">) is the visible </w:t>
      </w:r>
      <w:r w:rsidR="005A41BB" w:rsidRPr="00447583">
        <w:rPr>
          <w:snapToGrid w:val="0"/>
          <w:spacing w:val="-1"/>
          <w:kern w:val="22"/>
          <w:szCs w:val="22"/>
        </w:rPr>
        <w:t>“</w:t>
      </w:r>
      <w:r w:rsidRPr="00447583">
        <w:rPr>
          <w:snapToGrid w:val="0"/>
          <w:spacing w:val="-1"/>
          <w:kern w:val="22"/>
          <w:szCs w:val="22"/>
        </w:rPr>
        <w:t>face</w:t>
      </w:r>
      <w:r w:rsidR="005A41BB" w:rsidRPr="00447583">
        <w:rPr>
          <w:snapToGrid w:val="0"/>
          <w:spacing w:val="-1"/>
          <w:kern w:val="22"/>
          <w:szCs w:val="22"/>
        </w:rPr>
        <w:t>”</w:t>
      </w:r>
      <w:r w:rsidRPr="00447583">
        <w:rPr>
          <w:snapToGrid w:val="0"/>
          <w:spacing w:val="-1"/>
          <w:kern w:val="22"/>
          <w:szCs w:val="22"/>
        </w:rPr>
        <w:t xml:space="preserve"> of a </w:t>
      </w:r>
      <w:r w:rsidR="000C00E8" w:rsidRPr="00447583">
        <w:rPr>
          <w:snapToGrid w:val="0"/>
          <w:spacing w:val="-1"/>
          <w:kern w:val="22"/>
          <w:szCs w:val="22"/>
        </w:rPr>
        <w:t xml:space="preserve">software </w:t>
      </w:r>
      <w:r w:rsidRPr="00447583">
        <w:rPr>
          <w:snapToGrid w:val="0"/>
          <w:spacing w:val="-1"/>
          <w:kern w:val="22"/>
          <w:szCs w:val="22"/>
        </w:rPr>
        <w:t xml:space="preserve">programme that actively encourages and supports secretariats of multilateral environmental agreements to develop harmonized and interoperable information systems for the benefit of Parties and the environment community at large. The initiative is facilitated by </w:t>
      </w:r>
      <w:r w:rsidR="005A41BB" w:rsidRPr="00447583">
        <w:rPr>
          <w:snapToGrid w:val="0"/>
          <w:spacing w:val="-1"/>
          <w:kern w:val="22"/>
          <w:szCs w:val="22"/>
        </w:rPr>
        <w:t>UNEP</w:t>
      </w:r>
      <w:r w:rsidRPr="00447583">
        <w:rPr>
          <w:snapToGrid w:val="0"/>
          <w:spacing w:val="-1"/>
          <w:kern w:val="22"/>
          <w:szCs w:val="22"/>
        </w:rPr>
        <w:t xml:space="preserve"> and now comprises 31 global and 55 regional treaties and protocols across </w:t>
      </w:r>
      <w:proofErr w:type="gramStart"/>
      <w:r w:rsidRPr="00447583">
        <w:rPr>
          <w:snapToGrid w:val="0"/>
          <w:spacing w:val="-1"/>
          <w:kern w:val="22"/>
          <w:szCs w:val="22"/>
        </w:rPr>
        <w:t>a number of</w:t>
      </w:r>
      <w:proofErr w:type="gramEnd"/>
      <w:r w:rsidRPr="00447583">
        <w:rPr>
          <w:snapToGrid w:val="0"/>
          <w:spacing w:val="-1"/>
          <w:kern w:val="22"/>
          <w:szCs w:val="22"/>
        </w:rPr>
        <w:t xml:space="preserve"> clusters</w:t>
      </w:r>
      <w:r w:rsidR="00B41FB6" w:rsidRPr="00447583">
        <w:rPr>
          <w:snapToGrid w:val="0"/>
          <w:spacing w:val="-1"/>
          <w:kern w:val="22"/>
          <w:szCs w:val="22"/>
        </w:rPr>
        <w:t>,</w:t>
      </w:r>
      <w:r w:rsidRPr="00447583">
        <w:rPr>
          <w:snapToGrid w:val="0"/>
          <w:spacing w:val="-1"/>
          <w:kern w:val="22"/>
          <w:szCs w:val="22"/>
        </w:rPr>
        <w:t xml:space="preserve"> including biodiversity. The primary focus is on information managed by multiple agreements (such as decisions, contacts, events, reports), and facilitation of increased access to that information. At present</w:t>
      </w:r>
      <w:r w:rsidR="004C293B" w:rsidRPr="00447583">
        <w:rPr>
          <w:snapToGrid w:val="0"/>
          <w:spacing w:val="-1"/>
          <w:kern w:val="22"/>
          <w:szCs w:val="22"/>
        </w:rPr>
        <w:t>,</w:t>
      </w:r>
      <w:r w:rsidRPr="00447583">
        <w:rPr>
          <w:snapToGrid w:val="0"/>
          <w:spacing w:val="-1"/>
          <w:kern w:val="22"/>
          <w:szCs w:val="22"/>
        </w:rPr>
        <w:t xml:space="preserve"> this facilitates location of national reports and access to them, but the intention in the future is also to improve access to report contents, facilitating enhanced use of reported information. This could include tagging of reported information to </w:t>
      </w:r>
      <w:proofErr w:type="gramStart"/>
      <w:r w:rsidRPr="00447583">
        <w:rPr>
          <w:snapToGrid w:val="0"/>
          <w:spacing w:val="-1"/>
          <w:kern w:val="22"/>
          <w:szCs w:val="22"/>
        </w:rPr>
        <w:t>particular goals</w:t>
      </w:r>
      <w:proofErr w:type="gramEnd"/>
      <w:r w:rsidRPr="00447583">
        <w:rPr>
          <w:snapToGrid w:val="0"/>
          <w:spacing w:val="-1"/>
          <w:kern w:val="22"/>
          <w:szCs w:val="22"/>
        </w:rPr>
        <w:t xml:space="preserve"> and targets, such as the Sustainable Development Goals and any goals and targets in the post-2020 global biodiversity framework.</w:t>
      </w:r>
    </w:p>
    <w:p w14:paraId="519FDB7D" w14:textId="6804790E"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The Data and Reporting Tool (</w:t>
      </w:r>
      <w:proofErr w:type="spellStart"/>
      <w:r w:rsidRPr="00447583">
        <w:rPr>
          <w:snapToGrid w:val="0"/>
          <w:kern w:val="22"/>
          <w:szCs w:val="22"/>
        </w:rPr>
        <w:t>DaRT</w:t>
      </w:r>
      <w:proofErr w:type="spellEnd"/>
      <w:r w:rsidRPr="00447583">
        <w:rPr>
          <w:snapToGrid w:val="0"/>
          <w:kern w:val="22"/>
          <w:szCs w:val="22"/>
        </w:rPr>
        <w:t>)</w:t>
      </w:r>
      <w:r w:rsidRPr="00447583">
        <w:rPr>
          <w:rStyle w:val="FootnoteReference"/>
          <w:snapToGrid w:val="0"/>
          <w:kern w:val="22"/>
          <w:sz w:val="22"/>
          <w:szCs w:val="22"/>
          <w:u w:val="none"/>
          <w:vertAlign w:val="superscript"/>
        </w:rPr>
        <w:footnoteReference w:id="19"/>
      </w:r>
      <w:r w:rsidRPr="00447583">
        <w:rPr>
          <w:snapToGrid w:val="0"/>
          <w:kern w:val="22"/>
          <w:szCs w:val="22"/>
        </w:rPr>
        <w:t xml:space="preserve"> currently being developed </w:t>
      </w:r>
      <w:r w:rsidR="0088102E" w:rsidRPr="00447583">
        <w:rPr>
          <w:snapToGrid w:val="0"/>
          <w:kern w:val="22"/>
          <w:szCs w:val="22"/>
        </w:rPr>
        <w:t xml:space="preserve">by UNEP </w:t>
      </w:r>
      <w:r w:rsidRPr="00447583">
        <w:rPr>
          <w:snapToGrid w:val="0"/>
          <w:kern w:val="22"/>
          <w:szCs w:val="22"/>
        </w:rPr>
        <w:t xml:space="preserve">aims to provide national </w:t>
      </w:r>
      <w:r w:rsidR="005A41BB" w:rsidRPr="00447583">
        <w:rPr>
          <w:snapToGrid w:val="0"/>
          <w:kern w:val="22"/>
          <w:szCs w:val="22"/>
        </w:rPr>
        <w:t>“</w:t>
      </w:r>
      <w:r w:rsidRPr="00447583">
        <w:rPr>
          <w:snapToGrid w:val="0"/>
          <w:kern w:val="22"/>
          <w:szCs w:val="22"/>
        </w:rPr>
        <w:t>working spaces</w:t>
      </w:r>
      <w:r w:rsidR="005A41BB" w:rsidRPr="00447583">
        <w:rPr>
          <w:snapToGrid w:val="0"/>
          <w:kern w:val="22"/>
          <w:szCs w:val="22"/>
        </w:rPr>
        <w:t>”</w:t>
      </w:r>
      <w:r w:rsidRPr="00447583">
        <w:rPr>
          <w:snapToGrid w:val="0"/>
          <w:kern w:val="22"/>
          <w:szCs w:val="22"/>
        </w:rPr>
        <w:t xml:space="preserve"> that will help those responsible for reporting to conventions to organize, share and maintain documentation and links to information used in reporting. The aim is for the tool to facilitate access to the necessary data and information, including to previous report contents, thereby reducing reporting effort while at the same time fostering communication and cooperation at the national level. This is still work in progress, but it is hoped that active engagement of secretariats and </w:t>
      </w:r>
      <w:r w:rsidR="005A41BB" w:rsidRPr="00447583">
        <w:rPr>
          <w:snapToGrid w:val="0"/>
          <w:kern w:val="22"/>
          <w:szCs w:val="22"/>
        </w:rPr>
        <w:t>P</w:t>
      </w:r>
      <w:r w:rsidRPr="00447583">
        <w:rPr>
          <w:snapToGrid w:val="0"/>
          <w:kern w:val="22"/>
          <w:szCs w:val="22"/>
        </w:rPr>
        <w:t xml:space="preserve">arties </w:t>
      </w:r>
      <w:r w:rsidR="00CA04F1" w:rsidRPr="00447583">
        <w:rPr>
          <w:snapToGrid w:val="0"/>
          <w:kern w:val="22"/>
          <w:szCs w:val="22"/>
        </w:rPr>
        <w:t>to</w:t>
      </w:r>
      <w:r w:rsidRPr="00447583">
        <w:rPr>
          <w:snapToGrid w:val="0"/>
          <w:kern w:val="22"/>
          <w:szCs w:val="22"/>
        </w:rPr>
        <w:t xml:space="preserve"> multilateral environmental agreements in rollout and testing will help ensure its practical value.</w:t>
      </w:r>
    </w:p>
    <w:p w14:paraId="7CB433D5" w14:textId="0EA4F8CA"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lastRenderedPageBreak/>
        <w:t xml:space="preserve">Increasing use is being made of online reporting systems, whether using generic tools, such as the </w:t>
      </w:r>
      <w:r w:rsidR="005B65A4" w:rsidRPr="00447583">
        <w:rPr>
          <w:snapToGrid w:val="0"/>
          <w:kern w:val="22"/>
          <w:szCs w:val="22"/>
        </w:rPr>
        <w:t>o</w:t>
      </w:r>
      <w:r w:rsidRPr="00447583">
        <w:rPr>
          <w:snapToGrid w:val="0"/>
          <w:kern w:val="22"/>
          <w:szCs w:val="22"/>
        </w:rPr>
        <w:t xml:space="preserve">nline </w:t>
      </w:r>
      <w:r w:rsidR="005B65A4" w:rsidRPr="00447583">
        <w:rPr>
          <w:snapToGrid w:val="0"/>
          <w:kern w:val="22"/>
          <w:szCs w:val="22"/>
        </w:rPr>
        <w:t>r</w:t>
      </w:r>
      <w:r w:rsidRPr="00447583">
        <w:rPr>
          <w:snapToGrid w:val="0"/>
          <w:kern w:val="22"/>
          <w:szCs w:val="22"/>
        </w:rPr>
        <w:t xml:space="preserve">eporting </w:t>
      </w:r>
      <w:r w:rsidR="005B65A4" w:rsidRPr="00447583">
        <w:rPr>
          <w:snapToGrid w:val="0"/>
          <w:kern w:val="22"/>
          <w:szCs w:val="22"/>
        </w:rPr>
        <w:t>s</w:t>
      </w:r>
      <w:r w:rsidRPr="00447583">
        <w:rPr>
          <w:snapToGrid w:val="0"/>
          <w:kern w:val="22"/>
          <w:szCs w:val="22"/>
        </w:rPr>
        <w:t>ystem developed by UNEP-WCMC together with the Convention on Migratory Species and its daughter agreements,</w:t>
      </w:r>
      <w:r w:rsidRPr="00447583">
        <w:rPr>
          <w:rStyle w:val="FootnoteReference"/>
          <w:snapToGrid w:val="0"/>
          <w:kern w:val="22"/>
          <w:sz w:val="22"/>
          <w:szCs w:val="22"/>
          <w:u w:val="none"/>
          <w:vertAlign w:val="superscript"/>
        </w:rPr>
        <w:footnoteReference w:id="20"/>
      </w:r>
      <w:r w:rsidRPr="00447583">
        <w:rPr>
          <w:snapToGrid w:val="0"/>
          <w:kern w:val="22"/>
          <w:szCs w:val="22"/>
        </w:rPr>
        <w:t xml:space="preserve"> or custom tools such as the </w:t>
      </w:r>
      <w:r w:rsidR="0088102E" w:rsidRPr="00447583">
        <w:rPr>
          <w:snapToGrid w:val="0"/>
          <w:kern w:val="22"/>
          <w:szCs w:val="22"/>
        </w:rPr>
        <w:t>online reporting tool</w:t>
      </w:r>
      <w:r w:rsidRPr="00447583">
        <w:rPr>
          <w:snapToGrid w:val="0"/>
          <w:kern w:val="22"/>
          <w:szCs w:val="22"/>
        </w:rPr>
        <w:t xml:space="preserve"> developed by the Secretariat </w:t>
      </w:r>
      <w:r w:rsidR="001F38A3" w:rsidRPr="00447583">
        <w:rPr>
          <w:snapToGrid w:val="0"/>
          <w:kern w:val="22"/>
          <w:szCs w:val="22"/>
        </w:rPr>
        <w:t xml:space="preserve">of the Convention on Biological Diversity </w:t>
      </w:r>
      <w:r w:rsidRPr="00447583">
        <w:rPr>
          <w:snapToGrid w:val="0"/>
          <w:kern w:val="22"/>
          <w:szCs w:val="22"/>
        </w:rPr>
        <w:t>for the sixth national report.</w:t>
      </w:r>
      <w:r w:rsidRPr="00447583">
        <w:rPr>
          <w:rStyle w:val="FootnoteReference"/>
          <w:snapToGrid w:val="0"/>
          <w:kern w:val="22"/>
          <w:sz w:val="22"/>
          <w:szCs w:val="22"/>
          <w:u w:val="none"/>
          <w:vertAlign w:val="superscript"/>
        </w:rPr>
        <w:footnoteReference w:id="21"/>
      </w:r>
      <w:r w:rsidRPr="00447583">
        <w:rPr>
          <w:snapToGrid w:val="0"/>
          <w:kern w:val="22"/>
          <w:szCs w:val="22"/>
        </w:rPr>
        <w:t xml:space="preserve"> Meanwhile the United Nations Convention to Combat Desertification is initiating development of a new interactive geospatial data management platform for reporting. Online reporting systems have the potential to increase interoperability through increasing standardization and the ability to more easily categorize and tag the submitted information.</w:t>
      </w:r>
    </w:p>
    <w:p w14:paraId="28356206" w14:textId="2C5EB026"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 xml:space="preserve">In </w:t>
      </w:r>
      <w:r w:rsidRPr="009D58B2">
        <w:rPr>
          <w:snapToGrid w:val="0"/>
          <w:kern w:val="22"/>
          <w:szCs w:val="22"/>
        </w:rPr>
        <w:t xml:space="preserve">decision </w:t>
      </w:r>
      <w:hyperlink r:id="rId24" w:history="1">
        <w:r w:rsidRPr="009D58B2">
          <w:rPr>
            <w:rStyle w:val="Hyperlink"/>
            <w:snapToGrid w:val="0"/>
            <w:kern w:val="22"/>
            <w:szCs w:val="22"/>
          </w:rPr>
          <w:t>XIII/31</w:t>
        </w:r>
      </w:hyperlink>
      <w:r w:rsidRPr="00447583">
        <w:rPr>
          <w:snapToGrid w:val="0"/>
          <w:kern w:val="22"/>
          <w:szCs w:val="22"/>
        </w:rPr>
        <w:t xml:space="preserve"> on key scientific and technical needs related to implementation of the Strategic Plan for Biodiversity 2011-2020, the Conference of the Parties invited Parties and relevant organizations to promote open access to biodiversity-related data, and provided voluntary guidance to improve the accessibility of biodiversity-related data and information. In </w:t>
      </w:r>
      <w:r w:rsidRPr="00FB1A95">
        <w:rPr>
          <w:snapToGrid w:val="0"/>
          <w:kern w:val="22"/>
          <w:szCs w:val="22"/>
        </w:rPr>
        <w:t>decision XIII/24</w:t>
      </w:r>
      <w:r w:rsidRPr="00447583">
        <w:rPr>
          <w:snapToGrid w:val="0"/>
          <w:kern w:val="22"/>
          <w:szCs w:val="22"/>
        </w:rPr>
        <w:t xml:space="preserve"> on cooperation with other conventions and international organizations, provision of guidance on national databases, data access and use was identified as a </w:t>
      </w:r>
      <w:r w:rsidRPr="00ED212A">
        <w:rPr>
          <w:snapToGrid w:val="0"/>
          <w:kern w:val="22"/>
          <w:szCs w:val="22"/>
        </w:rPr>
        <w:t>“key action”</w:t>
      </w:r>
      <w:r w:rsidRPr="00447583">
        <w:rPr>
          <w:snapToGrid w:val="0"/>
          <w:kern w:val="22"/>
          <w:szCs w:val="22"/>
        </w:rPr>
        <w:t xml:space="preserve"> for </w:t>
      </w:r>
      <w:r w:rsidRPr="00ED212A">
        <w:rPr>
          <w:snapToGrid w:val="0"/>
          <w:kern w:val="22"/>
          <w:szCs w:val="22"/>
        </w:rPr>
        <w:t>“enhancing management of and avoiding duplication related to information and knowledge, national reporting, monitoring and indicators”</w:t>
      </w:r>
      <w:r w:rsidRPr="00447583">
        <w:rPr>
          <w:snapToGrid w:val="0"/>
          <w:kern w:val="22"/>
          <w:szCs w:val="22"/>
        </w:rPr>
        <w:t>. Sharing of data and information, and increased interoperability, are essential components of integrated information management in support of implementation and reporting for multiple conventions.</w:t>
      </w:r>
    </w:p>
    <w:p w14:paraId="22FE4C89" w14:textId="68A93D5D"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Possible actions to consider</w:t>
      </w:r>
      <w:r w:rsidR="00127A84" w:rsidRPr="00447583">
        <w:rPr>
          <w:snapToGrid w:val="0"/>
          <w:kern w:val="22"/>
          <w:szCs w:val="22"/>
        </w:rPr>
        <w:t xml:space="preserve"> are the following</w:t>
      </w:r>
      <w:r w:rsidRPr="00447583">
        <w:rPr>
          <w:snapToGrid w:val="0"/>
          <w:kern w:val="22"/>
          <w:szCs w:val="22"/>
        </w:rPr>
        <w:t>:</w:t>
      </w:r>
    </w:p>
    <w:p w14:paraId="10CADAC5" w14:textId="1F0068DB" w:rsidR="00D274FD" w:rsidRPr="00447583" w:rsidRDefault="00D274FD" w:rsidP="00ED212A">
      <w:pPr>
        <w:pStyle w:val="ListParagraph"/>
        <w:suppressLineNumbers/>
        <w:tabs>
          <w:tab w:val="left" w:pos="426"/>
        </w:tab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ED212A">
        <w:rPr>
          <w:bCs/>
          <w:i/>
          <w:iCs/>
          <w:snapToGrid w:val="0"/>
          <w:kern w:val="22"/>
          <w:szCs w:val="22"/>
        </w:rPr>
        <w:t xml:space="preserve">Action 8 </w:t>
      </w:r>
      <w:r w:rsidR="00FE7B58" w:rsidRPr="00ED212A">
        <w:rPr>
          <w:bCs/>
          <w:i/>
          <w:iCs/>
          <w:snapToGrid w:val="0"/>
          <w:kern w:val="22"/>
          <w:szCs w:val="22"/>
        </w:rPr>
        <w:t>–</w:t>
      </w:r>
      <w:r w:rsidRPr="00ED212A">
        <w:rPr>
          <w:bCs/>
          <w:i/>
          <w:iCs/>
          <w:snapToGrid w:val="0"/>
          <w:kern w:val="22"/>
          <w:szCs w:val="22"/>
        </w:rPr>
        <w:t xml:space="preserve"> Promote the use of common standards and ontologies</w:t>
      </w:r>
      <w:r w:rsidRPr="00447583">
        <w:rPr>
          <w:bCs/>
          <w:snapToGrid w:val="0"/>
          <w:kern w:val="22"/>
          <w:szCs w:val="22"/>
        </w:rPr>
        <w:t>: I</w:t>
      </w:r>
      <w:r w:rsidRPr="00447583">
        <w:rPr>
          <w:snapToGrid w:val="0"/>
          <w:kern w:val="22"/>
          <w:szCs w:val="22"/>
        </w:rPr>
        <w:t>dentify areas where common definitions, classification systems, and standards would further facilitate the sharing of reported data and information, promoting their use where they already exist, and undertaking exploratory work on what it would take to build acceptance of common definitions, classification systems and standards where they do not, and making recommendations on options for a way forward</w:t>
      </w:r>
      <w:r w:rsidR="00DF2EF6" w:rsidRPr="00447583">
        <w:rPr>
          <w:snapToGrid w:val="0"/>
          <w:kern w:val="22"/>
          <w:szCs w:val="22"/>
        </w:rPr>
        <w:t>;</w:t>
      </w:r>
    </w:p>
    <w:p w14:paraId="5137777B" w14:textId="6208BC75" w:rsidR="00D274FD" w:rsidRPr="00447583" w:rsidRDefault="00D274FD" w:rsidP="00ED212A">
      <w:pPr>
        <w:pStyle w:val="ListParagraph"/>
        <w:suppressLineNumbers/>
        <w:tabs>
          <w:tab w:val="left" w:pos="426"/>
        </w:tab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ED212A">
        <w:rPr>
          <w:bCs/>
          <w:i/>
          <w:iCs/>
          <w:snapToGrid w:val="0"/>
          <w:kern w:val="22"/>
          <w:szCs w:val="22"/>
        </w:rPr>
        <w:t xml:space="preserve">Action 9 </w:t>
      </w:r>
      <w:r w:rsidR="00FE7B58" w:rsidRPr="00ED212A">
        <w:rPr>
          <w:bCs/>
          <w:i/>
          <w:iCs/>
          <w:snapToGrid w:val="0"/>
          <w:kern w:val="22"/>
          <w:szCs w:val="22"/>
        </w:rPr>
        <w:t>–</w:t>
      </w:r>
      <w:r w:rsidRPr="00ED212A">
        <w:rPr>
          <w:bCs/>
          <w:i/>
          <w:iCs/>
          <w:snapToGrid w:val="0"/>
          <w:kern w:val="22"/>
          <w:szCs w:val="22"/>
        </w:rPr>
        <w:t xml:space="preserve"> Strengthen the implementation of </w:t>
      </w:r>
      <w:proofErr w:type="spellStart"/>
      <w:r w:rsidRPr="00ED212A">
        <w:rPr>
          <w:bCs/>
          <w:i/>
          <w:iCs/>
          <w:snapToGrid w:val="0"/>
          <w:kern w:val="22"/>
          <w:szCs w:val="22"/>
        </w:rPr>
        <w:t>InforMEA</w:t>
      </w:r>
      <w:proofErr w:type="spellEnd"/>
      <w:r w:rsidRPr="00447583">
        <w:rPr>
          <w:bCs/>
          <w:snapToGrid w:val="0"/>
          <w:kern w:val="22"/>
          <w:szCs w:val="22"/>
        </w:rPr>
        <w:t>:</w:t>
      </w:r>
      <w:r w:rsidRPr="00447583">
        <w:rPr>
          <w:snapToGrid w:val="0"/>
          <w:kern w:val="22"/>
          <w:szCs w:val="22"/>
        </w:rPr>
        <w:t xml:space="preserve"> Continue to support the </w:t>
      </w:r>
      <w:proofErr w:type="spellStart"/>
      <w:r w:rsidRPr="00447583">
        <w:rPr>
          <w:snapToGrid w:val="0"/>
          <w:kern w:val="22"/>
          <w:szCs w:val="22"/>
        </w:rPr>
        <w:t>InforMEA</w:t>
      </w:r>
      <w:proofErr w:type="spellEnd"/>
      <w:r w:rsidRPr="00447583">
        <w:rPr>
          <w:snapToGrid w:val="0"/>
          <w:kern w:val="22"/>
          <w:szCs w:val="22"/>
        </w:rPr>
        <w:t xml:space="preserve"> programme through the engagement of secretariats, </w:t>
      </w:r>
      <w:r w:rsidR="005A41BB" w:rsidRPr="00447583">
        <w:rPr>
          <w:snapToGrid w:val="0"/>
          <w:kern w:val="22"/>
          <w:szCs w:val="22"/>
        </w:rPr>
        <w:t>P</w:t>
      </w:r>
      <w:r w:rsidRPr="00447583">
        <w:rPr>
          <w:snapToGrid w:val="0"/>
          <w:kern w:val="22"/>
          <w:szCs w:val="22"/>
        </w:rPr>
        <w:t xml:space="preserve">arties and relevant organizations in development and testing of information services to increase the sharing of data and information managed by secretariats, including </w:t>
      </w:r>
      <w:r w:rsidR="003C2E26" w:rsidRPr="00447583">
        <w:rPr>
          <w:snapToGrid w:val="0"/>
          <w:kern w:val="22"/>
          <w:szCs w:val="22"/>
        </w:rPr>
        <w:t xml:space="preserve">by </w:t>
      </w:r>
      <w:r w:rsidRPr="00447583">
        <w:rPr>
          <w:snapToGrid w:val="0"/>
          <w:kern w:val="22"/>
          <w:szCs w:val="22"/>
        </w:rPr>
        <w:t xml:space="preserve">facilitating access to national reports and communications and the information that they contain. As part of this, ensure that the information services meet the needs of secretariats and </w:t>
      </w:r>
      <w:r w:rsidR="005A41BB" w:rsidRPr="00447583">
        <w:rPr>
          <w:snapToGrid w:val="0"/>
          <w:kern w:val="22"/>
          <w:szCs w:val="22"/>
        </w:rPr>
        <w:t>P</w:t>
      </w:r>
      <w:r w:rsidRPr="00447583">
        <w:rPr>
          <w:snapToGrid w:val="0"/>
          <w:kern w:val="22"/>
          <w:szCs w:val="22"/>
        </w:rPr>
        <w:t>arties, and that the initiative continues to promote the sharing of experience among secretariat staff working on information management and use</w:t>
      </w:r>
      <w:r w:rsidR="00127A84" w:rsidRPr="00447583">
        <w:rPr>
          <w:snapToGrid w:val="0"/>
          <w:kern w:val="22"/>
          <w:szCs w:val="22"/>
        </w:rPr>
        <w:t>;</w:t>
      </w:r>
    </w:p>
    <w:p w14:paraId="57EF8133" w14:textId="43C25C43" w:rsidR="00D274FD" w:rsidRPr="00447583" w:rsidRDefault="00D274FD" w:rsidP="00ED212A">
      <w:pPr>
        <w:pStyle w:val="ListParagraph"/>
        <w:suppressLineNumbers/>
        <w:tabs>
          <w:tab w:val="left" w:pos="426"/>
        </w:tab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ED212A">
        <w:rPr>
          <w:bCs/>
          <w:i/>
          <w:iCs/>
          <w:snapToGrid w:val="0"/>
          <w:kern w:val="22"/>
          <w:szCs w:val="22"/>
        </w:rPr>
        <w:t xml:space="preserve">Action 10 </w:t>
      </w:r>
      <w:r w:rsidR="00FE7B58" w:rsidRPr="00ED212A">
        <w:rPr>
          <w:bCs/>
          <w:i/>
          <w:iCs/>
          <w:snapToGrid w:val="0"/>
          <w:kern w:val="22"/>
          <w:szCs w:val="22"/>
        </w:rPr>
        <w:t>–</w:t>
      </w:r>
      <w:r w:rsidRPr="00ED212A">
        <w:rPr>
          <w:bCs/>
          <w:i/>
          <w:iCs/>
          <w:snapToGrid w:val="0"/>
          <w:kern w:val="22"/>
          <w:szCs w:val="22"/>
        </w:rPr>
        <w:t xml:space="preserve"> Implement the Data and Reporting Tool (</w:t>
      </w:r>
      <w:proofErr w:type="spellStart"/>
      <w:r w:rsidRPr="00ED212A">
        <w:rPr>
          <w:bCs/>
          <w:i/>
          <w:iCs/>
          <w:snapToGrid w:val="0"/>
          <w:kern w:val="22"/>
          <w:szCs w:val="22"/>
        </w:rPr>
        <w:t>DaRT</w:t>
      </w:r>
      <w:proofErr w:type="spellEnd"/>
      <w:r w:rsidRPr="00ED212A">
        <w:rPr>
          <w:bCs/>
          <w:i/>
          <w:iCs/>
          <w:snapToGrid w:val="0"/>
          <w:kern w:val="22"/>
          <w:szCs w:val="22"/>
        </w:rPr>
        <w:t>)</w:t>
      </w:r>
      <w:r w:rsidRPr="00447583">
        <w:rPr>
          <w:bCs/>
          <w:snapToGrid w:val="0"/>
          <w:kern w:val="22"/>
          <w:szCs w:val="22"/>
        </w:rPr>
        <w:t>:</w:t>
      </w:r>
      <w:r w:rsidRPr="00447583">
        <w:rPr>
          <w:snapToGrid w:val="0"/>
          <w:kern w:val="22"/>
          <w:szCs w:val="22"/>
        </w:rPr>
        <w:t xml:space="preserve"> Continue to roll out the </w:t>
      </w:r>
      <w:proofErr w:type="spellStart"/>
      <w:r w:rsidRPr="00447583">
        <w:rPr>
          <w:snapToGrid w:val="0"/>
          <w:kern w:val="22"/>
          <w:szCs w:val="22"/>
        </w:rPr>
        <w:t>DaRT</w:t>
      </w:r>
      <w:proofErr w:type="spellEnd"/>
      <w:r w:rsidRPr="00447583">
        <w:rPr>
          <w:snapToGrid w:val="0"/>
          <w:kern w:val="22"/>
          <w:szCs w:val="22"/>
        </w:rPr>
        <w:t xml:space="preserve"> tool and encourage its use by national reporting teams, further developing and testing it to respond to the identified needs of </w:t>
      </w:r>
      <w:r w:rsidR="005A41BB" w:rsidRPr="00447583">
        <w:rPr>
          <w:snapToGrid w:val="0"/>
          <w:kern w:val="22"/>
          <w:szCs w:val="22"/>
        </w:rPr>
        <w:t>P</w:t>
      </w:r>
      <w:r w:rsidRPr="00447583">
        <w:rPr>
          <w:snapToGrid w:val="0"/>
          <w:kern w:val="22"/>
          <w:szCs w:val="22"/>
        </w:rPr>
        <w:t xml:space="preserve">arties and secretariats, including through considering links to other tools such as </w:t>
      </w:r>
      <w:proofErr w:type="spellStart"/>
      <w:r w:rsidRPr="00447583">
        <w:rPr>
          <w:snapToGrid w:val="0"/>
          <w:kern w:val="22"/>
          <w:szCs w:val="22"/>
        </w:rPr>
        <w:t>Bioland</w:t>
      </w:r>
      <w:proofErr w:type="spellEnd"/>
      <w:r w:rsidRPr="00447583">
        <w:rPr>
          <w:snapToGrid w:val="0"/>
          <w:kern w:val="22"/>
          <w:szCs w:val="22"/>
        </w:rPr>
        <w:t xml:space="preserve"> and the UN Biodiversity Lab. As appropriate</w:t>
      </w:r>
      <w:r w:rsidR="005A41BB" w:rsidRPr="00447583">
        <w:rPr>
          <w:snapToGrid w:val="0"/>
          <w:kern w:val="22"/>
          <w:szCs w:val="22"/>
        </w:rPr>
        <w:t>,</w:t>
      </w:r>
      <w:r w:rsidRPr="00447583">
        <w:rPr>
          <w:snapToGrid w:val="0"/>
          <w:kern w:val="22"/>
          <w:szCs w:val="22"/>
        </w:rPr>
        <w:t xml:space="preserve"> convene workshops and develop training materials, guidance and case examples</w:t>
      </w:r>
      <w:r w:rsidR="00127A84" w:rsidRPr="00447583">
        <w:rPr>
          <w:snapToGrid w:val="0"/>
          <w:kern w:val="22"/>
          <w:szCs w:val="22"/>
        </w:rPr>
        <w:t>;</w:t>
      </w:r>
    </w:p>
    <w:p w14:paraId="1A3C615D" w14:textId="21A78654" w:rsidR="00D274FD" w:rsidRPr="00447583" w:rsidRDefault="00D274FD" w:rsidP="00ED212A">
      <w:pPr>
        <w:pStyle w:val="ListParagraph"/>
        <w:suppressLineNumbers/>
        <w:tabs>
          <w:tab w:val="left" w:pos="426"/>
        </w:tab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ED212A">
        <w:rPr>
          <w:bCs/>
          <w:i/>
          <w:iCs/>
          <w:snapToGrid w:val="0"/>
          <w:kern w:val="22"/>
          <w:szCs w:val="22"/>
        </w:rPr>
        <w:t xml:space="preserve">Action 11 </w:t>
      </w:r>
      <w:r w:rsidR="00FE7B58" w:rsidRPr="00ED212A">
        <w:rPr>
          <w:bCs/>
          <w:i/>
          <w:iCs/>
          <w:snapToGrid w:val="0"/>
          <w:kern w:val="22"/>
          <w:szCs w:val="22"/>
        </w:rPr>
        <w:t>–</w:t>
      </w:r>
      <w:r w:rsidRPr="00ED212A">
        <w:rPr>
          <w:bCs/>
          <w:i/>
          <w:iCs/>
          <w:snapToGrid w:val="0"/>
          <w:kern w:val="22"/>
          <w:szCs w:val="22"/>
        </w:rPr>
        <w:t xml:space="preserve"> Increase interoperability </w:t>
      </w:r>
      <w:r w:rsidRPr="00447583">
        <w:rPr>
          <w:bCs/>
          <w:i/>
          <w:iCs/>
          <w:snapToGrid w:val="0"/>
          <w:kern w:val="22"/>
          <w:szCs w:val="22"/>
        </w:rPr>
        <w:t>among</w:t>
      </w:r>
      <w:r w:rsidRPr="00ED212A">
        <w:rPr>
          <w:bCs/>
          <w:i/>
          <w:iCs/>
          <w:snapToGrid w:val="0"/>
          <w:kern w:val="22"/>
          <w:szCs w:val="22"/>
        </w:rPr>
        <w:t xml:space="preserve"> online reporting tools</w:t>
      </w:r>
      <w:r w:rsidRPr="00447583">
        <w:rPr>
          <w:bCs/>
          <w:snapToGrid w:val="0"/>
          <w:kern w:val="22"/>
          <w:szCs w:val="22"/>
        </w:rPr>
        <w:t>:</w:t>
      </w:r>
      <w:r w:rsidRPr="00447583">
        <w:rPr>
          <w:snapToGrid w:val="0"/>
          <w:kern w:val="22"/>
          <w:szCs w:val="22"/>
        </w:rPr>
        <w:t xml:space="preserve"> Steps could be taken to increase the interoperability among online reporting systems </w:t>
      </w:r>
      <w:proofErr w:type="gramStart"/>
      <w:r w:rsidRPr="00447583">
        <w:rPr>
          <w:snapToGrid w:val="0"/>
          <w:kern w:val="22"/>
          <w:szCs w:val="22"/>
        </w:rPr>
        <w:t>so as to</w:t>
      </w:r>
      <w:proofErr w:type="gramEnd"/>
      <w:r w:rsidRPr="00447583">
        <w:rPr>
          <w:snapToGrid w:val="0"/>
          <w:kern w:val="22"/>
          <w:szCs w:val="22"/>
        </w:rPr>
        <w:t xml:space="preserve"> promote and sustain the use of shared reporting applications and software with customized reporting options. As part of this, interoperability with third-party data aggregation systems such as </w:t>
      </w:r>
      <w:proofErr w:type="spellStart"/>
      <w:r w:rsidRPr="00447583">
        <w:rPr>
          <w:snapToGrid w:val="0"/>
          <w:kern w:val="22"/>
          <w:szCs w:val="22"/>
        </w:rPr>
        <w:t>DaRT</w:t>
      </w:r>
      <w:proofErr w:type="spellEnd"/>
      <w:r w:rsidRPr="00447583">
        <w:rPr>
          <w:snapToGrid w:val="0"/>
          <w:kern w:val="22"/>
          <w:szCs w:val="22"/>
        </w:rPr>
        <w:t xml:space="preserve"> should be increased. These actions will facilitate reporting and the sharing of data and information at both national and international levels. Increased use of online reporting tools, and increased focus on interoperability among the tools</w:t>
      </w:r>
      <w:r w:rsidR="005A41BB" w:rsidRPr="00447583">
        <w:rPr>
          <w:snapToGrid w:val="0"/>
          <w:kern w:val="22"/>
          <w:szCs w:val="22"/>
        </w:rPr>
        <w:t>,</w:t>
      </w:r>
      <w:r w:rsidRPr="00447583">
        <w:rPr>
          <w:snapToGrid w:val="0"/>
          <w:kern w:val="22"/>
          <w:szCs w:val="22"/>
        </w:rPr>
        <w:t xml:space="preserve"> will also help facilitate implementation of common standards and ontologies</w:t>
      </w:r>
      <w:r w:rsidR="00127A84" w:rsidRPr="00447583">
        <w:rPr>
          <w:snapToGrid w:val="0"/>
          <w:kern w:val="22"/>
          <w:szCs w:val="22"/>
        </w:rPr>
        <w:t>;</w:t>
      </w:r>
    </w:p>
    <w:p w14:paraId="196FEC7A" w14:textId="54614C90" w:rsidR="00D274FD" w:rsidRPr="00447583" w:rsidRDefault="00D274FD" w:rsidP="00ED212A">
      <w:pPr>
        <w:pStyle w:val="ListParagraph"/>
        <w:suppressLineNumbers/>
        <w:suppressAutoHyphens/>
        <w:kinsoku w:val="0"/>
        <w:overflowPunct w:val="0"/>
        <w:autoSpaceDE w:val="0"/>
        <w:autoSpaceDN w:val="0"/>
        <w:adjustRightInd w:val="0"/>
        <w:snapToGrid w:val="0"/>
        <w:spacing w:before="120" w:after="120"/>
        <w:ind w:left="0" w:firstLine="720"/>
        <w:contextualSpacing w:val="0"/>
        <w:rPr>
          <w:iCs/>
          <w:snapToGrid w:val="0"/>
          <w:kern w:val="22"/>
          <w:szCs w:val="22"/>
        </w:rPr>
      </w:pPr>
      <w:r w:rsidRPr="00ED212A">
        <w:rPr>
          <w:bCs/>
          <w:i/>
          <w:iCs/>
          <w:snapToGrid w:val="0"/>
          <w:kern w:val="22"/>
          <w:szCs w:val="22"/>
        </w:rPr>
        <w:t>Action 12 – Increase access to relevant guidance</w:t>
      </w:r>
      <w:r w:rsidRPr="00447583">
        <w:rPr>
          <w:bCs/>
          <w:snapToGrid w:val="0"/>
          <w:kern w:val="22"/>
          <w:szCs w:val="22"/>
        </w:rPr>
        <w:t>:</w:t>
      </w:r>
      <w:r w:rsidRPr="00447583">
        <w:rPr>
          <w:snapToGrid w:val="0"/>
          <w:kern w:val="22"/>
          <w:szCs w:val="22"/>
        </w:rPr>
        <w:t xml:space="preserve"> </w:t>
      </w:r>
      <w:r w:rsidRPr="00ED212A">
        <w:rPr>
          <w:i/>
          <w:snapToGrid w:val="0"/>
          <w:kern w:val="22"/>
          <w:szCs w:val="22"/>
        </w:rPr>
        <w:t xml:space="preserve">The </w:t>
      </w:r>
      <w:r w:rsidRPr="00447583">
        <w:rPr>
          <w:i/>
          <w:iCs/>
          <w:snapToGrid w:val="0"/>
          <w:kern w:val="22"/>
          <w:szCs w:val="22"/>
        </w:rPr>
        <w:t xml:space="preserve">Compendium of guidance for capturing, managing and using data and information </w:t>
      </w:r>
      <w:r w:rsidRPr="00ED212A">
        <w:rPr>
          <w:i/>
          <w:snapToGrid w:val="0"/>
          <w:kern w:val="22"/>
          <w:szCs w:val="22"/>
        </w:rPr>
        <w:t xml:space="preserve">and the </w:t>
      </w:r>
      <w:r w:rsidRPr="00447583">
        <w:rPr>
          <w:i/>
          <w:iCs/>
          <w:snapToGrid w:val="0"/>
          <w:kern w:val="22"/>
          <w:szCs w:val="22"/>
        </w:rPr>
        <w:t>Compendium of guidance on key global data</w:t>
      </w:r>
      <w:r w:rsidR="005A41BB" w:rsidRPr="00447583">
        <w:rPr>
          <w:i/>
          <w:iCs/>
          <w:snapToGrid w:val="0"/>
          <w:kern w:val="22"/>
          <w:szCs w:val="22"/>
        </w:rPr>
        <w:t>bases</w:t>
      </w:r>
      <w:r w:rsidRPr="00447583">
        <w:rPr>
          <w:i/>
          <w:iCs/>
          <w:snapToGrid w:val="0"/>
          <w:kern w:val="22"/>
          <w:szCs w:val="22"/>
        </w:rPr>
        <w:t xml:space="preserve"> </w:t>
      </w:r>
      <w:r w:rsidRPr="00447583">
        <w:rPr>
          <w:i/>
          <w:iCs/>
          <w:snapToGrid w:val="0"/>
          <w:kern w:val="22"/>
          <w:szCs w:val="22"/>
        </w:rPr>
        <w:lastRenderedPageBreak/>
        <w:t>related to biodiversity-related conventions</w:t>
      </w:r>
      <w:r w:rsidRPr="00ED212A">
        <w:rPr>
          <w:rStyle w:val="FootnoteReference"/>
          <w:i/>
          <w:snapToGrid w:val="0"/>
          <w:kern w:val="22"/>
          <w:sz w:val="22"/>
          <w:szCs w:val="22"/>
          <w:u w:val="none"/>
          <w:vertAlign w:val="superscript"/>
        </w:rPr>
        <w:footnoteReference w:id="22"/>
      </w:r>
      <w:r w:rsidRPr="00ED212A">
        <w:rPr>
          <w:i/>
          <w:snapToGrid w:val="0"/>
          <w:kern w:val="22"/>
          <w:szCs w:val="22"/>
        </w:rPr>
        <w:t xml:space="preserve"> </w:t>
      </w:r>
      <w:r w:rsidRPr="00ED212A">
        <w:rPr>
          <w:iCs/>
          <w:snapToGrid w:val="0"/>
          <w:kern w:val="22"/>
          <w:szCs w:val="22"/>
        </w:rPr>
        <w:t>were both</w:t>
      </w:r>
      <w:r w:rsidRPr="00447583">
        <w:rPr>
          <w:snapToGrid w:val="0"/>
          <w:kern w:val="22"/>
          <w:szCs w:val="22"/>
        </w:rPr>
        <w:t xml:space="preserve"> developed in response to decision XIII/24 on cooperation, in order to support Parties in enhancing information management and reporting relevant to a range of conventions. Access to such guidance could be increased, both through increasing communication on the guidance documents themselves, and through development of a living resource online. The next step might be to explore opportunities to use the existing guidance as a basis for increased capacity</w:t>
      </w:r>
      <w:r w:rsidR="00A52C79" w:rsidRPr="00447583">
        <w:rPr>
          <w:snapToGrid w:val="0"/>
          <w:kern w:val="22"/>
          <w:szCs w:val="22"/>
        </w:rPr>
        <w:t>-</w:t>
      </w:r>
      <w:r w:rsidRPr="00447583">
        <w:rPr>
          <w:snapToGrid w:val="0"/>
          <w:kern w:val="22"/>
          <w:szCs w:val="22"/>
        </w:rPr>
        <w:t xml:space="preserve">building in the area of data and information management and use, linking implementation and reporting. This could also explore opportunities for working through the </w:t>
      </w:r>
      <w:r w:rsidR="00A52C79" w:rsidRPr="00447583">
        <w:rPr>
          <w:snapToGrid w:val="0"/>
          <w:kern w:val="22"/>
          <w:szCs w:val="22"/>
        </w:rPr>
        <w:t>c</w:t>
      </w:r>
      <w:r w:rsidRPr="00447583">
        <w:rPr>
          <w:snapToGrid w:val="0"/>
          <w:kern w:val="22"/>
          <w:szCs w:val="22"/>
        </w:rPr>
        <w:t>learing</w:t>
      </w:r>
      <w:r w:rsidR="00A52C79" w:rsidRPr="00447583">
        <w:rPr>
          <w:snapToGrid w:val="0"/>
          <w:kern w:val="22"/>
          <w:szCs w:val="22"/>
        </w:rPr>
        <w:t>-h</w:t>
      </w:r>
      <w:r w:rsidRPr="00447583">
        <w:rPr>
          <w:snapToGrid w:val="0"/>
          <w:kern w:val="22"/>
          <w:szCs w:val="22"/>
        </w:rPr>
        <w:t xml:space="preserve">ouse </w:t>
      </w:r>
      <w:r w:rsidR="00A52C79" w:rsidRPr="00447583">
        <w:rPr>
          <w:snapToGrid w:val="0"/>
          <w:kern w:val="22"/>
          <w:szCs w:val="22"/>
        </w:rPr>
        <w:t>m</w:t>
      </w:r>
      <w:r w:rsidRPr="00447583">
        <w:rPr>
          <w:snapToGrid w:val="0"/>
          <w:kern w:val="22"/>
          <w:szCs w:val="22"/>
        </w:rPr>
        <w:t>echanism.</w:t>
      </w:r>
    </w:p>
    <w:p w14:paraId="75CFC6EE" w14:textId="33C30D3A"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iCs/>
          <w:snapToGrid w:val="0"/>
          <w:kern w:val="22"/>
          <w:szCs w:val="22"/>
        </w:rPr>
      </w:pPr>
      <w:r w:rsidRPr="00447583">
        <w:rPr>
          <w:iCs/>
          <w:snapToGrid w:val="0"/>
          <w:kern w:val="22"/>
          <w:szCs w:val="22"/>
        </w:rPr>
        <w:t xml:space="preserve">Key partners </w:t>
      </w:r>
      <w:r w:rsidRPr="00447583">
        <w:rPr>
          <w:snapToGrid w:val="0"/>
          <w:kern w:val="22"/>
          <w:szCs w:val="22"/>
        </w:rPr>
        <w:t>in</w:t>
      </w:r>
      <w:r w:rsidRPr="00447583">
        <w:rPr>
          <w:iCs/>
          <w:snapToGrid w:val="0"/>
          <w:kern w:val="22"/>
          <w:szCs w:val="22"/>
        </w:rPr>
        <w:t xml:space="preserve"> carrying out and supporting this work would include </w:t>
      </w:r>
      <w:r w:rsidR="005A41BB" w:rsidRPr="00447583">
        <w:rPr>
          <w:iCs/>
          <w:snapToGrid w:val="0"/>
          <w:kern w:val="22"/>
          <w:szCs w:val="22"/>
        </w:rPr>
        <w:t>UNEP</w:t>
      </w:r>
      <w:r w:rsidRPr="00447583">
        <w:rPr>
          <w:iCs/>
          <w:snapToGrid w:val="0"/>
          <w:kern w:val="22"/>
          <w:szCs w:val="22"/>
        </w:rPr>
        <w:t xml:space="preserve"> and UNEP-WCMC, working together with </w:t>
      </w:r>
      <w:proofErr w:type="spellStart"/>
      <w:r w:rsidRPr="00447583">
        <w:rPr>
          <w:iCs/>
          <w:snapToGrid w:val="0"/>
          <w:kern w:val="22"/>
          <w:szCs w:val="22"/>
        </w:rPr>
        <w:t>InforMEA</w:t>
      </w:r>
      <w:proofErr w:type="spellEnd"/>
      <w:r w:rsidRPr="00447583">
        <w:rPr>
          <w:iCs/>
          <w:snapToGrid w:val="0"/>
          <w:kern w:val="22"/>
          <w:szCs w:val="22"/>
        </w:rPr>
        <w:t xml:space="preserve"> and its donors and collaborating conventions, and with the Group on Earth Observations Biodiversity Observation Network (GEO BON) on </w:t>
      </w:r>
      <w:proofErr w:type="gramStart"/>
      <w:r w:rsidRPr="00447583">
        <w:rPr>
          <w:iCs/>
          <w:snapToGrid w:val="0"/>
          <w:kern w:val="22"/>
          <w:szCs w:val="22"/>
        </w:rPr>
        <w:t>a number of</w:t>
      </w:r>
      <w:proofErr w:type="gramEnd"/>
      <w:r w:rsidRPr="00447583">
        <w:rPr>
          <w:iCs/>
          <w:snapToGrid w:val="0"/>
          <w:kern w:val="22"/>
          <w:szCs w:val="22"/>
        </w:rPr>
        <w:t xml:space="preserve"> the suggested actions. With respect to </w:t>
      </w:r>
      <w:proofErr w:type="gramStart"/>
      <w:r w:rsidRPr="00447583">
        <w:rPr>
          <w:iCs/>
          <w:snapToGrid w:val="0"/>
          <w:kern w:val="22"/>
          <w:szCs w:val="22"/>
        </w:rPr>
        <w:t>particular common</w:t>
      </w:r>
      <w:proofErr w:type="gramEnd"/>
      <w:r w:rsidRPr="00447583">
        <w:rPr>
          <w:iCs/>
          <w:snapToGrid w:val="0"/>
          <w:kern w:val="22"/>
          <w:szCs w:val="22"/>
        </w:rPr>
        <w:t xml:space="preserve"> standards and ontologies, it will be important to work with appropriate professional communities.</w:t>
      </w:r>
    </w:p>
    <w:p w14:paraId="3F0F84A8" w14:textId="429F9B8E" w:rsidR="00D274FD" w:rsidRPr="00447583" w:rsidRDefault="00D274FD" w:rsidP="00ED212A">
      <w:pPr>
        <w:pStyle w:val="Heading2"/>
        <w:numPr>
          <w:ilvl w:val="0"/>
          <w:numId w:val="10"/>
        </w:numPr>
        <w:suppressLineNumbers/>
        <w:tabs>
          <w:tab w:val="clear" w:pos="720"/>
        </w:tabs>
        <w:suppressAutoHyphens/>
        <w:kinsoku w:val="0"/>
        <w:overflowPunct w:val="0"/>
        <w:autoSpaceDE w:val="0"/>
        <w:autoSpaceDN w:val="0"/>
        <w:adjustRightInd w:val="0"/>
        <w:snapToGrid w:val="0"/>
        <w:ind w:left="357" w:hanging="357"/>
        <w:rPr>
          <w:snapToGrid w:val="0"/>
          <w:kern w:val="22"/>
          <w:szCs w:val="22"/>
        </w:rPr>
      </w:pPr>
      <w:bookmarkStart w:id="23" w:name="_Toc33649294"/>
      <w:r w:rsidRPr="00447583">
        <w:rPr>
          <w:snapToGrid w:val="0"/>
          <w:kern w:val="22"/>
          <w:szCs w:val="22"/>
        </w:rPr>
        <w:t>Other options for increasing synergies in national reporting</w:t>
      </w:r>
      <w:bookmarkEnd w:id="23"/>
    </w:p>
    <w:p w14:paraId="516105F5" w14:textId="77777777"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 xml:space="preserve">Other </w:t>
      </w:r>
      <w:r w:rsidRPr="00447583">
        <w:rPr>
          <w:iCs/>
          <w:snapToGrid w:val="0"/>
          <w:kern w:val="22"/>
          <w:szCs w:val="22"/>
        </w:rPr>
        <w:t>possible</w:t>
      </w:r>
      <w:r w:rsidRPr="00447583">
        <w:rPr>
          <w:snapToGrid w:val="0"/>
          <w:kern w:val="22"/>
          <w:szCs w:val="22"/>
        </w:rPr>
        <w:t xml:space="preserve"> actions to consider:</w:t>
      </w:r>
    </w:p>
    <w:p w14:paraId="122E7B8C" w14:textId="7248BEAC" w:rsidR="00D274FD" w:rsidRPr="00447583" w:rsidRDefault="00D274FD" w:rsidP="00ED212A">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ED212A">
        <w:rPr>
          <w:bCs/>
          <w:i/>
          <w:iCs/>
          <w:snapToGrid w:val="0"/>
          <w:kern w:val="22"/>
          <w:szCs w:val="22"/>
        </w:rPr>
        <w:t xml:space="preserve">Action 13 – Liaison </w:t>
      </w:r>
      <w:r w:rsidRPr="00447583">
        <w:rPr>
          <w:bCs/>
          <w:i/>
          <w:iCs/>
          <w:snapToGrid w:val="0"/>
          <w:kern w:val="22"/>
          <w:szCs w:val="22"/>
        </w:rPr>
        <w:t>among</w:t>
      </w:r>
      <w:r w:rsidRPr="00ED212A">
        <w:rPr>
          <w:bCs/>
          <w:i/>
          <w:iCs/>
          <w:snapToGrid w:val="0"/>
          <w:kern w:val="22"/>
          <w:szCs w:val="22"/>
        </w:rPr>
        <w:t xml:space="preserve"> secretariats on national reporting and national communications</w:t>
      </w:r>
      <w:r w:rsidRPr="00447583">
        <w:rPr>
          <w:bCs/>
          <w:snapToGrid w:val="0"/>
          <w:kern w:val="22"/>
          <w:szCs w:val="22"/>
        </w:rPr>
        <w:t xml:space="preserve">: </w:t>
      </w:r>
      <w:r w:rsidRPr="00447583">
        <w:rPr>
          <w:snapToGrid w:val="0"/>
          <w:kern w:val="22"/>
          <w:szCs w:val="22"/>
        </w:rPr>
        <w:t>Periodically convene meetings of those secretariat staff of biodiversity-related and Rio conventions responsible for national reports and national communications, in order to share experience and discuss work plans. This will also provide opportunity for identifying areas where reporting can be mutually supportive, and for planning joint activities</w:t>
      </w:r>
      <w:r w:rsidR="00BF6DEF" w:rsidRPr="00447583">
        <w:rPr>
          <w:snapToGrid w:val="0"/>
          <w:kern w:val="22"/>
          <w:szCs w:val="22"/>
        </w:rPr>
        <w:t>;</w:t>
      </w:r>
    </w:p>
    <w:p w14:paraId="1C4660C9" w14:textId="68C8B4AD" w:rsidR="00D274FD" w:rsidRPr="00447583" w:rsidRDefault="00D274FD" w:rsidP="00ED212A">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ED212A">
        <w:rPr>
          <w:bCs/>
          <w:i/>
          <w:iCs/>
          <w:snapToGrid w:val="0"/>
          <w:kern w:val="22"/>
          <w:szCs w:val="22"/>
        </w:rPr>
        <w:t xml:space="preserve">Action 14 </w:t>
      </w:r>
      <w:r w:rsidR="00FE7B58" w:rsidRPr="00ED212A">
        <w:rPr>
          <w:bCs/>
          <w:i/>
          <w:iCs/>
          <w:snapToGrid w:val="0"/>
          <w:kern w:val="22"/>
          <w:szCs w:val="22"/>
        </w:rPr>
        <w:t>–</w:t>
      </w:r>
      <w:r w:rsidRPr="00ED212A">
        <w:rPr>
          <w:bCs/>
          <w:i/>
          <w:iCs/>
          <w:snapToGrid w:val="0"/>
          <w:kern w:val="22"/>
          <w:szCs w:val="22"/>
        </w:rPr>
        <w:t xml:space="preserve"> Strengthen coordination mechanisms at the national level</w:t>
      </w:r>
      <w:r w:rsidRPr="00447583">
        <w:rPr>
          <w:bCs/>
          <w:snapToGrid w:val="0"/>
          <w:kern w:val="22"/>
          <w:szCs w:val="22"/>
        </w:rPr>
        <w:t>:</w:t>
      </w:r>
      <w:r w:rsidRPr="00447583">
        <w:rPr>
          <w:snapToGrid w:val="0"/>
          <w:kern w:val="22"/>
          <w:szCs w:val="22"/>
        </w:rPr>
        <w:t xml:space="preserve"> In </w:t>
      </w:r>
      <w:r w:rsidRPr="00FB1A95">
        <w:rPr>
          <w:snapToGrid w:val="0"/>
          <w:kern w:val="22"/>
          <w:szCs w:val="22"/>
        </w:rPr>
        <w:t>decision XIII/24</w:t>
      </w:r>
      <w:r w:rsidRPr="00447583">
        <w:rPr>
          <w:snapToGrid w:val="0"/>
          <w:kern w:val="22"/>
          <w:szCs w:val="22"/>
        </w:rPr>
        <w:t xml:space="preserve"> and </w:t>
      </w:r>
      <w:r w:rsidRPr="00FB1A95">
        <w:rPr>
          <w:snapToGrid w:val="0"/>
          <w:kern w:val="22"/>
          <w:szCs w:val="22"/>
        </w:rPr>
        <w:t>decision 14/27</w:t>
      </w:r>
      <w:r w:rsidRPr="00447583">
        <w:rPr>
          <w:snapToGrid w:val="0"/>
          <w:kern w:val="22"/>
          <w:szCs w:val="22"/>
        </w:rPr>
        <w:t>, the Conference of the Parties encouraged coordination mechanisms at the national level that would include facilitating a national coordination process related to national reporting to the various biodiversity-related conventions</w:t>
      </w:r>
      <w:r w:rsidR="00DE2313" w:rsidRPr="00447583">
        <w:rPr>
          <w:snapToGrid w:val="0"/>
          <w:kern w:val="22"/>
          <w:szCs w:val="22"/>
        </w:rPr>
        <w:t xml:space="preserve"> and the Rio </w:t>
      </w:r>
      <w:r w:rsidR="00812889" w:rsidRPr="00447583">
        <w:rPr>
          <w:snapToGrid w:val="0"/>
          <w:kern w:val="22"/>
          <w:szCs w:val="22"/>
        </w:rPr>
        <w:t>c</w:t>
      </w:r>
      <w:r w:rsidR="00DE2313" w:rsidRPr="00447583">
        <w:rPr>
          <w:snapToGrid w:val="0"/>
          <w:kern w:val="22"/>
          <w:szCs w:val="22"/>
        </w:rPr>
        <w:t xml:space="preserve">onventions </w:t>
      </w:r>
      <w:r w:rsidRPr="00447583">
        <w:rPr>
          <w:snapToGrid w:val="0"/>
          <w:kern w:val="22"/>
          <w:szCs w:val="22"/>
        </w:rPr>
        <w:t xml:space="preserve">in order to, </w:t>
      </w:r>
      <w:r w:rsidR="005346D2" w:rsidRPr="00447583">
        <w:rPr>
          <w:snapToGrid w:val="0"/>
          <w:kern w:val="22"/>
          <w:szCs w:val="22"/>
        </w:rPr>
        <w:t>among other things</w:t>
      </w:r>
      <w:r w:rsidR="00F31E56" w:rsidRPr="00447583">
        <w:rPr>
          <w:snapToGrid w:val="0"/>
          <w:kern w:val="22"/>
          <w:szCs w:val="22"/>
        </w:rPr>
        <w:t>,</w:t>
      </w:r>
      <w:r w:rsidRPr="00447583">
        <w:rPr>
          <w:snapToGrid w:val="0"/>
          <w:kern w:val="22"/>
          <w:szCs w:val="22"/>
        </w:rPr>
        <w:t xml:space="preserve"> align data collection and reporting (for example through modular reporting); link focal points and institutions to assist each other in meeting reporting requirements; and foster quality control and consistency of reporting of similar information across conventions where appropriate. Further promotion of such mechanism</w:t>
      </w:r>
      <w:r w:rsidR="005A41BB" w:rsidRPr="00447583">
        <w:rPr>
          <w:snapToGrid w:val="0"/>
          <w:kern w:val="22"/>
          <w:szCs w:val="22"/>
        </w:rPr>
        <w:t>s</w:t>
      </w:r>
      <w:r w:rsidRPr="00447583">
        <w:rPr>
          <w:snapToGrid w:val="0"/>
          <w:kern w:val="22"/>
          <w:szCs w:val="22"/>
        </w:rPr>
        <w:t>, and where appropriate provision of guidance and support, will themselves lead to improvements in reporting processes, building</w:t>
      </w:r>
      <w:r w:rsidR="00084A78" w:rsidRPr="00447583">
        <w:rPr>
          <w:snapToGrid w:val="0"/>
          <w:kern w:val="22"/>
          <w:szCs w:val="22"/>
        </w:rPr>
        <w:t>,</w:t>
      </w:r>
      <w:r w:rsidRPr="00447583">
        <w:rPr>
          <w:snapToGrid w:val="0"/>
          <w:kern w:val="22"/>
          <w:szCs w:val="22"/>
        </w:rPr>
        <w:t xml:space="preserve"> as appropriate</w:t>
      </w:r>
      <w:r w:rsidR="00084A78" w:rsidRPr="00447583">
        <w:rPr>
          <w:snapToGrid w:val="0"/>
          <w:kern w:val="22"/>
          <w:szCs w:val="22"/>
        </w:rPr>
        <w:t>,</w:t>
      </w:r>
      <w:r w:rsidRPr="00447583">
        <w:rPr>
          <w:snapToGrid w:val="0"/>
          <w:kern w:val="22"/>
          <w:szCs w:val="22"/>
        </w:rPr>
        <w:t xml:space="preserve"> on existing experiences and advice</w:t>
      </w:r>
      <w:r w:rsidR="00BF6DEF" w:rsidRPr="00447583">
        <w:rPr>
          <w:snapToGrid w:val="0"/>
          <w:kern w:val="22"/>
          <w:szCs w:val="22"/>
        </w:rPr>
        <w:t>;</w:t>
      </w:r>
      <w:r w:rsidRPr="00447583">
        <w:rPr>
          <w:rStyle w:val="FootnoteReference"/>
          <w:iCs/>
          <w:snapToGrid w:val="0"/>
          <w:kern w:val="22"/>
          <w:sz w:val="22"/>
          <w:szCs w:val="22"/>
          <w:u w:val="none"/>
          <w:vertAlign w:val="superscript"/>
        </w:rPr>
        <w:footnoteReference w:id="23"/>
      </w:r>
    </w:p>
    <w:p w14:paraId="52FBB7F7" w14:textId="3C03A3A8" w:rsidR="00D274FD" w:rsidRPr="00447583" w:rsidRDefault="00D274FD" w:rsidP="00ED212A">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ED212A">
        <w:rPr>
          <w:bCs/>
          <w:i/>
          <w:iCs/>
          <w:snapToGrid w:val="0"/>
          <w:kern w:val="22"/>
          <w:szCs w:val="22"/>
        </w:rPr>
        <w:t xml:space="preserve">Action 15 </w:t>
      </w:r>
      <w:r w:rsidR="00FE7B58" w:rsidRPr="00ED212A">
        <w:rPr>
          <w:bCs/>
          <w:i/>
          <w:iCs/>
          <w:snapToGrid w:val="0"/>
          <w:kern w:val="22"/>
          <w:szCs w:val="22"/>
        </w:rPr>
        <w:t>–</w:t>
      </w:r>
      <w:r w:rsidRPr="00ED212A">
        <w:rPr>
          <w:bCs/>
          <w:i/>
          <w:iCs/>
          <w:snapToGrid w:val="0"/>
          <w:kern w:val="22"/>
          <w:szCs w:val="22"/>
        </w:rPr>
        <w:t xml:space="preserve"> Provide guidance on the preparation of reports and communications</w:t>
      </w:r>
      <w:r w:rsidRPr="00447583">
        <w:rPr>
          <w:bCs/>
          <w:snapToGrid w:val="0"/>
          <w:kern w:val="22"/>
          <w:szCs w:val="22"/>
        </w:rPr>
        <w:t>:</w:t>
      </w:r>
      <w:r w:rsidRPr="00447583">
        <w:rPr>
          <w:snapToGrid w:val="0"/>
          <w:kern w:val="22"/>
          <w:szCs w:val="22"/>
        </w:rPr>
        <w:t xml:space="preserve"> Intergovernmental conventions and processes can themselves facilitate alignment in reporting through the guidance that they provide their </w:t>
      </w:r>
      <w:r w:rsidR="005A41BB" w:rsidRPr="00447583">
        <w:rPr>
          <w:snapToGrid w:val="0"/>
          <w:kern w:val="22"/>
          <w:szCs w:val="22"/>
        </w:rPr>
        <w:t>P</w:t>
      </w:r>
      <w:r w:rsidRPr="00447583">
        <w:rPr>
          <w:snapToGrid w:val="0"/>
          <w:kern w:val="22"/>
          <w:szCs w:val="22"/>
        </w:rPr>
        <w:t xml:space="preserve">arties on the preparation of reports and communications. For example, the </w:t>
      </w:r>
      <w:r w:rsidR="00586ECB" w:rsidRPr="00447583">
        <w:rPr>
          <w:snapToGrid w:val="0"/>
          <w:kern w:val="22"/>
          <w:szCs w:val="22"/>
        </w:rPr>
        <w:t>“</w:t>
      </w:r>
      <w:r w:rsidRPr="00447583">
        <w:rPr>
          <w:snapToGrid w:val="0"/>
          <w:kern w:val="22"/>
          <w:szCs w:val="22"/>
        </w:rPr>
        <w:t xml:space="preserve">Resource </w:t>
      </w:r>
      <w:r w:rsidR="00586ECB" w:rsidRPr="00447583">
        <w:rPr>
          <w:snapToGrid w:val="0"/>
          <w:kern w:val="22"/>
          <w:szCs w:val="22"/>
        </w:rPr>
        <w:t>m</w:t>
      </w:r>
      <w:r w:rsidRPr="00447583">
        <w:rPr>
          <w:snapToGrid w:val="0"/>
          <w:kern w:val="22"/>
          <w:szCs w:val="22"/>
        </w:rPr>
        <w:t xml:space="preserve">anual for the </w:t>
      </w:r>
      <w:r w:rsidR="00586ECB" w:rsidRPr="00447583">
        <w:rPr>
          <w:snapToGrid w:val="0"/>
          <w:kern w:val="22"/>
          <w:szCs w:val="22"/>
        </w:rPr>
        <w:t>s</w:t>
      </w:r>
      <w:r w:rsidRPr="00447583">
        <w:rPr>
          <w:snapToGrid w:val="0"/>
          <w:kern w:val="22"/>
          <w:szCs w:val="22"/>
        </w:rPr>
        <w:t xml:space="preserve">ixth </w:t>
      </w:r>
      <w:r w:rsidR="00586ECB" w:rsidRPr="00447583">
        <w:rPr>
          <w:snapToGrid w:val="0"/>
          <w:kern w:val="22"/>
          <w:szCs w:val="22"/>
        </w:rPr>
        <w:t>n</w:t>
      </w:r>
      <w:r w:rsidRPr="00447583">
        <w:rPr>
          <w:snapToGrid w:val="0"/>
          <w:kern w:val="22"/>
          <w:szCs w:val="22"/>
        </w:rPr>
        <w:t xml:space="preserve">ational </w:t>
      </w:r>
      <w:r w:rsidR="00586ECB" w:rsidRPr="00447583">
        <w:rPr>
          <w:snapToGrid w:val="0"/>
          <w:kern w:val="22"/>
          <w:szCs w:val="22"/>
        </w:rPr>
        <w:t>r</w:t>
      </w:r>
      <w:r w:rsidRPr="00447583">
        <w:rPr>
          <w:snapToGrid w:val="0"/>
          <w:kern w:val="22"/>
          <w:szCs w:val="22"/>
        </w:rPr>
        <w:t>eport</w:t>
      </w:r>
      <w:r w:rsidR="00586ECB" w:rsidRPr="00447583">
        <w:rPr>
          <w:snapToGrid w:val="0"/>
          <w:kern w:val="22"/>
          <w:szCs w:val="22"/>
        </w:rPr>
        <w:t>”</w:t>
      </w:r>
      <w:r w:rsidRPr="00447583">
        <w:rPr>
          <w:rStyle w:val="FootnoteReference"/>
          <w:iCs/>
          <w:snapToGrid w:val="0"/>
          <w:kern w:val="22"/>
          <w:sz w:val="22"/>
          <w:szCs w:val="22"/>
          <w:u w:val="none"/>
          <w:vertAlign w:val="superscript"/>
        </w:rPr>
        <w:footnoteReference w:id="24"/>
      </w:r>
      <w:r w:rsidRPr="00447583">
        <w:rPr>
          <w:snapToGrid w:val="0"/>
          <w:kern w:val="22"/>
          <w:szCs w:val="22"/>
        </w:rPr>
        <w:t xml:space="preserve"> identi</w:t>
      </w:r>
      <w:r w:rsidR="005A41BB" w:rsidRPr="00447583">
        <w:rPr>
          <w:snapToGrid w:val="0"/>
          <w:kern w:val="22"/>
          <w:szCs w:val="22"/>
        </w:rPr>
        <w:t>f</w:t>
      </w:r>
      <w:r w:rsidRPr="00447583">
        <w:rPr>
          <w:snapToGrid w:val="0"/>
          <w:kern w:val="22"/>
          <w:szCs w:val="22"/>
        </w:rPr>
        <w:t xml:space="preserve">ies where relevant information might be found in national reports to other biodiversity-related conventions, </w:t>
      </w:r>
      <w:r w:rsidR="00812889" w:rsidRPr="00447583">
        <w:rPr>
          <w:snapToGrid w:val="0"/>
          <w:kern w:val="22"/>
          <w:szCs w:val="22"/>
        </w:rPr>
        <w:t xml:space="preserve">the </w:t>
      </w:r>
      <w:r w:rsidRPr="00447583">
        <w:rPr>
          <w:snapToGrid w:val="0"/>
          <w:kern w:val="22"/>
          <w:szCs w:val="22"/>
        </w:rPr>
        <w:t xml:space="preserve">Rio </w:t>
      </w:r>
      <w:r w:rsidR="00812889" w:rsidRPr="00447583">
        <w:rPr>
          <w:snapToGrid w:val="0"/>
          <w:kern w:val="22"/>
          <w:szCs w:val="22"/>
        </w:rPr>
        <w:t>c</w:t>
      </w:r>
      <w:r w:rsidRPr="00447583">
        <w:rPr>
          <w:snapToGrid w:val="0"/>
          <w:kern w:val="22"/>
          <w:szCs w:val="22"/>
        </w:rPr>
        <w:t xml:space="preserve">onventions, </w:t>
      </w:r>
      <w:r w:rsidR="00812889" w:rsidRPr="00447583">
        <w:rPr>
          <w:snapToGrid w:val="0"/>
          <w:kern w:val="22"/>
          <w:szCs w:val="22"/>
        </w:rPr>
        <w:t xml:space="preserve">the </w:t>
      </w:r>
      <w:r w:rsidRPr="00447583">
        <w:rPr>
          <w:snapToGrid w:val="0"/>
          <w:kern w:val="22"/>
          <w:szCs w:val="22"/>
        </w:rPr>
        <w:t xml:space="preserve">United Nations Forum on Forests and </w:t>
      </w:r>
      <w:proofErr w:type="gramStart"/>
      <w:r w:rsidRPr="00447583">
        <w:rPr>
          <w:snapToGrid w:val="0"/>
          <w:kern w:val="22"/>
          <w:szCs w:val="22"/>
        </w:rPr>
        <w:t>a number of</w:t>
      </w:r>
      <w:proofErr w:type="gramEnd"/>
      <w:r w:rsidRPr="00447583">
        <w:rPr>
          <w:snapToGrid w:val="0"/>
          <w:kern w:val="22"/>
          <w:szCs w:val="22"/>
        </w:rPr>
        <w:t xml:space="preserve"> other reporting processes. This draws on a study undertaken by UNEP-WCMC and </w:t>
      </w:r>
      <w:proofErr w:type="spellStart"/>
      <w:r w:rsidRPr="00447583">
        <w:rPr>
          <w:snapToGrid w:val="0"/>
          <w:kern w:val="22"/>
          <w:szCs w:val="22"/>
        </w:rPr>
        <w:t>NatureConsult</w:t>
      </w:r>
      <w:proofErr w:type="spellEnd"/>
      <w:r w:rsidRPr="00447583">
        <w:rPr>
          <w:snapToGrid w:val="0"/>
          <w:kern w:val="22"/>
          <w:szCs w:val="22"/>
        </w:rPr>
        <w:t>, with the support of the Government of Switzerland.</w:t>
      </w:r>
      <w:r w:rsidRPr="00447583">
        <w:rPr>
          <w:rStyle w:val="FootnoteReference"/>
          <w:snapToGrid w:val="0"/>
          <w:kern w:val="22"/>
          <w:sz w:val="22"/>
          <w:szCs w:val="22"/>
          <w:u w:val="none"/>
          <w:vertAlign w:val="superscript"/>
        </w:rPr>
        <w:footnoteReference w:id="25"/>
      </w:r>
      <w:r w:rsidRPr="00447583">
        <w:rPr>
          <w:snapToGrid w:val="0"/>
          <w:kern w:val="22"/>
          <w:szCs w:val="22"/>
        </w:rPr>
        <w:t xml:space="preserve"> Such efforts incidentally not only help reporting processes, but also highlight areas with potential for increased coherence in implementation. This action might be facilitated by a review of guidance on reporting provided by intergovernmental conventions and processes</w:t>
      </w:r>
      <w:r w:rsidR="00BF6DEF" w:rsidRPr="00447583">
        <w:rPr>
          <w:snapToGrid w:val="0"/>
          <w:kern w:val="22"/>
          <w:szCs w:val="22"/>
        </w:rPr>
        <w:t>;</w:t>
      </w:r>
    </w:p>
    <w:p w14:paraId="1DCD5A5F" w14:textId="6B6B4A6F" w:rsidR="00D274FD" w:rsidRPr="00447583" w:rsidRDefault="00D274FD" w:rsidP="00ED212A">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ED212A">
        <w:rPr>
          <w:bCs/>
          <w:i/>
          <w:iCs/>
          <w:snapToGrid w:val="0"/>
          <w:kern w:val="22"/>
          <w:szCs w:val="22"/>
        </w:rPr>
        <w:lastRenderedPageBreak/>
        <w:t xml:space="preserve">Action 16 – Promote an increased focus on biodiversity in </w:t>
      </w:r>
      <w:r w:rsidR="00F656C2" w:rsidRPr="00447583">
        <w:rPr>
          <w:bCs/>
          <w:i/>
          <w:iCs/>
          <w:snapToGrid w:val="0"/>
          <w:kern w:val="22"/>
          <w:szCs w:val="22"/>
        </w:rPr>
        <w:t>v</w:t>
      </w:r>
      <w:r w:rsidRPr="00447583">
        <w:rPr>
          <w:bCs/>
          <w:i/>
          <w:iCs/>
          <w:snapToGrid w:val="0"/>
          <w:kern w:val="22"/>
          <w:szCs w:val="22"/>
        </w:rPr>
        <w:t xml:space="preserve">oluntary </w:t>
      </w:r>
      <w:r w:rsidR="00F656C2" w:rsidRPr="00447583">
        <w:rPr>
          <w:bCs/>
          <w:i/>
          <w:iCs/>
          <w:snapToGrid w:val="0"/>
          <w:kern w:val="22"/>
          <w:szCs w:val="22"/>
        </w:rPr>
        <w:t>n</w:t>
      </w:r>
      <w:r w:rsidRPr="00447583">
        <w:rPr>
          <w:bCs/>
          <w:i/>
          <w:iCs/>
          <w:snapToGrid w:val="0"/>
          <w:kern w:val="22"/>
          <w:szCs w:val="22"/>
        </w:rPr>
        <w:t xml:space="preserve">ational </w:t>
      </w:r>
      <w:r w:rsidR="00F656C2" w:rsidRPr="00447583">
        <w:rPr>
          <w:bCs/>
          <w:i/>
          <w:iCs/>
          <w:snapToGrid w:val="0"/>
          <w:kern w:val="22"/>
          <w:szCs w:val="22"/>
        </w:rPr>
        <w:t>r</w:t>
      </w:r>
      <w:r w:rsidRPr="00447583">
        <w:rPr>
          <w:bCs/>
          <w:i/>
          <w:iCs/>
          <w:snapToGrid w:val="0"/>
          <w:kern w:val="22"/>
          <w:szCs w:val="22"/>
        </w:rPr>
        <w:t>eviews</w:t>
      </w:r>
      <w:r w:rsidRPr="00447583">
        <w:rPr>
          <w:bCs/>
          <w:snapToGrid w:val="0"/>
          <w:kern w:val="22"/>
          <w:szCs w:val="22"/>
        </w:rPr>
        <w:t>:</w:t>
      </w:r>
      <w:r w:rsidRPr="00447583">
        <w:rPr>
          <w:snapToGrid w:val="0"/>
          <w:kern w:val="22"/>
          <w:szCs w:val="22"/>
        </w:rPr>
        <w:t xml:space="preserve"> </w:t>
      </w:r>
      <w:r w:rsidR="00B66B9B" w:rsidRPr="00ED212A">
        <w:rPr>
          <w:snapToGrid w:val="0"/>
          <w:kern w:val="22"/>
          <w:szCs w:val="22"/>
        </w:rPr>
        <w:t xml:space="preserve">Voluntary </w:t>
      </w:r>
      <w:r w:rsidR="00B66B9B" w:rsidRPr="00447583">
        <w:rPr>
          <w:snapToGrid w:val="0"/>
          <w:kern w:val="22"/>
          <w:szCs w:val="22"/>
        </w:rPr>
        <w:t xml:space="preserve">national reviews are reviews of progress in implementing the 2030 Agenda for Sustainable Development, including the Sustainable Development Goals. </w:t>
      </w:r>
      <w:r w:rsidRPr="00447583">
        <w:rPr>
          <w:snapToGrid w:val="0"/>
          <w:kern w:val="22"/>
          <w:szCs w:val="22"/>
        </w:rPr>
        <w:t xml:space="preserve">The extent to which biodiversity and ecosystem services are addressed within </w:t>
      </w:r>
      <w:r w:rsidR="005827B4" w:rsidRPr="00447583">
        <w:rPr>
          <w:snapToGrid w:val="0"/>
          <w:kern w:val="22"/>
          <w:szCs w:val="22"/>
        </w:rPr>
        <w:t>v</w:t>
      </w:r>
      <w:r w:rsidRPr="00447583">
        <w:rPr>
          <w:snapToGrid w:val="0"/>
          <w:kern w:val="22"/>
          <w:szCs w:val="22"/>
        </w:rPr>
        <w:t xml:space="preserve">oluntary </w:t>
      </w:r>
      <w:r w:rsidR="005827B4" w:rsidRPr="00447583">
        <w:rPr>
          <w:snapToGrid w:val="0"/>
          <w:kern w:val="22"/>
          <w:szCs w:val="22"/>
        </w:rPr>
        <w:t>n</w:t>
      </w:r>
      <w:r w:rsidRPr="00447583">
        <w:rPr>
          <w:snapToGrid w:val="0"/>
          <w:kern w:val="22"/>
          <w:szCs w:val="22"/>
        </w:rPr>
        <w:t xml:space="preserve">ational </w:t>
      </w:r>
      <w:r w:rsidR="005827B4" w:rsidRPr="00447583">
        <w:rPr>
          <w:snapToGrid w:val="0"/>
          <w:kern w:val="22"/>
          <w:szCs w:val="22"/>
        </w:rPr>
        <w:t>r</w:t>
      </w:r>
      <w:r w:rsidRPr="00447583">
        <w:rPr>
          <w:snapToGrid w:val="0"/>
          <w:kern w:val="22"/>
          <w:szCs w:val="22"/>
        </w:rPr>
        <w:t>eviews prepared for the High-Level Political Forum on Sustainable Development varies considerably, as does reference to the biodiversity-related conventions. Following adoption of the post-2020 global biodiversity framework, the existing “</w:t>
      </w:r>
      <w:r w:rsidRPr="00ED212A">
        <w:rPr>
          <w:snapToGrid w:val="0"/>
          <w:kern w:val="22"/>
          <w:szCs w:val="22"/>
        </w:rPr>
        <w:t>Draft Guidance for Reporting Progress on Biodiversity to the High-level Political Forum</w:t>
      </w:r>
      <w:r w:rsidRPr="00447583">
        <w:rPr>
          <w:snapToGrid w:val="0"/>
          <w:kern w:val="22"/>
          <w:szCs w:val="22"/>
        </w:rPr>
        <w:t>” (</w:t>
      </w:r>
      <w:hyperlink r:id="rId25" w:history="1">
        <w:r w:rsidRPr="00447583">
          <w:rPr>
            <w:rStyle w:val="Hyperlink"/>
            <w:snapToGrid w:val="0"/>
            <w:kern w:val="22"/>
            <w:szCs w:val="22"/>
          </w:rPr>
          <w:t>CBD/COP/14/INF/26</w:t>
        </w:r>
      </w:hyperlink>
      <w:r w:rsidRPr="00447583">
        <w:rPr>
          <w:snapToGrid w:val="0"/>
          <w:kern w:val="22"/>
          <w:szCs w:val="22"/>
        </w:rPr>
        <w:t>) should be revised as necessary, including integrating the role of all biodiversity-related conventions and biodiversity-related aspects of implementing the other Rio conventions. Use of this guidance would then be promoted through appropriate channels.</w:t>
      </w:r>
    </w:p>
    <w:p w14:paraId="6A10A79B" w14:textId="644D3B65" w:rsidR="00D274FD" w:rsidRPr="00447583"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 xml:space="preserve">With respect to other possible actions, paragraphs 52 and 53 of </w:t>
      </w:r>
      <w:hyperlink r:id="rId26" w:history="1">
        <w:r w:rsidRPr="00447583">
          <w:rPr>
            <w:rStyle w:val="Hyperlink"/>
            <w:snapToGrid w:val="0"/>
            <w:kern w:val="22"/>
            <w:szCs w:val="22"/>
          </w:rPr>
          <w:t>CBD/SBI/2/12</w:t>
        </w:r>
      </w:hyperlink>
      <w:r w:rsidRPr="00447583">
        <w:rPr>
          <w:snapToGrid w:val="0"/>
          <w:kern w:val="22"/>
          <w:szCs w:val="22"/>
        </w:rPr>
        <w:t xml:space="preserve"> are concerned with possible development of a joint reporting template. It seems unlikely that this would get much traction, and it has not been included as an </w:t>
      </w:r>
      <w:r w:rsidR="005A41BB" w:rsidRPr="00447583">
        <w:rPr>
          <w:snapToGrid w:val="0"/>
          <w:kern w:val="22"/>
          <w:szCs w:val="22"/>
        </w:rPr>
        <w:t>“</w:t>
      </w:r>
      <w:r w:rsidRPr="00447583">
        <w:rPr>
          <w:snapToGrid w:val="0"/>
          <w:kern w:val="22"/>
          <w:szCs w:val="22"/>
        </w:rPr>
        <w:t>option for action</w:t>
      </w:r>
      <w:r w:rsidR="005A41BB" w:rsidRPr="00447583">
        <w:rPr>
          <w:snapToGrid w:val="0"/>
          <w:kern w:val="22"/>
          <w:szCs w:val="22"/>
        </w:rPr>
        <w:t>”;</w:t>
      </w:r>
      <w:r w:rsidRPr="00447583">
        <w:rPr>
          <w:snapToGrid w:val="0"/>
          <w:kern w:val="22"/>
          <w:szCs w:val="22"/>
        </w:rPr>
        <w:t xml:space="preserve"> however</w:t>
      </w:r>
      <w:r w:rsidR="005A41BB" w:rsidRPr="00447583">
        <w:rPr>
          <w:snapToGrid w:val="0"/>
          <w:kern w:val="22"/>
          <w:szCs w:val="22"/>
        </w:rPr>
        <w:t>,</w:t>
      </w:r>
      <w:r w:rsidRPr="00447583">
        <w:rPr>
          <w:snapToGrid w:val="0"/>
          <w:kern w:val="22"/>
          <w:szCs w:val="22"/>
        </w:rPr>
        <w:t xml:space="preserve"> views on whether to address this or not would be welcomed. For example, should a document be developed reviewing what has been proposed and tested to date, recogni</w:t>
      </w:r>
      <w:r w:rsidR="005E1C25" w:rsidRPr="00447583">
        <w:rPr>
          <w:snapToGrid w:val="0"/>
          <w:kern w:val="22"/>
          <w:szCs w:val="22"/>
        </w:rPr>
        <w:t>z</w:t>
      </w:r>
      <w:r w:rsidRPr="00447583">
        <w:rPr>
          <w:snapToGrid w:val="0"/>
          <w:kern w:val="22"/>
          <w:szCs w:val="22"/>
        </w:rPr>
        <w:t xml:space="preserve">ing that this has been </w:t>
      </w:r>
      <w:r w:rsidR="00DE2313" w:rsidRPr="00447583">
        <w:rPr>
          <w:snapToGrid w:val="0"/>
          <w:kern w:val="22"/>
          <w:szCs w:val="22"/>
        </w:rPr>
        <w:t>pilot test</w:t>
      </w:r>
      <w:r w:rsidRPr="00447583">
        <w:rPr>
          <w:snapToGrid w:val="0"/>
          <w:kern w:val="22"/>
          <w:szCs w:val="22"/>
        </w:rPr>
        <w:t xml:space="preserve">ed in two regions (Pacific and Caribbean), and additionally by projects supported by </w:t>
      </w:r>
      <w:r w:rsidR="005A41BB" w:rsidRPr="00447583">
        <w:rPr>
          <w:snapToGrid w:val="0"/>
          <w:kern w:val="22"/>
          <w:szCs w:val="22"/>
        </w:rPr>
        <w:t>UNEP</w:t>
      </w:r>
      <w:r w:rsidRPr="00447583">
        <w:rPr>
          <w:snapToGrid w:val="0"/>
          <w:kern w:val="22"/>
          <w:szCs w:val="22"/>
        </w:rPr>
        <w:t xml:space="preserve"> for the biodiversity-related conventions and by the Global Environment Facility for the Rio </w:t>
      </w:r>
      <w:r w:rsidR="007276F2" w:rsidRPr="00447583">
        <w:rPr>
          <w:snapToGrid w:val="0"/>
          <w:kern w:val="22"/>
          <w:szCs w:val="22"/>
        </w:rPr>
        <w:t>c</w:t>
      </w:r>
      <w:r w:rsidRPr="00447583">
        <w:rPr>
          <w:snapToGrid w:val="0"/>
          <w:kern w:val="22"/>
          <w:szCs w:val="22"/>
        </w:rPr>
        <w:t>onventions?</w:t>
      </w:r>
    </w:p>
    <w:p w14:paraId="1BFACEE3" w14:textId="01EC6C0F" w:rsidR="00D274FD" w:rsidRPr="00ED212A" w:rsidRDefault="00D274FD" w:rsidP="00ED212A">
      <w:pPr>
        <w:pStyle w:val="Heading1"/>
        <w:suppressLineNumbers/>
        <w:tabs>
          <w:tab w:val="clear" w:pos="720"/>
          <w:tab w:val="left" w:pos="426"/>
        </w:tabs>
        <w:suppressAutoHyphens/>
        <w:kinsoku w:val="0"/>
        <w:overflowPunct w:val="0"/>
        <w:autoSpaceDE w:val="0"/>
        <w:autoSpaceDN w:val="0"/>
        <w:adjustRightInd w:val="0"/>
        <w:snapToGrid w:val="0"/>
        <w:spacing w:before="120"/>
        <w:rPr>
          <w:snapToGrid w:val="0"/>
          <w:kern w:val="22"/>
          <w:szCs w:val="22"/>
        </w:rPr>
      </w:pPr>
      <w:r w:rsidRPr="00447583">
        <w:rPr>
          <w:snapToGrid w:val="0"/>
          <w:kern w:val="22"/>
          <w:szCs w:val="22"/>
        </w:rPr>
        <w:t>IV.</w:t>
      </w:r>
      <w:r w:rsidR="00F04603" w:rsidRPr="00447583">
        <w:rPr>
          <w:snapToGrid w:val="0"/>
          <w:kern w:val="22"/>
          <w:szCs w:val="22"/>
        </w:rPr>
        <w:tab/>
      </w:r>
      <w:r w:rsidRPr="00447583">
        <w:rPr>
          <w:snapToGrid w:val="0"/>
          <w:kern w:val="22"/>
          <w:szCs w:val="22"/>
        </w:rPr>
        <w:t xml:space="preserve">Resource implications for implementing the proposed actions </w:t>
      </w:r>
    </w:p>
    <w:p w14:paraId="2EB6B431" w14:textId="4A3D47E4" w:rsidR="003C6634" w:rsidRPr="00447583" w:rsidRDefault="003C6634"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 xml:space="preserve">The previous sections outline a series of options for action for enhancing synergy on national reporting among the biodiversity-related conventions and Rio </w:t>
      </w:r>
      <w:r w:rsidR="007276F2" w:rsidRPr="00447583">
        <w:rPr>
          <w:snapToGrid w:val="0"/>
          <w:kern w:val="22"/>
          <w:szCs w:val="22"/>
        </w:rPr>
        <w:t>c</w:t>
      </w:r>
      <w:r w:rsidRPr="00447583">
        <w:rPr>
          <w:snapToGrid w:val="0"/>
          <w:kern w:val="22"/>
          <w:szCs w:val="22"/>
        </w:rPr>
        <w:t xml:space="preserve">onventions. The </w:t>
      </w:r>
      <w:proofErr w:type="gramStart"/>
      <w:r w:rsidRPr="00447583">
        <w:rPr>
          <w:snapToGrid w:val="0"/>
          <w:kern w:val="22"/>
          <w:szCs w:val="22"/>
        </w:rPr>
        <w:t>ultimate aim</w:t>
      </w:r>
      <w:proofErr w:type="gramEnd"/>
      <w:r w:rsidRPr="00447583">
        <w:rPr>
          <w:snapToGrid w:val="0"/>
          <w:kern w:val="22"/>
          <w:szCs w:val="22"/>
        </w:rPr>
        <w:t xml:space="preserve"> is to increase the efficiency with which data, information and knowledge are used in supporting the implementation of </w:t>
      </w:r>
      <w:r w:rsidR="00071F43" w:rsidRPr="00447583">
        <w:rPr>
          <w:snapToGrid w:val="0"/>
          <w:kern w:val="22"/>
          <w:szCs w:val="22"/>
        </w:rPr>
        <w:t xml:space="preserve">all </w:t>
      </w:r>
      <w:r w:rsidRPr="00447583">
        <w:rPr>
          <w:snapToGrid w:val="0"/>
          <w:kern w:val="22"/>
          <w:szCs w:val="22"/>
        </w:rPr>
        <w:t>these conventions, and in associated reporting and review, including support for implementation of the post-2020 global biodiversity framework.</w:t>
      </w:r>
    </w:p>
    <w:p w14:paraId="43BE0281" w14:textId="379211D9" w:rsidR="00D732D7" w:rsidRPr="00447583" w:rsidRDefault="003C6634"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 xml:space="preserve"> Carrying out any or all these actions will have resource implications. </w:t>
      </w:r>
      <w:r w:rsidR="00D732D7" w:rsidRPr="00447583">
        <w:rPr>
          <w:snapToGrid w:val="0"/>
          <w:kern w:val="22"/>
          <w:szCs w:val="22"/>
        </w:rPr>
        <w:t xml:space="preserve">In some cases, the actions proposed concern further review to </w:t>
      </w:r>
      <w:r w:rsidR="00071F43" w:rsidRPr="00447583">
        <w:rPr>
          <w:snapToGrid w:val="0"/>
          <w:kern w:val="22"/>
          <w:szCs w:val="22"/>
        </w:rPr>
        <w:t xml:space="preserve">explore the proposed </w:t>
      </w:r>
      <w:r w:rsidR="00D732D7" w:rsidRPr="00447583">
        <w:rPr>
          <w:snapToGrid w:val="0"/>
          <w:kern w:val="22"/>
          <w:szCs w:val="22"/>
        </w:rPr>
        <w:t xml:space="preserve">options for action and </w:t>
      </w:r>
      <w:r w:rsidR="00071F43" w:rsidRPr="00447583">
        <w:rPr>
          <w:snapToGrid w:val="0"/>
          <w:kern w:val="22"/>
          <w:szCs w:val="22"/>
        </w:rPr>
        <w:t xml:space="preserve">develop </w:t>
      </w:r>
      <w:r w:rsidR="00D732D7" w:rsidRPr="00447583">
        <w:rPr>
          <w:snapToGrid w:val="0"/>
          <w:kern w:val="22"/>
          <w:szCs w:val="22"/>
        </w:rPr>
        <w:t xml:space="preserve">a road map of possible activities. In </w:t>
      </w:r>
      <w:r w:rsidR="00071F43" w:rsidRPr="00447583">
        <w:rPr>
          <w:snapToGrid w:val="0"/>
          <w:kern w:val="22"/>
          <w:szCs w:val="22"/>
        </w:rPr>
        <w:t xml:space="preserve">many </w:t>
      </w:r>
      <w:r w:rsidR="00D732D7" w:rsidRPr="00447583">
        <w:rPr>
          <w:snapToGrid w:val="0"/>
          <w:kern w:val="22"/>
          <w:szCs w:val="22"/>
        </w:rPr>
        <w:t>cases</w:t>
      </w:r>
      <w:r w:rsidR="00907A5E" w:rsidRPr="00447583">
        <w:rPr>
          <w:snapToGrid w:val="0"/>
          <w:kern w:val="22"/>
          <w:szCs w:val="22"/>
        </w:rPr>
        <w:t>,</w:t>
      </w:r>
      <w:r w:rsidR="00D732D7" w:rsidRPr="00447583">
        <w:rPr>
          <w:snapToGrid w:val="0"/>
          <w:kern w:val="22"/>
          <w:szCs w:val="22"/>
        </w:rPr>
        <w:t xml:space="preserve"> the actions proposed require the involvement of other organizations. Most options for action involve reaching out to the secretariats of other conventions, and</w:t>
      </w:r>
      <w:r w:rsidR="00126B4C" w:rsidRPr="00447583">
        <w:rPr>
          <w:snapToGrid w:val="0"/>
          <w:kern w:val="22"/>
          <w:szCs w:val="22"/>
        </w:rPr>
        <w:t>,</w:t>
      </w:r>
      <w:r w:rsidR="00D732D7" w:rsidRPr="00447583">
        <w:rPr>
          <w:snapToGrid w:val="0"/>
          <w:kern w:val="22"/>
          <w:szCs w:val="22"/>
        </w:rPr>
        <w:t xml:space="preserve"> ultimately</w:t>
      </w:r>
      <w:r w:rsidR="00126B4C" w:rsidRPr="00447583">
        <w:rPr>
          <w:snapToGrid w:val="0"/>
          <w:kern w:val="22"/>
          <w:szCs w:val="22"/>
        </w:rPr>
        <w:t>,</w:t>
      </w:r>
      <w:r w:rsidR="00D732D7" w:rsidRPr="00447583">
        <w:rPr>
          <w:snapToGrid w:val="0"/>
          <w:kern w:val="22"/>
          <w:szCs w:val="22"/>
        </w:rPr>
        <w:t xml:space="preserve"> may require the support of the advisory and governance processes of these other conventions.</w:t>
      </w:r>
    </w:p>
    <w:p w14:paraId="19C8D360" w14:textId="2024B3D3" w:rsidR="003C6634" w:rsidRPr="00447583" w:rsidRDefault="003C6634"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spacing w:val="-3"/>
          <w:kern w:val="22"/>
          <w:szCs w:val="22"/>
        </w:rPr>
      </w:pPr>
      <w:r w:rsidRPr="00447583">
        <w:rPr>
          <w:snapToGrid w:val="0"/>
          <w:spacing w:val="-3"/>
          <w:kern w:val="22"/>
          <w:szCs w:val="22"/>
        </w:rPr>
        <w:t>At the national level, resource implications will include strengthening national biodiversity data collection, data sharing and integration</w:t>
      </w:r>
      <w:r w:rsidR="00F876FD" w:rsidRPr="00447583">
        <w:rPr>
          <w:snapToGrid w:val="0"/>
          <w:spacing w:val="-3"/>
          <w:kern w:val="22"/>
          <w:szCs w:val="22"/>
        </w:rPr>
        <w:t>, as well as enhanced collaboration among focal points of the different conventions</w:t>
      </w:r>
      <w:r w:rsidRPr="00447583">
        <w:rPr>
          <w:snapToGrid w:val="0"/>
          <w:spacing w:val="-3"/>
          <w:kern w:val="22"/>
          <w:szCs w:val="22"/>
        </w:rPr>
        <w:t xml:space="preserve">. </w:t>
      </w:r>
      <w:r w:rsidR="00071F43" w:rsidRPr="00447583">
        <w:rPr>
          <w:snapToGrid w:val="0"/>
          <w:spacing w:val="-3"/>
          <w:kern w:val="22"/>
          <w:szCs w:val="22"/>
        </w:rPr>
        <w:t>In this the implications relate closely to resource implications for national reporting and review under the Convention, including use of indicators</w:t>
      </w:r>
      <w:r w:rsidR="00F876FD" w:rsidRPr="00447583">
        <w:rPr>
          <w:snapToGrid w:val="0"/>
          <w:spacing w:val="-3"/>
          <w:kern w:val="22"/>
          <w:szCs w:val="22"/>
        </w:rPr>
        <w:t xml:space="preserve">, and to actions already recommended </w:t>
      </w:r>
      <w:proofErr w:type="gramStart"/>
      <w:r w:rsidR="00F876FD" w:rsidRPr="00447583">
        <w:rPr>
          <w:snapToGrid w:val="0"/>
          <w:spacing w:val="-3"/>
          <w:kern w:val="22"/>
          <w:szCs w:val="22"/>
        </w:rPr>
        <w:t>with regard to</w:t>
      </w:r>
      <w:proofErr w:type="gramEnd"/>
      <w:r w:rsidR="00F876FD" w:rsidRPr="00447583">
        <w:rPr>
          <w:snapToGrid w:val="0"/>
          <w:spacing w:val="-3"/>
          <w:kern w:val="22"/>
          <w:szCs w:val="22"/>
        </w:rPr>
        <w:t xml:space="preserve"> collaboration (for example decision XIII/24</w:t>
      </w:r>
      <w:r w:rsidR="004A726E" w:rsidRPr="00447583">
        <w:rPr>
          <w:snapToGrid w:val="0"/>
          <w:spacing w:val="-3"/>
          <w:kern w:val="22"/>
          <w:szCs w:val="22"/>
        </w:rPr>
        <w:t>)</w:t>
      </w:r>
      <w:r w:rsidR="00071F43" w:rsidRPr="00447583">
        <w:rPr>
          <w:snapToGrid w:val="0"/>
          <w:spacing w:val="-3"/>
          <w:kern w:val="22"/>
          <w:szCs w:val="22"/>
        </w:rPr>
        <w:t>. As previously indicated (</w:t>
      </w:r>
      <w:r w:rsidR="00D242D8" w:rsidRPr="00447583">
        <w:rPr>
          <w:snapToGrid w:val="0"/>
          <w:spacing w:val="-3"/>
          <w:kern w:val="22"/>
          <w:szCs w:val="22"/>
        </w:rPr>
        <w:t xml:space="preserve">see </w:t>
      </w:r>
      <w:hyperlink r:id="rId27" w:history="1">
        <w:r w:rsidR="00071F43" w:rsidRPr="00447583">
          <w:rPr>
            <w:rStyle w:val="Hyperlink"/>
            <w:snapToGrid w:val="0"/>
            <w:spacing w:val="-3"/>
            <w:kern w:val="22"/>
            <w:szCs w:val="22"/>
          </w:rPr>
          <w:t>CBD/SBI/3/11</w:t>
        </w:r>
      </w:hyperlink>
      <w:r w:rsidR="00071F43" w:rsidRPr="00447583">
        <w:rPr>
          <w:snapToGrid w:val="0"/>
          <w:spacing w:val="-3"/>
          <w:kern w:val="22"/>
          <w:szCs w:val="22"/>
        </w:rPr>
        <w:t>), t</w:t>
      </w:r>
      <w:r w:rsidRPr="00447583">
        <w:rPr>
          <w:snapToGrid w:val="0"/>
          <w:spacing w:val="-3"/>
          <w:kern w:val="22"/>
          <w:szCs w:val="22"/>
        </w:rPr>
        <w:t xml:space="preserve">he investment in monitoring and review should be broader than the government entities responsible for implementation of the Convention </w:t>
      </w:r>
      <w:r w:rsidR="00071F43" w:rsidRPr="00447583">
        <w:rPr>
          <w:snapToGrid w:val="0"/>
          <w:spacing w:val="-3"/>
          <w:kern w:val="22"/>
          <w:szCs w:val="22"/>
        </w:rPr>
        <w:t>and</w:t>
      </w:r>
      <w:r w:rsidRPr="00447583">
        <w:rPr>
          <w:snapToGrid w:val="0"/>
          <w:spacing w:val="-3"/>
          <w:kern w:val="22"/>
          <w:szCs w:val="22"/>
        </w:rPr>
        <w:t xml:space="preserve"> </w:t>
      </w:r>
      <w:r w:rsidR="00095875" w:rsidRPr="00447583">
        <w:rPr>
          <w:snapToGrid w:val="0"/>
          <w:spacing w:val="-3"/>
          <w:kern w:val="22"/>
          <w:szCs w:val="22"/>
        </w:rPr>
        <w:t xml:space="preserve">should </w:t>
      </w:r>
      <w:r w:rsidRPr="00447583">
        <w:rPr>
          <w:snapToGrid w:val="0"/>
          <w:spacing w:val="-3"/>
          <w:kern w:val="22"/>
          <w:szCs w:val="22"/>
        </w:rPr>
        <w:t>include national statistical systems and national research institutions.</w:t>
      </w:r>
    </w:p>
    <w:p w14:paraId="7FDF8B51" w14:textId="3E32AAAF" w:rsidR="00D274FD" w:rsidRPr="00447583" w:rsidRDefault="00071F43"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447583">
        <w:rPr>
          <w:snapToGrid w:val="0"/>
          <w:kern w:val="22"/>
          <w:szCs w:val="22"/>
        </w:rPr>
        <w:t xml:space="preserve">Because of the breadth of the options for action, the number of organizations potentially involved, and the implications for other intergovernmental conventions and processes, the resource implications have not yet been fully addressed. </w:t>
      </w:r>
      <w:r w:rsidR="00BB0498" w:rsidRPr="00447583">
        <w:rPr>
          <w:snapToGrid w:val="0"/>
          <w:kern w:val="22"/>
          <w:szCs w:val="22"/>
        </w:rPr>
        <w:t xml:space="preserve">Resource implications </w:t>
      </w:r>
      <w:r w:rsidRPr="00447583">
        <w:rPr>
          <w:snapToGrid w:val="0"/>
          <w:kern w:val="22"/>
          <w:szCs w:val="22"/>
        </w:rPr>
        <w:t>will be considered following discussion by the Subsidiary Body</w:t>
      </w:r>
      <w:r w:rsidR="00B54996" w:rsidRPr="00447583">
        <w:rPr>
          <w:snapToGrid w:val="0"/>
          <w:kern w:val="22"/>
          <w:szCs w:val="22"/>
        </w:rPr>
        <w:t xml:space="preserve"> on Implementation</w:t>
      </w:r>
      <w:r w:rsidRPr="00447583">
        <w:rPr>
          <w:snapToGrid w:val="0"/>
          <w:kern w:val="22"/>
          <w:szCs w:val="22"/>
        </w:rPr>
        <w:t xml:space="preserve"> </w:t>
      </w:r>
      <w:r w:rsidR="004C13AE" w:rsidRPr="00447583">
        <w:rPr>
          <w:snapToGrid w:val="0"/>
          <w:kern w:val="22"/>
          <w:szCs w:val="22"/>
        </w:rPr>
        <w:t xml:space="preserve">in preparation </w:t>
      </w:r>
      <w:r w:rsidRPr="00447583">
        <w:rPr>
          <w:snapToGrid w:val="0"/>
          <w:kern w:val="22"/>
          <w:szCs w:val="22"/>
        </w:rPr>
        <w:t xml:space="preserve">for the fifteenth </w:t>
      </w:r>
      <w:r w:rsidR="0018636F" w:rsidRPr="00447583">
        <w:rPr>
          <w:snapToGrid w:val="0"/>
          <w:kern w:val="22"/>
          <w:szCs w:val="22"/>
        </w:rPr>
        <w:t>meeting</w:t>
      </w:r>
      <w:r w:rsidRPr="00447583">
        <w:rPr>
          <w:snapToGrid w:val="0"/>
          <w:kern w:val="22"/>
          <w:szCs w:val="22"/>
        </w:rPr>
        <w:t xml:space="preserve"> of the Conference of the Parties. While the proposed actions will potentially have some signification cost implications, </w:t>
      </w:r>
      <w:r w:rsidR="0080426A" w:rsidRPr="00447583">
        <w:rPr>
          <w:snapToGrid w:val="0"/>
          <w:kern w:val="22"/>
          <w:szCs w:val="22"/>
        </w:rPr>
        <w:t>the costs</w:t>
      </w:r>
      <w:r w:rsidRPr="00447583">
        <w:rPr>
          <w:snapToGrid w:val="0"/>
          <w:kern w:val="22"/>
          <w:szCs w:val="22"/>
        </w:rPr>
        <w:t xml:space="preserve"> are expected to be relatively low in the context of implementing multiple </w:t>
      </w:r>
      <w:proofErr w:type="gramStart"/>
      <w:r w:rsidRPr="00447583">
        <w:rPr>
          <w:snapToGrid w:val="0"/>
          <w:kern w:val="22"/>
          <w:szCs w:val="22"/>
        </w:rPr>
        <w:t>conventions, and</w:t>
      </w:r>
      <w:proofErr w:type="gramEnd"/>
      <w:r w:rsidRPr="00447583">
        <w:rPr>
          <w:snapToGrid w:val="0"/>
          <w:kern w:val="22"/>
          <w:szCs w:val="22"/>
        </w:rPr>
        <w:t xml:space="preserve"> </w:t>
      </w:r>
      <w:r w:rsidR="00F876FD" w:rsidRPr="00447583">
        <w:rPr>
          <w:snapToGrid w:val="0"/>
          <w:kern w:val="22"/>
          <w:szCs w:val="22"/>
        </w:rPr>
        <w:t xml:space="preserve">are expected </w:t>
      </w:r>
      <w:r w:rsidRPr="00447583">
        <w:rPr>
          <w:snapToGrid w:val="0"/>
          <w:kern w:val="22"/>
          <w:szCs w:val="22"/>
        </w:rPr>
        <w:t>to lead to increased cost-effectiveness in reporting and review</w:t>
      </w:r>
      <w:r w:rsidR="00DE2313" w:rsidRPr="00447583">
        <w:rPr>
          <w:snapToGrid w:val="0"/>
          <w:kern w:val="22"/>
          <w:szCs w:val="22"/>
        </w:rPr>
        <w:t>ing</w:t>
      </w:r>
      <w:r w:rsidRPr="00447583">
        <w:rPr>
          <w:snapToGrid w:val="0"/>
          <w:kern w:val="22"/>
          <w:szCs w:val="22"/>
        </w:rPr>
        <w:t>.</w:t>
      </w:r>
    </w:p>
    <w:p w14:paraId="5EE32017" w14:textId="34CF928D" w:rsidR="00EC1942" w:rsidRPr="00447583" w:rsidRDefault="00135A30" w:rsidP="006039C7">
      <w:pPr>
        <w:pStyle w:val="Heading1"/>
        <w:suppressLineNumbers/>
        <w:tabs>
          <w:tab w:val="clear" w:pos="720"/>
        </w:tabs>
        <w:suppressAutoHyphens/>
        <w:kinsoku w:val="0"/>
        <w:overflowPunct w:val="0"/>
        <w:autoSpaceDE w:val="0"/>
        <w:autoSpaceDN w:val="0"/>
        <w:adjustRightInd w:val="0"/>
        <w:snapToGrid w:val="0"/>
        <w:spacing w:before="120"/>
        <w:rPr>
          <w:b w:val="0"/>
          <w:bCs/>
          <w:snapToGrid w:val="0"/>
          <w:kern w:val="22"/>
          <w:szCs w:val="22"/>
        </w:rPr>
      </w:pPr>
      <w:r w:rsidRPr="00447583">
        <w:rPr>
          <w:b w:val="0"/>
          <w:bCs/>
          <w:snapToGrid w:val="0"/>
          <w:kern w:val="22"/>
          <w:szCs w:val="22"/>
        </w:rPr>
        <w:t>__________</w:t>
      </w:r>
    </w:p>
    <w:sectPr w:rsidR="00EC1942" w:rsidRPr="00447583" w:rsidSect="00ED212A">
      <w:headerReference w:type="even" r:id="rId28"/>
      <w:headerReference w:type="default" r:id="rId29"/>
      <w:footerReference w:type="even" r:id="rId30"/>
      <w:footerReference w:type="default" r:id="rId31"/>
      <w:pgSz w:w="12240" w:h="15840" w:code="1"/>
      <w:pgMar w:top="562" w:right="1440" w:bottom="1152"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D33A1" w14:textId="77777777" w:rsidR="00E914DF" w:rsidRDefault="00E914DF">
      <w:r>
        <w:separator/>
      </w:r>
    </w:p>
  </w:endnote>
  <w:endnote w:type="continuationSeparator" w:id="0">
    <w:p w14:paraId="507EA0AA" w14:textId="77777777" w:rsidR="00E914DF" w:rsidRDefault="00E914DF">
      <w:r>
        <w:continuationSeparator/>
      </w:r>
    </w:p>
  </w:endnote>
  <w:endnote w:type="continuationNotice" w:id="1">
    <w:p w14:paraId="39B691B1" w14:textId="77777777" w:rsidR="00E914DF" w:rsidRDefault="00E91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F031" w14:textId="77777777" w:rsidR="00DE2313" w:rsidRDefault="00DE2313" w:rsidP="00B06010">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F40D4" w14:textId="77777777" w:rsidR="00DE2313" w:rsidRDefault="00DE2313" w:rsidP="00B06010">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BC37E" w14:textId="77777777" w:rsidR="00E914DF" w:rsidRDefault="00E914DF">
      <w:r>
        <w:separator/>
      </w:r>
    </w:p>
  </w:footnote>
  <w:footnote w:type="continuationSeparator" w:id="0">
    <w:p w14:paraId="61E7C318" w14:textId="77777777" w:rsidR="00E914DF" w:rsidRDefault="00E914DF">
      <w:r>
        <w:continuationSeparator/>
      </w:r>
    </w:p>
  </w:footnote>
  <w:footnote w:type="continuationNotice" w:id="1">
    <w:p w14:paraId="59BFD00F" w14:textId="77777777" w:rsidR="00E914DF" w:rsidRDefault="00E914DF"/>
  </w:footnote>
  <w:footnote w:id="2">
    <w:p w14:paraId="05B65AC1" w14:textId="0F5151E3" w:rsidR="00DE2313" w:rsidRPr="008B2B9A" w:rsidRDefault="00DE2313" w:rsidP="00AD09E2">
      <w:pPr>
        <w:pStyle w:val="FootnoteText"/>
        <w:suppressLineNumbers/>
        <w:suppressAutoHyphens/>
        <w:kinsoku w:val="0"/>
        <w:overflowPunct w:val="0"/>
        <w:autoSpaceDE w:val="0"/>
        <w:autoSpaceDN w:val="0"/>
        <w:ind w:firstLine="0"/>
        <w:jc w:val="left"/>
        <w:rPr>
          <w:kern w:val="18"/>
          <w:szCs w:val="18"/>
          <w:lang w:val="en-CA"/>
        </w:rPr>
      </w:pPr>
      <w:r w:rsidRPr="008B2B9A">
        <w:rPr>
          <w:rStyle w:val="FootnoteReference"/>
          <w:kern w:val="18"/>
          <w:szCs w:val="18"/>
          <w:u w:val="none"/>
        </w:rPr>
        <w:t>*</w:t>
      </w:r>
      <w:r w:rsidRPr="008B2B9A">
        <w:rPr>
          <w:kern w:val="18"/>
          <w:szCs w:val="18"/>
        </w:rPr>
        <w:t xml:space="preserve"> </w:t>
      </w:r>
      <w:hyperlink r:id="rId1" w:history="1">
        <w:r w:rsidRPr="008B2B9A">
          <w:rPr>
            <w:rStyle w:val="Hyperlink"/>
            <w:kern w:val="18"/>
            <w:szCs w:val="18"/>
          </w:rPr>
          <w:t>CBD/SBI/3/1</w:t>
        </w:r>
      </w:hyperlink>
      <w:r w:rsidR="00B53562" w:rsidRPr="008B2B9A">
        <w:rPr>
          <w:kern w:val="18"/>
          <w:szCs w:val="18"/>
        </w:rPr>
        <w:t>.</w:t>
      </w:r>
    </w:p>
  </w:footnote>
  <w:footnote w:id="3">
    <w:p w14:paraId="2790B639" w14:textId="68EDB5FB" w:rsidR="00DE2313" w:rsidRPr="00ED212A" w:rsidRDefault="00DE2313" w:rsidP="00AD09E2">
      <w:pPr>
        <w:pStyle w:val="FootnoteText"/>
        <w:suppressLineNumbers/>
        <w:suppressAutoHyphens/>
        <w:kinsoku w:val="0"/>
        <w:overflowPunct w:val="0"/>
        <w:autoSpaceDE w:val="0"/>
        <w:autoSpaceDN w:val="0"/>
        <w:ind w:firstLine="0"/>
        <w:jc w:val="left"/>
        <w:rPr>
          <w:kern w:val="18"/>
          <w:szCs w:val="18"/>
        </w:rPr>
      </w:pPr>
      <w:r w:rsidRPr="008B2B9A">
        <w:rPr>
          <w:kern w:val="18"/>
          <w:szCs w:val="18"/>
          <w:vertAlign w:val="superscript"/>
        </w:rPr>
        <w:footnoteRef/>
      </w:r>
      <w:r w:rsidRPr="00ED212A">
        <w:rPr>
          <w:kern w:val="18"/>
          <w:szCs w:val="18"/>
          <w:vertAlign w:val="superscript"/>
        </w:rPr>
        <w:t xml:space="preserve"> </w:t>
      </w:r>
      <w:r w:rsidRPr="00ED212A">
        <w:rPr>
          <w:kern w:val="18"/>
          <w:szCs w:val="18"/>
        </w:rPr>
        <w:t xml:space="preserve">This informal advisory group was established </w:t>
      </w:r>
      <w:r w:rsidR="00AD2ABE" w:rsidRPr="008B2B9A">
        <w:rPr>
          <w:kern w:val="18"/>
          <w:szCs w:val="18"/>
        </w:rPr>
        <w:t>pursuant to</w:t>
      </w:r>
      <w:r w:rsidR="00AD2ABE" w:rsidRPr="00ED212A">
        <w:rPr>
          <w:kern w:val="18"/>
          <w:szCs w:val="18"/>
        </w:rPr>
        <w:t xml:space="preserve"> </w:t>
      </w:r>
      <w:r w:rsidRPr="00A16516">
        <w:rPr>
          <w:kern w:val="18"/>
          <w:szCs w:val="18"/>
        </w:rPr>
        <w:t xml:space="preserve">decision </w:t>
      </w:r>
      <w:hyperlink r:id="rId2" w:history="1">
        <w:r w:rsidRPr="00A16516">
          <w:rPr>
            <w:rStyle w:val="Hyperlink"/>
            <w:kern w:val="18"/>
            <w:szCs w:val="18"/>
          </w:rPr>
          <w:t>X</w:t>
        </w:r>
        <w:r w:rsidRPr="00A16516">
          <w:rPr>
            <w:rStyle w:val="Hyperlink"/>
            <w:kern w:val="18"/>
            <w:szCs w:val="18"/>
          </w:rPr>
          <w:t>I</w:t>
        </w:r>
        <w:r w:rsidRPr="00A16516">
          <w:rPr>
            <w:rStyle w:val="Hyperlink"/>
            <w:kern w:val="18"/>
            <w:szCs w:val="18"/>
          </w:rPr>
          <w:t>II/24</w:t>
        </w:r>
      </w:hyperlink>
      <w:r w:rsidRPr="00ED212A">
        <w:rPr>
          <w:kern w:val="18"/>
          <w:szCs w:val="18"/>
        </w:rPr>
        <w:t xml:space="preserve"> of the Conference of the Parties, and its mandate was subsequently extended by </w:t>
      </w:r>
      <w:r w:rsidRPr="008C1315">
        <w:rPr>
          <w:kern w:val="18"/>
          <w:szCs w:val="18"/>
        </w:rPr>
        <w:t xml:space="preserve">decision </w:t>
      </w:r>
      <w:hyperlink r:id="rId3" w:history="1">
        <w:r w:rsidRPr="008C1315">
          <w:rPr>
            <w:rStyle w:val="Hyperlink"/>
            <w:kern w:val="18"/>
            <w:szCs w:val="18"/>
          </w:rPr>
          <w:t>14/30</w:t>
        </w:r>
      </w:hyperlink>
      <w:r w:rsidRPr="00ED212A">
        <w:rPr>
          <w:kern w:val="18"/>
          <w:szCs w:val="18"/>
        </w:rPr>
        <w:t>.</w:t>
      </w:r>
    </w:p>
  </w:footnote>
  <w:footnote w:id="4">
    <w:p w14:paraId="75AB73B5" w14:textId="59F1189E" w:rsidR="00DE2313" w:rsidRPr="008B2B9A" w:rsidRDefault="00DE2313" w:rsidP="00AD09E2">
      <w:pPr>
        <w:pStyle w:val="FootnoteText"/>
        <w:suppressLineNumbers/>
        <w:suppressAutoHyphens/>
        <w:kinsoku w:val="0"/>
        <w:overflowPunct w:val="0"/>
        <w:autoSpaceDE w:val="0"/>
        <w:autoSpaceDN w:val="0"/>
        <w:ind w:firstLine="0"/>
        <w:jc w:val="left"/>
        <w:rPr>
          <w:kern w:val="18"/>
          <w:szCs w:val="18"/>
        </w:rPr>
      </w:pPr>
      <w:r w:rsidRPr="00ED212A">
        <w:rPr>
          <w:kern w:val="18"/>
          <w:szCs w:val="18"/>
          <w:vertAlign w:val="superscript"/>
        </w:rPr>
        <w:footnoteRef/>
      </w:r>
      <w:r w:rsidRPr="00ED212A">
        <w:rPr>
          <w:kern w:val="18"/>
          <w:szCs w:val="18"/>
          <w:vertAlign w:val="superscript"/>
        </w:rPr>
        <w:t xml:space="preserve"> </w:t>
      </w:r>
      <w:r w:rsidRPr="00ED212A">
        <w:rPr>
          <w:kern w:val="18"/>
          <w:szCs w:val="18"/>
        </w:rPr>
        <w:t>General Assembly resolution 70/1 of 25 September 2015.</w:t>
      </w:r>
    </w:p>
  </w:footnote>
  <w:footnote w:id="5">
    <w:p w14:paraId="3CE22030" w14:textId="48E1490D" w:rsidR="00DE2313" w:rsidRPr="00ED212A" w:rsidRDefault="00DE2313" w:rsidP="00AD09E2">
      <w:pPr>
        <w:pStyle w:val="FootnoteText"/>
        <w:suppressLineNumbers/>
        <w:suppressAutoHyphens/>
        <w:kinsoku w:val="0"/>
        <w:overflowPunct w:val="0"/>
        <w:autoSpaceDE w:val="0"/>
        <w:autoSpaceDN w:val="0"/>
        <w:ind w:firstLine="0"/>
        <w:jc w:val="left"/>
        <w:rPr>
          <w:kern w:val="18"/>
          <w:szCs w:val="18"/>
        </w:rPr>
      </w:pPr>
      <w:r w:rsidRPr="008B2B9A">
        <w:rPr>
          <w:kern w:val="18"/>
          <w:szCs w:val="18"/>
          <w:vertAlign w:val="superscript"/>
        </w:rPr>
        <w:footnoteRef/>
      </w:r>
      <w:r w:rsidRPr="008B2B9A">
        <w:rPr>
          <w:kern w:val="18"/>
          <w:szCs w:val="18"/>
          <w:vertAlign w:val="superscript"/>
        </w:rPr>
        <w:t xml:space="preserve"> </w:t>
      </w:r>
      <w:r w:rsidRPr="00ED212A">
        <w:rPr>
          <w:kern w:val="18"/>
          <w:szCs w:val="18"/>
        </w:rPr>
        <w:t xml:space="preserve">See </w:t>
      </w:r>
      <w:hyperlink r:id="rId4" w:history="1">
        <w:r w:rsidR="00CC1EEF" w:rsidRPr="00402267">
          <w:rPr>
            <w:rStyle w:val="Hyperlink"/>
            <w:kern w:val="18"/>
            <w:szCs w:val="18"/>
          </w:rPr>
          <w:t>CBD/POST2020/WS/2020/1/3</w:t>
        </w:r>
      </w:hyperlink>
      <w:r w:rsidR="00CC1EEF">
        <w:rPr>
          <w:kern w:val="18"/>
          <w:szCs w:val="18"/>
        </w:rPr>
        <w:t>.</w:t>
      </w:r>
      <w:r w:rsidR="00CC1EEF" w:rsidRPr="00CC1EEF">
        <w:rPr>
          <w:kern w:val="18"/>
          <w:szCs w:val="18"/>
        </w:rPr>
        <w:t xml:space="preserve"> </w:t>
      </w:r>
      <w:r w:rsidR="00CC1EEF">
        <w:rPr>
          <w:kern w:val="18"/>
          <w:szCs w:val="18"/>
        </w:rPr>
        <w:t xml:space="preserve">See also </w:t>
      </w:r>
      <w:hyperlink r:id="rId5" w:history="1">
        <w:r w:rsidR="00CC1EEF" w:rsidRPr="00ED212A">
          <w:rPr>
            <w:rStyle w:val="Hyperlink"/>
            <w:kern w:val="18"/>
            <w:szCs w:val="18"/>
          </w:rPr>
          <w:t>www.cbd.int/post2020</w:t>
        </w:r>
      </w:hyperlink>
      <w:r w:rsidRPr="00ED212A">
        <w:rPr>
          <w:kern w:val="18"/>
          <w:szCs w:val="18"/>
        </w:rPr>
        <w:t xml:space="preserve"> for a full list of regional and thematic consultations, and access to the relevant reports</w:t>
      </w:r>
      <w:r w:rsidR="00F132D4" w:rsidRPr="008B2B9A">
        <w:rPr>
          <w:kern w:val="18"/>
          <w:szCs w:val="18"/>
        </w:rPr>
        <w:t>.</w:t>
      </w:r>
    </w:p>
  </w:footnote>
  <w:footnote w:id="6">
    <w:p w14:paraId="49F9A3EF" w14:textId="7D10654F" w:rsidR="00DE2313" w:rsidRPr="00ED212A" w:rsidRDefault="00DE2313" w:rsidP="00AD09E2">
      <w:pPr>
        <w:pStyle w:val="FootnoteText"/>
        <w:suppressLineNumbers/>
        <w:suppressAutoHyphens/>
        <w:kinsoku w:val="0"/>
        <w:overflowPunct w:val="0"/>
        <w:autoSpaceDE w:val="0"/>
        <w:autoSpaceDN w:val="0"/>
        <w:ind w:firstLine="0"/>
        <w:jc w:val="left"/>
        <w:rPr>
          <w:kern w:val="18"/>
          <w:szCs w:val="18"/>
        </w:rPr>
      </w:pPr>
      <w:r w:rsidRPr="008B2B9A">
        <w:rPr>
          <w:kern w:val="18"/>
          <w:szCs w:val="18"/>
          <w:vertAlign w:val="superscript"/>
        </w:rPr>
        <w:footnoteRef/>
      </w:r>
      <w:r w:rsidRPr="008B2B9A">
        <w:rPr>
          <w:kern w:val="18"/>
          <w:szCs w:val="18"/>
          <w:vertAlign w:val="superscript"/>
        </w:rPr>
        <w:t xml:space="preserve"> </w:t>
      </w:r>
      <w:r w:rsidRPr="00ED212A">
        <w:rPr>
          <w:kern w:val="18"/>
          <w:szCs w:val="18"/>
        </w:rPr>
        <w:t xml:space="preserve">See </w:t>
      </w:r>
      <w:hyperlink r:id="rId6" w:history="1">
        <w:r w:rsidRPr="00ED212A">
          <w:rPr>
            <w:rStyle w:val="Hyperlink"/>
            <w:kern w:val="18"/>
            <w:szCs w:val="18"/>
          </w:rPr>
          <w:t>CBD/POST2020/WS/2019/6/2</w:t>
        </w:r>
      </w:hyperlink>
      <w:r w:rsidR="00F132D4" w:rsidRPr="008B2B9A">
        <w:rPr>
          <w:kern w:val="18"/>
          <w:szCs w:val="18"/>
        </w:rPr>
        <w:t>.</w:t>
      </w:r>
    </w:p>
  </w:footnote>
  <w:footnote w:id="7">
    <w:p w14:paraId="0912E124" w14:textId="114A5D83" w:rsidR="00DE2313" w:rsidRPr="008B2B9A" w:rsidRDefault="00DE2313" w:rsidP="00ED212A">
      <w:pPr>
        <w:pStyle w:val="FootnoteText"/>
        <w:suppressLineNumbers/>
        <w:suppressAutoHyphens/>
        <w:kinsoku w:val="0"/>
        <w:overflowPunct w:val="0"/>
        <w:autoSpaceDE w:val="0"/>
        <w:autoSpaceDN w:val="0"/>
        <w:ind w:firstLine="0"/>
        <w:jc w:val="left"/>
        <w:rPr>
          <w:kern w:val="18"/>
          <w:szCs w:val="18"/>
        </w:rPr>
      </w:pPr>
      <w:r w:rsidRPr="008B2B9A">
        <w:rPr>
          <w:kern w:val="18"/>
          <w:szCs w:val="18"/>
          <w:vertAlign w:val="superscript"/>
        </w:rPr>
        <w:footnoteRef/>
      </w:r>
      <w:r w:rsidRPr="008B2B9A">
        <w:rPr>
          <w:kern w:val="18"/>
          <w:szCs w:val="18"/>
          <w:vertAlign w:val="superscript"/>
        </w:rPr>
        <w:t xml:space="preserve"> </w:t>
      </w:r>
      <w:r w:rsidRPr="00ED212A">
        <w:rPr>
          <w:kern w:val="18"/>
          <w:szCs w:val="18"/>
        </w:rPr>
        <w:t xml:space="preserve">Individual submissions can be found at </w:t>
      </w:r>
      <w:hyperlink r:id="rId7" w:history="1">
        <w:r w:rsidRPr="00ED212A">
          <w:rPr>
            <w:rStyle w:val="Hyperlink"/>
            <w:kern w:val="18"/>
            <w:szCs w:val="18"/>
          </w:rPr>
          <w:t>www.cbd.int/post2020/submissions</w:t>
        </w:r>
      </w:hyperlink>
      <w:r w:rsidRPr="00ED212A">
        <w:rPr>
          <w:kern w:val="18"/>
          <w:szCs w:val="18"/>
        </w:rPr>
        <w:t xml:space="preserve">, and a synthesis of submissions was made by the Secretariat </w:t>
      </w:r>
      <w:r w:rsidR="00772090" w:rsidRPr="008B2B9A">
        <w:rPr>
          <w:kern w:val="18"/>
          <w:szCs w:val="18"/>
        </w:rPr>
        <w:t xml:space="preserve">and is available </w:t>
      </w:r>
      <w:r w:rsidR="00BA3068" w:rsidRPr="008B2B9A">
        <w:rPr>
          <w:kern w:val="18"/>
          <w:szCs w:val="18"/>
        </w:rPr>
        <w:t>as</w:t>
      </w:r>
      <w:r w:rsidRPr="00ED212A">
        <w:rPr>
          <w:kern w:val="18"/>
          <w:szCs w:val="18"/>
        </w:rPr>
        <w:t xml:space="preserve"> </w:t>
      </w:r>
      <w:hyperlink r:id="rId8" w:history="1">
        <w:r w:rsidRPr="00ED212A">
          <w:rPr>
            <w:rStyle w:val="Hyperlink"/>
            <w:kern w:val="18"/>
            <w:szCs w:val="18"/>
          </w:rPr>
          <w:t>CBD/POST2020/PREP/1/INF/2</w:t>
        </w:r>
      </w:hyperlink>
      <w:r w:rsidR="00F132D4" w:rsidRPr="008B2B9A">
        <w:rPr>
          <w:kern w:val="18"/>
          <w:szCs w:val="18"/>
        </w:rPr>
        <w:t>.</w:t>
      </w:r>
    </w:p>
  </w:footnote>
  <w:footnote w:id="8">
    <w:p w14:paraId="3453E956" w14:textId="5DBDB1C8" w:rsidR="00DE2313" w:rsidRPr="00ED212A" w:rsidRDefault="00DE2313" w:rsidP="00AD09E2">
      <w:pPr>
        <w:pStyle w:val="FootnoteText"/>
        <w:suppressLineNumbers/>
        <w:suppressAutoHyphens/>
        <w:kinsoku w:val="0"/>
        <w:overflowPunct w:val="0"/>
        <w:autoSpaceDE w:val="0"/>
        <w:autoSpaceDN w:val="0"/>
        <w:ind w:firstLine="0"/>
        <w:jc w:val="left"/>
        <w:rPr>
          <w:kern w:val="18"/>
          <w:szCs w:val="18"/>
        </w:rPr>
      </w:pPr>
      <w:r w:rsidRPr="008B2B9A">
        <w:rPr>
          <w:kern w:val="18"/>
          <w:szCs w:val="18"/>
          <w:vertAlign w:val="superscript"/>
        </w:rPr>
        <w:footnoteRef/>
      </w:r>
      <w:r w:rsidRPr="008B2B9A">
        <w:rPr>
          <w:kern w:val="18"/>
          <w:szCs w:val="18"/>
          <w:vertAlign w:val="superscript"/>
        </w:rPr>
        <w:t xml:space="preserve"> </w:t>
      </w:r>
      <w:r w:rsidRPr="00ED212A">
        <w:rPr>
          <w:kern w:val="18"/>
          <w:szCs w:val="18"/>
        </w:rPr>
        <w:t>See UNEP-WCMC</w:t>
      </w:r>
      <w:r w:rsidR="00223728" w:rsidRPr="00ED212A">
        <w:rPr>
          <w:kern w:val="18"/>
          <w:szCs w:val="18"/>
        </w:rPr>
        <w:t xml:space="preserve"> </w:t>
      </w:r>
      <w:r w:rsidR="00223728" w:rsidRPr="008B2B9A">
        <w:rPr>
          <w:kern w:val="18"/>
          <w:szCs w:val="18"/>
        </w:rPr>
        <w:t>(2015).</w:t>
      </w:r>
      <w:r w:rsidRPr="008B2B9A">
        <w:rPr>
          <w:kern w:val="18"/>
          <w:szCs w:val="18"/>
        </w:rPr>
        <w:t xml:space="preserve"> </w:t>
      </w:r>
      <w:hyperlink r:id="rId9" w:history="1">
        <w:r w:rsidRPr="00ED212A">
          <w:rPr>
            <w:rStyle w:val="Hyperlink"/>
            <w:kern w:val="18"/>
            <w:szCs w:val="18"/>
          </w:rPr>
          <w:t xml:space="preserve">Mapping </w:t>
        </w:r>
        <w:r w:rsidRPr="008B2B9A">
          <w:rPr>
            <w:rStyle w:val="Hyperlink"/>
            <w:kern w:val="18"/>
            <w:szCs w:val="18"/>
          </w:rPr>
          <w:t>M</w:t>
        </w:r>
        <w:r w:rsidR="00223728" w:rsidRPr="008B2B9A">
          <w:rPr>
            <w:rStyle w:val="Hyperlink"/>
            <w:kern w:val="18"/>
            <w:szCs w:val="18"/>
          </w:rPr>
          <w:t xml:space="preserve">ultilateral </w:t>
        </w:r>
        <w:r w:rsidRPr="008B2B9A">
          <w:rPr>
            <w:rStyle w:val="Hyperlink"/>
            <w:kern w:val="18"/>
            <w:szCs w:val="18"/>
          </w:rPr>
          <w:t>E</w:t>
        </w:r>
        <w:r w:rsidR="00223728" w:rsidRPr="008B2B9A">
          <w:rPr>
            <w:rStyle w:val="Hyperlink"/>
            <w:kern w:val="18"/>
            <w:szCs w:val="18"/>
          </w:rPr>
          <w:t xml:space="preserve">nvironmental </w:t>
        </w:r>
        <w:r w:rsidRPr="008B2B9A">
          <w:rPr>
            <w:rStyle w:val="Hyperlink"/>
            <w:kern w:val="18"/>
            <w:szCs w:val="18"/>
          </w:rPr>
          <w:t>A</w:t>
        </w:r>
        <w:r w:rsidR="00223728" w:rsidRPr="008B2B9A">
          <w:rPr>
            <w:rStyle w:val="Hyperlink"/>
            <w:kern w:val="18"/>
            <w:szCs w:val="18"/>
          </w:rPr>
          <w:t>greement</w:t>
        </w:r>
        <w:r w:rsidRPr="008B2B9A">
          <w:rPr>
            <w:rStyle w:val="Hyperlink"/>
            <w:kern w:val="18"/>
            <w:szCs w:val="18"/>
          </w:rPr>
          <w:t>s</w:t>
        </w:r>
        <w:r w:rsidRPr="00ED212A">
          <w:rPr>
            <w:rStyle w:val="Hyperlink"/>
            <w:kern w:val="18"/>
            <w:szCs w:val="18"/>
          </w:rPr>
          <w:t xml:space="preserve"> to the Aichi Biodiversity Targets</w:t>
        </w:r>
      </w:hyperlink>
      <w:r w:rsidR="003534A9" w:rsidRPr="008B2B9A">
        <w:rPr>
          <w:kern w:val="18"/>
          <w:szCs w:val="18"/>
        </w:rPr>
        <w:t>.</w:t>
      </w:r>
      <w:r w:rsidRPr="00ED212A">
        <w:rPr>
          <w:kern w:val="18"/>
          <w:szCs w:val="18"/>
        </w:rPr>
        <w:t xml:space="preserve"> Final report, October 2015.</w:t>
      </w:r>
    </w:p>
  </w:footnote>
  <w:footnote w:id="9">
    <w:p w14:paraId="122B581E" w14:textId="4BCDEAA1" w:rsidR="00DE2313" w:rsidRPr="008B2B9A" w:rsidRDefault="00DE2313" w:rsidP="00AD09E2">
      <w:pPr>
        <w:pStyle w:val="FootnoteText"/>
        <w:suppressLineNumbers/>
        <w:suppressAutoHyphens/>
        <w:kinsoku w:val="0"/>
        <w:overflowPunct w:val="0"/>
        <w:autoSpaceDE w:val="0"/>
        <w:autoSpaceDN w:val="0"/>
        <w:ind w:firstLine="0"/>
        <w:jc w:val="left"/>
        <w:rPr>
          <w:kern w:val="18"/>
          <w:szCs w:val="18"/>
        </w:rPr>
      </w:pPr>
      <w:r w:rsidRPr="008B2B9A">
        <w:rPr>
          <w:kern w:val="18"/>
          <w:szCs w:val="18"/>
          <w:vertAlign w:val="superscript"/>
        </w:rPr>
        <w:footnoteRef/>
      </w:r>
      <w:r w:rsidRPr="008B2B9A">
        <w:rPr>
          <w:kern w:val="18"/>
          <w:szCs w:val="18"/>
          <w:vertAlign w:val="superscript"/>
        </w:rPr>
        <w:t xml:space="preserve"> </w:t>
      </w:r>
      <w:hyperlink r:id="rId10" w:history="1">
        <w:r w:rsidRPr="00ED212A">
          <w:rPr>
            <w:rStyle w:val="Hyperlink"/>
            <w:kern w:val="18"/>
            <w:szCs w:val="18"/>
          </w:rPr>
          <w:t>www.biodiversityindicators.net</w:t>
        </w:r>
      </w:hyperlink>
      <w:r w:rsidR="00F132D4" w:rsidRPr="008B2B9A">
        <w:rPr>
          <w:kern w:val="18"/>
          <w:szCs w:val="18"/>
        </w:rPr>
        <w:t>.</w:t>
      </w:r>
    </w:p>
  </w:footnote>
  <w:footnote w:id="10">
    <w:p w14:paraId="23E04281" w14:textId="35AEF6A2" w:rsidR="00DE2313" w:rsidRPr="00ED212A" w:rsidRDefault="00DE2313" w:rsidP="00AD09E2">
      <w:pPr>
        <w:pStyle w:val="FootnoteText"/>
        <w:suppressLineNumbers/>
        <w:suppressAutoHyphens/>
        <w:kinsoku w:val="0"/>
        <w:overflowPunct w:val="0"/>
        <w:autoSpaceDE w:val="0"/>
        <w:autoSpaceDN w:val="0"/>
        <w:ind w:firstLine="0"/>
        <w:jc w:val="left"/>
        <w:rPr>
          <w:kern w:val="18"/>
          <w:szCs w:val="18"/>
        </w:rPr>
      </w:pPr>
      <w:r w:rsidRPr="008B2B9A">
        <w:rPr>
          <w:kern w:val="18"/>
          <w:szCs w:val="18"/>
          <w:vertAlign w:val="superscript"/>
        </w:rPr>
        <w:footnoteRef/>
      </w:r>
      <w:r w:rsidRPr="008B2B9A">
        <w:rPr>
          <w:kern w:val="18"/>
          <w:szCs w:val="18"/>
          <w:vertAlign w:val="superscript"/>
        </w:rPr>
        <w:t xml:space="preserve"> </w:t>
      </w:r>
      <w:r w:rsidRPr="00ED212A">
        <w:rPr>
          <w:kern w:val="18"/>
          <w:szCs w:val="18"/>
        </w:rPr>
        <w:t xml:space="preserve">See </w:t>
      </w:r>
      <w:hyperlink r:id="rId11" w:history="1">
        <w:r w:rsidRPr="00ED212A">
          <w:rPr>
            <w:rStyle w:val="Hyperlink"/>
            <w:kern w:val="18"/>
            <w:szCs w:val="18"/>
          </w:rPr>
          <w:t>www.bipindicators.net/system/resources/files/000/002/291/original/Cross_mapping_4pp_A3_WEB.pdf</w:t>
        </w:r>
      </w:hyperlink>
      <w:r w:rsidR="00F132D4" w:rsidRPr="008B2B9A">
        <w:rPr>
          <w:kern w:val="18"/>
          <w:szCs w:val="18"/>
        </w:rPr>
        <w:t>.</w:t>
      </w:r>
    </w:p>
  </w:footnote>
  <w:footnote w:id="11">
    <w:p w14:paraId="6D640CE7" w14:textId="14387E05" w:rsidR="00DE2313" w:rsidRPr="00ED212A" w:rsidRDefault="00DE2313" w:rsidP="00AD09E2">
      <w:pPr>
        <w:pStyle w:val="FootnoteText"/>
        <w:suppressLineNumbers/>
        <w:suppressAutoHyphens/>
        <w:kinsoku w:val="0"/>
        <w:overflowPunct w:val="0"/>
        <w:autoSpaceDE w:val="0"/>
        <w:autoSpaceDN w:val="0"/>
        <w:ind w:firstLine="0"/>
        <w:jc w:val="left"/>
        <w:rPr>
          <w:kern w:val="18"/>
          <w:szCs w:val="18"/>
        </w:rPr>
      </w:pPr>
      <w:r w:rsidRPr="008B2B9A">
        <w:rPr>
          <w:kern w:val="18"/>
          <w:szCs w:val="18"/>
          <w:vertAlign w:val="superscript"/>
        </w:rPr>
        <w:footnoteRef/>
      </w:r>
      <w:r w:rsidRPr="00ED212A">
        <w:rPr>
          <w:kern w:val="18"/>
          <w:szCs w:val="18"/>
        </w:rPr>
        <w:t xml:space="preserve"> See </w:t>
      </w:r>
      <w:hyperlink r:id="rId12" w:history="1">
        <w:r w:rsidRPr="00ED212A">
          <w:rPr>
            <w:rStyle w:val="Hyperlink"/>
            <w:kern w:val="18"/>
            <w:szCs w:val="18"/>
          </w:rPr>
          <w:t>www.unep-wcmc.org/system/comfy/cms/files/files/000/001/401/original/Cross_mapping_A3_final.pdf</w:t>
        </w:r>
      </w:hyperlink>
      <w:r w:rsidR="00F132D4" w:rsidRPr="008B2B9A">
        <w:rPr>
          <w:kern w:val="18"/>
          <w:szCs w:val="18"/>
        </w:rPr>
        <w:t>.</w:t>
      </w:r>
    </w:p>
  </w:footnote>
  <w:footnote w:id="12">
    <w:p w14:paraId="324FE30B" w14:textId="56473F23" w:rsidR="00DE2313" w:rsidRPr="00ED212A" w:rsidRDefault="00DE2313" w:rsidP="00AD09E2">
      <w:pPr>
        <w:pStyle w:val="FootnoteText"/>
        <w:suppressLineNumbers/>
        <w:suppressAutoHyphens/>
        <w:kinsoku w:val="0"/>
        <w:overflowPunct w:val="0"/>
        <w:autoSpaceDE w:val="0"/>
        <w:autoSpaceDN w:val="0"/>
        <w:ind w:firstLine="0"/>
        <w:jc w:val="left"/>
        <w:rPr>
          <w:kern w:val="18"/>
          <w:szCs w:val="18"/>
        </w:rPr>
      </w:pPr>
      <w:r w:rsidRPr="008B2B9A">
        <w:rPr>
          <w:kern w:val="18"/>
          <w:szCs w:val="18"/>
          <w:vertAlign w:val="superscript"/>
        </w:rPr>
        <w:footnoteRef/>
      </w:r>
      <w:r w:rsidRPr="008B2B9A">
        <w:rPr>
          <w:kern w:val="18"/>
          <w:szCs w:val="18"/>
          <w:vertAlign w:val="superscript"/>
        </w:rPr>
        <w:t xml:space="preserve"> </w:t>
      </w:r>
      <w:r w:rsidRPr="00ED212A">
        <w:rPr>
          <w:kern w:val="18"/>
          <w:szCs w:val="18"/>
        </w:rPr>
        <w:t xml:space="preserve">See for example E/CN.18/2019/3 at </w:t>
      </w:r>
      <w:hyperlink r:id="rId13" w:history="1">
        <w:r w:rsidRPr="00ED212A">
          <w:rPr>
            <w:rStyle w:val="Hyperlink"/>
            <w:kern w:val="18"/>
            <w:szCs w:val="18"/>
          </w:rPr>
          <w:t>https://undocs.org/E/CN.18/2019/3</w:t>
        </w:r>
      </w:hyperlink>
      <w:r w:rsidRPr="00ED212A">
        <w:rPr>
          <w:rStyle w:val="Hyperlink"/>
          <w:kern w:val="18"/>
          <w:szCs w:val="18"/>
        </w:rPr>
        <w:t xml:space="preserve"> </w:t>
      </w:r>
      <w:r w:rsidRPr="00ED212A">
        <w:rPr>
          <w:kern w:val="18"/>
          <w:szCs w:val="18"/>
        </w:rPr>
        <w:t xml:space="preserve">and </w:t>
      </w:r>
      <w:hyperlink r:id="rId14" w:history="1">
        <w:r w:rsidRPr="00ED212A">
          <w:rPr>
            <w:rStyle w:val="Hyperlink"/>
            <w:kern w:val="18"/>
            <w:szCs w:val="18"/>
          </w:rPr>
          <w:t>www.cpfweb.org/96344</w:t>
        </w:r>
      </w:hyperlink>
      <w:r w:rsidR="00F132D4" w:rsidRPr="008B2B9A">
        <w:rPr>
          <w:kern w:val="18"/>
          <w:szCs w:val="18"/>
        </w:rPr>
        <w:t>.</w:t>
      </w:r>
    </w:p>
  </w:footnote>
  <w:footnote w:id="13">
    <w:p w14:paraId="3DC5F0D7" w14:textId="064DF9D6" w:rsidR="00DE2313" w:rsidRPr="008B2B9A" w:rsidRDefault="00DE2313" w:rsidP="00AD09E2">
      <w:pPr>
        <w:pStyle w:val="FootnoteText"/>
        <w:suppressLineNumbers/>
        <w:suppressAutoHyphens/>
        <w:kinsoku w:val="0"/>
        <w:overflowPunct w:val="0"/>
        <w:autoSpaceDE w:val="0"/>
        <w:autoSpaceDN w:val="0"/>
        <w:ind w:firstLine="0"/>
        <w:jc w:val="left"/>
        <w:rPr>
          <w:kern w:val="18"/>
          <w:szCs w:val="18"/>
        </w:rPr>
      </w:pPr>
      <w:r w:rsidRPr="008B2B9A">
        <w:rPr>
          <w:kern w:val="18"/>
          <w:szCs w:val="18"/>
          <w:vertAlign w:val="superscript"/>
        </w:rPr>
        <w:footnoteRef/>
      </w:r>
      <w:r w:rsidRPr="008B2B9A">
        <w:rPr>
          <w:kern w:val="18"/>
          <w:szCs w:val="18"/>
          <w:vertAlign w:val="superscript"/>
        </w:rPr>
        <w:t xml:space="preserve"> </w:t>
      </w:r>
      <w:r w:rsidRPr="00ED212A">
        <w:rPr>
          <w:kern w:val="18"/>
          <w:szCs w:val="18"/>
        </w:rPr>
        <w:t xml:space="preserve">See for example CBD/COP/14/INF/40 at </w:t>
      </w:r>
      <w:hyperlink r:id="rId15" w:history="1">
        <w:r w:rsidRPr="00ED212A">
          <w:rPr>
            <w:rStyle w:val="Hyperlink"/>
            <w:kern w:val="18"/>
            <w:szCs w:val="18"/>
          </w:rPr>
          <w:t>www.cbd.int/doc/c/7217/00d0/a9328110a490b7a8957a0cd9/cop-14-inf-40-en.pdf</w:t>
        </w:r>
      </w:hyperlink>
      <w:r w:rsidR="00F132D4" w:rsidRPr="008B2B9A">
        <w:rPr>
          <w:kern w:val="18"/>
          <w:szCs w:val="18"/>
        </w:rPr>
        <w:t>.</w:t>
      </w:r>
      <w:r w:rsidRPr="008B2B9A">
        <w:rPr>
          <w:kern w:val="18"/>
          <w:szCs w:val="18"/>
        </w:rPr>
        <w:t xml:space="preserve"> </w:t>
      </w:r>
    </w:p>
  </w:footnote>
  <w:footnote w:id="14">
    <w:p w14:paraId="6DB54BC2" w14:textId="0D4DEB05" w:rsidR="00DE2313" w:rsidRPr="00ED212A" w:rsidRDefault="00DE2313" w:rsidP="00ED212A">
      <w:pPr>
        <w:pStyle w:val="FootnoteText"/>
        <w:suppressLineNumbers/>
        <w:suppressAutoHyphens/>
        <w:kinsoku w:val="0"/>
        <w:overflowPunct w:val="0"/>
        <w:autoSpaceDE w:val="0"/>
        <w:autoSpaceDN w:val="0"/>
        <w:ind w:firstLine="0"/>
        <w:jc w:val="left"/>
        <w:rPr>
          <w:spacing w:val="-2"/>
          <w:kern w:val="18"/>
          <w:szCs w:val="18"/>
        </w:rPr>
      </w:pPr>
      <w:r w:rsidRPr="00082E91">
        <w:rPr>
          <w:spacing w:val="-2"/>
          <w:kern w:val="18"/>
          <w:szCs w:val="18"/>
          <w:vertAlign w:val="superscript"/>
        </w:rPr>
        <w:footnoteRef/>
      </w:r>
      <w:r w:rsidRPr="00082E91">
        <w:rPr>
          <w:spacing w:val="-2"/>
          <w:kern w:val="18"/>
          <w:szCs w:val="18"/>
          <w:vertAlign w:val="superscript"/>
        </w:rPr>
        <w:t xml:space="preserve"> </w:t>
      </w:r>
      <w:r w:rsidRPr="00ED212A">
        <w:rPr>
          <w:spacing w:val="-2"/>
          <w:kern w:val="18"/>
          <w:szCs w:val="18"/>
        </w:rPr>
        <w:t xml:space="preserve">See, for example, </w:t>
      </w:r>
      <w:r w:rsidR="005A41BB" w:rsidRPr="00082E91">
        <w:rPr>
          <w:spacing w:val="-2"/>
          <w:kern w:val="18"/>
          <w:szCs w:val="18"/>
        </w:rPr>
        <w:t>UNEP</w:t>
      </w:r>
      <w:r w:rsidRPr="00ED212A">
        <w:rPr>
          <w:spacing w:val="-2"/>
          <w:kern w:val="18"/>
          <w:szCs w:val="18"/>
        </w:rPr>
        <w:t xml:space="preserve">, </w:t>
      </w:r>
      <w:hyperlink r:id="rId16" w:history="1">
        <w:r w:rsidRPr="00ED212A">
          <w:rPr>
            <w:rStyle w:val="Hyperlink"/>
            <w:i/>
            <w:spacing w:val="-2"/>
            <w:kern w:val="18"/>
            <w:szCs w:val="18"/>
          </w:rPr>
          <w:t>Elaboration of Options for Enhancing Synergies among Biodiversity-related Conventions</w:t>
        </w:r>
      </w:hyperlink>
      <w:r w:rsidRPr="00ED212A">
        <w:rPr>
          <w:spacing w:val="-2"/>
          <w:kern w:val="18"/>
          <w:szCs w:val="18"/>
        </w:rPr>
        <w:t>, March 2016.</w:t>
      </w:r>
    </w:p>
  </w:footnote>
  <w:footnote w:id="15">
    <w:p w14:paraId="5F2841A5" w14:textId="78762B3B" w:rsidR="00DE2313" w:rsidRPr="00ED212A" w:rsidRDefault="00DE2313" w:rsidP="00AD09E2">
      <w:pPr>
        <w:pStyle w:val="FootnoteText"/>
        <w:suppressLineNumbers/>
        <w:suppressAutoHyphens/>
        <w:kinsoku w:val="0"/>
        <w:overflowPunct w:val="0"/>
        <w:autoSpaceDE w:val="0"/>
        <w:autoSpaceDN w:val="0"/>
        <w:ind w:firstLine="0"/>
        <w:jc w:val="left"/>
        <w:rPr>
          <w:kern w:val="18"/>
          <w:szCs w:val="18"/>
        </w:rPr>
      </w:pPr>
      <w:r w:rsidRPr="008B2B9A">
        <w:rPr>
          <w:kern w:val="18"/>
          <w:szCs w:val="18"/>
          <w:vertAlign w:val="superscript"/>
        </w:rPr>
        <w:footnoteRef/>
      </w:r>
      <w:r w:rsidRPr="008B2B9A">
        <w:rPr>
          <w:kern w:val="18"/>
          <w:szCs w:val="18"/>
          <w:vertAlign w:val="superscript"/>
        </w:rPr>
        <w:t xml:space="preserve"> </w:t>
      </w:r>
      <w:r w:rsidRPr="00ED212A">
        <w:rPr>
          <w:kern w:val="18"/>
          <w:szCs w:val="18"/>
        </w:rPr>
        <w:t xml:space="preserve">For meeting documentation, see </w:t>
      </w:r>
      <w:hyperlink r:id="rId17" w:history="1">
        <w:r w:rsidRPr="00ED212A">
          <w:rPr>
            <w:rStyle w:val="Hyperlink"/>
            <w:kern w:val="18"/>
            <w:szCs w:val="18"/>
          </w:rPr>
          <w:t>https://www.cbd.int/meetings/BRCWS-2016-01</w:t>
        </w:r>
      </w:hyperlink>
      <w:r w:rsidR="00F132D4" w:rsidRPr="008B2B9A">
        <w:rPr>
          <w:kern w:val="18"/>
          <w:szCs w:val="18"/>
        </w:rPr>
        <w:t>.</w:t>
      </w:r>
    </w:p>
  </w:footnote>
  <w:footnote w:id="16">
    <w:p w14:paraId="266B2DA3" w14:textId="686561E1" w:rsidR="00DE2313" w:rsidRPr="00ED212A" w:rsidRDefault="00DE2313" w:rsidP="00AD09E2">
      <w:pPr>
        <w:pStyle w:val="FootnoteText"/>
        <w:suppressLineNumbers/>
        <w:suppressAutoHyphens/>
        <w:kinsoku w:val="0"/>
        <w:overflowPunct w:val="0"/>
        <w:autoSpaceDE w:val="0"/>
        <w:autoSpaceDN w:val="0"/>
        <w:ind w:firstLine="0"/>
        <w:jc w:val="left"/>
        <w:rPr>
          <w:kern w:val="18"/>
          <w:szCs w:val="18"/>
        </w:rPr>
      </w:pPr>
      <w:r w:rsidRPr="008B2B9A">
        <w:rPr>
          <w:kern w:val="18"/>
          <w:szCs w:val="18"/>
          <w:vertAlign w:val="superscript"/>
        </w:rPr>
        <w:footnoteRef/>
      </w:r>
      <w:r w:rsidRPr="008B2B9A">
        <w:rPr>
          <w:kern w:val="18"/>
          <w:szCs w:val="18"/>
          <w:vertAlign w:val="superscript"/>
        </w:rPr>
        <w:t xml:space="preserve"> </w:t>
      </w:r>
      <w:r w:rsidRPr="00ED212A">
        <w:rPr>
          <w:kern w:val="18"/>
          <w:szCs w:val="18"/>
        </w:rPr>
        <w:t xml:space="preserve">See </w:t>
      </w:r>
      <w:hyperlink r:id="rId18" w:history="1">
        <w:r w:rsidRPr="00ED212A">
          <w:rPr>
            <w:rStyle w:val="Hyperlink"/>
            <w:kern w:val="18"/>
            <w:szCs w:val="18"/>
          </w:rPr>
          <w:t>http://www.cpfweb.org/96344/en/</w:t>
        </w:r>
      </w:hyperlink>
      <w:r w:rsidR="00F132D4" w:rsidRPr="008B2B9A">
        <w:rPr>
          <w:kern w:val="18"/>
          <w:szCs w:val="18"/>
        </w:rPr>
        <w:t>.</w:t>
      </w:r>
    </w:p>
  </w:footnote>
  <w:footnote w:id="17">
    <w:p w14:paraId="78C27FC2" w14:textId="77777777" w:rsidR="00DE2313" w:rsidRPr="008B2B9A" w:rsidRDefault="00DE2313" w:rsidP="00ED212A">
      <w:pPr>
        <w:pStyle w:val="FootnoteText"/>
        <w:suppressLineNumbers/>
        <w:suppressAutoHyphens/>
        <w:kinsoku w:val="0"/>
        <w:overflowPunct w:val="0"/>
        <w:autoSpaceDE w:val="0"/>
        <w:autoSpaceDN w:val="0"/>
        <w:ind w:firstLine="0"/>
        <w:jc w:val="left"/>
        <w:rPr>
          <w:kern w:val="18"/>
          <w:szCs w:val="18"/>
        </w:rPr>
      </w:pPr>
      <w:r w:rsidRPr="008B2B9A">
        <w:rPr>
          <w:kern w:val="18"/>
          <w:szCs w:val="18"/>
          <w:vertAlign w:val="superscript"/>
        </w:rPr>
        <w:footnoteRef/>
      </w:r>
      <w:r w:rsidRPr="00ED212A">
        <w:rPr>
          <w:kern w:val="18"/>
          <w:szCs w:val="18"/>
        </w:rPr>
        <w:t xml:space="preserve"> UNEP-WCMC and </w:t>
      </w:r>
      <w:proofErr w:type="spellStart"/>
      <w:r w:rsidRPr="00ED212A">
        <w:rPr>
          <w:kern w:val="18"/>
          <w:szCs w:val="18"/>
        </w:rPr>
        <w:t>NatureConsult</w:t>
      </w:r>
      <w:proofErr w:type="spellEnd"/>
      <w:r w:rsidRPr="00ED212A">
        <w:rPr>
          <w:kern w:val="18"/>
          <w:szCs w:val="18"/>
        </w:rPr>
        <w:t xml:space="preserve">, “Elements for a modular reporting against the Aichi Biodiversity Targets”, Final report – August 2016 (issued for the thirteenth meeting of the Conference of the Parties as </w:t>
      </w:r>
      <w:hyperlink r:id="rId19" w:history="1">
        <w:r w:rsidRPr="00ED212A">
          <w:rPr>
            <w:rStyle w:val="Hyperlink"/>
            <w:kern w:val="18"/>
            <w:szCs w:val="18"/>
          </w:rPr>
          <w:t>UNEP/CBD/COP/13/INF/24</w:t>
        </w:r>
      </w:hyperlink>
      <w:r w:rsidRPr="00ED212A">
        <w:rPr>
          <w:kern w:val="18"/>
          <w:szCs w:val="18"/>
        </w:rPr>
        <w:t>).</w:t>
      </w:r>
    </w:p>
  </w:footnote>
  <w:footnote w:id="18">
    <w:p w14:paraId="58AC227F" w14:textId="1468E0DD" w:rsidR="00DE2313" w:rsidRPr="00ED212A" w:rsidRDefault="00DE2313" w:rsidP="00AD09E2">
      <w:pPr>
        <w:pStyle w:val="FootnoteText"/>
        <w:suppressLineNumbers/>
        <w:suppressAutoHyphens/>
        <w:kinsoku w:val="0"/>
        <w:overflowPunct w:val="0"/>
        <w:autoSpaceDE w:val="0"/>
        <w:autoSpaceDN w:val="0"/>
        <w:ind w:firstLine="0"/>
        <w:jc w:val="left"/>
        <w:rPr>
          <w:kern w:val="18"/>
          <w:szCs w:val="18"/>
        </w:rPr>
      </w:pPr>
      <w:r w:rsidRPr="008B2B9A">
        <w:rPr>
          <w:kern w:val="18"/>
          <w:szCs w:val="18"/>
          <w:vertAlign w:val="superscript"/>
        </w:rPr>
        <w:footnoteRef/>
      </w:r>
      <w:r w:rsidRPr="00ED212A">
        <w:rPr>
          <w:kern w:val="18"/>
          <w:szCs w:val="18"/>
        </w:rPr>
        <w:t xml:space="preserve"> See </w:t>
      </w:r>
      <w:hyperlink r:id="rId20" w:history="1">
        <w:r w:rsidRPr="00ED212A">
          <w:rPr>
            <w:rStyle w:val="Hyperlink"/>
            <w:kern w:val="18"/>
            <w:szCs w:val="18"/>
          </w:rPr>
          <w:t>https://www.cbd.int/reports/thematic.shtml</w:t>
        </w:r>
      </w:hyperlink>
      <w:r w:rsidR="00F132D4" w:rsidRPr="008B2B9A">
        <w:rPr>
          <w:kern w:val="18"/>
          <w:szCs w:val="18"/>
        </w:rPr>
        <w:t>.</w:t>
      </w:r>
    </w:p>
  </w:footnote>
  <w:footnote w:id="19">
    <w:p w14:paraId="5EB44710" w14:textId="168735E3" w:rsidR="00DE2313" w:rsidRPr="00ED212A" w:rsidRDefault="00DE2313" w:rsidP="00AD09E2">
      <w:pPr>
        <w:pStyle w:val="FootnoteText"/>
        <w:suppressLineNumbers/>
        <w:suppressAutoHyphens/>
        <w:kinsoku w:val="0"/>
        <w:overflowPunct w:val="0"/>
        <w:autoSpaceDE w:val="0"/>
        <w:autoSpaceDN w:val="0"/>
        <w:ind w:firstLine="0"/>
        <w:jc w:val="left"/>
        <w:rPr>
          <w:spacing w:val="-4"/>
          <w:kern w:val="18"/>
          <w:szCs w:val="18"/>
        </w:rPr>
      </w:pPr>
      <w:r w:rsidRPr="0075453E">
        <w:rPr>
          <w:spacing w:val="-4"/>
          <w:kern w:val="18"/>
          <w:szCs w:val="18"/>
          <w:vertAlign w:val="superscript"/>
        </w:rPr>
        <w:footnoteRef/>
      </w:r>
      <w:r w:rsidRPr="0075453E">
        <w:rPr>
          <w:spacing w:val="-4"/>
          <w:kern w:val="18"/>
          <w:szCs w:val="18"/>
          <w:vertAlign w:val="superscript"/>
        </w:rPr>
        <w:t xml:space="preserve"> </w:t>
      </w:r>
      <w:r w:rsidRPr="00ED212A">
        <w:rPr>
          <w:spacing w:val="-4"/>
          <w:kern w:val="18"/>
          <w:szCs w:val="18"/>
        </w:rPr>
        <w:t xml:space="preserve">Development of </w:t>
      </w:r>
      <w:proofErr w:type="spellStart"/>
      <w:r w:rsidRPr="00ED212A">
        <w:rPr>
          <w:spacing w:val="-4"/>
          <w:kern w:val="18"/>
          <w:szCs w:val="18"/>
        </w:rPr>
        <w:t>DaRT</w:t>
      </w:r>
      <w:proofErr w:type="spellEnd"/>
      <w:r w:rsidRPr="00ED212A">
        <w:rPr>
          <w:spacing w:val="-4"/>
          <w:kern w:val="18"/>
          <w:szCs w:val="18"/>
        </w:rPr>
        <w:t xml:space="preserve"> is being led by UNEP as part of </w:t>
      </w:r>
      <w:proofErr w:type="spellStart"/>
      <w:r w:rsidRPr="00ED212A">
        <w:rPr>
          <w:spacing w:val="-4"/>
          <w:kern w:val="18"/>
          <w:szCs w:val="18"/>
        </w:rPr>
        <w:t>InforMEA</w:t>
      </w:r>
      <w:proofErr w:type="spellEnd"/>
      <w:r w:rsidRPr="00ED212A">
        <w:rPr>
          <w:spacing w:val="-4"/>
          <w:kern w:val="18"/>
          <w:szCs w:val="18"/>
        </w:rPr>
        <w:t>, with the financial support of Switzerland and the European Union</w:t>
      </w:r>
      <w:r w:rsidR="00F132D4" w:rsidRPr="0075453E">
        <w:rPr>
          <w:spacing w:val="-4"/>
          <w:kern w:val="18"/>
          <w:szCs w:val="18"/>
        </w:rPr>
        <w:t>.</w:t>
      </w:r>
    </w:p>
  </w:footnote>
  <w:footnote w:id="20">
    <w:p w14:paraId="4517245A" w14:textId="765555F6" w:rsidR="00DE2313" w:rsidRPr="00ED212A" w:rsidRDefault="00DE2313" w:rsidP="00AD09E2">
      <w:pPr>
        <w:pStyle w:val="FootnoteText"/>
        <w:suppressLineNumbers/>
        <w:suppressAutoHyphens/>
        <w:kinsoku w:val="0"/>
        <w:overflowPunct w:val="0"/>
        <w:autoSpaceDE w:val="0"/>
        <w:autoSpaceDN w:val="0"/>
        <w:ind w:firstLine="0"/>
        <w:jc w:val="left"/>
        <w:rPr>
          <w:kern w:val="18"/>
          <w:szCs w:val="18"/>
        </w:rPr>
      </w:pPr>
      <w:r w:rsidRPr="008B2B9A">
        <w:rPr>
          <w:kern w:val="18"/>
          <w:szCs w:val="18"/>
          <w:vertAlign w:val="superscript"/>
        </w:rPr>
        <w:footnoteRef/>
      </w:r>
      <w:r w:rsidRPr="00ED212A">
        <w:rPr>
          <w:kern w:val="18"/>
          <w:szCs w:val="18"/>
        </w:rPr>
        <w:t xml:space="preserve"> </w:t>
      </w:r>
      <w:hyperlink r:id="rId21" w:history="1">
        <w:r w:rsidRPr="00ED212A">
          <w:rPr>
            <w:rStyle w:val="Hyperlink"/>
            <w:kern w:val="18"/>
            <w:szCs w:val="18"/>
          </w:rPr>
          <w:t>www.ors.ngo</w:t>
        </w:r>
      </w:hyperlink>
      <w:r w:rsidR="00F132D4" w:rsidRPr="008B2B9A">
        <w:rPr>
          <w:kern w:val="18"/>
          <w:szCs w:val="18"/>
        </w:rPr>
        <w:t>.</w:t>
      </w:r>
    </w:p>
  </w:footnote>
  <w:footnote w:id="21">
    <w:p w14:paraId="672BBE69" w14:textId="4A63E824" w:rsidR="00CC4857" w:rsidRPr="008B2B9A" w:rsidRDefault="00DE2313" w:rsidP="00AD09E2">
      <w:pPr>
        <w:pStyle w:val="FootnoteText"/>
        <w:suppressLineNumbers/>
        <w:suppressAutoHyphens/>
        <w:kinsoku w:val="0"/>
        <w:overflowPunct w:val="0"/>
        <w:autoSpaceDE w:val="0"/>
        <w:autoSpaceDN w:val="0"/>
        <w:ind w:firstLine="0"/>
        <w:jc w:val="left"/>
        <w:rPr>
          <w:kern w:val="18"/>
          <w:szCs w:val="18"/>
        </w:rPr>
      </w:pPr>
      <w:r w:rsidRPr="008B2B9A">
        <w:rPr>
          <w:kern w:val="18"/>
          <w:szCs w:val="18"/>
          <w:vertAlign w:val="superscript"/>
        </w:rPr>
        <w:footnoteRef/>
      </w:r>
      <w:r w:rsidRPr="008B2B9A">
        <w:rPr>
          <w:kern w:val="18"/>
          <w:szCs w:val="18"/>
          <w:vertAlign w:val="superscript"/>
        </w:rPr>
        <w:t xml:space="preserve"> </w:t>
      </w:r>
      <w:hyperlink r:id="rId22" w:history="1">
        <w:r w:rsidR="00CC4857" w:rsidRPr="008B2B9A">
          <w:rPr>
            <w:rStyle w:val="Hyperlink"/>
            <w:kern w:val="18"/>
            <w:szCs w:val="18"/>
          </w:rPr>
          <w:t>https://chm.cbd.int/</w:t>
        </w:r>
      </w:hyperlink>
      <w:r w:rsidR="00CC4857" w:rsidRPr="008B2B9A">
        <w:rPr>
          <w:kern w:val="18"/>
          <w:szCs w:val="18"/>
        </w:rPr>
        <w:t>.</w:t>
      </w:r>
    </w:p>
  </w:footnote>
  <w:footnote w:id="22">
    <w:p w14:paraId="0DBA157F" w14:textId="6B80D73A" w:rsidR="00DE2313" w:rsidRPr="00ED212A" w:rsidRDefault="00DE2313" w:rsidP="00ED212A">
      <w:pPr>
        <w:pStyle w:val="FootnoteText"/>
        <w:suppressLineNumbers/>
        <w:suppressAutoHyphens/>
        <w:kinsoku w:val="0"/>
        <w:overflowPunct w:val="0"/>
        <w:autoSpaceDE w:val="0"/>
        <w:autoSpaceDN w:val="0"/>
        <w:ind w:firstLine="0"/>
        <w:jc w:val="left"/>
        <w:rPr>
          <w:kern w:val="18"/>
          <w:szCs w:val="18"/>
        </w:rPr>
      </w:pPr>
      <w:r w:rsidRPr="008B2B9A">
        <w:rPr>
          <w:kern w:val="18"/>
          <w:szCs w:val="18"/>
          <w:vertAlign w:val="superscript"/>
        </w:rPr>
        <w:footnoteRef/>
      </w:r>
      <w:r w:rsidRPr="008B2B9A">
        <w:rPr>
          <w:kern w:val="18"/>
          <w:szCs w:val="18"/>
          <w:vertAlign w:val="superscript"/>
        </w:rPr>
        <w:t xml:space="preserve"> </w:t>
      </w:r>
      <w:r w:rsidRPr="00ED212A">
        <w:rPr>
          <w:kern w:val="18"/>
          <w:szCs w:val="18"/>
        </w:rPr>
        <w:t xml:space="preserve">UNEP-WCMC led </w:t>
      </w:r>
      <w:r w:rsidR="005A41BB" w:rsidRPr="008B2B9A">
        <w:rPr>
          <w:kern w:val="18"/>
          <w:szCs w:val="18"/>
        </w:rPr>
        <w:t xml:space="preserve">the </w:t>
      </w:r>
      <w:r w:rsidRPr="00ED212A">
        <w:rPr>
          <w:kern w:val="18"/>
          <w:szCs w:val="18"/>
        </w:rPr>
        <w:t xml:space="preserve">preparation of both documents, working with the Secretariat </w:t>
      </w:r>
      <w:r w:rsidR="005A41BB" w:rsidRPr="008B2B9A">
        <w:rPr>
          <w:kern w:val="18"/>
          <w:szCs w:val="18"/>
        </w:rPr>
        <w:t xml:space="preserve">of the Convention on Biological Diversity </w:t>
      </w:r>
      <w:r w:rsidRPr="008B2B9A">
        <w:rPr>
          <w:kern w:val="18"/>
          <w:szCs w:val="18"/>
        </w:rPr>
        <w:t xml:space="preserve">and </w:t>
      </w:r>
      <w:r w:rsidR="005A41BB" w:rsidRPr="008B2B9A">
        <w:rPr>
          <w:kern w:val="18"/>
          <w:szCs w:val="18"/>
        </w:rPr>
        <w:t>with</w:t>
      </w:r>
      <w:r w:rsidR="005A41BB" w:rsidRPr="00ED212A">
        <w:rPr>
          <w:kern w:val="18"/>
          <w:szCs w:val="18"/>
        </w:rPr>
        <w:t xml:space="preserve"> </w:t>
      </w:r>
      <w:r w:rsidRPr="00ED212A">
        <w:rPr>
          <w:kern w:val="18"/>
          <w:szCs w:val="18"/>
        </w:rPr>
        <w:t>UNEP, with financial support from the Governments of Finland and Switzerland, and</w:t>
      </w:r>
      <w:r w:rsidRPr="008B2B9A">
        <w:rPr>
          <w:kern w:val="18"/>
          <w:szCs w:val="18"/>
        </w:rPr>
        <w:t xml:space="preserve"> </w:t>
      </w:r>
      <w:r w:rsidR="005A41BB" w:rsidRPr="008B2B9A">
        <w:rPr>
          <w:kern w:val="18"/>
          <w:szCs w:val="18"/>
        </w:rPr>
        <w:t>from</w:t>
      </w:r>
      <w:r w:rsidR="005A41BB" w:rsidRPr="00ED212A">
        <w:rPr>
          <w:kern w:val="18"/>
          <w:szCs w:val="18"/>
        </w:rPr>
        <w:t xml:space="preserve"> </w:t>
      </w:r>
      <w:r w:rsidRPr="00ED212A">
        <w:rPr>
          <w:kern w:val="18"/>
          <w:szCs w:val="18"/>
        </w:rPr>
        <w:t xml:space="preserve">the European Union. They can be found at </w:t>
      </w:r>
      <w:hyperlink r:id="rId23" w:history="1">
        <w:r w:rsidR="00CC4857" w:rsidRPr="00ED212A">
          <w:rPr>
            <w:rStyle w:val="Hyperlink"/>
            <w:kern w:val="18"/>
            <w:szCs w:val="18"/>
          </w:rPr>
          <w:t>www.unep-wcmc.org/resources-and-data/biodiversitysynergies</w:t>
        </w:r>
      </w:hyperlink>
      <w:r w:rsidR="00F132D4" w:rsidRPr="00ED212A">
        <w:rPr>
          <w:kern w:val="18"/>
          <w:szCs w:val="18"/>
        </w:rPr>
        <w:t>.</w:t>
      </w:r>
    </w:p>
  </w:footnote>
  <w:footnote w:id="23">
    <w:p w14:paraId="36D75E69" w14:textId="37D9D633" w:rsidR="00DE2313" w:rsidRPr="00ED212A" w:rsidRDefault="00DE2313" w:rsidP="00ED212A">
      <w:pPr>
        <w:pStyle w:val="FootnoteText"/>
        <w:suppressLineNumbers/>
        <w:suppressAutoHyphens/>
        <w:kinsoku w:val="0"/>
        <w:overflowPunct w:val="0"/>
        <w:autoSpaceDE w:val="0"/>
        <w:autoSpaceDN w:val="0"/>
        <w:ind w:firstLine="0"/>
        <w:jc w:val="left"/>
        <w:rPr>
          <w:kern w:val="18"/>
          <w:szCs w:val="18"/>
        </w:rPr>
      </w:pPr>
      <w:r w:rsidRPr="008B2B9A">
        <w:rPr>
          <w:kern w:val="18"/>
          <w:szCs w:val="18"/>
          <w:vertAlign w:val="superscript"/>
        </w:rPr>
        <w:footnoteRef/>
      </w:r>
      <w:r w:rsidRPr="00ED212A">
        <w:rPr>
          <w:kern w:val="18"/>
          <w:szCs w:val="18"/>
        </w:rPr>
        <w:t xml:space="preserve"> A number of different coordination mechanisms used by </w:t>
      </w:r>
      <w:r w:rsidR="005A41BB" w:rsidRPr="008B2B9A">
        <w:rPr>
          <w:kern w:val="18"/>
          <w:szCs w:val="18"/>
        </w:rPr>
        <w:t>P</w:t>
      </w:r>
      <w:r w:rsidRPr="008B2B9A">
        <w:rPr>
          <w:kern w:val="18"/>
          <w:szCs w:val="18"/>
        </w:rPr>
        <w:t>arties</w:t>
      </w:r>
      <w:r w:rsidRPr="00ED212A">
        <w:rPr>
          <w:kern w:val="18"/>
          <w:szCs w:val="18"/>
        </w:rPr>
        <w:t xml:space="preserve"> are highlighted as examples in the UNEP </w:t>
      </w:r>
      <w:r w:rsidRPr="00ED212A">
        <w:rPr>
          <w:i/>
          <w:kern w:val="18"/>
          <w:szCs w:val="18"/>
        </w:rPr>
        <w:t>Sourcebook of opportunities for enhancing cooperation among the biodiversity-related conventions at national and regional levels</w:t>
      </w:r>
      <w:r w:rsidRPr="00ED212A">
        <w:rPr>
          <w:kern w:val="18"/>
          <w:szCs w:val="18"/>
        </w:rPr>
        <w:t xml:space="preserve">, developed by UNEP-WCMC with the support of the </w:t>
      </w:r>
      <w:r w:rsidRPr="008B2B9A">
        <w:rPr>
          <w:kern w:val="18"/>
          <w:szCs w:val="18"/>
        </w:rPr>
        <w:t>E</w:t>
      </w:r>
      <w:r w:rsidR="005A41BB" w:rsidRPr="008B2B9A">
        <w:rPr>
          <w:kern w:val="18"/>
          <w:szCs w:val="18"/>
        </w:rPr>
        <w:t xml:space="preserve">uropean </w:t>
      </w:r>
      <w:r w:rsidRPr="008B2B9A">
        <w:rPr>
          <w:kern w:val="18"/>
          <w:szCs w:val="18"/>
        </w:rPr>
        <w:t>U</w:t>
      </w:r>
      <w:r w:rsidR="005A41BB" w:rsidRPr="008B2B9A">
        <w:rPr>
          <w:kern w:val="18"/>
          <w:szCs w:val="18"/>
        </w:rPr>
        <w:t>nion</w:t>
      </w:r>
      <w:r w:rsidRPr="00ED212A">
        <w:rPr>
          <w:kern w:val="18"/>
          <w:szCs w:val="18"/>
        </w:rPr>
        <w:t xml:space="preserve"> and the Government of Switzerland (</w:t>
      </w:r>
      <w:hyperlink r:id="rId24" w:history="1">
        <w:r w:rsidRPr="00ED212A">
          <w:rPr>
            <w:rStyle w:val="Hyperlink"/>
            <w:kern w:val="18"/>
            <w:szCs w:val="18"/>
          </w:rPr>
          <w:t>www.wcmc.io/sourcebook-web</w:t>
        </w:r>
      </w:hyperlink>
      <w:r w:rsidRPr="008B2B9A">
        <w:rPr>
          <w:kern w:val="18"/>
          <w:szCs w:val="18"/>
        </w:rPr>
        <w:t>)</w:t>
      </w:r>
      <w:r w:rsidR="00F132D4" w:rsidRPr="008B2B9A">
        <w:rPr>
          <w:kern w:val="18"/>
          <w:szCs w:val="18"/>
        </w:rPr>
        <w:t>.</w:t>
      </w:r>
    </w:p>
  </w:footnote>
  <w:footnote w:id="24">
    <w:p w14:paraId="7F4DC19A" w14:textId="3AFB2570" w:rsidR="00DE2313" w:rsidRPr="008B2B9A" w:rsidRDefault="00DE2313" w:rsidP="00AD09E2">
      <w:pPr>
        <w:pStyle w:val="FootnoteText"/>
        <w:suppressLineNumbers/>
        <w:suppressAutoHyphens/>
        <w:kinsoku w:val="0"/>
        <w:overflowPunct w:val="0"/>
        <w:autoSpaceDE w:val="0"/>
        <w:autoSpaceDN w:val="0"/>
        <w:ind w:firstLine="0"/>
        <w:jc w:val="left"/>
        <w:rPr>
          <w:kern w:val="18"/>
          <w:szCs w:val="18"/>
        </w:rPr>
      </w:pPr>
      <w:r w:rsidRPr="008B2B9A">
        <w:rPr>
          <w:kern w:val="18"/>
          <w:szCs w:val="18"/>
          <w:vertAlign w:val="superscript"/>
        </w:rPr>
        <w:footnoteRef/>
      </w:r>
      <w:r w:rsidRPr="008B2B9A">
        <w:rPr>
          <w:kern w:val="18"/>
          <w:szCs w:val="18"/>
        </w:rPr>
        <w:t xml:space="preserve"> See </w:t>
      </w:r>
      <w:hyperlink r:id="rId25" w:history="1">
        <w:r w:rsidRPr="008B2B9A">
          <w:rPr>
            <w:rStyle w:val="Hyperlink"/>
            <w:kern w:val="18"/>
            <w:szCs w:val="18"/>
          </w:rPr>
          <w:t>https://www.cbd.int/doc/nr/nr-06/cop-13-21-en-rev.pdf</w:t>
        </w:r>
      </w:hyperlink>
      <w:r w:rsidR="00F132D4" w:rsidRPr="008B2B9A">
        <w:rPr>
          <w:kern w:val="18"/>
          <w:szCs w:val="18"/>
        </w:rPr>
        <w:t>.</w:t>
      </w:r>
    </w:p>
  </w:footnote>
  <w:footnote w:id="25">
    <w:p w14:paraId="65091A84" w14:textId="77777777" w:rsidR="00DE2313" w:rsidRPr="00ED212A" w:rsidRDefault="00DE2313" w:rsidP="00AD09E2">
      <w:pPr>
        <w:pStyle w:val="FootnoteText"/>
        <w:suppressLineNumbers/>
        <w:suppressAutoHyphens/>
        <w:kinsoku w:val="0"/>
        <w:overflowPunct w:val="0"/>
        <w:autoSpaceDE w:val="0"/>
        <w:autoSpaceDN w:val="0"/>
        <w:ind w:firstLine="0"/>
        <w:jc w:val="left"/>
        <w:rPr>
          <w:kern w:val="18"/>
          <w:szCs w:val="18"/>
        </w:rPr>
      </w:pPr>
      <w:r w:rsidRPr="008B2B9A">
        <w:rPr>
          <w:kern w:val="18"/>
          <w:szCs w:val="18"/>
          <w:vertAlign w:val="superscript"/>
        </w:rPr>
        <w:footnoteRef/>
      </w:r>
      <w:r w:rsidRPr="008B2B9A">
        <w:rPr>
          <w:kern w:val="18"/>
          <w:szCs w:val="18"/>
          <w:vertAlign w:val="superscript"/>
        </w:rPr>
        <w:t xml:space="preserve"> </w:t>
      </w:r>
      <w:r w:rsidRPr="00ED212A">
        <w:rPr>
          <w:kern w:val="18"/>
          <w:szCs w:val="18"/>
        </w:rPr>
        <w:t xml:space="preserve">UNEP-WCMC and </w:t>
      </w:r>
      <w:proofErr w:type="spellStart"/>
      <w:r w:rsidRPr="00ED212A">
        <w:rPr>
          <w:kern w:val="18"/>
          <w:szCs w:val="18"/>
        </w:rPr>
        <w:t>NatureConsult</w:t>
      </w:r>
      <w:proofErr w:type="spellEnd"/>
      <w:r w:rsidRPr="00ED212A">
        <w:rPr>
          <w:kern w:val="18"/>
          <w:szCs w:val="18"/>
        </w:rPr>
        <w:t xml:space="preserve">, “Elements for a modular reporting against the Aichi Biodiversity Targets”, Final report – August 2016 (issued for the thirteenth meeting of the Conference of the Parties as </w:t>
      </w:r>
      <w:hyperlink r:id="rId26" w:history="1">
        <w:r w:rsidRPr="00ED212A">
          <w:rPr>
            <w:rStyle w:val="Hyperlink"/>
            <w:kern w:val="18"/>
            <w:szCs w:val="18"/>
          </w:rPr>
          <w:t>UNEP/CBD/COP/13/INF/24</w:t>
        </w:r>
      </w:hyperlink>
      <w:r w:rsidRPr="00ED212A">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3076" w14:textId="38646E18" w:rsidR="00DE2313" w:rsidRPr="00B06010" w:rsidRDefault="00E914DF" w:rsidP="00B06010">
    <w:pPr>
      <w:pStyle w:val="Header"/>
      <w:keepLines/>
      <w:suppressLineNumbers/>
      <w:tabs>
        <w:tab w:val="clear" w:pos="4320"/>
        <w:tab w:val="clear" w:pos="8640"/>
      </w:tabs>
      <w:suppressAutoHyphens/>
      <w:kinsoku w:val="0"/>
      <w:overflowPunct w:val="0"/>
      <w:autoSpaceDE w:val="0"/>
      <w:autoSpaceDN w:val="0"/>
      <w:jc w:val="left"/>
      <w:rPr>
        <w:noProof/>
        <w:kern w:val="22"/>
      </w:rPr>
    </w:pPr>
    <w:sdt>
      <w:sdtPr>
        <w:rPr>
          <w:noProof/>
          <w:kern w:val="22"/>
        </w:rPr>
        <w:alias w:val="Subject"/>
        <w:tag w:val=""/>
        <w:id w:val="1783533283"/>
        <w:placeholder>
          <w:docPart w:val="B2740A737A934A9FB3C0ADBC12E6E8B8"/>
        </w:placeholder>
        <w:dataBinding w:prefixMappings="xmlns:ns0='http://purl.org/dc/elements/1.1/' xmlns:ns1='http://schemas.openxmlformats.org/package/2006/metadata/core-properties' " w:xpath="/ns1:coreProperties[1]/ns0:subject[1]" w:storeItemID="{6C3C8BC8-F283-45AE-878A-BAB7291924A1}"/>
        <w:text/>
      </w:sdtPr>
      <w:sdtEndPr/>
      <w:sdtContent>
        <w:r w:rsidR="00D14464" w:rsidRPr="00B06010">
          <w:rPr>
            <w:noProof/>
            <w:kern w:val="22"/>
          </w:rPr>
          <w:t>CBD/SBI/3/11/Add.2</w:t>
        </w:r>
      </w:sdtContent>
    </w:sdt>
  </w:p>
  <w:p w14:paraId="6DE60332" w14:textId="77777777" w:rsidR="00DE2313" w:rsidRPr="00ED212A" w:rsidRDefault="00DE2313" w:rsidP="00B06010">
    <w:pPr>
      <w:pStyle w:val="Header"/>
      <w:keepLines/>
      <w:suppressLineNumbers/>
      <w:tabs>
        <w:tab w:val="clear" w:pos="4320"/>
        <w:tab w:val="clear" w:pos="8640"/>
      </w:tabs>
      <w:suppressAutoHyphens/>
      <w:kinsoku w:val="0"/>
      <w:overflowPunct w:val="0"/>
      <w:autoSpaceDE w:val="0"/>
      <w:autoSpaceDN w:val="0"/>
      <w:jc w:val="left"/>
      <w:rPr>
        <w:noProof/>
        <w:kern w:val="22"/>
      </w:rPr>
    </w:pPr>
    <w:r w:rsidRPr="00ED212A">
      <w:rPr>
        <w:noProof/>
        <w:kern w:val="22"/>
      </w:rPr>
      <w:t xml:space="preserve">Page </w:t>
    </w:r>
    <w:r w:rsidRPr="00B06010">
      <w:rPr>
        <w:noProof/>
        <w:kern w:val="22"/>
      </w:rPr>
      <w:fldChar w:fldCharType="begin"/>
    </w:r>
    <w:r w:rsidRPr="00ED212A">
      <w:rPr>
        <w:noProof/>
        <w:kern w:val="22"/>
      </w:rPr>
      <w:instrText xml:space="preserve"> PAGE   \* MERGEFORMAT </w:instrText>
    </w:r>
    <w:r w:rsidRPr="00B06010">
      <w:rPr>
        <w:noProof/>
        <w:kern w:val="22"/>
      </w:rPr>
      <w:fldChar w:fldCharType="separate"/>
    </w:r>
    <w:r w:rsidR="00FC54E0" w:rsidRPr="00ED212A">
      <w:rPr>
        <w:noProof/>
        <w:kern w:val="22"/>
      </w:rPr>
      <w:t>12</w:t>
    </w:r>
    <w:r w:rsidRPr="00B06010">
      <w:rPr>
        <w:noProof/>
        <w:kern w:val="22"/>
      </w:rPr>
      <w:fldChar w:fldCharType="end"/>
    </w:r>
  </w:p>
  <w:p w14:paraId="2C157752" w14:textId="77777777" w:rsidR="00DE2313" w:rsidRPr="00ED212A" w:rsidRDefault="00DE2313" w:rsidP="00B06010">
    <w:pPr>
      <w:pStyle w:val="Header"/>
      <w:keepLines/>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5CD2E" w14:textId="5A0802F0" w:rsidR="00F16201" w:rsidRPr="00B06010" w:rsidRDefault="00E914DF" w:rsidP="00B06010">
    <w:pPr>
      <w:pStyle w:val="Header"/>
      <w:keepLines/>
      <w:suppressLineNumbers/>
      <w:tabs>
        <w:tab w:val="clear" w:pos="4320"/>
        <w:tab w:val="clear" w:pos="8640"/>
      </w:tabs>
      <w:suppressAutoHyphens/>
      <w:kinsoku w:val="0"/>
      <w:overflowPunct w:val="0"/>
      <w:autoSpaceDE w:val="0"/>
      <w:autoSpaceDN w:val="0"/>
      <w:jc w:val="right"/>
      <w:rPr>
        <w:noProof/>
        <w:kern w:val="22"/>
      </w:rPr>
    </w:pPr>
    <w:sdt>
      <w:sdtPr>
        <w:rPr>
          <w:noProof/>
          <w:kern w:val="22"/>
        </w:rPr>
        <w:alias w:val="Subject"/>
        <w:tag w:val=""/>
        <w:id w:val="-973754574"/>
        <w:placeholder>
          <w:docPart w:val="8B53D02231354C5F8930B440D42BEC4B"/>
        </w:placeholder>
        <w:dataBinding w:prefixMappings="xmlns:ns0='http://purl.org/dc/elements/1.1/' xmlns:ns1='http://schemas.openxmlformats.org/package/2006/metadata/core-properties' " w:xpath="/ns1:coreProperties[1]/ns0:subject[1]" w:storeItemID="{6C3C8BC8-F283-45AE-878A-BAB7291924A1}"/>
        <w:text/>
      </w:sdtPr>
      <w:sdtEndPr/>
      <w:sdtContent>
        <w:r w:rsidR="00D14464" w:rsidRPr="00B06010">
          <w:rPr>
            <w:noProof/>
            <w:kern w:val="22"/>
          </w:rPr>
          <w:t>CBD/SBI/3/11/Add.2</w:t>
        </w:r>
      </w:sdtContent>
    </w:sdt>
  </w:p>
  <w:p w14:paraId="45C7C8E8" w14:textId="77777777" w:rsidR="00DE2313" w:rsidRPr="00B06010" w:rsidRDefault="00DE2313" w:rsidP="00B06010">
    <w:pPr>
      <w:pStyle w:val="Header"/>
      <w:keepLines/>
      <w:suppressLineNumbers/>
      <w:tabs>
        <w:tab w:val="clear" w:pos="4320"/>
        <w:tab w:val="clear" w:pos="8640"/>
      </w:tabs>
      <w:suppressAutoHyphens/>
      <w:kinsoku w:val="0"/>
      <w:overflowPunct w:val="0"/>
      <w:autoSpaceDE w:val="0"/>
      <w:autoSpaceDN w:val="0"/>
      <w:jc w:val="right"/>
      <w:rPr>
        <w:noProof/>
        <w:kern w:val="22"/>
      </w:rPr>
    </w:pPr>
    <w:r w:rsidRPr="00B06010">
      <w:rPr>
        <w:noProof/>
        <w:kern w:val="22"/>
      </w:rPr>
      <w:t xml:space="preserve">Page </w:t>
    </w:r>
    <w:r w:rsidRPr="00B06010">
      <w:rPr>
        <w:noProof/>
        <w:kern w:val="22"/>
      </w:rPr>
      <w:fldChar w:fldCharType="begin"/>
    </w:r>
    <w:r w:rsidRPr="00B06010">
      <w:rPr>
        <w:noProof/>
        <w:kern w:val="22"/>
      </w:rPr>
      <w:instrText xml:space="preserve"> PAGE   \* MERGEFORMAT </w:instrText>
    </w:r>
    <w:r w:rsidRPr="00B06010">
      <w:rPr>
        <w:noProof/>
        <w:kern w:val="22"/>
      </w:rPr>
      <w:fldChar w:fldCharType="separate"/>
    </w:r>
    <w:r w:rsidR="00FC54E0" w:rsidRPr="00B06010">
      <w:rPr>
        <w:noProof/>
        <w:kern w:val="22"/>
      </w:rPr>
      <w:t>11</w:t>
    </w:r>
    <w:r w:rsidRPr="00B06010">
      <w:rPr>
        <w:noProof/>
        <w:kern w:val="22"/>
      </w:rPr>
      <w:fldChar w:fldCharType="end"/>
    </w:r>
  </w:p>
  <w:p w14:paraId="1C7357F5" w14:textId="77777777" w:rsidR="00DE2313" w:rsidRPr="00B06010" w:rsidRDefault="00DE2313" w:rsidP="00B06010">
    <w:pPr>
      <w:pStyle w:val="Header"/>
      <w:keepLines/>
      <w:suppressLineNumbers/>
      <w:tabs>
        <w:tab w:val="clear" w:pos="4320"/>
        <w:tab w:val="clear" w:pos="8640"/>
      </w:tabs>
      <w:suppressAutoHyphen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A203F"/>
    <w:multiLevelType w:val="hybridMultilevel"/>
    <w:tmpl w:val="DAD0F770"/>
    <w:lvl w:ilvl="0" w:tplc="4E1ABB98">
      <w:start w:val="1"/>
      <w:numFmt w:val="lowerLetter"/>
      <w:pStyle w:val="TOC9"/>
      <w:lvlText w:val="(%1)"/>
      <w:lvlJc w:val="left"/>
      <w:pPr>
        <w:ind w:left="1350" w:hanging="360"/>
      </w:pPr>
      <w:rPr>
        <w:rFonts w:ascii="Times New Roman" w:eastAsia="Times New Roman" w:hAnsi="Times New Roman" w:cs="Times New Roman"/>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1" w15:restartNumberingAfterBreak="0">
    <w:nsid w:val="1ED165A2"/>
    <w:multiLevelType w:val="hybridMultilevel"/>
    <w:tmpl w:val="6F1603F2"/>
    <w:lvl w:ilvl="0" w:tplc="3438DA0A">
      <w:start w:val="1"/>
      <w:numFmt w:val="lowerRoman"/>
      <w:lvlText w:val="(%1)"/>
      <w:lvlJc w:val="left"/>
      <w:pPr>
        <w:ind w:left="7380" w:hanging="360"/>
      </w:pPr>
      <w:rPr>
        <w:rFonts w:hint="default"/>
      </w:rPr>
    </w:lvl>
    <w:lvl w:ilvl="1" w:tplc="08090003" w:tentative="1">
      <w:start w:val="1"/>
      <w:numFmt w:val="bullet"/>
      <w:lvlText w:val="o"/>
      <w:lvlJc w:val="left"/>
      <w:pPr>
        <w:ind w:left="8100" w:hanging="360"/>
      </w:pPr>
      <w:rPr>
        <w:rFonts w:ascii="Courier New" w:hAnsi="Courier New" w:cs="Courier New" w:hint="default"/>
      </w:rPr>
    </w:lvl>
    <w:lvl w:ilvl="2" w:tplc="08090005" w:tentative="1">
      <w:start w:val="1"/>
      <w:numFmt w:val="bullet"/>
      <w:lvlText w:val=""/>
      <w:lvlJc w:val="left"/>
      <w:pPr>
        <w:ind w:left="8820" w:hanging="360"/>
      </w:pPr>
      <w:rPr>
        <w:rFonts w:ascii="Wingdings" w:hAnsi="Wingdings" w:hint="default"/>
      </w:rPr>
    </w:lvl>
    <w:lvl w:ilvl="3" w:tplc="08090001" w:tentative="1">
      <w:start w:val="1"/>
      <w:numFmt w:val="bullet"/>
      <w:lvlText w:val=""/>
      <w:lvlJc w:val="left"/>
      <w:pPr>
        <w:ind w:left="9540" w:hanging="360"/>
      </w:pPr>
      <w:rPr>
        <w:rFonts w:ascii="Symbol" w:hAnsi="Symbol" w:hint="default"/>
      </w:rPr>
    </w:lvl>
    <w:lvl w:ilvl="4" w:tplc="08090003" w:tentative="1">
      <w:start w:val="1"/>
      <w:numFmt w:val="bullet"/>
      <w:lvlText w:val="o"/>
      <w:lvlJc w:val="left"/>
      <w:pPr>
        <w:ind w:left="10260" w:hanging="360"/>
      </w:pPr>
      <w:rPr>
        <w:rFonts w:ascii="Courier New" w:hAnsi="Courier New" w:cs="Courier New" w:hint="default"/>
      </w:rPr>
    </w:lvl>
    <w:lvl w:ilvl="5" w:tplc="08090005" w:tentative="1">
      <w:start w:val="1"/>
      <w:numFmt w:val="bullet"/>
      <w:lvlText w:val=""/>
      <w:lvlJc w:val="left"/>
      <w:pPr>
        <w:ind w:left="10980" w:hanging="360"/>
      </w:pPr>
      <w:rPr>
        <w:rFonts w:ascii="Wingdings" w:hAnsi="Wingdings" w:hint="default"/>
      </w:rPr>
    </w:lvl>
    <w:lvl w:ilvl="6" w:tplc="08090001" w:tentative="1">
      <w:start w:val="1"/>
      <w:numFmt w:val="bullet"/>
      <w:lvlText w:val=""/>
      <w:lvlJc w:val="left"/>
      <w:pPr>
        <w:ind w:left="11700" w:hanging="360"/>
      </w:pPr>
      <w:rPr>
        <w:rFonts w:ascii="Symbol" w:hAnsi="Symbol" w:hint="default"/>
      </w:rPr>
    </w:lvl>
    <w:lvl w:ilvl="7" w:tplc="08090003" w:tentative="1">
      <w:start w:val="1"/>
      <w:numFmt w:val="bullet"/>
      <w:lvlText w:val="o"/>
      <w:lvlJc w:val="left"/>
      <w:pPr>
        <w:ind w:left="12420" w:hanging="360"/>
      </w:pPr>
      <w:rPr>
        <w:rFonts w:ascii="Courier New" w:hAnsi="Courier New" w:cs="Courier New" w:hint="default"/>
      </w:rPr>
    </w:lvl>
    <w:lvl w:ilvl="8" w:tplc="08090005" w:tentative="1">
      <w:start w:val="1"/>
      <w:numFmt w:val="bullet"/>
      <w:lvlText w:val=""/>
      <w:lvlJc w:val="left"/>
      <w:pPr>
        <w:ind w:left="13140" w:hanging="360"/>
      </w:pPr>
      <w:rPr>
        <w:rFonts w:ascii="Wingdings" w:hAnsi="Wingdings" w:hint="default"/>
      </w:rPr>
    </w:lvl>
  </w:abstractNum>
  <w:abstractNum w:abstractNumId="2" w15:restartNumberingAfterBreak="0">
    <w:nsid w:val="208A0227"/>
    <w:multiLevelType w:val="hybridMultilevel"/>
    <w:tmpl w:val="5AB423FE"/>
    <w:lvl w:ilvl="0" w:tplc="C9CE94B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B64DF9"/>
    <w:multiLevelType w:val="hybridMultilevel"/>
    <w:tmpl w:val="FABC99B2"/>
    <w:lvl w:ilvl="0" w:tplc="D25C9E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ED4641"/>
    <w:multiLevelType w:val="hybridMultilevel"/>
    <w:tmpl w:val="6A082D7E"/>
    <w:lvl w:ilvl="0" w:tplc="0809000F">
      <w:start w:val="1"/>
      <w:numFmt w:val="decimal"/>
      <w:lvlText w:val="%1."/>
      <w:lvlJc w:val="left"/>
      <w:pPr>
        <w:ind w:left="360" w:hanging="360"/>
      </w:pPr>
    </w:lvl>
    <w:lvl w:ilvl="1" w:tplc="8A50ADFE">
      <w:start w:val="1"/>
      <w:numFmt w:val="lowerLetter"/>
      <w:lvlText w:val="(%2)"/>
      <w:lvlJc w:val="left"/>
      <w:pPr>
        <w:ind w:left="1080" w:hanging="360"/>
      </w:pPr>
      <w:rPr>
        <w:rFonts w:hint="default"/>
      </w:rPr>
    </w:lvl>
    <w:lvl w:ilvl="2" w:tplc="84B2FEC0">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397FF5"/>
    <w:multiLevelType w:val="hybridMultilevel"/>
    <w:tmpl w:val="4008BD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EE46A3"/>
    <w:multiLevelType w:val="hybridMultilevel"/>
    <w:tmpl w:val="8A542BA2"/>
    <w:lvl w:ilvl="0" w:tplc="5652EF34">
      <w:start w:val="1"/>
      <w:numFmt w:val="decimal"/>
      <w:lvlText w:val="%1."/>
      <w:lvlJc w:val="left"/>
      <w:pPr>
        <w:ind w:left="9149" w:hanging="360"/>
      </w:pPr>
      <w:rPr>
        <w:b w:val="0"/>
        <w:i w:val="0"/>
        <w:sz w:val="22"/>
      </w:rPr>
    </w:lvl>
    <w:lvl w:ilvl="1" w:tplc="645EF382">
      <w:start w:val="1"/>
      <w:numFmt w:val="lowerLetter"/>
      <w:lvlText w:val="(%2)"/>
      <w:lvlJc w:val="left"/>
      <w:pPr>
        <w:ind w:left="1958" w:hanging="360"/>
      </w:pPr>
      <w:rPr>
        <w:rFonts w:hint="default"/>
        <w:i w:val="0"/>
      </w:r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1" w15:restartNumberingAfterBreak="0">
    <w:nsid w:val="76D239E1"/>
    <w:multiLevelType w:val="hybridMultilevel"/>
    <w:tmpl w:val="DA1027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1"/>
  </w:num>
  <w:num w:numId="8">
    <w:abstractNumId w:val="8"/>
  </w:num>
  <w:num w:numId="9">
    <w:abstractNumId w:val="9"/>
  </w:num>
  <w:num w:numId="10">
    <w:abstractNumId w:val="4"/>
  </w:num>
  <w:num w:numId="11">
    <w:abstractNumId w:val="11"/>
  </w:num>
  <w:num w:numId="12">
    <w:abstractNumId w:val="2"/>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B3B"/>
    <w:rsid w:val="00000304"/>
    <w:rsid w:val="000030BF"/>
    <w:rsid w:val="000063F4"/>
    <w:rsid w:val="000064E9"/>
    <w:rsid w:val="00010828"/>
    <w:rsid w:val="00010EF7"/>
    <w:rsid w:val="00012365"/>
    <w:rsid w:val="00014202"/>
    <w:rsid w:val="000156FC"/>
    <w:rsid w:val="00016251"/>
    <w:rsid w:val="00020295"/>
    <w:rsid w:val="000219AC"/>
    <w:rsid w:val="00022961"/>
    <w:rsid w:val="0002340E"/>
    <w:rsid w:val="000237E0"/>
    <w:rsid w:val="000243D6"/>
    <w:rsid w:val="00025AC1"/>
    <w:rsid w:val="00025D8F"/>
    <w:rsid w:val="00027586"/>
    <w:rsid w:val="00030C79"/>
    <w:rsid w:val="000315EB"/>
    <w:rsid w:val="00031D24"/>
    <w:rsid w:val="00031F26"/>
    <w:rsid w:val="00032509"/>
    <w:rsid w:val="0003261A"/>
    <w:rsid w:val="00033843"/>
    <w:rsid w:val="000355B7"/>
    <w:rsid w:val="00035653"/>
    <w:rsid w:val="00035909"/>
    <w:rsid w:val="00037873"/>
    <w:rsid w:val="00041CDE"/>
    <w:rsid w:val="00041EF9"/>
    <w:rsid w:val="00042751"/>
    <w:rsid w:val="000428F5"/>
    <w:rsid w:val="00042EB6"/>
    <w:rsid w:val="00044D91"/>
    <w:rsid w:val="00047BEC"/>
    <w:rsid w:val="00050572"/>
    <w:rsid w:val="00051B64"/>
    <w:rsid w:val="000521A3"/>
    <w:rsid w:val="0005309B"/>
    <w:rsid w:val="00053C45"/>
    <w:rsid w:val="00054381"/>
    <w:rsid w:val="000543E6"/>
    <w:rsid w:val="00054C36"/>
    <w:rsid w:val="00054E0D"/>
    <w:rsid w:val="00062695"/>
    <w:rsid w:val="00062972"/>
    <w:rsid w:val="00063E89"/>
    <w:rsid w:val="000649DC"/>
    <w:rsid w:val="000653C8"/>
    <w:rsid w:val="00065E6A"/>
    <w:rsid w:val="000660D4"/>
    <w:rsid w:val="00067A8E"/>
    <w:rsid w:val="000711E1"/>
    <w:rsid w:val="000716B4"/>
    <w:rsid w:val="00071F43"/>
    <w:rsid w:val="000732E1"/>
    <w:rsid w:val="00073708"/>
    <w:rsid w:val="00073C1B"/>
    <w:rsid w:val="0007615F"/>
    <w:rsid w:val="00076365"/>
    <w:rsid w:val="00076D28"/>
    <w:rsid w:val="00076D94"/>
    <w:rsid w:val="00077304"/>
    <w:rsid w:val="0007764D"/>
    <w:rsid w:val="0008061C"/>
    <w:rsid w:val="00081664"/>
    <w:rsid w:val="00081888"/>
    <w:rsid w:val="00082E91"/>
    <w:rsid w:val="00083071"/>
    <w:rsid w:val="00084042"/>
    <w:rsid w:val="00084A78"/>
    <w:rsid w:val="000850AA"/>
    <w:rsid w:val="0008539E"/>
    <w:rsid w:val="00085BBC"/>
    <w:rsid w:val="00086D99"/>
    <w:rsid w:val="00087E5A"/>
    <w:rsid w:val="00090732"/>
    <w:rsid w:val="00091967"/>
    <w:rsid w:val="00094463"/>
    <w:rsid w:val="0009465E"/>
    <w:rsid w:val="0009484C"/>
    <w:rsid w:val="00095875"/>
    <w:rsid w:val="00096ED0"/>
    <w:rsid w:val="000974B3"/>
    <w:rsid w:val="000A0C09"/>
    <w:rsid w:val="000A291D"/>
    <w:rsid w:val="000A2BC6"/>
    <w:rsid w:val="000A5E07"/>
    <w:rsid w:val="000A64F4"/>
    <w:rsid w:val="000A78C6"/>
    <w:rsid w:val="000A7FD3"/>
    <w:rsid w:val="000B0649"/>
    <w:rsid w:val="000B1578"/>
    <w:rsid w:val="000B2BD3"/>
    <w:rsid w:val="000B4374"/>
    <w:rsid w:val="000B47D8"/>
    <w:rsid w:val="000B47EA"/>
    <w:rsid w:val="000B580F"/>
    <w:rsid w:val="000B78A5"/>
    <w:rsid w:val="000C00E8"/>
    <w:rsid w:val="000C0794"/>
    <w:rsid w:val="000C0F42"/>
    <w:rsid w:val="000C1177"/>
    <w:rsid w:val="000C2406"/>
    <w:rsid w:val="000C28F4"/>
    <w:rsid w:val="000C4344"/>
    <w:rsid w:val="000C48B4"/>
    <w:rsid w:val="000C5BB9"/>
    <w:rsid w:val="000C6CD6"/>
    <w:rsid w:val="000C71E8"/>
    <w:rsid w:val="000C74D9"/>
    <w:rsid w:val="000D055C"/>
    <w:rsid w:val="000D0BBE"/>
    <w:rsid w:val="000D17ED"/>
    <w:rsid w:val="000D2448"/>
    <w:rsid w:val="000D49B4"/>
    <w:rsid w:val="000D4A57"/>
    <w:rsid w:val="000D50A1"/>
    <w:rsid w:val="000D6825"/>
    <w:rsid w:val="000D7455"/>
    <w:rsid w:val="000E1728"/>
    <w:rsid w:val="000E27CF"/>
    <w:rsid w:val="000E3CFD"/>
    <w:rsid w:val="000E4B7B"/>
    <w:rsid w:val="000E5601"/>
    <w:rsid w:val="000E637D"/>
    <w:rsid w:val="000E6B6E"/>
    <w:rsid w:val="000E7762"/>
    <w:rsid w:val="000E7E6A"/>
    <w:rsid w:val="000F0236"/>
    <w:rsid w:val="000F057E"/>
    <w:rsid w:val="000F0AEB"/>
    <w:rsid w:val="000F17D5"/>
    <w:rsid w:val="000F1F1B"/>
    <w:rsid w:val="000F31EA"/>
    <w:rsid w:val="000F3F42"/>
    <w:rsid w:val="000F46CB"/>
    <w:rsid w:val="000F5A71"/>
    <w:rsid w:val="000F6031"/>
    <w:rsid w:val="000F6210"/>
    <w:rsid w:val="000F63AB"/>
    <w:rsid w:val="000F6492"/>
    <w:rsid w:val="000F6707"/>
    <w:rsid w:val="000F6CDF"/>
    <w:rsid w:val="00101900"/>
    <w:rsid w:val="00101F77"/>
    <w:rsid w:val="00102DD2"/>
    <w:rsid w:val="00103060"/>
    <w:rsid w:val="001073FE"/>
    <w:rsid w:val="00107743"/>
    <w:rsid w:val="00107FC6"/>
    <w:rsid w:val="00110853"/>
    <w:rsid w:val="00112039"/>
    <w:rsid w:val="00112647"/>
    <w:rsid w:val="00114672"/>
    <w:rsid w:val="00114A26"/>
    <w:rsid w:val="0011685E"/>
    <w:rsid w:val="00117B7E"/>
    <w:rsid w:val="00121981"/>
    <w:rsid w:val="0012214B"/>
    <w:rsid w:val="00123958"/>
    <w:rsid w:val="00123CE1"/>
    <w:rsid w:val="001247E3"/>
    <w:rsid w:val="00124D75"/>
    <w:rsid w:val="00126B4C"/>
    <w:rsid w:val="00127A84"/>
    <w:rsid w:val="001307A2"/>
    <w:rsid w:val="0013086B"/>
    <w:rsid w:val="00131C85"/>
    <w:rsid w:val="00131D9C"/>
    <w:rsid w:val="001340BA"/>
    <w:rsid w:val="00135A30"/>
    <w:rsid w:val="00136891"/>
    <w:rsid w:val="00136AFB"/>
    <w:rsid w:val="00140716"/>
    <w:rsid w:val="001410F4"/>
    <w:rsid w:val="001413E6"/>
    <w:rsid w:val="0014291F"/>
    <w:rsid w:val="00143A8A"/>
    <w:rsid w:val="00144261"/>
    <w:rsid w:val="001471D6"/>
    <w:rsid w:val="001476F6"/>
    <w:rsid w:val="001522D0"/>
    <w:rsid w:val="0015292E"/>
    <w:rsid w:val="00152C66"/>
    <w:rsid w:val="001540A5"/>
    <w:rsid w:val="00155DC1"/>
    <w:rsid w:val="00155EFD"/>
    <w:rsid w:val="00157BB6"/>
    <w:rsid w:val="001608FA"/>
    <w:rsid w:val="00162F8C"/>
    <w:rsid w:val="001643E8"/>
    <w:rsid w:val="00166367"/>
    <w:rsid w:val="00170E38"/>
    <w:rsid w:val="00171BDC"/>
    <w:rsid w:val="00173A32"/>
    <w:rsid w:val="0017442E"/>
    <w:rsid w:val="0017587D"/>
    <w:rsid w:val="001770D3"/>
    <w:rsid w:val="00181F0B"/>
    <w:rsid w:val="001821CD"/>
    <w:rsid w:val="0018274B"/>
    <w:rsid w:val="00185F08"/>
    <w:rsid w:val="0018636F"/>
    <w:rsid w:val="001917E0"/>
    <w:rsid w:val="00192A48"/>
    <w:rsid w:val="00192E06"/>
    <w:rsid w:val="0019370F"/>
    <w:rsid w:val="001942E3"/>
    <w:rsid w:val="00194DF4"/>
    <w:rsid w:val="001951F4"/>
    <w:rsid w:val="00195DB6"/>
    <w:rsid w:val="00197607"/>
    <w:rsid w:val="001A06D2"/>
    <w:rsid w:val="001A1311"/>
    <w:rsid w:val="001A1CF3"/>
    <w:rsid w:val="001A29DD"/>
    <w:rsid w:val="001A4BB1"/>
    <w:rsid w:val="001A5072"/>
    <w:rsid w:val="001A5DAA"/>
    <w:rsid w:val="001A67F9"/>
    <w:rsid w:val="001A6F1F"/>
    <w:rsid w:val="001A7941"/>
    <w:rsid w:val="001B0A7A"/>
    <w:rsid w:val="001B0E9E"/>
    <w:rsid w:val="001B1630"/>
    <w:rsid w:val="001B394B"/>
    <w:rsid w:val="001B7ACD"/>
    <w:rsid w:val="001C1BA6"/>
    <w:rsid w:val="001C2CBA"/>
    <w:rsid w:val="001C3007"/>
    <w:rsid w:val="001C354E"/>
    <w:rsid w:val="001C36B1"/>
    <w:rsid w:val="001C3E0B"/>
    <w:rsid w:val="001C406B"/>
    <w:rsid w:val="001C5594"/>
    <w:rsid w:val="001C7AED"/>
    <w:rsid w:val="001D0007"/>
    <w:rsid w:val="001D30AF"/>
    <w:rsid w:val="001D3D6C"/>
    <w:rsid w:val="001D42A9"/>
    <w:rsid w:val="001D4B85"/>
    <w:rsid w:val="001D58A8"/>
    <w:rsid w:val="001D7797"/>
    <w:rsid w:val="001D7B50"/>
    <w:rsid w:val="001E0228"/>
    <w:rsid w:val="001E1730"/>
    <w:rsid w:val="001E2453"/>
    <w:rsid w:val="001E3C2A"/>
    <w:rsid w:val="001E4FE5"/>
    <w:rsid w:val="001E6461"/>
    <w:rsid w:val="001E647C"/>
    <w:rsid w:val="001E7265"/>
    <w:rsid w:val="001F0D38"/>
    <w:rsid w:val="001F21FB"/>
    <w:rsid w:val="001F38A3"/>
    <w:rsid w:val="001F40E0"/>
    <w:rsid w:val="001F4992"/>
    <w:rsid w:val="001F5CB0"/>
    <w:rsid w:val="001F5E96"/>
    <w:rsid w:val="001F6379"/>
    <w:rsid w:val="00202C20"/>
    <w:rsid w:val="00204309"/>
    <w:rsid w:val="00204415"/>
    <w:rsid w:val="00207A6E"/>
    <w:rsid w:val="00207E52"/>
    <w:rsid w:val="002106A0"/>
    <w:rsid w:val="00210F4B"/>
    <w:rsid w:val="00213B2F"/>
    <w:rsid w:val="00213F39"/>
    <w:rsid w:val="00213FF5"/>
    <w:rsid w:val="0021439F"/>
    <w:rsid w:val="00214497"/>
    <w:rsid w:val="00216091"/>
    <w:rsid w:val="002204E7"/>
    <w:rsid w:val="00220F43"/>
    <w:rsid w:val="00221D7A"/>
    <w:rsid w:val="00223728"/>
    <w:rsid w:val="00224B92"/>
    <w:rsid w:val="00225BEB"/>
    <w:rsid w:val="002315B3"/>
    <w:rsid w:val="002321F3"/>
    <w:rsid w:val="00232464"/>
    <w:rsid w:val="00232B53"/>
    <w:rsid w:val="00232D16"/>
    <w:rsid w:val="00233A0B"/>
    <w:rsid w:val="002353CD"/>
    <w:rsid w:val="002357E1"/>
    <w:rsid w:val="00240F94"/>
    <w:rsid w:val="00243471"/>
    <w:rsid w:val="00245FDC"/>
    <w:rsid w:val="0024600F"/>
    <w:rsid w:val="00247865"/>
    <w:rsid w:val="00250D5A"/>
    <w:rsid w:val="0025104E"/>
    <w:rsid w:val="00252624"/>
    <w:rsid w:val="00252897"/>
    <w:rsid w:val="00252F67"/>
    <w:rsid w:val="002558EF"/>
    <w:rsid w:val="00260974"/>
    <w:rsid w:val="00260C41"/>
    <w:rsid w:val="00261973"/>
    <w:rsid w:val="00261F25"/>
    <w:rsid w:val="002629F8"/>
    <w:rsid w:val="00263F0C"/>
    <w:rsid w:val="00263FCC"/>
    <w:rsid w:val="0026412A"/>
    <w:rsid w:val="00264932"/>
    <w:rsid w:val="0026538E"/>
    <w:rsid w:val="00265D3C"/>
    <w:rsid w:val="002730E5"/>
    <w:rsid w:val="002735DA"/>
    <w:rsid w:val="00276392"/>
    <w:rsid w:val="0027680D"/>
    <w:rsid w:val="00277274"/>
    <w:rsid w:val="00281F17"/>
    <w:rsid w:val="002851E0"/>
    <w:rsid w:val="00285ECF"/>
    <w:rsid w:val="0029039D"/>
    <w:rsid w:val="002914EC"/>
    <w:rsid w:val="00291A3A"/>
    <w:rsid w:val="00292B66"/>
    <w:rsid w:val="00292F67"/>
    <w:rsid w:val="00293213"/>
    <w:rsid w:val="002935D1"/>
    <w:rsid w:val="00295359"/>
    <w:rsid w:val="0029565B"/>
    <w:rsid w:val="0029684E"/>
    <w:rsid w:val="002970A4"/>
    <w:rsid w:val="002A1E84"/>
    <w:rsid w:val="002A322C"/>
    <w:rsid w:val="002A5522"/>
    <w:rsid w:val="002A59B7"/>
    <w:rsid w:val="002A747F"/>
    <w:rsid w:val="002A749E"/>
    <w:rsid w:val="002B0942"/>
    <w:rsid w:val="002B2F2F"/>
    <w:rsid w:val="002B4D59"/>
    <w:rsid w:val="002B5073"/>
    <w:rsid w:val="002C2D11"/>
    <w:rsid w:val="002C2D3D"/>
    <w:rsid w:val="002C39CF"/>
    <w:rsid w:val="002C4126"/>
    <w:rsid w:val="002C48A7"/>
    <w:rsid w:val="002C4BDB"/>
    <w:rsid w:val="002C537E"/>
    <w:rsid w:val="002C6891"/>
    <w:rsid w:val="002C6A31"/>
    <w:rsid w:val="002C72D5"/>
    <w:rsid w:val="002C76B0"/>
    <w:rsid w:val="002D00B3"/>
    <w:rsid w:val="002D17FC"/>
    <w:rsid w:val="002D2129"/>
    <w:rsid w:val="002D355B"/>
    <w:rsid w:val="002D40E5"/>
    <w:rsid w:val="002D61B4"/>
    <w:rsid w:val="002D6A17"/>
    <w:rsid w:val="002D6D10"/>
    <w:rsid w:val="002E0627"/>
    <w:rsid w:val="002E1638"/>
    <w:rsid w:val="002E17DD"/>
    <w:rsid w:val="002E1D3A"/>
    <w:rsid w:val="002E2179"/>
    <w:rsid w:val="002E3198"/>
    <w:rsid w:val="002E40FE"/>
    <w:rsid w:val="002E4427"/>
    <w:rsid w:val="002E62B3"/>
    <w:rsid w:val="002E6A64"/>
    <w:rsid w:val="002E7402"/>
    <w:rsid w:val="002F01F8"/>
    <w:rsid w:val="002F2CC2"/>
    <w:rsid w:val="002F2EF7"/>
    <w:rsid w:val="002F41BB"/>
    <w:rsid w:val="002F4654"/>
    <w:rsid w:val="0030089E"/>
    <w:rsid w:val="00301AE3"/>
    <w:rsid w:val="00302889"/>
    <w:rsid w:val="00304069"/>
    <w:rsid w:val="00306DC5"/>
    <w:rsid w:val="003102CD"/>
    <w:rsid w:val="00310FA1"/>
    <w:rsid w:val="0031106B"/>
    <w:rsid w:val="00311F35"/>
    <w:rsid w:val="00314E30"/>
    <w:rsid w:val="003165A6"/>
    <w:rsid w:val="0031674C"/>
    <w:rsid w:val="003210FF"/>
    <w:rsid w:val="003213DC"/>
    <w:rsid w:val="0032355B"/>
    <w:rsid w:val="00324E55"/>
    <w:rsid w:val="00324EB3"/>
    <w:rsid w:val="00325A4F"/>
    <w:rsid w:val="00325DE3"/>
    <w:rsid w:val="003275EB"/>
    <w:rsid w:val="0033045A"/>
    <w:rsid w:val="00330D2D"/>
    <w:rsid w:val="0033126C"/>
    <w:rsid w:val="0033141E"/>
    <w:rsid w:val="003329FB"/>
    <w:rsid w:val="003342B0"/>
    <w:rsid w:val="00334530"/>
    <w:rsid w:val="0033518C"/>
    <w:rsid w:val="00336766"/>
    <w:rsid w:val="003400BF"/>
    <w:rsid w:val="00341BA5"/>
    <w:rsid w:val="00344D0C"/>
    <w:rsid w:val="003513C9"/>
    <w:rsid w:val="0035167A"/>
    <w:rsid w:val="003534A9"/>
    <w:rsid w:val="003535D2"/>
    <w:rsid w:val="00354F1B"/>
    <w:rsid w:val="003551B4"/>
    <w:rsid w:val="0035527A"/>
    <w:rsid w:val="00361B87"/>
    <w:rsid w:val="00363038"/>
    <w:rsid w:val="0036342A"/>
    <w:rsid w:val="00365BC5"/>
    <w:rsid w:val="003661D4"/>
    <w:rsid w:val="00370FC0"/>
    <w:rsid w:val="00372144"/>
    <w:rsid w:val="00372D81"/>
    <w:rsid w:val="003733B2"/>
    <w:rsid w:val="003743BE"/>
    <w:rsid w:val="00374D56"/>
    <w:rsid w:val="00375790"/>
    <w:rsid w:val="0037784A"/>
    <w:rsid w:val="00380E53"/>
    <w:rsid w:val="00381B6F"/>
    <w:rsid w:val="003822C0"/>
    <w:rsid w:val="00384170"/>
    <w:rsid w:val="0038493F"/>
    <w:rsid w:val="00390B4E"/>
    <w:rsid w:val="003913CE"/>
    <w:rsid w:val="003957E3"/>
    <w:rsid w:val="00397825"/>
    <w:rsid w:val="00397A3C"/>
    <w:rsid w:val="003A1097"/>
    <w:rsid w:val="003A2DC2"/>
    <w:rsid w:val="003A3225"/>
    <w:rsid w:val="003A5815"/>
    <w:rsid w:val="003A5C95"/>
    <w:rsid w:val="003A6936"/>
    <w:rsid w:val="003A6A32"/>
    <w:rsid w:val="003A7790"/>
    <w:rsid w:val="003B0946"/>
    <w:rsid w:val="003B10B9"/>
    <w:rsid w:val="003B2399"/>
    <w:rsid w:val="003B2475"/>
    <w:rsid w:val="003B2485"/>
    <w:rsid w:val="003B2FAB"/>
    <w:rsid w:val="003B3970"/>
    <w:rsid w:val="003B47C0"/>
    <w:rsid w:val="003B4AD9"/>
    <w:rsid w:val="003B505D"/>
    <w:rsid w:val="003B53D4"/>
    <w:rsid w:val="003B743A"/>
    <w:rsid w:val="003C05D2"/>
    <w:rsid w:val="003C113F"/>
    <w:rsid w:val="003C23BC"/>
    <w:rsid w:val="003C2E26"/>
    <w:rsid w:val="003C3919"/>
    <w:rsid w:val="003C4C3B"/>
    <w:rsid w:val="003C4F8F"/>
    <w:rsid w:val="003C5785"/>
    <w:rsid w:val="003C6634"/>
    <w:rsid w:val="003C76DE"/>
    <w:rsid w:val="003C79D4"/>
    <w:rsid w:val="003D5C58"/>
    <w:rsid w:val="003D6245"/>
    <w:rsid w:val="003D6EAA"/>
    <w:rsid w:val="003D6F01"/>
    <w:rsid w:val="003D78BD"/>
    <w:rsid w:val="003D7A0D"/>
    <w:rsid w:val="003D7A41"/>
    <w:rsid w:val="003E1513"/>
    <w:rsid w:val="003E23DB"/>
    <w:rsid w:val="003E2DAE"/>
    <w:rsid w:val="003E2FA9"/>
    <w:rsid w:val="003E45A9"/>
    <w:rsid w:val="003E4739"/>
    <w:rsid w:val="003F0B83"/>
    <w:rsid w:val="003F1B88"/>
    <w:rsid w:val="003F1DFB"/>
    <w:rsid w:val="003F26C3"/>
    <w:rsid w:val="003F2F28"/>
    <w:rsid w:val="003F4BD5"/>
    <w:rsid w:val="003F64CF"/>
    <w:rsid w:val="003F6E44"/>
    <w:rsid w:val="003F7AE4"/>
    <w:rsid w:val="00400E62"/>
    <w:rsid w:val="00401125"/>
    <w:rsid w:val="00401D7D"/>
    <w:rsid w:val="00402267"/>
    <w:rsid w:val="00403EA3"/>
    <w:rsid w:val="004040CD"/>
    <w:rsid w:val="0040583C"/>
    <w:rsid w:val="0040653C"/>
    <w:rsid w:val="00406BC6"/>
    <w:rsid w:val="00407546"/>
    <w:rsid w:val="0041170B"/>
    <w:rsid w:val="00412F15"/>
    <w:rsid w:val="004144CF"/>
    <w:rsid w:val="004149D3"/>
    <w:rsid w:val="00414D32"/>
    <w:rsid w:val="004155DA"/>
    <w:rsid w:val="00415FA6"/>
    <w:rsid w:val="004167D8"/>
    <w:rsid w:val="00420E47"/>
    <w:rsid w:val="00424305"/>
    <w:rsid w:val="004250D3"/>
    <w:rsid w:val="004266CC"/>
    <w:rsid w:val="00430B66"/>
    <w:rsid w:val="004312EA"/>
    <w:rsid w:val="00435931"/>
    <w:rsid w:val="00436224"/>
    <w:rsid w:val="00436625"/>
    <w:rsid w:val="00436A35"/>
    <w:rsid w:val="00437636"/>
    <w:rsid w:val="00437C6E"/>
    <w:rsid w:val="0044061E"/>
    <w:rsid w:val="00440B66"/>
    <w:rsid w:val="00441481"/>
    <w:rsid w:val="004416FC"/>
    <w:rsid w:val="0044190C"/>
    <w:rsid w:val="004422F8"/>
    <w:rsid w:val="00442FC0"/>
    <w:rsid w:val="00443464"/>
    <w:rsid w:val="00443843"/>
    <w:rsid w:val="00443E38"/>
    <w:rsid w:val="0044424E"/>
    <w:rsid w:val="00447583"/>
    <w:rsid w:val="004504E6"/>
    <w:rsid w:val="0045536D"/>
    <w:rsid w:val="00455906"/>
    <w:rsid w:val="00460B79"/>
    <w:rsid w:val="00461154"/>
    <w:rsid w:val="00461314"/>
    <w:rsid w:val="00465B86"/>
    <w:rsid w:val="00465D54"/>
    <w:rsid w:val="00466C1E"/>
    <w:rsid w:val="00467A12"/>
    <w:rsid w:val="00467CB8"/>
    <w:rsid w:val="00471911"/>
    <w:rsid w:val="004733E8"/>
    <w:rsid w:val="0047567E"/>
    <w:rsid w:val="004763E0"/>
    <w:rsid w:val="00477CD9"/>
    <w:rsid w:val="00480F82"/>
    <w:rsid w:val="00482CAA"/>
    <w:rsid w:val="00484F1F"/>
    <w:rsid w:val="00490254"/>
    <w:rsid w:val="00490CE3"/>
    <w:rsid w:val="00492E7F"/>
    <w:rsid w:val="00494094"/>
    <w:rsid w:val="004945AA"/>
    <w:rsid w:val="004972EB"/>
    <w:rsid w:val="004A0D65"/>
    <w:rsid w:val="004A137E"/>
    <w:rsid w:val="004A1F23"/>
    <w:rsid w:val="004A4B29"/>
    <w:rsid w:val="004A60FF"/>
    <w:rsid w:val="004A686C"/>
    <w:rsid w:val="004A6972"/>
    <w:rsid w:val="004A726E"/>
    <w:rsid w:val="004A7BEF"/>
    <w:rsid w:val="004B2DB1"/>
    <w:rsid w:val="004B3F79"/>
    <w:rsid w:val="004B44D5"/>
    <w:rsid w:val="004B4C93"/>
    <w:rsid w:val="004B4D2B"/>
    <w:rsid w:val="004B50B3"/>
    <w:rsid w:val="004B597A"/>
    <w:rsid w:val="004B5F62"/>
    <w:rsid w:val="004B6E33"/>
    <w:rsid w:val="004B7010"/>
    <w:rsid w:val="004B78B3"/>
    <w:rsid w:val="004C0A6F"/>
    <w:rsid w:val="004C0A7A"/>
    <w:rsid w:val="004C0EE3"/>
    <w:rsid w:val="004C13AE"/>
    <w:rsid w:val="004C1DC8"/>
    <w:rsid w:val="004C25E6"/>
    <w:rsid w:val="004C293B"/>
    <w:rsid w:val="004C39F3"/>
    <w:rsid w:val="004C4A13"/>
    <w:rsid w:val="004C575D"/>
    <w:rsid w:val="004C6760"/>
    <w:rsid w:val="004C7509"/>
    <w:rsid w:val="004D02B8"/>
    <w:rsid w:val="004D0426"/>
    <w:rsid w:val="004D3610"/>
    <w:rsid w:val="004D4329"/>
    <w:rsid w:val="004D4AB1"/>
    <w:rsid w:val="004D6352"/>
    <w:rsid w:val="004D6F63"/>
    <w:rsid w:val="004D75E9"/>
    <w:rsid w:val="004D779F"/>
    <w:rsid w:val="004E0538"/>
    <w:rsid w:val="004E19A0"/>
    <w:rsid w:val="004E25DE"/>
    <w:rsid w:val="004E5323"/>
    <w:rsid w:val="004F07E0"/>
    <w:rsid w:val="004F1116"/>
    <w:rsid w:val="004F11E4"/>
    <w:rsid w:val="004F1CC2"/>
    <w:rsid w:val="004F201C"/>
    <w:rsid w:val="004F23C4"/>
    <w:rsid w:val="004F34B4"/>
    <w:rsid w:val="004F3BF9"/>
    <w:rsid w:val="004F6044"/>
    <w:rsid w:val="00500530"/>
    <w:rsid w:val="0050082D"/>
    <w:rsid w:val="00502085"/>
    <w:rsid w:val="005032C9"/>
    <w:rsid w:val="0050470A"/>
    <w:rsid w:val="00505B62"/>
    <w:rsid w:val="00505C18"/>
    <w:rsid w:val="00505CD5"/>
    <w:rsid w:val="00507550"/>
    <w:rsid w:val="00507717"/>
    <w:rsid w:val="00510AB3"/>
    <w:rsid w:val="0051231F"/>
    <w:rsid w:val="00512666"/>
    <w:rsid w:val="00516A4A"/>
    <w:rsid w:val="00516C26"/>
    <w:rsid w:val="00521359"/>
    <w:rsid w:val="00521EFF"/>
    <w:rsid w:val="00522164"/>
    <w:rsid w:val="00522323"/>
    <w:rsid w:val="00522E0C"/>
    <w:rsid w:val="00523013"/>
    <w:rsid w:val="005230BE"/>
    <w:rsid w:val="00524664"/>
    <w:rsid w:val="0052489E"/>
    <w:rsid w:val="0052599F"/>
    <w:rsid w:val="00525B31"/>
    <w:rsid w:val="00525C93"/>
    <w:rsid w:val="00525D23"/>
    <w:rsid w:val="00526C68"/>
    <w:rsid w:val="0053128C"/>
    <w:rsid w:val="0053167B"/>
    <w:rsid w:val="0053177F"/>
    <w:rsid w:val="005323A2"/>
    <w:rsid w:val="005325BA"/>
    <w:rsid w:val="0053276F"/>
    <w:rsid w:val="005335D3"/>
    <w:rsid w:val="005346D2"/>
    <w:rsid w:val="0053628E"/>
    <w:rsid w:val="00536B31"/>
    <w:rsid w:val="00540437"/>
    <w:rsid w:val="00542250"/>
    <w:rsid w:val="00542453"/>
    <w:rsid w:val="00542DB7"/>
    <w:rsid w:val="00543C96"/>
    <w:rsid w:val="005440A6"/>
    <w:rsid w:val="0054422F"/>
    <w:rsid w:val="005459BE"/>
    <w:rsid w:val="00546CDA"/>
    <w:rsid w:val="00551055"/>
    <w:rsid w:val="005511E8"/>
    <w:rsid w:val="005513BF"/>
    <w:rsid w:val="00551A47"/>
    <w:rsid w:val="00553105"/>
    <w:rsid w:val="0055392F"/>
    <w:rsid w:val="0055428E"/>
    <w:rsid w:val="00557BE0"/>
    <w:rsid w:val="00560288"/>
    <w:rsid w:val="00565F8D"/>
    <w:rsid w:val="00571B98"/>
    <w:rsid w:val="005732ED"/>
    <w:rsid w:val="0057390C"/>
    <w:rsid w:val="00575C0A"/>
    <w:rsid w:val="005772B4"/>
    <w:rsid w:val="00581449"/>
    <w:rsid w:val="00581D77"/>
    <w:rsid w:val="0058223D"/>
    <w:rsid w:val="005827B4"/>
    <w:rsid w:val="00583471"/>
    <w:rsid w:val="005843CA"/>
    <w:rsid w:val="00584D03"/>
    <w:rsid w:val="00585ED7"/>
    <w:rsid w:val="00586D3B"/>
    <w:rsid w:val="00586ECB"/>
    <w:rsid w:val="005870BE"/>
    <w:rsid w:val="00587375"/>
    <w:rsid w:val="005919E7"/>
    <w:rsid w:val="00592F47"/>
    <w:rsid w:val="00592FAF"/>
    <w:rsid w:val="0059432C"/>
    <w:rsid w:val="005943DA"/>
    <w:rsid w:val="00594D7D"/>
    <w:rsid w:val="005955D2"/>
    <w:rsid w:val="00596959"/>
    <w:rsid w:val="005A0A37"/>
    <w:rsid w:val="005A1C47"/>
    <w:rsid w:val="005A27FB"/>
    <w:rsid w:val="005A28E1"/>
    <w:rsid w:val="005A2BC6"/>
    <w:rsid w:val="005A41BB"/>
    <w:rsid w:val="005A4284"/>
    <w:rsid w:val="005A4E74"/>
    <w:rsid w:val="005A53D5"/>
    <w:rsid w:val="005A5951"/>
    <w:rsid w:val="005A656D"/>
    <w:rsid w:val="005A66AA"/>
    <w:rsid w:val="005A6B8A"/>
    <w:rsid w:val="005A6C54"/>
    <w:rsid w:val="005A70E1"/>
    <w:rsid w:val="005B65A4"/>
    <w:rsid w:val="005B78E8"/>
    <w:rsid w:val="005C0047"/>
    <w:rsid w:val="005C2DB3"/>
    <w:rsid w:val="005C3BED"/>
    <w:rsid w:val="005C430F"/>
    <w:rsid w:val="005C4CA4"/>
    <w:rsid w:val="005C4FEC"/>
    <w:rsid w:val="005C55C7"/>
    <w:rsid w:val="005C580D"/>
    <w:rsid w:val="005C5A15"/>
    <w:rsid w:val="005C5B5F"/>
    <w:rsid w:val="005C6597"/>
    <w:rsid w:val="005C67AD"/>
    <w:rsid w:val="005C7AA2"/>
    <w:rsid w:val="005C7AD3"/>
    <w:rsid w:val="005D074F"/>
    <w:rsid w:val="005D11DB"/>
    <w:rsid w:val="005D139C"/>
    <w:rsid w:val="005D2FE4"/>
    <w:rsid w:val="005D55D0"/>
    <w:rsid w:val="005D608A"/>
    <w:rsid w:val="005D7BB5"/>
    <w:rsid w:val="005E02EC"/>
    <w:rsid w:val="005E115D"/>
    <w:rsid w:val="005E1C25"/>
    <w:rsid w:val="005E2905"/>
    <w:rsid w:val="005E6FE0"/>
    <w:rsid w:val="005E707A"/>
    <w:rsid w:val="005F2B3B"/>
    <w:rsid w:val="005F431B"/>
    <w:rsid w:val="005F4C74"/>
    <w:rsid w:val="006001AB"/>
    <w:rsid w:val="00600544"/>
    <w:rsid w:val="006006B8"/>
    <w:rsid w:val="00601AD4"/>
    <w:rsid w:val="00601F54"/>
    <w:rsid w:val="00602776"/>
    <w:rsid w:val="00602AEB"/>
    <w:rsid w:val="0060375A"/>
    <w:rsid w:val="006039C7"/>
    <w:rsid w:val="0060449C"/>
    <w:rsid w:val="00605A2E"/>
    <w:rsid w:val="00605B42"/>
    <w:rsid w:val="00606DF6"/>
    <w:rsid w:val="00612D1E"/>
    <w:rsid w:val="006149DD"/>
    <w:rsid w:val="00616A39"/>
    <w:rsid w:val="00616E03"/>
    <w:rsid w:val="00616FAE"/>
    <w:rsid w:val="00617930"/>
    <w:rsid w:val="0062084E"/>
    <w:rsid w:val="00620876"/>
    <w:rsid w:val="006209AB"/>
    <w:rsid w:val="006229A4"/>
    <w:rsid w:val="00625B5C"/>
    <w:rsid w:val="006260D5"/>
    <w:rsid w:val="0062747F"/>
    <w:rsid w:val="006278C5"/>
    <w:rsid w:val="00630483"/>
    <w:rsid w:val="00630F9C"/>
    <w:rsid w:val="00632B34"/>
    <w:rsid w:val="00633492"/>
    <w:rsid w:val="00634FFD"/>
    <w:rsid w:val="00635448"/>
    <w:rsid w:val="00635F9A"/>
    <w:rsid w:val="00637C26"/>
    <w:rsid w:val="00643DEC"/>
    <w:rsid w:val="0064551E"/>
    <w:rsid w:val="00645A13"/>
    <w:rsid w:val="0064760B"/>
    <w:rsid w:val="006477BC"/>
    <w:rsid w:val="006507F2"/>
    <w:rsid w:val="0065225A"/>
    <w:rsid w:val="006525D2"/>
    <w:rsid w:val="006532D4"/>
    <w:rsid w:val="006539F2"/>
    <w:rsid w:val="00653E38"/>
    <w:rsid w:val="00656C99"/>
    <w:rsid w:val="00657576"/>
    <w:rsid w:val="0066329B"/>
    <w:rsid w:val="00663C74"/>
    <w:rsid w:val="006662FD"/>
    <w:rsid w:val="006706AC"/>
    <w:rsid w:val="00670B15"/>
    <w:rsid w:val="006721C7"/>
    <w:rsid w:val="00673D25"/>
    <w:rsid w:val="0067529A"/>
    <w:rsid w:val="00675686"/>
    <w:rsid w:val="006762DF"/>
    <w:rsid w:val="00682306"/>
    <w:rsid w:val="00684040"/>
    <w:rsid w:val="006842B4"/>
    <w:rsid w:val="0068569A"/>
    <w:rsid w:val="00685C40"/>
    <w:rsid w:val="00690847"/>
    <w:rsid w:val="006914E7"/>
    <w:rsid w:val="006925EB"/>
    <w:rsid w:val="00694B62"/>
    <w:rsid w:val="00695014"/>
    <w:rsid w:val="00695607"/>
    <w:rsid w:val="0069760A"/>
    <w:rsid w:val="006A0FDF"/>
    <w:rsid w:val="006A1C9A"/>
    <w:rsid w:val="006A293E"/>
    <w:rsid w:val="006A29C4"/>
    <w:rsid w:val="006A2E53"/>
    <w:rsid w:val="006A34E4"/>
    <w:rsid w:val="006A651C"/>
    <w:rsid w:val="006B074E"/>
    <w:rsid w:val="006B242F"/>
    <w:rsid w:val="006B2BD5"/>
    <w:rsid w:val="006B55F8"/>
    <w:rsid w:val="006B5AA4"/>
    <w:rsid w:val="006B6C47"/>
    <w:rsid w:val="006B7615"/>
    <w:rsid w:val="006C3199"/>
    <w:rsid w:val="006C3841"/>
    <w:rsid w:val="006C429E"/>
    <w:rsid w:val="006C480F"/>
    <w:rsid w:val="006C708E"/>
    <w:rsid w:val="006D0E3D"/>
    <w:rsid w:val="006D158D"/>
    <w:rsid w:val="006D1D1A"/>
    <w:rsid w:val="006D4A4E"/>
    <w:rsid w:val="006D5658"/>
    <w:rsid w:val="006E123A"/>
    <w:rsid w:val="006E12BE"/>
    <w:rsid w:val="006E1741"/>
    <w:rsid w:val="006E2B04"/>
    <w:rsid w:val="006E31B7"/>
    <w:rsid w:val="006E4E17"/>
    <w:rsid w:val="006E7B11"/>
    <w:rsid w:val="006E7B3F"/>
    <w:rsid w:val="006F284C"/>
    <w:rsid w:val="006F2A87"/>
    <w:rsid w:val="006F3EA2"/>
    <w:rsid w:val="006F5358"/>
    <w:rsid w:val="006F6EDD"/>
    <w:rsid w:val="006F7076"/>
    <w:rsid w:val="006F7227"/>
    <w:rsid w:val="006F744E"/>
    <w:rsid w:val="0070136C"/>
    <w:rsid w:val="00702366"/>
    <w:rsid w:val="007025D5"/>
    <w:rsid w:val="00702816"/>
    <w:rsid w:val="00702A4A"/>
    <w:rsid w:val="007032BB"/>
    <w:rsid w:val="007062D8"/>
    <w:rsid w:val="00707E0F"/>
    <w:rsid w:val="007103EC"/>
    <w:rsid w:val="007108AE"/>
    <w:rsid w:val="0071135E"/>
    <w:rsid w:val="00713ABA"/>
    <w:rsid w:val="007144A6"/>
    <w:rsid w:val="007146F9"/>
    <w:rsid w:val="0071531B"/>
    <w:rsid w:val="007163BC"/>
    <w:rsid w:val="00716751"/>
    <w:rsid w:val="007215A1"/>
    <w:rsid w:val="00722F8C"/>
    <w:rsid w:val="00724352"/>
    <w:rsid w:val="007276F2"/>
    <w:rsid w:val="00727BA5"/>
    <w:rsid w:val="00730AE3"/>
    <w:rsid w:val="00732620"/>
    <w:rsid w:val="00732EE6"/>
    <w:rsid w:val="0073462C"/>
    <w:rsid w:val="00734E1E"/>
    <w:rsid w:val="00735081"/>
    <w:rsid w:val="007369AD"/>
    <w:rsid w:val="00736BC2"/>
    <w:rsid w:val="00740287"/>
    <w:rsid w:val="007413B2"/>
    <w:rsid w:val="00743B91"/>
    <w:rsid w:val="00743C32"/>
    <w:rsid w:val="00743D6A"/>
    <w:rsid w:val="007446D8"/>
    <w:rsid w:val="007457D5"/>
    <w:rsid w:val="00746010"/>
    <w:rsid w:val="00746855"/>
    <w:rsid w:val="007474F0"/>
    <w:rsid w:val="007510B8"/>
    <w:rsid w:val="007527EA"/>
    <w:rsid w:val="00753F48"/>
    <w:rsid w:val="0075453E"/>
    <w:rsid w:val="007552D1"/>
    <w:rsid w:val="00756901"/>
    <w:rsid w:val="0075740B"/>
    <w:rsid w:val="00762593"/>
    <w:rsid w:val="00763688"/>
    <w:rsid w:val="0076476C"/>
    <w:rsid w:val="00764F50"/>
    <w:rsid w:val="0076584C"/>
    <w:rsid w:val="00766641"/>
    <w:rsid w:val="0076710D"/>
    <w:rsid w:val="00767B17"/>
    <w:rsid w:val="00770669"/>
    <w:rsid w:val="00771F6F"/>
    <w:rsid w:val="00772090"/>
    <w:rsid w:val="00774AFA"/>
    <w:rsid w:val="0077503A"/>
    <w:rsid w:val="00775238"/>
    <w:rsid w:val="00776C32"/>
    <w:rsid w:val="00777569"/>
    <w:rsid w:val="00777F35"/>
    <w:rsid w:val="00780411"/>
    <w:rsid w:val="007808DA"/>
    <w:rsid w:val="00780E0A"/>
    <w:rsid w:val="0078109B"/>
    <w:rsid w:val="00781DA3"/>
    <w:rsid w:val="00782CCA"/>
    <w:rsid w:val="00783473"/>
    <w:rsid w:val="007835E5"/>
    <w:rsid w:val="00783651"/>
    <w:rsid w:val="0078460F"/>
    <w:rsid w:val="0078474A"/>
    <w:rsid w:val="00786EA3"/>
    <w:rsid w:val="00790E65"/>
    <w:rsid w:val="00792370"/>
    <w:rsid w:val="0079325E"/>
    <w:rsid w:val="00794DA7"/>
    <w:rsid w:val="00795065"/>
    <w:rsid w:val="00795B86"/>
    <w:rsid w:val="007964CF"/>
    <w:rsid w:val="00796B78"/>
    <w:rsid w:val="00796E97"/>
    <w:rsid w:val="00797AF4"/>
    <w:rsid w:val="007A3174"/>
    <w:rsid w:val="007A372E"/>
    <w:rsid w:val="007A3801"/>
    <w:rsid w:val="007A769A"/>
    <w:rsid w:val="007B1521"/>
    <w:rsid w:val="007B1587"/>
    <w:rsid w:val="007B1DD5"/>
    <w:rsid w:val="007B312A"/>
    <w:rsid w:val="007B39CD"/>
    <w:rsid w:val="007B3EFB"/>
    <w:rsid w:val="007B45A8"/>
    <w:rsid w:val="007B6F6B"/>
    <w:rsid w:val="007C054B"/>
    <w:rsid w:val="007C3ECE"/>
    <w:rsid w:val="007C4523"/>
    <w:rsid w:val="007C4914"/>
    <w:rsid w:val="007C5285"/>
    <w:rsid w:val="007C633B"/>
    <w:rsid w:val="007D1323"/>
    <w:rsid w:val="007D3182"/>
    <w:rsid w:val="007D45ED"/>
    <w:rsid w:val="007D46BC"/>
    <w:rsid w:val="007D5690"/>
    <w:rsid w:val="007D6775"/>
    <w:rsid w:val="007D724C"/>
    <w:rsid w:val="007D7D03"/>
    <w:rsid w:val="007E1C9D"/>
    <w:rsid w:val="007E2755"/>
    <w:rsid w:val="007E405C"/>
    <w:rsid w:val="007E41A8"/>
    <w:rsid w:val="007E452F"/>
    <w:rsid w:val="007E5D97"/>
    <w:rsid w:val="007E6E18"/>
    <w:rsid w:val="007F0383"/>
    <w:rsid w:val="007F0586"/>
    <w:rsid w:val="007F2B1E"/>
    <w:rsid w:val="007F4464"/>
    <w:rsid w:val="007F4561"/>
    <w:rsid w:val="007F4D27"/>
    <w:rsid w:val="007F6045"/>
    <w:rsid w:val="007F6EDE"/>
    <w:rsid w:val="007F7479"/>
    <w:rsid w:val="00800553"/>
    <w:rsid w:val="00801942"/>
    <w:rsid w:val="00801BDC"/>
    <w:rsid w:val="00801CC8"/>
    <w:rsid w:val="008026F3"/>
    <w:rsid w:val="00802D99"/>
    <w:rsid w:val="0080426A"/>
    <w:rsid w:val="00806038"/>
    <w:rsid w:val="008118F0"/>
    <w:rsid w:val="00812889"/>
    <w:rsid w:val="00815A08"/>
    <w:rsid w:val="0081614C"/>
    <w:rsid w:val="00816881"/>
    <w:rsid w:val="00821942"/>
    <w:rsid w:val="00821B0B"/>
    <w:rsid w:val="00821B70"/>
    <w:rsid w:val="00822F67"/>
    <w:rsid w:val="00824583"/>
    <w:rsid w:val="00825524"/>
    <w:rsid w:val="008261B4"/>
    <w:rsid w:val="00826607"/>
    <w:rsid w:val="00827C8C"/>
    <w:rsid w:val="0083211E"/>
    <w:rsid w:val="00832EFA"/>
    <w:rsid w:val="00833ABF"/>
    <w:rsid w:val="00835650"/>
    <w:rsid w:val="00836177"/>
    <w:rsid w:val="00841A8A"/>
    <w:rsid w:val="00841DB0"/>
    <w:rsid w:val="0084334C"/>
    <w:rsid w:val="00843FF1"/>
    <w:rsid w:val="0084449A"/>
    <w:rsid w:val="00845882"/>
    <w:rsid w:val="00845E61"/>
    <w:rsid w:val="008471C3"/>
    <w:rsid w:val="0085073A"/>
    <w:rsid w:val="0085384F"/>
    <w:rsid w:val="008538DC"/>
    <w:rsid w:val="0085596C"/>
    <w:rsid w:val="00855AC8"/>
    <w:rsid w:val="00857266"/>
    <w:rsid w:val="008600F0"/>
    <w:rsid w:val="00860EA9"/>
    <w:rsid w:val="008638EE"/>
    <w:rsid w:val="00864704"/>
    <w:rsid w:val="00865207"/>
    <w:rsid w:val="00866BA3"/>
    <w:rsid w:val="00866C93"/>
    <w:rsid w:val="00867EA5"/>
    <w:rsid w:val="00870D40"/>
    <w:rsid w:val="00871642"/>
    <w:rsid w:val="0087252E"/>
    <w:rsid w:val="00872666"/>
    <w:rsid w:val="008738FE"/>
    <w:rsid w:val="00874448"/>
    <w:rsid w:val="008748D3"/>
    <w:rsid w:val="008753DE"/>
    <w:rsid w:val="00875709"/>
    <w:rsid w:val="00876BEC"/>
    <w:rsid w:val="00877B6B"/>
    <w:rsid w:val="00880A50"/>
    <w:rsid w:val="00880ACF"/>
    <w:rsid w:val="00880AEE"/>
    <w:rsid w:val="0088102E"/>
    <w:rsid w:val="0088188A"/>
    <w:rsid w:val="00882477"/>
    <w:rsid w:val="00882B53"/>
    <w:rsid w:val="00885EC4"/>
    <w:rsid w:val="00886E20"/>
    <w:rsid w:val="00886EE8"/>
    <w:rsid w:val="00890B2A"/>
    <w:rsid w:val="008920A1"/>
    <w:rsid w:val="00892B2F"/>
    <w:rsid w:val="0089310C"/>
    <w:rsid w:val="00894CD3"/>
    <w:rsid w:val="00895D13"/>
    <w:rsid w:val="008A0782"/>
    <w:rsid w:val="008A4548"/>
    <w:rsid w:val="008A5E58"/>
    <w:rsid w:val="008A6092"/>
    <w:rsid w:val="008A7CB2"/>
    <w:rsid w:val="008B2B9A"/>
    <w:rsid w:val="008B3AA8"/>
    <w:rsid w:val="008B4028"/>
    <w:rsid w:val="008B658D"/>
    <w:rsid w:val="008B77E0"/>
    <w:rsid w:val="008C013C"/>
    <w:rsid w:val="008C078D"/>
    <w:rsid w:val="008C1315"/>
    <w:rsid w:val="008C1E35"/>
    <w:rsid w:val="008C5226"/>
    <w:rsid w:val="008C56CB"/>
    <w:rsid w:val="008C6A3E"/>
    <w:rsid w:val="008C6D5F"/>
    <w:rsid w:val="008C7E34"/>
    <w:rsid w:val="008D005D"/>
    <w:rsid w:val="008D14C3"/>
    <w:rsid w:val="008D1F86"/>
    <w:rsid w:val="008D23D2"/>
    <w:rsid w:val="008D4A7F"/>
    <w:rsid w:val="008D5AA2"/>
    <w:rsid w:val="008E0FCD"/>
    <w:rsid w:val="008E1946"/>
    <w:rsid w:val="008E2FD6"/>
    <w:rsid w:val="008E36F2"/>
    <w:rsid w:val="008E5C0A"/>
    <w:rsid w:val="008E5C1A"/>
    <w:rsid w:val="008E5F84"/>
    <w:rsid w:val="008E6DBE"/>
    <w:rsid w:val="008E6DD3"/>
    <w:rsid w:val="008E7500"/>
    <w:rsid w:val="008E7917"/>
    <w:rsid w:val="008F049B"/>
    <w:rsid w:val="008F0B07"/>
    <w:rsid w:val="008F1B72"/>
    <w:rsid w:val="008F3769"/>
    <w:rsid w:val="008F4034"/>
    <w:rsid w:val="008F456C"/>
    <w:rsid w:val="008F5803"/>
    <w:rsid w:val="008F7960"/>
    <w:rsid w:val="008F7D2A"/>
    <w:rsid w:val="00900680"/>
    <w:rsid w:val="00901867"/>
    <w:rsid w:val="00901ABA"/>
    <w:rsid w:val="009036B5"/>
    <w:rsid w:val="00903BFE"/>
    <w:rsid w:val="009067F8"/>
    <w:rsid w:val="00906820"/>
    <w:rsid w:val="009073EF"/>
    <w:rsid w:val="009074B0"/>
    <w:rsid w:val="00907A5E"/>
    <w:rsid w:val="00907A7B"/>
    <w:rsid w:val="00912900"/>
    <w:rsid w:val="00912FF5"/>
    <w:rsid w:val="00920683"/>
    <w:rsid w:val="009219D3"/>
    <w:rsid w:val="00922EAD"/>
    <w:rsid w:val="0092524E"/>
    <w:rsid w:val="0092794B"/>
    <w:rsid w:val="00932882"/>
    <w:rsid w:val="00932A7D"/>
    <w:rsid w:val="00932FB5"/>
    <w:rsid w:val="0093440C"/>
    <w:rsid w:val="009368B4"/>
    <w:rsid w:val="00936F3E"/>
    <w:rsid w:val="0094042A"/>
    <w:rsid w:val="00940965"/>
    <w:rsid w:val="009439CA"/>
    <w:rsid w:val="0094438C"/>
    <w:rsid w:val="00945241"/>
    <w:rsid w:val="00945384"/>
    <w:rsid w:val="00947867"/>
    <w:rsid w:val="00950468"/>
    <w:rsid w:val="0095055A"/>
    <w:rsid w:val="00952C36"/>
    <w:rsid w:val="00953856"/>
    <w:rsid w:val="009554D5"/>
    <w:rsid w:val="0095571B"/>
    <w:rsid w:val="0095705C"/>
    <w:rsid w:val="0096376D"/>
    <w:rsid w:val="00964D94"/>
    <w:rsid w:val="0096600C"/>
    <w:rsid w:val="00966161"/>
    <w:rsid w:val="0097010E"/>
    <w:rsid w:val="00970154"/>
    <w:rsid w:val="009706D9"/>
    <w:rsid w:val="009714C3"/>
    <w:rsid w:val="00972A75"/>
    <w:rsid w:val="0097396F"/>
    <w:rsid w:val="00973AF7"/>
    <w:rsid w:val="009742E9"/>
    <w:rsid w:val="00974E46"/>
    <w:rsid w:val="00977C14"/>
    <w:rsid w:val="00980656"/>
    <w:rsid w:val="009822CF"/>
    <w:rsid w:val="00985679"/>
    <w:rsid w:val="00986575"/>
    <w:rsid w:val="009873E7"/>
    <w:rsid w:val="0098791B"/>
    <w:rsid w:val="009903B7"/>
    <w:rsid w:val="009913E0"/>
    <w:rsid w:val="009938AE"/>
    <w:rsid w:val="0099553F"/>
    <w:rsid w:val="0099699E"/>
    <w:rsid w:val="009A0977"/>
    <w:rsid w:val="009A0F57"/>
    <w:rsid w:val="009A1A4B"/>
    <w:rsid w:val="009A1D25"/>
    <w:rsid w:val="009A30D0"/>
    <w:rsid w:val="009A3742"/>
    <w:rsid w:val="009A5B4C"/>
    <w:rsid w:val="009B00E8"/>
    <w:rsid w:val="009B2356"/>
    <w:rsid w:val="009B2AAD"/>
    <w:rsid w:val="009B41D2"/>
    <w:rsid w:val="009B5E1D"/>
    <w:rsid w:val="009B73E3"/>
    <w:rsid w:val="009C0D84"/>
    <w:rsid w:val="009C286E"/>
    <w:rsid w:val="009C304E"/>
    <w:rsid w:val="009C3281"/>
    <w:rsid w:val="009C50D2"/>
    <w:rsid w:val="009C6BD9"/>
    <w:rsid w:val="009C79C8"/>
    <w:rsid w:val="009C7E98"/>
    <w:rsid w:val="009D0A5A"/>
    <w:rsid w:val="009D2F92"/>
    <w:rsid w:val="009D3182"/>
    <w:rsid w:val="009D3CA9"/>
    <w:rsid w:val="009D58B2"/>
    <w:rsid w:val="009D5DD3"/>
    <w:rsid w:val="009D6172"/>
    <w:rsid w:val="009E00FA"/>
    <w:rsid w:val="009E0235"/>
    <w:rsid w:val="009E2775"/>
    <w:rsid w:val="009E2B79"/>
    <w:rsid w:val="009E4222"/>
    <w:rsid w:val="009E45E6"/>
    <w:rsid w:val="009E5048"/>
    <w:rsid w:val="009E52D9"/>
    <w:rsid w:val="009E54F2"/>
    <w:rsid w:val="009E6FF7"/>
    <w:rsid w:val="009F0341"/>
    <w:rsid w:val="009F03A1"/>
    <w:rsid w:val="009F05EA"/>
    <w:rsid w:val="009F0B31"/>
    <w:rsid w:val="009F4C03"/>
    <w:rsid w:val="009F682A"/>
    <w:rsid w:val="00A01207"/>
    <w:rsid w:val="00A01AC6"/>
    <w:rsid w:val="00A04375"/>
    <w:rsid w:val="00A04749"/>
    <w:rsid w:val="00A04796"/>
    <w:rsid w:val="00A05589"/>
    <w:rsid w:val="00A06FB3"/>
    <w:rsid w:val="00A10051"/>
    <w:rsid w:val="00A157F4"/>
    <w:rsid w:val="00A16516"/>
    <w:rsid w:val="00A16E81"/>
    <w:rsid w:val="00A170D2"/>
    <w:rsid w:val="00A20F36"/>
    <w:rsid w:val="00A2246F"/>
    <w:rsid w:val="00A23B7D"/>
    <w:rsid w:val="00A24351"/>
    <w:rsid w:val="00A24375"/>
    <w:rsid w:val="00A255D3"/>
    <w:rsid w:val="00A26B9C"/>
    <w:rsid w:val="00A27693"/>
    <w:rsid w:val="00A27834"/>
    <w:rsid w:val="00A30470"/>
    <w:rsid w:val="00A30DAD"/>
    <w:rsid w:val="00A31D73"/>
    <w:rsid w:val="00A31EBE"/>
    <w:rsid w:val="00A32B15"/>
    <w:rsid w:val="00A360F0"/>
    <w:rsid w:val="00A40BE1"/>
    <w:rsid w:val="00A4147C"/>
    <w:rsid w:val="00A41A0A"/>
    <w:rsid w:val="00A41FED"/>
    <w:rsid w:val="00A42049"/>
    <w:rsid w:val="00A425D8"/>
    <w:rsid w:val="00A42ADA"/>
    <w:rsid w:val="00A42BA8"/>
    <w:rsid w:val="00A43396"/>
    <w:rsid w:val="00A44FA2"/>
    <w:rsid w:val="00A46A19"/>
    <w:rsid w:val="00A47862"/>
    <w:rsid w:val="00A50B2D"/>
    <w:rsid w:val="00A5112A"/>
    <w:rsid w:val="00A52C79"/>
    <w:rsid w:val="00A53C54"/>
    <w:rsid w:val="00A541AA"/>
    <w:rsid w:val="00A60B74"/>
    <w:rsid w:val="00A61072"/>
    <w:rsid w:val="00A64DA0"/>
    <w:rsid w:val="00A657CD"/>
    <w:rsid w:val="00A66745"/>
    <w:rsid w:val="00A67A2F"/>
    <w:rsid w:val="00A723CC"/>
    <w:rsid w:val="00A732A7"/>
    <w:rsid w:val="00A735EF"/>
    <w:rsid w:val="00A7507E"/>
    <w:rsid w:val="00A7695B"/>
    <w:rsid w:val="00A76DFC"/>
    <w:rsid w:val="00A82D02"/>
    <w:rsid w:val="00A8492A"/>
    <w:rsid w:val="00A86BF2"/>
    <w:rsid w:val="00A87268"/>
    <w:rsid w:val="00A875B8"/>
    <w:rsid w:val="00A87933"/>
    <w:rsid w:val="00A901AB"/>
    <w:rsid w:val="00A915F1"/>
    <w:rsid w:val="00A91950"/>
    <w:rsid w:val="00A93C63"/>
    <w:rsid w:val="00A93F05"/>
    <w:rsid w:val="00A947EE"/>
    <w:rsid w:val="00A94E43"/>
    <w:rsid w:val="00A96E3E"/>
    <w:rsid w:val="00AA014E"/>
    <w:rsid w:val="00AA0DB3"/>
    <w:rsid w:val="00AA31FD"/>
    <w:rsid w:val="00AA5019"/>
    <w:rsid w:val="00AA6D86"/>
    <w:rsid w:val="00AB2B8C"/>
    <w:rsid w:val="00AB4908"/>
    <w:rsid w:val="00AB5B29"/>
    <w:rsid w:val="00AB73A5"/>
    <w:rsid w:val="00AC196A"/>
    <w:rsid w:val="00AC1A07"/>
    <w:rsid w:val="00AC1E69"/>
    <w:rsid w:val="00AC20A8"/>
    <w:rsid w:val="00AC2672"/>
    <w:rsid w:val="00AC3379"/>
    <w:rsid w:val="00AC343C"/>
    <w:rsid w:val="00AC3AF9"/>
    <w:rsid w:val="00AC5285"/>
    <w:rsid w:val="00AC6563"/>
    <w:rsid w:val="00AC7334"/>
    <w:rsid w:val="00AC7CD0"/>
    <w:rsid w:val="00AD09E2"/>
    <w:rsid w:val="00AD2ABE"/>
    <w:rsid w:val="00AD3B1D"/>
    <w:rsid w:val="00AD6C0A"/>
    <w:rsid w:val="00AD7C0C"/>
    <w:rsid w:val="00AE11C0"/>
    <w:rsid w:val="00AE2424"/>
    <w:rsid w:val="00AE32A0"/>
    <w:rsid w:val="00AE4415"/>
    <w:rsid w:val="00AE51FF"/>
    <w:rsid w:val="00AE5553"/>
    <w:rsid w:val="00AE579A"/>
    <w:rsid w:val="00AE70A2"/>
    <w:rsid w:val="00AE7E41"/>
    <w:rsid w:val="00AF148E"/>
    <w:rsid w:val="00AF17E8"/>
    <w:rsid w:val="00AF23F4"/>
    <w:rsid w:val="00AF5471"/>
    <w:rsid w:val="00AF62D5"/>
    <w:rsid w:val="00AF705A"/>
    <w:rsid w:val="00AF7BFC"/>
    <w:rsid w:val="00B012FB"/>
    <w:rsid w:val="00B0213C"/>
    <w:rsid w:val="00B04F43"/>
    <w:rsid w:val="00B05100"/>
    <w:rsid w:val="00B05125"/>
    <w:rsid w:val="00B06010"/>
    <w:rsid w:val="00B079C7"/>
    <w:rsid w:val="00B10C7B"/>
    <w:rsid w:val="00B14153"/>
    <w:rsid w:val="00B15530"/>
    <w:rsid w:val="00B1592B"/>
    <w:rsid w:val="00B218DD"/>
    <w:rsid w:val="00B21C8F"/>
    <w:rsid w:val="00B231AA"/>
    <w:rsid w:val="00B23242"/>
    <w:rsid w:val="00B23B11"/>
    <w:rsid w:val="00B23FE8"/>
    <w:rsid w:val="00B24422"/>
    <w:rsid w:val="00B245B2"/>
    <w:rsid w:val="00B25047"/>
    <w:rsid w:val="00B271A0"/>
    <w:rsid w:val="00B271F4"/>
    <w:rsid w:val="00B27565"/>
    <w:rsid w:val="00B32550"/>
    <w:rsid w:val="00B3299A"/>
    <w:rsid w:val="00B32B2E"/>
    <w:rsid w:val="00B331EA"/>
    <w:rsid w:val="00B33331"/>
    <w:rsid w:val="00B33C9F"/>
    <w:rsid w:val="00B3403A"/>
    <w:rsid w:val="00B3761B"/>
    <w:rsid w:val="00B379FE"/>
    <w:rsid w:val="00B402C2"/>
    <w:rsid w:val="00B41513"/>
    <w:rsid w:val="00B41FB6"/>
    <w:rsid w:val="00B423E1"/>
    <w:rsid w:val="00B43FEF"/>
    <w:rsid w:val="00B463EC"/>
    <w:rsid w:val="00B52192"/>
    <w:rsid w:val="00B52626"/>
    <w:rsid w:val="00B53562"/>
    <w:rsid w:val="00B54996"/>
    <w:rsid w:val="00B557D6"/>
    <w:rsid w:val="00B56B11"/>
    <w:rsid w:val="00B5712C"/>
    <w:rsid w:val="00B60BF1"/>
    <w:rsid w:val="00B61F19"/>
    <w:rsid w:val="00B61F46"/>
    <w:rsid w:val="00B62491"/>
    <w:rsid w:val="00B6345C"/>
    <w:rsid w:val="00B65A1D"/>
    <w:rsid w:val="00B65E84"/>
    <w:rsid w:val="00B665F8"/>
    <w:rsid w:val="00B667CD"/>
    <w:rsid w:val="00B667D0"/>
    <w:rsid w:val="00B66B9B"/>
    <w:rsid w:val="00B675E8"/>
    <w:rsid w:val="00B70768"/>
    <w:rsid w:val="00B72073"/>
    <w:rsid w:val="00B72A58"/>
    <w:rsid w:val="00B752BD"/>
    <w:rsid w:val="00B75D8C"/>
    <w:rsid w:val="00B75E65"/>
    <w:rsid w:val="00B772FD"/>
    <w:rsid w:val="00B81010"/>
    <w:rsid w:val="00B8380F"/>
    <w:rsid w:val="00B83813"/>
    <w:rsid w:val="00B83CB4"/>
    <w:rsid w:val="00B85F9B"/>
    <w:rsid w:val="00B879C3"/>
    <w:rsid w:val="00B91A9E"/>
    <w:rsid w:val="00B92424"/>
    <w:rsid w:val="00B94950"/>
    <w:rsid w:val="00B951C2"/>
    <w:rsid w:val="00B97F3D"/>
    <w:rsid w:val="00BA0104"/>
    <w:rsid w:val="00BA0853"/>
    <w:rsid w:val="00BA1498"/>
    <w:rsid w:val="00BA24B3"/>
    <w:rsid w:val="00BA3068"/>
    <w:rsid w:val="00BA3233"/>
    <w:rsid w:val="00BA3949"/>
    <w:rsid w:val="00BA486E"/>
    <w:rsid w:val="00BB03D2"/>
    <w:rsid w:val="00BB0498"/>
    <w:rsid w:val="00BB05BC"/>
    <w:rsid w:val="00BB1532"/>
    <w:rsid w:val="00BB17D9"/>
    <w:rsid w:val="00BB1DE2"/>
    <w:rsid w:val="00BB2392"/>
    <w:rsid w:val="00BB26DD"/>
    <w:rsid w:val="00BB35FB"/>
    <w:rsid w:val="00BB3EFD"/>
    <w:rsid w:val="00BB5C19"/>
    <w:rsid w:val="00BB5F37"/>
    <w:rsid w:val="00BB760C"/>
    <w:rsid w:val="00BB77A0"/>
    <w:rsid w:val="00BC0839"/>
    <w:rsid w:val="00BC127A"/>
    <w:rsid w:val="00BC210C"/>
    <w:rsid w:val="00BC5309"/>
    <w:rsid w:val="00BC579F"/>
    <w:rsid w:val="00BC6371"/>
    <w:rsid w:val="00BC6545"/>
    <w:rsid w:val="00BC6711"/>
    <w:rsid w:val="00BD002B"/>
    <w:rsid w:val="00BD1995"/>
    <w:rsid w:val="00BE2E99"/>
    <w:rsid w:val="00BE37A4"/>
    <w:rsid w:val="00BE3BB3"/>
    <w:rsid w:val="00BE45DE"/>
    <w:rsid w:val="00BE4D5A"/>
    <w:rsid w:val="00BE5459"/>
    <w:rsid w:val="00BE6FF2"/>
    <w:rsid w:val="00BE77DC"/>
    <w:rsid w:val="00BF0D8E"/>
    <w:rsid w:val="00BF11D8"/>
    <w:rsid w:val="00BF23AD"/>
    <w:rsid w:val="00BF6DEF"/>
    <w:rsid w:val="00BF74C3"/>
    <w:rsid w:val="00C0083C"/>
    <w:rsid w:val="00C0174F"/>
    <w:rsid w:val="00C027F9"/>
    <w:rsid w:val="00C03B2B"/>
    <w:rsid w:val="00C05456"/>
    <w:rsid w:val="00C076A9"/>
    <w:rsid w:val="00C0798E"/>
    <w:rsid w:val="00C104E7"/>
    <w:rsid w:val="00C1060F"/>
    <w:rsid w:val="00C110BF"/>
    <w:rsid w:val="00C11753"/>
    <w:rsid w:val="00C121DA"/>
    <w:rsid w:val="00C1268E"/>
    <w:rsid w:val="00C13A51"/>
    <w:rsid w:val="00C15A80"/>
    <w:rsid w:val="00C15BBB"/>
    <w:rsid w:val="00C16015"/>
    <w:rsid w:val="00C16311"/>
    <w:rsid w:val="00C209B5"/>
    <w:rsid w:val="00C214D0"/>
    <w:rsid w:val="00C2245C"/>
    <w:rsid w:val="00C22BF7"/>
    <w:rsid w:val="00C23379"/>
    <w:rsid w:val="00C23782"/>
    <w:rsid w:val="00C25905"/>
    <w:rsid w:val="00C272A7"/>
    <w:rsid w:val="00C31152"/>
    <w:rsid w:val="00C31FC0"/>
    <w:rsid w:val="00C32A9C"/>
    <w:rsid w:val="00C32C74"/>
    <w:rsid w:val="00C35454"/>
    <w:rsid w:val="00C355A0"/>
    <w:rsid w:val="00C37BF7"/>
    <w:rsid w:val="00C37FF1"/>
    <w:rsid w:val="00C40B44"/>
    <w:rsid w:val="00C42C01"/>
    <w:rsid w:val="00C4595C"/>
    <w:rsid w:val="00C45EA1"/>
    <w:rsid w:val="00C50483"/>
    <w:rsid w:val="00C507CD"/>
    <w:rsid w:val="00C51CC0"/>
    <w:rsid w:val="00C54079"/>
    <w:rsid w:val="00C54919"/>
    <w:rsid w:val="00C55EC6"/>
    <w:rsid w:val="00C5739B"/>
    <w:rsid w:val="00C62DEF"/>
    <w:rsid w:val="00C63506"/>
    <w:rsid w:val="00C636C0"/>
    <w:rsid w:val="00C63D31"/>
    <w:rsid w:val="00C644A1"/>
    <w:rsid w:val="00C64896"/>
    <w:rsid w:val="00C64D92"/>
    <w:rsid w:val="00C64FE6"/>
    <w:rsid w:val="00C67612"/>
    <w:rsid w:val="00C67D12"/>
    <w:rsid w:val="00C7246E"/>
    <w:rsid w:val="00C7258B"/>
    <w:rsid w:val="00C73A1D"/>
    <w:rsid w:val="00C73AD8"/>
    <w:rsid w:val="00C73C94"/>
    <w:rsid w:val="00C74452"/>
    <w:rsid w:val="00C75434"/>
    <w:rsid w:val="00C754D3"/>
    <w:rsid w:val="00C7551A"/>
    <w:rsid w:val="00C75700"/>
    <w:rsid w:val="00C82EEA"/>
    <w:rsid w:val="00C82FCD"/>
    <w:rsid w:val="00C85EA4"/>
    <w:rsid w:val="00C879C7"/>
    <w:rsid w:val="00C912FE"/>
    <w:rsid w:val="00C91463"/>
    <w:rsid w:val="00C9162B"/>
    <w:rsid w:val="00C91B3B"/>
    <w:rsid w:val="00C91B74"/>
    <w:rsid w:val="00C9201F"/>
    <w:rsid w:val="00C92B1C"/>
    <w:rsid w:val="00C94A7C"/>
    <w:rsid w:val="00C94BCB"/>
    <w:rsid w:val="00C95054"/>
    <w:rsid w:val="00C9507A"/>
    <w:rsid w:val="00C96015"/>
    <w:rsid w:val="00C97B1D"/>
    <w:rsid w:val="00CA04F1"/>
    <w:rsid w:val="00CA1572"/>
    <w:rsid w:val="00CA1FBA"/>
    <w:rsid w:val="00CA57DD"/>
    <w:rsid w:val="00CA5E92"/>
    <w:rsid w:val="00CA643A"/>
    <w:rsid w:val="00CA6B87"/>
    <w:rsid w:val="00CA7A5A"/>
    <w:rsid w:val="00CB1D3E"/>
    <w:rsid w:val="00CB32D6"/>
    <w:rsid w:val="00CB4B9A"/>
    <w:rsid w:val="00CB6092"/>
    <w:rsid w:val="00CB6589"/>
    <w:rsid w:val="00CB65FD"/>
    <w:rsid w:val="00CB660D"/>
    <w:rsid w:val="00CC144E"/>
    <w:rsid w:val="00CC17DD"/>
    <w:rsid w:val="00CC1EEF"/>
    <w:rsid w:val="00CC2031"/>
    <w:rsid w:val="00CC286D"/>
    <w:rsid w:val="00CC41AC"/>
    <w:rsid w:val="00CC4857"/>
    <w:rsid w:val="00CC4B07"/>
    <w:rsid w:val="00CC4C9F"/>
    <w:rsid w:val="00CC5AAB"/>
    <w:rsid w:val="00CC6B91"/>
    <w:rsid w:val="00CC6EBE"/>
    <w:rsid w:val="00CC732D"/>
    <w:rsid w:val="00CD1799"/>
    <w:rsid w:val="00CD2395"/>
    <w:rsid w:val="00CD51DB"/>
    <w:rsid w:val="00CD537B"/>
    <w:rsid w:val="00CD77B7"/>
    <w:rsid w:val="00CE02EC"/>
    <w:rsid w:val="00CE0912"/>
    <w:rsid w:val="00CE09A7"/>
    <w:rsid w:val="00CE1A18"/>
    <w:rsid w:val="00CE51C3"/>
    <w:rsid w:val="00CE6632"/>
    <w:rsid w:val="00CE79C9"/>
    <w:rsid w:val="00CF1AF1"/>
    <w:rsid w:val="00CF1D40"/>
    <w:rsid w:val="00CF2F38"/>
    <w:rsid w:val="00CF3399"/>
    <w:rsid w:val="00CF3CE4"/>
    <w:rsid w:val="00CF4F69"/>
    <w:rsid w:val="00CF5353"/>
    <w:rsid w:val="00CF7169"/>
    <w:rsid w:val="00D0014D"/>
    <w:rsid w:val="00D007D0"/>
    <w:rsid w:val="00D007D1"/>
    <w:rsid w:val="00D01193"/>
    <w:rsid w:val="00D0136E"/>
    <w:rsid w:val="00D0211E"/>
    <w:rsid w:val="00D02FEC"/>
    <w:rsid w:val="00D03708"/>
    <w:rsid w:val="00D0448A"/>
    <w:rsid w:val="00D05125"/>
    <w:rsid w:val="00D0590C"/>
    <w:rsid w:val="00D05EA2"/>
    <w:rsid w:val="00D06DB8"/>
    <w:rsid w:val="00D07174"/>
    <w:rsid w:val="00D0717B"/>
    <w:rsid w:val="00D110A9"/>
    <w:rsid w:val="00D14464"/>
    <w:rsid w:val="00D1467F"/>
    <w:rsid w:val="00D147E9"/>
    <w:rsid w:val="00D15589"/>
    <w:rsid w:val="00D15FB1"/>
    <w:rsid w:val="00D20D8B"/>
    <w:rsid w:val="00D21873"/>
    <w:rsid w:val="00D22383"/>
    <w:rsid w:val="00D22416"/>
    <w:rsid w:val="00D22AE8"/>
    <w:rsid w:val="00D2368C"/>
    <w:rsid w:val="00D242D8"/>
    <w:rsid w:val="00D244AA"/>
    <w:rsid w:val="00D25B07"/>
    <w:rsid w:val="00D274FD"/>
    <w:rsid w:val="00D2778F"/>
    <w:rsid w:val="00D31D55"/>
    <w:rsid w:val="00D344BE"/>
    <w:rsid w:val="00D37A94"/>
    <w:rsid w:val="00D37BBE"/>
    <w:rsid w:val="00D416BA"/>
    <w:rsid w:val="00D432AD"/>
    <w:rsid w:val="00D432EA"/>
    <w:rsid w:val="00D442A8"/>
    <w:rsid w:val="00D442E0"/>
    <w:rsid w:val="00D44548"/>
    <w:rsid w:val="00D45DE1"/>
    <w:rsid w:val="00D47CE9"/>
    <w:rsid w:val="00D51069"/>
    <w:rsid w:val="00D51EF2"/>
    <w:rsid w:val="00D541FB"/>
    <w:rsid w:val="00D552A2"/>
    <w:rsid w:val="00D56456"/>
    <w:rsid w:val="00D56CCE"/>
    <w:rsid w:val="00D571D7"/>
    <w:rsid w:val="00D57383"/>
    <w:rsid w:val="00D60AE9"/>
    <w:rsid w:val="00D6123A"/>
    <w:rsid w:val="00D61CF3"/>
    <w:rsid w:val="00D61E8A"/>
    <w:rsid w:val="00D62FD6"/>
    <w:rsid w:val="00D6582A"/>
    <w:rsid w:val="00D66362"/>
    <w:rsid w:val="00D67097"/>
    <w:rsid w:val="00D67AAA"/>
    <w:rsid w:val="00D71802"/>
    <w:rsid w:val="00D71F37"/>
    <w:rsid w:val="00D72497"/>
    <w:rsid w:val="00D732D7"/>
    <w:rsid w:val="00D73786"/>
    <w:rsid w:val="00D74159"/>
    <w:rsid w:val="00D75C9D"/>
    <w:rsid w:val="00D75D93"/>
    <w:rsid w:val="00D823A0"/>
    <w:rsid w:val="00D828E0"/>
    <w:rsid w:val="00D8426D"/>
    <w:rsid w:val="00D84467"/>
    <w:rsid w:val="00D851B3"/>
    <w:rsid w:val="00D855CE"/>
    <w:rsid w:val="00D85D5B"/>
    <w:rsid w:val="00D86370"/>
    <w:rsid w:val="00D86C1D"/>
    <w:rsid w:val="00D86CC2"/>
    <w:rsid w:val="00D93FB5"/>
    <w:rsid w:val="00D9537D"/>
    <w:rsid w:val="00D95F3B"/>
    <w:rsid w:val="00D9689B"/>
    <w:rsid w:val="00D97B4F"/>
    <w:rsid w:val="00DA071E"/>
    <w:rsid w:val="00DA284A"/>
    <w:rsid w:val="00DA41C8"/>
    <w:rsid w:val="00DA4EF8"/>
    <w:rsid w:val="00DA5CFB"/>
    <w:rsid w:val="00DA64F5"/>
    <w:rsid w:val="00DA6611"/>
    <w:rsid w:val="00DB0938"/>
    <w:rsid w:val="00DB1387"/>
    <w:rsid w:val="00DB1760"/>
    <w:rsid w:val="00DB4329"/>
    <w:rsid w:val="00DB4626"/>
    <w:rsid w:val="00DB49AB"/>
    <w:rsid w:val="00DB5174"/>
    <w:rsid w:val="00DB5A68"/>
    <w:rsid w:val="00DB6254"/>
    <w:rsid w:val="00DB6D3B"/>
    <w:rsid w:val="00DB7897"/>
    <w:rsid w:val="00DC0277"/>
    <w:rsid w:val="00DC1DAB"/>
    <w:rsid w:val="00DC3545"/>
    <w:rsid w:val="00DC4272"/>
    <w:rsid w:val="00DC6799"/>
    <w:rsid w:val="00DD52CC"/>
    <w:rsid w:val="00DD6D04"/>
    <w:rsid w:val="00DE111C"/>
    <w:rsid w:val="00DE11EF"/>
    <w:rsid w:val="00DE2313"/>
    <w:rsid w:val="00DE308B"/>
    <w:rsid w:val="00DE529E"/>
    <w:rsid w:val="00DE5B82"/>
    <w:rsid w:val="00DE7089"/>
    <w:rsid w:val="00DF0002"/>
    <w:rsid w:val="00DF0DDF"/>
    <w:rsid w:val="00DF25CF"/>
    <w:rsid w:val="00DF2EF6"/>
    <w:rsid w:val="00DF400F"/>
    <w:rsid w:val="00DF7DF1"/>
    <w:rsid w:val="00E01939"/>
    <w:rsid w:val="00E0287A"/>
    <w:rsid w:val="00E03F7F"/>
    <w:rsid w:val="00E0616F"/>
    <w:rsid w:val="00E065CA"/>
    <w:rsid w:val="00E06905"/>
    <w:rsid w:val="00E10ACF"/>
    <w:rsid w:val="00E10DF1"/>
    <w:rsid w:val="00E12769"/>
    <w:rsid w:val="00E12EE9"/>
    <w:rsid w:val="00E13969"/>
    <w:rsid w:val="00E13D01"/>
    <w:rsid w:val="00E1465E"/>
    <w:rsid w:val="00E15AB9"/>
    <w:rsid w:val="00E16B89"/>
    <w:rsid w:val="00E16C4E"/>
    <w:rsid w:val="00E16C5B"/>
    <w:rsid w:val="00E17339"/>
    <w:rsid w:val="00E2068F"/>
    <w:rsid w:val="00E215CA"/>
    <w:rsid w:val="00E21B7C"/>
    <w:rsid w:val="00E21D6B"/>
    <w:rsid w:val="00E22131"/>
    <w:rsid w:val="00E23C11"/>
    <w:rsid w:val="00E241E2"/>
    <w:rsid w:val="00E24B93"/>
    <w:rsid w:val="00E24C28"/>
    <w:rsid w:val="00E26C23"/>
    <w:rsid w:val="00E3141C"/>
    <w:rsid w:val="00E3167B"/>
    <w:rsid w:val="00E31EEA"/>
    <w:rsid w:val="00E321AC"/>
    <w:rsid w:val="00E34732"/>
    <w:rsid w:val="00E34B58"/>
    <w:rsid w:val="00E35F5B"/>
    <w:rsid w:val="00E3621A"/>
    <w:rsid w:val="00E36A21"/>
    <w:rsid w:val="00E37A7A"/>
    <w:rsid w:val="00E419CE"/>
    <w:rsid w:val="00E41D81"/>
    <w:rsid w:val="00E4278F"/>
    <w:rsid w:val="00E435A9"/>
    <w:rsid w:val="00E4491B"/>
    <w:rsid w:val="00E46B65"/>
    <w:rsid w:val="00E47630"/>
    <w:rsid w:val="00E505B8"/>
    <w:rsid w:val="00E50D87"/>
    <w:rsid w:val="00E51B5C"/>
    <w:rsid w:val="00E53898"/>
    <w:rsid w:val="00E55B3B"/>
    <w:rsid w:val="00E55E91"/>
    <w:rsid w:val="00E5618B"/>
    <w:rsid w:val="00E562E6"/>
    <w:rsid w:val="00E5683C"/>
    <w:rsid w:val="00E57A10"/>
    <w:rsid w:val="00E57E5D"/>
    <w:rsid w:val="00E602EC"/>
    <w:rsid w:val="00E60404"/>
    <w:rsid w:val="00E6077C"/>
    <w:rsid w:val="00E66E46"/>
    <w:rsid w:val="00E700CC"/>
    <w:rsid w:val="00E73602"/>
    <w:rsid w:val="00E738EC"/>
    <w:rsid w:val="00E73E76"/>
    <w:rsid w:val="00E77B23"/>
    <w:rsid w:val="00E80ACF"/>
    <w:rsid w:val="00E81059"/>
    <w:rsid w:val="00E825AB"/>
    <w:rsid w:val="00E8567C"/>
    <w:rsid w:val="00E8577E"/>
    <w:rsid w:val="00E8644E"/>
    <w:rsid w:val="00E90BAF"/>
    <w:rsid w:val="00E914DF"/>
    <w:rsid w:val="00E934FE"/>
    <w:rsid w:val="00E9356C"/>
    <w:rsid w:val="00E94157"/>
    <w:rsid w:val="00E950F5"/>
    <w:rsid w:val="00E95E7A"/>
    <w:rsid w:val="00E96C60"/>
    <w:rsid w:val="00E9771A"/>
    <w:rsid w:val="00EA0969"/>
    <w:rsid w:val="00EA1BB9"/>
    <w:rsid w:val="00EA4E44"/>
    <w:rsid w:val="00EA505C"/>
    <w:rsid w:val="00EA7525"/>
    <w:rsid w:val="00EB01B1"/>
    <w:rsid w:val="00EB14DD"/>
    <w:rsid w:val="00EB2FEF"/>
    <w:rsid w:val="00EB34E9"/>
    <w:rsid w:val="00EB39F1"/>
    <w:rsid w:val="00EB4A66"/>
    <w:rsid w:val="00EB4EC1"/>
    <w:rsid w:val="00EB539E"/>
    <w:rsid w:val="00EB670F"/>
    <w:rsid w:val="00EC0262"/>
    <w:rsid w:val="00EC0891"/>
    <w:rsid w:val="00EC0B3A"/>
    <w:rsid w:val="00EC0C89"/>
    <w:rsid w:val="00EC117D"/>
    <w:rsid w:val="00EC1942"/>
    <w:rsid w:val="00EC2068"/>
    <w:rsid w:val="00EC2AAC"/>
    <w:rsid w:val="00EC4697"/>
    <w:rsid w:val="00EC4AAE"/>
    <w:rsid w:val="00EC5831"/>
    <w:rsid w:val="00EC63A1"/>
    <w:rsid w:val="00EC7177"/>
    <w:rsid w:val="00EC7407"/>
    <w:rsid w:val="00EC7AD4"/>
    <w:rsid w:val="00EC7E74"/>
    <w:rsid w:val="00ED051B"/>
    <w:rsid w:val="00ED107A"/>
    <w:rsid w:val="00ED212A"/>
    <w:rsid w:val="00ED38F0"/>
    <w:rsid w:val="00ED51FE"/>
    <w:rsid w:val="00ED6030"/>
    <w:rsid w:val="00ED6567"/>
    <w:rsid w:val="00ED6863"/>
    <w:rsid w:val="00EE2026"/>
    <w:rsid w:val="00EE2B99"/>
    <w:rsid w:val="00EE31AE"/>
    <w:rsid w:val="00EE4C33"/>
    <w:rsid w:val="00EE51DB"/>
    <w:rsid w:val="00EE7993"/>
    <w:rsid w:val="00EF1AF7"/>
    <w:rsid w:val="00EF28AD"/>
    <w:rsid w:val="00EF2F2A"/>
    <w:rsid w:val="00EF3433"/>
    <w:rsid w:val="00EF3573"/>
    <w:rsid w:val="00EF3E39"/>
    <w:rsid w:val="00EF6414"/>
    <w:rsid w:val="00EF7EE2"/>
    <w:rsid w:val="00F014B3"/>
    <w:rsid w:val="00F01950"/>
    <w:rsid w:val="00F03E00"/>
    <w:rsid w:val="00F04603"/>
    <w:rsid w:val="00F04D11"/>
    <w:rsid w:val="00F050E9"/>
    <w:rsid w:val="00F06337"/>
    <w:rsid w:val="00F06501"/>
    <w:rsid w:val="00F0655E"/>
    <w:rsid w:val="00F079F3"/>
    <w:rsid w:val="00F119F3"/>
    <w:rsid w:val="00F11DD7"/>
    <w:rsid w:val="00F12038"/>
    <w:rsid w:val="00F12E6A"/>
    <w:rsid w:val="00F132D4"/>
    <w:rsid w:val="00F13DC0"/>
    <w:rsid w:val="00F13E1B"/>
    <w:rsid w:val="00F14485"/>
    <w:rsid w:val="00F15EB0"/>
    <w:rsid w:val="00F16201"/>
    <w:rsid w:val="00F16F02"/>
    <w:rsid w:val="00F2008D"/>
    <w:rsid w:val="00F208A6"/>
    <w:rsid w:val="00F21489"/>
    <w:rsid w:val="00F2233B"/>
    <w:rsid w:val="00F22D26"/>
    <w:rsid w:val="00F23535"/>
    <w:rsid w:val="00F23C20"/>
    <w:rsid w:val="00F25707"/>
    <w:rsid w:val="00F25BEC"/>
    <w:rsid w:val="00F26829"/>
    <w:rsid w:val="00F269FC"/>
    <w:rsid w:val="00F26A60"/>
    <w:rsid w:val="00F27045"/>
    <w:rsid w:val="00F2786C"/>
    <w:rsid w:val="00F31E56"/>
    <w:rsid w:val="00F31EE2"/>
    <w:rsid w:val="00F34F41"/>
    <w:rsid w:val="00F358E8"/>
    <w:rsid w:val="00F36803"/>
    <w:rsid w:val="00F36815"/>
    <w:rsid w:val="00F37E2A"/>
    <w:rsid w:val="00F418A8"/>
    <w:rsid w:val="00F41DC8"/>
    <w:rsid w:val="00F42051"/>
    <w:rsid w:val="00F4225F"/>
    <w:rsid w:val="00F458E9"/>
    <w:rsid w:val="00F465B6"/>
    <w:rsid w:val="00F46B45"/>
    <w:rsid w:val="00F47199"/>
    <w:rsid w:val="00F47D66"/>
    <w:rsid w:val="00F50542"/>
    <w:rsid w:val="00F51EBD"/>
    <w:rsid w:val="00F537FB"/>
    <w:rsid w:val="00F55521"/>
    <w:rsid w:val="00F620D4"/>
    <w:rsid w:val="00F621D8"/>
    <w:rsid w:val="00F64842"/>
    <w:rsid w:val="00F64925"/>
    <w:rsid w:val="00F64CB9"/>
    <w:rsid w:val="00F656C2"/>
    <w:rsid w:val="00F65B2C"/>
    <w:rsid w:val="00F66F09"/>
    <w:rsid w:val="00F67181"/>
    <w:rsid w:val="00F671BC"/>
    <w:rsid w:val="00F672EC"/>
    <w:rsid w:val="00F700C3"/>
    <w:rsid w:val="00F732A2"/>
    <w:rsid w:val="00F7372F"/>
    <w:rsid w:val="00F7500A"/>
    <w:rsid w:val="00F75A89"/>
    <w:rsid w:val="00F77628"/>
    <w:rsid w:val="00F809D3"/>
    <w:rsid w:val="00F81354"/>
    <w:rsid w:val="00F838DD"/>
    <w:rsid w:val="00F83FC7"/>
    <w:rsid w:val="00F843AF"/>
    <w:rsid w:val="00F85FB5"/>
    <w:rsid w:val="00F86833"/>
    <w:rsid w:val="00F86E0A"/>
    <w:rsid w:val="00F876FD"/>
    <w:rsid w:val="00F87E69"/>
    <w:rsid w:val="00F90774"/>
    <w:rsid w:val="00F93C2C"/>
    <w:rsid w:val="00F93FE6"/>
    <w:rsid w:val="00F95C0A"/>
    <w:rsid w:val="00F95F54"/>
    <w:rsid w:val="00FA03C0"/>
    <w:rsid w:val="00FA046E"/>
    <w:rsid w:val="00FA17EB"/>
    <w:rsid w:val="00FA201A"/>
    <w:rsid w:val="00FA3124"/>
    <w:rsid w:val="00FA6863"/>
    <w:rsid w:val="00FA697C"/>
    <w:rsid w:val="00FB06F3"/>
    <w:rsid w:val="00FB1341"/>
    <w:rsid w:val="00FB1A95"/>
    <w:rsid w:val="00FB2308"/>
    <w:rsid w:val="00FB25B5"/>
    <w:rsid w:val="00FB3B70"/>
    <w:rsid w:val="00FB590E"/>
    <w:rsid w:val="00FB7F5F"/>
    <w:rsid w:val="00FC00B7"/>
    <w:rsid w:val="00FC25E0"/>
    <w:rsid w:val="00FC3108"/>
    <w:rsid w:val="00FC38BB"/>
    <w:rsid w:val="00FC4FF5"/>
    <w:rsid w:val="00FC52C5"/>
    <w:rsid w:val="00FC54E0"/>
    <w:rsid w:val="00FC5B16"/>
    <w:rsid w:val="00FC6159"/>
    <w:rsid w:val="00FC7E57"/>
    <w:rsid w:val="00FC7E7F"/>
    <w:rsid w:val="00FD061C"/>
    <w:rsid w:val="00FD164D"/>
    <w:rsid w:val="00FD2325"/>
    <w:rsid w:val="00FD3404"/>
    <w:rsid w:val="00FD3D8F"/>
    <w:rsid w:val="00FD6188"/>
    <w:rsid w:val="00FD6D1A"/>
    <w:rsid w:val="00FD7207"/>
    <w:rsid w:val="00FD7D3F"/>
    <w:rsid w:val="00FE0189"/>
    <w:rsid w:val="00FE512E"/>
    <w:rsid w:val="00FE560B"/>
    <w:rsid w:val="00FE635C"/>
    <w:rsid w:val="00FE6A68"/>
    <w:rsid w:val="00FE760E"/>
    <w:rsid w:val="00FE7621"/>
    <w:rsid w:val="00FE774C"/>
    <w:rsid w:val="00FE7920"/>
    <w:rsid w:val="00FE7B58"/>
    <w:rsid w:val="00FF3096"/>
    <w:rsid w:val="00FF48A8"/>
    <w:rsid w:val="00FF4DB2"/>
    <w:rsid w:val="00FF573F"/>
    <w:rsid w:val="00FF6750"/>
    <w:rsid w:val="00FF6CC3"/>
    <w:rsid w:val="00FF6DFB"/>
    <w:rsid w:val="00FF76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55B03"/>
  <w15:docId w15:val="{126312E7-5E5E-49F8-B1E6-9872F903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uiPriority w:val="9"/>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rsid w:val="003B2475"/>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3B2475"/>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264932"/>
    <w:pPr>
      <w:numPr>
        <w:numId w:val="6"/>
      </w:numPr>
      <w:suppressLineNumbers/>
      <w:tabs>
        <w:tab w:val="left" w:pos="1440"/>
      </w:tabs>
      <w:suppressAutoHyphens/>
      <w:kinsoku w:val="0"/>
      <w:overflowPunct w:val="0"/>
      <w:autoSpaceDE w:val="0"/>
      <w:autoSpaceDN w:val="0"/>
      <w:adjustRightInd w:val="0"/>
      <w:snapToGrid w:val="0"/>
      <w:spacing w:before="120" w:after="120"/>
      <w:ind w:left="0" w:firstLine="900"/>
    </w:pPr>
    <w:rPr>
      <w:snapToGrid w:val="0"/>
    </w:rPr>
  </w:style>
  <w:style w:type="paragraph" w:styleId="TOC1">
    <w:name w:val="toc 1"/>
    <w:basedOn w:val="Normal"/>
    <w:next w:val="Normal"/>
    <w:autoRedefine/>
    <w:uiPriority w:val="39"/>
    <w:rsid w:val="005513BF"/>
    <w:pPr>
      <w:ind w:left="720" w:hanging="720"/>
    </w:pPr>
    <w:rPr>
      <w:caps/>
    </w:rPr>
  </w:style>
  <w:style w:type="paragraph" w:styleId="TOC2">
    <w:name w:val="toc 2"/>
    <w:basedOn w:val="Normal"/>
    <w:next w:val="Normal"/>
    <w:autoRedefine/>
    <w:uiPriority w:val="39"/>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uiPriority w:val="99"/>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semiHidden/>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eaderChar">
    <w:name w:val="Header Char"/>
    <w:basedOn w:val="DefaultParagraphFont"/>
    <w:link w:val="Header"/>
    <w:uiPriority w:val="99"/>
    <w:rsid w:val="00261973"/>
    <w:rPr>
      <w:sz w:val="22"/>
      <w:szCs w:val="24"/>
      <w:lang w:val="en-GB"/>
    </w:rPr>
  </w:style>
  <w:style w:type="paragraph" w:customStyle="1" w:styleId="Default">
    <w:name w:val="Default"/>
    <w:rsid w:val="0007615F"/>
    <w:pPr>
      <w:autoSpaceDE w:val="0"/>
      <w:autoSpaceDN w:val="0"/>
      <w:adjustRightInd w:val="0"/>
    </w:pPr>
    <w:rPr>
      <w:color w:val="000000"/>
      <w:sz w:val="24"/>
      <w:szCs w:val="24"/>
      <w:lang w:val="fr-CA"/>
    </w:rPr>
  </w:style>
  <w:style w:type="character" w:styleId="Emphasis">
    <w:name w:val="Emphasis"/>
    <w:basedOn w:val="DefaultParagraphFont"/>
    <w:uiPriority w:val="20"/>
    <w:qFormat/>
    <w:rsid w:val="004C25E6"/>
    <w:rPr>
      <w:i/>
      <w:iCs/>
    </w:rPr>
  </w:style>
  <w:style w:type="character" w:customStyle="1" w:styleId="Heading2Char">
    <w:name w:val="Heading 2 Char"/>
    <w:basedOn w:val="DefaultParagraphFont"/>
    <w:link w:val="Heading2"/>
    <w:uiPriority w:val="9"/>
    <w:rsid w:val="00D274FD"/>
    <w:rPr>
      <w:b/>
      <w:bCs/>
      <w:iCs/>
      <w:sz w:val="22"/>
      <w:szCs w:val="24"/>
      <w:lang w:val="en-GB"/>
    </w:rPr>
  </w:style>
  <w:style w:type="character" w:customStyle="1" w:styleId="FooterChar">
    <w:name w:val="Footer Char"/>
    <w:basedOn w:val="DefaultParagraphFont"/>
    <w:link w:val="Footer"/>
    <w:uiPriority w:val="99"/>
    <w:rsid w:val="00D274FD"/>
    <w:rPr>
      <w:sz w:val="22"/>
      <w:szCs w:val="24"/>
      <w:lang w:val="en-GB"/>
    </w:rPr>
  </w:style>
  <w:style w:type="paragraph" w:styleId="TOCHeading">
    <w:name w:val="TOC Heading"/>
    <w:basedOn w:val="Heading1"/>
    <w:next w:val="Normal"/>
    <w:uiPriority w:val="39"/>
    <w:unhideWhenUsed/>
    <w:qFormat/>
    <w:rsid w:val="00D274FD"/>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D274FD"/>
    <w:pPr>
      <w:spacing w:after="160" w:line="240" w:lineRule="exact"/>
      <w:jc w:val="left"/>
    </w:pPr>
    <w:rPr>
      <w:sz w:val="18"/>
      <w:szCs w:val="20"/>
      <w:u w:val="single"/>
      <w:lang w:val="en-CA"/>
    </w:rPr>
  </w:style>
  <w:style w:type="character" w:customStyle="1" w:styleId="UnresolvedMention2">
    <w:name w:val="Unresolved Mention2"/>
    <w:basedOn w:val="DefaultParagraphFont"/>
    <w:uiPriority w:val="99"/>
    <w:semiHidden/>
    <w:unhideWhenUsed/>
    <w:rsid w:val="00D274FD"/>
    <w:rPr>
      <w:color w:val="605E5C"/>
      <w:shd w:val="clear" w:color="auto" w:fill="E1DFDD"/>
    </w:rPr>
  </w:style>
  <w:style w:type="character" w:styleId="UnresolvedMention">
    <w:name w:val="Unresolved Mention"/>
    <w:basedOn w:val="DefaultParagraphFont"/>
    <w:uiPriority w:val="99"/>
    <w:semiHidden/>
    <w:unhideWhenUsed/>
    <w:rsid w:val="008A4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318341013">
      <w:bodyDiv w:val="1"/>
      <w:marLeft w:val="0"/>
      <w:marRight w:val="0"/>
      <w:marTop w:val="0"/>
      <w:marBottom w:val="0"/>
      <w:divBdr>
        <w:top w:val="none" w:sz="0" w:space="0" w:color="auto"/>
        <w:left w:val="none" w:sz="0" w:space="0" w:color="auto"/>
        <w:bottom w:val="none" w:sz="0" w:space="0" w:color="auto"/>
        <w:right w:val="none" w:sz="0" w:space="0" w:color="auto"/>
      </w:divBdr>
    </w:div>
    <w:div w:id="41643938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806898345">
      <w:bodyDiv w:val="1"/>
      <w:marLeft w:val="0"/>
      <w:marRight w:val="0"/>
      <w:marTop w:val="0"/>
      <w:marBottom w:val="0"/>
      <w:divBdr>
        <w:top w:val="none" w:sz="0" w:space="0" w:color="auto"/>
        <w:left w:val="none" w:sz="0" w:space="0" w:color="auto"/>
        <w:bottom w:val="none" w:sz="0" w:space="0" w:color="auto"/>
        <w:right w:val="none" w:sz="0" w:space="0" w:color="auto"/>
      </w:divBdr>
    </w:div>
    <w:div w:id="851260151">
      <w:bodyDiv w:val="1"/>
      <w:marLeft w:val="0"/>
      <w:marRight w:val="0"/>
      <w:marTop w:val="0"/>
      <w:marBottom w:val="0"/>
      <w:divBdr>
        <w:top w:val="none" w:sz="0" w:space="0" w:color="auto"/>
        <w:left w:val="none" w:sz="0" w:space="0" w:color="auto"/>
        <w:bottom w:val="none" w:sz="0" w:space="0" w:color="auto"/>
        <w:right w:val="none" w:sz="0" w:space="0" w:color="auto"/>
      </w:divBdr>
    </w:div>
    <w:div w:id="1012416239">
      <w:bodyDiv w:val="1"/>
      <w:marLeft w:val="0"/>
      <w:marRight w:val="0"/>
      <w:marTop w:val="0"/>
      <w:marBottom w:val="0"/>
      <w:divBdr>
        <w:top w:val="none" w:sz="0" w:space="0" w:color="auto"/>
        <w:left w:val="none" w:sz="0" w:space="0" w:color="auto"/>
        <w:bottom w:val="none" w:sz="0" w:space="0" w:color="auto"/>
        <w:right w:val="none" w:sz="0" w:space="0" w:color="auto"/>
      </w:divBdr>
    </w:div>
    <w:div w:id="1080370959">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105195260">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428164290">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175658640">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2101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496334777">
      <w:bodyDiv w:val="1"/>
      <w:marLeft w:val="0"/>
      <w:marRight w:val="0"/>
      <w:marTop w:val="0"/>
      <w:marBottom w:val="0"/>
      <w:divBdr>
        <w:top w:val="none" w:sz="0" w:space="0" w:color="auto"/>
        <w:left w:val="none" w:sz="0" w:space="0" w:color="auto"/>
        <w:bottom w:val="none" w:sz="0" w:space="0" w:color="auto"/>
        <w:right w:val="none" w:sz="0" w:space="0" w:color="auto"/>
      </w:divBdr>
    </w:div>
    <w:div w:id="1512914902">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139427004">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2135444582">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864201222">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 w:id="2128767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cbd.int/doc/decisions/cop-13/cop-13-dec-28-en.pdf" TargetMode="External"/><Relationship Id="rId26" Type="http://schemas.openxmlformats.org/officeDocument/2006/relationships/hyperlink" Target="https://www.cbd.int/doc/c/e3c3/2809/b52265e64971be877d09c052/sbi-02-12-en.pdf" TargetMode="External"/><Relationship Id="rId3" Type="http://schemas.openxmlformats.org/officeDocument/2006/relationships/customXml" Target="../customXml/item3.xml"/><Relationship Id="rId21" Type="http://schemas.openxmlformats.org/officeDocument/2006/relationships/hyperlink" Target="https://www.cbd.int/doc/c/e3c3/2809/b52265e64971be877d09c052/sbi-02-12-en.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3/cop-13-dec-24-en.pdf" TargetMode="External"/><Relationship Id="rId25" Type="http://schemas.openxmlformats.org/officeDocument/2006/relationships/hyperlink" Target="https://www.cbd.int/doc/c/5c5f/cce3/d994ffe3ff426bfd61eb1bac/cop-14-inf-26-en.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c/5900/c3be/53c712c8a7ecbab8a9319828/sbi-02-inf-14-en.pdf" TargetMode="External"/><Relationship Id="rId20" Type="http://schemas.openxmlformats.org/officeDocument/2006/relationships/hyperlink" Target="https://www.cbd.int/doc/c/e3c3/2809/b52265e64971be877d09c052/sbi-02-12-en.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3/cop-13-dec-31-en.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doc/c/e3c3/2809/b52265e64971be877d09c052/sbi-02-12-en.pdf" TargetMode="External"/><Relationship Id="rId23" Type="http://schemas.openxmlformats.org/officeDocument/2006/relationships/hyperlink" Target="http://www.informea.org"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bd.int/doc/decisions/cop-14/cop-14-dec-27-en.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27-en.pdf" TargetMode="External"/><Relationship Id="rId22" Type="http://schemas.openxmlformats.org/officeDocument/2006/relationships/hyperlink" Target="https://www.cbd.int/doc/c/e3c3/2809/b52265e64971be877d09c052/sbi-02-12-en.pdf" TargetMode="External"/><Relationship Id="rId27" Type="http://schemas.openxmlformats.org/officeDocument/2006/relationships/hyperlink" Target="https://www.cbd.int/doc/c/3572/0ba5/0c4173a13cf0e7b040f7e6e2/sbi-03-11-en.pd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de9c/8c12/7c0cb88a47f9084e5d0b82eb/post2020-prep-01-inf-01-en.pdf" TargetMode="External"/><Relationship Id="rId13" Type="http://schemas.openxmlformats.org/officeDocument/2006/relationships/hyperlink" Target="https://undocs.org/E/CN.18/2019/3" TargetMode="External"/><Relationship Id="rId18" Type="http://schemas.openxmlformats.org/officeDocument/2006/relationships/hyperlink" Target="http://www.cpfweb.org/96344/en/" TargetMode="External"/><Relationship Id="rId26" Type="http://schemas.openxmlformats.org/officeDocument/2006/relationships/hyperlink" Target="https://www.cbd.int/doc/meetings/cop/cop-13/information/cop-13-inf-24-en.pdf" TargetMode="External"/><Relationship Id="rId3" Type="http://schemas.openxmlformats.org/officeDocument/2006/relationships/hyperlink" Target="https://www.cbd.int/doc/decisions/cop-14/cop-14-dec-30-en.pdf" TargetMode="External"/><Relationship Id="rId21" Type="http://schemas.openxmlformats.org/officeDocument/2006/relationships/hyperlink" Target="http://www.ors.ngo" TargetMode="External"/><Relationship Id="rId7" Type="http://schemas.openxmlformats.org/officeDocument/2006/relationships/hyperlink" Target="http://www.cbd.int/post2020/submissions" TargetMode="External"/><Relationship Id="rId12" Type="http://schemas.openxmlformats.org/officeDocument/2006/relationships/hyperlink" Target="http://www.unep-wcmc.org/system/comfy/cms/files/files/000/001/401/original/Cross_mapping_A3_final.pdf" TargetMode="External"/><Relationship Id="rId17" Type="http://schemas.openxmlformats.org/officeDocument/2006/relationships/hyperlink" Target="https://www.cbd.int/meetings/BRCWS-2016-01" TargetMode="External"/><Relationship Id="rId25" Type="http://schemas.openxmlformats.org/officeDocument/2006/relationships/hyperlink" Target="https://www.cbd.int/doc/nr/nr-06/cop-13-21-en-rev.pdf" TargetMode="External"/><Relationship Id="rId2" Type="http://schemas.openxmlformats.org/officeDocument/2006/relationships/hyperlink" Target="https://www.cbd.int/doc/decisions/cop-13/cop-13-dec-24-en.pdf" TargetMode="External"/><Relationship Id="rId16" Type="http://schemas.openxmlformats.org/officeDocument/2006/relationships/hyperlink" Target="https://wedocs.unep.org/bitstream/handle/20.500.11822/9967/elaborations-options-enhancing-synergies.pdf?sequence=1&amp;isAllowed=y" TargetMode="External"/><Relationship Id="rId20" Type="http://schemas.openxmlformats.org/officeDocument/2006/relationships/hyperlink" Target="https://www.cbd.int/reports/thematic.shtml" TargetMode="External"/><Relationship Id="rId1" Type="http://schemas.openxmlformats.org/officeDocument/2006/relationships/hyperlink" Target="https://www.cbd.int/doc/c/2741/8770/7e40b4122c595e106d217c5d/sbi-03-01-en.pdf" TargetMode="External"/><Relationship Id="rId6" Type="http://schemas.openxmlformats.org/officeDocument/2006/relationships/hyperlink" Target="https://www.cbd.int/doc/c/de6d/6f08/e6f5ab406bf39019f9d5db62/post2020-ws-2019-06-02-en.pdf" TargetMode="External"/><Relationship Id="rId11" Type="http://schemas.openxmlformats.org/officeDocument/2006/relationships/hyperlink" Target="http://www.bipindicators.net/system/resources/files/000/002/291/original/Cross_mapping_4pp_A3_WEB.pdf?1527060479" TargetMode="External"/><Relationship Id="rId24" Type="http://schemas.openxmlformats.org/officeDocument/2006/relationships/hyperlink" Target="http://www.wcmc.io/sourcebook-web" TargetMode="External"/><Relationship Id="rId5" Type="http://schemas.openxmlformats.org/officeDocument/2006/relationships/hyperlink" Target="http://www.cbd.int/post2020" TargetMode="External"/><Relationship Id="rId15" Type="http://schemas.openxmlformats.org/officeDocument/2006/relationships/hyperlink" Target="http://www.cbd.int/doc/c/7217/00d0/a9328110a490b7a8957a0cd9/cop-14-inf-40-en.pdf" TargetMode="External"/><Relationship Id="rId23" Type="http://schemas.openxmlformats.org/officeDocument/2006/relationships/hyperlink" Target="http://www.unep-wcmc.org/resources-and-data/biodiversitysynergies" TargetMode="External"/><Relationship Id="rId10" Type="http://schemas.openxmlformats.org/officeDocument/2006/relationships/hyperlink" Target="http://www.biodiversityindicators.net" TargetMode="External"/><Relationship Id="rId19" Type="http://schemas.openxmlformats.org/officeDocument/2006/relationships/hyperlink" Target="https://www.cbd.int/doc/meetings/cop/cop-13/information/cop-13-inf-24-en.pdf" TargetMode="External"/><Relationship Id="rId4" Type="http://schemas.openxmlformats.org/officeDocument/2006/relationships/hyperlink" Target="https://www.cbd.int/doc/c/8e6f/ef4f/b7d30589fb00d97b900d17af/post2020-ws-2020-01-03-en.pdf" TargetMode="External"/><Relationship Id="rId9" Type="http://schemas.openxmlformats.org/officeDocument/2006/relationships/hyperlink" Target="https://www.cbd.int/doc/meetings/biodiv/brcws-2016-01/other/brcws-2016-01-unep-wcmc-en.pdf" TargetMode="External"/><Relationship Id="rId14" Type="http://schemas.openxmlformats.org/officeDocument/2006/relationships/hyperlink" Target="http://www.cpfweb.org/96344" TargetMode="External"/><Relationship Id="rId22" Type="http://schemas.openxmlformats.org/officeDocument/2006/relationships/hyperlink" Target="https://chm.cbd.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60AC7C651748D2AD104BBEB66E7186"/>
        <w:category>
          <w:name w:val="General"/>
          <w:gallery w:val="placeholder"/>
        </w:category>
        <w:types>
          <w:type w:val="bbPlcHdr"/>
        </w:types>
        <w:behaviors>
          <w:behavior w:val="content"/>
        </w:behaviors>
        <w:guid w:val="{7EBB986D-7AAA-4F4A-8656-CE1262B3F0FE}"/>
      </w:docPartPr>
      <w:docPartBody>
        <w:p w:rsidR="00111B6B" w:rsidRDefault="00BD6707" w:rsidP="00BD6707">
          <w:pPr>
            <w:pStyle w:val="D160AC7C651748D2AD104BBEB66E7186"/>
          </w:pPr>
          <w:r w:rsidRPr="007E02EB">
            <w:rPr>
              <w:rStyle w:val="PlaceholderText"/>
            </w:rPr>
            <w:t>[Title]</w:t>
          </w:r>
        </w:p>
      </w:docPartBody>
    </w:docPart>
    <w:docPart>
      <w:docPartPr>
        <w:name w:val="1B170A61554D4C17A883F491EC9262B1"/>
        <w:category>
          <w:name w:val="General"/>
          <w:gallery w:val="placeholder"/>
        </w:category>
        <w:types>
          <w:type w:val="bbPlcHdr"/>
        </w:types>
        <w:behaviors>
          <w:behavior w:val="content"/>
        </w:behaviors>
        <w:guid w:val="{843387AB-D4EF-42B8-9B01-1D08F0ED87E9}"/>
      </w:docPartPr>
      <w:docPartBody>
        <w:p w:rsidR="007761D7" w:rsidRDefault="00111B6B" w:rsidP="00111B6B">
          <w:pPr>
            <w:pStyle w:val="1B170A61554D4C17A883F491EC9262B1"/>
          </w:pPr>
          <w:r w:rsidRPr="007E02EB">
            <w:rPr>
              <w:rStyle w:val="PlaceholderText"/>
            </w:rPr>
            <w:t>[Subject]</w:t>
          </w:r>
        </w:p>
      </w:docPartBody>
    </w:docPart>
    <w:docPart>
      <w:docPartPr>
        <w:name w:val="B2740A737A934A9FB3C0ADBC12E6E8B8"/>
        <w:category>
          <w:name w:val="General"/>
          <w:gallery w:val="placeholder"/>
        </w:category>
        <w:types>
          <w:type w:val="bbPlcHdr"/>
        </w:types>
        <w:behaviors>
          <w:behavior w:val="content"/>
        </w:behaviors>
        <w:guid w:val="{5979F39A-9E2C-4566-875E-9208229CDEF0}"/>
      </w:docPartPr>
      <w:docPartBody>
        <w:p w:rsidR="007761D7" w:rsidRDefault="00111B6B" w:rsidP="00111B6B">
          <w:pPr>
            <w:pStyle w:val="B2740A737A934A9FB3C0ADBC12E6E8B8"/>
          </w:pPr>
          <w:r w:rsidRPr="006D0F48">
            <w:rPr>
              <w:rStyle w:val="PlaceholderText"/>
            </w:rPr>
            <w:t>[Subject]</w:t>
          </w:r>
        </w:p>
      </w:docPartBody>
    </w:docPart>
    <w:docPart>
      <w:docPartPr>
        <w:name w:val="8B53D02231354C5F8930B440D42BEC4B"/>
        <w:category>
          <w:name w:val="General"/>
          <w:gallery w:val="placeholder"/>
        </w:category>
        <w:types>
          <w:type w:val="bbPlcHdr"/>
        </w:types>
        <w:behaviors>
          <w:behavior w:val="content"/>
        </w:behaviors>
        <w:guid w:val="{92EB63BC-4F84-423E-AAAD-32780A9DAB8F}"/>
      </w:docPartPr>
      <w:docPartBody>
        <w:p w:rsidR="007761D7" w:rsidRDefault="00111B6B" w:rsidP="00111B6B">
          <w:pPr>
            <w:pStyle w:val="8B53D02231354C5F8930B440D42BEC4B"/>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07"/>
    <w:rsid w:val="00111B6B"/>
    <w:rsid w:val="0016545E"/>
    <w:rsid w:val="00253077"/>
    <w:rsid w:val="003B299A"/>
    <w:rsid w:val="003E2F5F"/>
    <w:rsid w:val="00450362"/>
    <w:rsid w:val="005237B6"/>
    <w:rsid w:val="00557BB5"/>
    <w:rsid w:val="005A5F18"/>
    <w:rsid w:val="006133C7"/>
    <w:rsid w:val="0068425F"/>
    <w:rsid w:val="007761D7"/>
    <w:rsid w:val="007D2E80"/>
    <w:rsid w:val="007F7A38"/>
    <w:rsid w:val="00800184"/>
    <w:rsid w:val="00922E23"/>
    <w:rsid w:val="009305B0"/>
    <w:rsid w:val="0099241D"/>
    <w:rsid w:val="009B3C4F"/>
    <w:rsid w:val="00A33289"/>
    <w:rsid w:val="00AF7033"/>
    <w:rsid w:val="00B2495E"/>
    <w:rsid w:val="00B824EF"/>
    <w:rsid w:val="00BD6707"/>
    <w:rsid w:val="00C66A57"/>
    <w:rsid w:val="00CD62E5"/>
    <w:rsid w:val="00D67108"/>
    <w:rsid w:val="00DF2278"/>
    <w:rsid w:val="00E81429"/>
    <w:rsid w:val="00E8188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50362"/>
    <w:rPr>
      <w:color w:val="808080"/>
    </w:rPr>
  </w:style>
  <w:style w:type="paragraph" w:customStyle="1" w:styleId="D160AC7C651748D2AD104BBEB66E7186">
    <w:name w:val="D160AC7C651748D2AD104BBEB66E7186"/>
    <w:rsid w:val="00BD6707"/>
  </w:style>
  <w:style w:type="paragraph" w:customStyle="1" w:styleId="2E90E5FE012F4945AA2BE0D38A3C6A8B">
    <w:name w:val="2E90E5FE012F4945AA2BE0D38A3C6A8B"/>
    <w:rsid w:val="00111B6B"/>
  </w:style>
  <w:style w:type="paragraph" w:customStyle="1" w:styleId="1B170A61554D4C17A883F491EC9262B1">
    <w:name w:val="1B170A61554D4C17A883F491EC9262B1"/>
    <w:rsid w:val="00111B6B"/>
  </w:style>
  <w:style w:type="paragraph" w:customStyle="1" w:styleId="3C2168D7574D4ED0AEAEBAC1E916A688">
    <w:name w:val="3C2168D7574D4ED0AEAEBAC1E916A688"/>
    <w:rsid w:val="00111B6B"/>
  </w:style>
  <w:style w:type="paragraph" w:customStyle="1" w:styleId="6AE77E7415134D42B4C441740CF4C590">
    <w:name w:val="6AE77E7415134D42B4C441740CF4C590"/>
    <w:rsid w:val="00111B6B"/>
  </w:style>
  <w:style w:type="paragraph" w:customStyle="1" w:styleId="B2740A737A934A9FB3C0ADBC12E6E8B8">
    <w:name w:val="B2740A737A934A9FB3C0ADBC12E6E8B8"/>
    <w:rsid w:val="00111B6B"/>
  </w:style>
  <w:style w:type="paragraph" w:customStyle="1" w:styleId="8B53D02231354C5F8930B440D42BEC4B">
    <w:name w:val="8B53D02231354C5F8930B440D42BEC4B"/>
    <w:rsid w:val="00111B6B"/>
  </w:style>
  <w:style w:type="paragraph" w:customStyle="1" w:styleId="2093AF15DB774C379F129C2486949C0C">
    <w:name w:val="2093AF15DB774C379F129C2486949C0C"/>
    <w:rsid w:val="00450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EBC4-DD6A-43DA-8EBB-EC41101E4C55}">
  <ds:schemaRefs>
    <ds:schemaRef ds:uri="http://schemas.microsoft.com/sharepoint/v3/contenttype/forms"/>
  </ds:schemaRefs>
</ds:datastoreItem>
</file>

<file path=customXml/itemProps2.xml><?xml version="1.0" encoding="utf-8"?>
<ds:datastoreItem xmlns:ds="http://schemas.openxmlformats.org/officeDocument/2006/customXml" ds:itemID="{B4D8B2D4-8B47-49BE-8503-D4C543D8F5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333582-BD61-4E0E-99DA-CEC2449F4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13BBFC-92F1-4FFC-84CB-B01F1061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1857</TotalTime>
  <Pages>11</Pages>
  <Words>6548</Words>
  <Characters>37325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Options for enhancing synergies on national reporting among biodiversity-related conventions and Rio conventions</vt:lpstr>
    </vt:vector>
  </TitlesOfParts>
  <Company>SCBD</Company>
  <LinksUpToDate>false</LinksUpToDate>
  <CharactersWithSpaces>43786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for enhancing synergies on national reporting among biodiversity-related conventions and Rio conventions</dc:title>
  <dc:subject>CBD/SBI/3/11/Add.2</dc:subject>
  <dc:creator>SCBD</dc:creator>
  <cp:keywords>Subsidiary Body on Implementation, third meeting, Convention on Biological Diversity</cp:keywords>
  <cp:lastModifiedBy>Veronique Lefebvre</cp:lastModifiedBy>
  <cp:revision>98</cp:revision>
  <cp:lastPrinted>2018-03-06T16:45:00Z</cp:lastPrinted>
  <dcterms:created xsi:type="dcterms:W3CDTF">2020-11-05T16:07:00Z</dcterms:created>
  <dcterms:modified xsi:type="dcterms:W3CDTF">2021-01-14T15:59:00Z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y fmtid="{D5CDD505-2E9C-101B-9397-08002B2CF9AE}" pid="4" name="ContentTypeId">
    <vt:lpwstr>0x01010069BFACF6D92CD24AA50050CE23F68F74</vt:lpwstr>
  </property>
</Properties>
</file>