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04B3A" w14:textId="77777777" w:rsidR="008A1499" w:rsidRPr="003F1A75" w:rsidRDefault="008A1499" w:rsidP="008A1499">
      <w:pPr>
        <w:pStyle w:val="AISpacer"/>
      </w:pPr>
    </w:p>
    <w:p w14:paraId="54C8FD1E" w14:textId="77777777" w:rsidR="008A1499" w:rsidRPr="003F1A75" w:rsidRDefault="008A1499" w:rsidP="008A1499">
      <w:pPr>
        <w:pStyle w:val="AISpacer"/>
      </w:pPr>
    </w:p>
    <w:tbl>
      <w:tblPr>
        <w:tblW w:w="10482" w:type="dxa"/>
        <w:tblInd w:w="-283" w:type="dxa"/>
        <w:tblLayout w:type="fixed"/>
        <w:tblLook w:val="0000" w:firstRow="0" w:lastRow="0" w:firstColumn="0" w:lastColumn="0" w:noHBand="0" w:noVBand="0"/>
      </w:tblPr>
      <w:tblGrid>
        <w:gridCol w:w="975"/>
        <w:gridCol w:w="1434"/>
        <w:gridCol w:w="8073"/>
      </w:tblGrid>
      <w:tr w:rsidR="00F64A7B" w:rsidRPr="003F1A75" w14:paraId="659B49EB" w14:textId="77777777" w:rsidTr="00F64A7B">
        <w:trPr>
          <w:trHeight w:val="850"/>
        </w:trPr>
        <w:tc>
          <w:tcPr>
            <w:tcW w:w="975" w:type="dxa"/>
            <w:vAlign w:val="bottom"/>
          </w:tcPr>
          <w:p w14:paraId="62B263DA" w14:textId="77777777" w:rsidR="00F64A7B" w:rsidRPr="003F1A75" w:rsidRDefault="00F64A7B" w:rsidP="008A1499">
            <w:pPr>
              <w:pStyle w:val="AASmallLogo"/>
            </w:pPr>
            <w:r w:rsidRPr="003F1A75">
              <w:rPr>
                <w:noProof/>
              </w:rPr>
              <w:drawing>
                <wp:inline distT="0" distB="0" distL="0" distR="0" wp14:anchorId="116FB276" wp14:editId="051E168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F1A75">
              <w:t xml:space="preserve"> </w:t>
            </w:r>
          </w:p>
          <w:p w14:paraId="70AD80E7" w14:textId="77777777" w:rsidR="00F64A7B" w:rsidRPr="003F1A75" w:rsidRDefault="00F64A7B" w:rsidP="008A1499">
            <w:pPr>
              <w:pStyle w:val="AASmallLogo"/>
              <w:rPr>
                <w:noProof/>
              </w:rPr>
            </w:pPr>
          </w:p>
        </w:tc>
        <w:tc>
          <w:tcPr>
            <w:tcW w:w="1434" w:type="dxa"/>
            <w:noWrap/>
            <w:vAlign w:val="bottom"/>
          </w:tcPr>
          <w:p w14:paraId="4B370E89" w14:textId="77777777" w:rsidR="00F64A7B" w:rsidRPr="003F1A75" w:rsidRDefault="00F64A7B" w:rsidP="008A1499">
            <w:pPr>
              <w:pStyle w:val="AASmallLogo"/>
            </w:pPr>
            <w:r w:rsidRPr="003F1A75">
              <w:rPr>
                <w:noProof/>
              </w:rPr>
              <w:drawing>
                <wp:inline distT="0" distB="0" distL="0" distR="0" wp14:anchorId="6E534C0D" wp14:editId="0C99771A">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F1A75">
              <w:t xml:space="preserve"> </w:t>
            </w:r>
          </w:p>
          <w:p w14:paraId="1A3577E9" w14:textId="77777777" w:rsidR="00F64A7B" w:rsidRPr="003F1A75" w:rsidRDefault="00F64A7B" w:rsidP="008A1499">
            <w:pPr>
              <w:pStyle w:val="AASmallLogo"/>
              <w:rPr>
                <w:noProof/>
              </w:rPr>
            </w:pPr>
          </w:p>
        </w:tc>
        <w:tc>
          <w:tcPr>
            <w:tcW w:w="8073" w:type="dxa"/>
            <w:vAlign w:val="bottom"/>
          </w:tcPr>
          <w:p w14:paraId="1045ECD4" w14:textId="492CCF24" w:rsidR="00F64A7B" w:rsidRPr="00F64A7B" w:rsidRDefault="00F64A7B" w:rsidP="00F64A7B">
            <w:pPr>
              <w:pStyle w:val="ABSymbol"/>
            </w:pPr>
            <w:r w:rsidRPr="003F1A75">
              <w:rPr>
                <w:sz w:val="40"/>
              </w:rPr>
              <w:t>CBD</w:t>
            </w:r>
            <w:r w:rsidRPr="003F1A75">
              <w:t>/</w:t>
            </w:r>
            <w:r>
              <w:t>COP</w:t>
            </w:r>
            <w:r w:rsidRPr="003F1A75">
              <w:t>/</w:t>
            </w:r>
            <w:r>
              <w:t>17/L.17</w:t>
            </w:r>
          </w:p>
        </w:tc>
      </w:tr>
    </w:tbl>
    <w:p w14:paraId="5FEC517F" w14:textId="77777777" w:rsidR="008A1499" w:rsidRPr="003F1A75"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F1A75" w14:paraId="3E90D1AF" w14:textId="77777777" w:rsidTr="008A1499">
        <w:trPr>
          <w:trHeight w:val="1814"/>
        </w:trPr>
        <w:tc>
          <w:tcPr>
            <w:tcW w:w="7370" w:type="dxa"/>
          </w:tcPr>
          <w:p w14:paraId="5632C2DD" w14:textId="77777777" w:rsidR="008A1499" w:rsidRPr="003F1A75" w:rsidRDefault="008A1499" w:rsidP="008A1499">
            <w:pPr>
              <w:pStyle w:val="ACLargeLogo"/>
            </w:pPr>
            <w:r w:rsidRPr="003F1A75">
              <w:rPr>
                <w:noProof/>
              </w:rPr>
              <w:drawing>
                <wp:inline distT="0" distB="0" distL="0" distR="0" wp14:anchorId="310CE8EB" wp14:editId="5750589C">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F1A75">
              <w:t xml:space="preserve"> </w:t>
            </w:r>
          </w:p>
          <w:p w14:paraId="746A8D78" w14:textId="77777777" w:rsidR="008A1499" w:rsidRPr="003F1A75" w:rsidRDefault="008A1499" w:rsidP="008A1499">
            <w:pPr>
              <w:pStyle w:val="ACLargeLogo"/>
            </w:pPr>
          </w:p>
        </w:tc>
        <w:tc>
          <w:tcPr>
            <w:tcW w:w="3112" w:type="dxa"/>
          </w:tcPr>
          <w:p w14:paraId="36C23818" w14:textId="310508DE" w:rsidR="008A1499" w:rsidRPr="003F1A75" w:rsidRDefault="008A1499" w:rsidP="008A1499">
            <w:pPr>
              <w:pStyle w:val="AEDistrNormal"/>
            </w:pPr>
            <w:r>
              <w:t>Distr. </w:t>
            </w:r>
            <w:r w:rsidR="00A06A79">
              <w:t>l</w:t>
            </w:r>
            <w:r>
              <w:t>imitée</w:t>
            </w:r>
          </w:p>
          <w:p w14:paraId="72D88946" w14:textId="77777777" w:rsidR="00A06A79" w:rsidRDefault="003A6A67" w:rsidP="00A06A79">
            <w:pPr>
              <w:pStyle w:val="AEDistrNormal"/>
            </w:pPr>
            <w:r>
              <w:t>29 octobre 2026</w:t>
            </w:r>
          </w:p>
          <w:p w14:paraId="099BB01C" w14:textId="7CD42D3D" w:rsidR="008A1499" w:rsidRPr="003F1A75" w:rsidRDefault="008A1499" w:rsidP="00A06A79">
            <w:pPr>
              <w:pStyle w:val="AEDistrNormal"/>
            </w:pPr>
            <w:r>
              <w:t>Français</w:t>
            </w:r>
            <w:r>
              <w:br/>
              <w:t>Original : anglais</w:t>
            </w:r>
          </w:p>
          <w:p w14:paraId="34BFD666" w14:textId="77777777" w:rsidR="008A1499" w:rsidRPr="003F1A75" w:rsidRDefault="008A1499" w:rsidP="008A1499">
            <w:pPr>
              <w:pStyle w:val="AEDistrNormal6pt"/>
            </w:pPr>
          </w:p>
        </w:tc>
      </w:tr>
    </w:tbl>
    <w:p w14:paraId="07FF5E0A" w14:textId="77777777" w:rsidR="008A1499" w:rsidRPr="003F1A75"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3F1A75" w14:paraId="611937C8" w14:textId="77777777" w:rsidTr="00FC753C">
        <w:trPr>
          <w:trHeight w:val="4114"/>
        </w:trPr>
        <w:tc>
          <w:tcPr>
            <w:tcW w:w="6094" w:type="dxa"/>
          </w:tcPr>
          <w:p w14:paraId="3DA339DF" w14:textId="77777777" w:rsidR="008A1499" w:rsidRPr="003F1A75" w:rsidRDefault="00240EE6" w:rsidP="008A1499">
            <w:pPr>
              <w:pStyle w:val="AFCorN12Bold"/>
            </w:pPr>
            <w:r>
              <w:t>Conférence des Parties à la Convention</w:t>
            </w:r>
            <w:r>
              <w:br/>
              <w:t>sur la diversité biologique</w:t>
            </w:r>
          </w:p>
          <w:p w14:paraId="39EFEEE9" w14:textId="77777777" w:rsidR="008A1499" w:rsidRPr="003F1A75" w:rsidRDefault="00240EE6" w:rsidP="008A1499">
            <w:pPr>
              <w:pStyle w:val="AFCorNBold"/>
            </w:pPr>
            <w:r>
              <w:t>Dix-septième réunion</w:t>
            </w:r>
          </w:p>
          <w:p w14:paraId="44AD44C0" w14:textId="77777777" w:rsidR="008A1499" w:rsidRPr="003F1A75" w:rsidRDefault="00240EE6" w:rsidP="008A1499">
            <w:pPr>
              <w:pStyle w:val="AFCorNNormal"/>
            </w:pPr>
            <w:r>
              <w:t>Erevan, 19–30 octobre 2026</w:t>
            </w:r>
          </w:p>
          <w:p w14:paraId="6AC7647F" w14:textId="09AF4AA3" w:rsidR="00137278" w:rsidRPr="00B74A8D" w:rsidRDefault="00137278" w:rsidP="00137278">
            <w:pPr>
              <w:pStyle w:val="AFCorNNormal"/>
            </w:pPr>
            <w:r>
              <w:t>Points 17 a) et d) de l’ordre du jour</w:t>
            </w:r>
          </w:p>
          <w:p w14:paraId="661229F7" w14:textId="3A6D32F2" w:rsidR="00F23639" w:rsidRPr="00B74A8D" w:rsidRDefault="00F23639" w:rsidP="00137278">
            <w:pPr>
              <w:pStyle w:val="AFCorNNormal"/>
              <w:rPr>
                <w:b/>
                <w:bCs/>
              </w:rPr>
            </w:pPr>
            <w:r>
              <w:rPr>
                <w:b/>
                <w:bCs/>
              </w:rPr>
              <w:t>Besoins scientifiques et techniques afin d’appuyer la mise en œuvre du Cadre mondial de la biodiversité de Kunming-Montréal et les questions en lien avec le programme de travail de la Plateforme intergouvernementale scientifique et politique sur la biodiversité et les services écosystémiques :</w:t>
            </w:r>
            <w:r>
              <w:rPr>
                <w:b/>
                <w:bCs/>
              </w:rPr>
              <w:br/>
              <w:t>Examen et analyse stratégiques des programmes de travail relevant de la Convention sur la diversité biologique dans le contexte du Cadre ;</w:t>
            </w:r>
          </w:p>
          <w:p w14:paraId="5883013B" w14:textId="0F018ACD" w:rsidR="00D448B3" w:rsidRPr="00E759E4" w:rsidRDefault="0039554B" w:rsidP="00137278">
            <w:pPr>
              <w:pStyle w:val="AFCorNNormal"/>
              <w:rPr>
                <w:b/>
                <w:bCs/>
              </w:rPr>
            </w:pPr>
            <w:r>
              <w:rPr>
                <w:b/>
                <w:bCs/>
              </w:rPr>
              <w:t>Domaines de travail pour de futurs travaux possibles dans le contexte du Cadre</w:t>
            </w:r>
          </w:p>
        </w:tc>
        <w:tc>
          <w:tcPr>
            <w:tcW w:w="4388" w:type="dxa"/>
          </w:tcPr>
          <w:p w14:paraId="5AD60F63" w14:textId="77777777" w:rsidR="008A1499" w:rsidRPr="003F1A75" w:rsidRDefault="008A1499" w:rsidP="008A1499">
            <w:pPr>
              <w:pStyle w:val="CBDNormal"/>
              <w:jc w:val="left"/>
            </w:pPr>
          </w:p>
        </w:tc>
      </w:tr>
    </w:tbl>
    <w:p w14:paraId="72AE088F" w14:textId="3B984838" w:rsidR="00E0286B" w:rsidRPr="00FC753C" w:rsidRDefault="00710A43" w:rsidP="00C50A8D">
      <w:pPr>
        <w:pStyle w:val="CBDTitle"/>
      </w:pPr>
      <w:r w:rsidRPr="00BA7562">
        <w:t>Besoins scientifiques</w:t>
      </w:r>
      <w:r>
        <w:t xml:space="preserve"> et techniques afin d’appuyer la mise en œuvre du Cadre mondial de la biodiversité de Kunming-Montréal</w:t>
      </w:r>
    </w:p>
    <w:p w14:paraId="1F7DE64D" w14:textId="34CCB632" w:rsidR="00137278" w:rsidRDefault="00137278" w:rsidP="00E51951">
      <w:pPr>
        <w:pStyle w:val="CBDSubTitle"/>
      </w:pPr>
      <w:r>
        <w:t>Projets de décision présentés</w:t>
      </w:r>
      <w:r w:rsidRPr="00451901">
        <w:t xml:space="preserve"> </w:t>
      </w:r>
      <w:r>
        <w:t>par le Président du Groupe</w:t>
      </w:r>
      <w:r w:rsidRPr="00451901">
        <w:t xml:space="preserve"> de </w:t>
      </w:r>
      <w:r>
        <w:t>travail</w:t>
      </w:r>
      <w:r w:rsidRPr="00451901">
        <w:t xml:space="preserve"> </w:t>
      </w:r>
      <w:r>
        <w:t>II</w:t>
      </w:r>
    </w:p>
    <w:p w14:paraId="2DFF8544" w14:textId="77777777" w:rsidR="004B731F" w:rsidRDefault="004B731F" w:rsidP="004B731F">
      <w:pPr>
        <w:pStyle w:val="CBDNormalNoNumber"/>
        <w:keepNext/>
        <w:keepLines/>
        <w:tabs>
          <w:tab w:val="clear" w:pos="1134"/>
        </w:tabs>
        <w:spacing w:before="120"/>
        <w:rPr>
          <w:b/>
          <w:bCs/>
        </w:rPr>
      </w:pPr>
      <w:r>
        <w:rPr>
          <w:b/>
          <w:bCs/>
        </w:rPr>
        <w:t>A</w:t>
      </w:r>
    </w:p>
    <w:p w14:paraId="2E238C6F" w14:textId="455F2A53" w:rsidR="004B731F" w:rsidRPr="00FC753C" w:rsidRDefault="004B731F" w:rsidP="00FC753C">
      <w:pPr>
        <w:pStyle w:val="CBDNormalNoNumber"/>
        <w:keepNext/>
        <w:keepLines/>
        <w:tabs>
          <w:tab w:val="clear" w:pos="1134"/>
        </w:tabs>
        <w:spacing w:before="120"/>
        <w:rPr>
          <w:b/>
          <w:bCs/>
        </w:rPr>
      </w:pPr>
      <w:r w:rsidRPr="002C32BE">
        <w:rPr>
          <w:b/>
        </w:rPr>
        <w:t xml:space="preserve">Examen et analyse stratégiques des programmes de travail relevant de la Convention </w:t>
      </w:r>
      <w:r>
        <w:rPr>
          <w:b/>
        </w:rPr>
        <w:t xml:space="preserve">sur la diversité biologique </w:t>
      </w:r>
      <w:r w:rsidRPr="002C32BE">
        <w:rPr>
          <w:b/>
        </w:rPr>
        <w:t>dans le contexte du Cadre</w:t>
      </w:r>
      <w:r>
        <w:rPr>
          <w:b/>
        </w:rPr>
        <w:t xml:space="preserve"> mondial de la biodiversité de Kunming-Montréal</w:t>
      </w:r>
    </w:p>
    <w:p w14:paraId="289A9CEB" w14:textId="24DD6DB5" w:rsidR="00BC0FAE" w:rsidRPr="00BC0FAE" w:rsidDel="00D62559" w:rsidRDefault="00BC0FAE" w:rsidP="00FC753C">
      <w:pPr>
        <w:pStyle w:val="CBDNormalNoNumber"/>
        <w:tabs>
          <w:tab w:val="clear" w:pos="1134"/>
        </w:tabs>
        <w:ind w:firstLine="567"/>
      </w:pPr>
      <w:r w:rsidRPr="004A3ED6">
        <w:rPr>
          <w:i/>
          <w:iCs/>
        </w:rPr>
        <w:t>La Conférence des Parties</w:t>
      </w:r>
      <w:r w:rsidRPr="004A3ED6">
        <w:t>,</w:t>
      </w:r>
    </w:p>
    <w:p w14:paraId="4E82A409" w14:textId="136ED77C" w:rsidR="00BC0FAE" w:rsidRPr="00BC0FAE" w:rsidRDefault="00A06A79" w:rsidP="00FC753C">
      <w:pPr>
        <w:pStyle w:val="CBDNormalNoNumber"/>
        <w:tabs>
          <w:tab w:val="clear" w:pos="1134"/>
        </w:tabs>
        <w:ind w:firstLine="567"/>
        <w:rPr>
          <w:i/>
          <w:iCs/>
        </w:rPr>
      </w:pPr>
      <w:r>
        <w:rPr>
          <w:i/>
          <w:iCs/>
        </w:rPr>
        <w:t>Reconnaissant</w:t>
      </w:r>
      <w:r w:rsidR="00BC0FAE" w:rsidRPr="004A3ED6">
        <w:t xml:space="preserve"> que, depuis leur</w:t>
      </w:r>
      <w:r w:rsidR="00BC0FAE">
        <w:t xml:space="preserve"> création,</w:t>
      </w:r>
      <w:r w:rsidR="00BC0FAE" w:rsidRPr="004A3ED6">
        <w:t xml:space="preserve"> les programmes de travail existants contribuent à la mise en œuvre de la Convention sur la diversité biologique</w:t>
      </w:r>
      <w:r w:rsidR="00BC0FAE" w:rsidRPr="004A3ED6">
        <w:rPr>
          <w:rStyle w:val="Appelnotedebasdep"/>
        </w:rPr>
        <w:footnoteReference w:id="1"/>
      </w:r>
      <w:r w:rsidR="00BC0FAE" w:rsidRPr="004A3ED6">
        <w:t xml:space="preserve"> et de ses protocoles, ainsi qu’aux travaux de ses organes et de son secrétariat,</w:t>
      </w:r>
    </w:p>
    <w:p w14:paraId="04DBBDBF" w14:textId="0CCB446B" w:rsidR="00BC0FAE" w:rsidRPr="00BC0FAE" w:rsidRDefault="00BC0FAE" w:rsidP="00FC753C">
      <w:pPr>
        <w:pStyle w:val="CBDNormalNoNumber"/>
        <w:tabs>
          <w:tab w:val="clear" w:pos="1134"/>
        </w:tabs>
        <w:ind w:firstLine="567"/>
      </w:pPr>
      <w:r w:rsidRPr="004A3ED6">
        <w:rPr>
          <w:i/>
          <w:iCs/>
        </w:rPr>
        <w:t xml:space="preserve">Rappelant </w:t>
      </w:r>
      <w:r w:rsidRPr="004A3ED6">
        <w:rPr>
          <w:iCs/>
        </w:rPr>
        <w:t>sa décision</w:t>
      </w:r>
      <w:r>
        <w:rPr>
          <w:iCs/>
        </w:rPr>
        <w:t> </w:t>
      </w:r>
      <w:hyperlink r:id="rId15" w:history="1">
        <w:r w:rsidRPr="004A3ED6">
          <w:rPr>
            <w:rStyle w:val="Lienhypertexte"/>
          </w:rPr>
          <w:t>15/4</w:t>
        </w:r>
      </w:hyperlink>
      <w:r w:rsidRPr="004A3ED6">
        <w:t xml:space="preserve"> du 19</w:t>
      </w:r>
      <w:r>
        <w:t> </w:t>
      </w:r>
      <w:r w:rsidRPr="004A3ED6">
        <w:t xml:space="preserve">décembre 2022 </w:t>
      </w:r>
      <w:r>
        <w:t>par</w:t>
      </w:r>
      <w:r w:rsidRPr="004A3ED6">
        <w:t xml:space="preserve"> laquelle elle a décidé que le Cadre mondial de la biodiversité</w:t>
      </w:r>
      <w:r w:rsidRPr="00F804D1">
        <w:t xml:space="preserve"> de Kunming-Montréal</w:t>
      </w:r>
      <w:r w:rsidRPr="00F804D1">
        <w:rPr>
          <w:rStyle w:val="Appelnotedebasdep"/>
        </w:rPr>
        <w:footnoteReference w:id="2"/>
      </w:r>
      <w:r w:rsidRPr="00F804D1">
        <w:t xml:space="preserve"> servirait de plan stratégique </w:t>
      </w:r>
      <w:r w:rsidR="00A06A79" w:rsidRPr="00A06A79">
        <w:t>aux fins de l’application de la Convention et de ses Protocoles ainsi que des activités de ses organes et du secrétariat au cours de la période 2022-2030 et que, à cet égard, le cadre servira</w:t>
      </w:r>
      <w:r w:rsidR="00A06A79">
        <w:t>it</w:t>
      </w:r>
      <w:r w:rsidR="00A06A79" w:rsidRPr="00A06A79">
        <w:t xml:space="preserve"> à mieux aligner et orienter les travaux des divers organes de la Convention et de ses Protocoles ainsi que du secrétariat et sera</w:t>
      </w:r>
      <w:r w:rsidR="00A06A79">
        <w:t>it</w:t>
      </w:r>
      <w:r w:rsidR="00A06A79" w:rsidRPr="00A06A79">
        <w:t xml:space="preserve"> pris en compte en matière de budget compte tenu des objectifs et cibles qu'il comporte</w:t>
      </w:r>
      <w:r w:rsidRPr="00F804D1">
        <w:t xml:space="preserve">, et </w:t>
      </w:r>
      <w:r>
        <w:t>a prié</w:t>
      </w:r>
      <w:r w:rsidRPr="00F804D1">
        <w:t xml:space="preserve"> la Secrétaire exécutive de mener un examen et une analyse stratégiques des programmes de travail</w:t>
      </w:r>
      <w:r>
        <w:t xml:space="preserve"> au titre de la Convention</w:t>
      </w:r>
      <w:r w:rsidRPr="00F804D1">
        <w:t xml:space="preserve"> dans le contexte du Cadre afin d</w:t>
      </w:r>
      <w:r>
        <w:t>’en</w:t>
      </w:r>
      <w:r w:rsidRPr="00F804D1">
        <w:t xml:space="preserve"> faciliter </w:t>
      </w:r>
      <w:r>
        <w:t>l</w:t>
      </w:r>
      <w:r w:rsidRPr="00F804D1">
        <w:t>a mise en œuvre,</w:t>
      </w:r>
    </w:p>
    <w:p w14:paraId="7D0AFF02" w14:textId="6D52B78C" w:rsidR="00BC0FAE" w:rsidRPr="00BC0FAE" w:rsidRDefault="00BC0FAE" w:rsidP="00FC753C">
      <w:pPr>
        <w:pStyle w:val="CBDNormalNoNumber"/>
        <w:ind w:firstLine="567"/>
      </w:pPr>
      <w:r w:rsidRPr="00F804D1">
        <w:lastRenderedPageBreak/>
        <w:t>1.</w:t>
      </w:r>
      <w:r w:rsidRPr="00F804D1">
        <w:tab/>
      </w:r>
      <w:r w:rsidRPr="00F804D1">
        <w:rPr>
          <w:i/>
          <w:iCs/>
        </w:rPr>
        <w:t xml:space="preserve">Prend note </w:t>
      </w:r>
      <w:r w:rsidRPr="00F804D1">
        <w:rPr>
          <w:iCs/>
        </w:rPr>
        <w:t>de l</w:t>
      </w:r>
      <w:r>
        <w:rPr>
          <w:iCs/>
        </w:rPr>
        <w:t>’</w:t>
      </w:r>
      <w:r w:rsidRPr="00F804D1">
        <w:rPr>
          <w:iCs/>
        </w:rPr>
        <w:t xml:space="preserve">examen </w:t>
      </w:r>
      <w:r>
        <w:rPr>
          <w:iCs/>
        </w:rPr>
        <w:t>et de l’analyse</w:t>
      </w:r>
      <w:r w:rsidRPr="00F804D1">
        <w:rPr>
          <w:iCs/>
        </w:rPr>
        <w:t xml:space="preserve"> </w:t>
      </w:r>
      <w:r>
        <w:rPr>
          <w:iCs/>
        </w:rPr>
        <w:t xml:space="preserve">stratégiques </w:t>
      </w:r>
      <w:r w:rsidRPr="00F804D1">
        <w:rPr>
          <w:iCs/>
        </w:rPr>
        <w:t>de tous les domaines de travail au titre de la Convention</w:t>
      </w:r>
      <w:r>
        <w:rPr>
          <w:iCs/>
        </w:rPr>
        <w:t xml:space="preserve"> sur la diversité biologique</w:t>
      </w:r>
      <w:r w:rsidRPr="00F804D1">
        <w:rPr>
          <w:iCs/>
        </w:rPr>
        <w:t xml:space="preserve">, </w:t>
      </w:r>
      <w:r>
        <w:rPr>
          <w:iCs/>
        </w:rPr>
        <w:t>à savoir</w:t>
      </w:r>
      <w:r w:rsidRPr="00F804D1">
        <w:rPr>
          <w:iCs/>
        </w:rPr>
        <w:t xml:space="preserve"> les programmes de travail thématiques formellement établis au titre de la Convention, les programmes portant sur des questions intersectorielles et les autres domaines de travail au titre de la Convention dans le contexte du Cadre mondial de la biodiversité de Kunming-Montréal, figurant dans les documents</w:t>
      </w:r>
      <w:r w:rsidRPr="00F804D1">
        <w:t xml:space="preserve"> </w:t>
      </w:r>
      <w:hyperlink r:id="rId16" w:history="1">
        <w:r w:rsidRPr="00F804D1">
          <w:rPr>
            <w:rStyle w:val="Lienhypertexte"/>
          </w:rPr>
          <w:t>CBD/SBSTTA/27/5/Add.1</w:t>
        </w:r>
      </w:hyperlink>
      <w:r w:rsidRPr="00F804D1">
        <w:t xml:space="preserve"> et </w:t>
      </w:r>
      <w:hyperlink r:id="rId17" w:history="1">
        <w:r w:rsidRPr="00F804D1">
          <w:rPr>
            <w:rStyle w:val="Lienhypertexte"/>
          </w:rPr>
          <w:t>CBD/SBSTTA/27/INF/6</w:t>
        </w:r>
      </w:hyperlink>
      <w:r>
        <w:t> ;</w:t>
      </w:r>
    </w:p>
    <w:p w14:paraId="71D6D5CC" w14:textId="0F9B4CA4" w:rsidR="00BC0FAE" w:rsidRPr="00BC0FAE" w:rsidRDefault="00FC6999" w:rsidP="00FC753C">
      <w:pPr>
        <w:pStyle w:val="CBDNormalNoNumber"/>
        <w:tabs>
          <w:tab w:val="clear" w:pos="567"/>
        </w:tabs>
        <w:ind w:firstLine="567"/>
      </w:pPr>
      <w:r w:rsidRPr="00F804D1">
        <w:t>2.</w:t>
      </w:r>
      <w:r w:rsidRPr="00F804D1">
        <w:rPr>
          <w:i/>
          <w:iCs/>
        </w:rPr>
        <w:tab/>
        <w:t xml:space="preserve">Constate </w:t>
      </w:r>
      <w:r w:rsidRPr="00F804D1">
        <w:t xml:space="preserve">que certains des programmes de travail au titre de la Convention ont été mis à jour depuis sa quinzième réunion et que des orientations </w:t>
      </w:r>
      <w:r>
        <w:t>suffisantes</w:t>
      </w:r>
      <w:r w:rsidRPr="00F804D1">
        <w:t xml:space="preserve"> ont été élaborées dans certains domaines afin d</w:t>
      </w:r>
      <w:r>
        <w:t>’</w:t>
      </w:r>
      <w:r w:rsidRPr="00F804D1">
        <w:t>appuyer la mise en œuvre du Cadre</w:t>
      </w:r>
      <w:r>
        <w:rPr>
          <w:iCs/>
        </w:rPr>
        <w:t> ;</w:t>
      </w:r>
    </w:p>
    <w:p w14:paraId="59D4F76E" w14:textId="6F2AEAC9" w:rsidR="00BC0FAE" w:rsidRDefault="00FC6999" w:rsidP="00A621E6">
      <w:pPr>
        <w:pStyle w:val="CBDNormalNoNumber"/>
        <w:tabs>
          <w:tab w:val="clear" w:pos="567"/>
        </w:tabs>
        <w:ind w:firstLine="567"/>
      </w:pPr>
      <w:r w:rsidRPr="00F804D1">
        <w:t>3.</w:t>
      </w:r>
      <w:r w:rsidRPr="00F804D1">
        <w:tab/>
      </w:r>
      <w:r>
        <w:rPr>
          <w:i/>
          <w:iCs/>
        </w:rPr>
        <w:t>Constate</w:t>
      </w:r>
      <w:r w:rsidRPr="00F804D1">
        <w:rPr>
          <w:i/>
          <w:iCs/>
        </w:rPr>
        <w:t xml:space="preserve"> également </w:t>
      </w:r>
      <w:r w:rsidRPr="00F804D1">
        <w:rPr>
          <w:iCs/>
        </w:rPr>
        <w:t xml:space="preserve">que les programmes de travail suivants </w:t>
      </w:r>
      <w:r>
        <w:rPr>
          <w:iCs/>
        </w:rPr>
        <w:t>gagneraient à</w:t>
      </w:r>
      <w:r w:rsidRPr="00F804D1">
        <w:rPr>
          <w:iCs/>
        </w:rPr>
        <w:t xml:space="preserve"> être examinés et éventuellement mis à jour en vue de les aligner davantage sur le Cadre</w:t>
      </w:r>
      <w:r>
        <w:rPr>
          <w:iCs/>
        </w:rPr>
        <w:t> :</w:t>
      </w:r>
      <w:r w:rsidRPr="00F804D1">
        <w:rPr>
          <w:iCs/>
        </w:rPr>
        <w:t xml:space="preserve"> biodiversité agricole, biodiversité des eaux intérieures et biodiversité des montagnes</w:t>
      </w:r>
      <w:r>
        <w:rPr>
          <w:iCs/>
        </w:rPr>
        <w:t> ;</w:t>
      </w:r>
    </w:p>
    <w:p w14:paraId="4139A1F6" w14:textId="3FDA2517" w:rsidR="004628C3" w:rsidRPr="00BC0FAE" w:rsidRDefault="004628C3" w:rsidP="00590767">
      <w:pPr>
        <w:pStyle w:val="CBDNormalNoNumber"/>
        <w:tabs>
          <w:tab w:val="clear" w:pos="567"/>
        </w:tabs>
        <w:ind w:firstLine="567"/>
      </w:pPr>
      <w:r>
        <w:rPr>
          <w:iCs/>
        </w:rPr>
        <w:t>4.</w:t>
      </w:r>
      <w:r>
        <w:rPr>
          <w:iCs/>
        </w:rPr>
        <w:tab/>
      </w:r>
      <w:r>
        <w:rPr>
          <w:i/>
          <w:iCs/>
        </w:rPr>
        <w:t>Décide</w:t>
      </w:r>
      <w:r>
        <w:rPr>
          <w:iCs/>
        </w:rPr>
        <w:t xml:space="preserve"> que tout examen et toute mise à jour éventuelle des programmes de travail au titre de la Convention devraient suivre un processus transparent et systématique dirigé par les Parties, appuyer la mise en œuvre de la Convention, avoir pour objectif de rationaliser l’architecture des travaux menés au titre de la Convention et d’en améliorer la cohérence, et être subordonnés à la démonstration de leur valeur ajoutée pour la mise en œuvre ;</w:t>
      </w:r>
    </w:p>
    <w:p w14:paraId="2A3B08B6" w14:textId="269C3E83" w:rsidR="00BC0FAE" w:rsidRPr="00BC0FAE" w:rsidRDefault="004628C3" w:rsidP="00FC753C">
      <w:pPr>
        <w:pStyle w:val="CBDNormalNoNumber"/>
        <w:tabs>
          <w:tab w:val="clear" w:pos="567"/>
        </w:tabs>
        <w:ind w:firstLine="567"/>
      </w:pPr>
      <w:r>
        <w:rPr>
          <w:iCs/>
        </w:rPr>
        <w:t>5.</w:t>
      </w:r>
      <w:r>
        <w:rPr>
          <w:iCs/>
        </w:rPr>
        <w:tab/>
      </w:r>
      <w:r>
        <w:rPr>
          <w:i/>
          <w:iCs/>
        </w:rPr>
        <w:t>Prie</w:t>
      </w:r>
      <w:r>
        <w:rPr>
          <w:iCs/>
        </w:rPr>
        <w:t xml:space="preserve"> la Secrétaire exécutive, sous réserve de la disponibilité des ressources :</w:t>
      </w:r>
    </w:p>
    <w:p w14:paraId="2221995E" w14:textId="4F934C09" w:rsidR="00BC0FAE" w:rsidRPr="00BC0FAE" w:rsidRDefault="00CF08F1" w:rsidP="00FC753C">
      <w:pPr>
        <w:pStyle w:val="CBDNormalNoNumber"/>
        <w:tabs>
          <w:tab w:val="clear" w:pos="567"/>
        </w:tabs>
        <w:ind w:firstLine="567"/>
      </w:pPr>
      <w:r>
        <w:t>a)</w:t>
      </w:r>
      <w:r>
        <w:tab/>
        <w:t>De mener un examen et une analyse stratégiques des programmes de travail sur la biodiversité des eaux intérieures et la biodiversité des montagnes, en vue de démontrer leur alignement sur le Cadre, de recenser les gains d’efficacité possibles et d’améliorer la cohérence de leur mise en œuvre ;</w:t>
      </w:r>
    </w:p>
    <w:p w14:paraId="7E057A0B" w14:textId="0880F256" w:rsidR="00BC0FAE" w:rsidRPr="00BC0FAE" w:rsidRDefault="00CF08F1" w:rsidP="00CF08F1">
      <w:pPr>
        <w:pStyle w:val="CBDNormalNoNumber"/>
        <w:tabs>
          <w:tab w:val="clear" w:pos="567"/>
        </w:tabs>
        <w:ind w:firstLine="567"/>
      </w:pPr>
      <w:r>
        <w:t>b)</w:t>
      </w:r>
      <w:r>
        <w:tab/>
        <w:t>D’élaborer, selon qu’il convient, des projets de mise à jour des programmes de travail susmentionnés pour examen par l’Organe subsidiaire chargé de fournir des avis scientifiques, techniques et technologiques à une réunion devant se tenir avant la dix-huitième réunion de la Conférence des Parties et par la Conférence des Parties à sa dix-huitième réunion.</w:t>
      </w:r>
    </w:p>
    <w:p w14:paraId="5EA376A0" w14:textId="06585FF9" w:rsidR="006C747E" w:rsidRPr="000D6E57" w:rsidRDefault="007A425D" w:rsidP="006C747E">
      <w:pPr>
        <w:pStyle w:val="CBDNormalNoNumber"/>
        <w:keepNext/>
        <w:keepLines/>
        <w:tabs>
          <w:tab w:val="clear" w:pos="1134"/>
        </w:tabs>
        <w:spacing w:before="120"/>
        <w:rPr>
          <w:b/>
          <w:bCs/>
        </w:rPr>
      </w:pPr>
      <w:r w:rsidRPr="006E1D72">
        <w:rPr>
          <w:b/>
          <w:bCs/>
        </w:rPr>
        <w:t>B</w:t>
      </w:r>
      <w:r w:rsidRPr="006E1D72">
        <w:rPr>
          <w:b/>
          <w:bCs/>
        </w:rPr>
        <w:br/>
      </w:r>
      <w:r w:rsidRPr="00E66716">
        <w:rPr>
          <w:b/>
          <w:bCs/>
        </w:rPr>
        <w:t>Proposition de travaux supplémentaires possibles</w:t>
      </w:r>
      <w:r>
        <w:rPr>
          <w:b/>
          <w:bCs/>
        </w:rPr>
        <w:t> </w:t>
      </w:r>
      <w:r w:rsidRPr="00E66716">
        <w:rPr>
          <w:b/>
          <w:bCs/>
        </w:rPr>
        <w:t xml:space="preserve">: </w:t>
      </w:r>
      <w:r>
        <w:rPr>
          <w:b/>
          <w:bCs/>
        </w:rPr>
        <w:t>planification</w:t>
      </w:r>
      <w:r w:rsidRPr="00E66716">
        <w:rPr>
          <w:b/>
          <w:bCs/>
        </w:rPr>
        <w:t xml:space="preserve"> </w:t>
      </w:r>
      <w:r>
        <w:rPr>
          <w:b/>
          <w:bCs/>
        </w:rPr>
        <w:t>spatiale</w:t>
      </w:r>
      <w:r w:rsidRPr="00E66716">
        <w:rPr>
          <w:b/>
          <w:bCs/>
        </w:rPr>
        <w:t xml:space="preserve"> </w:t>
      </w:r>
      <w:r>
        <w:rPr>
          <w:b/>
          <w:bCs/>
        </w:rPr>
        <w:t>respectueuse</w:t>
      </w:r>
      <w:r w:rsidRPr="00E66716">
        <w:rPr>
          <w:b/>
          <w:bCs/>
        </w:rPr>
        <w:t xml:space="preserve"> de la biodiversité</w:t>
      </w:r>
    </w:p>
    <w:p w14:paraId="400ACEA9" w14:textId="57F749C8" w:rsidR="006C747E" w:rsidRPr="000D6E57" w:rsidDel="0015022C" w:rsidRDefault="00032245" w:rsidP="006C747E">
      <w:pPr>
        <w:pStyle w:val="CBDNormalNoNumber"/>
        <w:tabs>
          <w:tab w:val="clear" w:pos="567"/>
          <w:tab w:val="clear" w:pos="1134"/>
        </w:tabs>
        <w:ind w:firstLine="567"/>
        <w:rPr>
          <w:i/>
          <w:iCs/>
        </w:rPr>
      </w:pPr>
      <w:r w:rsidRPr="00E66716">
        <w:rPr>
          <w:i/>
          <w:iCs/>
        </w:rPr>
        <w:t>La Conférence des Parties</w:t>
      </w:r>
      <w:r w:rsidRPr="00E66716" w:rsidDel="0015022C">
        <w:t>,</w:t>
      </w:r>
    </w:p>
    <w:p w14:paraId="79A710DE" w14:textId="77777777" w:rsidR="006C747E" w:rsidRPr="005C2C20" w:rsidRDefault="006C747E" w:rsidP="006C747E">
      <w:pPr>
        <w:pStyle w:val="CBDNormalNoNumber"/>
        <w:tabs>
          <w:tab w:val="clear" w:pos="567"/>
          <w:tab w:val="clear" w:pos="1134"/>
        </w:tabs>
        <w:ind w:firstLine="567"/>
      </w:pPr>
      <w:r w:rsidRPr="00E66716">
        <w:rPr>
          <w:i/>
          <w:iCs/>
        </w:rPr>
        <w:t xml:space="preserve">Prenant note </w:t>
      </w:r>
      <w:r w:rsidRPr="00E66716">
        <w:rPr>
          <w:iCs/>
        </w:rPr>
        <w:t>de l</w:t>
      </w:r>
      <w:r>
        <w:rPr>
          <w:iCs/>
        </w:rPr>
        <w:t>’</w:t>
      </w:r>
      <w:r w:rsidRPr="00E66716">
        <w:rPr>
          <w:iCs/>
        </w:rPr>
        <w:t xml:space="preserve">évaluation méthodologique </w:t>
      </w:r>
      <w:r>
        <w:rPr>
          <w:iCs/>
        </w:rPr>
        <w:t xml:space="preserve">en cours </w:t>
      </w:r>
      <w:r w:rsidRPr="00E66716">
        <w:rPr>
          <w:iCs/>
        </w:rPr>
        <w:t xml:space="preserve">de </w:t>
      </w:r>
      <w:r>
        <w:rPr>
          <w:iCs/>
        </w:rPr>
        <w:t>l’aménagement</w:t>
      </w:r>
      <w:r w:rsidRPr="00E66716">
        <w:rPr>
          <w:iCs/>
        </w:rPr>
        <w:t xml:space="preserve"> </w:t>
      </w:r>
      <w:r>
        <w:rPr>
          <w:iCs/>
        </w:rPr>
        <w:t>intégré</w:t>
      </w:r>
      <w:r w:rsidRPr="00E66716">
        <w:rPr>
          <w:iCs/>
        </w:rPr>
        <w:t xml:space="preserve"> </w:t>
      </w:r>
      <w:r>
        <w:rPr>
          <w:iCs/>
        </w:rPr>
        <w:t>du</w:t>
      </w:r>
      <w:r w:rsidRPr="00E66716">
        <w:rPr>
          <w:iCs/>
        </w:rPr>
        <w:t xml:space="preserve"> </w:t>
      </w:r>
      <w:r>
        <w:rPr>
          <w:iCs/>
        </w:rPr>
        <w:t>territoire</w:t>
      </w:r>
      <w:r w:rsidRPr="00E66716">
        <w:rPr>
          <w:iCs/>
        </w:rPr>
        <w:t xml:space="preserve"> </w:t>
      </w:r>
      <w:r>
        <w:rPr>
          <w:iCs/>
        </w:rPr>
        <w:t>tenant compte</w:t>
      </w:r>
      <w:r w:rsidRPr="00E66716">
        <w:rPr>
          <w:iCs/>
        </w:rPr>
        <w:t xml:space="preserve"> de la biodiversité et de la connectivité écologique de la Plateforme intergouvernementale scientifique et politique sur la biodiversité et les services écosystémiques</w:t>
      </w:r>
      <w:r w:rsidRPr="00E66716">
        <w:t>,</w:t>
      </w:r>
    </w:p>
    <w:p w14:paraId="193F0EEF" w14:textId="642731DD" w:rsidR="006C747E" w:rsidRDefault="006C747E" w:rsidP="006C747E">
      <w:pPr>
        <w:pStyle w:val="CBDNormalNoNumber"/>
        <w:tabs>
          <w:tab w:val="clear" w:pos="567"/>
          <w:tab w:val="clear" w:pos="1134"/>
        </w:tabs>
        <w:ind w:firstLine="567"/>
      </w:pPr>
      <w:r>
        <w:rPr>
          <w:i/>
          <w:iCs/>
        </w:rPr>
        <w:t>Considérant</w:t>
      </w:r>
      <w:r w:rsidRPr="00E66716">
        <w:rPr>
          <w:i/>
          <w:iCs/>
        </w:rPr>
        <w:t xml:space="preserve"> </w:t>
      </w:r>
      <w:r w:rsidRPr="00E66716">
        <w:rPr>
          <w:iCs/>
        </w:rPr>
        <w:t xml:space="preserve">que </w:t>
      </w:r>
      <w:r>
        <w:rPr>
          <w:iCs/>
        </w:rPr>
        <w:t xml:space="preserve">la planification de </w:t>
      </w:r>
      <w:r w:rsidRPr="00E66716">
        <w:rPr>
          <w:iCs/>
        </w:rPr>
        <w:t>l</w:t>
      </w:r>
      <w:r>
        <w:rPr>
          <w:iCs/>
        </w:rPr>
        <w:t>’espace</w:t>
      </w:r>
      <w:r w:rsidRPr="00E66716">
        <w:rPr>
          <w:iCs/>
        </w:rPr>
        <w:t xml:space="preserve"> marin a été </w:t>
      </w:r>
      <w:r>
        <w:rPr>
          <w:iCs/>
        </w:rPr>
        <w:t>abordée</w:t>
      </w:r>
      <w:r w:rsidRPr="00E66716">
        <w:rPr>
          <w:iCs/>
        </w:rPr>
        <w:t xml:space="preserve"> de manière adéquate dans des décisions antérieures, en particulier la décision</w:t>
      </w:r>
      <w:r>
        <w:t> </w:t>
      </w:r>
      <w:hyperlink r:id="rId18" w:anchor="page=57" w:history="1">
        <w:r w:rsidRPr="00E66716">
          <w:rPr>
            <w:rStyle w:val="Lienhypertexte"/>
          </w:rPr>
          <w:t>XIII/9</w:t>
        </w:r>
      </w:hyperlink>
      <w:r w:rsidRPr="00E66716">
        <w:t xml:space="preserve"> du 17</w:t>
      </w:r>
      <w:r>
        <w:t> </w:t>
      </w:r>
      <w:r w:rsidRPr="00E66716">
        <w:t>décembre</w:t>
      </w:r>
      <w:r>
        <w:t xml:space="preserve"> </w:t>
      </w:r>
      <w:r w:rsidRPr="00E66716">
        <w:t>2016,</w:t>
      </w:r>
      <w:r>
        <w:t xml:space="preserve"> et</w:t>
      </w:r>
      <w:r w:rsidRPr="00E66716">
        <w:t xml:space="preserve"> a fait l</w:t>
      </w:r>
      <w:r>
        <w:t>’</w:t>
      </w:r>
      <w:r w:rsidRPr="00E66716">
        <w:t>objet d</w:t>
      </w:r>
      <w:r>
        <w:t>’</w:t>
      </w:r>
      <w:r w:rsidRPr="00E66716">
        <w:t xml:space="preserve">activités de </w:t>
      </w:r>
      <w:r>
        <w:t>création</w:t>
      </w:r>
      <w:r w:rsidRPr="00E66716">
        <w:t xml:space="preserve"> </w:t>
      </w:r>
      <w:r>
        <w:t>de</w:t>
      </w:r>
      <w:r w:rsidRPr="00E66716">
        <w:t xml:space="preserve"> capacités sur la biodiversité marine et côtière, y compris au titre de l</w:t>
      </w:r>
      <w:r>
        <w:t>’</w:t>
      </w:r>
      <w:r w:rsidRPr="00E66716">
        <w:t>Initiative pour un océan durable,</w:t>
      </w:r>
      <w:r>
        <w:t xml:space="preserve"> et qu’il existe</w:t>
      </w:r>
      <w:r w:rsidRPr="00E66716">
        <w:rPr>
          <w:i/>
          <w:iCs/>
        </w:rPr>
        <w:t xml:space="preserve"> </w:t>
      </w:r>
      <w:r>
        <w:t xml:space="preserve">des </w:t>
      </w:r>
      <w:r w:rsidRPr="00E66716">
        <w:rPr>
          <w:iCs/>
        </w:rPr>
        <w:t>expérience</w:t>
      </w:r>
      <w:r>
        <w:rPr>
          <w:iCs/>
        </w:rPr>
        <w:t>s</w:t>
      </w:r>
      <w:r w:rsidRPr="00E66716">
        <w:rPr>
          <w:iCs/>
        </w:rPr>
        <w:t xml:space="preserve"> et de</w:t>
      </w:r>
      <w:r>
        <w:rPr>
          <w:iCs/>
        </w:rPr>
        <w:t>s</w:t>
      </w:r>
      <w:r w:rsidRPr="00E66716">
        <w:rPr>
          <w:iCs/>
        </w:rPr>
        <w:t xml:space="preserve"> orientation</w:t>
      </w:r>
      <w:r>
        <w:rPr>
          <w:iCs/>
        </w:rPr>
        <w:t>s</w:t>
      </w:r>
      <w:r w:rsidRPr="00E66716">
        <w:rPr>
          <w:iCs/>
        </w:rPr>
        <w:t xml:space="preserve"> </w:t>
      </w:r>
      <w:r>
        <w:rPr>
          <w:iCs/>
        </w:rPr>
        <w:t>en lien avec</w:t>
      </w:r>
      <w:r w:rsidRPr="00E66716">
        <w:rPr>
          <w:iCs/>
        </w:rPr>
        <w:t xml:space="preserve"> </w:t>
      </w:r>
      <w:r>
        <w:rPr>
          <w:iCs/>
        </w:rPr>
        <w:t xml:space="preserve">la planification de </w:t>
      </w:r>
      <w:r w:rsidRPr="00E66716">
        <w:rPr>
          <w:iCs/>
        </w:rPr>
        <w:t>l</w:t>
      </w:r>
      <w:r>
        <w:rPr>
          <w:iCs/>
        </w:rPr>
        <w:t>’espace</w:t>
      </w:r>
      <w:r w:rsidRPr="00E66716">
        <w:rPr>
          <w:iCs/>
        </w:rPr>
        <w:t xml:space="preserve"> marin à différentes échelles, y compris au titre de la Commission océanographique intergouvernementale de l</w:t>
      </w:r>
      <w:r>
        <w:rPr>
          <w:iCs/>
        </w:rPr>
        <w:t>’</w:t>
      </w:r>
      <w:r w:rsidRPr="00E66716">
        <w:rPr>
          <w:iCs/>
        </w:rPr>
        <w:t>Organisation des Nations Unies pour l</w:t>
      </w:r>
      <w:r>
        <w:rPr>
          <w:iCs/>
        </w:rPr>
        <w:t>’</w:t>
      </w:r>
      <w:r w:rsidRPr="00E66716">
        <w:rPr>
          <w:iCs/>
        </w:rPr>
        <w:t>éducation, la science et la culture</w:t>
      </w:r>
      <w:r w:rsidRPr="00E66716">
        <w:t>,</w:t>
      </w:r>
    </w:p>
    <w:p w14:paraId="59B0520F" w14:textId="034D90C2" w:rsidR="009717ED" w:rsidRDefault="009717ED" w:rsidP="00DF65C5">
      <w:pPr>
        <w:pStyle w:val="CBDNormalNoNumber"/>
        <w:tabs>
          <w:tab w:val="clear" w:pos="567"/>
          <w:tab w:val="clear" w:pos="1134"/>
        </w:tabs>
        <w:ind w:firstLine="567"/>
      </w:pPr>
      <w:r>
        <w:rPr>
          <w:i/>
        </w:rPr>
        <w:t>Considérant également</w:t>
      </w:r>
      <w:r>
        <w:t xml:space="preserve"> l’importance de la planification spatiale participative, intégrée et respectueuse de la biodiversité [et de][, notamment en ce qui concerne le renforcement de] la connectivité écologique pour la mise en œuvre du Cadre mondial de la biodiversité de Kunming-Montréal</w:t>
      </w:r>
      <w:r>
        <w:rPr>
          <w:rStyle w:val="Appelnotedebasdep"/>
        </w:rPr>
        <w:footnoteReference w:id="3"/>
      </w:r>
      <w:r>
        <w:t xml:space="preserve"> et soulignant que la connectivité écologique est essentielle pour maintenir et rétablir l’intégrité, la résilience et les processus écologiques des écosystèmes au sein et en dehors des zones protégées et des autres mesures efficaces de conservation par zone dans l’ensemble des paysages </w:t>
      </w:r>
      <w:r>
        <w:lastRenderedPageBreak/>
        <w:t>terrestres et marins, y compris les écosystèmes terrestres, d’eaux intérieures, marins et côtiers, ainsi que pour les espèces migratrices,</w:t>
      </w:r>
    </w:p>
    <w:p w14:paraId="2AEB549E" w14:textId="78FCF5DD" w:rsidR="00C02D6B" w:rsidRPr="00C02D6B" w:rsidRDefault="00C02D6B" w:rsidP="00C02D6B">
      <w:pPr>
        <w:pStyle w:val="CBDNormalNoNumber"/>
        <w:ind w:firstLine="567"/>
      </w:pPr>
      <w:r>
        <w:rPr>
          <w:iCs/>
        </w:rPr>
        <w:t>1.</w:t>
      </w:r>
      <w:r>
        <w:rPr>
          <w:iCs/>
        </w:rPr>
        <w:tab/>
      </w:r>
      <w:r>
        <w:rPr>
          <w:i/>
          <w:iCs/>
        </w:rPr>
        <w:t>Invite</w:t>
      </w:r>
      <w:r>
        <w:rPr>
          <w:iCs/>
        </w:rPr>
        <w:t xml:space="preserve"> les Parties, les autres gouvernements, les peuples autochtones et communautés locales et les organisations pertinentes à communiquer à la Secrétaire exécutive leurs vues sur la portée des travaux futurs en matière de planification spatiale participative, intégrée et respectueuse de la biodiversité [pour faire face aux changements d’utilisation des terres et des mers], [et de][, notamment en ce qui concerne le renforcement de] la connectivité écologique, et sur les orientations pertinentes à cet égard, ainsi que des informations sur leurs données d’expérience concernant ce type de planification spatiale et la connectivité écologique pour faire face aux changements d’utilisation des terres et des mers</w:t>
      </w:r>
      <w:r>
        <w:rPr>
          <w:rStyle w:val="Appelnotedebasdep"/>
        </w:rPr>
        <w:footnoteReference w:id="4"/>
      </w:r>
      <w:r>
        <w:rPr>
          <w:iCs/>
        </w:rPr>
        <w:t>, en mettant l’accent sur les écosystèmes terrestres et d’eau douce ;</w:t>
      </w:r>
    </w:p>
    <w:p w14:paraId="7DE083D5" w14:textId="08EAE1B7" w:rsidR="00C02D6B" w:rsidRPr="00C02D6B" w:rsidRDefault="00C02D6B" w:rsidP="00C02D6B">
      <w:pPr>
        <w:pStyle w:val="CBDNormalNoNumber"/>
        <w:ind w:firstLine="567"/>
      </w:pPr>
      <w:r>
        <w:t>2</w:t>
      </w:r>
      <w:r w:rsidRPr="00E66716">
        <w:t>.</w:t>
      </w:r>
      <w:r w:rsidRPr="00E66716">
        <w:rPr>
          <w:i/>
          <w:iCs/>
        </w:rPr>
        <w:tab/>
        <w:t xml:space="preserve">Prie </w:t>
      </w:r>
      <w:r w:rsidRPr="00E66716">
        <w:rPr>
          <w:iCs/>
        </w:rPr>
        <w:t xml:space="preserve">la Secrétaire exécutive, et </w:t>
      </w:r>
      <w:r>
        <w:rPr>
          <w:iCs/>
        </w:rPr>
        <w:t xml:space="preserve">sous réserve de </w:t>
      </w:r>
      <w:r w:rsidRPr="00E66716">
        <w:rPr>
          <w:iCs/>
        </w:rPr>
        <w:t>la disponibilité de</w:t>
      </w:r>
      <w:r>
        <w:rPr>
          <w:iCs/>
        </w:rPr>
        <w:t>s</w:t>
      </w:r>
      <w:r w:rsidRPr="00E66716">
        <w:rPr>
          <w:iCs/>
        </w:rPr>
        <w:t xml:space="preserve"> ressources</w:t>
      </w:r>
      <w:r>
        <w:rPr>
          <w:iCs/>
        </w:rPr>
        <w:t> :</w:t>
      </w:r>
    </w:p>
    <w:p w14:paraId="7529C458" w14:textId="53DCD7F8" w:rsidR="00C02D6B" w:rsidRPr="00C02D6B" w:rsidRDefault="00C02D6B" w:rsidP="000573C9">
      <w:pPr>
        <w:pStyle w:val="CBDNormalNoNumber"/>
        <w:ind w:firstLine="567"/>
      </w:pPr>
      <w:r w:rsidRPr="00E66716">
        <w:t>a)</w:t>
      </w:r>
      <w:r w:rsidRPr="00E66716">
        <w:tab/>
      </w:r>
      <w:r>
        <w:t>De compiler les communications reçues en réponse au paragraphe 1 ci-dessus et, en s’appuyant sur cette compilation et sur les informations pertinentes provenant des sources énumérées ci-après, d’établir</w:t>
      </w:r>
      <w:r w:rsidRPr="00E66716">
        <w:t xml:space="preserve"> un rapport sur les </w:t>
      </w:r>
      <w:r>
        <w:t>données d’</w:t>
      </w:r>
      <w:r w:rsidRPr="00E66716">
        <w:t>expérience</w:t>
      </w:r>
      <w:r>
        <w:t xml:space="preserve"> et la portée possible de travaux futurs</w:t>
      </w:r>
      <w:r w:rsidRPr="00E66716">
        <w:t xml:space="preserve"> </w:t>
      </w:r>
      <w:r>
        <w:t>en matière</w:t>
      </w:r>
      <w:r w:rsidRPr="00E66716">
        <w:t xml:space="preserve"> </w:t>
      </w:r>
      <w:r>
        <w:t>de</w:t>
      </w:r>
      <w:r w:rsidRPr="00E66716">
        <w:t xml:space="preserve"> </w:t>
      </w:r>
      <w:r>
        <w:t>planification</w:t>
      </w:r>
      <w:r w:rsidRPr="00E66716">
        <w:t xml:space="preserve"> </w:t>
      </w:r>
      <w:r>
        <w:t>spatiale participative, intégrée et</w:t>
      </w:r>
      <w:r w:rsidRPr="00E66716">
        <w:t xml:space="preserve"> </w:t>
      </w:r>
      <w:r>
        <w:t>respectueuse</w:t>
      </w:r>
      <w:r w:rsidRPr="00E66716">
        <w:t xml:space="preserve"> de la biodiversité</w:t>
      </w:r>
      <w:r>
        <w:t xml:space="preserve"> [pour faire face aux changements d’utilisation des terres et des mers] [et de][, notamment en ce qui concerne le renforcement de] la connectivité écologique, en mettant l’accent sur les écosystèmes terrestres et d’eau douce et en cohérence avec les travaux demandés dans la décision 17/-- sur l’examen stratégique et les mises à jour du programme de travail sur les </w:t>
      </w:r>
      <w:r w:rsidR="00632AD2">
        <w:t>aires</w:t>
      </w:r>
      <w:r>
        <w:t xml:space="preserve"> protégées,</w:t>
      </w:r>
      <w:r w:rsidRPr="00E66716">
        <w:t xml:space="preserve"> </w:t>
      </w:r>
      <w:r>
        <w:t>pour</w:t>
      </w:r>
      <w:r w:rsidRPr="00E66716">
        <w:t xml:space="preserve"> </w:t>
      </w:r>
      <w:r>
        <w:t>alimenter</w:t>
      </w:r>
      <w:r w:rsidRPr="00E66716">
        <w:t xml:space="preserve"> les </w:t>
      </w:r>
      <w:r>
        <w:t>travaux d’un atelier d’experts :</w:t>
      </w:r>
    </w:p>
    <w:p w14:paraId="5E5E4F90" w14:textId="6271BC14" w:rsidR="00C02D6B" w:rsidRPr="00C02D6B" w:rsidRDefault="00C02D6B" w:rsidP="00FC753C">
      <w:pPr>
        <w:pStyle w:val="CBDNormalNoNumber"/>
        <w:tabs>
          <w:tab w:val="clear" w:pos="567"/>
        </w:tabs>
        <w:ind w:left="1701" w:hanging="567"/>
      </w:pPr>
      <w:r>
        <w:t>i)</w:t>
      </w:r>
      <w:r>
        <w:tab/>
      </w:r>
      <w:r w:rsidR="004868EA" w:rsidRPr="004868EA">
        <w:t>Les résultats de l’examen mondial des progrès collectifs accomplis dans la mise en œuvre du Cadre mondial de la biodiversité de Kunming-Montréal, et les informations pertinentes figurant dans les septièmes rapports nationaux ;</w:t>
      </w:r>
    </w:p>
    <w:p w14:paraId="631F4138" w14:textId="52D61D21" w:rsidR="00C02D6B" w:rsidRPr="00C02D6B" w:rsidRDefault="00C02D6B" w:rsidP="00FC753C">
      <w:pPr>
        <w:pStyle w:val="CBDNormalNoNumber"/>
        <w:tabs>
          <w:tab w:val="clear" w:pos="567"/>
        </w:tabs>
        <w:ind w:left="1701" w:hanging="567"/>
      </w:pPr>
      <w:r>
        <w:t>ii)</w:t>
      </w:r>
      <w:r>
        <w:tab/>
        <w:t>Les évaluations pertinentes de la Plateforme intergouvernementale scientifique et politique sur la biodiversité et les services écosystémiques, y compris l’évaluation méthodologique de l’aménagement intégré du territoire tenant compte de la biodiversité et de la connectivité écologique ;</w:t>
      </w:r>
    </w:p>
    <w:p w14:paraId="4115EF7D" w14:textId="765724B7" w:rsidR="00C02D6B" w:rsidRPr="00FC753C" w:rsidRDefault="00903B0A" w:rsidP="00FC753C">
      <w:pPr>
        <w:pStyle w:val="CBDNormalNoNumber"/>
        <w:tabs>
          <w:tab w:val="clear" w:pos="567"/>
        </w:tabs>
        <w:ind w:left="1701" w:hanging="567"/>
      </w:pPr>
      <w:r>
        <w:t>[iii)</w:t>
      </w:r>
      <w:r>
        <w:tab/>
        <w:t>Les lignes directrices facultatives visant à renforcer le cadre juridique et politique en vue de la reconnaissance du rôle des peuples autochtones et communautés locales et de leurs territoires autochtones et traditionnels dans l’aménagement du territoire, la restauration des écosystèmes, la conservation par zone et les évaluations d’impact environnemental</w:t>
      </w:r>
      <w:r>
        <w:rPr>
          <w:rStyle w:val="Appelnotedebasdep"/>
        </w:rPr>
        <w:footnoteReference w:id="5"/>
      </w:r>
      <w:r>
        <w:t>, conformément à la législation, aux circonstances et aux priorités nationales ;]</w:t>
      </w:r>
    </w:p>
    <w:p w14:paraId="426A7025" w14:textId="01DA9CC9" w:rsidR="00C02D6B" w:rsidRPr="00C02D6B" w:rsidRDefault="00C02D6B" w:rsidP="00FC753C">
      <w:pPr>
        <w:pStyle w:val="CBDNormalNoNumber"/>
        <w:tabs>
          <w:tab w:val="clear" w:pos="567"/>
        </w:tabs>
        <w:ind w:left="1701" w:hanging="567"/>
      </w:pPr>
      <w:r>
        <w:t>iv)</w:t>
      </w:r>
      <w:r>
        <w:tab/>
        <w:t>Les travaux et orientations pertinents au titre des accords multilatéraux relatifs à l’environnement liés à la biodiversité[, y compris la Convention sur la conservation des espèces migratrices appartenant à la faune sauvage</w:t>
      </w:r>
      <w:r>
        <w:rPr>
          <w:rStyle w:val="Appelnotedebasdep"/>
        </w:rPr>
        <w:footnoteReference w:id="6"/>
      </w:r>
      <w:r>
        <w:t>,] en particulier en ce qui concerne les espèces migratrices, leurs habitats et la connectivité écologique ;</w:t>
      </w:r>
    </w:p>
    <w:p w14:paraId="085D2279" w14:textId="771B918A" w:rsidR="00C02D6B" w:rsidRPr="00C02D6B" w:rsidRDefault="00C02D6B" w:rsidP="00C02D6B">
      <w:pPr>
        <w:pStyle w:val="CBDNormalNoNumber"/>
        <w:ind w:firstLine="567"/>
      </w:pPr>
      <w:r w:rsidRPr="00E66716">
        <w:t>b)</w:t>
      </w:r>
      <w:r w:rsidRPr="00E66716">
        <w:tab/>
      </w:r>
      <w:r>
        <w:t>D’organiser l’atelier d’experts mentionné à l’alinéa a) ci-dessus, en tenant compte du rapport visé</w:t>
      </w:r>
      <w:r w:rsidRPr="00E66716">
        <w:t xml:space="preserve"> </w:t>
      </w:r>
      <w:r>
        <w:t>au même alinéa et des travaux pertinents du Groupe spécial d’experts techniques chargé de la mise en œuvre du cadre de suivi du Cadre</w:t>
      </w:r>
      <w:r>
        <w:rPr>
          <w:rStyle w:val="Appelnotedebasdep"/>
        </w:rPr>
        <w:footnoteReference w:id="7"/>
      </w:r>
      <w:r>
        <w:t xml:space="preserve">, afin de promouvoir une compréhension commune de la planification spatiale participative, intégrée et respectueuse de la biodiversité [et de][, notamment en ce qui concerne le renforcement de] la connectivité écologique, dans le cadre de l’application du Cadre, et d’élaborer </w:t>
      </w:r>
      <w:r w:rsidRPr="00E66716">
        <w:t xml:space="preserve">une proposition </w:t>
      </w:r>
      <w:r>
        <w:t>de</w:t>
      </w:r>
      <w:r w:rsidRPr="00E66716">
        <w:t xml:space="preserve"> travaux </w:t>
      </w:r>
      <w:r>
        <w:t>supplémentaires</w:t>
      </w:r>
      <w:r w:rsidRPr="00E66716">
        <w:t xml:space="preserve"> </w:t>
      </w:r>
      <w:r>
        <w:t>possibles</w:t>
      </w:r>
      <w:r w:rsidRPr="00E66716">
        <w:t xml:space="preserve"> sur</w:t>
      </w:r>
      <w:r>
        <w:t xml:space="preserve"> ce </w:t>
      </w:r>
      <w:r>
        <w:lastRenderedPageBreak/>
        <w:t>type de planification</w:t>
      </w:r>
      <w:r w:rsidRPr="00E66716">
        <w:t xml:space="preserve"> </w:t>
      </w:r>
      <w:r>
        <w:t>[</w:t>
      </w:r>
      <w:r w:rsidRPr="00E66716">
        <w:t xml:space="preserve">et </w:t>
      </w:r>
      <w:r>
        <w:t>sur][, notamment en ce qui concerne le renforcement</w:t>
      </w:r>
      <w:r w:rsidRPr="00E66716">
        <w:t xml:space="preserve"> de] la </w:t>
      </w:r>
      <w:r>
        <w:t>connectivité écologique ;</w:t>
      </w:r>
    </w:p>
    <w:p w14:paraId="3A790360" w14:textId="0391075B" w:rsidR="00C02D6B" w:rsidRPr="00FC753C" w:rsidRDefault="00C02D6B" w:rsidP="00FC753C">
      <w:pPr>
        <w:pStyle w:val="CBDNormalNoNumber"/>
        <w:keepNext/>
        <w:ind w:firstLine="567"/>
      </w:pPr>
      <w:r>
        <w:t>c)</w:t>
      </w:r>
      <w:r>
        <w:tab/>
        <w:t>De soumettre le rapport de l’atelier d’experts, y compris la proposition de travaux supplémentaires possibles, à l’Organe subsidiaire chargé de fournir des avis scientifiques, techniques et technologiques à une réunion devant se tenir avant la dix-huitième réunion de la Conférence des Parties.</w:t>
      </w:r>
    </w:p>
    <w:p w14:paraId="0AD59487" w14:textId="2FF65469" w:rsidR="006C747E" w:rsidRPr="000D6E57" w:rsidRDefault="006C747E" w:rsidP="006C747E">
      <w:pPr>
        <w:pStyle w:val="CBDcompilationH2"/>
      </w:pPr>
      <w:r>
        <w:rPr>
          <w:bCs/>
        </w:rPr>
        <w:t>[</w:t>
      </w:r>
      <w:r w:rsidRPr="00E66716">
        <w:rPr>
          <w:bCs/>
        </w:rPr>
        <w:t>C</w:t>
      </w:r>
      <w:r w:rsidRPr="00E66716">
        <w:rPr>
          <w:bCs/>
        </w:rPr>
        <w:br/>
        <w:t>Proposition de travaux supplémentaires possibles</w:t>
      </w:r>
      <w:r>
        <w:rPr>
          <w:bCs/>
        </w:rPr>
        <w:t> </w:t>
      </w:r>
      <w:r w:rsidRPr="00E66716">
        <w:rPr>
          <w:bCs/>
        </w:rPr>
        <w:t>: pollution et biodiversité</w:t>
      </w:r>
    </w:p>
    <w:p w14:paraId="3EAFB537" w14:textId="77777777" w:rsidR="006C747E" w:rsidRPr="00516AA9" w:rsidDel="0015022C" w:rsidRDefault="006C747E" w:rsidP="6FA3D907">
      <w:pPr>
        <w:pStyle w:val="CBDNormalNoNumber"/>
        <w:keepNext/>
        <w:tabs>
          <w:tab w:val="clear" w:pos="567"/>
          <w:tab w:val="clear" w:pos="1134"/>
        </w:tabs>
        <w:ind w:firstLine="567"/>
        <w:rPr>
          <w:i/>
          <w:iCs/>
        </w:rPr>
      </w:pPr>
      <w:r w:rsidRPr="00E66716">
        <w:rPr>
          <w:i/>
          <w:iCs/>
        </w:rPr>
        <w:t>La Conférence des Parties</w:t>
      </w:r>
      <w:r w:rsidRPr="00E66716" w:rsidDel="0015022C">
        <w:t>,</w:t>
      </w:r>
    </w:p>
    <w:p w14:paraId="5E50EE21" w14:textId="727DD9F5" w:rsidR="006C747E" w:rsidRDefault="006C747E" w:rsidP="00FC753C">
      <w:pPr>
        <w:pStyle w:val="CBDNormalNoNumber"/>
        <w:tabs>
          <w:tab w:val="clear" w:pos="567"/>
          <w:tab w:val="clear" w:pos="1134"/>
        </w:tabs>
        <w:ind w:firstLine="567"/>
      </w:pPr>
      <w:r w:rsidRPr="00E66716">
        <w:rPr>
          <w:i/>
          <w:iCs/>
        </w:rPr>
        <w:t xml:space="preserve">Rappelant </w:t>
      </w:r>
      <w:r w:rsidRPr="00E66716">
        <w:rPr>
          <w:iCs/>
        </w:rPr>
        <w:t>les décisions</w:t>
      </w:r>
      <w:r>
        <w:t> </w:t>
      </w:r>
      <w:hyperlink r:id="rId19" w:history="1">
        <w:r w:rsidRPr="00E66716">
          <w:rPr>
            <w:rStyle w:val="Lienhypertexte"/>
          </w:rPr>
          <w:t>16/12</w:t>
        </w:r>
      </w:hyperlink>
      <w:r w:rsidRPr="00E66716">
        <w:t xml:space="preserve"> du 1</w:t>
      </w:r>
      <w:r w:rsidRPr="00E66716">
        <w:rPr>
          <w:vertAlign w:val="superscript"/>
        </w:rPr>
        <w:t>er</w:t>
      </w:r>
      <w:r>
        <w:t> </w:t>
      </w:r>
      <w:r w:rsidRPr="00E66716">
        <w:t>novembre</w:t>
      </w:r>
      <w:r>
        <w:t xml:space="preserve"> </w:t>
      </w:r>
      <w:r w:rsidRPr="00E66716">
        <w:t xml:space="preserve">2024 et </w:t>
      </w:r>
      <w:hyperlink r:id="rId20" w:history="1">
        <w:r w:rsidRPr="00E66716">
          <w:rPr>
            <w:rStyle w:val="Lienhypertexte"/>
          </w:rPr>
          <w:t>16/31</w:t>
        </w:r>
      </w:hyperlink>
      <w:r w:rsidRPr="00E66716">
        <w:t xml:space="preserve"> et </w:t>
      </w:r>
      <w:hyperlink r:id="rId21" w:history="1">
        <w:r w:rsidRPr="00E66716">
          <w:rPr>
            <w:rStyle w:val="Lienhypertexte"/>
          </w:rPr>
          <w:t>16/35</w:t>
        </w:r>
      </w:hyperlink>
      <w:r w:rsidRPr="00E66716">
        <w:t xml:space="preserve"> du 27</w:t>
      </w:r>
      <w:r>
        <w:t> </w:t>
      </w:r>
      <w:r w:rsidRPr="00E66716">
        <w:t>février</w:t>
      </w:r>
      <w:r>
        <w:t xml:space="preserve"> </w:t>
      </w:r>
      <w:r w:rsidRPr="00E66716">
        <w:t>2025,</w:t>
      </w:r>
    </w:p>
    <w:p w14:paraId="61CC5CCD" w14:textId="77777777" w:rsidR="006C747E" w:rsidRPr="002D18C5" w:rsidRDefault="006C747E" w:rsidP="006C747E">
      <w:pPr>
        <w:pStyle w:val="CBDNormalNoNumber"/>
        <w:tabs>
          <w:tab w:val="clear" w:pos="1134"/>
        </w:tabs>
        <w:spacing w:before="120"/>
        <w:ind w:firstLine="567"/>
        <w:rPr>
          <w:i/>
          <w:iCs/>
        </w:rPr>
      </w:pPr>
      <w:r w:rsidRPr="002C2E5A">
        <w:t>[</w:t>
      </w:r>
      <w:r>
        <w:rPr>
          <w:i/>
          <w:iCs/>
        </w:rPr>
        <w:t>Sachan</w:t>
      </w:r>
      <w:r w:rsidRPr="00E66716">
        <w:rPr>
          <w:i/>
          <w:iCs/>
        </w:rPr>
        <w:t xml:space="preserve">t </w:t>
      </w:r>
      <w:r w:rsidRPr="00E66716">
        <w:rPr>
          <w:iCs/>
        </w:rPr>
        <w:t xml:space="preserve">que la pollution est un des principaux </w:t>
      </w:r>
      <w:r>
        <w:rPr>
          <w:iCs/>
        </w:rPr>
        <w:t>facteurs</w:t>
      </w:r>
      <w:r w:rsidRPr="00E66716">
        <w:rPr>
          <w:iCs/>
        </w:rPr>
        <w:t xml:space="preserve"> de</w:t>
      </w:r>
      <w:r>
        <w:rPr>
          <w:iCs/>
        </w:rPr>
        <w:t xml:space="preserve"> perte</w:t>
      </w:r>
      <w:r w:rsidRPr="00E66716">
        <w:rPr>
          <w:iCs/>
        </w:rPr>
        <w:t xml:space="preserve"> de </w:t>
      </w:r>
      <w:r>
        <w:rPr>
          <w:iCs/>
        </w:rPr>
        <w:t>biodiversité</w:t>
      </w:r>
      <w:r w:rsidRPr="002C2E5A">
        <w:t>,</w:t>
      </w:r>
    </w:p>
    <w:p w14:paraId="78110521" w14:textId="77777777" w:rsidR="006C747E" w:rsidRPr="00CA75F4" w:rsidRDefault="006C747E" w:rsidP="006C747E">
      <w:pPr>
        <w:pStyle w:val="CBDNormalNoNumber"/>
        <w:tabs>
          <w:tab w:val="clear" w:pos="1134"/>
        </w:tabs>
        <w:spacing w:before="120"/>
        <w:ind w:firstLine="567"/>
        <w:rPr>
          <w:i/>
          <w:iCs/>
        </w:rPr>
      </w:pPr>
      <w:r w:rsidRPr="006F31B3">
        <w:rPr>
          <w:i/>
          <w:iCs/>
        </w:rPr>
        <w:t>Se félicitant</w:t>
      </w:r>
      <w:r>
        <w:t xml:space="preserve"> de la création du Groupe intergouvernemental d’expert(e)s sur l’interface science-politiques relative aux produits chimiques, aux déchets et à la pollution,</w:t>
      </w:r>
    </w:p>
    <w:p w14:paraId="5CB59F36" w14:textId="2147FE1B" w:rsidR="00E10977" w:rsidRPr="002D18C5" w:rsidRDefault="006C747E" w:rsidP="00505EC3">
      <w:pPr>
        <w:pStyle w:val="CBDNormalNoNumber"/>
        <w:tabs>
          <w:tab w:val="clear" w:pos="1134"/>
        </w:tabs>
        <w:spacing w:before="120"/>
        <w:ind w:firstLine="567"/>
        <w:rPr>
          <w:i/>
          <w:iCs/>
        </w:rPr>
      </w:pPr>
      <w:r w:rsidRPr="002C2E5A">
        <w:t>1.</w:t>
      </w:r>
      <w:r w:rsidRPr="002C2E5A">
        <w:tab/>
      </w:r>
      <w:r w:rsidRPr="00DD28CF">
        <w:rPr>
          <w:i/>
          <w:iCs/>
        </w:rPr>
        <w:t>Invite</w:t>
      </w:r>
      <w:r w:rsidRPr="002C2E5A">
        <w:t xml:space="preserve"> </w:t>
      </w:r>
      <w:r>
        <w:t>le Groupe intergouvernemental d’expert(e)s sur l’interface science-politiques relative aux produits chimiques, aux déchets et à la pollution, la Plateforme intergouvernementale scientifique et politique sur la biodiversité et les services écosystémiques, le secrétariat de la Convention de Bâle sur le contrôle des mouvements transfrontières de déchets dangereux et de leur élimination</w:t>
      </w:r>
      <w:r>
        <w:rPr>
          <w:rStyle w:val="Appelnotedebasdep"/>
        </w:rPr>
        <w:footnoteReference w:id="8"/>
      </w:r>
      <w:r>
        <w:t>,</w:t>
      </w:r>
      <w:r w:rsidRPr="00E66716">
        <w:t xml:space="preserve"> </w:t>
      </w:r>
      <w:r>
        <w:t xml:space="preserve">de </w:t>
      </w:r>
      <w:r w:rsidRPr="00E66716">
        <w:t>la</w:t>
      </w:r>
      <w:r w:rsidRPr="001A7563">
        <w:t xml:space="preserve"> </w:t>
      </w:r>
      <w:r w:rsidRPr="00E66716">
        <w:t xml:space="preserve">Convention de Rotterdam </w:t>
      </w:r>
      <w:r w:rsidRPr="004F08AA">
        <w:rPr>
          <w:color w:val="212529"/>
          <w:shd w:val="clear" w:color="auto" w:fill="FFFFFF"/>
        </w:rPr>
        <w:t>sur la procédure de consentement préalable en connaissance de cause applicable à certains produits chimiques et pesticides dangereux qui font l</w:t>
      </w:r>
      <w:r>
        <w:rPr>
          <w:color w:val="212529"/>
          <w:shd w:val="clear" w:color="auto" w:fill="FFFFFF"/>
        </w:rPr>
        <w:t>’</w:t>
      </w:r>
      <w:r w:rsidRPr="004F08AA">
        <w:rPr>
          <w:color w:val="212529"/>
          <w:shd w:val="clear" w:color="auto" w:fill="FFFFFF"/>
        </w:rPr>
        <w:t>objet d</w:t>
      </w:r>
      <w:r>
        <w:rPr>
          <w:color w:val="212529"/>
          <w:shd w:val="clear" w:color="auto" w:fill="FFFFFF"/>
        </w:rPr>
        <w:t>’</w:t>
      </w:r>
      <w:r w:rsidRPr="004F08AA">
        <w:rPr>
          <w:color w:val="212529"/>
          <w:shd w:val="clear" w:color="auto" w:fill="FFFFFF"/>
        </w:rPr>
        <w:t>un commerce international</w:t>
      </w:r>
      <w:r>
        <w:rPr>
          <w:rStyle w:val="Appelnotedebasdep"/>
        </w:rPr>
        <w:footnoteReference w:id="9"/>
      </w:r>
      <w:r w:rsidRPr="00E66716">
        <w:t xml:space="preserve"> et</w:t>
      </w:r>
      <w:r>
        <w:t xml:space="preserve"> de</w:t>
      </w:r>
      <w:r w:rsidRPr="00E66716">
        <w:t xml:space="preserve"> la Convention de Stockholm sur les polluants organiques persistants</w:t>
      </w:r>
      <w:r>
        <w:rPr>
          <w:rStyle w:val="Appelnotedebasdep"/>
        </w:rPr>
        <w:footnoteReference w:id="10"/>
      </w:r>
      <w:r>
        <w:t xml:space="preserve">, le secrétariat de la </w:t>
      </w:r>
      <w:r w:rsidRPr="00E66716">
        <w:t>Convention de Minamata sur le mercure</w:t>
      </w:r>
      <w:r>
        <w:rPr>
          <w:rStyle w:val="Appelnotedebasdep"/>
        </w:rPr>
        <w:footnoteReference w:id="11"/>
      </w:r>
      <w:r>
        <w:t xml:space="preserve">, l’Organisation des Nations Unies pour l’alimentation et l’agriculture, </w:t>
      </w:r>
      <w:r w:rsidRPr="00E66716">
        <w:t>l</w:t>
      </w:r>
      <w:r>
        <w:t>’</w:t>
      </w:r>
      <w:r w:rsidRPr="00E66716">
        <w:t>Organisation maritime internationale</w:t>
      </w:r>
      <w:r>
        <w:t>, l’Autorité internationale des fonds marins</w:t>
      </w:r>
      <w:r w:rsidRPr="00E66716">
        <w:t xml:space="preserve"> et les secrétariats des conventions et plans d</w:t>
      </w:r>
      <w:r>
        <w:t>’</w:t>
      </w:r>
      <w:r w:rsidRPr="00E66716">
        <w:t>action sur les mers régionales</w:t>
      </w:r>
      <w:r>
        <w:t>, dans le cadre de leurs mandats respectifs, à</w:t>
      </w:r>
      <w:r w:rsidRPr="00E66716">
        <w:t xml:space="preserve"> </w:t>
      </w:r>
      <w:r>
        <w:t>accorder</w:t>
      </w:r>
      <w:r w:rsidRPr="00E66716">
        <w:t xml:space="preserve"> </w:t>
      </w:r>
      <w:r>
        <w:t>une plus grande</w:t>
      </w:r>
      <w:r w:rsidRPr="00E66716">
        <w:t xml:space="preserve"> attention </w:t>
      </w:r>
      <w:r>
        <w:t>à</w:t>
      </w:r>
      <w:r w:rsidRPr="00E66716">
        <w:t xml:space="preserve"> l</w:t>
      </w:r>
      <w:r>
        <w:t>’</w:t>
      </w:r>
      <w:r w:rsidRPr="00E66716">
        <w:t>interaction entre tous les types</w:t>
      </w:r>
      <w:r>
        <w:t xml:space="preserve"> de pollution</w:t>
      </w:r>
      <w:r w:rsidRPr="00E66716">
        <w:t xml:space="preserve"> et la biodiversité et les services écosystémiques</w:t>
      </w:r>
      <w:r>
        <w:t xml:space="preserve"> et à renforcer leurs activités dans ce domaine afin de faire avancer la mise en œuvre de la cible 7 du Cadre mondial de la biodiversité de Kunming-Montréal</w:t>
      </w:r>
      <w:r w:rsidRPr="001F58D1">
        <w:rPr>
          <w:rStyle w:val="Appelnotedebasdep"/>
        </w:rPr>
        <w:footnoteReference w:id="12"/>
      </w:r>
      <w:r>
        <w:t> ;</w:t>
      </w:r>
    </w:p>
    <w:p w14:paraId="27A4EDD0" w14:textId="6F1EB6F2" w:rsidR="006C747E" w:rsidRPr="002D18C5" w:rsidRDefault="006C747E" w:rsidP="006C747E">
      <w:pPr>
        <w:pStyle w:val="CBDNormalNoNumber"/>
        <w:tabs>
          <w:tab w:val="clear" w:pos="1134"/>
        </w:tabs>
        <w:spacing w:before="120"/>
        <w:ind w:firstLine="567"/>
        <w:rPr>
          <w:i/>
          <w:iCs/>
        </w:rPr>
      </w:pPr>
      <w:r w:rsidRPr="002C2E5A">
        <w:t>2.</w:t>
      </w:r>
      <w:r w:rsidRPr="002C2E5A">
        <w:tab/>
      </w:r>
      <w:r>
        <w:rPr>
          <w:i/>
          <w:iCs/>
        </w:rPr>
        <w:t>Prie</w:t>
      </w:r>
      <w:r w:rsidRPr="002C2E5A">
        <w:t xml:space="preserve"> </w:t>
      </w:r>
      <w:r>
        <w:t xml:space="preserve">la Secrétaire exécutive, sous réserve de la disponibilité des ressources, de nouer des relations et de collaborer avec les accords multilatéraux relatifs à l’environnement et les organisations pertinents, y compris les entités mentionnées au paragraphe 1 ci-dessus, et d’organiser un atelier d’experts techniques sur des approches possibles contribuant à combler les lacunes en matière d’outils et d’orientations, avec pour objectif d’atteindre la cible 7 du Cadre, selon qu’il convient, en prenant note des informations fournies dans le document </w:t>
      </w:r>
      <w:hyperlink r:id="rId22">
        <w:r>
          <w:rPr>
            <w:rStyle w:val="Lienhypertexte"/>
          </w:rPr>
          <w:t>CBD/COP/17/INF/23</w:t>
        </w:r>
      </w:hyperlink>
      <w:r>
        <w:t>, et de soumettre un rapport à l’Organe subsidiaire chargé de fournir des avis scientifiques, techniques et technologiques à une réunion devant se tenir avant la dix-huitième réunion de la Conférence des Parties ;</w:t>
      </w:r>
    </w:p>
    <w:p w14:paraId="146F1B23" w14:textId="4A8A9662" w:rsidR="00A44EAB" w:rsidRPr="00FC753C" w:rsidRDefault="006C747E" w:rsidP="006C747E">
      <w:pPr>
        <w:pStyle w:val="CBDNormalNoNumber"/>
        <w:keepNext/>
        <w:tabs>
          <w:tab w:val="clear" w:pos="1134"/>
        </w:tabs>
        <w:spacing w:before="120"/>
        <w:ind w:firstLine="567"/>
      </w:pPr>
      <w:r w:rsidRPr="002C2E5A">
        <w:t>3.</w:t>
      </w:r>
      <w:r w:rsidRPr="002C2E5A">
        <w:tab/>
      </w:r>
      <w:r>
        <w:rPr>
          <w:i/>
          <w:iCs/>
        </w:rPr>
        <w:t>Prie également</w:t>
      </w:r>
      <w:r>
        <w:t xml:space="preserve"> la Secrétaire exécutive d’élaborer, sous réserve de la disponibilité des ressources, en collaboration avec les entités mentionnées au paragraphe 1 ci-dessus, un rapport comportant un recensement des travaux en cours et des travaux pouvant être entrepris par chacune d’elles en vue d’atteindre la cible 7 du Cadre, en tenant compte des résultats de l’atelier organisé conformément au paragraphe 2 ci-dessus, accompagné de recommandations pour des mesures précises à cette fin, qui sera soumis à l’Organe subsidiaire chargé de fournir des avis scientifiques, </w:t>
      </w:r>
      <w:r>
        <w:lastRenderedPageBreak/>
        <w:t>techniques et technologiques à une réunion devant se tenir avant la dix-huitième réunion de la Conférence des Parties.]</w:t>
      </w:r>
    </w:p>
    <w:p w14:paraId="7D44157B" w14:textId="41B81441" w:rsidR="006C747E" w:rsidRPr="002D18C5" w:rsidRDefault="006C747E" w:rsidP="006C747E">
      <w:pPr>
        <w:pStyle w:val="CBDNormalNoNumber"/>
        <w:tabs>
          <w:tab w:val="clear" w:pos="1134"/>
        </w:tabs>
        <w:spacing w:before="120"/>
        <w:ind w:firstLine="567"/>
        <w:rPr>
          <w:i/>
          <w:iCs/>
        </w:rPr>
      </w:pPr>
      <w:r>
        <w:t>]</w:t>
      </w:r>
    </w:p>
    <w:p w14:paraId="37F9167B" w14:textId="4DEDD59B" w:rsidR="006C747E" w:rsidRPr="000D6E57" w:rsidRDefault="009365C8" w:rsidP="006C747E">
      <w:pPr>
        <w:pStyle w:val="CBDcompilationH2"/>
      </w:pPr>
      <w:r w:rsidRPr="00E66716">
        <w:rPr>
          <w:bCs/>
        </w:rPr>
        <w:t>D</w:t>
      </w:r>
      <w:r w:rsidRPr="00E66716">
        <w:rPr>
          <w:bCs/>
        </w:rPr>
        <w:br/>
        <w:t>Proposition de travaux supplémentaires possibles</w:t>
      </w:r>
      <w:r>
        <w:rPr>
          <w:bCs/>
        </w:rPr>
        <w:t> </w:t>
      </w:r>
      <w:r w:rsidRPr="00E66716">
        <w:rPr>
          <w:bCs/>
        </w:rPr>
        <w:t>: activités, produits et services durables fondés sur la biodiversité</w:t>
      </w:r>
      <w:r>
        <w:rPr>
          <w:bCs/>
        </w:rPr>
        <w:t xml:space="preserve"> qui améliorent la biodiversité</w:t>
      </w:r>
    </w:p>
    <w:p w14:paraId="22F653F9" w14:textId="77777777" w:rsidR="00A621E6" w:rsidRPr="00FC753C" w:rsidRDefault="006C747E" w:rsidP="008939E5">
      <w:pPr>
        <w:pStyle w:val="CBDNormalNoNumber"/>
        <w:tabs>
          <w:tab w:val="clear" w:pos="567"/>
          <w:tab w:val="clear" w:pos="1134"/>
        </w:tabs>
        <w:ind w:firstLine="567"/>
      </w:pPr>
      <w:r w:rsidRPr="00E66716">
        <w:rPr>
          <w:i/>
          <w:iCs/>
        </w:rPr>
        <w:t>La Conférence des Parties</w:t>
      </w:r>
      <w:r w:rsidRPr="00E66716" w:rsidDel="0015022C">
        <w:t>,</w:t>
      </w:r>
    </w:p>
    <w:p w14:paraId="05D575B8" w14:textId="1B085C6F" w:rsidR="00B76E14" w:rsidRDefault="00C55489" w:rsidP="008939E5">
      <w:pPr>
        <w:pStyle w:val="CBDNormalNoNumber"/>
        <w:tabs>
          <w:tab w:val="clear" w:pos="567"/>
          <w:tab w:val="clear" w:pos="1134"/>
        </w:tabs>
        <w:ind w:firstLine="567"/>
      </w:pPr>
      <w:r w:rsidRPr="00E66716">
        <w:rPr>
          <w:i/>
          <w:iCs/>
        </w:rPr>
        <w:t>Rappelant</w:t>
      </w:r>
      <w:r w:rsidRPr="00E66716">
        <w:t xml:space="preserve"> les décisions</w:t>
      </w:r>
      <w:r>
        <w:t> </w:t>
      </w:r>
      <w:hyperlink r:id="rId23">
        <w:r>
          <w:rPr>
            <w:rStyle w:val="Lienhypertexte"/>
          </w:rPr>
          <w:t>VII/12</w:t>
        </w:r>
      </w:hyperlink>
      <w:r>
        <w:t xml:space="preserve"> du 20 février 2004, </w:t>
      </w:r>
      <w:hyperlink r:id="rId24">
        <w:r>
          <w:rPr>
            <w:rStyle w:val="Lienhypertexte"/>
          </w:rPr>
          <w:t>15/4</w:t>
        </w:r>
      </w:hyperlink>
      <w:r>
        <w:t xml:space="preserve"> du 19 décembre 2022, </w:t>
      </w:r>
      <w:hyperlink r:id="rId25" w:history="1">
        <w:r w:rsidRPr="00E66716">
          <w:rPr>
            <w:rStyle w:val="Lienhypertexte"/>
          </w:rPr>
          <w:t>16/12</w:t>
        </w:r>
      </w:hyperlink>
      <w:r w:rsidRPr="00E66716">
        <w:t xml:space="preserve"> du 1</w:t>
      </w:r>
      <w:r w:rsidRPr="00E66716">
        <w:rPr>
          <w:vertAlign w:val="superscript"/>
        </w:rPr>
        <w:t>er</w:t>
      </w:r>
      <w:r>
        <w:t> </w:t>
      </w:r>
      <w:r w:rsidRPr="00E66716">
        <w:t>novembre</w:t>
      </w:r>
      <w:r>
        <w:t xml:space="preserve"> </w:t>
      </w:r>
      <w:r w:rsidRPr="00E66716">
        <w:t xml:space="preserve">2024 et </w:t>
      </w:r>
      <w:hyperlink r:id="rId26" w:history="1">
        <w:r w:rsidRPr="00E66716">
          <w:rPr>
            <w:rStyle w:val="Lienhypertexte"/>
          </w:rPr>
          <w:t>16/15</w:t>
        </w:r>
      </w:hyperlink>
      <w:r w:rsidRPr="00E66716">
        <w:t xml:space="preserve"> du 25</w:t>
      </w:r>
      <w:r>
        <w:t> </w:t>
      </w:r>
      <w:r w:rsidRPr="00E66716">
        <w:t>octobre</w:t>
      </w:r>
      <w:r>
        <w:t xml:space="preserve"> </w:t>
      </w:r>
      <w:r w:rsidRPr="00E66716">
        <w:t>2024,</w:t>
      </w:r>
    </w:p>
    <w:p w14:paraId="7548B578" w14:textId="7D500A78" w:rsidR="00DC4CB1" w:rsidRDefault="00DC4CB1" w:rsidP="00DC4CB1">
      <w:pPr>
        <w:pStyle w:val="CBDNormalNoNumber"/>
        <w:tabs>
          <w:tab w:val="clear" w:pos="567"/>
          <w:tab w:val="clear" w:pos="1134"/>
        </w:tabs>
        <w:ind w:firstLine="567"/>
      </w:pPr>
      <w:r w:rsidRPr="00E66716">
        <w:rPr>
          <w:i/>
          <w:iCs/>
        </w:rPr>
        <w:t xml:space="preserve">Prie </w:t>
      </w:r>
      <w:r w:rsidRPr="00E66716">
        <w:rPr>
          <w:iCs/>
        </w:rPr>
        <w:t>la Secrétaire exécutive</w:t>
      </w:r>
      <w:r>
        <w:rPr>
          <w:iCs/>
        </w:rPr>
        <w:t>,</w:t>
      </w:r>
      <w:r w:rsidRPr="00E66716">
        <w:t xml:space="preserve"> </w:t>
      </w:r>
      <w:r>
        <w:t xml:space="preserve">sous réserve de </w:t>
      </w:r>
      <w:r w:rsidRPr="00E66716">
        <w:t>la disponibilité de</w:t>
      </w:r>
      <w:r>
        <w:t>s</w:t>
      </w:r>
      <w:r w:rsidRPr="00E66716">
        <w:t xml:space="preserve"> ressources</w:t>
      </w:r>
      <w:r>
        <w:t> :</w:t>
      </w:r>
    </w:p>
    <w:p w14:paraId="5C58E315" w14:textId="5837C4A8" w:rsidR="001549C8" w:rsidRDefault="00DC4CB1" w:rsidP="00DC4CB1">
      <w:pPr>
        <w:pStyle w:val="CBDNormalNoNumber"/>
        <w:tabs>
          <w:tab w:val="clear" w:pos="567"/>
          <w:tab w:val="clear" w:pos="1134"/>
        </w:tabs>
        <w:ind w:firstLine="567"/>
      </w:pPr>
      <w:r>
        <w:t>a)</w:t>
      </w:r>
      <w:r>
        <w:tab/>
        <w:t>D’inviter les Parties, les autres gouvernements, les peuples autochtones et communautés locales, les organisations de femmes et de jeunes et les parties prenantes pertinentes à communiquer :</w:t>
      </w:r>
    </w:p>
    <w:p w14:paraId="0C453A33" w14:textId="2975B2D0" w:rsidR="004B26A3" w:rsidRDefault="001549C8" w:rsidP="00FC753C">
      <w:pPr>
        <w:pStyle w:val="CBDNormalNoNumber"/>
        <w:tabs>
          <w:tab w:val="clear" w:pos="567"/>
          <w:tab w:val="clear" w:pos="1134"/>
          <w:tab w:val="clear" w:pos="1701"/>
          <w:tab w:val="left" w:pos="1843"/>
        </w:tabs>
        <w:ind w:left="1701" w:hanging="567"/>
      </w:pPr>
      <w:r>
        <w:t>i</w:t>
      </w:r>
      <w:r w:rsidRPr="006E1D72">
        <w:t>)</w:t>
      </w:r>
      <w:r>
        <w:tab/>
        <w:t>Leurs</w:t>
      </w:r>
      <w:r w:rsidRPr="00E66716">
        <w:t xml:space="preserve"> </w:t>
      </w:r>
      <w:r>
        <w:t>vues</w:t>
      </w:r>
      <w:r w:rsidRPr="00E66716">
        <w:t xml:space="preserve"> sur l</w:t>
      </w:r>
      <w:r>
        <w:t>es options visant à renforcer les instruments et l’action permettant de garantir que l’utilisation de la biodiversité soit durable, conformément au Cadre mondial de la biodiversité de Kunming-Montréal</w:t>
      </w:r>
      <w:r>
        <w:rPr>
          <w:rStyle w:val="Appelnotedebasdep"/>
        </w:rPr>
        <w:footnoteReference w:id="13"/>
      </w:r>
      <w:r>
        <w:t>, notamment en remédiant aux lacunes recensées et en renforçant davantage les travaux sur l’utilisation durable de la biodiversité, et à examiner les perspectives d’un</w:t>
      </w:r>
      <w:r w:rsidRPr="00E66716">
        <w:t xml:space="preserve"> </w:t>
      </w:r>
      <w:r>
        <w:t>éventuel programme de travail sur l’utilisation durable de la biodiversité, y compris</w:t>
      </w:r>
      <w:r w:rsidRPr="00E66716">
        <w:t xml:space="preserve"> les</w:t>
      </w:r>
      <w:r>
        <w:t xml:space="preserve"> </w:t>
      </w:r>
      <w:r w:rsidRPr="00E66716">
        <w:t>activités, produits et services durables fondés sur la biodiversité qui améliorent la biodiversité</w:t>
      </w:r>
      <w:r>
        <w:t> ;</w:t>
      </w:r>
    </w:p>
    <w:p w14:paraId="0166A1E7" w14:textId="355C8F43" w:rsidR="00DC4CB1" w:rsidRDefault="004B26A3" w:rsidP="00FC753C">
      <w:pPr>
        <w:pStyle w:val="CBDNormalNoNumber"/>
        <w:tabs>
          <w:tab w:val="clear" w:pos="567"/>
          <w:tab w:val="clear" w:pos="1134"/>
          <w:tab w:val="clear" w:pos="1701"/>
          <w:tab w:val="left" w:pos="1843"/>
        </w:tabs>
        <w:ind w:left="1701" w:hanging="567"/>
      </w:pPr>
      <w:r>
        <w:t>ii)</w:t>
      </w:r>
      <w:r>
        <w:tab/>
        <w:t>Leurs données</w:t>
      </w:r>
      <w:r w:rsidRPr="00E66716">
        <w:t xml:space="preserve"> d</w:t>
      </w:r>
      <w:r>
        <w:t>’expérience</w:t>
      </w:r>
      <w:r w:rsidRPr="00E66716">
        <w:t xml:space="preserve"> </w:t>
      </w:r>
      <w:r>
        <w:t>pertinentes</w:t>
      </w:r>
      <w:r w:rsidRPr="00E66716">
        <w:t xml:space="preserve">, </w:t>
      </w:r>
      <w:r>
        <w:t>y</w:t>
      </w:r>
      <w:r w:rsidRPr="00E66716">
        <w:t xml:space="preserve"> </w:t>
      </w:r>
      <w:r>
        <w:t>compris</w:t>
      </w:r>
      <w:r w:rsidRPr="00E66716">
        <w:t xml:space="preserve"> </w:t>
      </w:r>
      <w:r>
        <w:t>en</w:t>
      </w:r>
      <w:r w:rsidRPr="00E66716">
        <w:t xml:space="preserve"> </w:t>
      </w:r>
      <w:r>
        <w:t>matière</w:t>
      </w:r>
      <w:r w:rsidRPr="00E66716">
        <w:t xml:space="preserve"> d</w:t>
      </w:r>
      <w:r>
        <w:t>’</w:t>
      </w:r>
      <w:r w:rsidRPr="00E66716">
        <w:t>activités, produits et services durables fondés sur la biodiversité</w:t>
      </w:r>
      <w:r>
        <w:t xml:space="preserve"> qui améliorent la biodiversité, notamment en ce qui concerne son lien avec [la bioéconomie circulaire et durable,][les chaînes de valeur de la biodiversité,] y compris au sein des communautés rurales, et dans le contexte de la protection </w:t>
      </w:r>
      <w:r w:rsidRPr="00E66716">
        <w:t xml:space="preserve">et de </w:t>
      </w:r>
      <w:r>
        <w:t>l’encouragement</w:t>
      </w:r>
      <w:r w:rsidRPr="00E66716">
        <w:t xml:space="preserve"> </w:t>
      </w:r>
      <w:r>
        <w:t>de</w:t>
      </w:r>
      <w:r w:rsidRPr="00E66716">
        <w:t xml:space="preserve"> </w:t>
      </w:r>
      <w:r>
        <w:t>l’utilisation</w:t>
      </w:r>
      <w:r w:rsidRPr="00E66716">
        <w:t xml:space="preserve"> </w:t>
      </w:r>
      <w:r>
        <w:t>coutumière</w:t>
      </w:r>
      <w:r w:rsidRPr="00E66716">
        <w:t xml:space="preserve"> </w:t>
      </w:r>
      <w:r>
        <w:t>durable</w:t>
      </w:r>
      <w:r w:rsidRPr="00E66716">
        <w:t xml:space="preserve"> par </w:t>
      </w:r>
      <w:r>
        <w:t>les</w:t>
      </w:r>
      <w:r w:rsidRPr="00E66716">
        <w:t xml:space="preserve"> </w:t>
      </w:r>
      <w:r>
        <w:t>peuples</w:t>
      </w:r>
      <w:r w:rsidRPr="00E66716">
        <w:t xml:space="preserve"> </w:t>
      </w:r>
      <w:r>
        <w:t>autochtones</w:t>
      </w:r>
      <w:r w:rsidRPr="00E66716">
        <w:t xml:space="preserve"> et </w:t>
      </w:r>
      <w:r>
        <w:t>communautés</w:t>
      </w:r>
      <w:r w:rsidRPr="00E66716">
        <w:t xml:space="preserve"> </w:t>
      </w:r>
      <w:r>
        <w:t>locales ;</w:t>
      </w:r>
    </w:p>
    <w:p w14:paraId="1BF31794" w14:textId="702A3875" w:rsidR="00003773" w:rsidRDefault="00003773" w:rsidP="006A1F67">
      <w:pPr>
        <w:pStyle w:val="CBDNormalNoNumber"/>
        <w:tabs>
          <w:tab w:val="clear" w:pos="567"/>
          <w:tab w:val="clear" w:pos="1134"/>
        </w:tabs>
        <w:ind w:firstLine="567"/>
      </w:pPr>
      <w:r>
        <w:t>b)</w:t>
      </w:r>
      <w:r>
        <w:tab/>
        <w:t>De compiler les communications reçues en réponse à l’alinéa a) ci-dessus, d’en faire la synthèse et, sur la base de cette synthèse, d’élaborer des projets d’options pour renforcer la mise en œuvre de l’utilisation durable, y compris les activités, produits et services durables fondés sur la biodiversité qui améliorent la biodiversité, en tenant compte des évaluations pertinentes de la Plateforme intergouvernementale scientifique et politique sur la biodiversité et les services écosystémiques et des résultats de l’examen mondial des progrès collectifs accomplis dans la mise en œuvre du Cadre, ainsi que de la nécessité d’éviter les doubles emplois avec les organisations pertinentes et d’assurer la cohérence avec les autres programmes et domaines de travail de la Convention, et de mettre les projets d’options à disposition pour examen par les pairs ;</w:t>
      </w:r>
    </w:p>
    <w:p w14:paraId="7C56E64C" w14:textId="7D94E379" w:rsidR="00DC4CB1" w:rsidRDefault="00DC4CB1" w:rsidP="00DC4CB1">
      <w:pPr>
        <w:pStyle w:val="CBDNormalNoNumber"/>
        <w:keepNext/>
        <w:tabs>
          <w:tab w:val="clear" w:pos="567"/>
          <w:tab w:val="clear" w:pos="1134"/>
        </w:tabs>
        <w:ind w:firstLine="567"/>
      </w:pPr>
      <w:r>
        <w:t>c)</w:t>
      </w:r>
      <w:r>
        <w:tab/>
        <w:t xml:space="preserve">De soumettre la synthèse et les options révisées, en tenant compte des résultats de l’examen par les pairs, pour examen par l’Organe subsidiaire chargé de fournir des avis scientifiques, </w:t>
      </w:r>
      <w:r>
        <w:lastRenderedPageBreak/>
        <w:t>techniques et technologiques à une réunion devant se tenir avant la dix-huitième réunion de la Conférence des Parties.</w:t>
      </w:r>
    </w:p>
    <w:p w14:paraId="3C8555EA" w14:textId="08A097B7" w:rsidR="006C747E" w:rsidRPr="000D6E57" w:rsidRDefault="006C747E" w:rsidP="006C747E">
      <w:pPr>
        <w:pStyle w:val="CBDcompilationH2"/>
      </w:pPr>
      <w:r>
        <w:rPr>
          <w:bCs/>
        </w:rPr>
        <w:t>[</w:t>
      </w:r>
      <w:r w:rsidRPr="00E66716">
        <w:rPr>
          <w:bCs/>
        </w:rPr>
        <w:t>E</w:t>
      </w:r>
      <w:r w:rsidRPr="00E66716">
        <w:rPr>
          <w:bCs/>
        </w:rPr>
        <w:br/>
      </w:r>
      <w:r w:rsidRPr="00E66716">
        <w:t>Proposition de travaux supplémentaires possibles</w:t>
      </w:r>
      <w:r>
        <w:t> </w:t>
      </w:r>
      <w:r w:rsidRPr="00E66716">
        <w:t>: équité, égalité des genres et</w:t>
      </w:r>
      <w:r>
        <w:t xml:space="preserve"> approche fondée sur</w:t>
      </w:r>
      <w:r w:rsidRPr="00E66716">
        <w:t xml:space="preserve"> les droits de la personne en lien avec la conservation et l</w:t>
      </w:r>
      <w:r>
        <w:t>’</w:t>
      </w:r>
      <w:r w:rsidRPr="00E66716">
        <w:t xml:space="preserve">utilisation durable de la biodiversité, ainsi </w:t>
      </w:r>
      <w:r>
        <w:t>qu’avec</w:t>
      </w:r>
      <w:r w:rsidRPr="00E66716">
        <w:t xml:space="preserve"> le partage juste et équitable des avantages découlant de l</w:t>
      </w:r>
      <w:r>
        <w:t>’</w:t>
      </w:r>
      <w:r w:rsidRPr="00E66716">
        <w:t>utilisation des ressources génétiques</w:t>
      </w:r>
    </w:p>
    <w:p w14:paraId="623DB990" w14:textId="77777777" w:rsidR="006C747E" w:rsidRDefault="006C747E" w:rsidP="006C747E">
      <w:pPr>
        <w:pStyle w:val="CBDNormalNoNumber"/>
        <w:keepNext/>
        <w:keepLines/>
        <w:tabs>
          <w:tab w:val="clear" w:pos="567"/>
          <w:tab w:val="clear" w:pos="1134"/>
        </w:tabs>
        <w:ind w:firstLine="567"/>
        <w:rPr>
          <w:i/>
          <w:iCs/>
        </w:rPr>
      </w:pPr>
      <w:r w:rsidRPr="00E66716">
        <w:rPr>
          <w:i/>
          <w:iCs/>
        </w:rPr>
        <w:t>La Conférence des Parties</w:t>
      </w:r>
      <w:r w:rsidRPr="00E66716" w:rsidDel="0015022C">
        <w:t>,</w:t>
      </w:r>
    </w:p>
    <w:p w14:paraId="7504B50E" w14:textId="53534FDC" w:rsidR="006C747E" w:rsidRDefault="006C747E" w:rsidP="006C747E">
      <w:pPr>
        <w:pStyle w:val="CBDNormalNoNumber"/>
        <w:tabs>
          <w:tab w:val="clear" w:pos="567"/>
          <w:tab w:val="clear" w:pos="1134"/>
        </w:tabs>
        <w:spacing w:before="120"/>
        <w:ind w:firstLine="567"/>
        <w:rPr>
          <w:i/>
          <w:iCs/>
        </w:rPr>
      </w:pPr>
      <w:r>
        <w:rPr>
          <w:i/>
          <w:iCs/>
        </w:rPr>
        <w:t xml:space="preserve">Rappelant </w:t>
      </w:r>
      <w:r>
        <w:t>sa décision </w:t>
      </w:r>
      <w:hyperlink r:id="rId27" w:history="1">
        <w:r w:rsidRPr="00AB1F38">
          <w:rPr>
            <w:rStyle w:val="Lienhypertexte"/>
          </w:rPr>
          <w:t>16/35</w:t>
        </w:r>
      </w:hyperlink>
      <w:r w:rsidRPr="00AB1F38">
        <w:t xml:space="preserve"> </w:t>
      </w:r>
      <w:r>
        <w:t xml:space="preserve">du 27 février 2025, dans laquelle elle a invité le </w:t>
      </w:r>
      <w:r w:rsidRPr="00E66716">
        <w:t>Haut-Commissariat des Nations Unies aux droits de l</w:t>
      </w:r>
      <w:r>
        <w:t>’</w:t>
      </w:r>
      <w:r w:rsidRPr="00E66716">
        <w:t>homme</w:t>
      </w:r>
      <w:r>
        <w:t xml:space="preserve"> </w:t>
      </w:r>
      <w:r w:rsidRPr="00E66716">
        <w:t xml:space="preserve">à élaborer des outils et des orientations sur </w:t>
      </w:r>
      <w:r w:rsidR="00003294">
        <w:t>une approche fondée sur les droits de la personne pour la mise en œuvre du Cadre</w:t>
      </w:r>
      <w:r w:rsidRPr="00516AA9">
        <w:rPr>
          <w:rStyle w:val="Appelnotedebasdep"/>
        </w:rPr>
        <w:footnoteReference w:id="14"/>
      </w:r>
      <w:r>
        <w:t xml:space="preserve"> </w:t>
      </w:r>
      <w:r w:rsidRPr="00E66716">
        <w:t xml:space="preserve">et à transmettre les résultats au </w:t>
      </w:r>
      <w:r>
        <w:t>secrétariat</w:t>
      </w:r>
      <w:r w:rsidRPr="00E66716">
        <w:t>,</w:t>
      </w:r>
    </w:p>
    <w:p w14:paraId="50A2E1EE" w14:textId="5E1B2E48" w:rsidR="006C747E" w:rsidRPr="00516AA9" w:rsidRDefault="006C747E" w:rsidP="006C747E">
      <w:pPr>
        <w:pStyle w:val="CBDNormalNoNumber"/>
        <w:tabs>
          <w:tab w:val="clear" w:pos="567"/>
          <w:tab w:val="clear" w:pos="1134"/>
        </w:tabs>
        <w:spacing w:before="120"/>
        <w:ind w:firstLine="567"/>
      </w:pPr>
      <w:r w:rsidRPr="00E66716">
        <w:rPr>
          <w:i/>
          <w:iCs/>
        </w:rPr>
        <w:t xml:space="preserve">Prenant note </w:t>
      </w:r>
      <w:r w:rsidRPr="00E66716">
        <w:rPr>
          <w:iCs/>
        </w:rPr>
        <w:t>de l</w:t>
      </w:r>
      <w:r>
        <w:rPr>
          <w:iCs/>
        </w:rPr>
        <w:t>’</w:t>
      </w:r>
      <w:r w:rsidRPr="00E66716">
        <w:rPr>
          <w:iCs/>
        </w:rPr>
        <w:t xml:space="preserve">étude analytique </w:t>
      </w:r>
      <w:r>
        <w:rPr>
          <w:iCs/>
        </w:rPr>
        <w:t>globale</w:t>
      </w:r>
      <w:r w:rsidRPr="00E66716">
        <w:rPr>
          <w:iCs/>
        </w:rPr>
        <w:t xml:space="preserve"> sur la mise en </w:t>
      </w:r>
      <w:r>
        <w:rPr>
          <w:iCs/>
        </w:rPr>
        <w:t>œuvre</w:t>
      </w:r>
      <w:r w:rsidRPr="00E66716">
        <w:rPr>
          <w:iCs/>
        </w:rPr>
        <w:t xml:space="preserve"> d</w:t>
      </w:r>
      <w:r>
        <w:rPr>
          <w:iCs/>
        </w:rPr>
        <w:t>’</w:t>
      </w:r>
      <w:r w:rsidRPr="00E66716">
        <w:rPr>
          <w:iCs/>
        </w:rPr>
        <w:t xml:space="preserve">une approche fondée sur les droits </w:t>
      </w:r>
      <w:r w:rsidR="00B438ED">
        <w:t xml:space="preserve">de </w:t>
      </w:r>
      <w:r w:rsidR="006D08EF">
        <w:t>l’homme</w:t>
      </w:r>
      <w:r>
        <w:rPr>
          <w:iCs/>
        </w:rPr>
        <w:t xml:space="preserve"> permettant de</w:t>
      </w:r>
      <w:r w:rsidRPr="00E66716">
        <w:rPr>
          <w:iCs/>
        </w:rPr>
        <w:t xml:space="preserve"> </w:t>
      </w:r>
      <w:r>
        <w:rPr>
          <w:iCs/>
        </w:rPr>
        <w:t>parvenir aux</w:t>
      </w:r>
      <w:r w:rsidRPr="00E66716">
        <w:rPr>
          <w:iCs/>
        </w:rPr>
        <w:t xml:space="preserve"> </w:t>
      </w:r>
      <w:r>
        <w:rPr>
          <w:iCs/>
        </w:rPr>
        <w:t>objectifs</w:t>
      </w:r>
      <w:r w:rsidRPr="00E66716">
        <w:rPr>
          <w:iCs/>
        </w:rPr>
        <w:t xml:space="preserve"> et cibles du Cadre </w:t>
      </w:r>
      <w:r w:rsidRPr="00E66716">
        <w:t>réalisée par le Haut-</w:t>
      </w:r>
      <w:r>
        <w:t>Commissaire</w:t>
      </w:r>
      <w:r w:rsidRPr="00E66716">
        <w:t xml:space="preserve"> des Nations Unies aux droits de l</w:t>
      </w:r>
      <w:r>
        <w:t>’</w:t>
      </w:r>
      <w:r w:rsidRPr="00E66716">
        <w:t>homme,</w:t>
      </w:r>
    </w:p>
    <w:p w14:paraId="13C24D71" w14:textId="60F4BF01" w:rsidR="006C747E" w:rsidRDefault="006C747E" w:rsidP="006C747E">
      <w:pPr>
        <w:pStyle w:val="CBDNormalNoNumber"/>
        <w:tabs>
          <w:tab w:val="clear" w:pos="567"/>
          <w:tab w:val="clear" w:pos="1134"/>
        </w:tabs>
        <w:spacing w:before="120"/>
        <w:ind w:firstLine="567"/>
      </w:pPr>
      <w:r>
        <w:rPr>
          <w:i/>
          <w:iCs/>
        </w:rPr>
        <w:t>P</w:t>
      </w:r>
      <w:r w:rsidRPr="00E66716">
        <w:rPr>
          <w:i/>
          <w:iCs/>
        </w:rPr>
        <w:t xml:space="preserve">rie </w:t>
      </w:r>
      <w:r w:rsidRPr="00E66716">
        <w:rPr>
          <w:iCs/>
        </w:rPr>
        <w:t>la Secrétaire exécutive</w:t>
      </w:r>
      <w:r>
        <w:rPr>
          <w:iCs/>
        </w:rPr>
        <w:t>, sous réserve de</w:t>
      </w:r>
      <w:r w:rsidRPr="00E66716">
        <w:rPr>
          <w:iCs/>
        </w:rPr>
        <w:t xml:space="preserve"> la disponibilité de</w:t>
      </w:r>
      <w:r>
        <w:rPr>
          <w:iCs/>
        </w:rPr>
        <w:t>s</w:t>
      </w:r>
      <w:r w:rsidRPr="00E66716">
        <w:rPr>
          <w:iCs/>
        </w:rPr>
        <w:t xml:space="preserve"> ressources</w:t>
      </w:r>
      <w:r w:rsidR="00B438ED">
        <w:rPr>
          <w:iCs/>
        </w:rPr>
        <w:t xml:space="preserve"> </w:t>
      </w:r>
      <w:r>
        <w:rPr>
          <w:iCs/>
        </w:rPr>
        <w:t>:</w:t>
      </w:r>
    </w:p>
    <w:p w14:paraId="2021A3B2" w14:textId="4497684B" w:rsidR="006C747E" w:rsidRDefault="006C747E" w:rsidP="006C747E">
      <w:pPr>
        <w:pStyle w:val="CBDNormalNoNumber"/>
        <w:tabs>
          <w:tab w:val="clear" w:pos="567"/>
          <w:tab w:val="clear" w:pos="1134"/>
        </w:tabs>
        <w:spacing w:before="120"/>
        <w:ind w:firstLine="567"/>
      </w:pPr>
      <w:r w:rsidRPr="006E1D72">
        <w:t>a)</w:t>
      </w:r>
      <w:r>
        <w:tab/>
      </w:r>
      <w:r w:rsidR="00B438ED">
        <w:rPr>
          <w:iCs/>
        </w:rPr>
        <w:t>D’é</w:t>
      </w:r>
      <w:r>
        <w:rPr>
          <w:iCs/>
        </w:rPr>
        <w:t xml:space="preserve">laborer </w:t>
      </w:r>
      <w:r w:rsidRPr="00E66716">
        <w:rPr>
          <w:iCs/>
        </w:rPr>
        <w:t>une proposition d</w:t>
      </w:r>
      <w:r>
        <w:rPr>
          <w:iCs/>
        </w:rPr>
        <w:t>’éventuels travaux su</w:t>
      </w:r>
      <w:r w:rsidRPr="00E66716">
        <w:rPr>
          <w:iCs/>
        </w:rPr>
        <w:t>pplémentaire</w:t>
      </w:r>
      <w:r>
        <w:rPr>
          <w:iCs/>
        </w:rPr>
        <w:t>s</w:t>
      </w:r>
      <w:r w:rsidRPr="00E66716">
        <w:rPr>
          <w:iCs/>
        </w:rPr>
        <w:t xml:space="preserve"> sur </w:t>
      </w:r>
      <w:r>
        <w:rPr>
          <w:iCs/>
        </w:rPr>
        <w:t xml:space="preserve">l’équité, l’égalité des genres et </w:t>
      </w:r>
      <w:r w:rsidRPr="00E66716">
        <w:rPr>
          <w:iCs/>
        </w:rPr>
        <w:t>l</w:t>
      </w:r>
      <w:r>
        <w:rPr>
          <w:iCs/>
        </w:rPr>
        <w:t>’</w:t>
      </w:r>
      <w:r w:rsidRPr="00E66716">
        <w:rPr>
          <w:iCs/>
        </w:rPr>
        <w:t xml:space="preserve">approche fondée sur les droits </w:t>
      </w:r>
      <w:r>
        <w:rPr>
          <w:iCs/>
        </w:rPr>
        <w:t>de la personne</w:t>
      </w:r>
      <w:r w:rsidRPr="00E66716">
        <w:rPr>
          <w:iCs/>
        </w:rPr>
        <w:t>, comprenant l</w:t>
      </w:r>
      <w:r>
        <w:rPr>
          <w:iCs/>
        </w:rPr>
        <w:t>’</w:t>
      </w:r>
      <w:r w:rsidRPr="00E66716">
        <w:rPr>
          <w:iCs/>
        </w:rPr>
        <w:t xml:space="preserve">équité intergénérationnelle et de genre, en tenant compte </w:t>
      </w:r>
      <w:r>
        <w:rPr>
          <w:iCs/>
        </w:rPr>
        <w:t xml:space="preserve">de l’examen à mi-parcours du </w:t>
      </w:r>
      <w:r w:rsidRPr="00E66716">
        <w:rPr>
          <w:iCs/>
        </w:rPr>
        <w:t>Plan d</w:t>
      </w:r>
      <w:r>
        <w:rPr>
          <w:iCs/>
        </w:rPr>
        <w:t>’</w:t>
      </w:r>
      <w:r w:rsidRPr="00E66716">
        <w:rPr>
          <w:iCs/>
        </w:rPr>
        <w:t xml:space="preserve">action </w:t>
      </w:r>
      <w:r>
        <w:rPr>
          <w:iCs/>
        </w:rPr>
        <w:t>pour</w:t>
      </w:r>
      <w:r w:rsidRPr="00E66716">
        <w:rPr>
          <w:iCs/>
        </w:rPr>
        <w:t xml:space="preserve"> </w:t>
      </w:r>
      <w:r>
        <w:rPr>
          <w:iCs/>
        </w:rPr>
        <w:t>l’égalité</w:t>
      </w:r>
      <w:r w:rsidRPr="00E66716">
        <w:rPr>
          <w:iCs/>
        </w:rPr>
        <w:t xml:space="preserve"> </w:t>
      </w:r>
      <w:r>
        <w:rPr>
          <w:iCs/>
        </w:rPr>
        <w:t>des</w:t>
      </w:r>
      <w:r w:rsidRPr="00E66716">
        <w:rPr>
          <w:iCs/>
        </w:rPr>
        <w:t xml:space="preserve"> </w:t>
      </w:r>
      <w:r>
        <w:rPr>
          <w:iCs/>
        </w:rPr>
        <w:t>sexes (2023–2030)</w:t>
      </w:r>
      <w:r>
        <w:rPr>
          <w:rStyle w:val="Appelnotedebasdep"/>
        </w:rPr>
        <w:footnoteReference w:id="15"/>
      </w:r>
      <w:r>
        <w:rPr>
          <w:iCs/>
        </w:rPr>
        <w:t xml:space="preserve">, en prenant note </w:t>
      </w:r>
      <w:r w:rsidRPr="00E66716">
        <w:rPr>
          <w:iCs/>
        </w:rPr>
        <w:t>de l</w:t>
      </w:r>
      <w:r>
        <w:rPr>
          <w:iCs/>
        </w:rPr>
        <w:t>’</w:t>
      </w:r>
      <w:r w:rsidRPr="00E66716">
        <w:rPr>
          <w:iCs/>
        </w:rPr>
        <w:t xml:space="preserve">étude analytique </w:t>
      </w:r>
      <w:r>
        <w:rPr>
          <w:iCs/>
        </w:rPr>
        <w:t>globale</w:t>
      </w:r>
      <w:r w:rsidRPr="00E66716">
        <w:rPr>
          <w:iCs/>
        </w:rPr>
        <w:t xml:space="preserve"> sur la mise en œuvre </w:t>
      </w:r>
      <w:r>
        <w:rPr>
          <w:iCs/>
        </w:rPr>
        <w:t>d’une</w:t>
      </w:r>
      <w:r w:rsidRPr="00E66716">
        <w:rPr>
          <w:iCs/>
        </w:rPr>
        <w:t xml:space="preserve"> approche fondée sur les droits </w:t>
      </w:r>
      <w:r>
        <w:rPr>
          <w:iCs/>
        </w:rPr>
        <w:t>de</w:t>
      </w:r>
      <w:r w:rsidRPr="00E66716">
        <w:rPr>
          <w:iCs/>
        </w:rPr>
        <w:t xml:space="preserve"> </w:t>
      </w:r>
      <w:r w:rsidR="006D08EF">
        <w:rPr>
          <w:iCs/>
        </w:rPr>
        <w:t>l’homme</w:t>
      </w:r>
      <w:r>
        <w:rPr>
          <w:iCs/>
        </w:rPr>
        <w:t xml:space="preserve"> permettant de</w:t>
      </w:r>
      <w:r w:rsidRPr="00E66716">
        <w:rPr>
          <w:iCs/>
        </w:rPr>
        <w:t xml:space="preserve"> </w:t>
      </w:r>
      <w:r>
        <w:rPr>
          <w:iCs/>
        </w:rPr>
        <w:t>parvenir aux</w:t>
      </w:r>
      <w:r w:rsidRPr="00E66716">
        <w:rPr>
          <w:iCs/>
        </w:rPr>
        <w:t xml:space="preserve"> </w:t>
      </w:r>
      <w:r>
        <w:rPr>
          <w:iCs/>
        </w:rPr>
        <w:t>objectifs</w:t>
      </w:r>
      <w:r w:rsidRPr="00E66716">
        <w:rPr>
          <w:iCs/>
        </w:rPr>
        <w:t xml:space="preserve"> et cibles du Cadre mondial de la biodiversité de Kunming-Montréal réalisée par le Haut-</w:t>
      </w:r>
      <w:r>
        <w:rPr>
          <w:iCs/>
        </w:rPr>
        <w:t>Commissaire</w:t>
      </w:r>
      <w:r w:rsidRPr="00E66716">
        <w:rPr>
          <w:iCs/>
        </w:rPr>
        <w:t xml:space="preserve"> des Nations Unies aux droits de l</w:t>
      </w:r>
      <w:r>
        <w:rPr>
          <w:iCs/>
        </w:rPr>
        <w:t>’</w:t>
      </w:r>
      <w:r w:rsidRPr="00E66716">
        <w:rPr>
          <w:iCs/>
        </w:rPr>
        <w:t xml:space="preserve">homme, </w:t>
      </w:r>
      <w:r>
        <w:rPr>
          <w:iCs/>
        </w:rPr>
        <w:t>ainsi que d’autres outils d’information, orientations et évaluations pertinents ;</w:t>
      </w:r>
    </w:p>
    <w:p w14:paraId="69A96F3A" w14:textId="0CF7EF5B" w:rsidR="00523124" w:rsidRDefault="006C747E" w:rsidP="006C747E">
      <w:pPr>
        <w:pStyle w:val="CBDNormalNoNumber"/>
        <w:keepNext/>
        <w:tabs>
          <w:tab w:val="clear" w:pos="567"/>
          <w:tab w:val="clear" w:pos="1134"/>
        </w:tabs>
        <w:spacing w:before="120"/>
        <w:ind w:firstLine="567"/>
      </w:pPr>
      <w:r>
        <w:t>b)</w:t>
      </w:r>
      <w:r>
        <w:tab/>
      </w:r>
      <w:r w:rsidR="00B438ED">
        <w:rPr>
          <w:iCs/>
        </w:rPr>
        <w:t>De s</w:t>
      </w:r>
      <w:r>
        <w:rPr>
          <w:iCs/>
        </w:rPr>
        <w:t xml:space="preserve">oumettre cette </w:t>
      </w:r>
      <w:r w:rsidRPr="00E66716">
        <w:rPr>
          <w:iCs/>
        </w:rPr>
        <w:t>proposition pour examen par l</w:t>
      </w:r>
      <w:r>
        <w:rPr>
          <w:iCs/>
        </w:rPr>
        <w:t>’</w:t>
      </w:r>
      <w:r w:rsidRPr="00E66716">
        <w:rPr>
          <w:iCs/>
        </w:rPr>
        <w:t xml:space="preserve">Organe subsidiaire chargé de </w:t>
      </w:r>
      <w:r>
        <w:rPr>
          <w:iCs/>
        </w:rPr>
        <w:t>l’application</w:t>
      </w:r>
      <w:r w:rsidRPr="00E66716">
        <w:rPr>
          <w:iCs/>
        </w:rPr>
        <w:t xml:space="preserve"> et l</w:t>
      </w:r>
      <w:r>
        <w:rPr>
          <w:iCs/>
        </w:rPr>
        <w:t>’</w:t>
      </w:r>
      <w:r w:rsidRPr="00E66716">
        <w:rPr>
          <w:iCs/>
        </w:rPr>
        <w:t xml:space="preserve">Organe subsidiaire </w:t>
      </w:r>
      <w:r>
        <w:rPr>
          <w:iCs/>
        </w:rPr>
        <w:t>chargé du suivi de</w:t>
      </w:r>
      <w:r w:rsidRPr="00E66716">
        <w:rPr>
          <w:iCs/>
        </w:rPr>
        <w:t xml:space="preserve"> l</w:t>
      </w:r>
      <w:r>
        <w:rPr>
          <w:iCs/>
        </w:rPr>
        <w:t>’</w:t>
      </w:r>
      <w:r w:rsidRPr="00E66716">
        <w:rPr>
          <w:iCs/>
        </w:rPr>
        <w:t>article</w:t>
      </w:r>
      <w:r>
        <w:rPr>
          <w:iCs/>
        </w:rPr>
        <w:t> </w:t>
      </w:r>
      <w:r w:rsidRPr="00E66716">
        <w:rPr>
          <w:iCs/>
        </w:rPr>
        <w:t>8</w:t>
      </w:r>
      <w:r>
        <w:rPr>
          <w:iCs/>
        </w:rPr>
        <w:t> </w:t>
      </w:r>
      <w:r w:rsidRPr="00E66716">
        <w:rPr>
          <w:iCs/>
        </w:rPr>
        <w:t>j) et</w:t>
      </w:r>
      <w:r>
        <w:rPr>
          <w:iCs/>
        </w:rPr>
        <w:t xml:space="preserve"> des</w:t>
      </w:r>
      <w:r w:rsidRPr="00E66716">
        <w:rPr>
          <w:iCs/>
        </w:rPr>
        <w:t xml:space="preserve"> autres dispositions de la Convention sur la diversité biologique</w:t>
      </w:r>
      <w:r>
        <w:rPr>
          <w:rStyle w:val="Appelnotedebasdep"/>
          <w:iCs/>
        </w:rPr>
        <w:footnoteReference w:id="16"/>
      </w:r>
      <w:r w:rsidRPr="00E66716">
        <w:rPr>
          <w:iCs/>
        </w:rPr>
        <w:t xml:space="preserve"> relatives aux peuples autochtones et communautés locales </w:t>
      </w:r>
      <w:r>
        <w:rPr>
          <w:iCs/>
        </w:rPr>
        <w:t>à des</w:t>
      </w:r>
      <w:r w:rsidRPr="00E66716">
        <w:rPr>
          <w:iCs/>
        </w:rPr>
        <w:t xml:space="preserve"> </w:t>
      </w:r>
      <w:r>
        <w:rPr>
          <w:iCs/>
        </w:rPr>
        <w:t>réunions</w:t>
      </w:r>
      <w:r w:rsidRPr="00E66716">
        <w:rPr>
          <w:iCs/>
        </w:rPr>
        <w:t xml:space="preserve"> </w:t>
      </w:r>
      <w:r>
        <w:rPr>
          <w:iCs/>
        </w:rPr>
        <w:t xml:space="preserve">devant se tenir avant </w:t>
      </w:r>
      <w:r w:rsidRPr="00E66716">
        <w:rPr>
          <w:iCs/>
        </w:rPr>
        <w:t>la dix-huitième réunion de la Conf</w:t>
      </w:r>
      <w:r>
        <w:rPr>
          <w:iCs/>
        </w:rPr>
        <w:t>érence des Parties</w:t>
      </w:r>
      <w:r>
        <w:t>.</w:t>
      </w:r>
    </w:p>
    <w:p w14:paraId="4591AD9E" w14:textId="325790B7" w:rsidR="006C747E" w:rsidRPr="00516AA9" w:rsidRDefault="006C747E" w:rsidP="006C747E">
      <w:pPr>
        <w:pStyle w:val="CBDNormalNoNumber"/>
        <w:tabs>
          <w:tab w:val="clear" w:pos="567"/>
          <w:tab w:val="clear" w:pos="1134"/>
        </w:tabs>
        <w:spacing w:before="120"/>
        <w:ind w:firstLine="567"/>
      </w:pPr>
      <w:r>
        <w:t>]</w:t>
      </w:r>
    </w:p>
    <w:p w14:paraId="00BE6AF5" w14:textId="0BA53681" w:rsidR="006C747E" w:rsidRPr="000D6E57" w:rsidRDefault="00DA64F8" w:rsidP="006C747E">
      <w:pPr>
        <w:pStyle w:val="CBDNormalNoNumber"/>
        <w:keepNext/>
        <w:tabs>
          <w:tab w:val="clear" w:pos="567"/>
          <w:tab w:val="clear" w:pos="1134"/>
        </w:tabs>
        <w:jc w:val="left"/>
        <w:rPr>
          <w:b/>
          <w:bCs/>
        </w:rPr>
      </w:pPr>
      <w:r>
        <w:rPr>
          <w:b/>
          <w:bCs/>
        </w:rPr>
        <w:t>F</w:t>
      </w:r>
      <w:r w:rsidRPr="00E66716">
        <w:rPr>
          <w:b/>
          <w:bCs/>
        </w:rPr>
        <w:br/>
      </w:r>
      <w:r>
        <w:rPr>
          <w:b/>
        </w:rPr>
        <w:t>Proposition de travaux supplémentaires possibles : différents</w:t>
      </w:r>
      <w:r w:rsidRPr="00E66716">
        <w:rPr>
          <w:b/>
        </w:rPr>
        <w:t xml:space="preserve"> systèmes de valeurs, comme indiqué à l</w:t>
      </w:r>
      <w:r>
        <w:rPr>
          <w:b/>
        </w:rPr>
        <w:t>’</w:t>
      </w:r>
      <w:r w:rsidRPr="00E66716">
        <w:rPr>
          <w:b/>
        </w:rPr>
        <w:t>alinéa</w:t>
      </w:r>
      <w:r>
        <w:rPr>
          <w:b/>
        </w:rPr>
        <w:t> </w:t>
      </w:r>
      <w:r w:rsidRPr="00E66716">
        <w:rPr>
          <w:b/>
        </w:rPr>
        <w:t>7</w:t>
      </w:r>
      <w:r>
        <w:rPr>
          <w:b/>
        </w:rPr>
        <w:t> </w:t>
      </w:r>
      <w:r w:rsidRPr="00E66716">
        <w:rPr>
          <w:b/>
        </w:rPr>
        <w:t>b) de la section</w:t>
      </w:r>
      <w:r>
        <w:rPr>
          <w:b/>
        </w:rPr>
        <w:t> </w:t>
      </w:r>
      <w:r w:rsidRPr="00E66716">
        <w:rPr>
          <w:b/>
        </w:rPr>
        <w:t>C</w:t>
      </w:r>
      <w:r>
        <w:rPr>
          <w:b/>
        </w:rPr>
        <w:t xml:space="preserve"> </w:t>
      </w:r>
      <w:r w:rsidRPr="00E66716">
        <w:rPr>
          <w:b/>
        </w:rPr>
        <w:t>du Cadre mondial de la biodiversité de Kunming-Montréal</w:t>
      </w:r>
    </w:p>
    <w:p w14:paraId="2419E357" w14:textId="77777777" w:rsidR="006C747E" w:rsidRPr="00516AA9" w:rsidDel="0015022C" w:rsidRDefault="006C747E" w:rsidP="006C747E">
      <w:pPr>
        <w:pStyle w:val="CBDNormalNoNumber"/>
        <w:tabs>
          <w:tab w:val="clear" w:pos="567"/>
          <w:tab w:val="clear" w:pos="1134"/>
        </w:tabs>
        <w:ind w:firstLine="567"/>
        <w:rPr>
          <w:i/>
          <w:iCs/>
        </w:rPr>
      </w:pPr>
      <w:r w:rsidRPr="00E66716">
        <w:rPr>
          <w:i/>
          <w:iCs/>
        </w:rPr>
        <w:t>La Conférence des Parties</w:t>
      </w:r>
      <w:r>
        <w:t>,</w:t>
      </w:r>
    </w:p>
    <w:p w14:paraId="10334C23" w14:textId="5C289CAC" w:rsidR="006C747E" w:rsidRPr="00516AA9" w:rsidRDefault="006C747E" w:rsidP="006C747E">
      <w:pPr>
        <w:pStyle w:val="CBDNormalNoNumber"/>
        <w:tabs>
          <w:tab w:val="clear" w:pos="567"/>
          <w:tab w:val="clear" w:pos="1134"/>
        </w:tabs>
        <w:ind w:firstLine="567"/>
      </w:pPr>
      <w:r w:rsidRPr="00E66716">
        <w:rPr>
          <w:i/>
          <w:iCs/>
        </w:rPr>
        <w:t xml:space="preserve">Rappelant </w:t>
      </w:r>
      <w:r w:rsidRPr="00E66716">
        <w:rPr>
          <w:iCs/>
        </w:rPr>
        <w:t>qu</w:t>
      </w:r>
      <w:r>
        <w:rPr>
          <w:iCs/>
        </w:rPr>
        <w:t>’</w:t>
      </w:r>
      <w:r w:rsidRPr="00E66716">
        <w:rPr>
          <w:iCs/>
        </w:rPr>
        <w:t>à l</w:t>
      </w:r>
      <w:r>
        <w:rPr>
          <w:iCs/>
        </w:rPr>
        <w:t>’</w:t>
      </w:r>
      <w:r w:rsidRPr="00E66716">
        <w:rPr>
          <w:iCs/>
        </w:rPr>
        <w:t>alinéa</w:t>
      </w:r>
      <w:r>
        <w:rPr>
          <w:iCs/>
        </w:rPr>
        <w:t> </w:t>
      </w:r>
      <w:r w:rsidRPr="00E66716">
        <w:rPr>
          <w:iCs/>
        </w:rPr>
        <w:t>7</w:t>
      </w:r>
      <w:r>
        <w:rPr>
          <w:iCs/>
        </w:rPr>
        <w:t> </w:t>
      </w:r>
      <w:r w:rsidRPr="00E66716">
        <w:rPr>
          <w:iCs/>
        </w:rPr>
        <w:t>b) de la section</w:t>
      </w:r>
      <w:r>
        <w:rPr>
          <w:iCs/>
        </w:rPr>
        <w:t> </w:t>
      </w:r>
      <w:r w:rsidRPr="00E66716">
        <w:rPr>
          <w:iCs/>
        </w:rPr>
        <w:t>C du Cadre mondial de la biodiversité de Kunming-Montréal</w:t>
      </w:r>
      <w:r w:rsidRPr="00E66716">
        <w:rPr>
          <w:rStyle w:val="Appelnotedebasdep"/>
        </w:rPr>
        <w:footnoteReference w:id="17"/>
      </w:r>
      <w:r>
        <w:t>, elle a affirmé</w:t>
      </w:r>
      <w:r w:rsidRPr="00E66716">
        <w:t xml:space="preserve"> que</w:t>
      </w:r>
      <w:r>
        <w:t xml:space="preserve"> différents systèmes de valeurs devraient être pris en compte dans</w:t>
      </w:r>
      <w:r w:rsidRPr="00E66716">
        <w:t xml:space="preserve"> sa mise en œuvre et qu</w:t>
      </w:r>
      <w:r>
        <w:t>’</w:t>
      </w:r>
      <w:r w:rsidRPr="00E66716">
        <w:t xml:space="preserve">à </w:t>
      </w:r>
      <w:r>
        <w:t>la cible </w:t>
      </w:r>
      <w:r w:rsidRPr="00E66716">
        <w:t xml:space="preserve">14 du Cadre, elle </w:t>
      </w:r>
      <w:r>
        <w:t>a demandé</w:t>
      </w:r>
      <w:r w:rsidRPr="00E66716">
        <w:t xml:space="preserve"> l</w:t>
      </w:r>
      <w:r>
        <w:t>’</w:t>
      </w:r>
      <w:r w:rsidRPr="00E66716">
        <w:t xml:space="preserve">intégration </w:t>
      </w:r>
      <w:r>
        <w:t>des</w:t>
      </w:r>
      <w:r w:rsidRPr="00E66716">
        <w:t xml:space="preserve"> </w:t>
      </w:r>
      <w:r>
        <w:t>multiples</w:t>
      </w:r>
      <w:r w:rsidRPr="00E66716">
        <w:t xml:space="preserve"> valeurs de la biodiversité au processus décisionnel,</w:t>
      </w:r>
    </w:p>
    <w:p w14:paraId="1AFC9D4B" w14:textId="05DCC3DD" w:rsidR="006C747E" w:rsidRPr="00516AA9" w:rsidRDefault="006C747E" w:rsidP="006C747E">
      <w:pPr>
        <w:pStyle w:val="CBDNormalNoNumber"/>
        <w:tabs>
          <w:tab w:val="clear" w:pos="567"/>
          <w:tab w:val="clear" w:pos="1134"/>
        </w:tabs>
        <w:ind w:firstLine="567"/>
      </w:pPr>
      <w:r w:rsidRPr="00E66716">
        <w:rPr>
          <w:i/>
          <w:iCs/>
        </w:rPr>
        <w:t xml:space="preserve">Rappelant également </w:t>
      </w:r>
      <w:r w:rsidRPr="00E66716">
        <w:rPr>
          <w:iCs/>
        </w:rPr>
        <w:t>l</w:t>
      </w:r>
      <w:r>
        <w:rPr>
          <w:iCs/>
        </w:rPr>
        <w:t>’</w:t>
      </w:r>
      <w:r w:rsidRPr="00E66716">
        <w:rPr>
          <w:iCs/>
        </w:rPr>
        <w:t>adoption du programme de travail sur l</w:t>
      </w:r>
      <w:r>
        <w:rPr>
          <w:iCs/>
        </w:rPr>
        <w:t>’</w:t>
      </w:r>
      <w:r w:rsidRPr="00E66716">
        <w:rPr>
          <w:iCs/>
        </w:rPr>
        <w:t>article</w:t>
      </w:r>
      <w:r>
        <w:rPr>
          <w:iCs/>
        </w:rPr>
        <w:t> </w:t>
      </w:r>
      <w:r w:rsidRPr="00E66716">
        <w:rPr>
          <w:iCs/>
        </w:rPr>
        <w:t>8</w:t>
      </w:r>
      <w:r>
        <w:rPr>
          <w:iCs/>
        </w:rPr>
        <w:t> </w:t>
      </w:r>
      <w:r w:rsidRPr="00E66716">
        <w:rPr>
          <w:iCs/>
        </w:rPr>
        <w:t>j) et</w:t>
      </w:r>
      <w:r>
        <w:rPr>
          <w:iCs/>
        </w:rPr>
        <w:t xml:space="preserve"> les</w:t>
      </w:r>
      <w:r w:rsidRPr="00E66716">
        <w:rPr>
          <w:iCs/>
        </w:rPr>
        <w:t xml:space="preserve"> autres dispositions de la Convention sur la diversité biologique</w:t>
      </w:r>
      <w:r>
        <w:rPr>
          <w:rStyle w:val="Appelnotedebasdep"/>
          <w:iCs/>
        </w:rPr>
        <w:footnoteReference w:id="18"/>
      </w:r>
      <w:r w:rsidRPr="00E66716">
        <w:rPr>
          <w:iCs/>
        </w:rPr>
        <w:t xml:space="preserve"> relatives aux peuples autochtones et communautés locales à l</w:t>
      </w:r>
      <w:r>
        <w:rPr>
          <w:iCs/>
        </w:rPr>
        <w:t>’</w:t>
      </w:r>
      <w:r w:rsidRPr="00E66716">
        <w:rPr>
          <w:iCs/>
        </w:rPr>
        <w:t>horizon</w:t>
      </w:r>
      <w:r>
        <w:rPr>
          <w:iCs/>
        </w:rPr>
        <w:t> </w:t>
      </w:r>
      <w:r w:rsidRPr="00E66716">
        <w:rPr>
          <w:iCs/>
        </w:rPr>
        <w:t>2030 dans la décision</w:t>
      </w:r>
      <w:r>
        <w:rPr>
          <w:iCs/>
        </w:rPr>
        <w:t> </w:t>
      </w:r>
      <w:hyperlink r:id="rId28" w:history="1">
        <w:r w:rsidRPr="00E66716">
          <w:rPr>
            <w:rStyle w:val="Lienhypertexte"/>
          </w:rPr>
          <w:t>16/4</w:t>
        </w:r>
      </w:hyperlink>
      <w:r w:rsidRPr="00E66716">
        <w:rPr>
          <w:iCs/>
        </w:rPr>
        <w:t xml:space="preserve"> du 30</w:t>
      </w:r>
      <w:r>
        <w:rPr>
          <w:iCs/>
        </w:rPr>
        <w:t> </w:t>
      </w:r>
      <w:r w:rsidRPr="00E66716">
        <w:rPr>
          <w:iCs/>
        </w:rPr>
        <w:t>octobre</w:t>
      </w:r>
      <w:r>
        <w:rPr>
          <w:iCs/>
        </w:rPr>
        <w:t xml:space="preserve"> </w:t>
      </w:r>
      <w:r w:rsidRPr="00E66716">
        <w:rPr>
          <w:iCs/>
        </w:rPr>
        <w:t xml:space="preserve">2024 et les éléments et </w:t>
      </w:r>
      <w:r w:rsidRPr="00E66716">
        <w:rPr>
          <w:iCs/>
        </w:rPr>
        <w:lastRenderedPageBreak/>
        <w:t xml:space="preserve">tâches relatifs au programme de travail </w:t>
      </w:r>
      <w:r>
        <w:rPr>
          <w:iCs/>
        </w:rPr>
        <w:t>conjoint</w:t>
      </w:r>
      <w:r w:rsidRPr="00E66716">
        <w:rPr>
          <w:iCs/>
        </w:rPr>
        <w:t xml:space="preserve"> sur les liens entre la diversité biologique et </w:t>
      </w:r>
      <w:r>
        <w:rPr>
          <w:iCs/>
        </w:rPr>
        <w:t xml:space="preserve">la diversité </w:t>
      </w:r>
      <w:r w:rsidRPr="00E66716">
        <w:rPr>
          <w:iCs/>
        </w:rPr>
        <w:t>culturelle dans l</w:t>
      </w:r>
      <w:r>
        <w:rPr>
          <w:iCs/>
        </w:rPr>
        <w:t>’</w:t>
      </w:r>
      <w:r w:rsidRPr="00E66716">
        <w:rPr>
          <w:iCs/>
        </w:rPr>
        <w:t>annexe à la décision</w:t>
      </w:r>
      <w:r>
        <w:rPr>
          <w:iCs/>
        </w:rPr>
        <w:t> </w:t>
      </w:r>
      <w:hyperlink r:id="rId29" w:history="1">
        <w:r w:rsidRPr="00E66716">
          <w:rPr>
            <w:rStyle w:val="Lienhypertexte"/>
          </w:rPr>
          <w:t>15/22</w:t>
        </w:r>
      </w:hyperlink>
      <w:r w:rsidRPr="00E66716">
        <w:rPr>
          <w:iCs/>
        </w:rPr>
        <w:t xml:space="preserve"> du 10</w:t>
      </w:r>
      <w:r>
        <w:rPr>
          <w:iCs/>
        </w:rPr>
        <w:t> </w:t>
      </w:r>
      <w:r w:rsidRPr="00E66716">
        <w:rPr>
          <w:iCs/>
        </w:rPr>
        <w:t>décembre</w:t>
      </w:r>
      <w:r>
        <w:rPr>
          <w:iCs/>
        </w:rPr>
        <w:t xml:space="preserve"> </w:t>
      </w:r>
      <w:r w:rsidRPr="00E66716">
        <w:rPr>
          <w:iCs/>
        </w:rPr>
        <w:t>2022, qui soutiennent tous les deux l</w:t>
      </w:r>
      <w:r>
        <w:rPr>
          <w:iCs/>
        </w:rPr>
        <w:t>’</w:t>
      </w:r>
      <w:r w:rsidRPr="00E66716">
        <w:rPr>
          <w:iCs/>
        </w:rPr>
        <w:t>application de différents systèmes de valeurs à la mise en œuvre du Cadre</w:t>
      </w:r>
      <w:r w:rsidRPr="00E66716">
        <w:t>,</w:t>
      </w:r>
    </w:p>
    <w:p w14:paraId="682AF569" w14:textId="26ED40CD" w:rsidR="006C747E" w:rsidRDefault="006C747E" w:rsidP="006C747E">
      <w:pPr>
        <w:pStyle w:val="CBDNormalNoNumber"/>
        <w:tabs>
          <w:tab w:val="clear" w:pos="567"/>
          <w:tab w:val="clear" w:pos="1134"/>
        </w:tabs>
        <w:ind w:firstLine="567"/>
      </w:pPr>
      <w:r w:rsidRPr="00E66716">
        <w:rPr>
          <w:i/>
          <w:iCs/>
        </w:rPr>
        <w:t xml:space="preserve">Rappelant en outre </w:t>
      </w:r>
      <w:r w:rsidR="00D92C0B" w:rsidRPr="00D92C0B">
        <w:t>la publication intitulée</w:t>
      </w:r>
      <w:r w:rsidR="00D92C0B">
        <w:rPr>
          <w:i/>
          <w:iCs/>
        </w:rPr>
        <w:t xml:space="preserve"> </w:t>
      </w:r>
      <w:r w:rsidR="00BF11AA" w:rsidRPr="00BF11AA">
        <w:rPr>
          <w:i/>
          <w:iCs/>
        </w:rPr>
        <w:t>The</w:t>
      </w:r>
      <w:r w:rsidR="00BF11AA" w:rsidRPr="00887E5B">
        <w:rPr>
          <w:i/>
          <w:iCs/>
        </w:rPr>
        <w:t xml:space="preserve"> </w:t>
      </w:r>
      <w:r w:rsidR="00BF11AA" w:rsidRPr="000D6E57">
        <w:rPr>
          <w:i/>
          <w:iCs/>
        </w:rPr>
        <w:t>Methodological Assessment Report on the Diverse Values and Valuation of Nature</w:t>
      </w:r>
      <w:r w:rsidR="00BF11AA" w:rsidRPr="00516AA9">
        <w:t xml:space="preserve"> </w:t>
      </w:r>
      <w:r w:rsidR="00BF11AA" w:rsidRPr="00BF11AA">
        <w:t>(</w:t>
      </w:r>
      <w:r w:rsidRPr="00BF11AA">
        <w:rPr>
          <w:bCs/>
        </w:rPr>
        <w:t>Rapport d’évaluation méthodologique des diverses valeurs de la nature et de leur estimation</w:t>
      </w:r>
      <w:r w:rsidR="00BF11AA" w:rsidRPr="00BF11AA">
        <w:rPr>
          <w:bCs/>
        </w:rPr>
        <w:t>)</w:t>
      </w:r>
      <w:r w:rsidRPr="00E66716">
        <w:t xml:space="preserve"> </w:t>
      </w:r>
      <w:r w:rsidRPr="00E66716">
        <w:rPr>
          <w:iCs/>
        </w:rPr>
        <w:t>de la Plateforme intergouvernementale scientifique et politique sur la biodiversité et les services écosystémiques</w:t>
      </w:r>
      <w:r w:rsidRPr="00E66716">
        <w:t>,</w:t>
      </w:r>
    </w:p>
    <w:p w14:paraId="5315B750" w14:textId="5574B3B5" w:rsidR="006C747E" w:rsidRDefault="006C747E" w:rsidP="006C747E">
      <w:pPr>
        <w:pStyle w:val="CBDNormalNoNumber"/>
        <w:tabs>
          <w:tab w:val="clear" w:pos="567"/>
          <w:tab w:val="clear" w:pos="1134"/>
        </w:tabs>
        <w:ind w:firstLine="567"/>
      </w:pPr>
      <w:r>
        <w:t>1.</w:t>
      </w:r>
      <w:r>
        <w:tab/>
      </w:r>
      <w:r>
        <w:rPr>
          <w:i/>
          <w:iCs/>
        </w:rPr>
        <w:t xml:space="preserve">Invite </w:t>
      </w:r>
      <w:r>
        <w:t xml:space="preserve">les centres régionaux et sous-régionaux d’appui à la coopération technique et scientifique à </w:t>
      </w:r>
      <w:r w:rsidR="00BF11AA">
        <w:t>utiliser</w:t>
      </w:r>
      <w:r>
        <w:t xml:space="preserve"> </w:t>
      </w:r>
      <w:r w:rsidRPr="00D92C0B">
        <w:t xml:space="preserve">activement </w:t>
      </w:r>
      <w:r w:rsidR="00D92C0B" w:rsidRPr="00D92C0B">
        <w:t>la publication</w:t>
      </w:r>
      <w:r w:rsidR="00D92C0B" w:rsidRPr="00D92C0B">
        <w:rPr>
          <w:i/>
          <w:iCs/>
        </w:rPr>
        <w:t xml:space="preserve"> </w:t>
      </w:r>
      <w:r w:rsidR="00D92C0B">
        <w:rPr>
          <w:i/>
          <w:iCs/>
        </w:rPr>
        <w:t xml:space="preserve">intitulée </w:t>
      </w:r>
      <w:r w:rsidR="00BF11AA" w:rsidRPr="00BF11AA">
        <w:rPr>
          <w:i/>
          <w:iCs/>
        </w:rPr>
        <w:t>The</w:t>
      </w:r>
      <w:r w:rsidR="00BF11AA" w:rsidRPr="00887E5B">
        <w:rPr>
          <w:i/>
          <w:iCs/>
        </w:rPr>
        <w:t xml:space="preserve"> </w:t>
      </w:r>
      <w:r w:rsidR="00BF11AA" w:rsidRPr="000D6E57">
        <w:rPr>
          <w:i/>
          <w:iCs/>
        </w:rPr>
        <w:t>Methodological Assessment Report on the Diverse Values and Valuation of Nature</w:t>
      </w:r>
      <w:r w:rsidRPr="00E66716">
        <w:t xml:space="preserve"> </w:t>
      </w:r>
      <w:r w:rsidR="00BF11AA">
        <w:t>en vue d’appuyer</w:t>
      </w:r>
      <w:r>
        <w:t xml:space="preserve"> les Parties dans l’application du Cadre mondial de la biodiversité de Kunming-Montréal ;</w:t>
      </w:r>
    </w:p>
    <w:p w14:paraId="03266B75" w14:textId="4B5A408D" w:rsidR="006C747E" w:rsidRPr="00516AA9" w:rsidRDefault="006C747E" w:rsidP="006C747E">
      <w:pPr>
        <w:pStyle w:val="CBDNormalNoNumber"/>
        <w:tabs>
          <w:tab w:val="clear" w:pos="567"/>
          <w:tab w:val="clear" w:pos="1134"/>
        </w:tabs>
        <w:ind w:firstLine="567"/>
      </w:pPr>
      <w:r>
        <w:t>2.</w:t>
      </w:r>
      <w:r>
        <w:tab/>
      </w:r>
      <w:r>
        <w:rPr>
          <w:i/>
          <w:iCs/>
        </w:rPr>
        <w:t>Invite</w:t>
      </w:r>
      <w:r>
        <w:t xml:space="preserve"> les organisations compétentes à continuer d’appuyer l’utilisation et </w:t>
      </w:r>
      <w:r w:rsidR="00BF11AA" w:rsidRPr="00BF11AA">
        <w:t>la prise en compte</w:t>
      </w:r>
      <w:r w:rsidR="00D92C0B">
        <w:t xml:space="preserve"> de</w:t>
      </w:r>
      <w:r>
        <w:t xml:space="preserve"> </w:t>
      </w:r>
      <w:r w:rsidR="00D92C0B" w:rsidRPr="00D92C0B">
        <w:t>la publication intitulée</w:t>
      </w:r>
      <w:r w:rsidR="00D92C0B">
        <w:rPr>
          <w:i/>
          <w:iCs/>
        </w:rPr>
        <w:t xml:space="preserve"> </w:t>
      </w:r>
      <w:r w:rsidR="00BF11AA" w:rsidRPr="00BF11AA">
        <w:rPr>
          <w:i/>
          <w:iCs/>
        </w:rPr>
        <w:t>The</w:t>
      </w:r>
      <w:r w:rsidR="00BF11AA">
        <w:rPr>
          <w:i/>
          <w:iCs/>
        </w:rPr>
        <w:t> </w:t>
      </w:r>
      <w:r w:rsidR="00BF11AA" w:rsidRPr="000D6E57">
        <w:rPr>
          <w:i/>
          <w:iCs/>
        </w:rPr>
        <w:t>Methodological Assessment Report on the Diverse Values and Valuation of Nature</w:t>
      </w:r>
      <w:r w:rsidR="00BF11AA">
        <w:rPr>
          <w:bCs/>
        </w:rPr>
        <w:t xml:space="preserve"> </w:t>
      </w:r>
      <w:r>
        <w:rPr>
          <w:bCs/>
        </w:rPr>
        <w:t>dans la mise en œuvre de la Convention sur la diversité biologique et du Cadre ;</w:t>
      </w:r>
    </w:p>
    <w:p w14:paraId="11F9048A" w14:textId="7FC49632" w:rsidR="00523124" w:rsidRDefault="006C747E" w:rsidP="006C747E">
      <w:pPr>
        <w:pStyle w:val="CBDNormalNoNumber"/>
        <w:keepNext/>
        <w:tabs>
          <w:tab w:val="clear" w:pos="567"/>
          <w:tab w:val="clear" w:pos="1134"/>
        </w:tabs>
        <w:ind w:firstLine="567"/>
      </w:pPr>
      <w:r>
        <w:t>3</w:t>
      </w:r>
      <w:r w:rsidRPr="00E66716">
        <w:t>.</w:t>
      </w:r>
      <w:r w:rsidRPr="00E66716">
        <w:tab/>
      </w:r>
      <w:r w:rsidRPr="00E66716">
        <w:rPr>
          <w:i/>
          <w:iCs/>
        </w:rPr>
        <w:t xml:space="preserve">Prie </w:t>
      </w:r>
      <w:r>
        <w:rPr>
          <w:iCs/>
        </w:rPr>
        <w:t>la Secrétaire exécutive</w:t>
      </w:r>
      <w:r w:rsidRPr="00E66716">
        <w:rPr>
          <w:iCs/>
        </w:rPr>
        <w:t xml:space="preserve">, </w:t>
      </w:r>
      <w:r>
        <w:rPr>
          <w:iCs/>
        </w:rPr>
        <w:t>sous réserve de</w:t>
      </w:r>
      <w:r w:rsidRPr="00E66716">
        <w:rPr>
          <w:iCs/>
        </w:rPr>
        <w:t xml:space="preserve"> la disponibilité des ressources, de faciliter l</w:t>
      </w:r>
      <w:r>
        <w:rPr>
          <w:iCs/>
        </w:rPr>
        <w:t>’</w:t>
      </w:r>
      <w:r w:rsidRPr="00E66716">
        <w:rPr>
          <w:iCs/>
        </w:rPr>
        <w:t>échange de connaissances, d</w:t>
      </w:r>
      <w:r>
        <w:rPr>
          <w:iCs/>
        </w:rPr>
        <w:t>e données d’</w:t>
      </w:r>
      <w:r w:rsidRPr="00E66716">
        <w:rPr>
          <w:iCs/>
        </w:rPr>
        <w:t xml:space="preserve">expérience et de bonnes pratiques entre les Parties, </w:t>
      </w:r>
      <w:r>
        <w:rPr>
          <w:iCs/>
        </w:rPr>
        <w:t xml:space="preserve">les autres gouvernements, les gouvernements infranationaux, </w:t>
      </w:r>
      <w:r w:rsidRPr="00E66716">
        <w:rPr>
          <w:iCs/>
        </w:rPr>
        <w:t>les peuples autochtones et communautés locales et les parties prenantes</w:t>
      </w:r>
      <w:r>
        <w:rPr>
          <w:iCs/>
        </w:rPr>
        <w:t xml:space="preserve"> concernées</w:t>
      </w:r>
      <w:r w:rsidRPr="00E66716">
        <w:rPr>
          <w:iCs/>
        </w:rPr>
        <w:t>, notamment par la tenue de dialogues et au moyen de plateformes d</w:t>
      </w:r>
      <w:r>
        <w:rPr>
          <w:iCs/>
        </w:rPr>
        <w:t>’</w:t>
      </w:r>
      <w:r w:rsidRPr="00E66716">
        <w:rPr>
          <w:iCs/>
        </w:rPr>
        <w:t>apprentissage, afin d</w:t>
      </w:r>
      <w:r>
        <w:rPr>
          <w:iCs/>
        </w:rPr>
        <w:t>’</w:t>
      </w:r>
      <w:r w:rsidRPr="00E66716">
        <w:rPr>
          <w:iCs/>
        </w:rPr>
        <w:t>appuyer l</w:t>
      </w:r>
      <w:r>
        <w:rPr>
          <w:iCs/>
        </w:rPr>
        <w:t>’</w:t>
      </w:r>
      <w:r w:rsidRPr="00E66716">
        <w:rPr>
          <w:iCs/>
        </w:rPr>
        <w:t xml:space="preserve">intégration efficace </w:t>
      </w:r>
      <w:r>
        <w:rPr>
          <w:iCs/>
        </w:rPr>
        <w:t>de</w:t>
      </w:r>
      <w:r w:rsidRPr="00E66716">
        <w:rPr>
          <w:iCs/>
        </w:rPr>
        <w:t xml:space="preserve"> </w:t>
      </w:r>
      <w:r>
        <w:rPr>
          <w:iCs/>
        </w:rPr>
        <w:t>diverses</w:t>
      </w:r>
      <w:r w:rsidRPr="00E66716">
        <w:rPr>
          <w:iCs/>
        </w:rPr>
        <w:t xml:space="preserve"> valeurs et</w:t>
      </w:r>
      <w:r>
        <w:rPr>
          <w:iCs/>
        </w:rPr>
        <w:t xml:space="preserve"> de divers systèmes</w:t>
      </w:r>
      <w:r w:rsidRPr="00E66716">
        <w:rPr>
          <w:iCs/>
        </w:rPr>
        <w:t xml:space="preserve"> de connaissances à la mise en œuvre du Cadre</w:t>
      </w:r>
      <w:r>
        <w:rPr>
          <w:iCs/>
        </w:rPr>
        <w:t>.</w:t>
      </w:r>
    </w:p>
    <w:p w14:paraId="1D897584" w14:textId="33C8828A" w:rsidR="00A111D1" w:rsidRPr="003F1A75" w:rsidRDefault="00A111D1" w:rsidP="006E7BE2">
      <w:pPr>
        <w:pStyle w:val="Para1"/>
        <w:numPr>
          <w:ilvl w:val="0"/>
          <w:numId w:val="0"/>
        </w:numPr>
        <w:ind w:left="567"/>
        <w:jc w:val="center"/>
      </w:pPr>
      <w:r w:rsidRPr="003F1A75">
        <w:t>__________</w:t>
      </w:r>
    </w:p>
    <w:sectPr w:rsidR="00A111D1" w:rsidRPr="003F1A75" w:rsidSect="00FF333A">
      <w:headerReference w:type="even" r:id="rId30"/>
      <w:headerReference w:type="default" r:id="rId31"/>
      <w:footerReference w:type="even" r:id="rId32"/>
      <w:footerReference w:type="default" r:id="rId33"/>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32A9E" w14:textId="77777777" w:rsidR="00087F1A" w:rsidRPr="003F1A75" w:rsidRDefault="00087F1A" w:rsidP="00CF1848">
      <w:r w:rsidRPr="003F1A75">
        <w:separator/>
      </w:r>
    </w:p>
  </w:endnote>
  <w:endnote w:type="continuationSeparator" w:id="0">
    <w:p w14:paraId="1E1F83A1" w14:textId="77777777" w:rsidR="00087F1A" w:rsidRPr="003F1A75" w:rsidRDefault="00087F1A"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B06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3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54AF5599"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205ED0ED"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89B508" w14:textId="77777777" w:rsidR="00087F1A" w:rsidRDefault="00087F1A" w:rsidP="00155130">
      <w:r>
        <w:separator/>
      </w:r>
    </w:p>
  </w:footnote>
  <w:footnote w:type="continuationSeparator" w:id="0">
    <w:p w14:paraId="6794C9FC" w14:textId="77777777" w:rsidR="00087F1A" w:rsidRDefault="00087F1A" w:rsidP="00155130">
      <w:r>
        <w:continuationSeparator/>
      </w:r>
    </w:p>
  </w:footnote>
  <w:footnote w:id="1">
    <w:p w14:paraId="5971BCF7" w14:textId="77777777" w:rsidR="00DD1DF5" w:rsidRPr="00755E7F" w:rsidRDefault="00000000" w:rsidP="00155130">
      <w:pPr>
        <w:pStyle w:val="Notedebasdepage"/>
        <w:rPr>
          <w:lang w:val="fr-CA"/>
        </w:rPr>
      </w:pPr>
      <w:r>
        <w:rPr>
          <w:rStyle w:val="Appelnotedebasdep"/>
        </w:rPr>
        <w:footnoteRef/>
      </w:r>
      <w:r w:rsidRPr="00755E7F">
        <w:t xml:space="preserve"> Nations Unies, </w:t>
      </w:r>
      <w:r w:rsidRPr="00CF6153">
        <w:rPr>
          <w:i/>
          <w:iCs/>
        </w:rPr>
        <w:t xml:space="preserve">Recueil </w:t>
      </w:r>
      <w:r w:rsidRPr="00755E7F">
        <w:rPr>
          <w:i/>
        </w:rPr>
        <w:t xml:space="preserve">des </w:t>
      </w:r>
      <w:r>
        <w:rPr>
          <w:i/>
        </w:rPr>
        <w:t>T</w:t>
      </w:r>
      <w:r w:rsidRPr="00755E7F">
        <w:rPr>
          <w:i/>
        </w:rPr>
        <w:t>raités</w:t>
      </w:r>
      <w:r w:rsidRPr="00755E7F">
        <w:t>, vol.</w:t>
      </w:r>
      <w:r>
        <w:t> </w:t>
      </w:r>
      <w:r w:rsidRPr="00755E7F">
        <w:t>1760, n</w:t>
      </w:r>
      <w:r w:rsidRPr="00755E7F">
        <w:rPr>
          <w:vertAlign w:val="superscript"/>
        </w:rPr>
        <w:t>o</w:t>
      </w:r>
      <w:r>
        <w:t> </w:t>
      </w:r>
      <w:r w:rsidRPr="00755E7F">
        <w:t>30619.</w:t>
      </w:r>
    </w:p>
  </w:footnote>
  <w:footnote w:id="2">
    <w:p w14:paraId="7B6B44C4" w14:textId="6211283E" w:rsidR="00DD1DF5" w:rsidRPr="00755E7F" w:rsidRDefault="00000000" w:rsidP="00155130">
      <w:pPr>
        <w:pStyle w:val="Notedebasdepage"/>
        <w:rPr>
          <w:lang w:val="fr-CA"/>
        </w:rPr>
      </w:pPr>
      <w:r w:rsidRPr="00755E7F">
        <w:rPr>
          <w:rStyle w:val="Appelnotedebasdep"/>
        </w:rPr>
        <w:footnoteRef/>
      </w:r>
      <w:r w:rsidRPr="00755E7F">
        <w:t xml:space="preserve"> </w:t>
      </w:r>
      <w:r>
        <w:t>D</w:t>
      </w:r>
      <w:r w:rsidRPr="00755E7F">
        <w:t>écision</w:t>
      </w:r>
      <w:r>
        <w:t> </w:t>
      </w:r>
      <w:hyperlink r:id="rId1" w:history="1">
        <w:r w:rsidRPr="00755E7F">
          <w:rPr>
            <w:rStyle w:val="Lienhypertexte"/>
          </w:rPr>
          <w:t>15/4</w:t>
        </w:r>
      </w:hyperlink>
      <w:r w:rsidRPr="00293B35">
        <w:t>, annexe</w:t>
      </w:r>
      <w:r w:rsidRPr="00755E7F">
        <w:t>.</w:t>
      </w:r>
    </w:p>
  </w:footnote>
  <w:footnote w:id="3">
    <w:p w14:paraId="6968AAF4" w14:textId="4A2277C3" w:rsidR="00DD1DF5" w:rsidRPr="00755E7F" w:rsidRDefault="00000000" w:rsidP="00155130">
      <w:pPr>
        <w:pStyle w:val="Notedebasdepage"/>
        <w:rPr>
          <w:lang w:val="fr-CA"/>
        </w:rPr>
      </w:pPr>
      <w:r w:rsidRPr="00755E7F">
        <w:rPr>
          <w:rStyle w:val="Appelnotedebasdep"/>
        </w:rPr>
        <w:footnoteRef/>
      </w:r>
      <w:r w:rsidRPr="00755E7F">
        <w:t xml:space="preserve"> </w:t>
      </w:r>
      <w:r>
        <w:t>D</w:t>
      </w:r>
      <w:r w:rsidRPr="00755E7F">
        <w:t>écision</w:t>
      </w:r>
      <w:r>
        <w:t> </w:t>
      </w:r>
      <w:hyperlink r:id="rId2" w:history="1">
        <w:r w:rsidRPr="00755E7F">
          <w:rPr>
            <w:rStyle w:val="Lienhypertexte"/>
          </w:rPr>
          <w:t>15/4</w:t>
        </w:r>
      </w:hyperlink>
      <w:r w:rsidRPr="00293B35">
        <w:t>, annexe</w:t>
      </w:r>
      <w:r w:rsidRPr="00755E7F">
        <w:t>.</w:t>
      </w:r>
    </w:p>
  </w:footnote>
  <w:footnote w:id="4">
    <w:p w14:paraId="6F734C06" w14:textId="77777777" w:rsidR="00DD1DF5" w:rsidRPr="00755E7F" w:rsidRDefault="00000000" w:rsidP="00155130">
      <w:pPr>
        <w:pStyle w:val="Notedebasdepage"/>
        <w:rPr>
          <w:lang w:val="fr-CA"/>
        </w:rPr>
      </w:pPr>
      <w:r w:rsidRPr="00755E7F">
        <w:rPr>
          <w:rStyle w:val="Appelnotedebasdep"/>
        </w:rPr>
        <w:footnoteRef/>
      </w:r>
      <w:r w:rsidRPr="00755E7F">
        <w:t xml:space="preserve"> </w:t>
      </w:r>
      <w:r>
        <w:t>Conformément</w:t>
      </w:r>
      <w:r w:rsidRPr="00755E7F">
        <w:t xml:space="preserve"> </w:t>
      </w:r>
      <w:r>
        <w:t>à</w:t>
      </w:r>
      <w:r w:rsidRPr="00293B35">
        <w:t xml:space="preserve"> </w:t>
      </w:r>
      <w:r>
        <w:t>la cible 1 du Cadre</w:t>
      </w:r>
      <w:r w:rsidRPr="00755E7F">
        <w:t>.</w:t>
      </w:r>
    </w:p>
  </w:footnote>
  <w:footnote w:id="5">
    <w:p w14:paraId="353865E9" w14:textId="67AC118E" w:rsidR="00DD1DF5" w:rsidRPr="00755E7F" w:rsidRDefault="00E86E4A" w:rsidP="00155130">
      <w:pPr>
        <w:pStyle w:val="Notedebasdepage"/>
        <w:rPr>
          <w:lang w:val="fr-CA"/>
        </w:rPr>
      </w:pPr>
      <w:r>
        <w:t>[</w:t>
      </w:r>
      <w:r>
        <w:rPr>
          <w:rStyle w:val="Appelnotedebasdep"/>
        </w:rPr>
        <w:footnoteRef/>
      </w:r>
      <w:r>
        <w:t xml:space="preserve"> </w:t>
      </w:r>
      <w:r>
        <w:rPr>
          <w:lang w:val="en-CA"/>
        </w:rPr>
        <w:t>Décision 17/--, annexe.]</w:t>
      </w:r>
    </w:p>
  </w:footnote>
  <w:footnote w:id="6">
    <w:p w14:paraId="0CFF3327" w14:textId="77777777" w:rsidR="00DD1DF5" w:rsidRPr="00A40156" w:rsidRDefault="00000000" w:rsidP="00155130">
      <w:pPr>
        <w:pStyle w:val="Notedebasdepage"/>
        <w:rPr>
          <w:lang w:val="fr-LU"/>
        </w:rPr>
      </w:pPr>
      <w:r>
        <w:rPr>
          <w:rStyle w:val="Appelnotedebasdep"/>
        </w:rPr>
        <w:footnoteRef/>
      </w:r>
      <w:r w:rsidRPr="00E16E29">
        <w:t xml:space="preserve"> </w:t>
      </w:r>
      <w:r w:rsidRPr="00247814">
        <w:rPr>
          <w:color w:val="000000"/>
          <w:szCs w:val="18"/>
        </w:rPr>
        <w:t xml:space="preserve">Nations Unies, </w:t>
      </w:r>
      <w:r>
        <w:rPr>
          <w:i/>
          <w:iCs/>
          <w:color w:val="000000"/>
          <w:szCs w:val="18"/>
        </w:rPr>
        <w:t>Recueil des Traités</w:t>
      </w:r>
      <w:r w:rsidRPr="00247814">
        <w:rPr>
          <w:iCs/>
          <w:color w:val="000000"/>
          <w:szCs w:val="18"/>
        </w:rPr>
        <w:t>,</w:t>
      </w:r>
      <w:r w:rsidRPr="00247814">
        <w:rPr>
          <w:i/>
          <w:iCs/>
          <w:color w:val="000000"/>
          <w:szCs w:val="18"/>
        </w:rPr>
        <w:t xml:space="preserve"> </w:t>
      </w:r>
      <w:r w:rsidRPr="00247814">
        <w:rPr>
          <w:color w:val="000000"/>
          <w:szCs w:val="18"/>
        </w:rPr>
        <w:t>vol.</w:t>
      </w:r>
      <w:r>
        <w:rPr>
          <w:color w:val="000000"/>
          <w:szCs w:val="18"/>
        </w:rPr>
        <w:t> 1651</w:t>
      </w:r>
      <w:r w:rsidRPr="00247814">
        <w:rPr>
          <w:color w:val="000000"/>
          <w:szCs w:val="18"/>
        </w:rPr>
        <w:t xml:space="preserve">, </w:t>
      </w:r>
      <w:r>
        <w:rPr>
          <w:color w:val="000000"/>
          <w:szCs w:val="18"/>
        </w:rPr>
        <w:t>n</w:t>
      </w:r>
      <w:r w:rsidRPr="00247814">
        <w:rPr>
          <w:color w:val="000000"/>
          <w:szCs w:val="18"/>
          <w:vertAlign w:val="superscript"/>
        </w:rPr>
        <w:t>o</w:t>
      </w:r>
      <w:r>
        <w:rPr>
          <w:color w:val="000000"/>
          <w:szCs w:val="18"/>
        </w:rPr>
        <w:t> 28395</w:t>
      </w:r>
      <w:r w:rsidRPr="00247814">
        <w:rPr>
          <w:color w:val="000000"/>
          <w:szCs w:val="18"/>
        </w:rPr>
        <w:t>.</w:t>
      </w:r>
    </w:p>
  </w:footnote>
  <w:footnote w:id="7">
    <w:p w14:paraId="4FAA6C7E" w14:textId="387E5D25" w:rsidR="00DD1DF5" w:rsidRPr="00E86E4A" w:rsidRDefault="00E86E4A" w:rsidP="00155130">
      <w:pPr>
        <w:pStyle w:val="Notedebasdepage"/>
        <w:rPr>
          <w:lang w:val="en-CA"/>
        </w:rPr>
      </w:pPr>
      <w:r>
        <w:t>[</w:t>
      </w:r>
      <w:r>
        <w:rPr>
          <w:rStyle w:val="Appelnotedebasdep"/>
        </w:rPr>
        <w:footnoteRef/>
      </w:r>
      <w:r>
        <w:t xml:space="preserve"> </w:t>
      </w:r>
      <w:r>
        <w:rPr>
          <w:lang w:val="en-CA"/>
        </w:rPr>
        <w:t>Décision 17/--.]</w:t>
      </w:r>
    </w:p>
  </w:footnote>
  <w:footnote w:id="8">
    <w:p w14:paraId="5810F73D" w14:textId="77777777" w:rsidR="00DD1DF5" w:rsidRPr="00A40156" w:rsidRDefault="00000000" w:rsidP="00155130">
      <w:pPr>
        <w:pStyle w:val="Notedebasdepage"/>
        <w:rPr>
          <w:lang w:val="fr-LU"/>
        </w:rPr>
      </w:pPr>
      <w:r>
        <w:rPr>
          <w:rStyle w:val="Appelnotedebasdep"/>
        </w:rPr>
        <w:footnoteRef/>
      </w:r>
      <w:r w:rsidRPr="00E16E29">
        <w:t xml:space="preserve"> </w:t>
      </w:r>
      <w:r w:rsidRPr="00247814">
        <w:rPr>
          <w:color w:val="000000"/>
          <w:szCs w:val="18"/>
        </w:rPr>
        <w:t xml:space="preserve">Nations Unies, </w:t>
      </w:r>
      <w:r>
        <w:rPr>
          <w:i/>
          <w:iCs/>
          <w:color w:val="000000"/>
          <w:szCs w:val="18"/>
        </w:rPr>
        <w:t>Recueil des Traités</w:t>
      </w:r>
      <w:r w:rsidRPr="00247814">
        <w:rPr>
          <w:iCs/>
          <w:color w:val="000000"/>
          <w:szCs w:val="18"/>
        </w:rPr>
        <w:t>,</w:t>
      </w:r>
      <w:r w:rsidRPr="00247814">
        <w:rPr>
          <w:i/>
          <w:iCs/>
          <w:color w:val="000000"/>
          <w:szCs w:val="18"/>
        </w:rPr>
        <w:t xml:space="preserve"> </w:t>
      </w:r>
      <w:r w:rsidRPr="00247814">
        <w:rPr>
          <w:color w:val="000000"/>
          <w:szCs w:val="18"/>
        </w:rPr>
        <w:t>vol.</w:t>
      </w:r>
      <w:r>
        <w:rPr>
          <w:color w:val="000000"/>
          <w:szCs w:val="18"/>
        </w:rPr>
        <w:t> </w:t>
      </w:r>
      <w:r w:rsidRPr="00247814">
        <w:rPr>
          <w:color w:val="000000"/>
          <w:szCs w:val="18"/>
        </w:rPr>
        <w:t>1</w:t>
      </w:r>
      <w:r>
        <w:rPr>
          <w:color w:val="000000"/>
          <w:szCs w:val="18"/>
        </w:rPr>
        <w:t>673</w:t>
      </w:r>
      <w:r w:rsidRPr="00247814">
        <w:rPr>
          <w:color w:val="000000"/>
          <w:szCs w:val="18"/>
        </w:rPr>
        <w:t xml:space="preserve">, </w:t>
      </w:r>
      <w:r>
        <w:rPr>
          <w:color w:val="000000"/>
          <w:szCs w:val="18"/>
        </w:rPr>
        <w:t>n</w:t>
      </w:r>
      <w:r w:rsidRPr="00247814">
        <w:rPr>
          <w:color w:val="000000"/>
          <w:szCs w:val="18"/>
          <w:vertAlign w:val="superscript"/>
        </w:rPr>
        <w:t>o</w:t>
      </w:r>
      <w:r>
        <w:rPr>
          <w:color w:val="000000"/>
          <w:szCs w:val="18"/>
        </w:rPr>
        <w:t> 28911</w:t>
      </w:r>
      <w:r w:rsidRPr="00247814">
        <w:rPr>
          <w:color w:val="000000"/>
          <w:szCs w:val="18"/>
        </w:rPr>
        <w:t>.</w:t>
      </w:r>
    </w:p>
  </w:footnote>
  <w:footnote w:id="9">
    <w:p w14:paraId="355A174A" w14:textId="77777777" w:rsidR="00DD1DF5" w:rsidRPr="00E16E29" w:rsidRDefault="00000000" w:rsidP="00155130">
      <w:pPr>
        <w:pStyle w:val="Notedebasdepage"/>
        <w:rPr>
          <w:lang w:val="es-ES"/>
        </w:rPr>
      </w:pPr>
      <w:r>
        <w:rPr>
          <w:rStyle w:val="Appelnotedebasdep"/>
        </w:rPr>
        <w:footnoteRef/>
      </w:r>
      <w:r w:rsidRPr="00E16E29">
        <w:t xml:space="preserve"> </w:t>
      </w:r>
      <w:r w:rsidRPr="00CB1989">
        <w:t xml:space="preserve">Ibid., </w:t>
      </w:r>
      <w:r w:rsidRPr="00E16E29">
        <w:rPr>
          <w:color w:val="000000"/>
          <w:szCs w:val="18"/>
        </w:rPr>
        <w:t>vol. </w:t>
      </w:r>
      <w:r w:rsidRPr="00CB1989">
        <w:t>2244</w:t>
      </w:r>
      <w:r w:rsidRPr="00E16E29">
        <w:rPr>
          <w:color w:val="000000"/>
          <w:szCs w:val="18"/>
        </w:rPr>
        <w:t>, n</w:t>
      </w:r>
      <w:r w:rsidRPr="00E16E29">
        <w:rPr>
          <w:color w:val="000000"/>
          <w:szCs w:val="18"/>
          <w:vertAlign w:val="superscript"/>
        </w:rPr>
        <w:t>o</w:t>
      </w:r>
      <w:r w:rsidRPr="00E16E29">
        <w:rPr>
          <w:color w:val="000000"/>
          <w:szCs w:val="18"/>
        </w:rPr>
        <w:t> </w:t>
      </w:r>
      <w:r w:rsidRPr="00CB1989">
        <w:t>39973</w:t>
      </w:r>
      <w:r w:rsidRPr="00E16E29">
        <w:rPr>
          <w:color w:val="000000"/>
          <w:szCs w:val="18"/>
        </w:rPr>
        <w:t>.</w:t>
      </w:r>
    </w:p>
  </w:footnote>
  <w:footnote w:id="10">
    <w:p w14:paraId="5C3C4D98" w14:textId="77777777" w:rsidR="00DD1DF5" w:rsidRPr="00E16E29" w:rsidRDefault="00000000" w:rsidP="00155130">
      <w:pPr>
        <w:pStyle w:val="Notedebasdepage"/>
        <w:rPr>
          <w:lang w:val="es-ES"/>
        </w:rPr>
      </w:pPr>
      <w:r>
        <w:rPr>
          <w:rStyle w:val="Appelnotedebasdep"/>
        </w:rPr>
        <w:footnoteRef/>
      </w:r>
      <w:r w:rsidRPr="00E16E29">
        <w:t xml:space="preserve"> </w:t>
      </w:r>
      <w:r w:rsidRPr="00CB1989">
        <w:t xml:space="preserve">Ibid., </w:t>
      </w:r>
      <w:r w:rsidRPr="00E16E29">
        <w:rPr>
          <w:color w:val="000000"/>
          <w:szCs w:val="18"/>
        </w:rPr>
        <w:t>vol. </w:t>
      </w:r>
      <w:r w:rsidRPr="00CB1989">
        <w:t>2256</w:t>
      </w:r>
      <w:r w:rsidRPr="00E16E29">
        <w:rPr>
          <w:color w:val="000000"/>
          <w:szCs w:val="18"/>
        </w:rPr>
        <w:t>, n</w:t>
      </w:r>
      <w:r w:rsidRPr="00E16E29">
        <w:rPr>
          <w:color w:val="000000"/>
          <w:szCs w:val="18"/>
          <w:vertAlign w:val="superscript"/>
        </w:rPr>
        <w:t>o</w:t>
      </w:r>
      <w:r w:rsidRPr="00E16E29">
        <w:rPr>
          <w:color w:val="000000"/>
          <w:szCs w:val="18"/>
        </w:rPr>
        <w:t> </w:t>
      </w:r>
      <w:r w:rsidRPr="00CB1989">
        <w:t>40214</w:t>
      </w:r>
      <w:r w:rsidRPr="00E16E29">
        <w:rPr>
          <w:color w:val="000000"/>
          <w:szCs w:val="18"/>
        </w:rPr>
        <w:t>.</w:t>
      </w:r>
    </w:p>
  </w:footnote>
  <w:footnote w:id="11">
    <w:p w14:paraId="1079A6A6" w14:textId="77777777" w:rsidR="00DD1DF5" w:rsidRPr="00E16E29" w:rsidRDefault="00000000" w:rsidP="00155130">
      <w:pPr>
        <w:pStyle w:val="Notedebasdepage"/>
        <w:rPr>
          <w:lang w:val="es-ES"/>
        </w:rPr>
      </w:pPr>
      <w:r>
        <w:rPr>
          <w:rStyle w:val="Appelnotedebasdep"/>
        </w:rPr>
        <w:footnoteRef/>
      </w:r>
      <w:r w:rsidRPr="00E16E29">
        <w:t xml:space="preserve"> </w:t>
      </w:r>
      <w:r w:rsidRPr="00CB1989">
        <w:t xml:space="preserve">Ibid., </w:t>
      </w:r>
      <w:r w:rsidRPr="00E16E29">
        <w:rPr>
          <w:color w:val="000000"/>
          <w:szCs w:val="18"/>
        </w:rPr>
        <w:t>vol. </w:t>
      </w:r>
      <w:r w:rsidRPr="00E16E29">
        <w:t>3201</w:t>
      </w:r>
      <w:r w:rsidRPr="00E16E29">
        <w:rPr>
          <w:color w:val="000000"/>
          <w:szCs w:val="18"/>
        </w:rPr>
        <w:t>, n</w:t>
      </w:r>
      <w:r w:rsidRPr="00E16E29">
        <w:rPr>
          <w:color w:val="000000"/>
          <w:szCs w:val="18"/>
          <w:vertAlign w:val="superscript"/>
        </w:rPr>
        <w:t>o</w:t>
      </w:r>
      <w:r w:rsidRPr="00E16E29">
        <w:rPr>
          <w:color w:val="000000"/>
          <w:szCs w:val="18"/>
        </w:rPr>
        <w:t> </w:t>
      </w:r>
      <w:r>
        <w:t>54669</w:t>
      </w:r>
      <w:r w:rsidRPr="00E16E29">
        <w:rPr>
          <w:color w:val="000000"/>
          <w:szCs w:val="18"/>
        </w:rPr>
        <w:t>.</w:t>
      </w:r>
    </w:p>
  </w:footnote>
  <w:footnote w:id="12">
    <w:p w14:paraId="25FAED65" w14:textId="3538327A" w:rsidR="00DD1DF5" w:rsidRPr="00293B35" w:rsidRDefault="00000000" w:rsidP="00155130">
      <w:pPr>
        <w:pStyle w:val="Notedebasdepage"/>
        <w:rPr>
          <w:lang w:val="en-US"/>
        </w:rPr>
      </w:pPr>
      <w:r w:rsidRPr="00516AA9">
        <w:rPr>
          <w:rStyle w:val="Appelnotedebasdep"/>
        </w:rPr>
        <w:footnoteRef/>
      </w:r>
      <w:r w:rsidRPr="00293B35">
        <w:t xml:space="preserve"> Décision </w:t>
      </w:r>
      <w:hyperlink r:id="rId3" w:history="1">
        <w:r w:rsidRPr="00293B35">
          <w:rPr>
            <w:rStyle w:val="Lienhypertexte"/>
          </w:rPr>
          <w:t>15/4</w:t>
        </w:r>
      </w:hyperlink>
      <w:r w:rsidRPr="00293B35">
        <w:t>, annexe.</w:t>
      </w:r>
    </w:p>
  </w:footnote>
  <w:footnote w:id="13">
    <w:p w14:paraId="1DE9B45B" w14:textId="74135979" w:rsidR="00DD1DF5" w:rsidRPr="00755E7F" w:rsidRDefault="00000000" w:rsidP="00155130">
      <w:pPr>
        <w:pStyle w:val="Notedebasdepage"/>
        <w:rPr>
          <w:lang w:val="fr-CA"/>
        </w:rPr>
      </w:pPr>
      <w:r w:rsidRPr="00755E7F">
        <w:rPr>
          <w:rStyle w:val="Appelnotedebasdep"/>
        </w:rPr>
        <w:footnoteRef/>
      </w:r>
      <w:r w:rsidRPr="00755E7F">
        <w:t xml:space="preserve"> </w:t>
      </w:r>
      <w:r>
        <w:t>D</w:t>
      </w:r>
      <w:r w:rsidRPr="00755E7F">
        <w:t>écision</w:t>
      </w:r>
      <w:r>
        <w:t> </w:t>
      </w:r>
      <w:hyperlink r:id="rId4" w:history="1">
        <w:r w:rsidRPr="00755E7F">
          <w:rPr>
            <w:rStyle w:val="Lienhypertexte"/>
          </w:rPr>
          <w:t>15/4</w:t>
        </w:r>
      </w:hyperlink>
      <w:r w:rsidRPr="00293B35">
        <w:t>, annexe</w:t>
      </w:r>
      <w:r w:rsidRPr="00755E7F">
        <w:t>.</w:t>
      </w:r>
    </w:p>
  </w:footnote>
  <w:footnote w:id="14">
    <w:p w14:paraId="015A97F6" w14:textId="262FF949" w:rsidR="00DD1DF5" w:rsidRPr="00AF736E" w:rsidRDefault="00000000" w:rsidP="00155130">
      <w:pPr>
        <w:pStyle w:val="Notedebasdepage"/>
        <w:rPr>
          <w:lang w:val="fr-CA"/>
        </w:rPr>
      </w:pPr>
      <w:r w:rsidRPr="00516AA9">
        <w:rPr>
          <w:rStyle w:val="Appelnotedebasdep"/>
        </w:rPr>
        <w:footnoteRef/>
      </w:r>
      <w:r w:rsidRPr="00AF736E">
        <w:t xml:space="preserve"> </w:t>
      </w:r>
      <w:r>
        <w:t>D</w:t>
      </w:r>
      <w:r w:rsidRPr="00AF736E">
        <w:t>écision</w:t>
      </w:r>
      <w:r>
        <w:t> </w:t>
      </w:r>
      <w:hyperlink r:id="rId5" w:history="1">
        <w:r w:rsidRPr="00AF736E">
          <w:rPr>
            <w:rStyle w:val="Lienhypertexte"/>
          </w:rPr>
          <w:t>15/4</w:t>
        </w:r>
      </w:hyperlink>
      <w:r w:rsidRPr="006E6EDD">
        <w:t>, annexe</w:t>
      </w:r>
      <w:r w:rsidRPr="00AF736E">
        <w:t>.</w:t>
      </w:r>
    </w:p>
  </w:footnote>
  <w:footnote w:id="15">
    <w:p w14:paraId="0B8473F0" w14:textId="136D8F9F" w:rsidR="00DD1DF5" w:rsidRPr="00012D3B" w:rsidRDefault="00000000" w:rsidP="00155130">
      <w:pPr>
        <w:pStyle w:val="Notedebasdepage"/>
        <w:rPr>
          <w:lang w:val="fr-CA"/>
        </w:rPr>
      </w:pPr>
      <w:r>
        <w:rPr>
          <w:rStyle w:val="Appelnotedebasdep"/>
        </w:rPr>
        <w:footnoteRef/>
      </w:r>
      <w:r w:rsidRPr="00012D3B">
        <w:t xml:space="preserve"> </w:t>
      </w:r>
      <w:r>
        <w:t>Décision </w:t>
      </w:r>
      <w:hyperlink r:id="rId6" w:history="1">
        <w:r w:rsidRPr="00012D3B">
          <w:rPr>
            <w:rStyle w:val="Lienhypertexte"/>
          </w:rPr>
          <w:t>15/11</w:t>
        </w:r>
      </w:hyperlink>
      <w:r w:rsidRPr="00293B35">
        <w:t>, annexe</w:t>
      </w:r>
      <w:r w:rsidRPr="00012D3B">
        <w:t>.</w:t>
      </w:r>
    </w:p>
  </w:footnote>
  <w:footnote w:id="16">
    <w:p w14:paraId="7360812C" w14:textId="77777777" w:rsidR="00DD1DF5" w:rsidRPr="00610D85" w:rsidRDefault="00000000" w:rsidP="00155130">
      <w:pPr>
        <w:pStyle w:val="Notedebasdepage"/>
      </w:pPr>
      <w:r>
        <w:rPr>
          <w:rStyle w:val="Appelnotedebasdep"/>
        </w:rPr>
        <w:footnoteRef/>
      </w:r>
      <w:r w:rsidRPr="00320DC9">
        <w:t xml:space="preserve"> </w:t>
      </w:r>
      <w:r w:rsidRPr="003A2610">
        <w:rPr>
          <w:color w:val="000000"/>
          <w:szCs w:val="18"/>
        </w:rPr>
        <w:t xml:space="preserve">Nations Unies, </w:t>
      </w:r>
      <w:r>
        <w:rPr>
          <w:i/>
          <w:iCs/>
          <w:color w:val="000000"/>
          <w:szCs w:val="18"/>
        </w:rPr>
        <w:t>Recueil des Traités</w:t>
      </w:r>
      <w:r w:rsidRPr="003A2610">
        <w:rPr>
          <w:iCs/>
          <w:color w:val="000000"/>
          <w:szCs w:val="18"/>
        </w:rPr>
        <w:t>,</w:t>
      </w:r>
      <w:r w:rsidRPr="003A2610">
        <w:rPr>
          <w:i/>
          <w:iCs/>
          <w:color w:val="000000"/>
          <w:szCs w:val="18"/>
        </w:rPr>
        <w:t xml:space="preserve"> </w:t>
      </w:r>
      <w:r w:rsidRPr="003A2610">
        <w:rPr>
          <w:color w:val="000000"/>
          <w:szCs w:val="18"/>
        </w:rPr>
        <w:t>vol.</w:t>
      </w:r>
      <w:r>
        <w:rPr>
          <w:color w:val="000000"/>
          <w:szCs w:val="18"/>
        </w:rPr>
        <w:t> </w:t>
      </w:r>
      <w:r w:rsidRPr="003A2610">
        <w:rPr>
          <w:color w:val="000000"/>
          <w:szCs w:val="18"/>
        </w:rPr>
        <w:t>1760, n</w:t>
      </w:r>
      <w:r w:rsidRPr="003A2610">
        <w:rPr>
          <w:color w:val="000000"/>
          <w:szCs w:val="18"/>
          <w:vertAlign w:val="superscript"/>
        </w:rPr>
        <w:t>o</w:t>
      </w:r>
      <w:r>
        <w:rPr>
          <w:color w:val="000000"/>
          <w:szCs w:val="18"/>
        </w:rPr>
        <w:t> </w:t>
      </w:r>
      <w:r w:rsidRPr="003A2610">
        <w:rPr>
          <w:color w:val="000000"/>
          <w:szCs w:val="18"/>
        </w:rPr>
        <w:t>30619.</w:t>
      </w:r>
    </w:p>
  </w:footnote>
  <w:footnote w:id="17">
    <w:p w14:paraId="58486929" w14:textId="08098796" w:rsidR="00DD1DF5" w:rsidRPr="002038F2" w:rsidRDefault="00000000" w:rsidP="00155130">
      <w:pPr>
        <w:pStyle w:val="Notedebasdepage"/>
        <w:rPr>
          <w:lang w:val="fr-CA"/>
        </w:rPr>
      </w:pPr>
      <w:r w:rsidRPr="002038F2">
        <w:rPr>
          <w:rStyle w:val="Appelnotedebasdep"/>
        </w:rPr>
        <w:footnoteRef/>
      </w:r>
      <w:r w:rsidRPr="002038F2">
        <w:t xml:space="preserve"> </w:t>
      </w:r>
      <w:r>
        <w:t>Décision </w:t>
      </w:r>
      <w:hyperlink r:id="rId7" w:history="1">
        <w:r w:rsidRPr="002038F2">
          <w:rPr>
            <w:rStyle w:val="Lienhypertexte"/>
          </w:rPr>
          <w:t>15/4</w:t>
        </w:r>
      </w:hyperlink>
      <w:r w:rsidRPr="00293B35">
        <w:t>, annexe</w:t>
      </w:r>
      <w:r w:rsidRPr="002038F2">
        <w:t>.</w:t>
      </w:r>
    </w:p>
  </w:footnote>
  <w:footnote w:id="18">
    <w:p w14:paraId="6CF728D4" w14:textId="77777777" w:rsidR="00DD1DF5" w:rsidRPr="003A167C" w:rsidRDefault="00000000" w:rsidP="00155130">
      <w:pPr>
        <w:pStyle w:val="Notedebasdepage"/>
      </w:pPr>
      <w:r>
        <w:rPr>
          <w:rStyle w:val="Appelnotedebasdep"/>
        </w:rPr>
        <w:footnoteRef/>
      </w:r>
      <w:r w:rsidRPr="00320DC9">
        <w:t xml:space="preserve"> </w:t>
      </w:r>
      <w:r w:rsidRPr="003A2610">
        <w:rPr>
          <w:color w:val="000000"/>
          <w:szCs w:val="18"/>
        </w:rPr>
        <w:t xml:space="preserve">Nations Unies, </w:t>
      </w:r>
      <w:r>
        <w:rPr>
          <w:i/>
          <w:iCs/>
          <w:color w:val="000000"/>
          <w:szCs w:val="18"/>
        </w:rPr>
        <w:t>Recueil des Traités</w:t>
      </w:r>
      <w:r w:rsidRPr="003A2610">
        <w:rPr>
          <w:iCs/>
          <w:color w:val="000000"/>
          <w:szCs w:val="18"/>
        </w:rPr>
        <w:t>,</w:t>
      </w:r>
      <w:r w:rsidRPr="003A2610">
        <w:rPr>
          <w:i/>
          <w:iCs/>
          <w:color w:val="000000"/>
          <w:szCs w:val="18"/>
        </w:rPr>
        <w:t xml:space="preserve"> </w:t>
      </w:r>
      <w:r w:rsidRPr="003A2610">
        <w:rPr>
          <w:color w:val="000000"/>
          <w:szCs w:val="18"/>
        </w:rPr>
        <w:t>vol.</w:t>
      </w:r>
      <w:r>
        <w:rPr>
          <w:color w:val="000000"/>
          <w:szCs w:val="18"/>
        </w:rPr>
        <w:t> </w:t>
      </w:r>
      <w:r w:rsidRPr="003A2610">
        <w:rPr>
          <w:color w:val="000000"/>
          <w:szCs w:val="18"/>
        </w:rPr>
        <w:t>1760, n</w:t>
      </w:r>
      <w:r w:rsidRPr="003A2610">
        <w:rPr>
          <w:color w:val="000000"/>
          <w:szCs w:val="18"/>
          <w:vertAlign w:val="superscript"/>
        </w:rPr>
        <w:t>o</w:t>
      </w:r>
      <w:r>
        <w:rPr>
          <w:color w:val="000000"/>
          <w:szCs w:val="18"/>
        </w:rPr>
        <w:t> </w:t>
      </w:r>
      <w:r w:rsidRPr="003A2610">
        <w:rPr>
          <w:color w:val="000000"/>
          <w:szCs w:val="18"/>
        </w:rPr>
        <w:t>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6A7D691" w14:textId="4F6CFEA0" w:rsidR="00534681" w:rsidRPr="007B7073" w:rsidRDefault="007B7073" w:rsidP="007C4951">
        <w:pPr>
          <w:pStyle w:val="En-tte"/>
          <w:spacing w:after="240"/>
          <w:rPr>
            <w:szCs w:val="20"/>
            <w:lang w:val="en-CA"/>
          </w:rPr>
        </w:pPr>
        <w:r w:rsidRPr="007B7073">
          <w:rPr>
            <w:szCs w:val="20"/>
          </w:rPr>
          <w:t>CBD/COP/17/L.17</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B67F4F8" w14:textId="23711578" w:rsidR="003A30E9" w:rsidRPr="003F1A75" w:rsidRDefault="007B7073" w:rsidP="007B7073">
        <w:pPr>
          <w:pStyle w:val="En-tte"/>
          <w:spacing w:after="240"/>
          <w:jc w:val="right"/>
          <w:rPr>
            <w:szCs w:val="20"/>
          </w:rPr>
        </w:pPr>
        <w:r>
          <w:t>CBD/COP/17/L.17</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825465F"/>
    <w:multiLevelType w:val="hybridMultilevel"/>
    <w:tmpl w:val="AAE6A7C4"/>
    <w:lvl w:ilvl="0" w:tplc="74D46B24">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6"/>
  </w:num>
  <w:num w:numId="4" w16cid:durableId="1072390599">
    <w:abstractNumId w:val="7"/>
  </w:num>
  <w:num w:numId="5" w16cid:durableId="960385107">
    <w:abstractNumId w:val="1"/>
  </w:num>
  <w:num w:numId="6" w16cid:durableId="893932166">
    <w:abstractNumId w:val="5"/>
  </w:num>
  <w:num w:numId="7" w16cid:durableId="323945383">
    <w:abstractNumId w:val="4"/>
  </w:num>
  <w:num w:numId="8" w16cid:durableId="589437517">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00886"/>
    <w:rsid w:val="00003294"/>
    <w:rsid w:val="00003773"/>
    <w:rsid w:val="000060E3"/>
    <w:rsid w:val="0001010B"/>
    <w:rsid w:val="000113CB"/>
    <w:rsid w:val="00014C10"/>
    <w:rsid w:val="00021641"/>
    <w:rsid w:val="00021690"/>
    <w:rsid w:val="00022D18"/>
    <w:rsid w:val="00022E55"/>
    <w:rsid w:val="00024758"/>
    <w:rsid w:val="00025936"/>
    <w:rsid w:val="00025FF5"/>
    <w:rsid w:val="00032245"/>
    <w:rsid w:val="000322D9"/>
    <w:rsid w:val="00032D3E"/>
    <w:rsid w:val="00036844"/>
    <w:rsid w:val="00042202"/>
    <w:rsid w:val="00043F6A"/>
    <w:rsid w:val="000453A5"/>
    <w:rsid w:val="00046186"/>
    <w:rsid w:val="0005091C"/>
    <w:rsid w:val="00054920"/>
    <w:rsid w:val="00054FE5"/>
    <w:rsid w:val="000573C9"/>
    <w:rsid w:val="00057C1B"/>
    <w:rsid w:val="00060051"/>
    <w:rsid w:val="00060457"/>
    <w:rsid w:val="00061527"/>
    <w:rsid w:val="00062449"/>
    <w:rsid w:val="00065261"/>
    <w:rsid w:val="00066D43"/>
    <w:rsid w:val="00067158"/>
    <w:rsid w:val="0007171B"/>
    <w:rsid w:val="00072113"/>
    <w:rsid w:val="00077D1A"/>
    <w:rsid w:val="00080A31"/>
    <w:rsid w:val="00080E06"/>
    <w:rsid w:val="00082648"/>
    <w:rsid w:val="0008498D"/>
    <w:rsid w:val="00087F1A"/>
    <w:rsid w:val="00090385"/>
    <w:rsid w:val="0009068D"/>
    <w:rsid w:val="00091620"/>
    <w:rsid w:val="00094260"/>
    <w:rsid w:val="000942F5"/>
    <w:rsid w:val="0009469C"/>
    <w:rsid w:val="000A148F"/>
    <w:rsid w:val="000A27A3"/>
    <w:rsid w:val="000A770B"/>
    <w:rsid w:val="000B3A7A"/>
    <w:rsid w:val="000B3BDC"/>
    <w:rsid w:val="000C12AC"/>
    <w:rsid w:val="000C657E"/>
    <w:rsid w:val="000C7487"/>
    <w:rsid w:val="000D0F68"/>
    <w:rsid w:val="000D195D"/>
    <w:rsid w:val="000D1D62"/>
    <w:rsid w:val="000D21B4"/>
    <w:rsid w:val="000D41FE"/>
    <w:rsid w:val="000D7486"/>
    <w:rsid w:val="000E0C5B"/>
    <w:rsid w:val="000E2011"/>
    <w:rsid w:val="000E673A"/>
    <w:rsid w:val="000F4178"/>
    <w:rsid w:val="000F488D"/>
    <w:rsid w:val="000F6945"/>
    <w:rsid w:val="000F74F5"/>
    <w:rsid w:val="000F78FC"/>
    <w:rsid w:val="00101B62"/>
    <w:rsid w:val="00102954"/>
    <w:rsid w:val="00103044"/>
    <w:rsid w:val="001031DF"/>
    <w:rsid w:val="001033ED"/>
    <w:rsid w:val="00105372"/>
    <w:rsid w:val="001054A6"/>
    <w:rsid w:val="00106672"/>
    <w:rsid w:val="001067E2"/>
    <w:rsid w:val="001078A1"/>
    <w:rsid w:val="00113015"/>
    <w:rsid w:val="00114D80"/>
    <w:rsid w:val="001202AF"/>
    <w:rsid w:val="00121090"/>
    <w:rsid w:val="00122EE7"/>
    <w:rsid w:val="00123D66"/>
    <w:rsid w:val="00124476"/>
    <w:rsid w:val="00124F55"/>
    <w:rsid w:val="00127D3B"/>
    <w:rsid w:val="001312AD"/>
    <w:rsid w:val="00131991"/>
    <w:rsid w:val="00131E7A"/>
    <w:rsid w:val="001332A6"/>
    <w:rsid w:val="00133330"/>
    <w:rsid w:val="001333C5"/>
    <w:rsid w:val="00134846"/>
    <w:rsid w:val="00137278"/>
    <w:rsid w:val="0014160B"/>
    <w:rsid w:val="00141D90"/>
    <w:rsid w:val="00142EA0"/>
    <w:rsid w:val="001478A8"/>
    <w:rsid w:val="0015408A"/>
    <w:rsid w:val="001549C8"/>
    <w:rsid w:val="00154BDF"/>
    <w:rsid w:val="00155DF8"/>
    <w:rsid w:val="00157E57"/>
    <w:rsid w:val="00161270"/>
    <w:rsid w:val="0016143D"/>
    <w:rsid w:val="00161603"/>
    <w:rsid w:val="0016496A"/>
    <w:rsid w:val="00172145"/>
    <w:rsid w:val="00172AF6"/>
    <w:rsid w:val="00172B4D"/>
    <w:rsid w:val="00172DD3"/>
    <w:rsid w:val="00174697"/>
    <w:rsid w:val="00174782"/>
    <w:rsid w:val="00176CEE"/>
    <w:rsid w:val="00181D59"/>
    <w:rsid w:val="00186DD8"/>
    <w:rsid w:val="001956C2"/>
    <w:rsid w:val="001A16A9"/>
    <w:rsid w:val="001A2021"/>
    <w:rsid w:val="001A2BF3"/>
    <w:rsid w:val="001A2DCC"/>
    <w:rsid w:val="001A35EC"/>
    <w:rsid w:val="001A7FED"/>
    <w:rsid w:val="001B13C2"/>
    <w:rsid w:val="001B13FE"/>
    <w:rsid w:val="001B2143"/>
    <w:rsid w:val="001B2DC0"/>
    <w:rsid w:val="001C1785"/>
    <w:rsid w:val="001C215C"/>
    <w:rsid w:val="001C2427"/>
    <w:rsid w:val="001C4AAC"/>
    <w:rsid w:val="001C7C25"/>
    <w:rsid w:val="001D00AD"/>
    <w:rsid w:val="001D0892"/>
    <w:rsid w:val="001D2878"/>
    <w:rsid w:val="001D287F"/>
    <w:rsid w:val="001D32A3"/>
    <w:rsid w:val="001D3EA7"/>
    <w:rsid w:val="001D4553"/>
    <w:rsid w:val="001D709C"/>
    <w:rsid w:val="001E1271"/>
    <w:rsid w:val="001E1CA6"/>
    <w:rsid w:val="001E5DDF"/>
    <w:rsid w:val="001E6358"/>
    <w:rsid w:val="001F4ABF"/>
    <w:rsid w:val="001F5269"/>
    <w:rsid w:val="00200AAA"/>
    <w:rsid w:val="00203EC2"/>
    <w:rsid w:val="00204E31"/>
    <w:rsid w:val="00206AF3"/>
    <w:rsid w:val="002141CF"/>
    <w:rsid w:val="00214904"/>
    <w:rsid w:val="00216F7D"/>
    <w:rsid w:val="00223AD7"/>
    <w:rsid w:val="00226654"/>
    <w:rsid w:val="002279E5"/>
    <w:rsid w:val="00227D0F"/>
    <w:rsid w:val="0023094A"/>
    <w:rsid w:val="00233554"/>
    <w:rsid w:val="00240EE6"/>
    <w:rsid w:val="00243699"/>
    <w:rsid w:val="00246123"/>
    <w:rsid w:val="00253ADF"/>
    <w:rsid w:val="00254A63"/>
    <w:rsid w:val="00254EB5"/>
    <w:rsid w:val="002601CE"/>
    <w:rsid w:val="00262682"/>
    <w:rsid w:val="00262738"/>
    <w:rsid w:val="00263D54"/>
    <w:rsid w:val="0026412E"/>
    <w:rsid w:val="002650BB"/>
    <w:rsid w:val="0027038E"/>
    <w:rsid w:val="00270E5F"/>
    <w:rsid w:val="00277BAC"/>
    <w:rsid w:val="00285BFE"/>
    <w:rsid w:val="002872BB"/>
    <w:rsid w:val="00292428"/>
    <w:rsid w:val="002A38C1"/>
    <w:rsid w:val="002A5DC8"/>
    <w:rsid w:val="002A6258"/>
    <w:rsid w:val="002A71E6"/>
    <w:rsid w:val="002B1764"/>
    <w:rsid w:val="002B2B8F"/>
    <w:rsid w:val="002B733A"/>
    <w:rsid w:val="002C0613"/>
    <w:rsid w:val="002C2798"/>
    <w:rsid w:val="002C68B2"/>
    <w:rsid w:val="002D006A"/>
    <w:rsid w:val="002D232D"/>
    <w:rsid w:val="002D7F8F"/>
    <w:rsid w:val="002E2214"/>
    <w:rsid w:val="002F0CB9"/>
    <w:rsid w:val="002F1973"/>
    <w:rsid w:val="002F2D66"/>
    <w:rsid w:val="002F4107"/>
    <w:rsid w:val="002F6E18"/>
    <w:rsid w:val="003008FE"/>
    <w:rsid w:val="0030169D"/>
    <w:rsid w:val="003060EB"/>
    <w:rsid w:val="00306178"/>
    <w:rsid w:val="00306454"/>
    <w:rsid w:val="00307149"/>
    <w:rsid w:val="00312FD1"/>
    <w:rsid w:val="003153EB"/>
    <w:rsid w:val="003166B0"/>
    <w:rsid w:val="003172D2"/>
    <w:rsid w:val="00321203"/>
    <w:rsid w:val="0032136E"/>
    <w:rsid w:val="00321985"/>
    <w:rsid w:val="00323900"/>
    <w:rsid w:val="00333FF3"/>
    <w:rsid w:val="003356C1"/>
    <w:rsid w:val="003377C5"/>
    <w:rsid w:val="00337B44"/>
    <w:rsid w:val="00341477"/>
    <w:rsid w:val="00343635"/>
    <w:rsid w:val="003456E8"/>
    <w:rsid w:val="00346699"/>
    <w:rsid w:val="00350D71"/>
    <w:rsid w:val="00351205"/>
    <w:rsid w:val="00360926"/>
    <w:rsid w:val="00364490"/>
    <w:rsid w:val="0036514A"/>
    <w:rsid w:val="003663B9"/>
    <w:rsid w:val="003668B1"/>
    <w:rsid w:val="0037117F"/>
    <w:rsid w:val="00372F74"/>
    <w:rsid w:val="00385DED"/>
    <w:rsid w:val="0038643C"/>
    <w:rsid w:val="00393A08"/>
    <w:rsid w:val="0039554B"/>
    <w:rsid w:val="00396404"/>
    <w:rsid w:val="003A09E8"/>
    <w:rsid w:val="003A132F"/>
    <w:rsid w:val="003A2AD6"/>
    <w:rsid w:val="003A30E9"/>
    <w:rsid w:val="003A4F46"/>
    <w:rsid w:val="003A69ED"/>
    <w:rsid w:val="003A6A67"/>
    <w:rsid w:val="003B6E3A"/>
    <w:rsid w:val="003B6EB7"/>
    <w:rsid w:val="003C0515"/>
    <w:rsid w:val="003C0AE3"/>
    <w:rsid w:val="003C0BEB"/>
    <w:rsid w:val="003C1163"/>
    <w:rsid w:val="003C15C3"/>
    <w:rsid w:val="003C39DC"/>
    <w:rsid w:val="003C3C78"/>
    <w:rsid w:val="003D00A5"/>
    <w:rsid w:val="003D250B"/>
    <w:rsid w:val="003E2D4E"/>
    <w:rsid w:val="003E3DBC"/>
    <w:rsid w:val="003E406B"/>
    <w:rsid w:val="003E5345"/>
    <w:rsid w:val="003F1A75"/>
    <w:rsid w:val="003F20FA"/>
    <w:rsid w:val="003F4CFD"/>
    <w:rsid w:val="003F716C"/>
    <w:rsid w:val="003F7224"/>
    <w:rsid w:val="00401416"/>
    <w:rsid w:val="00401C35"/>
    <w:rsid w:val="00402BFD"/>
    <w:rsid w:val="00403B10"/>
    <w:rsid w:val="00411978"/>
    <w:rsid w:val="00411E56"/>
    <w:rsid w:val="004137E4"/>
    <w:rsid w:val="00415D4F"/>
    <w:rsid w:val="004213C6"/>
    <w:rsid w:val="00423DD4"/>
    <w:rsid w:val="00424D80"/>
    <w:rsid w:val="00427493"/>
    <w:rsid w:val="00427D21"/>
    <w:rsid w:val="004357FE"/>
    <w:rsid w:val="00435CAE"/>
    <w:rsid w:val="004372D9"/>
    <w:rsid w:val="00437329"/>
    <w:rsid w:val="004404A3"/>
    <w:rsid w:val="00442000"/>
    <w:rsid w:val="00444CB2"/>
    <w:rsid w:val="00447F4A"/>
    <w:rsid w:val="004568D2"/>
    <w:rsid w:val="00456F67"/>
    <w:rsid w:val="00460ECA"/>
    <w:rsid w:val="004628C3"/>
    <w:rsid w:val="004644C2"/>
    <w:rsid w:val="00467F9C"/>
    <w:rsid w:val="00470C51"/>
    <w:rsid w:val="00473442"/>
    <w:rsid w:val="00473E8F"/>
    <w:rsid w:val="00474FC4"/>
    <w:rsid w:val="00475C45"/>
    <w:rsid w:val="00477D88"/>
    <w:rsid w:val="00481464"/>
    <w:rsid w:val="00483CDC"/>
    <w:rsid w:val="004868EA"/>
    <w:rsid w:val="00486BA0"/>
    <w:rsid w:val="004A21C4"/>
    <w:rsid w:val="004A7FAA"/>
    <w:rsid w:val="004B26A3"/>
    <w:rsid w:val="004B3528"/>
    <w:rsid w:val="004B5D61"/>
    <w:rsid w:val="004B5F41"/>
    <w:rsid w:val="004B731F"/>
    <w:rsid w:val="004B7F3A"/>
    <w:rsid w:val="004C0458"/>
    <w:rsid w:val="004C0611"/>
    <w:rsid w:val="004C3441"/>
    <w:rsid w:val="004C644E"/>
    <w:rsid w:val="004C7570"/>
    <w:rsid w:val="004D4006"/>
    <w:rsid w:val="004E1E2C"/>
    <w:rsid w:val="004E5CB7"/>
    <w:rsid w:val="004E609A"/>
    <w:rsid w:val="004E61F3"/>
    <w:rsid w:val="004F6760"/>
    <w:rsid w:val="00501B86"/>
    <w:rsid w:val="0050391F"/>
    <w:rsid w:val="00503B89"/>
    <w:rsid w:val="005045AC"/>
    <w:rsid w:val="00505EC3"/>
    <w:rsid w:val="0051006C"/>
    <w:rsid w:val="0051140A"/>
    <w:rsid w:val="005136BF"/>
    <w:rsid w:val="00515BD6"/>
    <w:rsid w:val="00517715"/>
    <w:rsid w:val="005177D5"/>
    <w:rsid w:val="00517A5A"/>
    <w:rsid w:val="005207AD"/>
    <w:rsid w:val="00520D7F"/>
    <w:rsid w:val="00523124"/>
    <w:rsid w:val="005302A4"/>
    <w:rsid w:val="00534681"/>
    <w:rsid w:val="00535673"/>
    <w:rsid w:val="0053651A"/>
    <w:rsid w:val="005371DF"/>
    <w:rsid w:val="00537B0B"/>
    <w:rsid w:val="00537E33"/>
    <w:rsid w:val="00546E75"/>
    <w:rsid w:val="005544E9"/>
    <w:rsid w:val="00555FE2"/>
    <w:rsid w:val="0055602F"/>
    <w:rsid w:val="00556ECB"/>
    <w:rsid w:val="0056068E"/>
    <w:rsid w:val="00560B73"/>
    <w:rsid w:val="00560EDC"/>
    <w:rsid w:val="00563442"/>
    <w:rsid w:val="0056348E"/>
    <w:rsid w:val="00563C02"/>
    <w:rsid w:val="005646B3"/>
    <w:rsid w:val="00565B42"/>
    <w:rsid w:val="00567259"/>
    <w:rsid w:val="005718DB"/>
    <w:rsid w:val="00571F0E"/>
    <w:rsid w:val="005732C4"/>
    <w:rsid w:val="00574937"/>
    <w:rsid w:val="005843E3"/>
    <w:rsid w:val="0058458D"/>
    <w:rsid w:val="005867AB"/>
    <w:rsid w:val="00590767"/>
    <w:rsid w:val="0059123F"/>
    <w:rsid w:val="00592021"/>
    <w:rsid w:val="00592798"/>
    <w:rsid w:val="005936A0"/>
    <w:rsid w:val="0059406A"/>
    <w:rsid w:val="00594ECC"/>
    <w:rsid w:val="005A2A54"/>
    <w:rsid w:val="005A5A7F"/>
    <w:rsid w:val="005A6802"/>
    <w:rsid w:val="005A7FEE"/>
    <w:rsid w:val="005B26BB"/>
    <w:rsid w:val="005B35E2"/>
    <w:rsid w:val="005B3E85"/>
    <w:rsid w:val="005B5BFC"/>
    <w:rsid w:val="005C040C"/>
    <w:rsid w:val="005C1217"/>
    <w:rsid w:val="005C2B85"/>
    <w:rsid w:val="005C47D3"/>
    <w:rsid w:val="005C4CE6"/>
    <w:rsid w:val="005C5902"/>
    <w:rsid w:val="005C7807"/>
    <w:rsid w:val="005D0A6F"/>
    <w:rsid w:val="005D30F8"/>
    <w:rsid w:val="005D7ECA"/>
    <w:rsid w:val="005E00ED"/>
    <w:rsid w:val="005E1051"/>
    <w:rsid w:val="005E6C50"/>
    <w:rsid w:val="005E7377"/>
    <w:rsid w:val="005F0F1D"/>
    <w:rsid w:val="005F1599"/>
    <w:rsid w:val="005F57D8"/>
    <w:rsid w:val="005F76A6"/>
    <w:rsid w:val="00603B00"/>
    <w:rsid w:val="0060466D"/>
    <w:rsid w:val="00610B11"/>
    <w:rsid w:val="006122BA"/>
    <w:rsid w:val="00612363"/>
    <w:rsid w:val="00621544"/>
    <w:rsid w:val="00622964"/>
    <w:rsid w:val="00622F07"/>
    <w:rsid w:val="00624264"/>
    <w:rsid w:val="006263E0"/>
    <w:rsid w:val="006265BF"/>
    <w:rsid w:val="00630F95"/>
    <w:rsid w:val="00632AD2"/>
    <w:rsid w:val="006433AE"/>
    <w:rsid w:val="006434EA"/>
    <w:rsid w:val="00644ADC"/>
    <w:rsid w:val="00645517"/>
    <w:rsid w:val="006478BF"/>
    <w:rsid w:val="0065060A"/>
    <w:rsid w:val="00651196"/>
    <w:rsid w:val="006526A3"/>
    <w:rsid w:val="00653831"/>
    <w:rsid w:val="00654E73"/>
    <w:rsid w:val="00655092"/>
    <w:rsid w:val="00657163"/>
    <w:rsid w:val="00666D11"/>
    <w:rsid w:val="00670140"/>
    <w:rsid w:val="00674997"/>
    <w:rsid w:val="00680371"/>
    <w:rsid w:val="00685E34"/>
    <w:rsid w:val="00685F21"/>
    <w:rsid w:val="00686FBA"/>
    <w:rsid w:val="006940E0"/>
    <w:rsid w:val="006A1F67"/>
    <w:rsid w:val="006A2548"/>
    <w:rsid w:val="006A2721"/>
    <w:rsid w:val="006A3680"/>
    <w:rsid w:val="006A3D32"/>
    <w:rsid w:val="006A4060"/>
    <w:rsid w:val="006A4ADD"/>
    <w:rsid w:val="006A63A5"/>
    <w:rsid w:val="006A64D4"/>
    <w:rsid w:val="006A6EE5"/>
    <w:rsid w:val="006A73C1"/>
    <w:rsid w:val="006B2290"/>
    <w:rsid w:val="006B287E"/>
    <w:rsid w:val="006B597F"/>
    <w:rsid w:val="006B6C5E"/>
    <w:rsid w:val="006B742C"/>
    <w:rsid w:val="006C0A3D"/>
    <w:rsid w:val="006C0F1F"/>
    <w:rsid w:val="006C1638"/>
    <w:rsid w:val="006C1ACD"/>
    <w:rsid w:val="006C60D9"/>
    <w:rsid w:val="006C747E"/>
    <w:rsid w:val="006D08EF"/>
    <w:rsid w:val="006D4C54"/>
    <w:rsid w:val="006D4FCC"/>
    <w:rsid w:val="006D5AF3"/>
    <w:rsid w:val="006D7408"/>
    <w:rsid w:val="006E5E52"/>
    <w:rsid w:val="006E5FB6"/>
    <w:rsid w:val="006E6417"/>
    <w:rsid w:val="006E7BD2"/>
    <w:rsid w:val="006E7BE2"/>
    <w:rsid w:val="006F1CC9"/>
    <w:rsid w:val="006F27B7"/>
    <w:rsid w:val="006F5983"/>
    <w:rsid w:val="00701035"/>
    <w:rsid w:val="00704D45"/>
    <w:rsid w:val="007051C3"/>
    <w:rsid w:val="007055BB"/>
    <w:rsid w:val="00705683"/>
    <w:rsid w:val="007071D2"/>
    <w:rsid w:val="00710A43"/>
    <w:rsid w:val="00712705"/>
    <w:rsid w:val="00717D88"/>
    <w:rsid w:val="00723646"/>
    <w:rsid w:val="00726A43"/>
    <w:rsid w:val="0072770C"/>
    <w:rsid w:val="0072779D"/>
    <w:rsid w:val="007312CD"/>
    <w:rsid w:val="00733E5D"/>
    <w:rsid w:val="007341E7"/>
    <w:rsid w:val="007342D0"/>
    <w:rsid w:val="00736310"/>
    <w:rsid w:val="007408EE"/>
    <w:rsid w:val="007420BA"/>
    <w:rsid w:val="0074268C"/>
    <w:rsid w:val="0074670C"/>
    <w:rsid w:val="007523A2"/>
    <w:rsid w:val="00760EB9"/>
    <w:rsid w:val="00761A81"/>
    <w:rsid w:val="00761BB4"/>
    <w:rsid w:val="00761E1D"/>
    <w:rsid w:val="0076289D"/>
    <w:rsid w:val="007633CD"/>
    <w:rsid w:val="00765E0E"/>
    <w:rsid w:val="007669D8"/>
    <w:rsid w:val="0077275B"/>
    <w:rsid w:val="0077326F"/>
    <w:rsid w:val="007768B9"/>
    <w:rsid w:val="00782CF0"/>
    <w:rsid w:val="00783916"/>
    <w:rsid w:val="00784221"/>
    <w:rsid w:val="00786056"/>
    <w:rsid w:val="00793D86"/>
    <w:rsid w:val="007942D3"/>
    <w:rsid w:val="00797444"/>
    <w:rsid w:val="007A3179"/>
    <w:rsid w:val="007A39D3"/>
    <w:rsid w:val="007A425D"/>
    <w:rsid w:val="007A4935"/>
    <w:rsid w:val="007A59FD"/>
    <w:rsid w:val="007A5CB8"/>
    <w:rsid w:val="007A76C2"/>
    <w:rsid w:val="007B1561"/>
    <w:rsid w:val="007B2099"/>
    <w:rsid w:val="007B31EF"/>
    <w:rsid w:val="007B3B89"/>
    <w:rsid w:val="007B4610"/>
    <w:rsid w:val="007B4803"/>
    <w:rsid w:val="007B4808"/>
    <w:rsid w:val="007B5443"/>
    <w:rsid w:val="007B6C09"/>
    <w:rsid w:val="007B7073"/>
    <w:rsid w:val="007B7451"/>
    <w:rsid w:val="007B7741"/>
    <w:rsid w:val="007C07C2"/>
    <w:rsid w:val="007C1084"/>
    <w:rsid w:val="007C2A2F"/>
    <w:rsid w:val="007C37D9"/>
    <w:rsid w:val="007C4951"/>
    <w:rsid w:val="007C5789"/>
    <w:rsid w:val="007C779F"/>
    <w:rsid w:val="007D011E"/>
    <w:rsid w:val="007E09DA"/>
    <w:rsid w:val="007E0F8A"/>
    <w:rsid w:val="007E2FFD"/>
    <w:rsid w:val="007E3578"/>
    <w:rsid w:val="007E450D"/>
    <w:rsid w:val="007F561C"/>
    <w:rsid w:val="007F57AB"/>
    <w:rsid w:val="007F5F50"/>
    <w:rsid w:val="007F655F"/>
    <w:rsid w:val="007F718D"/>
    <w:rsid w:val="008019C4"/>
    <w:rsid w:val="00801FAD"/>
    <w:rsid w:val="008052BB"/>
    <w:rsid w:val="008070BC"/>
    <w:rsid w:val="00810D2E"/>
    <w:rsid w:val="00813C4A"/>
    <w:rsid w:val="00814E14"/>
    <w:rsid w:val="008178B6"/>
    <w:rsid w:val="00817D5B"/>
    <w:rsid w:val="00820EA2"/>
    <w:rsid w:val="0082144A"/>
    <w:rsid w:val="0082438A"/>
    <w:rsid w:val="008244A4"/>
    <w:rsid w:val="00824F46"/>
    <w:rsid w:val="00827775"/>
    <w:rsid w:val="00840570"/>
    <w:rsid w:val="008415E0"/>
    <w:rsid w:val="00842AE8"/>
    <w:rsid w:val="008452F2"/>
    <w:rsid w:val="00847DEF"/>
    <w:rsid w:val="00850B96"/>
    <w:rsid w:val="0085114C"/>
    <w:rsid w:val="0085235E"/>
    <w:rsid w:val="00853E64"/>
    <w:rsid w:val="00854052"/>
    <w:rsid w:val="008546FF"/>
    <w:rsid w:val="0085679F"/>
    <w:rsid w:val="008630EF"/>
    <w:rsid w:val="00863924"/>
    <w:rsid w:val="00863A51"/>
    <w:rsid w:val="00864029"/>
    <w:rsid w:val="00864084"/>
    <w:rsid w:val="00865B74"/>
    <w:rsid w:val="00866063"/>
    <w:rsid w:val="008703FB"/>
    <w:rsid w:val="008705AD"/>
    <w:rsid w:val="0087450E"/>
    <w:rsid w:val="00877A95"/>
    <w:rsid w:val="00877E42"/>
    <w:rsid w:val="00881EED"/>
    <w:rsid w:val="00882643"/>
    <w:rsid w:val="00882CF4"/>
    <w:rsid w:val="00882D85"/>
    <w:rsid w:val="0088347B"/>
    <w:rsid w:val="00885449"/>
    <w:rsid w:val="0088628A"/>
    <w:rsid w:val="008939E5"/>
    <w:rsid w:val="00895CB9"/>
    <w:rsid w:val="008974F0"/>
    <w:rsid w:val="008977EA"/>
    <w:rsid w:val="008A1499"/>
    <w:rsid w:val="008A2DC8"/>
    <w:rsid w:val="008A689B"/>
    <w:rsid w:val="008B012A"/>
    <w:rsid w:val="008B465B"/>
    <w:rsid w:val="008C0206"/>
    <w:rsid w:val="008C3BB8"/>
    <w:rsid w:val="008C432E"/>
    <w:rsid w:val="008C5485"/>
    <w:rsid w:val="008C5B94"/>
    <w:rsid w:val="008C6173"/>
    <w:rsid w:val="008C6C49"/>
    <w:rsid w:val="008D0869"/>
    <w:rsid w:val="008D0F56"/>
    <w:rsid w:val="008D2053"/>
    <w:rsid w:val="008D2D25"/>
    <w:rsid w:val="008D3B00"/>
    <w:rsid w:val="008D7233"/>
    <w:rsid w:val="008E2997"/>
    <w:rsid w:val="008F03D0"/>
    <w:rsid w:val="008F0C50"/>
    <w:rsid w:val="008F15B3"/>
    <w:rsid w:val="008F3B0E"/>
    <w:rsid w:val="008F463E"/>
    <w:rsid w:val="008F5703"/>
    <w:rsid w:val="00902503"/>
    <w:rsid w:val="00903705"/>
    <w:rsid w:val="00903B0A"/>
    <w:rsid w:val="0090602C"/>
    <w:rsid w:val="00906E17"/>
    <w:rsid w:val="00910CD4"/>
    <w:rsid w:val="00911449"/>
    <w:rsid w:val="009148FC"/>
    <w:rsid w:val="00914E32"/>
    <w:rsid w:val="00916614"/>
    <w:rsid w:val="00922269"/>
    <w:rsid w:val="00922BC2"/>
    <w:rsid w:val="009235DC"/>
    <w:rsid w:val="00923F12"/>
    <w:rsid w:val="00930685"/>
    <w:rsid w:val="00930BA1"/>
    <w:rsid w:val="0093169E"/>
    <w:rsid w:val="00932A76"/>
    <w:rsid w:val="009355EC"/>
    <w:rsid w:val="0093600F"/>
    <w:rsid w:val="009365C8"/>
    <w:rsid w:val="00937E0D"/>
    <w:rsid w:val="00942C37"/>
    <w:rsid w:val="00943F40"/>
    <w:rsid w:val="009505C9"/>
    <w:rsid w:val="00950752"/>
    <w:rsid w:val="00951CDB"/>
    <w:rsid w:val="00953C88"/>
    <w:rsid w:val="0096396F"/>
    <w:rsid w:val="00966212"/>
    <w:rsid w:val="00966424"/>
    <w:rsid w:val="0097109E"/>
    <w:rsid w:val="009717ED"/>
    <w:rsid w:val="00971D48"/>
    <w:rsid w:val="00973DEA"/>
    <w:rsid w:val="009742F4"/>
    <w:rsid w:val="00976172"/>
    <w:rsid w:val="00976843"/>
    <w:rsid w:val="00983F51"/>
    <w:rsid w:val="00984A10"/>
    <w:rsid w:val="00991BFB"/>
    <w:rsid w:val="00995B61"/>
    <w:rsid w:val="009A05F8"/>
    <w:rsid w:val="009A2B48"/>
    <w:rsid w:val="009A675D"/>
    <w:rsid w:val="009A7719"/>
    <w:rsid w:val="009B0E36"/>
    <w:rsid w:val="009B136B"/>
    <w:rsid w:val="009B32FF"/>
    <w:rsid w:val="009B3527"/>
    <w:rsid w:val="009B3CEE"/>
    <w:rsid w:val="009B3DC5"/>
    <w:rsid w:val="009B4D65"/>
    <w:rsid w:val="009C18C3"/>
    <w:rsid w:val="009C2DE6"/>
    <w:rsid w:val="009C4979"/>
    <w:rsid w:val="009C4C80"/>
    <w:rsid w:val="009D0209"/>
    <w:rsid w:val="009D10B0"/>
    <w:rsid w:val="009D1B5F"/>
    <w:rsid w:val="009D33AF"/>
    <w:rsid w:val="009D6DB7"/>
    <w:rsid w:val="009E2339"/>
    <w:rsid w:val="009E329B"/>
    <w:rsid w:val="009E4B76"/>
    <w:rsid w:val="009E5D1C"/>
    <w:rsid w:val="009E6872"/>
    <w:rsid w:val="009F0322"/>
    <w:rsid w:val="009F11A7"/>
    <w:rsid w:val="009F2358"/>
    <w:rsid w:val="009F4739"/>
    <w:rsid w:val="00A02DC7"/>
    <w:rsid w:val="00A050D0"/>
    <w:rsid w:val="00A06A79"/>
    <w:rsid w:val="00A105BB"/>
    <w:rsid w:val="00A111D1"/>
    <w:rsid w:val="00A11817"/>
    <w:rsid w:val="00A121A8"/>
    <w:rsid w:val="00A12709"/>
    <w:rsid w:val="00A12CA5"/>
    <w:rsid w:val="00A1489B"/>
    <w:rsid w:val="00A15BBD"/>
    <w:rsid w:val="00A17043"/>
    <w:rsid w:val="00A1704C"/>
    <w:rsid w:val="00A2109F"/>
    <w:rsid w:val="00A21EE8"/>
    <w:rsid w:val="00A22E89"/>
    <w:rsid w:val="00A22F7E"/>
    <w:rsid w:val="00A2383D"/>
    <w:rsid w:val="00A23DA4"/>
    <w:rsid w:val="00A24F6B"/>
    <w:rsid w:val="00A25125"/>
    <w:rsid w:val="00A33E60"/>
    <w:rsid w:val="00A3706A"/>
    <w:rsid w:val="00A400A9"/>
    <w:rsid w:val="00A426F7"/>
    <w:rsid w:val="00A433DF"/>
    <w:rsid w:val="00A43D1A"/>
    <w:rsid w:val="00A44541"/>
    <w:rsid w:val="00A44EAB"/>
    <w:rsid w:val="00A450B1"/>
    <w:rsid w:val="00A4716A"/>
    <w:rsid w:val="00A51F24"/>
    <w:rsid w:val="00A52A92"/>
    <w:rsid w:val="00A543E4"/>
    <w:rsid w:val="00A614C0"/>
    <w:rsid w:val="00A621E6"/>
    <w:rsid w:val="00A62B7C"/>
    <w:rsid w:val="00A73264"/>
    <w:rsid w:val="00A812CE"/>
    <w:rsid w:val="00A8208C"/>
    <w:rsid w:val="00A8327C"/>
    <w:rsid w:val="00A835FF"/>
    <w:rsid w:val="00A839DA"/>
    <w:rsid w:val="00A859BC"/>
    <w:rsid w:val="00A91035"/>
    <w:rsid w:val="00A9237A"/>
    <w:rsid w:val="00A929C7"/>
    <w:rsid w:val="00A92EFD"/>
    <w:rsid w:val="00A94FE7"/>
    <w:rsid w:val="00A9596F"/>
    <w:rsid w:val="00AA2883"/>
    <w:rsid w:val="00AA2BD8"/>
    <w:rsid w:val="00AA5B54"/>
    <w:rsid w:val="00AA6F92"/>
    <w:rsid w:val="00AB07AD"/>
    <w:rsid w:val="00AB2B5B"/>
    <w:rsid w:val="00AB360E"/>
    <w:rsid w:val="00AB3A39"/>
    <w:rsid w:val="00AB4939"/>
    <w:rsid w:val="00AB6934"/>
    <w:rsid w:val="00AB7A6D"/>
    <w:rsid w:val="00AC0767"/>
    <w:rsid w:val="00AC084E"/>
    <w:rsid w:val="00AC106C"/>
    <w:rsid w:val="00AC4591"/>
    <w:rsid w:val="00AC4D46"/>
    <w:rsid w:val="00AC6911"/>
    <w:rsid w:val="00AC7087"/>
    <w:rsid w:val="00AC7425"/>
    <w:rsid w:val="00AD69E9"/>
    <w:rsid w:val="00AD7966"/>
    <w:rsid w:val="00AE27E9"/>
    <w:rsid w:val="00AE3905"/>
    <w:rsid w:val="00AE563C"/>
    <w:rsid w:val="00AF044D"/>
    <w:rsid w:val="00AF2E36"/>
    <w:rsid w:val="00AF39BC"/>
    <w:rsid w:val="00AF4155"/>
    <w:rsid w:val="00AF42DE"/>
    <w:rsid w:val="00AF4A27"/>
    <w:rsid w:val="00B0001F"/>
    <w:rsid w:val="00B01907"/>
    <w:rsid w:val="00B03A17"/>
    <w:rsid w:val="00B06861"/>
    <w:rsid w:val="00B1046D"/>
    <w:rsid w:val="00B119EA"/>
    <w:rsid w:val="00B162CE"/>
    <w:rsid w:val="00B16DE5"/>
    <w:rsid w:val="00B2253F"/>
    <w:rsid w:val="00B23FA0"/>
    <w:rsid w:val="00B24374"/>
    <w:rsid w:val="00B2443D"/>
    <w:rsid w:val="00B2504A"/>
    <w:rsid w:val="00B27076"/>
    <w:rsid w:val="00B3369F"/>
    <w:rsid w:val="00B37232"/>
    <w:rsid w:val="00B4258B"/>
    <w:rsid w:val="00B438ED"/>
    <w:rsid w:val="00B44A40"/>
    <w:rsid w:val="00B45F9D"/>
    <w:rsid w:val="00B50A3C"/>
    <w:rsid w:val="00B51FC6"/>
    <w:rsid w:val="00B60CDD"/>
    <w:rsid w:val="00B6478B"/>
    <w:rsid w:val="00B675D1"/>
    <w:rsid w:val="00B74A8D"/>
    <w:rsid w:val="00B74D4E"/>
    <w:rsid w:val="00B76A79"/>
    <w:rsid w:val="00B76E14"/>
    <w:rsid w:val="00B77E74"/>
    <w:rsid w:val="00B80F16"/>
    <w:rsid w:val="00B83FD1"/>
    <w:rsid w:val="00B85ECC"/>
    <w:rsid w:val="00B866DD"/>
    <w:rsid w:val="00B913AE"/>
    <w:rsid w:val="00B91999"/>
    <w:rsid w:val="00B927A1"/>
    <w:rsid w:val="00B94770"/>
    <w:rsid w:val="00B94E6C"/>
    <w:rsid w:val="00B95BCC"/>
    <w:rsid w:val="00BA1E10"/>
    <w:rsid w:val="00BB4606"/>
    <w:rsid w:val="00BB5AD0"/>
    <w:rsid w:val="00BB5D01"/>
    <w:rsid w:val="00BB60E3"/>
    <w:rsid w:val="00BB7706"/>
    <w:rsid w:val="00BC0FAE"/>
    <w:rsid w:val="00BC290E"/>
    <w:rsid w:val="00BC3089"/>
    <w:rsid w:val="00BC3FC8"/>
    <w:rsid w:val="00BC7CDA"/>
    <w:rsid w:val="00BD2FC8"/>
    <w:rsid w:val="00BD7041"/>
    <w:rsid w:val="00BD740B"/>
    <w:rsid w:val="00BE37CE"/>
    <w:rsid w:val="00BE53B9"/>
    <w:rsid w:val="00BE61A0"/>
    <w:rsid w:val="00BE7FF3"/>
    <w:rsid w:val="00BF11AA"/>
    <w:rsid w:val="00BF1A3E"/>
    <w:rsid w:val="00BF1F4C"/>
    <w:rsid w:val="00BF4DFD"/>
    <w:rsid w:val="00BF4ED7"/>
    <w:rsid w:val="00BF5012"/>
    <w:rsid w:val="00BF54CA"/>
    <w:rsid w:val="00C02D6B"/>
    <w:rsid w:val="00C048DE"/>
    <w:rsid w:val="00C07665"/>
    <w:rsid w:val="00C11CFC"/>
    <w:rsid w:val="00C20C0E"/>
    <w:rsid w:val="00C23D2F"/>
    <w:rsid w:val="00C245CA"/>
    <w:rsid w:val="00C263AB"/>
    <w:rsid w:val="00C27FAE"/>
    <w:rsid w:val="00C31097"/>
    <w:rsid w:val="00C3191F"/>
    <w:rsid w:val="00C324EC"/>
    <w:rsid w:val="00C3495D"/>
    <w:rsid w:val="00C349B8"/>
    <w:rsid w:val="00C34EDA"/>
    <w:rsid w:val="00C416BB"/>
    <w:rsid w:val="00C43FDA"/>
    <w:rsid w:val="00C443BD"/>
    <w:rsid w:val="00C451C5"/>
    <w:rsid w:val="00C467DD"/>
    <w:rsid w:val="00C46A14"/>
    <w:rsid w:val="00C47324"/>
    <w:rsid w:val="00C50A8D"/>
    <w:rsid w:val="00C50DFB"/>
    <w:rsid w:val="00C54583"/>
    <w:rsid w:val="00C55489"/>
    <w:rsid w:val="00C60E54"/>
    <w:rsid w:val="00C61962"/>
    <w:rsid w:val="00C62C9A"/>
    <w:rsid w:val="00C67644"/>
    <w:rsid w:val="00C71E50"/>
    <w:rsid w:val="00C72B91"/>
    <w:rsid w:val="00C7315B"/>
    <w:rsid w:val="00C7762B"/>
    <w:rsid w:val="00C819EA"/>
    <w:rsid w:val="00C82DCB"/>
    <w:rsid w:val="00C854E1"/>
    <w:rsid w:val="00C86AC6"/>
    <w:rsid w:val="00C86DD9"/>
    <w:rsid w:val="00C9161D"/>
    <w:rsid w:val="00C93B43"/>
    <w:rsid w:val="00C953CA"/>
    <w:rsid w:val="00CA0C1D"/>
    <w:rsid w:val="00CA1333"/>
    <w:rsid w:val="00CA1ED2"/>
    <w:rsid w:val="00CA3D6C"/>
    <w:rsid w:val="00CA789C"/>
    <w:rsid w:val="00CB048A"/>
    <w:rsid w:val="00CB0A3D"/>
    <w:rsid w:val="00CB1FE1"/>
    <w:rsid w:val="00CB2DC0"/>
    <w:rsid w:val="00CB3E6D"/>
    <w:rsid w:val="00CB728D"/>
    <w:rsid w:val="00CC1110"/>
    <w:rsid w:val="00CC3510"/>
    <w:rsid w:val="00CC516D"/>
    <w:rsid w:val="00CC6B90"/>
    <w:rsid w:val="00CD41C8"/>
    <w:rsid w:val="00CD67EB"/>
    <w:rsid w:val="00CD79DE"/>
    <w:rsid w:val="00CE09F7"/>
    <w:rsid w:val="00CE424F"/>
    <w:rsid w:val="00CE507F"/>
    <w:rsid w:val="00CE76B1"/>
    <w:rsid w:val="00CF0148"/>
    <w:rsid w:val="00CF08F1"/>
    <w:rsid w:val="00CF1848"/>
    <w:rsid w:val="00CF2F69"/>
    <w:rsid w:val="00D004E0"/>
    <w:rsid w:val="00D0130A"/>
    <w:rsid w:val="00D0164B"/>
    <w:rsid w:val="00D044B2"/>
    <w:rsid w:val="00D051C7"/>
    <w:rsid w:val="00D07542"/>
    <w:rsid w:val="00D12044"/>
    <w:rsid w:val="00D14CC1"/>
    <w:rsid w:val="00D15698"/>
    <w:rsid w:val="00D160DE"/>
    <w:rsid w:val="00D170D9"/>
    <w:rsid w:val="00D20482"/>
    <w:rsid w:val="00D20716"/>
    <w:rsid w:val="00D21372"/>
    <w:rsid w:val="00D217EE"/>
    <w:rsid w:val="00D21F24"/>
    <w:rsid w:val="00D22F08"/>
    <w:rsid w:val="00D25DE6"/>
    <w:rsid w:val="00D2692F"/>
    <w:rsid w:val="00D27841"/>
    <w:rsid w:val="00D3266D"/>
    <w:rsid w:val="00D3294B"/>
    <w:rsid w:val="00D33EFC"/>
    <w:rsid w:val="00D34A61"/>
    <w:rsid w:val="00D406B0"/>
    <w:rsid w:val="00D40DBC"/>
    <w:rsid w:val="00D42994"/>
    <w:rsid w:val="00D445B5"/>
    <w:rsid w:val="00D448B3"/>
    <w:rsid w:val="00D44C59"/>
    <w:rsid w:val="00D453E6"/>
    <w:rsid w:val="00D45794"/>
    <w:rsid w:val="00D46782"/>
    <w:rsid w:val="00D46961"/>
    <w:rsid w:val="00D60F3F"/>
    <w:rsid w:val="00D61C85"/>
    <w:rsid w:val="00D62559"/>
    <w:rsid w:val="00D6444D"/>
    <w:rsid w:val="00D65788"/>
    <w:rsid w:val="00D65ACC"/>
    <w:rsid w:val="00D6737A"/>
    <w:rsid w:val="00D7297B"/>
    <w:rsid w:val="00D75CA6"/>
    <w:rsid w:val="00D76A18"/>
    <w:rsid w:val="00D8073D"/>
    <w:rsid w:val="00D80849"/>
    <w:rsid w:val="00D82E8F"/>
    <w:rsid w:val="00D92C0B"/>
    <w:rsid w:val="00D93EC9"/>
    <w:rsid w:val="00DA043A"/>
    <w:rsid w:val="00DA2212"/>
    <w:rsid w:val="00DA4227"/>
    <w:rsid w:val="00DA5445"/>
    <w:rsid w:val="00DA60D5"/>
    <w:rsid w:val="00DA64F8"/>
    <w:rsid w:val="00DA7928"/>
    <w:rsid w:val="00DA7ED9"/>
    <w:rsid w:val="00DB0374"/>
    <w:rsid w:val="00DB280A"/>
    <w:rsid w:val="00DB553F"/>
    <w:rsid w:val="00DB5E0F"/>
    <w:rsid w:val="00DB70A9"/>
    <w:rsid w:val="00DB776B"/>
    <w:rsid w:val="00DC4CB1"/>
    <w:rsid w:val="00DD118C"/>
    <w:rsid w:val="00DD1DF5"/>
    <w:rsid w:val="00DD4776"/>
    <w:rsid w:val="00DD51F6"/>
    <w:rsid w:val="00DD7878"/>
    <w:rsid w:val="00DE3B74"/>
    <w:rsid w:val="00DE4CC5"/>
    <w:rsid w:val="00DE542E"/>
    <w:rsid w:val="00DE7447"/>
    <w:rsid w:val="00DE765C"/>
    <w:rsid w:val="00DF39DC"/>
    <w:rsid w:val="00DF486E"/>
    <w:rsid w:val="00DF49C3"/>
    <w:rsid w:val="00DF5FEA"/>
    <w:rsid w:val="00DF65C5"/>
    <w:rsid w:val="00DF6DE8"/>
    <w:rsid w:val="00E0094D"/>
    <w:rsid w:val="00E01000"/>
    <w:rsid w:val="00E0286B"/>
    <w:rsid w:val="00E04E63"/>
    <w:rsid w:val="00E057BD"/>
    <w:rsid w:val="00E0755E"/>
    <w:rsid w:val="00E07F8D"/>
    <w:rsid w:val="00E10977"/>
    <w:rsid w:val="00E10BB4"/>
    <w:rsid w:val="00E11712"/>
    <w:rsid w:val="00E12EAC"/>
    <w:rsid w:val="00E16E13"/>
    <w:rsid w:val="00E230C4"/>
    <w:rsid w:val="00E24761"/>
    <w:rsid w:val="00E25602"/>
    <w:rsid w:val="00E2587A"/>
    <w:rsid w:val="00E303C0"/>
    <w:rsid w:val="00E33119"/>
    <w:rsid w:val="00E3515D"/>
    <w:rsid w:val="00E36C75"/>
    <w:rsid w:val="00E3724D"/>
    <w:rsid w:val="00E37690"/>
    <w:rsid w:val="00E40134"/>
    <w:rsid w:val="00E40C54"/>
    <w:rsid w:val="00E44DF3"/>
    <w:rsid w:val="00E45C69"/>
    <w:rsid w:val="00E512F4"/>
    <w:rsid w:val="00E51951"/>
    <w:rsid w:val="00E51ECC"/>
    <w:rsid w:val="00E53C20"/>
    <w:rsid w:val="00E54390"/>
    <w:rsid w:val="00E5657C"/>
    <w:rsid w:val="00E57233"/>
    <w:rsid w:val="00E6001F"/>
    <w:rsid w:val="00E60C09"/>
    <w:rsid w:val="00E61EDD"/>
    <w:rsid w:val="00E64363"/>
    <w:rsid w:val="00E64715"/>
    <w:rsid w:val="00E65342"/>
    <w:rsid w:val="00E66235"/>
    <w:rsid w:val="00E668C6"/>
    <w:rsid w:val="00E70491"/>
    <w:rsid w:val="00E759E4"/>
    <w:rsid w:val="00E7692C"/>
    <w:rsid w:val="00E76ACA"/>
    <w:rsid w:val="00E81B26"/>
    <w:rsid w:val="00E83C24"/>
    <w:rsid w:val="00E84F1B"/>
    <w:rsid w:val="00E86E4A"/>
    <w:rsid w:val="00E92D35"/>
    <w:rsid w:val="00E9318D"/>
    <w:rsid w:val="00E93D7D"/>
    <w:rsid w:val="00E93F3E"/>
    <w:rsid w:val="00E9779A"/>
    <w:rsid w:val="00E97F02"/>
    <w:rsid w:val="00EA17A1"/>
    <w:rsid w:val="00EA2938"/>
    <w:rsid w:val="00EA553D"/>
    <w:rsid w:val="00EA6602"/>
    <w:rsid w:val="00EA6A66"/>
    <w:rsid w:val="00EB128C"/>
    <w:rsid w:val="00EB31E5"/>
    <w:rsid w:val="00EB799C"/>
    <w:rsid w:val="00ED053E"/>
    <w:rsid w:val="00ED0928"/>
    <w:rsid w:val="00ED107E"/>
    <w:rsid w:val="00ED3749"/>
    <w:rsid w:val="00EE22A5"/>
    <w:rsid w:val="00EE2A32"/>
    <w:rsid w:val="00EE352A"/>
    <w:rsid w:val="00EE3E5F"/>
    <w:rsid w:val="00EE5D94"/>
    <w:rsid w:val="00EE60BA"/>
    <w:rsid w:val="00EE76B0"/>
    <w:rsid w:val="00F0173D"/>
    <w:rsid w:val="00F063C2"/>
    <w:rsid w:val="00F14D9B"/>
    <w:rsid w:val="00F22085"/>
    <w:rsid w:val="00F23639"/>
    <w:rsid w:val="00F260CE"/>
    <w:rsid w:val="00F3211A"/>
    <w:rsid w:val="00F35F00"/>
    <w:rsid w:val="00F3680D"/>
    <w:rsid w:val="00F374A1"/>
    <w:rsid w:val="00F415D4"/>
    <w:rsid w:val="00F42765"/>
    <w:rsid w:val="00F44B84"/>
    <w:rsid w:val="00F46F11"/>
    <w:rsid w:val="00F47F59"/>
    <w:rsid w:val="00F5082C"/>
    <w:rsid w:val="00F53193"/>
    <w:rsid w:val="00F5357E"/>
    <w:rsid w:val="00F53AAF"/>
    <w:rsid w:val="00F5561E"/>
    <w:rsid w:val="00F5737D"/>
    <w:rsid w:val="00F5767A"/>
    <w:rsid w:val="00F64143"/>
    <w:rsid w:val="00F64A7B"/>
    <w:rsid w:val="00F6536B"/>
    <w:rsid w:val="00F6586C"/>
    <w:rsid w:val="00F7540C"/>
    <w:rsid w:val="00F75791"/>
    <w:rsid w:val="00F75AF4"/>
    <w:rsid w:val="00F77C77"/>
    <w:rsid w:val="00F808CE"/>
    <w:rsid w:val="00F83003"/>
    <w:rsid w:val="00F84895"/>
    <w:rsid w:val="00F85790"/>
    <w:rsid w:val="00F87737"/>
    <w:rsid w:val="00F9038B"/>
    <w:rsid w:val="00F92464"/>
    <w:rsid w:val="00F92CEA"/>
    <w:rsid w:val="00F94689"/>
    <w:rsid w:val="00F94774"/>
    <w:rsid w:val="00F95F0C"/>
    <w:rsid w:val="00F96D0C"/>
    <w:rsid w:val="00F974F5"/>
    <w:rsid w:val="00FA1E12"/>
    <w:rsid w:val="00FA36E7"/>
    <w:rsid w:val="00FA3B56"/>
    <w:rsid w:val="00FA663B"/>
    <w:rsid w:val="00FA6BEE"/>
    <w:rsid w:val="00FA7301"/>
    <w:rsid w:val="00FB2375"/>
    <w:rsid w:val="00FB2460"/>
    <w:rsid w:val="00FB5587"/>
    <w:rsid w:val="00FC082D"/>
    <w:rsid w:val="00FC1440"/>
    <w:rsid w:val="00FC447F"/>
    <w:rsid w:val="00FC53DB"/>
    <w:rsid w:val="00FC594F"/>
    <w:rsid w:val="00FC5E6D"/>
    <w:rsid w:val="00FC6854"/>
    <w:rsid w:val="00FC6999"/>
    <w:rsid w:val="00FC753C"/>
    <w:rsid w:val="00FD2374"/>
    <w:rsid w:val="00FD64DA"/>
    <w:rsid w:val="00FE11EF"/>
    <w:rsid w:val="00FE1748"/>
    <w:rsid w:val="00FF333A"/>
    <w:rsid w:val="00FF7477"/>
    <w:rsid w:val="0300421E"/>
    <w:rsid w:val="0397B2BC"/>
    <w:rsid w:val="083FAB89"/>
    <w:rsid w:val="0CF6CD74"/>
    <w:rsid w:val="10E8862A"/>
    <w:rsid w:val="137B59C8"/>
    <w:rsid w:val="157FFBC8"/>
    <w:rsid w:val="16679B56"/>
    <w:rsid w:val="179ED939"/>
    <w:rsid w:val="1AD87CAC"/>
    <w:rsid w:val="1E5BF83B"/>
    <w:rsid w:val="1F568082"/>
    <w:rsid w:val="24368789"/>
    <w:rsid w:val="24501179"/>
    <w:rsid w:val="26A0638D"/>
    <w:rsid w:val="27D4C861"/>
    <w:rsid w:val="2993071F"/>
    <w:rsid w:val="2B6722F4"/>
    <w:rsid w:val="3232BD3C"/>
    <w:rsid w:val="333E971A"/>
    <w:rsid w:val="357F4B20"/>
    <w:rsid w:val="367A1F0D"/>
    <w:rsid w:val="374B10F4"/>
    <w:rsid w:val="3781F868"/>
    <w:rsid w:val="37973DC3"/>
    <w:rsid w:val="38D76E11"/>
    <w:rsid w:val="3D77EB83"/>
    <w:rsid w:val="40D7D86D"/>
    <w:rsid w:val="40E98C2A"/>
    <w:rsid w:val="4277BF0E"/>
    <w:rsid w:val="4B8ED8DB"/>
    <w:rsid w:val="4D8E4734"/>
    <w:rsid w:val="4F6A76BF"/>
    <w:rsid w:val="50B564E1"/>
    <w:rsid w:val="55D8999E"/>
    <w:rsid w:val="561CB201"/>
    <w:rsid w:val="578D0D97"/>
    <w:rsid w:val="5A1F594A"/>
    <w:rsid w:val="5DDEB209"/>
    <w:rsid w:val="62215868"/>
    <w:rsid w:val="6742F5AF"/>
    <w:rsid w:val="6A13595D"/>
    <w:rsid w:val="6B48FE3F"/>
    <w:rsid w:val="6FA3D907"/>
    <w:rsid w:val="7201130D"/>
    <w:rsid w:val="725820BB"/>
    <w:rsid w:val="753F7533"/>
    <w:rsid w:val="75B3FF2C"/>
    <w:rsid w:val="7C05B5C6"/>
    <w:rsid w:val="7EB3B23D"/>
    <w:rsid w:val="7F8F550D"/>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B4F377A-F1EC-4C6C-8DB5-D2B56B243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fr-FR"/>
    </w:rPr>
  </w:style>
  <w:style w:type="character" w:styleId="Textedelespacerserv">
    <w:name w:val="Placeholder Text"/>
    <w:basedOn w:val="Policepardfaut"/>
    <w:uiPriority w:val="99"/>
    <w:semiHidden/>
    <w:rsid w:val="00105372"/>
    <w:rPr>
      <w:color w:val="808080"/>
      <w:lang w:val="fr-FR"/>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fr-FR"/>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fr-FR"/>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fr-FR"/>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fr-FR"/>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fr-FR"/>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fr-FR"/>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fr-FR"/>
    </w:rPr>
  </w:style>
  <w:style w:type="character" w:styleId="Marquedecommentaire">
    <w:name w:val="annotation reference"/>
    <w:basedOn w:val="Policepardfaut"/>
    <w:uiPriority w:val="99"/>
    <w:semiHidden/>
    <w:unhideWhenUsed/>
    <w:rsid w:val="003F1A75"/>
    <w:rPr>
      <w:sz w:val="16"/>
      <w:szCs w:val="16"/>
      <w:lang w:val="fr-FR"/>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fr-FR"/>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fr-FR"/>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fr-FR"/>
    </w:rPr>
  </w:style>
  <w:style w:type="character" w:styleId="Lienhypertextesuivivisit">
    <w:name w:val="FollowedHyperlink"/>
    <w:rsid w:val="007E09DA"/>
    <w:rPr>
      <w:color w:val="800080"/>
      <w:u w:val="single"/>
      <w:lang w:val="fr-FR"/>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fr-FR"/>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fr-FR"/>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fr-FR"/>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fr-FR"/>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fr-FR"/>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fr-FR"/>
    </w:rPr>
  </w:style>
  <w:style w:type="character" w:customStyle="1" w:styleId="Titre6Car">
    <w:name w:val="Titre 6 Car"/>
    <w:basedOn w:val="Policepardfaut"/>
    <w:link w:val="Titre6"/>
    <w:rsid w:val="003F1A75"/>
    <w:rPr>
      <w:rFonts w:ascii="Times New Roman" w:eastAsia="SimSun" w:hAnsi="Times New Roman" w:cs="Times New Roman"/>
      <w:bCs/>
      <w:szCs w:val="22"/>
      <w:lang w:val="fr-FR"/>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fr-FR"/>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fr-FR"/>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fr-FR"/>
    </w:rPr>
  </w:style>
  <w:style w:type="character" w:styleId="Numrodepage">
    <w:name w:val="page number"/>
    <w:rsid w:val="007E09DA"/>
    <w:rPr>
      <w:rFonts w:ascii="Times New Roman" w:hAnsi="Times New Roman"/>
      <w:sz w:val="22"/>
      <w:lang w:val="fr-FR"/>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fr-FR"/>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fr-FR"/>
    </w:rPr>
  </w:style>
  <w:style w:type="character" w:customStyle="1" w:styleId="Para1Char">
    <w:name w:val="Para1 Char"/>
    <w:link w:val="Para1"/>
    <w:locked/>
    <w:rsid w:val="005B35E2"/>
    <w:rPr>
      <w:rFonts w:ascii="Times New Roman" w:eastAsia="SimSun" w:hAnsi="Times New Roman" w:cs="Times New Roman"/>
      <w:snapToGrid w:val="0"/>
      <w:sz w:val="22"/>
      <w:szCs w:val="18"/>
      <w:lang w:val="fr-FR"/>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fr-FR"/>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fr-FR"/>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fr-FR"/>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fr-FR"/>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fr-FR"/>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fr-FR"/>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fr-FR"/>
    </w:rPr>
  </w:style>
  <w:style w:type="character" w:styleId="Titredulivre">
    <w:name w:val="Book Title"/>
    <w:basedOn w:val="Policepardfaut"/>
    <w:uiPriority w:val="33"/>
    <w:qFormat/>
    <w:rsid w:val="00A111D1"/>
    <w:rPr>
      <w:b/>
      <w:bCs/>
      <w:i/>
      <w:iCs/>
      <w:spacing w:val="5"/>
      <w:lang w:val="fr-FR"/>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fr-FR"/>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fr-FR"/>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fr-FR"/>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fr-FR"/>
    </w:rPr>
  </w:style>
  <w:style w:type="character" w:styleId="Accentuation">
    <w:name w:val="Emphasis"/>
    <w:basedOn w:val="Policepardfaut"/>
    <w:uiPriority w:val="20"/>
    <w:qFormat/>
    <w:rsid w:val="00A111D1"/>
    <w:rPr>
      <w:i/>
      <w:iCs/>
      <w:lang w:val="fr-FR"/>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fr-FR"/>
    </w:rPr>
  </w:style>
  <w:style w:type="character" w:styleId="AcronymeHTML">
    <w:name w:val="HTML Acronym"/>
    <w:basedOn w:val="Policepardfaut"/>
    <w:uiPriority w:val="99"/>
    <w:semiHidden/>
    <w:unhideWhenUsed/>
    <w:rsid w:val="00A111D1"/>
    <w:rPr>
      <w:lang w:val="fr-FR"/>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fr-FR"/>
    </w:rPr>
  </w:style>
  <w:style w:type="character" w:styleId="CitationHTML">
    <w:name w:val="HTML Cite"/>
    <w:basedOn w:val="Policepardfaut"/>
    <w:uiPriority w:val="99"/>
    <w:semiHidden/>
    <w:unhideWhenUsed/>
    <w:rsid w:val="00A111D1"/>
    <w:rPr>
      <w:i/>
      <w:iCs/>
      <w:lang w:val="fr-FR"/>
    </w:rPr>
  </w:style>
  <w:style w:type="character" w:styleId="CodeHTML">
    <w:name w:val="HTML Code"/>
    <w:basedOn w:val="Policepardfaut"/>
    <w:uiPriority w:val="99"/>
    <w:semiHidden/>
    <w:unhideWhenUsed/>
    <w:rsid w:val="00A111D1"/>
    <w:rPr>
      <w:rFonts w:ascii="Consolas" w:hAnsi="Consolas"/>
      <w:sz w:val="20"/>
      <w:szCs w:val="20"/>
      <w:lang w:val="fr-FR"/>
    </w:rPr>
  </w:style>
  <w:style w:type="character" w:styleId="DfinitionHTML">
    <w:name w:val="HTML Definition"/>
    <w:basedOn w:val="Policepardfaut"/>
    <w:uiPriority w:val="99"/>
    <w:semiHidden/>
    <w:unhideWhenUsed/>
    <w:rsid w:val="00A111D1"/>
    <w:rPr>
      <w:i/>
      <w:iCs/>
      <w:lang w:val="fr-FR"/>
    </w:rPr>
  </w:style>
  <w:style w:type="character" w:styleId="ClavierHTML">
    <w:name w:val="HTML Keyboard"/>
    <w:basedOn w:val="Policepardfaut"/>
    <w:uiPriority w:val="99"/>
    <w:semiHidden/>
    <w:unhideWhenUsed/>
    <w:rsid w:val="00A111D1"/>
    <w:rPr>
      <w:rFonts w:ascii="Consolas" w:hAnsi="Consolas"/>
      <w:sz w:val="20"/>
      <w:szCs w:val="20"/>
      <w:lang w:val="fr-FR"/>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fr-FR"/>
    </w:rPr>
  </w:style>
  <w:style w:type="character" w:styleId="ExempleHTML">
    <w:name w:val="HTML Sample"/>
    <w:basedOn w:val="Policepardfaut"/>
    <w:uiPriority w:val="99"/>
    <w:semiHidden/>
    <w:unhideWhenUsed/>
    <w:rsid w:val="00A111D1"/>
    <w:rPr>
      <w:rFonts w:ascii="Consolas" w:hAnsi="Consolas"/>
      <w:sz w:val="24"/>
      <w:szCs w:val="24"/>
      <w:lang w:val="fr-FR"/>
    </w:rPr>
  </w:style>
  <w:style w:type="character" w:styleId="MachinecrireHTML">
    <w:name w:val="HTML Typewriter"/>
    <w:basedOn w:val="Policepardfaut"/>
    <w:uiPriority w:val="99"/>
    <w:semiHidden/>
    <w:unhideWhenUsed/>
    <w:rsid w:val="00A111D1"/>
    <w:rPr>
      <w:rFonts w:ascii="Consolas" w:hAnsi="Consolas"/>
      <w:sz w:val="20"/>
      <w:szCs w:val="20"/>
      <w:lang w:val="fr-FR"/>
    </w:rPr>
  </w:style>
  <w:style w:type="character" w:styleId="VariableHTML">
    <w:name w:val="HTML Variable"/>
    <w:basedOn w:val="Policepardfaut"/>
    <w:uiPriority w:val="99"/>
    <w:semiHidden/>
    <w:unhideWhenUsed/>
    <w:rsid w:val="00A111D1"/>
    <w:rPr>
      <w:i/>
      <w:iCs/>
      <w:lang w:val="fr-FR"/>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fr-FR"/>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fr-FR"/>
    </w:rPr>
  </w:style>
  <w:style w:type="character" w:styleId="Rfrenceintense">
    <w:name w:val="Intense Reference"/>
    <w:basedOn w:val="Policepardfaut"/>
    <w:uiPriority w:val="32"/>
    <w:qFormat/>
    <w:rsid w:val="00A111D1"/>
    <w:rPr>
      <w:b/>
      <w:bCs/>
      <w:smallCaps/>
      <w:color w:val="4F81BD" w:themeColor="accent1"/>
      <w:spacing w:val="5"/>
      <w:lang w:val="fr-FR"/>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fr-FR"/>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fr-FR"/>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fr-FR"/>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fr-FR"/>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fr-FR"/>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fr-FR"/>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fr-FR"/>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fr-FR"/>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fr-FR"/>
    </w:rPr>
  </w:style>
  <w:style w:type="character" w:styleId="SmartHyperlink">
    <w:name w:val="Smart Hyperlink"/>
    <w:basedOn w:val="Policepardfaut"/>
    <w:uiPriority w:val="99"/>
    <w:semiHidden/>
    <w:unhideWhenUsed/>
    <w:rsid w:val="00A111D1"/>
    <w:rPr>
      <w:u w:val="dotted"/>
      <w:lang w:val="fr-FR"/>
    </w:rPr>
  </w:style>
  <w:style w:type="character" w:styleId="SmartLink">
    <w:name w:val="Smart Link"/>
    <w:basedOn w:val="Policepardfaut"/>
    <w:uiPriority w:val="99"/>
    <w:semiHidden/>
    <w:unhideWhenUsed/>
    <w:rsid w:val="00A111D1"/>
    <w:rPr>
      <w:color w:val="0000FF"/>
      <w:u w:val="single"/>
      <w:shd w:val="clear" w:color="auto" w:fill="F3F2F1"/>
      <w:lang w:val="fr-FR"/>
    </w:rPr>
  </w:style>
  <w:style w:type="character" w:styleId="lev">
    <w:name w:val="Strong"/>
    <w:basedOn w:val="Policepardfaut"/>
    <w:uiPriority w:val="22"/>
    <w:qFormat/>
    <w:rsid w:val="00A111D1"/>
    <w:rPr>
      <w:b/>
      <w:bCs/>
      <w:lang w:val="fr-FR"/>
    </w:rPr>
  </w:style>
  <w:style w:type="character" w:styleId="Accentuationlgre">
    <w:name w:val="Subtle Emphasis"/>
    <w:basedOn w:val="Policepardfaut"/>
    <w:uiPriority w:val="19"/>
    <w:qFormat/>
    <w:rsid w:val="00A111D1"/>
    <w:rPr>
      <w:i/>
      <w:iCs/>
      <w:color w:val="404040" w:themeColor="text1" w:themeTint="BF"/>
      <w:lang w:val="fr-FR"/>
    </w:rPr>
  </w:style>
  <w:style w:type="character" w:styleId="Rfrencelgre">
    <w:name w:val="Subtle Reference"/>
    <w:basedOn w:val="Policepardfaut"/>
    <w:uiPriority w:val="31"/>
    <w:qFormat/>
    <w:rsid w:val="00A111D1"/>
    <w:rPr>
      <w:smallCaps/>
      <w:color w:val="5A5A5A" w:themeColor="text1" w:themeTint="A5"/>
      <w:lang w:val="fr-FR"/>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fr-FR"/>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 w:type="table" w:customStyle="1" w:styleId="TableGrid11">
    <w:name w:val="Table Grid11"/>
    <w:basedOn w:val="TableauNormal"/>
    <w:next w:val="Grilledutableau"/>
    <w:uiPriority w:val="39"/>
    <w:rsid w:val="00142EA0"/>
    <w:rPr>
      <w:rFonts w:eastAsiaTheme="minorHAnsi"/>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c/f74e/9fb7/0a96e44dbe0efad66b180d61/cop-13-25-fr.pdf"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34"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meetings/SBSTTA-27?doc=68daf0612af7df829a2f29da" TargetMode="External"/><Relationship Id="rId25" Type="http://schemas.openxmlformats.org/officeDocument/2006/relationships/hyperlink" Target="https://www.cbd.int/decisions/cop?m=cop-16"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meetings/SBSTTA-27?doc=689a13a29de42050f3c9bcd9" TargetMode="External"/><Relationship Id="rId20" Type="http://schemas.openxmlformats.org/officeDocument/2006/relationships/hyperlink" Target="https://www.cbd.int/decisions/cop?m=cop-16" TargetMode="External"/><Relationship Id="rId29" Type="http://schemas.openxmlformats.org/officeDocument/2006/relationships/hyperlink" Target="https://www.cbd.int/decisions/cop?m=cop-15"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15" TargetMode="External"/><Relationship Id="rId32"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www.cbd.int/decisions/cop?m=cop-15" TargetMode="External"/><Relationship Id="rId23" Type="http://schemas.openxmlformats.org/officeDocument/2006/relationships/hyperlink" Target="https://www.cbd.int/doc/decisions/cop-07/full/cop-07-dec-fr.pdf" TargetMode="External"/><Relationship Id="rId28" Type="http://schemas.openxmlformats.org/officeDocument/2006/relationships/hyperlink" Target="https://www.cbd.int/decisions/cop/?m=cop-16" TargetMode="Externa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meetings/COP-17?doc=6ac406c530b372e8847b8e2a" TargetMode="External"/><Relationship Id="rId27" Type="http://schemas.openxmlformats.org/officeDocument/2006/relationships/hyperlink" Target="https://www.cbd.int/decisions/cop?m=cop-16" TargetMode="External"/><Relationship Id="rId30" Type="http://schemas.openxmlformats.org/officeDocument/2006/relationships/header" Target="header1.xml"/><Relationship Id="rId35" Type="http://schemas.openxmlformats.org/officeDocument/2006/relationships/theme" Target="theme/theme1.xm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0E410067-9283-4EC9-A993-5C13A4DD15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7</Pages>
  <Words>3091</Words>
  <Characters>18735</Characters>
  <Application>Microsoft Office Word</Application>
  <DocSecurity>0</DocSecurity>
  <Lines>307</Lines>
  <Paragraphs>103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Besoins scientifiques et techniques afin d’appuyer la mise en œuvre du Cadre mondial de la biodiversité de Kunming-Montréal</vt:lpstr>
      <vt:lpstr>Areas of potential further work in the context of the Kunming-Montreal Global Biodiversity Framework</vt:lpstr>
    </vt:vector>
  </TitlesOfParts>
  <Company>SCBD</Company>
  <LinksUpToDate>false</LinksUpToDate>
  <CharactersWithSpaces>21723</CharactersWithSpaces>
  <SharedDoc>false</SharedDoc>
  <HLinks>
    <vt:vector size="126" baseType="variant">
      <vt:variant>
        <vt:i4>7209057</vt:i4>
      </vt:variant>
      <vt:variant>
        <vt:i4>51</vt:i4>
      </vt:variant>
      <vt:variant>
        <vt:i4>0</vt:i4>
      </vt:variant>
      <vt:variant>
        <vt:i4>5</vt:i4>
      </vt:variant>
      <vt:variant>
        <vt:lpwstr>https://www.cbd.int/decisions/cop/?m=cop-15</vt:lpwstr>
      </vt:variant>
      <vt:variant>
        <vt:lpwstr/>
      </vt:variant>
      <vt:variant>
        <vt:i4>7209057</vt:i4>
      </vt:variant>
      <vt:variant>
        <vt:i4>48</vt:i4>
      </vt:variant>
      <vt:variant>
        <vt:i4>0</vt:i4>
      </vt:variant>
      <vt:variant>
        <vt:i4>5</vt:i4>
      </vt:variant>
      <vt:variant>
        <vt:lpwstr>https://www.cbd.int/decisions/cop/?m=cop-16</vt:lpwstr>
      </vt:variant>
      <vt:variant>
        <vt:lpwstr/>
      </vt:variant>
      <vt:variant>
        <vt:i4>7209057</vt:i4>
      </vt:variant>
      <vt:variant>
        <vt:i4>45</vt:i4>
      </vt:variant>
      <vt:variant>
        <vt:i4>0</vt:i4>
      </vt:variant>
      <vt:variant>
        <vt:i4>5</vt:i4>
      </vt:variant>
      <vt:variant>
        <vt:lpwstr>https://www.cbd.int/decisions/cop/?m=cop-16</vt:lpwstr>
      </vt:variant>
      <vt:variant>
        <vt:lpwstr/>
      </vt:variant>
      <vt:variant>
        <vt:i4>7209057</vt:i4>
      </vt:variant>
      <vt:variant>
        <vt:i4>42</vt:i4>
      </vt:variant>
      <vt:variant>
        <vt:i4>0</vt:i4>
      </vt:variant>
      <vt:variant>
        <vt:i4>5</vt:i4>
      </vt:variant>
      <vt:variant>
        <vt:lpwstr>https://www.cbd.int/decisions/cop/?m=cop-16</vt:lpwstr>
      </vt:variant>
      <vt:variant>
        <vt:lpwstr/>
      </vt:variant>
      <vt:variant>
        <vt:i4>7209057</vt:i4>
      </vt:variant>
      <vt:variant>
        <vt:i4>39</vt:i4>
      </vt:variant>
      <vt:variant>
        <vt:i4>0</vt:i4>
      </vt:variant>
      <vt:variant>
        <vt:i4>5</vt:i4>
      </vt:variant>
      <vt:variant>
        <vt:lpwstr>https://www.cbd.int/decisions/cop/?m=cop-16</vt:lpwstr>
      </vt:variant>
      <vt:variant>
        <vt:lpwstr/>
      </vt:variant>
      <vt:variant>
        <vt:i4>8061038</vt:i4>
      </vt:variant>
      <vt:variant>
        <vt:i4>36</vt:i4>
      </vt:variant>
      <vt:variant>
        <vt:i4>0</vt:i4>
      </vt:variant>
      <vt:variant>
        <vt:i4>5</vt:i4>
      </vt:variant>
      <vt:variant>
        <vt:lpwstr>https://www.cbd.int/decisions/cop?m=cop-15</vt:lpwstr>
      </vt:variant>
      <vt:variant>
        <vt:lpwstr/>
      </vt:variant>
      <vt:variant>
        <vt:i4>7929967</vt:i4>
      </vt:variant>
      <vt:variant>
        <vt:i4>33</vt:i4>
      </vt:variant>
      <vt:variant>
        <vt:i4>0</vt:i4>
      </vt:variant>
      <vt:variant>
        <vt:i4>5</vt:i4>
      </vt:variant>
      <vt:variant>
        <vt:lpwstr>https://www.cbd.int/decisions/cop?m=cop-07</vt:lpwstr>
      </vt:variant>
      <vt:variant>
        <vt:lpwstr/>
      </vt:variant>
      <vt:variant>
        <vt:i4>6684774</vt:i4>
      </vt:variant>
      <vt:variant>
        <vt:i4>30</vt:i4>
      </vt:variant>
      <vt:variant>
        <vt:i4>0</vt:i4>
      </vt:variant>
      <vt:variant>
        <vt:i4>5</vt:i4>
      </vt:variant>
      <vt:variant>
        <vt:lpwstr>https://www.cbd.int/documents/CBD/COP/17/INF/23</vt:lpwstr>
      </vt:variant>
      <vt:variant>
        <vt:lpwstr/>
      </vt:variant>
      <vt:variant>
        <vt:i4>7209057</vt:i4>
      </vt:variant>
      <vt:variant>
        <vt:i4>27</vt:i4>
      </vt:variant>
      <vt:variant>
        <vt:i4>0</vt:i4>
      </vt:variant>
      <vt:variant>
        <vt:i4>5</vt:i4>
      </vt:variant>
      <vt:variant>
        <vt:lpwstr>https://www.cbd.int/decisions/cop/?m=cop-16</vt:lpwstr>
      </vt:variant>
      <vt:variant>
        <vt:lpwstr/>
      </vt:variant>
      <vt:variant>
        <vt:i4>7209057</vt:i4>
      </vt:variant>
      <vt:variant>
        <vt:i4>21</vt:i4>
      </vt:variant>
      <vt:variant>
        <vt:i4>0</vt:i4>
      </vt:variant>
      <vt:variant>
        <vt:i4>5</vt:i4>
      </vt:variant>
      <vt:variant>
        <vt:lpwstr>https://www.cbd.int/decisions/cop/?m=cop-16</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4128876</vt:i4>
      </vt:variant>
      <vt:variant>
        <vt:i4>9</vt:i4>
      </vt:variant>
      <vt:variant>
        <vt:i4>0</vt:i4>
      </vt:variant>
      <vt:variant>
        <vt:i4>5</vt:i4>
      </vt:variant>
      <vt:variant>
        <vt:lpwstr>https://www.cbd.int/decisions/?id=13491</vt:lpwstr>
      </vt:variant>
      <vt:variant>
        <vt:lpwstr/>
      </vt:variant>
      <vt:variant>
        <vt:i4>458825</vt:i4>
      </vt:variant>
      <vt:variant>
        <vt:i4>6</vt:i4>
      </vt:variant>
      <vt:variant>
        <vt:i4>0</vt:i4>
      </vt:variant>
      <vt:variant>
        <vt:i4>5</vt:i4>
      </vt:variant>
      <vt:variant>
        <vt:lpwstr>https://www.cbd.int/documents/CBD/SBSTTA/27/INF/6</vt:lpwstr>
      </vt:variant>
      <vt:variant>
        <vt:lpwstr/>
      </vt:variant>
      <vt:variant>
        <vt:i4>3932278</vt:i4>
      </vt:variant>
      <vt:variant>
        <vt:i4>3</vt:i4>
      </vt:variant>
      <vt:variant>
        <vt:i4>0</vt:i4>
      </vt:variant>
      <vt:variant>
        <vt:i4>5</vt:i4>
      </vt:variant>
      <vt:variant>
        <vt:lpwstr>https://www.cbd.int/documents/CBD/SBSTTA/27/5/ADD1</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7209057</vt:i4>
      </vt:variant>
      <vt:variant>
        <vt:i4>24</vt:i4>
      </vt:variant>
      <vt:variant>
        <vt:i4>0</vt:i4>
      </vt:variant>
      <vt:variant>
        <vt:i4>5</vt:i4>
      </vt:variant>
      <vt:variant>
        <vt:lpwstr>https://www.cbd.int/decisions/cop/?m=cop-15</vt:lpwstr>
      </vt:variant>
      <vt:variant>
        <vt:lpwstr/>
      </vt:variant>
      <vt:variant>
        <vt:i4>7209057</vt:i4>
      </vt:variant>
      <vt:variant>
        <vt:i4>21</vt:i4>
      </vt:variant>
      <vt:variant>
        <vt:i4>0</vt:i4>
      </vt:variant>
      <vt:variant>
        <vt:i4>5</vt:i4>
      </vt:variant>
      <vt:variant>
        <vt:lpwstr>https://www.cbd.int/decisions/cop/?m=cop-15</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8061038</vt:i4>
      </vt:variant>
      <vt:variant>
        <vt:i4>3</vt:i4>
      </vt:variant>
      <vt:variant>
        <vt:i4>0</vt:i4>
      </vt:variant>
      <vt:variant>
        <vt:i4>5</vt:i4>
      </vt:variant>
      <vt:variant>
        <vt:lpwstr>https://www.cbd.int/decisions/cop?m=cop-15</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Besoins scientifiques et techniques afin d’appuyer la mise en œuvre du Cadre mondial de la biodiversité de Kunming-Montréal</dc:title>
  <dc:subject>CBD/COP/17/L.17</dc:subject>
  <dc:creator>Veronique Lefebvre</dc:creator>
  <cp:keywords>Convention on Biological Diversity</cp:keywords>
  <cp:lastModifiedBy>Reviewer</cp:lastModifiedBy>
  <cp:revision>13</cp:revision>
  <cp:lastPrinted>2020-01-22T04:56:00Z</cp:lastPrinted>
  <dcterms:created xsi:type="dcterms:W3CDTF">2026-10-29T07:59:00Z</dcterms:created>
  <dcterms:modified xsi:type="dcterms:W3CDTF">2026-10-30T10:40:00Z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0x010100557F1EC91ED091469AD90D3792582B3D</vt:lpwstr>
  </property>
  <property fmtid="{D5CDD505-2E9C-101B-9397-08002B2CF9AE}" pid="10" name="docLang">
    <vt:lpwstr>en</vt:lpwstr>
  </property>
</Properties>
</file>