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Borders>
          <w:bottom w:val="single" w:sz="30" w:space="0" w:color="000000"/>
        </w:tblBorders>
        <w:tblLayout w:type="fixed"/>
        <w:tblLook w:val="0000" w:firstRow="0" w:lastRow="0" w:firstColumn="0" w:lastColumn="0" w:noHBand="0" w:noVBand="0"/>
      </w:tblPr>
      <w:tblGrid>
        <w:gridCol w:w="17"/>
        <w:gridCol w:w="1350"/>
        <w:gridCol w:w="1260"/>
        <w:gridCol w:w="2611"/>
        <w:gridCol w:w="1107"/>
        <w:gridCol w:w="3402"/>
      </w:tblGrid>
      <w:tr w:rsidR="00304E68" w:rsidTr="00304E68">
        <w:trPr>
          <w:gridBefore w:val="1"/>
          <w:wBefore w:w="17" w:type="dxa"/>
          <w:trHeight w:val="851"/>
        </w:trPr>
        <w:tc>
          <w:tcPr>
            <w:tcW w:w="1350" w:type="dxa"/>
            <w:tcBorders>
              <w:bottom w:val="single" w:sz="12" w:space="0" w:color="000000"/>
            </w:tcBorders>
          </w:tcPr>
          <w:p w:rsidR="00304E68" w:rsidRDefault="00484C40" w:rsidP="00304E68">
            <w:pPr>
              <w:pStyle w:val="Header"/>
              <w:rPr>
                <w:noProof/>
              </w:rPr>
            </w:pPr>
            <w:r w:rsidRPr="00304E68">
              <w:rPr>
                <w:noProof/>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1260" w:type="dxa"/>
            <w:tcBorders>
              <w:bottom w:val="single" w:sz="12" w:space="0" w:color="000000"/>
            </w:tcBorders>
          </w:tcPr>
          <w:p w:rsidR="00304E68" w:rsidRDefault="00484C40" w:rsidP="00800370">
            <w:pPr>
              <w:rPr>
                <w:noProof/>
              </w:rPr>
            </w:pPr>
            <w:r w:rsidRPr="00304E68">
              <w:rPr>
                <w:noProof/>
              </w:rPr>
              <w:drawing>
                <wp:inline distT="0" distB="0" distL="0" distR="0">
                  <wp:extent cx="342900" cy="400050"/>
                  <wp:effectExtent l="0" t="0" r="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7120" w:type="dxa"/>
            <w:gridSpan w:val="3"/>
            <w:tcBorders>
              <w:bottom w:val="single" w:sz="12" w:space="0" w:color="000000"/>
            </w:tcBorders>
          </w:tcPr>
          <w:p w:rsidR="00304E68" w:rsidRPr="00C9161D" w:rsidRDefault="00304E68" w:rsidP="00800370">
            <w:pPr>
              <w:jc w:val="right"/>
              <w:rPr>
                <w:rFonts w:ascii="Arial" w:hAnsi="Arial" w:cs="Arial"/>
                <w:b/>
                <w:sz w:val="32"/>
                <w:szCs w:val="32"/>
              </w:rPr>
            </w:pPr>
            <w:r w:rsidRPr="00C9161D">
              <w:rPr>
                <w:rFonts w:ascii="Arial" w:hAnsi="Arial" w:cs="Arial"/>
                <w:b/>
                <w:sz w:val="32"/>
                <w:szCs w:val="32"/>
              </w:rPr>
              <w:t>CBD</w:t>
            </w:r>
          </w:p>
        </w:tc>
      </w:tr>
      <w:tr w:rsidR="008B242F" w:rsidRPr="00921126" w:rsidTr="006C4497">
        <w:trPr>
          <w:trHeight w:val="1925"/>
        </w:trPr>
        <w:tc>
          <w:tcPr>
            <w:tcW w:w="5238" w:type="dxa"/>
            <w:gridSpan w:val="4"/>
          </w:tcPr>
          <w:p w:rsidR="008B242F" w:rsidRPr="00921126" w:rsidRDefault="00484C40" w:rsidP="00106AD2">
            <w:pPr>
              <w:jc w:val="left"/>
              <w:rPr>
                <w:rFonts w:cs="Times New Roman"/>
              </w:rPr>
            </w:pPr>
            <w:r w:rsidRPr="00F2607E">
              <w:rPr>
                <w:rFonts w:cs="Times New Roman"/>
                <w:noProof/>
                <w:szCs w:val="22"/>
                <w:lang w:val="en-US"/>
              </w:rPr>
              <w:drawing>
                <wp:inline distT="0" distB="0" distL="0" distR="0">
                  <wp:extent cx="2838450" cy="1076325"/>
                  <wp:effectExtent l="0" t="0" r="0" b="0"/>
                  <wp:docPr id="3" name="Picture 1"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076325"/>
                          </a:xfrm>
                          <a:prstGeom prst="rect">
                            <a:avLst/>
                          </a:prstGeom>
                          <a:noFill/>
                          <a:ln>
                            <a:noFill/>
                          </a:ln>
                        </pic:spPr>
                      </pic:pic>
                    </a:graphicData>
                  </a:graphic>
                </wp:inline>
              </w:drawing>
            </w:r>
          </w:p>
        </w:tc>
        <w:tc>
          <w:tcPr>
            <w:tcW w:w="1107" w:type="dxa"/>
          </w:tcPr>
          <w:p w:rsidR="008B242F" w:rsidRPr="00921126" w:rsidRDefault="008B242F" w:rsidP="00106AD2">
            <w:pPr>
              <w:rPr>
                <w:rFonts w:cs="Times New Roman"/>
              </w:rPr>
            </w:pPr>
          </w:p>
        </w:tc>
        <w:tc>
          <w:tcPr>
            <w:tcW w:w="3402" w:type="dxa"/>
          </w:tcPr>
          <w:p w:rsidR="008B242F" w:rsidRPr="00921126" w:rsidRDefault="008B242F" w:rsidP="00A3127A">
            <w:pPr>
              <w:ind w:left="1347"/>
              <w:rPr>
                <w:rFonts w:cs="Times New Roman"/>
              </w:rPr>
            </w:pPr>
            <w:r w:rsidRPr="00921126">
              <w:rPr>
                <w:rFonts w:cs="Times New Roman"/>
                <w:szCs w:val="22"/>
              </w:rPr>
              <w:t>Distr.</w:t>
            </w:r>
          </w:p>
          <w:p w:rsidR="008B242F" w:rsidRPr="00921126" w:rsidRDefault="008B242F" w:rsidP="00A3127A">
            <w:pPr>
              <w:ind w:left="1347"/>
              <w:rPr>
                <w:rFonts w:cs="Times New Roman"/>
              </w:rPr>
            </w:pPr>
            <w:r w:rsidRPr="00921126">
              <w:rPr>
                <w:rFonts w:cs="Times New Roman"/>
                <w:szCs w:val="22"/>
              </w:rPr>
              <w:t>GENERAL</w:t>
            </w:r>
          </w:p>
          <w:p w:rsidR="008B242F" w:rsidRPr="00921126" w:rsidRDefault="008B242F" w:rsidP="00A3127A">
            <w:pPr>
              <w:ind w:left="1347"/>
              <w:rPr>
                <w:rFonts w:cs="Times New Roman"/>
              </w:rPr>
            </w:pPr>
          </w:p>
          <w:sdt>
            <w:sdtPr>
              <w:rPr>
                <w:rFonts w:cs="Times New Roman"/>
                <w:szCs w:val="22"/>
              </w:rPr>
              <w:alias w:val="Subject"/>
              <w:tag w:val=""/>
              <w:id w:val="-1284416752"/>
              <w:placeholder>
                <w:docPart w:val="AB037DE84A5E45B4A0F46F4F096AFEB3"/>
              </w:placeholder>
              <w:dataBinding w:prefixMappings="xmlns:ns0='http://purl.org/dc/elements/1.1/' xmlns:ns1='http://schemas.openxmlformats.org/package/2006/metadata/core-properties' " w:xpath="/ns1:coreProperties[1]/ns0:subject[1]" w:storeItemID="{6C3C8BC8-F283-45AE-878A-BAB7291924A1}"/>
              <w:text/>
            </w:sdtPr>
            <w:sdtEndPr/>
            <w:sdtContent>
              <w:p w:rsidR="00106AD2" w:rsidRDefault="00306469" w:rsidP="00A3127A">
                <w:pPr>
                  <w:ind w:left="1347"/>
                  <w:rPr>
                    <w:rFonts w:cs="Times New Roman"/>
                  </w:rPr>
                </w:pPr>
                <w:r>
                  <w:rPr>
                    <w:rFonts w:cs="Times New Roman"/>
                    <w:szCs w:val="22"/>
                  </w:rPr>
                  <w:t>CBD/SBI/2/INF/9</w:t>
                </w:r>
              </w:p>
            </w:sdtContent>
          </w:sdt>
          <w:p w:rsidR="008B242F" w:rsidRPr="00921126" w:rsidRDefault="00D156E1" w:rsidP="00A3127A">
            <w:pPr>
              <w:ind w:left="1347"/>
              <w:rPr>
                <w:rFonts w:cs="Times New Roman"/>
                <w:color w:val="000000"/>
              </w:rPr>
            </w:pPr>
            <w:r>
              <w:rPr>
                <w:rFonts w:cs="Times New Roman"/>
                <w:color w:val="000000"/>
                <w:szCs w:val="22"/>
              </w:rPr>
              <w:t>7 May</w:t>
            </w:r>
            <w:r w:rsidR="00F2607E">
              <w:rPr>
                <w:rFonts w:cs="Times New Roman"/>
                <w:color w:val="000000"/>
                <w:szCs w:val="22"/>
              </w:rPr>
              <w:t xml:space="preserve"> </w:t>
            </w:r>
            <w:r w:rsidR="008B242F" w:rsidRPr="00921126">
              <w:rPr>
                <w:rFonts w:cs="Times New Roman"/>
                <w:color w:val="000000"/>
                <w:szCs w:val="22"/>
              </w:rPr>
              <w:t>201</w:t>
            </w:r>
            <w:r w:rsidR="00975E1E">
              <w:rPr>
                <w:rFonts w:cs="Times New Roman"/>
                <w:color w:val="000000"/>
                <w:szCs w:val="22"/>
              </w:rPr>
              <w:t>8</w:t>
            </w:r>
          </w:p>
          <w:p w:rsidR="008B242F" w:rsidRPr="00921126" w:rsidRDefault="008B242F" w:rsidP="00A3127A">
            <w:pPr>
              <w:ind w:left="1347"/>
              <w:rPr>
                <w:rFonts w:cs="Times New Roman"/>
              </w:rPr>
            </w:pPr>
          </w:p>
          <w:p w:rsidR="008B242F" w:rsidRPr="00921126" w:rsidRDefault="008B242F" w:rsidP="00A3127A">
            <w:pPr>
              <w:ind w:left="1347"/>
              <w:rPr>
                <w:rFonts w:cs="Times New Roman"/>
              </w:rPr>
            </w:pPr>
            <w:r w:rsidRPr="00921126">
              <w:rPr>
                <w:rFonts w:cs="Times New Roman"/>
                <w:szCs w:val="22"/>
              </w:rPr>
              <w:t>ENGLISH</w:t>
            </w:r>
            <w:r w:rsidR="00B64E52">
              <w:rPr>
                <w:rFonts w:cs="Times New Roman"/>
                <w:szCs w:val="22"/>
              </w:rPr>
              <w:t xml:space="preserve"> </w:t>
            </w:r>
            <w:r w:rsidR="00306469">
              <w:rPr>
                <w:rFonts w:cs="Times New Roman"/>
                <w:szCs w:val="22"/>
              </w:rPr>
              <w:t>ONLY</w:t>
            </w:r>
          </w:p>
        </w:tc>
      </w:tr>
    </w:tbl>
    <w:p w:rsidR="00975E1E" w:rsidRPr="00975E1E" w:rsidRDefault="00975E1E" w:rsidP="00975E1E">
      <w:pPr>
        <w:ind w:left="284" w:right="4398" w:hanging="284"/>
        <w:jc w:val="left"/>
        <w:rPr>
          <w:rFonts w:eastAsia="Malgun Gothic" w:cs="Times New Roman"/>
          <w:caps/>
          <w:snapToGrid w:val="0"/>
          <w:kern w:val="22"/>
          <w:szCs w:val="22"/>
        </w:rPr>
      </w:pPr>
      <w:bookmarkStart w:id="0" w:name="Meeting"/>
      <w:bookmarkStart w:id="1" w:name="_Toc485302719"/>
      <w:bookmarkStart w:id="2" w:name="_Toc486958027"/>
      <w:bookmarkStart w:id="3" w:name="_Toc493162898"/>
      <w:bookmarkStart w:id="4" w:name="_Toc493163939"/>
      <w:bookmarkStart w:id="5" w:name="_Toc493164117"/>
      <w:bookmarkStart w:id="6" w:name="_Toc496096488"/>
      <w:r w:rsidRPr="00975E1E">
        <w:rPr>
          <w:rFonts w:eastAsia="Malgun Gothic" w:cs="Times New Roman"/>
          <w:caps/>
          <w:snapToGrid w:val="0"/>
          <w:kern w:val="22"/>
        </w:rPr>
        <w:t>SUBSIDIARY BODY ON IMPLEMENTATION</w:t>
      </w:r>
      <w:bookmarkEnd w:id="0"/>
    </w:p>
    <w:p w:rsidR="00975E1E" w:rsidRPr="00975E1E" w:rsidRDefault="00975E1E" w:rsidP="00975E1E">
      <w:pPr>
        <w:ind w:left="284" w:hanging="284"/>
        <w:jc w:val="left"/>
        <w:rPr>
          <w:rFonts w:eastAsia="MS Mincho"/>
          <w:snapToGrid w:val="0"/>
          <w:kern w:val="22"/>
          <w:szCs w:val="22"/>
          <w:lang w:eastAsia="nb-NO"/>
        </w:rPr>
      </w:pPr>
      <w:r w:rsidRPr="00975E1E">
        <w:rPr>
          <w:rFonts w:eastAsia="MS Mincho"/>
          <w:snapToGrid w:val="0"/>
          <w:kern w:val="22"/>
          <w:szCs w:val="22"/>
          <w:lang w:eastAsia="nb-NO"/>
        </w:rPr>
        <w:t>Second meeting</w:t>
      </w:r>
    </w:p>
    <w:p w:rsidR="00975E1E" w:rsidRPr="00975E1E" w:rsidRDefault="00975E1E" w:rsidP="00975E1E">
      <w:pPr>
        <w:ind w:left="284" w:hanging="284"/>
        <w:jc w:val="left"/>
        <w:rPr>
          <w:rFonts w:eastAsia="MS Mincho"/>
          <w:snapToGrid w:val="0"/>
          <w:kern w:val="22"/>
          <w:szCs w:val="22"/>
          <w:lang w:eastAsia="nb-NO"/>
        </w:rPr>
      </w:pPr>
      <w:r w:rsidRPr="00975E1E">
        <w:rPr>
          <w:rFonts w:eastAsia="MS Mincho"/>
          <w:snapToGrid w:val="0"/>
          <w:kern w:val="22"/>
          <w:szCs w:val="22"/>
          <w:lang w:eastAsia="nb-NO"/>
        </w:rPr>
        <w:t>Montreal, Canada, 9-13 July 2018</w:t>
      </w:r>
    </w:p>
    <w:p w:rsidR="00975E1E" w:rsidRPr="00975E1E" w:rsidRDefault="00975E1E" w:rsidP="00975E1E">
      <w:pPr>
        <w:suppressLineNumbers/>
        <w:suppressAutoHyphens/>
        <w:ind w:left="284" w:hanging="284"/>
        <w:jc w:val="left"/>
        <w:rPr>
          <w:snapToGrid w:val="0"/>
          <w:kern w:val="22"/>
        </w:rPr>
      </w:pPr>
      <w:r w:rsidRPr="00306469">
        <w:rPr>
          <w:snapToGrid w:val="0"/>
          <w:kern w:val="22"/>
          <w:szCs w:val="22"/>
        </w:rPr>
        <w:t xml:space="preserve">Item </w:t>
      </w:r>
      <w:r w:rsidR="00A76475" w:rsidRPr="00306469">
        <w:rPr>
          <w:snapToGrid w:val="0"/>
          <w:kern w:val="22"/>
          <w:szCs w:val="22"/>
        </w:rPr>
        <w:t>8</w:t>
      </w:r>
      <w:r w:rsidRPr="00306469">
        <w:rPr>
          <w:snapToGrid w:val="0"/>
          <w:kern w:val="22"/>
          <w:szCs w:val="22"/>
        </w:rPr>
        <w:t xml:space="preserve"> of the provisional</w:t>
      </w:r>
      <w:r w:rsidRPr="00975E1E">
        <w:rPr>
          <w:snapToGrid w:val="0"/>
          <w:kern w:val="22"/>
          <w:szCs w:val="22"/>
        </w:rPr>
        <w:t xml:space="preserve"> agenda</w:t>
      </w:r>
      <w:r w:rsidR="00D156E1" w:rsidRPr="00306469">
        <w:rPr>
          <w:rStyle w:val="FootnoteReference"/>
          <w:snapToGrid w:val="0"/>
          <w:kern w:val="22"/>
          <w:szCs w:val="22"/>
          <w:u w:val="none"/>
        </w:rPr>
        <w:footnoteReference w:id="1"/>
      </w:r>
    </w:p>
    <w:bookmarkStart w:id="7" w:name="_Toc507765154"/>
    <w:bookmarkStart w:id="8" w:name="_Toc507765233"/>
    <w:p w:rsidR="008B242F" w:rsidRPr="00045D4E" w:rsidRDefault="0063650C" w:rsidP="008B242F">
      <w:pPr>
        <w:pStyle w:val="Heading1"/>
        <w:rPr>
          <w:rFonts w:cs="Times New Roman"/>
          <w:szCs w:val="22"/>
        </w:rPr>
      </w:pPr>
      <w:sdt>
        <w:sdtPr>
          <w:rPr>
            <w:rFonts w:cs="Times New Roman"/>
            <w:szCs w:val="22"/>
          </w:rPr>
          <w:alias w:val="Title"/>
          <w:tag w:val=""/>
          <w:id w:val="203526756"/>
          <w:placeholder>
            <w:docPart w:val="6507EC37F818425EBF2FD034CA6C267F"/>
          </w:placeholder>
          <w:dataBinding w:prefixMappings="xmlns:ns0='http://purl.org/dc/elements/1.1/' xmlns:ns1='http://schemas.openxmlformats.org/package/2006/metadata/core-properties' " w:xpath="/ns1:coreProperties[1]/ns0:title[1]" w:storeItemID="{6C3C8BC8-F283-45AE-878A-BAB7291924A1}"/>
          <w:text/>
        </w:sdtPr>
        <w:sdtEndPr/>
        <w:sdtContent>
          <w:r w:rsidR="00A3127A">
            <w:rPr>
              <w:rFonts w:cs="Times New Roman"/>
              <w:szCs w:val="22"/>
            </w:rPr>
            <w:t>COMPILATION OF VIEWS ON RESOURCE MOBILIZATION: ASSESSING THE CONTRIBUTION OF COLLECTIVE ACTIONS OF INDIGENOUS PEOPLES AND LOCAL COMMUNITIES AND SAFEGUARDS IN BIODIVERSITY FINANCING MECHANISMS</w:t>
          </w:r>
        </w:sdtContent>
      </w:sdt>
      <w:bookmarkEnd w:id="1"/>
      <w:bookmarkEnd w:id="2"/>
      <w:bookmarkEnd w:id="3"/>
      <w:bookmarkEnd w:id="4"/>
      <w:bookmarkEnd w:id="5"/>
      <w:bookmarkEnd w:id="6"/>
      <w:bookmarkEnd w:id="7"/>
      <w:bookmarkEnd w:id="8"/>
    </w:p>
    <w:p w:rsidR="008B242F" w:rsidRPr="00045D4E" w:rsidRDefault="008B242F" w:rsidP="008B242F">
      <w:pPr>
        <w:spacing w:before="120" w:after="120"/>
        <w:ind w:left="720" w:hanging="720"/>
        <w:jc w:val="center"/>
        <w:rPr>
          <w:rFonts w:cs="Times New Roman"/>
          <w:i/>
          <w:szCs w:val="22"/>
        </w:rPr>
      </w:pPr>
      <w:r w:rsidRPr="00045D4E">
        <w:rPr>
          <w:rFonts w:cs="Times New Roman"/>
          <w:i/>
          <w:szCs w:val="22"/>
        </w:rPr>
        <w:t>Note by the Executive Secretary</w:t>
      </w:r>
    </w:p>
    <w:p w:rsidR="00BE77C1" w:rsidRPr="00045D4E" w:rsidRDefault="00CB7986" w:rsidP="00BE77C1">
      <w:pPr>
        <w:pStyle w:val="Heading1"/>
        <w:rPr>
          <w:rFonts w:cs="Times New Roman"/>
          <w:szCs w:val="22"/>
        </w:rPr>
      </w:pPr>
      <w:bookmarkStart w:id="9" w:name="_Toc485302720"/>
      <w:bookmarkStart w:id="10" w:name="_Toc486958028"/>
      <w:bookmarkStart w:id="11" w:name="_Toc493162899"/>
      <w:bookmarkStart w:id="12" w:name="_Toc493163940"/>
      <w:bookmarkStart w:id="13" w:name="_Toc493164118"/>
      <w:bookmarkStart w:id="14" w:name="_Toc496096489"/>
      <w:bookmarkStart w:id="15" w:name="_Toc507765155"/>
      <w:bookmarkStart w:id="16" w:name="_Toc507765234"/>
      <w:r w:rsidRPr="00045D4E">
        <w:rPr>
          <w:rFonts w:cs="Times New Roman"/>
          <w:szCs w:val="22"/>
        </w:rPr>
        <w:t>INTRODUCTION</w:t>
      </w:r>
      <w:bookmarkEnd w:id="9"/>
      <w:bookmarkEnd w:id="10"/>
      <w:bookmarkEnd w:id="11"/>
      <w:bookmarkEnd w:id="12"/>
      <w:bookmarkEnd w:id="13"/>
      <w:bookmarkEnd w:id="14"/>
      <w:bookmarkEnd w:id="15"/>
      <w:bookmarkEnd w:id="16"/>
    </w:p>
    <w:p w:rsidR="00BE77C1" w:rsidRPr="00045D4E" w:rsidRDefault="00CB7986" w:rsidP="00AD09BD">
      <w:pPr>
        <w:numPr>
          <w:ilvl w:val="0"/>
          <w:numId w:val="1"/>
        </w:numPr>
        <w:spacing w:before="120" w:after="120"/>
        <w:ind w:left="0" w:firstLine="0"/>
        <w:rPr>
          <w:rFonts w:cs="Times New Roman"/>
          <w:bCs/>
          <w:iCs/>
          <w:szCs w:val="22"/>
          <w:lang w:val="en-US"/>
        </w:rPr>
      </w:pPr>
      <w:r w:rsidRPr="00045D4E">
        <w:rPr>
          <w:rFonts w:cs="Times New Roman"/>
          <w:szCs w:val="22"/>
        </w:rPr>
        <w:t>As requested by the Conferenc</w:t>
      </w:r>
      <w:r w:rsidR="00BE77C1" w:rsidRPr="00045D4E">
        <w:rPr>
          <w:rFonts w:cs="Times New Roman"/>
          <w:szCs w:val="22"/>
        </w:rPr>
        <w:t xml:space="preserve">e </w:t>
      </w:r>
      <w:r w:rsidR="00055ED3">
        <w:rPr>
          <w:rFonts w:cs="Times New Roman"/>
          <w:szCs w:val="22"/>
        </w:rPr>
        <w:t xml:space="preserve">of the Parties in </w:t>
      </w:r>
      <w:r w:rsidRPr="00045D4E">
        <w:rPr>
          <w:rFonts w:cs="Times New Roman"/>
          <w:szCs w:val="22"/>
        </w:rPr>
        <w:t xml:space="preserve">decision </w:t>
      </w:r>
      <w:r w:rsidR="001C552B" w:rsidRPr="00045D4E">
        <w:rPr>
          <w:rFonts w:cs="Times New Roman"/>
          <w:bCs/>
          <w:iCs/>
          <w:szCs w:val="22"/>
          <w:lang w:val="en-US"/>
        </w:rPr>
        <w:t>XIII/20</w:t>
      </w:r>
      <w:r w:rsidR="00A3127A">
        <w:rPr>
          <w:rFonts w:cs="Times New Roman"/>
          <w:bCs/>
          <w:iCs/>
          <w:szCs w:val="22"/>
          <w:lang w:val="en-US"/>
        </w:rPr>
        <w:t>,</w:t>
      </w:r>
      <w:r w:rsidR="001C552B" w:rsidRPr="00045D4E">
        <w:rPr>
          <w:rFonts w:cs="Times New Roman"/>
          <w:bCs/>
          <w:iCs/>
          <w:szCs w:val="22"/>
          <w:lang w:val="en-US"/>
        </w:rPr>
        <w:t xml:space="preserve"> </w:t>
      </w:r>
      <w:r w:rsidR="00A3127A">
        <w:rPr>
          <w:rFonts w:cs="Times New Roman"/>
          <w:szCs w:val="22"/>
        </w:rPr>
        <w:t>paragraphs 21</w:t>
      </w:r>
      <w:r w:rsidR="00A3127A" w:rsidRPr="00045D4E">
        <w:rPr>
          <w:rFonts w:cs="Times New Roman"/>
          <w:szCs w:val="22"/>
        </w:rPr>
        <w:t xml:space="preserve"> and 27 </w:t>
      </w:r>
      <w:r w:rsidR="001C552B" w:rsidRPr="00045D4E">
        <w:rPr>
          <w:rFonts w:cs="Times New Roman"/>
          <w:bCs/>
          <w:iCs/>
          <w:szCs w:val="22"/>
          <w:lang w:val="en-US"/>
        </w:rPr>
        <w:t>on resource mobilization</w:t>
      </w:r>
      <w:r w:rsidRPr="00045D4E">
        <w:rPr>
          <w:rFonts w:cs="Times New Roman"/>
          <w:szCs w:val="22"/>
        </w:rPr>
        <w:t xml:space="preserve">, the Executive Secretary is circulating herewith, for the </w:t>
      </w:r>
      <w:r w:rsidR="00C443C5" w:rsidRPr="00045D4E">
        <w:rPr>
          <w:rFonts w:cs="Times New Roman"/>
          <w:szCs w:val="22"/>
        </w:rPr>
        <w:t xml:space="preserve">information </w:t>
      </w:r>
      <w:r w:rsidRPr="00045D4E">
        <w:rPr>
          <w:rFonts w:cs="Times New Roman"/>
          <w:szCs w:val="22"/>
        </w:rPr>
        <w:t xml:space="preserve">of participants in </w:t>
      </w:r>
      <w:r w:rsidR="00306469">
        <w:rPr>
          <w:rFonts w:cs="Times New Roman"/>
          <w:szCs w:val="22"/>
        </w:rPr>
        <w:t>the second meeting of the Subsidiary Body on Implementation</w:t>
      </w:r>
      <w:r w:rsidRPr="00045D4E">
        <w:rPr>
          <w:rFonts w:cs="Times New Roman"/>
          <w:bCs/>
          <w:iCs/>
          <w:szCs w:val="22"/>
          <w:lang w:val="en-US"/>
        </w:rPr>
        <w:t>, a compilation of views and comments submitted to the Secretariat regarding</w:t>
      </w:r>
      <w:r w:rsidR="00BE77C1" w:rsidRPr="00045D4E">
        <w:rPr>
          <w:rFonts w:cs="Times New Roman"/>
          <w:bCs/>
          <w:iCs/>
          <w:szCs w:val="22"/>
          <w:lang w:val="en-US"/>
        </w:rPr>
        <w:t>:</w:t>
      </w:r>
    </w:p>
    <w:p w:rsidR="00BE77C1" w:rsidRPr="00045D4E" w:rsidRDefault="00055ED3" w:rsidP="00055ED3">
      <w:pPr>
        <w:numPr>
          <w:ilvl w:val="0"/>
          <w:numId w:val="23"/>
        </w:numPr>
        <w:spacing w:before="120" w:after="120"/>
        <w:ind w:left="0" w:firstLine="709"/>
        <w:rPr>
          <w:rFonts w:cs="Times New Roman"/>
          <w:bCs/>
          <w:iCs/>
          <w:szCs w:val="22"/>
          <w:lang w:val="en-US"/>
        </w:rPr>
      </w:pPr>
      <w:r>
        <w:rPr>
          <w:rFonts w:cs="Times New Roman"/>
          <w:bCs/>
          <w:iCs/>
          <w:szCs w:val="22"/>
          <w:lang w:val="en-US"/>
        </w:rPr>
        <w:t>C</w:t>
      </w:r>
      <w:r w:rsidR="00BE77C1" w:rsidRPr="00045D4E">
        <w:rPr>
          <w:rFonts w:cs="Times New Roman"/>
          <w:bCs/>
          <w:iCs/>
          <w:szCs w:val="22"/>
          <w:lang w:val="en-US"/>
        </w:rPr>
        <w:t>ollective action by indigenous peoples and local communities</w:t>
      </w:r>
      <w:r>
        <w:rPr>
          <w:rFonts w:cs="Times New Roman"/>
          <w:bCs/>
          <w:iCs/>
          <w:szCs w:val="22"/>
          <w:lang w:val="en-US"/>
        </w:rPr>
        <w:t>;</w:t>
      </w:r>
    </w:p>
    <w:p w:rsidR="00BE77C1" w:rsidRPr="00045D4E" w:rsidRDefault="00055ED3" w:rsidP="00055ED3">
      <w:pPr>
        <w:numPr>
          <w:ilvl w:val="0"/>
          <w:numId w:val="23"/>
        </w:numPr>
        <w:spacing w:before="120" w:after="120"/>
        <w:ind w:left="0" w:firstLine="709"/>
        <w:rPr>
          <w:rFonts w:cs="Times New Roman"/>
          <w:bCs/>
          <w:iCs/>
          <w:szCs w:val="22"/>
          <w:lang w:val="en-US"/>
        </w:rPr>
      </w:pPr>
      <w:r>
        <w:rPr>
          <w:rFonts w:cs="Times New Roman"/>
          <w:bCs/>
          <w:iCs/>
          <w:szCs w:val="22"/>
          <w:lang w:val="en-US"/>
        </w:rPr>
        <w:t>S</w:t>
      </w:r>
      <w:r w:rsidR="00BE77C1" w:rsidRPr="00045D4E">
        <w:rPr>
          <w:rFonts w:cs="Times New Roman"/>
          <w:bCs/>
          <w:iCs/>
          <w:szCs w:val="22"/>
          <w:lang w:val="en-US"/>
        </w:rPr>
        <w:t>afeguards in biodiversity financing mechanisms</w:t>
      </w:r>
      <w:r>
        <w:rPr>
          <w:rFonts w:cs="Times New Roman"/>
          <w:bCs/>
          <w:iCs/>
          <w:szCs w:val="22"/>
          <w:lang w:val="en-US"/>
        </w:rPr>
        <w:t>.</w:t>
      </w:r>
    </w:p>
    <w:p w:rsidR="00CB7986" w:rsidRPr="003A6328" w:rsidRDefault="00DC0A13" w:rsidP="003A6328">
      <w:pPr>
        <w:numPr>
          <w:ilvl w:val="0"/>
          <w:numId w:val="1"/>
        </w:numPr>
        <w:spacing w:before="120" w:after="120"/>
        <w:ind w:left="0" w:firstLine="0"/>
        <w:rPr>
          <w:rFonts w:cs="Times New Roman"/>
          <w:szCs w:val="22"/>
        </w:rPr>
      </w:pPr>
      <w:r w:rsidRPr="00045D4E">
        <w:rPr>
          <w:rFonts w:cs="Times New Roman"/>
          <w:szCs w:val="22"/>
        </w:rPr>
        <w:t>Submissions were received</w:t>
      </w:r>
      <w:r w:rsidR="00B87A9E" w:rsidRPr="00045D4E">
        <w:rPr>
          <w:rFonts w:cs="Times New Roman"/>
          <w:szCs w:val="22"/>
        </w:rPr>
        <w:t xml:space="preserve"> from:</w:t>
      </w:r>
      <w:r w:rsidRPr="00045D4E">
        <w:rPr>
          <w:rFonts w:cs="Times New Roman"/>
          <w:szCs w:val="22"/>
        </w:rPr>
        <w:t xml:space="preserve"> </w:t>
      </w:r>
      <w:r w:rsidR="00306469">
        <w:rPr>
          <w:rFonts w:cs="Times New Roman"/>
          <w:szCs w:val="22"/>
        </w:rPr>
        <w:t>Iraq,</w:t>
      </w:r>
      <w:r w:rsidR="003A6328">
        <w:rPr>
          <w:rFonts w:cs="Times New Roman"/>
          <w:szCs w:val="22"/>
        </w:rPr>
        <w:t xml:space="preserve"> New Zealand</w:t>
      </w:r>
      <w:r w:rsidR="00306469">
        <w:rPr>
          <w:rFonts w:cs="Times New Roman"/>
          <w:szCs w:val="22"/>
        </w:rPr>
        <w:t xml:space="preserve">, the </w:t>
      </w:r>
      <w:r w:rsidR="003A6328" w:rsidRPr="003A6328">
        <w:rPr>
          <w:rFonts w:cs="Times New Roman"/>
          <w:szCs w:val="22"/>
        </w:rPr>
        <w:t>United States</w:t>
      </w:r>
      <w:r w:rsidR="00306469">
        <w:rPr>
          <w:rFonts w:cs="Times New Roman"/>
          <w:szCs w:val="22"/>
        </w:rPr>
        <w:t xml:space="preserve"> of America</w:t>
      </w:r>
      <w:r w:rsidR="003A6328" w:rsidRPr="003A6328">
        <w:rPr>
          <w:rFonts w:cs="Times New Roman"/>
          <w:szCs w:val="22"/>
        </w:rPr>
        <w:t xml:space="preserve"> </w:t>
      </w:r>
      <w:r w:rsidR="00306469">
        <w:rPr>
          <w:rFonts w:cs="Times New Roman"/>
          <w:szCs w:val="22"/>
        </w:rPr>
        <w:t xml:space="preserve">and the </w:t>
      </w:r>
      <w:r w:rsidR="003A6328" w:rsidRPr="003A6328">
        <w:rPr>
          <w:rFonts w:cs="Times New Roman"/>
          <w:szCs w:val="22"/>
        </w:rPr>
        <w:t>Foundation for Aborigina</w:t>
      </w:r>
      <w:r w:rsidR="003A6328">
        <w:rPr>
          <w:rFonts w:cs="Times New Roman"/>
          <w:szCs w:val="22"/>
        </w:rPr>
        <w:t xml:space="preserve">l and Islander Research Action. </w:t>
      </w:r>
      <w:r w:rsidR="005B58D0" w:rsidRPr="003A6328">
        <w:rPr>
          <w:rFonts w:cs="Times New Roman"/>
          <w:szCs w:val="22"/>
        </w:rPr>
        <w:t>The s</w:t>
      </w:r>
      <w:r w:rsidR="00BF278B" w:rsidRPr="003A6328">
        <w:rPr>
          <w:rFonts w:cs="Times New Roman"/>
          <w:szCs w:val="22"/>
        </w:rPr>
        <w:t>ubmissions have been repr</w:t>
      </w:r>
      <w:r w:rsidR="00306469">
        <w:rPr>
          <w:rFonts w:cs="Times New Roman"/>
          <w:szCs w:val="22"/>
        </w:rPr>
        <w:t>oduced in the form and language</w:t>
      </w:r>
      <w:r w:rsidR="00BF278B" w:rsidRPr="003A6328">
        <w:rPr>
          <w:rFonts w:cs="Times New Roman"/>
          <w:szCs w:val="22"/>
        </w:rPr>
        <w:t xml:space="preserve"> in which they were provided to the Secretariat.</w:t>
      </w:r>
    </w:p>
    <w:p w:rsidR="007F39D5" w:rsidRPr="00045D4E" w:rsidRDefault="007F39D5" w:rsidP="007F39D5">
      <w:pPr>
        <w:spacing w:before="120" w:after="120"/>
        <w:rPr>
          <w:rFonts w:cs="Times New Roman"/>
          <w:szCs w:val="22"/>
        </w:rPr>
      </w:pPr>
    </w:p>
    <w:p w:rsidR="007F39D5" w:rsidRPr="00045D4E" w:rsidRDefault="007F39D5" w:rsidP="007F39D5">
      <w:pPr>
        <w:spacing w:before="120" w:after="120"/>
        <w:rPr>
          <w:rFonts w:cs="Times New Roman"/>
          <w:szCs w:val="22"/>
        </w:rPr>
      </w:pPr>
    </w:p>
    <w:p w:rsidR="00514F3C" w:rsidRDefault="00514F3C" w:rsidP="00975E1E">
      <w:pPr>
        <w:spacing w:before="120" w:after="120"/>
        <w:rPr>
          <w:rFonts w:cs="Times New Roman"/>
          <w:szCs w:val="22"/>
        </w:rPr>
      </w:pPr>
    </w:p>
    <w:p w:rsidR="00514F3C" w:rsidRDefault="00514F3C" w:rsidP="00975E1E">
      <w:pPr>
        <w:spacing w:before="120" w:after="120"/>
        <w:rPr>
          <w:rFonts w:cs="Times New Roman"/>
          <w:szCs w:val="22"/>
        </w:rPr>
      </w:pPr>
    </w:p>
    <w:p w:rsidR="00514F3C" w:rsidRDefault="00514F3C" w:rsidP="00975E1E">
      <w:pPr>
        <w:spacing w:before="120" w:after="120"/>
        <w:rPr>
          <w:rFonts w:cs="Times New Roman"/>
          <w:szCs w:val="22"/>
        </w:rPr>
      </w:pPr>
    </w:p>
    <w:p w:rsidR="00514F3C" w:rsidRDefault="00514F3C" w:rsidP="00975E1E">
      <w:pPr>
        <w:spacing w:before="120" w:after="120"/>
        <w:rPr>
          <w:rFonts w:cs="Times New Roman"/>
          <w:szCs w:val="22"/>
        </w:rPr>
      </w:pPr>
    </w:p>
    <w:p w:rsidR="00514F3C" w:rsidRDefault="00514F3C" w:rsidP="00975E1E">
      <w:pPr>
        <w:spacing w:before="120" w:after="120"/>
        <w:rPr>
          <w:rFonts w:cs="Times New Roman"/>
          <w:szCs w:val="22"/>
        </w:rPr>
      </w:pPr>
    </w:p>
    <w:p w:rsidR="00514F3C" w:rsidRDefault="00514F3C" w:rsidP="00975E1E">
      <w:pPr>
        <w:spacing w:before="120" w:after="120"/>
        <w:rPr>
          <w:rFonts w:cs="Times New Roman"/>
          <w:szCs w:val="22"/>
        </w:rPr>
      </w:pPr>
    </w:p>
    <w:p w:rsidR="00514F3C" w:rsidRDefault="00514F3C" w:rsidP="00975E1E">
      <w:pPr>
        <w:spacing w:before="120" w:after="120"/>
        <w:rPr>
          <w:rFonts w:cs="Times New Roman"/>
          <w:szCs w:val="22"/>
        </w:rPr>
      </w:pPr>
    </w:p>
    <w:p w:rsidR="00514F3C" w:rsidRDefault="00514F3C" w:rsidP="00975E1E">
      <w:pPr>
        <w:spacing w:before="120" w:after="120"/>
        <w:rPr>
          <w:rFonts w:cs="Times New Roman"/>
          <w:szCs w:val="22"/>
        </w:rPr>
      </w:pPr>
    </w:p>
    <w:p w:rsidR="00306469" w:rsidRDefault="00306469">
      <w:pPr>
        <w:jc w:val="left"/>
        <w:rPr>
          <w:rFonts w:cs="Times New Roman"/>
          <w:szCs w:val="22"/>
          <w:lang w:val="en-US"/>
        </w:rPr>
      </w:pPr>
      <w:r>
        <w:rPr>
          <w:szCs w:val="22"/>
        </w:rPr>
        <w:br w:type="page"/>
      </w:r>
    </w:p>
    <w:p w:rsidR="003B399F" w:rsidRPr="00306469" w:rsidRDefault="002665C0" w:rsidP="00306469">
      <w:pPr>
        <w:pStyle w:val="TOCHeading"/>
        <w:rPr>
          <w:rFonts w:ascii="Times New Roman" w:hAnsi="Times New Roman"/>
          <w:color w:val="auto"/>
          <w:sz w:val="22"/>
          <w:szCs w:val="22"/>
        </w:rPr>
      </w:pPr>
      <w:r w:rsidRPr="00306469">
        <w:rPr>
          <w:rFonts w:ascii="Times New Roman" w:hAnsi="Times New Roman"/>
          <w:color w:val="auto"/>
          <w:sz w:val="22"/>
          <w:szCs w:val="22"/>
        </w:rPr>
        <w:lastRenderedPageBreak/>
        <w:t>Content</w:t>
      </w:r>
      <w:r w:rsidR="003B399F" w:rsidRPr="00306469">
        <w:rPr>
          <w:rFonts w:ascii="Times New Roman" w:hAnsi="Times New Roman"/>
          <w:color w:val="auto"/>
          <w:sz w:val="22"/>
          <w:szCs w:val="22"/>
        </w:rPr>
        <w:fldChar w:fldCharType="begin"/>
      </w:r>
      <w:r w:rsidR="003B399F" w:rsidRPr="00306469">
        <w:rPr>
          <w:rFonts w:ascii="Times New Roman" w:hAnsi="Times New Roman"/>
          <w:color w:val="auto"/>
          <w:sz w:val="22"/>
          <w:szCs w:val="22"/>
        </w:rPr>
        <w:instrText xml:space="preserve"> TOC \o "1-3" \h \z \u </w:instrText>
      </w:r>
      <w:r w:rsidR="003B399F" w:rsidRPr="00306469">
        <w:rPr>
          <w:rFonts w:ascii="Times New Roman" w:hAnsi="Times New Roman"/>
          <w:color w:val="auto"/>
          <w:sz w:val="22"/>
          <w:szCs w:val="22"/>
        </w:rPr>
        <w:fldChar w:fldCharType="separate"/>
      </w:r>
    </w:p>
    <w:p w:rsidR="003B399F" w:rsidRPr="00306469" w:rsidRDefault="003B399F">
      <w:pPr>
        <w:pStyle w:val="TOC1"/>
        <w:tabs>
          <w:tab w:val="right" w:leader="underscore" w:pos="9350"/>
        </w:tabs>
        <w:rPr>
          <w:rFonts w:ascii="Times New Roman" w:hAnsi="Times New Roman" w:cs="Times New Roman"/>
          <w:b w:val="0"/>
          <w:bCs w:val="0"/>
          <w:i w:val="0"/>
          <w:iCs w:val="0"/>
          <w:noProof/>
          <w:sz w:val="22"/>
          <w:szCs w:val="22"/>
          <w:lang w:val="en-US"/>
        </w:rPr>
      </w:pPr>
    </w:p>
    <w:p w:rsidR="003B399F" w:rsidRPr="00306469" w:rsidRDefault="0063650C" w:rsidP="00306469">
      <w:pPr>
        <w:pStyle w:val="TOC2"/>
        <w:tabs>
          <w:tab w:val="left" w:pos="660"/>
          <w:tab w:val="right" w:leader="underscore" w:pos="9350"/>
        </w:tabs>
        <w:spacing w:after="120"/>
        <w:ind w:left="1134" w:hanging="850"/>
        <w:rPr>
          <w:rFonts w:ascii="Times New Roman" w:hAnsi="Times New Roman" w:cs="Times New Roman"/>
          <w:b w:val="0"/>
          <w:bCs w:val="0"/>
          <w:noProof/>
          <w:lang w:val="en-US"/>
        </w:rPr>
      </w:pPr>
      <w:hyperlink w:anchor="_Toc507765236" w:history="1">
        <w:r w:rsidR="003B399F" w:rsidRPr="00306469">
          <w:rPr>
            <w:rStyle w:val="Hyperlink"/>
            <w:rFonts w:ascii="Times New Roman" w:hAnsi="Times New Roman" w:cs="Times New Roman"/>
            <w:noProof/>
            <w:color w:val="auto"/>
          </w:rPr>
          <w:t>A.</w:t>
        </w:r>
        <w:r w:rsidR="003B399F" w:rsidRPr="00306469">
          <w:rPr>
            <w:rFonts w:ascii="Times New Roman" w:hAnsi="Times New Roman" w:cs="Times New Roman"/>
            <w:b w:val="0"/>
            <w:bCs w:val="0"/>
            <w:noProof/>
            <w:lang w:val="en-US"/>
          </w:rPr>
          <w:tab/>
        </w:r>
        <w:r w:rsidR="003B399F" w:rsidRPr="00306469">
          <w:rPr>
            <w:rStyle w:val="Hyperlink"/>
            <w:rFonts w:ascii="Times New Roman" w:hAnsi="Times New Roman" w:cs="Times New Roman"/>
            <w:noProof/>
            <w:color w:val="auto"/>
          </w:rPr>
          <w:t>Submission from Parties</w:t>
        </w:r>
        <w:r w:rsidR="003B399F" w:rsidRPr="00306469">
          <w:rPr>
            <w:rFonts w:ascii="Times New Roman" w:hAnsi="Times New Roman" w:cs="Times New Roman"/>
            <w:noProof/>
            <w:webHidden/>
          </w:rPr>
          <w:tab/>
        </w:r>
        <w:r w:rsidR="003B399F" w:rsidRPr="00306469">
          <w:rPr>
            <w:rFonts w:ascii="Times New Roman" w:hAnsi="Times New Roman" w:cs="Times New Roman"/>
            <w:noProof/>
            <w:webHidden/>
          </w:rPr>
          <w:fldChar w:fldCharType="begin"/>
        </w:r>
        <w:r w:rsidR="003B399F" w:rsidRPr="00306469">
          <w:rPr>
            <w:rFonts w:ascii="Times New Roman" w:hAnsi="Times New Roman" w:cs="Times New Roman"/>
            <w:noProof/>
            <w:webHidden/>
          </w:rPr>
          <w:instrText xml:space="preserve"> PAGEREF _Toc507765236 \h </w:instrText>
        </w:r>
        <w:r w:rsidR="003B399F" w:rsidRPr="00306469">
          <w:rPr>
            <w:rFonts w:ascii="Times New Roman" w:hAnsi="Times New Roman" w:cs="Times New Roman"/>
            <w:noProof/>
            <w:webHidden/>
          </w:rPr>
        </w:r>
        <w:r w:rsidR="003B399F" w:rsidRPr="00306469">
          <w:rPr>
            <w:rFonts w:ascii="Times New Roman" w:hAnsi="Times New Roman" w:cs="Times New Roman"/>
            <w:noProof/>
            <w:webHidden/>
          </w:rPr>
          <w:fldChar w:fldCharType="separate"/>
        </w:r>
        <w:r w:rsidR="003B399F" w:rsidRPr="00306469">
          <w:rPr>
            <w:rFonts w:ascii="Times New Roman" w:hAnsi="Times New Roman" w:cs="Times New Roman"/>
            <w:noProof/>
            <w:webHidden/>
          </w:rPr>
          <w:t>3</w:t>
        </w:r>
        <w:r w:rsidR="003B399F" w:rsidRPr="00306469">
          <w:rPr>
            <w:rFonts w:ascii="Times New Roman" w:hAnsi="Times New Roman" w:cs="Times New Roman"/>
            <w:noProof/>
            <w:webHidden/>
          </w:rPr>
          <w:fldChar w:fldCharType="end"/>
        </w:r>
      </w:hyperlink>
    </w:p>
    <w:p w:rsidR="003B399F" w:rsidRPr="00306469" w:rsidRDefault="0063650C" w:rsidP="00306469">
      <w:pPr>
        <w:pStyle w:val="TOC3"/>
        <w:tabs>
          <w:tab w:val="right" w:leader="underscore" w:pos="9350"/>
        </w:tabs>
        <w:spacing w:before="120" w:after="120"/>
        <w:ind w:left="1134" w:hanging="850"/>
        <w:rPr>
          <w:rFonts w:ascii="Times New Roman" w:hAnsi="Times New Roman" w:cs="Times New Roman"/>
          <w:noProof/>
          <w:sz w:val="22"/>
          <w:szCs w:val="22"/>
          <w:lang w:val="en-US"/>
        </w:rPr>
      </w:pPr>
      <w:hyperlink w:anchor="_Toc507765237" w:history="1">
        <w:r w:rsidR="003B399F" w:rsidRPr="00306469">
          <w:rPr>
            <w:rStyle w:val="Hyperlink"/>
            <w:rFonts w:ascii="Times New Roman" w:hAnsi="Times New Roman" w:cs="Times New Roman"/>
            <w:noProof/>
            <w:color w:val="auto"/>
            <w:sz w:val="22"/>
            <w:szCs w:val="22"/>
            <w:lang w:val="en-CA"/>
          </w:rPr>
          <w:t>Iraq</w:t>
        </w:r>
        <w:r w:rsidR="003B399F" w:rsidRPr="00306469">
          <w:rPr>
            <w:rFonts w:ascii="Times New Roman" w:hAnsi="Times New Roman" w:cs="Times New Roman"/>
            <w:noProof/>
            <w:webHidden/>
            <w:sz w:val="22"/>
            <w:szCs w:val="22"/>
          </w:rPr>
          <w:tab/>
        </w:r>
        <w:r w:rsidR="00306469">
          <w:rPr>
            <w:rFonts w:ascii="Times New Roman" w:hAnsi="Times New Roman" w:cs="Times New Roman"/>
            <w:noProof/>
            <w:webHidden/>
            <w:sz w:val="22"/>
            <w:szCs w:val="22"/>
          </w:rPr>
          <w:tab/>
        </w:r>
        <w:r w:rsidR="003B399F" w:rsidRPr="00306469">
          <w:rPr>
            <w:rFonts w:ascii="Times New Roman" w:hAnsi="Times New Roman" w:cs="Times New Roman"/>
            <w:noProof/>
            <w:webHidden/>
            <w:sz w:val="22"/>
            <w:szCs w:val="22"/>
          </w:rPr>
          <w:fldChar w:fldCharType="begin"/>
        </w:r>
        <w:r w:rsidR="003B399F" w:rsidRPr="00306469">
          <w:rPr>
            <w:rFonts w:ascii="Times New Roman" w:hAnsi="Times New Roman" w:cs="Times New Roman"/>
            <w:noProof/>
            <w:webHidden/>
            <w:sz w:val="22"/>
            <w:szCs w:val="22"/>
          </w:rPr>
          <w:instrText xml:space="preserve"> PAGEREF _Toc507765237 \h </w:instrText>
        </w:r>
        <w:r w:rsidR="003B399F" w:rsidRPr="00306469">
          <w:rPr>
            <w:rFonts w:ascii="Times New Roman" w:hAnsi="Times New Roman" w:cs="Times New Roman"/>
            <w:noProof/>
            <w:webHidden/>
            <w:sz w:val="22"/>
            <w:szCs w:val="22"/>
          </w:rPr>
        </w:r>
        <w:r w:rsidR="003B399F" w:rsidRPr="00306469">
          <w:rPr>
            <w:rFonts w:ascii="Times New Roman" w:hAnsi="Times New Roman" w:cs="Times New Roman"/>
            <w:noProof/>
            <w:webHidden/>
            <w:sz w:val="22"/>
            <w:szCs w:val="22"/>
          </w:rPr>
          <w:fldChar w:fldCharType="separate"/>
        </w:r>
        <w:r w:rsidR="003B399F" w:rsidRPr="00306469">
          <w:rPr>
            <w:rFonts w:ascii="Times New Roman" w:hAnsi="Times New Roman" w:cs="Times New Roman"/>
            <w:noProof/>
            <w:webHidden/>
            <w:sz w:val="22"/>
            <w:szCs w:val="22"/>
          </w:rPr>
          <w:t>3</w:t>
        </w:r>
        <w:r w:rsidR="003B399F" w:rsidRPr="00306469">
          <w:rPr>
            <w:rFonts w:ascii="Times New Roman" w:hAnsi="Times New Roman" w:cs="Times New Roman"/>
            <w:noProof/>
            <w:webHidden/>
            <w:sz w:val="22"/>
            <w:szCs w:val="22"/>
          </w:rPr>
          <w:fldChar w:fldCharType="end"/>
        </w:r>
      </w:hyperlink>
    </w:p>
    <w:p w:rsidR="003B399F" w:rsidRPr="00306469" w:rsidRDefault="0063650C" w:rsidP="00306469">
      <w:pPr>
        <w:pStyle w:val="TOC3"/>
        <w:tabs>
          <w:tab w:val="right" w:leader="underscore" w:pos="9350"/>
        </w:tabs>
        <w:spacing w:before="120" w:after="120"/>
        <w:ind w:left="1134" w:hanging="850"/>
        <w:rPr>
          <w:rFonts w:ascii="Times New Roman" w:hAnsi="Times New Roman" w:cs="Times New Roman"/>
          <w:noProof/>
          <w:sz w:val="22"/>
          <w:szCs w:val="22"/>
          <w:lang w:val="en-US"/>
        </w:rPr>
      </w:pPr>
      <w:hyperlink w:anchor="_Toc507765238" w:history="1">
        <w:r w:rsidR="003B399F" w:rsidRPr="00306469">
          <w:rPr>
            <w:rStyle w:val="Hyperlink"/>
            <w:rFonts w:ascii="Times New Roman" w:hAnsi="Times New Roman" w:cs="Times New Roman"/>
            <w:noProof/>
            <w:color w:val="auto"/>
            <w:sz w:val="22"/>
            <w:szCs w:val="22"/>
            <w:lang w:val="en-CA"/>
          </w:rPr>
          <w:t>New Zealand</w:t>
        </w:r>
        <w:r w:rsidR="003B399F" w:rsidRPr="00306469">
          <w:rPr>
            <w:rFonts w:ascii="Times New Roman" w:hAnsi="Times New Roman" w:cs="Times New Roman"/>
            <w:noProof/>
            <w:webHidden/>
            <w:sz w:val="22"/>
            <w:szCs w:val="22"/>
          </w:rPr>
          <w:tab/>
        </w:r>
        <w:r w:rsidR="003B399F" w:rsidRPr="00306469">
          <w:rPr>
            <w:rFonts w:ascii="Times New Roman" w:hAnsi="Times New Roman" w:cs="Times New Roman"/>
            <w:noProof/>
            <w:webHidden/>
            <w:sz w:val="22"/>
            <w:szCs w:val="22"/>
          </w:rPr>
          <w:fldChar w:fldCharType="begin"/>
        </w:r>
        <w:r w:rsidR="003B399F" w:rsidRPr="00306469">
          <w:rPr>
            <w:rFonts w:ascii="Times New Roman" w:hAnsi="Times New Roman" w:cs="Times New Roman"/>
            <w:noProof/>
            <w:webHidden/>
            <w:sz w:val="22"/>
            <w:szCs w:val="22"/>
          </w:rPr>
          <w:instrText xml:space="preserve"> PAGEREF _Toc507765238 \h </w:instrText>
        </w:r>
        <w:r w:rsidR="003B399F" w:rsidRPr="00306469">
          <w:rPr>
            <w:rFonts w:ascii="Times New Roman" w:hAnsi="Times New Roman" w:cs="Times New Roman"/>
            <w:noProof/>
            <w:webHidden/>
            <w:sz w:val="22"/>
            <w:szCs w:val="22"/>
          </w:rPr>
        </w:r>
        <w:r w:rsidR="003B399F" w:rsidRPr="00306469">
          <w:rPr>
            <w:rFonts w:ascii="Times New Roman" w:hAnsi="Times New Roman" w:cs="Times New Roman"/>
            <w:noProof/>
            <w:webHidden/>
            <w:sz w:val="22"/>
            <w:szCs w:val="22"/>
          </w:rPr>
          <w:fldChar w:fldCharType="separate"/>
        </w:r>
        <w:r w:rsidR="003B399F" w:rsidRPr="00306469">
          <w:rPr>
            <w:rFonts w:ascii="Times New Roman" w:hAnsi="Times New Roman" w:cs="Times New Roman"/>
            <w:noProof/>
            <w:webHidden/>
            <w:sz w:val="22"/>
            <w:szCs w:val="22"/>
          </w:rPr>
          <w:t>3</w:t>
        </w:r>
        <w:r w:rsidR="003B399F" w:rsidRPr="00306469">
          <w:rPr>
            <w:rFonts w:ascii="Times New Roman" w:hAnsi="Times New Roman" w:cs="Times New Roman"/>
            <w:noProof/>
            <w:webHidden/>
            <w:sz w:val="22"/>
            <w:szCs w:val="22"/>
          </w:rPr>
          <w:fldChar w:fldCharType="end"/>
        </w:r>
      </w:hyperlink>
    </w:p>
    <w:p w:rsidR="003B399F" w:rsidRPr="00306469" w:rsidRDefault="0063650C" w:rsidP="00306469">
      <w:pPr>
        <w:pStyle w:val="TOC2"/>
        <w:tabs>
          <w:tab w:val="left" w:pos="660"/>
          <w:tab w:val="right" w:leader="underscore" w:pos="9350"/>
        </w:tabs>
        <w:spacing w:after="120"/>
        <w:ind w:left="1134" w:hanging="850"/>
        <w:rPr>
          <w:rFonts w:ascii="Times New Roman" w:hAnsi="Times New Roman" w:cs="Times New Roman"/>
          <w:b w:val="0"/>
          <w:bCs w:val="0"/>
          <w:noProof/>
          <w:lang w:val="en-US"/>
        </w:rPr>
      </w:pPr>
      <w:hyperlink w:anchor="_Toc507765239" w:history="1">
        <w:r w:rsidR="003B399F" w:rsidRPr="00306469">
          <w:rPr>
            <w:rStyle w:val="Hyperlink"/>
            <w:rFonts w:ascii="Times New Roman" w:hAnsi="Times New Roman" w:cs="Times New Roman"/>
            <w:noProof/>
            <w:color w:val="auto"/>
          </w:rPr>
          <w:t>B.</w:t>
        </w:r>
        <w:r w:rsidR="003B399F" w:rsidRPr="00306469">
          <w:rPr>
            <w:rFonts w:ascii="Times New Roman" w:hAnsi="Times New Roman" w:cs="Times New Roman"/>
            <w:b w:val="0"/>
            <w:bCs w:val="0"/>
            <w:noProof/>
            <w:lang w:val="en-US"/>
          </w:rPr>
          <w:tab/>
        </w:r>
        <w:r w:rsidR="00306469">
          <w:rPr>
            <w:rStyle w:val="Hyperlink"/>
            <w:rFonts w:ascii="Times New Roman" w:hAnsi="Times New Roman" w:cs="Times New Roman"/>
            <w:noProof/>
            <w:color w:val="auto"/>
          </w:rPr>
          <w:t>Submission from non-</w:t>
        </w:r>
        <w:r w:rsidR="003B399F" w:rsidRPr="00306469">
          <w:rPr>
            <w:rStyle w:val="Hyperlink"/>
            <w:rFonts w:ascii="Times New Roman" w:hAnsi="Times New Roman" w:cs="Times New Roman"/>
            <w:noProof/>
            <w:color w:val="auto"/>
          </w:rPr>
          <w:t>Parties</w:t>
        </w:r>
        <w:r w:rsidR="003B399F" w:rsidRPr="00306469">
          <w:rPr>
            <w:rFonts w:ascii="Times New Roman" w:hAnsi="Times New Roman" w:cs="Times New Roman"/>
            <w:noProof/>
            <w:webHidden/>
          </w:rPr>
          <w:tab/>
        </w:r>
        <w:r w:rsidR="003B399F" w:rsidRPr="00306469">
          <w:rPr>
            <w:rFonts w:ascii="Times New Roman" w:hAnsi="Times New Roman" w:cs="Times New Roman"/>
            <w:noProof/>
            <w:webHidden/>
          </w:rPr>
          <w:fldChar w:fldCharType="begin"/>
        </w:r>
        <w:r w:rsidR="003B399F" w:rsidRPr="00306469">
          <w:rPr>
            <w:rFonts w:ascii="Times New Roman" w:hAnsi="Times New Roman" w:cs="Times New Roman"/>
            <w:noProof/>
            <w:webHidden/>
          </w:rPr>
          <w:instrText xml:space="preserve"> PAGEREF _Toc507765239 \h </w:instrText>
        </w:r>
        <w:r w:rsidR="003B399F" w:rsidRPr="00306469">
          <w:rPr>
            <w:rFonts w:ascii="Times New Roman" w:hAnsi="Times New Roman" w:cs="Times New Roman"/>
            <w:noProof/>
            <w:webHidden/>
          </w:rPr>
        </w:r>
        <w:r w:rsidR="003B399F" w:rsidRPr="00306469">
          <w:rPr>
            <w:rFonts w:ascii="Times New Roman" w:hAnsi="Times New Roman" w:cs="Times New Roman"/>
            <w:noProof/>
            <w:webHidden/>
          </w:rPr>
          <w:fldChar w:fldCharType="separate"/>
        </w:r>
        <w:r w:rsidR="003B399F" w:rsidRPr="00306469">
          <w:rPr>
            <w:rFonts w:ascii="Times New Roman" w:hAnsi="Times New Roman" w:cs="Times New Roman"/>
            <w:noProof/>
            <w:webHidden/>
          </w:rPr>
          <w:t>4</w:t>
        </w:r>
        <w:r w:rsidR="003B399F" w:rsidRPr="00306469">
          <w:rPr>
            <w:rFonts w:ascii="Times New Roman" w:hAnsi="Times New Roman" w:cs="Times New Roman"/>
            <w:noProof/>
            <w:webHidden/>
          </w:rPr>
          <w:fldChar w:fldCharType="end"/>
        </w:r>
      </w:hyperlink>
    </w:p>
    <w:p w:rsidR="003B399F" w:rsidRPr="00306469" w:rsidRDefault="0063650C" w:rsidP="00306469">
      <w:pPr>
        <w:pStyle w:val="TOC3"/>
        <w:tabs>
          <w:tab w:val="right" w:leader="underscore" w:pos="9350"/>
        </w:tabs>
        <w:spacing w:before="120" w:after="120"/>
        <w:ind w:left="1134" w:hanging="850"/>
        <w:rPr>
          <w:rFonts w:ascii="Times New Roman" w:hAnsi="Times New Roman" w:cs="Times New Roman"/>
          <w:noProof/>
          <w:sz w:val="22"/>
          <w:szCs w:val="22"/>
          <w:lang w:val="en-US"/>
        </w:rPr>
      </w:pPr>
      <w:hyperlink w:anchor="_Toc507765240" w:history="1">
        <w:r w:rsidR="003B399F" w:rsidRPr="00306469">
          <w:rPr>
            <w:rStyle w:val="Hyperlink"/>
            <w:rFonts w:ascii="Times New Roman" w:hAnsi="Times New Roman" w:cs="Times New Roman"/>
            <w:noProof/>
            <w:color w:val="auto"/>
            <w:sz w:val="22"/>
            <w:szCs w:val="22"/>
            <w:lang w:val="en-CA"/>
          </w:rPr>
          <w:t>United States</w:t>
        </w:r>
        <w:r w:rsidR="00306469">
          <w:rPr>
            <w:rStyle w:val="Hyperlink"/>
            <w:rFonts w:ascii="Times New Roman" w:hAnsi="Times New Roman" w:cs="Times New Roman"/>
            <w:noProof/>
            <w:color w:val="auto"/>
            <w:sz w:val="22"/>
            <w:szCs w:val="22"/>
            <w:lang w:val="en-CA"/>
          </w:rPr>
          <w:t xml:space="preserve"> of America</w:t>
        </w:r>
        <w:r w:rsidR="003B399F" w:rsidRPr="00306469">
          <w:rPr>
            <w:rFonts w:ascii="Times New Roman" w:hAnsi="Times New Roman" w:cs="Times New Roman"/>
            <w:noProof/>
            <w:webHidden/>
            <w:sz w:val="22"/>
            <w:szCs w:val="22"/>
          </w:rPr>
          <w:tab/>
        </w:r>
        <w:r w:rsidR="003B399F" w:rsidRPr="00306469">
          <w:rPr>
            <w:rFonts w:ascii="Times New Roman" w:hAnsi="Times New Roman" w:cs="Times New Roman"/>
            <w:noProof/>
            <w:webHidden/>
            <w:sz w:val="22"/>
            <w:szCs w:val="22"/>
          </w:rPr>
          <w:fldChar w:fldCharType="begin"/>
        </w:r>
        <w:r w:rsidR="003B399F" w:rsidRPr="00306469">
          <w:rPr>
            <w:rFonts w:ascii="Times New Roman" w:hAnsi="Times New Roman" w:cs="Times New Roman"/>
            <w:noProof/>
            <w:webHidden/>
            <w:sz w:val="22"/>
            <w:szCs w:val="22"/>
          </w:rPr>
          <w:instrText xml:space="preserve"> PAGEREF _Toc507765240 \h </w:instrText>
        </w:r>
        <w:r w:rsidR="003B399F" w:rsidRPr="00306469">
          <w:rPr>
            <w:rFonts w:ascii="Times New Roman" w:hAnsi="Times New Roman" w:cs="Times New Roman"/>
            <w:noProof/>
            <w:webHidden/>
            <w:sz w:val="22"/>
            <w:szCs w:val="22"/>
          </w:rPr>
        </w:r>
        <w:r w:rsidR="003B399F" w:rsidRPr="00306469">
          <w:rPr>
            <w:rFonts w:ascii="Times New Roman" w:hAnsi="Times New Roman" w:cs="Times New Roman"/>
            <w:noProof/>
            <w:webHidden/>
            <w:sz w:val="22"/>
            <w:szCs w:val="22"/>
          </w:rPr>
          <w:fldChar w:fldCharType="separate"/>
        </w:r>
        <w:r w:rsidR="003B399F" w:rsidRPr="00306469">
          <w:rPr>
            <w:rFonts w:ascii="Times New Roman" w:hAnsi="Times New Roman" w:cs="Times New Roman"/>
            <w:noProof/>
            <w:webHidden/>
            <w:sz w:val="22"/>
            <w:szCs w:val="22"/>
          </w:rPr>
          <w:t>4</w:t>
        </w:r>
        <w:r w:rsidR="003B399F" w:rsidRPr="00306469">
          <w:rPr>
            <w:rFonts w:ascii="Times New Roman" w:hAnsi="Times New Roman" w:cs="Times New Roman"/>
            <w:noProof/>
            <w:webHidden/>
            <w:sz w:val="22"/>
            <w:szCs w:val="22"/>
          </w:rPr>
          <w:fldChar w:fldCharType="end"/>
        </w:r>
      </w:hyperlink>
    </w:p>
    <w:p w:rsidR="003B399F" w:rsidRPr="00306469" w:rsidRDefault="0063650C" w:rsidP="00306469">
      <w:pPr>
        <w:pStyle w:val="TOC2"/>
        <w:tabs>
          <w:tab w:val="left" w:pos="660"/>
          <w:tab w:val="right" w:leader="underscore" w:pos="9350"/>
        </w:tabs>
        <w:spacing w:after="120"/>
        <w:ind w:left="1134" w:hanging="850"/>
        <w:rPr>
          <w:rFonts w:ascii="Times New Roman" w:hAnsi="Times New Roman" w:cs="Times New Roman"/>
          <w:b w:val="0"/>
          <w:bCs w:val="0"/>
          <w:noProof/>
          <w:lang w:val="en-US"/>
        </w:rPr>
      </w:pPr>
      <w:hyperlink w:anchor="_Toc507765241" w:history="1">
        <w:r w:rsidR="003B399F" w:rsidRPr="00306469">
          <w:rPr>
            <w:rStyle w:val="Hyperlink"/>
            <w:rFonts w:ascii="Times New Roman" w:hAnsi="Times New Roman" w:cs="Times New Roman"/>
            <w:noProof/>
            <w:color w:val="auto"/>
          </w:rPr>
          <w:t>C.</w:t>
        </w:r>
        <w:r w:rsidR="003B399F" w:rsidRPr="00306469">
          <w:rPr>
            <w:rFonts w:ascii="Times New Roman" w:hAnsi="Times New Roman" w:cs="Times New Roman"/>
            <w:b w:val="0"/>
            <w:bCs w:val="0"/>
            <w:noProof/>
            <w:lang w:val="en-US"/>
          </w:rPr>
          <w:tab/>
        </w:r>
        <w:r w:rsidR="003B399F" w:rsidRPr="00306469">
          <w:rPr>
            <w:rStyle w:val="Hyperlink"/>
            <w:rFonts w:ascii="Times New Roman" w:hAnsi="Times New Roman" w:cs="Times New Roman"/>
            <w:noProof/>
            <w:color w:val="auto"/>
          </w:rPr>
          <w:t>Submission from relevant organizations</w:t>
        </w:r>
        <w:r w:rsidR="003B399F" w:rsidRPr="00306469">
          <w:rPr>
            <w:rFonts w:ascii="Times New Roman" w:hAnsi="Times New Roman" w:cs="Times New Roman"/>
            <w:noProof/>
            <w:webHidden/>
          </w:rPr>
          <w:tab/>
        </w:r>
        <w:r w:rsidR="003B399F" w:rsidRPr="00306469">
          <w:rPr>
            <w:rFonts w:ascii="Times New Roman" w:hAnsi="Times New Roman" w:cs="Times New Roman"/>
            <w:noProof/>
            <w:webHidden/>
          </w:rPr>
          <w:fldChar w:fldCharType="begin"/>
        </w:r>
        <w:r w:rsidR="003B399F" w:rsidRPr="00306469">
          <w:rPr>
            <w:rFonts w:ascii="Times New Roman" w:hAnsi="Times New Roman" w:cs="Times New Roman"/>
            <w:noProof/>
            <w:webHidden/>
          </w:rPr>
          <w:instrText xml:space="preserve"> PAGEREF _Toc507765241 \h </w:instrText>
        </w:r>
        <w:r w:rsidR="003B399F" w:rsidRPr="00306469">
          <w:rPr>
            <w:rFonts w:ascii="Times New Roman" w:hAnsi="Times New Roman" w:cs="Times New Roman"/>
            <w:noProof/>
            <w:webHidden/>
          </w:rPr>
        </w:r>
        <w:r w:rsidR="003B399F" w:rsidRPr="00306469">
          <w:rPr>
            <w:rFonts w:ascii="Times New Roman" w:hAnsi="Times New Roman" w:cs="Times New Roman"/>
            <w:noProof/>
            <w:webHidden/>
          </w:rPr>
          <w:fldChar w:fldCharType="separate"/>
        </w:r>
        <w:r w:rsidR="003B399F" w:rsidRPr="00306469">
          <w:rPr>
            <w:rFonts w:ascii="Times New Roman" w:hAnsi="Times New Roman" w:cs="Times New Roman"/>
            <w:noProof/>
            <w:webHidden/>
          </w:rPr>
          <w:t>8</w:t>
        </w:r>
        <w:r w:rsidR="003B399F" w:rsidRPr="00306469">
          <w:rPr>
            <w:rFonts w:ascii="Times New Roman" w:hAnsi="Times New Roman" w:cs="Times New Roman"/>
            <w:noProof/>
            <w:webHidden/>
          </w:rPr>
          <w:fldChar w:fldCharType="end"/>
        </w:r>
      </w:hyperlink>
    </w:p>
    <w:p w:rsidR="003B399F" w:rsidRPr="00306469" w:rsidRDefault="0063650C" w:rsidP="00306469">
      <w:pPr>
        <w:pStyle w:val="TOC3"/>
        <w:tabs>
          <w:tab w:val="right" w:leader="underscore" w:pos="9350"/>
        </w:tabs>
        <w:spacing w:before="120" w:after="120"/>
        <w:ind w:left="1134" w:hanging="850"/>
        <w:rPr>
          <w:rFonts w:ascii="Times New Roman" w:hAnsi="Times New Roman" w:cs="Times New Roman"/>
          <w:noProof/>
          <w:sz w:val="22"/>
          <w:szCs w:val="22"/>
          <w:lang w:val="en-US"/>
        </w:rPr>
      </w:pPr>
      <w:hyperlink w:anchor="_Toc507765242" w:history="1">
        <w:r w:rsidR="003B399F" w:rsidRPr="00306469">
          <w:rPr>
            <w:rStyle w:val="Hyperlink"/>
            <w:rFonts w:ascii="Times New Roman" w:hAnsi="Times New Roman" w:cs="Times New Roman"/>
            <w:noProof/>
            <w:color w:val="auto"/>
            <w:sz w:val="22"/>
            <w:szCs w:val="22"/>
            <w:lang w:val="en-CA"/>
          </w:rPr>
          <w:t>Foundation for Aboriginal and Islander Research Action</w:t>
        </w:r>
        <w:r w:rsidR="003B399F" w:rsidRPr="00306469">
          <w:rPr>
            <w:rFonts w:ascii="Times New Roman" w:hAnsi="Times New Roman" w:cs="Times New Roman"/>
            <w:noProof/>
            <w:webHidden/>
            <w:sz w:val="22"/>
            <w:szCs w:val="22"/>
          </w:rPr>
          <w:tab/>
        </w:r>
        <w:r w:rsidR="003B399F" w:rsidRPr="00306469">
          <w:rPr>
            <w:rFonts w:ascii="Times New Roman" w:hAnsi="Times New Roman" w:cs="Times New Roman"/>
            <w:noProof/>
            <w:webHidden/>
            <w:sz w:val="22"/>
            <w:szCs w:val="22"/>
          </w:rPr>
          <w:fldChar w:fldCharType="begin"/>
        </w:r>
        <w:r w:rsidR="003B399F" w:rsidRPr="00306469">
          <w:rPr>
            <w:rFonts w:ascii="Times New Roman" w:hAnsi="Times New Roman" w:cs="Times New Roman"/>
            <w:noProof/>
            <w:webHidden/>
            <w:sz w:val="22"/>
            <w:szCs w:val="22"/>
          </w:rPr>
          <w:instrText xml:space="preserve"> PAGEREF _Toc507765242 \h </w:instrText>
        </w:r>
        <w:r w:rsidR="003B399F" w:rsidRPr="00306469">
          <w:rPr>
            <w:rFonts w:ascii="Times New Roman" w:hAnsi="Times New Roman" w:cs="Times New Roman"/>
            <w:noProof/>
            <w:webHidden/>
            <w:sz w:val="22"/>
            <w:szCs w:val="22"/>
          </w:rPr>
        </w:r>
        <w:r w:rsidR="003B399F" w:rsidRPr="00306469">
          <w:rPr>
            <w:rFonts w:ascii="Times New Roman" w:hAnsi="Times New Roman" w:cs="Times New Roman"/>
            <w:noProof/>
            <w:webHidden/>
            <w:sz w:val="22"/>
            <w:szCs w:val="22"/>
          </w:rPr>
          <w:fldChar w:fldCharType="separate"/>
        </w:r>
        <w:r w:rsidR="003B399F" w:rsidRPr="00306469">
          <w:rPr>
            <w:rFonts w:ascii="Times New Roman" w:hAnsi="Times New Roman" w:cs="Times New Roman"/>
            <w:noProof/>
            <w:webHidden/>
            <w:sz w:val="22"/>
            <w:szCs w:val="22"/>
          </w:rPr>
          <w:t>8</w:t>
        </w:r>
        <w:r w:rsidR="003B399F" w:rsidRPr="00306469">
          <w:rPr>
            <w:rFonts w:ascii="Times New Roman" w:hAnsi="Times New Roman" w:cs="Times New Roman"/>
            <w:noProof/>
            <w:webHidden/>
            <w:sz w:val="22"/>
            <w:szCs w:val="22"/>
          </w:rPr>
          <w:fldChar w:fldCharType="end"/>
        </w:r>
      </w:hyperlink>
    </w:p>
    <w:p w:rsidR="003B399F" w:rsidRDefault="003B399F">
      <w:r w:rsidRPr="00306469">
        <w:rPr>
          <w:rFonts w:cs="Times New Roman"/>
          <w:b/>
          <w:bCs/>
          <w:noProof/>
          <w:szCs w:val="22"/>
        </w:rPr>
        <w:fldChar w:fldCharType="end"/>
      </w:r>
    </w:p>
    <w:p w:rsidR="00514F3C" w:rsidRDefault="00514F3C" w:rsidP="00975E1E">
      <w:pPr>
        <w:spacing w:before="120" w:after="120"/>
        <w:rPr>
          <w:rFonts w:cs="Times New Roman"/>
          <w:szCs w:val="22"/>
        </w:rPr>
      </w:pPr>
    </w:p>
    <w:p w:rsidR="00975E1E" w:rsidRPr="00045D4E" w:rsidRDefault="007F39D5" w:rsidP="00975E1E">
      <w:pPr>
        <w:spacing w:before="120" w:after="120"/>
        <w:rPr>
          <w:rFonts w:cs="Times New Roman"/>
          <w:szCs w:val="22"/>
        </w:rPr>
      </w:pPr>
      <w:r w:rsidRPr="00045D4E">
        <w:rPr>
          <w:rFonts w:cs="Times New Roman"/>
          <w:szCs w:val="22"/>
        </w:rPr>
        <w:br w:type="page"/>
      </w:r>
    </w:p>
    <w:p w:rsidR="007F39D5" w:rsidRPr="00045D4E" w:rsidRDefault="007F39D5" w:rsidP="007F39D5">
      <w:pPr>
        <w:rPr>
          <w:rFonts w:cs="Times New Roman"/>
          <w:szCs w:val="22"/>
        </w:rPr>
        <w:sectPr w:rsidR="007F39D5" w:rsidRPr="00045D4E" w:rsidSect="00306469">
          <w:headerReference w:type="even" r:id="rId11"/>
          <w:headerReference w:type="default" r:id="rId12"/>
          <w:footnotePr>
            <w:numFmt w:val="chicago"/>
          </w:footnotePr>
          <w:pgSz w:w="12240" w:h="15840" w:code="1"/>
          <w:pgMar w:top="1021" w:right="1440" w:bottom="1134" w:left="1440" w:header="454" w:footer="720" w:gutter="0"/>
          <w:cols w:space="720"/>
          <w:titlePg/>
          <w:docGrid w:linePitch="360"/>
        </w:sectPr>
      </w:pPr>
    </w:p>
    <w:p w:rsidR="008B242F" w:rsidRPr="00045D4E" w:rsidRDefault="008B242F" w:rsidP="00B64E52">
      <w:pPr>
        <w:pStyle w:val="Heading1"/>
        <w:spacing w:before="120"/>
        <w:rPr>
          <w:rFonts w:cs="Times New Roman"/>
          <w:szCs w:val="22"/>
        </w:rPr>
      </w:pPr>
      <w:bookmarkStart w:id="17" w:name="_Toc485302721"/>
      <w:bookmarkStart w:id="18" w:name="_Toc486958029"/>
      <w:bookmarkStart w:id="19" w:name="_Toc493162900"/>
      <w:bookmarkStart w:id="20" w:name="_Toc493163941"/>
      <w:bookmarkStart w:id="21" w:name="_Toc493164119"/>
      <w:bookmarkStart w:id="22" w:name="_Toc496096490"/>
      <w:bookmarkStart w:id="23" w:name="_Toc507765156"/>
      <w:bookmarkStart w:id="24" w:name="_Toc507765235"/>
      <w:r w:rsidRPr="00045D4E">
        <w:rPr>
          <w:rFonts w:cs="Times New Roman"/>
          <w:szCs w:val="22"/>
        </w:rPr>
        <w:lastRenderedPageBreak/>
        <w:t>SUBMISSIONS</w:t>
      </w:r>
      <w:bookmarkEnd w:id="17"/>
      <w:bookmarkEnd w:id="18"/>
      <w:bookmarkEnd w:id="19"/>
      <w:bookmarkEnd w:id="20"/>
      <w:bookmarkEnd w:id="21"/>
      <w:bookmarkEnd w:id="22"/>
      <w:bookmarkEnd w:id="23"/>
      <w:bookmarkEnd w:id="24"/>
    </w:p>
    <w:p w:rsidR="00B75B45" w:rsidRPr="002A3156" w:rsidRDefault="008B242F" w:rsidP="00B64E52">
      <w:pPr>
        <w:pStyle w:val="Heading2"/>
        <w:numPr>
          <w:ilvl w:val="0"/>
          <w:numId w:val="2"/>
        </w:numPr>
        <w:rPr>
          <w:rFonts w:cs="Times New Roman"/>
          <w:i w:val="0"/>
          <w:szCs w:val="22"/>
        </w:rPr>
      </w:pPr>
      <w:bookmarkStart w:id="25" w:name="_Toc496096491"/>
      <w:bookmarkStart w:id="26" w:name="_Toc507765236"/>
      <w:r w:rsidRPr="0080587C">
        <w:rPr>
          <w:rFonts w:cs="Times New Roman"/>
          <w:i w:val="0"/>
          <w:szCs w:val="22"/>
        </w:rPr>
        <w:t>Submission from Parties</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B242F" w:rsidRPr="00045D4E" w:rsidTr="004F54F7">
        <w:tc>
          <w:tcPr>
            <w:tcW w:w="9464" w:type="dxa"/>
          </w:tcPr>
          <w:p w:rsidR="008B242F" w:rsidRPr="00045D4E" w:rsidRDefault="00FB50BF" w:rsidP="00306469">
            <w:pPr>
              <w:pStyle w:val="Heading3"/>
              <w:spacing w:before="120"/>
              <w:rPr>
                <w:rFonts w:ascii="Times New Roman" w:hAnsi="Times New Roman"/>
                <w:sz w:val="22"/>
                <w:szCs w:val="22"/>
                <w:lang w:val="en-CA"/>
              </w:rPr>
            </w:pPr>
            <w:bookmarkStart w:id="27" w:name="_Toc507765237"/>
            <w:r>
              <w:rPr>
                <w:rFonts w:ascii="Times New Roman" w:hAnsi="Times New Roman"/>
                <w:sz w:val="22"/>
                <w:szCs w:val="22"/>
                <w:lang w:val="en-CA"/>
              </w:rPr>
              <w:t>Iraq</w:t>
            </w:r>
            <w:bookmarkEnd w:id="27"/>
          </w:p>
        </w:tc>
      </w:tr>
    </w:tbl>
    <w:p w:rsidR="008B242F" w:rsidRPr="00045D4E" w:rsidRDefault="008B242F" w:rsidP="00B64E52">
      <w:pPr>
        <w:spacing w:before="120" w:after="120" w:line="360" w:lineRule="exact"/>
        <w:rPr>
          <w:rFonts w:cs="Times New Roman"/>
          <w:b/>
          <w:szCs w:val="22"/>
        </w:rPr>
      </w:pPr>
      <w:r w:rsidRPr="00045D4E">
        <w:rPr>
          <w:rFonts w:cs="Times New Roman"/>
          <w:b/>
          <w:szCs w:val="22"/>
        </w:rPr>
        <w:t xml:space="preserve">SUBMISSION </w:t>
      </w:r>
    </w:p>
    <w:p w:rsidR="00FB50BF" w:rsidRDefault="00FB50BF" w:rsidP="00FB50BF">
      <w:pPr>
        <w:autoSpaceDE w:val="0"/>
        <w:autoSpaceDN w:val="0"/>
        <w:adjustRightInd w:val="0"/>
        <w:spacing w:before="120" w:after="120"/>
        <w:rPr>
          <w:rFonts w:cs="Times New Roman"/>
          <w:szCs w:val="22"/>
          <w:lang w:val="en-US"/>
        </w:rPr>
      </w:pPr>
      <w:r w:rsidRPr="00C658CD">
        <w:rPr>
          <w:szCs w:val="22"/>
        </w:rPr>
        <w:t>This is an ex</w:t>
      </w:r>
      <w:r w:rsidR="00306469">
        <w:rPr>
          <w:szCs w:val="22"/>
        </w:rPr>
        <w:t>ample of a specific comment on page 3, p</w:t>
      </w:r>
      <w:r w:rsidRPr="00C658CD">
        <w:rPr>
          <w:szCs w:val="22"/>
        </w:rPr>
        <w:t>aragraph</w:t>
      </w:r>
      <w:r>
        <w:rPr>
          <w:szCs w:val="22"/>
        </w:rPr>
        <w:t xml:space="preserve"> </w:t>
      </w:r>
      <w:r w:rsidRPr="00C658CD">
        <w:rPr>
          <w:szCs w:val="22"/>
        </w:rPr>
        <w:t>6</w:t>
      </w:r>
      <w:r w:rsidR="00306469">
        <w:rPr>
          <w:szCs w:val="22"/>
        </w:rPr>
        <w:t>.</w:t>
      </w:r>
    </w:p>
    <w:p w:rsidR="00FB50BF" w:rsidRPr="00FB50BF" w:rsidRDefault="00FB50BF" w:rsidP="00FB50BF">
      <w:pPr>
        <w:autoSpaceDE w:val="0"/>
        <w:autoSpaceDN w:val="0"/>
        <w:adjustRightInd w:val="0"/>
        <w:spacing w:before="120" w:after="120"/>
        <w:rPr>
          <w:rFonts w:cs="Times New Roman"/>
          <w:szCs w:val="22"/>
          <w:lang w:val="en-US"/>
        </w:rPr>
      </w:pPr>
      <w:r w:rsidRPr="00FB50BF">
        <w:rPr>
          <w:rFonts w:cs="Times New Roman"/>
          <w:szCs w:val="22"/>
          <w:lang w:val="en-US"/>
        </w:rPr>
        <w:t>Include some of the traditional knowledge on biodiversity conservation within the curriculum to ensure the preservation of this knowledge.</w:t>
      </w:r>
    </w:p>
    <w:p w:rsidR="00FB50BF" w:rsidRPr="00FB50BF" w:rsidRDefault="00FB50BF" w:rsidP="00FB50BF">
      <w:pPr>
        <w:autoSpaceDE w:val="0"/>
        <w:autoSpaceDN w:val="0"/>
        <w:adjustRightInd w:val="0"/>
        <w:spacing w:before="120" w:after="120"/>
        <w:rPr>
          <w:rFonts w:cs="Times New Roman"/>
          <w:szCs w:val="22"/>
          <w:lang w:val="en-US"/>
        </w:rPr>
      </w:pPr>
      <w:r w:rsidRPr="00FB50BF">
        <w:rPr>
          <w:rFonts w:cs="Times New Roman"/>
          <w:szCs w:val="22"/>
          <w:lang w:val="en-US"/>
        </w:rPr>
        <w:t>Support traditional industries concerned with biodiversity conservation.</w:t>
      </w:r>
    </w:p>
    <w:p w:rsidR="001F6B42" w:rsidRPr="00045D4E" w:rsidRDefault="00FB50BF" w:rsidP="00FB50BF">
      <w:pPr>
        <w:autoSpaceDE w:val="0"/>
        <w:autoSpaceDN w:val="0"/>
        <w:adjustRightInd w:val="0"/>
        <w:spacing w:before="120" w:after="120"/>
        <w:rPr>
          <w:rFonts w:cs="Times New Roman"/>
          <w:szCs w:val="22"/>
          <w:lang w:val="en-US"/>
        </w:rPr>
      </w:pPr>
      <w:r w:rsidRPr="00FB50BF">
        <w:rPr>
          <w:rFonts w:cs="Times New Roman"/>
          <w:szCs w:val="22"/>
          <w:lang w:val="en-US"/>
        </w:rPr>
        <w:t>Encourage synergies, cooperation, exchange, mutual learning and communication between various conventions such as the Convention on Biological Diversity, Ramsar, the United Nations Framework Convention on Climate Change, CMS, etc. to preserve, document and study traditional knowledge on biodiversity.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B242F" w:rsidRPr="00045D4E" w:rsidTr="00CF0F60">
        <w:tc>
          <w:tcPr>
            <w:tcW w:w="9464" w:type="dxa"/>
          </w:tcPr>
          <w:p w:rsidR="008B242F" w:rsidRPr="00045D4E" w:rsidRDefault="00662C41" w:rsidP="00306469">
            <w:pPr>
              <w:pStyle w:val="Heading3"/>
              <w:spacing w:before="120"/>
              <w:rPr>
                <w:rFonts w:ascii="Times New Roman" w:hAnsi="Times New Roman"/>
                <w:b w:val="0"/>
                <w:sz w:val="22"/>
                <w:szCs w:val="22"/>
                <w:lang w:val="en-CA"/>
              </w:rPr>
            </w:pPr>
            <w:bookmarkStart w:id="28" w:name="_Toc507765238"/>
            <w:r w:rsidRPr="00662C41">
              <w:rPr>
                <w:rFonts w:ascii="Times New Roman" w:hAnsi="Times New Roman"/>
                <w:sz w:val="22"/>
                <w:szCs w:val="22"/>
                <w:lang w:val="en-CA"/>
              </w:rPr>
              <w:t>New Zealand</w:t>
            </w:r>
            <w:bookmarkEnd w:id="28"/>
          </w:p>
        </w:tc>
      </w:tr>
    </w:tbl>
    <w:p w:rsidR="008B242F" w:rsidRDefault="008B242F" w:rsidP="00B64E52">
      <w:pPr>
        <w:spacing w:before="120" w:after="120" w:line="360" w:lineRule="exact"/>
        <w:rPr>
          <w:rFonts w:cs="Times New Roman"/>
          <w:b/>
          <w:szCs w:val="22"/>
        </w:rPr>
      </w:pPr>
      <w:r w:rsidRPr="00045D4E">
        <w:rPr>
          <w:rFonts w:cs="Times New Roman"/>
          <w:b/>
          <w:szCs w:val="22"/>
        </w:rPr>
        <w:t xml:space="preserve">SUBMISSION </w:t>
      </w:r>
    </w:p>
    <w:p w:rsidR="00662C41" w:rsidRPr="00653B2D" w:rsidRDefault="00662C41" w:rsidP="00306469">
      <w:pPr>
        <w:spacing w:before="120" w:after="120"/>
        <w:rPr>
          <w:rFonts w:cs="Arial"/>
          <w:b/>
          <w:bCs/>
          <w:szCs w:val="22"/>
        </w:rPr>
      </w:pPr>
      <w:r w:rsidRPr="00653B2D">
        <w:rPr>
          <w:rFonts w:cs="Arial"/>
          <w:b/>
          <w:bCs/>
          <w:szCs w:val="22"/>
        </w:rPr>
        <w:t>Elements of Methodological Guidance for Identifying, Monitoring, and Assessing the Contribution of Indigenous Peoples and Local Communities to the Achievement of the Strategic Plan for Biodiversity 2011-2020 and the Aichi Biodiversity Targets</w:t>
      </w:r>
    </w:p>
    <w:p w:rsidR="00662C41" w:rsidRPr="00306469" w:rsidRDefault="00662C41" w:rsidP="00306469">
      <w:pPr>
        <w:spacing w:before="120" w:after="120"/>
        <w:rPr>
          <w:rFonts w:cs="Arial"/>
          <w:bCs/>
          <w:szCs w:val="22"/>
        </w:rPr>
      </w:pPr>
      <w:r w:rsidRPr="00653B2D">
        <w:rPr>
          <w:rFonts w:cs="Arial"/>
          <w:szCs w:val="22"/>
        </w:rPr>
        <w:t>CBD/WG8J/10/5</w:t>
      </w:r>
    </w:p>
    <w:p w:rsidR="00662C41" w:rsidRPr="00653B2D" w:rsidRDefault="00662C41" w:rsidP="00306469">
      <w:pPr>
        <w:spacing w:before="120" w:after="120"/>
        <w:rPr>
          <w:rFonts w:cs="Arial"/>
          <w:szCs w:val="22"/>
        </w:rPr>
      </w:pPr>
      <w:r w:rsidRPr="00653B2D">
        <w:rPr>
          <w:rFonts w:cs="Arial"/>
          <w:szCs w:val="22"/>
        </w:rPr>
        <w:t xml:space="preserve">New Zealand thanks the Secretariat for the opportunity to provide comment on the list of elements of methodological guidance for identifying, monitoring, and assessing the contribution of Indigenous Peoples and Local Communities to the achievement of the Strategic Plan for Biodiversity 2011-2020 and </w:t>
      </w:r>
      <w:r w:rsidR="00306469">
        <w:rPr>
          <w:rFonts w:cs="Arial"/>
          <w:szCs w:val="22"/>
        </w:rPr>
        <w:t>the Aichi Biodiversity Targets.</w:t>
      </w:r>
    </w:p>
    <w:p w:rsidR="00662C41" w:rsidRPr="00653B2D" w:rsidRDefault="00662C41" w:rsidP="00306469">
      <w:pPr>
        <w:spacing w:before="120" w:after="120"/>
        <w:rPr>
          <w:rFonts w:cs="Arial"/>
          <w:szCs w:val="22"/>
        </w:rPr>
      </w:pPr>
      <w:r w:rsidRPr="00653B2D">
        <w:rPr>
          <w:rFonts w:cs="Arial"/>
          <w:szCs w:val="22"/>
        </w:rPr>
        <w:t xml:space="preserve">Māori play an important role in New Zealand’s biodiversity objectives. Iwi (tribal groupings) are </w:t>
      </w:r>
      <w:r>
        <w:rPr>
          <w:rFonts w:cs="Arial"/>
          <w:szCs w:val="22"/>
        </w:rPr>
        <w:t xml:space="preserve">key interested parties in </w:t>
      </w:r>
      <w:r w:rsidRPr="007F0AFC">
        <w:rPr>
          <w:rFonts w:cs="Arial"/>
          <w:szCs w:val="22"/>
        </w:rPr>
        <w:t>New</w:t>
      </w:r>
      <w:r>
        <w:rPr>
          <w:rFonts w:cs="Arial"/>
          <w:szCs w:val="22"/>
        </w:rPr>
        <w:t> </w:t>
      </w:r>
      <w:r w:rsidRPr="007F0AFC">
        <w:rPr>
          <w:rFonts w:cs="Arial"/>
          <w:szCs w:val="22"/>
        </w:rPr>
        <w:t>Zealand’s National Biodiversity Action Plan 2016-2020 that includes national targets to increase Māori participation across implementation activities that align with the Strategic Plan for Biodiversity 2011-2020, including the Aichi Biodiversity Targets.</w:t>
      </w:r>
    </w:p>
    <w:p w:rsidR="00662C41" w:rsidRDefault="00662C41" w:rsidP="00306469">
      <w:pPr>
        <w:spacing w:before="120" w:after="120"/>
        <w:rPr>
          <w:rFonts w:cs="Arial"/>
          <w:szCs w:val="22"/>
        </w:rPr>
      </w:pPr>
      <w:r w:rsidRPr="00653B2D">
        <w:rPr>
          <w:rFonts w:cs="Arial"/>
          <w:szCs w:val="22"/>
        </w:rPr>
        <w:t xml:space="preserve">New Zealand welcomes the non-exhaustive list of methodological elements. Opportunities for IPLC participation – recognising their </w:t>
      </w:r>
      <w:r>
        <w:rPr>
          <w:rFonts w:cs="Arial"/>
          <w:szCs w:val="22"/>
        </w:rPr>
        <w:t xml:space="preserve">important </w:t>
      </w:r>
      <w:r w:rsidRPr="00653B2D">
        <w:rPr>
          <w:rFonts w:cs="Arial"/>
          <w:szCs w:val="22"/>
        </w:rPr>
        <w:t xml:space="preserve">role in </w:t>
      </w:r>
      <w:r>
        <w:rPr>
          <w:rFonts w:cs="Arial"/>
          <w:szCs w:val="22"/>
        </w:rPr>
        <w:t xml:space="preserve">the </w:t>
      </w:r>
      <w:r w:rsidRPr="00332EA1">
        <w:rPr>
          <w:rFonts w:cs="Arial"/>
          <w:szCs w:val="22"/>
        </w:rPr>
        <w:t>conservation and sustainable use</w:t>
      </w:r>
      <w:r w:rsidRPr="00653B2D">
        <w:rPr>
          <w:rFonts w:cs="Arial"/>
          <w:szCs w:val="22"/>
        </w:rPr>
        <w:t xml:space="preserve"> </w:t>
      </w:r>
      <w:r>
        <w:rPr>
          <w:rFonts w:cs="Arial"/>
          <w:szCs w:val="22"/>
        </w:rPr>
        <w:t xml:space="preserve">of </w:t>
      </w:r>
      <w:r w:rsidRPr="00332EA1">
        <w:rPr>
          <w:rFonts w:cs="Arial"/>
          <w:szCs w:val="22"/>
        </w:rPr>
        <w:t xml:space="preserve">biological </w:t>
      </w:r>
      <w:r>
        <w:rPr>
          <w:rFonts w:cs="Arial"/>
          <w:szCs w:val="22"/>
        </w:rPr>
        <w:t>diversity</w:t>
      </w:r>
      <w:r w:rsidRPr="00653B2D">
        <w:rPr>
          <w:rFonts w:cs="Arial"/>
          <w:szCs w:val="22"/>
        </w:rPr>
        <w:t xml:space="preserve"> – will be a crucial and ongoing </w:t>
      </w:r>
      <w:r>
        <w:rPr>
          <w:rFonts w:cs="Arial"/>
          <w:szCs w:val="22"/>
        </w:rPr>
        <w:t xml:space="preserve">part of </w:t>
      </w:r>
      <w:r w:rsidRPr="00653B2D">
        <w:rPr>
          <w:rFonts w:cs="Arial"/>
          <w:szCs w:val="22"/>
        </w:rPr>
        <w:t xml:space="preserve">the achievement of </w:t>
      </w:r>
      <w:r>
        <w:rPr>
          <w:rFonts w:cs="Arial"/>
          <w:szCs w:val="22"/>
        </w:rPr>
        <w:t>our</w:t>
      </w:r>
      <w:r w:rsidRPr="00653B2D">
        <w:rPr>
          <w:rFonts w:cs="Arial"/>
          <w:szCs w:val="22"/>
        </w:rPr>
        <w:t xml:space="preserve"> objectives for </w:t>
      </w:r>
      <w:r>
        <w:rPr>
          <w:rFonts w:cs="Arial"/>
          <w:szCs w:val="22"/>
        </w:rPr>
        <w:t>b</w:t>
      </w:r>
      <w:r w:rsidR="00306469">
        <w:rPr>
          <w:rFonts w:cs="Arial"/>
          <w:szCs w:val="22"/>
        </w:rPr>
        <w:t>iodiversity.</w:t>
      </w:r>
    </w:p>
    <w:p w:rsidR="00662C41" w:rsidRDefault="00662C41" w:rsidP="00306469">
      <w:pPr>
        <w:autoSpaceDE w:val="0"/>
        <w:autoSpaceDN w:val="0"/>
        <w:spacing w:before="120" w:after="120"/>
        <w:rPr>
          <w:rFonts w:cs="Arial"/>
          <w:szCs w:val="22"/>
        </w:rPr>
      </w:pPr>
      <w:r w:rsidRPr="00986DE5">
        <w:rPr>
          <w:rFonts w:cs="Arial"/>
          <w:szCs w:val="22"/>
        </w:rPr>
        <w:t>New Zealand agrees with the principled approach to the methodological guidance. In recognising and fully including traditional knowledge, we acknowledge IPLCs as traditional knowledge holders and note the importance of early engagement with the IPLCs as holders responsible for that knowledge, to allow all subsequent steps to adequately reflect the rights, interests and aspirations of impacted IPLCs.</w:t>
      </w:r>
      <w:r w:rsidRPr="00332EA1">
        <w:rPr>
          <w:rFonts w:cs="Arial"/>
          <w:szCs w:val="22"/>
        </w:rPr>
        <w:t xml:space="preserve"> </w:t>
      </w:r>
    </w:p>
    <w:p w:rsidR="00662C41" w:rsidRDefault="00662C41" w:rsidP="00662C41">
      <w:pPr>
        <w:autoSpaceDE w:val="0"/>
        <w:autoSpaceDN w:val="0"/>
        <w:rPr>
          <w:rFonts w:cs="Arial"/>
          <w:szCs w:val="22"/>
        </w:rPr>
      </w:pPr>
      <w:r>
        <w:rPr>
          <w:rFonts w:cs="Arial"/>
          <w:szCs w:val="22"/>
        </w:rPr>
        <w:t xml:space="preserve">We further recommend that: </w:t>
      </w:r>
    </w:p>
    <w:p w:rsidR="00662C41" w:rsidRPr="00662C41" w:rsidRDefault="00662C41" w:rsidP="00662C41">
      <w:pPr>
        <w:pStyle w:val="ListParagraph"/>
        <w:numPr>
          <w:ilvl w:val="0"/>
          <w:numId w:val="29"/>
        </w:numPr>
        <w:autoSpaceDE w:val="0"/>
        <w:autoSpaceDN w:val="0"/>
        <w:spacing w:after="0" w:line="240" w:lineRule="auto"/>
        <w:rPr>
          <w:rFonts w:cs="Arial"/>
          <w:lang w:val="en-US"/>
        </w:rPr>
      </w:pPr>
      <w:r w:rsidRPr="00662C41">
        <w:rPr>
          <w:rFonts w:cs="Arial"/>
          <w:lang w:val="en-US"/>
        </w:rPr>
        <w:t xml:space="preserve">enhancing outcomes should reflect the aspirations of participating IPLCs, including consideration of mental wellbeing and physical wellbeing in addition to livelihood and food security. </w:t>
      </w:r>
    </w:p>
    <w:p w:rsidR="00662C41" w:rsidRPr="00662C41" w:rsidRDefault="00662C41" w:rsidP="00662C41">
      <w:pPr>
        <w:pStyle w:val="ListParagraph"/>
        <w:numPr>
          <w:ilvl w:val="0"/>
          <w:numId w:val="29"/>
        </w:numPr>
        <w:autoSpaceDE w:val="0"/>
        <w:autoSpaceDN w:val="0"/>
        <w:spacing w:after="0" w:line="240" w:lineRule="auto"/>
        <w:rPr>
          <w:rFonts w:cs="Arial"/>
          <w:lang w:val="en-US"/>
        </w:rPr>
      </w:pPr>
      <w:r w:rsidRPr="00662C41">
        <w:rPr>
          <w:rFonts w:cs="Arial"/>
          <w:lang w:val="en-US"/>
        </w:rPr>
        <w:t xml:space="preserve">data collection, sharing and storage should be considered consistent with other guidance produced by the CBD secretariat in relation to article 8(j) and related matters, for example the Mo’otz Kuxtal Voluntary Guidelines for Traditional Knowledge. </w:t>
      </w:r>
    </w:p>
    <w:p w:rsidR="00662C41" w:rsidRPr="00662C41" w:rsidRDefault="00662C41" w:rsidP="00662C41">
      <w:pPr>
        <w:pStyle w:val="ListParagraph"/>
        <w:numPr>
          <w:ilvl w:val="0"/>
          <w:numId w:val="29"/>
        </w:numPr>
        <w:autoSpaceDE w:val="0"/>
        <w:autoSpaceDN w:val="0"/>
        <w:spacing w:after="0" w:line="240" w:lineRule="auto"/>
        <w:rPr>
          <w:rFonts w:cs="Arial"/>
          <w:lang w:val="en-US"/>
        </w:rPr>
      </w:pPr>
      <w:r w:rsidRPr="00662C41">
        <w:rPr>
          <w:rFonts w:cs="Arial"/>
          <w:lang w:val="en-US"/>
        </w:rPr>
        <w:t>it is noted that consistent use of identical indicators over time enables repeatability and comparisons at temporal scales; and that a baseline allows for greater assessment of changes or trends.</w:t>
      </w:r>
    </w:p>
    <w:p w:rsidR="00662C41" w:rsidRPr="0080587C" w:rsidRDefault="00662C41" w:rsidP="00662C41">
      <w:pPr>
        <w:pStyle w:val="Heading2"/>
        <w:numPr>
          <w:ilvl w:val="0"/>
          <w:numId w:val="2"/>
        </w:numPr>
        <w:rPr>
          <w:rFonts w:cs="Times New Roman"/>
          <w:i w:val="0"/>
          <w:szCs w:val="22"/>
        </w:rPr>
      </w:pPr>
      <w:bookmarkStart w:id="29" w:name="_Toc507765239"/>
      <w:r w:rsidRPr="0080587C">
        <w:rPr>
          <w:rFonts w:cs="Times New Roman"/>
          <w:i w:val="0"/>
          <w:szCs w:val="22"/>
        </w:rPr>
        <w:lastRenderedPageBreak/>
        <w:t xml:space="preserve">Submission from </w:t>
      </w:r>
      <w:bookmarkEnd w:id="29"/>
      <w:r w:rsidR="00306469">
        <w:rPr>
          <w:rFonts w:cs="Times New Roman"/>
          <w:i w:val="0"/>
          <w:szCs w:val="22"/>
        </w:rPr>
        <w:t>non-Parties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62C41" w:rsidRPr="00045D4E" w:rsidTr="00D52714">
        <w:tc>
          <w:tcPr>
            <w:tcW w:w="9464" w:type="dxa"/>
          </w:tcPr>
          <w:p w:rsidR="00662C41" w:rsidRPr="00662C41" w:rsidRDefault="00662C41" w:rsidP="00306469">
            <w:pPr>
              <w:pStyle w:val="Heading3"/>
              <w:spacing w:before="120"/>
              <w:rPr>
                <w:rFonts w:ascii="Times New Roman" w:hAnsi="Times New Roman"/>
                <w:sz w:val="22"/>
                <w:szCs w:val="22"/>
                <w:lang w:val="en-CA"/>
              </w:rPr>
            </w:pPr>
            <w:bookmarkStart w:id="30" w:name="_Toc507765240"/>
            <w:r w:rsidRPr="00662C41">
              <w:rPr>
                <w:rFonts w:ascii="Times New Roman" w:hAnsi="Times New Roman"/>
                <w:sz w:val="22"/>
                <w:szCs w:val="22"/>
                <w:lang w:val="en-CA"/>
              </w:rPr>
              <w:t>United States</w:t>
            </w:r>
            <w:bookmarkEnd w:id="30"/>
            <w:r w:rsidRPr="00662C41">
              <w:rPr>
                <w:rFonts w:ascii="Times New Roman" w:hAnsi="Times New Roman"/>
                <w:sz w:val="22"/>
                <w:szCs w:val="22"/>
                <w:lang w:val="en-CA"/>
              </w:rPr>
              <w:t xml:space="preserve"> </w:t>
            </w:r>
            <w:r w:rsidR="00306469">
              <w:rPr>
                <w:rFonts w:ascii="Times New Roman" w:hAnsi="Times New Roman"/>
                <w:sz w:val="22"/>
                <w:szCs w:val="22"/>
                <w:lang w:val="en-CA"/>
              </w:rPr>
              <w:t>of America</w:t>
            </w:r>
          </w:p>
        </w:tc>
      </w:tr>
    </w:tbl>
    <w:p w:rsidR="00662C41" w:rsidRDefault="00662C41" w:rsidP="00B64E52">
      <w:pPr>
        <w:spacing w:before="120" w:after="120" w:line="360" w:lineRule="exact"/>
        <w:rPr>
          <w:rFonts w:cs="Times New Roman"/>
          <w:b/>
          <w:szCs w:val="22"/>
        </w:rPr>
      </w:pPr>
      <w:r w:rsidRPr="00045D4E">
        <w:rPr>
          <w:rFonts w:cs="Times New Roman"/>
          <w:b/>
          <w:szCs w:val="22"/>
        </w:rPr>
        <w:t>SUBMISSION</w:t>
      </w:r>
    </w:p>
    <w:p w:rsidR="00A3127A" w:rsidRDefault="00A3127A" w:rsidP="00A3127A">
      <w:pPr>
        <w:spacing w:before="120"/>
        <w:ind w:left="58" w:right="68"/>
        <w:jc w:val="center"/>
      </w:pPr>
      <w:bookmarkStart w:id="31" w:name="_GoBack"/>
      <w:bookmarkEnd w:id="31"/>
      <w:r>
        <w:rPr>
          <w:rFonts w:cs="Times New Roman"/>
          <w:b/>
        </w:rPr>
        <w:t xml:space="preserve">Taking the voluntary guidelines on safeguards in biodiversity financing mechanisms into account when selecting, designing and implementing biodiversity financing mechanisms and when developing instrument-specific safeguards Recommendation: </w:t>
      </w:r>
    </w:p>
    <w:p w:rsidR="00A3127A" w:rsidRDefault="00A3127A" w:rsidP="00A3127A">
      <w:pPr>
        <w:spacing w:before="120"/>
        <w:ind w:left="-5" w:right="-10" w:hanging="10"/>
      </w:pPr>
      <w:r>
        <w:rPr>
          <w:rFonts w:cs="Times New Roman"/>
          <w:b/>
        </w:rPr>
        <w:t xml:space="preserve">Safeguards in biodiversity financing, with focus on the potential effects of these safeguards on the social and economic rights and livelihoods of indigenous peoples and local communities </w:t>
      </w:r>
    </w:p>
    <w:p w:rsidR="00A3127A" w:rsidRDefault="00A3127A" w:rsidP="00A3127A">
      <w:pPr>
        <w:spacing w:before="120"/>
        <w:ind w:left="720"/>
      </w:pPr>
      <w:r>
        <w:rPr>
          <w:rFonts w:ascii="Calibri" w:eastAsia="Calibri" w:hAnsi="Calibri" w:cs="Calibri"/>
          <w:i/>
        </w:rPr>
        <w:t xml:space="preserve">The Conference of the Parties </w:t>
      </w:r>
    </w:p>
    <w:p w:rsidR="00A3127A" w:rsidRDefault="00A3127A" w:rsidP="00A3127A">
      <w:pPr>
        <w:numPr>
          <w:ilvl w:val="0"/>
          <w:numId w:val="30"/>
        </w:numPr>
        <w:spacing w:before="120"/>
        <w:ind w:firstLine="720"/>
      </w:pPr>
      <w:r>
        <w:rPr>
          <w:rFonts w:ascii="Calibri" w:eastAsia="Calibri" w:hAnsi="Calibri" w:cs="Calibri"/>
          <w:i/>
        </w:rPr>
        <w:t>Highlights</w:t>
      </w:r>
      <w:r>
        <w:rPr>
          <w:rFonts w:ascii="Calibri" w:eastAsia="Calibri" w:hAnsi="Calibri" w:cs="Calibri"/>
        </w:rPr>
        <w:t xml:space="preserve"> with appreciation the </w:t>
      </w:r>
      <w:r>
        <w:rPr>
          <w:rFonts w:ascii="Calibri" w:eastAsia="Calibri" w:hAnsi="Calibri" w:cs="Calibri"/>
          <w:strike/>
        </w:rPr>
        <w:t xml:space="preserve">important synergies and </w:t>
      </w:r>
      <w:r>
        <w:rPr>
          <w:rFonts w:ascii="Calibri" w:eastAsia="Calibri" w:hAnsi="Calibri" w:cs="Calibri"/>
        </w:rPr>
        <w:t xml:space="preserve">convergence that </w:t>
      </w:r>
      <w:r>
        <w:rPr>
          <w:rFonts w:ascii="Calibri" w:eastAsia="Calibri" w:hAnsi="Calibri" w:cs="Calibri"/>
          <w:strike/>
        </w:rPr>
        <w:t>are</w:t>
      </w:r>
      <w:r>
        <w:rPr>
          <w:rFonts w:ascii="Calibri" w:eastAsia="Calibri" w:hAnsi="Calibri" w:cs="Calibri"/>
        </w:rPr>
        <w:t xml:space="preserve"> </w:t>
      </w:r>
      <w:r>
        <w:rPr>
          <w:rFonts w:ascii="Calibri" w:eastAsia="Calibri" w:hAnsi="Calibri" w:cs="Calibri"/>
          <w:b/>
        </w:rPr>
        <w:t>is</w:t>
      </w:r>
      <w:r>
        <w:rPr>
          <w:rFonts w:ascii="Calibri" w:eastAsia="Calibri" w:hAnsi="Calibri" w:cs="Calibri"/>
        </w:rPr>
        <w:t xml:space="preserve"> emerging between the existing processes for developing and/or improving safeguard systems of the financing mechanisms and the Convention’s</w:t>
      </w:r>
      <w:r>
        <w:rPr>
          <w:rFonts w:ascii="Arial" w:eastAsia="Arial" w:hAnsi="Arial" w:cs="Arial"/>
        </w:rPr>
        <w:t xml:space="preserve"> </w:t>
      </w:r>
      <w:r>
        <w:rPr>
          <w:rFonts w:ascii="Calibri" w:eastAsia="Calibri" w:hAnsi="Calibri" w:cs="Calibri"/>
        </w:rPr>
        <w:t xml:space="preserve">voluntary guidelines on safeguards in biodiversity financing mechanisms, and encourages all such processes to further refer to the guidelines for creating greater </w:t>
      </w:r>
      <w:r>
        <w:rPr>
          <w:rFonts w:ascii="Calibri" w:eastAsia="Calibri" w:hAnsi="Calibri" w:cs="Calibri"/>
          <w:strike/>
        </w:rPr>
        <w:t>synergies</w:t>
      </w:r>
      <w:r>
        <w:rPr>
          <w:rFonts w:ascii="Calibri" w:eastAsia="Calibri" w:hAnsi="Calibri" w:cs="Calibri"/>
        </w:rPr>
        <w:t xml:space="preserve"> </w:t>
      </w:r>
      <w:r>
        <w:rPr>
          <w:rFonts w:ascii="Calibri" w:eastAsia="Calibri" w:hAnsi="Calibri" w:cs="Calibri"/>
          <w:u w:val="single" w:color="000000"/>
        </w:rPr>
        <w:t>convergence</w:t>
      </w:r>
      <w:r>
        <w:rPr>
          <w:rFonts w:ascii="Calibri" w:eastAsia="Calibri" w:hAnsi="Calibri" w:cs="Calibri"/>
        </w:rPr>
        <w:t xml:space="preserve">; </w:t>
      </w:r>
    </w:p>
    <w:p w:rsidR="00A3127A" w:rsidRDefault="00A3127A" w:rsidP="00A3127A">
      <w:pPr>
        <w:spacing w:before="120"/>
        <w:ind w:left="-15" w:firstLine="720"/>
      </w:pPr>
      <w:r>
        <w:rPr>
          <w:rFonts w:ascii="Calibri" w:eastAsia="Calibri" w:hAnsi="Calibri" w:cs="Calibri"/>
          <w:b/>
        </w:rPr>
        <w:t>Comment:</w:t>
      </w:r>
      <w:r>
        <w:rPr>
          <w:rFonts w:ascii="Calibri" w:eastAsia="Calibri" w:hAnsi="Calibri" w:cs="Calibri"/>
        </w:rPr>
        <w:t xml:space="preserve">  We consider that the safeguard processes should be independent, government led processes tailored to fit each financial mechanism so we recommend deleting “synergies” but retaining recognition of the convergence across them. </w:t>
      </w:r>
    </w:p>
    <w:p w:rsidR="00A3127A" w:rsidRDefault="00A3127A" w:rsidP="00A3127A">
      <w:pPr>
        <w:numPr>
          <w:ilvl w:val="0"/>
          <w:numId w:val="30"/>
        </w:numPr>
        <w:spacing w:before="120"/>
        <w:ind w:firstLine="720"/>
      </w:pPr>
      <w:r>
        <w:rPr>
          <w:rFonts w:ascii="Calibri" w:eastAsia="Calibri" w:hAnsi="Calibri" w:cs="Calibri"/>
          <w:i/>
        </w:rPr>
        <w:t>Takes note</w:t>
      </w:r>
      <w:proofErr w:type="gramStart"/>
      <w:r>
        <w:rPr>
          <w:rFonts w:ascii="Calibri" w:eastAsia="Calibri" w:hAnsi="Calibri" w:cs="Calibri"/>
        </w:rPr>
        <w:t>, in particular, of</w:t>
      </w:r>
      <w:proofErr w:type="gramEnd"/>
      <w:r>
        <w:rPr>
          <w:rFonts w:ascii="Calibri" w:eastAsia="Calibri" w:hAnsi="Calibri" w:cs="Calibri"/>
        </w:rPr>
        <w:t xml:space="preserve"> the processes undertaken by the United Nations Framework Convention on Climate Change financial mechanism’s operating entities to design, establish and apply safeguard systems that would cover all climate-related financing under their responsibility </w:t>
      </w:r>
      <w:r>
        <w:rPr>
          <w:rFonts w:ascii="Calibri" w:eastAsia="Calibri" w:hAnsi="Calibri" w:cs="Calibri"/>
          <w:strike/>
        </w:rPr>
        <w:t>in a way that</w:t>
      </w:r>
      <w:r>
        <w:rPr>
          <w:rFonts w:ascii="Calibri" w:eastAsia="Calibri" w:hAnsi="Calibri" w:cs="Calibri"/>
        </w:rPr>
        <w:t xml:space="preserve"> </w:t>
      </w:r>
      <w:r>
        <w:rPr>
          <w:rFonts w:ascii="Calibri" w:eastAsia="Calibri" w:hAnsi="Calibri" w:cs="Calibri"/>
          <w:strike/>
        </w:rPr>
        <w:t>would be consistent with the voluntary guidelines on safeguards in biodiversity financing mechanisms</w:t>
      </w:r>
      <w:r>
        <w:rPr>
          <w:rFonts w:ascii="Calibri" w:eastAsia="Calibri" w:hAnsi="Calibri" w:cs="Calibri"/>
        </w:rPr>
        <w:t xml:space="preserve">; </w:t>
      </w:r>
    </w:p>
    <w:p w:rsidR="00A3127A" w:rsidRDefault="00A3127A" w:rsidP="00A3127A">
      <w:pPr>
        <w:spacing w:before="120"/>
        <w:ind w:left="-15" w:firstLine="720"/>
      </w:pPr>
      <w:r>
        <w:rPr>
          <w:rFonts w:ascii="Calibri" w:eastAsia="Calibri" w:hAnsi="Calibri" w:cs="Calibri"/>
          <w:b/>
        </w:rPr>
        <w:t>Comment</w:t>
      </w:r>
      <w:r>
        <w:rPr>
          <w:rFonts w:ascii="Calibri" w:eastAsia="Calibri" w:hAnsi="Calibri" w:cs="Calibri"/>
        </w:rPr>
        <w:t xml:space="preserve">:  The UNFCCC did not set up the safeguards deliberately to be consistent with the voluntary guidelines, so </w:t>
      </w:r>
      <w:proofErr w:type="gramStart"/>
      <w:r>
        <w:rPr>
          <w:rFonts w:ascii="Calibri" w:eastAsia="Calibri" w:hAnsi="Calibri" w:cs="Calibri"/>
        </w:rPr>
        <w:t>in order to</w:t>
      </w:r>
      <w:proofErr w:type="gramEnd"/>
      <w:r>
        <w:rPr>
          <w:rFonts w:ascii="Calibri" w:eastAsia="Calibri" w:hAnsi="Calibri" w:cs="Calibri"/>
        </w:rPr>
        <w:t xml:space="preserve"> avoid inadvertently giving this mistaken impression we recommend deleting the clause starting with “in a way”. </w:t>
      </w:r>
    </w:p>
    <w:p w:rsidR="00A3127A" w:rsidRDefault="00A3127A" w:rsidP="00A3127A">
      <w:pPr>
        <w:numPr>
          <w:ilvl w:val="0"/>
          <w:numId w:val="30"/>
        </w:numPr>
        <w:spacing w:before="120"/>
        <w:ind w:firstLine="720"/>
      </w:pPr>
      <w:r>
        <w:rPr>
          <w:rFonts w:ascii="Calibri" w:eastAsia="Calibri" w:hAnsi="Calibri" w:cs="Calibri"/>
          <w:i/>
        </w:rPr>
        <w:t>Welcomes</w:t>
      </w:r>
      <w:r>
        <w:rPr>
          <w:rFonts w:ascii="Calibri" w:eastAsia="Calibri" w:hAnsi="Calibri" w:cs="Calibri"/>
        </w:rPr>
        <w:t xml:space="preserve">, in particular, the Global Environment Facility’s process to review and upgrade its environmental and social safeguards and the related systems of its agencies, noting that the result of such a process will be </w:t>
      </w:r>
      <w:r>
        <w:rPr>
          <w:rFonts w:ascii="Calibri" w:eastAsia="Calibri" w:hAnsi="Calibri" w:cs="Calibri"/>
          <w:strike/>
        </w:rPr>
        <w:t>equally</w:t>
      </w:r>
      <w:r>
        <w:rPr>
          <w:rFonts w:ascii="Calibri" w:eastAsia="Calibri" w:hAnsi="Calibri" w:cs="Calibri"/>
        </w:rPr>
        <w:t xml:space="preserve"> applicable to </w:t>
      </w:r>
      <w:r>
        <w:rPr>
          <w:rFonts w:ascii="Calibri" w:eastAsia="Calibri" w:hAnsi="Calibri" w:cs="Calibri"/>
          <w:u w:val="single" w:color="000000"/>
        </w:rPr>
        <w:t>all GEF funded projects</w:t>
      </w:r>
      <w:r>
        <w:rPr>
          <w:rFonts w:ascii="Calibri" w:eastAsia="Calibri" w:hAnsi="Calibri" w:cs="Calibri"/>
        </w:rPr>
        <w:t xml:space="preserve"> </w:t>
      </w:r>
      <w:r>
        <w:rPr>
          <w:rFonts w:ascii="Calibri" w:eastAsia="Calibri" w:hAnsi="Calibri" w:cs="Calibri"/>
          <w:strike/>
        </w:rPr>
        <w:t>climate-related financing under the</w:t>
      </w:r>
      <w:r>
        <w:rPr>
          <w:rFonts w:ascii="Calibri" w:eastAsia="Calibri" w:hAnsi="Calibri" w:cs="Calibri"/>
        </w:rPr>
        <w:t xml:space="preserve"> </w:t>
      </w:r>
      <w:r>
        <w:rPr>
          <w:rFonts w:ascii="Calibri" w:eastAsia="Calibri" w:hAnsi="Calibri" w:cs="Calibri"/>
          <w:strike/>
        </w:rPr>
        <w:t>United Nations Framework Convention on Climate Change and to biodiversity-related financing under</w:t>
      </w:r>
      <w:r>
        <w:rPr>
          <w:rFonts w:ascii="Calibri" w:eastAsia="Calibri" w:hAnsi="Calibri" w:cs="Calibri"/>
        </w:rPr>
        <w:t xml:space="preserve"> </w:t>
      </w:r>
      <w:r>
        <w:rPr>
          <w:rFonts w:ascii="Calibri" w:eastAsia="Calibri" w:hAnsi="Calibri" w:cs="Calibri"/>
          <w:strike/>
        </w:rPr>
        <w:t>the Convention on Biological Diversity</w:t>
      </w:r>
      <w:r>
        <w:rPr>
          <w:rFonts w:ascii="Calibri" w:eastAsia="Calibri" w:hAnsi="Calibri" w:cs="Calibri"/>
        </w:rPr>
        <w:t xml:space="preserve">, and invites the Global Environment Facility to inform the Conference of the Parties about how it is taking into account the Convention’s voluntary guidelines on safeguards in biodiversity financing mechanisms in its important process; </w:t>
      </w:r>
    </w:p>
    <w:p w:rsidR="00A3127A" w:rsidRDefault="00A3127A" w:rsidP="00A3127A">
      <w:pPr>
        <w:spacing w:before="120"/>
        <w:ind w:left="-5" w:hanging="10"/>
      </w:pPr>
      <w:r>
        <w:rPr>
          <w:rFonts w:ascii="Calibri" w:eastAsia="Calibri" w:hAnsi="Calibri" w:cs="Calibri"/>
          <w:b/>
        </w:rPr>
        <w:t xml:space="preserve">Comment:  </w:t>
      </w:r>
      <w:r>
        <w:rPr>
          <w:rFonts w:ascii="Calibri" w:eastAsia="Calibri" w:hAnsi="Calibri" w:cs="Calibri"/>
        </w:rPr>
        <w:t xml:space="preserve">The process is applicable to all GEF funded projects so it is unusual to specifically highlight only the UNFCCC and CBD.  We recommend the edits shown above.   </w:t>
      </w:r>
    </w:p>
    <w:p w:rsidR="00A3127A" w:rsidRDefault="00A3127A" w:rsidP="00A3127A">
      <w:pPr>
        <w:numPr>
          <w:ilvl w:val="0"/>
          <w:numId w:val="30"/>
        </w:numPr>
        <w:spacing w:before="120"/>
        <w:ind w:firstLine="720"/>
      </w:pPr>
      <w:r>
        <w:rPr>
          <w:rFonts w:ascii="Calibri" w:eastAsia="Calibri" w:hAnsi="Calibri" w:cs="Calibri"/>
          <w:i/>
          <w:strike/>
        </w:rPr>
        <w:t>Invites</w:t>
      </w:r>
      <w:r>
        <w:rPr>
          <w:rFonts w:ascii="Calibri" w:eastAsia="Calibri" w:hAnsi="Calibri" w:cs="Calibri"/>
          <w:strike/>
        </w:rPr>
        <w:t xml:space="preserve"> the Green Climate Fund and the Adaptation Fund as operating entities of the</w:t>
      </w:r>
      <w:r>
        <w:rPr>
          <w:rFonts w:ascii="Calibri" w:eastAsia="Calibri" w:hAnsi="Calibri" w:cs="Calibri"/>
        </w:rPr>
        <w:t xml:space="preserve"> </w:t>
      </w:r>
      <w:r>
        <w:rPr>
          <w:rFonts w:ascii="Calibri" w:eastAsia="Calibri" w:hAnsi="Calibri" w:cs="Calibri"/>
          <w:strike/>
        </w:rPr>
        <w:t>financial mechanism of the United Nations Framework Convention on Climate Change, to share their</w:t>
      </w:r>
      <w:r>
        <w:rPr>
          <w:rFonts w:ascii="Calibri" w:eastAsia="Calibri" w:hAnsi="Calibri" w:cs="Calibri"/>
        </w:rPr>
        <w:t xml:space="preserve"> </w:t>
      </w:r>
      <w:r>
        <w:rPr>
          <w:rFonts w:ascii="Calibri" w:eastAsia="Calibri" w:hAnsi="Calibri" w:cs="Calibri"/>
          <w:strike/>
        </w:rPr>
        <w:t>views and lessons on the value of using the Convention’s voluntary guidelines on safeguards in</w:t>
      </w:r>
      <w:r>
        <w:rPr>
          <w:rFonts w:ascii="Calibri" w:eastAsia="Calibri" w:hAnsi="Calibri" w:cs="Calibri"/>
        </w:rPr>
        <w:t xml:space="preserve"> </w:t>
      </w:r>
      <w:r>
        <w:rPr>
          <w:rFonts w:ascii="Calibri" w:eastAsia="Calibri" w:hAnsi="Calibri" w:cs="Calibri"/>
          <w:strike/>
        </w:rPr>
        <w:t>biodiversity financing mechanisms in their processes to develop and implement their safeguard systems</w:t>
      </w:r>
      <w:r>
        <w:rPr>
          <w:rFonts w:ascii="Calibri" w:eastAsia="Calibri" w:hAnsi="Calibri" w:cs="Calibri"/>
        </w:rPr>
        <w:t xml:space="preserve"> </w:t>
      </w:r>
      <w:r>
        <w:rPr>
          <w:rFonts w:ascii="Calibri" w:eastAsia="Calibri" w:hAnsi="Calibri" w:cs="Calibri"/>
          <w:strike/>
        </w:rPr>
        <w:t>to address potential risks and impacts of climate-related funding on the rights and livelihoods of</w:t>
      </w:r>
      <w:r>
        <w:rPr>
          <w:rFonts w:ascii="Calibri" w:eastAsia="Calibri" w:hAnsi="Calibri" w:cs="Calibri"/>
        </w:rPr>
        <w:t xml:space="preserve"> </w:t>
      </w:r>
      <w:r>
        <w:rPr>
          <w:rFonts w:ascii="Calibri" w:eastAsia="Calibri" w:hAnsi="Calibri" w:cs="Calibri"/>
          <w:strike/>
        </w:rPr>
        <w:t>indigenous peoples and local communities and to enhance the benefits of such funding to them;</w:t>
      </w:r>
      <w:r>
        <w:rPr>
          <w:rFonts w:ascii="Calibri" w:eastAsia="Calibri" w:hAnsi="Calibri" w:cs="Calibri"/>
        </w:rPr>
        <w:t xml:space="preserve"> </w:t>
      </w:r>
      <w:r>
        <w:rPr>
          <w:rFonts w:ascii="Calibri" w:eastAsia="Calibri" w:hAnsi="Calibri" w:cs="Calibri"/>
          <w:b/>
        </w:rPr>
        <w:t xml:space="preserve">Comment:  </w:t>
      </w:r>
      <w:r>
        <w:rPr>
          <w:rFonts w:ascii="Calibri" w:eastAsia="Calibri" w:hAnsi="Calibri" w:cs="Calibri"/>
        </w:rPr>
        <w:t xml:space="preserve">We recommend this paragraph be deleted, as it is inappropriate for the CBD to invite other Funds to share views or take action.  Further, as drafted the paragraph is inaccurate.  The GCF is relying on the IFC Safeguards as interim standards, not applying the “voluntary guidelines on safeguards in biodiversity financing mechanisms”.  Additionally, the Adaptation Fund is not an operating entity of the UNFCCC. </w:t>
      </w:r>
    </w:p>
    <w:p w:rsidR="00A3127A" w:rsidRDefault="00A3127A" w:rsidP="00A3127A">
      <w:pPr>
        <w:numPr>
          <w:ilvl w:val="0"/>
          <w:numId w:val="30"/>
        </w:numPr>
        <w:spacing w:before="120"/>
        <w:ind w:firstLine="720"/>
      </w:pPr>
      <w:r>
        <w:rPr>
          <w:rFonts w:ascii="Calibri" w:eastAsia="Calibri" w:hAnsi="Calibri" w:cs="Calibri"/>
          <w:i/>
        </w:rPr>
        <w:lastRenderedPageBreak/>
        <w:t>Invites</w:t>
      </w:r>
      <w:r>
        <w:rPr>
          <w:rFonts w:ascii="Calibri" w:eastAsia="Calibri" w:hAnsi="Calibri" w:cs="Calibri"/>
        </w:rPr>
        <w:t xml:space="preserve"> Parties, other stakeholder organizations and other institutions to continue using the Convention’s voluntary guidelines on safeguards in biodiversity financing mechanisms in designing and operating their financing mechanisms and in setting up their safeguard systems, making use, as appropriate, of the checklist contained in the annex to the present decision; </w:t>
      </w:r>
    </w:p>
    <w:p w:rsidR="00A3127A" w:rsidRDefault="00A3127A" w:rsidP="00A3127A">
      <w:pPr>
        <w:numPr>
          <w:ilvl w:val="0"/>
          <w:numId w:val="30"/>
        </w:numPr>
        <w:spacing w:before="120"/>
        <w:ind w:firstLine="720"/>
      </w:pPr>
      <w:r>
        <w:rPr>
          <w:rFonts w:ascii="Calibri" w:eastAsia="Calibri" w:hAnsi="Calibri" w:cs="Calibri"/>
          <w:i/>
        </w:rPr>
        <w:t>Also invites</w:t>
      </w:r>
      <w:r>
        <w:rPr>
          <w:rFonts w:ascii="Calibri" w:eastAsia="Calibri" w:hAnsi="Calibri" w:cs="Calibri"/>
        </w:rPr>
        <w:t xml:space="preserve"> Parties, other stakeholder organizations and other institutions to contribute views on experiences, opportunities and options to advance the application of the Convention’s voluntary guidelines on safeguards in biodiversity financing mechanisms to the design and operation of biodiversity financing mechanisms; </w:t>
      </w:r>
    </w:p>
    <w:p w:rsidR="00A3127A" w:rsidRDefault="00A3127A" w:rsidP="00A3127A">
      <w:pPr>
        <w:numPr>
          <w:ilvl w:val="0"/>
          <w:numId w:val="30"/>
        </w:numPr>
        <w:spacing w:before="120"/>
        <w:ind w:firstLine="720"/>
      </w:pPr>
      <w:r>
        <w:rPr>
          <w:rFonts w:ascii="Calibri" w:eastAsia="Calibri" w:hAnsi="Calibri" w:cs="Calibri"/>
          <w:i/>
        </w:rPr>
        <w:t xml:space="preserve">Requests </w:t>
      </w:r>
      <w:r>
        <w:rPr>
          <w:rFonts w:ascii="Calibri" w:eastAsia="Calibri" w:hAnsi="Calibri" w:cs="Calibri"/>
        </w:rPr>
        <w:t xml:space="preserve">the Executive Secretary to compile further information on the use and value of the Convention’s voluntary guidelines on safeguards in biodiversity financing mechanisms and other relevant guidance under the Convention by Parties, other stakeholder organizations and international institutions in relation to the development and application of relevant safeguard systems. </w:t>
      </w:r>
    </w:p>
    <w:p w:rsidR="00A3127A" w:rsidRDefault="00A3127A" w:rsidP="00A3127A">
      <w:pPr>
        <w:spacing w:before="120"/>
        <w:ind w:right="8"/>
        <w:jc w:val="center"/>
      </w:pPr>
      <w:r>
        <w:rPr>
          <w:rFonts w:ascii="Calibri" w:eastAsia="Calibri" w:hAnsi="Calibri" w:cs="Calibri"/>
          <w:i/>
        </w:rPr>
        <w:t xml:space="preserve">Annex </w:t>
      </w:r>
    </w:p>
    <w:p w:rsidR="00A3127A" w:rsidRDefault="00A3127A" w:rsidP="00A3127A">
      <w:pPr>
        <w:spacing w:before="120"/>
        <w:jc w:val="center"/>
      </w:pPr>
      <w:r>
        <w:rPr>
          <w:rFonts w:cs="Times New Roman"/>
          <w:b/>
        </w:rPr>
        <w:t xml:space="preserve">ASSESSMENT OF REQUIREMENTS UNDER THE CONVENTION ON BIOLOGICAL DIVERSITY FOR SAFEGUARDS IN BIODIVERSITY FINANCING MECHANISMS </w:t>
      </w:r>
    </w:p>
    <w:p w:rsidR="00A3127A" w:rsidRDefault="00A3127A" w:rsidP="00A3127A">
      <w:pPr>
        <w:spacing w:before="120"/>
        <w:ind w:left="-5" w:hanging="10"/>
      </w:pPr>
      <w:r>
        <w:rPr>
          <w:rFonts w:ascii="Calibri" w:eastAsia="Calibri" w:hAnsi="Calibri" w:cs="Calibri"/>
        </w:rPr>
        <w:t xml:space="preserve">The following questions may be used as a checklist for compliance with requirements of the Convention’s voluntary guidelines on safeguards in biodiversity financing mechanisms. </w:t>
      </w:r>
    </w:p>
    <w:p w:rsidR="00A3127A" w:rsidRDefault="00A3127A" w:rsidP="00A3127A">
      <w:pPr>
        <w:spacing w:before="120"/>
        <w:ind w:left="-5" w:hanging="10"/>
      </w:pPr>
      <w:r>
        <w:rPr>
          <w:rFonts w:ascii="Calibri" w:eastAsia="Calibri" w:hAnsi="Calibri" w:cs="Calibri"/>
          <w:b/>
        </w:rPr>
        <w:t xml:space="preserve">Overall question on the purpose of the Convention’s voluntary guidelines on safeguards in biodiversity financing mechanisms </w:t>
      </w:r>
    </w:p>
    <w:p w:rsidR="00A3127A" w:rsidRDefault="00A3127A" w:rsidP="00A3127A">
      <w:pPr>
        <w:spacing w:before="120"/>
        <w:ind w:left="-5" w:right="130" w:hanging="10"/>
      </w:pPr>
      <w:r>
        <w:rPr>
          <w:rFonts w:ascii="Calibri" w:eastAsia="Calibri" w:hAnsi="Calibri" w:cs="Calibri"/>
        </w:rPr>
        <w:t xml:space="preserve">Does the financing mechanism have a safeguard system designed to effectively avoid or mitigate its unintended impacts on the rights and livelihoods of indigenous and local communities and to maximize its opportunities to support them? </w:t>
      </w:r>
    </w:p>
    <w:p w:rsidR="00A3127A" w:rsidRDefault="00A3127A" w:rsidP="00A3127A">
      <w:pPr>
        <w:spacing w:before="120"/>
        <w:ind w:left="-5" w:hanging="10"/>
      </w:pPr>
      <w:r>
        <w:rPr>
          <w:rFonts w:ascii="Calibri" w:eastAsia="Calibri" w:hAnsi="Calibri" w:cs="Calibri"/>
          <w:b/>
        </w:rPr>
        <w:t xml:space="preserve">Guideline A: The role of biodiversity and ecosystem functions for local livelihoods and resilience, as well as biodiversity’s intrinsic values, should be recognized in the selection, design and implementation of biodiversity financing mechanisms. </w:t>
      </w:r>
    </w:p>
    <w:p w:rsidR="00A3127A" w:rsidRDefault="00A3127A" w:rsidP="00A3127A">
      <w:pPr>
        <w:spacing w:before="120"/>
        <w:ind w:left="-5" w:right="130" w:hanging="10"/>
        <w:rPr>
          <w:rFonts w:ascii="Calibri" w:eastAsia="Calibri" w:hAnsi="Calibri" w:cs="Calibri"/>
        </w:rPr>
      </w:pPr>
      <w:r>
        <w:rPr>
          <w:rFonts w:ascii="Calibri" w:eastAsia="Calibri" w:hAnsi="Calibri" w:cs="Calibri"/>
        </w:rPr>
        <w:t xml:space="preserve">A.1 </w:t>
      </w:r>
      <w:r>
        <w:rPr>
          <w:rFonts w:ascii="Calibri" w:eastAsia="Calibri" w:hAnsi="Calibri" w:cs="Calibri"/>
        </w:rPr>
        <w:tab/>
        <w:t xml:space="preserve">Is the role of biodiversity and ecosystem functions for local livelihoods and resilience recognized in the selection, design and implementation of the mechanism? </w:t>
      </w:r>
    </w:p>
    <w:p w:rsidR="00A3127A" w:rsidRDefault="00A3127A" w:rsidP="00A3127A">
      <w:pPr>
        <w:spacing w:before="120"/>
        <w:ind w:left="-5" w:right="130" w:hanging="10"/>
      </w:pPr>
      <w:r>
        <w:rPr>
          <w:rFonts w:ascii="Calibri" w:eastAsia="Calibri" w:hAnsi="Calibri" w:cs="Calibri"/>
        </w:rPr>
        <w:t xml:space="preserve">A.2 </w:t>
      </w:r>
      <w:r>
        <w:rPr>
          <w:rFonts w:ascii="Calibri" w:eastAsia="Calibri" w:hAnsi="Calibri" w:cs="Calibri"/>
        </w:rPr>
        <w:tab/>
        <w:t xml:space="preserve">Are biodiversity’s intrinsic values recognized? </w:t>
      </w:r>
    </w:p>
    <w:p w:rsidR="00A3127A" w:rsidRDefault="00A3127A" w:rsidP="00A3127A">
      <w:pPr>
        <w:spacing w:before="120"/>
        <w:ind w:left="-5" w:hanging="10"/>
      </w:pPr>
      <w:r>
        <w:rPr>
          <w:rFonts w:ascii="Calibri" w:eastAsia="Calibri" w:hAnsi="Calibri" w:cs="Calibri"/>
          <w:b/>
        </w:rPr>
        <w:t xml:space="preserve">Guideline B: Rights and responsibilities of actors and/or stakeholders in biodiversity financing mechanisms should be carefully defined, at national level, in a fair and equitable manner, with the effective participation of all actors concerned, including the prior informed consent or approval and involvement of indigenous and local communities, taking into account, the Convention on Biological Diversity and its relevant decisions, guidance and principles and, as appropriate, the United Nations Declaration of the Rights of Indigenous Peoples. </w:t>
      </w:r>
    </w:p>
    <w:p w:rsidR="00A3127A" w:rsidRDefault="00A3127A" w:rsidP="00A3127A">
      <w:pPr>
        <w:tabs>
          <w:tab w:val="right" w:pos="9409"/>
        </w:tabs>
        <w:spacing w:before="120"/>
        <w:ind w:left="-15"/>
      </w:pPr>
      <w:r>
        <w:rPr>
          <w:rFonts w:ascii="Calibri" w:eastAsia="Calibri" w:hAnsi="Calibri" w:cs="Calibri"/>
        </w:rPr>
        <w:t xml:space="preserve">B.1 </w:t>
      </w:r>
      <w:r>
        <w:rPr>
          <w:rFonts w:ascii="Calibri" w:eastAsia="Calibri" w:hAnsi="Calibri" w:cs="Calibri"/>
        </w:rPr>
        <w:tab/>
        <w:t xml:space="preserve">Are the rights and responsibilities of actors and/or stakeholders carefully and equitably defined? </w:t>
      </w:r>
    </w:p>
    <w:p w:rsidR="00A3127A" w:rsidRDefault="00A3127A" w:rsidP="00A3127A">
      <w:pPr>
        <w:spacing w:before="120"/>
        <w:ind w:left="-5" w:hanging="10"/>
      </w:pPr>
      <w:r>
        <w:rPr>
          <w:rFonts w:ascii="Calibri" w:eastAsia="Calibri" w:hAnsi="Calibri" w:cs="Calibri"/>
        </w:rPr>
        <w:t xml:space="preserve">B.2 </w:t>
      </w:r>
      <w:r>
        <w:rPr>
          <w:rFonts w:ascii="Calibri" w:eastAsia="Calibri" w:hAnsi="Calibri" w:cs="Calibri"/>
        </w:rPr>
        <w:tab/>
        <w:t xml:space="preserve">Has there been effective participation of all actors concerned in the definition of such roles and responsibilities? </w:t>
      </w:r>
    </w:p>
    <w:p w:rsidR="00A3127A" w:rsidRDefault="00A3127A" w:rsidP="00A3127A">
      <w:pPr>
        <w:spacing w:before="120"/>
        <w:ind w:left="-5" w:hanging="10"/>
      </w:pPr>
      <w:r>
        <w:rPr>
          <w:rFonts w:ascii="Calibri" w:eastAsia="Calibri" w:hAnsi="Calibri" w:cs="Calibri"/>
        </w:rPr>
        <w:t xml:space="preserve">B.3 </w:t>
      </w:r>
      <w:r>
        <w:rPr>
          <w:rFonts w:ascii="Calibri" w:eastAsia="Calibri" w:hAnsi="Calibri" w:cs="Calibri"/>
        </w:rPr>
        <w:tab/>
        <w:t xml:space="preserve">Has there been prior informed consent or approval and involvement of indigenous and local communities in the definition of such roles and responsibilities? </w:t>
      </w:r>
    </w:p>
    <w:p w:rsidR="00A3127A" w:rsidRDefault="00A3127A" w:rsidP="00A3127A">
      <w:pPr>
        <w:spacing w:before="120"/>
        <w:ind w:left="-5" w:right="130" w:hanging="10"/>
      </w:pPr>
      <w:r>
        <w:rPr>
          <w:rFonts w:ascii="Calibri" w:eastAsia="Calibri" w:hAnsi="Calibri" w:cs="Calibri"/>
        </w:rPr>
        <w:t xml:space="preserve">B.4 </w:t>
      </w:r>
      <w:r>
        <w:rPr>
          <w:rFonts w:ascii="Calibri" w:eastAsia="Calibri" w:hAnsi="Calibri" w:cs="Calibri"/>
        </w:rPr>
        <w:tab/>
        <w:t xml:space="preserve">Has the mechanism </w:t>
      </w:r>
      <w:proofErr w:type="gramStart"/>
      <w:r>
        <w:rPr>
          <w:rFonts w:ascii="Calibri" w:eastAsia="Calibri" w:hAnsi="Calibri" w:cs="Calibri"/>
        </w:rPr>
        <w:t>taken into account</w:t>
      </w:r>
      <w:proofErr w:type="gramEnd"/>
      <w:r>
        <w:rPr>
          <w:rFonts w:ascii="Calibri" w:eastAsia="Calibri" w:hAnsi="Calibri" w:cs="Calibri"/>
        </w:rPr>
        <w:t xml:space="preserve"> the Convention on Biological Diversity and its relevant decisions, guidance and principles and, as appropriate, the United Nations Declaration on the Rights of Indigenous Peoples? </w:t>
      </w:r>
    </w:p>
    <w:p w:rsidR="00A3127A" w:rsidRDefault="00A3127A" w:rsidP="00A3127A">
      <w:pPr>
        <w:spacing w:before="120"/>
        <w:ind w:left="-5" w:hanging="10"/>
        <w:rPr>
          <w:rFonts w:ascii="Calibri" w:eastAsia="Calibri" w:hAnsi="Calibri" w:cs="Calibri"/>
          <w:b/>
        </w:rPr>
      </w:pPr>
      <w:r>
        <w:rPr>
          <w:rFonts w:ascii="Calibri" w:eastAsia="Calibri" w:hAnsi="Calibri" w:cs="Calibri"/>
          <w:b/>
        </w:rPr>
        <w:lastRenderedPageBreak/>
        <w:t xml:space="preserve">Guideline C: Safeguards in biodiversity financing mechanisms should be grounded in local circumstances, should be developed in consistency with relevant country-driven/specific processes as well as national legislation and priorities, and take into account relevant international agreements, declarations and guidance developed under the Convention on Biological Diversity and, as appropriate, the United Nations Framework Convention on Climate Change, international human rights treaties and the United Nations Declaration on the Rights of Indigenous Peoples, among others. </w:t>
      </w:r>
    </w:p>
    <w:p w:rsidR="00A3127A" w:rsidRDefault="00A3127A" w:rsidP="00A3127A">
      <w:pPr>
        <w:spacing w:before="120"/>
        <w:ind w:left="-5" w:hanging="10"/>
      </w:pPr>
      <w:r>
        <w:rPr>
          <w:rFonts w:ascii="Calibri" w:eastAsia="Calibri" w:hAnsi="Calibri" w:cs="Calibri"/>
        </w:rPr>
        <w:t xml:space="preserve">C.1 </w:t>
      </w:r>
      <w:r>
        <w:rPr>
          <w:rFonts w:ascii="Calibri" w:eastAsia="Calibri" w:hAnsi="Calibri" w:cs="Calibri"/>
        </w:rPr>
        <w:tab/>
        <w:t xml:space="preserve">Are the financing mechanism’s safeguards grounded in local circumstances? </w:t>
      </w:r>
    </w:p>
    <w:p w:rsidR="00A3127A" w:rsidRDefault="00A3127A" w:rsidP="00A3127A">
      <w:pPr>
        <w:spacing w:before="120"/>
        <w:ind w:left="-5" w:hanging="10"/>
      </w:pPr>
      <w:r>
        <w:rPr>
          <w:rFonts w:ascii="Calibri" w:eastAsia="Calibri" w:hAnsi="Calibri" w:cs="Calibri"/>
        </w:rPr>
        <w:t xml:space="preserve">C.2 </w:t>
      </w:r>
      <w:r>
        <w:rPr>
          <w:rFonts w:ascii="Calibri" w:eastAsia="Calibri" w:hAnsi="Calibri" w:cs="Calibri"/>
        </w:rPr>
        <w:tab/>
        <w:t xml:space="preserve">Are safeguards consistent with relevant country-driven/specific processes as well as national legislation and priorities? </w:t>
      </w:r>
    </w:p>
    <w:p w:rsidR="00A3127A" w:rsidRDefault="00A3127A" w:rsidP="00A3127A">
      <w:pPr>
        <w:spacing w:before="120"/>
        <w:ind w:left="-5" w:right="130" w:hanging="10"/>
      </w:pPr>
      <w:r>
        <w:rPr>
          <w:rFonts w:ascii="Calibri" w:eastAsia="Calibri" w:hAnsi="Calibri" w:cs="Calibri"/>
        </w:rPr>
        <w:t xml:space="preserve">C.3 </w:t>
      </w:r>
      <w:r>
        <w:rPr>
          <w:rFonts w:ascii="Calibri" w:eastAsia="Calibri" w:hAnsi="Calibri" w:cs="Calibri"/>
        </w:rPr>
        <w:tab/>
        <w:t xml:space="preserve">Do they </w:t>
      </w:r>
      <w:proofErr w:type="gramStart"/>
      <w:r>
        <w:rPr>
          <w:rFonts w:ascii="Calibri" w:eastAsia="Calibri" w:hAnsi="Calibri" w:cs="Calibri"/>
        </w:rPr>
        <w:t>take into account</w:t>
      </w:r>
      <w:proofErr w:type="gramEnd"/>
      <w:r>
        <w:rPr>
          <w:rFonts w:ascii="Calibri" w:eastAsia="Calibri" w:hAnsi="Calibri" w:cs="Calibri"/>
        </w:rPr>
        <w:t xml:space="preserve"> the instruments mentioned in point B.4 and the United Nations Framework Convention on Climate Change, international human rights treaties and others, as appropriate? </w:t>
      </w:r>
    </w:p>
    <w:p w:rsidR="00A3127A" w:rsidRDefault="00A3127A" w:rsidP="00A3127A">
      <w:pPr>
        <w:spacing w:before="120"/>
        <w:ind w:left="-5" w:hanging="10"/>
      </w:pPr>
      <w:r>
        <w:rPr>
          <w:rFonts w:ascii="Calibri" w:eastAsia="Calibri" w:hAnsi="Calibri" w:cs="Calibri"/>
          <w:b/>
        </w:rPr>
        <w:t xml:space="preserve">Guideline D: Appropriate and effective institutional frameworks are of utmost importance for safeguards to be operational and should be put in place, including enforcement and evaluation mechanisms that will ensure transparency and accountability, as well as compliance with relevant safeguards </w:t>
      </w:r>
    </w:p>
    <w:p w:rsidR="00A3127A" w:rsidRDefault="00A3127A" w:rsidP="00A3127A">
      <w:pPr>
        <w:spacing w:before="120"/>
        <w:ind w:left="-5" w:hanging="10"/>
      </w:pPr>
      <w:r>
        <w:rPr>
          <w:rFonts w:ascii="Calibri" w:eastAsia="Calibri" w:hAnsi="Calibri" w:cs="Calibri"/>
        </w:rPr>
        <w:t xml:space="preserve">D.1 </w:t>
      </w:r>
      <w:r>
        <w:rPr>
          <w:rFonts w:ascii="Calibri" w:eastAsia="Calibri" w:hAnsi="Calibri" w:cs="Calibri"/>
        </w:rPr>
        <w:tab/>
        <w:t xml:space="preserve">Are appropriate and effective institutional frameworks in place to ensure application of the safeguards? </w:t>
      </w:r>
    </w:p>
    <w:p w:rsidR="00A3127A" w:rsidRDefault="00A3127A" w:rsidP="00A3127A">
      <w:pPr>
        <w:tabs>
          <w:tab w:val="center" w:pos="4183"/>
        </w:tabs>
        <w:spacing w:before="120"/>
        <w:ind w:left="-15"/>
      </w:pPr>
      <w:r>
        <w:rPr>
          <w:rFonts w:ascii="Calibri" w:eastAsia="Calibri" w:hAnsi="Calibri" w:cs="Calibri"/>
        </w:rPr>
        <w:t xml:space="preserve">D.2 </w:t>
      </w:r>
      <w:r>
        <w:rPr>
          <w:rFonts w:ascii="Calibri" w:eastAsia="Calibri" w:hAnsi="Calibri" w:cs="Calibri"/>
        </w:rPr>
        <w:tab/>
        <w:t xml:space="preserve">Does the safeguard system include enforcement and evaluation mechanisms? </w:t>
      </w:r>
    </w:p>
    <w:p w:rsidR="00A3127A" w:rsidRDefault="00A3127A" w:rsidP="00A3127A">
      <w:pPr>
        <w:tabs>
          <w:tab w:val="center" w:pos="3532"/>
        </w:tabs>
        <w:spacing w:before="120"/>
        <w:ind w:left="-15"/>
      </w:pPr>
      <w:r>
        <w:rPr>
          <w:rFonts w:ascii="Calibri" w:eastAsia="Calibri" w:hAnsi="Calibri" w:cs="Calibri"/>
        </w:rPr>
        <w:t xml:space="preserve">D.3 </w:t>
      </w:r>
      <w:r>
        <w:rPr>
          <w:rFonts w:ascii="Calibri" w:eastAsia="Calibri" w:hAnsi="Calibri" w:cs="Calibri"/>
        </w:rPr>
        <w:tab/>
        <w:t xml:space="preserve">Are requirements of transparency and accountability included? </w:t>
      </w:r>
    </w:p>
    <w:p w:rsidR="00A3127A" w:rsidRDefault="00A3127A" w:rsidP="00A3127A">
      <w:pPr>
        <w:tabs>
          <w:tab w:val="center" w:pos="3769"/>
        </w:tabs>
        <w:spacing w:before="120"/>
        <w:ind w:left="-15"/>
      </w:pPr>
      <w:r>
        <w:rPr>
          <w:rFonts w:ascii="Calibri" w:eastAsia="Calibri" w:hAnsi="Calibri" w:cs="Calibri"/>
        </w:rPr>
        <w:t xml:space="preserve">D.4 </w:t>
      </w:r>
      <w:r>
        <w:rPr>
          <w:rFonts w:ascii="Calibri" w:eastAsia="Calibri" w:hAnsi="Calibri" w:cs="Calibri"/>
        </w:rPr>
        <w:tab/>
        <w:t xml:space="preserve">Are all stakeholders required complying with safeguards’ provisions? </w:t>
      </w:r>
    </w:p>
    <w:p w:rsidR="00A3127A" w:rsidRDefault="00A3127A" w:rsidP="00A3127A">
      <w:pPr>
        <w:spacing w:before="120"/>
        <w:ind w:left="-5" w:right="-10" w:hanging="10"/>
      </w:pPr>
      <w:r>
        <w:rPr>
          <w:rFonts w:cs="Times New Roman"/>
          <w:b/>
        </w:rPr>
        <w:t xml:space="preserve">Additional questions elaborated from the relevant decisions, guidance and principles under the Convention on Biological Diversity would include the following: </w:t>
      </w:r>
    </w:p>
    <w:p w:rsidR="00A3127A" w:rsidRDefault="00A3127A" w:rsidP="00A3127A">
      <w:pPr>
        <w:numPr>
          <w:ilvl w:val="0"/>
          <w:numId w:val="31"/>
        </w:numPr>
        <w:spacing w:before="120"/>
        <w:ind w:hanging="720"/>
      </w:pPr>
      <w:r>
        <w:rPr>
          <w:rFonts w:cs="Times New Roman"/>
        </w:rPr>
        <w:t xml:space="preserve">Are there provisions to ensure equity, or reduce risks of inequity, in benefit sharing? </w:t>
      </w:r>
    </w:p>
    <w:p w:rsidR="00A3127A" w:rsidRPr="00A3127A" w:rsidRDefault="00A3127A" w:rsidP="00A3127A">
      <w:pPr>
        <w:numPr>
          <w:ilvl w:val="0"/>
          <w:numId w:val="31"/>
        </w:numPr>
        <w:spacing w:before="120"/>
        <w:ind w:hanging="720"/>
      </w:pPr>
      <w:r>
        <w:rPr>
          <w:rFonts w:cs="Times New Roman"/>
        </w:rPr>
        <w:t xml:space="preserve">Are cultural impact assessment procedures included in safeguard instruments? Do they specifically include respect for the spiritual values of indigenous peoples and local communities? </w:t>
      </w:r>
    </w:p>
    <w:p w:rsidR="00A3127A" w:rsidRDefault="00A3127A" w:rsidP="00A3127A">
      <w:pPr>
        <w:numPr>
          <w:ilvl w:val="0"/>
          <w:numId w:val="31"/>
        </w:numPr>
        <w:spacing w:before="120"/>
        <w:ind w:hanging="720"/>
      </w:pPr>
      <w:r>
        <w:rPr>
          <w:rFonts w:cs="Times New Roman"/>
        </w:rPr>
        <w:t xml:space="preserve">Is customary use considered in avoidance of risks? </w:t>
      </w:r>
    </w:p>
    <w:p w:rsidR="00A3127A" w:rsidRDefault="00A3127A" w:rsidP="00A3127A">
      <w:pPr>
        <w:spacing w:before="120"/>
        <w:ind w:left="705" w:hanging="720"/>
      </w:pPr>
      <w:r>
        <w:rPr>
          <w:rFonts w:cs="Times New Roman"/>
        </w:rPr>
        <w:t>H.</w:t>
      </w:r>
      <w:r>
        <w:rPr>
          <w:rFonts w:ascii="Arial" w:eastAsia="Arial" w:hAnsi="Arial" w:cs="Arial"/>
        </w:rPr>
        <w:t xml:space="preserve"> </w:t>
      </w:r>
      <w:r>
        <w:rPr>
          <w:rFonts w:cs="Times New Roman"/>
        </w:rPr>
        <w:t xml:space="preserve">Are there safeguard provisions for risk mitigation and avoidance in relation to the traditional knowledge of indigenous peoples and local communities, especially regarding the protection of their knowledge rights? </w:t>
      </w:r>
    </w:p>
    <w:p w:rsidR="00662C41" w:rsidRDefault="00662C41" w:rsidP="00A62EE9">
      <w:pPr>
        <w:pStyle w:val="Heading2"/>
        <w:jc w:val="both"/>
        <w:rPr>
          <w:rFonts w:cs="Times New Roman"/>
          <w:i w:val="0"/>
          <w:szCs w:val="22"/>
        </w:rPr>
      </w:pPr>
      <w:bookmarkStart w:id="32" w:name="_Toc496096497"/>
    </w:p>
    <w:p w:rsidR="005265D0" w:rsidRPr="00950726" w:rsidRDefault="008B242F" w:rsidP="005265D0">
      <w:pPr>
        <w:pStyle w:val="Heading2"/>
        <w:numPr>
          <w:ilvl w:val="0"/>
          <w:numId w:val="2"/>
        </w:numPr>
        <w:rPr>
          <w:rFonts w:cs="Times New Roman"/>
          <w:i w:val="0"/>
          <w:szCs w:val="22"/>
        </w:rPr>
      </w:pPr>
      <w:bookmarkStart w:id="33" w:name="_Toc507765241"/>
      <w:r w:rsidRPr="00950726">
        <w:rPr>
          <w:rFonts w:cs="Times New Roman"/>
          <w:i w:val="0"/>
          <w:szCs w:val="22"/>
        </w:rPr>
        <w:t>Submission from relevant organizations</w:t>
      </w:r>
      <w:bookmarkEnd w:id="32"/>
      <w:bookmarkEnd w:id="33"/>
    </w:p>
    <w:p w:rsidR="005265D0" w:rsidRPr="00045D4E" w:rsidRDefault="005265D0" w:rsidP="005265D0">
      <w:pPr>
        <w:rPr>
          <w:rFonts w:cs="Times New Roman"/>
          <w:szCs w:val="22"/>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75E1E" w:rsidRPr="00045D4E" w:rsidTr="00D52714">
        <w:tc>
          <w:tcPr>
            <w:tcW w:w="9464" w:type="dxa"/>
          </w:tcPr>
          <w:p w:rsidR="00975E1E" w:rsidRPr="002A3156" w:rsidRDefault="002A3156" w:rsidP="00306469">
            <w:pPr>
              <w:pStyle w:val="Heading3"/>
              <w:spacing w:before="120"/>
              <w:rPr>
                <w:rFonts w:ascii="Adobe Caslon Pro" w:hAnsi="Adobe Caslon Pro"/>
                <w:b w:val="0"/>
                <w:i/>
                <w:iCs/>
                <w:sz w:val="22"/>
                <w:szCs w:val="22"/>
              </w:rPr>
            </w:pPr>
            <w:bookmarkStart w:id="34" w:name="_Toc507765242"/>
            <w:r w:rsidRPr="00514F3C">
              <w:rPr>
                <w:rFonts w:ascii="Times New Roman" w:hAnsi="Times New Roman"/>
                <w:sz w:val="22"/>
                <w:szCs w:val="22"/>
                <w:lang w:val="en-CA"/>
              </w:rPr>
              <w:t>Foundation for Aboriginal and Islander Research Action</w:t>
            </w:r>
            <w:bookmarkEnd w:id="34"/>
          </w:p>
        </w:tc>
      </w:tr>
    </w:tbl>
    <w:p w:rsidR="00975E1E" w:rsidRPr="00045D4E" w:rsidRDefault="00975E1E" w:rsidP="00975E1E">
      <w:pPr>
        <w:spacing w:before="120" w:after="120" w:line="360" w:lineRule="exact"/>
        <w:rPr>
          <w:rFonts w:cs="Times New Roman"/>
          <w:b/>
          <w:szCs w:val="22"/>
        </w:rPr>
      </w:pPr>
      <w:r w:rsidRPr="00045D4E">
        <w:rPr>
          <w:rFonts w:cs="Times New Roman"/>
          <w:b/>
          <w:szCs w:val="22"/>
        </w:rPr>
        <w:t xml:space="preserve">SUBMISSION </w:t>
      </w:r>
    </w:p>
    <w:p w:rsidR="002A3156" w:rsidRDefault="002A3156" w:rsidP="002A3156">
      <w:pPr>
        <w:rPr>
          <w:rFonts w:ascii="Adobe Caslon Pro" w:hAnsi="Adobe Caslon Pro" w:cs="Times New Roman"/>
          <w:szCs w:val="22"/>
        </w:rPr>
      </w:pPr>
      <w:r>
        <w:rPr>
          <w:rFonts w:ascii="Adobe Caslon Pro" w:hAnsi="Adobe Caslon Pro"/>
          <w:szCs w:val="22"/>
        </w:rPr>
        <w:t>I wish to recommend further work on developing and developing a CBD IPLC specific Safeguards Framework based on principles, standards and guidelines developed under the CBD (refer to CBD/WG8J/10/INF/7 attached), also addressing any additional gaps identified as a major element of work for article 8(j) and related provisions in the Post 2020 Biodiversity Framework.</w:t>
      </w:r>
    </w:p>
    <w:p w:rsidR="004B314B" w:rsidRPr="002A3156" w:rsidRDefault="00306469" w:rsidP="00306469">
      <w:pPr>
        <w:spacing w:before="120" w:after="120"/>
        <w:jc w:val="center"/>
        <w:rPr>
          <w:rFonts w:cs="Times New Roman"/>
          <w:b/>
          <w:color w:val="000000"/>
          <w:szCs w:val="22"/>
        </w:rPr>
      </w:pPr>
      <w:r>
        <w:rPr>
          <w:rFonts w:cs="Times New Roman"/>
          <w:b/>
          <w:color w:val="000000"/>
          <w:szCs w:val="22"/>
        </w:rPr>
        <w:t>__________</w:t>
      </w:r>
    </w:p>
    <w:sectPr w:rsidR="004B314B" w:rsidRPr="002A3156" w:rsidSect="00B64E52">
      <w:footerReference w:type="default" r:id="rId13"/>
      <w:type w:val="continuous"/>
      <w:pgSz w:w="12240" w:h="15840" w:code="1"/>
      <w:pgMar w:top="1021" w:right="1440" w:bottom="1134" w:left="1440"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0B9" w:rsidRDefault="008630B9" w:rsidP="008B242F">
      <w:r>
        <w:separator/>
      </w:r>
    </w:p>
  </w:endnote>
  <w:endnote w:type="continuationSeparator" w:id="0">
    <w:p w:rsidR="008630B9" w:rsidRDefault="008630B9" w:rsidP="008B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1D" w:rsidRPr="00F43E2B" w:rsidRDefault="0080391D" w:rsidP="00106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0B9" w:rsidRDefault="008630B9" w:rsidP="008B242F">
      <w:r>
        <w:separator/>
      </w:r>
    </w:p>
  </w:footnote>
  <w:footnote w:type="continuationSeparator" w:id="0">
    <w:p w:rsidR="008630B9" w:rsidRDefault="008630B9" w:rsidP="008B242F">
      <w:r>
        <w:continuationSeparator/>
      </w:r>
    </w:p>
  </w:footnote>
  <w:footnote w:id="1">
    <w:p w:rsidR="00D156E1" w:rsidRPr="00306469" w:rsidRDefault="00D156E1" w:rsidP="00306469">
      <w:pPr>
        <w:pStyle w:val="Default"/>
        <w:rPr>
          <w:lang w:eastAsia="en-GB"/>
        </w:rPr>
      </w:pPr>
      <w:r w:rsidRPr="00306469">
        <w:rPr>
          <w:rStyle w:val="FootnoteReference"/>
          <w:u w:val="none"/>
        </w:rPr>
        <w:footnoteRef/>
      </w:r>
      <w:r>
        <w:t xml:space="preserve"> </w:t>
      </w:r>
      <w:r w:rsidRPr="00306469">
        <w:rPr>
          <w:sz w:val="18"/>
          <w:szCs w:val="18"/>
        </w:rPr>
        <w:t>CBD/SBI/2/1</w:t>
      </w:r>
      <w:r w:rsidR="00306469">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596139595"/>
      <w:placeholder>
        <w:docPart w:val="C2FFE9EA34894454AFA04D30B2EDCB94"/>
      </w:placeholder>
      <w:dataBinding w:prefixMappings="xmlns:ns0='http://purl.org/dc/elements/1.1/' xmlns:ns1='http://schemas.openxmlformats.org/package/2006/metadata/core-properties' " w:xpath="/ns1:coreProperties[1]/ns0:subject[1]" w:storeItemID="{6C3C8BC8-F283-45AE-878A-BAB7291924A1}"/>
      <w:text/>
    </w:sdtPr>
    <w:sdtEndPr/>
    <w:sdtContent>
      <w:p w:rsidR="0080391D" w:rsidRPr="00F2607E" w:rsidRDefault="00306469" w:rsidP="00106AD2">
        <w:pPr>
          <w:tabs>
            <w:tab w:val="left" w:pos="0"/>
          </w:tabs>
          <w:suppressAutoHyphens/>
          <w:rPr>
            <w:lang w:val="fr-FR"/>
          </w:rPr>
        </w:pPr>
        <w:r>
          <w:rPr>
            <w:lang w:val="fr-FR"/>
          </w:rPr>
          <w:t>CBD/SBI/2/INF/9</w:t>
        </w:r>
      </w:p>
    </w:sdtContent>
  </w:sdt>
  <w:p w:rsidR="0080391D" w:rsidRPr="00F2607E" w:rsidRDefault="0080391D">
    <w:pPr>
      <w:pStyle w:val="Header"/>
      <w:rPr>
        <w:rStyle w:val="PageNumber"/>
        <w:lang w:val="fr-FR"/>
      </w:rPr>
    </w:pPr>
    <w:r w:rsidRPr="00F2607E">
      <w:rPr>
        <w:lang w:val="fr-FR"/>
      </w:rPr>
      <w:t xml:space="preserve">Page </w:t>
    </w:r>
    <w:r w:rsidR="006B09D5">
      <w:rPr>
        <w:rStyle w:val="PageNumber"/>
      </w:rPr>
      <w:fldChar w:fldCharType="begin"/>
    </w:r>
    <w:r w:rsidRPr="00F2607E">
      <w:rPr>
        <w:rStyle w:val="PageNumber"/>
        <w:lang w:val="fr-FR"/>
      </w:rPr>
      <w:instrText xml:space="preserve"> PAGE </w:instrText>
    </w:r>
    <w:r w:rsidR="006B09D5">
      <w:rPr>
        <w:rStyle w:val="PageNumber"/>
      </w:rPr>
      <w:fldChar w:fldCharType="separate"/>
    </w:r>
    <w:r w:rsidR="0063650C">
      <w:rPr>
        <w:rStyle w:val="PageNumber"/>
        <w:noProof/>
        <w:lang w:val="fr-FR"/>
      </w:rPr>
      <w:t>6</w:t>
    </w:r>
    <w:r w:rsidR="006B09D5">
      <w:rPr>
        <w:rStyle w:val="PageNumber"/>
      </w:rPr>
      <w:fldChar w:fldCharType="end"/>
    </w:r>
  </w:p>
  <w:p w:rsidR="0080391D" w:rsidRPr="00F2607E" w:rsidRDefault="0080391D">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szCs w:val="22"/>
        <w:lang w:val="fr-FR"/>
      </w:rPr>
      <w:alias w:val="Subject"/>
      <w:tag w:val=""/>
      <w:id w:val="-1269239600"/>
      <w:placeholder>
        <w:docPart w:val="10FF2A3E6F2C4828B508B8328A743036"/>
      </w:placeholder>
      <w:dataBinding w:prefixMappings="xmlns:ns0='http://purl.org/dc/elements/1.1/' xmlns:ns1='http://schemas.openxmlformats.org/package/2006/metadata/core-properties' " w:xpath="/ns1:coreProperties[1]/ns0:subject[1]" w:storeItemID="{6C3C8BC8-F283-45AE-878A-BAB7291924A1}"/>
      <w:text/>
    </w:sdtPr>
    <w:sdtEndPr/>
    <w:sdtContent>
      <w:p w:rsidR="0080391D" w:rsidRPr="00B64E52" w:rsidRDefault="00306469" w:rsidP="00B64E52">
        <w:pPr>
          <w:jc w:val="right"/>
          <w:rPr>
            <w:rFonts w:cs="Times New Roman"/>
            <w:szCs w:val="22"/>
            <w:lang w:val="fr-FR"/>
          </w:rPr>
        </w:pPr>
        <w:r>
          <w:rPr>
            <w:rFonts w:cs="Times New Roman"/>
            <w:szCs w:val="22"/>
            <w:lang w:val="fr-FR"/>
          </w:rPr>
          <w:t>CBD/SBI/2/INF/9</w:t>
        </w:r>
      </w:p>
    </w:sdtContent>
  </w:sdt>
  <w:p w:rsidR="0080391D" w:rsidRPr="00336CFF" w:rsidRDefault="0080391D" w:rsidP="00306469">
    <w:pPr>
      <w:pStyle w:val="Header"/>
      <w:spacing w:after="120"/>
      <w:jc w:val="right"/>
      <w:rPr>
        <w:lang w:val="fr-FR"/>
      </w:rPr>
    </w:pPr>
    <w:r w:rsidRPr="00B64E52">
      <w:rPr>
        <w:lang w:val="fr-FR"/>
      </w:rPr>
      <w:t xml:space="preserve">Page </w:t>
    </w:r>
    <w:r w:rsidR="006B09D5" w:rsidRPr="00B64E52">
      <w:rPr>
        <w:rStyle w:val="PageNumber"/>
      </w:rPr>
      <w:fldChar w:fldCharType="begin"/>
    </w:r>
    <w:r w:rsidRPr="00B64E52">
      <w:rPr>
        <w:rStyle w:val="PageNumber"/>
        <w:lang w:val="fr-FR"/>
      </w:rPr>
      <w:instrText xml:space="preserve"> PAGE </w:instrText>
    </w:r>
    <w:r w:rsidR="006B09D5" w:rsidRPr="00B64E52">
      <w:rPr>
        <w:rStyle w:val="PageNumber"/>
      </w:rPr>
      <w:fldChar w:fldCharType="separate"/>
    </w:r>
    <w:r w:rsidR="0063650C">
      <w:rPr>
        <w:rStyle w:val="PageNumber"/>
        <w:noProof/>
        <w:lang w:val="fr-FR"/>
      </w:rPr>
      <w:t>5</w:t>
    </w:r>
    <w:r w:rsidR="006B09D5" w:rsidRPr="00B64E52">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CE1"/>
    <w:multiLevelType w:val="hybridMultilevel"/>
    <w:tmpl w:val="21A2B9CA"/>
    <w:lvl w:ilvl="0" w:tplc="04090001">
      <w:start w:val="1"/>
      <w:numFmt w:val="bullet"/>
      <w:lvlText w:val=""/>
      <w:lvlJc w:val="left"/>
      <w:pPr>
        <w:ind w:left="1069" w:hanging="360"/>
      </w:pPr>
      <w:rPr>
        <w:rFonts w:ascii="Symbol" w:hAnsi="Symbol"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05BC1C35"/>
    <w:multiLevelType w:val="hybridMultilevel"/>
    <w:tmpl w:val="06F2BD6E"/>
    <w:lvl w:ilvl="0" w:tplc="480A0017">
      <w:start w:val="1"/>
      <w:numFmt w:val="lowerLetter"/>
      <w:lvlText w:val="%1)"/>
      <w:lvlJc w:val="left"/>
      <w:pPr>
        <w:ind w:left="705" w:hanging="360"/>
      </w:pPr>
    </w:lvl>
    <w:lvl w:ilvl="1" w:tplc="480A0019" w:tentative="1">
      <w:start w:val="1"/>
      <w:numFmt w:val="lowerLetter"/>
      <w:lvlText w:val="%2."/>
      <w:lvlJc w:val="left"/>
      <w:pPr>
        <w:ind w:left="1425" w:hanging="360"/>
      </w:pPr>
    </w:lvl>
    <w:lvl w:ilvl="2" w:tplc="480A001B" w:tentative="1">
      <w:start w:val="1"/>
      <w:numFmt w:val="lowerRoman"/>
      <w:lvlText w:val="%3."/>
      <w:lvlJc w:val="right"/>
      <w:pPr>
        <w:ind w:left="2145" w:hanging="180"/>
      </w:pPr>
    </w:lvl>
    <w:lvl w:ilvl="3" w:tplc="480A000F" w:tentative="1">
      <w:start w:val="1"/>
      <w:numFmt w:val="decimal"/>
      <w:lvlText w:val="%4."/>
      <w:lvlJc w:val="left"/>
      <w:pPr>
        <w:ind w:left="2865" w:hanging="360"/>
      </w:pPr>
    </w:lvl>
    <w:lvl w:ilvl="4" w:tplc="480A0019" w:tentative="1">
      <w:start w:val="1"/>
      <w:numFmt w:val="lowerLetter"/>
      <w:lvlText w:val="%5."/>
      <w:lvlJc w:val="left"/>
      <w:pPr>
        <w:ind w:left="3585" w:hanging="360"/>
      </w:pPr>
    </w:lvl>
    <w:lvl w:ilvl="5" w:tplc="480A001B" w:tentative="1">
      <w:start w:val="1"/>
      <w:numFmt w:val="lowerRoman"/>
      <w:lvlText w:val="%6."/>
      <w:lvlJc w:val="right"/>
      <w:pPr>
        <w:ind w:left="4305" w:hanging="180"/>
      </w:pPr>
    </w:lvl>
    <w:lvl w:ilvl="6" w:tplc="480A000F" w:tentative="1">
      <w:start w:val="1"/>
      <w:numFmt w:val="decimal"/>
      <w:lvlText w:val="%7."/>
      <w:lvlJc w:val="left"/>
      <w:pPr>
        <w:ind w:left="5025" w:hanging="360"/>
      </w:pPr>
    </w:lvl>
    <w:lvl w:ilvl="7" w:tplc="480A0019" w:tentative="1">
      <w:start w:val="1"/>
      <w:numFmt w:val="lowerLetter"/>
      <w:lvlText w:val="%8."/>
      <w:lvlJc w:val="left"/>
      <w:pPr>
        <w:ind w:left="5745" w:hanging="360"/>
      </w:pPr>
    </w:lvl>
    <w:lvl w:ilvl="8" w:tplc="480A001B" w:tentative="1">
      <w:start w:val="1"/>
      <w:numFmt w:val="lowerRoman"/>
      <w:lvlText w:val="%9."/>
      <w:lvlJc w:val="right"/>
      <w:pPr>
        <w:ind w:left="6465" w:hanging="180"/>
      </w:pPr>
    </w:lvl>
  </w:abstractNum>
  <w:abstractNum w:abstractNumId="2" w15:restartNumberingAfterBreak="0">
    <w:nsid w:val="0CF82FCD"/>
    <w:multiLevelType w:val="hybridMultilevel"/>
    <w:tmpl w:val="7354C0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0FF42B3"/>
    <w:multiLevelType w:val="hybridMultilevel"/>
    <w:tmpl w:val="D562A366"/>
    <w:lvl w:ilvl="0" w:tplc="B7B678E8">
      <w:numFmt w:val="bullet"/>
      <w:lvlText w:val="•"/>
      <w:lvlJc w:val="left"/>
      <w:pPr>
        <w:ind w:left="720" w:hanging="360"/>
      </w:pPr>
      <w:rPr>
        <w:rFonts w:ascii="Arial" w:eastAsia="Times New Roman" w:hAnsi="Arial" w:cs="Times New Roman"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23352D0"/>
    <w:multiLevelType w:val="hybridMultilevel"/>
    <w:tmpl w:val="96060C02"/>
    <w:lvl w:ilvl="0" w:tplc="61AEE120">
      <w:start w:val="1"/>
      <w:numFmt w:val="lowerRoman"/>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13280DAF"/>
    <w:multiLevelType w:val="hybridMultilevel"/>
    <w:tmpl w:val="FA2297C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0E01C6"/>
    <w:multiLevelType w:val="hybridMultilevel"/>
    <w:tmpl w:val="81843D40"/>
    <w:lvl w:ilvl="0" w:tplc="173E1FCC">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BEFD79F"/>
    <w:multiLevelType w:val="hybridMultilevel"/>
    <w:tmpl w:val="9A8088C4"/>
    <w:lvl w:ilvl="0" w:tplc="51DE288C">
      <w:start w:val="1"/>
      <w:numFmt w:val="bullet"/>
      <w:lvlText w:val=""/>
      <w:lvlJc w:val="left"/>
      <w:pPr>
        <w:ind w:left="0" w:firstLine="0"/>
      </w:pPr>
    </w:lvl>
    <w:lvl w:ilvl="1" w:tplc="D456711A">
      <w:numFmt w:val="decimal"/>
      <w:lvlText w:val=""/>
      <w:lvlJc w:val="left"/>
      <w:pPr>
        <w:ind w:left="0" w:firstLine="0"/>
      </w:pPr>
    </w:lvl>
    <w:lvl w:ilvl="2" w:tplc="72A80A80">
      <w:numFmt w:val="decimal"/>
      <w:lvlText w:val=""/>
      <w:lvlJc w:val="left"/>
      <w:pPr>
        <w:ind w:left="0" w:firstLine="0"/>
      </w:pPr>
    </w:lvl>
    <w:lvl w:ilvl="3" w:tplc="1ED4FDDA">
      <w:numFmt w:val="decimal"/>
      <w:lvlText w:val=""/>
      <w:lvlJc w:val="left"/>
      <w:pPr>
        <w:ind w:left="0" w:firstLine="0"/>
      </w:pPr>
    </w:lvl>
    <w:lvl w:ilvl="4" w:tplc="2C7C0F82">
      <w:numFmt w:val="decimal"/>
      <w:lvlText w:val=""/>
      <w:lvlJc w:val="left"/>
      <w:pPr>
        <w:ind w:left="0" w:firstLine="0"/>
      </w:pPr>
    </w:lvl>
    <w:lvl w:ilvl="5" w:tplc="74F2F4C0">
      <w:numFmt w:val="decimal"/>
      <w:lvlText w:val=""/>
      <w:lvlJc w:val="left"/>
      <w:pPr>
        <w:ind w:left="0" w:firstLine="0"/>
      </w:pPr>
    </w:lvl>
    <w:lvl w:ilvl="6" w:tplc="FF0C2984">
      <w:numFmt w:val="decimal"/>
      <w:lvlText w:val=""/>
      <w:lvlJc w:val="left"/>
      <w:pPr>
        <w:ind w:left="0" w:firstLine="0"/>
      </w:pPr>
    </w:lvl>
    <w:lvl w:ilvl="7" w:tplc="F752BA1C">
      <w:numFmt w:val="decimal"/>
      <w:lvlText w:val=""/>
      <w:lvlJc w:val="left"/>
      <w:pPr>
        <w:ind w:left="0" w:firstLine="0"/>
      </w:pPr>
    </w:lvl>
    <w:lvl w:ilvl="8" w:tplc="48740324">
      <w:numFmt w:val="decimal"/>
      <w:lvlText w:val=""/>
      <w:lvlJc w:val="left"/>
      <w:pPr>
        <w:ind w:left="0" w:firstLine="0"/>
      </w:pPr>
    </w:lvl>
  </w:abstractNum>
  <w:abstractNum w:abstractNumId="8" w15:restartNumberingAfterBreak="0">
    <w:nsid w:val="1CBA30E3"/>
    <w:multiLevelType w:val="hybridMultilevel"/>
    <w:tmpl w:val="589A9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8F212D"/>
    <w:multiLevelType w:val="hybridMultilevel"/>
    <w:tmpl w:val="555E7A90"/>
    <w:lvl w:ilvl="0" w:tplc="F578BB20">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0" w15:restartNumberingAfterBreak="0">
    <w:nsid w:val="1DF4556D"/>
    <w:multiLevelType w:val="hybridMultilevel"/>
    <w:tmpl w:val="0E6EED6C"/>
    <w:lvl w:ilvl="0" w:tplc="173E1FC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EFA039E"/>
    <w:multiLevelType w:val="hybridMultilevel"/>
    <w:tmpl w:val="F2C62C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EC0725"/>
    <w:multiLevelType w:val="hybridMultilevel"/>
    <w:tmpl w:val="7E1EC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C47B3"/>
    <w:multiLevelType w:val="hybridMultilevel"/>
    <w:tmpl w:val="3E56C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67F2BCA"/>
    <w:multiLevelType w:val="hybridMultilevel"/>
    <w:tmpl w:val="2772C6D2"/>
    <w:lvl w:ilvl="0" w:tplc="04090001">
      <w:start w:val="1"/>
      <w:numFmt w:val="bullet"/>
      <w:lvlText w:val=""/>
      <w:lvlJc w:val="left"/>
      <w:pPr>
        <w:ind w:left="1069" w:hanging="360"/>
      </w:pPr>
      <w:rPr>
        <w:rFonts w:ascii="Symbol" w:hAnsi="Symbol"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15:restartNumberingAfterBreak="0">
    <w:nsid w:val="472A64AF"/>
    <w:multiLevelType w:val="hybridMultilevel"/>
    <w:tmpl w:val="A2426484"/>
    <w:lvl w:ilvl="0" w:tplc="C160F564">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4A487328"/>
    <w:multiLevelType w:val="hybridMultilevel"/>
    <w:tmpl w:val="1AEC42DA"/>
    <w:lvl w:ilvl="0" w:tplc="172AEEF8">
      <w:start w:val="5"/>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9466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6823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9852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7828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6055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9AAC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FC81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2090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E0442B4"/>
    <w:multiLevelType w:val="multilevel"/>
    <w:tmpl w:val="71B23A2C"/>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4E3F50"/>
    <w:multiLevelType w:val="hybridMultilevel"/>
    <w:tmpl w:val="533A2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BEE017C"/>
    <w:multiLevelType w:val="hybridMultilevel"/>
    <w:tmpl w:val="4D123E68"/>
    <w:lvl w:ilvl="0" w:tplc="A5D8DFC0">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2C68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384B0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76BFC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5085A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02D5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CC9E3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7047A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CE77F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C9F7E93"/>
    <w:multiLevelType w:val="hybridMultilevel"/>
    <w:tmpl w:val="3E56C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6334873"/>
    <w:multiLevelType w:val="hybridMultilevel"/>
    <w:tmpl w:val="8FB0F75C"/>
    <w:lvl w:ilvl="0" w:tplc="31E2FFBA">
      <w:start w:val="1"/>
      <w:numFmt w:val="decimal"/>
      <w:lvlText w:val="%1"/>
      <w:lvlJc w:val="left"/>
      <w:pPr>
        <w:ind w:left="0" w:firstLine="0"/>
      </w:pPr>
    </w:lvl>
    <w:lvl w:ilvl="1" w:tplc="08D2B0F0">
      <w:numFmt w:val="decimal"/>
      <w:lvlText w:val=""/>
      <w:lvlJc w:val="left"/>
      <w:pPr>
        <w:ind w:left="0" w:firstLine="0"/>
      </w:pPr>
    </w:lvl>
    <w:lvl w:ilvl="2" w:tplc="9C447866">
      <w:numFmt w:val="decimal"/>
      <w:lvlText w:val=""/>
      <w:lvlJc w:val="left"/>
      <w:pPr>
        <w:ind w:left="0" w:firstLine="0"/>
      </w:pPr>
    </w:lvl>
    <w:lvl w:ilvl="3" w:tplc="5868EE38">
      <w:numFmt w:val="decimal"/>
      <w:lvlText w:val=""/>
      <w:lvlJc w:val="left"/>
      <w:pPr>
        <w:ind w:left="0" w:firstLine="0"/>
      </w:pPr>
    </w:lvl>
    <w:lvl w:ilvl="4" w:tplc="5EE4BB0E">
      <w:numFmt w:val="decimal"/>
      <w:lvlText w:val=""/>
      <w:lvlJc w:val="left"/>
      <w:pPr>
        <w:ind w:left="0" w:firstLine="0"/>
      </w:pPr>
    </w:lvl>
    <w:lvl w:ilvl="5" w:tplc="A582EB08">
      <w:numFmt w:val="decimal"/>
      <w:lvlText w:val=""/>
      <w:lvlJc w:val="left"/>
      <w:pPr>
        <w:ind w:left="0" w:firstLine="0"/>
      </w:pPr>
    </w:lvl>
    <w:lvl w:ilvl="6" w:tplc="5330BE10">
      <w:numFmt w:val="decimal"/>
      <w:lvlText w:val=""/>
      <w:lvlJc w:val="left"/>
      <w:pPr>
        <w:ind w:left="0" w:firstLine="0"/>
      </w:pPr>
    </w:lvl>
    <w:lvl w:ilvl="7" w:tplc="E03845C2">
      <w:numFmt w:val="decimal"/>
      <w:lvlText w:val=""/>
      <w:lvlJc w:val="left"/>
      <w:pPr>
        <w:ind w:left="0" w:firstLine="0"/>
      </w:pPr>
    </w:lvl>
    <w:lvl w:ilvl="8" w:tplc="91A63702">
      <w:numFmt w:val="decimal"/>
      <w:lvlText w:val=""/>
      <w:lvlJc w:val="left"/>
      <w:pPr>
        <w:ind w:left="0" w:firstLine="0"/>
      </w:pPr>
    </w:lvl>
  </w:abstractNum>
  <w:abstractNum w:abstractNumId="22" w15:restartNumberingAfterBreak="0">
    <w:nsid w:val="6C8D1ED6"/>
    <w:multiLevelType w:val="hybridMultilevel"/>
    <w:tmpl w:val="7354C0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7437377A"/>
    <w:multiLevelType w:val="hybridMultilevel"/>
    <w:tmpl w:val="2A3E00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74B0DC51"/>
    <w:multiLevelType w:val="hybridMultilevel"/>
    <w:tmpl w:val="BABA1FBE"/>
    <w:lvl w:ilvl="0" w:tplc="2DD4A668">
      <w:start w:val="1"/>
      <w:numFmt w:val="bullet"/>
      <w:lvlText w:val="•"/>
      <w:lvlJc w:val="left"/>
      <w:pPr>
        <w:ind w:left="0" w:firstLine="0"/>
      </w:pPr>
    </w:lvl>
    <w:lvl w:ilvl="1" w:tplc="898AD4C2">
      <w:numFmt w:val="decimal"/>
      <w:lvlText w:val=""/>
      <w:lvlJc w:val="left"/>
      <w:pPr>
        <w:ind w:left="0" w:firstLine="0"/>
      </w:pPr>
    </w:lvl>
    <w:lvl w:ilvl="2" w:tplc="A94C5590">
      <w:numFmt w:val="decimal"/>
      <w:lvlText w:val=""/>
      <w:lvlJc w:val="left"/>
      <w:pPr>
        <w:ind w:left="0" w:firstLine="0"/>
      </w:pPr>
    </w:lvl>
    <w:lvl w:ilvl="3" w:tplc="E886F09C">
      <w:numFmt w:val="decimal"/>
      <w:lvlText w:val=""/>
      <w:lvlJc w:val="left"/>
      <w:pPr>
        <w:ind w:left="0" w:firstLine="0"/>
      </w:pPr>
    </w:lvl>
    <w:lvl w:ilvl="4" w:tplc="4E4E8810">
      <w:numFmt w:val="decimal"/>
      <w:lvlText w:val=""/>
      <w:lvlJc w:val="left"/>
      <w:pPr>
        <w:ind w:left="0" w:firstLine="0"/>
      </w:pPr>
    </w:lvl>
    <w:lvl w:ilvl="5" w:tplc="44C0D7B6">
      <w:numFmt w:val="decimal"/>
      <w:lvlText w:val=""/>
      <w:lvlJc w:val="left"/>
      <w:pPr>
        <w:ind w:left="0" w:firstLine="0"/>
      </w:pPr>
    </w:lvl>
    <w:lvl w:ilvl="6" w:tplc="FB684DCE">
      <w:numFmt w:val="decimal"/>
      <w:lvlText w:val=""/>
      <w:lvlJc w:val="left"/>
      <w:pPr>
        <w:ind w:left="0" w:firstLine="0"/>
      </w:pPr>
    </w:lvl>
    <w:lvl w:ilvl="7" w:tplc="577805D4">
      <w:numFmt w:val="decimal"/>
      <w:lvlText w:val=""/>
      <w:lvlJc w:val="left"/>
      <w:pPr>
        <w:ind w:left="0" w:firstLine="0"/>
      </w:pPr>
    </w:lvl>
    <w:lvl w:ilvl="8" w:tplc="E00842AE">
      <w:numFmt w:val="decimal"/>
      <w:lvlText w:val=""/>
      <w:lvlJc w:val="left"/>
      <w:pPr>
        <w:ind w:left="0" w:firstLine="0"/>
      </w:pPr>
    </w:lvl>
  </w:abstractNum>
  <w:abstractNum w:abstractNumId="25" w15:restartNumberingAfterBreak="0">
    <w:nsid w:val="74DC7595"/>
    <w:multiLevelType w:val="hybridMultilevel"/>
    <w:tmpl w:val="0BF2B7DA"/>
    <w:lvl w:ilvl="0" w:tplc="C640117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6" w15:restartNumberingAfterBreak="0">
    <w:nsid w:val="78035F89"/>
    <w:multiLevelType w:val="hybridMultilevel"/>
    <w:tmpl w:val="96803D5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FDCC233"/>
    <w:multiLevelType w:val="hybridMultilevel"/>
    <w:tmpl w:val="018221D8"/>
    <w:lvl w:ilvl="0" w:tplc="B1F8EE38">
      <w:start w:val="1"/>
      <w:numFmt w:val="bullet"/>
      <w:lvlText w:val=""/>
      <w:lvlJc w:val="left"/>
      <w:pPr>
        <w:ind w:left="0" w:firstLine="0"/>
      </w:pPr>
    </w:lvl>
    <w:lvl w:ilvl="1" w:tplc="8C866DC2">
      <w:numFmt w:val="decimal"/>
      <w:lvlText w:val=""/>
      <w:lvlJc w:val="left"/>
      <w:pPr>
        <w:ind w:left="0" w:firstLine="0"/>
      </w:pPr>
    </w:lvl>
    <w:lvl w:ilvl="2" w:tplc="388A61C2">
      <w:numFmt w:val="decimal"/>
      <w:lvlText w:val=""/>
      <w:lvlJc w:val="left"/>
      <w:pPr>
        <w:ind w:left="0" w:firstLine="0"/>
      </w:pPr>
    </w:lvl>
    <w:lvl w:ilvl="3" w:tplc="C60093F4">
      <w:numFmt w:val="decimal"/>
      <w:lvlText w:val=""/>
      <w:lvlJc w:val="left"/>
      <w:pPr>
        <w:ind w:left="0" w:firstLine="0"/>
      </w:pPr>
    </w:lvl>
    <w:lvl w:ilvl="4" w:tplc="9A3C7A12">
      <w:numFmt w:val="decimal"/>
      <w:lvlText w:val=""/>
      <w:lvlJc w:val="left"/>
      <w:pPr>
        <w:ind w:left="0" w:firstLine="0"/>
      </w:pPr>
    </w:lvl>
    <w:lvl w:ilvl="5" w:tplc="A9ACADA6">
      <w:numFmt w:val="decimal"/>
      <w:lvlText w:val=""/>
      <w:lvlJc w:val="left"/>
      <w:pPr>
        <w:ind w:left="0" w:firstLine="0"/>
      </w:pPr>
    </w:lvl>
    <w:lvl w:ilvl="6" w:tplc="5D3431C0">
      <w:numFmt w:val="decimal"/>
      <w:lvlText w:val=""/>
      <w:lvlJc w:val="left"/>
      <w:pPr>
        <w:ind w:left="0" w:firstLine="0"/>
      </w:pPr>
    </w:lvl>
    <w:lvl w:ilvl="7" w:tplc="DD385382">
      <w:numFmt w:val="decimal"/>
      <w:lvlText w:val=""/>
      <w:lvlJc w:val="left"/>
      <w:pPr>
        <w:ind w:left="0" w:firstLine="0"/>
      </w:pPr>
    </w:lvl>
    <w:lvl w:ilvl="8" w:tplc="3BD6EC5E">
      <w:numFmt w:val="decimal"/>
      <w:lvlText w:val=""/>
      <w:lvlJc w:val="left"/>
      <w:pPr>
        <w:ind w:left="0" w:firstLine="0"/>
      </w:pPr>
    </w:lvl>
  </w:abstractNum>
  <w:num w:numId="1">
    <w:abstractNumId w:val="8"/>
  </w:num>
  <w:num w:numId="2">
    <w:abstractNumId w:val="5"/>
  </w:num>
  <w:num w:numId="3">
    <w:abstractNumId w:val="1"/>
  </w:num>
  <w:num w:numId="4">
    <w:abstractNumId w:val="26"/>
  </w:num>
  <w:num w:numId="5">
    <w:abstractNumId w:val="2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3"/>
  </w:num>
  <w:num w:numId="1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7"/>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24"/>
  </w:num>
  <w:num w:numId="23">
    <w:abstractNumId w:val="9"/>
  </w:num>
  <w:num w:numId="24">
    <w:abstractNumId w:val="12"/>
  </w:num>
  <w:num w:numId="25">
    <w:abstractNumId w:val="11"/>
  </w:num>
  <w:num w:numId="26">
    <w:abstractNumId w:val="0"/>
  </w:num>
  <w:num w:numId="27">
    <w:abstractNumId w:val="18"/>
  </w:num>
  <w:num w:numId="28">
    <w:abstractNumId w:val="2"/>
  </w:num>
  <w:num w:numId="29">
    <w:abstractNumId w:val="15"/>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characterSpacingControl w:val="doNotCompress"/>
  <w:hdrShapeDefaults>
    <o:shapedefaults v:ext="edit" spidmax="512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1MjcyNLA0NzY2MzVX0lEKTi0uzszPAykwNKsFAIo2DbotAAAA"/>
  </w:docVars>
  <w:rsids>
    <w:rsidRoot w:val="008B242F"/>
    <w:rsid w:val="00000FC2"/>
    <w:rsid w:val="00012A2A"/>
    <w:rsid w:val="00013EB7"/>
    <w:rsid w:val="000210C7"/>
    <w:rsid w:val="00033095"/>
    <w:rsid w:val="00045D4E"/>
    <w:rsid w:val="00055ED3"/>
    <w:rsid w:val="00086AC7"/>
    <w:rsid w:val="00096C4E"/>
    <w:rsid w:val="00096E73"/>
    <w:rsid w:val="000D00F0"/>
    <w:rsid w:val="00106AD2"/>
    <w:rsid w:val="00106D5E"/>
    <w:rsid w:val="0012567A"/>
    <w:rsid w:val="00144180"/>
    <w:rsid w:val="0018322D"/>
    <w:rsid w:val="001C408C"/>
    <w:rsid w:val="001C552B"/>
    <w:rsid w:val="001D7C23"/>
    <w:rsid w:val="001F6B42"/>
    <w:rsid w:val="002022BE"/>
    <w:rsid w:val="00205952"/>
    <w:rsid w:val="00210907"/>
    <w:rsid w:val="002160B9"/>
    <w:rsid w:val="002270C3"/>
    <w:rsid w:val="00243448"/>
    <w:rsid w:val="00263003"/>
    <w:rsid w:val="00263DF7"/>
    <w:rsid w:val="002665C0"/>
    <w:rsid w:val="002751C6"/>
    <w:rsid w:val="00283F4A"/>
    <w:rsid w:val="00284848"/>
    <w:rsid w:val="00292C09"/>
    <w:rsid w:val="002A19F4"/>
    <w:rsid w:val="002A3156"/>
    <w:rsid w:val="002D442E"/>
    <w:rsid w:val="002E1F12"/>
    <w:rsid w:val="002F174F"/>
    <w:rsid w:val="002F6A06"/>
    <w:rsid w:val="002F75F9"/>
    <w:rsid w:val="00304E68"/>
    <w:rsid w:val="00306469"/>
    <w:rsid w:val="00316078"/>
    <w:rsid w:val="0036546D"/>
    <w:rsid w:val="003676FD"/>
    <w:rsid w:val="0037616F"/>
    <w:rsid w:val="00377363"/>
    <w:rsid w:val="00397A9A"/>
    <w:rsid w:val="003A6328"/>
    <w:rsid w:val="003B2110"/>
    <w:rsid w:val="003B399F"/>
    <w:rsid w:val="003C5FCB"/>
    <w:rsid w:val="003D56DC"/>
    <w:rsid w:val="003E2D98"/>
    <w:rsid w:val="003E3EC7"/>
    <w:rsid w:val="004010BC"/>
    <w:rsid w:val="004163BA"/>
    <w:rsid w:val="0041675E"/>
    <w:rsid w:val="00423809"/>
    <w:rsid w:val="00432EB4"/>
    <w:rsid w:val="00435DD0"/>
    <w:rsid w:val="00442311"/>
    <w:rsid w:val="00454E67"/>
    <w:rsid w:val="00484C40"/>
    <w:rsid w:val="004B314B"/>
    <w:rsid w:val="004C3170"/>
    <w:rsid w:val="004D2279"/>
    <w:rsid w:val="004F54F7"/>
    <w:rsid w:val="00502167"/>
    <w:rsid w:val="00514F3C"/>
    <w:rsid w:val="00521311"/>
    <w:rsid w:val="005265D0"/>
    <w:rsid w:val="0053725C"/>
    <w:rsid w:val="00581DCC"/>
    <w:rsid w:val="005B2F10"/>
    <w:rsid w:val="005B58D0"/>
    <w:rsid w:val="005D700F"/>
    <w:rsid w:val="005E1B6D"/>
    <w:rsid w:val="005E5A18"/>
    <w:rsid w:val="005F5A0A"/>
    <w:rsid w:val="0060112C"/>
    <w:rsid w:val="00601518"/>
    <w:rsid w:val="00612E79"/>
    <w:rsid w:val="00625CFE"/>
    <w:rsid w:val="0063650C"/>
    <w:rsid w:val="00662C41"/>
    <w:rsid w:val="00665BEF"/>
    <w:rsid w:val="006729FD"/>
    <w:rsid w:val="00676132"/>
    <w:rsid w:val="006814A9"/>
    <w:rsid w:val="006A5AE9"/>
    <w:rsid w:val="006B09D5"/>
    <w:rsid w:val="006B3727"/>
    <w:rsid w:val="006B4A05"/>
    <w:rsid w:val="006C4497"/>
    <w:rsid w:val="0074333B"/>
    <w:rsid w:val="007618F2"/>
    <w:rsid w:val="0076535F"/>
    <w:rsid w:val="0077334A"/>
    <w:rsid w:val="00776D2A"/>
    <w:rsid w:val="0078242B"/>
    <w:rsid w:val="0078429F"/>
    <w:rsid w:val="0079413A"/>
    <w:rsid w:val="007B24CF"/>
    <w:rsid w:val="007C79F9"/>
    <w:rsid w:val="007C7CAA"/>
    <w:rsid w:val="007D1241"/>
    <w:rsid w:val="007D2740"/>
    <w:rsid w:val="007E0E42"/>
    <w:rsid w:val="007F39D5"/>
    <w:rsid w:val="00800370"/>
    <w:rsid w:val="0080391D"/>
    <w:rsid w:val="0080587C"/>
    <w:rsid w:val="00815AEF"/>
    <w:rsid w:val="008332C0"/>
    <w:rsid w:val="00854336"/>
    <w:rsid w:val="00860A46"/>
    <w:rsid w:val="008630B9"/>
    <w:rsid w:val="00866317"/>
    <w:rsid w:val="00874526"/>
    <w:rsid w:val="008B242F"/>
    <w:rsid w:val="008C1DBF"/>
    <w:rsid w:val="00903259"/>
    <w:rsid w:val="00903D3E"/>
    <w:rsid w:val="00930974"/>
    <w:rsid w:val="00950726"/>
    <w:rsid w:val="00952F88"/>
    <w:rsid w:val="00975E1E"/>
    <w:rsid w:val="009A607E"/>
    <w:rsid w:val="009B72E4"/>
    <w:rsid w:val="009C62CB"/>
    <w:rsid w:val="009E715C"/>
    <w:rsid w:val="00A128B5"/>
    <w:rsid w:val="00A172DD"/>
    <w:rsid w:val="00A23C86"/>
    <w:rsid w:val="00A24CDB"/>
    <w:rsid w:val="00A25C62"/>
    <w:rsid w:val="00A3127A"/>
    <w:rsid w:val="00A43199"/>
    <w:rsid w:val="00A44E4D"/>
    <w:rsid w:val="00A62EE9"/>
    <w:rsid w:val="00A7153D"/>
    <w:rsid w:val="00A76475"/>
    <w:rsid w:val="00AA4EE7"/>
    <w:rsid w:val="00AC6566"/>
    <w:rsid w:val="00AD09BD"/>
    <w:rsid w:val="00AD378A"/>
    <w:rsid w:val="00B11BA6"/>
    <w:rsid w:val="00B26857"/>
    <w:rsid w:val="00B40EC0"/>
    <w:rsid w:val="00B64E52"/>
    <w:rsid w:val="00B75B45"/>
    <w:rsid w:val="00B87A9E"/>
    <w:rsid w:val="00BE6217"/>
    <w:rsid w:val="00BE77C1"/>
    <w:rsid w:val="00BF278B"/>
    <w:rsid w:val="00C228E2"/>
    <w:rsid w:val="00C25515"/>
    <w:rsid w:val="00C352D5"/>
    <w:rsid w:val="00C443C5"/>
    <w:rsid w:val="00C543CA"/>
    <w:rsid w:val="00C76A5D"/>
    <w:rsid w:val="00C97487"/>
    <w:rsid w:val="00CA5429"/>
    <w:rsid w:val="00CB7986"/>
    <w:rsid w:val="00CF0A01"/>
    <w:rsid w:val="00CF0F60"/>
    <w:rsid w:val="00D1033E"/>
    <w:rsid w:val="00D103EB"/>
    <w:rsid w:val="00D156E1"/>
    <w:rsid w:val="00D23171"/>
    <w:rsid w:val="00D52714"/>
    <w:rsid w:val="00D53067"/>
    <w:rsid w:val="00D851A6"/>
    <w:rsid w:val="00D90022"/>
    <w:rsid w:val="00D977A5"/>
    <w:rsid w:val="00DB01D1"/>
    <w:rsid w:val="00DC0A13"/>
    <w:rsid w:val="00E107CC"/>
    <w:rsid w:val="00E230A9"/>
    <w:rsid w:val="00E55B58"/>
    <w:rsid w:val="00E717CB"/>
    <w:rsid w:val="00E86344"/>
    <w:rsid w:val="00EB6B02"/>
    <w:rsid w:val="00EE0E61"/>
    <w:rsid w:val="00F200CD"/>
    <w:rsid w:val="00F2418A"/>
    <w:rsid w:val="00F2607E"/>
    <w:rsid w:val="00F26BDD"/>
    <w:rsid w:val="00F4164F"/>
    <w:rsid w:val="00F95D68"/>
    <w:rsid w:val="00FB34E4"/>
    <w:rsid w:val="00FB50BF"/>
    <w:rsid w:val="00FB787D"/>
    <w:rsid w:val="00FC1808"/>
    <w:rsid w:val="00FC5C5B"/>
    <w:rsid w:val="00FE035E"/>
    <w:rsid w:val="00FF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79A9BBB"/>
  <w15:chartTrackingRefBased/>
  <w15:docId w15:val="{2F402790-8ED5-4C19-8AA5-621F37D9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42F"/>
    <w:pPr>
      <w:jc w:val="both"/>
    </w:pPr>
    <w:rPr>
      <w:rFonts w:ascii="Times New Roman" w:eastAsia="Times New Roman" w:hAnsi="Times New Roman" w:cs="Angsana New"/>
      <w:sz w:val="22"/>
      <w:szCs w:val="24"/>
      <w:lang w:val="en-GB"/>
    </w:rPr>
  </w:style>
  <w:style w:type="paragraph" w:styleId="Heading1">
    <w:name w:val="heading 1"/>
    <w:basedOn w:val="Normal"/>
    <w:next w:val="Heading2"/>
    <w:link w:val="Heading1Char"/>
    <w:qFormat/>
    <w:rsid w:val="008B242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8B242F"/>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unhideWhenUsed/>
    <w:qFormat/>
    <w:rsid w:val="005B2F10"/>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unhideWhenUsed/>
    <w:qFormat/>
    <w:rsid w:val="005B2F10"/>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242F"/>
    <w:rPr>
      <w:rFonts w:ascii="Times New Roman" w:eastAsia="Times New Roman" w:hAnsi="Times New Roman" w:cs="Angsana New"/>
      <w:b/>
      <w:caps/>
      <w:szCs w:val="24"/>
      <w:lang w:val="en-GB"/>
    </w:rPr>
  </w:style>
  <w:style w:type="character" w:customStyle="1" w:styleId="Heading2Char">
    <w:name w:val="Heading 2 Char"/>
    <w:link w:val="Heading2"/>
    <w:rsid w:val="008B242F"/>
    <w:rPr>
      <w:rFonts w:ascii="Times New Roman" w:eastAsia="Times New Roman" w:hAnsi="Times New Roman" w:cs="Angsana New"/>
      <w:b/>
      <w:bCs/>
      <w:i/>
      <w:iCs/>
      <w:szCs w:val="24"/>
      <w:lang w:val="en-GB"/>
    </w:rPr>
  </w:style>
  <w:style w:type="paragraph" w:styleId="Header">
    <w:name w:val="header"/>
    <w:basedOn w:val="Normal"/>
    <w:link w:val="HeaderChar"/>
    <w:uiPriority w:val="99"/>
    <w:rsid w:val="008B242F"/>
    <w:pPr>
      <w:tabs>
        <w:tab w:val="center" w:pos="4320"/>
        <w:tab w:val="right" w:pos="8640"/>
      </w:tabs>
    </w:pPr>
  </w:style>
  <w:style w:type="character" w:customStyle="1" w:styleId="HeaderChar">
    <w:name w:val="Header Char"/>
    <w:link w:val="Header"/>
    <w:uiPriority w:val="99"/>
    <w:rsid w:val="008B242F"/>
    <w:rPr>
      <w:rFonts w:ascii="Times New Roman" w:eastAsia="Times New Roman" w:hAnsi="Times New Roman" w:cs="Angsana New"/>
      <w:szCs w:val="24"/>
      <w:lang w:val="en-GB"/>
    </w:rPr>
  </w:style>
  <w:style w:type="paragraph" w:styleId="Footer">
    <w:name w:val="footer"/>
    <w:basedOn w:val="Normal"/>
    <w:link w:val="FooterChar"/>
    <w:uiPriority w:val="99"/>
    <w:rsid w:val="008B242F"/>
    <w:pPr>
      <w:tabs>
        <w:tab w:val="center" w:pos="4320"/>
        <w:tab w:val="right" w:pos="8640"/>
      </w:tabs>
      <w:ind w:firstLine="720"/>
      <w:jc w:val="right"/>
    </w:pPr>
  </w:style>
  <w:style w:type="character" w:customStyle="1" w:styleId="FooterChar">
    <w:name w:val="Footer Char"/>
    <w:link w:val="Footer"/>
    <w:uiPriority w:val="99"/>
    <w:rsid w:val="008B242F"/>
    <w:rPr>
      <w:rFonts w:ascii="Times New Roman" w:eastAsia="Times New Roman" w:hAnsi="Times New Roman" w:cs="Angsana New"/>
      <w:szCs w:val="24"/>
      <w:lang w:val="en-GB"/>
    </w:rPr>
  </w:style>
  <w:style w:type="character" w:styleId="PageNumber">
    <w:name w:val="page number"/>
    <w:rsid w:val="008B242F"/>
    <w:rPr>
      <w:rFonts w:ascii="Times New Roman" w:hAnsi="Times New Roman"/>
      <w:sz w:val="22"/>
    </w:rPr>
  </w:style>
  <w:style w:type="paragraph" w:customStyle="1" w:styleId="Cornernotation">
    <w:name w:val="Corner notation"/>
    <w:basedOn w:val="Normal"/>
    <w:rsid w:val="008B242F"/>
    <w:pPr>
      <w:ind w:left="284" w:right="4398" w:hanging="284"/>
      <w:jc w:val="lef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semiHidden/>
    <w:rsid w:val="008B242F"/>
    <w:rPr>
      <w:sz w:val="18"/>
      <w:u w:val="single"/>
      <w:vertAlign w:val="baseline"/>
    </w:rPr>
  </w:style>
  <w:style w:type="paragraph" w:customStyle="1" w:styleId="Default">
    <w:name w:val="Default"/>
    <w:rsid w:val="008B242F"/>
    <w:pPr>
      <w:autoSpaceDE w:val="0"/>
      <w:autoSpaceDN w:val="0"/>
      <w:adjustRightInd w:val="0"/>
    </w:pPr>
    <w:rPr>
      <w:rFonts w:ascii="Times New Roman" w:hAnsi="Times New Roman"/>
      <w:color w:val="000000"/>
      <w:sz w:val="24"/>
      <w:szCs w:val="24"/>
      <w:lang w:val="pt-BR"/>
    </w:rPr>
  </w:style>
  <w:style w:type="paragraph" w:styleId="BalloonText">
    <w:name w:val="Balloon Text"/>
    <w:basedOn w:val="Normal"/>
    <w:link w:val="BalloonTextChar"/>
    <w:uiPriority w:val="99"/>
    <w:semiHidden/>
    <w:unhideWhenUsed/>
    <w:rsid w:val="008B242F"/>
    <w:rPr>
      <w:rFonts w:ascii="Tahoma" w:hAnsi="Tahoma" w:cs="Tahoma"/>
      <w:sz w:val="16"/>
      <w:szCs w:val="16"/>
    </w:rPr>
  </w:style>
  <w:style w:type="character" w:customStyle="1" w:styleId="BalloonTextChar">
    <w:name w:val="Balloon Text Char"/>
    <w:link w:val="BalloonText"/>
    <w:uiPriority w:val="99"/>
    <w:semiHidden/>
    <w:rsid w:val="008B242F"/>
    <w:rPr>
      <w:rFonts w:ascii="Tahoma" w:eastAsia="Times New Roman" w:hAnsi="Tahoma" w:cs="Tahoma"/>
      <w:sz w:val="16"/>
      <w:szCs w:val="16"/>
      <w:lang w:val="en-GB"/>
    </w:rPr>
  </w:style>
  <w:style w:type="character" w:styleId="CommentReference">
    <w:name w:val="annotation reference"/>
    <w:uiPriority w:val="99"/>
    <w:semiHidden/>
    <w:unhideWhenUsed/>
    <w:rsid w:val="00F95D68"/>
    <w:rPr>
      <w:sz w:val="16"/>
      <w:szCs w:val="16"/>
    </w:rPr>
  </w:style>
  <w:style w:type="paragraph" w:styleId="CommentText">
    <w:name w:val="annotation text"/>
    <w:basedOn w:val="Normal"/>
    <w:link w:val="CommentTextChar"/>
    <w:uiPriority w:val="99"/>
    <w:semiHidden/>
    <w:unhideWhenUsed/>
    <w:rsid w:val="00F95D68"/>
    <w:rPr>
      <w:sz w:val="20"/>
      <w:szCs w:val="20"/>
    </w:rPr>
  </w:style>
  <w:style w:type="character" w:customStyle="1" w:styleId="CommentTextChar">
    <w:name w:val="Comment Text Char"/>
    <w:link w:val="CommentText"/>
    <w:uiPriority w:val="99"/>
    <w:semiHidden/>
    <w:rsid w:val="00F95D68"/>
    <w:rPr>
      <w:rFonts w:ascii="Times New Roman" w:eastAsia="Times New Roman" w:hAnsi="Times New Roman" w:cs="Angsana New"/>
      <w:sz w:val="20"/>
      <w:szCs w:val="20"/>
      <w:lang w:val="en-GB"/>
    </w:rPr>
  </w:style>
  <w:style w:type="paragraph" w:styleId="CommentSubject">
    <w:name w:val="annotation subject"/>
    <w:basedOn w:val="CommentText"/>
    <w:next w:val="CommentText"/>
    <w:link w:val="CommentSubjectChar"/>
    <w:uiPriority w:val="99"/>
    <w:semiHidden/>
    <w:unhideWhenUsed/>
    <w:rsid w:val="00F95D68"/>
    <w:rPr>
      <w:b/>
      <w:bCs/>
    </w:rPr>
  </w:style>
  <w:style w:type="character" w:customStyle="1" w:styleId="CommentSubjectChar">
    <w:name w:val="Comment Subject Char"/>
    <w:link w:val="CommentSubject"/>
    <w:uiPriority w:val="99"/>
    <w:semiHidden/>
    <w:rsid w:val="00F95D68"/>
    <w:rPr>
      <w:rFonts w:ascii="Times New Roman" w:eastAsia="Times New Roman" w:hAnsi="Times New Roman" w:cs="Angsana New"/>
      <w:b/>
      <w:bCs/>
      <w:sz w:val="20"/>
      <w:szCs w:val="20"/>
      <w:lang w:val="en-GB"/>
    </w:rPr>
  </w:style>
  <w:style w:type="paragraph" w:styleId="ListParagraph">
    <w:name w:val="List Paragraph"/>
    <w:basedOn w:val="Normal"/>
    <w:uiPriority w:val="34"/>
    <w:qFormat/>
    <w:rsid w:val="00106D5E"/>
    <w:pPr>
      <w:spacing w:after="113" w:line="248" w:lineRule="auto"/>
      <w:ind w:left="720" w:firstLine="710"/>
      <w:contextualSpacing/>
    </w:pPr>
    <w:rPr>
      <w:rFonts w:cs="Times New Roman"/>
      <w:color w:val="000000"/>
      <w:szCs w:val="22"/>
      <w:lang w:val="es-MX" w:eastAsia="es-MX"/>
    </w:rPr>
  </w:style>
  <w:style w:type="character" w:styleId="Hyperlink">
    <w:name w:val="Hyperlink"/>
    <w:uiPriority w:val="99"/>
    <w:unhideWhenUsed/>
    <w:rsid w:val="00AD378A"/>
    <w:rPr>
      <w:color w:val="0000FF"/>
      <w:u w:val="single"/>
    </w:rPr>
  </w:style>
  <w:style w:type="paragraph" w:styleId="FootnoteText">
    <w:name w:val="footnote text"/>
    <w:basedOn w:val="Normal"/>
    <w:link w:val="FootnoteTextChar"/>
    <w:uiPriority w:val="99"/>
    <w:semiHidden/>
    <w:unhideWhenUsed/>
    <w:rsid w:val="00B64E52"/>
    <w:rPr>
      <w:sz w:val="20"/>
      <w:szCs w:val="20"/>
    </w:rPr>
  </w:style>
  <w:style w:type="character" w:customStyle="1" w:styleId="FootnoteTextChar">
    <w:name w:val="Footnote Text Char"/>
    <w:link w:val="FootnoteText"/>
    <w:uiPriority w:val="99"/>
    <w:semiHidden/>
    <w:rsid w:val="00B64E52"/>
    <w:rPr>
      <w:rFonts w:ascii="Times New Roman" w:eastAsia="Times New Roman" w:hAnsi="Times New Roman" w:cs="Angsana New"/>
      <w:lang w:val="en-GB"/>
    </w:rPr>
  </w:style>
  <w:style w:type="character" w:styleId="Strong">
    <w:name w:val="Strong"/>
    <w:uiPriority w:val="22"/>
    <w:qFormat/>
    <w:rsid w:val="0037616F"/>
    <w:rPr>
      <w:b/>
      <w:bCs/>
    </w:rPr>
  </w:style>
  <w:style w:type="paragraph" w:customStyle="1" w:styleId="Para1">
    <w:name w:val="Para1"/>
    <w:basedOn w:val="Normal"/>
    <w:rsid w:val="00601518"/>
    <w:pPr>
      <w:numPr>
        <w:numId w:val="10"/>
      </w:numPr>
      <w:snapToGrid w:val="0"/>
      <w:spacing w:before="120" w:after="120"/>
    </w:pPr>
    <w:rPr>
      <w:rFonts w:eastAsia="Malgun Gothic" w:cs="Times New Roman"/>
      <w:szCs w:val="18"/>
    </w:rPr>
  </w:style>
  <w:style w:type="paragraph" w:customStyle="1" w:styleId="HEADING">
    <w:name w:val="HEADING"/>
    <w:basedOn w:val="Normal"/>
    <w:rsid w:val="00012A2A"/>
    <w:pPr>
      <w:keepNext/>
      <w:tabs>
        <w:tab w:val="left" w:pos="1134"/>
      </w:tabs>
      <w:spacing w:before="240" w:after="120"/>
      <w:jc w:val="center"/>
    </w:pPr>
    <w:rPr>
      <w:rFonts w:eastAsia="Malgun Gothic" w:cs="Times New Roman"/>
      <w:b/>
      <w:caps/>
      <w:lang w:eastAsia="es-AR"/>
    </w:rPr>
  </w:style>
  <w:style w:type="character" w:customStyle="1" w:styleId="Heading3Char">
    <w:name w:val="Heading 3 Char"/>
    <w:link w:val="Heading3"/>
    <w:uiPriority w:val="9"/>
    <w:rsid w:val="005B2F10"/>
    <w:rPr>
      <w:rFonts w:ascii="Calibri Light" w:eastAsia="Times New Roman" w:hAnsi="Calibri Light" w:cs="Times New Roman"/>
      <w:b/>
      <w:bCs/>
      <w:sz w:val="26"/>
      <w:szCs w:val="26"/>
      <w:lang w:val="en-GB"/>
    </w:rPr>
  </w:style>
  <w:style w:type="character" w:customStyle="1" w:styleId="Heading4Char">
    <w:name w:val="Heading 4 Char"/>
    <w:link w:val="Heading4"/>
    <w:uiPriority w:val="9"/>
    <w:rsid w:val="005B2F10"/>
    <w:rPr>
      <w:rFonts w:ascii="Calibri" w:eastAsia="Times New Roman" w:hAnsi="Calibri" w:cs="Times New Roman"/>
      <w:b/>
      <w:bCs/>
      <w:sz w:val="28"/>
      <w:szCs w:val="28"/>
      <w:lang w:val="en-GB"/>
    </w:rPr>
  </w:style>
  <w:style w:type="paragraph" w:styleId="TOC1">
    <w:name w:val="toc 1"/>
    <w:basedOn w:val="Normal"/>
    <w:next w:val="Normal"/>
    <w:autoRedefine/>
    <w:uiPriority w:val="39"/>
    <w:unhideWhenUsed/>
    <w:rsid w:val="004010BC"/>
    <w:pPr>
      <w:spacing w:before="120"/>
      <w:jc w:val="left"/>
    </w:pPr>
    <w:rPr>
      <w:rFonts w:ascii="Calibri" w:hAnsi="Calibri"/>
      <w:b/>
      <w:bCs/>
      <w:i/>
      <w:iCs/>
      <w:sz w:val="24"/>
    </w:rPr>
  </w:style>
  <w:style w:type="paragraph" w:styleId="TOC2">
    <w:name w:val="toc 2"/>
    <w:basedOn w:val="Normal"/>
    <w:next w:val="Normal"/>
    <w:autoRedefine/>
    <w:uiPriority w:val="39"/>
    <w:unhideWhenUsed/>
    <w:rsid w:val="004010BC"/>
    <w:pPr>
      <w:spacing w:before="120"/>
      <w:ind w:left="220"/>
      <w:jc w:val="left"/>
    </w:pPr>
    <w:rPr>
      <w:rFonts w:ascii="Calibri" w:hAnsi="Calibri"/>
      <w:b/>
      <w:bCs/>
      <w:szCs w:val="22"/>
    </w:rPr>
  </w:style>
  <w:style w:type="paragraph" w:styleId="TOC3">
    <w:name w:val="toc 3"/>
    <w:basedOn w:val="Normal"/>
    <w:next w:val="Normal"/>
    <w:autoRedefine/>
    <w:uiPriority w:val="39"/>
    <w:unhideWhenUsed/>
    <w:rsid w:val="009A607E"/>
    <w:pPr>
      <w:ind w:left="440"/>
      <w:jc w:val="left"/>
    </w:pPr>
    <w:rPr>
      <w:rFonts w:ascii="Calibri" w:hAnsi="Calibri"/>
      <w:sz w:val="20"/>
      <w:szCs w:val="20"/>
    </w:rPr>
  </w:style>
  <w:style w:type="paragraph" w:styleId="TOC4">
    <w:name w:val="toc 4"/>
    <w:basedOn w:val="Normal"/>
    <w:next w:val="Normal"/>
    <w:autoRedefine/>
    <w:uiPriority w:val="39"/>
    <w:unhideWhenUsed/>
    <w:rsid w:val="004010BC"/>
    <w:pPr>
      <w:ind w:left="660"/>
      <w:jc w:val="left"/>
    </w:pPr>
    <w:rPr>
      <w:rFonts w:ascii="Calibri" w:hAnsi="Calibri"/>
      <w:sz w:val="20"/>
      <w:szCs w:val="20"/>
    </w:rPr>
  </w:style>
  <w:style w:type="paragraph" w:styleId="TOC5">
    <w:name w:val="toc 5"/>
    <w:basedOn w:val="Normal"/>
    <w:next w:val="Normal"/>
    <w:autoRedefine/>
    <w:uiPriority w:val="39"/>
    <w:unhideWhenUsed/>
    <w:rsid w:val="004010BC"/>
    <w:pPr>
      <w:ind w:left="880"/>
      <w:jc w:val="left"/>
    </w:pPr>
    <w:rPr>
      <w:rFonts w:ascii="Calibri" w:hAnsi="Calibri"/>
      <w:sz w:val="20"/>
      <w:szCs w:val="20"/>
    </w:rPr>
  </w:style>
  <w:style w:type="paragraph" w:styleId="TOC6">
    <w:name w:val="toc 6"/>
    <w:basedOn w:val="Normal"/>
    <w:next w:val="Normal"/>
    <w:autoRedefine/>
    <w:uiPriority w:val="39"/>
    <w:unhideWhenUsed/>
    <w:rsid w:val="004010BC"/>
    <w:pPr>
      <w:ind w:left="1100"/>
      <w:jc w:val="left"/>
    </w:pPr>
    <w:rPr>
      <w:rFonts w:ascii="Calibri" w:hAnsi="Calibri"/>
      <w:sz w:val="20"/>
      <w:szCs w:val="20"/>
    </w:rPr>
  </w:style>
  <w:style w:type="paragraph" w:styleId="TOC7">
    <w:name w:val="toc 7"/>
    <w:basedOn w:val="Normal"/>
    <w:next w:val="Normal"/>
    <w:autoRedefine/>
    <w:uiPriority w:val="39"/>
    <w:unhideWhenUsed/>
    <w:rsid w:val="004010BC"/>
    <w:pPr>
      <w:ind w:left="1320"/>
      <w:jc w:val="left"/>
    </w:pPr>
    <w:rPr>
      <w:rFonts w:ascii="Calibri" w:hAnsi="Calibri"/>
      <w:sz w:val="20"/>
      <w:szCs w:val="20"/>
    </w:rPr>
  </w:style>
  <w:style w:type="paragraph" w:styleId="TOC8">
    <w:name w:val="toc 8"/>
    <w:basedOn w:val="Normal"/>
    <w:next w:val="Normal"/>
    <w:autoRedefine/>
    <w:uiPriority w:val="39"/>
    <w:unhideWhenUsed/>
    <w:rsid w:val="004010BC"/>
    <w:pPr>
      <w:ind w:left="1540"/>
      <w:jc w:val="left"/>
    </w:pPr>
    <w:rPr>
      <w:rFonts w:ascii="Calibri" w:hAnsi="Calibri"/>
      <w:sz w:val="20"/>
      <w:szCs w:val="20"/>
    </w:rPr>
  </w:style>
  <w:style w:type="paragraph" w:styleId="TOC9">
    <w:name w:val="toc 9"/>
    <w:basedOn w:val="Normal"/>
    <w:next w:val="Normal"/>
    <w:autoRedefine/>
    <w:uiPriority w:val="39"/>
    <w:unhideWhenUsed/>
    <w:rsid w:val="004010BC"/>
    <w:pPr>
      <w:ind w:left="1760"/>
      <w:jc w:val="left"/>
    </w:pPr>
    <w:rPr>
      <w:rFonts w:ascii="Calibri" w:hAnsi="Calibri"/>
      <w:sz w:val="20"/>
      <w:szCs w:val="20"/>
    </w:rPr>
  </w:style>
  <w:style w:type="character" w:styleId="Emphasis">
    <w:name w:val="Emphasis"/>
    <w:uiPriority w:val="20"/>
    <w:qFormat/>
    <w:rsid w:val="00A43199"/>
    <w:rPr>
      <w:i/>
      <w:iCs/>
    </w:rPr>
  </w:style>
  <w:style w:type="table" w:styleId="TableGrid">
    <w:name w:val="Table Grid"/>
    <w:basedOn w:val="TableNormal"/>
    <w:uiPriority w:val="59"/>
    <w:rsid w:val="00304E68"/>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B399F"/>
    <w:pPr>
      <w:keepLines/>
      <w:tabs>
        <w:tab w:val="clear" w:pos="720"/>
      </w:tabs>
      <w:spacing w:after="0" w:line="259" w:lineRule="auto"/>
      <w:jc w:val="left"/>
      <w:outlineLvl w:val="9"/>
    </w:pPr>
    <w:rPr>
      <w:rFonts w:ascii="Calibri Light" w:hAnsi="Calibri Light" w:cs="Times New Roman"/>
      <w:b w:val="0"/>
      <w:caps w:val="0"/>
      <w:color w:val="2E74B5"/>
      <w:sz w:val="32"/>
      <w:szCs w:val="32"/>
      <w:lang w:val="en-US"/>
    </w:rPr>
  </w:style>
  <w:style w:type="character" w:styleId="PlaceholderText">
    <w:name w:val="Placeholder Text"/>
    <w:basedOn w:val="DefaultParagraphFont"/>
    <w:uiPriority w:val="99"/>
    <w:semiHidden/>
    <w:rsid w:val="003064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2925">
      <w:bodyDiv w:val="1"/>
      <w:marLeft w:val="0"/>
      <w:marRight w:val="0"/>
      <w:marTop w:val="0"/>
      <w:marBottom w:val="0"/>
      <w:divBdr>
        <w:top w:val="none" w:sz="0" w:space="0" w:color="auto"/>
        <w:left w:val="none" w:sz="0" w:space="0" w:color="auto"/>
        <w:bottom w:val="none" w:sz="0" w:space="0" w:color="auto"/>
        <w:right w:val="none" w:sz="0" w:space="0" w:color="auto"/>
      </w:divBdr>
    </w:div>
    <w:div w:id="112096087">
      <w:bodyDiv w:val="1"/>
      <w:marLeft w:val="0"/>
      <w:marRight w:val="0"/>
      <w:marTop w:val="0"/>
      <w:marBottom w:val="0"/>
      <w:divBdr>
        <w:top w:val="none" w:sz="0" w:space="0" w:color="auto"/>
        <w:left w:val="none" w:sz="0" w:space="0" w:color="auto"/>
        <w:bottom w:val="none" w:sz="0" w:space="0" w:color="auto"/>
        <w:right w:val="none" w:sz="0" w:space="0" w:color="auto"/>
      </w:divBdr>
    </w:div>
    <w:div w:id="122358695">
      <w:bodyDiv w:val="1"/>
      <w:marLeft w:val="0"/>
      <w:marRight w:val="0"/>
      <w:marTop w:val="0"/>
      <w:marBottom w:val="0"/>
      <w:divBdr>
        <w:top w:val="none" w:sz="0" w:space="0" w:color="auto"/>
        <w:left w:val="none" w:sz="0" w:space="0" w:color="auto"/>
        <w:bottom w:val="none" w:sz="0" w:space="0" w:color="auto"/>
        <w:right w:val="none" w:sz="0" w:space="0" w:color="auto"/>
      </w:divBdr>
    </w:div>
    <w:div w:id="136459727">
      <w:bodyDiv w:val="1"/>
      <w:marLeft w:val="0"/>
      <w:marRight w:val="0"/>
      <w:marTop w:val="0"/>
      <w:marBottom w:val="0"/>
      <w:divBdr>
        <w:top w:val="none" w:sz="0" w:space="0" w:color="auto"/>
        <w:left w:val="none" w:sz="0" w:space="0" w:color="auto"/>
        <w:bottom w:val="none" w:sz="0" w:space="0" w:color="auto"/>
        <w:right w:val="none" w:sz="0" w:space="0" w:color="auto"/>
      </w:divBdr>
    </w:div>
    <w:div w:id="273289020">
      <w:bodyDiv w:val="1"/>
      <w:marLeft w:val="0"/>
      <w:marRight w:val="0"/>
      <w:marTop w:val="0"/>
      <w:marBottom w:val="0"/>
      <w:divBdr>
        <w:top w:val="none" w:sz="0" w:space="0" w:color="auto"/>
        <w:left w:val="none" w:sz="0" w:space="0" w:color="auto"/>
        <w:bottom w:val="none" w:sz="0" w:space="0" w:color="auto"/>
        <w:right w:val="none" w:sz="0" w:space="0" w:color="auto"/>
      </w:divBdr>
    </w:div>
    <w:div w:id="338430409">
      <w:bodyDiv w:val="1"/>
      <w:marLeft w:val="0"/>
      <w:marRight w:val="0"/>
      <w:marTop w:val="0"/>
      <w:marBottom w:val="0"/>
      <w:divBdr>
        <w:top w:val="none" w:sz="0" w:space="0" w:color="auto"/>
        <w:left w:val="none" w:sz="0" w:space="0" w:color="auto"/>
        <w:bottom w:val="none" w:sz="0" w:space="0" w:color="auto"/>
        <w:right w:val="none" w:sz="0" w:space="0" w:color="auto"/>
      </w:divBdr>
    </w:div>
    <w:div w:id="390931814">
      <w:bodyDiv w:val="1"/>
      <w:marLeft w:val="0"/>
      <w:marRight w:val="0"/>
      <w:marTop w:val="0"/>
      <w:marBottom w:val="0"/>
      <w:divBdr>
        <w:top w:val="none" w:sz="0" w:space="0" w:color="auto"/>
        <w:left w:val="none" w:sz="0" w:space="0" w:color="auto"/>
        <w:bottom w:val="none" w:sz="0" w:space="0" w:color="auto"/>
        <w:right w:val="none" w:sz="0" w:space="0" w:color="auto"/>
      </w:divBdr>
    </w:div>
    <w:div w:id="423115022">
      <w:bodyDiv w:val="1"/>
      <w:marLeft w:val="0"/>
      <w:marRight w:val="0"/>
      <w:marTop w:val="0"/>
      <w:marBottom w:val="0"/>
      <w:divBdr>
        <w:top w:val="none" w:sz="0" w:space="0" w:color="auto"/>
        <w:left w:val="none" w:sz="0" w:space="0" w:color="auto"/>
        <w:bottom w:val="none" w:sz="0" w:space="0" w:color="auto"/>
        <w:right w:val="none" w:sz="0" w:space="0" w:color="auto"/>
      </w:divBdr>
    </w:div>
    <w:div w:id="459498895">
      <w:bodyDiv w:val="1"/>
      <w:marLeft w:val="0"/>
      <w:marRight w:val="0"/>
      <w:marTop w:val="0"/>
      <w:marBottom w:val="0"/>
      <w:divBdr>
        <w:top w:val="none" w:sz="0" w:space="0" w:color="auto"/>
        <w:left w:val="none" w:sz="0" w:space="0" w:color="auto"/>
        <w:bottom w:val="none" w:sz="0" w:space="0" w:color="auto"/>
        <w:right w:val="none" w:sz="0" w:space="0" w:color="auto"/>
      </w:divBdr>
    </w:div>
    <w:div w:id="659578165">
      <w:bodyDiv w:val="1"/>
      <w:marLeft w:val="0"/>
      <w:marRight w:val="0"/>
      <w:marTop w:val="0"/>
      <w:marBottom w:val="0"/>
      <w:divBdr>
        <w:top w:val="none" w:sz="0" w:space="0" w:color="auto"/>
        <w:left w:val="none" w:sz="0" w:space="0" w:color="auto"/>
        <w:bottom w:val="none" w:sz="0" w:space="0" w:color="auto"/>
        <w:right w:val="none" w:sz="0" w:space="0" w:color="auto"/>
      </w:divBdr>
    </w:div>
    <w:div w:id="783496799">
      <w:bodyDiv w:val="1"/>
      <w:marLeft w:val="0"/>
      <w:marRight w:val="0"/>
      <w:marTop w:val="0"/>
      <w:marBottom w:val="0"/>
      <w:divBdr>
        <w:top w:val="none" w:sz="0" w:space="0" w:color="auto"/>
        <w:left w:val="none" w:sz="0" w:space="0" w:color="auto"/>
        <w:bottom w:val="none" w:sz="0" w:space="0" w:color="auto"/>
        <w:right w:val="none" w:sz="0" w:space="0" w:color="auto"/>
      </w:divBdr>
    </w:div>
    <w:div w:id="790634350">
      <w:bodyDiv w:val="1"/>
      <w:marLeft w:val="0"/>
      <w:marRight w:val="0"/>
      <w:marTop w:val="0"/>
      <w:marBottom w:val="0"/>
      <w:divBdr>
        <w:top w:val="none" w:sz="0" w:space="0" w:color="auto"/>
        <w:left w:val="none" w:sz="0" w:space="0" w:color="auto"/>
        <w:bottom w:val="none" w:sz="0" w:space="0" w:color="auto"/>
        <w:right w:val="none" w:sz="0" w:space="0" w:color="auto"/>
      </w:divBdr>
    </w:div>
    <w:div w:id="815412227">
      <w:bodyDiv w:val="1"/>
      <w:marLeft w:val="0"/>
      <w:marRight w:val="0"/>
      <w:marTop w:val="0"/>
      <w:marBottom w:val="0"/>
      <w:divBdr>
        <w:top w:val="none" w:sz="0" w:space="0" w:color="auto"/>
        <w:left w:val="none" w:sz="0" w:space="0" w:color="auto"/>
        <w:bottom w:val="none" w:sz="0" w:space="0" w:color="auto"/>
        <w:right w:val="none" w:sz="0" w:space="0" w:color="auto"/>
      </w:divBdr>
    </w:div>
    <w:div w:id="836310426">
      <w:bodyDiv w:val="1"/>
      <w:marLeft w:val="0"/>
      <w:marRight w:val="0"/>
      <w:marTop w:val="0"/>
      <w:marBottom w:val="0"/>
      <w:divBdr>
        <w:top w:val="none" w:sz="0" w:space="0" w:color="auto"/>
        <w:left w:val="none" w:sz="0" w:space="0" w:color="auto"/>
        <w:bottom w:val="none" w:sz="0" w:space="0" w:color="auto"/>
        <w:right w:val="none" w:sz="0" w:space="0" w:color="auto"/>
      </w:divBdr>
    </w:div>
    <w:div w:id="888615896">
      <w:bodyDiv w:val="1"/>
      <w:marLeft w:val="0"/>
      <w:marRight w:val="0"/>
      <w:marTop w:val="0"/>
      <w:marBottom w:val="0"/>
      <w:divBdr>
        <w:top w:val="none" w:sz="0" w:space="0" w:color="auto"/>
        <w:left w:val="none" w:sz="0" w:space="0" w:color="auto"/>
        <w:bottom w:val="none" w:sz="0" w:space="0" w:color="auto"/>
        <w:right w:val="none" w:sz="0" w:space="0" w:color="auto"/>
      </w:divBdr>
    </w:div>
    <w:div w:id="958679669">
      <w:bodyDiv w:val="1"/>
      <w:marLeft w:val="0"/>
      <w:marRight w:val="0"/>
      <w:marTop w:val="0"/>
      <w:marBottom w:val="0"/>
      <w:divBdr>
        <w:top w:val="none" w:sz="0" w:space="0" w:color="auto"/>
        <w:left w:val="none" w:sz="0" w:space="0" w:color="auto"/>
        <w:bottom w:val="none" w:sz="0" w:space="0" w:color="auto"/>
        <w:right w:val="none" w:sz="0" w:space="0" w:color="auto"/>
      </w:divBdr>
    </w:div>
    <w:div w:id="988173328">
      <w:bodyDiv w:val="1"/>
      <w:marLeft w:val="0"/>
      <w:marRight w:val="0"/>
      <w:marTop w:val="0"/>
      <w:marBottom w:val="0"/>
      <w:divBdr>
        <w:top w:val="none" w:sz="0" w:space="0" w:color="auto"/>
        <w:left w:val="none" w:sz="0" w:space="0" w:color="auto"/>
        <w:bottom w:val="none" w:sz="0" w:space="0" w:color="auto"/>
        <w:right w:val="none" w:sz="0" w:space="0" w:color="auto"/>
      </w:divBdr>
    </w:div>
    <w:div w:id="1055353578">
      <w:bodyDiv w:val="1"/>
      <w:marLeft w:val="0"/>
      <w:marRight w:val="0"/>
      <w:marTop w:val="0"/>
      <w:marBottom w:val="0"/>
      <w:divBdr>
        <w:top w:val="none" w:sz="0" w:space="0" w:color="auto"/>
        <w:left w:val="none" w:sz="0" w:space="0" w:color="auto"/>
        <w:bottom w:val="none" w:sz="0" w:space="0" w:color="auto"/>
        <w:right w:val="none" w:sz="0" w:space="0" w:color="auto"/>
      </w:divBdr>
    </w:div>
    <w:div w:id="1153520361">
      <w:bodyDiv w:val="1"/>
      <w:marLeft w:val="0"/>
      <w:marRight w:val="0"/>
      <w:marTop w:val="0"/>
      <w:marBottom w:val="0"/>
      <w:divBdr>
        <w:top w:val="none" w:sz="0" w:space="0" w:color="auto"/>
        <w:left w:val="none" w:sz="0" w:space="0" w:color="auto"/>
        <w:bottom w:val="none" w:sz="0" w:space="0" w:color="auto"/>
        <w:right w:val="none" w:sz="0" w:space="0" w:color="auto"/>
      </w:divBdr>
    </w:div>
    <w:div w:id="1395466174">
      <w:bodyDiv w:val="1"/>
      <w:marLeft w:val="0"/>
      <w:marRight w:val="0"/>
      <w:marTop w:val="0"/>
      <w:marBottom w:val="0"/>
      <w:divBdr>
        <w:top w:val="none" w:sz="0" w:space="0" w:color="auto"/>
        <w:left w:val="none" w:sz="0" w:space="0" w:color="auto"/>
        <w:bottom w:val="none" w:sz="0" w:space="0" w:color="auto"/>
        <w:right w:val="none" w:sz="0" w:space="0" w:color="auto"/>
      </w:divBdr>
    </w:div>
    <w:div w:id="1480656765">
      <w:bodyDiv w:val="1"/>
      <w:marLeft w:val="0"/>
      <w:marRight w:val="0"/>
      <w:marTop w:val="0"/>
      <w:marBottom w:val="0"/>
      <w:divBdr>
        <w:top w:val="none" w:sz="0" w:space="0" w:color="auto"/>
        <w:left w:val="none" w:sz="0" w:space="0" w:color="auto"/>
        <w:bottom w:val="none" w:sz="0" w:space="0" w:color="auto"/>
        <w:right w:val="none" w:sz="0" w:space="0" w:color="auto"/>
      </w:divBdr>
    </w:div>
    <w:div w:id="1519346003">
      <w:bodyDiv w:val="1"/>
      <w:marLeft w:val="0"/>
      <w:marRight w:val="0"/>
      <w:marTop w:val="0"/>
      <w:marBottom w:val="0"/>
      <w:divBdr>
        <w:top w:val="none" w:sz="0" w:space="0" w:color="auto"/>
        <w:left w:val="none" w:sz="0" w:space="0" w:color="auto"/>
        <w:bottom w:val="none" w:sz="0" w:space="0" w:color="auto"/>
        <w:right w:val="none" w:sz="0" w:space="0" w:color="auto"/>
      </w:divBdr>
    </w:div>
    <w:div w:id="1520506699">
      <w:bodyDiv w:val="1"/>
      <w:marLeft w:val="0"/>
      <w:marRight w:val="0"/>
      <w:marTop w:val="0"/>
      <w:marBottom w:val="0"/>
      <w:divBdr>
        <w:top w:val="none" w:sz="0" w:space="0" w:color="auto"/>
        <w:left w:val="none" w:sz="0" w:space="0" w:color="auto"/>
        <w:bottom w:val="none" w:sz="0" w:space="0" w:color="auto"/>
        <w:right w:val="none" w:sz="0" w:space="0" w:color="auto"/>
      </w:divBdr>
    </w:div>
    <w:div w:id="1595547808">
      <w:bodyDiv w:val="1"/>
      <w:marLeft w:val="0"/>
      <w:marRight w:val="0"/>
      <w:marTop w:val="0"/>
      <w:marBottom w:val="0"/>
      <w:divBdr>
        <w:top w:val="none" w:sz="0" w:space="0" w:color="auto"/>
        <w:left w:val="none" w:sz="0" w:space="0" w:color="auto"/>
        <w:bottom w:val="none" w:sz="0" w:space="0" w:color="auto"/>
        <w:right w:val="none" w:sz="0" w:space="0" w:color="auto"/>
      </w:divBdr>
    </w:div>
    <w:div w:id="1609309091">
      <w:bodyDiv w:val="1"/>
      <w:marLeft w:val="0"/>
      <w:marRight w:val="0"/>
      <w:marTop w:val="0"/>
      <w:marBottom w:val="0"/>
      <w:divBdr>
        <w:top w:val="none" w:sz="0" w:space="0" w:color="auto"/>
        <w:left w:val="none" w:sz="0" w:space="0" w:color="auto"/>
        <w:bottom w:val="none" w:sz="0" w:space="0" w:color="auto"/>
        <w:right w:val="none" w:sz="0" w:space="0" w:color="auto"/>
      </w:divBdr>
    </w:div>
    <w:div w:id="1686011263">
      <w:bodyDiv w:val="1"/>
      <w:marLeft w:val="0"/>
      <w:marRight w:val="0"/>
      <w:marTop w:val="0"/>
      <w:marBottom w:val="0"/>
      <w:divBdr>
        <w:top w:val="none" w:sz="0" w:space="0" w:color="auto"/>
        <w:left w:val="none" w:sz="0" w:space="0" w:color="auto"/>
        <w:bottom w:val="none" w:sz="0" w:space="0" w:color="auto"/>
        <w:right w:val="none" w:sz="0" w:space="0" w:color="auto"/>
      </w:divBdr>
    </w:div>
    <w:div w:id="1817064178">
      <w:bodyDiv w:val="1"/>
      <w:marLeft w:val="0"/>
      <w:marRight w:val="0"/>
      <w:marTop w:val="0"/>
      <w:marBottom w:val="0"/>
      <w:divBdr>
        <w:top w:val="none" w:sz="0" w:space="0" w:color="auto"/>
        <w:left w:val="none" w:sz="0" w:space="0" w:color="auto"/>
        <w:bottom w:val="none" w:sz="0" w:space="0" w:color="auto"/>
        <w:right w:val="none" w:sz="0" w:space="0" w:color="auto"/>
      </w:divBdr>
    </w:div>
    <w:div w:id="1843619607">
      <w:bodyDiv w:val="1"/>
      <w:marLeft w:val="0"/>
      <w:marRight w:val="0"/>
      <w:marTop w:val="0"/>
      <w:marBottom w:val="0"/>
      <w:divBdr>
        <w:top w:val="none" w:sz="0" w:space="0" w:color="auto"/>
        <w:left w:val="none" w:sz="0" w:space="0" w:color="auto"/>
        <w:bottom w:val="none" w:sz="0" w:space="0" w:color="auto"/>
        <w:right w:val="none" w:sz="0" w:space="0" w:color="auto"/>
      </w:divBdr>
    </w:div>
    <w:div w:id="1895311668">
      <w:bodyDiv w:val="1"/>
      <w:marLeft w:val="0"/>
      <w:marRight w:val="0"/>
      <w:marTop w:val="0"/>
      <w:marBottom w:val="0"/>
      <w:divBdr>
        <w:top w:val="none" w:sz="0" w:space="0" w:color="auto"/>
        <w:left w:val="none" w:sz="0" w:space="0" w:color="auto"/>
        <w:bottom w:val="none" w:sz="0" w:space="0" w:color="auto"/>
        <w:right w:val="none" w:sz="0" w:space="0" w:color="auto"/>
      </w:divBdr>
    </w:div>
    <w:div w:id="1974828261">
      <w:bodyDiv w:val="1"/>
      <w:marLeft w:val="0"/>
      <w:marRight w:val="0"/>
      <w:marTop w:val="0"/>
      <w:marBottom w:val="0"/>
      <w:divBdr>
        <w:top w:val="none" w:sz="0" w:space="0" w:color="auto"/>
        <w:left w:val="none" w:sz="0" w:space="0" w:color="auto"/>
        <w:bottom w:val="none" w:sz="0" w:space="0" w:color="auto"/>
        <w:right w:val="none" w:sz="0" w:space="0" w:color="auto"/>
      </w:divBdr>
    </w:div>
    <w:div w:id="2114978827">
      <w:bodyDiv w:val="1"/>
      <w:marLeft w:val="0"/>
      <w:marRight w:val="0"/>
      <w:marTop w:val="0"/>
      <w:marBottom w:val="0"/>
      <w:divBdr>
        <w:top w:val="none" w:sz="0" w:space="0" w:color="auto"/>
        <w:left w:val="none" w:sz="0" w:space="0" w:color="auto"/>
        <w:bottom w:val="none" w:sz="0" w:space="0" w:color="auto"/>
        <w:right w:val="none" w:sz="0" w:space="0" w:color="auto"/>
      </w:divBdr>
    </w:div>
    <w:div w:id="21170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037DE84A5E45B4A0F46F4F096AFEB3"/>
        <w:category>
          <w:name w:val="General"/>
          <w:gallery w:val="placeholder"/>
        </w:category>
        <w:types>
          <w:type w:val="bbPlcHdr"/>
        </w:types>
        <w:behaviors>
          <w:behavior w:val="content"/>
        </w:behaviors>
        <w:guid w:val="{37E0116B-72E7-4EFA-A51D-381831FC5D2C}"/>
      </w:docPartPr>
      <w:docPartBody>
        <w:p w:rsidR="0026777D" w:rsidRDefault="00A54F37">
          <w:r w:rsidRPr="00053DD5">
            <w:rPr>
              <w:rStyle w:val="PlaceholderText"/>
            </w:rPr>
            <w:t>[Subject]</w:t>
          </w:r>
        </w:p>
      </w:docPartBody>
    </w:docPart>
    <w:docPart>
      <w:docPartPr>
        <w:name w:val="6507EC37F818425EBF2FD034CA6C267F"/>
        <w:category>
          <w:name w:val="General"/>
          <w:gallery w:val="placeholder"/>
        </w:category>
        <w:types>
          <w:type w:val="bbPlcHdr"/>
        </w:types>
        <w:behaviors>
          <w:behavior w:val="content"/>
        </w:behaviors>
        <w:guid w:val="{D04E1858-2CAC-4B4A-9312-94A53CAB2436}"/>
      </w:docPartPr>
      <w:docPartBody>
        <w:p w:rsidR="0026777D" w:rsidRDefault="00A54F37">
          <w:r w:rsidRPr="00053DD5">
            <w:rPr>
              <w:rStyle w:val="PlaceholderText"/>
            </w:rPr>
            <w:t>[Title]</w:t>
          </w:r>
        </w:p>
      </w:docPartBody>
    </w:docPart>
    <w:docPart>
      <w:docPartPr>
        <w:name w:val="10FF2A3E6F2C4828B508B8328A743036"/>
        <w:category>
          <w:name w:val="General"/>
          <w:gallery w:val="placeholder"/>
        </w:category>
        <w:types>
          <w:type w:val="bbPlcHdr"/>
        </w:types>
        <w:behaviors>
          <w:behavior w:val="content"/>
        </w:behaviors>
        <w:guid w:val="{67F384D4-331F-4E20-BF91-33512A9DC2D6}"/>
      </w:docPartPr>
      <w:docPartBody>
        <w:p w:rsidR="0026777D" w:rsidRDefault="00A54F37">
          <w:r w:rsidRPr="00053DD5">
            <w:rPr>
              <w:rStyle w:val="PlaceholderText"/>
            </w:rPr>
            <w:t>[Subject]</w:t>
          </w:r>
        </w:p>
      </w:docPartBody>
    </w:docPart>
    <w:docPart>
      <w:docPartPr>
        <w:name w:val="C2FFE9EA34894454AFA04D30B2EDCB94"/>
        <w:category>
          <w:name w:val="General"/>
          <w:gallery w:val="placeholder"/>
        </w:category>
        <w:types>
          <w:type w:val="bbPlcHdr"/>
        </w:types>
        <w:behaviors>
          <w:behavior w:val="content"/>
        </w:behaviors>
        <w:guid w:val="{D8820C1F-D497-4E9C-BBC6-4A92353AA602}"/>
      </w:docPartPr>
      <w:docPartBody>
        <w:p w:rsidR="0026777D" w:rsidRDefault="00A54F37">
          <w:r w:rsidRPr="00053DD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Georgia"/>
    <w:panose1 w:val="00000000000000000000"/>
    <w:charset w:val="00"/>
    <w:family w:val="roman"/>
    <w:notTrueType/>
    <w:pitch w:val="variable"/>
    <w:sig w:usb0="00000001" w:usb1="00000001"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37"/>
    <w:rsid w:val="0026777D"/>
    <w:rsid w:val="00A5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F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3A504-D6D5-4806-BFA6-7D1B6A2C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COMPILATION OF VIEWS ON RESOURCE MOBILIZATION: ASSESSING THE CONTRIBUTION OF COLLECTIVE ACTIONS OF INDIGENOUS PEOPLES AND LOCAL COMMUNITIES AND SAFEGUARDS IN BIODIVERSITY FINANCING MECHANISMS</vt:lpstr>
    </vt:vector>
  </TitlesOfParts>
  <Company>SCBD</Company>
  <LinksUpToDate>false</LinksUpToDate>
  <CharactersWithSpaces>14629</CharactersWithSpaces>
  <SharedDoc>false</SharedDoc>
  <HLinks>
    <vt:vector size="42" baseType="variant">
      <vt:variant>
        <vt:i4>1114166</vt:i4>
      </vt:variant>
      <vt:variant>
        <vt:i4>38</vt:i4>
      </vt:variant>
      <vt:variant>
        <vt:i4>0</vt:i4>
      </vt:variant>
      <vt:variant>
        <vt:i4>5</vt:i4>
      </vt:variant>
      <vt:variant>
        <vt:lpwstr/>
      </vt:variant>
      <vt:variant>
        <vt:lpwstr>_Toc507765242</vt:lpwstr>
      </vt:variant>
      <vt:variant>
        <vt:i4>1114166</vt:i4>
      </vt:variant>
      <vt:variant>
        <vt:i4>32</vt:i4>
      </vt:variant>
      <vt:variant>
        <vt:i4>0</vt:i4>
      </vt:variant>
      <vt:variant>
        <vt:i4>5</vt:i4>
      </vt:variant>
      <vt:variant>
        <vt:lpwstr/>
      </vt:variant>
      <vt:variant>
        <vt:lpwstr>_Toc507765241</vt:lpwstr>
      </vt:variant>
      <vt:variant>
        <vt:i4>1114166</vt:i4>
      </vt:variant>
      <vt:variant>
        <vt:i4>26</vt:i4>
      </vt:variant>
      <vt:variant>
        <vt:i4>0</vt:i4>
      </vt:variant>
      <vt:variant>
        <vt:i4>5</vt:i4>
      </vt:variant>
      <vt:variant>
        <vt:lpwstr/>
      </vt:variant>
      <vt:variant>
        <vt:lpwstr>_Toc507765240</vt:lpwstr>
      </vt:variant>
      <vt:variant>
        <vt:i4>1441846</vt:i4>
      </vt:variant>
      <vt:variant>
        <vt:i4>20</vt:i4>
      </vt:variant>
      <vt:variant>
        <vt:i4>0</vt:i4>
      </vt:variant>
      <vt:variant>
        <vt:i4>5</vt:i4>
      </vt:variant>
      <vt:variant>
        <vt:lpwstr/>
      </vt:variant>
      <vt:variant>
        <vt:lpwstr>_Toc507765239</vt:lpwstr>
      </vt:variant>
      <vt:variant>
        <vt:i4>1441846</vt:i4>
      </vt:variant>
      <vt:variant>
        <vt:i4>14</vt:i4>
      </vt:variant>
      <vt:variant>
        <vt:i4>0</vt:i4>
      </vt:variant>
      <vt:variant>
        <vt:i4>5</vt:i4>
      </vt:variant>
      <vt:variant>
        <vt:lpwstr/>
      </vt:variant>
      <vt:variant>
        <vt:lpwstr>_Toc507765238</vt:lpwstr>
      </vt:variant>
      <vt:variant>
        <vt:i4>1441846</vt:i4>
      </vt:variant>
      <vt:variant>
        <vt:i4>8</vt:i4>
      </vt:variant>
      <vt:variant>
        <vt:i4>0</vt:i4>
      </vt:variant>
      <vt:variant>
        <vt:i4>5</vt:i4>
      </vt:variant>
      <vt:variant>
        <vt:lpwstr/>
      </vt:variant>
      <vt:variant>
        <vt:lpwstr>_Toc507765237</vt:lpwstr>
      </vt:variant>
      <vt:variant>
        <vt:i4>1441846</vt:i4>
      </vt:variant>
      <vt:variant>
        <vt:i4>2</vt:i4>
      </vt:variant>
      <vt:variant>
        <vt:i4>0</vt:i4>
      </vt:variant>
      <vt:variant>
        <vt:i4>5</vt:i4>
      </vt:variant>
      <vt:variant>
        <vt:lpwstr/>
      </vt:variant>
      <vt:variant>
        <vt:lpwstr>_Toc507765236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VIEWS ON RESOURCE MOBILIZATION: ASSESSING THE CONTRIBUTION OF COLLECTIVE ACTIONS OF INDIGENOUS PEOPLES AND LOCAL COMMUNITIES AND SAFEGUARDS IN BIODIVERSITY FINANCING MECHANISMS</dc:title>
  <dc:subject>CBD/SBI/2/INF/9</dc:subject>
  <dc:creator>Henrique Mercer</dc:creator>
  <cp:keywords/>
  <cp:lastModifiedBy>veronique lefebvre</cp:lastModifiedBy>
  <cp:revision>5</cp:revision>
  <cp:lastPrinted>2017-10-18T16:50:00Z</cp:lastPrinted>
  <dcterms:created xsi:type="dcterms:W3CDTF">2018-05-08T15:27:00Z</dcterms:created>
  <dcterms:modified xsi:type="dcterms:W3CDTF">2018-05-29T16:01:00Z</dcterms:modified>
</cp:coreProperties>
</file>